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0EF7" w14:textId="527CCF06" w:rsidR="00B610AE" w:rsidRDefault="002E4FF2" w:rsidP="00B610AE">
      <w:pPr>
        <w:jc w:val="center"/>
        <w:rPr>
          <w:rFonts w:ascii="Tahoma" w:hAnsi="Tahoma" w:cs="Tahoma"/>
          <w:b/>
          <w:bCs/>
          <w:color w:val="C00000"/>
          <w:sz w:val="36"/>
          <w:szCs w:val="36"/>
        </w:rPr>
      </w:pPr>
      <w:r>
        <w:rPr>
          <w:b/>
          <w:noProof/>
          <w:sz w:val="36"/>
          <w:szCs w:val="36"/>
          <w:lang w:eastAsia="hr-HR"/>
        </w:rPr>
        <w:drawing>
          <wp:inline distT="0" distB="0" distL="0" distR="0" wp14:anchorId="191EF711" wp14:editId="536362C6">
            <wp:extent cx="2840990" cy="817245"/>
            <wp:effectExtent l="0" t="0" r="0" b="1905"/>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968" cy="820115"/>
                    </a:xfrm>
                    <a:prstGeom prst="rect">
                      <a:avLst/>
                    </a:prstGeom>
                    <a:noFill/>
                  </pic:spPr>
                </pic:pic>
              </a:graphicData>
            </a:graphic>
          </wp:inline>
        </w:drawing>
      </w:r>
    </w:p>
    <w:p w14:paraId="1FEFB33F" w14:textId="77777777" w:rsidR="00B610AE" w:rsidRDefault="00B610AE" w:rsidP="00B610AE">
      <w:pPr>
        <w:jc w:val="center"/>
        <w:rPr>
          <w:rFonts w:ascii="Tahoma" w:hAnsi="Tahoma" w:cs="Tahoma"/>
          <w:b/>
          <w:bCs/>
          <w:color w:val="C00000"/>
          <w:sz w:val="36"/>
          <w:szCs w:val="36"/>
        </w:rPr>
      </w:pPr>
    </w:p>
    <w:p w14:paraId="5664B797" w14:textId="77777777" w:rsidR="00B610AE" w:rsidRDefault="00B610AE" w:rsidP="00B610AE">
      <w:pPr>
        <w:jc w:val="center"/>
        <w:rPr>
          <w:rFonts w:ascii="Tahoma" w:hAnsi="Tahoma" w:cs="Tahoma"/>
          <w:b/>
          <w:bCs/>
          <w:color w:val="C00000"/>
          <w:sz w:val="36"/>
          <w:szCs w:val="36"/>
        </w:rPr>
      </w:pPr>
    </w:p>
    <w:p w14:paraId="7494BC7D" w14:textId="77777777" w:rsidR="00B610AE" w:rsidRDefault="00B610AE" w:rsidP="00B610AE">
      <w:pPr>
        <w:jc w:val="center"/>
        <w:rPr>
          <w:rFonts w:ascii="Tahoma" w:hAnsi="Tahoma" w:cs="Tahoma"/>
          <w:b/>
          <w:bCs/>
          <w:color w:val="C00000"/>
          <w:sz w:val="36"/>
          <w:szCs w:val="36"/>
        </w:rPr>
      </w:pPr>
    </w:p>
    <w:p w14:paraId="44D8FC9D" w14:textId="77777777" w:rsidR="00B610AE" w:rsidRDefault="00B610AE" w:rsidP="00B610AE">
      <w:pPr>
        <w:jc w:val="center"/>
        <w:rPr>
          <w:rFonts w:ascii="Tahoma" w:hAnsi="Tahoma" w:cs="Tahoma"/>
          <w:b/>
          <w:bCs/>
          <w:color w:val="C00000"/>
          <w:sz w:val="36"/>
          <w:szCs w:val="36"/>
        </w:rPr>
      </w:pPr>
    </w:p>
    <w:p w14:paraId="20E14CA1" w14:textId="77777777" w:rsidR="00B610AE" w:rsidRDefault="00B610AE" w:rsidP="00B610AE">
      <w:pPr>
        <w:jc w:val="center"/>
        <w:rPr>
          <w:rFonts w:ascii="Tahoma" w:hAnsi="Tahoma" w:cs="Tahoma"/>
          <w:b/>
          <w:bCs/>
          <w:color w:val="C00000"/>
          <w:sz w:val="36"/>
          <w:szCs w:val="36"/>
        </w:rPr>
      </w:pPr>
    </w:p>
    <w:p w14:paraId="4A6EF6AF" w14:textId="77777777" w:rsidR="00B610AE" w:rsidRDefault="00B610AE" w:rsidP="00B610AE">
      <w:pPr>
        <w:jc w:val="center"/>
        <w:rPr>
          <w:rFonts w:ascii="Tahoma" w:hAnsi="Tahoma" w:cs="Tahoma"/>
          <w:b/>
          <w:bCs/>
          <w:color w:val="C00000"/>
          <w:sz w:val="36"/>
          <w:szCs w:val="36"/>
        </w:rPr>
      </w:pPr>
    </w:p>
    <w:p w14:paraId="2D702F13" w14:textId="77777777" w:rsidR="00B610AE" w:rsidRDefault="00B610AE" w:rsidP="00B610AE">
      <w:pPr>
        <w:jc w:val="center"/>
        <w:rPr>
          <w:rFonts w:ascii="Tahoma" w:hAnsi="Tahoma" w:cs="Tahoma"/>
          <w:b/>
          <w:bCs/>
          <w:color w:val="C00000"/>
          <w:sz w:val="36"/>
          <w:szCs w:val="36"/>
        </w:rPr>
      </w:pPr>
    </w:p>
    <w:p w14:paraId="269C600A" w14:textId="18E0F8B1" w:rsidR="00A711BC" w:rsidRDefault="00B610AE" w:rsidP="00B610AE">
      <w:pPr>
        <w:jc w:val="center"/>
        <w:rPr>
          <w:rFonts w:ascii="Tahoma" w:hAnsi="Tahoma" w:cs="Tahoma"/>
          <w:b/>
          <w:bCs/>
          <w:color w:val="C00000"/>
          <w:sz w:val="36"/>
          <w:szCs w:val="36"/>
        </w:rPr>
      </w:pPr>
      <w:r w:rsidRPr="00B610AE">
        <w:rPr>
          <w:rFonts w:ascii="Tahoma" w:hAnsi="Tahoma" w:cs="Tahoma"/>
          <w:b/>
          <w:bCs/>
          <w:color w:val="C00000"/>
          <w:sz w:val="36"/>
          <w:szCs w:val="36"/>
        </w:rPr>
        <w:t xml:space="preserve">Nacrt Programa energetske obnove </w:t>
      </w:r>
      <w:r w:rsidR="00A561C9">
        <w:rPr>
          <w:rFonts w:ascii="Tahoma" w:hAnsi="Tahoma" w:cs="Tahoma"/>
          <w:b/>
          <w:bCs/>
          <w:color w:val="C00000"/>
          <w:sz w:val="36"/>
          <w:szCs w:val="36"/>
        </w:rPr>
        <w:t>višestambenih zgrada</w:t>
      </w:r>
      <w:r w:rsidRPr="00B610AE">
        <w:rPr>
          <w:rFonts w:ascii="Tahoma" w:hAnsi="Tahoma" w:cs="Tahoma"/>
          <w:b/>
          <w:bCs/>
          <w:color w:val="C00000"/>
          <w:sz w:val="36"/>
          <w:szCs w:val="36"/>
        </w:rPr>
        <w:t xml:space="preserve"> za razdoblje </w:t>
      </w:r>
      <w:r w:rsidR="00A561C9">
        <w:rPr>
          <w:rFonts w:ascii="Tahoma" w:hAnsi="Tahoma" w:cs="Tahoma"/>
          <w:b/>
          <w:bCs/>
          <w:color w:val="C00000"/>
          <w:sz w:val="36"/>
          <w:szCs w:val="36"/>
        </w:rPr>
        <w:t>do</w:t>
      </w:r>
      <w:r w:rsidRPr="00B610AE">
        <w:rPr>
          <w:rFonts w:ascii="Tahoma" w:hAnsi="Tahoma" w:cs="Tahoma"/>
          <w:b/>
          <w:bCs/>
          <w:color w:val="C00000"/>
          <w:sz w:val="36"/>
          <w:szCs w:val="36"/>
        </w:rPr>
        <w:t xml:space="preserve"> 2030. godine</w:t>
      </w:r>
    </w:p>
    <w:p w14:paraId="2A0077FE" w14:textId="6F081A2C" w:rsidR="00B610AE" w:rsidRDefault="00B610AE" w:rsidP="00B610AE">
      <w:pPr>
        <w:jc w:val="center"/>
        <w:rPr>
          <w:rFonts w:ascii="Tahoma" w:hAnsi="Tahoma" w:cs="Tahoma"/>
          <w:b/>
          <w:bCs/>
          <w:color w:val="C00000"/>
          <w:sz w:val="36"/>
          <w:szCs w:val="36"/>
        </w:rPr>
      </w:pPr>
    </w:p>
    <w:p w14:paraId="7D50E41A" w14:textId="77777777" w:rsidR="00B610AE" w:rsidRDefault="00B610AE" w:rsidP="00B610AE">
      <w:pPr>
        <w:jc w:val="center"/>
        <w:rPr>
          <w:rFonts w:ascii="Tahoma" w:hAnsi="Tahoma" w:cs="Tahoma"/>
          <w:b/>
          <w:bCs/>
          <w:color w:val="A6A6A6" w:themeColor="background1" w:themeShade="A6"/>
          <w:sz w:val="20"/>
          <w:szCs w:val="20"/>
        </w:rPr>
      </w:pPr>
    </w:p>
    <w:p w14:paraId="27D3AD05" w14:textId="77777777" w:rsidR="00B610AE" w:rsidRDefault="00B610AE" w:rsidP="00B610AE">
      <w:pPr>
        <w:jc w:val="center"/>
        <w:rPr>
          <w:rFonts w:ascii="Tahoma" w:hAnsi="Tahoma" w:cs="Tahoma"/>
          <w:b/>
          <w:bCs/>
          <w:color w:val="A6A6A6" w:themeColor="background1" w:themeShade="A6"/>
          <w:sz w:val="20"/>
          <w:szCs w:val="20"/>
        </w:rPr>
      </w:pPr>
    </w:p>
    <w:p w14:paraId="11B89437" w14:textId="77777777" w:rsidR="00B610AE" w:rsidRDefault="00B610AE" w:rsidP="00B610AE">
      <w:pPr>
        <w:jc w:val="center"/>
        <w:rPr>
          <w:rFonts w:ascii="Tahoma" w:hAnsi="Tahoma" w:cs="Tahoma"/>
          <w:b/>
          <w:bCs/>
          <w:color w:val="A6A6A6" w:themeColor="background1" w:themeShade="A6"/>
          <w:sz w:val="20"/>
          <w:szCs w:val="20"/>
        </w:rPr>
      </w:pPr>
    </w:p>
    <w:p w14:paraId="2BDAB6B5" w14:textId="77777777" w:rsidR="00B610AE" w:rsidRDefault="00B610AE" w:rsidP="00B610AE">
      <w:pPr>
        <w:jc w:val="center"/>
        <w:rPr>
          <w:rFonts w:ascii="Tahoma" w:hAnsi="Tahoma" w:cs="Tahoma"/>
          <w:b/>
          <w:bCs/>
          <w:color w:val="A6A6A6" w:themeColor="background1" w:themeShade="A6"/>
          <w:sz w:val="20"/>
          <w:szCs w:val="20"/>
        </w:rPr>
      </w:pPr>
    </w:p>
    <w:p w14:paraId="16F58811" w14:textId="77777777" w:rsidR="00B610AE" w:rsidRDefault="00B610AE" w:rsidP="00B610AE">
      <w:pPr>
        <w:jc w:val="center"/>
        <w:rPr>
          <w:rFonts w:ascii="Tahoma" w:hAnsi="Tahoma" w:cs="Tahoma"/>
          <w:b/>
          <w:bCs/>
          <w:color w:val="A6A6A6" w:themeColor="background1" w:themeShade="A6"/>
          <w:sz w:val="20"/>
          <w:szCs w:val="20"/>
        </w:rPr>
      </w:pPr>
    </w:p>
    <w:p w14:paraId="7B839D6F" w14:textId="77777777" w:rsidR="00B610AE" w:rsidRDefault="00B610AE" w:rsidP="00B610AE">
      <w:pPr>
        <w:jc w:val="center"/>
        <w:rPr>
          <w:rFonts w:ascii="Tahoma" w:hAnsi="Tahoma" w:cs="Tahoma"/>
          <w:b/>
          <w:bCs/>
          <w:color w:val="A6A6A6" w:themeColor="background1" w:themeShade="A6"/>
          <w:sz w:val="20"/>
          <w:szCs w:val="20"/>
        </w:rPr>
      </w:pPr>
    </w:p>
    <w:p w14:paraId="251BB5C0" w14:textId="77777777" w:rsidR="00B610AE" w:rsidRDefault="00B610AE" w:rsidP="00B610AE">
      <w:pPr>
        <w:jc w:val="center"/>
        <w:rPr>
          <w:rFonts w:ascii="Tahoma" w:hAnsi="Tahoma" w:cs="Tahoma"/>
          <w:b/>
          <w:bCs/>
          <w:color w:val="A6A6A6" w:themeColor="background1" w:themeShade="A6"/>
          <w:sz w:val="20"/>
          <w:szCs w:val="20"/>
        </w:rPr>
      </w:pPr>
    </w:p>
    <w:p w14:paraId="49248AB2" w14:textId="77777777" w:rsidR="00B610AE" w:rsidRDefault="00B610AE" w:rsidP="00B610AE">
      <w:pPr>
        <w:jc w:val="center"/>
        <w:rPr>
          <w:rFonts w:ascii="Tahoma" w:hAnsi="Tahoma" w:cs="Tahoma"/>
          <w:b/>
          <w:bCs/>
          <w:color w:val="A6A6A6" w:themeColor="background1" w:themeShade="A6"/>
          <w:sz w:val="20"/>
          <w:szCs w:val="20"/>
        </w:rPr>
      </w:pPr>
    </w:p>
    <w:p w14:paraId="32544129" w14:textId="77777777" w:rsidR="00B610AE" w:rsidRDefault="00B610AE" w:rsidP="00B610AE">
      <w:pPr>
        <w:jc w:val="center"/>
        <w:rPr>
          <w:rFonts w:ascii="Tahoma" w:hAnsi="Tahoma" w:cs="Tahoma"/>
          <w:b/>
          <w:bCs/>
          <w:color w:val="A6A6A6" w:themeColor="background1" w:themeShade="A6"/>
          <w:sz w:val="20"/>
          <w:szCs w:val="20"/>
        </w:rPr>
      </w:pPr>
    </w:p>
    <w:p w14:paraId="76C830EB" w14:textId="77777777" w:rsidR="00B610AE" w:rsidRDefault="00B610AE" w:rsidP="00B610AE">
      <w:pPr>
        <w:jc w:val="center"/>
        <w:rPr>
          <w:rFonts w:ascii="Tahoma" w:hAnsi="Tahoma" w:cs="Tahoma"/>
          <w:b/>
          <w:bCs/>
          <w:color w:val="A6A6A6" w:themeColor="background1" w:themeShade="A6"/>
          <w:sz w:val="20"/>
          <w:szCs w:val="20"/>
        </w:rPr>
      </w:pPr>
    </w:p>
    <w:p w14:paraId="01940DFB" w14:textId="77777777" w:rsidR="00B610AE" w:rsidRDefault="00B610AE" w:rsidP="00B610AE">
      <w:pPr>
        <w:jc w:val="center"/>
        <w:rPr>
          <w:rFonts w:ascii="Tahoma" w:hAnsi="Tahoma" w:cs="Tahoma"/>
          <w:b/>
          <w:bCs/>
          <w:color w:val="A6A6A6" w:themeColor="background1" w:themeShade="A6"/>
          <w:sz w:val="20"/>
          <w:szCs w:val="20"/>
        </w:rPr>
      </w:pPr>
    </w:p>
    <w:p w14:paraId="3412D3D3" w14:textId="77777777" w:rsidR="00B610AE" w:rsidRDefault="00B610AE" w:rsidP="00B610AE">
      <w:pPr>
        <w:jc w:val="center"/>
        <w:rPr>
          <w:rFonts w:ascii="Tahoma" w:hAnsi="Tahoma" w:cs="Tahoma"/>
          <w:b/>
          <w:bCs/>
          <w:color w:val="A6A6A6" w:themeColor="background1" w:themeShade="A6"/>
          <w:sz w:val="20"/>
          <w:szCs w:val="20"/>
        </w:rPr>
      </w:pPr>
    </w:p>
    <w:p w14:paraId="489092ED" w14:textId="77777777" w:rsidR="00B610AE" w:rsidRDefault="00B610AE" w:rsidP="00B610AE">
      <w:pPr>
        <w:jc w:val="center"/>
        <w:rPr>
          <w:rFonts w:ascii="Tahoma" w:hAnsi="Tahoma" w:cs="Tahoma"/>
          <w:b/>
          <w:bCs/>
          <w:color w:val="A6A6A6" w:themeColor="background1" w:themeShade="A6"/>
          <w:sz w:val="20"/>
          <w:szCs w:val="20"/>
        </w:rPr>
      </w:pPr>
    </w:p>
    <w:p w14:paraId="1AC2F42B" w14:textId="7DDAF818" w:rsidR="000514CF" w:rsidRDefault="00271EE1" w:rsidP="00B610AE">
      <w:pPr>
        <w:jc w:val="center"/>
        <w:rPr>
          <w:rFonts w:ascii="Tahoma" w:hAnsi="Tahoma" w:cs="Tahoma"/>
          <w:b/>
          <w:bCs/>
          <w:color w:val="A6A6A6" w:themeColor="background1" w:themeShade="A6"/>
          <w:sz w:val="20"/>
          <w:szCs w:val="20"/>
        </w:rPr>
        <w:sectPr w:rsidR="000514CF">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Pr>
          <w:rFonts w:ascii="Tahoma" w:hAnsi="Tahoma" w:cs="Tahoma"/>
          <w:b/>
          <w:bCs/>
          <w:color w:val="A6A6A6" w:themeColor="background1" w:themeShade="A6"/>
          <w:sz w:val="20"/>
          <w:szCs w:val="20"/>
        </w:rPr>
        <w:t>rujan</w:t>
      </w:r>
      <w:r w:rsidR="00B610AE" w:rsidRPr="00B610AE">
        <w:rPr>
          <w:rFonts w:ascii="Tahoma" w:hAnsi="Tahoma" w:cs="Tahoma"/>
          <w:b/>
          <w:bCs/>
          <w:color w:val="A6A6A6" w:themeColor="background1" w:themeShade="A6"/>
          <w:sz w:val="20"/>
          <w:szCs w:val="20"/>
        </w:rPr>
        <w:t xml:space="preserve"> 2021.</w:t>
      </w:r>
    </w:p>
    <w:p w14:paraId="15C523FE" w14:textId="77777777" w:rsidR="008552B1" w:rsidRPr="00EC457F" w:rsidRDefault="008552B1" w:rsidP="008552B1">
      <w:pPr>
        <w:pStyle w:val="Naslov1-"/>
        <w:numPr>
          <w:ilvl w:val="0"/>
          <w:numId w:val="0"/>
        </w:numPr>
        <w:ind w:left="431" w:hanging="431"/>
      </w:pPr>
      <w:bookmarkStart w:id="0" w:name="_Toc330545427"/>
      <w:bookmarkStart w:id="1" w:name="_Toc420488804"/>
      <w:bookmarkStart w:id="2" w:name="_Toc424736338"/>
      <w:bookmarkStart w:id="3" w:name="_Toc435172714"/>
      <w:bookmarkStart w:id="4" w:name="_Toc19446354"/>
      <w:bookmarkStart w:id="5" w:name="_Toc72081589"/>
      <w:bookmarkStart w:id="6" w:name="_Toc72156254"/>
      <w:bookmarkStart w:id="7" w:name="_Toc72408460"/>
      <w:bookmarkStart w:id="8" w:name="_Toc72410236"/>
      <w:bookmarkStart w:id="9" w:name="_Toc77944059"/>
      <w:bookmarkStart w:id="10" w:name="_Toc77947196"/>
      <w:bookmarkStart w:id="11" w:name="_Toc77953485"/>
      <w:bookmarkStart w:id="12" w:name="_Toc80266164"/>
      <w:bookmarkStart w:id="13" w:name="_Toc83058513"/>
      <w:bookmarkStart w:id="14" w:name="_Toc83106289"/>
      <w:bookmarkStart w:id="15" w:name="_Toc83106950"/>
      <w:bookmarkStart w:id="16" w:name="_Toc83108580"/>
      <w:bookmarkStart w:id="17" w:name="_Toc83108928"/>
      <w:bookmarkStart w:id="18" w:name="_Toc83912040"/>
      <w:r w:rsidRPr="00EC457F">
        <w:lastRenderedPageBreak/>
        <w:t>S</w:t>
      </w:r>
      <w:bookmarkEnd w:id="0"/>
      <w:r w:rsidRPr="00EC457F">
        <w:t>adržaj</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D8D75BD" w14:textId="2D64AF67" w:rsidR="002B2089" w:rsidRDefault="008552B1">
      <w:pPr>
        <w:pStyle w:val="Sadraj1"/>
        <w:rPr>
          <w:rFonts w:asciiTheme="minorHAnsi" w:eastAsiaTheme="minorEastAsia" w:hAnsiTheme="minorHAnsi" w:cstheme="minorBidi"/>
          <w:b w:val="0"/>
          <w:i w:val="0"/>
          <w:caps w:val="0"/>
          <w:noProof/>
          <w:color w:val="auto"/>
          <w:sz w:val="22"/>
          <w:szCs w:val="22"/>
          <w:lang w:eastAsia="hr-HR"/>
        </w:rPr>
      </w:pPr>
      <w:r w:rsidRPr="00EC457F">
        <w:fldChar w:fldCharType="begin"/>
      </w:r>
      <w:r w:rsidRPr="00EC457F">
        <w:instrText xml:space="preserve"> TOC \o "1-4" \h \z \u </w:instrText>
      </w:r>
      <w:r w:rsidRPr="00EC457F">
        <w:fldChar w:fldCharType="separate"/>
      </w:r>
      <w:hyperlink w:anchor="_Toc83912040" w:history="1">
        <w:r w:rsidR="002B2089" w:rsidRPr="00457462">
          <w:rPr>
            <w:rStyle w:val="Hiperveza"/>
            <w:rFonts w:eastAsiaTheme="majorEastAsia"/>
            <w:noProof/>
          </w:rPr>
          <w:t>Sadržaj</w:t>
        </w:r>
        <w:r w:rsidR="002B2089">
          <w:rPr>
            <w:noProof/>
            <w:webHidden/>
          </w:rPr>
          <w:tab/>
        </w:r>
        <w:r w:rsidR="002B2089">
          <w:rPr>
            <w:noProof/>
            <w:webHidden/>
          </w:rPr>
          <w:fldChar w:fldCharType="begin"/>
        </w:r>
        <w:r w:rsidR="002B2089">
          <w:rPr>
            <w:noProof/>
            <w:webHidden/>
          </w:rPr>
          <w:instrText xml:space="preserve"> PAGEREF _Toc83912040 \h </w:instrText>
        </w:r>
        <w:r w:rsidR="002B2089">
          <w:rPr>
            <w:noProof/>
            <w:webHidden/>
          </w:rPr>
        </w:r>
        <w:r w:rsidR="002B2089">
          <w:rPr>
            <w:noProof/>
            <w:webHidden/>
          </w:rPr>
          <w:fldChar w:fldCharType="separate"/>
        </w:r>
        <w:r w:rsidR="002B2089">
          <w:rPr>
            <w:noProof/>
            <w:webHidden/>
          </w:rPr>
          <w:t>2</w:t>
        </w:r>
        <w:r w:rsidR="002B2089">
          <w:rPr>
            <w:noProof/>
            <w:webHidden/>
          </w:rPr>
          <w:fldChar w:fldCharType="end"/>
        </w:r>
      </w:hyperlink>
    </w:p>
    <w:p w14:paraId="76EA9AB0" w14:textId="19C234B1"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41" w:history="1">
        <w:r w:rsidR="002B2089" w:rsidRPr="00457462">
          <w:rPr>
            <w:rStyle w:val="Hiperveza"/>
            <w:rFonts w:eastAsiaTheme="majorEastAsia"/>
            <w:noProof/>
          </w:rPr>
          <w:t>Popis kratica</w:t>
        </w:r>
        <w:r w:rsidR="002B2089">
          <w:rPr>
            <w:noProof/>
            <w:webHidden/>
          </w:rPr>
          <w:tab/>
        </w:r>
        <w:r w:rsidR="002B2089">
          <w:rPr>
            <w:noProof/>
            <w:webHidden/>
          </w:rPr>
          <w:fldChar w:fldCharType="begin"/>
        </w:r>
        <w:r w:rsidR="002B2089">
          <w:rPr>
            <w:noProof/>
            <w:webHidden/>
          </w:rPr>
          <w:instrText xml:space="preserve"> PAGEREF _Toc83912041 \h </w:instrText>
        </w:r>
        <w:r w:rsidR="002B2089">
          <w:rPr>
            <w:noProof/>
            <w:webHidden/>
          </w:rPr>
        </w:r>
        <w:r w:rsidR="002B2089">
          <w:rPr>
            <w:noProof/>
            <w:webHidden/>
          </w:rPr>
          <w:fldChar w:fldCharType="separate"/>
        </w:r>
        <w:r w:rsidR="002B2089">
          <w:rPr>
            <w:noProof/>
            <w:webHidden/>
          </w:rPr>
          <w:t>4</w:t>
        </w:r>
        <w:r w:rsidR="002B2089">
          <w:rPr>
            <w:noProof/>
            <w:webHidden/>
          </w:rPr>
          <w:fldChar w:fldCharType="end"/>
        </w:r>
      </w:hyperlink>
    </w:p>
    <w:p w14:paraId="213D59A3" w14:textId="11012512"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42" w:history="1">
        <w:r w:rsidR="002B2089" w:rsidRPr="00457462">
          <w:rPr>
            <w:rStyle w:val="Hiperveza"/>
            <w:rFonts w:eastAsiaTheme="majorEastAsia"/>
            <w:noProof/>
          </w:rPr>
          <w:t>Sažetak</w:t>
        </w:r>
        <w:r w:rsidR="002B2089">
          <w:rPr>
            <w:noProof/>
            <w:webHidden/>
          </w:rPr>
          <w:tab/>
        </w:r>
        <w:r w:rsidR="002B2089">
          <w:rPr>
            <w:noProof/>
            <w:webHidden/>
          </w:rPr>
          <w:fldChar w:fldCharType="begin"/>
        </w:r>
        <w:r w:rsidR="002B2089">
          <w:rPr>
            <w:noProof/>
            <w:webHidden/>
          </w:rPr>
          <w:instrText xml:space="preserve"> PAGEREF _Toc83912042 \h </w:instrText>
        </w:r>
        <w:r w:rsidR="002B2089">
          <w:rPr>
            <w:noProof/>
            <w:webHidden/>
          </w:rPr>
        </w:r>
        <w:r w:rsidR="002B2089">
          <w:rPr>
            <w:noProof/>
            <w:webHidden/>
          </w:rPr>
          <w:fldChar w:fldCharType="separate"/>
        </w:r>
        <w:r w:rsidR="002B2089">
          <w:rPr>
            <w:noProof/>
            <w:webHidden/>
          </w:rPr>
          <w:t>5</w:t>
        </w:r>
        <w:r w:rsidR="002B2089">
          <w:rPr>
            <w:noProof/>
            <w:webHidden/>
          </w:rPr>
          <w:fldChar w:fldCharType="end"/>
        </w:r>
      </w:hyperlink>
    </w:p>
    <w:p w14:paraId="49A473E4" w14:textId="4E673857"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43" w:history="1">
        <w:r w:rsidR="002B2089" w:rsidRPr="00457462">
          <w:rPr>
            <w:rStyle w:val="Hiperveza"/>
            <w:rFonts w:eastAsiaTheme="majorEastAsia"/>
            <w:noProof/>
          </w:rPr>
          <w:t>1</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Uvod</w:t>
        </w:r>
        <w:r w:rsidR="002B2089">
          <w:rPr>
            <w:noProof/>
            <w:webHidden/>
          </w:rPr>
          <w:tab/>
        </w:r>
        <w:r w:rsidR="002B2089">
          <w:rPr>
            <w:noProof/>
            <w:webHidden/>
          </w:rPr>
          <w:fldChar w:fldCharType="begin"/>
        </w:r>
        <w:r w:rsidR="002B2089">
          <w:rPr>
            <w:noProof/>
            <w:webHidden/>
          </w:rPr>
          <w:instrText xml:space="preserve"> PAGEREF _Toc83912043 \h </w:instrText>
        </w:r>
        <w:r w:rsidR="002B2089">
          <w:rPr>
            <w:noProof/>
            <w:webHidden/>
          </w:rPr>
        </w:r>
        <w:r w:rsidR="002B2089">
          <w:rPr>
            <w:noProof/>
            <w:webHidden/>
          </w:rPr>
          <w:fldChar w:fldCharType="separate"/>
        </w:r>
        <w:r w:rsidR="002B2089">
          <w:rPr>
            <w:noProof/>
            <w:webHidden/>
          </w:rPr>
          <w:t>8</w:t>
        </w:r>
        <w:r w:rsidR="002B2089">
          <w:rPr>
            <w:noProof/>
            <w:webHidden/>
          </w:rPr>
          <w:fldChar w:fldCharType="end"/>
        </w:r>
      </w:hyperlink>
    </w:p>
    <w:p w14:paraId="44FEDC14" w14:textId="646894DB"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44" w:history="1">
        <w:r w:rsidR="002B2089" w:rsidRPr="00457462">
          <w:rPr>
            <w:rStyle w:val="Hiperveza"/>
            <w:rFonts w:eastAsiaTheme="majorEastAsia"/>
            <w:noProof/>
          </w:rPr>
          <w:t>2</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Okvir izrade programa</w:t>
        </w:r>
        <w:r w:rsidR="002B2089">
          <w:rPr>
            <w:noProof/>
            <w:webHidden/>
          </w:rPr>
          <w:tab/>
        </w:r>
        <w:r w:rsidR="002B2089">
          <w:rPr>
            <w:noProof/>
            <w:webHidden/>
          </w:rPr>
          <w:fldChar w:fldCharType="begin"/>
        </w:r>
        <w:r w:rsidR="002B2089">
          <w:rPr>
            <w:noProof/>
            <w:webHidden/>
          </w:rPr>
          <w:instrText xml:space="preserve"> PAGEREF _Toc83912044 \h </w:instrText>
        </w:r>
        <w:r w:rsidR="002B2089">
          <w:rPr>
            <w:noProof/>
            <w:webHidden/>
          </w:rPr>
        </w:r>
        <w:r w:rsidR="002B2089">
          <w:rPr>
            <w:noProof/>
            <w:webHidden/>
          </w:rPr>
          <w:fldChar w:fldCharType="separate"/>
        </w:r>
        <w:r w:rsidR="002B2089">
          <w:rPr>
            <w:noProof/>
            <w:webHidden/>
          </w:rPr>
          <w:t>11</w:t>
        </w:r>
        <w:r w:rsidR="002B2089">
          <w:rPr>
            <w:noProof/>
            <w:webHidden/>
          </w:rPr>
          <w:fldChar w:fldCharType="end"/>
        </w:r>
      </w:hyperlink>
    </w:p>
    <w:p w14:paraId="004DB47A" w14:textId="333373AE" w:rsidR="002B2089" w:rsidRDefault="009F20D0">
      <w:pPr>
        <w:pStyle w:val="Sadraj2"/>
        <w:rPr>
          <w:rFonts w:asciiTheme="minorHAnsi" w:eastAsiaTheme="minorEastAsia" w:hAnsiTheme="minorHAnsi" w:cstheme="minorBidi"/>
          <w:b w:val="0"/>
          <w:smallCaps w:val="0"/>
          <w:noProof/>
          <w:lang w:eastAsia="hr-HR"/>
        </w:rPr>
      </w:pPr>
      <w:hyperlink w:anchor="_Toc83912045" w:history="1">
        <w:r w:rsidR="002B2089" w:rsidRPr="00457462">
          <w:rPr>
            <w:rStyle w:val="Hiperveza"/>
            <w:rFonts w:eastAsiaTheme="majorEastAsia"/>
            <w:noProof/>
          </w:rPr>
          <w:t>2.1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Pregled zakonodavstva u kontekstu energetske učinkovitosti na nacionalnoj i EU razini</w:t>
        </w:r>
        <w:r w:rsidR="002B2089">
          <w:rPr>
            <w:noProof/>
            <w:webHidden/>
          </w:rPr>
          <w:tab/>
        </w:r>
        <w:r w:rsidR="002B2089">
          <w:rPr>
            <w:noProof/>
            <w:webHidden/>
          </w:rPr>
          <w:fldChar w:fldCharType="begin"/>
        </w:r>
        <w:r w:rsidR="002B2089">
          <w:rPr>
            <w:noProof/>
            <w:webHidden/>
          </w:rPr>
          <w:instrText xml:space="preserve"> PAGEREF _Toc83912045 \h </w:instrText>
        </w:r>
        <w:r w:rsidR="002B2089">
          <w:rPr>
            <w:noProof/>
            <w:webHidden/>
          </w:rPr>
        </w:r>
        <w:r w:rsidR="002B2089">
          <w:rPr>
            <w:noProof/>
            <w:webHidden/>
          </w:rPr>
          <w:fldChar w:fldCharType="separate"/>
        </w:r>
        <w:r w:rsidR="002B2089">
          <w:rPr>
            <w:noProof/>
            <w:webHidden/>
          </w:rPr>
          <w:t>11</w:t>
        </w:r>
        <w:r w:rsidR="002B2089">
          <w:rPr>
            <w:noProof/>
            <w:webHidden/>
          </w:rPr>
          <w:fldChar w:fldCharType="end"/>
        </w:r>
      </w:hyperlink>
    </w:p>
    <w:p w14:paraId="40114B31" w14:textId="28FCBFEA" w:rsidR="002B2089" w:rsidRDefault="009F20D0">
      <w:pPr>
        <w:pStyle w:val="Sadraj3"/>
        <w:rPr>
          <w:rFonts w:asciiTheme="minorHAnsi" w:eastAsiaTheme="minorEastAsia" w:hAnsiTheme="minorHAnsi" w:cstheme="minorBidi"/>
          <w:noProof/>
          <w:sz w:val="22"/>
          <w:szCs w:val="22"/>
          <w:lang w:eastAsia="hr-HR"/>
        </w:rPr>
      </w:pPr>
      <w:hyperlink w:anchor="_Toc83912046" w:history="1">
        <w:r w:rsidR="002B2089" w:rsidRPr="00457462">
          <w:rPr>
            <w:rStyle w:val="Hiperveza"/>
            <w:rFonts w:eastAsiaTheme="majorEastAsia"/>
            <w:noProof/>
          </w:rPr>
          <w:t>2.1.1</w:t>
        </w:r>
        <w:r w:rsidR="002B2089">
          <w:rPr>
            <w:rFonts w:asciiTheme="minorHAnsi" w:eastAsiaTheme="minorEastAsia" w:hAnsiTheme="minorHAnsi" w:cstheme="minorBidi"/>
            <w:noProof/>
            <w:sz w:val="22"/>
            <w:szCs w:val="22"/>
            <w:lang w:eastAsia="hr-HR"/>
          </w:rPr>
          <w:tab/>
        </w:r>
        <w:r w:rsidR="002B2089" w:rsidRPr="00457462">
          <w:rPr>
            <w:rStyle w:val="Hiperveza"/>
            <w:rFonts w:eastAsiaTheme="majorEastAsia"/>
            <w:noProof/>
          </w:rPr>
          <w:t>EU zakonodavstvo iz područja energetske učinkovitosti</w:t>
        </w:r>
        <w:r w:rsidR="002B2089">
          <w:rPr>
            <w:noProof/>
            <w:webHidden/>
          </w:rPr>
          <w:tab/>
        </w:r>
        <w:r w:rsidR="002B2089">
          <w:rPr>
            <w:noProof/>
            <w:webHidden/>
          </w:rPr>
          <w:fldChar w:fldCharType="begin"/>
        </w:r>
        <w:r w:rsidR="002B2089">
          <w:rPr>
            <w:noProof/>
            <w:webHidden/>
          </w:rPr>
          <w:instrText xml:space="preserve"> PAGEREF _Toc83912046 \h </w:instrText>
        </w:r>
        <w:r w:rsidR="002B2089">
          <w:rPr>
            <w:noProof/>
            <w:webHidden/>
          </w:rPr>
        </w:r>
        <w:r w:rsidR="002B2089">
          <w:rPr>
            <w:noProof/>
            <w:webHidden/>
          </w:rPr>
          <w:fldChar w:fldCharType="separate"/>
        </w:r>
        <w:r w:rsidR="002B2089">
          <w:rPr>
            <w:noProof/>
            <w:webHidden/>
          </w:rPr>
          <w:t>11</w:t>
        </w:r>
        <w:r w:rsidR="002B2089">
          <w:rPr>
            <w:noProof/>
            <w:webHidden/>
          </w:rPr>
          <w:fldChar w:fldCharType="end"/>
        </w:r>
      </w:hyperlink>
    </w:p>
    <w:p w14:paraId="727E6A58" w14:textId="73F82E9C" w:rsidR="002B2089" w:rsidRDefault="009F20D0">
      <w:pPr>
        <w:pStyle w:val="Sadraj3"/>
        <w:rPr>
          <w:rFonts w:asciiTheme="minorHAnsi" w:eastAsiaTheme="minorEastAsia" w:hAnsiTheme="minorHAnsi" w:cstheme="minorBidi"/>
          <w:noProof/>
          <w:sz w:val="22"/>
          <w:szCs w:val="22"/>
          <w:lang w:eastAsia="hr-HR"/>
        </w:rPr>
      </w:pPr>
      <w:hyperlink w:anchor="_Toc83912047" w:history="1">
        <w:r w:rsidR="002B2089" w:rsidRPr="00457462">
          <w:rPr>
            <w:rStyle w:val="Hiperveza"/>
            <w:rFonts w:eastAsiaTheme="majorEastAsia"/>
            <w:noProof/>
          </w:rPr>
          <w:t>2.1.2</w:t>
        </w:r>
        <w:r w:rsidR="002B2089">
          <w:rPr>
            <w:rFonts w:asciiTheme="minorHAnsi" w:eastAsiaTheme="minorEastAsia" w:hAnsiTheme="minorHAnsi" w:cstheme="minorBidi"/>
            <w:noProof/>
            <w:sz w:val="22"/>
            <w:szCs w:val="22"/>
            <w:lang w:eastAsia="hr-HR"/>
          </w:rPr>
          <w:tab/>
        </w:r>
        <w:r w:rsidR="002B2089" w:rsidRPr="00457462">
          <w:rPr>
            <w:rStyle w:val="Hiperveza"/>
            <w:rFonts w:eastAsiaTheme="majorEastAsia"/>
            <w:noProof/>
          </w:rPr>
          <w:t>Nacionalno zakonodavstvo iz područja energetske učinkovitosti</w:t>
        </w:r>
        <w:r w:rsidR="002B2089">
          <w:rPr>
            <w:noProof/>
            <w:webHidden/>
          </w:rPr>
          <w:tab/>
        </w:r>
        <w:r w:rsidR="002B2089">
          <w:rPr>
            <w:noProof/>
            <w:webHidden/>
          </w:rPr>
          <w:fldChar w:fldCharType="begin"/>
        </w:r>
        <w:r w:rsidR="002B2089">
          <w:rPr>
            <w:noProof/>
            <w:webHidden/>
          </w:rPr>
          <w:instrText xml:space="preserve"> PAGEREF _Toc83912047 \h </w:instrText>
        </w:r>
        <w:r w:rsidR="002B2089">
          <w:rPr>
            <w:noProof/>
            <w:webHidden/>
          </w:rPr>
        </w:r>
        <w:r w:rsidR="002B2089">
          <w:rPr>
            <w:noProof/>
            <w:webHidden/>
          </w:rPr>
          <w:fldChar w:fldCharType="separate"/>
        </w:r>
        <w:r w:rsidR="002B2089">
          <w:rPr>
            <w:noProof/>
            <w:webHidden/>
          </w:rPr>
          <w:t>13</w:t>
        </w:r>
        <w:r w:rsidR="002B2089">
          <w:rPr>
            <w:noProof/>
            <w:webHidden/>
          </w:rPr>
          <w:fldChar w:fldCharType="end"/>
        </w:r>
      </w:hyperlink>
    </w:p>
    <w:p w14:paraId="76C2AE7F" w14:textId="4B402896" w:rsidR="002B2089" w:rsidRDefault="009F20D0">
      <w:pPr>
        <w:pStyle w:val="Sadraj2"/>
        <w:rPr>
          <w:rFonts w:asciiTheme="minorHAnsi" w:eastAsiaTheme="minorEastAsia" w:hAnsiTheme="minorHAnsi" w:cstheme="minorBidi"/>
          <w:b w:val="0"/>
          <w:smallCaps w:val="0"/>
          <w:noProof/>
          <w:lang w:eastAsia="hr-HR"/>
        </w:rPr>
      </w:pPr>
      <w:hyperlink w:anchor="_Toc83912048" w:history="1">
        <w:r w:rsidR="002B2089" w:rsidRPr="00457462">
          <w:rPr>
            <w:rStyle w:val="Hiperveza"/>
            <w:rFonts w:eastAsiaTheme="majorEastAsia"/>
            <w:noProof/>
          </w:rPr>
          <w:t>2.2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Usklađenost Programa s Nacionalnom razvojnom strategijom, sektorskim i višesektorskim strategijama te dokumentima prostornoga uređenja</w:t>
        </w:r>
        <w:r w:rsidR="002B2089">
          <w:rPr>
            <w:noProof/>
            <w:webHidden/>
          </w:rPr>
          <w:tab/>
        </w:r>
        <w:r w:rsidR="002B2089">
          <w:rPr>
            <w:noProof/>
            <w:webHidden/>
          </w:rPr>
          <w:fldChar w:fldCharType="begin"/>
        </w:r>
        <w:r w:rsidR="002B2089">
          <w:rPr>
            <w:noProof/>
            <w:webHidden/>
          </w:rPr>
          <w:instrText xml:space="preserve"> PAGEREF _Toc83912048 \h </w:instrText>
        </w:r>
        <w:r w:rsidR="002B2089">
          <w:rPr>
            <w:noProof/>
            <w:webHidden/>
          </w:rPr>
        </w:r>
        <w:r w:rsidR="002B2089">
          <w:rPr>
            <w:noProof/>
            <w:webHidden/>
          </w:rPr>
          <w:fldChar w:fldCharType="separate"/>
        </w:r>
        <w:r w:rsidR="002B2089">
          <w:rPr>
            <w:noProof/>
            <w:webHidden/>
          </w:rPr>
          <w:t>15</w:t>
        </w:r>
        <w:r w:rsidR="002B2089">
          <w:rPr>
            <w:noProof/>
            <w:webHidden/>
          </w:rPr>
          <w:fldChar w:fldCharType="end"/>
        </w:r>
      </w:hyperlink>
    </w:p>
    <w:p w14:paraId="25AD3A25" w14:textId="063DAB86"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49" w:history="1">
        <w:r w:rsidR="002B2089" w:rsidRPr="00457462">
          <w:rPr>
            <w:rStyle w:val="Hiperveza"/>
            <w:rFonts w:eastAsiaTheme="majorEastAsia"/>
            <w:noProof/>
          </w:rPr>
          <w:t>3</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Analiza postojećeg stanja višestambenih zgrada u kontekstu energetske učinkovitosti</w:t>
        </w:r>
        <w:r w:rsidR="002B2089">
          <w:rPr>
            <w:noProof/>
            <w:webHidden/>
          </w:rPr>
          <w:tab/>
        </w:r>
        <w:r w:rsidR="002B2089">
          <w:rPr>
            <w:noProof/>
            <w:webHidden/>
          </w:rPr>
          <w:fldChar w:fldCharType="begin"/>
        </w:r>
        <w:r w:rsidR="002B2089">
          <w:rPr>
            <w:noProof/>
            <w:webHidden/>
          </w:rPr>
          <w:instrText xml:space="preserve"> PAGEREF _Toc83912049 \h </w:instrText>
        </w:r>
        <w:r w:rsidR="002B2089">
          <w:rPr>
            <w:noProof/>
            <w:webHidden/>
          </w:rPr>
        </w:r>
        <w:r w:rsidR="002B2089">
          <w:rPr>
            <w:noProof/>
            <w:webHidden/>
          </w:rPr>
          <w:fldChar w:fldCharType="separate"/>
        </w:r>
        <w:r w:rsidR="002B2089">
          <w:rPr>
            <w:noProof/>
            <w:webHidden/>
          </w:rPr>
          <w:t>19</w:t>
        </w:r>
        <w:r w:rsidR="002B2089">
          <w:rPr>
            <w:noProof/>
            <w:webHidden/>
          </w:rPr>
          <w:fldChar w:fldCharType="end"/>
        </w:r>
      </w:hyperlink>
    </w:p>
    <w:p w14:paraId="019C6899" w14:textId="55F2B0AD" w:rsidR="002B2089" w:rsidRDefault="009F20D0">
      <w:pPr>
        <w:pStyle w:val="Sadraj2"/>
        <w:rPr>
          <w:rFonts w:asciiTheme="minorHAnsi" w:eastAsiaTheme="minorEastAsia" w:hAnsiTheme="minorHAnsi" w:cstheme="minorBidi"/>
          <w:b w:val="0"/>
          <w:smallCaps w:val="0"/>
          <w:noProof/>
          <w:lang w:eastAsia="hr-HR"/>
        </w:rPr>
      </w:pPr>
      <w:hyperlink w:anchor="_Toc83912050" w:history="1">
        <w:r w:rsidR="002B2089" w:rsidRPr="00457462">
          <w:rPr>
            <w:rStyle w:val="Hiperveza"/>
            <w:rFonts w:eastAsiaTheme="majorEastAsia"/>
            <w:noProof/>
          </w:rPr>
          <w:t>3.1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Pregled fonda višestambenih zgrada u Hrvatskoj</w:t>
        </w:r>
        <w:r w:rsidR="002B2089">
          <w:rPr>
            <w:noProof/>
            <w:webHidden/>
          </w:rPr>
          <w:tab/>
        </w:r>
        <w:r w:rsidR="002B2089">
          <w:rPr>
            <w:noProof/>
            <w:webHidden/>
          </w:rPr>
          <w:fldChar w:fldCharType="begin"/>
        </w:r>
        <w:r w:rsidR="002B2089">
          <w:rPr>
            <w:noProof/>
            <w:webHidden/>
          </w:rPr>
          <w:instrText xml:space="preserve"> PAGEREF _Toc83912050 \h </w:instrText>
        </w:r>
        <w:r w:rsidR="002B2089">
          <w:rPr>
            <w:noProof/>
            <w:webHidden/>
          </w:rPr>
        </w:r>
        <w:r w:rsidR="002B2089">
          <w:rPr>
            <w:noProof/>
            <w:webHidden/>
          </w:rPr>
          <w:fldChar w:fldCharType="separate"/>
        </w:r>
        <w:r w:rsidR="002B2089">
          <w:rPr>
            <w:noProof/>
            <w:webHidden/>
          </w:rPr>
          <w:t>19</w:t>
        </w:r>
        <w:r w:rsidR="002B2089">
          <w:rPr>
            <w:noProof/>
            <w:webHidden/>
          </w:rPr>
          <w:fldChar w:fldCharType="end"/>
        </w:r>
      </w:hyperlink>
    </w:p>
    <w:p w14:paraId="6865702C" w14:textId="6706237C" w:rsidR="002B2089" w:rsidRDefault="009F20D0">
      <w:pPr>
        <w:pStyle w:val="Sadraj2"/>
        <w:rPr>
          <w:rFonts w:asciiTheme="minorHAnsi" w:eastAsiaTheme="minorEastAsia" w:hAnsiTheme="minorHAnsi" w:cstheme="minorBidi"/>
          <w:b w:val="0"/>
          <w:smallCaps w:val="0"/>
          <w:noProof/>
          <w:lang w:eastAsia="hr-HR"/>
        </w:rPr>
      </w:pPr>
      <w:hyperlink w:anchor="_Toc83912051" w:history="1">
        <w:r w:rsidR="002B2089" w:rsidRPr="00457462">
          <w:rPr>
            <w:rStyle w:val="Hiperveza"/>
            <w:rFonts w:eastAsiaTheme="majorEastAsia"/>
            <w:noProof/>
          </w:rPr>
          <w:t>3.2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Simulacija uštede energije obnovom postojećih višestambenih zgrada u Republici Hrvatskoj</w:t>
        </w:r>
        <w:r w:rsidR="002B2089">
          <w:rPr>
            <w:noProof/>
            <w:webHidden/>
          </w:rPr>
          <w:tab/>
        </w:r>
        <w:r w:rsidR="002B2089">
          <w:rPr>
            <w:noProof/>
            <w:webHidden/>
          </w:rPr>
          <w:fldChar w:fldCharType="begin"/>
        </w:r>
        <w:r w:rsidR="002B2089">
          <w:rPr>
            <w:noProof/>
            <w:webHidden/>
          </w:rPr>
          <w:instrText xml:space="preserve"> PAGEREF _Toc83912051 \h </w:instrText>
        </w:r>
        <w:r w:rsidR="002B2089">
          <w:rPr>
            <w:noProof/>
            <w:webHidden/>
          </w:rPr>
        </w:r>
        <w:r w:rsidR="002B2089">
          <w:rPr>
            <w:noProof/>
            <w:webHidden/>
          </w:rPr>
          <w:fldChar w:fldCharType="separate"/>
        </w:r>
        <w:r w:rsidR="002B2089">
          <w:rPr>
            <w:noProof/>
            <w:webHidden/>
          </w:rPr>
          <w:t>23</w:t>
        </w:r>
        <w:r w:rsidR="002B2089">
          <w:rPr>
            <w:noProof/>
            <w:webHidden/>
          </w:rPr>
          <w:fldChar w:fldCharType="end"/>
        </w:r>
      </w:hyperlink>
    </w:p>
    <w:p w14:paraId="168D49D7" w14:textId="3D9A92F7" w:rsidR="002B2089" w:rsidRDefault="009F20D0">
      <w:pPr>
        <w:pStyle w:val="Sadraj2"/>
        <w:rPr>
          <w:rFonts w:asciiTheme="minorHAnsi" w:eastAsiaTheme="minorEastAsia" w:hAnsiTheme="minorHAnsi" w:cstheme="minorBidi"/>
          <w:b w:val="0"/>
          <w:smallCaps w:val="0"/>
          <w:noProof/>
          <w:lang w:eastAsia="hr-HR"/>
        </w:rPr>
      </w:pPr>
      <w:hyperlink w:anchor="_Toc83912052" w:history="1">
        <w:r w:rsidR="002B2089" w:rsidRPr="00457462">
          <w:rPr>
            <w:rStyle w:val="Hiperveza"/>
            <w:rFonts w:eastAsiaTheme="majorEastAsia"/>
            <w:noProof/>
          </w:rPr>
          <w:t>3.3</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Analiza provedenih programa i projekata povećanja energetske učinkovitosti u VSZ u Hrvatskoj te EU praksa</w:t>
        </w:r>
        <w:r w:rsidR="002B2089">
          <w:rPr>
            <w:noProof/>
            <w:webHidden/>
          </w:rPr>
          <w:tab/>
        </w:r>
        <w:r w:rsidR="002B2089">
          <w:rPr>
            <w:noProof/>
            <w:webHidden/>
          </w:rPr>
          <w:fldChar w:fldCharType="begin"/>
        </w:r>
        <w:r w:rsidR="002B2089">
          <w:rPr>
            <w:noProof/>
            <w:webHidden/>
          </w:rPr>
          <w:instrText xml:space="preserve"> PAGEREF _Toc83912052 \h </w:instrText>
        </w:r>
        <w:r w:rsidR="002B2089">
          <w:rPr>
            <w:noProof/>
            <w:webHidden/>
          </w:rPr>
        </w:r>
        <w:r w:rsidR="002B2089">
          <w:rPr>
            <w:noProof/>
            <w:webHidden/>
          </w:rPr>
          <w:fldChar w:fldCharType="separate"/>
        </w:r>
        <w:r w:rsidR="002B2089">
          <w:rPr>
            <w:noProof/>
            <w:webHidden/>
          </w:rPr>
          <w:t>26</w:t>
        </w:r>
        <w:r w:rsidR="002B2089">
          <w:rPr>
            <w:noProof/>
            <w:webHidden/>
          </w:rPr>
          <w:fldChar w:fldCharType="end"/>
        </w:r>
      </w:hyperlink>
    </w:p>
    <w:p w14:paraId="455673BA" w14:textId="3812AC6E" w:rsidR="002B2089" w:rsidRDefault="009F20D0">
      <w:pPr>
        <w:pStyle w:val="Sadraj3"/>
        <w:rPr>
          <w:rFonts w:asciiTheme="minorHAnsi" w:eastAsiaTheme="minorEastAsia" w:hAnsiTheme="minorHAnsi" w:cstheme="minorBidi"/>
          <w:noProof/>
          <w:sz w:val="22"/>
          <w:szCs w:val="22"/>
          <w:lang w:eastAsia="hr-HR"/>
        </w:rPr>
      </w:pPr>
      <w:hyperlink w:anchor="_Toc83912053" w:history="1">
        <w:r w:rsidR="002B2089" w:rsidRPr="00457462">
          <w:rPr>
            <w:rStyle w:val="Hiperveza"/>
            <w:rFonts w:eastAsiaTheme="majorEastAsia"/>
            <w:noProof/>
          </w:rPr>
          <w:t>3.3.1</w:t>
        </w:r>
        <w:r w:rsidR="002B2089">
          <w:rPr>
            <w:rFonts w:asciiTheme="minorHAnsi" w:eastAsiaTheme="minorEastAsia" w:hAnsiTheme="minorHAnsi" w:cstheme="minorBidi"/>
            <w:noProof/>
            <w:sz w:val="22"/>
            <w:szCs w:val="22"/>
            <w:lang w:eastAsia="hr-HR"/>
          </w:rPr>
          <w:tab/>
        </w:r>
        <w:r w:rsidR="002B2089" w:rsidRPr="00457462">
          <w:rPr>
            <w:rStyle w:val="Hiperveza"/>
            <w:rFonts w:eastAsiaTheme="majorEastAsia"/>
            <w:noProof/>
          </w:rPr>
          <w:t>Osnovne karakteristike i rezultati Programa energetske obnove VSZ od 2014. do 2020. godine</w:t>
        </w:r>
        <w:r w:rsidR="002B2089">
          <w:rPr>
            <w:noProof/>
            <w:webHidden/>
          </w:rPr>
          <w:tab/>
        </w:r>
        <w:r w:rsidR="002B2089">
          <w:rPr>
            <w:noProof/>
            <w:webHidden/>
          </w:rPr>
          <w:fldChar w:fldCharType="begin"/>
        </w:r>
        <w:r w:rsidR="002B2089">
          <w:rPr>
            <w:noProof/>
            <w:webHidden/>
          </w:rPr>
          <w:instrText xml:space="preserve"> PAGEREF _Toc83912053 \h </w:instrText>
        </w:r>
        <w:r w:rsidR="002B2089">
          <w:rPr>
            <w:noProof/>
            <w:webHidden/>
          </w:rPr>
        </w:r>
        <w:r w:rsidR="002B2089">
          <w:rPr>
            <w:noProof/>
            <w:webHidden/>
          </w:rPr>
          <w:fldChar w:fldCharType="separate"/>
        </w:r>
        <w:r w:rsidR="002B2089">
          <w:rPr>
            <w:noProof/>
            <w:webHidden/>
          </w:rPr>
          <w:t>26</w:t>
        </w:r>
        <w:r w:rsidR="002B2089">
          <w:rPr>
            <w:noProof/>
            <w:webHidden/>
          </w:rPr>
          <w:fldChar w:fldCharType="end"/>
        </w:r>
      </w:hyperlink>
    </w:p>
    <w:p w14:paraId="20A2905F" w14:textId="4D9EAF9C" w:rsidR="002B2089" w:rsidRDefault="009F20D0">
      <w:pPr>
        <w:pStyle w:val="Sadraj3"/>
        <w:rPr>
          <w:rFonts w:asciiTheme="minorHAnsi" w:eastAsiaTheme="minorEastAsia" w:hAnsiTheme="minorHAnsi" w:cstheme="minorBidi"/>
          <w:noProof/>
          <w:sz w:val="22"/>
          <w:szCs w:val="22"/>
          <w:lang w:eastAsia="hr-HR"/>
        </w:rPr>
      </w:pPr>
      <w:hyperlink w:anchor="_Toc83912054" w:history="1">
        <w:r w:rsidR="002B2089" w:rsidRPr="00457462">
          <w:rPr>
            <w:rStyle w:val="Hiperveza"/>
            <w:rFonts w:eastAsiaTheme="majorEastAsia"/>
            <w:noProof/>
          </w:rPr>
          <w:t>3.3.2</w:t>
        </w:r>
        <w:r w:rsidR="002B2089">
          <w:rPr>
            <w:rFonts w:asciiTheme="minorHAnsi" w:eastAsiaTheme="minorEastAsia" w:hAnsiTheme="minorHAnsi" w:cstheme="minorBidi"/>
            <w:noProof/>
            <w:sz w:val="22"/>
            <w:szCs w:val="22"/>
            <w:lang w:eastAsia="hr-HR"/>
          </w:rPr>
          <w:tab/>
        </w:r>
        <w:r w:rsidR="002B2089" w:rsidRPr="00457462">
          <w:rPr>
            <w:rStyle w:val="Hiperveza"/>
            <w:rFonts w:eastAsiaTheme="majorEastAsia"/>
            <w:noProof/>
          </w:rPr>
          <w:t>Uočeni problemi u provedbi Programa i prijedlozi za unaprjeđenja</w:t>
        </w:r>
        <w:r w:rsidR="002B2089">
          <w:rPr>
            <w:noProof/>
            <w:webHidden/>
          </w:rPr>
          <w:tab/>
        </w:r>
        <w:r w:rsidR="002B2089">
          <w:rPr>
            <w:noProof/>
            <w:webHidden/>
          </w:rPr>
          <w:fldChar w:fldCharType="begin"/>
        </w:r>
        <w:r w:rsidR="002B2089">
          <w:rPr>
            <w:noProof/>
            <w:webHidden/>
          </w:rPr>
          <w:instrText xml:space="preserve"> PAGEREF _Toc83912054 \h </w:instrText>
        </w:r>
        <w:r w:rsidR="002B2089">
          <w:rPr>
            <w:noProof/>
            <w:webHidden/>
          </w:rPr>
        </w:r>
        <w:r w:rsidR="002B2089">
          <w:rPr>
            <w:noProof/>
            <w:webHidden/>
          </w:rPr>
          <w:fldChar w:fldCharType="separate"/>
        </w:r>
        <w:r w:rsidR="002B2089">
          <w:rPr>
            <w:noProof/>
            <w:webHidden/>
          </w:rPr>
          <w:t>28</w:t>
        </w:r>
        <w:r w:rsidR="002B2089">
          <w:rPr>
            <w:noProof/>
            <w:webHidden/>
          </w:rPr>
          <w:fldChar w:fldCharType="end"/>
        </w:r>
      </w:hyperlink>
    </w:p>
    <w:p w14:paraId="17895246" w14:textId="2B623C9B"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55" w:history="1">
        <w:r w:rsidR="002B2089" w:rsidRPr="00457462">
          <w:rPr>
            <w:rStyle w:val="Hiperveza"/>
            <w:rFonts w:eastAsiaTheme="majorEastAsia"/>
            <w:noProof/>
          </w:rPr>
          <w:t>4</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Opis srednjeročnih razvojnih potreba i razvojnih potencijala</w:t>
        </w:r>
        <w:r w:rsidR="002B2089">
          <w:rPr>
            <w:noProof/>
            <w:webHidden/>
          </w:rPr>
          <w:tab/>
        </w:r>
        <w:r w:rsidR="002B2089">
          <w:rPr>
            <w:noProof/>
            <w:webHidden/>
          </w:rPr>
          <w:fldChar w:fldCharType="begin"/>
        </w:r>
        <w:r w:rsidR="002B2089">
          <w:rPr>
            <w:noProof/>
            <w:webHidden/>
          </w:rPr>
          <w:instrText xml:space="preserve"> PAGEREF _Toc83912055 \h </w:instrText>
        </w:r>
        <w:r w:rsidR="002B2089">
          <w:rPr>
            <w:noProof/>
            <w:webHidden/>
          </w:rPr>
        </w:r>
        <w:r w:rsidR="002B2089">
          <w:rPr>
            <w:noProof/>
            <w:webHidden/>
          </w:rPr>
          <w:fldChar w:fldCharType="separate"/>
        </w:r>
        <w:r w:rsidR="002B2089">
          <w:rPr>
            <w:noProof/>
            <w:webHidden/>
          </w:rPr>
          <w:t>30</w:t>
        </w:r>
        <w:r w:rsidR="002B2089">
          <w:rPr>
            <w:noProof/>
            <w:webHidden/>
          </w:rPr>
          <w:fldChar w:fldCharType="end"/>
        </w:r>
      </w:hyperlink>
    </w:p>
    <w:p w14:paraId="0A25FF08" w14:textId="2C2A0A74"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56" w:history="1">
        <w:r w:rsidR="002B2089" w:rsidRPr="00457462">
          <w:rPr>
            <w:rStyle w:val="Hiperveza"/>
            <w:rFonts w:eastAsiaTheme="majorEastAsia"/>
            <w:noProof/>
          </w:rPr>
          <w:t>5</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Opis prioriteta javne politike u srednjeročnom razdoblju</w:t>
        </w:r>
        <w:r w:rsidR="002B2089">
          <w:rPr>
            <w:noProof/>
            <w:webHidden/>
          </w:rPr>
          <w:tab/>
        </w:r>
        <w:r w:rsidR="002B2089">
          <w:rPr>
            <w:noProof/>
            <w:webHidden/>
          </w:rPr>
          <w:fldChar w:fldCharType="begin"/>
        </w:r>
        <w:r w:rsidR="002B2089">
          <w:rPr>
            <w:noProof/>
            <w:webHidden/>
          </w:rPr>
          <w:instrText xml:space="preserve"> PAGEREF _Toc83912056 \h </w:instrText>
        </w:r>
        <w:r w:rsidR="002B2089">
          <w:rPr>
            <w:noProof/>
            <w:webHidden/>
          </w:rPr>
        </w:r>
        <w:r w:rsidR="002B2089">
          <w:rPr>
            <w:noProof/>
            <w:webHidden/>
          </w:rPr>
          <w:fldChar w:fldCharType="separate"/>
        </w:r>
        <w:r w:rsidR="002B2089">
          <w:rPr>
            <w:noProof/>
            <w:webHidden/>
          </w:rPr>
          <w:t>32</w:t>
        </w:r>
        <w:r w:rsidR="002B2089">
          <w:rPr>
            <w:noProof/>
            <w:webHidden/>
          </w:rPr>
          <w:fldChar w:fldCharType="end"/>
        </w:r>
      </w:hyperlink>
    </w:p>
    <w:p w14:paraId="6EB580D6" w14:textId="6BA2D1E6"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57" w:history="1">
        <w:r w:rsidR="002B2089" w:rsidRPr="00457462">
          <w:rPr>
            <w:rStyle w:val="Hiperveza"/>
            <w:rFonts w:eastAsiaTheme="majorEastAsia"/>
            <w:noProof/>
          </w:rPr>
          <w:t>6</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Srednjoročna vizija razvoja</w:t>
        </w:r>
        <w:r w:rsidR="002B2089">
          <w:rPr>
            <w:noProof/>
            <w:webHidden/>
          </w:rPr>
          <w:tab/>
        </w:r>
        <w:r w:rsidR="002B2089">
          <w:rPr>
            <w:noProof/>
            <w:webHidden/>
          </w:rPr>
          <w:fldChar w:fldCharType="begin"/>
        </w:r>
        <w:r w:rsidR="002B2089">
          <w:rPr>
            <w:noProof/>
            <w:webHidden/>
          </w:rPr>
          <w:instrText xml:space="preserve"> PAGEREF _Toc83912057 \h </w:instrText>
        </w:r>
        <w:r w:rsidR="002B2089">
          <w:rPr>
            <w:noProof/>
            <w:webHidden/>
          </w:rPr>
        </w:r>
        <w:r w:rsidR="002B2089">
          <w:rPr>
            <w:noProof/>
            <w:webHidden/>
          </w:rPr>
          <w:fldChar w:fldCharType="separate"/>
        </w:r>
        <w:r w:rsidR="002B2089">
          <w:rPr>
            <w:noProof/>
            <w:webHidden/>
          </w:rPr>
          <w:t>33</w:t>
        </w:r>
        <w:r w:rsidR="002B2089">
          <w:rPr>
            <w:noProof/>
            <w:webHidden/>
          </w:rPr>
          <w:fldChar w:fldCharType="end"/>
        </w:r>
      </w:hyperlink>
    </w:p>
    <w:p w14:paraId="441C9504" w14:textId="5FCB5CB7"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58" w:history="1">
        <w:r w:rsidR="002B2089" w:rsidRPr="00457462">
          <w:rPr>
            <w:rStyle w:val="Hiperveza"/>
            <w:rFonts w:eastAsiaTheme="majorEastAsia"/>
            <w:noProof/>
          </w:rPr>
          <w:t>7</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Posebni ciljevi i ključni pokazatelji ishoda</w:t>
        </w:r>
        <w:r w:rsidR="002B2089">
          <w:rPr>
            <w:noProof/>
            <w:webHidden/>
          </w:rPr>
          <w:tab/>
        </w:r>
        <w:r w:rsidR="002B2089">
          <w:rPr>
            <w:noProof/>
            <w:webHidden/>
          </w:rPr>
          <w:fldChar w:fldCharType="begin"/>
        </w:r>
        <w:r w:rsidR="002B2089">
          <w:rPr>
            <w:noProof/>
            <w:webHidden/>
          </w:rPr>
          <w:instrText xml:space="preserve"> PAGEREF _Toc83912058 \h </w:instrText>
        </w:r>
        <w:r w:rsidR="002B2089">
          <w:rPr>
            <w:noProof/>
            <w:webHidden/>
          </w:rPr>
        </w:r>
        <w:r w:rsidR="002B2089">
          <w:rPr>
            <w:noProof/>
            <w:webHidden/>
          </w:rPr>
          <w:fldChar w:fldCharType="separate"/>
        </w:r>
        <w:r w:rsidR="002B2089">
          <w:rPr>
            <w:noProof/>
            <w:webHidden/>
          </w:rPr>
          <w:t>34</w:t>
        </w:r>
        <w:r w:rsidR="002B2089">
          <w:rPr>
            <w:noProof/>
            <w:webHidden/>
          </w:rPr>
          <w:fldChar w:fldCharType="end"/>
        </w:r>
      </w:hyperlink>
    </w:p>
    <w:p w14:paraId="178D9D49" w14:textId="18F5FAD8"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59" w:history="1">
        <w:r w:rsidR="002B2089" w:rsidRPr="00457462">
          <w:rPr>
            <w:rStyle w:val="Hiperveza"/>
            <w:rFonts w:eastAsiaTheme="majorEastAsia"/>
            <w:noProof/>
          </w:rPr>
          <w:t>8</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Prijedlog i analiza mjera obnove  višestambenih zgrada</w:t>
        </w:r>
        <w:r w:rsidR="002B2089">
          <w:rPr>
            <w:noProof/>
            <w:webHidden/>
          </w:rPr>
          <w:tab/>
        </w:r>
        <w:r w:rsidR="002B2089">
          <w:rPr>
            <w:noProof/>
            <w:webHidden/>
          </w:rPr>
          <w:fldChar w:fldCharType="begin"/>
        </w:r>
        <w:r w:rsidR="002B2089">
          <w:rPr>
            <w:noProof/>
            <w:webHidden/>
          </w:rPr>
          <w:instrText xml:space="preserve"> PAGEREF _Toc83912059 \h </w:instrText>
        </w:r>
        <w:r w:rsidR="002B2089">
          <w:rPr>
            <w:noProof/>
            <w:webHidden/>
          </w:rPr>
        </w:r>
        <w:r w:rsidR="002B2089">
          <w:rPr>
            <w:noProof/>
            <w:webHidden/>
          </w:rPr>
          <w:fldChar w:fldCharType="separate"/>
        </w:r>
        <w:r w:rsidR="002B2089">
          <w:rPr>
            <w:noProof/>
            <w:webHidden/>
          </w:rPr>
          <w:t>35</w:t>
        </w:r>
        <w:r w:rsidR="002B2089">
          <w:rPr>
            <w:noProof/>
            <w:webHidden/>
          </w:rPr>
          <w:fldChar w:fldCharType="end"/>
        </w:r>
      </w:hyperlink>
    </w:p>
    <w:p w14:paraId="2ED7C366" w14:textId="7D8A4C1D" w:rsidR="002B2089" w:rsidRDefault="009F20D0">
      <w:pPr>
        <w:pStyle w:val="Sadraj2"/>
        <w:rPr>
          <w:rFonts w:asciiTheme="minorHAnsi" w:eastAsiaTheme="minorEastAsia" w:hAnsiTheme="minorHAnsi" w:cstheme="minorBidi"/>
          <w:b w:val="0"/>
          <w:smallCaps w:val="0"/>
          <w:noProof/>
          <w:lang w:eastAsia="hr-HR"/>
        </w:rPr>
      </w:pPr>
      <w:hyperlink w:anchor="_Toc83912060" w:history="1">
        <w:r w:rsidR="002B2089" w:rsidRPr="00457462">
          <w:rPr>
            <w:rStyle w:val="Hiperveza"/>
            <w:rFonts w:eastAsiaTheme="majorEastAsia"/>
            <w:noProof/>
          </w:rPr>
          <w:t>8.1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Mjere energetske obnove</w:t>
        </w:r>
        <w:r w:rsidR="002B2089">
          <w:rPr>
            <w:noProof/>
            <w:webHidden/>
          </w:rPr>
          <w:tab/>
        </w:r>
        <w:r w:rsidR="002B2089">
          <w:rPr>
            <w:noProof/>
            <w:webHidden/>
          </w:rPr>
          <w:fldChar w:fldCharType="begin"/>
        </w:r>
        <w:r w:rsidR="002B2089">
          <w:rPr>
            <w:noProof/>
            <w:webHidden/>
          </w:rPr>
          <w:instrText xml:space="preserve"> PAGEREF _Toc83912060 \h </w:instrText>
        </w:r>
        <w:r w:rsidR="002B2089">
          <w:rPr>
            <w:noProof/>
            <w:webHidden/>
          </w:rPr>
        </w:r>
        <w:r w:rsidR="002B2089">
          <w:rPr>
            <w:noProof/>
            <w:webHidden/>
          </w:rPr>
          <w:fldChar w:fldCharType="separate"/>
        </w:r>
        <w:r w:rsidR="002B2089">
          <w:rPr>
            <w:noProof/>
            <w:webHidden/>
          </w:rPr>
          <w:t>35</w:t>
        </w:r>
        <w:r w:rsidR="002B2089">
          <w:rPr>
            <w:noProof/>
            <w:webHidden/>
          </w:rPr>
          <w:fldChar w:fldCharType="end"/>
        </w:r>
      </w:hyperlink>
    </w:p>
    <w:p w14:paraId="266FFDA4" w14:textId="67514D86" w:rsidR="002B2089" w:rsidRDefault="009F20D0">
      <w:pPr>
        <w:pStyle w:val="Sadraj2"/>
        <w:rPr>
          <w:rFonts w:asciiTheme="minorHAnsi" w:eastAsiaTheme="minorEastAsia" w:hAnsiTheme="minorHAnsi" w:cstheme="minorBidi"/>
          <w:b w:val="0"/>
          <w:smallCaps w:val="0"/>
          <w:noProof/>
          <w:lang w:eastAsia="hr-HR"/>
        </w:rPr>
      </w:pPr>
      <w:hyperlink w:anchor="_Toc83912061" w:history="1">
        <w:r w:rsidR="002B2089" w:rsidRPr="00457462">
          <w:rPr>
            <w:rStyle w:val="Hiperveza"/>
            <w:rFonts w:eastAsiaTheme="majorEastAsia"/>
            <w:noProof/>
          </w:rPr>
          <w:t>8.2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Mjere sveobuhvatne obnove zgrada</w:t>
        </w:r>
        <w:r w:rsidR="002B2089">
          <w:rPr>
            <w:noProof/>
            <w:webHidden/>
          </w:rPr>
          <w:tab/>
        </w:r>
        <w:r w:rsidR="002B2089">
          <w:rPr>
            <w:noProof/>
            <w:webHidden/>
          </w:rPr>
          <w:fldChar w:fldCharType="begin"/>
        </w:r>
        <w:r w:rsidR="002B2089">
          <w:rPr>
            <w:noProof/>
            <w:webHidden/>
          </w:rPr>
          <w:instrText xml:space="preserve"> PAGEREF _Toc83912061 \h </w:instrText>
        </w:r>
        <w:r w:rsidR="002B2089">
          <w:rPr>
            <w:noProof/>
            <w:webHidden/>
          </w:rPr>
        </w:r>
        <w:r w:rsidR="002B2089">
          <w:rPr>
            <w:noProof/>
            <w:webHidden/>
          </w:rPr>
          <w:fldChar w:fldCharType="separate"/>
        </w:r>
        <w:r w:rsidR="002B2089">
          <w:rPr>
            <w:noProof/>
            <w:webHidden/>
          </w:rPr>
          <w:t>40</w:t>
        </w:r>
        <w:r w:rsidR="002B2089">
          <w:rPr>
            <w:noProof/>
            <w:webHidden/>
          </w:rPr>
          <w:fldChar w:fldCharType="end"/>
        </w:r>
      </w:hyperlink>
    </w:p>
    <w:p w14:paraId="31625166" w14:textId="58F5D60D" w:rsidR="002B2089" w:rsidRDefault="009F20D0">
      <w:pPr>
        <w:pStyle w:val="Sadraj2"/>
        <w:rPr>
          <w:rFonts w:asciiTheme="minorHAnsi" w:eastAsiaTheme="minorEastAsia" w:hAnsiTheme="minorHAnsi" w:cstheme="minorBidi"/>
          <w:b w:val="0"/>
          <w:smallCaps w:val="0"/>
          <w:noProof/>
          <w:lang w:eastAsia="hr-HR"/>
        </w:rPr>
      </w:pPr>
      <w:hyperlink w:anchor="_Toc83912062" w:history="1">
        <w:r w:rsidR="002B2089" w:rsidRPr="00457462">
          <w:rPr>
            <w:rStyle w:val="Hiperveza"/>
            <w:rFonts w:eastAsiaTheme="majorEastAsia"/>
            <w:noProof/>
          </w:rPr>
          <w:t>8.3</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Ostale prihvatljive aktivnosti</w:t>
        </w:r>
        <w:r w:rsidR="002B2089">
          <w:rPr>
            <w:noProof/>
            <w:webHidden/>
          </w:rPr>
          <w:tab/>
        </w:r>
        <w:r w:rsidR="002B2089">
          <w:rPr>
            <w:noProof/>
            <w:webHidden/>
          </w:rPr>
          <w:fldChar w:fldCharType="begin"/>
        </w:r>
        <w:r w:rsidR="002B2089">
          <w:rPr>
            <w:noProof/>
            <w:webHidden/>
          </w:rPr>
          <w:instrText xml:space="preserve"> PAGEREF _Toc83912062 \h </w:instrText>
        </w:r>
        <w:r w:rsidR="002B2089">
          <w:rPr>
            <w:noProof/>
            <w:webHidden/>
          </w:rPr>
        </w:r>
        <w:r w:rsidR="002B2089">
          <w:rPr>
            <w:noProof/>
            <w:webHidden/>
          </w:rPr>
          <w:fldChar w:fldCharType="separate"/>
        </w:r>
        <w:r w:rsidR="002B2089">
          <w:rPr>
            <w:noProof/>
            <w:webHidden/>
          </w:rPr>
          <w:t>43</w:t>
        </w:r>
        <w:r w:rsidR="002B2089">
          <w:rPr>
            <w:noProof/>
            <w:webHidden/>
          </w:rPr>
          <w:fldChar w:fldCharType="end"/>
        </w:r>
      </w:hyperlink>
    </w:p>
    <w:p w14:paraId="23D98136" w14:textId="7CA8F84F" w:rsidR="002B2089" w:rsidRDefault="009F20D0">
      <w:pPr>
        <w:pStyle w:val="Sadraj2"/>
        <w:rPr>
          <w:rFonts w:asciiTheme="minorHAnsi" w:eastAsiaTheme="minorEastAsia" w:hAnsiTheme="minorHAnsi" w:cstheme="minorBidi"/>
          <w:b w:val="0"/>
          <w:smallCaps w:val="0"/>
          <w:noProof/>
          <w:lang w:eastAsia="hr-HR"/>
        </w:rPr>
      </w:pPr>
      <w:hyperlink w:anchor="_Toc83912063" w:history="1">
        <w:r w:rsidR="002B2089" w:rsidRPr="00457462">
          <w:rPr>
            <w:rStyle w:val="Hiperveza"/>
            <w:rFonts w:eastAsiaTheme="majorEastAsia"/>
            <w:noProof/>
          </w:rPr>
          <w:t>8.4</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Sumarni prikaz kategorija i uvjeta sufinanciranja obnove višestambenih zgrada</w:t>
        </w:r>
        <w:r w:rsidR="002B2089">
          <w:rPr>
            <w:noProof/>
            <w:webHidden/>
          </w:rPr>
          <w:tab/>
        </w:r>
        <w:r w:rsidR="002B2089">
          <w:rPr>
            <w:noProof/>
            <w:webHidden/>
          </w:rPr>
          <w:fldChar w:fldCharType="begin"/>
        </w:r>
        <w:r w:rsidR="002B2089">
          <w:rPr>
            <w:noProof/>
            <w:webHidden/>
          </w:rPr>
          <w:instrText xml:space="preserve"> PAGEREF _Toc83912063 \h </w:instrText>
        </w:r>
        <w:r w:rsidR="002B2089">
          <w:rPr>
            <w:noProof/>
            <w:webHidden/>
          </w:rPr>
        </w:r>
        <w:r w:rsidR="002B2089">
          <w:rPr>
            <w:noProof/>
            <w:webHidden/>
          </w:rPr>
          <w:fldChar w:fldCharType="separate"/>
        </w:r>
        <w:r w:rsidR="002B2089">
          <w:rPr>
            <w:noProof/>
            <w:webHidden/>
          </w:rPr>
          <w:t>45</w:t>
        </w:r>
        <w:r w:rsidR="002B2089">
          <w:rPr>
            <w:noProof/>
            <w:webHidden/>
          </w:rPr>
          <w:fldChar w:fldCharType="end"/>
        </w:r>
      </w:hyperlink>
    </w:p>
    <w:p w14:paraId="6A3EAF35" w14:textId="6CD60B8B"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64" w:history="1">
        <w:r w:rsidR="002B2089" w:rsidRPr="00457462">
          <w:rPr>
            <w:rStyle w:val="Hiperveza"/>
            <w:rFonts w:eastAsiaTheme="majorEastAsia"/>
            <w:noProof/>
          </w:rPr>
          <w:t>9</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Razrada modela i scenarija provedbe energetske obnove višestambenih zgrada</w:t>
        </w:r>
        <w:r w:rsidR="002B2089">
          <w:rPr>
            <w:noProof/>
            <w:webHidden/>
          </w:rPr>
          <w:tab/>
        </w:r>
        <w:r w:rsidR="002B2089">
          <w:rPr>
            <w:noProof/>
            <w:webHidden/>
          </w:rPr>
          <w:fldChar w:fldCharType="begin"/>
        </w:r>
        <w:r w:rsidR="002B2089">
          <w:rPr>
            <w:noProof/>
            <w:webHidden/>
          </w:rPr>
          <w:instrText xml:space="preserve"> PAGEREF _Toc83912064 \h </w:instrText>
        </w:r>
        <w:r w:rsidR="002B2089">
          <w:rPr>
            <w:noProof/>
            <w:webHidden/>
          </w:rPr>
        </w:r>
        <w:r w:rsidR="002B2089">
          <w:rPr>
            <w:noProof/>
            <w:webHidden/>
          </w:rPr>
          <w:fldChar w:fldCharType="separate"/>
        </w:r>
        <w:r w:rsidR="002B2089">
          <w:rPr>
            <w:noProof/>
            <w:webHidden/>
          </w:rPr>
          <w:t>46</w:t>
        </w:r>
        <w:r w:rsidR="002B2089">
          <w:rPr>
            <w:noProof/>
            <w:webHidden/>
          </w:rPr>
          <w:fldChar w:fldCharType="end"/>
        </w:r>
      </w:hyperlink>
    </w:p>
    <w:p w14:paraId="01D4861C" w14:textId="09B32CD4" w:rsidR="002B2089" w:rsidRDefault="009F20D0">
      <w:pPr>
        <w:pStyle w:val="Sadraj2"/>
        <w:rPr>
          <w:rFonts w:asciiTheme="minorHAnsi" w:eastAsiaTheme="minorEastAsia" w:hAnsiTheme="minorHAnsi" w:cstheme="minorBidi"/>
          <w:b w:val="0"/>
          <w:smallCaps w:val="0"/>
          <w:noProof/>
          <w:lang w:eastAsia="hr-HR"/>
        </w:rPr>
      </w:pPr>
      <w:hyperlink w:anchor="_Toc83912065" w:history="1">
        <w:r w:rsidR="002B2089" w:rsidRPr="00457462">
          <w:rPr>
            <w:rStyle w:val="Hiperveza"/>
            <w:rFonts w:eastAsiaTheme="majorEastAsia"/>
            <w:noProof/>
          </w:rPr>
          <w:t>9.1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Model provedbe energetske ili sveobuhvatne obnove višestambenih zgrada neoštećenih u potresu</w:t>
        </w:r>
        <w:r w:rsidR="002B2089">
          <w:rPr>
            <w:noProof/>
            <w:webHidden/>
          </w:rPr>
          <w:tab/>
        </w:r>
        <w:r w:rsidR="002B2089">
          <w:rPr>
            <w:noProof/>
            <w:webHidden/>
          </w:rPr>
          <w:fldChar w:fldCharType="begin"/>
        </w:r>
        <w:r w:rsidR="002B2089">
          <w:rPr>
            <w:noProof/>
            <w:webHidden/>
          </w:rPr>
          <w:instrText xml:space="preserve"> PAGEREF _Toc83912065 \h </w:instrText>
        </w:r>
        <w:r w:rsidR="002B2089">
          <w:rPr>
            <w:noProof/>
            <w:webHidden/>
          </w:rPr>
        </w:r>
        <w:r w:rsidR="002B2089">
          <w:rPr>
            <w:noProof/>
            <w:webHidden/>
          </w:rPr>
          <w:fldChar w:fldCharType="separate"/>
        </w:r>
        <w:r w:rsidR="002B2089">
          <w:rPr>
            <w:noProof/>
            <w:webHidden/>
          </w:rPr>
          <w:t>46</w:t>
        </w:r>
        <w:r w:rsidR="002B2089">
          <w:rPr>
            <w:noProof/>
            <w:webHidden/>
          </w:rPr>
          <w:fldChar w:fldCharType="end"/>
        </w:r>
      </w:hyperlink>
    </w:p>
    <w:p w14:paraId="51298B54" w14:textId="37C9CE0C" w:rsidR="002B2089" w:rsidRDefault="009F20D0">
      <w:pPr>
        <w:pStyle w:val="Sadraj2"/>
        <w:rPr>
          <w:rFonts w:asciiTheme="minorHAnsi" w:eastAsiaTheme="minorEastAsia" w:hAnsiTheme="minorHAnsi" w:cstheme="minorBidi"/>
          <w:b w:val="0"/>
          <w:smallCaps w:val="0"/>
          <w:noProof/>
          <w:lang w:eastAsia="hr-HR"/>
        </w:rPr>
      </w:pPr>
      <w:hyperlink w:anchor="_Toc83912066" w:history="1">
        <w:r w:rsidR="002B2089" w:rsidRPr="00457462">
          <w:rPr>
            <w:rStyle w:val="Hiperveza"/>
            <w:rFonts w:eastAsiaTheme="majorEastAsia"/>
            <w:noProof/>
          </w:rPr>
          <w:t>9.2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Model provedbe sveobuhvatne obnove višestambenih zgrada oštećenih u potresu</w:t>
        </w:r>
        <w:r w:rsidR="002B2089">
          <w:rPr>
            <w:noProof/>
            <w:webHidden/>
          </w:rPr>
          <w:tab/>
        </w:r>
        <w:r w:rsidR="002B2089">
          <w:rPr>
            <w:noProof/>
            <w:webHidden/>
          </w:rPr>
          <w:fldChar w:fldCharType="begin"/>
        </w:r>
        <w:r w:rsidR="002B2089">
          <w:rPr>
            <w:noProof/>
            <w:webHidden/>
          </w:rPr>
          <w:instrText xml:space="preserve"> PAGEREF _Toc83912066 \h </w:instrText>
        </w:r>
        <w:r w:rsidR="002B2089">
          <w:rPr>
            <w:noProof/>
            <w:webHidden/>
          </w:rPr>
        </w:r>
        <w:r w:rsidR="002B2089">
          <w:rPr>
            <w:noProof/>
            <w:webHidden/>
          </w:rPr>
          <w:fldChar w:fldCharType="separate"/>
        </w:r>
        <w:r w:rsidR="002B2089">
          <w:rPr>
            <w:noProof/>
            <w:webHidden/>
          </w:rPr>
          <w:t>49</w:t>
        </w:r>
        <w:r w:rsidR="002B2089">
          <w:rPr>
            <w:noProof/>
            <w:webHidden/>
          </w:rPr>
          <w:fldChar w:fldCharType="end"/>
        </w:r>
      </w:hyperlink>
    </w:p>
    <w:p w14:paraId="41D30756" w14:textId="6CDB202A"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67" w:history="1">
        <w:r w:rsidR="002B2089" w:rsidRPr="00457462">
          <w:rPr>
            <w:rStyle w:val="Hiperveza"/>
            <w:rFonts w:eastAsiaTheme="majorEastAsia"/>
            <w:noProof/>
          </w:rPr>
          <w:t>10</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Ublažavanje energetskog siromaštva</w:t>
        </w:r>
        <w:r w:rsidR="002B2089">
          <w:rPr>
            <w:noProof/>
            <w:webHidden/>
          </w:rPr>
          <w:tab/>
        </w:r>
        <w:r w:rsidR="002B2089">
          <w:rPr>
            <w:noProof/>
            <w:webHidden/>
          </w:rPr>
          <w:fldChar w:fldCharType="begin"/>
        </w:r>
        <w:r w:rsidR="002B2089">
          <w:rPr>
            <w:noProof/>
            <w:webHidden/>
          </w:rPr>
          <w:instrText xml:space="preserve"> PAGEREF _Toc83912067 \h </w:instrText>
        </w:r>
        <w:r w:rsidR="002B2089">
          <w:rPr>
            <w:noProof/>
            <w:webHidden/>
          </w:rPr>
        </w:r>
        <w:r w:rsidR="002B2089">
          <w:rPr>
            <w:noProof/>
            <w:webHidden/>
          </w:rPr>
          <w:fldChar w:fldCharType="separate"/>
        </w:r>
        <w:r w:rsidR="002B2089">
          <w:rPr>
            <w:noProof/>
            <w:webHidden/>
          </w:rPr>
          <w:t>50</w:t>
        </w:r>
        <w:r w:rsidR="002B2089">
          <w:rPr>
            <w:noProof/>
            <w:webHidden/>
          </w:rPr>
          <w:fldChar w:fldCharType="end"/>
        </w:r>
      </w:hyperlink>
    </w:p>
    <w:p w14:paraId="57CD3559" w14:textId="586D0639" w:rsidR="002B2089" w:rsidRDefault="009F20D0">
      <w:pPr>
        <w:pStyle w:val="Sadraj2"/>
        <w:rPr>
          <w:rFonts w:asciiTheme="minorHAnsi" w:eastAsiaTheme="minorEastAsia" w:hAnsiTheme="minorHAnsi" w:cstheme="minorBidi"/>
          <w:b w:val="0"/>
          <w:smallCaps w:val="0"/>
          <w:noProof/>
          <w:lang w:eastAsia="hr-HR"/>
        </w:rPr>
      </w:pPr>
      <w:hyperlink w:anchor="_Toc83912068" w:history="1">
        <w:r w:rsidR="002B2089" w:rsidRPr="00457462">
          <w:rPr>
            <w:rStyle w:val="Hiperveza"/>
            <w:rFonts w:eastAsiaTheme="majorEastAsia"/>
            <w:noProof/>
          </w:rPr>
          <w:t>10.1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Energetsko siromaštvo u EU i Hrvatskoj</w:t>
        </w:r>
        <w:r w:rsidR="002B2089">
          <w:rPr>
            <w:noProof/>
            <w:webHidden/>
          </w:rPr>
          <w:tab/>
        </w:r>
        <w:r w:rsidR="002B2089">
          <w:rPr>
            <w:noProof/>
            <w:webHidden/>
          </w:rPr>
          <w:fldChar w:fldCharType="begin"/>
        </w:r>
        <w:r w:rsidR="002B2089">
          <w:rPr>
            <w:noProof/>
            <w:webHidden/>
          </w:rPr>
          <w:instrText xml:space="preserve"> PAGEREF _Toc83912068 \h </w:instrText>
        </w:r>
        <w:r w:rsidR="002B2089">
          <w:rPr>
            <w:noProof/>
            <w:webHidden/>
          </w:rPr>
        </w:r>
        <w:r w:rsidR="002B2089">
          <w:rPr>
            <w:noProof/>
            <w:webHidden/>
          </w:rPr>
          <w:fldChar w:fldCharType="separate"/>
        </w:r>
        <w:r w:rsidR="002B2089">
          <w:rPr>
            <w:noProof/>
            <w:webHidden/>
          </w:rPr>
          <w:t>50</w:t>
        </w:r>
        <w:r w:rsidR="002B2089">
          <w:rPr>
            <w:noProof/>
            <w:webHidden/>
          </w:rPr>
          <w:fldChar w:fldCharType="end"/>
        </w:r>
      </w:hyperlink>
    </w:p>
    <w:p w14:paraId="76847FA1" w14:textId="67EA67E4" w:rsidR="002B2089" w:rsidRDefault="009F20D0">
      <w:pPr>
        <w:pStyle w:val="Sadraj2"/>
        <w:rPr>
          <w:rFonts w:asciiTheme="minorHAnsi" w:eastAsiaTheme="minorEastAsia" w:hAnsiTheme="minorHAnsi" w:cstheme="minorBidi"/>
          <w:b w:val="0"/>
          <w:smallCaps w:val="0"/>
          <w:noProof/>
          <w:lang w:eastAsia="hr-HR"/>
        </w:rPr>
      </w:pPr>
      <w:hyperlink w:anchor="_Toc83912069" w:history="1">
        <w:r w:rsidR="002B2089" w:rsidRPr="00457462">
          <w:rPr>
            <w:rStyle w:val="Hiperveza"/>
            <w:rFonts w:eastAsiaTheme="majorEastAsia"/>
            <w:noProof/>
          </w:rPr>
          <w:t>10.2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Model pomoći suvlasnicima višestambenih zgrada u riziku od energetskog siromaštva</w:t>
        </w:r>
        <w:r w:rsidR="002B2089">
          <w:rPr>
            <w:noProof/>
            <w:webHidden/>
          </w:rPr>
          <w:tab/>
        </w:r>
        <w:r w:rsidR="002B2089">
          <w:rPr>
            <w:noProof/>
            <w:webHidden/>
          </w:rPr>
          <w:fldChar w:fldCharType="begin"/>
        </w:r>
        <w:r w:rsidR="002B2089">
          <w:rPr>
            <w:noProof/>
            <w:webHidden/>
          </w:rPr>
          <w:instrText xml:space="preserve"> PAGEREF _Toc83912069 \h </w:instrText>
        </w:r>
        <w:r w:rsidR="002B2089">
          <w:rPr>
            <w:noProof/>
            <w:webHidden/>
          </w:rPr>
        </w:r>
        <w:r w:rsidR="002B2089">
          <w:rPr>
            <w:noProof/>
            <w:webHidden/>
          </w:rPr>
          <w:fldChar w:fldCharType="separate"/>
        </w:r>
        <w:r w:rsidR="002B2089">
          <w:rPr>
            <w:noProof/>
            <w:webHidden/>
          </w:rPr>
          <w:t>52</w:t>
        </w:r>
        <w:r w:rsidR="002B2089">
          <w:rPr>
            <w:noProof/>
            <w:webHidden/>
          </w:rPr>
          <w:fldChar w:fldCharType="end"/>
        </w:r>
      </w:hyperlink>
    </w:p>
    <w:p w14:paraId="54213DB2" w14:textId="558CE293"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70" w:history="1">
        <w:r w:rsidR="002B2089" w:rsidRPr="00457462">
          <w:rPr>
            <w:rStyle w:val="Hiperveza"/>
            <w:rFonts w:eastAsiaTheme="majorEastAsia"/>
            <w:noProof/>
          </w:rPr>
          <w:t>11</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Indikativni financijski plan s prikazom financijskih pretpostavki za provedbu posebnih ciljeva i projekata od strateškog značaja</w:t>
        </w:r>
        <w:r w:rsidR="002B2089">
          <w:rPr>
            <w:noProof/>
            <w:webHidden/>
          </w:rPr>
          <w:tab/>
        </w:r>
        <w:r w:rsidR="002B2089">
          <w:rPr>
            <w:noProof/>
            <w:webHidden/>
          </w:rPr>
          <w:fldChar w:fldCharType="begin"/>
        </w:r>
        <w:r w:rsidR="002B2089">
          <w:rPr>
            <w:noProof/>
            <w:webHidden/>
          </w:rPr>
          <w:instrText xml:space="preserve"> PAGEREF _Toc83912070 \h </w:instrText>
        </w:r>
        <w:r w:rsidR="002B2089">
          <w:rPr>
            <w:noProof/>
            <w:webHidden/>
          </w:rPr>
        </w:r>
        <w:r w:rsidR="002B2089">
          <w:rPr>
            <w:noProof/>
            <w:webHidden/>
          </w:rPr>
          <w:fldChar w:fldCharType="separate"/>
        </w:r>
        <w:r w:rsidR="002B2089">
          <w:rPr>
            <w:noProof/>
            <w:webHidden/>
          </w:rPr>
          <w:t>54</w:t>
        </w:r>
        <w:r w:rsidR="002B2089">
          <w:rPr>
            <w:noProof/>
            <w:webHidden/>
          </w:rPr>
          <w:fldChar w:fldCharType="end"/>
        </w:r>
      </w:hyperlink>
    </w:p>
    <w:p w14:paraId="1A48B965" w14:textId="7532A8DC" w:rsidR="002B2089" w:rsidRDefault="009F20D0">
      <w:pPr>
        <w:pStyle w:val="Sadraj2"/>
        <w:rPr>
          <w:rFonts w:asciiTheme="minorHAnsi" w:eastAsiaTheme="minorEastAsia" w:hAnsiTheme="minorHAnsi" w:cstheme="minorBidi"/>
          <w:b w:val="0"/>
          <w:smallCaps w:val="0"/>
          <w:noProof/>
          <w:lang w:eastAsia="hr-HR"/>
        </w:rPr>
      </w:pPr>
      <w:hyperlink w:anchor="_Toc83912071" w:history="1">
        <w:r w:rsidR="002B2089" w:rsidRPr="00457462">
          <w:rPr>
            <w:rStyle w:val="Hiperveza"/>
            <w:rFonts w:eastAsiaTheme="majorEastAsia"/>
            <w:noProof/>
          </w:rPr>
          <w:t>11.1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Procjena investicijskih troškova obnove VSZ</w:t>
        </w:r>
        <w:r w:rsidR="002B2089">
          <w:rPr>
            <w:noProof/>
            <w:webHidden/>
          </w:rPr>
          <w:tab/>
        </w:r>
        <w:r w:rsidR="002B2089">
          <w:rPr>
            <w:noProof/>
            <w:webHidden/>
          </w:rPr>
          <w:fldChar w:fldCharType="begin"/>
        </w:r>
        <w:r w:rsidR="002B2089">
          <w:rPr>
            <w:noProof/>
            <w:webHidden/>
          </w:rPr>
          <w:instrText xml:space="preserve"> PAGEREF _Toc83912071 \h </w:instrText>
        </w:r>
        <w:r w:rsidR="002B2089">
          <w:rPr>
            <w:noProof/>
            <w:webHidden/>
          </w:rPr>
        </w:r>
        <w:r w:rsidR="002B2089">
          <w:rPr>
            <w:noProof/>
            <w:webHidden/>
          </w:rPr>
          <w:fldChar w:fldCharType="separate"/>
        </w:r>
        <w:r w:rsidR="002B2089">
          <w:rPr>
            <w:noProof/>
            <w:webHidden/>
          </w:rPr>
          <w:t>54</w:t>
        </w:r>
        <w:r w:rsidR="002B2089">
          <w:rPr>
            <w:noProof/>
            <w:webHidden/>
          </w:rPr>
          <w:fldChar w:fldCharType="end"/>
        </w:r>
      </w:hyperlink>
    </w:p>
    <w:p w14:paraId="72FD2876" w14:textId="40B026F0" w:rsidR="002B2089" w:rsidRDefault="009F20D0">
      <w:pPr>
        <w:pStyle w:val="Sadraj2"/>
        <w:rPr>
          <w:rFonts w:asciiTheme="minorHAnsi" w:eastAsiaTheme="minorEastAsia" w:hAnsiTheme="minorHAnsi" w:cstheme="minorBidi"/>
          <w:b w:val="0"/>
          <w:smallCaps w:val="0"/>
          <w:noProof/>
          <w:lang w:eastAsia="hr-HR"/>
        </w:rPr>
      </w:pPr>
      <w:hyperlink w:anchor="_Toc83912072" w:history="1">
        <w:r w:rsidR="002B2089" w:rsidRPr="00457462">
          <w:rPr>
            <w:rStyle w:val="Hiperveza"/>
            <w:rFonts w:eastAsiaTheme="majorEastAsia"/>
            <w:noProof/>
          </w:rPr>
          <w:t>11.2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Mogući izvori financiranja obnove VSZ</w:t>
        </w:r>
        <w:r w:rsidR="002B2089">
          <w:rPr>
            <w:noProof/>
            <w:webHidden/>
          </w:rPr>
          <w:tab/>
        </w:r>
        <w:r w:rsidR="002B2089">
          <w:rPr>
            <w:noProof/>
            <w:webHidden/>
          </w:rPr>
          <w:fldChar w:fldCharType="begin"/>
        </w:r>
        <w:r w:rsidR="002B2089">
          <w:rPr>
            <w:noProof/>
            <w:webHidden/>
          </w:rPr>
          <w:instrText xml:space="preserve"> PAGEREF _Toc83912072 \h </w:instrText>
        </w:r>
        <w:r w:rsidR="002B2089">
          <w:rPr>
            <w:noProof/>
            <w:webHidden/>
          </w:rPr>
        </w:r>
        <w:r w:rsidR="002B2089">
          <w:rPr>
            <w:noProof/>
            <w:webHidden/>
          </w:rPr>
          <w:fldChar w:fldCharType="separate"/>
        </w:r>
        <w:r w:rsidR="002B2089">
          <w:rPr>
            <w:noProof/>
            <w:webHidden/>
          </w:rPr>
          <w:t>55</w:t>
        </w:r>
        <w:r w:rsidR="002B2089">
          <w:rPr>
            <w:noProof/>
            <w:webHidden/>
          </w:rPr>
          <w:fldChar w:fldCharType="end"/>
        </w:r>
      </w:hyperlink>
    </w:p>
    <w:p w14:paraId="75062FB9" w14:textId="2E21466B" w:rsidR="002B2089" w:rsidRDefault="009F20D0">
      <w:pPr>
        <w:pStyle w:val="Sadraj2"/>
        <w:rPr>
          <w:rFonts w:asciiTheme="minorHAnsi" w:eastAsiaTheme="minorEastAsia" w:hAnsiTheme="minorHAnsi" w:cstheme="minorBidi"/>
          <w:b w:val="0"/>
          <w:smallCaps w:val="0"/>
          <w:noProof/>
          <w:lang w:eastAsia="hr-HR"/>
        </w:rPr>
      </w:pPr>
      <w:hyperlink w:anchor="_Toc83912073" w:history="1">
        <w:r w:rsidR="002B2089" w:rsidRPr="00457462">
          <w:rPr>
            <w:rStyle w:val="Hiperveza"/>
            <w:rFonts w:eastAsiaTheme="majorEastAsia"/>
            <w:noProof/>
          </w:rPr>
          <w:t>11.3</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Indikativni financijski plan za razdoblje 2022.-2024.</w:t>
        </w:r>
        <w:r w:rsidR="002B2089">
          <w:rPr>
            <w:noProof/>
            <w:webHidden/>
          </w:rPr>
          <w:tab/>
        </w:r>
        <w:r w:rsidR="002B2089">
          <w:rPr>
            <w:noProof/>
            <w:webHidden/>
          </w:rPr>
          <w:fldChar w:fldCharType="begin"/>
        </w:r>
        <w:r w:rsidR="002B2089">
          <w:rPr>
            <w:noProof/>
            <w:webHidden/>
          </w:rPr>
          <w:instrText xml:space="preserve"> PAGEREF _Toc83912073 \h </w:instrText>
        </w:r>
        <w:r w:rsidR="002B2089">
          <w:rPr>
            <w:noProof/>
            <w:webHidden/>
          </w:rPr>
        </w:r>
        <w:r w:rsidR="002B2089">
          <w:rPr>
            <w:noProof/>
            <w:webHidden/>
          </w:rPr>
          <w:fldChar w:fldCharType="separate"/>
        </w:r>
        <w:r w:rsidR="002B2089">
          <w:rPr>
            <w:noProof/>
            <w:webHidden/>
          </w:rPr>
          <w:t>58</w:t>
        </w:r>
        <w:r w:rsidR="002B2089">
          <w:rPr>
            <w:noProof/>
            <w:webHidden/>
          </w:rPr>
          <w:fldChar w:fldCharType="end"/>
        </w:r>
      </w:hyperlink>
    </w:p>
    <w:p w14:paraId="0961CBF7" w14:textId="4BBF2EBC"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74" w:history="1">
        <w:r w:rsidR="002B2089" w:rsidRPr="00457462">
          <w:rPr>
            <w:rStyle w:val="Hiperveza"/>
            <w:rFonts w:eastAsiaTheme="majorEastAsia"/>
            <w:noProof/>
          </w:rPr>
          <w:t>12</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Terminski plan provedbe projekata od strateškog značaja s naznačenim ključnim koracima i rokovima u provedbi</w:t>
        </w:r>
        <w:r w:rsidR="002B2089">
          <w:rPr>
            <w:noProof/>
            <w:webHidden/>
          </w:rPr>
          <w:tab/>
        </w:r>
        <w:r w:rsidR="002B2089">
          <w:rPr>
            <w:noProof/>
            <w:webHidden/>
          </w:rPr>
          <w:fldChar w:fldCharType="begin"/>
        </w:r>
        <w:r w:rsidR="002B2089">
          <w:rPr>
            <w:noProof/>
            <w:webHidden/>
          </w:rPr>
          <w:instrText xml:space="preserve"> PAGEREF _Toc83912074 \h </w:instrText>
        </w:r>
        <w:r w:rsidR="002B2089">
          <w:rPr>
            <w:noProof/>
            <w:webHidden/>
          </w:rPr>
        </w:r>
        <w:r w:rsidR="002B2089">
          <w:rPr>
            <w:noProof/>
            <w:webHidden/>
          </w:rPr>
          <w:fldChar w:fldCharType="separate"/>
        </w:r>
        <w:r w:rsidR="002B2089">
          <w:rPr>
            <w:noProof/>
            <w:webHidden/>
          </w:rPr>
          <w:t>59</w:t>
        </w:r>
        <w:r w:rsidR="002B2089">
          <w:rPr>
            <w:noProof/>
            <w:webHidden/>
          </w:rPr>
          <w:fldChar w:fldCharType="end"/>
        </w:r>
      </w:hyperlink>
    </w:p>
    <w:p w14:paraId="07DA6AAC" w14:textId="4AAB97A9"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75" w:history="1">
        <w:r w:rsidR="002B2089" w:rsidRPr="00457462">
          <w:rPr>
            <w:rStyle w:val="Hiperveza"/>
            <w:rFonts w:eastAsiaTheme="majorEastAsia"/>
            <w:noProof/>
          </w:rPr>
          <w:t>13</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Procjena očekivane uštede energije i širih koristi u skladu s dugoročnom strategijom</w:t>
        </w:r>
        <w:r w:rsidR="002B2089">
          <w:rPr>
            <w:noProof/>
            <w:webHidden/>
          </w:rPr>
          <w:tab/>
        </w:r>
        <w:r w:rsidR="002B2089">
          <w:rPr>
            <w:noProof/>
            <w:webHidden/>
          </w:rPr>
          <w:fldChar w:fldCharType="begin"/>
        </w:r>
        <w:r w:rsidR="002B2089">
          <w:rPr>
            <w:noProof/>
            <w:webHidden/>
          </w:rPr>
          <w:instrText xml:space="preserve"> PAGEREF _Toc83912075 \h </w:instrText>
        </w:r>
        <w:r w:rsidR="002B2089">
          <w:rPr>
            <w:noProof/>
            <w:webHidden/>
          </w:rPr>
        </w:r>
        <w:r w:rsidR="002B2089">
          <w:rPr>
            <w:noProof/>
            <w:webHidden/>
          </w:rPr>
          <w:fldChar w:fldCharType="separate"/>
        </w:r>
        <w:r w:rsidR="002B2089">
          <w:rPr>
            <w:noProof/>
            <w:webHidden/>
          </w:rPr>
          <w:t>60</w:t>
        </w:r>
        <w:r w:rsidR="002B2089">
          <w:rPr>
            <w:noProof/>
            <w:webHidden/>
          </w:rPr>
          <w:fldChar w:fldCharType="end"/>
        </w:r>
      </w:hyperlink>
    </w:p>
    <w:p w14:paraId="613AF4D7" w14:textId="06164FD6" w:rsidR="002B2089" w:rsidRDefault="009F20D0">
      <w:pPr>
        <w:pStyle w:val="Sadraj2"/>
        <w:rPr>
          <w:rFonts w:asciiTheme="minorHAnsi" w:eastAsiaTheme="minorEastAsia" w:hAnsiTheme="minorHAnsi" w:cstheme="minorBidi"/>
          <w:b w:val="0"/>
          <w:smallCaps w:val="0"/>
          <w:noProof/>
          <w:lang w:eastAsia="hr-HR"/>
        </w:rPr>
      </w:pPr>
      <w:hyperlink w:anchor="_Toc83912076" w:history="1">
        <w:r w:rsidR="002B2089" w:rsidRPr="00457462">
          <w:rPr>
            <w:rStyle w:val="Hiperveza"/>
            <w:rFonts w:eastAsiaTheme="majorEastAsia"/>
            <w:noProof/>
          </w:rPr>
          <w:t>13.1</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Očekivane uštede energije, smanjenje emisija CO</w:t>
        </w:r>
        <w:r w:rsidR="002B2089" w:rsidRPr="00457462">
          <w:rPr>
            <w:rStyle w:val="Hiperveza"/>
            <w:rFonts w:eastAsiaTheme="majorEastAsia"/>
            <w:noProof/>
            <w:vertAlign w:val="subscript"/>
          </w:rPr>
          <w:t>2</w:t>
        </w:r>
        <w:r w:rsidR="002B2089" w:rsidRPr="00457462">
          <w:rPr>
            <w:rStyle w:val="Hiperveza"/>
            <w:rFonts w:eastAsiaTheme="majorEastAsia"/>
            <w:noProof/>
          </w:rPr>
          <w:t xml:space="preserve"> i doprinos nacionalnim energetskim i klimatskim ciljevima do 2030. godine</w:t>
        </w:r>
        <w:r w:rsidR="002B2089">
          <w:rPr>
            <w:noProof/>
            <w:webHidden/>
          </w:rPr>
          <w:tab/>
        </w:r>
        <w:r w:rsidR="002B2089">
          <w:rPr>
            <w:noProof/>
            <w:webHidden/>
          </w:rPr>
          <w:fldChar w:fldCharType="begin"/>
        </w:r>
        <w:r w:rsidR="002B2089">
          <w:rPr>
            <w:noProof/>
            <w:webHidden/>
          </w:rPr>
          <w:instrText xml:space="preserve"> PAGEREF _Toc83912076 \h </w:instrText>
        </w:r>
        <w:r w:rsidR="002B2089">
          <w:rPr>
            <w:noProof/>
            <w:webHidden/>
          </w:rPr>
        </w:r>
        <w:r w:rsidR="002B2089">
          <w:rPr>
            <w:noProof/>
            <w:webHidden/>
          </w:rPr>
          <w:fldChar w:fldCharType="separate"/>
        </w:r>
        <w:r w:rsidR="002B2089">
          <w:rPr>
            <w:noProof/>
            <w:webHidden/>
          </w:rPr>
          <w:t>60</w:t>
        </w:r>
        <w:r w:rsidR="002B2089">
          <w:rPr>
            <w:noProof/>
            <w:webHidden/>
          </w:rPr>
          <w:fldChar w:fldCharType="end"/>
        </w:r>
      </w:hyperlink>
    </w:p>
    <w:p w14:paraId="2DCFCA54" w14:textId="5D2DB6A0" w:rsidR="002B2089" w:rsidRDefault="009F20D0">
      <w:pPr>
        <w:pStyle w:val="Sadraj2"/>
        <w:rPr>
          <w:rFonts w:asciiTheme="minorHAnsi" w:eastAsiaTheme="minorEastAsia" w:hAnsiTheme="minorHAnsi" w:cstheme="minorBidi"/>
          <w:b w:val="0"/>
          <w:smallCaps w:val="0"/>
          <w:noProof/>
          <w:lang w:eastAsia="hr-HR"/>
        </w:rPr>
      </w:pPr>
      <w:hyperlink w:anchor="_Toc83912077" w:history="1">
        <w:r w:rsidR="002B2089" w:rsidRPr="00457462">
          <w:rPr>
            <w:rStyle w:val="Hiperveza"/>
            <w:rFonts w:eastAsiaTheme="majorEastAsia"/>
            <w:noProof/>
          </w:rPr>
          <w:t>13.2</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Analiza utjecaja na proizvodnju toplinsko-izolacijskih materijala i učinkovitih sustava</w:t>
        </w:r>
        <w:r w:rsidR="002B2089">
          <w:rPr>
            <w:noProof/>
            <w:webHidden/>
          </w:rPr>
          <w:tab/>
        </w:r>
        <w:r w:rsidR="002B2089">
          <w:rPr>
            <w:noProof/>
            <w:webHidden/>
          </w:rPr>
          <w:fldChar w:fldCharType="begin"/>
        </w:r>
        <w:r w:rsidR="002B2089">
          <w:rPr>
            <w:noProof/>
            <w:webHidden/>
          </w:rPr>
          <w:instrText xml:space="preserve"> PAGEREF _Toc83912077 \h </w:instrText>
        </w:r>
        <w:r w:rsidR="002B2089">
          <w:rPr>
            <w:noProof/>
            <w:webHidden/>
          </w:rPr>
        </w:r>
        <w:r w:rsidR="002B2089">
          <w:rPr>
            <w:noProof/>
            <w:webHidden/>
          </w:rPr>
          <w:fldChar w:fldCharType="separate"/>
        </w:r>
        <w:r w:rsidR="002B2089">
          <w:rPr>
            <w:noProof/>
            <w:webHidden/>
          </w:rPr>
          <w:t>61</w:t>
        </w:r>
        <w:r w:rsidR="002B2089">
          <w:rPr>
            <w:noProof/>
            <w:webHidden/>
          </w:rPr>
          <w:fldChar w:fldCharType="end"/>
        </w:r>
      </w:hyperlink>
    </w:p>
    <w:p w14:paraId="1791B369" w14:textId="11BBE439" w:rsidR="002B2089" w:rsidRDefault="009F20D0">
      <w:pPr>
        <w:pStyle w:val="Sadraj2"/>
        <w:rPr>
          <w:rFonts w:asciiTheme="minorHAnsi" w:eastAsiaTheme="minorEastAsia" w:hAnsiTheme="minorHAnsi" w:cstheme="minorBidi"/>
          <w:b w:val="0"/>
          <w:smallCaps w:val="0"/>
          <w:noProof/>
          <w:lang w:eastAsia="hr-HR"/>
        </w:rPr>
      </w:pPr>
      <w:hyperlink w:anchor="_Toc83912078" w:history="1">
        <w:r w:rsidR="002B2089" w:rsidRPr="00457462">
          <w:rPr>
            <w:rStyle w:val="Hiperveza"/>
            <w:rFonts w:eastAsiaTheme="majorEastAsia"/>
            <w:noProof/>
          </w:rPr>
          <w:t>13.3</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Procjena učinka na državni proračun</w:t>
        </w:r>
        <w:r w:rsidR="002B2089">
          <w:rPr>
            <w:noProof/>
            <w:webHidden/>
          </w:rPr>
          <w:tab/>
        </w:r>
        <w:r w:rsidR="002B2089">
          <w:rPr>
            <w:noProof/>
            <w:webHidden/>
          </w:rPr>
          <w:fldChar w:fldCharType="begin"/>
        </w:r>
        <w:r w:rsidR="002B2089">
          <w:rPr>
            <w:noProof/>
            <w:webHidden/>
          </w:rPr>
          <w:instrText xml:space="preserve"> PAGEREF _Toc83912078 \h </w:instrText>
        </w:r>
        <w:r w:rsidR="002B2089">
          <w:rPr>
            <w:noProof/>
            <w:webHidden/>
          </w:rPr>
        </w:r>
        <w:r w:rsidR="002B2089">
          <w:rPr>
            <w:noProof/>
            <w:webHidden/>
          </w:rPr>
          <w:fldChar w:fldCharType="separate"/>
        </w:r>
        <w:r w:rsidR="002B2089">
          <w:rPr>
            <w:noProof/>
            <w:webHidden/>
          </w:rPr>
          <w:t>62</w:t>
        </w:r>
        <w:r w:rsidR="002B2089">
          <w:rPr>
            <w:noProof/>
            <w:webHidden/>
          </w:rPr>
          <w:fldChar w:fldCharType="end"/>
        </w:r>
      </w:hyperlink>
    </w:p>
    <w:p w14:paraId="4B9C9424" w14:textId="7A57625F" w:rsidR="002B2089" w:rsidRDefault="009F20D0">
      <w:pPr>
        <w:pStyle w:val="Sadraj2"/>
        <w:rPr>
          <w:rFonts w:asciiTheme="minorHAnsi" w:eastAsiaTheme="minorEastAsia" w:hAnsiTheme="minorHAnsi" w:cstheme="minorBidi"/>
          <w:b w:val="0"/>
          <w:smallCaps w:val="0"/>
          <w:noProof/>
          <w:lang w:eastAsia="hr-HR"/>
        </w:rPr>
      </w:pPr>
      <w:hyperlink w:anchor="_Toc83912079" w:history="1">
        <w:r w:rsidR="002B2089" w:rsidRPr="00457462">
          <w:rPr>
            <w:rStyle w:val="Hiperveza"/>
            <w:rFonts w:eastAsiaTheme="majorEastAsia"/>
            <w:noProof/>
          </w:rPr>
          <w:t>13.4</w:t>
        </w:r>
        <w:r w:rsidR="002B2089">
          <w:rPr>
            <w:rFonts w:asciiTheme="minorHAnsi" w:eastAsiaTheme="minorEastAsia" w:hAnsiTheme="minorHAnsi" w:cstheme="minorBidi"/>
            <w:b w:val="0"/>
            <w:smallCaps w:val="0"/>
            <w:noProof/>
            <w:lang w:eastAsia="hr-HR"/>
          </w:rPr>
          <w:tab/>
        </w:r>
        <w:r w:rsidR="002B2089" w:rsidRPr="00457462">
          <w:rPr>
            <w:rStyle w:val="Hiperveza"/>
            <w:rFonts w:eastAsiaTheme="majorEastAsia"/>
            <w:noProof/>
          </w:rPr>
          <w:t>Pregled ostalih širih koristi energetske obnove višestambenih zgrada</w:t>
        </w:r>
        <w:r w:rsidR="002B2089">
          <w:rPr>
            <w:noProof/>
            <w:webHidden/>
          </w:rPr>
          <w:tab/>
        </w:r>
        <w:r w:rsidR="002B2089">
          <w:rPr>
            <w:noProof/>
            <w:webHidden/>
          </w:rPr>
          <w:fldChar w:fldCharType="begin"/>
        </w:r>
        <w:r w:rsidR="002B2089">
          <w:rPr>
            <w:noProof/>
            <w:webHidden/>
          </w:rPr>
          <w:instrText xml:space="preserve"> PAGEREF _Toc83912079 \h </w:instrText>
        </w:r>
        <w:r w:rsidR="002B2089">
          <w:rPr>
            <w:noProof/>
            <w:webHidden/>
          </w:rPr>
        </w:r>
        <w:r w:rsidR="002B2089">
          <w:rPr>
            <w:noProof/>
            <w:webHidden/>
          </w:rPr>
          <w:fldChar w:fldCharType="separate"/>
        </w:r>
        <w:r w:rsidR="002B2089">
          <w:rPr>
            <w:noProof/>
            <w:webHidden/>
          </w:rPr>
          <w:t>62</w:t>
        </w:r>
        <w:r w:rsidR="002B2089">
          <w:rPr>
            <w:noProof/>
            <w:webHidden/>
          </w:rPr>
          <w:fldChar w:fldCharType="end"/>
        </w:r>
      </w:hyperlink>
    </w:p>
    <w:p w14:paraId="50EC107A" w14:textId="08FAAF23"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80" w:history="1">
        <w:r w:rsidR="002B2089" w:rsidRPr="00457462">
          <w:rPr>
            <w:rStyle w:val="Hiperveza"/>
            <w:rFonts w:eastAsiaTheme="majorEastAsia"/>
            <w:noProof/>
          </w:rPr>
          <w:t>14</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Okvir za praćenje i vrednovanje</w:t>
        </w:r>
        <w:r w:rsidR="002B2089">
          <w:rPr>
            <w:noProof/>
            <w:webHidden/>
          </w:rPr>
          <w:tab/>
        </w:r>
        <w:r w:rsidR="002B2089">
          <w:rPr>
            <w:noProof/>
            <w:webHidden/>
          </w:rPr>
          <w:fldChar w:fldCharType="begin"/>
        </w:r>
        <w:r w:rsidR="002B2089">
          <w:rPr>
            <w:noProof/>
            <w:webHidden/>
          </w:rPr>
          <w:instrText xml:space="preserve"> PAGEREF _Toc83912080 \h </w:instrText>
        </w:r>
        <w:r w:rsidR="002B2089">
          <w:rPr>
            <w:noProof/>
            <w:webHidden/>
          </w:rPr>
        </w:r>
        <w:r w:rsidR="002B2089">
          <w:rPr>
            <w:noProof/>
            <w:webHidden/>
          </w:rPr>
          <w:fldChar w:fldCharType="separate"/>
        </w:r>
        <w:r w:rsidR="002B2089">
          <w:rPr>
            <w:noProof/>
            <w:webHidden/>
          </w:rPr>
          <w:t>64</w:t>
        </w:r>
        <w:r w:rsidR="002B2089">
          <w:rPr>
            <w:noProof/>
            <w:webHidden/>
          </w:rPr>
          <w:fldChar w:fldCharType="end"/>
        </w:r>
      </w:hyperlink>
    </w:p>
    <w:p w14:paraId="0B410BA3" w14:textId="1B6EEB17"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81" w:history="1">
        <w:r w:rsidR="002B2089" w:rsidRPr="00457462">
          <w:rPr>
            <w:rStyle w:val="Hiperveza"/>
            <w:rFonts w:eastAsiaTheme="majorEastAsia"/>
            <w:noProof/>
          </w:rPr>
          <w:t>15</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Zaključci i preporuke</w:t>
        </w:r>
        <w:r w:rsidR="002B2089">
          <w:rPr>
            <w:noProof/>
            <w:webHidden/>
          </w:rPr>
          <w:tab/>
        </w:r>
        <w:r w:rsidR="002B2089">
          <w:rPr>
            <w:noProof/>
            <w:webHidden/>
          </w:rPr>
          <w:fldChar w:fldCharType="begin"/>
        </w:r>
        <w:r w:rsidR="002B2089">
          <w:rPr>
            <w:noProof/>
            <w:webHidden/>
          </w:rPr>
          <w:instrText xml:space="preserve"> PAGEREF _Toc83912081 \h </w:instrText>
        </w:r>
        <w:r w:rsidR="002B2089">
          <w:rPr>
            <w:noProof/>
            <w:webHidden/>
          </w:rPr>
        </w:r>
        <w:r w:rsidR="002B2089">
          <w:rPr>
            <w:noProof/>
            <w:webHidden/>
          </w:rPr>
          <w:fldChar w:fldCharType="separate"/>
        </w:r>
        <w:r w:rsidR="002B2089">
          <w:rPr>
            <w:noProof/>
            <w:webHidden/>
          </w:rPr>
          <w:t>67</w:t>
        </w:r>
        <w:r w:rsidR="002B2089">
          <w:rPr>
            <w:noProof/>
            <w:webHidden/>
          </w:rPr>
          <w:fldChar w:fldCharType="end"/>
        </w:r>
      </w:hyperlink>
    </w:p>
    <w:p w14:paraId="59683498" w14:textId="1785572E"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82" w:history="1">
        <w:r w:rsidR="002B2089" w:rsidRPr="00457462">
          <w:rPr>
            <w:rStyle w:val="Hiperveza"/>
            <w:rFonts w:eastAsiaTheme="majorEastAsia"/>
            <w:noProof/>
          </w:rPr>
          <w:t>16</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Popis slika i tablica</w:t>
        </w:r>
        <w:r w:rsidR="002B2089">
          <w:rPr>
            <w:noProof/>
            <w:webHidden/>
          </w:rPr>
          <w:tab/>
        </w:r>
        <w:r w:rsidR="002B2089">
          <w:rPr>
            <w:noProof/>
            <w:webHidden/>
          </w:rPr>
          <w:fldChar w:fldCharType="begin"/>
        </w:r>
        <w:r w:rsidR="002B2089">
          <w:rPr>
            <w:noProof/>
            <w:webHidden/>
          </w:rPr>
          <w:instrText xml:space="preserve"> PAGEREF _Toc83912082 \h </w:instrText>
        </w:r>
        <w:r w:rsidR="002B2089">
          <w:rPr>
            <w:noProof/>
            <w:webHidden/>
          </w:rPr>
        </w:r>
        <w:r w:rsidR="002B2089">
          <w:rPr>
            <w:noProof/>
            <w:webHidden/>
          </w:rPr>
          <w:fldChar w:fldCharType="separate"/>
        </w:r>
        <w:r w:rsidR="002B2089">
          <w:rPr>
            <w:noProof/>
            <w:webHidden/>
          </w:rPr>
          <w:t>69</w:t>
        </w:r>
        <w:r w:rsidR="002B2089">
          <w:rPr>
            <w:noProof/>
            <w:webHidden/>
          </w:rPr>
          <w:fldChar w:fldCharType="end"/>
        </w:r>
      </w:hyperlink>
    </w:p>
    <w:p w14:paraId="0DB696E5" w14:textId="74F04001" w:rsidR="002B2089" w:rsidRDefault="009F20D0">
      <w:pPr>
        <w:pStyle w:val="Sadraj1"/>
        <w:rPr>
          <w:rFonts w:asciiTheme="minorHAnsi" w:eastAsiaTheme="minorEastAsia" w:hAnsiTheme="minorHAnsi" w:cstheme="minorBidi"/>
          <w:b w:val="0"/>
          <w:i w:val="0"/>
          <w:caps w:val="0"/>
          <w:noProof/>
          <w:color w:val="auto"/>
          <w:sz w:val="22"/>
          <w:szCs w:val="22"/>
          <w:lang w:eastAsia="hr-HR"/>
        </w:rPr>
      </w:pPr>
      <w:hyperlink w:anchor="_Toc83912083" w:history="1">
        <w:r w:rsidR="002B2089" w:rsidRPr="00457462">
          <w:rPr>
            <w:rStyle w:val="Hiperveza"/>
            <w:rFonts w:eastAsiaTheme="majorEastAsia"/>
            <w:noProof/>
          </w:rPr>
          <w:t>17</w:t>
        </w:r>
        <w:r w:rsidR="002B2089">
          <w:rPr>
            <w:rFonts w:asciiTheme="minorHAnsi" w:eastAsiaTheme="minorEastAsia" w:hAnsiTheme="minorHAnsi" w:cstheme="minorBidi"/>
            <w:b w:val="0"/>
            <w:i w:val="0"/>
            <w:caps w:val="0"/>
            <w:noProof/>
            <w:color w:val="auto"/>
            <w:sz w:val="22"/>
            <w:szCs w:val="22"/>
            <w:lang w:eastAsia="hr-HR"/>
          </w:rPr>
          <w:tab/>
        </w:r>
        <w:r w:rsidR="002B2089" w:rsidRPr="00457462">
          <w:rPr>
            <w:rStyle w:val="Hiperveza"/>
            <w:rFonts w:eastAsiaTheme="majorEastAsia"/>
            <w:noProof/>
          </w:rPr>
          <w:t>Popis literature i izvora podataka</w:t>
        </w:r>
        <w:r w:rsidR="002B2089">
          <w:rPr>
            <w:noProof/>
            <w:webHidden/>
          </w:rPr>
          <w:tab/>
        </w:r>
        <w:r w:rsidR="002B2089">
          <w:rPr>
            <w:noProof/>
            <w:webHidden/>
          </w:rPr>
          <w:fldChar w:fldCharType="begin"/>
        </w:r>
        <w:r w:rsidR="002B2089">
          <w:rPr>
            <w:noProof/>
            <w:webHidden/>
          </w:rPr>
          <w:instrText xml:space="preserve"> PAGEREF _Toc83912083 \h </w:instrText>
        </w:r>
        <w:r w:rsidR="002B2089">
          <w:rPr>
            <w:noProof/>
            <w:webHidden/>
          </w:rPr>
        </w:r>
        <w:r w:rsidR="002B2089">
          <w:rPr>
            <w:noProof/>
            <w:webHidden/>
          </w:rPr>
          <w:fldChar w:fldCharType="separate"/>
        </w:r>
        <w:r w:rsidR="002B2089">
          <w:rPr>
            <w:noProof/>
            <w:webHidden/>
          </w:rPr>
          <w:t>71</w:t>
        </w:r>
        <w:r w:rsidR="002B2089">
          <w:rPr>
            <w:noProof/>
            <w:webHidden/>
          </w:rPr>
          <w:fldChar w:fldCharType="end"/>
        </w:r>
      </w:hyperlink>
    </w:p>
    <w:p w14:paraId="73FB56A1" w14:textId="30C78358" w:rsidR="008552B1" w:rsidRDefault="008552B1" w:rsidP="008552B1">
      <w:r w:rsidRPr="00EC457F">
        <w:fldChar w:fldCharType="end"/>
      </w:r>
    </w:p>
    <w:p w14:paraId="54D32417" w14:textId="2999BC5C" w:rsidR="004949CA" w:rsidRPr="00EC457F" w:rsidRDefault="004949CA" w:rsidP="00834ADC">
      <w:pPr>
        <w:pStyle w:val="Naslov1-"/>
        <w:numPr>
          <w:ilvl w:val="0"/>
          <w:numId w:val="0"/>
        </w:numPr>
      </w:pPr>
      <w:bookmarkStart w:id="19" w:name="_Toc81836269"/>
      <w:bookmarkStart w:id="20" w:name="_Toc83912041"/>
      <w:r w:rsidRPr="00EC457F">
        <w:lastRenderedPageBreak/>
        <w:t>Popis kratica</w:t>
      </w:r>
      <w:bookmarkEnd w:id="19"/>
      <w:bookmarkEnd w:id="20"/>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7447"/>
        <w:gridCol w:w="369"/>
      </w:tblGrid>
      <w:tr w:rsidR="004949CA" w:rsidRPr="001A7549" w14:paraId="086D5B41" w14:textId="77777777" w:rsidTr="76C5F75F">
        <w:trPr>
          <w:cantSplit/>
        </w:trPr>
        <w:tc>
          <w:tcPr>
            <w:tcW w:w="1538" w:type="dxa"/>
            <w:vAlign w:val="center"/>
          </w:tcPr>
          <w:p w14:paraId="431C5734" w14:textId="77777777" w:rsidR="004949CA" w:rsidRPr="001A7549" w:rsidRDefault="004949CA" w:rsidP="002966DD">
            <w:pPr>
              <w:spacing w:before="60"/>
              <w:rPr>
                <w:lang w:eastAsia="hr-HR"/>
              </w:rPr>
            </w:pPr>
            <w:proofErr w:type="spellStart"/>
            <w:r w:rsidRPr="001A7549">
              <w:rPr>
                <w:lang w:eastAsia="hr-HR"/>
              </w:rPr>
              <w:t>A</w:t>
            </w:r>
            <w:r w:rsidRPr="001A7549">
              <w:rPr>
                <w:vertAlign w:val="subscript"/>
                <w:lang w:eastAsia="hr-HR"/>
              </w:rPr>
              <w:t>k</w:t>
            </w:r>
            <w:proofErr w:type="spellEnd"/>
          </w:p>
        </w:tc>
        <w:tc>
          <w:tcPr>
            <w:tcW w:w="7816" w:type="dxa"/>
            <w:gridSpan w:val="2"/>
            <w:vAlign w:val="center"/>
          </w:tcPr>
          <w:p w14:paraId="314A3F5B" w14:textId="77777777" w:rsidR="004949CA" w:rsidRPr="001A7549" w:rsidRDefault="004949CA" w:rsidP="002966DD">
            <w:pPr>
              <w:spacing w:before="60"/>
              <w:rPr>
                <w:lang w:eastAsia="hr-HR"/>
              </w:rPr>
            </w:pPr>
            <w:r w:rsidRPr="001A7549">
              <w:rPr>
                <w:lang w:eastAsia="hr-HR"/>
              </w:rPr>
              <w:t>ploština korisne površine grijanog dijela zgrade</w:t>
            </w:r>
          </w:p>
        </w:tc>
      </w:tr>
      <w:tr w:rsidR="000B7EDB" w:rsidRPr="001A7549" w14:paraId="3A16F36C" w14:textId="77777777" w:rsidTr="76C5F75F">
        <w:trPr>
          <w:cantSplit/>
        </w:trPr>
        <w:tc>
          <w:tcPr>
            <w:tcW w:w="1538" w:type="dxa"/>
            <w:vAlign w:val="center"/>
          </w:tcPr>
          <w:p w14:paraId="5DB1F4C3" w14:textId="7D75352C" w:rsidR="000B7EDB" w:rsidRPr="001A7549" w:rsidRDefault="000B7EDB" w:rsidP="002966DD">
            <w:pPr>
              <w:spacing w:before="60"/>
              <w:rPr>
                <w:lang w:eastAsia="hr-HR"/>
              </w:rPr>
            </w:pPr>
            <w:r>
              <w:rPr>
                <w:lang w:eastAsia="hr-HR"/>
              </w:rPr>
              <w:t>BBB</w:t>
            </w:r>
          </w:p>
        </w:tc>
        <w:tc>
          <w:tcPr>
            <w:tcW w:w="7816" w:type="dxa"/>
            <w:gridSpan w:val="2"/>
            <w:vAlign w:val="center"/>
          </w:tcPr>
          <w:p w14:paraId="0F07D22E" w14:textId="19E95E8A" w:rsidR="000B7EDB" w:rsidRPr="001A7549" w:rsidRDefault="00D87FD7" w:rsidP="002966DD">
            <w:pPr>
              <w:spacing w:before="60"/>
              <w:rPr>
                <w:lang w:eastAsia="hr-HR"/>
              </w:rPr>
            </w:pPr>
            <w:r>
              <w:rPr>
                <w:lang w:eastAsia="hr-HR"/>
              </w:rPr>
              <w:t>vraćanje u bolje stanje (e</w:t>
            </w:r>
            <w:r w:rsidR="000B7EDB">
              <w:rPr>
                <w:lang w:eastAsia="hr-HR"/>
              </w:rPr>
              <w:t xml:space="preserve">ng. </w:t>
            </w:r>
            <w:proofErr w:type="spellStart"/>
            <w:r w:rsidR="000B7EDB" w:rsidRPr="00D87FD7">
              <w:rPr>
                <w:i/>
                <w:lang w:eastAsia="hr-HR"/>
              </w:rPr>
              <w:t>build</w:t>
            </w:r>
            <w:proofErr w:type="spellEnd"/>
            <w:r w:rsidR="000B7EDB" w:rsidRPr="00D87FD7">
              <w:rPr>
                <w:i/>
                <w:lang w:eastAsia="hr-HR"/>
              </w:rPr>
              <w:t xml:space="preserve"> </w:t>
            </w:r>
            <w:proofErr w:type="spellStart"/>
            <w:r w:rsidR="000B7EDB" w:rsidRPr="00D87FD7">
              <w:rPr>
                <w:i/>
                <w:lang w:eastAsia="hr-HR"/>
              </w:rPr>
              <w:t>back</w:t>
            </w:r>
            <w:proofErr w:type="spellEnd"/>
            <w:r w:rsidR="000B7EDB" w:rsidRPr="00D87FD7">
              <w:rPr>
                <w:i/>
                <w:lang w:eastAsia="hr-HR"/>
              </w:rPr>
              <w:t xml:space="preserve"> </w:t>
            </w:r>
            <w:proofErr w:type="spellStart"/>
            <w:r w:rsidR="000B7EDB" w:rsidRPr="00D87FD7">
              <w:rPr>
                <w:i/>
                <w:lang w:eastAsia="hr-HR"/>
              </w:rPr>
              <w:t>better</w:t>
            </w:r>
            <w:proofErr w:type="spellEnd"/>
            <w:r>
              <w:rPr>
                <w:lang w:eastAsia="hr-HR"/>
              </w:rPr>
              <w:t>)</w:t>
            </w:r>
          </w:p>
        </w:tc>
      </w:tr>
      <w:tr w:rsidR="004949CA" w:rsidRPr="001A7549" w14:paraId="79525E85" w14:textId="77777777" w:rsidTr="76C5F75F">
        <w:trPr>
          <w:cantSplit/>
        </w:trPr>
        <w:tc>
          <w:tcPr>
            <w:tcW w:w="1538" w:type="dxa"/>
            <w:vAlign w:val="center"/>
          </w:tcPr>
          <w:p w14:paraId="6652943E" w14:textId="77777777" w:rsidR="004949CA" w:rsidRPr="001A7549" w:rsidRDefault="004949CA" w:rsidP="002966DD">
            <w:pPr>
              <w:spacing w:before="60"/>
              <w:rPr>
                <w:lang w:eastAsia="hr-HR"/>
              </w:rPr>
            </w:pPr>
            <w:r w:rsidRPr="001A7549">
              <w:rPr>
                <w:lang w:eastAsia="hr-HR"/>
              </w:rPr>
              <w:t>EFRR</w:t>
            </w:r>
          </w:p>
        </w:tc>
        <w:tc>
          <w:tcPr>
            <w:tcW w:w="7816" w:type="dxa"/>
            <w:gridSpan w:val="2"/>
            <w:vAlign w:val="center"/>
          </w:tcPr>
          <w:p w14:paraId="090E013E" w14:textId="77777777" w:rsidR="004949CA" w:rsidRPr="001A7549" w:rsidRDefault="004949CA" w:rsidP="002966DD">
            <w:pPr>
              <w:spacing w:before="60"/>
              <w:rPr>
                <w:lang w:eastAsia="hr-HR"/>
              </w:rPr>
            </w:pPr>
            <w:r w:rsidRPr="001A7549">
              <w:rPr>
                <w:lang w:eastAsia="hr-HR"/>
              </w:rPr>
              <w:t>Europski fond za regionalni razvoj</w:t>
            </w:r>
          </w:p>
        </w:tc>
      </w:tr>
      <w:tr w:rsidR="004949CA" w:rsidRPr="001A7549" w14:paraId="27E69C01" w14:textId="77777777" w:rsidTr="76C5F75F">
        <w:trPr>
          <w:cantSplit/>
        </w:trPr>
        <w:tc>
          <w:tcPr>
            <w:tcW w:w="1538" w:type="dxa"/>
          </w:tcPr>
          <w:p w14:paraId="6800FA97" w14:textId="77777777" w:rsidR="004949CA" w:rsidRPr="001A7549" w:rsidRDefault="004949CA" w:rsidP="002966DD">
            <w:pPr>
              <w:spacing w:before="60"/>
              <w:rPr>
                <w:highlight w:val="yellow"/>
                <w:lang w:eastAsia="hr-HR"/>
              </w:rPr>
            </w:pPr>
            <w:r w:rsidRPr="001A7549">
              <w:t>EIHP</w:t>
            </w:r>
          </w:p>
        </w:tc>
        <w:tc>
          <w:tcPr>
            <w:tcW w:w="7816" w:type="dxa"/>
            <w:gridSpan w:val="2"/>
          </w:tcPr>
          <w:p w14:paraId="089A70D0" w14:textId="77777777" w:rsidR="004949CA" w:rsidRPr="001A7549" w:rsidRDefault="004949CA" w:rsidP="002966DD">
            <w:pPr>
              <w:spacing w:before="60"/>
              <w:rPr>
                <w:highlight w:val="yellow"/>
                <w:lang w:eastAsia="hr-HR"/>
              </w:rPr>
            </w:pPr>
            <w:r w:rsidRPr="001A7549">
              <w:rPr>
                <w:lang w:eastAsia="hr-HR"/>
              </w:rPr>
              <w:t>Energetski institut Hrvoje Požar</w:t>
            </w:r>
          </w:p>
        </w:tc>
      </w:tr>
      <w:tr w:rsidR="004949CA" w:rsidRPr="001A7549" w14:paraId="553E09E0" w14:textId="77777777" w:rsidTr="76C5F75F">
        <w:trPr>
          <w:cantSplit/>
        </w:trPr>
        <w:tc>
          <w:tcPr>
            <w:tcW w:w="1538" w:type="dxa"/>
          </w:tcPr>
          <w:p w14:paraId="54FB8DEE" w14:textId="77777777" w:rsidR="004949CA" w:rsidRPr="001A7549" w:rsidRDefault="004949CA" w:rsidP="002966DD">
            <w:pPr>
              <w:spacing w:before="60"/>
            </w:pPr>
            <w:r w:rsidRPr="001A7549">
              <w:t>EK</w:t>
            </w:r>
          </w:p>
        </w:tc>
        <w:tc>
          <w:tcPr>
            <w:tcW w:w="7816" w:type="dxa"/>
            <w:gridSpan w:val="2"/>
          </w:tcPr>
          <w:p w14:paraId="5180CCCF" w14:textId="77777777" w:rsidR="004949CA" w:rsidRPr="001A7549" w:rsidRDefault="004949CA" w:rsidP="002966DD">
            <w:pPr>
              <w:spacing w:before="60"/>
              <w:rPr>
                <w:lang w:eastAsia="hr-HR"/>
              </w:rPr>
            </w:pPr>
            <w:r w:rsidRPr="001A7549">
              <w:rPr>
                <w:lang w:eastAsia="hr-HR"/>
              </w:rPr>
              <w:t>Europska komisija</w:t>
            </w:r>
          </w:p>
        </w:tc>
      </w:tr>
      <w:tr w:rsidR="004949CA" w:rsidRPr="001A7549" w14:paraId="5AC6FAF1" w14:textId="77777777" w:rsidTr="76C5F75F">
        <w:trPr>
          <w:cantSplit/>
        </w:trPr>
        <w:tc>
          <w:tcPr>
            <w:tcW w:w="1538" w:type="dxa"/>
          </w:tcPr>
          <w:p w14:paraId="480DA6B3" w14:textId="77777777" w:rsidR="004949CA" w:rsidRPr="001A7549" w:rsidRDefault="004949CA" w:rsidP="002966DD">
            <w:pPr>
              <w:spacing w:before="60"/>
            </w:pPr>
            <w:proofErr w:type="spellStart"/>
            <w:r w:rsidRPr="001A7549">
              <w:t>EnU</w:t>
            </w:r>
            <w:proofErr w:type="spellEnd"/>
          </w:p>
        </w:tc>
        <w:tc>
          <w:tcPr>
            <w:tcW w:w="7816" w:type="dxa"/>
            <w:gridSpan w:val="2"/>
          </w:tcPr>
          <w:p w14:paraId="4EC0F013" w14:textId="77777777" w:rsidR="004949CA" w:rsidRPr="001A7549" w:rsidRDefault="004949CA" w:rsidP="002966DD">
            <w:pPr>
              <w:spacing w:before="60"/>
              <w:rPr>
                <w:lang w:eastAsia="hr-HR"/>
              </w:rPr>
            </w:pPr>
            <w:r w:rsidRPr="001A7549">
              <w:rPr>
                <w:lang w:eastAsia="hr-HR"/>
              </w:rPr>
              <w:t>energetska učinkovitost</w:t>
            </w:r>
          </w:p>
        </w:tc>
      </w:tr>
      <w:tr w:rsidR="004949CA" w:rsidRPr="001A7549" w14:paraId="71174ACD" w14:textId="77777777" w:rsidTr="76C5F75F">
        <w:trPr>
          <w:cantSplit/>
        </w:trPr>
        <w:tc>
          <w:tcPr>
            <w:tcW w:w="1538" w:type="dxa"/>
          </w:tcPr>
          <w:p w14:paraId="1E95DAED" w14:textId="77777777" w:rsidR="004949CA" w:rsidRPr="001A7549" w:rsidRDefault="004949CA" w:rsidP="002966DD">
            <w:pPr>
              <w:spacing w:before="60"/>
            </w:pPr>
            <w:proofErr w:type="spellStart"/>
            <w:r w:rsidRPr="001A7549">
              <w:t>E</w:t>
            </w:r>
            <w:r w:rsidRPr="001A7549">
              <w:rPr>
                <w:vertAlign w:val="subscript"/>
              </w:rPr>
              <w:t>prim</w:t>
            </w:r>
            <w:proofErr w:type="spellEnd"/>
          </w:p>
        </w:tc>
        <w:tc>
          <w:tcPr>
            <w:tcW w:w="7816" w:type="dxa"/>
            <w:gridSpan w:val="2"/>
          </w:tcPr>
          <w:p w14:paraId="75FC74BC" w14:textId="77777777" w:rsidR="004949CA" w:rsidRPr="001A7549" w:rsidRDefault="004949CA" w:rsidP="002966DD">
            <w:pPr>
              <w:spacing w:before="60"/>
              <w:rPr>
                <w:lang w:eastAsia="hr-HR"/>
              </w:rPr>
            </w:pPr>
            <w:r w:rsidRPr="001A7549">
              <w:rPr>
                <w:lang w:eastAsia="hr-HR"/>
              </w:rPr>
              <w:t>primarna energija</w:t>
            </w:r>
          </w:p>
        </w:tc>
      </w:tr>
      <w:tr w:rsidR="004949CA" w:rsidRPr="001A7549" w14:paraId="0FA74874" w14:textId="77777777" w:rsidTr="76C5F75F">
        <w:trPr>
          <w:cantSplit/>
        </w:trPr>
        <w:tc>
          <w:tcPr>
            <w:tcW w:w="1538" w:type="dxa"/>
            <w:vAlign w:val="center"/>
          </w:tcPr>
          <w:p w14:paraId="259D9A14" w14:textId="77777777" w:rsidR="004949CA" w:rsidRPr="001A7549" w:rsidRDefault="004949CA" w:rsidP="002966DD">
            <w:pPr>
              <w:spacing w:before="60"/>
            </w:pPr>
            <w:r w:rsidRPr="001A7549">
              <w:rPr>
                <w:lang w:eastAsia="hr-HR"/>
              </w:rPr>
              <w:t>ESI</w:t>
            </w:r>
          </w:p>
        </w:tc>
        <w:tc>
          <w:tcPr>
            <w:tcW w:w="7816" w:type="dxa"/>
            <w:gridSpan w:val="2"/>
            <w:vAlign w:val="center"/>
          </w:tcPr>
          <w:p w14:paraId="2A2CB1A1" w14:textId="77777777" w:rsidR="004949CA" w:rsidRPr="001A7549" w:rsidRDefault="004949CA" w:rsidP="002966DD">
            <w:pPr>
              <w:spacing w:before="60"/>
              <w:rPr>
                <w:lang w:eastAsia="hr-HR"/>
              </w:rPr>
            </w:pPr>
            <w:r w:rsidRPr="001A7549">
              <w:rPr>
                <w:lang w:eastAsia="hr-HR"/>
              </w:rPr>
              <w:t>Europski strukturni i investicijski fondovi</w:t>
            </w:r>
          </w:p>
        </w:tc>
      </w:tr>
      <w:tr w:rsidR="004949CA" w:rsidRPr="001A7549" w14:paraId="3FDFF348" w14:textId="77777777" w:rsidTr="76C5F75F">
        <w:trPr>
          <w:cantSplit/>
        </w:trPr>
        <w:tc>
          <w:tcPr>
            <w:tcW w:w="1538" w:type="dxa"/>
            <w:vAlign w:val="center"/>
          </w:tcPr>
          <w:p w14:paraId="1F935140" w14:textId="77777777" w:rsidR="004949CA" w:rsidRPr="001A7549" w:rsidRDefault="004949CA" w:rsidP="002966DD">
            <w:pPr>
              <w:spacing w:before="60"/>
              <w:rPr>
                <w:lang w:eastAsia="hr-HR"/>
              </w:rPr>
            </w:pPr>
            <w:r w:rsidRPr="001A7549">
              <w:rPr>
                <w:lang w:eastAsia="hr-HR"/>
              </w:rPr>
              <w:t>EU</w:t>
            </w:r>
          </w:p>
        </w:tc>
        <w:tc>
          <w:tcPr>
            <w:tcW w:w="7816" w:type="dxa"/>
            <w:gridSpan w:val="2"/>
            <w:vAlign w:val="center"/>
          </w:tcPr>
          <w:p w14:paraId="71A0C62F" w14:textId="77777777" w:rsidR="004949CA" w:rsidRPr="001A7549" w:rsidRDefault="004949CA" w:rsidP="002966DD">
            <w:pPr>
              <w:spacing w:before="60"/>
              <w:rPr>
                <w:lang w:eastAsia="hr-HR"/>
              </w:rPr>
            </w:pPr>
            <w:r w:rsidRPr="001A7549">
              <w:rPr>
                <w:lang w:eastAsia="hr-HR"/>
              </w:rPr>
              <w:t>Europska unija</w:t>
            </w:r>
          </w:p>
        </w:tc>
      </w:tr>
      <w:tr w:rsidR="004949CA" w:rsidRPr="001A7549" w14:paraId="403EEBA8" w14:textId="77777777" w:rsidTr="76C5F75F">
        <w:trPr>
          <w:gridAfter w:val="1"/>
          <w:wAfter w:w="369" w:type="dxa"/>
          <w:cantSplit/>
        </w:trPr>
        <w:tc>
          <w:tcPr>
            <w:tcW w:w="1538" w:type="dxa"/>
            <w:vAlign w:val="center"/>
          </w:tcPr>
          <w:p w14:paraId="0D84F4E4" w14:textId="77777777" w:rsidR="004949CA" w:rsidRPr="001A7549" w:rsidRDefault="004949CA" w:rsidP="002966DD">
            <w:pPr>
              <w:spacing w:before="60"/>
              <w:rPr>
                <w:lang w:eastAsia="hr-HR"/>
              </w:rPr>
            </w:pPr>
            <w:r w:rsidRPr="001A7549">
              <w:rPr>
                <w:lang w:eastAsia="hr-HR"/>
              </w:rPr>
              <w:t>FES</w:t>
            </w:r>
          </w:p>
        </w:tc>
        <w:tc>
          <w:tcPr>
            <w:tcW w:w="7447" w:type="dxa"/>
            <w:vAlign w:val="center"/>
          </w:tcPr>
          <w:p w14:paraId="40B3793D" w14:textId="77777777" w:rsidR="004949CA" w:rsidRPr="001A7549" w:rsidRDefault="004949CA" w:rsidP="002966DD">
            <w:pPr>
              <w:spacing w:before="60"/>
              <w:rPr>
                <w:lang w:eastAsia="hr-HR"/>
              </w:rPr>
            </w:pPr>
            <w:r w:rsidRPr="001A7549">
              <w:rPr>
                <w:lang w:eastAsia="hr-HR"/>
              </w:rPr>
              <w:t xml:space="preserve">uštede energije u neposrednoj (krajnjoj) potrošnji (eng. </w:t>
            </w:r>
            <w:proofErr w:type="spellStart"/>
            <w:r w:rsidRPr="00900D04">
              <w:rPr>
                <w:i/>
                <w:lang w:eastAsia="hr-HR"/>
              </w:rPr>
              <w:t>final</w:t>
            </w:r>
            <w:proofErr w:type="spellEnd"/>
            <w:r w:rsidRPr="00900D04">
              <w:rPr>
                <w:i/>
                <w:lang w:eastAsia="hr-HR"/>
              </w:rPr>
              <w:t xml:space="preserve"> </w:t>
            </w:r>
            <w:proofErr w:type="spellStart"/>
            <w:r w:rsidRPr="00900D04">
              <w:rPr>
                <w:i/>
                <w:lang w:eastAsia="hr-HR"/>
              </w:rPr>
              <w:t>energy</w:t>
            </w:r>
            <w:proofErr w:type="spellEnd"/>
            <w:r w:rsidRPr="00900D04">
              <w:rPr>
                <w:i/>
                <w:lang w:eastAsia="hr-HR"/>
              </w:rPr>
              <w:t xml:space="preserve"> </w:t>
            </w:r>
            <w:proofErr w:type="spellStart"/>
            <w:r w:rsidRPr="00900D04">
              <w:rPr>
                <w:i/>
                <w:lang w:eastAsia="hr-HR"/>
              </w:rPr>
              <w:t>savings</w:t>
            </w:r>
            <w:proofErr w:type="spellEnd"/>
            <w:r w:rsidRPr="001A7549">
              <w:rPr>
                <w:lang w:eastAsia="hr-HR"/>
              </w:rPr>
              <w:t>)</w:t>
            </w:r>
          </w:p>
        </w:tc>
      </w:tr>
      <w:tr w:rsidR="004949CA" w:rsidRPr="001A7549" w14:paraId="4B0946BB" w14:textId="77777777" w:rsidTr="76C5F75F">
        <w:trPr>
          <w:cantSplit/>
        </w:trPr>
        <w:tc>
          <w:tcPr>
            <w:tcW w:w="1538" w:type="dxa"/>
            <w:vAlign w:val="center"/>
          </w:tcPr>
          <w:p w14:paraId="48E36558" w14:textId="77777777" w:rsidR="004949CA" w:rsidRPr="001A7549" w:rsidRDefault="004949CA" w:rsidP="002966DD">
            <w:pPr>
              <w:spacing w:before="60"/>
              <w:rPr>
                <w:lang w:eastAsia="hr-HR"/>
              </w:rPr>
            </w:pPr>
            <w:r w:rsidRPr="001A7549">
              <w:rPr>
                <w:lang w:eastAsia="hr-HR"/>
              </w:rPr>
              <w:t>FZO</w:t>
            </w:r>
          </w:p>
        </w:tc>
        <w:tc>
          <w:tcPr>
            <w:tcW w:w="7816" w:type="dxa"/>
            <w:gridSpan w:val="2"/>
            <w:vAlign w:val="center"/>
          </w:tcPr>
          <w:p w14:paraId="56B3CE96" w14:textId="77777777" w:rsidR="004949CA" w:rsidRPr="001A7549" w:rsidRDefault="004949CA" w:rsidP="002966DD">
            <w:pPr>
              <w:spacing w:before="60"/>
              <w:rPr>
                <w:strike/>
                <w:lang w:eastAsia="hr-HR"/>
              </w:rPr>
            </w:pPr>
            <w:r w:rsidRPr="68790011">
              <w:rPr>
                <w:lang w:eastAsia="hr-HR"/>
              </w:rPr>
              <w:t>Fond za obnovu Grada Zagreba, Krapinsko-zagorske županije i Zagrebačke županije</w:t>
            </w:r>
          </w:p>
        </w:tc>
      </w:tr>
      <w:tr w:rsidR="004949CA" w:rsidRPr="001A7549" w14:paraId="3877341C" w14:textId="77777777" w:rsidTr="76C5F75F">
        <w:trPr>
          <w:cantSplit/>
        </w:trPr>
        <w:tc>
          <w:tcPr>
            <w:tcW w:w="1538" w:type="dxa"/>
            <w:vAlign w:val="center"/>
          </w:tcPr>
          <w:p w14:paraId="3DEB3F89" w14:textId="77777777" w:rsidR="004949CA" w:rsidRPr="001A7549" w:rsidRDefault="004949CA" w:rsidP="002966DD">
            <w:pPr>
              <w:spacing w:before="60"/>
            </w:pPr>
            <w:r w:rsidRPr="001A7549">
              <w:rPr>
                <w:lang w:eastAsia="hr-HR"/>
              </w:rPr>
              <w:t>FZOEU</w:t>
            </w:r>
          </w:p>
        </w:tc>
        <w:tc>
          <w:tcPr>
            <w:tcW w:w="7816" w:type="dxa"/>
            <w:gridSpan w:val="2"/>
            <w:vAlign w:val="center"/>
          </w:tcPr>
          <w:p w14:paraId="04F14F2D" w14:textId="77777777" w:rsidR="004949CA" w:rsidRPr="001A7549" w:rsidRDefault="004949CA" w:rsidP="002966DD">
            <w:pPr>
              <w:spacing w:before="60"/>
              <w:rPr>
                <w:rFonts w:ascii="Calibri" w:hAnsi="Calibri" w:cs="Times New Roman"/>
              </w:rPr>
            </w:pPr>
            <w:r w:rsidRPr="001A7549">
              <w:rPr>
                <w:lang w:eastAsia="hr-HR"/>
              </w:rPr>
              <w:t>Fond za zaštitu okoliša i energetsku učinkovitost</w:t>
            </w:r>
          </w:p>
        </w:tc>
      </w:tr>
      <w:tr w:rsidR="004949CA" w:rsidRPr="001A7549" w14:paraId="63FEB515" w14:textId="77777777" w:rsidTr="76C5F75F">
        <w:trPr>
          <w:cantSplit/>
        </w:trPr>
        <w:tc>
          <w:tcPr>
            <w:tcW w:w="1538" w:type="dxa"/>
            <w:vAlign w:val="center"/>
          </w:tcPr>
          <w:p w14:paraId="5016E9F1" w14:textId="77777777" w:rsidR="004949CA" w:rsidRPr="001A7549" w:rsidRDefault="004949CA" w:rsidP="002966DD">
            <w:pPr>
              <w:spacing w:before="60"/>
              <w:rPr>
                <w:lang w:eastAsia="hr-HR"/>
              </w:rPr>
            </w:pPr>
            <w:r w:rsidRPr="001A7549">
              <w:rPr>
                <w:lang w:eastAsia="hr-HR"/>
              </w:rPr>
              <w:t>HBOR</w:t>
            </w:r>
          </w:p>
        </w:tc>
        <w:tc>
          <w:tcPr>
            <w:tcW w:w="7816" w:type="dxa"/>
            <w:gridSpan w:val="2"/>
            <w:vAlign w:val="center"/>
          </w:tcPr>
          <w:p w14:paraId="1A199F3D" w14:textId="77777777" w:rsidR="004949CA" w:rsidRPr="001A7549" w:rsidRDefault="004949CA" w:rsidP="002966DD">
            <w:pPr>
              <w:spacing w:before="60"/>
              <w:rPr>
                <w:lang w:eastAsia="hr-HR"/>
              </w:rPr>
            </w:pPr>
            <w:r w:rsidRPr="001A7549">
              <w:rPr>
                <w:lang w:eastAsia="hr-HR"/>
              </w:rPr>
              <w:t>Hrvatska banka za obnovu i razvitak</w:t>
            </w:r>
          </w:p>
        </w:tc>
      </w:tr>
      <w:tr w:rsidR="004949CA" w:rsidRPr="001A7549" w14:paraId="5789305C" w14:textId="77777777" w:rsidTr="76C5F75F">
        <w:trPr>
          <w:cantSplit/>
        </w:trPr>
        <w:tc>
          <w:tcPr>
            <w:tcW w:w="1538" w:type="dxa"/>
            <w:vAlign w:val="center"/>
          </w:tcPr>
          <w:p w14:paraId="3D75E33C" w14:textId="77777777" w:rsidR="004949CA" w:rsidRPr="001A7549" w:rsidRDefault="004949CA" w:rsidP="002966DD">
            <w:pPr>
              <w:spacing w:before="60"/>
              <w:rPr>
                <w:lang w:eastAsia="hr-HR"/>
              </w:rPr>
            </w:pPr>
            <w:r w:rsidRPr="001A7549">
              <w:t>JLP(R)S</w:t>
            </w:r>
          </w:p>
        </w:tc>
        <w:tc>
          <w:tcPr>
            <w:tcW w:w="7816" w:type="dxa"/>
            <w:gridSpan w:val="2"/>
            <w:vAlign w:val="center"/>
          </w:tcPr>
          <w:p w14:paraId="6E9B5142" w14:textId="77777777" w:rsidR="004949CA" w:rsidRPr="001A7549" w:rsidRDefault="004949CA" w:rsidP="002966DD">
            <w:pPr>
              <w:spacing w:before="60"/>
              <w:rPr>
                <w:lang w:eastAsia="hr-HR"/>
              </w:rPr>
            </w:pPr>
            <w:r w:rsidRPr="001A7549">
              <w:rPr>
                <w:lang w:eastAsia="hr-HR"/>
              </w:rPr>
              <w:t>jedinice lokalne i područne (regionalne) samouprave</w:t>
            </w:r>
          </w:p>
        </w:tc>
      </w:tr>
      <w:tr w:rsidR="004949CA" w:rsidRPr="001A7549" w14:paraId="2DE6F294" w14:textId="77777777" w:rsidTr="76C5F75F">
        <w:trPr>
          <w:cantSplit/>
        </w:trPr>
        <w:tc>
          <w:tcPr>
            <w:tcW w:w="1538" w:type="dxa"/>
            <w:vAlign w:val="center"/>
          </w:tcPr>
          <w:p w14:paraId="45111C1A" w14:textId="77777777" w:rsidR="004949CA" w:rsidRPr="001A7549" w:rsidRDefault="004949CA" w:rsidP="002966DD">
            <w:pPr>
              <w:spacing w:before="60"/>
              <w:rPr>
                <w:lang w:eastAsia="hr-HR"/>
              </w:rPr>
            </w:pPr>
            <w:r w:rsidRPr="001A7549">
              <w:rPr>
                <w:lang w:eastAsia="hr-HR"/>
              </w:rPr>
              <w:t>MINGOR</w:t>
            </w:r>
          </w:p>
        </w:tc>
        <w:tc>
          <w:tcPr>
            <w:tcW w:w="7816" w:type="dxa"/>
            <w:gridSpan w:val="2"/>
            <w:vAlign w:val="center"/>
          </w:tcPr>
          <w:p w14:paraId="3C6FF3C0" w14:textId="77777777" w:rsidR="004949CA" w:rsidRPr="001A7549" w:rsidRDefault="004949CA" w:rsidP="002966DD">
            <w:pPr>
              <w:spacing w:before="60"/>
              <w:rPr>
                <w:lang w:eastAsia="hr-HR"/>
              </w:rPr>
            </w:pPr>
            <w:r w:rsidRPr="001A7549">
              <w:rPr>
                <w:lang w:eastAsia="hr-HR"/>
              </w:rPr>
              <w:t>Ministarstvo gospodarstva i održivog razvoja</w:t>
            </w:r>
          </w:p>
        </w:tc>
      </w:tr>
      <w:tr w:rsidR="004949CA" w:rsidRPr="001A7549" w14:paraId="51FCD4FE" w14:textId="77777777" w:rsidTr="76C5F75F">
        <w:trPr>
          <w:cantSplit/>
        </w:trPr>
        <w:tc>
          <w:tcPr>
            <w:tcW w:w="1538" w:type="dxa"/>
            <w:vAlign w:val="center"/>
          </w:tcPr>
          <w:p w14:paraId="0FF4EBD7" w14:textId="77777777" w:rsidR="004949CA" w:rsidRPr="001A7549" w:rsidRDefault="004949CA" w:rsidP="002966DD">
            <w:pPr>
              <w:spacing w:before="60"/>
              <w:rPr>
                <w:lang w:eastAsia="hr-HR"/>
              </w:rPr>
            </w:pPr>
            <w:r w:rsidRPr="001A7549">
              <w:rPr>
                <w:lang w:eastAsia="hr-HR"/>
              </w:rPr>
              <w:t>MPGI</w:t>
            </w:r>
          </w:p>
        </w:tc>
        <w:tc>
          <w:tcPr>
            <w:tcW w:w="7816" w:type="dxa"/>
            <w:gridSpan w:val="2"/>
            <w:vAlign w:val="center"/>
          </w:tcPr>
          <w:p w14:paraId="420842F0" w14:textId="77777777" w:rsidR="004949CA" w:rsidRPr="001A7549" w:rsidRDefault="004949CA" w:rsidP="002966DD">
            <w:pPr>
              <w:spacing w:before="60"/>
              <w:rPr>
                <w:lang w:eastAsia="hr-HR"/>
              </w:rPr>
            </w:pPr>
            <w:r w:rsidRPr="001A7549">
              <w:rPr>
                <w:lang w:eastAsia="hr-HR"/>
              </w:rPr>
              <w:t>Ministarstvo prostornoga uređenja, graditeljstva i državne imovine</w:t>
            </w:r>
          </w:p>
        </w:tc>
      </w:tr>
      <w:tr w:rsidR="004949CA" w:rsidRPr="001A7549" w14:paraId="502555DB" w14:textId="77777777" w:rsidTr="76C5F75F">
        <w:trPr>
          <w:cantSplit/>
        </w:trPr>
        <w:tc>
          <w:tcPr>
            <w:tcW w:w="1538" w:type="dxa"/>
            <w:vAlign w:val="center"/>
          </w:tcPr>
          <w:p w14:paraId="6B83EC03" w14:textId="77777777" w:rsidR="004949CA" w:rsidRPr="001A7549" w:rsidRDefault="004949CA" w:rsidP="002966DD">
            <w:pPr>
              <w:spacing w:before="60"/>
              <w:rPr>
                <w:lang w:eastAsia="hr-HR"/>
              </w:rPr>
            </w:pPr>
            <w:r w:rsidRPr="001A7549">
              <w:rPr>
                <w:lang w:eastAsia="hr-HR"/>
              </w:rPr>
              <w:t>MROSP</w:t>
            </w:r>
          </w:p>
        </w:tc>
        <w:tc>
          <w:tcPr>
            <w:tcW w:w="7816" w:type="dxa"/>
            <w:gridSpan w:val="2"/>
            <w:vAlign w:val="center"/>
          </w:tcPr>
          <w:p w14:paraId="3F0223D4" w14:textId="77777777" w:rsidR="004949CA" w:rsidRPr="001A7549" w:rsidRDefault="004949CA" w:rsidP="002966DD">
            <w:pPr>
              <w:spacing w:before="60"/>
              <w:rPr>
                <w:lang w:eastAsia="hr-HR"/>
              </w:rPr>
            </w:pPr>
            <w:r w:rsidRPr="001A7549">
              <w:t>Ministarstvo rada, mirovinskoga sustava, obitelji i socijalne politike</w:t>
            </w:r>
          </w:p>
        </w:tc>
      </w:tr>
      <w:tr w:rsidR="004949CA" w:rsidRPr="001A7549" w14:paraId="197C00E1" w14:textId="77777777" w:rsidTr="76C5F75F">
        <w:trPr>
          <w:cantSplit/>
        </w:trPr>
        <w:tc>
          <w:tcPr>
            <w:tcW w:w="1538" w:type="dxa"/>
            <w:vAlign w:val="center"/>
          </w:tcPr>
          <w:p w14:paraId="435B843B" w14:textId="77777777" w:rsidR="004949CA" w:rsidRPr="001A7549" w:rsidRDefault="004949CA" w:rsidP="002966DD">
            <w:pPr>
              <w:spacing w:before="60"/>
              <w:rPr>
                <w:lang w:eastAsia="hr-HR"/>
              </w:rPr>
            </w:pPr>
            <w:r w:rsidRPr="001A7549">
              <w:rPr>
                <w:lang w:eastAsia="hr-HR"/>
              </w:rPr>
              <w:t>MRRFEU</w:t>
            </w:r>
          </w:p>
        </w:tc>
        <w:tc>
          <w:tcPr>
            <w:tcW w:w="7816" w:type="dxa"/>
            <w:gridSpan w:val="2"/>
            <w:vAlign w:val="center"/>
          </w:tcPr>
          <w:p w14:paraId="28ECA4D3" w14:textId="77777777" w:rsidR="004949CA" w:rsidRPr="001A7549" w:rsidRDefault="004949CA" w:rsidP="002966DD">
            <w:pPr>
              <w:spacing w:before="60"/>
            </w:pPr>
            <w:r w:rsidRPr="001A7549">
              <w:t>Ministarstvo regionalnog razvoja i fondova Europske unije</w:t>
            </w:r>
          </w:p>
        </w:tc>
      </w:tr>
      <w:tr w:rsidR="004949CA" w:rsidRPr="001A7549" w14:paraId="74015AA1" w14:textId="77777777" w:rsidTr="76C5F75F">
        <w:trPr>
          <w:cantSplit/>
        </w:trPr>
        <w:tc>
          <w:tcPr>
            <w:tcW w:w="1538" w:type="dxa"/>
            <w:vAlign w:val="center"/>
          </w:tcPr>
          <w:p w14:paraId="453A837E" w14:textId="77777777" w:rsidR="004949CA" w:rsidRPr="001A7549" w:rsidRDefault="004949CA" w:rsidP="002966DD">
            <w:pPr>
              <w:spacing w:before="60"/>
              <w:rPr>
                <w:lang w:eastAsia="hr-HR"/>
              </w:rPr>
            </w:pPr>
            <w:proofErr w:type="spellStart"/>
            <w:r w:rsidRPr="001A7549">
              <w:t>NAPEnU</w:t>
            </w:r>
            <w:proofErr w:type="spellEnd"/>
          </w:p>
        </w:tc>
        <w:tc>
          <w:tcPr>
            <w:tcW w:w="7816" w:type="dxa"/>
            <w:gridSpan w:val="2"/>
            <w:vAlign w:val="center"/>
          </w:tcPr>
          <w:p w14:paraId="70D344C0" w14:textId="77777777" w:rsidR="004949CA" w:rsidRPr="001A7549" w:rsidRDefault="004949CA" w:rsidP="002966DD">
            <w:pPr>
              <w:spacing w:before="60"/>
              <w:rPr>
                <w:lang w:eastAsia="hr-HR"/>
              </w:rPr>
            </w:pPr>
            <w:r w:rsidRPr="001A7549">
              <w:rPr>
                <w:lang w:eastAsia="hr-HR"/>
              </w:rPr>
              <w:t>Nacionalni akcijski plan energetske učinkovitosti</w:t>
            </w:r>
          </w:p>
        </w:tc>
      </w:tr>
      <w:tr w:rsidR="004949CA" w:rsidRPr="001A7549" w14:paraId="41459272" w14:textId="77777777" w:rsidTr="76C5F75F">
        <w:trPr>
          <w:cantSplit/>
        </w:trPr>
        <w:tc>
          <w:tcPr>
            <w:tcW w:w="1538" w:type="dxa"/>
            <w:vAlign w:val="center"/>
          </w:tcPr>
          <w:p w14:paraId="72FECD71" w14:textId="77777777" w:rsidR="004949CA" w:rsidRPr="001A7549" w:rsidRDefault="004949CA" w:rsidP="002966DD">
            <w:pPr>
              <w:spacing w:before="60"/>
              <w:rPr>
                <w:lang w:eastAsia="hr-HR"/>
              </w:rPr>
            </w:pPr>
            <w:r w:rsidRPr="001A7549">
              <w:rPr>
                <w:lang w:eastAsia="hr-HR"/>
              </w:rPr>
              <w:t>NEKP</w:t>
            </w:r>
          </w:p>
        </w:tc>
        <w:tc>
          <w:tcPr>
            <w:tcW w:w="7816" w:type="dxa"/>
            <w:gridSpan w:val="2"/>
            <w:vAlign w:val="center"/>
          </w:tcPr>
          <w:p w14:paraId="341C6B1A" w14:textId="77777777" w:rsidR="004949CA" w:rsidRPr="001A7549" w:rsidRDefault="004949CA" w:rsidP="002966DD">
            <w:pPr>
              <w:spacing w:before="60"/>
              <w:rPr>
                <w:lang w:eastAsia="hr-HR"/>
              </w:rPr>
            </w:pPr>
            <w:r w:rsidRPr="001A7549">
              <w:rPr>
                <w:lang w:eastAsia="hr-HR"/>
              </w:rPr>
              <w:t>Integrirani nacionalni energetski i klimatski plan</w:t>
            </w:r>
          </w:p>
        </w:tc>
      </w:tr>
      <w:tr w:rsidR="004949CA" w:rsidRPr="001A7549" w14:paraId="5943DAFD" w14:textId="77777777" w:rsidTr="76C5F75F">
        <w:trPr>
          <w:cantSplit/>
        </w:trPr>
        <w:tc>
          <w:tcPr>
            <w:tcW w:w="1538" w:type="dxa"/>
            <w:vAlign w:val="center"/>
          </w:tcPr>
          <w:p w14:paraId="250FFCA0" w14:textId="77777777" w:rsidR="004949CA" w:rsidRPr="001A7549" w:rsidRDefault="004949CA" w:rsidP="002966DD">
            <w:pPr>
              <w:spacing w:before="60"/>
              <w:rPr>
                <w:lang w:eastAsia="hr-HR"/>
              </w:rPr>
            </w:pPr>
            <w:r w:rsidRPr="001A7549">
              <w:rPr>
                <w:lang w:eastAsia="hr-HR"/>
              </w:rPr>
              <w:t>NKT</w:t>
            </w:r>
          </w:p>
        </w:tc>
        <w:tc>
          <w:tcPr>
            <w:tcW w:w="7816" w:type="dxa"/>
            <w:gridSpan w:val="2"/>
            <w:vAlign w:val="center"/>
          </w:tcPr>
          <w:p w14:paraId="715B5E76" w14:textId="77777777" w:rsidR="004949CA" w:rsidRPr="001A7549" w:rsidRDefault="004949CA" w:rsidP="002966DD">
            <w:pPr>
              <w:spacing w:before="60"/>
              <w:rPr>
                <w:lang w:eastAsia="hr-HR"/>
              </w:rPr>
            </w:pPr>
            <w:r w:rsidRPr="001A7549">
              <w:rPr>
                <w:lang w:eastAsia="hr-HR"/>
              </w:rPr>
              <w:t>Nacionalno koordinacijsko tijelo za energetsku učinkovitost</w:t>
            </w:r>
          </w:p>
        </w:tc>
      </w:tr>
      <w:tr w:rsidR="004949CA" w:rsidRPr="001A7549" w14:paraId="69E608C0" w14:textId="77777777" w:rsidTr="76C5F75F">
        <w:trPr>
          <w:cantSplit/>
        </w:trPr>
        <w:tc>
          <w:tcPr>
            <w:tcW w:w="1538" w:type="dxa"/>
            <w:vAlign w:val="center"/>
          </w:tcPr>
          <w:p w14:paraId="1B34FB26" w14:textId="77777777" w:rsidR="004949CA" w:rsidRPr="001A7549" w:rsidRDefault="004949CA" w:rsidP="002966DD">
            <w:pPr>
              <w:spacing w:before="60"/>
              <w:rPr>
                <w:lang w:eastAsia="hr-HR"/>
              </w:rPr>
            </w:pPr>
            <w:r w:rsidRPr="001A7549">
              <w:rPr>
                <w:lang w:eastAsia="hr-HR"/>
              </w:rPr>
              <w:t>NPOO</w:t>
            </w:r>
          </w:p>
        </w:tc>
        <w:tc>
          <w:tcPr>
            <w:tcW w:w="7816" w:type="dxa"/>
            <w:gridSpan w:val="2"/>
            <w:vAlign w:val="center"/>
          </w:tcPr>
          <w:p w14:paraId="5A938F1C" w14:textId="77777777" w:rsidR="004949CA" w:rsidRPr="001A7549" w:rsidRDefault="004949CA" w:rsidP="002966DD">
            <w:pPr>
              <w:spacing w:before="60"/>
              <w:rPr>
                <w:lang w:eastAsia="hr-HR"/>
              </w:rPr>
            </w:pPr>
            <w:r w:rsidRPr="001A7549">
              <w:rPr>
                <w:lang w:eastAsia="hr-HR"/>
              </w:rPr>
              <w:t>Nacionalni plan oporavka i otpornosti</w:t>
            </w:r>
          </w:p>
        </w:tc>
      </w:tr>
      <w:tr w:rsidR="004949CA" w:rsidRPr="001A7549" w14:paraId="171F4905" w14:textId="77777777" w:rsidTr="76C5F75F">
        <w:trPr>
          <w:cantSplit/>
        </w:trPr>
        <w:tc>
          <w:tcPr>
            <w:tcW w:w="1538" w:type="dxa"/>
            <w:vAlign w:val="center"/>
          </w:tcPr>
          <w:p w14:paraId="38EA96F3" w14:textId="77777777" w:rsidR="004949CA" w:rsidRPr="001A7549" w:rsidRDefault="004949CA" w:rsidP="002966DD">
            <w:pPr>
              <w:spacing w:before="60"/>
              <w:rPr>
                <w:lang w:eastAsia="hr-HR"/>
              </w:rPr>
            </w:pPr>
            <w:proofErr w:type="spellStart"/>
            <w:r w:rsidRPr="001A7549">
              <w:rPr>
                <w:lang w:eastAsia="hr-HR"/>
              </w:rPr>
              <w:t>nZEB</w:t>
            </w:r>
            <w:proofErr w:type="spellEnd"/>
          </w:p>
        </w:tc>
        <w:tc>
          <w:tcPr>
            <w:tcW w:w="7816" w:type="dxa"/>
            <w:gridSpan w:val="2"/>
            <w:vAlign w:val="center"/>
          </w:tcPr>
          <w:p w14:paraId="1AADC305" w14:textId="77777777" w:rsidR="004949CA" w:rsidRPr="001A7549" w:rsidRDefault="004949CA" w:rsidP="002966DD">
            <w:pPr>
              <w:spacing w:before="60"/>
              <w:rPr>
                <w:lang w:eastAsia="hr-HR"/>
              </w:rPr>
            </w:pPr>
            <w:r w:rsidRPr="001A7549">
              <w:rPr>
                <w:lang w:eastAsia="hr-HR"/>
              </w:rPr>
              <w:t xml:space="preserve">zgrade gotovo nulte energije (eng. </w:t>
            </w:r>
            <w:proofErr w:type="spellStart"/>
            <w:r w:rsidRPr="001A7549">
              <w:rPr>
                <w:i/>
                <w:iCs/>
                <w:lang w:eastAsia="hr-HR"/>
              </w:rPr>
              <w:t>nearly</w:t>
            </w:r>
            <w:proofErr w:type="spellEnd"/>
            <w:r w:rsidRPr="001A7549">
              <w:rPr>
                <w:i/>
                <w:iCs/>
                <w:lang w:eastAsia="hr-HR"/>
              </w:rPr>
              <w:t xml:space="preserve"> zero </w:t>
            </w:r>
            <w:proofErr w:type="spellStart"/>
            <w:r w:rsidRPr="001A7549">
              <w:rPr>
                <w:i/>
                <w:iCs/>
                <w:lang w:eastAsia="hr-HR"/>
              </w:rPr>
              <w:t>energy</w:t>
            </w:r>
            <w:proofErr w:type="spellEnd"/>
            <w:r w:rsidRPr="001A7549">
              <w:rPr>
                <w:i/>
                <w:iCs/>
                <w:lang w:eastAsia="hr-HR"/>
              </w:rPr>
              <w:t xml:space="preserve"> </w:t>
            </w:r>
            <w:proofErr w:type="spellStart"/>
            <w:r w:rsidRPr="001A7549">
              <w:rPr>
                <w:i/>
                <w:iCs/>
                <w:lang w:eastAsia="hr-HR"/>
              </w:rPr>
              <w:t>buildings</w:t>
            </w:r>
            <w:proofErr w:type="spellEnd"/>
            <w:r w:rsidRPr="001A7549">
              <w:rPr>
                <w:lang w:eastAsia="hr-HR"/>
              </w:rPr>
              <w:t>)</w:t>
            </w:r>
          </w:p>
        </w:tc>
      </w:tr>
      <w:tr w:rsidR="004949CA" w:rsidRPr="001A7549" w14:paraId="4393F39E" w14:textId="77777777" w:rsidTr="76C5F75F">
        <w:trPr>
          <w:cantSplit/>
        </w:trPr>
        <w:tc>
          <w:tcPr>
            <w:tcW w:w="1538" w:type="dxa"/>
            <w:vAlign w:val="center"/>
          </w:tcPr>
          <w:p w14:paraId="2641131E" w14:textId="77777777" w:rsidR="004949CA" w:rsidRPr="001A7549" w:rsidRDefault="004949CA" w:rsidP="002966DD">
            <w:pPr>
              <w:spacing w:before="60"/>
              <w:rPr>
                <w:lang w:eastAsia="hr-HR"/>
              </w:rPr>
            </w:pPr>
            <w:r w:rsidRPr="001A7549">
              <w:rPr>
                <w:lang w:eastAsia="hr-HR"/>
              </w:rPr>
              <w:t>OIE</w:t>
            </w:r>
          </w:p>
        </w:tc>
        <w:tc>
          <w:tcPr>
            <w:tcW w:w="7816" w:type="dxa"/>
            <w:gridSpan w:val="2"/>
            <w:vAlign w:val="center"/>
          </w:tcPr>
          <w:p w14:paraId="2987389F" w14:textId="77777777" w:rsidR="004949CA" w:rsidRPr="001A7549" w:rsidRDefault="004949CA" w:rsidP="002966DD">
            <w:pPr>
              <w:spacing w:before="60"/>
              <w:rPr>
                <w:lang w:eastAsia="hr-HR"/>
              </w:rPr>
            </w:pPr>
            <w:r w:rsidRPr="001A7549">
              <w:rPr>
                <w:lang w:eastAsia="hr-HR"/>
              </w:rPr>
              <w:t>obnovljivi izvori energije</w:t>
            </w:r>
          </w:p>
        </w:tc>
      </w:tr>
      <w:tr w:rsidR="004949CA" w:rsidRPr="001A7549" w14:paraId="0AD476F3" w14:textId="77777777" w:rsidTr="76C5F75F">
        <w:trPr>
          <w:cantSplit/>
        </w:trPr>
        <w:tc>
          <w:tcPr>
            <w:tcW w:w="1538" w:type="dxa"/>
            <w:vAlign w:val="center"/>
          </w:tcPr>
          <w:p w14:paraId="1DF5D5A8" w14:textId="77777777" w:rsidR="004949CA" w:rsidRPr="001A7549" w:rsidRDefault="004949CA" w:rsidP="002966DD">
            <w:pPr>
              <w:spacing w:before="60"/>
              <w:rPr>
                <w:lang w:eastAsia="hr-HR"/>
              </w:rPr>
            </w:pPr>
            <w:r w:rsidRPr="001A7549">
              <w:rPr>
                <w:lang w:eastAsia="hr-HR"/>
              </w:rPr>
              <w:t>OPKK</w:t>
            </w:r>
          </w:p>
        </w:tc>
        <w:tc>
          <w:tcPr>
            <w:tcW w:w="7816" w:type="dxa"/>
            <w:gridSpan w:val="2"/>
            <w:vAlign w:val="center"/>
          </w:tcPr>
          <w:p w14:paraId="7B125F07" w14:textId="77777777" w:rsidR="004949CA" w:rsidRPr="001A7549" w:rsidRDefault="004949CA" w:rsidP="002966DD">
            <w:pPr>
              <w:spacing w:before="60"/>
              <w:rPr>
                <w:lang w:eastAsia="hr-HR"/>
              </w:rPr>
            </w:pPr>
            <w:r w:rsidRPr="001A7549">
              <w:rPr>
                <w:lang w:eastAsia="hr-HR"/>
              </w:rPr>
              <w:t>Operativni program „Konkurentnost i kohezija 2014.-2020.“</w:t>
            </w:r>
          </w:p>
        </w:tc>
      </w:tr>
      <w:tr w:rsidR="004949CA" w:rsidRPr="001A7549" w14:paraId="47628F37" w14:textId="77777777" w:rsidTr="76C5F75F">
        <w:trPr>
          <w:gridAfter w:val="1"/>
          <w:wAfter w:w="369" w:type="dxa"/>
          <w:cantSplit/>
        </w:trPr>
        <w:tc>
          <w:tcPr>
            <w:tcW w:w="1538" w:type="dxa"/>
            <w:vAlign w:val="center"/>
          </w:tcPr>
          <w:p w14:paraId="13E3EEDE" w14:textId="77777777" w:rsidR="004949CA" w:rsidRPr="001A7549" w:rsidRDefault="004949CA" w:rsidP="002966DD">
            <w:pPr>
              <w:spacing w:before="60"/>
              <w:rPr>
                <w:lang w:eastAsia="hr-HR"/>
              </w:rPr>
            </w:pPr>
            <w:r w:rsidRPr="001A7549">
              <w:rPr>
                <w:lang w:eastAsia="hr-HR"/>
              </w:rPr>
              <w:t>PTV</w:t>
            </w:r>
          </w:p>
        </w:tc>
        <w:tc>
          <w:tcPr>
            <w:tcW w:w="7447" w:type="dxa"/>
            <w:vAlign w:val="center"/>
          </w:tcPr>
          <w:p w14:paraId="2A4F8308" w14:textId="77777777" w:rsidR="004949CA" w:rsidRPr="001A7549" w:rsidRDefault="004949CA" w:rsidP="002966DD">
            <w:pPr>
              <w:spacing w:before="60"/>
              <w:rPr>
                <w:lang w:eastAsia="hr-HR"/>
              </w:rPr>
            </w:pPr>
            <w:r w:rsidRPr="001A7549">
              <w:rPr>
                <w:lang w:eastAsia="hr-HR"/>
              </w:rPr>
              <w:t>potrošna topla voda</w:t>
            </w:r>
          </w:p>
        </w:tc>
      </w:tr>
      <w:tr w:rsidR="004949CA" w:rsidRPr="001A7549" w14:paraId="2DC6CEC6" w14:textId="77777777" w:rsidTr="76C5F75F">
        <w:trPr>
          <w:cantSplit/>
        </w:trPr>
        <w:tc>
          <w:tcPr>
            <w:tcW w:w="1538" w:type="dxa"/>
            <w:vAlign w:val="center"/>
          </w:tcPr>
          <w:p w14:paraId="2B1D0B7F" w14:textId="77777777" w:rsidR="004949CA" w:rsidRPr="001A7549" w:rsidRDefault="004949CA" w:rsidP="002966DD">
            <w:pPr>
              <w:spacing w:before="60"/>
              <w:rPr>
                <w:lang w:eastAsia="hr-HR"/>
              </w:rPr>
            </w:pPr>
            <w:proofErr w:type="spellStart"/>
            <w:r w:rsidRPr="001A7549">
              <w:rPr>
                <w:lang w:eastAsia="hr-HR"/>
              </w:rPr>
              <w:t>Q</w:t>
            </w:r>
            <w:r w:rsidRPr="001A7549">
              <w:rPr>
                <w:vertAlign w:val="subscript"/>
                <w:lang w:eastAsia="hr-HR"/>
              </w:rPr>
              <w:t>H,nd</w:t>
            </w:r>
            <w:proofErr w:type="spellEnd"/>
          </w:p>
        </w:tc>
        <w:tc>
          <w:tcPr>
            <w:tcW w:w="7816" w:type="dxa"/>
            <w:gridSpan w:val="2"/>
            <w:vAlign w:val="center"/>
          </w:tcPr>
          <w:p w14:paraId="144ECACD" w14:textId="2A32AEB2" w:rsidR="004949CA" w:rsidRPr="001A7549" w:rsidRDefault="75CBAE28" w:rsidP="002966DD">
            <w:pPr>
              <w:spacing w:before="60"/>
              <w:rPr>
                <w:lang w:eastAsia="hr-HR"/>
              </w:rPr>
            </w:pPr>
            <w:r w:rsidRPr="638C4C38">
              <w:rPr>
                <w:lang w:eastAsia="hr-HR"/>
              </w:rPr>
              <w:t xml:space="preserve">godišnja </w:t>
            </w:r>
            <w:r w:rsidR="12EA7591" w:rsidRPr="638C4C38">
              <w:rPr>
                <w:lang w:eastAsia="hr-HR"/>
              </w:rPr>
              <w:t>potrebna toplinska energija za grijanje</w:t>
            </w:r>
          </w:p>
        </w:tc>
      </w:tr>
      <w:tr w:rsidR="004949CA" w:rsidRPr="001A7549" w14:paraId="18B5D6AE" w14:textId="77777777" w:rsidTr="76C5F75F">
        <w:trPr>
          <w:cantSplit/>
        </w:trPr>
        <w:tc>
          <w:tcPr>
            <w:tcW w:w="1538" w:type="dxa"/>
            <w:vAlign w:val="center"/>
          </w:tcPr>
          <w:p w14:paraId="45487825" w14:textId="77777777" w:rsidR="004949CA" w:rsidRPr="001A7549" w:rsidRDefault="004949CA" w:rsidP="002966DD">
            <w:pPr>
              <w:spacing w:before="60"/>
              <w:rPr>
                <w:lang w:eastAsia="hr-HR"/>
              </w:rPr>
            </w:pPr>
            <w:r w:rsidRPr="001A7549">
              <w:rPr>
                <w:lang w:eastAsia="hr-HR"/>
              </w:rPr>
              <w:t>SC</w:t>
            </w:r>
          </w:p>
        </w:tc>
        <w:tc>
          <w:tcPr>
            <w:tcW w:w="7816" w:type="dxa"/>
            <w:gridSpan w:val="2"/>
            <w:vAlign w:val="center"/>
          </w:tcPr>
          <w:p w14:paraId="0835F2F2" w14:textId="77777777" w:rsidR="004949CA" w:rsidRPr="001A7549" w:rsidRDefault="004949CA" w:rsidP="002966DD">
            <w:pPr>
              <w:spacing w:before="60"/>
              <w:rPr>
                <w:lang w:eastAsia="hr-HR"/>
              </w:rPr>
            </w:pPr>
            <w:r w:rsidRPr="001A7549">
              <w:rPr>
                <w:lang w:eastAsia="hr-HR"/>
              </w:rPr>
              <w:t>specifični cilj</w:t>
            </w:r>
          </w:p>
        </w:tc>
      </w:tr>
      <w:tr w:rsidR="004949CA" w:rsidRPr="001A7549" w14:paraId="079BF590" w14:textId="77777777" w:rsidTr="76C5F75F">
        <w:trPr>
          <w:cantSplit/>
        </w:trPr>
        <w:tc>
          <w:tcPr>
            <w:tcW w:w="1538" w:type="dxa"/>
            <w:vAlign w:val="center"/>
          </w:tcPr>
          <w:p w14:paraId="12F97D7F" w14:textId="77777777" w:rsidR="004949CA" w:rsidRPr="001A7549" w:rsidRDefault="004949CA" w:rsidP="002966DD">
            <w:pPr>
              <w:spacing w:before="60"/>
              <w:rPr>
                <w:lang w:eastAsia="hr-HR"/>
              </w:rPr>
            </w:pPr>
            <w:proofErr w:type="spellStart"/>
            <w:r w:rsidRPr="001A7549">
              <w:rPr>
                <w:lang w:eastAsia="hr-HR"/>
              </w:rPr>
              <w:t>SMiV</w:t>
            </w:r>
            <w:proofErr w:type="spellEnd"/>
          </w:p>
        </w:tc>
        <w:tc>
          <w:tcPr>
            <w:tcW w:w="7816" w:type="dxa"/>
            <w:gridSpan w:val="2"/>
            <w:vAlign w:val="center"/>
          </w:tcPr>
          <w:p w14:paraId="08503207" w14:textId="77777777" w:rsidR="004949CA" w:rsidRPr="001A7549" w:rsidRDefault="004949CA" w:rsidP="002966DD">
            <w:pPr>
              <w:spacing w:before="60"/>
              <w:rPr>
                <w:lang w:eastAsia="hr-HR"/>
              </w:rPr>
            </w:pPr>
            <w:r w:rsidRPr="001A7549">
              <w:rPr>
                <w:lang w:eastAsia="hr-HR"/>
              </w:rPr>
              <w:t>Sustav za mjerenje i verifikaciju ušteda energije</w:t>
            </w:r>
          </w:p>
        </w:tc>
      </w:tr>
      <w:tr w:rsidR="004949CA" w:rsidRPr="001A7549" w14:paraId="6513F4EC" w14:textId="77777777" w:rsidTr="76C5F75F">
        <w:trPr>
          <w:cantSplit/>
        </w:trPr>
        <w:tc>
          <w:tcPr>
            <w:tcW w:w="1538" w:type="dxa"/>
            <w:vAlign w:val="center"/>
          </w:tcPr>
          <w:p w14:paraId="05283F93" w14:textId="77777777" w:rsidR="004949CA" w:rsidRPr="001A7549" w:rsidRDefault="004949CA" w:rsidP="002966DD">
            <w:pPr>
              <w:spacing w:before="60"/>
              <w:rPr>
                <w:lang w:eastAsia="hr-HR"/>
              </w:rPr>
            </w:pPr>
            <w:r w:rsidRPr="001A7549">
              <w:rPr>
                <w:lang w:eastAsia="hr-HR"/>
              </w:rPr>
              <w:t>SWOT</w:t>
            </w:r>
          </w:p>
        </w:tc>
        <w:tc>
          <w:tcPr>
            <w:tcW w:w="7816" w:type="dxa"/>
            <w:gridSpan w:val="2"/>
            <w:vAlign w:val="center"/>
          </w:tcPr>
          <w:p w14:paraId="741BAEF5" w14:textId="77777777" w:rsidR="004949CA" w:rsidRPr="001A7549" w:rsidRDefault="004949CA" w:rsidP="002966DD">
            <w:pPr>
              <w:spacing w:before="60"/>
              <w:rPr>
                <w:lang w:eastAsia="hr-HR"/>
              </w:rPr>
            </w:pPr>
            <w:r w:rsidRPr="001A7549">
              <w:rPr>
                <w:lang w:eastAsia="hr-HR"/>
              </w:rPr>
              <w:t xml:space="preserve">analiza snaga-slabosti-prilika-prijetnji (eng. </w:t>
            </w:r>
            <w:r w:rsidRPr="001A7549">
              <w:rPr>
                <w:i/>
                <w:iCs/>
                <w:lang w:val="en-GB" w:eastAsia="hr-HR"/>
              </w:rPr>
              <w:t>strengths-weaknesses-opportunities-threats</w:t>
            </w:r>
            <w:r w:rsidRPr="001A7549">
              <w:rPr>
                <w:lang w:eastAsia="hr-HR"/>
              </w:rPr>
              <w:t>)</w:t>
            </w:r>
          </w:p>
        </w:tc>
      </w:tr>
      <w:tr w:rsidR="004949CA" w:rsidRPr="001A7549" w14:paraId="0FD25E4E" w14:textId="77777777" w:rsidTr="76C5F75F">
        <w:trPr>
          <w:cantSplit/>
        </w:trPr>
        <w:tc>
          <w:tcPr>
            <w:tcW w:w="1538" w:type="dxa"/>
            <w:vAlign w:val="center"/>
          </w:tcPr>
          <w:p w14:paraId="49A7EEC1" w14:textId="77777777" w:rsidR="004949CA" w:rsidRPr="001A7549" w:rsidRDefault="004949CA" w:rsidP="002966DD">
            <w:pPr>
              <w:spacing w:before="60"/>
              <w:rPr>
                <w:lang w:eastAsia="hr-HR"/>
              </w:rPr>
            </w:pPr>
            <w:r w:rsidRPr="001A7549">
              <w:rPr>
                <w:lang w:eastAsia="hr-HR"/>
              </w:rPr>
              <w:t>TPRUETZZ</w:t>
            </w:r>
          </w:p>
        </w:tc>
        <w:tc>
          <w:tcPr>
            <w:tcW w:w="7816" w:type="dxa"/>
            <w:gridSpan w:val="2"/>
            <w:vAlign w:val="center"/>
          </w:tcPr>
          <w:p w14:paraId="4A7F46F7" w14:textId="77777777" w:rsidR="004949CA" w:rsidRPr="001A7549" w:rsidRDefault="004949CA" w:rsidP="002966DD">
            <w:pPr>
              <w:spacing w:before="60"/>
              <w:rPr>
                <w:lang w:eastAsia="hr-HR"/>
              </w:rPr>
            </w:pPr>
            <w:r w:rsidRPr="001A7549">
              <w:rPr>
                <w:lang w:eastAsia="hr-HR"/>
              </w:rPr>
              <w:t>Tehnički propis o racionalnoj uporabi energije i toplinskoj zaštiti u zgradama</w:t>
            </w:r>
          </w:p>
        </w:tc>
      </w:tr>
      <w:tr w:rsidR="004949CA" w:rsidRPr="001A7549" w14:paraId="4A2F1825" w14:textId="77777777" w:rsidTr="76C5F75F">
        <w:trPr>
          <w:gridAfter w:val="1"/>
          <w:wAfter w:w="369" w:type="dxa"/>
          <w:cantSplit/>
        </w:trPr>
        <w:tc>
          <w:tcPr>
            <w:tcW w:w="1538" w:type="dxa"/>
            <w:vAlign w:val="center"/>
          </w:tcPr>
          <w:p w14:paraId="14789162" w14:textId="77777777" w:rsidR="004949CA" w:rsidRPr="001A7549" w:rsidRDefault="004949CA" w:rsidP="002966DD">
            <w:pPr>
              <w:spacing w:before="60"/>
              <w:rPr>
                <w:lang w:eastAsia="hr-HR"/>
              </w:rPr>
            </w:pPr>
            <w:r w:rsidRPr="001A7549">
              <w:rPr>
                <w:lang w:eastAsia="hr-HR"/>
              </w:rPr>
              <w:t>UFES</w:t>
            </w:r>
          </w:p>
        </w:tc>
        <w:tc>
          <w:tcPr>
            <w:tcW w:w="7447" w:type="dxa"/>
            <w:vAlign w:val="center"/>
          </w:tcPr>
          <w:p w14:paraId="706E152B" w14:textId="5EDE6F0D" w:rsidR="004949CA" w:rsidRPr="001A7549" w:rsidRDefault="004949CA" w:rsidP="002966DD">
            <w:pPr>
              <w:spacing w:before="60"/>
              <w:rPr>
                <w:lang w:eastAsia="hr-HR"/>
              </w:rPr>
            </w:pPr>
            <w:r w:rsidRPr="76C5F75F">
              <w:rPr>
                <w:lang w:eastAsia="hr-HR"/>
              </w:rPr>
              <w:t xml:space="preserve">jedinične uštede energije u neposrednoj </w:t>
            </w:r>
            <w:r w:rsidR="00D82EE4">
              <w:rPr>
                <w:lang w:eastAsia="hr-HR"/>
              </w:rPr>
              <w:t>(krajnjoj) potrošnji</w:t>
            </w:r>
            <w:r w:rsidRPr="76C5F75F">
              <w:rPr>
                <w:lang w:eastAsia="hr-HR"/>
              </w:rPr>
              <w:t xml:space="preserve"> (eng. </w:t>
            </w:r>
            <w:proofErr w:type="spellStart"/>
            <w:r w:rsidR="00900D04" w:rsidRPr="76C5F75F">
              <w:rPr>
                <w:i/>
                <w:iCs/>
                <w:lang w:eastAsia="hr-HR"/>
              </w:rPr>
              <w:t>u</w:t>
            </w:r>
            <w:r w:rsidRPr="76C5F75F">
              <w:rPr>
                <w:i/>
                <w:iCs/>
                <w:lang w:eastAsia="hr-HR"/>
              </w:rPr>
              <w:t>nit</w:t>
            </w:r>
            <w:proofErr w:type="spellEnd"/>
            <w:r w:rsidRPr="76C5F75F">
              <w:rPr>
                <w:i/>
                <w:iCs/>
                <w:lang w:eastAsia="hr-HR"/>
              </w:rPr>
              <w:t xml:space="preserve"> </w:t>
            </w:r>
            <w:proofErr w:type="spellStart"/>
            <w:r w:rsidRPr="76C5F75F">
              <w:rPr>
                <w:i/>
                <w:iCs/>
                <w:lang w:eastAsia="hr-HR"/>
              </w:rPr>
              <w:t>final</w:t>
            </w:r>
            <w:proofErr w:type="spellEnd"/>
            <w:r w:rsidRPr="76C5F75F">
              <w:rPr>
                <w:i/>
                <w:iCs/>
                <w:lang w:eastAsia="hr-HR"/>
              </w:rPr>
              <w:t xml:space="preserve"> </w:t>
            </w:r>
            <w:proofErr w:type="spellStart"/>
            <w:r w:rsidRPr="76C5F75F">
              <w:rPr>
                <w:i/>
                <w:iCs/>
                <w:lang w:eastAsia="hr-HR"/>
              </w:rPr>
              <w:t>energy</w:t>
            </w:r>
            <w:proofErr w:type="spellEnd"/>
            <w:r w:rsidRPr="76C5F75F">
              <w:rPr>
                <w:i/>
                <w:iCs/>
                <w:lang w:eastAsia="hr-HR"/>
              </w:rPr>
              <w:t xml:space="preserve"> </w:t>
            </w:r>
            <w:proofErr w:type="spellStart"/>
            <w:r w:rsidRPr="76C5F75F">
              <w:rPr>
                <w:i/>
                <w:iCs/>
                <w:lang w:eastAsia="hr-HR"/>
              </w:rPr>
              <w:t>savings</w:t>
            </w:r>
            <w:proofErr w:type="spellEnd"/>
            <w:r w:rsidRPr="76C5F75F">
              <w:rPr>
                <w:lang w:eastAsia="hr-HR"/>
              </w:rPr>
              <w:t>)</w:t>
            </w:r>
          </w:p>
        </w:tc>
      </w:tr>
      <w:tr w:rsidR="004949CA" w:rsidRPr="001A7549" w14:paraId="3E6D83E6" w14:textId="77777777" w:rsidTr="76C5F75F">
        <w:trPr>
          <w:cantSplit/>
        </w:trPr>
        <w:tc>
          <w:tcPr>
            <w:tcW w:w="1538" w:type="dxa"/>
            <w:vAlign w:val="center"/>
          </w:tcPr>
          <w:p w14:paraId="0BBE114C" w14:textId="77777777" w:rsidR="004949CA" w:rsidRPr="001A7549" w:rsidRDefault="004949CA" w:rsidP="002966DD">
            <w:pPr>
              <w:spacing w:before="60"/>
              <w:rPr>
                <w:lang w:eastAsia="hr-HR"/>
              </w:rPr>
            </w:pPr>
            <w:r w:rsidRPr="001A7549">
              <w:rPr>
                <w:lang w:eastAsia="hr-HR"/>
              </w:rPr>
              <w:t>VSZ</w:t>
            </w:r>
          </w:p>
        </w:tc>
        <w:tc>
          <w:tcPr>
            <w:tcW w:w="7816" w:type="dxa"/>
            <w:gridSpan w:val="2"/>
            <w:vAlign w:val="center"/>
          </w:tcPr>
          <w:p w14:paraId="15AA3986" w14:textId="77777777" w:rsidR="004949CA" w:rsidRPr="001A7549" w:rsidRDefault="004949CA" w:rsidP="002966DD">
            <w:pPr>
              <w:spacing w:before="60"/>
              <w:rPr>
                <w:lang w:eastAsia="hr-HR"/>
              </w:rPr>
            </w:pPr>
            <w:r w:rsidRPr="001A7549">
              <w:rPr>
                <w:lang w:eastAsia="hr-HR"/>
              </w:rPr>
              <w:t>višestambene zgrade</w:t>
            </w:r>
          </w:p>
        </w:tc>
      </w:tr>
    </w:tbl>
    <w:p w14:paraId="0A69ED91" w14:textId="77777777" w:rsidR="004949CA" w:rsidRPr="0091152F" w:rsidRDefault="004949CA" w:rsidP="004949CA">
      <w:pPr>
        <w:pStyle w:val="Naslov10"/>
        <w:numPr>
          <w:ilvl w:val="0"/>
          <w:numId w:val="0"/>
        </w:numPr>
        <w:ind w:left="432" w:hanging="432"/>
      </w:pPr>
      <w:bookmarkStart w:id="21" w:name="_Toc81836270"/>
      <w:bookmarkStart w:id="22" w:name="_Toc83912042"/>
      <w:r w:rsidRPr="0091152F">
        <w:lastRenderedPageBreak/>
        <w:t>Sažetak</w:t>
      </w:r>
      <w:bookmarkEnd w:id="21"/>
      <w:bookmarkEnd w:id="22"/>
    </w:p>
    <w:p w14:paraId="1CCB9371" w14:textId="02EBE465" w:rsidR="004949CA" w:rsidRPr="00DB4B41" w:rsidRDefault="004949CA" w:rsidP="002966DD">
      <w:pPr>
        <w:jc w:val="both"/>
        <w:rPr>
          <w:rFonts w:ascii="Tahoma" w:hAnsi="Tahoma" w:cs="Tahoma"/>
          <w:sz w:val="20"/>
          <w:szCs w:val="20"/>
        </w:rPr>
      </w:pPr>
      <w:r w:rsidRPr="3A2FA2E0">
        <w:rPr>
          <w:rFonts w:ascii="Tahoma" w:hAnsi="Tahoma" w:cs="Tahoma"/>
          <w:sz w:val="20"/>
          <w:szCs w:val="20"/>
          <w:lang w:eastAsia="hr-HR"/>
        </w:rPr>
        <w:t xml:space="preserve">Program energetske obnove donosi se temeljem Zakona o gradnji </w:t>
      </w:r>
      <w:r w:rsidRPr="3A2FA2E0">
        <w:rPr>
          <w:rFonts w:ascii="Tahoma" w:hAnsi="Tahoma" w:cs="Tahoma"/>
          <w:sz w:val="20"/>
          <w:szCs w:val="20"/>
        </w:rPr>
        <w:t xml:space="preserve">(Narodne novine, br. 153/2013, 20/1207, 39/2019 i 125/2019), a usklađen je s Nacionalnom razvojnom strategijom Republike Hrvatske do 2030. godine, </w:t>
      </w:r>
      <w:r w:rsidR="002B71FC" w:rsidRPr="3A2FA2E0">
        <w:rPr>
          <w:rFonts w:ascii="Tahoma" w:hAnsi="Tahoma" w:cs="Tahoma"/>
          <w:sz w:val="20"/>
          <w:szCs w:val="20"/>
        </w:rPr>
        <w:t xml:space="preserve">Strategijom </w:t>
      </w:r>
      <w:proofErr w:type="spellStart"/>
      <w:r w:rsidR="002B71FC" w:rsidRPr="3A2FA2E0">
        <w:rPr>
          <w:rFonts w:ascii="Tahoma" w:hAnsi="Tahoma" w:cs="Tahoma"/>
          <w:sz w:val="20"/>
          <w:szCs w:val="20"/>
        </w:rPr>
        <w:t>niskougljičnog</w:t>
      </w:r>
      <w:proofErr w:type="spellEnd"/>
      <w:r w:rsidR="002B71FC" w:rsidRPr="3A2FA2E0">
        <w:rPr>
          <w:rFonts w:ascii="Tahoma" w:hAnsi="Tahoma" w:cs="Tahoma"/>
          <w:sz w:val="20"/>
          <w:szCs w:val="20"/>
        </w:rPr>
        <w:t xml:space="preserve"> razvoja </w:t>
      </w:r>
      <w:r w:rsidR="00F01893" w:rsidRPr="3A2FA2E0">
        <w:rPr>
          <w:rFonts w:ascii="Tahoma" w:hAnsi="Tahoma" w:cs="Tahoma"/>
          <w:sz w:val="20"/>
          <w:szCs w:val="20"/>
        </w:rPr>
        <w:t xml:space="preserve">Republike Hrvatske </w:t>
      </w:r>
      <w:r w:rsidR="00CC2071" w:rsidRPr="3A2FA2E0">
        <w:rPr>
          <w:rFonts w:ascii="Tahoma" w:hAnsi="Tahoma" w:cs="Tahoma"/>
          <w:sz w:val="20"/>
          <w:szCs w:val="20"/>
        </w:rPr>
        <w:t xml:space="preserve">do 2030. s pogledom </w:t>
      </w:r>
      <w:r w:rsidR="363D9CEA" w:rsidRPr="3A2FA2E0">
        <w:rPr>
          <w:rFonts w:ascii="Tahoma" w:hAnsi="Tahoma" w:cs="Tahoma"/>
          <w:sz w:val="20"/>
          <w:szCs w:val="20"/>
        </w:rPr>
        <w:t>na</w:t>
      </w:r>
      <w:r w:rsidR="00CC2071" w:rsidRPr="3A2FA2E0">
        <w:rPr>
          <w:rFonts w:ascii="Tahoma" w:hAnsi="Tahoma" w:cs="Tahoma"/>
          <w:sz w:val="20"/>
          <w:szCs w:val="20"/>
        </w:rPr>
        <w:t xml:space="preserve"> 2050. godin</w:t>
      </w:r>
      <w:r w:rsidR="06C255C1" w:rsidRPr="3A2FA2E0">
        <w:rPr>
          <w:rFonts w:ascii="Tahoma" w:hAnsi="Tahoma" w:cs="Tahoma"/>
          <w:sz w:val="20"/>
          <w:szCs w:val="20"/>
        </w:rPr>
        <w:t>u</w:t>
      </w:r>
      <w:r w:rsidR="00CC2071" w:rsidRPr="3A2FA2E0">
        <w:rPr>
          <w:rFonts w:ascii="Tahoma" w:hAnsi="Tahoma" w:cs="Tahoma"/>
          <w:sz w:val="20"/>
          <w:szCs w:val="20"/>
        </w:rPr>
        <w:t xml:space="preserve">, </w:t>
      </w:r>
      <w:r w:rsidRPr="3A2FA2E0">
        <w:rPr>
          <w:rFonts w:ascii="Tahoma" w:hAnsi="Tahoma" w:cs="Tahoma"/>
          <w:sz w:val="20"/>
          <w:szCs w:val="20"/>
        </w:rPr>
        <w:t xml:space="preserve">Integriranim nacionalnim energetskim i klimatskim planom za Republiku Hrvatsku za razdoblje od 2021. do 2030. godine i Dugoročnom strategijom obnove nacionalnog fonda zgrada Republike Hrvatske do 2050. godine. U tom smislu, ovaj Program doprinosi strateškom cilju da sve zgrade u </w:t>
      </w:r>
      <w:r w:rsidR="00223AAD" w:rsidRPr="3A2FA2E0">
        <w:rPr>
          <w:rFonts w:ascii="Tahoma" w:hAnsi="Tahoma" w:cs="Tahoma"/>
          <w:sz w:val="20"/>
          <w:szCs w:val="20"/>
        </w:rPr>
        <w:t>Hrvatskoj</w:t>
      </w:r>
      <w:r w:rsidRPr="3A2FA2E0">
        <w:rPr>
          <w:rFonts w:ascii="Tahoma" w:hAnsi="Tahoma" w:cs="Tahoma"/>
          <w:sz w:val="20"/>
          <w:szCs w:val="20"/>
        </w:rPr>
        <w:t xml:space="preserve"> 2050. godine budu gotovo nula energetske ili s visokom razinom energetske učinkovitosti. </w:t>
      </w:r>
    </w:p>
    <w:p w14:paraId="48E41FA1" w14:textId="603EC0A0" w:rsidR="004949CA" w:rsidRPr="00DB4B41" w:rsidRDefault="004949CA" w:rsidP="002966DD">
      <w:pPr>
        <w:jc w:val="both"/>
        <w:rPr>
          <w:rFonts w:ascii="Tahoma" w:hAnsi="Tahoma" w:cs="Tahoma"/>
          <w:sz w:val="20"/>
          <w:szCs w:val="20"/>
        </w:rPr>
      </w:pPr>
      <w:r w:rsidRPr="00DB4B41">
        <w:rPr>
          <w:rFonts w:ascii="Tahoma" w:hAnsi="Tahoma" w:cs="Tahoma"/>
          <w:sz w:val="20"/>
          <w:szCs w:val="20"/>
        </w:rPr>
        <w:t xml:space="preserve">Program se odnosi na segment višestambenih zgrada (VSZ), koje predstavljaju oko 35% ukupnog stambenog fonda odnosno oko 27% ukupnog fonda zgrada u </w:t>
      </w:r>
      <w:r w:rsidR="00223AAD">
        <w:rPr>
          <w:rFonts w:ascii="Tahoma" w:hAnsi="Tahoma" w:cs="Tahoma"/>
          <w:sz w:val="20"/>
          <w:szCs w:val="20"/>
        </w:rPr>
        <w:t>Hrvatskoj</w:t>
      </w:r>
      <w:r w:rsidRPr="00DB4B41">
        <w:rPr>
          <w:rFonts w:ascii="Tahoma" w:hAnsi="Tahoma" w:cs="Tahoma"/>
          <w:sz w:val="20"/>
          <w:szCs w:val="20"/>
        </w:rPr>
        <w:t xml:space="preserve">. Oko 32% ukupne isporučene energije sektoru kućanstva otpada na VSZ, a od toga se oko 80% troši na toplinske potrebe, odnosno grijanje i hlađenje prostora te pripremu potrošne tople vode. U strukturi potrošnje energenata vidljiva je dominacija ogrjevnog drva s gotovo 50% u cijelom sektoru kućanstava, dok je za višestambene zgrade taj udio ipak manji i iznosi oko 35%. Ipak, u VSZ je ogrjevno drvo najzastupljeniji energent (ispred prirodnog plina i centraliziranih toplinskih sustava), što ukazuje na potrebu zamjene ovakvih sustava modernijim sustavima koji također koriste obnovljive izvore energije. </w:t>
      </w:r>
    </w:p>
    <w:p w14:paraId="729E4B90" w14:textId="7FAFF735" w:rsidR="004949CA" w:rsidRPr="00DB4B41" w:rsidRDefault="004949CA" w:rsidP="002966DD">
      <w:pPr>
        <w:jc w:val="both"/>
        <w:rPr>
          <w:rFonts w:ascii="Tahoma" w:hAnsi="Tahoma" w:cs="Tahoma"/>
          <w:sz w:val="20"/>
          <w:szCs w:val="20"/>
          <w:lang w:eastAsia="hr-HR"/>
        </w:rPr>
      </w:pPr>
      <w:r w:rsidRPr="479139E7">
        <w:rPr>
          <w:rFonts w:ascii="Tahoma" w:hAnsi="Tahoma" w:cs="Tahoma"/>
          <w:sz w:val="20"/>
          <w:szCs w:val="20"/>
        </w:rPr>
        <w:t xml:space="preserve">Fokus Programa je na zgradama s najlošijim energetskim svojstvima (energetskog razreda D po </w:t>
      </w:r>
      <w:proofErr w:type="spellStart"/>
      <w:r w:rsidRPr="479139E7">
        <w:rPr>
          <w:rFonts w:ascii="Tahoma" w:hAnsi="Tahoma" w:cs="Tahoma"/>
          <w:sz w:val="20"/>
          <w:szCs w:val="20"/>
        </w:rPr>
        <w:t>Q</w:t>
      </w:r>
      <w:r w:rsidR="263C06D0" w:rsidRPr="479139E7">
        <w:rPr>
          <w:rFonts w:ascii="Tahoma" w:hAnsi="Tahoma" w:cs="Tahoma"/>
          <w:sz w:val="20"/>
          <w:szCs w:val="20"/>
        </w:rPr>
        <w:t>”</w:t>
      </w:r>
      <w:r w:rsidRPr="479139E7">
        <w:rPr>
          <w:rFonts w:ascii="Tahoma" w:hAnsi="Tahoma" w:cs="Tahoma"/>
          <w:sz w:val="20"/>
          <w:szCs w:val="20"/>
          <w:vertAlign w:val="subscript"/>
        </w:rPr>
        <w:t>H,nd</w:t>
      </w:r>
      <w:proofErr w:type="spellEnd"/>
      <w:r w:rsidRPr="479139E7">
        <w:rPr>
          <w:rFonts w:ascii="Tahoma" w:hAnsi="Tahoma" w:cs="Tahoma"/>
          <w:sz w:val="20"/>
          <w:szCs w:val="20"/>
        </w:rPr>
        <w:t xml:space="preserve"> ili lošijeg u kontinentalnoj te C ili lošijeg u primorskoj Hrvatskoj). </w:t>
      </w:r>
      <w:r w:rsidRPr="479139E7">
        <w:rPr>
          <w:rFonts w:ascii="Tahoma" w:hAnsi="Tahoma" w:cs="Tahoma"/>
          <w:sz w:val="20"/>
          <w:szCs w:val="20"/>
          <w:lang w:eastAsia="hr-HR"/>
        </w:rPr>
        <w:t xml:space="preserve">Oko 34% </w:t>
      </w:r>
      <w:r w:rsidRPr="479139E7">
        <w:rPr>
          <w:rFonts w:ascii="Tahoma" w:hAnsi="Tahoma" w:cs="Tahoma"/>
          <w:sz w:val="20"/>
          <w:szCs w:val="20"/>
        </w:rPr>
        <w:t xml:space="preserve">višestambenih zgrada </w:t>
      </w:r>
      <w:r w:rsidRPr="479139E7">
        <w:rPr>
          <w:rFonts w:ascii="Tahoma" w:hAnsi="Tahoma" w:cs="Tahoma"/>
          <w:sz w:val="20"/>
          <w:szCs w:val="20"/>
          <w:lang w:eastAsia="hr-HR"/>
        </w:rPr>
        <w:t>u kontinentalnoj Hrvatskoj spada u zgrade s najlošijim svojstvima, dok je u primorskoj Hrvatskoj takvih zgrada oko 30%. Ujedno, ove zgrade često imaju i loša konstrukcijska svojstva. Zbog toga se ovim Programom predviđa nekoliko kategorija obnove:</w:t>
      </w:r>
    </w:p>
    <w:p w14:paraId="3DC5B89E" w14:textId="21D7A3D1" w:rsidR="004949CA" w:rsidRPr="00F7592C" w:rsidRDefault="2F4A6F00" w:rsidP="2617B706">
      <w:pPr>
        <w:pStyle w:val="Odlomakpopisa"/>
        <w:numPr>
          <w:ilvl w:val="0"/>
          <w:numId w:val="26"/>
        </w:numPr>
        <w:rPr>
          <w:rFonts w:cs="Tahoma"/>
        </w:rPr>
      </w:pPr>
      <w:r w:rsidRPr="797530A1">
        <w:rPr>
          <w:rFonts w:cs="Tahoma"/>
          <w:b/>
          <w:bCs/>
        </w:rPr>
        <w:t>Integralna energetska obnova</w:t>
      </w:r>
      <w:r w:rsidRPr="797530A1">
        <w:rPr>
          <w:rFonts w:cs="Tahoma"/>
        </w:rPr>
        <w:t xml:space="preserve"> - obuhvaća kombinaciju više mjera energetske obnove, a</w:t>
      </w:r>
      <w:r w:rsidRPr="797530A1">
        <w:rPr>
          <w:rFonts w:eastAsiaTheme="minorEastAsia" w:cs="Tahoma"/>
        </w:rPr>
        <w:t xml:space="preserve"> </w:t>
      </w:r>
      <w:r w:rsidRPr="797530A1">
        <w:rPr>
          <w:rFonts w:cs="Tahoma"/>
        </w:rPr>
        <w:t xml:space="preserve">obavezno uključuje jednu ili više mjera na ovojnici zgrade kojima se </w:t>
      </w:r>
      <w:r w:rsidR="6678A8D7" w:rsidRPr="797530A1">
        <w:rPr>
          <w:rFonts w:eastAsiaTheme="minorEastAsia" w:cs="Tahoma"/>
        </w:rPr>
        <w:t xml:space="preserve">ostvaruje </w:t>
      </w:r>
      <w:r w:rsidR="27C5E1CA" w:rsidRPr="797530A1">
        <w:rPr>
          <w:rFonts w:eastAsiaTheme="minorEastAsia" w:cs="Tahoma"/>
        </w:rPr>
        <w:t>ušted</w:t>
      </w:r>
      <w:r w:rsidR="2152F839" w:rsidRPr="797530A1">
        <w:rPr>
          <w:rFonts w:eastAsiaTheme="minorEastAsia" w:cs="Tahoma"/>
        </w:rPr>
        <w:t>a</w:t>
      </w:r>
      <w:r w:rsidR="749F08C4" w:rsidRPr="797530A1">
        <w:rPr>
          <w:rFonts w:eastAsiaTheme="minorEastAsia" w:cs="Tahoma"/>
        </w:rPr>
        <w:t xml:space="preserve"> godišnj</w:t>
      </w:r>
      <w:r w:rsidR="7C1D84A8" w:rsidRPr="797530A1">
        <w:rPr>
          <w:rFonts w:eastAsiaTheme="minorEastAsia" w:cs="Tahoma"/>
        </w:rPr>
        <w:t xml:space="preserve">e </w:t>
      </w:r>
      <w:r w:rsidR="749F08C4" w:rsidRPr="797530A1">
        <w:rPr>
          <w:rFonts w:eastAsiaTheme="minorEastAsia" w:cs="Tahoma"/>
        </w:rPr>
        <w:t>potrebn</w:t>
      </w:r>
      <w:r w:rsidR="7C1D84A8" w:rsidRPr="797530A1">
        <w:rPr>
          <w:rFonts w:eastAsiaTheme="minorEastAsia" w:cs="Tahoma"/>
        </w:rPr>
        <w:t>e</w:t>
      </w:r>
      <w:r w:rsidR="749F08C4" w:rsidRPr="797530A1">
        <w:rPr>
          <w:rFonts w:eastAsiaTheme="minorEastAsia" w:cs="Tahoma"/>
        </w:rPr>
        <w:t xml:space="preserve"> toplinsk</w:t>
      </w:r>
      <w:r w:rsidR="7C1D84A8" w:rsidRPr="797530A1">
        <w:rPr>
          <w:rFonts w:eastAsiaTheme="minorEastAsia" w:cs="Tahoma"/>
        </w:rPr>
        <w:t>e</w:t>
      </w:r>
      <w:r w:rsidR="749F08C4" w:rsidRPr="797530A1">
        <w:rPr>
          <w:rFonts w:eastAsiaTheme="minorEastAsia" w:cs="Tahoma"/>
        </w:rPr>
        <w:t xml:space="preserve"> </w:t>
      </w:r>
      <w:r w:rsidRPr="797530A1">
        <w:rPr>
          <w:rFonts w:eastAsiaTheme="minorEastAsia" w:cs="Tahoma"/>
        </w:rPr>
        <w:t>energije za grijanje (</w:t>
      </w:r>
      <w:proofErr w:type="spellStart"/>
      <w:r w:rsidRPr="797530A1">
        <w:rPr>
          <w:rFonts w:eastAsiaTheme="minorEastAsia" w:cs="Tahoma"/>
        </w:rPr>
        <w:t>Q</w:t>
      </w:r>
      <w:r w:rsidRPr="797530A1">
        <w:rPr>
          <w:rFonts w:eastAsiaTheme="minorEastAsia" w:cs="Tahoma"/>
          <w:vertAlign w:val="subscript"/>
        </w:rPr>
        <w:t>H,nd</w:t>
      </w:r>
      <w:proofErr w:type="spellEnd"/>
      <w:r w:rsidRPr="797530A1">
        <w:rPr>
          <w:rFonts w:eastAsiaTheme="minorEastAsia" w:cs="Tahoma"/>
        </w:rPr>
        <w:t xml:space="preserve">) od najmanje 50% u odnosu na </w:t>
      </w:r>
      <w:r w:rsidR="6CEF1B7E" w:rsidRPr="797530A1">
        <w:rPr>
          <w:rFonts w:eastAsiaTheme="minorEastAsia" w:cs="Tahoma"/>
        </w:rPr>
        <w:t>stanje</w:t>
      </w:r>
      <w:r w:rsidRPr="797530A1">
        <w:rPr>
          <w:rFonts w:eastAsiaTheme="minorEastAsia" w:cs="Tahoma"/>
        </w:rPr>
        <w:t xml:space="preserve"> prije obnove.</w:t>
      </w:r>
      <w:r w:rsidR="12ACD513" w:rsidRPr="797530A1">
        <w:rPr>
          <w:rFonts w:eastAsiaTheme="minorEastAsia" w:cs="Tahoma"/>
        </w:rPr>
        <w:t xml:space="preserve"> </w:t>
      </w:r>
      <w:r w:rsidRPr="797530A1">
        <w:rPr>
          <w:rFonts w:eastAsiaTheme="minorEastAsia" w:cs="Tahoma"/>
        </w:rPr>
        <w:t>Integralna energetska obnova iznimno može obuhvaćati samo</w:t>
      </w:r>
      <w:r w:rsidRPr="797530A1">
        <w:rPr>
          <w:rFonts w:cs="Tahoma"/>
        </w:rPr>
        <w:t xml:space="preserve"> jednu mjeru na ovojnici ako ona rezultira </w:t>
      </w:r>
      <w:r w:rsidR="5137FD96" w:rsidRPr="797530A1">
        <w:rPr>
          <w:rFonts w:cs="Tahoma"/>
        </w:rPr>
        <w:t>uštedom</w:t>
      </w:r>
      <w:r w:rsidR="471BF923" w:rsidRPr="797530A1">
        <w:rPr>
          <w:rFonts w:cs="Tahoma"/>
        </w:rPr>
        <w:t xml:space="preserve"> </w:t>
      </w:r>
      <w:r w:rsidR="767EB447" w:rsidRPr="797530A1">
        <w:rPr>
          <w:rFonts w:cs="Tahoma"/>
        </w:rPr>
        <w:t xml:space="preserve">godišnje </w:t>
      </w:r>
      <w:r w:rsidR="384D944A" w:rsidRPr="797530A1">
        <w:rPr>
          <w:rFonts w:cs="Tahoma"/>
        </w:rPr>
        <w:t>potrebne</w:t>
      </w:r>
      <w:r w:rsidRPr="797530A1">
        <w:rPr>
          <w:rFonts w:cs="Tahoma"/>
        </w:rPr>
        <w:t xml:space="preserve"> </w:t>
      </w:r>
      <w:r w:rsidR="4C0D99C9" w:rsidRPr="797530A1">
        <w:rPr>
          <w:rFonts w:cs="Tahoma"/>
        </w:rPr>
        <w:t xml:space="preserve">toplinske </w:t>
      </w:r>
      <w:r w:rsidRPr="797530A1">
        <w:rPr>
          <w:rFonts w:cs="Tahoma"/>
        </w:rPr>
        <w:t>energije za grijanje (</w:t>
      </w:r>
      <w:proofErr w:type="spellStart"/>
      <w:r w:rsidRPr="797530A1">
        <w:rPr>
          <w:rFonts w:cs="Tahoma"/>
        </w:rPr>
        <w:t>Q</w:t>
      </w:r>
      <w:r w:rsidRPr="797530A1">
        <w:rPr>
          <w:rFonts w:cs="Tahoma"/>
          <w:vertAlign w:val="subscript"/>
        </w:rPr>
        <w:t>H,nd</w:t>
      </w:r>
      <w:proofErr w:type="spellEnd"/>
      <w:r w:rsidRPr="797530A1">
        <w:rPr>
          <w:rFonts w:cs="Tahoma"/>
        </w:rPr>
        <w:t xml:space="preserve">)   od najmanje 50% u odnosu na </w:t>
      </w:r>
      <w:r w:rsidR="11E6319E" w:rsidRPr="797530A1">
        <w:rPr>
          <w:rFonts w:cs="Tahoma"/>
        </w:rPr>
        <w:t>stanje</w:t>
      </w:r>
      <w:r w:rsidRPr="797530A1">
        <w:rPr>
          <w:rFonts w:cs="Tahoma"/>
        </w:rPr>
        <w:t xml:space="preserve"> prije obnove</w:t>
      </w:r>
      <w:r w:rsidR="1F9B1566" w:rsidRPr="797530A1">
        <w:rPr>
          <w:rFonts w:cs="Tahoma"/>
        </w:rPr>
        <w:t>.</w:t>
      </w:r>
    </w:p>
    <w:p w14:paraId="65484F0D" w14:textId="1B159A92" w:rsidR="004949CA" w:rsidRPr="00DB4B41" w:rsidRDefault="046DAC16" w:rsidP="2617B706">
      <w:pPr>
        <w:pStyle w:val="Odlomakpopisa"/>
        <w:numPr>
          <w:ilvl w:val="0"/>
          <w:numId w:val="26"/>
        </w:numPr>
        <w:rPr>
          <w:rFonts w:cs="Tahoma"/>
        </w:rPr>
      </w:pPr>
      <w:r w:rsidRPr="3A2FA2E0">
        <w:rPr>
          <w:rFonts w:cs="Tahoma"/>
          <w:b/>
          <w:bCs/>
        </w:rPr>
        <w:t>Dubinska obnova</w:t>
      </w:r>
      <w:r w:rsidRPr="3A2FA2E0">
        <w:rPr>
          <w:rFonts w:cs="Tahoma"/>
        </w:rPr>
        <w:t xml:space="preserve"> - obuhvaća mjere energetske učinkovitosti na ovojnici i tehničkim sustavima te rezultira </w:t>
      </w:r>
      <w:r w:rsidR="2034E481" w:rsidRPr="3A2FA2E0">
        <w:rPr>
          <w:rFonts w:cs="Tahoma"/>
        </w:rPr>
        <w:t xml:space="preserve">uštedom </w:t>
      </w:r>
      <w:r w:rsidR="02E54A90" w:rsidRPr="3A2FA2E0">
        <w:rPr>
          <w:rFonts w:cs="Tahoma"/>
        </w:rPr>
        <w:t xml:space="preserve">godišnje </w:t>
      </w:r>
      <w:r w:rsidR="45D929AE" w:rsidRPr="3A2FA2E0">
        <w:rPr>
          <w:rFonts w:cs="Tahoma"/>
        </w:rPr>
        <w:t xml:space="preserve">potrebne </w:t>
      </w:r>
      <w:r w:rsidR="36C15AF3" w:rsidRPr="3A2FA2E0">
        <w:rPr>
          <w:rFonts w:cs="Tahoma"/>
        </w:rPr>
        <w:t xml:space="preserve">toplinske </w:t>
      </w:r>
      <w:r w:rsidRPr="3A2FA2E0">
        <w:rPr>
          <w:rFonts w:cs="Tahoma"/>
        </w:rPr>
        <w:t>energije za grijanje (</w:t>
      </w:r>
      <w:proofErr w:type="spellStart"/>
      <w:r w:rsidRPr="3A2FA2E0">
        <w:rPr>
          <w:rFonts w:cs="Tahoma"/>
        </w:rPr>
        <w:t>Q</w:t>
      </w:r>
      <w:r w:rsidRPr="3A2FA2E0">
        <w:rPr>
          <w:rFonts w:cs="Tahoma"/>
          <w:vertAlign w:val="subscript"/>
        </w:rPr>
        <w:t>H,nd</w:t>
      </w:r>
      <w:proofErr w:type="spellEnd"/>
      <w:r w:rsidRPr="3A2FA2E0">
        <w:rPr>
          <w:rFonts w:cs="Tahoma"/>
        </w:rPr>
        <w:t>) i primarne energije (</w:t>
      </w:r>
      <w:proofErr w:type="spellStart"/>
      <w:r w:rsidRPr="3A2FA2E0">
        <w:rPr>
          <w:rFonts w:cs="Tahoma"/>
        </w:rPr>
        <w:t>E</w:t>
      </w:r>
      <w:r w:rsidRPr="3A2FA2E0">
        <w:rPr>
          <w:rFonts w:cs="Tahoma"/>
          <w:vertAlign w:val="subscript"/>
        </w:rPr>
        <w:t>prim</w:t>
      </w:r>
      <w:proofErr w:type="spellEnd"/>
      <w:r w:rsidRPr="3A2FA2E0">
        <w:rPr>
          <w:rFonts w:cs="Tahoma"/>
        </w:rPr>
        <w:t xml:space="preserve">) na godišnjoj razini od najmanje 50% u odnosu na </w:t>
      </w:r>
      <w:r w:rsidR="2034E481" w:rsidRPr="3A2FA2E0">
        <w:rPr>
          <w:rFonts w:cs="Tahoma"/>
        </w:rPr>
        <w:t xml:space="preserve">stanje </w:t>
      </w:r>
      <w:r w:rsidRPr="3A2FA2E0">
        <w:rPr>
          <w:rFonts w:cs="Tahoma"/>
        </w:rPr>
        <w:t>prije obnove</w:t>
      </w:r>
      <w:r w:rsidR="647C4CBA" w:rsidRPr="3A2FA2E0">
        <w:rPr>
          <w:rFonts w:cs="Tahoma"/>
        </w:rPr>
        <w:t>.</w:t>
      </w:r>
    </w:p>
    <w:p w14:paraId="220D94C5" w14:textId="19BF0D27" w:rsidR="004949CA" w:rsidRPr="00DB4B41" w:rsidRDefault="137C0FFA" w:rsidP="2617B706">
      <w:pPr>
        <w:pStyle w:val="Odlomakpopisa"/>
        <w:numPr>
          <w:ilvl w:val="0"/>
          <w:numId w:val="26"/>
        </w:numPr>
        <w:rPr>
          <w:rFonts w:cs="Tahoma"/>
        </w:rPr>
      </w:pPr>
      <w:r w:rsidRPr="2617B706">
        <w:rPr>
          <w:rFonts w:cs="Tahoma"/>
          <w:b/>
          <w:bCs/>
        </w:rPr>
        <w:t>Sveobuhvatna obnova</w:t>
      </w:r>
      <w:r w:rsidR="7F428B12" w:rsidRPr="2617B706">
        <w:rPr>
          <w:rFonts w:cs="Tahoma"/>
          <w:b/>
          <w:bCs/>
        </w:rPr>
        <w:t xml:space="preserve"> - </w:t>
      </w:r>
      <w:r w:rsidRPr="2617B706">
        <w:rPr>
          <w:rFonts w:cs="Tahoma"/>
        </w:rPr>
        <w:t>obuhvaća optimalne mjere unapređenja postojećeg stanja zgrade te osim mjera energetske obnove zgrade uključuje i mjere poput:</w:t>
      </w:r>
    </w:p>
    <w:p w14:paraId="7E110462" w14:textId="77777777" w:rsidR="004949CA" w:rsidRPr="00DB4B41" w:rsidRDefault="137C0FFA" w:rsidP="2617B706">
      <w:pPr>
        <w:pStyle w:val="Odlomakpopisa"/>
        <w:numPr>
          <w:ilvl w:val="0"/>
          <w:numId w:val="48"/>
        </w:numPr>
        <w:rPr>
          <w:rFonts w:cs="Tahoma"/>
        </w:rPr>
      </w:pPr>
      <w:r w:rsidRPr="2617B706">
        <w:rPr>
          <w:rFonts w:cs="Tahoma"/>
        </w:rPr>
        <w:t xml:space="preserve">povećanja sigurnosti u slučaju požara, </w:t>
      </w:r>
    </w:p>
    <w:p w14:paraId="6DE213FE" w14:textId="77777777" w:rsidR="004949CA" w:rsidRPr="00DB4B41" w:rsidRDefault="137C0FFA" w:rsidP="2617B706">
      <w:pPr>
        <w:pStyle w:val="Odlomakpopisa"/>
        <w:numPr>
          <w:ilvl w:val="0"/>
          <w:numId w:val="48"/>
        </w:numPr>
        <w:rPr>
          <w:rFonts w:cs="Tahoma"/>
        </w:rPr>
      </w:pPr>
      <w:r w:rsidRPr="2617B706">
        <w:rPr>
          <w:rFonts w:cs="Tahoma"/>
        </w:rPr>
        <w:t>mjere za osiguravanje zdravih unutarnjih klimatskih uvjeta te</w:t>
      </w:r>
    </w:p>
    <w:p w14:paraId="61B7CC32" w14:textId="35BF0DAF" w:rsidR="001C4B73" w:rsidRPr="00705CA9" w:rsidRDefault="137C0FFA" w:rsidP="2617B706">
      <w:pPr>
        <w:pStyle w:val="Odlomakpopisa"/>
        <w:numPr>
          <w:ilvl w:val="0"/>
          <w:numId w:val="48"/>
        </w:numPr>
        <w:rPr>
          <w:rFonts w:cs="Tahoma"/>
        </w:rPr>
      </w:pPr>
      <w:r w:rsidRPr="2617B706">
        <w:rPr>
          <w:rFonts w:cs="Tahoma"/>
        </w:rPr>
        <w:t>mjere za unaprjeđenje ispunjavanja temeljnog zahtjeva mehaničke otpornosti i stabilnosti  zgrade, posebice radi povećanja potresne otpornosti zgrade, a može uključivati i druge mjere kojima se unaprjeđuje ispunjavanje temeljnih zahtjeva za građevinu</w:t>
      </w:r>
      <w:r w:rsidRPr="2617B706">
        <w:rPr>
          <w:rFonts w:eastAsiaTheme="minorEastAsia" w:cs="Tahoma"/>
          <w:lang w:eastAsia="en-US"/>
        </w:rPr>
        <w:t xml:space="preserve">. </w:t>
      </w:r>
    </w:p>
    <w:p w14:paraId="697A78C2" w14:textId="68B46071" w:rsidR="004949CA" w:rsidRPr="00DB4B41" w:rsidRDefault="2F4A6F00" w:rsidP="002966DD">
      <w:pPr>
        <w:jc w:val="both"/>
        <w:rPr>
          <w:rFonts w:ascii="Tahoma" w:hAnsi="Tahoma" w:cs="Tahoma"/>
          <w:b/>
          <w:bCs/>
          <w:sz w:val="20"/>
          <w:szCs w:val="20"/>
        </w:rPr>
      </w:pPr>
      <w:r w:rsidRPr="797530A1">
        <w:rPr>
          <w:rFonts w:ascii="Tahoma" w:hAnsi="Tahoma" w:cs="Tahoma"/>
          <w:b/>
          <w:bCs/>
          <w:sz w:val="20"/>
          <w:szCs w:val="20"/>
        </w:rPr>
        <w:t xml:space="preserve">Osnovni uvjet za sudjelovanje VSZ u ovom Programu je </w:t>
      </w:r>
      <w:r w:rsidR="5044259C" w:rsidRPr="797530A1">
        <w:rPr>
          <w:rFonts w:ascii="Tahoma" w:hAnsi="Tahoma" w:cs="Tahoma"/>
          <w:b/>
          <w:bCs/>
          <w:sz w:val="20"/>
          <w:szCs w:val="20"/>
        </w:rPr>
        <w:t xml:space="preserve">ušteda </w:t>
      </w:r>
      <w:r w:rsidR="2F03C080" w:rsidRPr="797530A1">
        <w:rPr>
          <w:rFonts w:ascii="Tahoma" w:hAnsi="Tahoma" w:cs="Tahoma"/>
          <w:b/>
          <w:bCs/>
          <w:sz w:val="20"/>
          <w:szCs w:val="20"/>
        </w:rPr>
        <w:t xml:space="preserve">godišnje </w:t>
      </w:r>
      <w:r w:rsidR="502C6801" w:rsidRPr="797530A1">
        <w:rPr>
          <w:rFonts w:ascii="Tahoma" w:hAnsi="Tahoma" w:cs="Tahoma"/>
          <w:b/>
          <w:bCs/>
          <w:sz w:val="20"/>
          <w:szCs w:val="20"/>
        </w:rPr>
        <w:t xml:space="preserve">potrebne </w:t>
      </w:r>
      <w:r w:rsidR="07CBF003" w:rsidRPr="797530A1">
        <w:rPr>
          <w:rFonts w:ascii="Tahoma" w:hAnsi="Tahoma" w:cs="Tahoma"/>
          <w:b/>
          <w:bCs/>
          <w:sz w:val="20"/>
          <w:szCs w:val="20"/>
        </w:rPr>
        <w:t xml:space="preserve">toplinske </w:t>
      </w:r>
      <w:r w:rsidRPr="797530A1">
        <w:rPr>
          <w:rFonts w:ascii="Tahoma" w:hAnsi="Tahoma" w:cs="Tahoma"/>
          <w:b/>
          <w:bCs/>
          <w:sz w:val="20"/>
          <w:szCs w:val="20"/>
        </w:rPr>
        <w:t>energije za grijanje (</w:t>
      </w:r>
      <w:proofErr w:type="spellStart"/>
      <w:r w:rsidRPr="797530A1">
        <w:rPr>
          <w:rFonts w:ascii="Tahoma" w:hAnsi="Tahoma" w:cs="Tahoma"/>
          <w:b/>
          <w:bCs/>
          <w:sz w:val="20"/>
          <w:szCs w:val="20"/>
        </w:rPr>
        <w:t>Q</w:t>
      </w:r>
      <w:r w:rsidRPr="797530A1">
        <w:rPr>
          <w:rFonts w:ascii="Tahoma" w:hAnsi="Tahoma" w:cs="Tahoma"/>
          <w:b/>
          <w:bCs/>
          <w:sz w:val="20"/>
          <w:szCs w:val="20"/>
          <w:vertAlign w:val="subscript"/>
        </w:rPr>
        <w:t>H,nd</w:t>
      </w:r>
      <w:proofErr w:type="spellEnd"/>
      <w:r w:rsidRPr="797530A1">
        <w:rPr>
          <w:rFonts w:ascii="Tahoma" w:hAnsi="Tahoma" w:cs="Tahoma"/>
          <w:b/>
          <w:bCs/>
          <w:sz w:val="20"/>
          <w:szCs w:val="20"/>
        </w:rPr>
        <w:t>)  od najmanje 50% u odnosu na</w:t>
      </w:r>
      <w:r w:rsidR="703ECD71" w:rsidRPr="797530A1">
        <w:rPr>
          <w:rFonts w:ascii="Tahoma" w:hAnsi="Tahoma" w:cs="Tahoma"/>
          <w:b/>
          <w:bCs/>
          <w:sz w:val="20"/>
          <w:szCs w:val="20"/>
        </w:rPr>
        <w:t xml:space="preserve"> stanje </w:t>
      </w:r>
      <w:r w:rsidRPr="797530A1">
        <w:rPr>
          <w:rFonts w:ascii="Tahoma" w:hAnsi="Tahoma" w:cs="Tahoma"/>
          <w:b/>
          <w:bCs/>
          <w:sz w:val="20"/>
          <w:szCs w:val="20"/>
        </w:rPr>
        <w:t>prije obnove, bez obzira o kojoj kategoriji obnove se radi.</w:t>
      </w:r>
    </w:p>
    <w:p w14:paraId="1A77A3B7" w14:textId="5FA99F9B" w:rsidR="004949CA" w:rsidRPr="00DB4B41" w:rsidRDefault="004949CA" w:rsidP="002966DD">
      <w:pPr>
        <w:jc w:val="both"/>
        <w:rPr>
          <w:rFonts w:ascii="Tahoma" w:hAnsi="Tahoma" w:cs="Tahoma"/>
          <w:sz w:val="20"/>
          <w:szCs w:val="20"/>
        </w:rPr>
      </w:pPr>
      <w:r w:rsidRPr="00DB4B41">
        <w:rPr>
          <w:rFonts w:ascii="Tahoma" w:hAnsi="Tahoma" w:cs="Tahoma"/>
          <w:sz w:val="20"/>
          <w:szCs w:val="20"/>
        </w:rPr>
        <w:t xml:space="preserve">Prema analizama koje su napravljene u Dugoročnoj strategiji obnove nacionalnog fonda zgrada </w:t>
      </w:r>
      <w:r w:rsidR="00223AAD">
        <w:rPr>
          <w:rFonts w:ascii="Tahoma" w:hAnsi="Tahoma" w:cs="Tahoma"/>
          <w:sz w:val="20"/>
          <w:szCs w:val="20"/>
        </w:rPr>
        <w:t xml:space="preserve">Republike </w:t>
      </w:r>
      <w:r w:rsidR="0022782F">
        <w:rPr>
          <w:rFonts w:ascii="Tahoma" w:hAnsi="Tahoma" w:cs="Tahoma"/>
          <w:sz w:val="20"/>
          <w:szCs w:val="20"/>
        </w:rPr>
        <w:t>Hrvatske</w:t>
      </w:r>
      <w:r w:rsidRPr="00DB4B41">
        <w:rPr>
          <w:rFonts w:ascii="Tahoma" w:hAnsi="Tahoma" w:cs="Tahoma"/>
          <w:sz w:val="20"/>
          <w:szCs w:val="20"/>
        </w:rPr>
        <w:t xml:space="preserve"> do 2050. godine, predviđa se da će 50% višestambenih zgrada morati ići na sveobuhvatnu obnovu (koja uključuje mjere povećanja potresne otpornosti), a da će ostalih 50% provesti samo neku od razina energetske obnove.</w:t>
      </w:r>
    </w:p>
    <w:p w14:paraId="7AD052E8" w14:textId="77777777" w:rsidR="004949CA" w:rsidRPr="00DB4B41" w:rsidRDefault="004949CA" w:rsidP="002966DD">
      <w:pPr>
        <w:jc w:val="both"/>
        <w:rPr>
          <w:rFonts w:ascii="Tahoma" w:hAnsi="Tahoma" w:cs="Tahoma"/>
          <w:sz w:val="20"/>
          <w:szCs w:val="20"/>
        </w:rPr>
      </w:pPr>
      <w:r w:rsidRPr="00DB4B41">
        <w:rPr>
          <w:rFonts w:ascii="Tahoma" w:hAnsi="Tahoma" w:cs="Tahoma"/>
          <w:b/>
          <w:bCs/>
          <w:sz w:val="20"/>
          <w:szCs w:val="20"/>
        </w:rPr>
        <w:t>Ukupno bi u razdoblju do 2030. godine trebalo obnoviti oko 6,3 milijuna m</w:t>
      </w:r>
      <w:r w:rsidRPr="00DB4B41">
        <w:rPr>
          <w:rFonts w:ascii="Tahoma" w:hAnsi="Tahoma" w:cs="Tahoma"/>
          <w:b/>
          <w:bCs/>
          <w:sz w:val="20"/>
          <w:szCs w:val="20"/>
          <w:vertAlign w:val="superscript"/>
        </w:rPr>
        <w:t>2</w:t>
      </w:r>
      <w:r w:rsidRPr="00DB4B41">
        <w:rPr>
          <w:rFonts w:ascii="Tahoma" w:hAnsi="Tahoma" w:cs="Tahoma"/>
          <w:b/>
          <w:bCs/>
          <w:sz w:val="20"/>
          <w:szCs w:val="20"/>
        </w:rPr>
        <w:t xml:space="preserve"> u VSZ</w:t>
      </w:r>
      <w:r w:rsidRPr="00DB4B41">
        <w:rPr>
          <w:rFonts w:ascii="Tahoma" w:hAnsi="Tahoma" w:cs="Tahoma"/>
          <w:sz w:val="20"/>
          <w:szCs w:val="20"/>
        </w:rPr>
        <w:t>. To bi na godišnjoj razini značilo obnovu prosječno oko 700.000 m</w:t>
      </w:r>
      <w:r w:rsidRPr="00DB4B41">
        <w:rPr>
          <w:rFonts w:ascii="Tahoma" w:hAnsi="Tahoma" w:cs="Tahoma"/>
          <w:sz w:val="20"/>
          <w:szCs w:val="20"/>
          <w:vertAlign w:val="superscript"/>
        </w:rPr>
        <w:t>2</w:t>
      </w:r>
      <w:r w:rsidRPr="00DB4B41">
        <w:rPr>
          <w:rFonts w:ascii="Tahoma" w:hAnsi="Tahoma" w:cs="Tahoma"/>
          <w:sz w:val="20"/>
          <w:szCs w:val="20"/>
        </w:rPr>
        <w:t xml:space="preserve">, u razdoblju od 2022. do 2030. godine, čime bi </w:t>
      </w:r>
      <w:r w:rsidRPr="00DB4B41">
        <w:rPr>
          <w:rFonts w:ascii="Tahoma" w:hAnsi="Tahoma" w:cs="Tahoma"/>
          <w:sz w:val="20"/>
          <w:szCs w:val="20"/>
        </w:rPr>
        <w:lastRenderedPageBreak/>
        <w:t>se ostvarili ciljevi Dugoročne strategije obnove nacionalnog fonda zgrada Republike Hrvatske do 2050. godine.</w:t>
      </w:r>
    </w:p>
    <w:p w14:paraId="25098DA9" w14:textId="6D907B30" w:rsidR="004949CA" w:rsidRPr="00DB4B41" w:rsidRDefault="004949CA" w:rsidP="002966DD">
      <w:pPr>
        <w:jc w:val="both"/>
        <w:rPr>
          <w:rFonts w:ascii="Tahoma" w:hAnsi="Tahoma" w:cs="Tahoma"/>
          <w:sz w:val="20"/>
          <w:szCs w:val="20"/>
          <w:lang w:eastAsia="hr-HR"/>
        </w:rPr>
      </w:pPr>
      <w:r w:rsidRPr="00DB4B41">
        <w:rPr>
          <w:rFonts w:ascii="Tahoma" w:hAnsi="Tahoma" w:cs="Tahoma"/>
          <w:sz w:val="20"/>
          <w:szCs w:val="20"/>
        </w:rPr>
        <w:t xml:space="preserve">Provedbom Programa energetske obnove višestambenih zgrada na način da ostvari ciljane obnovljene površine u skladu s Dugoročnom strategijom obnove nacionalnog fonda zgrada Republike Hrvatske do 2050. godine, </w:t>
      </w:r>
      <w:r w:rsidRPr="00DB4B41">
        <w:rPr>
          <w:rFonts w:ascii="Tahoma" w:hAnsi="Tahoma" w:cs="Tahoma"/>
          <w:sz w:val="20"/>
          <w:szCs w:val="20"/>
          <w:lang w:eastAsia="hr-HR"/>
        </w:rPr>
        <w:t xml:space="preserve">ostvarile bi se uštede u neposrednoj potrošnji energije u 2030. godine u iznosu od 518,16 GWh, a primarne energije u iznosu 658,66 GWh. Kumulativne uštede u neposrednoj potrošnji energije u razdoblju od 2021. do 2030. godine u tom slučaju bi iznosile 2.348,0 GWh, što predstavlja nešto više od </w:t>
      </w:r>
      <w:r w:rsidRPr="00DB4B41">
        <w:rPr>
          <w:rFonts w:ascii="Tahoma" w:hAnsi="Tahoma" w:cs="Tahoma"/>
          <w:b/>
          <w:bCs/>
          <w:sz w:val="20"/>
          <w:szCs w:val="20"/>
          <w:lang w:eastAsia="hr-HR"/>
        </w:rPr>
        <w:t>22% nacionalnog cilja kumulativnih ušteda energije iz alternativnih mjera politike</w:t>
      </w:r>
      <w:r w:rsidRPr="00DB4B41">
        <w:rPr>
          <w:rFonts w:ascii="Tahoma" w:hAnsi="Tahoma" w:cs="Tahoma"/>
          <w:sz w:val="20"/>
          <w:szCs w:val="20"/>
          <w:lang w:eastAsia="hr-HR"/>
        </w:rPr>
        <w:t xml:space="preserve"> odnosno nešto manje od 7% ukupnog nacionalnog cilja. Očekivano smanjenje emisija CO</w:t>
      </w:r>
      <w:r w:rsidRPr="00DB4B41">
        <w:rPr>
          <w:rFonts w:ascii="Tahoma" w:hAnsi="Tahoma" w:cs="Tahoma"/>
          <w:sz w:val="20"/>
          <w:szCs w:val="20"/>
          <w:vertAlign w:val="subscript"/>
          <w:lang w:eastAsia="hr-HR"/>
        </w:rPr>
        <w:t>2</w:t>
      </w:r>
      <w:r w:rsidRPr="00DB4B41">
        <w:rPr>
          <w:rFonts w:ascii="Tahoma" w:hAnsi="Tahoma" w:cs="Tahoma"/>
          <w:sz w:val="20"/>
          <w:szCs w:val="20"/>
          <w:lang w:eastAsia="hr-HR"/>
        </w:rPr>
        <w:t xml:space="preserve"> u promatranom razdoblju je </w:t>
      </w:r>
      <w:r w:rsidRPr="00DB4B41">
        <w:rPr>
          <w:rFonts w:ascii="Tahoma" w:hAnsi="Tahoma" w:cs="Tahoma"/>
          <w:b/>
          <w:bCs/>
          <w:sz w:val="20"/>
          <w:szCs w:val="20"/>
          <w:lang w:eastAsia="hr-HR"/>
        </w:rPr>
        <w:t>74.981,32 tona</w:t>
      </w:r>
      <w:r w:rsidRPr="00DB4B41">
        <w:rPr>
          <w:rFonts w:ascii="Tahoma" w:hAnsi="Tahoma" w:cs="Tahoma"/>
          <w:sz w:val="20"/>
          <w:szCs w:val="20"/>
          <w:lang w:eastAsia="hr-HR"/>
        </w:rPr>
        <w:t>. Usporedbe radi, u Dugoročnoj strategiji je utvrđeno da je očekivano smanjenje emisija CO</w:t>
      </w:r>
      <w:r w:rsidRPr="00DB4B41">
        <w:rPr>
          <w:rFonts w:ascii="Tahoma" w:hAnsi="Tahoma" w:cs="Tahoma"/>
          <w:sz w:val="20"/>
          <w:szCs w:val="20"/>
          <w:vertAlign w:val="subscript"/>
          <w:lang w:eastAsia="hr-HR"/>
        </w:rPr>
        <w:t>2</w:t>
      </w:r>
      <w:r w:rsidRPr="00DB4B41">
        <w:rPr>
          <w:rFonts w:ascii="Tahoma" w:hAnsi="Tahoma" w:cs="Tahoma"/>
          <w:sz w:val="20"/>
          <w:szCs w:val="20"/>
          <w:lang w:eastAsia="hr-HR"/>
        </w:rPr>
        <w:t xml:space="preserve"> zbog njezine provedbe 317,4 tisuća tona u 2030. godini, što znači da višestambene zgrade provedbom ovoga Programa tom cilju doprinose s oko </w:t>
      </w:r>
      <w:r w:rsidRPr="00DB4B41">
        <w:rPr>
          <w:rFonts w:ascii="Tahoma" w:hAnsi="Tahoma" w:cs="Tahoma"/>
          <w:b/>
          <w:bCs/>
          <w:sz w:val="20"/>
          <w:szCs w:val="20"/>
          <w:lang w:eastAsia="hr-HR"/>
        </w:rPr>
        <w:t>24%</w:t>
      </w:r>
      <w:r w:rsidRPr="00DB4B41">
        <w:rPr>
          <w:rFonts w:ascii="Tahoma" w:hAnsi="Tahoma" w:cs="Tahoma"/>
          <w:sz w:val="20"/>
          <w:szCs w:val="20"/>
          <w:lang w:eastAsia="hr-HR"/>
        </w:rPr>
        <w:t xml:space="preserve">. </w:t>
      </w:r>
    </w:p>
    <w:p w14:paraId="7A8C5E23" w14:textId="719FAF46" w:rsidR="004949CA" w:rsidRPr="00DB4B41" w:rsidRDefault="23482790" w:rsidP="002966DD">
      <w:pPr>
        <w:jc w:val="both"/>
        <w:rPr>
          <w:rFonts w:ascii="Tahoma" w:hAnsi="Tahoma" w:cs="Tahoma"/>
          <w:sz w:val="20"/>
          <w:szCs w:val="20"/>
        </w:rPr>
      </w:pPr>
      <w:r w:rsidRPr="797530A1">
        <w:rPr>
          <w:rFonts w:ascii="Tahoma" w:hAnsi="Tahoma" w:cs="Tahoma"/>
          <w:sz w:val="20"/>
          <w:szCs w:val="20"/>
        </w:rPr>
        <w:t xml:space="preserve">Procijenjene investicije za obnovu višestambenih zgrada prema ciljevima Dugoročne strategije obnove nacionalnog fonda zgrada iznose </w:t>
      </w:r>
      <w:r w:rsidRPr="797530A1">
        <w:rPr>
          <w:rFonts w:ascii="Tahoma" w:hAnsi="Tahoma" w:cs="Tahoma"/>
          <w:b/>
          <w:bCs/>
          <w:sz w:val="20"/>
          <w:szCs w:val="20"/>
        </w:rPr>
        <w:t>17,2 milijardi k</w:t>
      </w:r>
      <w:r w:rsidR="0A833376" w:rsidRPr="797530A1">
        <w:rPr>
          <w:rFonts w:ascii="Tahoma" w:hAnsi="Tahoma" w:cs="Tahoma"/>
          <w:b/>
          <w:bCs/>
          <w:sz w:val="20"/>
          <w:szCs w:val="20"/>
        </w:rPr>
        <w:t>u</w:t>
      </w:r>
      <w:r w:rsidRPr="797530A1">
        <w:rPr>
          <w:rFonts w:ascii="Tahoma" w:hAnsi="Tahoma" w:cs="Tahoma"/>
          <w:b/>
          <w:bCs/>
          <w:sz w:val="20"/>
          <w:szCs w:val="20"/>
        </w:rPr>
        <w:t>n</w:t>
      </w:r>
      <w:r w:rsidR="0A833376" w:rsidRPr="797530A1">
        <w:rPr>
          <w:rFonts w:ascii="Tahoma" w:hAnsi="Tahoma" w:cs="Tahoma"/>
          <w:b/>
          <w:bCs/>
          <w:sz w:val="20"/>
          <w:szCs w:val="20"/>
        </w:rPr>
        <w:t>a</w:t>
      </w:r>
      <w:r w:rsidRPr="797530A1">
        <w:rPr>
          <w:rFonts w:ascii="Tahoma" w:hAnsi="Tahoma" w:cs="Tahoma"/>
          <w:sz w:val="20"/>
          <w:szCs w:val="20"/>
        </w:rPr>
        <w:t xml:space="preserve"> u razmatranom desetogodišnjem razdoblju. Do kraja 2024. godine, dakle u prvom trogodišnjem razdoblju, a kako bi se postigli ciljevi iz Dugoročne strategije, bit</w:t>
      </w:r>
      <w:r w:rsidR="3A59EE42" w:rsidRPr="797530A1">
        <w:rPr>
          <w:rFonts w:ascii="Tahoma" w:hAnsi="Tahoma" w:cs="Tahoma"/>
          <w:sz w:val="20"/>
          <w:szCs w:val="20"/>
        </w:rPr>
        <w:t>i</w:t>
      </w:r>
      <w:r w:rsidRPr="797530A1">
        <w:rPr>
          <w:rFonts w:ascii="Tahoma" w:hAnsi="Tahoma" w:cs="Tahoma"/>
          <w:sz w:val="20"/>
          <w:szCs w:val="20"/>
        </w:rPr>
        <w:t xml:space="preserve"> će potrebne investicije od oko </w:t>
      </w:r>
      <w:r w:rsidRPr="797530A1">
        <w:rPr>
          <w:rFonts w:ascii="Tahoma" w:hAnsi="Tahoma" w:cs="Tahoma"/>
          <w:b/>
          <w:bCs/>
          <w:sz w:val="20"/>
          <w:szCs w:val="20"/>
        </w:rPr>
        <w:t>4,3 milijardi k</w:t>
      </w:r>
      <w:r w:rsidR="0A833376" w:rsidRPr="797530A1">
        <w:rPr>
          <w:rFonts w:ascii="Tahoma" w:hAnsi="Tahoma" w:cs="Tahoma"/>
          <w:b/>
          <w:bCs/>
          <w:sz w:val="20"/>
          <w:szCs w:val="20"/>
        </w:rPr>
        <w:t>u</w:t>
      </w:r>
      <w:r w:rsidRPr="797530A1">
        <w:rPr>
          <w:rFonts w:ascii="Tahoma" w:hAnsi="Tahoma" w:cs="Tahoma"/>
          <w:b/>
          <w:bCs/>
          <w:sz w:val="20"/>
          <w:szCs w:val="20"/>
        </w:rPr>
        <w:t>n</w:t>
      </w:r>
      <w:r w:rsidR="0A833376" w:rsidRPr="797530A1">
        <w:rPr>
          <w:rFonts w:ascii="Tahoma" w:hAnsi="Tahoma" w:cs="Tahoma"/>
          <w:b/>
          <w:bCs/>
          <w:sz w:val="20"/>
          <w:szCs w:val="20"/>
        </w:rPr>
        <w:t>a</w:t>
      </w:r>
      <w:r w:rsidRPr="797530A1">
        <w:rPr>
          <w:rFonts w:ascii="Tahoma" w:hAnsi="Tahoma" w:cs="Tahoma"/>
          <w:sz w:val="20"/>
          <w:szCs w:val="20"/>
        </w:rPr>
        <w:t xml:space="preserve">. U ovu procjenu uključena su oba dijela ovoga Programa odnosno modela provedbe i to: </w:t>
      </w:r>
    </w:p>
    <w:p w14:paraId="76046B6F" w14:textId="77777777" w:rsidR="004949CA" w:rsidRPr="00DB4B41" w:rsidRDefault="004949CA" w:rsidP="00D864CE">
      <w:pPr>
        <w:pStyle w:val="Odlomakpopisa"/>
        <w:numPr>
          <w:ilvl w:val="0"/>
          <w:numId w:val="49"/>
        </w:numPr>
        <w:spacing w:before="120" w:after="120"/>
        <w:rPr>
          <w:rFonts w:cs="Tahoma"/>
          <w:szCs w:val="20"/>
        </w:rPr>
      </w:pPr>
      <w:r w:rsidRPr="00DB4B41">
        <w:rPr>
          <w:rFonts w:cs="Tahoma"/>
          <w:szCs w:val="20"/>
        </w:rPr>
        <w:t xml:space="preserve">obnova višestambenih zgrada neoštećenih u potresu </w:t>
      </w:r>
    </w:p>
    <w:p w14:paraId="229A71F2" w14:textId="77777777" w:rsidR="004949CA" w:rsidRPr="00DB4B41" w:rsidRDefault="004949CA" w:rsidP="00D864CE">
      <w:pPr>
        <w:pStyle w:val="Odlomakpopisa"/>
        <w:numPr>
          <w:ilvl w:val="0"/>
          <w:numId w:val="49"/>
        </w:numPr>
        <w:spacing w:before="120" w:after="120"/>
        <w:rPr>
          <w:rFonts w:cs="Tahoma"/>
          <w:szCs w:val="20"/>
        </w:rPr>
      </w:pPr>
      <w:r w:rsidRPr="00DB4B41">
        <w:rPr>
          <w:rFonts w:cs="Tahoma"/>
          <w:szCs w:val="20"/>
        </w:rPr>
        <w:t xml:space="preserve">obnova višestambenih zgrada oštećenih u potresu. </w:t>
      </w:r>
    </w:p>
    <w:p w14:paraId="1A1204B1" w14:textId="77777777" w:rsidR="004949CA" w:rsidRPr="00DB4B41" w:rsidRDefault="004949CA" w:rsidP="002966DD">
      <w:pPr>
        <w:jc w:val="both"/>
        <w:rPr>
          <w:rFonts w:ascii="Tahoma" w:hAnsi="Tahoma" w:cs="Tahoma"/>
          <w:sz w:val="20"/>
          <w:szCs w:val="20"/>
        </w:rPr>
      </w:pPr>
      <w:r w:rsidRPr="00DB4B41">
        <w:rPr>
          <w:rFonts w:ascii="Tahoma" w:hAnsi="Tahoma" w:cs="Tahoma"/>
          <w:sz w:val="20"/>
          <w:szCs w:val="20"/>
        </w:rPr>
        <w:t xml:space="preserve">Prvi model koncipiran je kao nastavak postojećeg modela iz razdoblja 2014. do 2020. godine te će se primjenjivati u prvom trogodišnjem razdoblju provedbe Programa. Taj se model provedbe pokazao kao prihvatljiv i vrlo privlačan za suvlasnike, a podrazumijeva osiguravanje bespovratnih sredstava putem javnih poziva do 60% za integralnu energetsku obnovu, 80% za dubinsku i sveobuhvatnu obnovu. Provedba ovog modela započinje odmah po usvajanju ovoga Programa, jer je tržište upoznato i spremno za njegov nastavak te je nužno što prije započeti novi ciklus obnova VSZ kako bi se zadržalo povjerenje i interes suvlasnika. U ovu svrhu koristit će se sredstva predviđena u </w:t>
      </w:r>
      <w:r w:rsidRPr="00DB4B41">
        <w:rPr>
          <w:rFonts w:ascii="Tahoma" w:hAnsi="Tahoma" w:cs="Tahoma"/>
          <w:sz w:val="20"/>
          <w:szCs w:val="20"/>
          <w:lang w:eastAsia="hr-HR"/>
        </w:rPr>
        <w:t>Nacionalnom planu oporavka i otpornosti</w:t>
      </w:r>
      <w:r w:rsidRPr="00DB4B41">
        <w:rPr>
          <w:rFonts w:ascii="Tahoma" w:hAnsi="Tahoma" w:cs="Tahoma"/>
          <w:sz w:val="20"/>
          <w:szCs w:val="20"/>
        </w:rPr>
        <w:t xml:space="preserve"> u prvom trogodišnjem razdoblju. </w:t>
      </w:r>
    </w:p>
    <w:p w14:paraId="404AC17C" w14:textId="09369F56" w:rsidR="004949CA" w:rsidRPr="00DB4B41" w:rsidRDefault="004949CA" w:rsidP="002966DD">
      <w:pPr>
        <w:jc w:val="both"/>
        <w:rPr>
          <w:rFonts w:ascii="Tahoma" w:hAnsi="Tahoma" w:cs="Tahoma"/>
          <w:sz w:val="20"/>
          <w:szCs w:val="20"/>
          <w:highlight w:val="yellow"/>
        </w:rPr>
      </w:pPr>
      <w:r w:rsidRPr="00DB4B41">
        <w:rPr>
          <w:rFonts w:ascii="Tahoma" w:hAnsi="Tahoma" w:cs="Tahoma"/>
          <w:sz w:val="20"/>
          <w:szCs w:val="20"/>
        </w:rPr>
        <w:t xml:space="preserve">Istodobno, radit će se na uspostavi financijskog instrumenta koji će kombinirati kredite i bespovratna sredstva iz Europskih </w:t>
      </w:r>
      <w:r w:rsidR="002A43A5" w:rsidRPr="00DB4B41">
        <w:rPr>
          <w:rFonts w:ascii="Tahoma" w:hAnsi="Tahoma" w:cs="Tahoma"/>
          <w:sz w:val="20"/>
          <w:szCs w:val="20"/>
        </w:rPr>
        <w:t>strukturnih</w:t>
      </w:r>
      <w:r w:rsidRPr="00DB4B41">
        <w:rPr>
          <w:rFonts w:ascii="Tahoma" w:hAnsi="Tahoma" w:cs="Tahoma"/>
          <w:sz w:val="20"/>
          <w:szCs w:val="20"/>
        </w:rPr>
        <w:t xml:space="preserve"> i investicijskih fondova (ESIF), ali po mogućnosti i privući dodatna sredstava iz komercijalnih izvora zbog oskudnosti ESIF sredstava u odnosu na potrebe za financiranjem. Za uspostavu financijskog instrumenta zadužuju se Ministarstvo regionalnoga razvoja i fondova Europske unije (MRRFEU), Ministarstvo prostornoga uređenja, graditeljstva i državne imovine (MPGI) te Hrvatska banka za obnovu i razvitak (HBOR). </w:t>
      </w:r>
    </w:p>
    <w:p w14:paraId="0EED7AF5" w14:textId="77777777" w:rsidR="004949CA" w:rsidRPr="00DB4B41" w:rsidRDefault="004949CA" w:rsidP="002966DD">
      <w:pPr>
        <w:jc w:val="both"/>
        <w:rPr>
          <w:rFonts w:ascii="Tahoma" w:hAnsi="Tahoma" w:cs="Tahoma"/>
          <w:sz w:val="20"/>
          <w:szCs w:val="20"/>
        </w:rPr>
      </w:pPr>
      <w:r w:rsidRPr="00DB4B41">
        <w:rPr>
          <w:rFonts w:ascii="Tahoma" w:hAnsi="Tahoma" w:cs="Tahoma"/>
          <w:sz w:val="20"/>
          <w:szCs w:val="20"/>
          <w:lang w:eastAsia="hr-HR"/>
        </w:rPr>
        <w:t>U drugom modelu, kako bi se dala mogućnost da se uz konstrukcijsku provede i energetska obnova, višestambenim zgradama koje su oštećene u potresu omogućit će se i sufinanciranje energetske obnove usporedno ili nakon konstrukcijske obnove. Budući je stopa sufinanciranja za konstrukcijsku obnovu do 80% prihvatljivih troškova, predviđeno sufinanciranje energetske obnove prema ovom modelu također iznosi do 80% prihvatljivih troškova.</w:t>
      </w:r>
      <w:r w:rsidRPr="00DB4B41">
        <w:rPr>
          <w:rFonts w:ascii="Tahoma" w:hAnsi="Tahoma" w:cs="Tahoma"/>
          <w:sz w:val="20"/>
          <w:szCs w:val="20"/>
        </w:rPr>
        <w:t xml:space="preserve"> </w:t>
      </w:r>
    </w:p>
    <w:p w14:paraId="4792B25D" w14:textId="77777777" w:rsidR="004949CA" w:rsidRPr="00DB4B41" w:rsidRDefault="004949CA" w:rsidP="002966DD">
      <w:pPr>
        <w:jc w:val="both"/>
        <w:rPr>
          <w:rFonts w:ascii="Tahoma" w:hAnsi="Tahoma" w:cs="Tahoma"/>
          <w:sz w:val="20"/>
          <w:szCs w:val="20"/>
          <w:lang w:eastAsia="hr-HR"/>
        </w:rPr>
      </w:pPr>
      <w:r w:rsidRPr="00DB4B41">
        <w:rPr>
          <w:rFonts w:ascii="Tahoma" w:hAnsi="Tahoma" w:cs="Tahoma"/>
          <w:sz w:val="20"/>
          <w:szCs w:val="20"/>
        </w:rPr>
        <w:t xml:space="preserve">Vezano na energetsku obnovu, Fond za zaštitu okoliša i energetsku učinkovitost (FZOEU) zadržava ulogu </w:t>
      </w:r>
      <w:r w:rsidRPr="00DB4B41">
        <w:rPr>
          <w:rFonts w:ascii="Tahoma" w:hAnsi="Tahoma" w:cs="Tahoma"/>
          <w:i/>
          <w:sz w:val="20"/>
          <w:szCs w:val="20"/>
        </w:rPr>
        <w:t>one-stop-shopa</w:t>
      </w:r>
      <w:r w:rsidRPr="00DB4B41">
        <w:rPr>
          <w:rFonts w:ascii="Tahoma" w:hAnsi="Tahoma" w:cs="Tahoma"/>
          <w:sz w:val="20"/>
          <w:szCs w:val="20"/>
        </w:rPr>
        <w:t xml:space="preserve">, međutim planira se formiranje novih </w:t>
      </w:r>
      <w:r w:rsidRPr="00DB4B41">
        <w:rPr>
          <w:rFonts w:ascii="Tahoma" w:hAnsi="Tahoma" w:cs="Tahoma"/>
          <w:i/>
          <w:sz w:val="20"/>
          <w:szCs w:val="20"/>
        </w:rPr>
        <w:t xml:space="preserve">one-stop-shopova, </w:t>
      </w:r>
      <w:r w:rsidRPr="00DB4B41">
        <w:rPr>
          <w:rFonts w:ascii="Tahoma" w:hAnsi="Tahoma" w:cs="Tahoma"/>
          <w:iCs/>
          <w:sz w:val="20"/>
          <w:szCs w:val="20"/>
        </w:rPr>
        <w:t>npr. u</w:t>
      </w:r>
      <w:r w:rsidRPr="00DB4B41">
        <w:rPr>
          <w:rFonts w:ascii="Tahoma" w:hAnsi="Tahoma" w:cs="Tahoma"/>
          <w:sz w:val="20"/>
          <w:szCs w:val="20"/>
        </w:rPr>
        <w:t xml:space="preserve"> regionalnim energetskim agencijama za pružanje tehničke podrške, poput organizacije radionica, davanja informacija energetskim </w:t>
      </w:r>
      <w:proofErr w:type="spellStart"/>
      <w:r w:rsidRPr="00DB4B41">
        <w:rPr>
          <w:rFonts w:ascii="Tahoma" w:hAnsi="Tahoma" w:cs="Tahoma"/>
          <w:sz w:val="20"/>
          <w:szCs w:val="20"/>
        </w:rPr>
        <w:t>certifikatorima</w:t>
      </w:r>
      <w:proofErr w:type="spellEnd"/>
      <w:r w:rsidRPr="00DB4B41">
        <w:rPr>
          <w:rFonts w:ascii="Tahoma" w:hAnsi="Tahoma" w:cs="Tahoma"/>
          <w:sz w:val="20"/>
          <w:szCs w:val="20"/>
        </w:rPr>
        <w:t xml:space="preserve"> i ovlaštenim projektantima, pomoći u pregledu dokumentacije i prijave na javne pozive.</w:t>
      </w:r>
    </w:p>
    <w:p w14:paraId="61D17DD0" w14:textId="0CAB15EA" w:rsidR="004949CA" w:rsidRPr="00DB4B41" w:rsidRDefault="004949CA" w:rsidP="002966DD">
      <w:pPr>
        <w:jc w:val="both"/>
        <w:rPr>
          <w:rFonts w:ascii="Tahoma" w:hAnsi="Tahoma" w:cs="Tahoma"/>
          <w:sz w:val="20"/>
          <w:szCs w:val="20"/>
          <w:lang w:eastAsia="hr-HR"/>
        </w:rPr>
      </w:pPr>
      <w:r w:rsidRPr="00DB4B41">
        <w:rPr>
          <w:rFonts w:ascii="Tahoma" w:hAnsi="Tahoma" w:cs="Tahoma"/>
          <w:sz w:val="20"/>
          <w:szCs w:val="20"/>
          <w:lang w:eastAsia="hr-HR"/>
        </w:rPr>
        <w:t xml:space="preserve">Za zgrade oštećene u potresu formiraju se posebni </w:t>
      </w:r>
      <w:r w:rsidRPr="00DB4B41">
        <w:rPr>
          <w:rFonts w:ascii="Tahoma" w:hAnsi="Tahoma" w:cs="Tahoma"/>
          <w:i/>
          <w:iCs/>
          <w:sz w:val="20"/>
          <w:szCs w:val="20"/>
          <w:lang w:eastAsia="hr-HR"/>
        </w:rPr>
        <w:t>one-stop-shopovi</w:t>
      </w:r>
      <w:r w:rsidRPr="00DB4B41">
        <w:rPr>
          <w:rFonts w:ascii="Tahoma" w:hAnsi="Tahoma" w:cs="Tahoma"/>
          <w:sz w:val="20"/>
          <w:szCs w:val="20"/>
          <w:lang w:eastAsia="hr-HR"/>
        </w:rPr>
        <w:t>, čije će usluge koordinirati MPGI, a u čijem radu</w:t>
      </w:r>
      <w:r w:rsidR="0063313B">
        <w:rPr>
          <w:rFonts w:ascii="Tahoma" w:hAnsi="Tahoma" w:cs="Tahoma"/>
          <w:sz w:val="20"/>
          <w:szCs w:val="20"/>
          <w:lang w:eastAsia="hr-HR"/>
        </w:rPr>
        <w:t xml:space="preserve"> sudjeluju </w:t>
      </w:r>
      <w:r w:rsidRPr="00DB4B41">
        <w:rPr>
          <w:rFonts w:ascii="Tahoma" w:hAnsi="Tahoma" w:cs="Tahoma"/>
          <w:sz w:val="20"/>
          <w:szCs w:val="20"/>
          <w:lang w:eastAsia="hr-HR"/>
        </w:rPr>
        <w:t xml:space="preserve"> Fond za obnovu Grada Zagreba, Krapinsko-zagorske županije i Zagrebačke županije (FZO) i Središnji državni ured za obnovu i stambeno zbrinjavanje (SDUOSZ). Rad ovih </w:t>
      </w:r>
      <w:r w:rsidRPr="00DB4B41">
        <w:rPr>
          <w:rFonts w:ascii="Tahoma" w:hAnsi="Tahoma" w:cs="Tahoma"/>
          <w:i/>
          <w:iCs/>
          <w:sz w:val="20"/>
          <w:szCs w:val="20"/>
          <w:lang w:eastAsia="hr-HR"/>
        </w:rPr>
        <w:t>one-stop shopova</w:t>
      </w:r>
      <w:r w:rsidRPr="00DB4B41">
        <w:rPr>
          <w:rFonts w:ascii="Tahoma" w:hAnsi="Tahoma" w:cs="Tahoma"/>
          <w:sz w:val="20"/>
          <w:szCs w:val="20"/>
          <w:lang w:eastAsia="hr-HR"/>
        </w:rPr>
        <w:t xml:space="preserve"> financirat će se iz Mehanizma za oporavak i otpornost.</w:t>
      </w:r>
    </w:p>
    <w:p w14:paraId="3CD48136" w14:textId="036E0316" w:rsidR="004949CA" w:rsidRPr="00DB4B41" w:rsidRDefault="23482790" w:rsidP="002966DD">
      <w:pPr>
        <w:jc w:val="both"/>
        <w:rPr>
          <w:rFonts w:ascii="Tahoma" w:hAnsi="Tahoma" w:cs="Tahoma"/>
          <w:sz w:val="20"/>
          <w:szCs w:val="20"/>
          <w:lang w:eastAsia="hr-HR"/>
        </w:rPr>
      </w:pPr>
      <w:r w:rsidRPr="797530A1">
        <w:rPr>
          <w:rFonts w:ascii="Tahoma" w:hAnsi="Tahoma" w:cs="Tahoma"/>
          <w:sz w:val="20"/>
          <w:szCs w:val="20"/>
          <w:lang w:eastAsia="hr-HR"/>
        </w:rPr>
        <w:t>Uz ova dva modela obnove, ovim se Programom utvrđuje nužnost uspostave model</w:t>
      </w:r>
      <w:r w:rsidR="3E9AB311" w:rsidRPr="797530A1">
        <w:rPr>
          <w:rFonts w:ascii="Tahoma" w:hAnsi="Tahoma" w:cs="Tahoma"/>
          <w:sz w:val="20"/>
          <w:szCs w:val="20"/>
          <w:lang w:eastAsia="hr-HR"/>
        </w:rPr>
        <w:t>a</w:t>
      </w:r>
      <w:r w:rsidRPr="797530A1">
        <w:rPr>
          <w:rFonts w:ascii="Tahoma" w:hAnsi="Tahoma" w:cs="Tahoma"/>
          <w:sz w:val="20"/>
          <w:szCs w:val="20"/>
          <w:lang w:eastAsia="hr-HR"/>
        </w:rPr>
        <w:t xml:space="preserve"> financijske potpore građanima u riziku od energetskog siromaštva, koji su suvlasnici u zgradama koje se obnavljaju, a kojim će se omogućiti 100% sufinanciranje njihovog udjela u prihvatljivim troškovima obnove. Primjena tog </w:t>
      </w:r>
      <w:r w:rsidRPr="797530A1">
        <w:rPr>
          <w:rFonts w:ascii="Tahoma" w:hAnsi="Tahoma" w:cs="Tahoma"/>
          <w:sz w:val="20"/>
          <w:szCs w:val="20"/>
          <w:lang w:eastAsia="hr-HR"/>
        </w:rPr>
        <w:lastRenderedPageBreak/>
        <w:t xml:space="preserve">modela treba započeti u drugom trogodišnjem razdoblju provedbe ovoga programa. </w:t>
      </w:r>
      <w:r w:rsidRPr="797530A1">
        <w:rPr>
          <w:rFonts w:ascii="Tahoma" w:hAnsi="Tahoma" w:cs="Tahoma"/>
          <w:sz w:val="20"/>
          <w:szCs w:val="20"/>
        </w:rPr>
        <w:t xml:space="preserve">Ministarstvo rada, mirovinskoga sustava, obitelji i socijalne politike (MROSP) provest će detaljnu analizu stambenog statusa primatelja zajamčene minimalne naknade, koja je predviđena i u Programu energetske obnove obiteljskih kuća za razdoblje do 2030. godine te će se u skladu s rezultatima analize odlučiti o uvođenju dodatnih kriterija ugroženosti od energetskog siromaštva i definirati način pomoći ovim građanima koji žive u višestambenim zgradama. Kroz analizu će se utvrditi i potreba za širenjem kriterija energetskog siromaštva i razraditi optimalni modeli potpore, poželjno usmjereni na zgrade s većom koncentracijom građana u riziku od energetskog siromaštva. Građanima u riziku od energetskog siromaštva pomoći će se i provedbom Programa suzbijanja energetskog siromaštva koji uključuje korištenje obnovljivih izvora energije u stambenim zgradama na potpomognutim područjima i područjima posebne državne skrbi za razdoblje 2021. – 2025. godine, koji se usvaja istodobno s ovim Programom. </w:t>
      </w:r>
    </w:p>
    <w:p w14:paraId="3F6DB6A1" w14:textId="066AAD6E" w:rsidR="004949CA" w:rsidRPr="00DB4B41" w:rsidRDefault="004949CA" w:rsidP="002966DD">
      <w:pPr>
        <w:jc w:val="both"/>
        <w:rPr>
          <w:rFonts w:ascii="Tahoma" w:hAnsi="Tahoma" w:cs="Tahoma"/>
          <w:sz w:val="20"/>
          <w:szCs w:val="20"/>
        </w:rPr>
      </w:pPr>
      <w:r w:rsidRPr="00DB4B41">
        <w:rPr>
          <w:rFonts w:ascii="Tahoma" w:hAnsi="Tahoma" w:cs="Tahoma"/>
          <w:sz w:val="20"/>
          <w:szCs w:val="20"/>
        </w:rPr>
        <w:t xml:space="preserve">Za postizanje ciljeva u segmentu višestambenih zgrada </w:t>
      </w:r>
      <w:r w:rsidRPr="00DB4B41">
        <w:rPr>
          <w:rFonts w:ascii="Tahoma" w:hAnsi="Tahoma" w:cs="Tahoma"/>
          <w:b/>
          <w:bCs/>
          <w:sz w:val="20"/>
          <w:szCs w:val="20"/>
        </w:rPr>
        <w:t>potrebno je do 2030. godin</w:t>
      </w:r>
      <w:r w:rsidR="001F3E7A">
        <w:rPr>
          <w:rFonts w:ascii="Tahoma" w:hAnsi="Tahoma" w:cs="Tahoma"/>
          <w:b/>
          <w:bCs/>
          <w:sz w:val="20"/>
          <w:szCs w:val="20"/>
        </w:rPr>
        <w:t>e osigurati oko 17 milijardi kuna</w:t>
      </w:r>
      <w:r w:rsidRPr="00DB4B41">
        <w:rPr>
          <w:rFonts w:ascii="Tahoma" w:hAnsi="Tahoma" w:cs="Tahoma"/>
          <w:sz w:val="20"/>
          <w:szCs w:val="20"/>
          <w:lang w:eastAsia="hr-HR"/>
        </w:rPr>
        <w:t xml:space="preserve"> </w:t>
      </w:r>
      <w:r w:rsidRPr="00DB4B41">
        <w:rPr>
          <w:rFonts w:ascii="Tahoma" w:hAnsi="Tahoma" w:cs="Tahoma"/>
          <w:b/>
          <w:bCs/>
          <w:sz w:val="20"/>
          <w:szCs w:val="20"/>
        </w:rPr>
        <w:t>za bespovratna sredstva iz javnih izvora</w:t>
      </w:r>
      <w:r w:rsidRPr="00DB4B41">
        <w:rPr>
          <w:rFonts w:ascii="Tahoma" w:hAnsi="Tahoma" w:cs="Tahoma"/>
          <w:sz w:val="20"/>
          <w:szCs w:val="20"/>
        </w:rPr>
        <w:t xml:space="preserve">, a primarni izvor su sredstva iz </w:t>
      </w:r>
      <w:r w:rsidRPr="00DB4B41">
        <w:rPr>
          <w:rFonts w:ascii="Tahoma" w:hAnsi="Tahoma" w:cs="Tahoma"/>
          <w:sz w:val="20"/>
          <w:szCs w:val="20"/>
          <w:lang w:eastAsia="hr-HR"/>
        </w:rPr>
        <w:t>Nacionalnog programa za oporavak i otpornost (bespovratna sredstva) i iz</w:t>
      </w:r>
      <w:r w:rsidRPr="00DB4B41">
        <w:rPr>
          <w:rFonts w:ascii="Tahoma" w:hAnsi="Tahoma" w:cs="Tahoma"/>
          <w:sz w:val="20"/>
          <w:szCs w:val="20"/>
        </w:rPr>
        <w:t xml:space="preserve"> ESI fondova (financijski instrument). Sredstva iz drugih izvora (poput Socijalnog fonda za </w:t>
      </w:r>
      <w:r w:rsidR="00793AC9">
        <w:rPr>
          <w:rFonts w:ascii="Tahoma" w:hAnsi="Tahoma" w:cs="Tahoma"/>
          <w:sz w:val="20"/>
          <w:szCs w:val="20"/>
        </w:rPr>
        <w:t>klimatsku politiku</w:t>
      </w:r>
      <w:r w:rsidRPr="00DB4B41">
        <w:rPr>
          <w:rFonts w:ascii="Tahoma" w:hAnsi="Tahoma" w:cs="Tahoma"/>
          <w:sz w:val="20"/>
          <w:szCs w:val="20"/>
        </w:rPr>
        <w:t>, FZOEU) razm</w:t>
      </w:r>
      <w:r w:rsidR="001F3E7A">
        <w:rPr>
          <w:rFonts w:ascii="Tahoma" w:hAnsi="Tahoma" w:cs="Tahoma"/>
          <w:sz w:val="20"/>
          <w:szCs w:val="20"/>
        </w:rPr>
        <w:t>atrat</w:t>
      </w:r>
      <w:r w:rsidRPr="00DB4B41">
        <w:rPr>
          <w:rFonts w:ascii="Tahoma" w:hAnsi="Tahoma" w:cs="Tahoma"/>
          <w:sz w:val="20"/>
          <w:szCs w:val="20"/>
        </w:rPr>
        <w:t xml:space="preserve"> će se nakon prvog trogodišnjeg razdoblja provedbe.</w:t>
      </w:r>
    </w:p>
    <w:p w14:paraId="6F04194C" w14:textId="4BE01164" w:rsidR="004949CA" w:rsidRPr="00DB4B41" w:rsidRDefault="004949CA" w:rsidP="002966DD">
      <w:pPr>
        <w:jc w:val="both"/>
        <w:rPr>
          <w:rFonts w:ascii="Tahoma" w:hAnsi="Tahoma" w:cs="Tahoma"/>
          <w:sz w:val="20"/>
          <w:szCs w:val="20"/>
          <w:lang w:eastAsia="hr-HR"/>
        </w:rPr>
      </w:pPr>
      <w:r w:rsidRPr="00DB4B41">
        <w:rPr>
          <w:rFonts w:ascii="Tahoma" w:hAnsi="Tahoma" w:cs="Tahoma"/>
          <w:sz w:val="20"/>
          <w:szCs w:val="20"/>
        </w:rPr>
        <w:t xml:space="preserve">U prve tri godine provedbe ovoga Programa, od 2022. do 2024. godine osigurat će se </w:t>
      </w:r>
      <w:r w:rsidRPr="00DB4B41">
        <w:rPr>
          <w:rFonts w:ascii="Tahoma" w:hAnsi="Tahoma" w:cs="Tahoma"/>
          <w:b/>
          <w:bCs/>
          <w:sz w:val="20"/>
          <w:szCs w:val="20"/>
        </w:rPr>
        <w:t xml:space="preserve">300 milijuna </w:t>
      </w:r>
      <w:r w:rsidR="0063313B">
        <w:rPr>
          <w:rFonts w:ascii="Tahoma" w:hAnsi="Tahoma" w:cs="Tahoma"/>
          <w:b/>
          <w:bCs/>
          <w:sz w:val="20"/>
          <w:szCs w:val="20"/>
        </w:rPr>
        <w:t>kuna</w:t>
      </w:r>
      <w:r w:rsidRPr="00DB4B41">
        <w:rPr>
          <w:rFonts w:ascii="Tahoma" w:hAnsi="Tahoma" w:cs="Tahoma"/>
          <w:b/>
          <w:bCs/>
          <w:sz w:val="20"/>
          <w:szCs w:val="20"/>
        </w:rPr>
        <w:t xml:space="preserve"> </w:t>
      </w:r>
      <w:r w:rsidRPr="00DB4B41">
        <w:rPr>
          <w:rFonts w:ascii="Tahoma" w:hAnsi="Tahoma" w:cs="Tahoma"/>
          <w:sz w:val="20"/>
          <w:szCs w:val="20"/>
        </w:rPr>
        <w:t>za sufinanciranje obnove više</w:t>
      </w:r>
      <w:r w:rsidR="00DB4B41">
        <w:rPr>
          <w:rFonts w:ascii="Tahoma" w:hAnsi="Tahoma" w:cs="Tahoma"/>
          <w:sz w:val="20"/>
          <w:szCs w:val="20"/>
        </w:rPr>
        <w:t>s</w:t>
      </w:r>
      <w:r w:rsidRPr="00DB4B41">
        <w:rPr>
          <w:rFonts w:ascii="Tahoma" w:hAnsi="Tahoma" w:cs="Tahoma"/>
          <w:sz w:val="20"/>
          <w:szCs w:val="20"/>
        </w:rPr>
        <w:t xml:space="preserve">tambenih zgrada neoštećenih u potresu iz </w:t>
      </w:r>
      <w:r w:rsidRPr="00DB4B41">
        <w:rPr>
          <w:rFonts w:ascii="Tahoma" w:hAnsi="Tahoma" w:cs="Tahoma"/>
          <w:sz w:val="20"/>
          <w:szCs w:val="20"/>
          <w:lang w:eastAsia="hr-HR"/>
        </w:rPr>
        <w:t>sredstva Nacionalnog programa za oporavak i otpornost. Iz istog izvora osigurat će se i sredstva za obnovu minimalno 45.000 m</w:t>
      </w:r>
      <w:r w:rsidRPr="00DB4B41">
        <w:rPr>
          <w:rFonts w:ascii="Tahoma" w:hAnsi="Tahoma" w:cs="Tahoma"/>
          <w:sz w:val="20"/>
          <w:szCs w:val="20"/>
          <w:vertAlign w:val="superscript"/>
          <w:lang w:eastAsia="hr-HR"/>
        </w:rPr>
        <w:t xml:space="preserve">2 </w:t>
      </w:r>
      <w:r w:rsidRPr="00DB4B41">
        <w:rPr>
          <w:rFonts w:ascii="Tahoma" w:hAnsi="Tahoma" w:cs="Tahoma"/>
          <w:sz w:val="20"/>
          <w:szCs w:val="20"/>
          <w:lang w:eastAsia="hr-HR"/>
        </w:rPr>
        <w:t xml:space="preserve">zgrada oštećenih u potresu, odnosno minimalno će se utrošiti oko </w:t>
      </w:r>
      <w:r w:rsidRPr="00DB4B41">
        <w:rPr>
          <w:rFonts w:ascii="Tahoma" w:hAnsi="Tahoma" w:cs="Tahoma"/>
          <w:b/>
          <w:bCs/>
          <w:sz w:val="20"/>
          <w:szCs w:val="20"/>
          <w:lang w:eastAsia="hr-HR"/>
        </w:rPr>
        <w:t xml:space="preserve">172,5 milijuna </w:t>
      </w:r>
      <w:r w:rsidR="0063313B">
        <w:rPr>
          <w:rFonts w:ascii="Tahoma" w:hAnsi="Tahoma" w:cs="Tahoma"/>
          <w:b/>
          <w:bCs/>
          <w:sz w:val="20"/>
          <w:szCs w:val="20"/>
          <w:lang w:eastAsia="hr-HR"/>
        </w:rPr>
        <w:t>kuna</w:t>
      </w:r>
      <w:r w:rsidRPr="00DB4B41">
        <w:rPr>
          <w:rFonts w:ascii="Tahoma" w:hAnsi="Tahoma" w:cs="Tahoma"/>
          <w:sz w:val="20"/>
          <w:szCs w:val="20"/>
          <w:lang w:eastAsia="hr-HR"/>
        </w:rPr>
        <w:t xml:space="preserve"> za ovu svrhu. Ova sredstva dostatna su za ispunjenje 20% ciljeva utvrđenih u Dugoročnoj strategiji </w:t>
      </w:r>
      <w:r w:rsidRPr="00DB4B41">
        <w:rPr>
          <w:rFonts w:ascii="Tahoma" w:hAnsi="Tahoma" w:cs="Tahoma"/>
          <w:sz w:val="20"/>
          <w:szCs w:val="20"/>
        </w:rPr>
        <w:t>obnove nacionalnog fonda zgrada Republike Hrvatske.</w:t>
      </w:r>
    </w:p>
    <w:p w14:paraId="0B4B7E83" w14:textId="41A0EE93" w:rsidR="004949CA" w:rsidRPr="00DB4B41" w:rsidRDefault="004949CA" w:rsidP="002966DD">
      <w:pPr>
        <w:jc w:val="both"/>
        <w:rPr>
          <w:rFonts w:ascii="Tahoma" w:hAnsi="Tahoma" w:cs="Tahoma"/>
          <w:sz w:val="20"/>
          <w:szCs w:val="20"/>
          <w:lang w:eastAsia="hr-HR"/>
        </w:rPr>
      </w:pPr>
      <w:r w:rsidRPr="00DB4B41">
        <w:rPr>
          <w:rFonts w:ascii="Tahoma" w:hAnsi="Tahoma" w:cs="Tahoma"/>
          <w:sz w:val="20"/>
          <w:szCs w:val="20"/>
          <w:lang w:eastAsia="hr-HR"/>
        </w:rPr>
        <w:t xml:space="preserve">Koristi od obnove zgrada, pa tako i višestambenih zgrada, su višestruke. Osim izravnih energetskih (smanjenje potrošnje energije, smanjenje uvoza energije, povećanje korištenja obnovljivih izvora energije i </w:t>
      </w:r>
      <w:proofErr w:type="spellStart"/>
      <w:r w:rsidRPr="00DB4B41">
        <w:rPr>
          <w:rFonts w:ascii="Tahoma" w:hAnsi="Tahoma" w:cs="Tahoma"/>
          <w:sz w:val="20"/>
          <w:szCs w:val="20"/>
          <w:lang w:eastAsia="hr-HR"/>
        </w:rPr>
        <w:t>dekarbonizacija</w:t>
      </w:r>
      <w:proofErr w:type="spellEnd"/>
      <w:r w:rsidRPr="00DB4B41">
        <w:rPr>
          <w:rFonts w:ascii="Tahoma" w:hAnsi="Tahoma" w:cs="Tahoma"/>
          <w:sz w:val="20"/>
          <w:szCs w:val="20"/>
          <w:lang w:eastAsia="hr-HR"/>
        </w:rPr>
        <w:t xml:space="preserve"> energetskih sustava), klimatskih (smanjenje emisija CO</w:t>
      </w:r>
      <w:r w:rsidRPr="00DB4B41">
        <w:rPr>
          <w:rFonts w:ascii="Tahoma" w:hAnsi="Tahoma" w:cs="Tahoma"/>
          <w:sz w:val="20"/>
          <w:szCs w:val="20"/>
          <w:vertAlign w:val="subscript"/>
          <w:lang w:eastAsia="hr-HR"/>
        </w:rPr>
        <w:t>2</w:t>
      </w:r>
      <w:r w:rsidRPr="00DB4B41">
        <w:rPr>
          <w:rFonts w:ascii="Tahoma" w:hAnsi="Tahoma" w:cs="Tahoma"/>
          <w:sz w:val="20"/>
          <w:szCs w:val="20"/>
          <w:lang w:eastAsia="hr-HR"/>
        </w:rPr>
        <w:t xml:space="preserve">), gospodarskih (građevinska i proizvodna aktivnost, zapošljavanje) i proračunskih učinaka, svakako treba još istaknuti i smanjenje rizika </w:t>
      </w:r>
      <w:r w:rsidR="00500A58">
        <w:rPr>
          <w:rFonts w:ascii="Tahoma" w:hAnsi="Tahoma" w:cs="Tahoma"/>
          <w:sz w:val="20"/>
          <w:szCs w:val="20"/>
          <w:lang w:eastAsia="hr-HR"/>
        </w:rPr>
        <w:t xml:space="preserve">od narušavanja </w:t>
      </w:r>
      <w:r w:rsidRPr="00DB4B41">
        <w:rPr>
          <w:rFonts w:ascii="Tahoma" w:hAnsi="Tahoma" w:cs="Tahoma"/>
          <w:sz w:val="20"/>
          <w:szCs w:val="20"/>
          <w:lang w:eastAsia="hr-HR"/>
        </w:rPr>
        <w:t xml:space="preserve">zdravlja i siromaštva te povećanje vrijednosti nekretnina te zaštita od budućih poskupljenja energenata i energije. Osim toga, provedbom sveobuhvatne obnove povećava se i sigurnost odnosno otpornost postojećih višestambenih zgrada na neželjene događaje, kao što su požar ili potres.  </w:t>
      </w:r>
    </w:p>
    <w:p w14:paraId="6A410B7A" w14:textId="77777777" w:rsidR="004949CA" w:rsidRPr="00DB4B41" w:rsidRDefault="004949CA" w:rsidP="002966DD">
      <w:pPr>
        <w:jc w:val="both"/>
        <w:rPr>
          <w:rFonts w:ascii="Tahoma" w:hAnsi="Tahoma" w:cs="Tahoma"/>
          <w:sz w:val="20"/>
          <w:szCs w:val="20"/>
        </w:rPr>
      </w:pPr>
      <w:r w:rsidRPr="00DB4B41">
        <w:rPr>
          <w:rFonts w:ascii="Tahoma" w:hAnsi="Tahoma" w:cs="Tahoma"/>
          <w:sz w:val="20"/>
          <w:szCs w:val="20"/>
        </w:rPr>
        <w:t>Zbog brzo mijenjajućih uvjeta na tržištu, prikupljenih iskustava iz provedbe i potencijalnih novih mogućnosti financiranja,</w:t>
      </w:r>
      <w:r w:rsidRPr="00DB4B41">
        <w:rPr>
          <w:rFonts w:ascii="Tahoma" w:hAnsi="Tahoma" w:cs="Tahoma"/>
          <w:b/>
          <w:bCs/>
          <w:sz w:val="20"/>
          <w:szCs w:val="20"/>
        </w:rPr>
        <w:t xml:space="preserve"> provedba ovog Programa će se kontinuirano pratiti i ocjenjivati te će se Program po potrebi revidirati, a svake tri godine donosit će se akcijski planovi odlukom ministra. </w:t>
      </w:r>
      <w:r w:rsidRPr="00DB4B41">
        <w:rPr>
          <w:rFonts w:ascii="Tahoma" w:hAnsi="Tahoma" w:cs="Tahoma"/>
          <w:sz w:val="20"/>
          <w:szCs w:val="20"/>
        </w:rPr>
        <w:t>Sastavni dio ovoga Programa je detaljni opis provedbe za razdoblje od 2022. do 2024. godine.</w:t>
      </w:r>
    </w:p>
    <w:p w14:paraId="5C6247BF" w14:textId="77777777" w:rsidR="004949CA" w:rsidRPr="00D77769" w:rsidRDefault="004949CA" w:rsidP="004949CA">
      <w:pPr>
        <w:pStyle w:val="Naslov10"/>
      </w:pPr>
      <w:bookmarkStart w:id="23" w:name="_Toc81824891"/>
      <w:bookmarkStart w:id="24" w:name="_Toc81836271"/>
      <w:bookmarkStart w:id="25" w:name="_Toc83912043"/>
      <w:bookmarkEnd w:id="23"/>
      <w:r>
        <w:lastRenderedPageBreak/>
        <w:t>Uvod</w:t>
      </w:r>
      <w:bookmarkEnd w:id="24"/>
      <w:bookmarkEnd w:id="25"/>
    </w:p>
    <w:p w14:paraId="416750F7" w14:textId="6AE4AEE2" w:rsidR="004949CA" w:rsidRPr="004707C4" w:rsidRDefault="23482790" w:rsidP="00A36203">
      <w:pPr>
        <w:jc w:val="both"/>
        <w:rPr>
          <w:rFonts w:ascii="Tahoma" w:hAnsi="Tahoma" w:cs="Tahoma"/>
          <w:sz w:val="20"/>
          <w:szCs w:val="20"/>
        </w:rPr>
      </w:pPr>
      <w:r w:rsidRPr="797530A1">
        <w:rPr>
          <w:rFonts w:ascii="Tahoma" w:hAnsi="Tahoma" w:cs="Tahoma"/>
          <w:sz w:val="20"/>
          <w:szCs w:val="20"/>
        </w:rPr>
        <w:t>U prosincu 2020. godine Vlada Republike Hrvatske usvojila</w:t>
      </w:r>
      <w:r w:rsidR="69445C28" w:rsidRPr="797530A1">
        <w:rPr>
          <w:rFonts w:ascii="Tahoma" w:hAnsi="Tahoma" w:cs="Tahoma"/>
          <w:sz w:val="20"/>
          <w:szCs w:val="20"/>
        </w:rPr>
        <w:t xml:space="preserve"> je</w:t>
      </w:r>
      <w:r w:rsidRPr="797530A1">
        <w:rPr>
          <w:rFonts w:ascii="Tahoma" w:hAnsi="Tahoma" w:cs="Tahoma"/>
          <w:sz w:val="20"/>
          <w:szCs w:val="20"/>
        </w:rPr>
        <w:t xml:space="preserve"> Dugoročnu strategiju za obnovu nacionalnog fonda zgrada do 2050. godine (Narodne novine, broj 140/20; dalje u tekstu: Dugoročna strategija</w:t>
      </w:r>
      <w:r w:rsidR="0EFEB413" w:rsidRPr="797530A1">
        <w:rPr>
          <w:rFonts w:ascii="Tahoma" w:hAnsi="Tahoma" w:cs="Tahoma"/>
          <w:sz w:val="20"/>
          <w:szCs w:val="20"/>
        </w:rPr>
        <w:t>)</w:t>
      </w:r>
      <w:r w:rsidR="69445C28" w:rsidRPr="797530A1">
        <w:rPr>
          <w:rFonts w:ascii="Tahoma" w:hAnsi="Tahoma" w:cs="Tahoma"/>
          <w:sz w:val="20"/>
          <w:szCs w:val="20"/>
        </w:rPr>
        <w:t xml:space="preserve"> Dugoročna strategija</w:t>
      </w:r>
      <w:r w:rsidRPr="797530A1">
        <w:rPr>
          <w:rFonts w:ascii="Tahoma" w:hAnsi="Tahoma" w:cs="Tahoma"/>
          <w:sz w:val="20"/>
          <w:szCs w:val="20"/>
        </w:rPr>
        <w:t xml:space="preserve"> nadopunjuje te je metodološki usklađena s Integriranim nacionalnim energetskim i klimatskim planom (NEKP), kojega je </w:t>
      </w:r>
      <w:r w:rsidR="4B9214AD" w:rsidRPr="797530A1">
        <w:rPr>
          <w:rFonts w:ascii="Tahoma" w:hAnsi="Tahoma" w:cs="Tahoma"/>
          <w:sz w:val="20"/>
          <w:szCs w:val="20"/>
        </w:rPr>
        <w:t>Hrvatska</w:t>
      </w:r>
      <w:r w:rsidRPr="797530A1">
        <w:rPr>
          <w:rFonts w:ascii="Tahoma" w:hAnsi="Tahoma" w:cs="Tahoma"/>
          <w:sz w:val="20"/>
          <w:szCs w:val="20"/>
        </w:rPr>
        <w:t xml:space="preserve"> izradila u skladu s obvezom iz Uredbe (EU) 2018/1999 Europskog parlamenta i Vijeća od 11. prosinca 2018. o upravljanju energetskom unijom i djelovanjem u području klime. Oba ova dokumenta predviđaju izradu, usvajanje i provedbu ovog Programa energetske obnove višestambenih zgrada (VSZ) za razdoblje do 2030. godine, čije je donošenje također predviđeno i Zakonom o gradnji (Narodne novine, br. 153/13, 20/17, 39/19 i 125/19).</w:t>
      </w:r>
    </w:p>
    <w:p w14:paraId="3399E0C2" w14:textId="6215FA27" w:rsidR="004949CA" w:rsidRPr="004707C4" w:rsidRDefault="23482790" w:rsidP="00A36203">
      <w:pPr>
        <w:jc w:val="both"/>
        <w:rPr>
          <w:rFonts w:ascii="Tahoma" w:hAnsi="Tahoma" w:cs="Tahoma"/>
          <w:sz w:val="20"/>
          <w:szCs w:val="20"/>
        </w:rPr>
      </w:pPr>
      <w:r w:rsidRPr="797530A1">
        <w:rPr>
          <w:rFonts w:ascii="Tahoma" w:hAnsi="Tahoma" w:cs="Tahoma"/>
          <w:sz w:val="20"/>
          <w:szCs w:val="20"/>
        </w:rPr>
        <w:t>U skladu sa strateškim, planskim i zakonskim okvirom, ovaj se Program koncipira kao nastavak Programa energetske obnove višestambenih zgrada za razdoblje od 2014. do 2020. godine s detaljnim planom za razdoblje od 2014. do 2016. godine (Narodne novine, broj 78/14), zadržavajući pri tome uspješne elemente i modele provedbe toga Programa te unaprjeđujući element</w:t>
      </w:r>
      <w:r w:rsidR="465D7F88" w:rsidRPr="797530A1">
        <w:rPr>
          <w:rFonts w:ascii="Tahoma" w:hAnsi="Tahoma" w:cs="Tahoma"/>
          <w:sz w:val="20"/>
          <w:szCs w:val="20"/>
        </w:rPr>
        <w:t>e</w:t>
      </w:r>
      <w:r w:rsidRPr="797530A1">
        <w:rPr>
          <w:rFonts w:ascii="Tahoma" w:hAnsi="Tahoma" w:cs="Tahoma"/>
          <w:sz w:val="20"/>
          <w:szCs w:val="20"/>
        </w:rPr>
        <w:t xml:space="preserve"> koji su se pokazali kao manjkavi u praksi. </w:t>
      </w:r>
    </w:p>
    <w:p w14:paraId="315041D4" w14:textId="002A934C" w:rsidR="004949CA" w:rsidRPr="004707C4" w:rsidRDefault="23482790" w:rsidP="00A36203">
      <w:pPr>
        <w:jc w:val="both"/>
        <w:rPr>
          <w:rFonts w:ascii="Tahoma" w:hAnsi="Tahoma" w:cs="Tahoma"/>
          <w:sz w:val="20"/>
          <w:szCs w:val="20"/>
        </w:rPr>
      </w:pPr>
      <w:r w:rsidRPr="797530A1">
        <w:rPr>
          <w:rFonts w:ascii="Tahoma" w:hAnsi="Tahoma" w:cs="Tahoma"/>
          <w:sz w:val="20"/>
          <w:szCs w:val="20"/>
        </w:rPr>
        <w:t>Pri tome, važno je istaknuti da se, zbog razornih potresa koji su se dogodili u</w:t>
      </w:r>
      <w:r w:rsidR="0A833376" w:rsidRPr="797530A1">
        <w:rPr>
          <w:rFonts w:ascii="Tahoma" w:hAnsi="Tahoma" w:cs="Tahoma"/>
          <w:sz w:val="20"/>
          <w:szCs w:val="20"/>
        </w:rPr>
        <w:t xml:space="preserve"> Hrvatskoj</w:t>
      </w:r>
      <w:r w:rsidRPr="797530A1">
        <w:rPr>
          <w:rFonts w:ascii="Tahoma" w:hAnsi="Tahoma" w:cs="Tahoma"/>
          <w:sz w:val="20"/>
          <w:szCs w:val="20"/>
        </w:rPr>
        <w:t xml:space="preserve"> tijekom 2020. godine, ovaj Program proširuje u odnosu na prethodni te osim energetske obnove uključuje i sveobuhvatnu obnovu VSZ. Konkretno, ovim se Programom predviđaju dvije kategorije obnove VSZ:</w:t>
      </w:r>
    </w:p>
    <w:p w14:paraId="6EFA2333" w14:textId="77777777" w:rsidR="004949CA" w:rsidRPr="004707C4" w:rsidRDefault="004949CA" w:rsidP="00D864CE">
      <w:pPr>
        <w:pStyle w:val="Odlomakpopisa"/>
        <w:numPr>
          <w:ilvl w:val="0"/>
          <w:numId w:val="25"/>
        </w:numPr>
        <w:rPr>
          <w:rFonts w:cs="Tahoma"/>
          <w:b/>
          <w:bCs/>
          <w:szCs w:val="20"/>
        </w:rPr>
      </w:pPr>
      <w:r w:rsidRPr="004707C4">
        <w:rPr>
          <w:rFonts w:cs="Tahoma"/>
          <w:b/>
          <w:bCs/>
          <w:szCs w:val="20"/>
        </w:rPr>
        <w:t>kategorija – energetska obnova višestambenih zgrada</w:t>
      </w:r>
    </w:p>
    <w:p w14:paraId="5C444C09" w14:textId="4AAE7303" w:rsidR="004949CA" w:rsidRPr="004707C4" w:rsidRDefault="0B432AFC" w:rsidP="003C5F70">
      <w:pPr>
        <w:jc w:val="both"/>
        <w:rPr>
          <w:rFonts w:cs="Tahoma"/>
        </w:rPr>
      </w:pPr>
      <w:r w:rsidRPr="797530A1">
        <w:rPr>
          <w:rFonts w:ascii="Tahoma" w:hAnsi="Tahoma" w:cs="Tahoma"/>
          <w:sz w:val="20"/>
          <w:szCs w:val="20"/>
        </w:rPr>
        <w:t>K</w:t>
      </w:r>
      <w:r w:rsidR="23482790" w:rsidRPr="797530A1">
        <w:rPr>
          <w:rFonts w:ascii="Tahoma" w:hAnsi="Tahoma" w:cs="Tahoma"/>
          <w:sz w:val="20"/>
          <w:szCs w:val="20"/>
        </w:rPr>
        <w:t>ategorija podrazumijeva dva pristupa energetskoj obnovi VSZ: 1) integralnu energetsku obnovu i 2)</w:t>
      </w:r>
      <w:r w:rsidR="7282CFD9" w:rsidRPr="797530A1">
        <w:rPr>
          <w:rFonts w:ascii="Tahoma" w:hAnsi="Tahoma" w:cs="Tahoma"/>
          <w:sz w:val="20"/>
          <w:szCs w:val="20"/>
        </w:rPr>
        <w:t xml:space="preserve"> </w:t>
      </w:r>
      <w:r w:rsidR="23482790" w:rsidRPr="797530A1">
        <w:rPr>
          <w:rFonts w:ascii="Tahoma" w:hAnsi="Tahoma" w:cs="Tahoma"/>
          <w:sz w:val="20"/>
          <w:szCs w:val="20"/>
        </w:rPr>
        <w:t xml:space="preserve">dubinsku obnovu (uključivo do </w:t>
      </w:r>
      <w:proofErr w:type="spellStart"/>
      <w:r w:rsidR="23482790" w:rsidRPr="797530A1">
        <w:rPr>
          <w:rFonts w:ascii="Tahoma" w:hAnsi="Tahoma" w:cs="Tahoma"/>
          <w:sz w:val="20"/>
          <w:szCs w:val="20"/>
        </w:rPr>
        <w:t>nZEB</w:t>
      </w:r>
      <w:proofErr w:type="spellEnd"/>
      <w:r w:rsidR="23482790" w:rsidRPr="797530A1">
        <w:rPr>
          <w:rFonts w:ascii="Tahoma" w:hAnsi="Tahoma" w:cs="Tahoma"/>
          <w:sz w:val="20"/>
          <w:szCs w:val="20"/>
        </w:rPr>
        <w:t xml:space="preserve"> standarda</w:t>
      </w:r>
      <w:r w:rsidR="6112A301" w:rsidRPr="797530A1">
        <w:rPr>
          <w:rFonts w:ascii="Tahoma" w:hAnsi="Tahoma" w:cs="Tahoma"/>
          <w:sz w:val="20"/>
          <w:szCs w:val="20"/>
        </w:rPr>
        <w:t xml:space="preserve"> za rekonstrukciju</w:t>
      </w:r>
      <w:r w:rsidR="23482790" w:rsidRPr="797530A1">
        <w:rPr>
          <w:rFonts w:ascii="Tahoma" w:hAnsi="Tahoma" w:cs="Tahoma"/>
          <w:sz w:val="20"/>
          <w:szCs w:val="20"/>
        </w:rPr>
        <w:t>)</w:t>
      </w:r>
    </w:p>
    <w:p w14:paraId="4325EAFB" w14:textId="77777777" w:rsidR="004949CA" w:rsidRPr="004707C4" w:rsidRDefault="004949CA" w:rsidP="00D864CE">
      <w:pPr>
        <w:pStyle w:val="Odlomakpopisa"/>
        <w:numPr>
          <w:ilvl w:val="0"/>
          <w:numId w:val="25"/>
        </w:numPr>
        <w:rPr>
          <w:rFonts w:cs="Tahoma"/>
          <w:b/>
          <w:bCs/>
          <w:szCs w:val="20"/>
        </w:rPr>
      </w:pPr>
      <w:r w:rsidRPr="004707C4">
        <w:rPr>
          <w:rFonts w:cs="Tahoma"/>
          <w:b/>
          <w:bCs/>
          <w:szCs w:val="20"/>
        </w:rPr>
        <w:t>kategorija – sveobuhvatna obnova višestambenih zgrada</w:t>
      </w:r>
    </w:p>
    <w:p w14:paraId="5BBF9DD2" w14:textId="7B4DF4FB" w:rsidR="004949CA" w:rsidRPr="00C06989" w:rsidRDefault="004949CA" w:rsidP="00F7592C">
      <w:pPr>
        <w:jc w:val="both"/>
        <w:rPr>
          <w:rFonts w:ascii="Tahoma" w:hAnsi="Tahoma" w:cs="Tahoma"/>
          <w:sz w:val="20"/>
          <w:szCs w:val="20"/>
        </w:rPr>
      </w:pPr>
      <w:r w:rsidRPr="004707C4">
        <w:rPr>
          <w:rFonts w:ascii="Tahoma" w:hAnsi="Tahoma" w:cs="Tahoma"/>
          <w:b/>
          <w:bCs/>
          <w:sz w:val="20"/>
          <w:szCs w:val="20"/>
        </w:rPr>
        <w:t>Sveobuhvatna obnova</w:t>
      </w:r>
      <w:r w:rsidRPr="004707C4">
        <w:rPr>
          <w:rFonts w:ascii="Tahoma" w:hAnsi="Tahoma" w:cs="Tahoma"/>
          <w:sz w:val="20"/>
          <w:szCs w:val="20"/>
        </w:rPr>
        <w:t xml:space="preserve"> obuhvaća optimalne mjere unapređenja postojećeg stanja zgrade te osim mjera energetske obnove zgrade uključuje i mjere</w:t>
      </w:r>
      <w:r w:rsidR="00956032">
        <w:rPr>
          <w:rFonts w:ascii="Tahoma" w:hAnsi="Tahoma" w:cs="Tahoma"/>
          <w:sz w:val="20"/>
          <w:szCs w:val="20"/>
        </w:rPr>
        <w:t xml:space="preserve"> poput </w:t>
      </w:r>
      <w:r w:rsidRPr="00C06989">
        <w:rPr>
          <w:rFonts w:ascii="Tahoma" w:hAnsi="Tahoma" w:cs="Tahoma"/>
          <w:sz w:val="20"/>
          <w:szCs w:val="20"/>
        </w:rPr>
        <w:t>povećanja sigurnosti u slučaju požara, mjere za osiguravanje zdravih unutarnjih klimatskih uvjeta te</w:t>
      </w:r>
      <w:r w:rsidR="00532B88">
        <w:rPr>
          <w:rFonts w:ascii="Tahoma" w:hAnsi="Tahoma" w:cs="Tahoma"/>
          <w:sz w:val="20"/>
          <w:szCs w:val="20"/>
        </w:rPr>
        <w:t xml:space="preserve"> </w:t>
      </w:r>
      <w:r w:rsidRPr="00C06989">
        <w:rPr>
          <w:rFonts w:ascii="Tahoma" w:hAnsi="Tahoma" w:cs="Tahoma"/>
          <w:sz w:val="20"/>
          <w:szCs w:val="20"/>
        </w:rPr>
        <w:t>mjere za  povećanj</w:t>
      </w:r>
      <w:r w:rsidR="00532B88" w:rsidRPr="00C06989">
        <w:rPr>
          <w:rFonts w:ascii="Tahoma" w:hAnsi="Tahoma" w:cs="Tahoma"/>
          <w:sz w:val="20"/>
          <w:szCs w:val="20"/>
        </w:rPr>
        <w:t>e</w:t>
      </w:r>
      <w:r w:rsidRPr="00C06989">
        <w:rPr>
          <w:rFonts w:ascii="Tahoma" w:hAnsi="Tahoma" w:cs="Tahoma"/>
          <w:sz w:val="20"/>
          <w:szCs w:val="20"/>
        </w:rPr>
        <w:t xml:space="preserve"> potresne otpornosti zgrade</w:t>
      </w:r>
      <w:r w:rsidR="009B09FE" w:rsidRPr="00C06989">
        <w:rPr>
          <w:rFonts w:ascii="Tahoma" w:hAnsi="Tahoma" w:cs="Tahoma"/>
          <w:sz w:val="20"/>
          <w:szCs w:val="20"/>
        </w:rPr>
        <w:t>,</w:t>
      </w:r>
      <w:r w:rsidR="007C404C" w:rsidRPr="00C06989">
        <w:rPr>
          <w:rFonts w:ascii="Tahoma" w:hAnsi="Tahoma" w:cs="Tahoma"/>
          <w:sz w:val="20"/>
          <w:szCs w:val="20"/>
        </w:rPr>
        <w:t xml:space="preserve"> a može uključivati i druge mjere kojima se unapređuje ispunjavanje temeljnih zahtjeva za građevinu.</w:t>
      </w:r>
    </w:p>
    <w:p w14:paraId="61167B32" w14:textId="59BD48A5" w:rsidR="004949CA" w:rsidRDefault="2F4A6F00" w:rsidP="00F7592C">
      <w:pPr>
        <w:jc w:val="both"/>
        <w:rPr>
          <w:rFonts w:ascii="Tahoma" w:hAnsi="Tahoma" w:cs="Tahoma"/>
          <w:sz w:val="20"/>
          <w:szCs w:val="20"/>
        </w:rPr>
      </w:pPr>
      <w:r w:rsidRPr="76C5F75F">
        <w:rPr>
          <w:rFonts w:ascii="Tahoma" w:hAnsi="Tahoma" w:cs="Tahoma"/>
          <w:sz w:val="20"/>
          <w:szCs w:val="20"/>
        </w:rPr>
        <w:t xml:space="preserve">Sveobuhvatnom obnovom obvezno je postići </w:t>
      </w:r>
      <w:r w:rsidR="219D6C07" w:rsidRPr="76C5F75F">
        <w:rPr>
          <w:rFonts w:ascii="Tahoma" w:hAnsi="Tahoma" w:cs="Tahoma"/>
          <w:sz w:val="20"/>
          <w:szCs w:val="20"/>
        </w:rPr>
        <w:t>ušted</w:t>
      </w:r>
      <w:r w:rsidR="6C1D7556" w:rsidRPr="76C5F75F">
        <w:rPr>
          <w:rFonts w:ascii="Tahoma" w:hAnsi="Tahoma" w:cs="Tahoma"/>
          <w:sz w:val="20"/>
          <w:szCs w:val="20"/>
        </w:rPr>
        <w:t>u</w:t>
      </w:r>
      <w:r w:rsidR="6B60BC34" w:rsidRPr="76C5F75F">
        <w:rPr>
          <w:rFonts w:ascii="Tahoma" w:hAnsi="Tahoma" w:cs="Tahoma"/>
          <w:sz w:val="20"/>
          <w:szCs w:val="20"/>
        </w:rPr>
        <w:t xml:space="preserve"> u </w:t>
      </w:r>
      <w:r w:rsidR="2C3070D1" w:rsidRPr="76C5F75F">
        <w:rPr>
          <w:rFonts w:ascii="Tahoma" w:hAnsi="Tahoma" w:cs="Tahoma"/>
          <w:sz w:val="20"/>
          <w:szCs w:val="20"/>
        </w:rPr>
        <w:t xml:space="preserve">godišnjoj </w:t>
      </w:r>
      <w:r w:rsidR="6B60BC34" w:rsidRPr="76C5F75F">
        <w:rPr>
          <w:rFonts w:ascii="Tahoma" w:hAnsi="Tahoma" w:cs="Tahoma"/>
          <w:sz w:val="20"/>
          <w:szCs w:val="20"/>
        </w:rPr>
        <w:t>potrebnoj</w:t>
      </w:r>
      <w:r w:rsidR="0FF55EAD" w:rsidRPr="76C5F75F">
        <w:rPr>
          <w:rFonts w:ascii="Tahoma" w:hAnsi="Tahoma" w:cs="Tahoma"/>
          <w:sz w:val="20"/>
          <w:szCs w:val="20"/>
        </w:rPr>
        <w:t xml:space="preserve"> </w:t>
      </w:r>
      <w:r w:rsidR="6B60BC34" w:rsidRPr="76C5F75F">
        <w:rPr>
          <w:rFonts w:ascii="Tahoma" w:hAnsi="Tahoma" w:cs="Tahoma"/>
          <w:sz w:val="20"/>
          <w:szCs w:val="20"/>
        </w:rPr>
        <w:t>toplinskoj energiji za</w:t>
      </w:r>
      <w:r w:rsidRPr="76C5F75F">
        <w:rPr>
          <w:rFonts w:ascii="Tahoma" w:hAnsi="Tahoma" w:cs="Tahoma"/>
          <w:sz w:val="20"/>
          <w:szCs w:val="20"/>
        </w:rPr>
        <w:t xml:space="preserve"> grijanje (</w:t>
      </w:r>
      <w:proofErr w:type="spellStart"/>
      <w:r w:rsidRPr="76C5F75F">
        <w:rPr>
          <w:rFonts w:ascii="Tahoma" w:hAnsi="Tahoma" w:cs="Tahoma"/>
          <w:sz w:val="20"/>
          <w:szCs w:val="20"/>
        </w:rPr>
        <w:t>Q</w:t>
      </w:r>
      <w:r w:rsidRPr="76C5F75F">
        <w:rPr>
          <w:rFonts w:ascii="Tahoma" w:hAnsi="Tahoma" w:cs="Tahoma"/>
          <w:sz w:val="20"/>
          <w:szCs w:val="20"/>
          <w:vertAlign w:val="subscript"/>
        </w:rPr>
        <w:t>H,nd</w:t>
      </w:r>
      <w:proofErr w:type="spellEnd"/>
      <w:r w:rsidRPr="76C5F75F">
        <w:rPr>
          <w:rFonts w:ascii="Tahoma" w:hAnsi="Tahoma" w:cs="Tahoma"/>
          <w:sz w:val="20"/>
          <w:szCs w:val="20"/>
        </w:rPr>
        <w:t xml:space="preserve">)  od najmanje 50% u odnosu na </w:t>
      </w:r>
      <w:r w:rsidR="04FC0865" w:rsidRPr="76C5F75F">
        <w:rPr>
          <w:rFonts w:ascii="Tahoma" w:hAnsi="Tahoma" w:cs="Tahoma"/>
          <w:sz w:val="20"/>
          <w:szCs w:val="20"/>
        </w:rPr>
        <w:t>stanje</w:t>
      </w:r>
      <w:r w:rsidRPr="76C5F75F">
        <w:rPr>
          <w:rFonts w:ascii="Tahoma" w:hAnsi="Tahoma" w:cs="Tahoma"/>
          <w:sz w:val="20"/>
          <w:szCs w:val="20"/>
        </w:rPr>
        <w:t xml:space="preserve"> prije obnove.</w:t>
      </w:r>
    </w:p>
    <w:p w14:paraId="7DD9D68C" w14:textId="4D98C8AB" w:rsidR="00C06989" w:rsidRPr="009D0E1D" w:rsidRDefault="15D1C420" w:rsidP="00D450BE">
      <w:pPr>
        <w:jc w:val="both"/>
        <w:rPr>
          <w:rFonts w:ascii="Tahoma" w:hAnsi="Tahoma" w:cs="Tahoma"/>
          <w:b/>
          <w:bCs/>
          <w:sz w:val="20"/>
          <w:szCs w:val="20"/>
        </w:rPr>
      </w:pPr>
      <w:r w:rsidRPr="797530A1">
        <w:rPr>
          <w:rFonts w:ascii="Tahoma" w:hAnsi="Tahoma" w:cs="Tahoma"/>
          <w:b/>
          <w:bCs/>
          <w:sz w:val="20"/>
          <w:szCs w:val="20"/>
        </w:rPr>
        <w:t>Osnovni uvjet za sudjelovanje VSZ u ovom Programu je ušteda</w:t>
      </w:r>
      <w:r w:rsidR="75C15560" w:rsidRPr="797530A1">
        <w:rPr>
          <w:rFonts w:ascii="Tahoma" w:hAnsi="Tahoma" w:cs="Tahoma"/>
          <w:b/>
          <w:bCs/>
          <w:sz w:val="20"/>
          <w:szCs w:val="20"/>
        </w:rPr>
        <w:t xml:space="preserve"> u</w:t>
      </w:r>
      <w:r w:rsidRPr="797530A1">
        <w:rPr>
          <w:rFonts w:ascii="Tahoma" w:hAnsi="Tahoma" w:cs="Tahoma"/>
          <w:b/>
          <w:bCs/>
          <w:sz w:val="20"/>
          <w:szCs w:val="20"/>
        </w:rPr>
        <w:t xml:space="preserve"> </w:t>
      </w:r>
      <w:r w:rsidR="30934D67" w:rsidRPr="797530A1">
        <w:rPr>
          <w:rFonts w:ascii="Tahoma" w:hAnsi="Tahoma" w:cs="Tahoma"/>
          <w:b/>
          <w:bCs/>
          <w:sz w:val="20"/>
          <w:szCs w:val="20"/>
        </w:rPr>
        <w:t xml:space="preserve">godišnjoj </w:t>
      </w:r>
      <w:r w:rsidRPr="797530A1">
        <w:rPr>
          <w:rFonts w:ascii="Tahoma" w:hAnsi="Tahoma" w:cs="Tahoma"/>
          <w:b/>
          <w:bCs/>
          <w:sz w:val="20"/>
          <w:szCs w:val="20"/>
        </w:rPr>
        <w:t>potrebn</w:t>
      </w:r>
      <w:r w:rsidR="2A32D701" w:rsidRPr="797530A1">
        <w:rPr>
          <w:rFonts w:ascii="Tahoma" w:hAnsi="Tahoma" w:cs="Tahoma"/>
          <w:b/>
          <w:bCs/>
          <w:sz w:val="20"/>
          <w:szCs w:val="20"/>
        </w:rPr>
        <w:t>oj</w:t>
      </w:r>
      <w:r w:rsidR="590A4A0F" w:rsidRPr="797530A1">
        <w:rPr>
          <w:rFonts w:ascii="Tahoma" w:hAnsi="Tahoma" w:cs="Tahoma"/>
          <w:b/>
          <w:bCs/>
          <w:sz w:val="20"/>
          <w:szCs w:val="20"/>
        </w:rPr>
        <w:t xml:space="preserve"> </w:t>
      </w:r>
      <w:r w:rsidRPr="797530A1">
        <w:rPr>
          <w:rFonts w:ascii="Tahoma" w:hAnsi="Tahoma" w:cs="Tahoma"/>
          <w:b/>
          <w:bCs/>
          <w:sz w:val="20"/>
          <w:szCs w:val="20"/>
        </w:rPr>
        <w:t>energij</w:t>
      </w:r>
      <w:r w:rsidR="2BCFCF23" w:rsidRPr="797530A1">
        <w:rPr>
          <w:rFonts w:ascii="Tahoma" w:hAnsi="Tahoma" w:cs="Tahoma"/>
          <w:b/>
          <w:bCs/>
          <w:sz w:val="20"/>
          <w:szCs w:val="20"/>
        </w:rPr>
        <w:t>i</w:t>
      </w:r>
      <w:r w:rsidRPr="797530A1">
        <w:rPr>
          <w:rFonts w:ascii="Tahoma" w:hAnsi="Tahoma" w:cs="Tahoma"/>
          <w:b/>
          <w:bCs/>
          <w:sz w:val="20"/>
          <w:szCs w:val="20"/>
        </w:rPr>
        <w:t xml:space="preserve"> za grijanje (</w:t>
      </w:r>
      <w:proofErr w:type="spellStart"/>
      <w:r w:rsidRPr="797530A1">
        <w:rPr>
          <w:rFonts w:ascii="Tahoma" w:hAnsi="Tahoma" w:cs="Tahoma"/>
          <w:b/>
          <w:bCs/>
          <w:sz w:val="20"/>
          <w:szCs w:val="20"/>
        </w:rPr>
        <w:t>Q</w:t>
      </w:r>
      <w:r w:rsidRPr="797530A1">
        <w:rPr>
          <w:rFonts w:ascii="Tahoma" w:hAnsi="Tahoma" w:cs="Tahoma"/>
          <w:b/>
          <w:bCs/>
          <w:sz w:val="20"/>
          <w:szCs w:val="20"/>
          <w:vertAlign w:val="subscript"/>
        </w:rPr>
        <w:t>H,nd</w:t>
      </w:r>
      <w:proofErr w:type="spellEnd"/>
      <w:r w:rsidRPr="797530A1">
        <w:rPr>
          <w:rFonts w:ascii="Tahoma" w:hAnsi="Tahoma" w:cs="Tahoma"/>
          <w:b/>
          <w:bCs/>
          <w:sz w:val="20"/>
          <w:szCs w:val="20"/>
        </w:rPr>
        <w:t>)  od najmanje 50% u odnosu na stanje prije obnove, bez obzira o kojoj kategoriji obnove se radi</w:t>
      </w:r>
      <w:r w:rsidR="333FF659" w:rsidRPr="797530A1">
        <w:rPr>
          <w:rFonts w:ascii="Tahoma" w:hAnsi="Tahoma" w:cs="Tahoma"/>
          <w:b/>
          <w:bCs/>
          <w:sz w:val="20"/>
          <w:szCs w:val="20"/>
        </w:rPr>
        <w:t>.</w:t>
      </w:r>
    </w:p>
    <w:p w14:paraId="12017FFE" w14:textId="1432D9CA" w:rsidR="004949CA" w:rsidRPr="004707C4" w:rsidRDefault="004949CA" w:rsidP="004949CA">
      <w:pPr>
        <w:rPr>
          <w:rFonts w:ascii="Tahoma" w:hAnsi="Tahoma" w:cs="Tahoma"/>
          <w:sz w:val="20"/>
          <w:szCs w:val="20"/>
        </w:rPr>
      </w:pPr>
      <w:r w:rsidRPr="004707C4">
        <w:rPr>
          <w:rFonts w:ascii="Tahoma" w:hAnsi="Tahoma" w:cs="Tahoma"/>
          <w:sz w:val="20"/>
          <w:szCs w:val="20"/>
        </w:rPr>
        <w:t>U kategoriji sveobuhvatne obnove, Program razlikuje dva specifična slučaja:</w:t>
      </w:r>
    </w:p>
    <w:p w14:paraId="5E97E207" w14:textId="77777777" w:rsidR="004949CA" w:rsidRPr="004707C4" w:rsidRDefault="004949CA" w:rsidP="00D864CE">
      <w:pPr>
        <w:pStyle w:val="Odlomakpopisa"/>
        <w:numPr>
          <w:ilvl w:val="0"/>
          <w:numId w:val="28"/>
        </w:numPr>
        <w:rPr>
          <w:rFonts w:cs="Tahoma"/>
          <w:szCs w:val="20"/>
        </w:rPr>
      </w:pPr>
      <w:r w:rsidRPr="004707C4">
        <w:rPr>
          <w:rFonts w:cs="Tahoma"/>
          <w:b/>
          <w:bCs/>
          <w:szCs w:val="20"/>
        </w:rPr>
        <w:t>VSZ koje nisu oštećene u potresu</w:t>
      </w:r>
      <w:r w:rsidRPr="004707C4">
        <w:rPr>
          <w:rFonts w:cs="Tahoma"/>
          <w:szCs w:val="20"/>
        </w:rPr>
        <w:t xml:space="preserve"> i </w:t>
      </w:r>
    </w:p>
    <w:p w14:paraId="03C70D93" w14:textId="7BE290F7" w:rsidR="004949CA" w:rsidRDefault="004949CA" w:rsidP="00D864CE">
      <w:pPr>
        <w:pStyle w:val="Odlomakpopisa"/>
        <w:numPr>
          <w:ilvl w:val="0"/>
          <w:numId w:val="28"/>
        </w:numPr>
        <w:rPr>
          <w:rFonts w:cs="Tahoma"/>
          <w:szCs w:val="20"/>
        </w:rPr>
      </w:pPr>
      <w:r w:rsidRPr="004707C4">
        <w:rPr>
          <w:rFonts w:cs="Tahoma"/>
          <w:b/>
          <w:bCs/>
          <w:szCs w:val="20"/>
        </w:rPr>
        <w:t>VSZ oštećene u potresu</w:t>
      </w:r>
      <w:r w:rsidRPr="004707C4">
        <w:rPr>
          <w:rFonts w:cs="Tahoma"/>
          <w:szCs w:val="20"/>
        </w:rPr>
        <w:t>.</w:t>
      </w:r>
    </w:p>
    <w:p w14:paraId="3DE05881" w14:textId="77777777" w:rsidR="00AA2C7A" w:rsidRPr="004707C4" w:rsidRDefault="00AA2C7A" w:rsidP="00AA2C7A">
      <w:pPr>
        <w:pStyle w:val="Odlomakpopisa"/>
        <w:numPr>
          <w:ilvl w:val="0"/>
          <w:numId w:val="0"/>
        </w:numPr>
        <w:ind w:left="720"/>
        <w:rPr>
          <w:rFonts w:cs="Tahoma"/>
          <w:szCs w:val="20"/>
        </w:rPr>
      </w:pPr>
    </w:p>
    <w:p w14:paraId="06606A84" w14:textId="79572315" w:rsidR="004949CA" w:rsidRPr="004707C4" w:rsidRDefault="23482790" w:rsidP="00AA2C7A">
      <w:pPr>
        <w:jc w:val="both"/>
        <w:rPr>
          <w:rFonts w:ascii="Tahoma" w:eastAsia="Tahoma" w:hAnsi="Tahoma" w:cs="Tahoma"/>
          <w:b/>
          <w:bCs/>
          <w:sz w:val="20"/>
          <w:szCs w:val="20"/>
        </w:rPr>
      </w:pPr>
      <w:r w:rsidRPr="797530A1">
        <w:rPr>
          <w:rFonts w:ascii="Tahoma" w:eastAsia="Tahoma" w:hAnsi="Tahoma" w:cs="Tahoma"/>
          <w:b/>
          <w:bCs/>
          <w:sz w:val="20"/>
          <w:szCs w:val="20"/>
        </w:rPr>
        <w:t>U sklopu ovog Programa, u slučaju sveobuhvatne obnove, uz energetsku obnovu, na VSZ se obavezno primjenjuje jedna ili više mjer</w:t>
      </w:r>
      <w:r w:rsidR="7DC75162" w:rsidRPr="797530A1">
        <w:rPr>
          <w:rFonts w:ascii="Tahoma" w:hAnsi="Tahoma" w:cs="Tahoma"/>
          <w:b/>
          <w:bCs/>
          <w:sz w:val="20"/>
          <w:szCs w:val="20"/>
        </w:rPr>
        <w:t>a</w:t>
      </w:r>
      <w:r w:rsidRPr="797530A1">
        <w:rPr>
          <w:rFonts w:ascii="Tahoma" w:hAnsi="Tahoma" w:cs="Tahoma"/>
          <w:b/>
          <w:bCs/>
          <w:sz w:val="20"/>
          <w:szCs w:val="20"/>
        </w:rPr>
        <w:t xml:space="preserve"> za smanjenja rizika povezanih s djelovanjem potresa prema projektnoj dokumentaciji izrađenoj u skladu s važećim propisima te prema zahtjevima iz javnog poziva.</w:t>
      </w:r>
    </w:p>
    <w:p w14:paraId="3BE30094" w14:textId="77777777" w:rsidR="004949CA" w:rsidRPr="004707C4" w:rsidRDefault="23482790" w:rsidP="003C5F70">
      <w:pPr>
        <w:jc w:val="both"/>
        <w:rPr>
          <w:rFonts w:ascii="Tahoma" w:hAnsi="Tahoma" w:cs="Tahoma"/>
          <w:b/>
          <w:bCs/>
          <w:sz w:val="20"/>
          <w:szCs w:val="20"/>
        </w:rPr>
      </w:pPr>
      <w:r w:rsidRPr="797530A1">
        <w:rPr>
          <w:rFonts w:ascii="Tahoma" w:hAnsi="Tahoma" w:cs="Tahoma"/>
          <w:sz w:val="20"/>
          <w:szCs w:val="20"/>
        </w:rPr>
        <w:t>Provedbeni modeli definirani u ovom Programu uvažavaju predviđene kategorije i razine obnove zgrada prema Dugoročnoj strategiji. Program predviđa tri provedbena modela:</w:t>
      </w:r>
    </w:p>
    <w:p w14:paraId="0E99F134" w14:textId="77777777" w:rsidR="004949CA" w:rsidRPr="004707C4" w:rsidRDefault="004949CA" w:rsidP="00D864CE">
      <w:pPr>
        <w:pStyle w:val="Odlomakpopisa"/>
        <w:numPr>
          <w:ilvl w:val="0"/>
          <w:numId w:val="29"/>
        </w:numPr>
        <w:rPr>
          <w:rFonts w:cs="Tahoma"/>
          <w:szCs w:val="20"/>
        </w:rPr>
      </w:pPr>
      <w:r w:rsidRPr="004707C4">
        <w:rPr>
          <w:rFonts w:cs="Tahoma"/>
          <w:b/>
          <w:bCs/>
          <w:szCs w:val="20"/>
        </w:rPr>
        <w:t>model</w:t>
      </w:r>
      <w:r w:rsidRPr="004707C4">
        <w:rPr>
          <w:rFonts w:cs="Tahoma"/>
          <w:szCs w:val="20"/>
        </w:rPr>
        <w:t xml:space="preserve"> – </w:t>
      </w:r>
      <w:r w:rsidRPr="004707C4">
        <w:rPr>
          <w:rFonts w:cs="Tahoma"/>
          <w:b/>
          <w:bCs/>
          <w:szCs w:val="20"/>
        </w:rPr>
        <w:t>obnova VSZ neoštećenih u potresu</w:t>
      </w:r>
      <w:r w:rsidRPr="004707C4">
        <w:rPr>
          <w:rFonts w:cs="Tahoma"/>
          <w:szCs w:val="20"/>
        </w:rPr>
        <w:t>, koji utvrđuje mjere i stope sufinanciranja za svaku pojedinu razinu obnove (integralna energetska obnova, dubinska obnova i sveobuhvatna obnova);</w:t>
      </w:r>
    </w:p>
    <w:p w14:paraId="42C71DA6" w14:textId="77777777" w:rsidR="004949CA" w:rsidRPr="004707C4" w:rsidRDefault="23482790" w:rsidP="797530A1">
      <w:pPr>
        <w:pStyle w:val="Odlomakpopisa"/>
        <w:numPr>
          <w:ilvl w:val="0"/>
          <w:numId w:val="29"/>
        </w:numPr>
        <w:rPr>
          <w:rFonts w:asciiTheme="minorHAnsi" w:eastAsiaTheme="minorEastAsia" w:hAnsiTheme="minorHAnsi" w:cstheme="minorBidi"/>
          <w:szCs w:val="20"/>
        </w:rPr>
      </w:pPr>
      <w:r w:rsidRPr="0068468B">
        <w:rPr>
          <w:rFonts w:cs="Tahoma"/>
          <w:b/>
          <w:bCs/>
          <w:szCs w:val="20"/>
        </w:rPr>
        <w:lastRenderedPageBreak/>
        <w:t xml:space="preserve">model </w:t>
      </w:r>
      <w:r w:rsidRPr="003C5F70">
        <w:rPr>
          <w:rFonts w:cs="Tahoma"/>
          <w:b/>
          <w:bCs/>
          <w:szCs w:val="20"/>
        </w:rPr>
        <w:t xml:space="preserve">– </w:t>
      </w:r>
      <w:r w:rsidRPr="0068468B">
        <w:rPr>
          <w:rFonts w:cs="Tahoma"/>
          <w:b/>
          <w:bCs/>
          <w:szCs w:val="20"/>
        </w:rPr>
        <w:t>obnova VSZ oštećenih u potresu</w:t>
      </w:r>
      <w:r w:rsidRPr="0068468B">
        <w:rPr>
          <w:rFonts w:cs="Tahoma"/>
          <w:szCs w:val="20"/>
        </w:rPr>
        <w:t>, čiji je temelj obnova potresom oštećene konstrukcije, dok se energetska obnova (integralna ili dub</w:t>
      </w:r>
      <w:r w:rsidRPr="00334140">
        <w:rPr>
          <w:rFonts w:cs="Tahoma"/>
          <w:szCs w:val="20"/>
        </w:rPr>
        <w:t xml:space="preserve">inska) kao i ostale mjere sveobuhvatne obnove omogućavaju kao dodatak na utvrđenu razinu obnove nakon </w:t>
      </w:r>
      <w:r w:rsidRPr="00EA1F46">
        <w:rPr>
          <w:rFonts w:cs="Tahoma"/>
          <w:szCs w:val="20"/>
        </w:rPr>
        <w:t>potresa te</w:t>
      </w:r>
    </w:p>
    <w:p w14:paraId="6BC94743" w14:textId="78D674BB" w:rsidR="004949CA" w:rsidRPr="004707C4" w:rsidRDefault="004949CA" w:rsidP="00D864CE">
      <w:pPr>
        <w:pStyle w:val="Odlomakpopisa"/>
        <w:numPr>
          <w:ilvl w:val="0"/>
          <w:numId w:val="29"/>
        </w:numPr>
        <w:rPr>
          <w:rFonts w:cs="Tahoma"/>
          <w:szCs w:val="20"/>
        </w:rPr>
      </w:pPr>
      <w:r w:rsidRPr="004707C4">
        <w:rPr>
          <w:rFonts w:cs="Tahoma"/>
          <w:b/>
          <w:bCs/>
          <w:szCs w:val="20"/>
        </w:rPr>
        <w:t xml:space="preserve">model </w:t>
      </w:r>
      <w:r w:rsidRPr="0068468B">
        <w:rPr>
          <w:rFonts w:cs="Tahoma"/>
          <w:b/>
          <w:szCs w:val="20"/>
        </w:rPr>
        <w:t>–</w:t>
      </w:r>
      <w:r w:rsidRPr="004707C4">
        <w:rPr>
          <w:rFonts w:cs="Tahoma"/>
          <w:szCs w:val="20"/>
        </w:rPr>
        <w:t xml:space="preserve"> </w:t>
      </w:r>
      <w:r w:rsidRPr="004707C4">
        <w:rPr>
          <w:rFonts w:cs="Tahoma"/>
          <w:b/>
          <w:bCs/>
          <w:szCs w:val="20"/>
        </w:rPr>
        <w:t>financijska potpora građanima u riziku od energetskog siromaštva</w:t>
      </w:r>
      <w:r w:rsidRPr="004707C4">
        <w:rPr>
          <w:rFonts w:cs="Tahoma"/>
          <w:szCs w:val="20"/>
        </w:rPr>
        <w:t>, koji su suvlasn</w:t>
      </w:r>
      <w:r w:rsidR="00D1112F">
        <w:rPr>
          <w:rFonts w:cs="Tahoma"/>
          <w:szCs w:val="20"/>
        </w:rPr>
        <w:t>i</w:t>
      </w:r>
      <w:r w:rsidR="00886122">
        <w:rPr>
          <w:rFonts w:cs="Tahoma"/>
          <w:szCs w:val="20"/>
        </w:rPr>
        <w:t>c</w:t>
      </w:r>
      <w:r w:rsidRPr="004707C4">
        <w:rPr>
          <w:rFonts w:cs="Tahoma"/>
          <w:szCs w:val="20"/>
        </w:rPr>
        <w:t>i VSZ koje se obnavljaju prema jednom od gore navedenih modela obnove, a koji ispunjavaju uvjete ugroženosti od energetskog siromaštva.</w:t>
      </w:r>
    </w:p>
    <w:p w14:paraId="23BFCD01" w14:textId="1EE9CA1A" w:rsidR="004949CA" w:rsidRPr="004707C4" w:rsidRDefault="23482790" w:rsidP="00A36203">
      <w:pPr>
        <w:jc w:val="both"/>
        <w:rPr>
          <w:rFonts w:ascii="Tahoma" w:hAnsi="Tahoma" w:cs="Tahoma"/>
          <w:sz w:val="20"/>
          <w:szCs w:val="20"/>
        </w:rPr>
      </w:pPr>
      <w:r w:rsidRPr="797530A1">
        <w:rPr>
          <w:rFonts w:ascii="Tahoma" w:hAnsi="Tahoma" w:cs="Tahoma"/>
          <w:sz w:val="20"/>
          <w:szCs w:val="20"/>
        </w:rPr>
        <w:t xml:space="preserve">Model za suvlasnike VSZ u riziku od energetskog siromaštva predstavlja nadogradnju modela obnove kojom se osigurava pokrivanje 100% </w:t>
      </w:r>
      <w:r w:rsidR="7414ECF6" w:rsidRPr="797530A1">
        <w:rPr>
          <w:rFonts w:ascii="Tahoma" w:hAnsi="Tahoma" w:cs="Tahoma"/>
          <w:sz w:val="20"/>
          <w:szCs w:val="20"/>
        </w:rPr>
        <w:t>prihvatljivih</w:t>
      </w:r>
      <w:r w:rsidRPr="797530A1">
        <w:rPr>
          <w:rFonts w:ascii="Tahoma" w:hAnsi="Tahoma" w:cs="Tahoma"/>
          <w:sz w:val="20"/>
          <w:szCs w:val="20"/>
        </w:rPr>
        <w:t xml:space="preserve"> troškova obnove takvim građanima. </w:t>
      </w:r>
    </w:p>
    <w:p w14:paraId="102855FD" w14:textId="09FB0976" w:rsidR="004949CA" w:rsidRPr="004707C4" w:rsidRDefault="23482790" w:rsidP="00A36203">
      <w:pPr>
        <w:jc w:val="both"/>
        <w:rPr>
          <w:rFonts w:ascii="Tahoma" w:hAnsi="Tahoma" w:cs="Tahoma"/>
          <w:sz w:val="20"/>
          <w:szCs w:val="20"/>
        </w:rPr>
      </w:pPr>
      <w:r w:rsidRPr="797530A1">
        <w:rPr>
          <w:rFonts w:ascii="Tahoma" w:hAnsi="Tahoma" w:cs="Tahoma"/>
          <w:sz w:val="20"/>
          <w:szCs w:val="20"/>
        </w:rPr>
        <w:t xml:space="preserve">Osim </w:t>
      </w:r>
      <w:r w:rsidR="61AC39D3" w:rsidRPr="797530A1">
        <w:rPr>
          <w:rFonts w:ascii="Tahoma" w:hAnsi="Tahoma" w:cs="Tahoma"/>
          <w:sz w:val="20"/>
          <w:szCs w:val="20"/>
        </w:rPr>
        <w:t>navedenog</w:t>
      </w:r>
      <w:r w:rsidRPr="797530A1">
        <w:rPr>
          <w:rFonts w:ascii="Tahoma" w:hAnsi="Tahoma" w:cs="Tahoma"/>
          <w:sz w:val="20"/>
          <w:szCs w:val="20"/>
        </w:rPr>
        <w:t>, borbi protiv energetskog siromaštva u segmentu višestambenih zgrada doprinijet</w:t>
      </w:r>
      <w:r w:rsidR="6A13F4A7" w:rsidRPr="797530A1">
        <w:rPr>
          <w:rFonts w:ascii="Tahoma" w:hAnsi="Tahoma" w:cs="Tahoma"/>
          <w:sz w:val="20"/>
          <w:szCs w:val="20"/>
        </w:rPr>
        <w:t>i</w:t>
      </w:r>
      <w:r w:rsidRPr="797530A1">
        <w:rPr>
          <w:rFonts w:ascii="Tahoma" w:hAnsi="Tahoma" w:cs="Tahoma"/>
          <w:sz w:val="20"/>
          <w:szCs w:val="20"/>
        </w:rPr>
        <w:t xml:space="preserve"> će i Program suzbijanja energetskog siromaštva koji uključuje korištenje obnovljivih izvora energij</w:t>
      </w:r>
      <w:r w:rsidR="7414ECF6" w:rsidRPr="797530A1">
        <w:rPr>
          <w:rFonts w:ascii="Tahoma" w:hAnsi="Tahoma" w:cs="Tahoma"/>
          <w:sz w:val="20"/>
          <w:szCs w:val="20"/>
        </w:rPr>
        <w:t>e</w:t>
      </w:r>
      <w:r w:rsidRPr="797530A1">
        <w:rPr>
          <w:rFonts w:ascii="Tahoma" w:hAnsi="Tahoma" w:cs="Tahoma"/>
          <w:sz w:val="20"/>
          <w:szCs w:val="20"/>
        </w:rPr>
        <w:t xml:space="preserve"> u stambenim zgradama na potpomognutim područjima i područjima posebne državne skrbi, definiran kako u Dugoročnoj strategiji, tako i u NEKP-u, a koji se donosi usporedno s ovim Programom.</w:t>
      </w:r>
    </w:p>
    <w:p w14:paraId="76778E58" w14:textId="24A7A031" w:rsidR="004949CA" w:rsidRPr="004707C4" w:rsidRDefault="00223AAD" w:rsidP="00A36203">
      <w:pPr>
        <w:jc w:val="both"/>
        <w:rPr>
          <w:rFonts w:ascii="Tahoma" w:hAnsi="Tahoma" w:cs="Tahoma"/>
          <w:sz w:val="20"/>
          <w:szCs w:val="20"/>
        </w:rPr>
      </w:pPr>
      <w:r>
        <w:rPr>
          <w:rFonts w:ascii="Tahoma" w:hAnsi="Tahoma" w:cs="Tahoma"/>
          <w:sz w:val="20"/>
          <w:szCs w:val="20"/>
        </w:rPr>
        <w:t>M</w:t>
      </w:r>
      <w:r w:rsidR="004949CA" w:rsidRPr="004707C4">
        <w:rPr>
          <w:rFonts w:ascii="Tahoma" w:hAnsi="Tahoma" w:cs="Tahoma"/>
          <w:sz w:val="20"/>
          <w:szCs w:val="20"/>
        </w:rPr>
        <w:t>odeli provedbe ovog Programa definiraju</w:t>
      </w:r>
      <w:r w:rsidR="00E61DB6">
        <w:rPr>
          <w:rFonts w:ascii="Tahoma" w:hAnsi="Tahoma" w:cs="Tahoma"/>
          <w:sz w:val="20"/>
          <w:szCs w:val="20"/>
        </w:rPr>
        <w:t xml:space="preserve"> </w:t>
      </w:r>
      <w:r w:rsidR="00E61DB6" w:rsidRPr="00702281">
        <w:rPr>
          <w:rFonts w:ascii="Tahoma" w:hAnsi="Tahoma" w:cs="Tahoma"/>
          <w:sz w:val="20"/>
          <w:szCs w:val="20"/>
        </w:rPr>
        <w:t>se</w:t>
      </w:r>
      <w:r w:rsidR="004949CA" w:rsidRPr="00702281">
        <w:rPr>
          <w:rFonts w:ascii="Tahoma" w:hAnsi="Tahoma" w:cs="Tahoma"/>
          <w:sz w:val="20"/>
          <w:szCs w:val="20"/>
        </w:rPr>
        <w:t xml:space="preserve"> </w:t>
      </w:r>
      <w:r w:rsidR="004949CA" w:rsidRPr="004707C4">
        <w:rPr>
          <w:rFonts w:ascii="Tahoma" w:hAnsi="Tahoma" w:cs="Tahoma"/>
          <w:sz w:val="20"/>
          <w:szCs w:val="20"/>
        </w:rPr>
        <w:t xml:space="preserve">prema specifičnim ciljnim skupinama i to: </w:t>
      </w:r>
    </w:p>
    <w:p w14:paraId="639CB217" w14:textId="77777777" w:rsidR="004949CA" w:rsidRPr="004707C4" w:rsidRDefault="137C0FFA" w:rsidP="2617B706">
      <w:pPr>
        <w:pStyle w:val="Odlomakpopisa"/>
        <w:numPr>
          <w:ilvl w:val="0"/>
          <w:numId w:val="30"/>
        </w:numPr>
        <w:rPr>
          <w:rFonts w:cs="Tahoma"/>
        </w:rPr>
      </w:pPr>
      <w:r w:rsidRPr="2617B706">
        <w:rPr>
          <w:rFonts w:cs="Tahoma"/>
        </w:rPr>
        <w:t>građani, suvlasnici VSZ neoštećenih u potresu,</w:t>
      </w:r>
    </w:p>
    <w:p w14:paraId="0D68FA65" w14:textId="77777777" w:rsidR="004949CA" w:rsidRPr="004707C4" w:rsidRDefault="137C0FFA" w:rsidP="2617B706">
      <w:pPr>
        <w:pStyle w:val="Odlomakpopisa"/>
        <w:numPr>
          <w:ilvl w:val="0"/>
          <w:numId w:val="30"/>
        </w:numPr>
        <w:rPr>
          <w:rFonts w:cs="Tahoma"/>
        </w:rPr>
      </w:pPr>
      <w:r w:rsidRPr="2617B706">
        <w:rPr>
          <w:rFonts w:cs="Tahoma"/>
        </w:rPr>
        <w:t>građani, suvlasnici VSZ oštećenih u potresu i</w:t>
      </w:r>
    </w:p>
    <w:p w14:paraId="69FD28DB" w14:textId="00473ABE" w:rsidR="0048562B" w:rsidRPr="009A7FD6" w:rsidRDefault="137C0FFA" w:rsidP="2617B706">
      <w:pPr>
        <w:pStyle w:val="Odlomakpopisa"/>
        <w:numPr>
          <w:ilvl w:val="0"/>
          <w:numId w:val="30"/>
        </w:numPr>
        <w:rPr>
          <w:rFonts w:cs="Tahoma"/>
        </w:rPr>
      </w:pPr>
      <w:r w:rsidRPr="2617B706">
        <w:rPr>
          <w:rFonts w:cs="Tahoma"/>
        </w:rPr>
        <w:t>socijalno ranjive skupine građana, tj. građani u riziku od energetskog siromaštva.</w:t>
      </w:r>
    </w:p>
    <w:p w14:paraId="23B5EE03" w14:textId="7F292F01" w:rsidR="004949CA" w:rsidRPr="004707C4" w:rsidRDefault="23482790" w:rsidP="003C5F70">
      <w:pPr>
        <w:jc w:val="both"/>
        <w:rPr>
          <w:rFonts w:ascii="Tahoma" w:hAnsi="Tahoma" w:cs="Tahoma"/>
          <w:sz w:val="20"/>
          <w:szCs w:val="20"/>
        </w:rPr>
      </w:pPr>
      <w:r w:rsidRPr="797530A1">
        <w:rPr>
          <w:rFonts w:ascii="Tahoma" w:hAnsi="Tahoma" w:cs="Tahoma"/>
          <w:sz w:val="20"/>
          <w:szCs w:val="20"/>
        </w:rPr>
        <w:t xml:space="preserve">Pri tome, ključnu ulogu, kao i u prethodnom Programu, i dalje imaju upravitelji zgrada, koji prijavljuju i upravljaju projektima obnove u ime i za račun suvlasnika. </w:t>
      </w:r>
    </w:p>
    <w:p w14:paraId="1578A5EF" w14:textId="77777777" w:rsidR="004949CA" w:rsidRPr="004707C4" w:rsidRDefault="004949CA" w:rsidP="00A36203">
      <w:pPr>
        <w:jc w:val="both"/>
        <w:rPr>
          <w:rFonts w:ascii="Tahoma" w:hAnsi="Tahoma" w:cs="Tahoma"/>
          <w:sz w:val="20"/>
          <w:szCs w:val="20"/>
        </w:rPr>
      </w:pPr>
      <w:r w:rsidRPr="004707C4">
        <w:rPr>
          <w:rFonts w:ascii="Tahoma" w:hAnsi="Tahoma" w:cs="Tahoma"/>
          <w:sz w:val="20"/>
          <w:szCs w:val="20"/>
        </w:rPr>
        <w:t xml:space="preserve">U Programu mogu sudjelovati samo </w:t>
      </w:r>
      <w:r w:rsidRPr="004707C4">
        <w:rPr>
          <w:rFonts w:ascii="Tahoma" w:hAnsi="Tahoma" w:cs="Tahoma"/>
          <w:b/>
          <w:bCs/>
          <w:sz w:val="20"/>
          <w:szCs w:val="20"/>
        </w:rPr>
        <w:t>postojeće VSZ</w:t>
      </w:r>
      <w:r w:rsidRPr="004707C4">
        <w:rPr>
          <w:rFonts w:ascii="Tahoma" w:hAnsi="Tahoma" w:cs="Tahoma"/>
          <w:sz w:val="20"/>
          <w:szCs w:val="20"/>
        </w:rPr>
        <w:t>, definirane točkom 23. stavka 1., članka 3. Zakona o gradnji (Narodne novine, br. 153/13, 20/17, 39/19 i 125/19), bez obzira na godinu izgradnje.</w:t>
      </w:r>
    </w:p>
    <w:p w14:paraId="5082882E" w14:textId="77777777" w:rsidR="004949CA" w:rsidRPr="004707C4" w:rsidRDefault="004949CA" w:rsidP="00A36203">
      <w:pPr>
        <w:pStyle w:val="Tekstkomentara"/>
        <w:rPr>
          <w:rFonts w:cs="Tahoma"/>
          <w:strike/>
        </w:rPr>
      </w:pPr>
      <w:r w:rsidRPr="004707C4">
        <w:rPr>
          <w:rFonts w:cs="Tahoma"/>
        </w:rPr>
        <w:t>Višestambena zgrada u smislu ovoga Programa je svaka ona zgrada koja je u cijelosti ili u kojoj je više od 66% korisne površine namijenjeno za stanovanje te ima tri ili više stambenih jedinica, i kojom upravlja upravitelj zgrade, koji je pravna ili fizička osoba, sukladno članku 378. Zakona o vlasništvu i drugim stvarnim pravima (Narodne novine, br. 91/96, 68/98, 137/99, 22/00, 73/00, 129/00, 114/01, 79/06, 141/06, 146/08, 38/09, 153/09, 143/12, 152/14, 81/15 i 94/17 - ispravak) i članku 4. (točka 72.) Zakona o energetskoj učinkovitosti (Narodne novine, br. 127/14, 116/18, 25/20, 32/21 i 41/21).</w:t>
      </w:r>
    </w:p>
    <w:p w14:paraId="3AAF3C0E" w14:textId="1C21C638" w:rsidR="004949CA" w:rsidRPr="004707C4" w:rsidRDefault="004949CA" w:rsidP="00A36203">
      <w:pPr>
        <w:pStyle w:val="Tekstkomentara"/>
        <w:rPr>
          <w:rFonts w:cs="Tahoma"/>
        </w:rPr>
      </w:pPr>
      <w:r w:rsidRPr="004707C4">
        <w:rPr>
          <w:rFonts w:cs="Tahoma"/>
          <w:b/>
          <w:bCs/>
        </w:rPr>
        <w:t>Program se u cijelosti smatra alternativnom mjerom politike u skladu s člankom 12.a, stavkom 4. Zakona o energetskoj učinkovitosti</w:t>
      </w:r>
      <w:r w:rsidRPr="004707C4">
        <w:rPr>
          <w:rFonts w:cs="Tahoma"/>
        </w:rPr>
        <w:t xml:space="preserve"> (Narodne novine, br. 127/14, 116/18, 25/20, 32/21, 41/21) te je</w:t>
      </w:r>
      <w:r w:rsidRPr="00E61DB6">
        <w:rPr>
          <w:rFonts w:cs="Tahoma"/>
        </w:rPr>
        <w:t xml:space="preserve"> H</w:t>
      </w:r>
      <w:r w:rsidR="0063313B">
        <w:rPr>
          <w:rFonts w:cs="Tahoma"/>
        </w:rPr>
        <w:t>rvatska</w:t>
      </w:r>
      <w:r w:rsidRPr="004707C4">
        <w:rPr>
          <w:rFonts w:cs="Tahoma"/>
        </w:rPr>
        <w:t xml:space="preserve">, odnosno provedbeno tijelo u ime </w:t>
      </w:r>
      <w:r w:rsidR="0063313B">
        <w:rPr>
          <w:rFonts w:cs="Tahoma"/>
        </w:rPr>
        <w:t>Hrvatske</w:t>
      </w:r>
      <w:r w:rsidRPr="004707C4">
        <w:rPr>
          <w:rFonts w:cs="Tahoma"/>
        </w:rPr>
        <w:t xml:space="preserve">, nositelj ušteda energije. </w:t>
      </w:r>
      <w:r w:rsidR="00223AAD">
        <w:rPr>
          <w:rFonts w:cs="Tahoma"/>
        </w:rPr>
        <w:t>Provedbeno tijelo u prvom trogodišnjem razdoblju je MPGI.</w:t>
      </w:r>
    </w:p>
    <w:p w14:paraId="6F9FBBC7" w14:textId="5E585AD1" w:rsidR="004949CA" w:rsidRPr="00444D96" w:rsidRDefault="004949CA" w:rsidP="00A36203">
      <w:pPr>
        <w:jc w:val="both"/>
        <w:rPr>
          <w:rFonts w:ascii="Tahoma" w:hAnsi="Tahoma" w:cs="Tahoma"/>
          <w:sz w:val="20"/>
          <w:szCs w:val="20"/>
        </w:rPr>
      </w:pPr>
      <w:r w:rsidRPr="00444D96">
        <w:rPr>
          <w:rFonts w:ascii="Tahoma" w:hAnsi="Tahoma" w:cs="Tahoma"/>
          <w:sz w:val="20"/>
          <w:szCs w:val="20"/>
        </w:rPr>
        <w:t xml:space="preserve">Proces izrade ovog Programa bio je </w:t>
      </w:r>
      <w:proofErr w:type="spellStart"/>
      <w:r w:rsidRPr="00444D96">
        <w:rPr>
          <w:rFonts w:ascii="Tahoma" w:hAnsi="Tahoma" w:cs="Tahoma"/>
          <w:sz w:val="20"/>
          <w:szCs w:val="20"/>
        </w:rPr>
        <w:t>participativan</w:t>
      </w:r>
      <w:proofErr w:type="spellEnd"/>
      <w:r w:rsidRPr="00444D96">
        <w:rPr>
          <w:rFonts w:ascii="Tahoma" w:hAnsi="Tahoma" w:cs="Tahoma"/>
          <w:sz w:val="20"/>
          <w:szCs w:val="20"/>
        </w:rPr>
        <w:t xml:space="preserve">. MPGI je oformilo je široko Stručno povjerenstvo za izradu programa energetske obnove zgrada za razdoblje do 2030. godine, koje okuplja tijela državne uprave nadležna za energetiku, socijalnu skrb, strateško planiranje i fondove Europske unije (EU) te kulturnu baštinu, predstavnike regionalnih energetskih agencija, stručnjake i stručna udruženja (ovlašteni energetski </w:t>
      </w:r>
      <w:proofErr w:type="spellStart"/>
      <w:r w:rsidRPr="00444D96">
        <w:rPr>
          <w:rFonts w:ascii="Tahoma" w:hAnsi="Tahoma" w:cs="Tahoma"/>
          <w:sz w:val="20"/>
          <w:szCs w:val="20"/>
        </w:rPr>
        <w:t>certifikatori</w:t>
      </w:r>
      <w:proofErr w:type="spellEnd"/>
      <w:r w:rsidRPr="00444D96">
        <w:rPr>
          <w:rFonts w:ascii="Tahoma" w:hAnsi="Tahoma" w:cs="Tahoma"/>
          <w:sz w:val="20"/>
          <w:szCs w:val="20"/>
        </w:rPr>
        <w:t>, projektanti, ostali sudionici u gradnji okupljeni u Hrvatskom savjetu za zelenu gradnju) te financijske institucije, s kojima su održavani tematski sastanci tijekom izrade ovog Programa i čiji su relevantni prijedlozi ugrađeni u ovaj Program. Ovime je osigurana prihvaćenost i provedivost Programa.</w:t>
      </w:r>
    </w:p>
    <w:p w14:paraId="5DF3A133" w14:textId="7CF459DE" w:rsidR="004949CA" w:rsidRPr="004707C4" w:rsidRDefault="004949CA" w:rsidP="00A36203">
      <w:pPr>
        <w:jc w:val="both"/>
        <w:rPr>
          <w:rFonts w:ascii="Tahoma" w:hAnsi="Tahoma" w:cs="Tahoma"/>
          <w:sz w:val="20"/>
          <w:szCs w:val="20"/>
        </w:rPr>
      </w:pPr>
      <w:r w:rsidRPr="004707C4">
        <w:rPr>
          <w:rFonts w:ascii="Tahoma" w:hAnsi="Tahoma" w:cs="Tahoma"/>
          <w:sz w:val="20"/>
          <w:szCs w:val="20"/>
        </w:rPr>
        <w:t>Program</w:t>
      </w:r>
      <w:r w:rsidRPr="00E61DB6">
        <w:rPr>
          <w:rFonts w:ascii="Tahoma" w:hAnsi="Tahoma" w:cs="Tahoma"/>
          <w:color w:val="FF0000"/>
          <w:sz w:val="20"/>
          <w:szCs w:val="20"/>
        </w:rPr>
        <w:t xml:space="preserve"> </w:t>
      </w:r>
      <w:r w:rsidR="00E61DB6" w:rsidRPr="0048562B">
        <w:rPr>
          <w:rFonts w:ascii="Tahoma" w:hAnsi="Tahoma" w:cs="Tahoma"/>
          <w:sz w:val="20"/>
          <w:szCs w:val="20"/>
        </w:rPr>
        <w:t xml:space="preserve">se </w:t>
      </w:r>
      <w:r w:rsidRPr="004707C4">
        <w:rPr>
          <w:rFonts w:ascii="Tahoma" w:hAnsi="Tahoma" w:cs="Tahoma"/>
          <w:sz w:val="20"/>
          <w:szCs w:val="20"/>
        </w:rPr>
        <w:t>odnosi na razdoblje</w:t>
      </w:r>
      <w:r w:rsidR="006E12EC">
        <w:rPr>
          <w:rFonts w:ascii="Tahoma" w:hAnsi="Tahoma" w:cs="Tahoma"/>
          <w:sz w:val="20"/>
          <w:szCs w:val="20"/>
        </w:rPr>
        <w:t xml:space="preserve"> </w:t>
      </w:r>
      <w:r w:rsidRPr="004707C4">
        <w:rPr>
          <w:rFonts w:ascii="Tahoma" w:hAnsi="Tahoma" w:cs="Tahoma"/>
          <w:sz w:val="20"/>
          <w:szCs w:val="20"/>
        </w:rPr>
        <w:t xml:space="preserve">do 2030. godine, s </w:t>
      </w:r>
      <w:r w:rsidRPr="001D0688">
        <w:rPr>
          <w:rFonts w:ascii="Tahoma" w:hAnsi="Tahoma" w:cs="Tahoma"/>
          <w:sz w:val="20"/>
          <w:szCs w:val="20"/>
        </w:rPr>
        <w:t>ciljanim početkom provedbe svih aktivnosti u 2022. godini. Izvjesno je da će se okolnosti provedbe Programa u ovom razdoblju promijeniti, stoga će se ovaj Program po potrebi revidirati, a njegova provedba temeljit će se na trogodišnjim akcijskim planovima</w:t>
      </w:r>
      <w:r w:rsidR="00223AAD" w:rsidRPr="001D0688">
        <w:rPr>
          <w:rFonts w:ascii="Tahoma" w:hAnsi="Tahoma" w:cs="Tahoma"/>
          <w:sz w:val="20"/>
          <w:szCs w:val="20"/>
        </w:rPr>
        <w:t xml:space="preserve"> koji se donose odlukom ministra</w:t>
      </w:r>
      <w:r w:rsidRPr="004707C4">
        <w:rPr>
          <w:rFonts w:ascii="Tahoma" w:hAnsi="Tahoma" w:cs="Tahoma"/>
          <w:sz w:val="20"/>
          <w:szCs w:val="20"/>
        </w:rPr>
        <w:t xml:space="preserve">, u kojima će se uvažiti uočeni problemi te će se provedba prilagođavati novonastalim situacijama na tržištu. </w:t>
      </w:r>
      <w:r w:rsidR="00746112" w:rsidRPr="00746112">
        <w:rPr>
          <w:rFonts w:ascii="Tahoma" w:hAnsi="Tahoma" w:cs="Tahoma"/>
          <w:sz w:val="20"/>
          <w:szCs w:val="20"/>
        </w:rPr>
        <w:t>Slijedom navedenoga</w:t>
      </w:r>
      <w:r w:rsidRPr="00746112">
        <w:rPr>
          <w:rFonts w:ascii="Tahoma" w:hAnsi="Tahoma" w:cs="Tahoma"/>
          <w:b/>
          <w:bCs/>
          <w:sz w:val="20"/>
          <w:szCs w:val="20"/>
        </w:rPr>
        <w:t xml:space="preserve"> </w:t>
      </w:r>
      <w:r w:rsidRPr="004707C4">
        <w:rPr>
          <w:rFonts w:ascii="Tahoma" w:hAnsi="Tahoma" w:cs="Tahoma"/>
          <w:b/>
          <w:bCs/>
          <w:sz w:val="20"/>
          <w:szCs w:val="20"/>
        </w:rPr>
        <w:t>ovaj se Program u provedbenom i financijskom smislu fokusira na sljedeće tri godine, od 2022. do 2024. godine</w:t>
      </w:r>
      <w:r w:rsidRPr="004707C4">
        <w:rPr>
          <w:rFonts w:ascii="Tahoma" w:hAnsi="Tahoma" w:cs="Tahoma"/>
          <w:sz w:val="20"/>
          <w:szCs w:val="20"/>
        </w:rPr>
        <w:t>, što je i u skladu s dinamikom donošenja Nacionalnog akcijskog plana energetske učinkovitosti (</w:t>
      </w:r>
      <w:proofErr w:type="spellStart"/>
      <w:r w:rsidRPr="004707C4">
        <w:rPr>
          <w:rFonts w:ascii="Tahoma" w:hAnsi="Tahoma" w:cs="Tahoma"/>
          <w:sz w:val="20"/>
          <w:szCs w:val="20"/>
        </w:rPr>
        <w:t>NAPEnU</w:t>
      </w:r>
      <w:proofErr w:type="spellEnd"/>
      <w:r w:rsidRPr="004707C4">
        <w:rPr>
          <w:rFonts w:ascii="Tahoma" w:hAnsi="Tahoma" w:cs="Tahoma"/>
          <w:sz w:val="20"/>
          <w:szCs w:val="20"/>
        </w:rPr>
        <w:t xml:space="preserve">) prema članku 8. Zakona o energetskoj učinkovitosti. </w:t>
      </w:r>
    </w:p>
    <w:p w14:paraId="7D4D33AF" w14:textId="77777777" w:rsidR="004949CA" w:rsidRDefault="004949CA" w:rsidP="004949CA"/>
    <w:p w14:paraId="15C4C859" w14:textId="77777777" w:rsidR="004949CA" w:rsidRPr="00EC457F" w:rsidRDefault="004949CA" w:rsidP="004949CA">
      <w:pPr>
        <w:sectPr w:rsidR="004949CA" w:rsidRPr="00EC457F" w:rsidSect="00331A63">
          <w:headerReference w:type="even" r:id="rId17"/>
          <w:headerReference w:type="default" r:id="rId18"/>
          <w:headerReference w:type="first" r:id="rId19"/>
          <w:footerReference w:type="first" r:id="rId20"/>
          <w:pgSz w:w="11906" w:h="16838" w:code="9"/>
          <w:pgMar w:top="1247" w:right="1134" w:bottom="1247" w:left="1418" w:header="567" w:footer="567" w:gutter="0"/>
          <w:cols w:space="708"/>
          <w:docGrid w:linePitch="360"/>
        </w:sectPr>
      </w:pPr>
    </w:p>
    <w:p w14:paraId="3946B6E7" w14:textId="77777777" w:rsidR="004949CA" w:rsidRDefault="004949CA" w:rsidP="004949CA">
      <w:pPr>
        <w:pStyle w:val="Naslov10"/>
      </w:pPr>
      <w:bookmarkStart w:id="26" w:name="_Toc81836272"/>
      <w:bookmarkStart w:id="27" w:name="_Toc83912044"/>
      <w:r>
        <w:lastRenderedPageBreak/>
        <w:t>Okvir izrade programa</w:t>
      </w:r>
      <w:bookmarkEnd w:id="26"/>
      <w:bookmarkEnd w:id="27"/>
    </w:p>
    <w:p w14:paraId="68E39B13" w14:textId="77777777" w:rsidR="004949CA" w:rsidRDefault="004949CA" w:rsidP="004949CA">
      <w:pPr>
        <w:pStyle w:val="Naslov20"/>
      </w:pPr>
      <w:bookmarkStart w:id="28" w:name="_Toc72081594"/>
      <w:bookmarkStart w:id="29" w:name="_Toc81836273"/>
      <w:bookmarkStart w:id="30" w:name="_Toc83912045"/>
      <w:bookmarkStart w:id="31" w:name="_Toc72081595"/>
      <w:r>
        <w:t>Pregled zakonodavstva u kontekstu energetske učinkovitosti na nacionalnoj i EU razini</w:t>
      </w:r>
      <w:bookmarkEnd w:id="28"/>
      <w:bookmarkEnd w:id="29"/>
      <w:bookmarkEnd w:id="30"/>
    </w:p>
    <w:p w14:paraId="7EC11BF6" w14:textId="77777777" w:rsidR="004949CA" w:rsidRPr="00F34A88" w:rsidRDefault="004949CA" w:rsidP="004949CA">
      <w:pPr>
        <w:pStyle w:val="Naslov30"/>
      </w:pPr>
      <w:bookmarkStart w:id="32" w:name="_Toc81836274"/>
      <w:bookmarkStart w:id="33" w:name="_Toc83912046"/>
      <w:r w:rsidRPr="00407874">
        <w:t>EU zakonodavstvo iz područja energetske učinkovitosti</w:t>
      </w:r>
      <w:bookmarkEnd w:id="31"/>
      <w:bookmarkEnd w:id="32"/>
      <w:bookmarkEnd w:id="33"/>
      <w:r>
        <w:t xml:space="preserve"> </w:t>
      </w:r>
    </w:p>
    <w:p w14:paraId="515ABA6E" w14:textId="77777777"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Energetska učinkovitost jedna je od pet dimenzija europske Energetske unije. Kroz načelo „Prvo energetska učinkovitost“ (engl. </w:t>
      </w:r>
      <w:proofErr w:type="spellStart"/>
      <w:r w:rsidRPr="00F766E9">
        <w:rPr>
          <w:rFonts w:ascii="Tahoma" w:hAnsi="Tahoma" w:cs="Tahoma"/>
          <w:i/>
          <w:sz w:val="20"/>
          <w:szCs w:val="20"/>
        </w:rPr>
        <w:t>energy</w:t>
      </w:r>
      <w:proofErr w:type="spellEnd"/>
      <w:r w:rsidRPr="00F766E9">
        <w:rPr>
          <w:rFonts w:ascii="Tahoma" w:hAnsi="Tahoma" w:cs="Tahoma"/>
          <w:i/>
          <w:sz w:val="20"/>
          <w:szCs w:val="20"/>
        </w:rPr>
        <w:t xml:space="preserve"> </w:t>
      </w:r>
      <w:proofErr w:type="spellStart"/>
      <w:r w:rsidRPr="00F766E9">
        <w:rPr>
          <w:rFonts w:ascii="Tahoma" w:hAnsi="Tahoma" w:cs="Tahoma"/>
          <w:i/>
          <w:sz w:val="20"/>
          <w:szCs w:val="20"/>
        </w:rPr>
        <w:t>efficiency</w:t>
      </w:r>
      <w:proofErr w:type="spellEnd"/>
      <w:r w:rsidRPr="00F766E9">
        <w:rPr>
          <w:rFonts w:ascii="Tahoma" w:hAnsi="Tahoma" w:cs="Tahoma"/>
          <w:i/>
          <w:sz w:val="20"/>
          <w:szCs w:val="20"/>
        </w:rPr>
        <w:t xml:space="preserve"> </w:t>
      </w:r>
      <w:proofErr w:type="spellStart"/>
      <w:r w:rsidRPr="00F766E9">
        <w:rPr>
          <w:rFonts w:ascii="Tahoma" w:hAnsi="Tahoma" w:cs="Tahoma"/>
          <w:i/>
          <w:sz w:val="20"/>
          <w:szCs w:val="20"/>
        </w:rPr>
        <w:t>first</w:t>
      </w:r>
      <w:proofErr w:type="spellEnd"/>
      <w:r w:rsidRPr="00F766E9">
        <w:rPr>
          <w:rFonts w:ascii="Tahoma" w:hAnsi="Tahoma" w:cs="Tahoma"/>
          <w:sz w:val="20"/>
          <w:szCs w:val="20"/>
        </w:rPr>
        <w:t>), Europska unija je prepoznala i potvrdila da je upravo energetska učinkovitost europski najznačajniji izvor energije. Glavne odrednice EU politike energetske učinkovitosti, s fokusom na zgradarstvo, dane su u sljedećim direktivama i uredbama:</w:t>
      </w:r>
    </w:p>
    <w:p w14:paraId="20AEF6CA" w14:textId="77777777" w:rsidR="004949CA" w:rsidRPr="00F766E9" w:rsidRDefault="137C0FFA" w:rsidP="2617B706">
      <w:pPr>
        <w:pStyle w:val="Odlomakpopisa"/>
        <w:numPr>
          <w:ilvl w:val="0"/>
          <w:numId w:val="19"/>
        </w:numPr>
        <w:tabs>
          <w:tab w:val="left" w:pos="431"/>
        </w:tabs>
        <w:spacing w:line="259" w:lineRule="auto"/>
        <w:rPr>
          <w:rFonts w:cs="Tahoma"/>
          <w:i/>
          <w:iCs/>
        </w:rPr>
      </w:pPr>
      <w:r w:rsidRPr="2617B706">
        <w:rPr>
          <w:rFonts w:cs="Tahoma"/>
        </w:rPr>
        <w:t>Direktiva 2012/27/EU Europskog parlamenta i Vijeća od 25. listopada 2012. o energetskoj učinkovitosti, izmjeni direktiva 2009/125/EZ i 2010/30/EU i stavljanju van snage direktiva 2004/8/EZ i 2006/32/EZ (Tekst značajan za EGP) (SL L 315, 14.11.2012.);</w:t>
      </w:r>
      <w:r w:rsidRPr="2617B706">
        <w:rPr>
          <w:rFonts w:cs="Tahoma"/>
          <w:i/>
          <w:iCs/>
        </w:rPr>
        <w:t xml:space="preserve"> </w:t>
      </w:r>
    </w:p>
    <w:p w14:paraId="733E5B47" w14:textId="77777777" w:rsidR="004949CA" w:rsidRPr="00F766E9" w:rsidRDefault="137C0FFA" w:rsidP="00F766E9">
      <w:pPr>
        <w:pStyle w:val="Odlomakpopisa"/>
        <w:numPr>
          <w:ilvl w:val="0"/>
          <w:numId w:val="19"/>
        </w:numPr>
        <w:tabs>
          <w:tab w:val="left" w:pos="431"/>
        </w:tabs>
        <w:spacing w:line="259" w:lineRule="auto"/>
        <w:rPr>
          <w:rFonts w:cs="Tahoma"/>
        </w:rPr>
      </w:pPr>
      <w:r w:rsidRPr="2617B706">
        <w:rPr>
          <w:rFonts w:cs="Tahoma"/>
        </w:rPr>
        <w:t>Direktiva (EU) 2018/2002 Europskog parlamenta i Vijeća od 11. prosinca 2018. o izmjeni Direktive 2012/27/EU o energetskoj učinkovitosti (Tekst značajan za EGP) (SL L 328, 21.12.2018.) - (u daljnjem tekstu: Direktiva o energetskoj učinkovitosti);</w:t>
      </w:r>
    </w:p>
    <w:p w14:paraId="3A409FF7" w14:textId="77777777" w:rsidR="004949CA" w:rsidRPr="00F766E9" w:rsidRDefault="137C0FFA" w:rsidP="00F766E9">
      <w:pPr>
        <w:pStyle w:val="Odlomakpopisa"/>
        <w:numPr>
          <w:ilvl w:val="0"/>
          <w:numId w:val="19"/>
        </w:numPr>
        <w:tabs>
          <w:tab w:val="left" w:pos="431"/>
        </w:tabs>
        <w:spacing w:line="259" w:lineRule="auto"/>
        <w:rPr>
          <w:rFonts w:cs="Tahoma"/>
        </w:rPr>
      </w:pPr>
      <w:r w:rsidRPr="2617B706">
        <w:rPr>
          <w:rFonts w:cs="Tahoma"/>
        </w:rPr>
        <w:t>Direktiva 2010/31/EU Europskog parlamenta i Vijeća od 19. svibnja 2010. o energetskoj učinkovitosti zgrada (Preinaka) (SL L 153, 18.6.2010.);</w:t>
      </w:r>
    </w:p>
    <w:p w14:paraId="5C45933B" w14:textId="77777777" w:rsidR="004949CA" w:rsidRPr="00F766E9" w:rsidRDefault="137C0FFA" w:rsidP="00F766E9">
      <w:pPr>
        <w:pStyle w:val="Odlomakpopisa"/>
        <w:numPr>
          <w:ilvl w:val="0"/>
          <w:numId w:val="19"/>
        </w:numPr>
        <w:tabs>
          <w:tab w:val="left" w:pos="431"/>
        </w:tabs>
        <w:spacing w:line="259" w:lineRule="auto"/>
        <w:rPr>
          <w:rFonts w:cs="Tahoma"/>
        </w:rPr>
      </w:pPr>
      <w:r w:rsidRPr="2617B706">
        <w:rPr>
          <w:rFonts w:cs="Tahoma"/>
        </w:rPr>
        <w:t>Direktiva (EU) 2018/844 Europskog parlamenta i Vijeća od 30. svibnja 2018. o izmjeni Direktive 2010/31/EU o energetskim svojstvima zgrada i Direktive 2012/27/EU o energetskoj učinkovitosti (Tekst značajan za EGP) (SL L 156, 19.6.2018.) (u daljnjem tekstu: Direktiva o energetskim svojstvima zgrada)  i</w:t>
      </w:r>
    </w:p>
    <w:p w14:paraId="742E29BA" w14:textId="77777777" w:rsidR="004949CA" w:rsidRPr="00F766E9" w:rsidRDefault="137C0FFA" w:rsidP="00F766E9">
      <w:pPr>
        <w:pStyle w:val="Odlomakpopisa"/>
        <w:numPr>
          <w:ilvl w:val="0"/>
          <w:numId w:val="19"/>
        </w:numPr>
        <w:tabs>
          <w:tab w:val="left" w:pos="431"/>
        </w:tabs>
        <w:spacing w:line="259" w:lineRule="auto"/>
        <w:rPr>
          <w:rFonts w:cs="Tahoma"/>
        </w:rPr>
      </w:pPr>
      <w:r w:rsidRPr="2617B706">
        <w:rPr>
          <w:rFonts w:cs="Tahoma"/>
        </w:rPr>
        <w:t>Uredba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21.12.2018.) – (u daljnjem tekstu: Uredba o upravljanju energetskom unijom i djelovanjem u području klime).</w:t>
      </w:r>
    </w:p>
    <w:p w14:paraId="2A03C8F8" w14:textId="77777777" w:rsidR="004949CA" w:rsidRPr="00F766E9" w:rsidRDefault="004949CA" w:rsidP="00F766E9">
      <w:pPr>
        <w:jc w:val="both"/>
        <w:rPr>
          <w:rFonts w:ascii="Tahoma" w:hAnsi="Tahoma" w:cs="Tahoma"/>
          <w:sz w:val="20"/>
          <w:szCs w:val="20"/>
        </w:rPr>
      </w:pPr>
      <w:r w:rsidRPr="00F766E9">
        <w:rPr>
          <w:rFonts w:ascii="Tahoma" w:hAnsi="Tahoma" w:cs="Tahoma"/>
          <w:sz w:val="20"/>
          <w:szCs w:val="20"/>
        </w:rPr>
        <w:t>Najvažnije mjere, definirane u gore navedenim dokumentima, kojima se doprinosi ostvarenju ciljeva energetske učinkovitosti do 2030. godine uključuju sljedeće obveze država članica:</w:t>
      </w:r>
    </w:p>
    <w:p w14:paraId="6E41AA6F"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ostvarenje smanjenja količine prodane energije od 0,8 % na godišnjoj razini u razdoblju od 2021. do 2030. godine i to uspostavom sustava obveza energetske učinkovitosti za opskrbljivače i/ili distributere energije i/ili primjenom alternativnih mjera energetske učinkovitosti s istim kvantitativnim učinkom;</w:t>
      </w:r>
    </w:p>
    <w:p w14:paraId="68344415"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energetska obnova barem 3 % površine zgrada središnje državne uprave godišnje;</w:t>
      </w:r>
    </w:p>
    <w:p w14:paraId="3824B8DD"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 xml:space="preserve">izrada dugoročne strategije za obnovu zgrada radi </w:t>
      </w:r>
      <w:proofErr w:type="spellStart"/>
      <w:r w:rsidRPr="2617B706">
        <w:rPr>
          <w:rFonts w:cs="Tahoma"/>
        </w:rPr>
        <w:t>dekarbonizacije</w:t>
      </w:r>
      <w:proofErr w:type="spellEnd"/>
      <w:r w:rsidRPr="2617B706">
        <w:rPr>
          <w:rFonts w:cs="Tahoma"/>
        </w:rPr>
        <w:t xml:space="preserve"> fonda zgrada do 2050. godine;</w:t>
      </w:r>
    </w:p>
    <w:p w14:paraId="73D4CAF4"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 xml:space="preserve">obvezno definiranje minimalnih energetskih standarda (temeljenih na troškovno optimalnoj analizi) za nove zgrade i zgrade koje se obnavljaju te obvezno energetsko certificiranje zgrada javne namjene i svih ostalih zgrada koje se prodaju ili daju u najam; </w:t>
      </w:r>
    </w:p>
    <w:p w14:paraId="457AD638"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redovne kontrole sustava grijanja i klimatizacije;</w:t>
      </w:r>
    </w:p>
    <w:p w14:paraId="14790B9F"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obveza da sve nove zgrade od 31. prosinca 2020. godine budu zgrade gotovo nulte energije (</w:t>
      </w:r>
      <w:proofErr w:type="spellStart"/>
      <w:r w:rsidRPr="2617B706">
        <w:rPr>
          <w:rFonts w:cs="Tahoma"/>
        </w:rPr>
        <w:t>nZEB</w:t>
      </w:r>
      <w:proofErr w:type="spellEnd"/>
      <w:r w:rsidRPr="2617B706">
        <w:rPr>
          <w:rFonts w:cs="Tahoma"/>
        </w:rPr>
        <w:t xml:space="preserve"> standard; za javne zgrade ova obveza počinje s 31. prosincem 2018. godine);</w:t>
      </w:r>
    </w:p>
    <w:p w14:paraId="02BF8E1C"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lastRenderedPageBreak/>
        <w:t>priprema integriranih nacionalnih energetsko-klimatskih planova za razdoblje od 2021. do 2030. godine u skladu s Uredbom 2018/1999. o upravljanju energetskom unijom i djelovanjem u području klime te izvještavaju o napretku svake dvije godine;</w:t>
      </w:r>
    </w:p>
    <w:p w14:paraId="09BB7642"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primjena pametnih brojila potrošnje električne energije i prirodnog plina;</w:t>
      </w:r>
    </w:p>
    <w:p w14:paraId="77B46A4A"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promicanje uporabe pametnih tehnologija u zgradama;</w:t>
      </w:r>
    </w:p>
    <w:p w14:paraId="5F5E7F13"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 xml:space="preserve">minimalni zahtjevi za osiguravanje infrastrukture za e-mobilnost kod izgradnje novih i rekonstrukcije postojećih zgrada; </w:t>
      </w:r>
    </w:p>
    <w:p w14:paraId="473DE3AE"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 xml:space="preserve">provedba energetskih pregleda svake četiri godine za velika poduzeća; </w:t>
      </w:r>
    </w:p>
    <w:p w14:paraId="2C5453A4"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zaštita prava potrošača vezano uz pristup jednostavnim i razumljivim informacijama o stvarnoj i povijesnoj potrošnji energije.</w:t>
      </w:r>
    </w:p>
    <w:p w14:paraId="3A1994B8" w14:textId="77777777"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Direktiva o energetskim svojstvima zgrada dodatno osnažuje potrebu za energetskom obnovom cjelokupnog fonda zgrada te obvezuje države članice na izradu </w:t>
      </w:r>
      <w:r w:rsidRPr="00F766E9">
        <w:rPr>
          <w:rFonts w:ascii="Tahoma" w:hAnsi="Tahoma" w:cs="Tahoma"/>
          <w:b/>
          <w:bCs/>
          <w:sz w:val="20"/>
          <w:szCs w:val="20"/>
        </w:rPr>
        <w:t xml:space="preserve">dugoročne strategije obnove zgrada radi </w:t>
      </w:r>
      <w:proofErr w:type="spellStart"/>
      <w:r w:rsidRPr="00F766E9">
        <w:rPr>
          <w:rFonts w:ascii="Tahoma" w:hAnsi="Tahoma" w:cs="Tahoma"/>
          <w:b/>
          <w:bCs/>
          <w:sz w:val="20"/>
          <w:szCs w:val="20"/>
        </w:rPr>
        <w:t>dekarbonizacije</w:t>
      </w:r>
      <w:proofErr w:type="spellEnd"/>
      <w:r w:rsidRPr="00F766E9">
        <w:rPr>
          <w:rFonts w:ascii="Tahoma" w:hAnsi="Tahoma" w:cs="Tahoma"/>
          <w:b/>
          <w:bCs/>
          <w:sz w:val="20"/>
          <w:szCs w:val="20"/>
        </w:rPr>
        <w:t xml:space="preserve"> fonda zgrada do 2050. godine</w:t>
      </w:r>
      <w:r w:rsidRPr="00F766E9">
        <w:rPr>
          <w:rFonts w:ascii="Tahoma" w:hAnsi="Tahoma" w:cs="Tahoma"/>
          <w:sz w:val="20"/>
          <w:szCs w:val="20"/>
        </w:rPr>
        <w:t xml:space="preserve">, koja je temeljni strateški dokument za poticanje energetske i sveobuhvatne obnove zgrada u svakoj državi članici. </w:t>
      </w:r>
    </w:p>
    <w:p w14:paraId="026B1E08" w14:textId="77777777"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Osim kroz direktive, EU je prepoznala značaj energetske učinkovitosti i energetske obnove zgrade kroz nove inicijative, kratko opisane u nastavku. </w:t>
      </w:r>
    </w:p>
    <w:p w14:paraId="626BBB72" w14:textId="77777777"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Sredinom prosinca 2019. godine Europska komisija predstavila je </w:t>
      </w:r>
      <w:r w:rsidRPr="00F766E9">
        <w:rPr>
          <w:rFonts w:ascii="Tahoma" w:hAnsi="Tahoma" w:cs="Tahoma"/>
          <w:b/>
          <w:bCs/>
          <w:sz w:val="20"/>
          <w:szCs w:val="20"/>
        </w:rPr>
        <w:t xml:space="preserve">Europski zeleni plan (engl. </w:t>
      </w:r>
      <w:r w:rsidRPr="00F766E9">
        <w:rPr>
          <w:rFonts w:ascii="Tahoma" w:hAnsi="Tahoma" w:cs="Tahoma"/>
          <w:b/>
          <w:bCs/>
          <w:i/>
          <w:iCs/>
          <w:sz w:val="20"/>
          <w:szCs w:val="20"/>
        </w:rPr>
        <w:t>Green Deal</w:t>
      </w:r>
      <w:r w:rsidRPr="00F766E9">
        <w:rPr>
          <w:rFonts w:ascii="Tahoma" w:hAnsi="Tahoma" w:cs="Tahoma"/>
          <w:b/>
          <w:bCs/>
          <w:sz w:val="20"/>
          <w:szCs w:val="20"/>
        </w:rPr>
        <w:t>)</w:t>
      </w:r>
      <w:r w:rsidRPr="00F766E9">
        <w:rPr>
          <w:rStyle w:val="Referencafusnote"/>
          <w:rFonts w:cs="Tahoma"/>
          <w:sz w:val="20"/>
          <w:szCs w:val="20"/>
        </w:rPr>
        <w:footnoteReference w:id="2"/>
      </w:r>
      <w:r w:rsidRPr="00F766E9">
        <w:rPr>
          <w:rFonts w:ascii="Tahoma" w:hAnsi="Tahoma" w:cs="Tahoma"/>
          <w:sz w:val="20"/>
          <w:szCs w:val="20"/>
        </w:rPr>
        <w:t xml:space="preserve"> - putokaz za stvaranje održivog gospodarstva Europske unije pretvaranjem klimatskih i okolišnih izazova u mogućnosti u svim političkim područjima i čineći tranziciju pravednom i </w:t>
      </w:r>
      <w:proofErr w:type="spellStart"/>
      <w:r w:rsidRPr="00F766E9">
        <w:rPr>
          <w:rFonts w:ascii="Tahoma" w:hAnsi="Tahoma" w:cs="Tahoma"/>
          <w:sz w:val="20"/>
          <w:szCs w:val="20"/>
        </w:rPr>
        <w:t>uključivom</w:t>
      </w:r>
      <w:proofErr w:type="spellEnd"/>
      <w:r w:rsidRPr="00F766E9">
        <w:rPr>
          <w:rFonts w:ascii="Tahoma" w:hAnsi="Tahoma" w:cs="Tahoma"/>
          <w:sz w:val="20"/>
          <w:szCs w:val="20"/>
        </w:rPr>
        <w:t xml:space="preserve"> za sve. Europski zeleni plan daje smjernice aktivnostima za poticanje učinkovite upotrebe resursa prelaskom na čisto, kružno gospodarstvo i zaustavljanje klimatskih promjena, vraćanje gubitka biološke raznolikosti i smanjenje zagađenja. Opisuje potrebna ulaganja i dostupne alate za financiranje te pojašnjava kako osigurati pravednu i </w:t>
      </w:r>
      <w:proofErr w:type="spellStart"/>
      <w:r w:rsidRPr="00F766E9">
        <w:rPr>
          <w:rFonts w:ascii="Tahoma" w:hAnsi="Tahoma" w:cs="Tahoma"/>
          <w:sz w:val="20"/>
          <w:szCs w:val="20"/>
        </w:rPr>
        <w:t>uključivu</w:t>
      </w:r>
      <w:proofErr w:type="spellEnd"/>
      <w:r w:rsidRPr="00F766E9">
        <w:rPr>
          <w:rFonts w:ascii="Tahoma" w:hAnsi="Tahoma" w:cs="Tahoma"/>
          <w:sz w:val="20"/>
          <w:szCs w:val="20"/>
        </w:rPr>
        <w:t xml:space="preserve"> tranziciju. Cilj Europske unije je postati klimatski neutralna 2050. godine. Postizanje ovog cilja zahtijevat će djelovanje svih sektora gospodarstva, uključujući:</w:t>
      </w:r>
    </w:p>
    <w:p w14:paraId="5A02FA81"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ulaganje u ekološki prihvatljive tehnologije,</w:t>
      </w:r>
    </w:p>
    <w:p w14:paraId="3F50FB88"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podrška industriji za inovacije i smanjenje CO</w:t>
      </w:r>
      <w:r w:rsidRPr="2617B706">
        <w:rPr>
          <w:rFonts w:cs="Tahoma"/>
          <w:vertAlign w:val="subscript"/>
        </w:rPr>
        <w:t>2</w:t>
      </w:r>
      <w:r w:rsidRPr="2617B706">
        <w:rPr>
          <w:rFonts w:cs="Tahoma"/>
        </w:rPr>
        <w:t xml:space="preserve"> otiska i svih onečišćenja,</w:t>
      </w:r>
    </w:p>
    <w:p w14:paraId="20CE73FD" w14:textId="77777777" w:rsidR="004949CA" w:rsidRPr="00F766E9" w:rsidRDefault="2F4A6F00" w:rsidP="00F766E9">
      <w:pPr>
        <w:pStyle w:val="Odlomakpopisa"/>
        <w:numPr>
          <w:ilvl w:val="0"/>
          <w:numId w:val="20"/>
        </w:numPr>
        <w:tabs>
          <w:tab w:val="left" w:pos="431"/>
        </w:tabs>
        <w:spacing w:line="259" w:lineRule="auto"/>
        <w:rPr>
          <w:rFonts w:cs="Tahoma"/>
        </w:rPr>
      </w:pPr>
      <w:r w:rsidRPr="797530A1">
        <w:rPr>
          <w:rFonts w:cs="Tahoma"/>
        </w:rPr>
        <w:t xml:space="preserve">uvođenje </w:t>
      </w:r>
      <w:proofErr w:type="spellStart"/>
      <w:r w:rsidRPr="0068468B">
        <w:rPr>
          <w:rFonts w:cs="Tahoma"/>
          <w:szCs w:val="20"/>
        </w:rPr>
        <w:t>čistijih</w:t>
      </w:r>
      <w:proofErr w:type="spellEnd"/>
      <w:r w:rsidRPr="0068468B">
        <w:rPr>
          <w:rFonts w:cs="Tahoma"/>
          <w:szCs w:val="20"/>
        </w:rPr>
        <w:t>, j</w:t>
      </w:r>
      <w:r w:rsidRPr="797530A1">
        <w:rPr>
          <w:rFonts w:cs="Tahoma"/>
        </w:rPr>
        <w:t>eftinijih i zdravijih oblika privatnog i javnog prijevoza,</w:t>
      </w:r>
    </w:p>
    <w:p w14:paraId="2B4473BF" w14:textId="77777777" w:rsidR="004949CA" w:rsidRPr="00F766E9" w:rsidRDefault="137C0FFA" w:rsidP="00F766E9">
      <w:pPr>
        <w:pStyle w:val="Odlomakpopisa"/>
        <w:numPr>
          <w:ilvl w:val="0"/>
          <w:numId w:val="20"/>
        </w:numPr>
        <w:tabs>
          <w:tab w:val="left" w:pos="431"/>
        </w:tabs>
        <w:spacing w:line="259" w:lineRule="auto"/>
        <w:rPr>
          <w:rFonts w:cs="Tahoma"/>
        </w:rPr>
      </w:pPr>
      <w:proofErr w:type="spellStart"/>
      <w:r w:rsidRPr="2617B706">
        <w:rPr>
          <w:rFonts w:cs="Tahoma"/>
        </w:rPr>
        <w:t>dekarbonizacija</w:t>
      </w:r>
      <w:proofErr w:type="spellEnd"/>
      <w:r w:rsidRPr="2617B706">
        <w:rPr>
          <w:rFonts w:cs="Tahoma"/>
        </w:rPr>
        <w:t xml:space="preserve"> energetskog sektora i osiguranje dostupnosti čiste energije,</w:t>
      </w:r>
    </w:p>
    <w:p w14:paraId="7C19411F"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osiguravanje zgrada energetski učinkovitijim,</w:t>
      </w:r>
    </w:p>
    <w:p w14:paraId="6FE44130"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 xml:space="preserve">suradnja s međunarodnim partnerima na poboljšanju globalnih ekoloških standarda te </w:t>
      </w:r>
    </w:p>
    <w:p w14:paraId="22A5C341" w14:textId="77777777" w:rsidR="004949CA" w:rsidRPr="00F766E9" w:rsidRDefault="137C0FFA" w:rsidP="00F766E9">
      <w:pPr>
        <w:pStyle w:val="Odlomakpopisa"/>
        <w:numPr>
          <w:ilvl w:val="0"/>
          <w:numId w:val="20"/>
        </w:numPr>
        <w:tabs>
          <w:tab w:val="left" w:pos="431"/>
        </w:tabs>
        <w:spacing w:line="259" w:lineRule="auto"/>
        <w:rPr>
          <w:rFonts w:cs="Tahoma"/>
        </w:rPr>
      </w:pPr>
      <w:r w:rsidRPr="2617B706">
        <w:rPr>
          <w:rFonts w:cs="Tahoma"/>
        </w:rPr>
        <w:t>borba protiv klimatskih promjena.</w:t>
      </w:r>
    </w:p>
    <w:p w14:paraId="4C404EFB" w14:textId="2162DC33"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EU će također pružiti financijsku podršku i tehničku pomoć onima koji su najviše pogođeni tranzicijom prema zelenom gospodarstvu, tzv. </w:t>
      </w:r>
      <w:r w:rsidRPr="00F766E9">
        <w:rPr>
          <w:rFonts w:ascii="Tahoma" w:hAnsi="Tahoma" w:cs="Tahoma"/>
          <w:b/>
          <w:bCs/>
          <w:sz w:val="20"/>
          <w:szCs w:val="20"/>
        </w:rPr>
        <w:t>Mehanizam pravedne tranzicije</w:t>
      </w:r>
      <w:r w:rsidRPr="00F766E9">
        <w:rPr>
          <w:rFonts w:ascii="Tahoma" w:hAnsi="Tahoma" w:cs="Tahoma"/>
          <w:sz w:val="20"/>
          <w:szCs w:val="20"/>
        </w:rPr>
        <w:t>. Pomoći će mobilizirati najmanje 100 milijardi eura tijekom razdoblja 2021. - 2027.</w:t>
      </w:r>
      <w:r w:rsidR="00E61DB6">
        <w:rPr>
          <w:rFonts w:ascii="Tahoma" w:hAnsi="Tahoma" w:cs="Tahoma"/>
          <w:sz w:val="20"/>
          <w:szCs w:val="20"/>
        </w:rPr>
        <w:t xml:space="preserve"> </w:t>
      </w:r>
      <w:r w:rsidR="00E61DB6" w:rsidRPr="00AE4861">
        <w:rPr>
          <w:rFonts w:ascii="Tahoma" w:hAnsi="Tahoma" w:cs="Tahoma"/>
          <w:sz w:val="20"/>
          <w:szCs w:val="20"/>
        </w:rPr>
        <w:t>godine</w:t>
      </w:r>
      <w:r w:rsidRPr="00AE4861">
        <w:rPr>
          <w:rFonts w:ascii="Tahoma" w:hAnsi="Tahoma" w:cs="Tahoma"/>
          <w:sz w:val="20"/>
          <w:szCs w:val="20"/>
        </w:rPr>
        <w:t xml:space="preserve"> </w:t>
      </w:r>
      <w:r w:rsidRPr="00F766E9">
        <w:rPr>
          <w:rFonts w:ascii="Tahoma" w:hAnsi="Tahoma" w:cs="Tahoma"/>
          <w:sz w:val="20"/>
          <w:szCs w:val="20"/>
        </w:rPr>
        <w:t>u najviše pogođenim regijama.</w:t>
      </w:r>
    </w:p>
    <w:p w14:paraId="5A22E021" w14:textId="59B382E4"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U svjetlu aktivnosti koje je Europska unija pokrenula Zelenim planom, poseban značaj za energetsku obnovu zgrada ima usvajanje </w:t>
      </w:r>
      <w:r w:rsidRPr="00F766E9">
        <w:rPr>
          <w:rFonts w:ascii="Tahoma" w:hAnsi="Tahoma" w:cs="Tahoma"/>
          <w:b/>
          <w:bCs/>
          <w:sz w:val="20"/>
          <w:szCs w:val="20"/>
        </w:rPr>
        <w:t xml:space="preserve">Inicijative vala obnove (engl. </w:t>
      </w:r>
      <w:proofErr w:type="spellStart"/>
      <w:r w:rsidRPr="00F766E9">
        <w:rPr>
          <w:rFonts w:ascii="Tahoma" w:hAnsi="Tahoma" w:cs="Tahoma"/>
          <w:b/>
          <w:bCs/>
          <w:i/>
          <w:iCs/>
          <w:sz w:val="20"/>
          <w:szCs w:val="20"/>
        </w:rPr>
        <w:t>Renovation</w:t>
      </w:r>
      <w:proofErr w:type="spellEnd"/>
      <w:r w:rsidRPr="00F766E9">
        <w:rPr>
          <w:rFonts w:ascii="Tahoma" w:hAnsi="Tahoma" w:cs="Tahoma"/>
          <w:b/>
          <w:bCs/>
          <w:i/>
          <w:iCs/>
          <w:sz w:val="20"/>
          <w:szCs w:val="20"/>
        </w:rPr>
        <w:t xml:space="preserve"> </w:t>
      </w:r>
      <w:proofErr w:type="spellStart"/>
      <w:r w:rsidRPr="00F766E9">
        <w:rPr>
          <w:rFonts w:ascii="Tahoma" w:hAnsi="Tahoma" w:cs="Tahoma"/>
          <w:b/>
          <w:bCs/>
          <w:i/>
          <w:iCs/>
          <w:sz w:val="20"/>
          <w:szCs w:val="20"/>
        </w:rPr>
        <w:t>wave</w:t>
      </w:r>
      <w:proofErr w:type="spellEnd"/>
      <w:r w:rsidRPr="00F766E9">
        <w:rPr>
          <w:rFonts w:ascii="Tahoma" w:hAnsi="Tahoma" w:cs="Tahoma"/>
          <w:sz w:val="20"/>
          <w:szCs w:val="20"/>
        </w:rPr>
        <w:t>)</w:t>
      </w:r>
      <w:r w:rsidRPr="00F766E9">
        <w:rPr>
          <w:rStyle w:val="Referencafusnote"/>
          <w:rFonts w:cs="Tahoma"/>
          <w:sz w:val="20"/>
          <w:szCs w:val="20"/>
        </w:rPr>
        <w:footnoteReference w:id="3"/>
      </w:r>
      <w:r w:rsidRPr="00F766E9">
        <w:rPr>
          <w:rFonts w:ascii="Tahoma" w:hAnsi="Tahoma" w:cs="Tahoma"/>
          <w:sz w:val="20"/>
          <w:szCs w:val="20"/>
        </w:rPr>
        <w:t xml:space="preserve"> 14. listopada 2020.. Val obnove je inicijativa za pokretanje </w:t>
      </w:r>
      <w:proofErr w:type="spellStart"/>
      <w:r w:rsidRPr="00F766E9">
        <w:rPr>
          <w:rFonts w:ascii="Tahoma" w:hAnsi="Tahoma" w:cs="Tahoma"/>
          <w:sz w:val="20"/>
          <w:szCs w:val="20"/>
        </w:rPr>
        <w:t>dekarbonizacije</w:t>
      </w:r>
      <w:proofErr w:type="spellEnd"/>
      <w:r w:rsidRPr="00F766E9">
        <w:rPr>
          <w:rFonts w:ascii="Tahoma" w:hAnsi="Tahoma" w:cs="Tahoma"/>
          <w:sz w:val="20"/>
          <w:szCs w:val="20"/>
        </w:rPr>
        <w:t xml:space="preserve"> zgrada u Europi. Cilj inicijative je </w:t>
      </w:r>
      <w:r w:rsidRPr="00F766E9">
        <w:rPr>
          <w:rFonts w:ascii="Tahoma" w:hAnsi="Tahoma" w:cs="Tahoma"/>
          <w:b/>
          <w:bCs/>
          <w:sz w:val="20"/>
          <w:szCs w:val="20"/>
        </w:rPr>
        <w:t>barem udvostručiti godišnju stopu energetske obnove stambenih i nestambenih zgrada do 2030. godine</w:t>
      </w:r>
      <w:r w:rsidRPr="00F766E9">
        <w:rPr>
          <w:rFonts w:ascii="Tahoma" w:hAnsi="Tahoma" w:cs="Tahoma"/>
          <w:sz w:val="20"/>
          <w:szCs w:val="20"/>
        </w:rPr>
        <w:t xml:space="preserve"> i </w:t>
      </w:r>
      <w:r w:rsidRPr="00F766E9">
        <w:rPr>
          <w:rFonts w:ascii="Tahoma" w:hAnsi="Tahoma" w:cs="Tahoma"/>
          <w:b/>
          <w:bCs/>
          <w:sz w:val="20"/>
          <w:szCs w:val="20"/>
        </w:rPr>
        <w:t>poticati dubinske energetske obnove</w:t>
      </w:r>
      <w:r w:rsidRPr="00F766E9">
        <w:rPr>
          <w:rFonts w:ascii="Tahoma" w:hAnsi="Tahoma" w:cs="Tahoma"/>
          <w:sz w:val="20"/>
          <w:szCs w:val="20"/>
        </w:rPr>
        <w:t xml:space="preserve">. Kako bi se to postiglo, strategija prepoznaje sedam područja intervencije s vodećim akcijama koje su ključne za omogućavanje takvih razmjera obnove, od kojih se tri smatraju prioritetom za politiku i financiranje: </w:t>
      </w:r>
    </w:p>
    <w:p w14:paraId="06FD2FE1" w14:textId="77777777" w:rsidR="004949CA" w:rsidRPr="00BE0828" w:rsidRDefault="137C0FFA" w:rsidP="004949CA">
      <w:pPr>
        <w:pStyle w:val="Odlomakpopisa"/>
        <w:keepLines w:val="0"/>
        <w:numPr>
          <w:ilvl w:val="0"/>
          <w:numId w:val="23"/>
        </w:numPr>
        <w:suppressAutoHyphens w:val="0"/>
        <w:spacing w:before="120" w:after="0"/>
      </w:pPr>
      <w:r>
        <w:t xml:space="preserve">rješavanje energetskog siromaštva; </w:t>
      </w:r>
    </w:p>
    <w:p w14:paraId="3A226EB4" w14:textId="77777777" w:rsidR="004949CA" w:rsidRPr="00BE0828" w:rsidRDefault="137C0FFA" w:rsidP="004949CA">
      <w:pPr>
        <w:pStyle w:val="Odlomakpopisa"/>
        <w:keepLines w:val="0"/>
        <w:numPr>
          <w:ilvl w:val="0"/>
          <w:numId w:val="23"/>
        </w:numPr>
        <w:suppressAutoHyphens w:val="0"/>
        <w:spacing w:before="120" w:after="0"/>
      </w:pPr>
      <w:r>
        <w:t xml:space="preserve">obnavljanje javnih zgrada i </w:t>
      </w:r>
    </w:p>
    <w:p w14:paraId="55FDD06C" w14:textId="77777777" w:rsidR="004949CA" w:rsidRPr="00BE0828" w:rsidRDefault="137C0FFA" w:rsidP="004949CA">
      <w:pPr>
        <w:pStyle w:val="Odlomakpopisa"/>
        <w:keepLines w:val="0"/>
        <w:numPr>
          <w:ilvl w:val="0"/>
          <w:numId w:val="23"/>
        </w:numPr>
        <w:suppressAutoHyphens w:val="0"/>
        <w:spacing w:before="120" w:after="0"/>
      </w:pPr>
      <w:proofErr w:type="spellStart"/>
      <w:r>
        <w:lastRenderedPageBreak/>
        <w:t>dekarbonizacija</w:t>
      </w:r>
      <w:proofErr w:type="spellEnd"/>
      <w:r>
        <w:t xml:space="preserve"> grijanja i hlađenja.</w:t>
      </w:r>
    </w:p>
    <w:p w14:paraId="07D47C25" w14:textId="77777777" w:rsidR="00F766E9" w:rsidRDefault="00F766E9" w:rsidP="00F766E9">
      <w:pPr>
        <w:jc w:val="both"/>
        <w:rPr>
          <w:rFonts w:ascii="Tahoma" w:hAnsi="Tahoma" w:cs="Tahoma"/>
          <w:sz w:val="20"/>
          <w:szCs w:val="20"/>
        </w:rPr>
      </w:pPr>
    </w:p>
    <w:p w14:paraId="0531A1B2" w14:textId="1F61D927" w:rsidR="004949CA" w:rsidRPr="00F766E9" w:rsidRDefault="004949CA" w:rsidP="00F766E9">
      <w:pPr>
        <w:jc w:val="both"/>
        <w:rPr>
          <w:rFonts w:ascii="Tahoma" w:hAnsi="Tahoma" w:cs="Tahoma"/>
          <w:sz w:val="20"/>
          <w:szCs w:val="20"/>
        </w:rPr>
      </w:pPr>
      <w:r w:rsidRPr="00F766E9">
        <w:rPr>
          <w:rFonts w:ascii="Tahoma" w:hAnsi="Tahoma" w:cs="Tahoma"/>
          <w:sz w:val="20"/>
          <w:szCs w:val="20"/>
        </w:rPr>
        <w:t xml:space="preserve">Ovime se prepoznaje da se obnova zgrada ne može dogoditi sama, već mora ići istovremeno s </w:t>
      </w:r>
      <w:proofErr w:type="spellStart"/>
      <w:r w:rsidRPr="00F766E9">
        <w:rPr>
          <w:rFonts w:ascii="Tahoma" w:hAnsi="Tahoma" w:cs="Tahoma"/>
          <w:sz w:val="20"/>
          <w:szCs w:val="20"/>
        </w:rPr>
        <w:t>dekarbonizacijom</w:t>
      </w:r>
      <w:proofErr w:type="spellEnd"/>
      <w:r w:rsidRPr="00F766E9">
        <w:rPr>
          <w:rFonts w:ascii="Tahoma" w:hAnsi="Tahoma" w:cs="Tahoma"/>
          <w:sz w:val="20"/>
          <w:szCs w:val="20"/>
        </w:rPr>
        <w:t xml:space="preserve"> opskrbe grijanjem i hlađenjem. Inicijativa također poziva na integraciju obnovljivih izvora energije (OIE), za proizvodnju energije za pokrivanje vlastite potrošnje. Inicijativa također prepoznaje još jedan važan koncept, a to je potreba za usvajanjem lokalnog (okružnog/područnog/općinskog) pristupa. Posebno naglašava da rješavanje izazova obnove na ovoj razini omogućuje združivanje projekata i realizaciju obnova energetskih četvrti sustavima poput daljinskog grijanja i hlađenja.</w:t>
      </w:r>
    </w:p>
    <w:p w14:paraId="5C14D0B3" w14:textId="77777777" w:rsidR="004949CA" w:rsidRPr="0091152F" w:rsidRDefault="004949CA" w:rsidP="004949CA">
      <w:pPr>
        <w:pStyle w:val="Naslov30"/>
      </w:pPr>
      <w:bookmarkStart w:id="34" w:name="_Toc72081596"/>
      <w:bookmarkStart w:id="35" w:name="_Toc81836275"/>
      <w:bookmarkStart w:id="36" w:name="_Toc83912047"/>
      <w:r w:rsidRPr="0091152F">
        <w:t>Nacionalno zakonodavstvo iz područja energetske učinkovitosti</w:t>
      </w:r>
      <w:bookmarkEnd w:id="34"/>
      <w:bookmarkEnd w:id="35"/>
      <w:bookmarkEnd w:id="36"/>
      <w:r w:rsidRPr="0091152F">
        <w:t xml:space="preserve"> </w:t>
      </w:r>
    </w:p>
    <w:p w14:paraId="25975538" w14:textId="77777777" w:rsidR="004949CA" w:rsidRPr="0006532F" w:rsidRDefault="004949CA" w:rsidP="0006532F">
      <w:pPr>
        <w:jc w:val="both"/>
        <w:rPr>
          <w:rFonts w:ascii="Tahoma" w:hAnsi="Tahoma" w:cs="Tahoma"/>
          <w:sz w:val="20"/>
          <w:szCs w:val="20"/>
        </w:rPr>
      </w:pPr>
      <w:r w:rsidRPr="0006532F">
        <w:rPr>
          <w:rFonts w:ascii="Tahoma" w:hAnsi="Tahoma" w:cs="Tahoma"/>
          <w:sz w:val="20"/>
          <w:szCs w:val="20"/>
        </w:rPr>
        <w:t xml:space="preserve">Područje energetske učinkovitosti u zgradarstvu, koje je fokus ovog Programa, u </w:t>
      </w:r>
      <w:r w:rsidRPr="00E61DB6">
        <w:rPr>
          <w:rFonts w:ascii="Tahoma" w:hAnsi="Tahoma" w:cs="Tahoma"/>
          <w:sz w:val="20"/>
          <w:szCs w:val="20"/>
        </w:rPr>
        <w:t>Republici</w:t>
      </w:r>
      <w:r w:rsidRPr="0006532F">
        <w:rPr>
          <w:rFonts w:ascii="Tahoma" w:hAnsi="Tahoma" w:cs="Tahoma"/>
          <w:sz w:val="20"/>
          <w:szCs w:val="20"/>
        </w:rPr>
        <w:t xml:space="preserve"> Hrvatskoj regulirano je Zakonom o energetskoj učinkovitosti (Narodne novine, br. 127/14, 116/18, 25/20, 32/21 i 41/21), Zakonom o gradnji (Narodne novine, br. 153/13, 20/17, 39/19 i 125/19), i podzakonskim aktima koji slijede iz tih Zakona. Navedenim se zakonima i propisima u Hrvatskoj ispunjavaju zahtjevi prethodno navedenih EU direktiva.</w:t>
      </w:r>
    </w:p>
    <w:p w14:paraId="39AD184A" w14:textId="2C7F86C7" w:rsidR="004949CA" w:rsidRPr="0006532F" w:rsidRDefault="004949CA" w:rsidP="0006532F">
      <w:pPr>
        <w:jc w:val="both"/>
        <w:rPr>
          <w:rFonts w:ascii="Tahoma" w:hAnsi="Tahoma" w:cs="Tahoma"/>
          <w:sz w:val="20"/>
          <w:szCs w:val="20"/>
        </w:rPr>
      </w:pPr>
      <w:r w:rsidRPr="0006532F">
        <w:rPr>
          <w:rFonts w:ascii="Tahoma" w:hAnsi="Tahoma" w:cs="Tahoma"/>
          <w:sz w:val="20"/>
          <w:szCs w:val="20"/>
        </w:rPr>
        <w:t xml:space="preserve">Pregled zakonskih odredbi i podzakonskih akata daje </w:t>
      </w:r>
      <w:r w:rsidRPr="0006532F">
        <w:rPr>
          <w:rFonts w:ascii="Tahoma" w:hAnsi="Tahoma" w:cs="Tahoma"/>
          <w:sz w:val="20"/>
          <w:szCs w:val="20"/>
        </w:rPr>
        <w:fldChar w:fldCharType="begin"/>
      </w:r>
      <w:r w:rsidRPr="0006532F">
        <w:rPr>
          <w:rFonts w:ascii="Tahoma" w:hAnsi="Tahoma" w:cs="Tahoma"/>
          <w:sz w:val="20"/>
          <w:szCs w:val="20"/>
        </w:rPr>
        <w:instrText xml:space="preserve"> REF _Ref5190098 \h </w:instrText>
      </w:r>
      <w:r w:rsidR="0006532F" w:rsidRPr="0006532F">
        <w:rPr>
          <w:rFonts w:ascii="Tahoma" w:hAnsi="Tahoma" w:cs="Tahoma"/>
          <w:sz w:val="20"/>
          <w:szCs w:val="20"/>
        </w:rPr>
        <w:instrText xml:space="preserve"> \* MERGEFORMAT </w:instrText>
      </w:r>
      <w:r w:rsidRPr="0006532F">
        <w:rPr>
          <w:rFonts w:ascii="Tahoma" w:hAnsi="Tahoma" w:cs="Tahoma"/>
          <w:sz w:val="20"/>
          <w:szCs w:val="20"/>
        </w:rPr>
      </w:r>
      <w:r w:rsidRPr="0006532F">
        <w:rPr>
          <w:rFonts w:ascii="Tahoma" w:hAnsi="Tahoma" w:cs="Tahoma"/>
          <w:sz w:val="20"/>
          <w:szCs w:val="20"/>
        </w:rPr>
        <w:fldChar w:fldCharType="separate"/>
      </w:r>
      <w:r w:rsidR="00575AF9" w:rsidRPr="00575AF9">
        <w:rPr>
          <w:rFonts w:ascii="Tahoma" w:hAnsi="Tahoma" w:cs="Tahoma"/>
          <w:sz w:val="20"/>
          <w:szCs w:val="20"/>
        </w:rPr>
        <w:t xml:space="preserve">Tablica </w:t>
      </w:r>
      <w:r w:rsidR="00575AF9" w:rsidRPr="00575AF9">
        <w:rPr>
          <w:rFonts w:ascii="Tahoma" w:hAnsi="Tahoma" w:cs="Tahoma"/>
          <w:noProof/>
          <w:sz w:val="20"/>
          <w:szCs w:val="20"/>
        </w:rPr>
        <w:t>2</w:t>
      </w:r>
      <w:r w:rsidR="00575AF9" w:rsidRPr="00575AF9">
        <w:rPr>
          <w:rFonts w:ascii="Tahoma" w:hAnsi="Tahoma" w:cs="Tahoma"/>
          <w:noProof/>
          <w:sz w:val="20"/>
          <w:szCs w:val="20"/>
        </w:rPr>
        <w:noBreakHyphen/>
        <w:t>1</w:t>
      </w:r>
      <w:r w:rsidRPr="0006532F">
        <w:rPr>
          <w:rFonts w:ascii="Tahoma" w:hAnsi="Tahoma" w:cs="Tahoma"/>
          <w:sz w:val="20"/>
          <w:szCs w:val="20"/>
        </w:rPr>
        <w:fldChar w:fldCharType="end"/>
      </w:r>
      <w:r w:rsidRPr="0006532F">
        <w:rPr>
          <w:rFonts w:ascii="Tahoma" w:hAnsi="Tahoma" w:cs="Tahoma"/>
          <w:sz w:val="20"/>
          <w:szCs w:val="20"/>
        </w:rPr>
        <w:t xml:space="preserve">. </w:t>
      </w:r>
    </w:p>
    <w:p w14:paraId="4089ABA5" w14:textId="3BE3C945" w:rsidR="004949CA" w:rsidRPr="00BE0828" w:rsidRDefault="004949CA" w:rsidP="004949CA">
      <w:pPr>
        <w:pStyle w:val="Opisslike"/>
      </w:pPr>
      <w:bookmarkStart w:id="37" w:name="_Ref5190098"/>
      <w:bookmarkStart w:id="38" w:name="_Toc14786190"/>
      <w:bookmarkStart w:id="39" w:name="_Toc72081534"/>
      <w:bookmarkStart w:id="40" w:name="_Toc84240482"/>
      <w:r w:rsidRPr="00BE0828">
        <w:t xml:space="preserve">Tablica </w:t>
      </w:r>
      <w:r w:rsidRPr="00BE0828">
        <w:rPr>
          <w:noProof/>
        </w:rPr>
        <w:fldChar w:fldCharType="begin"/>
      </w:r>
      <w:r w:rsidRPr="00BE0828">
        <w:rPr>
          <w:noProof/>
        </w:rPr>
        <w:instrText xml:space="preserve"> STYLEREF 1 \s </w:instrText>
      </w:r>
      <w:r w:rsidRPr="00BE0828">
        <w:rPr>
          <w:noProof/>
        </w:rPr>
        <w:fldChar w:fldCharType="separate"/>
      </w:r>
      <w:r w:rsidR="00575AF9">
        <w:rPr>
          <w:noProof/>
        </w:rPr>
        <w:t>2</w:t>
      </w:r>
      <w:r w:rsidRPr="00BE0828">
        <w:rPr>
          <w:noProof/>
        </w:rPr>
        <w:fldChar w:fldCharType="end"/>
      </w:r>
      <w:r w:rsidRPr="00BE0828">
        <w:noBreakHyphen/>
      </w:r>
      <w:r w:rsidRPr="00BE0828">
        <w:rPr>
          <w:noProof/>
        </w:rPr>
        <w:fldChar w:fldCharType="begin"/>
      </w:r>
      <w:r w:rsidRPr="00BE0828">
        <w:rPr>
          <w:noProof/>
        </w:rPr>
        <w:instrText xml:space="preserve"> SEQ Tablica \* ARABIC \s 1 </w:instrText>
      </w:r>
      <w:r w:rsidRPr="00BE0828">
        <w:rPr>
          <w:noProof/>
        </w:rPr>
        <w:fldChar w:fldCharType="separate"/>
      </w:r>
      <w:r w:rsidR="00575AF9">
        <w:rPr>
          <w:noProof/>
        </w:rPr>
        <w:t>1</w:t>
      </w:r>
      <w:r w:rsidRPr="00BE0828">
        <w:rPr>
          <w:noProof/>
        </w:rPr>
        <w:fldChar w:fldCharType="end"/>
      </w:r>
      <w:bookmarkEnd w:id="37"/>
      <w:r w:rsidRPr="00BE0828">
        <w:t xml:space="preserve">: Pregled zakonskih odredbi i podzakonskih akata energetske učinkovitosti u </w:t>
      </w:r>
      <w:bookmarkEnd w:id="38"/>
      <w:bookmarkEnd w:id="39"/>
      <w:r w:rsidR="0063313B">
        <w:t>Hrvatskoj</w:t>
      </w:r>
      <w:bookmarkEnd w:id="40"/>
    </w:p>
    <w:tbl>
      <w:tblPr>
        <w:tblStyle w:val="Svijetlatablicareetke110"/>
        <w:tblW w:w="5000" w:type="pct"/>
        <w:tblLook w:val="04A0" w:firstRow="1" w:lastRow="0" w:firstColumn="1" w:lastColumn="0" w:noHBand="0" w:noVBand="1"/>
      </w:tblPr>
      <w:tblGrid>
        <w:gridCol w:w="9062"/>
      </w:tblGrid>
      <w:tr w:rsidR="004949CA" w:rsidRPr="00F766E9" w14:paraId="6F3BBCDC" w14:textId="77777777" w:rsidTr="79753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E7E6E6" w:themeFill="background2"/>
          </w:tcPr>
          <w:p w14:paraId="7C8AADD5" w14:textId="77777777" w:rsidR="004949CA" w:rsidRPr="00F766E9" w:rsidRDefault="004949CA" w:rsidP="00860D08">
            <w:pPr>
              <w:spacing w:before="60" w:after="60"/>
              <w:jc w:val="center"/>
              <w:rPr>
                <w:rFonts w:ascii="Tahoma" w:hAnsi="Tahoma" w:cs="Tahoma"/>
                <w:sz w:val="20"/>
                <w:szCs w:val="20"/>
              </w:rPr>
            </w:pPr>
            <w:r w:rsidRPr="00F766E9">
              <w:rPr>
                <w:rFonts w:ascii="Tahoma" w:hAnsi="Tahoma" w:cs="Tahoma"/>
                <w:sz w:val="20"/>
                <w:szCs w:val="20"/>
              </w:rPr>
              <w:t>Zakon o energetskoj učinkovitosti</w:t>
            </w:r>
          </w:p>
        </w:tc>
      </w:tr>
      <w:tr w:rsidR="004949CA" w:rsidRPr="00F766E9" w14:paraId="01BA4C34"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61C9471F" w14:textId="3FF711FA"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Obveza Vlade da usvoji Nacionalni akcijski plan energetske učinkovitosti (</w:t>
            </w:r>
            <w:proofErr w:type="spellStart"/>
            <w:r w:rsidRPr="00F766E9">
              <w:rPr>
                <w:rFonts w:ascii="Tahoma" w:hAnsi="Tahoma" w:cs="Tahoma"/>
                <w:b w:val="0"/>
                <w:sz w:val="20"/>
                <w:szCs w:val="20"/>
              </w:rPr>
              <w:t>NAPEnU</w:t>
            </w:r>
            <w:proofErr w:type="spellEnd"/>
            <w:r w:rsidRPr="00F766E9">
              <w:rPr>
                <w:rFonts w:ascii="Tahoma" w:hAnsi="Tahoma" w:cs="Tahoma"/>
                <w:b w:val="0"/>
                <w:sz w:val="20"/>
                <w:szCs w:val="20"/>
              </w:rPr>
              <w:t xml:space="preserve">) za trogodišnje razdoblje s mjerama koje će se provoditi na cijelom području </w:t>
            </w:r>
            <w:r w:rsidR="0063313B">
              <w:rPr>
                <w:rFonts w:ascii="Tahoma" w:hAnsi="Tahoma" w:cs="Tahoma"/>
                <w:b w:val="0"/>
                <w:sz w:val="20"/>
                <w:szCs w:val="20"/>
              </w:rPr>
              <w:t>Hrvatske</w:t>
            </w:r>
            <w:r w:rsidRPr="00F766E9">
              <w:rPr>
                <w:rFonts w:ascii="Tahoma" w:hAnsi="Tahoma" w:cs="Tahoma"/>
                <w:b w:val="0"/>
                <w:sz w:val="20"/>
                <w:szCs w:val="20"/>
              </w:rPr>
              <w:t xml:space="preserve"> u skladu s </w:t>
            </w:r>
            <w:r w:rsidRPr="00F766E9">
              <w:rPr>
                <w:rFonts w:ascii="Tahoma" w:hAnsi="Tahoma" w:cs="Tahoma"/>
                <w:bCs w:val="0"/>
                <w:sz w:val="20"/>
                <w:szCs w:val="20"/>
              </w:rPr>
              <w:t>Integriranim nacionalnim energetskim i klimatskim planom (NEKP)</w:t>
            </w:r>
            <w:r w:rsidRPr="00F766E9">
              <w:rPr>
                <w:rFonts w:ascii="Tahoma" w:hAnsi="Tahoma" w:cs="Tahoma"/>
                <w:b w:val="0"/>
                <w:sz w:val="20"/>
                <w:szCs w:val="20"/>
              </w:rPr>
              <w:t xml:space="preserve"> , kojim se definiraju alternativne mjere politike uključujući mjere za osiguranje </w:t>
            </w:r>
            <w:r w:rsidRPr="00F766E9">
              <w:rPr>
                <w:rFonts w:ascii="Tahoma" w:hAnsi="Tahoma" w:cs="Tahoma"/>
                <w:bCs w:val="0"/>
                <w:sz w:val="20"/>
                <w:szCs w:val="20"/>
              </w:rPr>
              <w:t>godišnje obnove 3% ukupne površine poda grijanih i/ili hlađenih zgrada u vlasništvu i uporabi središnje vlasti</w:t>
            </w:r>
          </w:p>
        </w:tc>
      </w:tr>
      <w:tr w:rsidR="004949CA" w:rsidRPr="00F766E9" w14:paraId="14E7823B"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630A157F"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Obveza županija i velikih gradova (&gt; 35.000 stanovnika) da donose Akcijske planove (trogodišnje) i godišnje planove energetske učinkovitosti </w:t>
            </w:r>
          </w:p>
        </w:tc>
      </w:tr>
      <w:tr w:rsidR="004949CA" w:rsidRPr="00F766E9" w14:paraId="7A854A8D"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107BDACB"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Sustav obveze energetske učinkovitosti za opskrbljivače energije – potiče se provedba mjera energetske učinkovitosti u kućanstvima pogođenima energetskim siromaštvom ili u socijalnim prostorima za stanovanje</w:t>
            </w:r>
          </w:p>
        </w:tc>
      </w:tr>
      <w:tr w:rsidR="004949CA" w:rsidRPr="00F766E9" w14:paraId="5584976F"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6689F4E3"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Obveze opskrbljivača o mjerenju i obračunavanju potrošnje te informiranju kupaca o prethodnoj potrošnji, što obuhvaća usporedbu s prosječnim uobičajenim ili referentnim krajnjim kupcem iz iste kategorije krajnjih kupaca </w:t>
            </w:r>
          </w:p>
        </w:tc>
      </w:tr>
      <w:tr w:rsidR="004949CA" w:rsidRPr="00F766E9" w14:paraId="06D51749"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5AB25789"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Obveze distributera energije da podatke o mjerenju i potrošnji energije u javnom sektoru unose na mjesečnoj razini u nacionalni informacijski sustav za gospodarenje energijom (ISGE) te da osiguraju pojedinačna brojila krajnjim kupcima</w:t>
            </w:r>
          </w:p>
        </w:tc>
      </w:tr>
      <w:tr w:rsidR="004949CA" w:rsidRPr="00F766E9" w14:paraId="4FDD506F"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37EB104E"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Obveze regulatornog tijela za energetiku da osigura poticanje energetske učinkovitosti kroz tarife te da osigura poticaje za poboljšanje učinkovitosti u planiranju i radu infrastrukture za prirodni plin i električnu energiju</w:t>
            </w:r>
          </w:p>
        </w:tc>
      </w:tr>
      <w:tr w:rsidR="004949CA" w:rsidRPr="00F766E9" w14:paraId="1F04CD6C"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786392D4"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Obveze operatora prijenosnog i distribucijskog sustava da omoguće pristup mreži, prijenos i distribuciju električne energije proizvedene iz visokoučinkovite kogeneracije </w:t>
            </w:r>
          </w:p>
        </w:tc>
      </w:tr>
      <w:tr w:rsidR="004949CA" w:rsidRPr="00F766E9" w14:paraId="19C88A57"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16496C32"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Obveze velikih poduzeća o provedbi energetskih pregleda svake 4 godine ili uvođenju sustava gospodarenja energijom  - Pravilnik o energetskom pregledu za velika poduzeća (Narodne novine, br. 123/15 i 5/20)</w:t>
            </w:r>
          </w:p>
        </w:tc>
      </w:tr>
      <w:tr w:rsidR="004949CA" w:rsidRPr="00F766E9" w14:paraId="09D922C4"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3D6FECB8"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Obveza javnog sektora da provodi energetske preglede sustava javne rasvjete svakih 5 godina te da održava i rekonstruira javnu rasvjetu tako da smanjuje potrošnju električne energije i ispunjava ostale uvjete propisane Zakonom o zaštiti od svjetlosnog onečišćenja (Narodne novine, broj 14/19) i propisa koji iz njega proizlaze</w:t>
            </w:r>
          </w:p>
        </w:tc>
      </w:tr>
      <w:tr w:rsidR="004949CA" w:rsidRPr="00F766E9" w14:paraId="223503EA"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6A177D76" w14:textId="77777777" w:rsidR="004949CA" w:rsidRPr="00F766E9" w:rsidRDefault="004949CA" w:rsidP="00860D08">
            <w:pPr>
              <w:spacing w:before="60" w:after="60"/>
              <w:jc w:val="both"/>
              <w:rPr>
                <w:rFonts w:ascii="Tahoma" w:hAnsi="Tahoma" w:cs="Tahoma"/>
                <w:b w:val="0"/>
                <w:bCs w:val="0"/>
                <w:sz w:val="20"/>
                <w:szCs w:val="20"/>
              </w:rPr>
            </w:pPr>
            <w:r w:rsidRPr="00F766E9">
              <w:rPr>
                <w:rFonts w:ascii="Tahoma" w:hAnsi="Tahoma" w:cs="Tahoma"/>
                <w:b w:val="0"/>
                <w:sz w:val="20"/>
                <w:szCs w:val="20"/>
              </w:rPr>
              <w:lastRenderedPageBreak/>
              <w:t xml:space="preserve">Obveza javnog sektora da sustavno gospodari energijom, što podrazumijeva imenovanje odgovorne osobe za gospodarenje energijom, redovno praćenje potrošnje energije i unošenje podataka o potrošnji energije u nacionalni informacijski sustav za gospodarenje energijom (ISGE)  </w:t>
            </w:r>
            <w:r w:rsidRPr="00F766E9">
              <w:rPr>
                <w:rFonts w:ascii="Tahoma" w:hAnsi="Tahoma" w:cs="Tahoma"/>
                <w:bCs w:val="0"/>
                <w:sz w:val="20"/>
                <w:szCs w:val="20"/>
              </w:rPr>
              <w:t xml:space="preserve">- </w:t>
            </w:r>
            <w:r w:rsidRPr="00F766E9">
              <w:rPr>
                <w:rStyle w:val="Naglaeno"/>
                <w:rFonts w:ascii="Tahoma" w:hAnsi="Tahoma" w:cs="Tahoma"/>
                <w:sz w:val="20"/>
                <w:szCs w:val="20"/>
              </w:rPr>
              <w:t>Pravilnik o sustavnom gospodarenju energijom u javnom sektoru (</w:t>
            </w:r>
            <w:r w:rsidRPr="00F766E9">
              <w:rPr>
                <w:rFonts w:ascii="Tahoma" w:hAnsi="Tahoma" w:cs="Tahoma"/>
                <w:b w:val="0"/>
                <w:sz w:val="20"/>
                <w:szCs w:val="20"/>
              </w:rPr>
              <w:t xml:space="preserve">Narodne novine, </w:t>
            </w:r>
            <w:r w:rsidRPr="00F766E9">
              <w:rPr>
                <w:rStyle w:val="Naglaeno"/>
                <w:rFonts w:ascii="Tahoma" w:hAnsi="Tahoma" w:cs="Tahoma"/>
                <w:sz w:val="20"/>
                <w:szCs w:val="20"/>
              </w:rPr>
              <w:t xml:space="preserve">br. </w:t>
            </w:r>
            <w:hyperlink r:id="rId21" w:history="1">
              <w:r w:rsidRPr="00F766E9">
                <w:rPr>
                  <w:rStyle w:val="Naglaeno"/>
                  <w:rFonts w:ascii="Tahoma" w:hAnsi="Tahoma" w:cs="Tahoma"/>
                  <w:sz w:val="20"/>
                  <w:szCs w:val="20"/>
                </w:rPr>
                <w:t>18/15</w:t>
              </w:r>
            </w:hyperlink>
            <w:r w:rsidRPr="00F766E9">
              <w:rPr>
                <w:rStyle w:val="Naglaeno"/>
                <w:rFonts w:ascii="Tahoma" w:hAnsi="Tahoma" w:cs="Tahoma"/>
                <w:sz w:val="20"/>
                <w:szCs w:val="20"/>
              </w:rPr>
              <w:t xml:space="preserve"> i 06/16)</w:t>
            </w:r>
          </w:p>
        </w:tc>
      </w:tr>
      <w:tr w:rsidR="004949CA" w:rsidRPr="00F766E9" w14:paraId="53BA786B"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66E3FEFF"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Obveza prijavljivanja svih aktivnosti energetske učinkovitosti i ostvarenih ušteda u nacionalni sustav za praćenje, mjerenje i verifikaciju ušteda (</w:t>
            </w:r>
            <w:proofErr w:type="spellStart"/>
            <w:r w:rsidRPr="00F766E9">
              <w:rPr>
                <w:rFonts w:ascii="Tahoma" w:hAnsi="Tahoma" w:cs="Tahoma"/>
                <w:b w:val="0"/>
                <w:sz w:val="20"/>
                <w:szCs w:val="20"/>
              </w:rPr>
              <w:t>SMiV</w:t>
            </w:r>
            <w:proofErr w:type="spellEnd"/>
            <w:r w:rsidRPr="00F766E9">
              <w:rPr>
                <w:rFonts w:ascii="Tahoma" w:hAnsi="Tahoma" w:cs="Tahoma"/>
                <w:b w:val="0"/>
                <w:sz w:val="20"/>
                <w:szCs w:val="20"/>
              </w:rPr>
              <w:t xml:space="preserve">) za javni sektor, pružatelje energetskih usluga i davatelje subvencija - </w:t>
            </w:r>
            <w:r w:rsidRPr="00F766E9">
              <w:rPr>
                <w:rFonts w:ascii="Tahoma" w:hAnsi="Tahoma" w:cs="Tahoma"/>
                <w:b w:val="0"/>
                <w:bCs w:val="0"/>
                <w:sz w:val="20"/>
                <w:szCs w:val="20"/>
              </w:rPr>
              <w:t>Pravilnik o sustavu za praćenje, mjerenje i verifikaciju ušteda energije (</w:t>
            </w:r>
            <w:r w:rsidRPr="00F766E9">
              <w:rPr>
                <w:rFonts w:ascii="Tahoma" w:hAnsi="Tahoma" w:cs="Tahoma"/>
                <w:b w:val="0"/>
                <w:sz w:val="20"/>
                <w:szCs w:val="20"/>
              </w:rPr>
              <w:t>Narodne novine,</w:t>
            </w:r>
            <w:r w:rsidRPr="00F766E9">
              <w:rPr>
                <w:rFonts w:ascii="Tahoma" w:hAnsi="Tahoma" w:cs="Tahoma"/>
                <w:b w:val="0"/>
                <w:bCs w:val="0"/>
                <w:sz w:val="20"/>
                <w:szCs w:val="20"/>
              </w:rPr>
              <w:t xml:space="preserve"> broj 33/20</w:t>
            </w:r>
            <w:r w:rsidRPr="00F766E9">
              <w:rPr>
                <w:rStyle w:val="Referencafusnote"/>
                <w:rFonts w:cs="Tahoma"/>
                <w:b w:val="0"/>
                <w:bCs w:val="0"/>
                <w:sz w:val="20"/>
                <w:szCs w:val="20"/>
              </w:rPr>
              <w:footnoteReference w:id="4"/>
            </w:r>
            <w:r w:rsidRPr="00F766E9">
              <w:rPr>
                <w:rFonts w:ascii="Tahoma" w:hAnsi="Tahoma" w:cs="Tahoma"/>
                <w:b w:val="0"/>
                <w:bCs w:val="0"/>
                <w:sz w:val="20"/>
                <w:szCs w:val="20"/>
              </w:rPr>
              <w:t>)</w:t>
            </w:r>
          </w:p>
        </w:tc>
      </w:tr>
      <w:tr w:rsidR="004949CA" w:rsidRPr="00F766E9" w14:paraId="2E99E522"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33AA7D69"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Obveza nadležnih ministarstava i Nacionalnog koordinacijskog tijela (NKT) uspostavljanja i vođenja informacije platforme o energetskoj učinkovitosti - </w:t>
            </w:r>
            <w:r w:rsidRPr="00F766E9">
              <w:rPr>
                <w:rFonts w:ascii="Tahoma" w:hAnsi="Tahoma" w:cs="Tahoma"/>
                <w:sz w:val="20"/>
                <w:szCs w:val="20"/>
              </w:rPr>
              <w:t xml:space="preserve">Nacionalni portal energetske učinkovitosti: </w:t>
            </w:r>
            <w:hyperlink r:id="rId22" w:history="1">
              <w:r w:rsidRPr="00F766E9">
                <w:rPr>
                  <w:rStyle w:val="Hiperveza"/>
                  <w:rFonts w:ascii="Tahoma" w:hAnsi="Tahoma" w:cs="Tahoma"/>
                  <w:color w:val="auto"/>
                  <w:sz w:val="20"/>
                  <w:szCs w:val="20"/>
                </w:rPr>
                <w:t>https://www.enu.hr/</w:t>
              </w:r>
            </w:hyperlink>
          </w:p>
        </w:tc>
      </w:tr>
      <w:tr w:rsidR="004949CA" w:rsidRPr="00F766E9" w14:paraId="2B1D1875"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60F827D6"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Obveza označavanja uređaja povezanih s energijom - relevantne uredbe EU za pojedine grupe uređaja</w:t>
            </w:r>
          </w:p>
        </w:tc>
      </w:tr>
      <w:tr w:rsidR="004949CA" w:rsidRPr="00F766E9" w14:paraId="3062A021"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16400092"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Reguliranje energetske usluge (ugovora o energetskom učinku) u javnom sektoru - Uredba o ugovaranju i provedbi energetske usluge u javnom sektoru (Narodne novine, br. 11/15)</w:t>
            </w:r>
          </w:p>
        </w:tc>
      </w:tr>
      <w:tr w:rsidR="004949CA" w:rsidRPr="00F766E9" w14:paraId="41FEB991"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52A5E994" w14:textId="77777777" w:rsidR="004949CA" w:rsidRPr="00F766E9" w:rsidRDefault="004949CA" w:rsidP="00860D08">
            <w:pPr>
              <w:spacing w:before="60" w:after="60"/>
              <w:jc w:val="both"/>
              <w:rPr>
                <w:rFonts w:ascii="Tahoma" w:hAnsi="Tahoma" w:cs="Tahoma"/>
                <w:b w:val="0"/>
                <w:sz w:val="20"/>
                <w:szCs w:val="20"/>
              </w:rPr>
            </w:pPr>
            <w:r w:rsidRPr="00F766E9">
              <w:rPr>
                <w:rFonts w:ascii="Tahoma" w:hAnsi="Tahoma" w:cs="Tahoma"/>
                <w:bCs w:val="0"/>
                <w:sz w:val="20"/>
                <w:szCs w:val="20"/>
              </w:rPr>
              <w:t>Reguliranje ugovaranja energetske usluge i radova energetske obnove višestambenih zgrada</w:t>
            </w:r>
            <w:r w:rsidRPr="00F766E9">
              <w:rPr>
                <w:rFonts w:ascii="Tahoma" w:hAnsi="Tahoma" w:cs="Tahoma"/>
                <w:b w:val="0"/>
                <w:sz w:val="20"/>
                <w:szCs w:val="20"/>
              </w:rPr>
              <w:t xml:space="preserve"> te utvrđivanje donošenja odluke o energetskoj obnovi na temelju natpolovične većine glasova suvlasnika koja se računa po suvlasničkim dijelovima </w:t>
            </w:r>
          </w:p>
        </w:tc>
      </w:tr>
      <w:tr w:rsidR="004949CA" w:rsidRPr="00F766E9" w14:paraId="007310A9"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6421D19B" w14:textId="5A940AF5" w:rsidR="004949CA" w:rsidRPr="00F766E9" w:rsidRDefault="23482790" w:rsidP="00860D08">
            <w:pPr>
              <w:spacing w:before="60" w:after="60"/>
              <w:jc w:val="both"/>
              <w:rPr>
                <w:rFonts w:ascii="Tahoma" w:hAnsi="Tahoma" w:cs="Tahoma"/>
                <w:b w:val="0"/>
                <w:bCs w:val="0"/>
                <w:sz w:val="20"/>
                <w:szCs w:val="20"/>
              </w:rPr>
            </w:pPr>
            <w:r w:rsidRPr="797530A1">
              <w:rPr>
                <w:rFonts w:ascii="Tahoma" w:hAnsi="Tahoma" w:cs="Tahoma"/>
                <w:b w:val="0"/>
                <w:bCs w:val="0"/>
                <w:sz w:val="20"/>
                <w:szCs w:val="20"/>
              </w:rPr>
              <w:t>Obveza korištenja kriterija energetske učinkovitosti u postupcima javne nabave proizvoda povezanih s energijom  - Pravilnik o zahtjevima energetske učinkovitosti proizvoda povezanih s energijom u postupcima javne nabave (Narodne novine, broj 70/15)</w:t>
            </w:r>
          </w:p>
        </w:tc>
      </w:tr>
      <w:tr w:rsidR="004949CA" w:rsidRPr="00F766E9" w14:paraId="5C432114" w14:textId="77777777" w:rsidTr="797530A1">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999999"/>
            </w:tcBorders>
          </w:tcPr>
          <w:p w14:paraId="5952E5B4" w14:textId="77777777" w:rsidR="004949CA" w:rsidRPr="00F766E9" w:rsidRDefault="004949CA" w:rsidP="00860D08">
            <w:pPr>
              <w:spacing w:before="60" w:after="60"/>
              <w:jc w:val="both"/>
              <w:rPr>
                <w:rFonts w:ascii="Tahoma" w:hAnsi="Tahoma" w:cs="Tahoma"/>
                <w:b w:val="0"/>
                <w:bCs w:val="0"/>
                <w:sz w:val="20"/>
                <w:szCs w:val="20"/>
              </w:rPr>
            </w:pPr>
            <w:r w:rsidRPr="00F766E9">
              <w:rPr>
                <w:rFonts w:ascii="Tahoma" w:hAnsi="Tahoma" w:cs="Tahoma"/>
                <w:b w:val="0"/>
                <w:sz w:val="20"/>
                <w:szCs w:val="20"/>
              </w:rPr>
              <w:t>Obveza ispunjavanja zahtjeva za eko-dizajn proizvoda povezanih s energijom prilikom stavljanja na tržište - Pravilnik o utvrđivanju zahtjeva za eko-dizajn proizvoda povezanih s energijom (Narodne novine, broj 50/15)</w:t>
            </w:r>
          </w:p>
        </w:tc>
      </w:tr>
      <w:tr w:rsidR="004949CA" w:rsidRPr="00F766E9" w14:paraId="69347A50" w14:textId="77777777" w:rsidTr="797530A1">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999999"/>
            </w:tcBorders>
          </w:tcPr>
          <w:p w14:paraId="1658D6C8" w14:textId="77777777" w:rsidR="004949CA" w:rsidRPr="00F766E9" w:rsidRDefault="004949CA" w:rsidP="00860D08">
            <w:pPr>
              <w:spacing w:before="60" w:after="60"/>
              <w:jc w:val="both"/>
              <w:rPr>
                <w:rFonts w:ascii="Tahoma" w:hAnsi="Tahoma" w:cs="Tahoma"/>
                <w:sz w:val="20"/>
                <w:szCs w:val="20"/>
              </w:rPr>
            </w:pPr>
            <w:r w:rsidRPr="00F766E9">
              <w:rPr>
                <w:rFonts w:ascii="Tahoma" w:hAnsi="Tahoma" w:cs="Tahoma"/>
                <w:b w:val="0"/>
                <w:bCs w:val="0"/>
                <w:sz w:val="20"/>
                <w:szCs w:val="20"/>
              </w:rPr>
              <w:t>Pravilnici o uvjetima i mjerilima za utvrđivanje sustava kvalitete usluga i radova za certificiranje instalatera obnovljivih izvora energije - fotonaponskih sustava (</w:t>
            </w:r>
            <w:r w:rsidRPr="00F766E9">
              <w:rPr>
                <w:rFonts w:ascii="Tahoma" w:hAnsi="Tahoma" w:cs="Tahoma"/>
                <w:b w:val="0"/>
                <w:sz w:val="20"/>
                <w:szCs w:val="20"/>
              </w:rPr>
              <w:t>Narodne novine,</w:t>
            </w:r>
            <w:r w:rsidRPr="00F766E9">
              <w:rPr>
                <w:rFonts w:ascii="Tahoma" w:hAnsi="Tahoma" w:cs="Tahoma"/>
                <w:b w:val="0"/>
                <w:bCs w:val="0"/>
                <w:sz w:val="20"/>
                <w:szCs w:val="20"/>
              </w:rPr>
              <w:t xml:space="preserve"> broj 56/15); solarnih toplinskih sustava (</w:t>
            </w:r>
            <w:r w:rsidRPr="00F766E9">
              <w:rPr>
                <w:rFonts w:ascii="Tahoma" w:hAnsi="Tahoma" w:cs="Tahoma"/>
                <w:b w:val="0"/>
                <w:sz w:val="20"/>
                <w:szCs w:val="20"/>
              </w:rPr>
              <w:t xml:space="preserve">Narodne novine, </w:t>
            </w:r>
            <w:r w:rsidRPr="00F766E9">
              <w:rPr>
                <w:rFonts w:ascii="Tahoma" w:hAnsi="Tahoma" w:cs="Tahoma"/>
                <w:b w:val="0"/>
                <w:bCs w:val="0"/>
                <w:sz w:val="20"/>
                <w:szCs w:val="20"/>
              </w:rPr>
              <w:t>br. 33/15, 56/15 i 12/17); manjih kotlova i peći na biomasu (</w:t>
            </w:r>
            <w:r w:rsidRPr="00F766E9">
              <w:rPr>
                <w:rFonts w:ascii="Tahoma" w:hAnsi="Tahoma" w:cs="Tahoma"/>
                <w:b w:val="0"/>
                <w:sz w:val="20"/>
                <w:szCs w:val="20"/>
              </w:rPr>
              <w:t>Narodne novine,</w:t>
            </w:r>
            <w:r w:rsidRPr="00F766E9">
              <w:rPr>
                <w:rFonts w:ascii="Tahoma" w:hAnsi="Tahoma" w:cs="Tahoma"/>
                <w:b w:val="0"/>
                <w:bCs w:val="0"/>
                <w:sz w:val="20"/>
                <w:szCs w:val="20"/>
              </w:rPr>
              <w:t xml:space="preserve"> br. 39/15, 56/15 i 12/17); plitkih geotermalnih sustava i dizalica topline (</w:t>
            </w:r>
            <w:r w:rsidRPr="00F766E9">
              <w:rPr>
                <w:rFonts w:ascii="Tahoma" w:hAnsi="Tahoma" w:cs="Tahoma"/>
                <w:b w:val="0"/>
                <w:sz w:val="20"/>
                <w:szCs w:val="20"/>
              </w:rPr>
              <w:t xml:space="preserve">Narodne novine, </w:t>
            </w:r>
            <w:r w:rsidRPr="00F766E9">
              <w:rPr>
                <w:rFonts w:ascii="Tahoma" w:hAnsi="Tahoma" w:cs="Tahoma"/>
                <w:b w:val="0"/>
                <w:bCs w:val="0"/>
                <w:sz w:val="20"/>
                <w:szCs w:val="20"/>
              </w:rPr>
              <w:t>br. 56/15 i 12/17)</w:t>
            </w:r>
          </w:p>
        </w:tc>
      </w:tr>
      <w:tr w:rsidR="004949CA" w:rsidRPr="00F766E9" w14:paraId="071E53F5" w14:textId="77777777" w:rsidTr="797530A1">
        <w:tc>
          <w:tcPr>
            <w:cnfStyle w:val="001000000000" w:firstRow="0" w:lastRow="0" w:firstColumn="1" w:lastColumn="0" w:oddVBand="0" w:evenVBand="0" w:oddHBand="0" w:evenHBand="0" w:firstRowFirstColumn="0" w:firstRowLastColumn="0" w:lastRowFirstColumn="0" w:lastRowLastColumn="0"/>
            <w:tcW w:w="0" w:type="pct"/>
            <w:tcBorders>
              <w:bottom w:val="single" w:sz="12" w:space="0" w:color="999999"/>
            </w:tcBorders>
            <w:shd w:val="clear" w:color="auto" w:fill="E7E6E6" w:themeFill="background2"/>
          </w:tcPr>
          <w:p w14:paraId="1D455017" w14:textId="77777777" w:rsidR="004949CA" w:rsidRPr="00F766E9" w:rsidRDefault="004949CA" w:rsidP="00860D08">
            <w:pPr>
              <w:spacing w:before="60" w:after="60"/>
              <w:jc w:val="center"/>
              <w:rPr>
                <w:rFonts w:ascii="Tahoma" w:hAnsi="Tahoma" w:cs="Tahoma"/>
                <w:sz w:val="20"/>
                <w:szCs w:val="20"/>
              </w:rPr>
            </w:pPr>
            <w:r w:rsidRPr="00F766E9">
              <w:rPr>
                <w:rFonts w:ascii="Tahoma" w:hAnsi="Tahoma" w:cs="Tahoma"/>
                <w:sz w:val="20"/>
                <w:szCs w:val="20"/>
              </w:rPr>
              <w:t>Zakon o gradnji</w:t>
            </w:r>
          </w:p>
        </w:tc>
      </w:tr>
      <w:tr w:rsidR="004949CA" w:rsidRPr="00F766E9" w14:paraId="1D5926EE" w14:textId="77777777" w:rsidTr="797530A1">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999999"/>
            </w:tcBorders>
          </w:tcPr>
          <w:p w14:paraId="31878A10" w14:textId="77777777" w:rsidR="004949CA" w:rsidRPr="00F766E9" w:rsidRDefault="004949CA" w:rsidP="00860D08">
            <w:pPr>
              <w:spacing w:before="60" w:after="60"/>
              <w:jc w:val="both"/>
              <w:rPr>
                <w:rFonts w:ascii="Tahoma" w:hAnsi="Tahoma" w:cs="Tahoma"/>
                <w:b w:val="0"/>
                <w:bCs w:val="0"/>
                <w:sz w:val="20"/>
                <w:szCs w:val="20"/>
              </w:rPr>
            </w:pPr>
            <w:r w:rsidRPr="00F766E9">
              <w:rPr>
                <w:rFonts w:ascii="Tahoma" w:hAnsi="Tahoma" w:cs="Tahoma"/>
                <w:b w:val="0"/>
                <w:sz w:val="20"/>
                <w:szCs w:val="20"/>
              </w:rPr>
              <w:t>Gospodarenje energijom i očuvanje topline kao jedan od temeljnih zahtjeva za građevine - Tehnički propis o racionalnoj uporabi energije i toplinskoj zaštiti u zgradama (Narodne novine, br. 128/15, 70/18, 73/18, 86/18 i 102/20)</w:t>
            </w:r>
          </w:p>
          <w:p w14:paraId="37C85A29" w14:textId="77777777" w:rsidR="004949CA" w:rsidRPr="00F766E9" w:rsidRDefault="004949CA" w:rsidP="00860D08">
            <w:pPr>
              <w:spacing w:before="60" w:after="60"/>
              <w:jc w:val="both"/>
              <w:rPr>
                <w:rFonts w:ascii="Tahoma" w:hAnsi="Tahoma" w:cs="Tahoma"/>
                <w:sz w:val="20"/>
                <w:szCs w:val="20"/>
              </w:rPr>
            </w:pPr>
            <w:r w:rsidRPr="00F766E9">
              <w:rPr>
                <w:rFonts w:ascii="Tahoma" w:hAnsi="Tahoma" w:cs="Tahoma"/>
                <w:b w:val="0"/>
                <w:bCs w:val="0"/>
                <w:sz w:val="20"/>
                <w:szCs w:val="20"/>
              </w:rPr>
              <w:t>Minimalna energetska svojstva zgrada, način određivanja energetskog svojstva zgrade, prikaz tehničke, okolišne i gospodarske izvedivosti dostupnih visokoučinkovitih alternativnih sustava opskrbe energijom, opremanje zgrada sustavima automatizacije, te zahtjevi za zgrade gotovo nulte energije</w:t>
            </w:r>
          </w:p>
          <w:p w14:paraId="1C37A246" w14:textId="7C75499E" w:rsidR="004949CA" w:rsidRPr="00F766E9" w:rsidRDefault="004949CA" w:rsidP="00860D08">
            <w:pPr>
              <w:spacing w:before="60" w:after="60"/>
              <w:jc w:val="both"/>
              <w:rPr>
                <w:rFonts w:ascii="Tahoma" w:hAnsi="Tahoma" w:cs="Tahoma"/>
                <w:b w:val="0"/>
                <w:bCs w:val="0"/>
                <w:sz w:val="20"/>
                <w:szCs w:val="20"/>
              </w:rPr>
            </w:pPr>
          </w:p>
        </w:tc>
      </w:tr>
      <w:tr w:rsidR="004949CA" w:rsidRPr="00F766E9" w14:paraId="63C21823"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00374797" w14:textId="400ADAD4"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Obveza Vlade da </w:t>
            </w:r>
            <w:r w:rsidR="00223AAD">
              <w:rPr>
                <w:rFonts w:ascii="Tahoma" w:hAnsi="Tahoma" w:cs="Tahoma"/>
                <w:b w:val="0"/>
                <w:sz w:val="20"/>
                <w:szCs w:val="20"/>
              </w:rPr>
              <w:t xml:space="preserve">na prijedlog ministarstva nadležnog za poslove graditeljstva </w:t>
            </w:r>
            <w:r w:rsidRPr="00F766E9">
              <w:rPr>
                <w:rFonts w:ascii="Tahoma" w:hAnsi="Tahoma" w:cs="Tahoma"/>
                <w:b w:val="0"/>
                <w:sz w:val="20"/>
                <w:szCs w:val="20"/>
              </w:rPr>
              <w:t xml:space="preserve">donese </w:t>
            </w:r>
            <w:r w:rsidRPr="00F766E9">
              <w:rPr>
                <w:rFonts w:ascii="Tahoma" w:hAnsi="Tahoma" w:cs="Tahoma"/>
                <w:bCs w:val="0"/>
                <w:sz w:val="20"/>
                <w:szCs w:val="20"/>
              </w:rPr>
              <w:t>Dugoročnu strategiju obnove nacionalnog fonda zgrada Republike Hrvatske</w:t>
            </w:r>
            <w:r w:rsidRPr="00F766E9">
              <w:rPr>
                <w:rFonts w:ascii="Tahoma" w:hAnsi="Tahoma" w:cs="Tahoma"/>
                <w:b w:val="0"/>
                <w:sz w:val="20"/>
                <w:szCs w:val="20"/>
              </w:rPr>
              <w:t xml:space="preserve"> te je ažurira svakih pet godina</w:t>
            </w:r>
          </w:p>
        </w:tc>
      </w:tr>
      <w:tr w:rsidR="004949CA" w:rsidRPr="00F766E9" w14:paraId="2964407F"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2824DDF8" w14:textId="09C464F4" w:rsidR="004949CA" w:rsidRPr="00F766E9" w:rsidRDefault="004949CA" w:rsidP="00860D08">
            <w:pPr>
              <w:spacing w:before="60" w:after="60"/>
              <w:jc w:val="both"/>
              <w:rPr>
                <w:rFonts w:ascii="Tahoma" w:hAnsi="Tahoma" w:cs="Tahoma"/>
                <w:b w:val="0"/>
                <w:sz w:val="20"/>
                <w:szCs w:val="20"/>
              </w:rPr>
            </w:pPr>
            <w:r w:rsidRPr="00F766E9">
              <w:rPr>
                <w:rFonts w:ascii="Tahoma" w:hAnsi="Tahoma" w:cs="Tahoma"/>
                <w:b w:val="0"/>
                <w:sz w:val="20"/>
                <w:szCs w:val="20"/>
              </w:rPr>
              <w:t xml:space="preserve">Obveza Vlade da </w:t>
            </w:r>
            <w:r w:rsidR="00223AAD">
              <w:rPr>
                <w:rFonts w:ascii="Tahoma" w:hAnsi="Tahoma" w:cs="Tahoma"/>
                <w:b w:val="0"/>
                <w:sz w:val="20"/>
                <w:szCs w:val="20"/>
              </w:rPr>
              <w:t xml:space="preserve">na prijedlog ministarstva nadležnog za poslove graditeljstva </w:t>
            </w:r>
            <w:r w:rsidRPr="00F766E9">
              <w:rPr>
                <w:rFonts w:ascii="Tahoma" w:hAnsi="Tahoma" w:cs="Tahoma"/>
                <w:b w:val="0"/>
                <w:sz w:val="20"/>
                <w:szCs w:val="20"/>
              </w:rPr>
              <w:t xml:space="preserve">donese </w:t>
            </w:r>
            <w:r w:rsidRPr="00F766E9">
              <w:rPr>
                <w:rFonts w:ascii="Tahoma" w:hAnsi="Tahoma" w:cs="Tahoma"/>
                <w:bCs w:val="0"/>
                <w:sz w:val="20"/>
                <w:szCs w:val="20"/>
              </w:rPr>
              <w:t>programe energetske obnove zgrada za razdoblje od 2021. do 2030. godine</w:t>
            </w:r>
          </w:p>
        </w:tc>
      </w:tr>
      <w:tr w:rsidR="004949CA" w:rsidRPr="00F766E9" w14:paraId="7209BDAC"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060B13F8" w14:textId="0F665BF9" w:rsidR="004949CA" w:rsidRPr="00F766E9" w:rsidRDefault="004949CA" w:rsidP="00860D08">
            <w:pPr>
              <w:spacing w:before="60" w:after="60"/>
              <w:jc w:val="both"/>
              <w:rPr>
                <w:rFonts w:ascii="Tahoma" w:hAnsi="Tahoma" w:cs="Tahoma"/>
                <w:sz w:val="20"/>
                <w:szCs w:val="20"/>
              </w:rPr>
            </w:pPr>
            <w:r w:rsidRPr="00F766E9">
              <w:rPr>
                <w:rFonts w:ascii="Tahoma" w:hAnsi="Tahoma" w:cs="Tahoma"/>
                <w:b w:val="0"/>
                <w:sz w:val="20"/>
                <w:szCs w:val="20"/>
              </w:rPr>
              <w:t xml:space="preserve">Obveza Vlade da </w:t>
            </w:r>
            <w:r w:rsidR="00223AAD">
              <w:rPr>
                <w:rFonts w:ascii="Tahoma" w:hAnsi="Tahoma" w:cs="Tahoma"/>
                <w:b w:val="0"/>
                <w:sz w:val="20"/>
                <w:szCs w:val="20"/>
              </w:rPr>
              <w:t xml:space="preserve">na prijedlog ministarstva nadležnog za poslove graditeljstva </w:t>
            </w:r>
            <w:r w:rsidRPr="00F766E9">
              <w:rPr>
                <w:rFonts w:ascii="Tahoma" w:hAnsi="Tahoma" w:cs="Tahoma"/>
                <w:b w:val="0"/>
                <w:sz w:val="20"/>
                <w:szCs w:val="20"/>
              </w:rPr>
              <w:t>donese Program razvoja zelene infrastrukture za razdoblje od 2021. do 2030. godine</w:t>
            </w:r>
          </w:p>
        </w:tc>
      </w:tr>
      <w:tr w:rsidR="004949CA" w:rsidRPr="00F766E9" w14:paraId="773F9FB6"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7ABE729B" w14:textId="76EFA5C5" w:rsidR="004949CA" w:rsidRPr="00F766E9" w:rsidRDefault="004949CA" w:rsidP="00860D08">
            <w:pPr>
              <w:spacing w:before="60" w:after="60"/>
              <w:jc w:val="both"/>
              <w:rPr>
                <w:rFonts w:ascii="Tahoma" w:hAnsi="Tahoma" w:cs="Tahoma"/>
                <w:sz w:val="20"/>
                <w:szCs w:val="20"/>
              </w:rPr>
            </w:pPr>
            <w:r w:rsidRPr="00F766E9">
              <w:rPr>
                <w:rFonts w:ascii="Tahoma" w:hAnsi="Tahoma" w:cs="Tahoma"/>
                <w:b w:val="0"/>
                <w:sz w:val="20"/>
                <w:szCs w:val="20"/>
              </w:rPr>
              <w:t xml:space="preserve">Obveza Vlade da </w:t>
            </w:r>
            <w:r w:rsidR="00223AAD">
              <w:rPr>
                <w:rFonts w:ascii="Tahoma" w:hAnsi="Tahoma" w:cs="Tahoma"/>
                <w:b w:val="0"/>
                <w:sz w:val="20"/>
                <w:szCs w:val="20"/>
              </w:rPr>
              <w:t xml:space="preserve">na prijedlog ministarstva nadležnog za poslove graditeljstva </w:t>
            </w:r>
            <w:r w:rsidRPr="00F766E9">
              <w:rPr>
                <w:rFonts w:ascii="Tahoma" w:hAnsi="Tahoma" w:cs="Tahoma"/>
                <w:b w:val="0"/>
                <w:sz w:val="20"/>
                <w:szCs w:val="20"/>
              </w:rPr>
              <w:t>donese Program kružnog gospodarenja prostorom i zgradama za razdoblje od 2021. do 2030. godine</w:t>
            </w:r>
          </w:p>
        </w:tc>
      </w:tr>
      <w:tr w:rsidR="004949CA" w:rsidRPr="00F766E9" w14:paraId="2E66D5AD"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5EDF0F9D" w14:textId="77777777" w:rsidR="004949CA" w:rsidRPr="00F766E9" w:rsidRDefault="004949CA" w:rsidP="00860D08">
            <w:pPr>
              <w:tabs>
                <w:tab w:val="left" w:pos="2895"/>
              </w:tabs>
              <w:spacing w:before="60" w:after="60"/>
              <w:jc w:val="both"/>
              <w:rPr>
                <w:rFonts w:ascii="Tahoma" w:hAnsi="Tahoma" w:cs="Tahoma"/>
                <w:sz w:val="20"/>
                <w:szCs w:val="20"/>
              </w:rPr>
            </w:pPr>
            <w:r w:rsidRPr="00F766E9">
              <w:rPr>
                <w:rFonts w:ascii="Tahoma" w:hAnsi="Tahoma" w:cs="Tahoma"/>
                <w:b w:val="0"/>
                <w:bCs w:val="0"/>
                <w:sz w:val="20"/>
                <w:szCs w:val="20"/>
              </w:rPr>
              <w:lastRenderedPageBreak/>
              <w:t xml:space="preserve">Promicanje </w:t>
            </w:r>
            <w:proofErr w:type="spellStart"/>
            <w:r w:rsidRPr="00F766E9">
              <w:rPr>
                <w:rFonts w:ascii="Tahoma" w:hAnsi="Tahoma" w:cs="Tahoma"/>
                <w:b w:val="0"/>
                <w:bCs w:val="0"/>
                <w:sz w:val="20"/>
                <w:szCs w:val="20"/>
              </w:rPr>
              <w:t>elektromobilnosti</w:t>
            </w:r>
            <w:proofErr w:type="spellEnd"/>
            <w:r w:rsidRPr="00F766E9">
              <w:rPr>
                <w:rFonts w:ascii="Tahoma" w:hAnsi="Tahoma" w:cs="Tahoma"/>
                <w:b w:val="0"/>
                <w:bCs w:val="0"/>
                <w:sz w:val="20"/>
                <w:szCs w:val="20"/>
              </w:rPr>
              <w:t xml:space="preserve"> i uspostava infrastrukture za punjenje u novim zgradama i zgradama koje se podvrgavaju značajnoj obnovi, za stambene i nestambene zgrade</w:t>
            </w:r>
          </w:p>
        </w:tc>
      </w:tr>
      <w:tr w:rsidR="004949CA" w:rsidRPr="00F766E9" w14:paraId="01FCE123" w14:textId="77777777" w:rsidTr="797530A1">
        <w:tc>
          <w:tcPr>
            <w:cnfStyle w:val="001000000000" w:firstRow="0" w:lastRow="0" w:firstColumn="1" w:lastColumn="0" w:oddVBand="0" w:evenVBand="0" w:oddHBand="0" w:evenHBand="0" w:firstRowFirstColumn="0" w:firstRowLastColumn="0" w:lastRowFirstColumn="0" w:lastRowLastColumn="0"/>
            <w:tcW w:w="0" w:type="pct"/>
          </w:tcPr>
          <w:p w14:paraId="3A2006F2" w14:textId="77777777" w:rsidR="004949CA" w:rsidRPr="00F766E9" w:rsidRDefault="004949CA" w:rsidP="00860D08">
            <w:pPr>
              <w:spacing w:before="60" w:after="60"/>
              <w:jc w:val="both"/>
              <w:rPr>
                <w:rFonts w:ascii="Tahoma" w:hAnsi="Tahoma" w:cs="Tahoma"/>
                <w:b w:val="0"/>
                <w:bCs w:val="0"/>
                <w:sz w:val="20"/>
                <w:szCs w:val="20"/>
              </w:rPr>
            </w:pPr>
            <w:r w:rsidRPr="00F766E9">
              <w:rPr>
                <w:rFonts w:ascii="Tahoma" w:hAnsi="Tahoma" w:cs="Tahoma"/>
                <w:b w:val="0"/>
                <w:sz w:val="20"/>
                <w:szCs w:val="20"/>
              </w:rPr>
              <w:t>Obveza redovnih pregleda sustava grijanja i sustava hlađenja ili klimatizacije u zgradama te energetskog certificiranja zgrada</w:t>
            </w:r>
          </w:p>
          <w:p w14:paraId="79B7351F" w14:textId="77777777" w:rsidR="004949CA" w:rsidRPr="00F766E9" w:rsidRDefault="004949CA" w:rsidP="00860D08">
            <w:pPr>
              <w:spacing w:before="60" w:after="60"/>
              <w:jc w:val="both"/>
              <w:rPr>
                <w:rFonts w:ascii="Tahoma" w:hAnsi="Tahoma" w:cs="Tahoma"/>
                <w:b w:val="0"/>
                <w:bCs w:val="0"/>
                <w:sz w:val="20"/>
                <w:szCs w:val="20"/>
              </w:rPr>
            </w:pPr>
            <w:r w:rsidRPr="00F766E9">
              <w:rPr>
                <w:rFonts w:ascii="Tahoma" w:hAnsi="Tahoma" w:cs="Tahoma"/>
                <w:b w:val="0"/>
                <w:sz w:val="20"/>
                <w:szCs w:val="20"/>
              </w:rPr>
              <w:t>Pravilnik o energetskom pregledu zgrade i energetskom certificiranju (Narodne novine, br. 88/17, 90/20, 1/21 i</w:t>
            </w:r>
            <w:r w:rsidRPr="00F766E9">
              <w:rPr>
                <w:rFonts w:ascii="Tahoma" w:hAnsi="Tahoma" w:cs="Tahoma"/>
                <w:b w:val="0"/>
                <w:bCs w:val="0"/>
                <w:sz w:val="20"/>
                <w:szCs w:val="20"/>
              </w:rPr>
              <w:t xml:space="preserve"> 45/21</w:t>
            </w:r>
            <w:r w:rsidRPr="00F766E9">
              <w:rPr>
                <w:rFonts w:ascii="Tahoma" w:hAnsi="Tahoma" w:cs="Tahoma"/>
                <w:b w:val="0"/>
                <w:sz w:val="20"/>
                <w:szCs w:val="20"/>
              </w:rPr>
              <w:t>)</w:t>
            </w:r>
          </w:p>
          <w:p w14:paraId="047DE3D8" w14:textId="77777777" w:rsidR="004949CA" w:rsidRPr="00F766E9" w:rsidRDefault="004949CA" w:rsidP="00860D08">
            <w:pPr>
              <w:spacing w:before="60" w:after="60"/>
              <w:jc w:val="both"/>
              <w:rPr>
                <w:rFonts w:ascii="Tahoma" w:hAnsi="Tahoma" w:cs="Tahoma"/>
                <w:b w:val="0"/>
                <w:bCs w:val="0"/>
                <w:sz w:val="20"/>
                <w:szCs w:val="20"/>
              </w:rPr>
            </w:pPr>
            <w:r w:rsidRPr="00F766E9">
              <w:rPr>
                <w:rFonts w:ascii="Tahoma" w:hAnsi="Tahoma" w:cs="Tahoma"/>
                <w:b w:val="0"/>
                <w:sz w:val="20"/>
                <w:szCs w:val="20"/>
              </w:rPr>
              <w:t>Pravilnik o kontroli energetskog certifikata zgrade i izvješća o redovitom pregledu sustava grijanja i sustava hlađenja ili klimatizacije u zgradi (Narodne novine, br. 73/15 i 54/20)</w:t>
            </w:r>
          </w:p>
          <w:p w14:paraId="6C9A996D" w14:textId="77777777" w:rsidR="004949CA" w:rsidRPr="00F766E9" w:rsidRDefault="004949CA" w:rsidP="00860D08">
            <w:pPr>
              <w:spacing w:before="60" w:after="60"/>
              <w:jc w:val="both"/>
              <w:rPr>
                <w:rFonts w:ascii="Tahoma" w:hAnsi="Tahoma" w:cs="Tahoma"/>
                <w:b w:val="0"/>
                <w:bCs w:val="0"/>
                <w:sz w:val="20"/>
                <w:szCs w:val="20"/>
              </w:rPr>
            </w:pPr>
            <w:r w:rsidRPr="00F766E9">
              <w:rPr>
                <w:rFonts w:ascii="Tahoma" w:hAnsi="Tahoma" w:cs="Tahoma"/>
                <w:b w:val="0"/>
                <w:sz w:val="20"/>
                <w:szCs w:val="20"/>
              </w:rPr>
              <w:t>Pravilnik o osobama ovlaštenim za energetsko certificiranje, energetski pregled zgrade i redoviti pregled sustava grijanja i sustava hlađenja ili klimatizacije u zgradi (Narodne novine, br. 73/15, 133/15, 60/20 i 78/21)</w:t>
            </w:r>
          </w:p>
        </w:tc>
      </w:tr>
    </w:tbl>
    <w:p w14:paraId="5D55BCFA" w14:textId="2FE49CE3" w:rsidR="004949CA" w:rsidRPr="00860D08" w:rsidRDefault="0063313B" w:rsidP="00860D08">
      <w:pPr>
        <w:jc w:val="both"/>
        <w:rPr>
          <w:rFonts w:ascii="Tahoma" w:hAnsi="Tahoma" w:cs="Tahoma"/>
          <w:sz w:val="20"/>
          <w:szCs w:val="20"/>
        </w:rPr>
      </w:pPr>
      <w:r>
        <w:rPr>
          <w:rFonts w:ascii="Tahoma" w:hAnsi="Tahoma" w:cs="Tahoma"/>
          <w:sz w:val="20"/>
          <w:szCs w:val="20"/>
        </w:rPr>
        <w:t>Hrvatski z</w:t>
      </w:r>
      <w:r w:rsidR="004949CA" w:rsidRPr="00860D08">
        <w:rPr>
          <w:rFonts w:ascii="Tahoma" w:hAnsi="Tahoma" w:cs="Tahoma"/>
          <w:sz w:val="20"/>
          <w:szCs w:val="20"/>
        </w:rPr>
        <w:t>akonodavni okvir prepoznaje važnost energetske i sveobuhvatne obnove zgrada te je usklađen s relevantnim EU direktivama. Također je važno istaknuti da je donošenje programa energetske obnove zgrada zakonska obveza (članak 47.b Zakona o gradnji) te je sadržaj tih programa jasno definiran kako slijedi:</w:t>
      </w:r>
    </w:p>
    <w:p w14:paraId="3D3FA4AE" w14:textId="77777777" w:rsidR="004949CA" w:rsidRPr="00860D08" w:rsidRDefault="137C0FFA" w:rsidP="2617B706">
      <w:pPr>
        <w:pStyle w:val="Odlomakpopisa"/>
        <w:numPr>
          <w:ilvl w:val="0"/>
          <w:numId w:val="21"/>
        </w:numPr>
        <w:rPr>
          <w:rFonts w:cs="Tahoma"/>
        </w:rPr>
      </w:pPr>
      <w:r w:rsidRPr="2617B706">
        <w:rPr>
          <w:rFonts w:cs="Tahoma"/>
        </w:rPr>
        <w:t xml:space="preserve">Programi energetske obnove zgrada, među ostalim, </w:t>
      </w:r>
      <w:r w:rsidRPr="2617B706">
        <w:rPr>
          <w:rFonts w:cs="Tahoma"/>
          <w:b/>
          <w:bCs/>
        </w:rPr>
        <w:t>potiču primjenu visokoučinkovitih alternativnih sustava</w:t>
      </w:r>
      <w:r w:rsidRPr="2617B706">
        <w:rPr>
          <w:rFonts w:cs="Tahoma"/>
        </w:rPr>
        <w:t>, u mjeri u kojoj je to tehnički, funkcionalno i gospodarski izvedivo, kada se zgrade podvrgavaju značajnoj obnovi.</w:t>
      </w:r>
    </w:p>
    <w:p w14:paraId="4D9D7A3B" w14:textId="77777777" w:rsidR="004949CA" w:rsidRPr="00860D08" w:rsidRDefault="137C0FFA" w:rsidP="2617B706">
      <w:pPr>
        <w:pStyle w:val="Odlomakpopisa"/>
        <w:numPr>
          <w:ilvl w:val="0"/>
          <w:numId w:val="21"/>
        </w:numPr>
        <w:rPr>
          <w:rFonts w:cs="Tahoma"/>
        </w:rPr>
      </w:pPr>
      <w:r w:rsidRPr="2617B706">
        <w:rPr>
          <w:rFonts w:cs="Tahoma"/>
        </w:rPr>
        <w:t xml:space="preserve">U programima se razrađuju  </w:t>
      </w:r>
      <w:r w:rsidRPr="2617B706">
        <w:rPr>
          <w:rFonts w:cs="Tahoma"/>
          <w:b/>
          <w:bCs/>
        </w:rPr>
        <w:t>financijske mjere</w:t>
      </w:r>
      <w:r w:rsidRPr="2617B706">
        <w:rPr>
          <w:rFonts w:cs="Tahoma"/>
        </w:rPr>
        <w:t xml:space="preserve"> za poboljšanje energetske učinkovitosti u obnovi zgrada s ciljanim ili ostvarenim uštedama energije, određenima prema jednom od sljedećih kriterija ili više njih:</w:t>
      </w:r>
    </w:p>
    <w:p w14:paraId="2D670D2A" w14:textId="77777777" w:rsidR="004949CA" w:rsidRPr="00860D08" w:rsidRDefault="137C0FFA" w:rsidP="2617B706">
      <w:pPr>
        <w:pStyle w:val="Odlomakpopisa"/>
        <w:numPr>
          <w:ilvl w:val="1"/>
          <w:numId w:val="21"/>
        </w:numPr>
        <w:rPr>
          <w:rFonts w:cs="Tahoma"/>
        </w:rPr>
      </w:pPr>
      <w:r w:rsidRPr="2617B706">
        <w:rPr>
          <w:rFonts w:cs="Tahoma"/>
        </w:rPr>
        <w:t>energetskim svojstvima opreme ili materijala koji se upotrebljava u obnovi; u tom slučaju opremu ili materijal koji se upotrebljava u obnovi postavlja instalater s odgovarajućom razinom certifikacije ili kvalifikacije,</w:t>
      </w:r>
    </w:p>
    <w:p w14:paraId="6570D507" w14:textId="77777777" w:rsidR="004949CA" w:rsidRPr="00860D08" w:rsidRDefault="137C0FFA" w:rsidP="2617B706">
      <w:pPr>
        <w:pStyle w:val="Odlomakpopisa"/>
        <w:numPr>
          <w:ilvl w:val="1"/>
          <w:numId w:val="21"/>
        </w:numPr>
        <w:rPr>
          <w:rFonts w:cs="Tahoma"/>
        </w:rPr>
      </w:pPr>
      <w:r w:rsidRPr="2617B706">
        <w:rPr>
          <w:rFonts w:cs="Tahoma"/>
        </w:rPr>
        <w:t>standardnim vrijednostima za izračun ušteda energije u zgradama,</w:t>
      </w:r>
    </w:p>
    <w:p w14:paraId="34A96667" w14:textId="77777777" w:rsidR="004949CA" w:rsidRPr="00860D08" w:rsidRDefault="137C0FFA" w:rsidP="2617B706">
      <w:pPr>
        <w:pStyle w:val="Odlomakpopisa"/>
        <w:numPr>
          <w:ilvl w:val="1"/>
          <w:numId w:val="21"/>
        </w:numPr>
        <w:rPr>
          <w:rFonts w:cs="Tahoma"/>
        </w:rPr>
      </w:pPr>
      <w:r w:rsidRPr="2617B706">
        <w:rPr>
          <w:rFonts w:cs="Tahoma"/>
        </w:rPr>
        <w:t>ostvarenim poboljšanjem zbog takve obnove usporedbom rezultata energetskih pregleda i energetskih certifikata izdanih prije i nakon obnove,</w:t>
      </w:r>
    </w:p>
    <w:p w14:paraId="61CA56BB" w14:textId="77777777" w:rsidR="004949CA" w:rsidRPr="00860D08" w:rsidRDefault="137C0FFA" w:rsidP="2617B706">
      <w:pPr>
        <w:pStyle w:val="Odlomakpopisa"/>
        <w:numPr>
          <w:ilvl w:val="1"/>
          <w:numId w:val="21"/>
        </w:numPr>
        <w:rPr>
          <w:rFonts w:cs="Tahoma"/>
        </w:rPr>
      </w:pPr>
      <w:r w:rsidRPr="2617B706">
        <w:rPr>
          <w:rFonts w:cs="Tahoma"/>
        </w:rPr>
        <w:t>glavnom projektu,</w:t>
      </w:r>
    </w:p>
    <w:p w14:paraId="2A6E318E" w14:textId="77777777" w:rsidR="004949CA" w:rsidRPr="00860D08" w:rsidRDefault="137C0FFA" w:rsidP="2617B706">
      <w:pPr>
        <w:pStyle w:val="Odlomakpopisa"/>
        <w:numPr>
          <w:ilvl w:val="1"/>
          <w:numId w:val="21"/>
        </w:numPr>
        <w:rPr>
          <w:rFonts w:cs="Tahoma"/>
        </w:rPr>
      </w:pPr>
      <w:r w:rsidRPr="2617B706">
        <w:rPr>
          <w:rFonts w:cs="Tahoma"/>
        </w:rPr>
        <w:t>rezultatima neke druge relevantne, transparentne i razmjerne metode kojom se pokazuje poboljšanje energetskih svojstava.</w:t>
      </w:r>
    </w:p>
    <w:p w14:paraId="606FE475" w14:textId="70638BE0" w:rsidR="004949CA" w:rsidRPr="00860D08" w:rsidRDefault="004949CA" w:rsidP="00AE4861">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jc w:val="both"/>
        <w:rPr>
          <w:rFonts w:ascii="Tahoma" w:hAnsi="Tahoma" w:cs="Tahoma"/>
          <w:sz w:val="20"/>
          <w:szCs w:val="20"/>
        </w:rPr>
      </w:pPr>
      <w:r w:rsidRPr="00860D08">
        <w:rPr>
          <w:rFonts w:ascii="Tahoma" w:hAnsi="Tahoma" w:cs="Tahoma"/>
          <w:b/>
          <w:bCs/>
          <w:sz w:val="20"/>
          <w:szCs w:val="20"/>
        </w:rPr>
        <w:t xml:space="preserve">U </w:t>
      </w:r>
      <w:r w:rsidR="0063313B">
        <w:rPr>
          <w:rFonts w:ascii="Tahoma" w:hAnsi="Tahoma" w:cs="Tahoma"/>
          <w:b/>
          <w:bCs/>
          <w:sz w:val="20"/>
          <w:szCs w:val="20"/>
        </w:rPr>
        <w:t xml:space="preserve">hrvatskom </w:t>
      </w:r>
      <w:r w:rsidRPr="00860D08">
        <w:rPr>
          <w:rFonts w:ascii="Tahoma" w:hAnsi="Tahoma" w:cs="Tahoma"/>
          <w:b/>
          <w:bCs/>
          <w:sz w:val="20"/>
          <w:szCs w:val="20"/>
        </w:rPr>
        <w:t xml:space="preserve">zakonodavnom okviru </w:t>
      </w:r>
      <w:r w:rsidR="0063313B" w:rsidRPr="00860D08">
        <w:rPr>
          <w:rFonts w:ascii="Tahoma" w:hAnsi="Tahoma" w:cs="Tahoma"/>
          <w:b/>
          <w:bCs/>
          <w:sz w:val="20"/>
          <w:szCs w:val="20"/>
        </w:rPr>
        <w:t xml:space="preserve"> </w:t>
      </w:r>
      <w:r w:rsidRPr="00860D08">
        <w:rPr>
          <w:rFonts w:ascii="Tahoma" w:hAnsi="Tahoma" w:cs="Tahoma"/>
          <w:b/>
          <w:bCs/>
          <w:sz w:val="20"/>
          <w:szCs w:val="20"/>
        </w:rPr>
        <w:t>postoji snažno uporište za energetsku obnovu zgrada te se ne nalaze barijere u primarnom zakonodavstvu koje bi sprečavale provedbu programa energetske obnove zgrada.</w:t>
      </w:r>
      <w:r w:rsidRPr="00860D08">
        <w:rPr>
          <w:rFonts w:ascii="Tahoma" w:hAnsi="Tahoma" w:cs="Tahoma"/>
          <w:sz w:val="20"/>
          <w:szCs w:val="20"/>
        </w:rPr>
        <w:t xml:space="preserve">  </w:t>
      </w:r>
    </w:p>
    <w:p w14:paraId="3F9C4E78" w14:textId="77777777" w:rsidR="004949CA" w:rsidRPr="0091152F" w:rsidRDefault="004949CA" w:rsidP="004949CA">
      <w:pPr>
        <w:pStyle w:val="Naslov20"/>
      </w:pPr>
      <w:bookmarkStart w:id="41" w:name="_Toc72081597"/>
      <w:bookmarkStart w:id="42" w:name="_Toc81836276"/>
      <w:bookmarkStart w:id="43" w:name="_Toc83912048"/>
      <w:r w:rsidRPr="0091152F">
        <w:t>Usklađenost Programa s Nacionalnom razvojnom strategijom, sektorskim i višesektorskim strategijama te dokumentima prostornoga uređenja</w:t>
      </w:r>
      <w:bookmarkEnd w:id="41"/>
      <w:bookmarkEnd w:id="42"/>
      <w:bookmarkEnd w:id="43"/>
    </w:p>
    <w:p w14:paraId="6A7B35FF" w14:textId="3A9632D4" w:rsidR="004949CA" w:rsidRPr="00086B1D" w:rsidRDefault="23482790" w:rsidP="00086B1D">
      <w:pPr>
        <w:jc w:val="both"/>
        <w:rPr>
          <w:rFonts w:ascii="Tahoma" w:hAnsi="Tahoma" w:cs="Tahoma"/>
          <w:sz w:val="20"/>
          <w:szCs w:val="20"/>
          <w:lang w:eastAsia="hr-HR"/>
        </w:rPr>
      </w:pPr>
      <w:r w:rsidRPr="797530A1">
        <w:rPr>
          <w:rFonts w:ascii="Tahoma" w:hAnsi="Tahoma" w:cs="Tahoma"/>
          <w:sz w:val="20"/>
          <w:szCs w:val="20"/>
          <w:lang w:eastAsia="hr-HR"/>
        </w:rPr>
        <w:t>Programi energetske obnove zgrada moraju biti usklađeni s odredbama Zakona o sustavu strateškog planiranja  i upravljanja razvojem R</w:t>
      </w:r>
      <w:r w:rsidR="0A833376" w:rsidRPr="797530A1">
        <w:rPr>
          <w:rFonts w:ascii="Tahoma" w:hAnsi="Tahoma" w:cs="Tahoma"/>
          <w:sz w:val="20"/>
          <w:szCs w:val="20"/>
          <w:lang w:eastAsia="hr-HR"/>
        </w:rPr>
        <w:t xml:space="preserve">epublike </w:t>
      </w:r>
      <w:r w:rsidRPr="797530A1">
        <w:rPr>
          <w:rFonts w:ascii="Tahoma" w:hAnsi="Tahoma" w:cs="Tahoma"/>
          <w:sz w:val="20"/>
          <w:szCs w:val="20"/>
          <w:lang w:eastAsia="hr-HR"/>
        </w:rPr>
        <w:t>H</w:t>
      </w:r>
      <w:r w:rsidR="0A833376" w:rsidRPr="797530A1">
        <w:rPr>
          <w:rFonts w:ascii="Tahoma" w:hAnsi="Tahoma" w:cs="Tahoma"/>
          <w:sz w:val="20"/>
          <w:szCs w:val="20"/>
          <w:lang w:eastAsia="hr-HR"/>
        </w:rPr>
        <w:t>rvatske</w:t>
      </w:r>
      <w:r w:rsidRPr="797530A1">
        <w:rPr>
          <w:rFonts w:ascii="Tahoma" w:hAnsi="Tahoma" w:cs="Tahoma"/>
          <w:sz w:val="20"/>
          <w:szCs w:val="20"/>
          <w:lang w:eastAsia="hr-HR"/>
        </w:rPr>
        <w:t xml:space="preserve"> (</w:t>
      </w:r>
      <w:r w:rsidRPr="797530A1">
        <w:rPr>
          <w:rFonts w:ascii="Tahoma" w:hAnsi="Tahoma" w:cs="Tahoma"/>
          <w:sz w:val="20"/>
          <w:szCs w:val="20"/>
        </w:rPr>
        <w:t xml:space="preserve">Narodne novine, </w:t>
      </w:r>
      <w:r w:rsidRPr="797530A1">
        <w:rPr>
          <w:rFonts w:ascii="Tahoma" w:hAnsi="Tahoma" w:cs="Tahoma"/>
          <w:sz w:val="20"/>
          <w:szCs w:val="20"/>
          <w:lang w:eastAsia="hr-HR"/>
        </w:rPr>
        <w:t>broj 123/17) i Uredbom o smjernicama za izradu akata strateškog planiranja od nacionalnog značaja i od značaja za jedinice lokalne i područne (regionalne) samouprave (Narodne novine, broj 89/2018) te s</w:t>
      </w:r>
      <w:r w:rsidR="776E7F70" w:rsidRPr="797530A1">
        <w:rPr>
          <w:rFonts w:ascii="Tahoma" w:hAnsi="Tahoma" w:cs="Tahoma"/>
          <w:sz w:val="20"/>
          <w:szCs w:val="20"/>
          <w:lang w:eastAsia="hr-HR"/>
        </w:rPr>
        <w:t>a</w:t>
      </w:r>
      <w:r w:rsidRPr="797530A1">
        <w:rPr>
          <w:rFonts w:ascii="Tahoma" w:hAnsi="Tahoma" w:cs="Tahoma"/>
          <w:sz w:val="20"/>
          <w:szCs w:val="20"/>
          <w:lang w:eastAsia="hr-HR"/>
        </w:rPr>
        <w:t xml:space="preserve">  strateškim dokumentima kako slijedi:</w:t>
      </w:r>
    </w:p>
    <w:p w14:paraId="13D360C4" w14:textId="77777777" w:rsidR="004949CA" w:rsidRPr="00086B1D" w:rsidRDefault="137C0FFA" w:rsidP="2617B706">
      <w:pPr>
        <w:pStyle w:val="Odlomakpopisa"/>
        <w:numPr>
          <w:ilvl w:val="0"/>
          <w:numId w:val="22"/>
        </w:numPr>
        <w:rPr>
          <w:rFonts w:cs="Tahoma"/>
        </w:rPr>
      </w:pPr>
      <w:r w:rsidRPr="2617B706">
        <w:rPr>
          <w:rFonts w:cs="Tahoma"/>
        </w:rPr>
        <w:t>Nacionalna razvojna strategija Republike Hrvatske do 2030. godine (Narodne novine, broj 13/21)</w:t>
      </w:r>
    </w:p>
    <w:p w14:paraId="2F33EC9C" w14:textId="77777777" w:rsidR="004949CA" w:rsidRPr="00086B1D" w:rsidRDefault="137C0FFA" w:rsidP="2617B706">
      <w:pPr>
        <w:pStyle w:val="Odlomakpopisa"/>
        <w:numPr>
          <w:ilvl w:val="0"/>
          <w:numId w:val="22"/>
        </w:numPr>
        <w:spacing w:before="120" w:after="120"/>
        <w:rPr>
          <w:rFonts w:cs="Tahoma"/>
        </w:rPr>
      </w:pPr>
      <w:r w:rsidRPr="2617B706">
        <w:rPr>
          <w:rFonts w:cs="Tahoma"/>
        </w:rPr>
        <w:t xml:space="preserve">Strategija </w:t>
      </w:r>
      <w:proofErr w:type="spellStart"/>
      <w:r w:rsidRPr="2617B706">
        <w:rPr>
          <w:rFonts w:cs="Tahoma"/>
        </w:rPr>
        <w:t>niskougljičnog</w:t>
      </w:r>
      <w:proofErr w:type="spellEnd"/>
      <w:r w:rsidRPr="2617B706">
        <w:rPr>
          <w:rFonts w:cs="Tahoma"/>
        </w:rPr>
        <w:t xml:space="preserve"> razvoja Republike Hrvatske do 2030. s pogledom na 2050. godinu (Narodne novine, broj 63/21)</w:t>
      </w:r>
    </w:p>
    <w:p w14:paraId="7608F95B" w14:textId="77777777" w:rsidR="004949CA" w:rsidRPr="00086B1D" w:rsidRDefault="137C0FFA" w:rsidP="2617B706">
      <w:pPr>
        <w:pStyle w:val="Odlomakpopisa"/>
        <w:numPr>
          <w:ilvl w:val="0"/>
          <w:numId w:val="22"/>
        </w:numPr>
        <w:rPr>
          <w:rFonts w:cs="Tahoma"/>
        </w:rPr>
      </w:pPr>
      <w:r w:rsidRPr="2617B706">
        <w:rPr>
          <w:rFonts w:cs="Tahoma"/>
        </w:rPr>
        <w:t>Strategija energetskog razvoja Republike Hrvatske do 2030. godine s pogledom do 2050. godine (Narodne novine, broj 25/20)</w:t>
      </w:r>
    </w:p>
    <w:p w14:paraId="51530C59" w14:textId="77777777" w:rsidR="004949CA" w:rsidRPr="00086B1D" w:rsidRDefault="137C0FFA" w:rsidP="2617B706">
      <w:pPr>
        <w:pStyle w:val="Odlomakpopisa"/>
        <w:numPr>
          <w:ilvl w:val="0"/>
          <w:numId w:val="22"/>
        </w:numPr>
        <w:rPr>
          <w:rFonts w:cs="Tahoma"/>
        </w:rPr>
      </w:pPr>
      <w:r w:rsidRPr="2617B706">
        <w:rPr>
          <w:rFonts w:cs="Tahoma"/>
        </w:rPr>
        <w:lastRenderedPageBreak/>
        <w:t>Integrirani nacionalni energetski i klimatski plan za Republiku Hrvatsku za razdoblje od 2021. do 2030. godine</w:t>
      </w:r>
      <w:r w:rsidRPr="2617B706">
        <w:rPr>
          <w:rStyle w:val="Referencafusnote"/>
          <w:rFonts w:cs="Tahoma"/>
        </w:rPr>
        <w:t xml:space="preserve"> </w:t>
      </w:r>
      <w:r w:rsidR="004949CA" w:rsidRPr="2617B706">
        <w:rPr>
          <w:rStyle w:val="Referencafusnote"/>
          <w:rFonts w:cs="Tahoma"/>
        </w:rPr>
        <w:footnoteReference w:id="5"/>
      </w:r>
    </w:p>
    <w:p w14:paraId="7A0D8892" w14:textId="77777777" w:rsidR="004949CA" w:rsidRPr="00086B1D" w:rsidRDefault="137C0FFA" w:rsidP="2617B706">
      <w:pPr>
        <w:pStyle w:val="Odlomakpopisa"/>
        <w:numPr>
          <w:ilvl w:val="0"/>
          <w:numId w:val="22"/>
        </w:numPr>
        <w:rPr>
          <w:rFonts w:cs="Tahoma"/>
        </w:rPr>
      </w:pPr>
      <w:r w:rsidRPr="2617B706">
        <w:rPr>
          <w:rFonts w:cs="Tahoma"/>
        </w:rPr>
        <w:t xml:space="preserve">Dugoročna strategija obnove nacionalnog fonda zgrada do 2050. godine (Narodne novine, broj 140/20) </w:t>
      </w:r>
    </w:p>
    <w:p w14:paraId="743D4BDC" w14:textId="0E4B998E" w:rsidR="004949CA" w:rsidRPr="00086B1D" w:rsidRDefault="004949CA" w:rsidP="00086B1D">
      <w:pPr>
        <w:jc w:val="both"/>
        <w:rPr>
          <w:rFonts w:ascii="Tahoma" w:hAnsi="Tahoma" w:cs="Tahoma"/>
          <w:sz w:val="20"/>
          <w:szCs w:val="20"/>
        </w:rPr>
      </w:pPr>
      <w:r w:rsidRPr="00086B1D">
        <w:rPr>
          <w:rFonts w:ascii="Tahoma" w:hAnsi="Tahoma" w:cs="Tahoma"/>
          <w:sz w:val="20"/>
          <w:szCs w:val="20"/>
        </w:rPr>
        <w:t xml:space="preserve">Pregled odredbi ovih strateških dokumenata relevantnih za energetsku obnovu zgrada daje </w:t>
      </w:r>
      <w:r w:rsidR="00911F2D">
        <w:rPr>
          <w:rFonts w:ascii="Tahoma" w:hAnsi="Tahoma" w:cs="Tahoma"/>
          <w:sz w:val="20"/>
          <w:szCs w:val="20"/>
        </w:rPr>
        <w:fldChar w:fldCharType="begin"/>
      </w:r>
      <w:r w:rsidR="00911F2D">
        <w:rPr>
          <w:rFonts w:ascii="Tahoma" w:hAnsi="Tahoma" w:cs="Tahoma"/>
          <w:sz w:val="20"/>
          <w:szCs w:val="20"/>
        </w:rPr>
        <w:instrText xml:space="preserve"> REF _Ref83114840 \h </w:instrText>
      </w:r>
      <w:r w:rsidR="00911F2D">
        <w:rPr>
          <w:rFonts w:ascii="Tahoma" w:hAnsi="Tahoma" w:cs="Tahoma"/>
          <w:sz w:val="20"/>
          <w:szCs w:val="20"/>
        </w:rPr>
      </w:r>
      <w:r w:rsidR="00911F2D">
        <w:rPr>
          <w:rFonts w:ascii="Tahoma" w:hAnsi="Tahoma" w:cs="Tahoma"/>
          <w:sz w:val="20"/>
          <w:szCs w:val="20"/>
        </w:rPr>
        <w:fldChar w:fldCharType="separate"/>
      </w:r>
      <w:r w:rsidR="00575AF9" w:rsidRPr="00BE0828">
        <w:t xml:space="preserve">Tablica </w:t>
      </w:r>
      <w:r w:rsidR="00575AF9">
        <w:rPr>
          <w:noProof/>
        </w:rPr>
        <w:t>2</w:t>
      </w:r>
      <w:r w:rsidR="00575AF9" w:rsidRPr="00BE0828">
        <w:noBreakHyphen/>
      </w:r>
      <w:r w:rsidR="00575AF9">
        <w:rPr>
          <w:noProof/>
        </w:rPr>
        <w:t>2</w:t>
      </w:r>
      <w:r w:rsidR="00911F2D">
        <w:rPr>
          <w:rFonts w:ascii="Tahoma" w:hAnsi="Tahoma" w:cs="Tahoma"/>
          <w:sz w:val="20"/>
          <w:szCs w:val="20"/>
        </w:rPr>
        <w:fldChar w:fldCharType="end"/>
      </w:r>
      <w:r w:rsidRPr="00086B1D">
        <w:rPr>
          <w:rFonts w:ascii="Tahoma" w:hAnsi="Tahoma" w:cs="Tahoma"/>
          <w:sz w:val="20"/>
          <w:szCs w:val="20"/>
        </w:rPr>
        <w:t xml:space="preserve">. </w:t>
      </w:r>
    </w:p>
    <w:p w14:paraId="6E943CD1" w14:textId="35FA014B" w:rsidR="004949CA" w:rsidRPr="00BE0828" w:rsidRDefault="004949CA" w:rsidP="004949CA">
      <w:pPr>
        <w:pStyle w:val="Opisslike"/>
      </w:pPr>
      <w:bookmarkStart w:id="44" w:name="_Ref83114840"/>
      <w:bookmarkStart w:id="45" w:name="_Toc72081535"/>
      <w:bookmarkStart w:id="46" w:name="_Toc84240483"/>
      <w:r w:rsidRPr="00BE0828">
        <w:t xml:space="preserve">Tablica </w:t>
      </w:r>
      <w:r w:rsidRPr="00BE0828">
        <w:rPr>
          <w:noProof/>
        </w:rPr>
        <w:fldChar w:fldCharType="begin"/>
      </w:r>
      <w:r w:rsidRPr="00BE0828">
        <w:rPr>
          <w:noProof/>
        </w:rPr>
        <w:instrText xml:space="preserve"> STYLEREF 1 \s </w:instrText>
      </w:r>
      <w:r w:rsidRPr="00BE0828">
        <w:rPr>
          <w:noProof/>
        </w:rPr>
        <w:fldChar w:fldCharType="separate"/>
      </w:r>
      <w:r w:rsidR="00575AF9">
        <w:rPr>
          <w:noProof/>
        </w:rPr>
        <w:t>2</w:t>
      </w:r>
      <w:r w:rsidRPr="00BE0828">
        <w:rPr>
          <w:noProof/>
        </w:rPr>
        <w:fldChar w:fldCharType="end"/>
      </w:r>
      <w:r w:rsidRPr="00BE0828">
        <w:noBreakHyphen/>
      </w:r>
      <w:r w:rsidRPr="00BE0828">
        <w:rPr>
          <w:noProof/>
        </w:rPr>
        <w:fldChar w:fldCharType="begin"/>
      </w:r>
      <w:r w:rsidRPr="00BE0828">
        <w:rPr>
          <w:noProof/>
        </w:rPr>
        <w:instrText xml:space="preserve"> SEQ Tablica \* ARABIC \s 1 </w:instrText>
      </w:r>
      <w:r w:rsidRPr="00BE0828">
        <w:rPr>
          <w:noProof/>
        </w:rPr>
        <w:fldChar w:fldCharType="separate"/>
      </w:r>
      <w:r w:rsidR="00575AF9">
        <w:rPr>
          <w:noProof/>
        </w:rPr>
        <w:t>2</w:t>
      </w:r>
      <w:r w:rsidRPr="00BE0828">
        <w:rPr>
          <w:noProof/>
        </w:rPr>
        <w:fldChar w:fldCharType="end"/>
      </w:r>
      <w:bookmarkEnd w:id="44"/>
      <w:r w:rsidRPr="00BE0828">
        <w:t xml:space="preserve">: Pregled odredbi strateških dokumenata </w:t>
      </w:r>
      <w:bookmarkEnd w:id="45"/>
      <w:r w:rsidR="00223AAD">
        <w:t>Republike Hrvatske</w:t>
      </w:r>
      <w:bookmarkEnd w:id="46"/>
      <w:r w:rsidRPr="00BE0828">
        <w:t xml:space="preserve"> </w:t>
      </w:r>
    </w:p>
    <w:tbl>
      <w:tblPr>
        <w:tblStyle w:val="Svijetlatablicareetke110"/>
        <w:tblW w:w="5000" w:type="pct"/>
        <w:tblLook w:val="04A0" w:firstRow="1" w:lastRow="0" w:firstColumn="1" w:lastColumn="0" w:noHBand="0" w:noVBand="1"/>
      </w:tblPr>
      <w:tblGrid>
        <w:gridCol w:w="9062"/>
      </w:tblGrid>
      <w:tr w:rsidR="004949CA" w:rsidRPr="00086B1D" w14:paraId="12B0C4A3" w14:textId="77777777" w:rsidTr="797530A1">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5000" w:type="pct"/>
            <w:shd w:val="clear" w:color="auto" w:fill="E7E6E6" w:themeFill="background2"/>
          </w:tcPr>
          <w:p w14:paraId="47EE0E8B" w14:textId="77777777" w:rsidR="004949CA" w:rsidRPr="00086B1D" w:rsidRDefault="004949CA" w:rsidP="00086B1D">
            <w:pPr>
              <w:spacing w:beforeLines="60" w:before="144" w:afterLines="60" w:after="144"/>
              <w:jc w:val="center"/>
              <w:rPr>
                <w:rFonts w:ascii="Tahoma" w:hAnsi="Tahoma" w:cs="Tahoma"/>
                <w:sz w:val="20"/>
                <w:szCs w:val="20"/>
              </w:rPr>
            </w:pPr>
            <w:r w:rsidRPr="00086B1D">
              <w:rPr>
                <w:rFonts w:ascii="Tahoma" w:hAnsi="Tahoma" w:cs="Tahoma"/>
                <w:sz w:val="20"/>
                <w:szCs w:val="20"/>
                <w:lang w:eastAsia="hr-HR"/>
              </w:rPr>
              <w:t>Nacionalna razvojna strategija</w:t>
            </w:r>
            <w:r w:rsidRPr="00086B1D">
              <w:rPr>
                <w:rFonts w:ascii="Tahoma" w:hAnsi="Tahoma" w:cs="Tahoma"/>
                <w:sz w:val="20"/>
                <w:szCs w:val="20"/>
              </w:rPr>
              <w:t xml:space="preserve"> </w:t>
            </w:r>
            <w:r w:rsidRPr="00086B1D">
              <w:rPr>
                <w:rFonts w:ascii="Tahoma" w:hAnsi="Tahoma" w:cs="Tahoma"/>
                <w:sz w:val="20"/>
                <w:szCs w:val="20"/>
                <w:lang w:eastAsia="hr-HR"/>
              </w:rPr>
              <w:t>Republike Hrvatske do 2030. godine</w:t>
            </w:r>
          </w:p>
        </w:tc>
      </w:tr>
      <w:tr w:rsidR="004949CA" w:rsidRPr="00086B1D" w14:paraId="61E69062" w14:textId="77777777" w:rsidTr="797530A1">
        <w:tc>
          <w:tcPr>
            <w:cnfStyle w:val="001000000000" w:firstRow="0" w:lastRow="0" w:firstColumn="1" w:lastColumn="0" w:oddVBand="0" w:evenVBand="0" w:oddHBand="0" w:evenHBand="0" w:firstRowFirstColumn="0" w:firstRowLastColumn="0" w:lastRowFirstColumn="0" w:lastRowLastColumn="0"/>
            <w:tcW w:w="5000" w:type="pct"/>
          </w:tcPr>
          <w:p w14:paraId="22746866" w14:textId="77777777" w:rsidR="004949CA" w:rsidRPr="00086B1D" w:rsidRDefault="004949CA" w:rsidP="00086B1D">
            <w:pPr>
              <w:spacing w:beforeLines="60" w:before="144" w:afterLines="60" w:after="144"/>
              <w:jc w:val="both"/>
              <w:rPr>
                <w:rFonts w:ascii="Tahoma" w:hAnsi="Tahoma" w:cs="Tahoma"/>
                <w:sz w:val="20"/>
                <w:szCs w:val="20"/>
              </w:rPr>
            </w:pPr>
            <w:r w:rsidRPr="00086B1D">
              <w:rPr>
                <w:rFonts w:ascii="Tahoma" w:hAnsi="Tahoma" w:cs="Tahoma"/>
                <w:sz w:val="20"/>
                <w:szCs w:val="20"/>
              </w:rPr>
              <w:t>Razvojni smjer 3. Zelena i digitalna tranzicija</w:t>
            </w:r>
            <w:r w:rsidRPr="00086B1D">
              <w:rPr>
                <w:rFonts w:ascii="Tahoma" w:hAnsi="Tahoma" w:cs="Tahoma"/>
                <w:b w:val="0"/>
                <w:bCs w:val="0"/>
                <w:sz w:val="20"/>
                <w:szCs w:val="20"/>
              </w:rPr>
              <w:t xml:space="preserve"> - Zelena i digitalna tranzicija ostvarit će se prelaskom na čistu i dostupniju energiju, poticanjem zelenih i plavih ulaganja, </w:t>
            </w:r>
            <w:proofErr w:type="spellStart"/>
            <w:r w:rsidRPr="00086B1D">
              <w:rPr>
                <w:rFonts w:ascii="Tahoma" w:hAnsi="Tahoma" w:cs="Tahoma"/>
                <w:sz w:val="20"/>
                <w:szCs w:val="20"/>
              </w:rPr>
              <w:t>dekarbonizacijom</w:t>
            </w:r>
            <w:proofErr w:type="spellEnd"/>
            <w:r w:rsidRPr="00086B1D">
              <w:rPr>
                <w:rFonts w:ascii="Tahoma" w:hAnsi="Tahoma" w:cs="Tahoma"/>
                <w:sz w:val="20"/>
                <w:szCs w:val="20"/>
              </w:rPr>
              <w:t xml:space="preserve"> zgrada</w:t>
            </w:r>
            <w:r w:rsidRPr="00086B1D">
              <w:rPr>
                <w:rFonts w:ascii="Tahoma" w:hAnsi="Tahoma" w:cs="Tahoma"/>
                <w:b w:val="0"/>
                <w:bCs w:val="0"/>
                <w:sz w:val="20"/>
                <w:szCs w:val="20"/>
              </w:rPr>
              <w:t xml:space="preserve">, razvojem kružnog gospodarstva, jačanjem samodostatnosti u proizvodnji hrane, razvojem </w:t>
            </w:r>
            <w:proofErr w:type="spellStart"/>
            <w:r w:rsidRPr="00086B1D">
              <w:rPr>
                <w:rFonts w:ascii="Tahoma" w:hAnsi="Tahoma" w:cs="Tahoma"/>
                <w:b w:val="0"/>
                <w:bCs w:val="0"/>
                <w:sz w:val="20"/>
                <w:szCs w:val="20"/>
              </w:rPr>
              <w:t>biogospodarstva</w:t>
            </w:r>
            <w:proofErr w:type="spellEnd"/>
            <w:r w:rsidRPr="00086B1D">
              <w:rPr>
                <w:rFonts w:ascii="Tahoma" w:hAnsi="Tahoma" w:cs="Tahoma"/>
                <w:b w:val="0"/>
                <w:bCs w:val="0"/>
                <w:sz w:val="20"/>
                <w:szCs w:val="20"/>
              </w:rPr>
              <w:t xml:space="preserve"> te očuvanjem i obnovom ekosustava i bioraznolikosti.</w:t>
            </w:r>
          </w:p>
          <w:p w14:paraId="66D5D9F5"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Cs w:val="0"/>
                <w:sz w:val="20"/>
                <w:szCs w:val="20"/>
              </w:rPr>
              <w:t xml:space="preserve">Strateški cilj 8. Ekološka i energetska tranzicija za klimatsku neutralnost - </w:t>
            </w:r>
            <w:r w:rsidRPr="00086B1D">
              <w:rPr>
                <w:rFonts w:ascii="Tahoma" w:hAnsi="Tahoma" w:cs="Tahoma"/>
                <w:b w:val="0"/>
                <w:sz w:val="20"/>
                <w:szCs w:val="20"/>
              </w:rPr>
              <w:t>Poticat će se cjelovita obnova zgrada, koja osim mjera energetske obnove obuhvaća i mjere za osiguranje zdravih unutarnjih klimatskih uvjeta, zaštite od požara i rizika povezanih s pojačanom seizmičkom aktivnošću.</w:t>
            </w:r>
          </w:p>
          <w:p w14:paraId="35178218"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sz w:val="20"/>
                <w:szCs w:val="20"/>
              </w:rPr>
              <w:t xml:space="preserve">Prioritetno područje 2. Energetska učinkovitost i samodostatnost te tranzicija na čistu energiju - </w:t>
            </w:r>
            <w:r w:rsidRPr="00086B1D">
              <w:rPr>
                <w:rFonts w:ascii="Tahoma" w:hAnsi="Tahoma" w:cs="Tahoma"/>
                <w:b w:val="0"/>
                <w:bCs w:val="0"/>
                <w:sz w:val="20"/>
                <w:szCs w:val="20"/>
              </w:rPr>
              <w:t>U okviru programa energetske obnove stambenog sektora za razdoblje 2021. – 2030. provodit će se obnova višestambenih zgrada i obiteljskih kuća pri čemu će prioritet imati ranjive skupine građana u opasnosti od energetskog siromaštva. Pri energetskoj obnovi uzet će se u obzir posljedice razornih potresa u Hrvatskoj u 2020. godini, a u obnovi zgrada u svim dijelovima Hrvatske primijenit će se načela tranzicije na čišće izvore energije i protupotresne zaštite.</w:t>
            </w:r>
          </w:p>
        </w:tc>
      </w:tr>
      <w:tr w:rsidR="004949CA" w:rsidRPr="00086B1D" w14:paraId="139D1544" w14:textId="77777777" w:rsidTr="797530A1">
        <w:tc>
          <w:tcPr>
            <w:cnfStyle w:val="001000000000" w:firstRow="0" w:lastRow="0" w:firstColumn="1" w:lastColumn="0" w:oddVBand="0" w:evenVBand="0" w:oddHBand="0" w:evenHBand="0" w:firstRowFirstColumn="0" w:firstRowLastColumn="0" w:lastRowFirstColumn="0" w:lastRowLastColumn="0"/>
            <w:tcW w:w="5000" w:type="pct"/>
          </w:tcPr>
          <w:p w14:paraId="653DEC3F" w14:textId="77777777" w:rsidR="004949CA" w:rsidRPr="00086B1D" w:rsidRDefault="004949CA" w:rsidP="00086B1D">
            <w:pPr>
              <w:spacing w:beforeLines="60" w:before="144" w:afterLines="60" w:after="144"/>
              <w:jc w:val="center"/>
              <w:rPr>
                <w:rFonts w:ascii="Tahoma" w:hAnsi="Tahoma" w:cs="Tahoma"/>
                <w:sz w:val="20"/>
                <w:szCs w:val="20"/>
                <w:lang w:eastAsia="hr-HR"/>
              </w:rPr>
            </w:pPr>
            <w:r w:rsidRPr="00086B1D">
              <w:rPr>
                <w:rFonts w:ascii="Tahoma" w:hAnsi="Tahoma" w:cs="Tahoma"/>
                <w:sz w:val="20"/>
                <w:szCs w:val="20"/>
                <w:lang w:eastAsia="hr-HR"/>
              </w:rPr>
              <w:t xml:space="preserve">Strategija </w:t>
            </w:r>
            <w:proofErr w:type="spellStart"/>
            <w:r w:rsidRPr="00086B1D">
              <w:rPr>
                <w:rFonts w:ascii="Tahoma" w:hAnsi="Tahoma" w:cs="Tahoma"/>
                <w:sz w:val="20"/>
                <w:szCs w:val="20"/>
                <w:lang w:eastAsia="hr-HR"/>
              </w:rPr>
              <w:t>niskougljičnog</w:t>
            </w:r>
            <w:proofErr w:type="spellEnd"/>
            <w:r w:rsidRPr="00086B1D">
              <w:rPr>
                <w:rFonts w:ascii="Tahoma" w:hAnsi="Tahoma" w:cs="Tahoma"/>
                <w:sz w:val="20"/>
                <w:szCs w:val="20"/>
                <w:lang w:eastAsia="hr-HR"/>
              </w:rPr>
              <w:t xml:space="preserve"> razvoja Republike Hrvatske do 2030. s pogledom na 2050. godinu</w:t>
            </w:r>
          </w:p>
        </w:tc>
      </w:tr>
      <w:tr w:rsidR="004949CA" w:rsidRPr="00086B1D" w14:paraId="27FB6E60" w14:textId="77777777" w:rsidTr="797530A1">
        <w:tc>
          <w:tcPr>
            <w:cnfStyle w:val="001000000000" w:firstRow="0" w:lastRow="0" w:firstColumn="1" w:lastColumn="0" w:oddVBand="0" w:evenVBand="0" w:oddHBand="0" w:evenHBand="0" w:firstRowFirstColumn="0" w:firstRowLastColumn="0" w:lastRowFirstColumn="0" w:lastRowLastColumn="0"/>
            <w:tcW w:w="5000" w:type="pct"/>
          </w:tcPr>
          <w:p w14:paraId="0C458628"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Cs w:val="0"/>
                <w:sz w:val="20"/>
                <w:szCs w:val="20"/>
              </w:rPr>
              <w:t xml:space="preserve">Vizija </w:t>
            </w:r>
            <w:proofErr w:type="spellStart"/>
            <w:r w:rsidRPr="00086B1D">
              <w:rPr>
                <w:rFonts w:ascii="Tahoma" w:hAnsi="Tahoma" w:cs="Tahoma"/>
                <w:bCs w:val="0"/>
                <w:sz w:val="20"/>
                <w:szCs w:val="20"/>
              </w:rPr>
              <w:t>Niskougljične</w:t>
            </w:r>
            <w:proofErr w:type="spellEnd"/>
            <w:r w:rsidRPr="00086B1D">
              <w:rPr>
                <w:rFonts w:ascii="Tahoma" w:hAnsi="Tahoma" w:cs="Tahoma"/>
                <w:bCs w:val="0"/>
                <w:sz w:val="20"/>
                <w:szCs w:val="20"/>
              </w:rPr>
              <w:t xml:space="preserve"> strategije</w:t>
            </w:r>
          </w:p>
          <w:p w14:paraId="623865B3" w14:textId="77777777" w:rsidR="004949CA" w:rsidRPr="00086B1D" w:rsidRDefault="004949CA" w:rsidP="00086B1D">
            <w:pPr>
              <w:spacing w:beforeLines="60" w:before="144" w:afterLines="60" w:after="144"/>
              <w:jc w:val="both"/>
              <w:rPr>
                <w:rFonts w:ascii="Tahoma" w:hAnsi="Tahoma" w:cs="Tahoma"/>
                <w:bCs w:val="0"/>
                <w:sz w:val="20"/>
                <w:szCs w:val="20"/>
              </w:rPr>
            </w:pPr>
            <w:proofErr w:type="spellStart"/>
            <w:r w:rsidRPr="00086B1D">
              <w:rPr>
                <w:rFonts w:ascii="Tahoma" w:hAnsi="Tahoma" w:cs="Tahoma"/>
                <w:b w:val="0"/>
                <w:sz w:val="20"/>
                <w:szCs w:val="20"/>
              </w:rPr>
              <w:t>Niskougljična</w:t>
            </w:r>
            <w:proofErr w:type="spellEnd"/>
            <w:r w:rsidRPr="00086B1D">
              <w:rPr>
                <w:rFonts w:ascii="Tahoma" w:hAnsi="Tahoma" w:cs="Tahoma"/>
                <w:b w:val="0"/>
                <w:sz w:val="20"/>
                <w:szCs w:val="20"/>
              </w:rPr>
              <w:t xml:space="preserve"> strategija vodi viziji društva u kojem ćemo živjeti zdravije, ugodnije, s </w:t>
            </w:r>
            <w:proofErr w:type="spellStart"/>
            <w:r w:rsidRPr="00086B1D">
              <w:rPr>
                <w:rFonts w:ascii="Tahoma" w:hAnsi="Tahoma" w:cs="Tahoma"/>
                <w:b w:val="0"/>
                <w:sz w:val="20"/>
                <w:szCs w:val="20"/>
              </w:rPr>
              <w:t>niskougljičnim</w:t>
            </w:r>
            <w:proofErr w:type="spellEnd"/>
            <w:r w:rsidRPr="00086B1D">
              <w:rPr>
                <w:rFonts w:ascii="Tahoma" w:hAnsi="Tahoma" w:cs="Tahoma"/>
                <w:b w:val="0"/>
                <w:sz w:val="20"/>
                <w:szCs w:val="20"/>
              </w:rPr>
              <w:t xml:space="preserve"> rastom i djelotvornim upravljanjem resursima. </w:t>
            </w:r>
            <w:r w:rsidRPr="00086B1D">
              <w:rPr>
                <w:rFonts w:ascii="Tahoma" w:hAnsi="Tahoma" w:cs="Tahoma"/>
                <w:bCs w:val="0"/>
                <w:sz w:val="20"/>
                <w:szCs w:val="20"/>
              </w:rPr>
              <w:t>Postojeći nacionalni fond zgrada bit će obnovljen</w:t>
            </w:r>
            <w:r w:rsidRPr="00086B1D">
              <w:rPr>
                <w:rFonts w:ascii="Tahoma" w:hAnsi="Tahoma" w:cs="Tahoma"/>
                <w:b w:val="0"/>
                <w:sz w:val="20"/>
                <w:szCs w:val="20"/>
              </w:rPr>
              <w:t>, a novi građen po principima za zgrada gotovo nulte energije i kružnog gospodarenja.</w:t>
            </w:r>
          </w:p>
          <w:p w14:paraId="28A27492" w14:textId="77777777" w:rsidR="004949CA" w:rsidRPr="00086B1D" w:rsidRDefault="004949CA" w:rsidP="00086B1D">
            <w:pPr>
              <w:spacing w:beforeLines="60" w:before="144" w:afterLines="60" w:after="144"/>
              <w:jc w:val="both"/>
              <w:rPr>
                <w:rFonts w:ascii="Tahoma" w:hAnsi="Tahoma" w:cs="Tahoma"/>
                <w:b w:val="0"/>
                <w:sz w:val="20"/>
                <w:szCs w:val="20"/>
              </w:rPr>
            </w:pPr>
            <w:r w:rsidRPr="00086B1D">
              <w:rPr>
                <w:rFonts w:ascii="Tahoma" w:hAnsi="Tahoma" w:cs="Tahoma"/>
                <w:bCs w:val="0"/>
                <w:sz w:val="20"/>
                <w:szCs w:val="20"/>
              </w:rPr>
              <w:t xml:space="preserve">Politike i mjere za </w:t>
            </w:r>
            <w:proofErr w:type="spellStart"/>
            <w:r w:rsidRPr="00086B1D">
              <w:rPr>
                <w:rFonts w:ascii="Tahoma" w:hAnsi="Tahoma" w:cs="Tahoma"/>
                <w:bCs w:val="0"/>
                <w:sz w:val="20"/>
                <w:szCs w:val="20"/>
              </w:rPr>
              <w:t>niskougljični</w:t>
            </w:r>
            <w:proofErr w:type="spellEnd"/>
            <w:r w:rsidRPr="00086B1D">
              <w:rPr>
                <w:rFonts w:ascii="Tahoma" w:hAnsi="Tahoma" w:cs="Tahoma"/>
                <w:bCs w:val="0"/>
                <w:sz w:val="20"/>
                <w:szCs w:val="20"/>
              </w:rPr>
              <w:t xml:space="preserve"> razvoj - Energetska obnova zgrada</w:t>
            </w:r>
          </w:p>
          <w:p w14:paraId="7B5ED822" w14:textId="0A0F18E0"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 w:val="0"/>
                <w:sz w:val="20"/>
                <w:szCs w:val="20"/>
              </w:rPr>
              <w:t xml:space="preserve">Postojeće mjere za poticanje obnove zgrada u </w:t>
            </w:r>
            <w:r w:rsidR="0063313B">
              <w:rPr>
                <w:rFonts w:ascii="Tahoma" w:hAnsi="Tahoma" w:cs="Tahoma"/>
                <w:b w:val="0"/>
                <w:sz w:val="20"/>
                <w:szCs w:val="20"/>
              </w:rPr>
              <w:t>Hrvatskoj</w:t>
            </w:r>
            <w:r w:rsidRPr="00086B1D">
              <w:rPr>
                <w:rFonts w:ascii="Tahoma" w:hAnsi="Tahoma" w:cs="Tahoma"/>
                <w:b w:val="0"/>
                <w:sz w:val="20"/>
                <w:szCs w:val="20"/>
              </w:rPr>
              <w:t>, obuhvaćaju prvenstveno provedbu nacionalnih programa energetske obnove i obuhvaćaju sve namjene zgrada, privatne, javne i komercijalne korisnike, kao i zgrade najlošijih svojstava na potpomognutim područjima i područjima od posebne državne skrbi.</w:t>
            </w:r>
          </w:p>
          <w:p w14:paraId="00967B0E" w14:textId="393222B4" w:rsidR="004949CA" w:rsidRPr="00086B1D" w:rsidRDefault="137C0FFA" w:rsidP="0068468B">
            <w:pPr>
              <w:spacing w:beforeLines="60" w:before="144" w:afterLines="60" w:after="144"/>
              <w:jc w:val="both"/>
              <w:rPr>
                <w:rFonts w:ascii="Tahoma" w:hAnsi="Tahoma" w:cs="Tahoma"/>
                <w:b w:val="0"/>
                <w:bCs w:val="0"/>
                <w:sz w:val="20"/>
                <w:szCs w:val="20"/>
              </w:rPr>
            </w:pPr>
            <w:r w:rsidRPr="2617B706">
              <w:rPr>
                <w:rFonts w:ascii="Tahoma" w:hAnsi="Tahoma" w:cs="Tahoma"/>
                <w:b w:val="0"/>
                <w:bCs w:val="0"/>
                <w:sz w:val="20"/>
                <w:szCs w:val="20"/>
              </w:rPr>
              <w:t xml:space="preserve">U sljedećem razdoblju posebno će se poticati dubinska obnova, koja obuhvaća mjere energetske učinkovitosti na ovojnici i tehničkim sustavima te rezultira </w:t>
            </w:r>
            <w:r w:rsidRPr="00F7592C">
              <w:rPr>
                <w:rFonts w:ascii="Tahoma" w:hAnsi="Tahoma" w:cs="Tahoma"/>
                <w:b w:val="0"/>
                <w:bCs w:val="0"/>
                <w:sz w:val="20"/>
                <w:szCs w:val="20"/>
              </w:rPr>
              <w:t>smanjenjem potrošnje</w:t>
            </w:r>
            <w:r w:rsidRPr="2617B706">
              <w:rPr>
                <w:rFonts w:ascii="Tahoma" w:hAnsi="Tahoma" w:cs="Tahoma"/>
                <w:b w:val="0"/>
                <w:bCs w:val="0"/>
                <w:sz w:val="20"/>
                <w:szCs w:val="20"/>
              </w:rPr>
              <w:t xml:space="preserve"> energije za grijanje (</w:t>
            </w:r>
            <w:proofErr w:type="spellStart"/>
            <w:r w:rsidRPr="2617B706">
              <w:rPr>
                <w:rFonts w:ascii="Tahoma" w:hAnsi="Tahoma" w:cs="Tahoma"/>
                <w:b w:val="0"/>
                <w:bCs w:val="0"/>
                <w:sz w:val="20"/>
                <w:szCs w:val="20"/>
              </w:rPr>
              <w:t>Q</w:t>
            </w:r>
            <w:r w:rsidRPr="2617B706">
              <w:rPr>
                <w:rFonts w:ascii="Tahoma" w:hAnsi="Tahoma" w:cs="Tahoma"/>
                <w:b w:val="0"/>
                <w:bCs w:val="0"/>
                <w:sz w:val="20"/>
                <w:szCs w:val="20"/>
                <w:vertAlign w:val="subscript"/>
              </w:rPr>
              <w:t>H,nd</w:t>
            </w:r>
            <w:proofErr w:type="spellEnd"/>
            <w:r w:rsidRPr="2617B706">
              <w:rPr>
                <w:rFonts w:ascii="Tahoma" w:hAnsi="Tahoma" w:cs="Tahoma"/>
                <w:b w:val="0"/>
                <w:bCs w:val="0"/>
                <w:sz w:val="20"/>
                <w:szCs w:val="20"/>
              </w:rPr>
              <w:t>) i primarne energije (</w:t>
            </w:r>
            <w:proofErr w:type="spellStart"/>
            <w:r w:rsidRPr="2617B706">
              <w:rPr>
                <w:rFonts w:ascii="Tahoma" w:hAnsi="Tahoma" w:cs="Tahoma"/>
                <w:b w:val="0"/>
                <w:bCs w:val="0"/>
                <w:sz w:val="20"/>
                <w:szCs w:val="20"/>
              </w:rPr>
              <w:t>E</w:t>
            </w:r>
            <w:r w:rsidRPr="2617B706">
              <w:rPr>
                <w:rFonts w:ascii="Tahoma" w:hAnsi="Tahoma" w:cs="Tahoma"/>
                <w:b w:val="0"/>
                <w:bCs w:val="0"/>
                <w:sz w:val="20"/>
                <w:szCs w:val="20"/>
                <w:vertAlign w:val="subscript"/>
              </w:rPr>
              <w:t>prim</w:t>
            </w:r>
            <w:proofErr w:type="spellEnd"/>
            <w:r w:rsidRPr="2617B706">
              <w:rPr>
                <w:rFonts w:ascii="Tahoma" w:hAnsi="Tahoma" w:cs="Tahoma"/>
                <w:b w:val="0"/>
                <w:bCs w:val="0"/>
                <w:sz w:val="20"/>
                <w:szCs w:val="20"/>
              </w:rPr>
              <w:t>) na godišnjoj razini [kWh/(m</w:t>
            </w:r>
            <w:r w:rsidRPr="2617B706">
              <w:rPr>
                <w:rFonts w:ascii="Tahoma" w:hAnsi="Tahoma" w:cs="Tahoma"/>
                <w:b w:val="0"/>
                <w:bCs w:val="0"/>
                <w:sz w:val="20"/>
                <w:szCs w:val="20"/>
                <w:vertAlign w:val="superscript"/>
              </w:rPr>
              <w:t>2</w:t>
            </w:r>
            <w:r w:rsidRPr="2617B706">
              <w:rPr>
                <w:rFonts w:ascii="Tahoma" w:hAnsi="Tahoma" w:cs="Tahoma"/>
                <w:b w:val="0"/>
                <w:bCs w:val="0"/>
                <w:sz w:val="20"/>
                <w:szCs w:val="20"/>
              </w:rPr>
              <w:t>·a)] od najmanje 50% u odnosu na potrošnju energije prije obnove i sveobuhvatna obnova zgrada koja obuhvaća optimalne mjere poboljšanja postojećeg stanja zgrade te osim mjera energetske obnove zgrade, uključuje i mjere poput povećanja sigurnosti u slučaju požara, mjere za osiguravanje zdravih unutarnjih klimatskih uvjeta, mjere za unapređenje mehaničke otpornosti i stabilnosti zgrade – posebice radi smanjenje rizika povezanih s djelovanjem potresa.</w:t>
            </w:r>
          </w:p>
        </w:tc>
      </w:tr>
      <w:tr w:rsidR="004949CA" w:rsidRPr="00086B1D" w14:paraId="14891FAF" w14:textId="77777777" w:rsidTr="797530A1">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73C62BBE" w14:textId="77777777" w:rsidR="004949CA" w:rsidRPr="00086B1D" w:rsidRDefault="004949CA" w:rsidP="00086B1D">
            <w:pPr>
              <w:spacing w:beforeLines="60" w:before="144" w:afterLines="60" w:after="144"/>
              <w:jc w:val="center"/>
              <w:rPr>
                <w:rFonts w:ascii="Tahoma" w:hAnsi="Tahoma" w:cs="Tahoma"/>
                <w:bCs w:val="0"/>
                <w:sz w:val="20"/>
                <w:szCs w:val="20"/>
              </w:rPr>
            </w:pPr>
            <w:r w:rsidRPr="00086B1D">
              <w:rPr>
                <w:rFonts w:ascii="Tahoma" w:hAnsi="Tahoma" w:cs="Tahoma"/>
                <w:sz w:val="20"/>
                <w:szCs w:val="20"/>
                <w:lang w:eastAsia="hr-HR"/>
              </w:rPr>
              <w:t>Strategija energetskog razvoja Republike Hrvatske do 2030. godine s pogledom na 2050. godinu</w:t>
            </w:r>
          </w:p>
        </w:tc>
      </w:tr>
      <w:tr w:rsidR="004949CA" w:rsidRPr="00086B1D" w14:paraId="3528CFBF" w14:textId="77777777" w:rsidTr="797530A1">
        <w:tc>
          <w:tcPr>
            <w:cnfStyle w:val="001000000000" w:firstRow="0" w:lastRow="0" w:firstColumn="1" w:lastColumn="0" w:oddVBand="0" w:evenVBand="0" w:oddHBand="0" w:evenHBand="0" w:firstRowFirstColumn="0" w:firstRowLastColumn="0" w:lastRowFirstColumn="0" w:lastRowLastColumn="0"/>
            <w:tcW w:w="5000" w:type="pct"/>
            <w:tcBorders>
              <w:top w:val="single" w:sz="12" w:space="0" w:color="999999"/>
            </w:tcBorders>
          </w:tcPr>
          <w:p w14:paraId="6B913DFC" w14:textId="77777777" w:rsidR="004949CA" w:rsidRPr="00086B1D" w:rsidRDefault="004949CA" w:rsidP="00086B1D">
            <w:pPr>
              <w:spacing w:beforeLines="60" w:before="144" w:afterLines="60" w:after="144"/>
              <w:jc w:val="both"/>
              <w:rPr>
                <w:rFonts w:ascii="Tahoma" w:hAnsi="Tahoma" w:cs="Tahoma"/>
                <w:b w:val="0"/>
                <w:sz w:val="20"/>
                <w:szCs w:val="20"/>
              </w:rPr>
            </w:pPr>
            <w:r w:rsidRPr="00086B1D">
              <w:rPr>
                <w:rFonts w:ascii="Tahoma" w:hAnsi="Tahoma" w:cs="Tahoma"/>
                <w:bCs w:val="0"/>
                <w:sz w:val="20"/>
                <w:szCs w:val="20"/>
              </w:rPr>
              <w:t>Temeljna komponenta tranzicije energetskog sektora je povećanje energetske učinkovitosti</w:t>
            </w:r>
            <w:r w:rsidRPr="00086B1D">
              <w:rPr>
                <w:rFonts w:ascii="Tahoma" w:hAnsi="Tahoma" w:cs="Tahoma"/>
                <w:b w:val="0"/>
                <w:sz w:val="20"/>
                <w:szCs w:val="20"/>
              </w:rPr>
              <w:t xml:space="preserve">, koja će se rješavati kroz zakonodavstvo, definirajući standarde i norme izgradnje </w:t>
            </w:r>
            <w:r w:rsidRPr="00086B1D">
              <w:rPr>
                <w:rFonts w:ascii="Tahoma" w:hAnsi="Tahoma" w:cs="Tahoma"/>
                <w:b w:val="0"/>
                <w:sz w:val="20"/>
                <w:szCs w:val="20"/>
              </w:rPr>
              <w:lastRenderedPageBreak/>
              <w:t xml:space="preserve">infrastrukturnih sustava, energetskih objekata i korištenja uređaja, usmjeravanje prema učinkovitijim tehnološkim rješenjima, a i isključivanjem s tržišta uređaja koji ne zadovoljavaju minimalne standarde. Značajan doprinos povećanju energetske učinkovitosti omogućuje izgradnja visokoučinkovitih </w:t>
            </w:r>
            <w:proofErr w:type="spellStart"/>
            <w:r w:rsidRPr="00086B1D">
              <w:rPr>
                <w:rFonts w:ascii="Tahoma" w:hAnsi="Tahoma" w:cs="Tahoma"/>
                <w:b w:val="0"/>
                <w:sz w:val="20"/>
                <w:szCs w:val="20"/>
              </w:rPr>
              <w:t>kogeneracijskih</w:t>
            </w:r>
            <w:proofErr w:type="spellEnd"/>
            <w:r w:rsidRPr="00086B1D">
              <w:rPr>
                <w:rFonts w:ascii="Tahoma" w:hAnsi="Tahoma" w:cs="Tahoma"/>
                <w:b w:val="0"/>
                <w:sz w:val="20"/>
                <w:szCs w:val="20"/>
              </w:rPr>
              <w:t xml:space="preserve"> postrojenja i integriranih dizalica topline u sustave daljinskog grijanja velikih gradova. </w:t>
            </w:r>
            <w:r w:rsidRPr="00086B1D">
              <w:rPr>
                <w:rFonts w:ascii="Tahoma" w:hAnsi="Tahoma" w:cs="Tahoma"/>
                <w:bCs w:val="0"/>
                <w:sz w:val="20"/>
                <w:szCs w:val="20"/>
              </w:rPr>
              <w:t>Najveći izazov je energetska obnova zgrada koja će zahtijevati određena sredstva potpore i angažiranje velikog građevinskog potencijala.</w:t>
            </w:r>
          </w:p>
          <w:p w14:paraId="3E03DC57" w14:textId="77777777" w:rsidR="004949CA" w:rsidRPr="00086B1D" w:rsidRDefault="004949CA" w:rsidP="00086B1D">
            <w:pPr>
              <w:spacing w:beforeLines="60" w:before="144" w:afterLines="60" w:after="144"/>
              <w:jc w:val="both"/>
              <w:rPr>
                <w:rFonts w:ascii="Tahoma" w:hAnsi="Tahoma" w:cs="Tahoma"/>
                <w:b w:val="0"/>
                <w:sz w:val="20"/>
                <w:szCs w:val="20"/>
              </w:rPr>
            </w:pPr>
            <w:r w:rsidRPr="00086B1D">
              <w:rPr>
                <w:rFonts w:ascii="Tahoma" w:hAnsi="Tahoma" w:cs="Tahoma"/>
                <w:bCs w:val="0"/>
                <w:sz w:val="20"/>
                <w:szCs w:val="20"/>
              </w:rPr>
              <w:t>Godišnji cilj energetske obnove zgrada</w:t>
            </w:r>
            <w:r w:rsidRPr="00086B1D">
              <w:rPr>
                <w:rFonts w:ascii="Tahoma" w:hAnsi="Tahoma" w:cs="Tahoma"/>
                <w:b w:val="0"/>
                <w:sz w:val="20"/>
                <w:szCs w:val="20"/>
              </w:rPr>
              <w:t xml:space="preserve"> od 3% fonda zgrada u scenariju ubrzane energetske tranzicije (S1) odnosno od 1,6% u scenariju umjerene energetske tranzicije (S2)</w:t>
            </w:r>
          </w:p>
        </w:tc>
      </w:tr>
      <w:tr w:rsidR="004949CA" w:rsidRPr="00086B1D" w14:paraId="6D2E3EF1" w14:textId="77777777" w:rsidTr="797530A1">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79B69991" w14:textId="77777777" w:rsidR="004949CA" w:rsidRPr="00086B1D" w:rsidRDefault="004949CA" w:rsidP="00086B1D">
            <w:pPr>
              <w:spacing w:beforeLines="60" w:before="144" w:afterLines="60" w:after="144"/>
              <w:jc w:val="center"/>
              <w:rPr>
                <w:rFonts w:ascii="Tahoma" w:hAnsi="Tahoma" w:cs="Tahoma"/>
                <w:bCs w:val="0"/>
                <w:sz w:val="20"/>
                <w:szCs w:val="20"/>
              </w:rPr>
            </w:pPr>
            <w:r w:rsidRPr="00086B1D">
              <w:rPr>
                <w:rFonts w:ascii="Tahoma" w:hAnsi="Tahoma" w:cs="Tahoma"/>
                <w:sz w:val="20"/>
                <w:szCs w:val="20"/>
                <w:lang w:eastAsia="hr-HR"/>
              </w:rPr>
              <w:lastRenderedPageBreak/>
              <w:t>Integrirani nacionalni energetski i klimatski plan za Republiku Hrvatsku za razdoblje od 2021. do 2030. godine</w:t>
            </w:r>
          </w:p>
        </w:tc>
      </w:tr>
      <w:tr w:rsidR="004949CA" w:rsidRPr="00086B1D" w14:paraId="017BA518" w14:textId="77777777" w:rsidTr="797530A1">
        <w:tc>
          <w:tcPr>
            <w:cnfStyle w:val="001000000000" w:firstRow="0" w:lastRow="0" w:firstColumn="1" w:lastColumn="0" w:oddVBand="0" w:evenVBand="0" w:oddHBand="0" w:evenHBand="0" w:firstRowFirstColumn="0" w:firstRowLastColumn="0" w:lastRowFirstColumn="0" w:lastRowLastColumn="0"/>
            <w:tcW w:w="5000" w:type="pct"/>
          </w:tcPr>
          <w:p w14:paraId="223199B7"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Cs w:val="0"/>
                <w:sz w:val="20"/>
                <w:szCs w:val="20"/>
              </w:rPr>
              <w:t>Mjera ENU-3: Program energetske obnove višestambenih zgrada</w:t>
            </w:r>
            <w:r w:rsidRPr="00086B1D">
              <w:rPr>
                <w:rFonts w:ascii="Tahoma" w:hAnsi="Tahoma" w:cs="Tahoma"/>
                <w:b w:val="0"/>
                <w:sz w:val="20"/>
                <w:szCs w:val="20"/>
              </w:rPr>
              <w:t xml:space="preserve"> definirana je kao alternativna mjera politike u smislu Zakona o energetskoj učinkovitosti za razdoblje 2021. do 2030. godine.</w:t>
            </w:r>
          </w:p>
          <w:p w14:paraId="63E2C630"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 w:val="0"/>
                <w:sz w:val="20"/>
                <w:szCs w:val="20"/>
              </w:rPr>
              <w:t xml:space="preserve">Program je potrebno koncipirati kao nastavak provedbe Programa energetske obnove višestambenih zgrada iz razdoblja od 2014. do 2020., uz sufinanciranje iz ESI fondova za sljedeće programsko razdoblje 2021.-2027. (s provedbom do 2030.). Potrebno je osigurati kontinuiranu provedbu obnove višestambenih zgrada objavom javnih poziva za dodjelu bespovratnih sredstava svake godine u razdoblju 2021.-2030., a provedbene procedure je potrebno značajno olakšati, poglavito u dijelu provedbe javne nabave. Potrebno je poticati dubinsku obnovu zgrada. Snažnije je potrebno poticati obnovu do </w:t>
            </w:r>
            <w:proofErr w:type="spellStart"/>
            <w:r w:rsidRPr="00086B1D">
              <w:rPr>
                <w:rFonts w:ascii="Tahoma" w:hAnsi="Tahoma" w:cs="Tahoma"/>
                <w:b w:val="0"/>
                <w:sz w:val="20"/>
                <w:szCs w:val="20"/>
              </w:rPr>
              <w:t>nZEB</w:t>
            </w:r>
            <w:proofErr w:type="spellEnd"/>
            <w:r w:rsidRPr="00086B1D">
              <w:rPr>
                <w:rFonts w:ascii="Tahoma" w:hAnsi="Tahoma" w:cs="Tahoma"/>
                <w:b w:val="0"/>
                <w:sz w:val="20"/>
                <w:szCs w:val="20"/>
              </w:rPr>
              <w:t xml:space="preserve"> standarda. Dodatno, potrebno je razmotriti osnivanje posebnog fonda iz kojega će se troškovi refundirati energetski siromašnim kućanstvima ili kućanstvima u riziku od energetskog siromaštva, kako bi se uklonila prepreka osiguravanja dovoljnog broja suglasnosti suvlasnika za energetsku obnovu. Provedba Programa mora biti praćena snažnim promotivnim aktivnostima, osiguranom tehničkom pomoći prijaviteljima te je nužno osigurati praćenje potrošnje energije prije i nakon energetske obnove, za što je potrebno stvoriti preduvjete u sklopu ISGE-a. Predviđa se obnavljati oko 520.000 m2 višestambenih zgrada godišnje. </w:t>
            </w:r>
          </w:p>
          <w:p w14:paraId="0DDA0EEF" w14:textId="2F28AF61" w:rsidR="004949CA" w:rsidRPr="00086B1D" w:rsidRDefault="23482790" w:rsidP="00086B1D">
            <w:pPr>
              <w:spacing w:beforeLines="60" w:before="144" w:afterLines="60" w:after="144"/>
              <w:jc w:val="both"/>
              <w:rPr>
                <w:rFonts w:ascii="Tahoma" w:hAnsi="Tahoma" w:cs="Tahoma"/>
                <w:sz w:val="20"/>
                <w:szCs w:val="20"/>
              </w:rPr>
            </w:pPr>
            <w:r w:rsidRPr="797530A1">
              <w:rPr>
                <w:rFonts w:ascii="Tahoma" w:hAnsi="Tahoma" w:cs="Tahoma"/>
                <w:sz w:val="20"/>
                <w:szCs w:val="20"/>
              </w:rPr>
              <w:t xml:space="preserve">Ciljevi, uvjeti i aktivnosti te navedene brojčane vrijednosti su okvirne, a detaljno će se utvrditi u </w:t>
            </w:r>
            <w:r w:rsidRPr="797530A1">
              <w:rPr>
                <w:rFonts w:ascii="Tahoma" w:hAnsi="Tahoma" w:cs="Tahoma"/>
                <w:strike/>
                <w:sz w:val="20"/>
                <w:szCs w:val="20"/>
              </w:rPr>
              <w:t xml:space="preserve"> </w:t>
            </w:r>
            <w:r w:rsidRPr="797530A1">
              <w:rPr>
                <w:rFonts w:ascii="Tahoma" w:hAnsi="Tahoma" w:cs="Tahoma"/>
                <w:sz w:val="20"/>
                <w:szCs w:val="20"/>
              </w:rPr>
              <w:t>Programu energetske obnove višestambenih zgrada za razdoblje od 2021. do 2030.</w:t>
            </w:r>
          </w:p>
        </w:tc>
      </w:tr>
      <w:tr w:rsidR="004949CA" w:rsidRPr="00086B1D" w14:paraId="68DA1C96" w14:textId="77777777" w:rsidTr="797530A1">
        <w:tc>
          <w:tcPr>
            <w:cnfStyle w:val="001000000000" w:firstRow="0" w:lastRow="0" w:firstColumn="1" w:lastColumn="0" w:oddVBand="0" w:evenVBand="0" w:oddHBand="0" w:evenHBand="0" w:firstRowFirstColumn="0" w:firstRowLastColumn="0" w:lastRowFirstColumn="0" w:lastRowLastColumn="0"/>
            <w:tcW w:w="5000" w:type="pct"/>
            <w:tcBorders>
              <w:bottom w:val="single" w:sz="12" w:space="0" w:color="999999"/>
            </w:tcBorders>
            <w:shd w:val="clear" w:color="auto" w:fill="E7E6E6" w:themeFill="background2"/>
          </w:tcPr>
          <w:p w14:paraId="7F793B05" w14:textId="77777777" w:rsidR="004949CA" w:rsidRPr="00086B1D" w:rsidRDefault="004949CA" w:rsidP="00086B1D">
            <w:pPr>
              <w:spacing w:beforeLines="60" w:before="144" w:afterLines="60" w:after="144"/>
              <w:jc w:val="center"/>
              <w:rPr>
                <w:rFonts w:ascii="Tahoma" w:hAnsi="Tahoma" w:cs="Tahoma"/>
                <w:bCs w:val="0"/>
                <w:sz w:val="20"/>
                <w:szCs w:val="20"/>
              </w:rPr>
            </w:pPr>
            <w:r w:rsidRPr="00086B1D">
              <w:rPr>
                <w:rFonts w:ascii="Tahoma" w:hAnsi="Tahoma" w:cs="Tahoma"/>
                <w:sz w:val="20"/>
                <w:szCs w:val="20"/>
                <w:lang w:eastAsia="hr-HR"/>
              </w:rPr>
              <w:t>Dugoročna strategija obnove nacionalnog fonda zgrada</w:t>
            </w:r>
          </w:p>
        </w:tc>
      </w:tr>
      <w:tr w:rsidR="004949CA" w:rsidRPr="00086B1D" w14:paraId="556823CA" w14:textId="77777777" w:rsidTr="797530A1">
        <w:tc>
          <w:tcPr>
            <w:cnfStyle w:val="001000000000" w:firstRow="0" w:lastRow="0" w:firstColumn="1" w:lastColumn="0" w:oddVBand="0" w:evenVBand="0" w:oddHBand="0" w:evenHBand="0" w:firstRowFirstColumn="0" w:firstRowLastColumn="0" w:lastRowFirstColumn="0" w:lastRowLastColumn="0"/>
            <w:tcW w:w="5000" w:type="pct"/>
          </w:tcPr>
          <w:p w14:paraId="12878FEB" w14:textId="31392D9A" w:rsidR="004949CA" w:rsidRPr="00086B1D" w:rsidRDefault="23482790" w:rsidP="00086B1D">
            <w:pPr>
              <w:spacing w:beforeLines="60" w:before="144" w:afterLines="60" w:after="144"/>
              <w:jc w:val="both"/>
              <w:rPr>
                <w:rFonts w:ascii="Tahoma" w:hAnsi="Tahoma" w:cs="Tahoma"/>
                <w:sz w:val="20"/>
                <w:szCs w:val="20"/>
              </w:rPr>
            </w:pPr>
            <w:r w:rsidRPr="797530A1">
              <w:rPr>
                <w:rFonts w:ascii="Tahoma" w:hAnsi="Tahoma" w:cs="Tahoma"/>
                <w:b w:val="0"/>
                <w:bCs w:val="0"/>
                <w:sz w:val="20"/>
                <w:szCs w:val="20"/>
              </w:rPr>
              <w:t xml:space="preserve">Temeljem dosadašnjih iskustava u provedbi programa energetske obnove zgrada u </w:t>
            </w:r>
            <w:r w:rsidRPr="0068468B">
              <w:rPr>
                <w:rFonts w:ascii="Tahoma" w:hAnsi="Tahoma" w:cs="Tahoma"/>
                <w:b w:val="0"/>
                <w:sz w:val="20"/>
                <w:szCs w:val="20"/>
              </w:rPr>
              <w:t>Republici</w:t>
            </w:r>
            <w:r w:rsidRPr="0068468B">
              <w:rPr>
                <w:rFonts w:ascii="Tahoma" w:hAnsi="Tahoma" w:cs="Tahoma"/>
                <w:b w:val="0"/>
                <w:bCs w:val="0"/>
                <w:sz w:val="20"/>
                <w:szCs w:val="20"/>
              </w:rPr>
              <w:t xml:space="preserve"> </w:t>
            </w:r>
            <w:r w:rsidRPr="797530A1">
              <w:rPr>
                <w:rFonts w:ascii="Tahoma" w:hAnsi="Tahoma" w:cs="Tahoma"/>
                <w:b w:val="0"/>
                <w:bCs w:val="0"/>
                <w:sz w:val="20"/>
                <w:szCs w:val="20"/>
              </w:rPr>
              <w:t xml:space="preserve">Hrvatskoj, mjere  javne  politike i  programi  sufinanciranja  bit  će  primarno usmjereni  na  javne  i  stamene  zgrade (višestambene zgrade i obiteljske kuće) i to one najlošijih karakteristika (zgrade energetskog razreda D prema </w:t>
            </w:r>
            <w:proofErr w:type="spellStart"/>
            <w:r w:rsidRPr="797530A1">
              <w:rPr>
                <w:rFonts w:ascii="Tahoma" w:hAnsi="Tahoma" w:cs="Tahoma"/>
                <w:b w:val="0"/>
                <w:bCs w:val="0"/>
                <w:sz w:val="20"/>
                <w:szCs w:val="20"/>
              </w:rPr>
              <w:t>Q</w:t>
            </w:r>
            <w:r w:rsidR="2E1509B3" w:rsidRPr="797530A1">
              <w:rPr>
                <w:rFonts w:ascii="Tahoma" w:hAnsi="Tahoma" w:cs="Tahoma"/>
                <w:b w:val="0"/>
                <w:bCs w:val="0"/>
                <w:sz w:val="20"/>
                <w:szCs w:val="20"/>
              </w:rPr>
              <w:t>”</w:t>
            </w:r>
            <w:r w:rsidRPr="003C5F70">
              <w:rPr>
                <w:rFonts w:ascii="Tahoma" w:hAnsi="Tahoma" w:cs="Tahoma"/>
                <w:sz w:val="20"/>
                <w:szCs w:val="20"/>
                <w:vertAlign w:val="subscript"/>
              </w:rPr>
              <w:t>H,nd</w:t>
            </w:r>
            <w:proofErr w:type="spellEnd"/>
            <w:r w:rsidRPr="797530A1">
              <w:rPr>
                <w:rFonts w:ascii="Tahoma" w:hAnsi="Tahoma" w:cs="Tahoma"/>
                <w:b w:val="0"/>
                <w:bCs w:val="0"/>
                <w:sz w:val="20"/>
                <w:szCs w:val="20"/>
              </w:rPr>
              <w:t xml:space="preserve"> ili lošije u kontinentalnoj Hrvatskoj, C ili lošije u primorskoj Hrvatskoj). Mjere odnosno programi predviđeni za energetsku obnovu ovih zgrada prikazani  su  u  nastavku  te  su  sastavni  dio  Integriranog nacionalnog  energetskog  i klimatskog  plana  za  razdoblje  od  2021.  do  2030.  godine. Provođenje mjera predviđa se i u razdoblju nakon 2030. godine odnosno  do  2050.  godine, uz  prilagodbu  temeljenu  na iskustvima iz same provedbe.</w:t>
            </w:r>
          </w:p>
          <w:p w14:paraId="75A8F3A6"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Cs w:val="0"/>
                <w:sz w:val="20"/>
                <w:szCs w:val="20"/>
              </w:rPr>
              <w:t xml:space="preserve">ENU-3: Program energetske obnove višestambenih zgrada - </w:t>
            </w:r>
            <w:r w:rsidRPr="00086B1D">
              <w:rPr>
                <w:rFonts w:ascii="Tahoma" w:hAnsi="Tahoma" w:cs="Tahoma"/>
                <w:b w:val="0"/>
                <w:sz w:val="20"/>
                <w:szCs w:val="20"/>
              </w:rPr>
              <w:t xml:space="preserve">Program je potrebno koncipirati kao nastavak provedbe Programa energetske obnove višestambenih iz razdoblja od 2014. do 2020., uz sufinanciranje iz sredstava Mehanizma za oporavak i otpornost i sredstva iz ESI fondova za sljedeće programsko razdoblje 2021.-2027. (s provedbom do 2030.),  a  provedbene  procedure  je  potrebno značajno  olakšati,  poglavito  u  dijelu  provedbe  javne nabave. Potrebno je poticati dubinsku obnovu zgrada te sveobuhvatnu obnovu. U slučaju zgrada koje se podvrgavaju značajnoj obnovi  poticati će se  visokoučinkoviti alternativni sustavi, u mjeri u kojoj je to tehnički, funkcionalno i gospodarski izvedivo te će se posebna pažnja posvetiti osiguranju zdravih unutarnjih klimatskih uvjeta, zaštiti od požara i  rizika povezanih s pojačanom seizmičkom aktivnost. Snažnije je potrebno poticati obnovu do </w:t>
            </w:r>
            <w:proofErr w:type="spellStart"/>
            <w:r w:rsidRPr="00086B1D">
              <w:rPr>
                <w:rFonts w:ascii="Tahoma" w:hAnsi="Tahoma" w:cs="Tahoma"/>
                <w:b w:val="0"/>
                <w:sz w:val="20"/>
                <w:szCs w:val="20"/>
              </w:rPr>
              <w:t>nZEB</w:t>
            </w:r>
            <w:proofErr w:type="spellEnd"/>
            <w:r w:rsidRPr="00086B1D">
              <w:rPr>
                <w:rFonts w:ascii="Tahoma" w:hAnsi="Tahoma" w:cs="Tahoma"/>
                <w:b w:val="0"/>
                <w:sz w:val="20"/>
                <w:szCs w:val="20"/>
              </w:rPr>
              <w:t xml:space="preserve"> standarda utvrđenog za obnovu. Dodatno, potrebno je razmotriti  osnivanje  posebnog  fonda  iz  kojega  će  se  troškovi  refundirati  energetski  siromašnim kućanstvima  ili  kućanstvima  u  riziku  od  energetskog  siromaštva,  kako  bi  se  uklonila  prepreka osiguravanja dovoljnog broja </w:t>
            </w:r>
            <w:r w:rsidRPr="00086B1D">
              <w:rPr>
                <w:rFonts w:ascii="Tahoma" w:hAnsi="Tahoma" w:cs="Tahoma"/>
                <w:b w:val="0"/>
                <w:sz w:val="20"/>
                <w:szCs w:val="20"/>
              </w:rPr>
              <w:lastRenderedPageBreak/>
              <w:t>suglasnosti suvlasnika za energetsku obnovu. Uštede su izračunate uz pretpostavku energetske obnove zgrada na razinu zadovoljavanja uvjeta iz Tehničkog propisa  o racionalnoj uporabi energije i toplinskoj zaštiti u zgradama, prema razdobljima izgradnje  zgrada, po godišnjoj stopi obnove koja na početku razdoblja (2021. godine) iznosi 1%, a potom se do 2030. godine postupno povećava na 3%.</w:t>
            </w:r>
          </w:p>
          <w:p w14:paraId="6D9819DE" w14:textId="46DCF733" w:rsidR="004949CA" w:rsidRPr="00086B1D" w:rsidRDefault="23482790" w:rsidP="00086B1D">
            <w:pPr>
              <w:spacing w:beforeLines="60" w:before="144" w:afterLines="60" w:after="144"/>
              <w:jc w:val="both"/>
              <w:rPr>
                <w:rFonts w:ascii="Tahoma" w:hAnsi="Tahoma" w:cs="Tahoma"/>
                <w:b w:val="0"/>
                <w:bCs w:val="0"/>
                <w:sz w:val="20"/>
                <w:szCs w:val="20"/>
              </w:rPr>
            </w:pPr>
            <w:r w:rsidRPr="797530A1">
              <w:rPr>
                <w:rFonts w:ascii="Tahoma" w:hAnsi="Tahoma" w:cs="Tahoma"/>
                <w:sz w:val="20"/>
                <w:szCs w:val="20"/>
              </w:rPr>
              <w:t>Ciljevi, uvjeti i aktivnosti te navedene brojčane vrijednosti su okvirne, a detaljno će se utvrditi u Programu energetske obnove višestambenih zgrada za razdoblje od 2021. do 2030.</w:t>
            </w:r>
          </w:p>
          <w:p w14:paraId="7F254F82" w14:textId="77777777" w:rsidR="004949CA" w:rsidRPr="00086B1D" w:rsidRDefault="004949CA" w:rsidP="00086B1D">
            <w:pPr>
              <w:spacing w:beforeLines="60" w:before="144" w:afterLines="60" w:after="144"/>
              <w:jc w:val="both"/>
              <w:rPr>
                <w:rFonts w:ascii="Tahoma" w:hAnsi="Tahoma" w:cs="Tahoma"/>
                <w:bCs w:val="0"/>
                <w:sz w:val="20"/>
                <w:szCs w:val="20"/>
              </w:rPr>
            </w:pPr>
            <w:r w:rsidRPr="00086B1D">
              <w:rPr>
                <w:rFonts w:ascii="Tahoma" w:hAnsi="Tahoma" w:cs="Tahoma"/>
                <w:bCs w:val="0"/>
                <w:sz w:val="20"/>
                <w:szCs w:val="20"/>
              </w:rPr>
              <w:t xml:space="preserve">Usvajanje i provedba Programa suzbijanja energetskog siromaštva koji uključuje korištenje obnovljivih  izvora  energije  u  stambenim  zgradama  na  potpomognutim  područjima  i područjima posebne državne skrbi za razdoblje 2021. –2025. godine – </w:t>
            </w:r>
            <w:r w:rsidRPr="00086B1D">
              <w:rPr>
                <w:rFonts w:ascii="Tahoma" w:hAnsi="Tahoma" w:cs="Tahoma"/>
                <w:b w:val="0"/>
                <w:sz w:val="20"/>
                <w:szCs w:val="20"/>
              </w:rPr>
              <w:t xml:space="preserve">Programom se predviđa sveobuhvatna obnova zgrada na potpomognutim područjima i područjima posebne državne skrbi, a ukupno je obuhvaćeno 397 zgrada, ukupne površine 297.575 m², za čiju obnovu je potrebno uložiti 297 do 355 milijuna kuna. Za provedbu Programa zadužen je Središnji  državni  ured  za  obnovu  i  stambeno  zbrinjavanje  (SDUOSZ), a financiranje treba osigurati iz sredstava FZOEU i/ili EU sredstva.  </w:t>
            </w:r>
          </w:p>
        </w:tc>
      </w:tr>
    </w:tbl>
    <w:p w14:paraId="1731D613" w14:textId="297E6592" w:rsidR="004949CA" w:rsidRPr="00AE4861" w:rsidRDefault="75D70669" w:rsidP="00FF49C9">
      <w:pPr>
        <w:jc w:val="both"/>
        <w:rPr>
          <w:rFonts w:ascii="Tahoma" w:hAnsi="Tahoma" w:cs="Tahoma"/>
          <w:strike/>
          <w:sz w:val="20"/>
          <w:szCs w:val="20"/>
        </w:rPr>
      </w:pPr>
      <w:r w:rsidRPr="797530A1">
        <w:rPr>
          <w:rFonts w:ascii="Tahoma" w:hAnsi="Tahoma" w:cs="Tahoma"/>
          <w:sz w:val="20"/>
          <w:szCs w:val="20"/>
        </w:rPr>
        <w:lastRenderedPageBreak/>
        <w:t>Zaključno</w:t>
      </w:r>
      <w:r w:rsidR="23482790" w:rsidRPr="797530A1">
        <w:rPr>
          <w:rFonts w:ascii="Tahoma" w:hAnsi="Tahoma" w:cs="Tahoma"/>
          <w:sz w:val="20"/>
          <w:szCs w:val="20"/>
        </w:rPr>
        <w:t xml:space="preserve">, donošenje ovog Programa jasno je utvrđeno u strateškim dokumentima </w:t>
      </w:r>
      <w:r w:rsidR="00FF49C9" w:rsidRPr="797530A1">
        <w:rPr>
          <w:rFonts w:ascii="Tahoma" w:hAnsi="Tahoma" w:cs="Tahoma"/>
          <w:sz w:val="20"/>
          <w:szCs w:val="20"/>
        </w:rPr>
        <w:t>Hrvatske.</w:t>
      </w:r>
      <w:r w:rsidR="00FF49C9" w:rsidRPr="797530A1">
        <w:rPr>
          <w:rFonts w:ascii="Tahoma" w:hAnsi="Tahoma" w:cs="Tahoma"/>
          <w:strike/>
          <w:sz w:val="20"/>
          <w:szCs w:val="20"/>
        </w:rPr>
        <w:t xml:space="preserve"> </w:t>
      </w:r>
    </w:p>
    <w:p w14:paraId="6DEE5AA3" w14:textId="77777777" w:rsidR="004949CA" w:rsidRPr="00086B1D" w:rsidRDefault="004949CA" w:rsidP="00FF49C9">
      <w:pPr>
        <w:jc w:val="both"/>
        <w:rPr>
          <w:rFonts w:ascii="Tahoma" w:hAnsi="Tahoma" w:cs="Tahoma"/>
          <w:sz w:val="20"/>
          <w:szCs w:val="20"/>
          <w:highlight w:val="yellow"/>
          <w:lang w:eastAsia="hr-HR"/>
        </w:rPr>
      </w:pPr>
      <w:r w:rsidRPr="00086B1D">
        <w:rPr>
          <w:rFonts w:ascii="Tahoma" w:hAnsi="Tahoma" w:cs="Tahoma"/>
          <w:sz w:val="20"/>
          <w:szCs w:val="20"/>
        </w:rPr>
        <w:t>Što se tiče u</w:t>
      </w:r>
      <w:r w:rsidRPr="00086B1D">
        <w:rPr>
          <w:rFonts w:ascii="Tahoma" w:hAnsi="Tahoma" w:cs="Tahoma"/>
          <w:sz w:val="20"/>
          <w:szCs w:val="20"/>
          <w:lang w:eastAsia="hr-HR"/>
        </w:rPr>
        <w:t>sklađenosti s dokumentima prostornog uređenja, p</w:t>
      </w:r>
      <w:r w:rsidRPr="00086B1D">
        <w:rPr>
          <w:rFonts w:ascii="Tahoma" w:hAnsi="Tahoma" w:cs="Tahoma"/>
          <w:sz w:val="20"/>
          <w:szCs w:val="20"/>
        </w:rPr>
        <w:t xml:space="preserve">rostorni plan županije i prostorni plan uređenja velikog grada, grada, odnosno općine osnovni su dokumenti kojim se određuje svrhovita organizacija, korištenje i namjena prostora na razini jedinica regionalne i lokalne samouprave. Ovim Programom obuhvaćena je obnova postojećih višestambenih zgrada i njime se ne predviđaju nikakve aktivnosti koje bi zahtijevale nove intervencije u prostoru pa stoga neće biti potrebne niti izmjene navedenih dokumenata prostornog uređenja. </w:t>
      </w:r>
    </w:p>
    <w:p w14:paraId="6C1800D8" w14:textId="77777777" w:rsidR="004949CA" w:rsidRPr="00086B1D" w:rsidRDefault="004949CA" w:rsidP="00AE4861">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jc w:val="both"/>
        <w:rPr>
          <w:rFonts w:ascii="Tahoma" w:hAnsi="Tahoma" w:cs="Tahoma"/>
          <w:sz w:val="20"/>
          <w:szCs w:val="20"/>
        </w:rPr>
      </w:pPr>
      <w:r w:rsidRPr="00086B1D">
        <w:rPr>
          <w:rFonts w:ascii="Tahoma" w:hAnsi="Tahoma" w:cs="Tahoma"/>
          <w:b/>
          <w:bCs/>
          <w:sz w:val="20"/>
          <w:szCs w:val="20"/>
        </w:rPr>
        <w:t>Ovaj program u cijelosti je usklađen s Nacionalnom razvojnom strategijom Republike Hrvatske do 2030. godine, ostalim relevantnim nacionalnim strateškim i planskim dokumentima kao i dokumentima prostornog uređenja.</w:t>
      </w:r>
      <w:r w:rsidRPr="00086B1D">
        <w:rPr>
          <w:rFonts w:ascii="Tahoma" w:hAnsi="Tahoma" w:cs="Tahoma"/>
          <w:sz w:val="20"/>
          <w:szCs w:val="20"/>
        </w:rPr>
        <w:t xml:space="preserve">  </w:t>
      </w:r>
    </w:p>
    <w:p w14:paraId="6FE55261" w14:textId="77777777" w:rsidR="004949CA" w:rsidRPr="0091152F" w:rsidRDefault="004949CA" w:rsidP="004949CA">
      <w:pPr>
        <w:pStyle w:val="Naslov10"/>
      </w:pPr>
      <w:bookmarkStart w:id="47" w:name="_Toc81836277"/>
      <w:bookmarkStart w:id="48" w:name="_Toc83912049"/>
      <w:r w:rsidRPr="0091152F">
        <w:lastRenderedPageBreak/>
        <w:t>Analiza postojećeg stanja višestambenih zgrada u kontekstu energetske učinkovitosti</w:t>
      </w:r>
      <w:bookmarkEnd w:id="47"/>
      <w:bookmarkEnd w:id="48"/>
      <w:r w:rsidRPr="0091152F">
        <w:t xml:space="preserve"> </w:t>
      </w:r>
    </w:p>
    <w:p w14:paraId="4B965371" w14:textId="3C040E10" w:rsidR="004949CA" w:rsidRPr="0091152F" w:rsidRDefault="004949CA" w:rsidP="004949CA">
      <w:pPr>
        <w:pStyle w:val="Naslov20"/>
      </w:pPr>
      <w:bookmarkStart w:id="49" w:name="_Toc72081599"/>
      <w:bookmarkStart w:id="50" w:name="_Toc81836278"/>
      <w:bookmarkStart w:id="51" w:name="_Toc83912050"/>
      <w:r w:rsidRPr="0091152F">
        <w:t>Pregled fonda višestambenih zgrada u Hrvatskoj</w:t>
      </w:r>
      <w:bookmarkEnd w:id="49"/>
      <w:bookmarkEnd w:id="50"/>
      <w:bookmarkEnd w:id="51"/>
    </w:p>
    <w:p w14:paraId="610BE7CC" w14:textId="029C4300" w:rsidR="004949CA" w:rsidRPr="00086B1D" w:rsidRDefault="004949CA" w:rsidP="00086B1D">
      <w:pPr>
        <w:jc w:val="both"/>
        <w:rPr>
          <w:rFonts w:ascii="Tahoma" w:hAnsi="Tahoma" w:cs="Tahoma"/>
          <w:sz w:val="20"/>
          <w:szCs w:val="20"/>
        </w:rPr>
      </w:pPr>
      <w:r w:rsidRPr="00086B1D">
        <w:rPr>
          <w:rFonts w:ascii="Tahoma" w:hAnsi="Tahoma" w:cs="Tahoma"/>
          <w:sz w:val="20"/>
          <w:szCs w:val="20"/>
        </w:rPr>
        <w:t>Stambeni fond zgrada utvrđen je na temelju podataka popisa stanovništva, kućanstava i stanova 2011. godine o nastanjenim stanovima prema godini gradnje, vrsti zgrade i broju kućanstava, te statističkih izvještaja o građevinarstvu 2010. – 2018. godine</w:t>
      </w:r>
      <w:r w:rsidRPr="00086B1D">
        <w:rPr>
          <w:rStyle w:val="Referencafusnote"/>
          <w:rFonts w:cs="Tahoma"/>
          <w:sz w:val="20"/>
          <w:szCs w:val="20"/>
        </w:rPr>
        <w:footnoteReference w:id="6"/>
      </w:r>
      <w:r w:rsidRPr="00086B1D">
        <w:rPr>
          <w:rFonts w:ascii="Tahoma" w:hAnsi="Tahoma" w:cs="Tahoma"/>
          <w:sz w:val="20"/>
          <w:szCs w:val="20"/>
        </w:rPr>
        <w:t xml:space="preserve">. Fond stambenih zgrada je podijeljen na obiteljske kuće i višestambene zgrade, pri čemu su u obiteljskim kućama obuhvaćene zgrade s jednim i dva stana, a višestambenim zgradama su obuhvaćene sve zgrade s tri stana i više, te zgrade za stanovanje zajednica i stanovi u nestambenim zgradama. Promjena u fondu stambenih zgrada od 2011. do 2019. godine utvrđena je na temelju izdanih građevnih dozvola za razdoblje 2010. do 2018., umanjenom za udio privremeno i trajno napuštenih stanova u ukupnom fondu. Završene zgrade prate trend izdanih građevinskih dozvola s kašnjenjem od jedne godine, s ukupnom površinom završenih zgrada koja je 7,75% manja od površine zgrada za koje su izdane građevinske dozvole. Stanovi koji su u statističkim podacima isključeni iz fonda zbog registriranog rušenja ili prenamjene čine u prosjeku manje od 5% površine novogradnje, nisu izbačeni iz fonda zgrada, te je moguće odstupanje u odnosu na stvarni broj i površinu stanova. Dodatne moguće pogreške nastaju zbog nepotpunih izvora podataka o srušenim stanovima, nepostojanja evidencije o napuštenim dotrajalim stanovima koji se više ne mogu koristiti za stanovanje, promjene namjene za koju se koristi stan (npr. ako se koristi za nestambene svrhe) te različite druge nezakonite preinake zgrada. Uz to, veliki udio privremeno napuštenih stanova u ukupnom fondu, koji se udvostručio od popisa stanovništva 2011. godine, s trendom daljnjeg povećanja, ima pojedinačno najveći utjecaj na broj stalno naseljenih stanova, te su pri kraju popisnog razdoblja ova odstupanja u odnosu na stvarno stanje fonda najveća. </w:t>
      </w:r>
    </w:p>
    <w:p w14:paraId="20C85D78" w14:textId="2CE70B9B" w:rsidR="004949CA" w:rsidRPr="00086B1D" w:rsidRDefault="00C40C92" w:rsidP="00086B1D">
      <w:pPr>
        <w:jc w:val="both"/>
        <w:rPr>
          <w:rFonts w:ascii="Tahoma" w:hAnsi="Tahoma" w:cs="Tahoma"/>
          <w:sz w:val="20"/>
          <w:szCs w:val="20"/>
        </w:rPr>
      </w:pPr>
      <w:r>
        <w:rPr>
          <w:rFonts w:ascii="Tahoma" w:hAnsi="Tahoma" w:cs="Tahoma"/>
          <w:sz w:val="20"/>
          <w:szCs w:val="20"/>
        </w:rPr>
        <w:t xml:space="preserve">Tablica 3-1 </w:t>
      </w:r>
      <w:r w:rsidR="004949CA" w:rsidRPr="00086B1D">
        <w:rPr>
          <w:rFonts w:ascii="Tahoma" w:hAnsi="Tahoma" w:cs="Tahoma"/>
          <w:sz w:val="20"/>
          <w:szCs w:val="20"/>
        </w:rPr>
        <w:t xml:space="preserve">prikazuje ukupan stambeni fond u </w:t>
      </w:r>
      <w:r w:rsidR="00223AAD">
        <w:rPr>
          <w:rFonts w:ascii="Tahoma" w:hAnsi="Tahoma" w:cs="Tahoma"/>
          <w:sz w:val="20"/>
          <w:szCs w:val="20"/>
        </w:rPr>
        <w:t>Hrvatskoj</w:t>
      </w:r>
      <w:r w:rsidR="004949CA" w:rsidRPr="00086B1D">
        <w:rPr>
          <w:rFonts w:ascii="Tahoma" w:hAnsi="Tahoma" w:cs="Tahoma"/>
          <w:sz w:val="20"/>
          <w:szCs w:val="20"/>
        </w:rPr>
        <w:t xml:space="preserve"> po županijama. </w:t>
      </w:r>
    </w:p>
    <w:p w14:paraId="41B68EB3" w14:textId="78B458E2" w:rsidR="004949CA" w:rsidRPr="00DE7F43" w:rsidRDefault="004949CA" w:rsidP="004949CA">
      <w:pPr>
        <w:pStyle w:val="Opisslike"/>
      </w:pPr>
      <w:bookmarkStart w:id="52" w:name="_Toc72081536"/>
      <w:bookmarkStart w:id="53" w:name="_Ref83113551"/>
      <w:bookmarkStart w:id="54" w:name="_Toc84240484"/>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1</w:t>
      </w:r>
      <w:r w:rsidRPr="00DE7F43">
        <w:rPr>
          <w:noProof/>
        </w:rPr>
        <w:fldChar w:fldCharType="end"/>
      </w:r>
      <w:r w:rsidRPr="00DE7F43">
        <w:t xml:space="preserve">: Stambeni fond </w:t>
      </w:r>
      <w:r w:rsidR="00223AAD">
        <w:t>Hrvatske</w:t>
      </w:r>
      <w:r w:rsidRPr="00DE7F43">
        <w:t xml:space="preserve"> po županijama u 2019. godini</w:t>
      </w:r>
      <w:bookmarkEnd w:id="52"/>
      <w:bookmarkEnd w:id="53"/>
      <w:bookmarkEnd w:id="54"/>
      <w:r w:rsidRPr="00DE7F43">
        <w:t xml:space="preserve">  </w:t>
      </w:r>
    </w:p>
    <w:tbl>
      <w:tblPr>
        <w:tblStyle w:val="Svijetlatablicareetke110"/>
        <w:tblW w:w="9351" w:type="dxa"/>
        <w:tblLook w:val="04A0" w:firstRow="1" w:lastRow="0" w:firstColumn="1" w:lastColumn="0" w:noHBand="0" w:noVBand="1"/>
      </w:tblPr>
      <w:tblGrid>
        <w:gridCol w:w="481"/>
        <w:gridCol w:w="2460"/>
        <w:gridCol w:w="1434"/>
        <w:gridCol w:w="1771"/>
        <w:gridCol w:w="1434"/>
        <w:gridCol w:w="1771"/>
      </w:tblGrid>
      <w:tr w:rsidR="004949CA" w:rsidRPr="00086B1D" w14:paraId="047393AA" w14:textId="77777777" w:rsidTr="00331A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138D3528" w14:textId="77777777" w:rsidR="004949CA" w:rsidRPr="00086B1D" w:rsidRDefault="004949CA" w:rsidP="00331A63">
            <w:pPr>
              <w:rPr>
                <w:rFonts w:ascii="Tahoma" w:hAnsi="Tahoma" w:cs="Tahoma"/>
                <w:sz w:val="18"/>
                <w:szCs w:val="18"/>
                <w:lang w:eastAsia="en-GB"/>
              </w:rPr>
            </w:pPr>
          </w:p>
        </w:tc>
        <w:tc>
          <w:tcPr>
            <w:tcW w:w="2281" w:type="dxa"/>
            <w:hideMark/>
          </w:tcPr>
          <w:p w14:paraId="2B3D07FD" w14:textId="77777777" w:rsidR="004949CA" w:rsidRPr="00086B1D"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Naziv županije</w:t>
            </w:r>
          </w:p>
        </w:tc>
        <w:tc>
          <w:tcPr>
            <w:tcW w:w="1189" w:type="dxa"/>
            <w:noWrap/>
          </w:tcPr>
          <w:p w14:paraId="5F684130"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OBITELJSKE KUĆE - ukupni broj [-]</w:t>
            </w:r>
          </w:p>
        </w:tc>
        <w:tc>
          <w:tcPr>
            <w:tcW w:w="0" w:type="dxa"/>
          </w:tcPr>
          <w:p w14:paraId="3D99A4D5"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highlight w:val="green"/>
                <w:lang w:eastAsia="en-GB"/>
              </w:rPr>
            </w:pPr>
            <w:r w:rsidRPr="00086B1D">
              <w:rPr>
                <w:rFonts w:ascii="Tahoma" w:hAnsi="Tahoma" w:cs="Tahoma"/>
                <w:sz w:val="18"/>
                <w:szCs w:val="18"/>
                <w:lang w:eastAsia="en-GB"/>
              </w:rPr>
              <w:t>VIŠESTAMBENE ZGRADE - ukupni broj [-]</w:t>
            </w:r>
          </w:p>
        </w:tc>
        <w:tc>
          <w:tcPr>
            <w:tcW w:w="0" w:type="dxa"/>
          </w:tcPr>
          <w:p w14:paraId="4A55436A"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highlight w:val="green"/>
                <w:lang w:eastAsia="en-GB"/>
              </w:rPr>
            </w:pPr>
            <w:r w:rsidRPr="00086B1D">
              <w:rPr>
                <w:rFonts w:ascii="Tahoma" w:hAnsi="Tahoma" w:cs="Tahoma"/>
                <w:sz w:val="18"/>
                <w:szCs w:val="18"/>
                <w:lang w:eastAsia="en-GB"/>
              </w:rPr>
              <w:t>OBITELJSKE KUĆE -ukupna ploština korisne površine grijanog dijela zgrada [m</w:t>
            </w:r>
            <w:r w:rsidRPr="00086B1D">
              <w:rPr>
                <w:rFonts w:ascii="Tahoma" w:hAnsi="Tahoma" w:cs="Tahoma"/>
                <w:sz w:val="18"/>
                <w:szCs w:val="18"/>
                <w:vertAlign w:val="superscript"/>
                <w:lang w:eastAsia="en-GB"/>
              </w:rPr>
              <w:t>2</w:t>
            </w:r>
            <w:r w:rsidRPr="00086B1D">
              <w:rPr>
                <w:rFonts w:ascii="Tahoma" w:hAnsi="Tahoma" w:cs="Tahoma"/>
                <w:sz w:val="18"/>
                <w:szCs w:val="18"/>
                <w:lang w:eastAsia="en-GB"/>
              </w:rPr>
              <w:t>]</w:t>
            </w:r>
          </w:p>
        </w:tc>
        <w:tc>
          <w:tcPr>
            <w:tcW w:w="0" w:type="dxa"/>
            <w:noWrap/>
          </w:tcPr>
          <w:p w14:paraId="440810A6"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VIŠESTAMBENE ZGRADE -ukupna ploština korisne površine grijanog dijela zgrada [m</w:t>
            </w:r>
            <w:r w:rsidRPr="00086B1D">
              <w:rPr>
                <w:rFonts w:ascii="Tahoma" w:hAnsi="Tahoma" w:cs="Tahoma"/>
                <w:sz w:val="18"/>
                <w:szCs w:val="18"/>
                <w:vertAlign w:val="superscript"/>
                <w:lang w:eastAsia="en-GB"/>
              </w:rPr>
              <w:t>2</w:t>
            </w:r>
            <w:r w:rsidRPr="00086B1D">
              <w:rPr>
                <w:rFonts w:ascii="Tahoma" w:hAnsi="Tahoma" w:cs="Tahoma"/>
                <w:sz w:val="18"/>
                <w:szCs w:val="18"/>
                <w:lang w:eastAsia="en-GB"/>
              </w:rPr>
              <w:t>]</w:t>
            </w:r>
          </w:p>
        </w:tc>
      </w:tr>
      <w:tr w:rsidR="004949CA" w:rsidRPr="00086B1D" w14:paraId="77DF8A74"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60F48EB0"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w:t>
            </w:r>
          </w:p>
        </w:tc>
        <w:tc>
          <w:tcPr>
            <w:tcW w:w="2281" w:type="dxa"/>
            <w:noWrap/>
          </w:tcPr>
          <w:p w14:paraId="2112DD0B"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Zagrebačka</w:t>
            </w:r>
          </w:p>
        </w:tc>
        <w:tc>
          <w:tcPr>
            <w:tcW w:w="1189" w:type="dxa"/>
            <w:noWrap/>
          </w:tcPr>
          <w:p w14:paraId="6BB6A01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72.081</w:t>
            </w:r>
          </w:p>
        </w:tc>
        <w:tc>
          <w:tcPr>
            <w:tcW w:w="0" w:type="dxa"/>
          </w:tcPr>
          <w:p w14:paraId="5827D1C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4.445</w:t>
            </w:r>
          </w:p>
        </w:tc>
        <w:tc>
          <w:tcPr>
            <w:tcW w:w="0" w:type="dxa"/>
          </w:tcPr>
          <w:p w14:paraId="0AA7368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7.512.556</w:t>
            </w:r>
          </w:p>
        </w:tc>
        <w:tc>
          <w:tcPr>
            <w:tcW w:w="0" w:type="dxa"/>
            <w:noWrap/>
          </w:tcPr>
          <w:p w14:paraId="4BE3A93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1.748.929</w:t>
            </w:r>
          </w:p>
        </w:tc>
      </w:tr>
      <w:tr w:rsidR="004949CA" w:rsidRPr="00086B1D" w14:paraId="0EEF28A4"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55CF7E6C"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2</w:t>
            </w:r>
          </w:p>
        </w:tc>
        <w:tc>
          <w:tcPr>
            <w:tcW w:w="2281" w:type="dxa"/>
            <w:noWrap/>
          </w:tcPr>
          <w:p w14:paraId="1431DFDC"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Krapinsko-zagorska</w:t>
            </w:r>
          </w:p>
        </w:tc>
        <w:tc>
          <w:tcPr>
            <w:tcW w:w="1189" w:type="dxa"/>
            <w:noWrap/>
          </w:tcPr>
          <w:p w14:paraId="5865C09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36.359</w:t>
            </w:r>
          </w:p>
        </w:tc>
        <w:tc>
          <w:tcPr>
            <w:tcW w:w="0" w:type="dxa"/>
          </w:tcPr>
          <w:p w14:paraId="529AD14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846</w:t>
            </w:r>
          </w:p>
        </w:tc>
        <w:tc>
          <w:tcPr>
            <w:tcW w:w="0" w:type="dxa"/>
          </w:tcPr>
          <w:p w14:paraId="185C4C6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3.367.853</w:t>
            </w:r>
          </w:p>
        </w:tc>
        <w:tc>
          <w:tcPr>
            <w:tcW w:w="0" w:type="dxa"/>
            <w:noWrap/>
          </w:tcPr>
          <w:p w14:paraId="27EB74D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316.687</w:t>
            </w:r>
          </w:p>
        </w:tc>
      </w:tr>
      <w:tr w:rsidR="004949CA" w:rsidRPr="00086B1D" w14:paraId="04780A10"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07F6D3B4"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3</w:t>
            </w:r>
          </w:p>
        </w:tc>
        <w:tc>
          <w:tcPr>
            <w:tcW w:w="2281" w:type="dxa"/>
            <w:noWrap/>
          </w:tcPr>
          <w:p w14:paraId="232455BE"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Sisačko-moslavačka</w:t>
            </w:r>
          </w:p>
        </w:tc>
        <w:tc>
          <w:tcPr>
            <w:tcW w:w="1189" w:type="dxa"/>
            <w:noWrap/>
          </w:tcPr>
          <w:p w14:paraId="43FA1A1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48.310</w:t>
            </w:r>
          </w:p>
        </w:tc>
        <w:tc>
          <w:tcPr>
            <w:tcW w:w="0" w:type="dxa"/>
          </w:tcPr>
          <w:p w14:paraId="6CC7A37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2.103</w:t>
            </w:r>
          </w:p>
        </w:tc>
        <w:tc>
          <w:tcPr>
            <w:tcW w:w="0" w:type="dxa"/>
          </w:tcPr>
          <w:p w14:paraId="41D6240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4.316.309</w:t>
            </w:r>
          </w:p>
        </w:tc>
        <w:tc>
          <w:tcPr>
            <w:tcW w:w="0" w:type="dxa"/>
            <w:noWrap/>
          </w:tcPr>
          <w:p w14:paraId="4F30213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912.870</w:t>
            </w:r>
          </w:p>
        </w:tc>
      </w:tr>
      <w:tr w:rsidR="004949CA" w:rsidRPr="00086B1D" w14:paraId="2D8B89F3"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0C26C6AE"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4</w:t>
            </w:r>
          </w:p>
        </w:tc>
        <w:tc>
          <w:tcPr>
            <w:tcW w:w="2281" w:type="dxa"/>
            <w:noWrap/>
          </w:tcPr>
          <w:p w14:paraId="46A0C3E6"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Karlovačka</w:t>
            </w:r>
          </w:p>
        </w:tc>
        <w:tc>
          <w:tcPr>
            <w:tcW w:w="1189" w:type="dxa"/>
            <w:noWrap/>
          </w:tcPr>
          <w:p w14:paraId="20881B5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31.229</w:t>
            </w:r>
          </w:p>
        </w:tc>
        <w:tc>
          <w:tcPr>
            <w:tcW w:w="0" w:type="dxa"/>
          </w:tcPr>
          <w:p w14:paraId="208E52D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2.000</w:t>
            </w:r>
          </w:p>
        </w:tc>
        <w:tc>
          <w:tcPr>
            <w:tcW w:w="0" w:type="dxa"/>
          </w:tcPr>
          <w:p w14:paraId="0F0DDC3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2.617.762</w:t>
            </w:r>
          </w:p>
        </w:tc>
        <w:tc>
          <w:tcPr>
            <w:tcW w:w="0" w:type="dxa"/>
            <w:noWrap/>
          </w:tcPr>
          <w:p w14:paraId="21C56A4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1.068.430</w:t>
            </w:r>
          </w:p>
        </w:tc>
      </w:tr>
      <w:tr w:rsidR="004949CA" w:rsidRPr="00086B1D" w14:paraId="014313BF"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5D380CC9"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5</w:t>
            </w:r>
          </w:p>
        </w:tc>
        <w:tc>
          <w:tcPr>
            <w:tcW w:w="2281" w:type="dxa"/>
            <w:noWrap/>
          </w:tcPr>
          <w:p w14:paraId="4A4F6F3C"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Varaždinska</w:t>
            </w:r>
          </w:p>
        </w:tc>
        <w:tc>
          <w:tcPr>
            <w:tcW w:w="1189" w:type="dxa"/>
            <w:noWrap/>
          </w:tcPr>
          <w:p w14:paraId="646B201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42.896</w:t>
            </w:r>
          </w:p>
        </w:tc>
        <w:tc>
          <w:tcPr>
            <w:tcW w:w="0" w:type="dxa"/>
          </w:tcPr>
          <w:p w14:paraId="7CBA331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782</w:t>
            </w:r>
          </w:p>
        </w:tc>
        <w:tc>
          <w:tcPr>
            <w:tcW w:w="0" w:type="dxa"/>
          </w:tcPr>
          <w:p w14:paraId="0E480B4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4.091.976</w:t>
            </w:r>
          </w:p>
        </w:tc>
        <w:tc>
          <w:tcPr>
            <w:tcW w:w="0" w:type="dxa"/>
            <w:noWrap/>
          </w:tcPr>
          <w:p w14:paraId="7CE53C3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876.483</w:t>
            </w:r>
          </w:p>
        </w:tc>
      </w:tr>
      <w:tr w:rsidR="004949CA" w:rsidRPr="00086B1D" w14:paraId="7DFD4B39"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05594841"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6</w:t>
            </w:r>
          </w:p>
        </w:tc>
        <w:tc>
          <w:tcPr>
            <w:tcW w:w="2281" w:type="dxa"/>
            <w:noWrap/>
          </w:tcPr>
          <w:p w14:paraId="4D358C21"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Koprivničko-križevačka</w:t>
            </w:r>
          </w:p>
        </w:tc>
        <w:tc>
          <w:tcPr>
            <w:tcW w:w="1189" w:type="dxa"/>
            <w:noWrap/>
          </w:tcPr>
          <w:p w14:paraId="1A4D9AE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32.108</w:t>
            </w:r>
          </w:p>
        </w:tc>
        <w:tc>
          <w:tcPr>
            <w:tcW w:w="0" w:type="dxa"/>
          </w:tcPr>
          <w:p w14:paraId="2E3C3A0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726</w:t>
            </w:r>
          </w:p>
        </w:tc>
        <w:tc>
          <w:tcPr>
            <w:tcW w:w="0" w:type="dxa"/>
          </w:tcPr>
          <w:p w14:paraId="578AFB8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3.154.689</w:t>
            </w:r>
          </w:p>
        </w:tc>
        <w:tc>
          <w:tcPr>
            <w:tcW w:w="0" w:type="dxa"/>
            <w:noWrap/>
          </w:tcPr>
          <w:p w14:paraId="09E053D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417.205</w:t>
            </w:r>
          </w:p>
        </w:tc>
      </w:tr>
      <w:tr w:rsidR="004949CA" w:rsidRPr="00086B1D" w14:paraId="31A6B5AD"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793BCE07"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lastRenderedPageBreak/>
              <w:t>7</w:t>
            </w:r>
          </w:p>
        </w:tc>
        <w:tc>
          <w:tcPr>
            <w:tcW w:w="2281" w:type="dxa"/>
            <w:noWrap/>
          </w:tcPr>
          <w:p w14:paraId="065BDA5B"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Bjelovarsko-bilogorska</w:t>
            </w:r>
          </w:p>
        </w:tc>
        <w:tc>
          <w:tcPr>
            <w:tcW w:w="1189" w:type="dxa"/>
            <w:noWrap/>
          </w:tcPr>
          <w:p w14:paraId="0CD4999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34.345</w:t>
            </w:r>
          </w:p>
        </w:tc>
        <w:tc>
          <w:tcPr>
            <w:tcW w:w="0" w:type="dxa"/>
          </w:tcPr>
          <w:p w14:paraId="531623F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1.427</w:t>
            </w:r>
          </w:p>
        </w:tc>
        <w:tc>
          <w:tcPr>
            <w:tcW w:w="0" w:type="dxa"/>
          </w:tcPr>
          <w:p w14:paraId="136E348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3.141.986</w:t>
            </w:r>
          </w:p>
        </w:tc>
        <w:tc>
          <w:tcPr>
            <w:tcW w:w="0" w:type="dxa"/>
            <w:noWrap/>
          </w:tcPr>
          <w:p w14:paraId="05E15C8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482.585</w:t>
            </w:r>
          </w:p>
        </w:tc>
      </w:tr>
      <w:tr w:rsidR="004949CA" w:rsidRPr="00086B1D" w14:paraId="1263967E"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63948E81"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8</w:t>
            </w:r>
          </w:p>
        </w:tc>
        <w:tc>
          <w:tcPr>
            <w:tcW w:w="2281" w:type="dxa"/>
            <w:noWrap/>
          </w:tcPr>
          <w:p w14:paraId="552BD0D7"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Primorsko-goranska</w:t>
            </w:r>
          </w:p>
        </w:tc>
        <w:tc>
          <w:tcPr>
            <w:tcW w:w="1189" w:type="dxa"/>
            <w:noWrap/>
          </w:tcPr>
          <w:p w14:paraId="0CF7AA1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42.466</w:t>
            </w:r>
          </w:p>
        </w:tc>
        <w:tc>
          <w:tcPr>
            <w:tcW w:w="0" w:type="dxa"/>
          </w:tcPr>
          <w:p w14:paraId="1445E47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14.872</w:t>
            </w:r>
          </w:p>
        </w:tc>
        <w:tc>
          <w:tcPr>
            <w:tcW w:w="0" w:type="dxa"/>
          </w:tcPr>
          <w:p w14:paraId="585B73F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4.506.092</w:t>
            </w:r>
          </w:p>
        </w:tc>
        <w:tc>
          <w:tcPr>
            <w:tcW w:w="0" w:type="dxa"/>
            <w:noWrap/>
          </w:tcPr>
          <w:p w14:paraId="477C9B6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5.078.976</w:t>
            </w:r>
          </w:p>
        </w:tc>
      </w:tr>
      <w:tr w:rsidR="004949CA" w:rsidRPr="00086B1D" w14:paraId="56C5FC69"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119116D9"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9</w:t>
            </w:r>
          </w:p>
        </w:tc>
        <w:tc>
          <w:tcPr>
            <w:tcW w:w="2281" w:type="dxa"/>
            <w:noWrap/>
          </w:tcPr>
          <w:p w14:paraId="062649B8"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Ličko-senjska</w:t>
            </w:r>
          </w:p>
        </w:tc>
        <w:tc>
          <w:tcPr>
            <w:tcW w:w="1189" w:type="dxa"/>
            <w:noWrap/>
          </w:tcPr>
          <w:p w14:paraId="05E6C4E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14.609</w:t>
            </w:r>
          </w:p>
        </w:tc>
        <w:tc>
          <w:tcPr>
            <w:tcW w:w="0" w:type="dxa"/>
          </w:tcPr>
          <w:p w14:paraId="011BA59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1.328</w:t>
            </w:r>
          </w:p>
        </w:tc>
        <w:tc>
          <w:tcPr>
            <w:tcW w:w="0" w:type="dxa"/>
          </w:tcPr>
          <w:p w14:paraId="1CAC27A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1.226.590</w:t>
            </w:r>
          </w:p>
        </w:tc>
        <w:tc>
          <w:tcPr>
            <w:tcW w:w="0" w:type="dxa"/>
            <w:noWrap/>
          </w:tcPr>
          <w:p w14:paraId="137A52C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407.528</w:t>
            </w:r>
          </w:p>
        </w:tc>
      </w:tr>
      <w:tr w:rsidR="004949CA" w:rsidRPr="00086B1D" w14:paraId="0480692A"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04712A1E"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10</w:t>
            </w:r>
          </w:p>
        </w:tc>
        <w:tc>
          <w:tcPr>
            <w:tcW w:w="2281" w:type="dxa"/>
            <w:noWrap/>
          </w:tcPr>
          <w:p w14:paraId="04697427"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Virovitičko-podravska</w:t>
            </w:r>
          </w:p>
        </w:tc>
        <w:tc>
          <w:tcPr>
            <w:tcW w:w="1189" w:type="dxa"/>
            <w:noWrap/>
          </w:tcPr>
          <w:p w14:paraId="5C99B8E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26.081</w:t>
            </w:r>
          </w:p>
        </w:tc>
        <w:tc>
          <w:tcPr>
            <w:tcW w:w="0" w:type="dxa"/>
          </w:tcPr>
          <w:p w14:paraId="10588E9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446</w:t>
            </w:r>
          </w:p>
        </w:tc>
        <w:tc>
          <w:tcPr>
            <w:tcW w:w="0" w:type="dxa"/>
          </w:tcPr>
          <w:p w14:paraId="306290D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2.324.148</w:t>
            </w:r>
          </w:p>
        </w:tc>
        <w:tc>
          <w:tcPr>
            <w:tcW w:w="0" w:type="dxa"/>
            <w:noWrap/>
          </w:tcPr>
          <w:p w14:paraId="505C6AF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236.381</w:t>
            </w:r>
          </w:p>
        </w:tc>
      </w:tr>
      <w:tr w:rsidR="004949CA" w:rsidRPr="00086B1D" w14:paraId="7712F26D"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4D4F2528"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11</w:t>
            </w:r>
          </w:p>
        </w:tc>
        <w:tc>
          <w:tcPr>
            <w:tcW w:w="2281" w:type="dxa"/>
            <w:noWrap/>
          </w:tcPr>
          <w:p w14:paraId="70515282"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Požeško-slavonska</w:t>
            </w:r>
          </w:p>
        </w:tc>
        <w:tc>
          <w:tcPr>
            <w:tcW w:w="1189" w:type="dxa"/>
            <w:noWrap/>
          </w:tcPr>
          <w:p w14:paraId="7AD7436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21.812</w:t>
            </w:r>
          </w:p>
        </w:tc>
        <w:tc>
          <w:tcPr>
            <w:tcW w:w="0" w:type="dxa"/>
          </w:tcPr>
          <w:p w14:paraId="2F41C22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915</w:t>
            </w:r>
          </w:p>
        </w:tc>
        <w:tc>
          <w:tcPr>
            <w:tcW w:w="0" w:type="dxa"/>
          </w:tcPr>
          <w:p w14:paraId="08C11B4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2.043.449</w:t>
            </w:r>
          </w:p>
        </w:tc>
        <w:tc>
          <w:tcPr>
            <w:tcW w:w="0" w:type="dxa"/>
            <w:noWrap/>
          </w:tcPr>
          <w:p w14:paraId="733FF12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276.937</w:t>
            </w:r>
          </w:p>
        </w:tc>
      </w:tr>
      <w:tr w:rsidR="004949CA" w:rsidRPr="00086B1D" w14:paraId="6B230C1C"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2CEB45A5"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12</w:t>
            </w:r>
          </w:p>
        </w:tc>
        <w:tc>
          <w:tcPr>
            <w:tcW w:w="2281" w:type="dxa"/>
            <w:noWrap/>
          </w:tcPr>
          <w:p w14:paraId="58DBA321"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Brodsko-posavska</w:t>
            </w:r>
          </w:p>
        </w:tc>
        <w:tc>
          <w:tcPr>
            <w:tcW w:w="1189" w:type="dxa"/>
            <w:noWrap/>
          </w:tcPr>
          <w:p w14:paraId="7D0E212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41.131</w:t>
            </w:r>
          </w:p>
        </w:tc>
        <w:tc>
          <w:tcPr>
            <w:tcW w:w="0" w:type="dxa"/>
          </w:tcPr>
          <w:p w14:paraId="221B7C5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1.874</w:t>
            </w:r>
          </w:p>
        </w:tc>
        <w:tc>
          <w:tcPr>
            <w:tcW w:w="0" w:type="dxa"/>
          </w:tcPr>
          <w:p w14:paraId="137CCF2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3.833.415</w:t>
            </w:r>
          </w:p>
        </w:tc>
        <w:tc>
          <w:tcPr>
            <w:tcW w:w="0" w:type="dxa"/>
            <w:noWrap/>
          </w:tcPr>
          <w:p w14:paraId="3622ABB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755.312</w:t>
            </w:r>
          </w:p>
        </w:tc>
      </w:tr>
      <w:tr w:rsidR="004949CA" w:rsidRPr="00086B1D" w14:paraId="40ED0A5E"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3A946C95"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13</w:t>
            </w:r>
          </w:p>
        </w:tc>
        <w:tc>
          <w:tcPr>
            <w:tcW w:w="2281" w:type="dxa"/>
            <w:noWrap/>
          </w:tcPr>
          <w:p w14:paraId="6B1664DF"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Zadarska</w:t>
            </w:r>
          </w:p>
        </w:tc>
        <w:tc>
          <w:tcPr>
            <w:tcW w:w="1189" w:type="dxa"/>
            <w:noWrap/>
          </w:tcPr>
          <w:p w14:paraId="5528A98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35.873</w:t>
            </w:r>
          </w:p>
        </w:tc>
        <w:tc>
          <w:tcPr>
            <w:tcW w:w="0" w:type="dxa"/>
          </w:tcPr>
          <w:p w14:paraId="13FDB82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6.242</w:t>
            </w:r>
          </w:p>
        </w:tc>
        <w:tc>
          <w:tcPr>
            <w:tcW w:w="0" w:type="dxa"/>
          </w:tcPr>
          <w:p w14:paraId="078F7F6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3.879.533</w:t>
            </w:r>
          </w:p>
        </w:tc>
        <w:tc>
          <w:tcPr>
            <w:tcW w:w="0" w:type="dxa"/>
            <w:noWrap/>
          </w:tcPr>
          <w:p w14:paraId="271738D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2.147.019</w:t>
            </w:r>
          </w:p>
        </w:tc>
      </w:tr>
      <w:tr w:rsidR="004949CA" w:rsidRPr="00086B1D" w14:paraId="1F1FC0A0"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60B385B3"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14</w:t>
            </w:r>
          </w:p>
        </w:tc>
        <w:tc>
          <w:tcPr>
            <w:tcW w:w="2281" w:type="dxa"/>
            <w:noWrap/>
          </w:tcPr>
          <w:p w14:paraId="621CFDCA"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Osječko-baranjska</w:t>
            </w:r>
          </w:p>
        </w:tc>
        <w:tc>
          <w:tcPr>
            <w:tcW w:w="1189" w:type="dxa"/>
            <w:noWrap/>
          </w:tcPr>
          <w:p w14:paraId="0D411F7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77.877</w:t>
            </w:r>
          </w:p>
        </w:tc>
        <w:tc>
          <w:tcPr>
            <w:tcW w:w="0" w:type="dxa"/>
          </w:tcPr>
          <w:p w14:paraId="16605C4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4.170</w:t>
            </w:r>
          </w:p>
        </w:tc>
        <w:tc>
          <w:tcPr>
            <w:tcW w:w="0" w:type="dxa"/>
          </w:tcPr>
          <w:p w14:paraId="09C150B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7.189.259</w:t>
            </w:r>
          </w:p>
        </w:tc>
        <w:tc>
          <w:tcPr>
            <w:tcW w:w="0" w:type="dxa"/>
            <w:noWrap/>
          </w:tcPr>
          <w:p w14:paraId="58430B9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2.276.811</w:t>
            </w:r>
          </w:p>
        </w:tc>
      </w:tr>
      <w:tr w:rsidR="004949CA" w:rsidRPr="00086B1D" w14:paraId="0EE9A6F2"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202D72C6"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15</w:t>
            </w:r>
          </w:p>
        </w:tc>
        <w:tc>
          <w:tcPr>
            <w:tcW w:w="2281" w:type="dxa"/>
            <w:noWrap/>
          </w:tcPr>
          <w:p w14:paraId="0A98D5B2"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Šibensko-kninska</w:t>
            </w:r>
          </w:p>
        </w:tc>
        <w:tc>
          <w:tcPr>
            <w:tcW w:w="1189" w:type="dxa"/>
            <w:noWrap/>
          </w:tcPr>
          <w:p w14:paraId="244AD73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24.170</w:t>
            </w:r>
          </w:p>
        </w:tc>
        <w:tc>
          <w:tcPr>
            <w:tcW w:w="0" w:type="dxa"/>
          </w:tcPr>
          <w:p w14:paraId="66304D9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3.264</w:t>
            </w:r>
          </w:p>
        </w:tc>
        <w:tc>
          <w:tcPr>
            <w:tcW w:w="0" w:type="dxa"/>
          </w:tcPr>
          <w:p w14:paraId="661DCBE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2.336.090</w:t>
            </w:r>
          </w:p>
        </w:tc>
        <w:tc>
          <w:tcPr>
            <w:tcW w:w="0" w:type="dxa"/>
            <w:noWrap/>
          </w:tcPr>
          <w:p w14:paraId="20238D1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1.100.955</w:t>
            </w:r>
          </w:p>
        </w:tc>
      </w:tr>
      <w:tr w:rsidR="004949CA" w:rsidRPr="00086B1D" w14:paraId="44E69E26"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34B64CBC"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16</w:t>
            </w:r>
          </w:p>
        </w:tc>
        <w:tc>
          <w:tcPr>
            <w:tcW w:w="2281" w:type="dxa"/>
            <w:noWrap/>
          </w:tcPr>
          <w:p w14:paraId="50AA9253"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Vukovarsko-srijemska</w:t>
            </w:r>
          </w:p>
        </w:tc>
        <w:tc>
          <w:tcPr>
            <w:tcW w:w="1189" w:type="dxa"/>
            <w:noWrap/>
          </w:tcPr>
          <w:p w14:paraId="3ABC65A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48.533</w:t>
            </w:r>
          </w:p>
        </w:tc>
        <w:tc>
          <w:tcPr>
            <w:tcW w:w="0" w:type="dxa"/>
          </w:tcPr>
          <w:p w14:paraId="68956A6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1.970</w:t>
            </w:r>
          </w:p>
        </w:tc>
        <w:tc>
          <w:tcPr>
            <w:tcW w:w="0" w:type="dxa"/>
          </w:tcPr>
          <w:p w14:paraId="4720A38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4.402.879</w:t>
            </w:r>
          </w:p>
        </w:tc>
        <w:tc>
          <w:tcPr>
            <w:tcW w:w="0" w:type="dxa"/>
            <w:noWrap/>
          </w:tcPr>
          <w:p w14:paraId="4A2D3F6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839.541</w:t>
            </w:r>
          </w:p>
        </w:tc>
      </w:tr>
      <w:tr w:rsidR="004949CA" w:rsidRPr="00086B1D" w14:paraId="688CE7EF"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5E4DED12"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17</w:t>
            </w:r>
          </w:p>
        </w:tc>
        <w:tc>
          <w:tcPr>
            <w:tcW w:w="2281" w:type="dxa"/>
            <w:noWrap/>
          </w:tcPr>
          <w:p w14:paraId="6E8CC080"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Splitsko-dalmatinska</w:t>
            </w:r>
          </w:p>
        </w:tc>
        <w:tc>
          <w:tcPr>
            <w:tcW w:w="1189" w:type="dxa"/>
            <w:noWrap/>
          </w:tcPr>
          <w:p w14:paraId="28C1DD1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56.294</w:t>
            </w:r>
          </w:p>
        </w:tc>
        <w:tc>
          <w:tcPr>
            <w:tcW w:w="0" w:type="dxa"/>
          </w:tcPr>
          <w:p w14:paraId="304BBF7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14.021</w:t>
            </w:r>
          </w:p>
        </w:tc>
        <w:tc>
          <w:tcPr>
            <w:tcW w:w="0" w:type="dxa"/>
          </w:tcPr>
          <w:p w14:paraId="64FCA7E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5.856.807</w:t>
            </w:r>
          </w:p>
        </w:tc>
        <w:tc>
          <w:tcPr>
            <w:tcW w:w="0" w:type="dxa"/>
            <w:noWrap/>
          </w:tcPr>
          <w:p w14:paraId="4BC1E57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6.609.326</w:t>
            </w:r>
          </w:p>
        </w:tc>
      </w:tr>
      <w:tr w:rsidR="004949CA" w:rsidRPr="00086B1D" w14:paraId="1E30EBFD"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00AAB6A3"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18</w:t>
            </w:r>
          </w:p>
        </w:tc>
        <w:tc>
          <w:tcPr>
            <w:tcW w:w="2281" w:type="dxa"/>
            <w:noWrap/>
          </w:tcPr>
          <w:p w14:paraId="302D3387"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Istarska</w:t>
            </w:r>
          </w:p>
        </w:tc>
        <w:tc>
          <w:tcPr>
            <w:tcW w:w="1189" w:type="dxa"/>
            <w:noWrap/>
          </w:tcPr>
          <w:p w14:paraId="511E913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42.077</w:t>
            </w:r>
          </w:p>
        </w:tc>
        <w:tc>
          <w:tcPr>
            <w:tcW w:w="0" w:type="dxa"/>
          </w:tcPr>
          <w:p w14:paraId="1CB6DCA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7.621</w:t>
            </w:r>
          </w:p>
        </w:tc>
        <w:tc>
          <w:tcPr>
            <w:tcW w:w="0" w:type="dxa"/>
          </w:tcPr>
          <w:p w14:paraId="2E3B4AF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4.666.767</w:t>
            </w:r>
          </w:p>
        </w:tc>
        <w:tc>
          <w:tcPr>
            <w:tcW w:w="0" w:type="dxa"/>
            <w:noWrap/>
          </w:tcPr>
          <w:p w14:paraId="33B7688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2.997.524</w:t>
            </w:r>
          </w:p>
        </w:tc>
      </w:tr>
      <w:tr w:rsidR="004949CA" w:rsidRPr="00086B1D" w14:paraId="30545E2B"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55DA1B8E"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19</w:t>
            </w:r>
          </w:p>
        </w:tc>
        <w:tc>
          <w:tcPr>
            <w:tcW w:w="2281" w:type="dxa"/>
            <w:noWrap/>
          </w:tcPr>
          <w:p w14:paraId="2B5FFDD7"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Dubrovačko-neretvanska</w:t>
            </w:r>
          </w:p>
        </w:tc>
        <w:tc>
          <w:tcPr>
            <w:tcW w:w="1189" w:type="dxa"/>
            <w:noWrap/>
          </w:tcPr>
          <w:p w14:paraId="1C99E01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20.685</w:t>
            </w:r>
          </w:p>
        </w:tc>
        <w:tc>
          <w:tcPr>
            <w:tcW w:w="0" w:type="dxa"/>
          </w:tcPr>
          <w:p w14:paraId="5637D5E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2.984</w:t>
            </w:r>
          </w:p>
        </w:tc>
        <w:tc>
          <w:tcPr>
            <w:tcW w:w="0" w:type="dxa"/>
          </w:tcPr>
          <w:p w14:paraId="37152A0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2.217.619</w:t>
            </w:r>
          </w:p>
        </w:tc>
        <w:tc>
          <w:tcPr>
            <w:tcW w:w="0" w:type="dxa"/>
            <w:noWrap/>
          </w:tcPr>
          <w:p w14:paraId="41FA09B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1.485.342</w:t>
            </w:r>
          </w:p>
        </w:tc>
      </w:tr>
      <w:tr w:rsidR="004949CA" w:rsidRPr="00086B1D" w14:paraId="685E20A2"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2FAD6E8A"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20</w:t>
            </w:r>
          </w:p>
        </w:tc>
        <w:tc>
          <w:tcPr>
            <w:tcW w:w="2281" w:type="dxa"/>
            <w:noWrap/>
          </w:tcPr>
          <w:p w14:paraId="2B767296"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Međimurska</w:t>
            </w:r>
          </w:p>
        </w:tc>
        <w:tc>
          <w:tcPr>
            <w:tcW w:w="1189" w:type="dxa"/>
            <w:noWrap/>
          </w:tcPr>
          <w:p w14:paraId="7A169EC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30.088</w:t>
            </w:r>
          </w:p>
        </w:tc>
        <w:tc>
          <w:tcPr>
            <w:tcW w:w="0" w:type="dxa"/>
          </w:tcPr>
          <w:p w14:paraId="50D66AF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434</w:t>
            </w:r>
          </w:p>
        </w:tc>
        <w:tc>
          <w:tcPr>
            <w:tcW w:w="0" w:type="dxa"/>
          </w:tcPr>
          <w:p w14:paraId="4CD39AB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3.258.266</w:t>
            </w:r>
          </w:p>
        </w:tc>
        <w:tc>
          <w:tcPr>
            <w:tcW w:w="0" w:type="dxa"/>
            <w:noWrap/>
          </w:tcPr>
          <w:p w14:paraId="6CE355C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387.754</w:t>
            </w:r>
          </w:p>
        </w:tc>
      </w:tr>
      <w:tr w:rsidR="004949CA" w:rsidRPr="00086B1D" w14:paraId="6E786936"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tcPr>
          <w:p w14:paraId="7E16DE5C" w14:textId="77777777" w:rsidR="004949CA" w:rsidRPr="00086B1D" w:rsidRDefault="004949CA" w:rsidP="00331A63">
            <w:pPr>
              <w:jc w:val="center"/>
              <w:rPr>
                <w:rFonts w:ascii="Tahoma" w:hAnsi="Tahoma" w:cs="Tahoma"/>
                <w:sz w:val="18"/>
                <w:szCs w:val="18"/>
                <w:lang w:val="en-GB" w:eastAsia="en-GB"/>
              </w:rPr>
            </w:pPr>
            <w:r w:rsidRPr="00086B1D">
              <w:rPr>
                <w:rFonts w:ascii="Tahoma" w:hAnsi="Tahoma" w:cs="Tahoma"/>
                <w:sz w:val="18"/>
                <w:szCs w:val="18"/>
                <w:lang w:val="en-GB" w:eastAsia="en-GB"/>
              </w:rPr>
              <w:t>21</w:t>
            </w:r>
          </w:p>
        </w:tc>
        <w:tc>
          <w:tcPr>
            <w:tcW w:w="2281" w:type="dxa"/>
            <w:noWrap/>
          </w:tcPr>
          <w:p w14:paraId="4E5D64C2"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Grad Zagreb</w:t>
            </w:r>
          </w:p>
        </w:tc>
        <w:tc>
          <w:tcPr>
            <w:tcW w:w="1189" w:type="dxa"/>
            <w:noWrap/>
          </w:tcPr>
          <w:p w14:paraId="6FEF51B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76.574</w:t>
            </w:r>
          </w:p>
        </w:tc>
        <w:tc>
          <w:tcPr>
            <w:tcW w:w="0" w:type="dxa"/>
          </w:tcPr>
          <w:p w14:paraId="4B1E171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16.888</w:t>
            </w:r>
          </w:p>
        </w:tc>
        <w:tc>
          <w:tcPr>
            <w:tcW w:w="0" w:type="dxa"/>
          </w:tcPr>
          <w:p w14:paraId="5C68D04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7.537.331</w:t>
            </w:r>
          </w:p>
        </w:tc>
        <w:tc>
          <w:tcPr>
            <w:tcW w:w="0" w:type="dxa"/>
            <w:noWrap/>
          </w:tcPr>
          <w:p w14:paraId="3C0A33F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086B1D">
              <w:rPr>
                <w:rFonts w:ascii="Tahoma" w:hAnsi="Tahoma" w:cs="Tahoma"/>
                <w:sz w:val="18"/>
                <w:szCs w:val="18"/>
              </w:rPr>
              <w:t>15.026.986</w:t>
            </w:r>
          </w:p>
        </w:tc>
      </w:tr>
      <w:tr w:rsidR="004949CA" w:rsidRPr="00086B1D" w14:paraId="69A55C9D"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1C693EB2" w14:textId="77777777" w:rsidR="004949CA" w:rsidRPr="00086B1D" w:rsidRDefault="004949CA" w:rsidP="00331A63">
            <w:pPr>
              <w:rPr>
                <w:rFonts w:ascii="Tahoma" w:hAnsi="Tahoma" w:cs="Tahoma"/>
                <w:sz w:val="18"/>
                <w:szCs w:val="18"/>
                <w:lang w:val="en-GB" w:eastAsia="en-GB"/>
              </w:rPr>
            </w:pPr>
          </w:p>
        </w:tc>
        <w:tc>
          <w:tcPr>
            <w:tcW w:w="2281" w:type="dxa"/>
            <w:noWrap/>
            <w:hideMark/>
          </w:tcPr>
          <w:p w14:paraId="0C96F2BB" w14:textId="77777777" w:rsidR="004949CA" w:rsidRPr="00086B1D"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lang w:eastAsia="en-GB"/>
              </w:rPr>
              <w:t>UKUPNO</w:t>
            </w:r>
          </w:p>
        </w:tc>
        <w:tc>
          <w:tcPr>
            <w:tcW w:w="1189" w:type="dxa"/>
            <w:noWrap/>
          </w:tcPr>
          <w:p w14:paraId="15EAAF0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086B1D">
              <w:rPr>
                <w:rFonts w:ascii="Tahoma" w:hAnsi="Tahoma" w:cs="Tahoma"/>
                <w:b/>
                <w:bCs/>
                <w:sz w:val="18"/>
                <w:szCs w:val="18"/>
              </w:rPr>
              <w:t>855.596</w:t>
            </w:r>
          </w:p>
        </w:tc>
        <w:tc>
          <w:tcPr>
            <w:tcW w:w="0" w:type="dxa"/>
          </w:tcPr>
          <w:p w14:paraId="674950C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086B1D">
              <w:rPr>
                <w:rFonts w:ascii="Tahoma" w:hAnsi="Tahoma" w:cs="Tahoma"/>
                <w:b/>
                <w:bCs/>
                <w:sz w:val="18"/>
                <w:szCs w:val="18"/>
              </w:rPr>
              <w:t>89.359</w:t>
            </w:r>
          </w:p>
        </w:tc>
        <w:tc>
          <w:tcPr>
            <w:tcW w:w="0" w:type="dxa"/>
          </w:tcPr>
          <w:p w14:paraId="02AC7C5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086B1D">
              <w:rPr>
                <w:rFonts w:ascii="Tahoma" w:hAnsi="Tahoma" w:cs="Tahoma"/>
                <w:b/>
                <w:bCs/>
                <w:sz w:val="18"/>
                <w:szCs w:val="18"/>
              </w:rPr>
              <w:t>83.481.377</w:t>
            </w:r>
          </w:p>
        </w:tc>
        <w:tc>
          <w:tcPr>
            <w:tcW w:w="0" w:type="dxa"/>
            <w:noWrap/>
          </w:tcPr>
          <w:p w14:paraId="2E2C041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rPr>
            </w:pPr>
            <w:r w:rsidRPr="00086B1D">
              <w:rPr>
                <w:rFonts w:ascii="Tahoma" w:hAnsi="Tahoma" w:cs="Tahoma"/>
                <w:b/>
                <w:bCs/>
                <w:sz w:val="18"/>
                <w:szCs w:val="18"/>
              </w:rPr>
              <w:t>45.449.582</w:t>
            </w:r>
          </w:p>
        </w:tc>
      </w:tr>
    </w:tbl>
    <w:p w14:paraId="07DEF2B7" w14:textId="32A52B96" w:rsidR="004949CA" w:rsidRPr="00DE7F43" w:rsidRDefault="006A5127" w:rsidP="004949CA">
      <w:pPr>
        <w:pStyle w:val="Tijeloteksta"/>
      </w:pPr>
      <w:r>
        <w:t xml:space="preserve">Tablica 3-2 </w:t>
      </w:r>
      <w:r w:rsidR="004949CA" w:rsidRPr="00DE7F43">
        <w:t xml:space="preserve">prikazuje ukupan fond zgrada u </w:t>
      </w:r>
      <w:r w:rsidR="00223AAD">
        <w:t>Hrvatskoj</w:t>
      </w:r>
      <w:r w:rsidR="004949CA" w:rsidRPr="00DE7F43">
        <w:t xml:space="preserve">, stambenih i nestambenih, u 2019. godini. </w:t>
      </w:r>
    </w:p>
    <w:p w14:paraId="0F121DBE" w14:textId="0585E732" w:rsidR="004949CA" w:rsidRPr="00DE7F43" w:rsidRDefault="004949CA" w:rsidP="004949CA">
      <w:pPr>
        <w:pStyle w:val="Opisslike"/>
      </w:pPr>
      <w:bookmarkStart w:id="55" w:name="_Toc72081537"/>
      <w:bookmarkStart w:id="56" w:name="_Ref83113590"/>
      <w:bookmarkStart w:id="57" w:name="_Toc84240485"/>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2</w:t>
      </w:r>
      <w:r w:rsidRPr="00DE7F43">
        <w:rPr>
          <w:noProof/>
        </w:rPr>
        <w:fldChar w:fldCharType="end"/>
      </w:r>
      <w:r w:rsidRPr="00DE7F43">
        <w:t xml:space="preserve">: Ukupan fond zgrada u </w:t>
      </w:r>
      <w:r w:rsidR="00223AAD">
        <w:t>Hrvatskoj</w:t>
      </w:r>
      <w:r w:rsidRPr="00DE7F43">
        <w:t xml:space="preserve"> po županijama</w:t>
      </w:r>
      <w:bookmarkEnd w:id="55"/>
      <w:bookmarkEnd w:id="56"/>
      <w:bookmarkEnd w:id="57"/>
      <w:r w:rsidRPr="00DE7F43">
        <w:t xml:space="preserve">  </w:t>
      </w:r>
    </w:p>
    <w:tbl>
      <w:tblPr>
        <w:tblStyle w:val="Svijetlatablicareetke110"/>
        <w:tblW w:w="5000" w:type="pct"/>
        <w:tblLook w:val="04A0" w:firstRow="1" w:lastRow="0" w:firstColumn="1" w:lastColumn="0" w:noHBand="0" w:noVBand="1"/>
      </w:tblPr>
      <w:tblGrid>
        <w:gridCol w:w="546"/>
        <w:gridCol w:w="2200"/>
        <w:gridCol w:w="1577"/>
        <w:gridCol w:w="1687"/>
        <w:gridCol w:w="1780"/>
        <w:gridCol w:w="1272"/>
      </w:tblGrid>
      <w:tr w:rsidR="004949CA" w:rsidRPr="00086B1D" w14:paraId="335A181F"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 w:type="pct"/>
          </w:tcPr>
          <w:p w14:paraId="450BAB89" w14:textId="77777777" w:rsidR="004949CA" w:rsidRPr="00086B1D" w:rsidRDefault="004949CA" w:rsidP="00331A63">
            <w:pPr>
              <w:pStyle w:val="Tijeloteksta"/>
              <w:spacing w:before="0" w:after="0"/>
              <w:rPr>
                <w:rFonts w:cs="Tahoma"/>
                <w:sz w:val="18"/>
                <w:szCs w:val="18"/>
              </w:rPr>
            </w:pPr>
          </w:p>
        </w:tc>
        <w:tc>
          <w:tcPr>
            <w:tcW w:w="1214" w:type="pct"/>
          </w:tcPr>
          <w:p w14:paraId="6BC0725F" w14:textId="77777777" w:rsidR="004949CA" w:rsidRPr="00086B1D" w:rsidRDefault="004949CA" w:rsidP="00331A63">
            <w:pPr>
              <w:pStyle w:val="Tijeloteksta"/>
              <w:spacing w:before="0" w:after="0"/>
              <w:cnfStyle w:val="100000000000" w:firstRow="1" w:lastRow="0" w:firstColumn="0" w:lastColumn="0" w:oddVBand="0" w:evenVBand="0" w:oddHBand="0" w:evenHBand="0" w:firstRowFirstColumn="0" w:firstRowLastColumn="0" w:lastRowFirstColumn="0" w:lastRowLastColumn="0"/>
              <w:rPr>
                <w:rFonts w:cs="Tahoma"/>
                <w:sz w:val="18"/>
                <w:szCs w:val="18"/>
                <w:lang w:eastAsia="en-GB"/>
              </w:rPr>
            </w:pPr>
          </w:p>
        </w:tc>
        <w:tc>
          <w:tcPr>
            <w:tcW w:w="2783" w:type="pct"/>
            <w:gridSpan w:val="3"/>
          </w:tcPr>
          <w:p w14:paraId="50F08AEA" w14:textId="77777777" w:rsidR="004949CA" w:rsidRPr="00086B1D"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Ukupna ploština korisne površine grijanog dijela zgrada [m</w:t>
            </w:r>
            <w:r w:rsidRPr="00086B1D">
              <w:rPr>
                <w:rFonts w:cs="Tahoma"/>
                <w:sz w:val="18"/>
                <w:szCs w:val="18"/>
                <w:vertAlign w:val="superscript"/>
              </w:rPr>
              <w:t>2</w:t>
            </w:r>
            <w:r w:rsidRPr="00086B1D">
              <w:rPr>
                <w:rFonts w:cs="Tahoma"/>
                <w:sz w:val="18"/>
                <w:szCs w:val="18"/>
              </w:rPr>
              <w:t>]</w:t>
            </w:r>
          </w:p>
        </w:tc>
        <w:tc>
          <w:tcPr>
            <w:tcW w:w="703" w:type="pct"/>
          </w:tcPr>
          <w:p w14:paraId="370E1C22" w14:textId="77777777" w:rsidR="004949CA" w:rsidRPr="00086B1D"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sz w:val="18"/>
                <w:szCs w:val="18"/>
              </w:rPr>
            </w:pPr>
          </w:p>
        </w:tc>
      </w:tr>
      <w:tr w:rsidR="004949CA" w:rsidRPr="00086B1D" w14:paraId="11300FA8"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225C39F3" w14:textId="77777777" w:rsidR="004949CA" w:rsidRPr="00086B1D" w:rsidRDefault="004949CA" w:rsidP="00331A63">
            <w:pPr>
              <w:pStyle w:val="Tijeloteksta"/>
              <w:spacing w:before="0" w:after="0"/>
              <w:rPr>
                <w:rFonts w:cs="Tahoma"/>
                <w:sz w:val="18"/>
                <w:szCs w:val="18"/>
              </w:rPr>
            </w:pPr>
          </w:p>
        </w:tc>
        <w:tc>
          <w:tcPr>
            <w:tcW w:w="1214" w:type="pct"/>
          </w:tcPr>
          <w:p w14:paraId="4727ED34"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lang w:eastAsia="en-GB"/>
              </w:rPr>
            </w:pPr>
            <w:r w:rsidRPr="00086B1D">
              <w:rPr>
                <w:rFonts w:cs="Tahoma"/>
                <w:sz w:val="18"/>
                <w:szCs w:val="18"/>
                <w:lang w:eastAsia="en-GB"/>
              </w:rPr>
              <w:t>Naziv županije</w:t>
            </w:r>
          </w:p>
        </w:tc>
        <w:tc>
          <w:tcPr>
            <w:tcW w:w="870" w:type="pct"/>
          </w:tcPr>
          <w:p w14:paraId="61C3BA22"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en-GB"/>
              </w:rPr>
            </w:pPr>
            <w:r w:rsidRPr="00086B1D">
              <w:rPr>
                <w:rFonts w:cs="Tahoma"/>
                <w:sz w:val="18"/>
                <w:szCs w:val="18"/>
                <w:lang w:eastAsia="en-GB"/>
              </w:rPr>
              <w:t>Stambene zgrade</w:t>
            </w:r>
          </w:p>
        </w:tc>
        <w:tc>
          <w:tcPr>
            <w:tcW w:w="931" w:type="pct"/>
          </w:tcPr>
          <w:p w14:paraId="2CC886D1"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en-GB"/>
              </w:rPr>
            </w:pPr>
            <w:r w:rsidRPr="00086B1D">
              <w:rPr>
                <w:rFonts w:cs="Tahoma"/>
                <w:sz w:val="18"/>
                <w:szCs w:val="18"/>
                <w:lang w:eastAsia="en-GB"/>
              </w:rPr>
              <w:t>Nestambene zgrade</w:t>
            </w:r>
          </w:p>
        </w:tc>
        <w:tc>
          <w:tcPr>
            <w:tcW w:w="982" w:type="pct"/>
          </w:tcPr>
          <w:p w14:paraId="23E8B8F3"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en-GB"/>
              </w:rPr>
            </w:pPr>
            <w:r w:rsidRPr="00086B1D">
              <w:rPr>
                <w:rFonts w:cs="Tahoma"/>
                <w:sz w:val="18"/>
                <w:szCs w:val="18"/>
                <w:lang w:eastAsia="en-GB"/>
              </w:rPr>
              <w:t>Ukupno</w:t>
            </w:r>
          </w:p>
        </w:tc>
        <w:tc>
          <w:tcPr>
            <w:tcW w:w="703" w:type="pct"/>
          </w:tcPr>
          <w:p w14:paraId="320BFE85"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Udio [%]</w:t>
            </w:r>
          </w:p>
        </w:tc>
      </w:tr>
      <w:tr w:rsidR="004949CA" w:rsidRPr="00086B1D" w14:paraId="771A08AA"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7BD5639D" w14:textId="77777777" w:rsidR="004949CA" w:rsidRPr="00086B1D" w:rsidRDefault="004949CA" w:rsidP="00331A63">
            <w:pPr>
              <w:pStyle w:val="Tijeloteksta"/>
              <w:spacing w:before="0" w:after="0"/>
              <w:rPr>
                <w:rFonts w:cs="Tahoma"/>
                <w:sz w:val="18"/>
                <w:szCs w:val="18"/>
              </w:rPr>
            </w:pPr>
            <w:r w:rsidRPr="00086B1D">
              <w:rPr>
                <w:rFonts w:cs="Tahoma"/>
                <w:sz w:val="18"/>
                <w:szCs w:val="18"/>
              </w:rPr>
              <w:t>1</w:t>
            </w:r>
          </w:p>
        </w:tc>
        <w:tc>
          <w:tcPr>
            <w:tcW w:w="1214" w:type="pct"/>
          </w:tcPr>
          <w:p w14:paraId="445B7818"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Zagrebačka</w:t>
            </w:r>
          </w:p>
        </w:tc>
        <w:tc>
          <w:tcPr>
            <w:tcW w:w="870" w:type="pct"/>
          </w:tcPr>
          <w:p w14:paraId="041B068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9.261.485</w:t>
            </w:r>
          </w:p>
        </w:tc>
        <w:tc>
          <w:tcPr>
            <w:tcW w:w="931" w:type="pct"/>
          </w:tcPr>
          <w:p w14:paraId="1BD5A89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2.424.273,00 </w:t>
            </w:r>
          </w:p>
        </w:tc>
        <w:tc>
          <w:tcPr>
            <w:tcW w:w="982" w:type="pct"/>
          </w:tcPr>
          <w:p w14:paraId="6EB2140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10.490.100</w:t>
            </w:r>
          </w:p>
        </w:tc>
        <w:tc>
          <w:tcPr>
            <w:tcW w:w="703" w:type="pct"/>
          </w:tcPr>
          <w:p w14:paraId="40B83D7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6,29%</w:t>
            </w:r>
          </w:p>
        </w:tc>
      </w:tr>
      <w:tr w:rsidR="004949CA" w:rsidRPr="00086B1D" w14:paraId="4A203F9F"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3CCB622F" w14:textId="77777777" w:rsidR="004949CA" w:rsidRPr="00086B1D" w:rsidRDefault="004949CA" w:rsidP="00331A63">
            <w:pPr>
              <w:pStyle w:val="Tijeloteksta"/>
              <w:spacing w:before="0" w:after="0"/>
              <w:rPr>
                <w:rFonts w:cs="Tahoma"/>
                <w:sz w:val="18"/>
                <w:szCs w:val="18"/>
              </w:rPr>
            </w:pPr>
            <w:r w:rsidRPr="00086B1D">
              <w:rPr>
                <w:rFonts w:cs="Tahoma"/>
                <w:sz w:val="18"/>
                <w:szCs w:val="18"/>
              </w:rPr>
              <w:t>2</w:t>
            </w:r>
          </w:p>
        </w:tc>
        <w:tc>
          <w:tcPr>
            <w:tcW w:w="1214" w:type="pct"/>
          </w:tcPr>
          <w:p w14:paraId="61828BCD"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Krapinsko-zagorska</w:t>
            </w:r>
          </w:p>
        </w:tc>
        <w:tc>
          <w:tcPr>
            <w:tcW w:w="870" w:type="pct"/>
          </w:tcPr>
          <w:p w14:paraId="683A126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3.684.540</w:t>
            </w:r>
          </w:p>
        </w:tc>
        <w:tc>
          <w:tcPr>
            <w:tcW w:w="931" w:type="pct"/>
          </w:tcPr>
          <w:p w14:paraId="16E219C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952.821,00 </w:t>
            </w:r>
          </w:p>
        </w:tc>
        <w:tc>
          <w:tcPr>
            <w:tcW w:w="982" w:type="pct"/>
          </w:tcPr>
          <w:p w14:paraId="7B04690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6.023.845</w:t>
            </w:r>
          </w:p>
        </w:tc>
        <w:tc>
          <w:tcPr>
            <w:tcW w:w="703" w:type="pct"/>
          </w:tcPr>
          <w:p w14:paraId="733EC53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3,61%</w:t>
            </w:r>
          </w:p>
        </w:tc>
      </w:tr>
      <w:tr w:rsidR="004949CA" w:rsidRPr="00086B1D" w14:paraId="5ED334C0"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5235879C" w14:textId="77777777" w:rsidR="004949CA" w:rsidRPr="00086B1D" w:rsidRDefault="004949CA" w:rsidP="00331A63">
            <w:pPr>
              <w:pStyle w:val="Tijeloteksta"/>
              <w:spacing w:before="0" w:after="0"/>
              <w:rPr>
                <w:rFonts w:cs="Tahoma"/>
                <w:sz w:val="18"/>
                <w:szCs w:val="18"/>
              </w:rPr>
            </w:pPr>
            <w:r w:rsidRPr="00086B1D">
              <w:rPr>
                <w:rFonts w:cs="Tahoma"/>
                <w:sz w:val="18"/>
                <w:szCs w:val="18"/>
              </w:rPr>
              <w:t>3</w:t>
            </w:r>
          </w:p>
        </w:tc>
        <w:tc>
          <w:tcPr>
            <w:tcW w:w="1214" w:type="pct"/>
          </w:tcPr>
          <w:p w14:paraId="6AA04522"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Sisačko-moslavačka</w:t>
            </w:r>
          </w:p>
        </w:tc>
        <w:tc>
          <w:tcPr>
            <w:tcW w:w="870" w:type="pct"/>
          </w:tcPr>
          <w:p w14:paraId="218924E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5.229.179</w:t>
            </w:r>
          </w:p>
        </w:tc>
        <w:tc>
          <w:tcPr>
            <w:tcW w:w="931" w:type="pct"/>
          </w:tcPr>
          <w:p w14:paraId="2559C64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858.898,00 </w:t>
            </w:r>
          </w:p>
        </w:tc>
        <w:tc>
          <w:tcPr>
            <w:tcW w:w="982" w:type="pct"/>
          </w:tcPr>
          <w:p w14:paraId="00185E2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4.203.951</w:t>
            </w:r>
          </w:p>
        </w:tc>
        <w:tc>
          <w:tcPr>
            <w:tcW w:w="703" w:type="pct"/>
          </w:tcPr>
          <w:p w14:paraId="41E08EC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2,52%</w:t>
            </w:r>
          </w:p>
        </w:tc>
      </w:tr>
      <w:tr w:rsidR="004949CA" w:rsidRPr="00086B1D" w14:paraId="6F9DE950"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679B8EE7" w14:textId="77777777" w:rsidR="004949CA" w:rsidRPr="00086B1D" w:rsidRDefault="004949CA" w:rsidP="00331A63">
            <w:pPr>
              <w:pStyle w:val="Tijeloteksta"/>
              <w:spacing w:before="0" w:after="0"/>
              <w:rPr>
                <w:rFonts w:cs="Tahoma"/>
                <w:sz w:val="18"/>
                <w:szCs w:val="18"/>
              </w:rPr>
            </w:pPr>
            <w:r w:rsidRPr="00086B1D">
              <w:rPr>
                <w:rFonts w:cs="Tahoma"/>
                <w:sz w:val="18"/>
                <w:szCs w:val="18"/>
              </w:rPr>
              <w:t>4</w:t>
            </w:r>
          </w:p>
        </w:tc>
        <w:tc>
          <w:tcPr>
            <w:tcW w:w="1214" w:type="pct"/>
          </w:tcPr>
          <w:p w14:paraId="55C61600"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Karlovačka</w:t>
            </w:r>
          </w:p>
        </w:tc>
        <w:tc>
          <w:tcPr>
            <w:tcW w:w="870" w:type="pct"/>
          </w:tcPr>
          <w:p w14:paraId="2B46CEE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3.686.192</w:t>
            </w:r>
          </w:p>
        </w:tc>
        <w:tc>
          <w:tcPr>
            <w:tcW w:w="931" w:type="pct"/>
          </w:tcPr>
          <w:p w14:paraId="567D142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973.555,00 </w:t>
            </w:r>
          </w:p>
        </w:tc>
        <w:tc>
          <w:tcPr>
            <w:tcW w:w="982" w:type="pct"/>
          </w:tcPr>
          <w:p w14:paraId="177B86B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4.753.146</w:t>
            </w:r>
          </w:p>
        </w:tc>
        <w:tc>
          <w:tcPr>
            <w:tcW w:w="703" w:type="pct"/>
          </w:tcPr>
          <w:p w14:paraId="78EB22A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2,85%</w:t>
            </w:r>
          </w:p>
        </w:tc>
      </w:tr>
      <w:tr w:rsidR="004949CA" w:rsidRPr="00086B1D" w14:paraId="70254093"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180C912F" w14:textId="77777777" w:rsidR="004949CA" w:rsidRPr="00086B1D" w:rsidRDefault="004949CA" w:rsidP="00331A63">
            <w:pPr>
              <w:pStyle w:val="Tijeloteksta"/>
              <w:spacing w:before="0" w:after="0"/>
              <w:rPr>
                <w:rFonts w:cs="Tahoma"/>
                <w:sz w:val="18"/>
                <w:szCs w:val="18"/>
              </w:rPr>
            </w:pPr>
            <w:r w:rsidRPr="00086B1D">
              <w:rPr>
                <w:rFonts w:cs="Tahoma"/>
                <w:sz w:val="18"/>
                <w:szCs w:val="18"/>
              </w:rPr>
              <w:t>5</w:t>
            </w:r>
          </w:p>
        </w:tc>
        <w:tc>
          <w:tcPr>
            <w:tcW w:w="1214" w:type="pct"/>
          </w:tcPr>
          <w:p w14:paraId="352A79F0"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Varaždinska</w:t>
            </w:r>
          </w:p>
        </w:tc>
        <w:tc>
          <w:tcPr>
            <w:tcW w:w="870" w:type="pct"/>
          </w:tcPr>
          <w:p w14:paraId="3994B91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4.968.459</w:t>
            </w:r>
          </w:p>
        </w:tc>
        <w:tc>
          <w:tcPr>
            <w:tcW w:w="931" w:type="pct"/>
          </w:tcPr>
          <w:p w14:paraId="198C829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1.720.080,00 </w:t>
            </w:r>
          </w:p>
        </w:tc>
        <w:tc>
          <w:tcPr>
            <w:tcW w:w="982" w:type="pct"/>
          </w:tcPr>
          <w:p w14:paraId="3E7AA44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6.389.353</w:t>
            </w:r>
          </w:p>
        </w:tc>
        <w:tc>
          <w:tcPr>
            <w:tcW w:w="703" w:type="pct"/>
          </w:tcPr>
          <w:p w14:paraId="01FD5EA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3,83%</w:t>
            </w:r>
          </w:p>
        </w:tc>
      </w:tr>
      <w:tr w:rsidR="004949CA" w:rsidRPr="00086B1D" w14:paraId="22AB303C"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602B36AC" w14:textId="77777777" w:rsidR="004949CA" w:rsidRPr="00086B1D" w:rsidRDefault="004949CA" w:rsidP="00331A63">
            <w:pPr>
              <w:pStyle w:val="Tijeloteksta"/>
              <w:spacing w:before="0" w:after="0"/>
              <w:rPr>
                <w:rFonts w:cs="Tahoma"/>
                <w:sz w:val="18"/>
                <w:szCs w:val="18"/>
              </w:rPr>
            </w:pPr>
            <w:r w:rsidRPr="00086B1D">
              <w:rPr>
                <w:rFonts w:cs="Tahoma"/>
                <w:sz w:val="18"/>
                <w:szCs w:val="18"/>
              </w:rPr>
              <w:t>6</w:t>
            </w:r>
          </w:p>
        </w:tc>
        <w:tc>
          <w:tcPr>
            <w:tcW w:w="1214" w:type="pct"/>
          </w:tcPr>
          <w:p w14:paraId="74DD4B35"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Koprivničko-križevačka</w:t>
            </w:r>
          </w:p>
        </w:tc>
        <w:tc>
          <w:tcPr>
            <w:tcW w:w="870" w:type="pct"/>
          </w:tcPr>
          <w:p w14:paraId="689B319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3.571.894</w:t>
            </w:r>
          </w:p>
        </w:tc>
        <w:tc>
          <w:tcPr>
            <w:tcW w:w="931" w:type="pct"/>
          </w:tcPr>
          <w:p w14:paraId="24C9E863"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936.997,00 </w:t>
            </w:r>
          </w:p>
        </w:tc>
        <w:tc>
          <w:tcPr>
            <w:tcW w:w="982" w:type="pct"/>
          </w:tcPr>
          <w:p w14:paraId="70E4EDD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5.417.187</w:t>
            </w:r>
          </w:p>
        </w:tc>
        <w:tc>
          <w:tcPr>
            <w:tcW w:w="703" w:type="pct"/>
          </w:tcPr>
          <w:p w14:paraId="19851CB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3,25%</w:t>
            </w:r>
          </w:p>
        </w:tc>
      </w:tr>
      <w:tr w:rsidR="004949CA" w:rsidRPr="00086B1D" w14:paraId="49461608"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1C663787" w14:textId="77777777" w:rsidR="004949CA" w:rsidRPr="00086B1D" w:rsidRDefault="004949CA" w:rsidP="00331A63">
            <w:pPr>
              <w:pStyle w:val="Tijeloteksta"/>
              <w:spacing w:before="0" w:after="0"/>
              <w:rPr>
                <w:rFonts w:cs="Tahoma"/>
                <w:sz w:val="18"/>
                <w:szCs w:val="18"/>
              </w:rPr>
            </w:pPr>
            <w:r w:rsidRPr="00086B1D">
              <w:rPr>
                <w:rFonts w:cs="Tahoma"/>
                <w:sz w:val="18"/>
                <w:szCs w:val="18"/>
              </w:rPr>
              <w:t>7</w:t>
            </w:r>
          </w:p>
        </w:tc>
        <w:tc>
          <w:tcPr>
            <w:tcW w:w="1214" w:type="pct"/>
          </w:tcPr>
          <w:p w14:paraId="186D05B2"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Bjelovarsko-bilogorska</w:t>
            </w:r>
          </w:p>
        </w:tc>
        <w:tc>
          <w:tcPr>
            <w:tcW w:w="870" w:type="pct"/>
          </w:tcPr>
          <w:p w14:paraId="2980345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3.624.571</w:t>
            </w:r>
          </w:p>
        </w:tc>
        <w:tc>
          <w:tcPr>
            <w:tcW w:w="931" w:type="pct"/>
          </w:tcPr>
          <w:p w14:paraId="36659E3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628.762,00 </w:t>
            </w:r>
          </w:p>
        </w:tc>
        <w:tc>
          <w:tcPr>
            <w:tcW w:w="982" w:type="pct"/>
          </w:tcPr>
          <w:p w14:paraId="73727F6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5.890.970</w:t>
            </w:r>
          </w:p>
        </w:tc>
        <w:tc>
          <w:tcPr>
            <w:tcW w:w="703" w:type="pct"/>
          </w:tcPr>
          <w:p w14:paraId="0A8FCA0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3,53%</w:t>
            </w:r>
          </w:p>
        </w:tc>
      </w:tr>
      <w:tr w:rsidR="004949CA" w:rsidRPr="00086B1D" w14:paraId="66E46F1E"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20C8002F" w14:textId="77777777" w:rsidR="004949CA" w:rsidRPr="00086B1D" w:rsidRDefault="004949CA" w:rsidP="00331A63">
            <w:pPr>
              <w:pStyle w:val="Tijeloteksta"/>
              <w:spacing w:before="0" w:after="0"/>
              <w:rPr>
                <w:rFonts w:cs="Tahoma"/>
                <w:sz w:val="18"/>
                <w:szCs w:val="18"/>
              </w:rPr>
            </w:pPr>
            <w:r w:rsidRPr="00086B1D">
              <w:rPr>
                <w:rFonts w:cs="Tahoma"/>
                <w:sz w:val="18"/>
                <w:szCs w:val="18"/>
              </w:rPr>
              <w:t>8</w:t>
            </w:r>
          </w:p>
        </w:tc>
        <w:tc>
          <w:tcPr>
            <w:tcW w:w="1214" w:type="pct"/>
          </w:tcPr>
          <w:p w14:paraId="33BBC54B"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Primorsko-goranska</w:t>
            </w:r>
          </w:p>
        </w:tc>
        <w:tc>
          <w:tcPr>
            <w:tcW w:w="870" w:type="pct"/>
          </w:tcPr>
          <w:p w14:paraId="458CAD4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9.585.069</w:t>
            </w:r>
          </w:p>
        </w:tc>
        <w:tc>
          <w:tcPr>
            <w:tcW w:w="931" w:type="pct"/>
          </w:tcPr>
          <w:p w14:paraId="40DF7CB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3.145.783,00 </w:t>
            </w:r>
          </w:p>
        </w:tc>
        <w:tc>
          <w:tcPr>
            <w:tcW w:w="982" w:type="pct"/>
          </w:tcPr>
          <w:p w14:paraId="58C14E9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9.547.308</w:t>
            </w:r>
          </w:p>
        </w:tc>
        <w:tc>
          <w:tcPr>
            <w:tcW w:w="703" w:type="pct"/>
          </w:tcPr>
          <w:p w14:paraId="0AF1520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5,73%</w:t>
            </w:r>
          </w:p>
        </w:tc>
      </w:tr>
      <w:tr w:rsidR="004949CA" w:rsidRPr="00086B1D" w14:paraId="5DCB8B6C"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6487C1EA" w14:textId="77777777" w:rsidR="004949CA" w:rsidRPr="00086B1D" w:rsidRDefault="004949CA" w:rsidP="00331A63">
            <w:pPr>
              <w:pStyle w:val="Tijeloteksta"/>
              <w:spacing w:before="0" w:after="0"/>
              <w:rPr>
                <w:rFonts w:cs="Tahoma"/>
                <w:sz w:val="18"/>
                <w:szCs w:val="18"/>
              </w:rPr>
            </w:pPr>
            <w:r w:rsidRPr="00086B1D">
              <w:rPr>
                <w:rFonts w:cs="Tahoma"/>
                <w:sz w:val="18"/>
                <w:szCs w:val="18"/>
              </w:rPr>
              <w:t>9</w:t>
            </w:r>
          </w:p>
        </w:tc>
        <w:tc>
          <w:tcPr>
            <w:tcW w:w="1214" w:type="pct"/>
          </w:tcPr>
          <w:p w14:paraId="47271D0D"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Ličko-senjska</w:t>
            </w:r>
          </w:p>
        </w:tc>
        <w:tc>
          <w:tcPr>
            <w:tcW w:w="870" w:type="pct"/>
          </w:tcPr>
          <w:p w14:paraId="42925CE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1.634.119</w:t>
            </w:r>
          </w:p>
        </w:tc>
        <w:tc>
          <w:tcPr>
            <w:tcW w:w="931" w:type="pct"/>
          </w:tcPr>
          <w:p w14:paraId="0402FA5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384.301,00 </w:t>
            </w:r>
          </w:p>
        </w:tc>
        <w:tc>
          <w:tcPr>
            <w:tcW w:w="982" w:type="pct"/>
          </w:tcPr>
          <w:p w14:paraId="0149943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2.327.446</w:t>
            </w:r>
          </w:p>
        </w:tc>
        <w:tc>
          <w:tcPr>
            <w:tcW w:w="703" w:type="pct"/>
          </w:tcPr>
          <w:p w14:paraId="7EC81B4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1,40%</w:t>
            </w:r>
          </w:p>
        </w:tc>
      </w:tr>
      <w:tr w:rsidR="004949CA" w:rsidRPr="00086B1D" w14:paraId="4623DA32"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64B093C3" w14:textId="77777777" w:rsidR="004949CA" w:rsidRPr="00086B1D" w:rsidRDefault="004949CA" w:rsidP="00331A63">
            <w:pPr>
              <w:pStyle w:val="Tijeloteksta"/>
              <w:spacing w:before="0" w:after="0"/>
              <w:rPr>
                <w:rFonts w:cs="Tahoma"/>
                <w:sz w:val="18"/>
                <w:szCs w:val="18"/>
              </w:rPr>
            </w:pPr>
            <w:r w:rsidRPr="00086B1D">
              <w:rPr>
                <w:rFonts w:cs="Tahoma"/>
                <w:sz w:val="18"/>
                <w:szCs w:val="18"/>
              </w:rPr>
              <w:t>10</w:t>
            </w:r>
          </w:p>
        </w:tc>
        <w:tc>
          <w:tcPr>
            <w:tcW w:w="1214" w:type="pct"/>
          </w:tcPr>
          <w:p w14:paraId="65217E66"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Virovitičko-podravska</w:t>
            </w:r>
          </w:p>
        </w:tc>
        <w:tc>
          <w:tcPr>
            <w:tcW w:w="870" w:type="pct"/>
          </w:tcPr>
          <w:p w14:paraId="50FAF1B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2.560.529</w:t>
            </w:r>
          </w:p>
        </w:tc>
        <w:tc>
          <w:tcPr>
            <w:tcW w:w="931" w:type="pct"/>
          </w:tcPr>
          <w:p w14:paraId="46189B9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442.965,00 </w:t>
            </w:r>
          </w:p>
        </w:tc>
        <w:tc>
          <w:tcPr>
            <w:tcW w:w="982" w:type="pct"/>
          </w:tcPr>
          <w:p w14:paraId="391648C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7.704.870</w:t>
            </w:r>
          </w:p>
        </w:tc>
        <w:tc>
          <w:tcPr>
            <w:tcW w:w="703" w:type="pct"/>
          </w:tcPr>
          <w:p w14:paraId="26F2A80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4,62%</w:t>
            </w:r>
          </w:p>
        </w:tc>
      </w:tr>
      <w:tr w:rsidR="004949CA" w:rsidRPr="00086B1D" w14:paraId="1FD426E3"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687693F7" w14:textId="77777777" w:rsidR="004949CA" w:rsidRPr="00086B1D" w:rsidRDefault="004949CA" w:rsidP="00331A63">
            <w:pPr>
              <w:pStyle w:val="Tijeloteksta"/>
              <w:spacing w:before="0" w:after="0"/>
              <w:rPr>
                <w:rFonts w:cs="Tahoma"/>
                <w:sz w:val="18"/>
                <w:szCs w:val="18"/>
              </w:rPr>
            </w:pPr>
            <w:r w:rsidRPr="00086B1D">
              <w:rPr>
                <w:rFonts w:cs="Tahoma"/>
                <w:sz w:val="18"/>
                <w:szCs w:val="18"/>
              </w:rPr>
              <w:t>11</w:t>
            </w:r>
          </w:p>
        </w:tc>
        <w:tc>
          <w:tcPr>
            <w:tcW w:w="1214" w:type="pct"/>
          </w:tcPr>
          <w:p w14:paraId="281768D6"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Požeško-slavonska</w:t>
            </w:r>
          </w:p>
        </w:tc>
        <w:tc>
          <w:tcPr>
            <w:tcW w:w="870" w:type="pct"/>
          </w:tcPr>
          <w:p w14:paraId="251DA81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2.320.386</w:t>
            </w:r>
          </w:p>
        </w:tc>
        <w:tc>
          <w:tcPr>
            <w:tcW w:w="931" w:type="pct"/>
          </w:tcPr>
          <w:p w14:paraId="7DC7609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651.126,00 </w:t>
            </w:r>
          </w:p>
        </w:tc>
        <w:tc>
          <w:tcPr>
            <w:tcW w:w="982" w:type="pct"/>
          </w:tcPr>
          <w:p w14:paraId="64D1449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2.036.609</w:t>
            </w:r>
          </w:p>
        </w:tc>
        <w:tc>
          <w:tcPr>
            <w:tcW w:w="703" w:type="pct"/>
          </w:tcPr>
          <w:p w14:paraId="4B41367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1,22%</w:t>
            </w:r>
          </w:p>
        </w:tc>
      </w:tr>
      <w:tr w:rsidR="004949CA" w:rsidRPr="00086B1D" w14:paraId="710EAD57"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28E4A543" w14:textId="77777777" w:rsidR="004949CA" w:rsidRPr="00086B1D" w:rsidRDefault="004949CA" w:rsidP="00331A63">
            <w:pPr>
              <w:pStyle w:val="Tijeloteksta"/>
              <w:spacing w:before="0" w:after="0"/>
              <w:rPr>
                <w:rFonts w:cs="Tahoma"/>
                <w:sz w:val="18"/>
                <w:szCs w:val="18"/>
              </w:rPr>
            </w:pPr>
            <w:r w:rsidRPr="00086B1D">
              <w:rPr>
                <w:rFonts w:cs="Tahoma"/>
                <w:sz w:val="18"/>
                <w:szCs w:val="18"/>
              </w:rPr>
              <w:t>12</w:t>
            </w:r>
          </w:p>
        </w:tc>
        <w:tc>
          <w:tcPr>
            <w:tcW w:w="1214" w:type="pct"/>
          </w:tcPr>
          <w:p w14:paraId="66A4CA2A"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Brodsko-posavska</w:t>
            </w:r>
          </w:p>
        </w:tc>
        <w:tc>
          <w:tcPr>
            <w:tcW w:w="870" w:type="pct"/>
          </w:tcPr>
          <w:p w14:paraId="5AEC8A6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4.588.728</w:t>
            </w:r>
          </w:p>
        </w:tc>
        <w:tc>
          <w:tcPr>
            <w:tcW w:w="931" w:type="pct"/>
          </w:tcPr>
          <w:p w14:paraId="3F86161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999.844,00 </w:t>
            </w:r>
          </w:p>
        </w:tc>
        <w:tc>
          <w:tcPr>
            <w:tcW w:w="982" w:type="pct"/>
          </w:tcPr>
          <w:p w14:paraId="160947B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7.708.570</w:t>
            </w:r>
          </w:p>
        </w:tc>
        <w:tc>
          <w:tcPr>
            <w:tcW w:w="703" w:type="pct"/>
          </w:tcPr>
          <w:p w14:paraId="7D10300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4,62%</w:t>
            </w:r>
          </w:p>
        </w:tc>
      </w:tr>
      <w:tr w:rsidR="004949CA" w:rsidRPr="00086B1D" w14:paraId="0ECA4265"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5B1CE31B" w14:textId="77777777" w:rsidR="004949CA" w:rsidRPr="00086B1D" w:rsidRDefault="004949CA" w:rsidP="00331A63">
            <w:pPr>
              <w:pStyle w:val="Tijeloteksta"/>
              <w:spacing w:before="0" w:after="0"/>
              <w:rPr>
                <w:rFonts w:cs="Tahoma"/>
                <w:sz w:val="18"/>
                <w:szCs w:val="18"/>
              </w:rPr>
            </w:pPr>
            <w:r w:rsidRPr="00086B1D">
              <w:rPr>
                <w:rFonts w:cs="Tahoma"/>
                <w:sz w:val="18"/>
                <w:szCs w:val="18"/>
              </w:rPr>
              <w:t>13</w:t>
            </w:r>
          </w:p>
        </w:tc>
        <w:tc>
          <w:tcPr>
            <w:tcW w:w="1214" w:type="pct"/>
          </w:tcPr>
          <w:p w14:paraId="7E41706D"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Zadarska</w:t>
            </w:r>
          </w:p>
        </w:tc>
        <w:tc>
          <w:tcPr>
            <w:tcW w:w="870" w:type="pct"/>
          </w:tcPr>
          <w:p w14:paraId="2F82FBD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6.026.552</w:t>
            </w:r>
          </w:p>
        </w:tc>
        <w:tc>
          <w:tcPr>
            <w:tcW w:w="931" w:type="pct"/>
          </w:tcPr>
          <w:p w14:paraId="4F040C7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1.269.243,00 </w:t>
            </w:r>
          </w:p>
        </w:tc>
        <w:tc>
          <w:tcPr>
            <w:tcW w:w="982" w:type="pct"/>
          </w:tcPr>
          <w:p w14:paraId="6960301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7.297.074</w:t>
            </w:r>
          </w:p>
        </w:tc>
        <w:tc>
          <w:tcPr>
            <w:tcW w:w="703" w:type="pct"/>
          </w:tcPr>
          <w:p w14:paraId="2A22A96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4,38%</w:t>
            </w:r>
          </w:p>
        </w:tc>
      </w:tr>
      <w:tr w:rsidR="004949CA" w:rsidRPr="00086B1D" w14:paraId="258C6AE1"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0061CBFA" w14:textId="77777777" w:rsidR="004949CA" w:rsidRPr="00086B1D" w:rsidRDefault="004949CA" w:rsidP="00331A63">
            <w:pPr>
              <w:pStyle w:val="Tijeloteksta"/>
              <w:spacing w:before="0" w:after="0"/>
              <w:rPr>
                <w:rFonts w:cs="Tahoma"/>
                <w:sz w:val="18"/>
                <w:szCs w:val="18"/>
              </w:rPr>
            </w:pPr>
            <w:r w:rsidRPr="00086B1D">
              <w:rPr>
                <w:rFonts w:cs="Tahoma"/>
                <w:sz w:val="18"/>
                <w:szCs w:val="18"/>
              </w:rPr>
              <w:t>14</w:t>
            </w:r>
          </w:p>
        </w:tc>
        <w:tc>
          <w:tcPr>
            <w:tcW w:w="1214" w:type="pct"/>
          </w:tcPr>
          <w:p w14:paraId="42DADA89"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Osječko-baranjska</w:t>
            </w:r>
          </w:p>
        </w:tc>
        <w:tc>
          <w:tcPr>
            <w:tcW w:w="870" w:type="pct"/>
          </w:tcPr>
          <w:p w14:paraId="60FE93C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9.466.070</w:t>
            </w:r>
          </w:p>
        </w:tc>
        <w:tc>
          <w:tcPr>
            <w:tcW w:w="931" w:type="pct"/>
          </w:tcPr>
          <w:p w14:paraId="2177677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2.244.601,00 </w:t>
            </w:r>
          </w:p>
        </w:tc>
        <w:tc>
          <w:tcPr>
            <w:tcW w:w="982" w:type="pct"/>
          </w:tcPr>
          <w:p w14:paraId="7CC9594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15.441.288</w:t>
            </w:r>
          </w:p>
        </w:tc>
        <w:tc>
          <w:tcPr>
            <w:tcW w:w="703" w:type="pct"/>
          </w:tcPr>
          <w:p w14:paraId="5374090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9,26%</w:t>
            </w:r>
          </w:p>
        </w:tc>
      </w:tr>
      <w:tr w:rsidR="004949CA" w:rsidRPr="00086B1D" w14:paraId="00DBFA4E"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16ECF8D5" w14:textId="77777777" w:rsidR="004949CA" w:rsidRPr="00086B1D" w:rsidRDefault="004949CA" w:rsidP="00331A63">
            <w:pPr>
              <w:pStyle w:val="Tijeloteksta"/>
              <w:spacing w:before="0" w:after="0"/>
              <w:rPr>
                <w:rFonts w:cs="Tahoma"/>
                <w:sz w:val="18"/>
                <w:szCs w:val="18"/>
              </w:rPr>
            </w:pPr>
            <w:r w:rsidRPr="00086B1D">
              <w:rPr>
                <w:rFonts w:cs="Tahoma"/>
                <w:sz w:val="18"/>
                <w:szCs w:val="18"/>
              </w:rPr>
              <w:t>15</w:t>
            </w:r>
          </w:p>
        </w:tc>
        <w:tc>
          <w:tcPr>
            <w:tcW w:w="1214" w:type="pct"/>
          </w:tcPr>
          <w:p w14:paraId="1C12B49C"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Šibensko-kninska</w:t>
            </w:r>
          </w:p>
        </w:tc>
        <w:tc>
          <w:tcPr>
            <w:tcW w:w="870" w:type="pct"/>
          </w:tcPr>
          <w:p w14:paraId="14A7851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3.437.045</w:t>
            </w:r>
          </w:p>
        </w:tc>
        <w:tc>
          <w:tcPr>
            <w:tcW w:w="931" w:type="pct"/>
          </w:tcPr>
          <w:p w14:paraId="79AA651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828.055,00 </w:t>
            </w:r>
          </w:p>
        </w:tc>
        <w:tc>
          <w:tcPr>
            <w:tcW w:w="982" w:type="pct"/>
          </w:tcPr>
          <w:p w14:paraId="18F57FC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3.565.701</w:t>
            </w:r>
          </w:p>
        </w:tc>
        <w:tc>
          <w:tcPr>
            <w:tcW w:w="703" w:type="pct"/>
          </w:tcPr>
          <w:p w14:paraId="1D347793"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2,14%</w:t>
            </w:r>
          </w:p>
        </w:tc>
      </w:tr>
      <w:tr w:rsidR="004949CA" w:rsidRPr="00086B1D" w14:paraId="0C69C56F"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121E22C8" w14:textId="77777777" w:rsidR="004949CA" w:rsidRPr="00086B1D" w:rsidRDefault="004949CA" w:rsidP="00331A63">
            <w:pPr>
              <w:pStyle w:val="Tijeloteksta"/>
              <w:spacing w:before="0" w:after="0"/>
              <w:rPr>
                <w:rFonts w:cs="Tahoma"/>
                <w:sz w:val="18"/>
                <w:szCs w:val="18"/>
              </w:rPr>
            </w:pPr>
            <w:r w:rsidRPr="00086B1D">
              <w:rPr>
                <w:rFonts w:cs="Tahoma"/>
                <w:sz w:val="18"/>
                <w:szCs w:val="18"/>
              </w:rPr>
              <w:t>16</w:t>
            </w:r>
          </w:p>
        </w:tc>
        <w:tc>
          <w:tcPr>
            <w:tcW w:w="1214" w:type="pct"/>
          </w:tcPr>
          <w:p w14:paraId="29291F16"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Vukovarsko-srijemska</w:t>
            </w:r>
          </w:p>
        </w:tc>
        <w:tc>
          <w:tcPr>
            <w:tcW w:w="870" w:type="pct"/>
          </w:tcPr>
          <w:p w14:paraId="299A587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5.242.420</w:t>
            </w:r>
          </w:p>
        </w:tc>
        <w:tc>
          <w:tcPr>
            <w:tcW w:w="931" w:type="pct"/>
          </w:tcPr>
          <w:p w14:paraId="2140715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764.623,00 </w:t>
            </w:r>
          </w:p>
        </w:tc>
        <w:tc>
          <w:tcPr>
            <w:tcW w:w="982" w:type="pct"/>
          </w:tcPr>
          <w:p w14:paraId="4047BC0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4.150.532</w:t>
            </w:r>
          </w:p>
        </w:tc>
        <w:tc>
          <w:tcPr>
            <w:tcW w:w="703" w:type="pct"/>
          </w:tcPr>
          <w:p w14:paraId="1B043B7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2,49%</w:t>
            </w:r>
          </w:p>
        </w:tc>
      </w:tr>
      <w:tr w:rsidR="004949CA" w:rsidRPr="00086B1D" w14:paraId="2B7C1ADA"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50C7E334" w14:textId="77777777" w:rsidR="004949CA" w:rsidRPr="00086B1D" w:rsidRDefault="004949CA" w:rsidP="00331A63">
            <w:pPr>
              <w:pStyle w:val="Tijeloteksta"/>
              <w:spacing w:before="0" w:after="0"/>
              <w:rPr>
                <w:rFonts w:cs="Tahoma"/>
                <w:sz w:val="18"/>
                <w:szCs w:val="18"/>
              </w:rPr>
            </w:pPr>
            <w:r w:rsidRPr="00086B1D">
              <w:rPr>
                <w:rFonts w:cs="Tahoma"/>
                <w:sz w:val="18"/>
                <w:szCs w:val="18"/>
              </w:rPr>
              <w:t>17</w:t>
            </w:r>
          </w:p>
        </w:tc>
        <w:tc>
          <w:tcPr>
            <w:tcW w:w="1214" w:type="pct"/>
          </w:tcPr>
          <w:p w14:paraId="1F641E5B"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Splitsko-dalmatinska</w:t>
            </w:r>
          </w:p>
        </w:tc>
        <w:tc>
          <w:tcPr>
            <w:tcW w:w="870" w:type="pct"/>
          </w:tcPr>
          <w:p w14:paraId="5EED421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12.466.133</w:t>
            </w:r>
          </w:p>
        </w:tc>
        <w:tc>
          <w:tcPr>
            <w:tcW w:w="931" w:type="pct"/>
          </w:tcPr>
          <w:p w14:paraId="4F0CDBD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4.642.825,00 </w:t>
            </w:r>
          </w:p>
        </w:tc>
        <w:tc>
          <w:tcPr>
            <w:tcW w:w="982" w:type="pct"/>
          </w:tcPr>
          <w:p w14:paraId="3B5BD55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15.255.266</w:t>
            </w:r>
          </w:p>
        </w:tc>
        <w:tc>
          <w:tcPr>
            <w:tcW w:w="703" w:type="pct"/>
          </w:tcPr>
          <w:p w14:paraId="4D14A14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9,15%</w:t>
            </w:r>
          </w:p>
        </w:tc>
      </w:tr>
      <w:tr w:rsidR="004949CA" w:rsidRPr="00086B1D" w14:paraId="04C82FA2"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531EF2EA" w14:textId="77777777" w:rsidR="004949CA" w:rsidRPr="00086B1D" w:rsidRDefault="004949CA" w:rsidP="00331A63">
            <w:pPr>
              <w:pStyle w:val="Tijeloteksta"/>
              <w:spacing w:before="0" w:after="0"/>
              <w:rPr>
                <w:rFonts w:cs="Tahoma"/>
                <w:sz w:val="18"/>
                <w:szCs w:val="18"/>
              </w:rPr>
            </w:pPr>
            <w:r w:rsidRPr="00086B1D">
              <w:rPr>
                <w:rFonts w:cs="Tahoma"/>
                <w:sz w:val="18"/>
                <w:szCs w:val="18"/>
              </w:rPr>
              <w:t>18</w:t>
            </w:r>
          </w:p>
        </w:tc>
        <w:tc>
          <w:tcPr>
            <w:tcW w:w="1214" w:type="pct"/>
          </w:tcPr>
          <w:p w14:paraId="6559CD0D"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Istarska</w:t>
            </w:r>
          </w:p>
        </w:tc>
        <w:tc>
          <w:tcPr>
            <w:tcW w:w="870" w:type="pct"/>
          </w:tcPr>
          <w:p w14:paraId="411C67F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7.664.291</w:t>
            </w:r>
          </w:p>
        </w:tc>
        <w:tc>
          <w:tcPr>
            <w:tcW w:w="931" w:type="pct"/>
          </w:tcPr>
          <w:p w14:paraId="79CCDB9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3.107.615,00 </w:t>
            </w:r>
          </w:p>
        </w:tc>
        <w:tc>
          <w:tcPr>
            <w:tcW w:w="982" w:type="pct"/>
          </w:tcPr>
          <w:p w14:paraId="431256C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7.985.361</w:t>
            </w:r>
          </w:p>
        </w:tc>
        <w:tc>
          <w:tcPr>
            <w:tcW w:w="703" w:type="pct"/>
          </w:tcPr>
          <w:p w14:paraId="3196E47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4,79%</w:t>
            </w:r>
          </w:p>
        </w:tc>
      </w:tr>
      <w:tr w:rsidR="004949CA" w:rsidRPr="00086B1D" w14:paraId="7CC51DC9"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0ED81160" w14:textId="77777777" w:rsidR="004949CA" w:rsidRPr="00086B1D" w:rsidRDefault="004949CA" w:rsidP="00331A63">
            <w:pPr>
              <w:pStyle w:val="Tijeloteksta"/>
              <w:spacing w:before="0" w:after="0"/>
              <w:rPr>
                <w:rFonts w:cs="Tahoma"/>
                <w:sz w:val="18"/>
                <w:szCs w:val="18"/>
              </w:rPr>
            </w:pPr>
            <w:r w:rsidRPr="00086B1D">
              <w:rPr>
                <w:rFonts w:cs="Tahoma"/>
                <w:sz w:val="18"/>
                <w:szCs w:val="18"/>
              </w:rPr>
              <w:t>19</w:t>
            </w:r>
          </w:p>
        </w:tc>
        <w:tc>
          <w:tcPr>
            <w:tcW w:w="1214" w:type="pct"/>
          </w:tcPr>
          <w:p w14:paraId="121F5A35"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Dubrovačko-neretvanska</w:t>
            </w:r>
          </w:p>
        </w:tc>
        <w:tc>
          <w:tcPr>
            <w:tcW w:w="870" w:type="pct"/>
          </w:tcPr>
          <w:p w14:paraId="57D45DE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3.702.961</w:t>
            </w:r>
          </w:p>
        </w:tc>
        <w:tc>
          <w:tcPr>
            <w:tcW w:w="931" w:type="pct"/>
          </w:tcPr>
          <w:p w14:paraId="0924093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1.195.171,00 </w:t>
            </w:r>
          </w:p>
        </w:tc>
        <w:tc>
          <w:tcPr>
            <w:tcW w:w="982" w:type="pct"/>
          </w:tcPr>
          <w:p w14:paraId="46816A3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4.968.716</w:t>
            </w:r>
          </w:p>
        </w:tc>
        <w:tc>
          <w:tcPr>
            <w:tcW w:w="703" w:type="pct"/>
          </w:tcPr>
          <w:p w14:paraId="6DD418B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2,98%</w:t>
            </w:r>
          </w:p>
        </w:tc>
      </w:tr>
      <w:tr w:rsidR="004949CA" w:rsidRPr="00086B1D" w14:paraId="59692BF3"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3114AB38" w14:textId="77777777" w:rsidR="004949CA" w:rsidRPr="00086B1D" w:rsidRDefault="004949CA" w:rsidP="00331A63">
            <w:pPr>
              <w:pStyle w:val="Tijeloteksta"/>
              <w:spacing w:before="0" w:after="0"/>
              <w:rPr>
                <w:rFonts w:cs="Tahoma"/>
                <w:sz w:val="18"/>
                <w:szCs w:val="18"/>
              </w:rPr>
            </w:pPr>
            <w:r w:rsidRPr="00086B1D">
              <w:rPr>
                <w:rFonts w:cs="Tahoma"/>
                <w:sz w:val="18"/>
                <w:szCs w:val="18"/>
              </w:rPr>
              <w:t>20</w:t>
            </w:r>
          </w:p>
        </w:tc>
        <w:tc>
          <w:tcPr>
            <w:tcW w:w="1214" w:type="pct"/>
          </w:tcPr>
          <w:p w14:paraId="00F95F49"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Međimurska</w:t>
            </w:r>
          </w:p>
        </w:tc>
        <w:tc>
          <w:tcPr>
            <w:tcW w:w="870" w:type="pct"/>
          </w:tcPr>
          <w:p w14:paraId="79C9221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3.646.019</w:t>
            </w:r>
          </w:p>
        </w:tc>
        <w:tc>
          <w:tcPr>
            <w:tcW w:w="931" w:type="pct"/>
          </w:tcPr>
          <w:p w14:paraId="342EFEB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915.258,00 </w:t>
            </w:r>
          </w:p>
        </w:tc>
        <w:tc>
          <w:tcPr>
            <w:tcW w:w="982" w:type="pct"/>
          </w:tcPr>
          <w:p w14:paraId="09EE96D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4.296.147</w:t>
            </w:r>
          </w:p>
        </w:tc>
        <w:tc>
          <w:tcPr>
            <w:tcW w:w="703" w:type="pct"/>
          </w:tcPr>
          <w:p w14:paraId="211C655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2,58%</w:t>
            </w:r>
          </w:p>
        </w:tc>
      </w:tr>
      <w:tr w:rsidR="004949CA" w:rsidRPr="00086B1D" w14:paraId="4E235B46"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32C7E597" w14:textId="77777777" w:rsidR="004949CA" w:rsidRPr="00086B1D" w:rsidRDefault="004949CA" w:rsidP="00331A63">
            <w:pPr>
              <w:pStyle w:val="Tijeloteksta"/>
              <w:spacing w:before="0" w:after="0"/>
              <w:rPr>
                <w:rFonts w:cs="Tahoma"/>
                <w:sz w:val="18"/>
                <w:szCs w:val="18"/>
              </w:rPr>
            </w:pPr>
            <w:r w:rsidRPr="00086B1D">
              <w:rPr>
                <w:rFonts w:cs="Tahoma"/>
                <w:sz w:val="18"/>
                <w:szCs w:val="18"/>
              </w:rPr>
              <w:t>21</w:t>
            </w:r>
          </w:p>
        </w:tc>
        <w:tc>
          <w:tcPr>
            <w:tcW w:w="1214" w:type="pct"/>
          </w:tcPr>
          <w:p w14:paraId="39BFA34E"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Grad Zagreb</w:t>
            </w:r>
          </w:p>
        </w:tc>
        <w:tc>
          <w:tcPr>
            <w:tcW w:w="870" w:type="pct"/>
          </w:tcPr>
          <w:p w14:paraId="07E8ABD3"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22.564.317</w:t>
            </w:r>
          </w:p>
        </w:tc>
        <w:tc>
          <w:tcPr>
            <w:tcW w:w="931" w:type="pct"/>
          </w:tcPr>
          <w:p w14:paraId="041471E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 xml:space="preserve"> 8.724.268,00 </w:t>
            </w:r>
          </w:p>
        </w:tc>
        <w:tc>
          <w:tcPr>
            <w:tcW w:w="982" w:type="pct"/>
          </w:tcPr>
          <w:p w14:paraId="1F618F5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31.288.585</w:t>
            </w:r>
          </w:p>
        </w:tc>
        <w:tc>
          <w:tcPr>
            <w:tcW w:w="703" w:type="pct"/>
          </w:tcPr>
          <w:p w14:paraId="7CC5DFB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086B1D">
              <w:rPr>
                <w:rFonts w:cs="Tahoma"/>
                <w:sz w:val="18"/>
                <w:szCs w:val="18"/>
              </w:rPr>
              <w:t>18,76%</w:t>
            </w:r>
          </w:p>
        </w:tc>
      </w:tr>
      <w:tr w:rsidR="004949CA" w:rsidRPr="00086B1D" w14:paraId="312AFEBE" w14:textId="77777777" w:rsidTr="00331A63">
        <w:tc>
          <w:tcPr>
            <w:cnfStyle w:val="001000000000" w:firstRow="0" w:lastRow="0" w:firstColumn="1" w:lastColumn="0" w:oddVBand="0" w:evenVBand="0" w:oddHBand="0" w:evenHBand="0" w:firstRowFirstColumn="0" w:firstRowLastColumn="0" w:lastRowFirstColumn="0" w:lastRowLastColumn="0"/>
            <w:tcW w:w="301" w:type="pct"/>
          </w:tcPr>
          <w:p w14:paraId="3D715B7B" w14:textId="77777777" w:rsidR="004949CA" w:rsidRPr="00086B1D" w:rsidRDefault="004949CA" w:rsidP="00331A63">
            <w:pPr>
              <w:pStyle w:val="Tijeloteksta"/>
              <w:spacing w:before="0" w:after="0"/>
              <w:rPr>
                <w:rFonts w:cs="Tahoma"/>
                <w:b w:val="0"/>
                <w:bCs w:val="0"/>
                <w:sz w:val="18"/>
                <w:szCs w:val="18"/>
              </w:rPr>
            </w:pPr>
          </w:p>
        </w:tc>
        <w:tc>
          <w:tcPr>
            <w:tcW w:w="1214" w:type="pct"/>
          </w:tcPr>
          <w:p w14:paraId="40CF495D" w14:textId="77777777" w:rsidR="004949CA" w:rsidRPr="00086B1D" w:rsidRDefault="004949CA" w:rsidP="00331A63">
            <w:pPr>
              <w:pStyle w:val="Tijeloteksta"/>
              <w:spacing w:before="0" w:after="0"/>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UKUPNO</w:t>
            </w:r>
          </w:p>
        </w:tc>
        <w:tc>
          <w:tcPr>
            <w:tcW w:w="870" w:type="pct"/>
          </w:tcPr>
          <w:p w14:paraId="6B3E39C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128.930.959</w:t>
            </w:r>
          </w:p>
        </w:tc>
        <w:tc>
          <w:tcPr>
            <w:tcW w:w="931" w:type="pct"/>
          </w:tcPr>
          <w:p w14:paraId="4D3C05C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 xml:space="preserve"> 37.811.064 </w:t>
            </w:r>
          </w:p>
        </w:tc>
        <w:tc>
          <w:tcPr>
            <w:tcW w:w="982" w:type="pct"/>
          </w:tcPr>
          <w:p w14:paraId="12B56AE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166.742.024</w:t>
            </w:r>
          </w:p>
        </w:tc>
        <w:tc>
          <w:tcPr>
            <w:tcW w:w="703" w:type="pct"/>
          </w:tcPr>
          <w:p w14:paraId="54D2AC5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100%</w:t>
            </w:r>
          </w:p>
        </w:tc>
      </w:tr>
    </w:tbl>
    <w:p w14:paraId="597B9723" w14:textId="26044D00" w:rsidR="004949CA" w:rsidRPr="00DE7F43" w:rsidRDefault="0C3F4C7D" w:rsidP="004949CA">
      <w:pPr>
        <w:pStyle w:val="Tijeloteksta"/>
      </w:pPr>
      <w:r>
        <w:t xml:space="preserve">Iz gore navedenih podataka utvrđuju se udjeli VSZ u ukupnom stambenom fondu i u ukupnom fondu zgrada u </w:t>
      </w:r>
      <w:r w:rsidR="342F5F45">
        <w:t>Hrvatskoj</w:t>
      </w:r>
      <w:r>
        <w:t xml:space="preserve">, kako prikazuje </w:t>
      </w:r>
      <w:r w:rsidR="303BC0FC">
        <w:t>Tablica 33.</w:t>
      </w:r>
    </w:p>
    <w:p w14:paraId="75620AEE" w14:textId="2CC57813" w:rsidR="004949CA" w:rsidRPr="00DE7F43" w:rsidRDefault="004949CA" w:rsidP="004949CA">
      <w:pPr>
        <w:pStyle w:val="Opisslike"/>
      </w:pPr>
      <w:bookmarkStart w:id="58" w:name="_Toc72081538"/>
      <w:bookmarkStart w:id="59" w:name="_Ref83113603"/>
      <w:bookmarkStart w:id="60" w:name="_Toc84240486"/>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3</w:t>
      </w:r>
      <w:r w:rsidRPr="00DE7F43">
        <w:rPr>
          <w:noProof/>
        </w:rPr>
        <w:fldChar w:fldCharType="end"/>
      </w:r>
      <w:r w:rsidRPr="00DE7F43">
        <w:t xml:space="preserve">: Udio višestambenih zgrada u stambenom fondu i u ukupnom fondu zgrada u </w:t>
      </w:r>
      <w:bookmarkEnd w:id="58"/>
      <w:bookmarkEnd w:id="59"/>
      <w:r w:rsidR="00223AAD">
        <w:t>Hrvatskoj</w:t>
      </w:r>
      <w:bookmarkEnd w:id="60"/>
      <w:r w:rsidRPr="00DE7F43">
        <w:t xml:space="preserve"> </w:t>
      </w:r>
    </w:p>
    <w:tbl>
      <w:tblPr>
        <w:tblStyle w:val="Svijetlatablicareetke110"/>
        <w:tblW w:w="5000" w:type="pct"/>
        <w:tblLook w:val="04A0" w:firstRow="1" w:lastRow="0" w:firstColumn="1" w:lastColumn="0" w:noHBand="0" w:noVBand="1"/>
      </w:tblPr>
      <w:tblGrid>
        <w:gridCol w:w="3307"/>
        <w:gridCol w:w="2617"/>
        <w:gridCol w:w="1570"/>
        <w:gridCol w:w="1568"/>
      </w:tblGrid>
      <w:tr w:rsidR="004949CA" w:rsidRPr="00DE7F43" w14:paraId="53A4E2AE"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4D4A37E8" w14:textId="77777777" w:rsidR="004949CA" w:rsidRPr="00DE7F43" w:rsidRDefault="004949CA" w:rsidP="00331A63">
            <w:pPr>
              <w:pStyle w:val="Tijeloteksta"/>
              <w:spacing w:before="0" w:after="0"/>
              <w:rPr>
                <w:rFonts w:cs="Tahoma"/>
                <w:sz w:val="18"/>
                <w:szCs w:val="18"/>
              </w:rPr>
            </w:pPr>
            <w:r w:rsidRPr="00DE7F43">
              <w:rPr>
                <w:rFonts w:cs="Tahoma"/>
                <w:sz w:val="18"/>
                <w:szCs w:val="18"/>
              </w:rPr>
              <w:t>Vrsta zgrade</w:t>
            </w:r>
          </w:p>
        </w:tc>
        <w:tc>
          <w:tcPr>
            <w:tcW w:w="0" w:type="pct"/>
          </w:tcPr>
          <w:p w14:paraId="334FAB67" w14:textId="77777777" w:rsidR="004949CA" w:rsidRPr="00DE7F43"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lang w:eastAsia="en-GB"/>
              </w:rPr>
              <w:t>Ukupna ploština korisne površine grijanog dijela zgrada [m</w:t>
            </w:r>
            <w:r w:rsidRPr="00DE7F43">
              <w:rPr>
                <w:rFonts w:cs="Tahoma"/>
                <w:sz w:val="18"/>
                <w:szCs w:val="18"/>
                <w:vertAlign w:val="superscript"/>
                <w:lang w:eastAsia="en-GB"/>
              </w:rPr>
              <w:t>2</w:t>
            </w:r>
            <w:r w:rsidRPr="00DE7F43">
              <w:rPr>
                <w:rFonts w:cs="Tahoma"/>
                <w:sz w:val="18"/>
                <w:szCs w:val="18"/>
                <w:lang w:eastAsia="en-GB"/>
              </w:rPr>
              <w:t>]</w:t>
            </w:r>
          </w:p>
        </w:tc>
        <w:tc>
          <w:tcPr>
            <w:tcW w:w="0" w:type="pct"/>
          </w:tcPr>
          <w:p w14:paraId="126F6C62" w14:textId="77777777" w:rsidR="004949CA" w:rsidRPr="00DE7F43"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Udio u stambenom fondu [%]</w:t>
            </w:r>
          </w:p>
        </w:tc>
        <w:tc>
          <w:tcPr>
            <w:tcW w:w="0" w:type="pct"/>
          </w:tcPr>
          <w:p w14:paraId="579D9689" w14:textId="77777777" w:rsidR="004949CA" w:rsidRPr="00DE7F43"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Udio u ukupnom fondu zgrada [%]</w:t>
            </w:r>
          </w:p>
        </w:tc>
      </w:tr>
      <w:tr w:rsidR="004949CA" w:rsidRPr="00DE7F43" w14:paraId="6E2B1385"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7799100A" w14:textId="77777777" w:rsidR="004949CA" w:rsidRPr="00DE7F43" w:rsidRDefault="004949CA" w:rsidP="00331A63">
            <w:pPr>
              <w:pStyle w:val="Tijeloteksta"/>
              <w:spacing w:before="0" w:after="0"/>
              <w:rPr>
                <w:rFonts w:cs="Tahoma"/>
                <w:sz w:val="18"/>
                <w:szCs w:val="18"/>
              </w:rPr>
            </w:pPr>
            <w:r w:rsidRPr="00DE7F43">
              <w:rPr>
                <w:rFonts w:cs="Tahoma"/>
                <w:sz w:val="18"/>
                <w:szCs w:val="18"/>
              </w:rPr>
              <w:t>Obiteljske kuće</w:t>
            </w:r>
          </w:p>
        </w:tc>
        <w:tc>
          <w:tcPr>
            <w:tcW w:w="0" w:type="pct"/>
          </w:tcPr>
          <w:p w14:paraId="46093FE0"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83.481.377</w:t>
            </w:r>
          </w:p>
        </w:tc>
        <w:tc>
          <w:tcPr>
            <w:tcW w:w="0" w:type="pct"/>
          </w:tcPr>
          <w:p w14:paraId="6BE4521C"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rPr>
              <w:t>64,75</w:t>
            </w:r>
          </w:p>
        </w:tc>
        <w:tc>
          <w:tcPr>
            <w:tcW w:w="0" w:type="pct"/>
          </w:tcPr>
          <w:p w14:paraId="312EDEEE"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rPr>
              <w:t>50,07</w:t>
            </w:r>
          </w:p>
        </w:tc>
      </w:tr>
      <w:tr w:rsidR="004949CA" w:rsidRPr="00DE7F43" w14:paraId="68E1D723"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0598C4F7" w14:textId="77777777" w:rsidR="004949CA" w:rsidRPr="00DE7F43" w:rsidRDefault="004949CA" w:rsidP="00331A63">
            <w:pPr>
              <w:pStyle w:val="Tijeloteksta"/>
              <w:spacing w:before="0" w:after="0"/>
              <w:rPr>
                <w:rFonts w:cs="Tahoma"/>
                <w:sz w:val="18"/>
                <w:szCs w:val="18"/>
              </w:rPr>
            </w:pPr>
            <w:r w:rsidRPr="00DE7F43">
              <w:rPr>
                <w:rFonts w:cs="Tahoma"/>
                <w:sz w:val="18"/>
                <w:szCs w:val="18"/>
              </w:rPr>
              <w:t>Višestambene zgrade</w:t>
            </w:r>
          </w:p>
        </w:tc>
        <w:tc>
          <w:tcPr>
            <w:tcW w:w="0" w:type="pct"/>
          </w:tcPr>
          <w:p w14:paraId="50C8DDB8"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45.449.582</w:t>
            </w:r>
          </w:p>
        </w:tc>
        <w:tc>
          <w:tcPr>
            <w:tcW w:w="0" w:type="pct"/>
          </w:tcPr>
          <w:p w14:paraId="44EEB934"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rPr>
              <w:t>35,25</w:t>
            </w:r>
          </w:p>
        </w:tc>
        <w:tc>
          <w:tcPr>
            <w:tcW w:w="0" w:type="pct"/>
          </w:tcPr>
          <w:p w14:paraId="1543E62C"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rPr>
              <w:t>27,26</w:t>
            </w:r>
          </w:p>
        </w:tc>
      </w:tr>
      <w:tr w:rsidR="004949CA" w:rsidRPr="00DE7F43" w14:paraId="51F6D525" w14:textId="77777777" w:rsidTr="00331A63">
        <w:tc>
          <w:tcPr>
            <w:cnfStyle w:val="001000000000" w:firstRow="0" w:lastRow="0" w:firstColumn="1" w:lastColumn="0" w:oddVBand="0" w:evenVBand="0" w:oddHBand="0" w:evenHBand="0" w:firstRowFirstColumn="0" w:firstRowLastColumn="0" w:lastRowFirstColumn="0" w:lastRowLastColumn="0"/>
            <w:tcW w:w="1825" w:type="pct"/>
          </w:tcPr>
          <w:p w14:paraId="3B07398C" w14:textId="77777777" w:rsidR="004949CA" w:rsidRPr="00DE7F43" w:rsidRDefault="004949CA" w:rsidP="00331A63">
            <w:pPr>
              <w:pStyle w:val="Tijeloteksta"/>
              <w:spacing w:before="0" w:after="0"/>
              <w:rPr>
                <w:rFonts w:cs="Tahoma"/>
                <w:sz w:val="18"/>
                <w:szCs w:val="18"/>
              </w:rPr>
            </w:pPr>
            <w:r w:rsidRPr="00DE7F43">
              <w:rPr>
                <w:rFonts w:cs="Tahoma"/>
                <w:sz w:val="18"/>
                <w:szCs w:val="18"/>
              </w:rPr>
              <w:t>UKUPNO – stambeni fond</w:t>
            </w:r>
          </w:p>
        </w:tc>
        <w:tc>
          <w:tcPr>
            <w:tcW w:w="1444" w:type="pct"/>
          </w:tcPr>
          <w:p w14:paraId="1F3795EA"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b/>
                <w:bCs/>
                <w:sz w:val="18"/>
                <w:szCs w:val="18"/>
              </w:rPr>
              <w:t>128.930.959</w:t>
            </w:r>
          </w:p>
        </w:tc>
        <w:tc>
          <w:tcPr>
            <w:tcW w:w="866" w:type="pct"/>
            <w:shd w:val="clear" w:color="auto" w:fill="FFFFFF" w:themeFill="background1"/>
          </w:tcPr>
          <w:p w14:paraId="327EF49F"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i/>
                <w:iCs/>
                <w:sz w:val="18"/>
                <w:szCs w:val="18"/>
              </w:rPr>
            </w:pPr>
            <w:r w:rsidRPr="00DE7F43">
              <w:rPr>
                <w:rFonts w:cs="Tahoma"/>
                <w:b/>
                <w:bCs/>
                <w:i/>
                <w:iCs/>
                <w:sz w:val="18"/>
                <w:szCs w:val="18"/>
              </w:rPr>
              <w:t>100,00</w:t>
            </w:r>
          </w:p>
        </w:tc>
        <w:tc>
          <w:tcPr>
            <w:tcW w:w="865" w:type="pct"/>
            <w:shd w:val="clear" w:color="auto" w:fill="AEAAAA" w:themeFill="background2" w:themeFillShade="BF"/>
          </w:tcPr>
          <w:p w14:paraId="4B7B3D98"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p>
        </w:tc>
      </w:tr>
      <w:tr w:rsidR="004949CA" w:rsidRPr="00DE7F43" w14:paraId="7B88B70B"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055BDFFC" w14:textId="77777777" w:rsidR="004949CA" w:rsidRPr="00DE7F43" w:rsidRDefault="004949CA" w:rsidP="00331A63">
            <w:pPr>
              <w:pStyle w:val="Tijeloteksta"/>
              <w:spacing w:before="0" w:after="0"/>
              <w:rPr>
                <w:rFonts w:cs="Tahoma"/>
                <w:sz w:val="18"/>
                <w:szCs w:val="18"/>
              </w:rPr>
            </w:pPr>
            <w:r w:rsidRPr="00DE7F43">
              <w:rPr>
                <w:rFonts w:cs="Tahoma"/>
                <w:sz w:val="18"/>
                <w:szCs w:val="18"/>
              </w:rPr>
              <w:t>Nestambene zgrade</w:t>
            </w:r>
          </w:p>
        </w:tc>
        <w:tc>
          <w:tcPr>
            <w:tcW w:w="0" w:type="pct"/>
          </w:tcPr>
          <w:p w14:paraId="30AC7D78"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37.811.064</w:t>
            </w:r>
          </w:p>
        </w:tc>
        <w:tc>
          <w:tcPr>
            <w:tcW w:w="0" w:type="pct"/>
            <w:shd w:val="clear" w:color="auto" w:fill="AEAAAA" w:themeFill="background2" w:themeFillShade="BF"/>
          </w:tcPr>
          <w:p w14:paraId="645643E7"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p>
        </w:tc>
        <w:tc>
          <w:tcPr>
            <w:tcW w:w="0" w:type="pct"/>
          </w:tcPr>
          <w:p w14:paraId="5C77D08E"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rPr>
              <w:t>22,67</w:t>
            </w:r>
          </w:p>
        </w:tc>
      </w:tr>
      <w:tr w:rsidR="004949CA" w:rsidRPr="00DE7F43" w14:paraId="1B8C2D1A"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46E30A92" w14:textId="77777777" w:rsidR="004949CA" w:rsidRPr="00DE7F43" w:rsidRDefault="004949CA" w:rsidP="00331A63">
            <w:pPr>
              <w:pStyle w:val="Tijeloteksta"/>
              <w:spacing w:before="0" w:after="0"/>
              <w:rPr>
                <w:rFonts w:cs="Tahoma"/>
                <w:b w:val="0"/>
                <w:bCs w:val="0"/>
                <w:sz w:val="18"/>
                <w:szCs w:val="18"/>
              </w:rPr>
            </w:pPr>
            <w:r w:rsidRPr="00DE7F43">
              <w:rPr>
                <w:rFonts w:cs="Tahoma"/>
                <w:sz w:val="18"/>
                <w:szCs w:val="18"/>
              </w:rPr>
              <w:t>UKUPNO</w:t>
            </w:r>
          </w:p>
        </w:tc>
        <w:tc>
          <w:tcPr>
            <w:tcW w:w="0" w:type="pct"/>
          </w:tcPr>
          <w:p w14:paraId="0F195A55"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DE7F43">
              <w:rPr>
                <w:rFonts w:cs="Tahoma"/>
                <w:b/>
                <w:bCs/>
                <w:sz w:val="18"/>
                <w:szCs w:val="18"/>
              </w:rPr>
              <w:t>166.742.024</w:t>
            </w:r>
          </w:p>
        </w:tc>
        <w:tc>
          <w:tcPr>
            <w:tcW w:w="0" w:type="pct"/>
            <w:shd w:val="clear" w:color="auto" w:fill="AEAAAA" w:themeFill="background2" w:themeFillShade="BF"/>
          </w:tcPr>
          <w:p w14:paraId="5AAB39CE"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i/>
                <w:iCs/>
                <w:sz w:val="18"/>
                <w:szCs w:val="18"/>
              </w:rPr>
            </w:pPr>
          </w:p>
        </w:tc>
        <w:tc>
          <w:tcPr>
            <w:tcW w:w="0" w:type="pct"/>
          </w:tcPr>
          <w:p w14:paraId="75D58640"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i/>
                <w:iCs/>
                <w:sz w:val="18"/>
                <w:szCs w:val="18"/>
              </w:rPr>
            </w:pPr>
            <w:r w:rsidRPr="00DE7F43">
              <w:rPr>
                <w:rFonts w:cs="Tahoma"/>
                <w:b/>
                <w:bCs/>
                <w:i/>
                <w:iCs/>
                <w:sz w:val="18"/>
                <w:szCs w:val="18"/>
              </w:rPr>
              <w:t>100,00</w:t>
            </w:r>
          </w:p>
        </w:tc>
      </w:tr>
    </w:tbl>
    <w:p w14:paraId="6BAB0EFE" w14:textId="6269E0FE" w:rsidR="004949CA" w:rsidRPr="00086B1D" w:rsidRDefault="004949CA" w:rsidP="004949CA">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rPr>
          <w:rFonts w:ascii="Tahoma" w:hAnsi="Tahoma" w:cs="Tahoma"/>
          <w:b/>
          <w:bCs/>
          <w:sz w:val="20"/>
          <w:szCs w:val="20"/>
        </w:rPr>
      </w:pPr>
      <w:r w:rsidRPr="00086B1D">
        <w:rPr>
          <w:rFonts w:ascii="Tahoma" w:hAnsi="Tahoma" w:cs="Tahoma"/>
          <w:b/>
          <w:bCs/>
          <w:sz w:val="20"/>
          <w:szCs w:val="20"/>
        </w:rPr>
        <w:lastRenderedPageBreak/>
        <w:t xml:space="preserve">VSZ predstavljaju oko 35% (preko 1/3) ukupnog stambenog fonda u </w:t>
      </w:r>
      <w:r w:rsidR="00FF49C9">
        <w:rPr>
          <w:rFonts w:ascii="Tahoma" w:hAnsi="Tahoma" w:cs="Tahoma"/>
          <w:b/>
          <w:bCs/>
          <w:sz w:val="20"/>
          <w:szCs w:val="20"/>
        </w:rPr>
        <w:t xml:space="preserve">Hrvatskoj </w:t>
      </w:r>
      <w:r w:rsidRPr="00086B1D">
        <w:rPr>
          <w:rFonts w:ascii="Tahoma" w:hAnsi="Tahoma" w:cs="Tahoma"/>
          <w:b/>
          <w:bCs/>
          <w:sz w:val="20"/>
          <w:szCs w:val="20"/>
        </w:rPr>
        <w:t xml:space="preserve">odnosno oko 27% (nešto više od 1/4) cjelokupnog fonda zgrada (prema ukupnoj ploštini korisne površine grijanog dijela zgrada). </w:t>
      </w:r>
    </w:p>
    <w:p w14:paraId="1C6B0A3B" w14:textId="5F9140FB" w:rsidR="004949CA" w:rsidRPr="00086B1D" w:rsidRDefault="00416E8D" w:rsidP="004949CA">
      <w:pPr>
        <w:pStyle w:val="Tijeloteksta"/>
        <w:rPr>
          <w:rFonts w:cs="Tahoma"/>
          <w:szCs w:val="20"/>
        </w:rPr>
      </w:pPr>
      <w:r>
        <w:rPr>
          <w:rFonts w:cs="Tahoma"/>
          <w:szCs w:val="20"/>
        </w:rPr>
        <w:t xml:space="preserve">Tablica 3-4 </w:t>
      </w:r>
      <w:r w:rsidR="004949CA" w:rsidRPr="00086B1D">
        <w:rPr>
          <w:rFonts w:cs="Tahoma"/>
          <w:szCs w:val="20"/>
        </w:rPr>
        <w:t xml:space="preserve">prikazuje razdiobu stambenog fonda prema godini izgradnje i klimatskoj zoni. Vidljivo je da se oko 57% VSZ nalazi u kontinentalnoj Hrvatskoj te da je gotovo 58% VSZ građeno prije 1981. godine, dakle u razdoblju prije primjene tehničkih standarda vezanih uz potrošnju energije u zgradama, zbog čega upravo te VSZ ulaze u kategoriju zgrada s najlošijim energetskim karakteristikama. Zanimljivo je, također, i istaknuti da je gotovo 37% svih VSZ izgrađeno prije 1961. godine, odnosno oko 58% ih je izgrađeno prije 1971. godine. Za ove VSZ može se utvrditi da ulaze u kategoriju zgrada s najlošijim konstrukcijskim svojstvima, jer je izvjesno da većina njih nema dostatnu potresnu otpornost (prvi protupotresni propis u Hrvatskoj, </w:t>
      </w:r>
      <w:r w:rsidR="004949CA" w:rsidRPr="00086B1D">
        <w:rPr>
          <w:rFonts w:cs="Tahoma"/>
          <w:i/>
          <w:szCs w:val="20"/>
        </w:rPr>
        <w:t>Pravilnik o privremenim tehničkim propisima za građenje u seizmičkim područjima</w:t>
      </w:r>
      <w:r w:rsidR="004949CA" w:rsidRPr="00086B1D">
        <w:rPr>
          <w:rFonts w:cs="Tahoma"/>
          <w:szCs w:val="20"/>
        </w:rPr>
        <w:t xml:space="preserve">, donesen je 1964.godine, nakon katastrofalnog potresa u Skopju).  </w:t>
      </w:r>
    </w:p>
    <w:p w14:paraId="517438E6" w14:textId="6276CE2C" w:rsidR="004949CA" w:rsidRPr="00DE7F43" w:rsidRDefault="004949CA" w:rsidP="004949CA">
      <w:pPr>
        <w:pStyle w:val="Opisslike"/>
      </w:pPr>
      <w:bookmarkStart w:id="61" w:name="_Ref83114885"/>
      <w:bookmarkStart w:id="62" w:name="_Toc72081539"/>
      <w:bookmarkStart w:id="63" w:name="_Ref83113629"/>
      <w:bookmarkStart w:id="64" w:name="_Ref83114055"/>
      <w:bookmarkStart w:id="65" w:name="_Toc84240487"/>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4</w:t>
      </w:r>
      <w:r w:rsidRPr="00DE7F43">
        <w:rPr>
          <w:noProof/>
        </w:rPr>
        <w:fldChar w:fldCharType="end"/>
      </w:r>
      <w:bookmarkEnd w:id="61"/>
      <w:r w:rsidRPr="00DE7F43">
        <w:t xml:space="preserve">: Stambeni fond u </w:t>
      </w:r>
      <w:r w:rsidR="00223AAD">
        <w:t>Hrvatskoj</w:t>
      </w:r>
      <w:r w:rsidRPr="00DE7F43">
        <w:t xml:space="preserve"> prema godini izgradnje i klimatskoj zoni</w:t>
      </w:r>
      <w:bookmarkEnd w:id="62"/>
      <w:bookmarkEnd w:id="63"/>
      <w:bookmarkEnd w:id="64"/>
      <w:bookmarkEnd w:id="65"/>
    </w:p>
    <w:tbl>
      <w:tblPr>
        <w:tblStyle w:val="Svijetlatablicareetke110"/>
        <w:tblW w:w="5000" w:type="pct"/>
        <w:tblLook w:val="04A0" w:firstRow="1" w:lastRow="0" w:firstColumn="1" w:lastColumn="0" w:noHBand="0" w:noVBand="1"/>
      </w:tblPr>
      <w:tblGrid>
        <w:gridCol w:w="1608"/>
        <w:gridCol w:w="1988"/>
        <w:gridCol w:w="1740"/>
        <w:gridCol w:w="1987"/>
        <w:gridCol w:w="1739"/>
      </w:tblGrid>
      <w:tr w:rsidR="004949CA" w:rsidRPr="00DE7F43" w14:paraId="304544AB" w14:textId="77777777" w:rsidTr="00331A63">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0" w:type="pct"/>
            <w:vMerge w:val="restart"/>
          </w:tcPr>
          <w:p w14:paraId="72B7A39F" w14:textId="77777777" w:rsidR="004949CA" w:rsidRPr="00DE7F43" w:rsidRDefault="004949CA" w:rsidP="00331A63">
            <w:pPr>
              <w:pStyle w:val="Tijeloteksta"/>
              <w:spacing w:before="0" w:after="0"/>
              <w:rPr>
                <w:rFonts w:cs="Tahoma"/>
                <w:sz w:val="18"/>
                <w:szCs w:val="18"/>
              </w:rPr>
            </w:pPr>
            <w:r w:rsidRPr="00DE7F43">
              <w:rPr>
                <w:rFonts w:cs="Tahoma"/>
                <w:sz w:val="18"/>
                <w:szCs w:val="18"/>
              </w:rPr>
              <w:t>Razdoblje izgradnje</w:t>
            </w:r>
          </w:p>
        </w:tc>
        <w:tc>
          <w:tcPr>
            <w:tcW w:w="0" w:type="pct"/>
            <w:gridSpan w:val="4"/>
          </w:tcPr>
          <w:p w14:paraId="0A0D0353" w14:textId="77777777" w:rsidR="004949CA" w:rsidRPr="00DE7F43" w:rsidRDefault="004949CA" w:rsidP="00331A63">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i/>
                <w:iCs/>
                <w:sz w:val="18"/>
                <w:szCs w:val="18"/>
              </w:rPr>
            </w:pPr>
            <w:r w:rsidRPr="00DE7F43">
              <w:rPr>
                <w:rFonts w:cs="Tahoma"/>
                <w:i/>
                <w:iCs/>
                <w:sz w:val="18"/>
                <w:szCs w:val="18"/>
                <w:lang w:eastAsia="en-GB"/>
              </w:rPr>
              <w:t>Ukupna ploština korisne površine grijanog dijela zgrada [m</w:t>
            </w:r>
            <w:r w:rsidRPr="00DE7F43">
              <w:rPr>
                <w:rFonts w:cs="Tahoma"/>
                <w:i/>
                <w:iCs/>
                <w:sz w:val="18"/>
                <w:szCs w:val="18"/>
                <w:vertAlign w:val="superscript"/>
                <w:lang w:eastAsia="en-GB"/>
              </w:rPr>
              <w:t>2</w:t>
            </w:r>
            <w:r w:rsidRPr="00DE7F43">
              <w:rPr>
                <w:rFonts w:cs="Tahoma"/>
                <w:i/>
                <w:iCs/>
                <w:sz w:val="18"/>
                <w:szCs w:val="18"/>
                <w:lang w:eastAsia="en-GB"/>
              </w:rPr>
              <w:t>]</w:t>
            </w:r>
          </w:p>
        </w:tc>
      </w:tr>
      <w:tr w:rsidR="004949CA" w:rsidRPr="00DE7F43" w14:paraId="18438E88" w14:textId="77777777" w:rsidTr="00331A63">
        <w:trPr>
          <w:trHeight w:val="84"/>
        </w:trPr>
        <w:tc>
          <w:tcPr>
            <w:cnfStyle w:val="001000000000" w:firstRow="0" w:lastRow="0" w:firstColumn="1" w:lastColumn="0" w:oddVBand="0" w:evenVBand="0" w:oddHBand="0" w:evenHBand="0" w:firstRowFirstColumn="0" w:firstRowLastColumn="0" w:lastRowFirstColumn="0" w:lastRowLastColumn="0"/>
            <w:tcW w:w="0" w:type="pct"/>
            <w:vMerge/>
          </w:tcPr>
          <w:p w14:paraId="6C6832D4" w14:textId="77777777" w:rsidR="004949CA" w:rsidRPr="00DE7F43" w:rsidRDefault="004949CA" w:rsidP="00331A63">
            <w:pPr>
              <w:pStyle w:val="Tijeloteksta"/>
              <w:spacing w:before="0" w:after="0"/>
              <w:rPr>
                <w:rFonts w:cs="Tahoma"/>
                <w:sz w:val="18"/>
                <w:szCs w:val="18"/>
              </w:rPr>
            </w:pPr>
          </w:p>
        </w:tc>
        <w:tc>
          <w:tcPr>
            <w:tcW w:w="0" w:type="pct"/>
            <w:gridSpan w:val="2"/>
            <w:tcBorders>
              <w:bottom w:val="single" w:sz="12" w:space="0" w:color="666666"/>
            </w:tcBorders>
          </w:tcPr>
          <w:p w14:paraId="7472DFA1"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DE7F43">
              <w:rPr>
                <w:rFonts w:cs="Tahoma"/>
                <w:b/>
                <w:bCs/>
                <w:i/>
                <w:iCs/>
                <w:sz w:val="18"/>
                <w:szCs w:val="18"/>
                <w:lang w:eastAsia="en-GB"/>
              </w:rPr>
              <w:t>Obiteljske kuće</w:t>
            </w:r>
          </w:p>
        </w:tc>
        <w:tc>
          <w:tcPr>
            <w:tcW w:w="0" w:type="pct"/>
            <w:gridSpan w:val="2"/>
            <w:tcBorders>
              <w:bottom w:val="single" w:sz="12" w:space="0" w:color="767171" w:themeColor="background2" w:themeShade="80"/>
            </w:tcBorders>
          </w:tcPr>
          <w:p w14:paraId="75FA23FD"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DE7F43">
              <w:rPr>
                <w:rFonts w:cs="Tahoma"/>
                <w:b/>
                <w:bCs/>
                <w:i/>
                <w:iCs/>
                <w:sz w:val="18"/>
                <w:szCs w:val="18"/>
                <w:lang w:eastAsia="en-GB"/>
              </w:rPr>
              <w:t>Višestambene zgrade</w:t>
            </w:r>
          </w:p>
        </w:tc>
      </w:tr>
      <w:tr w:rsidR="004949CA" w:rsidRPr="00DE7F43" w14:paraId="604B1115" w14:textId="77777777" w:rsidTr="00331A63">
        <w:trPr>
          <w:trHeight w:val="84"/>
        </w:trPr>
        <w:tc>
          <w:tcPr>
            <w:cnfStyle w:val="001000000000" w:firstRow="0" w:lastRow="0" w:firstColumn="1" w:lastColumn="0" w:oddVBand="0" w:evenVBand="0" w:oddHBand="0" w:evenHBand="0" w:firstRowFirstColumn="0" w:firstRowLastColumn="0" w:lastRowFirstColumn="0" w:lastRowLastColumn="0"/>
            <w:tcW w:w="0" w:type="pct"/>
            <w:vMerge/>
          </w:tcPr>
          <w:p w14:paraId="72BFC75A" w14:textId="77777777" w:rsidR="004949CA" w:rsidRPr="00DE7F43" w:rsidRDefault="004949CA" w:rsidP="00331A63">
            <w:pPr>
              <w:pStyle w:val="Tijeloteksta"/>
              <w:spacing w:before="0" w:after="0"/>
              <w:rPr>
                <w:rFonts w:cs="Tahoma"/>
                <w:sz w:val="18"/>
                <w:szCs w:val="18"/>
              </w:rPr>
            </w:pPr>
          </w:p>
        </w:tc>
        <w:tc>
          <w:tcPr>
            <w:tcW w:w="0" w:type="pct"/>
            <w:tcBorders>
              <w:bottom w:val="single" w:sz="12" w:space="0" w:color="666666"/>
            </w:tcBorders>
          </w:tcPr>
          <w:p w14:paraId="424FC0A1"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DE7F43">
              <w:rPr>
                <w:rFonts w:cs="Tahoma"/>
                <w:b/>
                <w:bCs/>
                <w:i/>
                <w:iCs/>
                <w:sz w:val="18"/>
                <w:szCs w:val="18"/>
                <w:lang w:eastAsia="en-GB"/>
              </w:rPr>
              <w:t>Kontinentalna</w:t>
            </w:r>
          </w:p>
        </w:tc>
        <w:tc>
          <w:tcPr>
            <w:tcW w:w="0" w:type="pct"/>
            <w:tcBorders>
              <w:bottom w:val="single" w:sz="12" w:space="0" w:color="666666"/>
            </w:tcBorders>
          </w:tcPr>
          <w:p w14:paraId="089DC0ED"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DE7F43">
              <w:rPr>
                <w:rFonts w:cs="Tahoma"/>
                <w:b/>
                <w:bCs/>
                <w:i/>
                <w:iCs/>
                <w:sz w:val="18"/>
                <w:szCs w:val="18"/>
                <w:lang w:eastAsia="en-GB"/>
              </w:rPr>
              <w:t>Primorska</w:t>
            </w:r>
          </w:p>
        </w:tc>
        <w:tc>
          <w:tcPr>
            <w:tcW w:w="0" w:type="pct"/>
            <w:tcBorders>
              <w:top w:val="single" w:sz="12" w:space="0" w:color="767171" w:themeColor="background2" w:themeShade="80"/>
              <w:bottom w:val="single" w:sz="12" w:space="0" w:color="666666"/>
            </w:tcBorders>
          </w:tcPr>
          <w:p w14:paraId="26FEEECF"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i/>
                <w:iCs/>
                <w:sz w:val="18"/>
                <w:szCs w:val="18"/>
                <w:lang w:eastAsia="en-GB"/>
              </w:rPr>
            </w:pPr>
            <w:r w:rsidRPr="00DE7F43">
              <w:rPr>
                <w:rFonts w:cs="Tahoma"/>
                <w:b/>
                <w:bCs/>
                <w:i/>
                <w:iCs/>
                <w:sz w:val="18"/>
                <w:szCs w:val="18"/>
                <w:lang w:eastAsia="en-GB"/>
              </w:rPr>
              <w:t>Kontinentalna</w:t>
            </w:r>
          </w:p>
        </w:tc>
        <w:tc>
          <w:tcPr>
            <w:tcW w:w="0" w:type="pct"/>
            <w:tcBorders>
              <w:top w:val="single" w:sz="12" w:space="0" w:color="767171" w:themeColor="background2" w:themeShade="80"/>
              <w:bottom w:val="single" w:sz="12" w:space="0" w:color="666666"/>
            </w:tcBorders>
          </w:tcPr>
          <w:p w14:paraId="1D1C4335"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DE7F43">
              <w:rPr>
                <w:rFonts w:cs="Tahoma"/>
                <w:b/>
                <w:bCs/>
                <w:i/>
                <w:iCs/>
                <w:sz w:val="18"/>
                <w:szCs w:val="18"/>
                <w:lang w:eastAsia="en-GB"/>
              </w:rPr>
              <w:t>Primorska</w:t>
            </w:r>
          </w:p>
        </w:tc>
      </w:tr>
      <w:tr w:rsidR="004949CA" w:rsidRPr="00DE7F43" w14:paraId="51EE7987"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3ADB41C0" w14:textId="77777777" w:rsidR="004949CA" w:rsidRPr="00DE7F43" w:rsidRDefault="004949CA" w:rsidP="00331A63">
            <w:pPr>
              <w:pStyle w:val="Tijeloteksta"/>
              <w:spacing w:before="0" w:after="0"/>
              <w:rPr>
                <w:rFonts w:cs="Tahoma"/>
                <w:sz w:val="18"/>
                <w:szCs w:val="18"/>
              </w:rPr>
            </w:pPr>
            <w:r w:rsidRPr="00DE7F43">
              <w:rPr>
                <w:rFonts w:cs="Tahoma"/>
                <w:sz w:val="18"/>
                <w:szCs w:val="18"/>
              </w:rPr>
              <w:t>&gt;1945</w:t>
            </w:r>
          </w:p>
        </w:tc>
        <w:tc>
          <w:tcPr>
            <w:tcW w:w="0" w:type="pct"/>
          </w:tcPr>
          <w:p w14:paraId="0876248A"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5.666.174</w:t>
            </w:r>
          </w:p>
        </w:tc>
        <w:tc>
          <w:tcPr>
            <w:tcW w:w="0" w:type="pct"/>
          </w:tcPr>
          <w:p w14:paraId="3764880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4.704.643</w:t>
            </w:r>
          </w:p>
        </w:tc>
        <w:tc>
          <w:tcPr>
            <w:tcW w:w="0" w:type="pct"/>
          </w:tcPr>
          <w:p w14:paraId="26C3D388"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2.959.304</w:t>
            </w:r>
          </w:p>
        </w:tc>
        <w:tc>
          <w:tcPr>
            <w:tcW w:w="0" w:type="pct"/>
          </w:tcPr>
          <w:p w14:paraId="4196D176"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2.461.596</w:t>
            </w:r>
          </w:p>
        </w:tc>
      </w:tr>
      <w:tr w:rsidR="004949CA" w:rsidRPr="00DE7F43" w14:paraId="53EADECC"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44B90BD5" w14:textId="77777777" w:rsidR="004949CA" w:rsidRPr="00DE7F43" w:rsidRDefault="004949CA" w:rsidP="00331A63">
            <w:pPr>
              <w:pStyle w:val="Tijeloteksta"/>
              <w:spacing w:before="0" w:after="0"/>
              <w:rPr>
                <w:rFonts w:cs="Tahoma"/>
                <w:sz w:val="18"/>
                <w:szCs w:val="18"/>
              </w:rPr>
            </w:pPr>
            <w:r w:rsidRPr="00DE7F43">
              <w:rPr>
                <w:rFonts w:cs="Tahoma"/>
                <w:sz w:val="18"/>
                <w:szCs w:val="18"/>
              </w:rPr>
              <w:t>1945-1960</w:t>
            </w:r>
          </w:p>
        </w:tc>
        <w:tc>
          <w:tcPr>
            <w:tcW w:w="0" w:type="pct"/>
          </w:tcPr>
          <w:p w14:paraId="0A07B16A"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6.609.966</w:t>
            </w:r>
          </w:p>
        </w:tc>
        <w:tc>
          <w:tcPr>
            <w:tcW w:w="0" w:type="pct"/>
          </w:tcPr>
          <w:p w14:paraId="642DEA79"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1.410.039</w:t>
            </w:r>
          </w:p>
        </w:tc>
        <w:tc>
          <w:tcPr>
            <w:tcW w:w="0" w:type="pct"/>
          </w:tcPr>
          <w:p w14:paraId="50892249"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2.065.742</w:t>
            </w:r>
          </w:p>
        </w:tc>
        <w:tc>
          <w:tcPr>
            <w:tcW w:w="0" w:type="pct"/>
          </w:tcPr>
          <w:p w14:paraId="37F52DCD"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1.223.133</w:t>
            </w:r>
          </w:p>
        </w:tc>
      </w:tr>
      <w:tr w:rsidR="004949CA" w:rsidRPr="00DE7F43" w14:paraId="799449AB"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74722354" w14:textId="77777777" w:rsidR="004949CA" w:rsidRPr="00DE7F43" w:rsidRDefault="004949CA" w:rsidP="00331A63">
            <w:pPr>
              <w:pStyle w:val="Tijeloteksta"/>
              <w:spacing w:before="0" w:after="0"/>
              <w:rPr>
                <w:rFonts w:cs="Tahoma"/>
                <w:sz w:val="18"/>
                <w:szCs w:val="18"/>
              </w:rPr>
            </w:pPr>
            <w:r w:rsidRPr="00DE7F43">
              <w:rPr>
                <w:rFonts w:cs="Tahoma"/>
                <w:sz w:val="18"/>
                <w:szCs w:val="18"/>
              </w:rPr>
              <w:t>1961-1970</w:t>
            </w:r>
          </w:p>
        </w:tc>
        <w:tc>
          <w:tcPr>
            <w:tcW w:w="0" w:type="pct"/>
          </w:tcPr>
          <w:p w14:paraId="59C24AF2"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11.870.673</w:t>
            </w:r>
          </w:p>
        </w:tc>
        <w:tc>
          <w:tcPr>
            <w:tcW w:w="0" w:type="pct"/>
          </w:tcPr>
          <w:p w14:paraId="0DC20274"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3.251.331</w:t>
            </w:r>
          </w:p>
        </w:tc>
        <w:tc>
          <w:tcPr>
            <w:tcW w:w="0" w:type="pct"/>
          </w:tcPr>
          <w:p w14:paraId="66E4DC21"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4.556.525</w:t>
            </w:r>
          </w:p>
        </w:tc>
        <w:tc>
          <w:tcPr>
            <w:tcW w:w="0" w:type="pct"/>
          </w:tcPr>
          <w:p w14:paraId="74DDBC78"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3.583.099</w:t>
            </w:r>
          </w:p>
        </w:tc>
      </w:tr>
      <w:tr w:rsidR="004949CA" w:rsidRPr="00DE7F43" w14:paraId="6E476665"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48DB0B8C" w14:textId="77777777" w:rsidR="004949CA" w:rsidRPr="00DE7F43" w:rsidRDefault="004949CA" w:rsidP="00331A63">
            <w:pPr>
              <w:pStyle w:val="Tijeloteksta"/>
              <w:spacing w:before="0" w:after="0"/>
              <w:rPr>
                <w:rFonts w:cs="Tahoma"/>
                <w:sz w:val="18"/>
                <w:szCs w:val="18"/>
              </w:rPr>
            </w:pPr>
            <w:r w:rsidRPr="00DE7F43">
              <w:rPr>
                <w:rFonts w:cs="Tahoma"/>
                <w:sz w:val="18"/>
                <w:szCs w:val="18"/>
              </w:rPr>
              <w:t>1971-1980</w:t>
            </w:r>
          </w:p>
        </w:tc>
        <w:tc>
          <w:tcPr>
            <w:tcW w:w="0" w:type="pct"/>
          </w:tcPr>
          <w:p w14:paraId="1656DF64"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13.300.933</w:t>
            </w:r>
          </w:p>
        </w:tc>
        <w:tc>
          <w:tcPr>
            <w:tcW w:w="0" w:type="pct"/>
          </w:tcPr>
          <w:p w14:paraId="1DC4B787"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3.748.541</w:t>
            </w:r>
          </w:p>
        </w:tc>
        <w:tc>
          <w:tcPr>
            <w:tcW w:w="0" w:type="pct"/>
          </w:tcPr>
          <w:p w14:paraId="1EC1725D"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5.432.020</w:t>
            </w:r>
          </w:p>
        </w:tc>
        <w:tc>
          <w:tcPr>
            <w:tcW w:w="0" w:type="pct"/>
          </w:tcPr>
          <w:p w14:paraId="7E4D15B9"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4.065.849</w:t>
            </w:r>
          </w:p>
        </w:tc>
      </w:tr>
      <w:tr w:rsidR="004949CA" w:rsidRPr="00DE7F43" w14:paraId="4ACC5F7D"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44302B33" w14:textId="77777777" w:rsidR="004949CA" w:rsidRPr="00DE7F43" w:rsidRDefault="004949CA" w:rsidP="00331A63">
            <w:pPr>
              <w:pStyle w:val="Tijeloteksta"/>
              <w:spacing w:before="0" w:after="0"/>
              <w:rPr>
                <w:rFonts w:cs="Tahoma"/>
                <w:sz w:val="18"/>
                <w:szCs w:val="18"/>
              </w:rPr>
            </w:pPr>
            <w:r w:rsidRPr="00DE7F43">
              <w:rPr>
                <w:rFonts w:cs="Tahoma"/>
                <w:sz w:val="18"/>
                <w:szCs w:val="18"/>
              </w:rPr>
              <w:t>1981-1990</w:t>
            </w:r>
          </w:p>
        </w:tc>
        <w:tc>
          <w:tcPr>
            <w:tcW w:w="0" w:type="pct"/>
          </w:tcPr>
          <w:p w14:paraId="06F61CC5"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9.728.701</w:t>
            </w:r>
          </w:p>
        </w:tc>
        <w:tc>
          <w:tcPr>
            <w:tcW w:w="0" w:type="pct"/>
          </w:tcPr>
          <w:p w14:paraId="2ABA71D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3.127.355</w:t>
            </w:r>
          </w:p>
        </w:tc>
        <w:tc>
          <w:tcPr>
            <w:tcW w:w="0" w:type="pct"/>
          </w:tcPr>
          <w:p w14:paraId="4DAEB28D"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4.204.814</w:t>
            </w:r>
          </w:p>
        </w:tc>
        <w:tc>
          <w:tcPr>
            <w:tcW w:w="0" w:type="pct"/>
          </w:tcPr>
          <w:p w14:paraId="4204BCD0"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3.041.847</w:t>
            </w:r>
          </w:p>
        </w:tc>
      </w:tr>
      <w:tr w:rsidR="004949CA" w:rsidRPr="00DE7F43" w14:paraId="3DAAC858"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1D7815C7" w14:textId="77777777" w:rsidR="004949CA" w:rsidRPr="00DE7F43" w:rsidRDefault="004949CA" w:rsidP="00331A63">
            <w:pPr>
              <w:pStyle w:val="Tijeloteksta"/>
              <w:spacing w:before="0" w:after="0"/>
              <w:rPr>
                <w:rFonts w:cs="Tahoma"/>
                <w:sz w:val="18"/>
                <w:szCs w:val="18"/>
              </w:rPr>
            </w:pPr>
            <w:r w:rsidRPr="00DE7F43">
              <w:rPr>
                <w:rFonts w:cs="Tahoma"/>
                <w:sz w:val="18"/>
                <w:szCs w:val="18"/>
              </w:rPr>
              <w:t>1991-2000</w:t>
            </w:r>
          </w:p>
        </w:tc>
        <w:tc>
          <w:tcPr>
            <w:tcW w:w="0" w:type="pct"/>
          </w:tcPr>
          <w:p w14:paraId="22E84531"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6.034.449</w:t>
            </w:r>
          </w:p>
        </w:tc>
        <w:tc>
          <w:tcPr>
            <w:tcW w:w="0" w:type="pct"/>
          </w:tcPr>
          <w:p w14:paraId="43B330B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1.769.802</w:t>
            </w:r>
          </w:p>
        </w:tc>
        <w:tc>
          <w:tcPr>
            <w:tcW w:w="0" w:type="pct"/>
          </w:tcPr>
          <w:p w14:paraId="4C615E29"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1.746.961</w:t>
            </w:r>
          </w:p>
        </w:tc>
        <w:tc>
          <w:tcPr>
            <w:tcW w:w="0" w:type="pct"/>
          </w:tcPr>
          <w:p w14:paraId="4E6617C5"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1.123.945</w:t>
            </w:r>
          </w:p>
        </w:tc>
      </w:tr>
      <w:tr w:rsidR="004949CA" w:rsidRPr="00DE7F43" w14:paraId="0E0F5922"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5BD4A166" w14:textId="77777777" w:rsidR="004949CA" w:rsidRPr="00DE7F43" w:rsidRDefault="004949CA" w:rsidP="00331A63">
            <w:pPr>
              <w:pStyle w:val="Tijeloteksta"/>
              <w:spacing w:before="0" w:after="0"/>
              <w:rPr>
                <w:rFonts w:cs="Tahoma"/>
                <w:sz w:val="18"/>
                <w:szCs w:val="18"/>
              </w:rPr>
            </w:pPr>
            <w:r w:rsidRPr="00DE7F43">
              <w:rPr>
                <w:rFonts w:cs="Tahoma"/>
                <w:sz w:val="18"/>
                <w:szCs w:val="18"/>
              </w:rPr>
              <w:t>2001-2005</w:t>
            </w:r>
          </w:p>
        </w:tc>
        <w:tc>
          <w:tcPr>
            <w:tcW w:w="0" w:type="pct"/>
          </w:tcPr>
          <w:p w14:paraId="0740A032"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2.550.841</w:t>
            </w:r>
          </w:p>
        </w:tc>
        <w:tc>
          <w:tcPr>
            <w:tcW w:w="0" w:type="pct"/>
          </w:tcPr>
          <w:p w14:paraId="554E6558"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946.363</w:t>
            </w:r>
          </w:p>
        </w:tc>
        <w:tc>
          <w:tcPr>
            <w:tcW w:w="0" w:type="pct"/>
          </w:tcPr>
          <w:p w14:paraId="3B92D03D"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1.297.305</w:t>
            </w:r>
          </w:p>
        </w:tc>
        <w:tc>
          <w:tcPr>
            <w:tcW w:w="0" w:type="pct"/>
          </w:tcPr>
          <w:p w14:paraId="0A4B83E3"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910.394</w:t>
            </w:r>
          </w:p>
        </w:tc>
      </w:tr>
      <w:tr w:rsidR="004949CA" w:rsidRPr="00DE7F43" w14:paraId="70FCF2FD"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7DDB33A1" w14:textId="77777777" w:rsidR="004949CA" w:rsidRPr="00DE7F43" w:rsidRDefault="004949CA" w:rsidP="00331A63">
            <w:pPr>
              <w:pStyle w:val="Tijeloteksta"/>
              <w:spacing w:before="0" w:after="0"/>
              <w:rPr>
                <w:rFonts w:cs="Tahoma"/>
                <w:sz w:val="18"/>
                <w:szCs w:val="18"/>
              </w:rPr>
            </w:pPr>
            <w:r w:rsidRPr="00DE7F43">
              <w:rPr>
                <w:rFonts w:cs="Tahoma"/>
                <w:sz w:val="18"/>
                <w:szCs w:val="18"/>
              </w:rPr>
              <w:t>2006-2010</w:t>
            </w:r>
          </w:p>
        </w:tc>
        <w:tc>
          <w:tcPr>
            <w:tcW w:w="0" w:type="pct"/>
          </w:tcPr>
          <w:p w14:paraId="5D58B63A"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1.945.917</w:t>
            </w:r>
          </w:p>
        </w:tc>
        <w:tc>
          <w:tcPr>
            <w:tcW w:w="0" w:type="pct"/>
          </w:tcPr>
          <w:p w14:paraId="2F53A9F6"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747.834</w:t>
            </w:r>
          </w:p>
        </w:tc>
        <w:tc>
          <w:tcPr>
            <w:tcW w:w="0" w:type="pct"/>
          </w:tcPr>
          <w:p w14:paraId="37AC0282"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2.235.379</w:t>
            </w:r>
          </w:p>
        </w:tc>
        <w:tc>
          <w:tcPr>
            <w:tcW w:w="0" w:type="pct"/>
          </w:tcPr>
          <w:p w14:paraId="5CE8FB48"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911.022</w:t>
            </w:r>
          </w:p>
        </w:tc>
      </w:tr>
      <w:tr w:rsidR="004949CA" w:rsidRPr="00DE7F43" w14:paraId="44AE0C57" w14:textId="77777777" w:rsidTr="00331A63">
        <w:tc>
          <w:tcPr>
            <w:cnfStyle w:val="001000000000" w:firstRow="0" w:lastRow="0" w:firstColumn="1" w:lastColumn="0" w:oddVBand="0" w:evenVBand="0" w:oddHBand="0" w:evenHBand="0" w:firstRowFirstColumn="0" w:firstRowLastColumn="0" w:lastRowFirstColumn="0" w:lastRowLastColumn="0"/>
            <w:tcW w:w="0" w:type="pct"/>
            <w:vAlign w:val="bottom"/>
          </w:tcPr>
          <w:p w14:paraId="3302BB16" w14:textId="77777777" w:rsidR="004949CA" w:rsidRPr="00DE7F43" w:rsidRDefault="004949CA" w:rsidP="00331A63">
            <w:pPr>
              <w:pStyle w:val="Tijeloteksta"/>
              <w:spacing w:before="0" w:after="0"/>
              <w:rPr>
                <w:rFonts w:cs="Tahoma"/>
                <w:sz w:val="18"/>
                <w:szCs w:val="18"/>
              </w:rPr>
            </w:pPr>
            <w:r w:rsidRPr="00DE7F43">
              <w:rPr>
                <w:rFonts w:cs="Tahoma"/>
                <w:sz w:val="18"/>
                <w:szCs w:val="18"/>
              </w:rPr>
              <w:t>2011-2019</w:t>
            </w:r>
          </w:p>
        </w:tc>
        <w:tc>
          <w:tcPr>
            <w:tcW w:w="0" w:type="pct"/>
          </w:tcPr>
          <w:p w14:paraId="0AD0197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3.313.869</w:t>
            </w:r>
          </w:p>
        </w:tc>
        <w:tc>
          <w:tcPr>
            <w:tcW w:w="0" w:type="pct"/>
          </w:tcPr>
          <w:p w14:paraId="6C6E3908"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2.753.946</w:t>
            </w:r>
          </w:p>
        </w:tc>
        <w:tc>
          <w:tcPr>
            <w:tcW w:w="0" w:type="pct"/>
          </w:tcPr>
          <w:p w14:paraId="5B8ECE55"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1.564.188</w:t>
            </w:r>
          </w:p>
        </w:tc>
        <w:tc>
          <w:tcPr>
            <w:tcW w:w="0" w:type="pct"/>
          </w:tcPr>
          <w:p w14:paraId="108E7869"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2.066.458</w:t>
            </w:r>
          </w:p>
        </w:tc>
      </w:tr>
      <w:tr w:rsidR="004949CA" w:rsidRPr="00DE7F43" w14:paraId="3AB94081" w14:textId="77777777" w:rsidTr="00331A63">
        <w:trPr>
          <w:trHeight w:val="64"/>
        </w:trPr>
        <w:tc>
          <w:tcPr>
            <w:cnfStyle w:val="001000000000" w:firstRow="0" w:lastRow="0" w:firstColumn="1" w:lastColumn="0" w:oddVBand="0" w:evenVBand="0" w:oddHBand="0" w:evenHBand="0" w:firstRowFirstColumn="0" w:firstRowLastColumn="0" w:lastRowFirstColumn="0" w:lastRowLastColumn="0"/>
            <w:tcW w:w="0" w:type="pct"/>
            <w:vMerge w:val="restart"/>
            <w:vAlign w:val="center"/>
          </w:tcPr>
          <w:p w14:paraId="641C4849" w14:textId="77777777" w:rsidR="004949CA" w:rsidRPr="00DE7F43" w:rsidRDefault="004949CA" w:rsidP="00331A63">
            <w:pPr>
              <w:pStyle w:val="Tijeloteksta"/>
              <w:spacing w:before="0" w:after="0"/>
              <w:rPr>
                <w:rFonts w:cs="Tahoma"/>
                <w:sz w:val="18"/>
                <w:szCs w:val="18"/>
              </w:rPr>
            </w:pPr>
            <w:r w:rsidRPr="00DE7F43">
              <w:rPr>
                <w:rFonts w:cs="Tahoma"/>
                <w:sz w:val="18"/>
                <w:szCs w:val="18"/>
              </w:rPr>
              <w:t>UKUPNO</w:t>
            </w:r>
          </w:p>
        </w:tc>
        <w:tc>
          <w:tcPr>
            <w:tcW w:w="0" w:type="pct"/>
          </w:tcPr>
          <w:p w14:paraId="2C0DFAD4"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DE7F43">
              <w:rPr>
                <w:b/>
                <w:bCs/>
                <w:sz w:val="18"/>
                <w:szCs w:val="18"/>
              </w:rPr>
              <w:t>61.021.524</w:t>
            </w:r>
          </w:p>
        </w:tc>
        <w:tc>
          <w:tcPr>
            <w:tcW w:w="0" w:type="pct"/>
          </w:tcPr>
          <w:p w14:paraId="2F5C567B"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DE7F43">
              <w:rPr>
                <w:b/>
                <w:bCs/>
                <w:sz w:val="18"/>
                <w:szCs w:val="18"/>
              </w:rPr>
              <w:t>22.459.854</w:t>
            </w:r>
          </w:p>
        </w:tc>
        <w:tc>
          <w:tcPr>
            <w:tcW w:w="0" w:type="pct"/>
          </w:tcPr>
          <w:p w14:paraId="046E80C2"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DE7F43">
              <w:rPr>
                <w:b/>
                <w:bCs/>
                <w:sz w:val="18"/>
                <w:szCs w:val="18"/>
              </w:rPr>
              <w:t>26.062.238</w:t>
            </w:r>
          </w:p>
        </w:tc>
        <w:tc>
          <w:tcPr>
            <w:tcW w:w="0" w:type="pct"/>
          </w:tcPr>
          <w:p w14:paraId="1E4E3E50" w14:textId="77777777" w:rsidR="004949CA" w:rsidRPr="00DE7F43"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sidRPr="00DE7F43">
              <w:rPr>
                <w:b/>
                <w:bCs/>
                <w:sz w:val="18"/>
                <w:szCs w:val="18"/>
              </w:rPr>
              <w:t>19.387.344</w:t>
            </w:r>
          </w:p>
        </w:tc>
      </w:tr>
      <w:tr w:rsidR="004949CA" w:rsidRPr="00DE7F43" w14:paraId="0E50FF2F" w14:textId="77777777" w:rsidTr="00331A63">
        <w:trPr>
          <w:trHeight w:val="64"/>
        </w:trPr>
        <w:tc>
          <w:tcPr>
            <w:cnfStyle w:val="001000000000" w:firstRow="0" w:lastRow="0" w:firstColumn="1" w:lastColumn="0" w:oddVBand="0" w:evenVBand="0" w:oddHBand="0" w:evenHBand="0" w:firstRowFirstColumn="0" w:firstRowLastColumn="0" w:lastRowFirstColumn="0" w:lastRowLastColumn="0"/>
            <w:tcW w:w="0" w:type="pct"/>
            <w:vMerge/>
            <w:vAlign w:val="bottom"/>
          </w:tcPr>
          <w:p w14:paraId="6FEC6C9A" w14:textId="77777777" w:rsidR="004949CA" w:rsidRPr="00DE7F43" w:rsidRDefault="004949CA" w:rsidP="00331A63">
            <w:pPr>
              <w:pStyle w:val="Tijeloteksta"/>
              <w:spacing w:before="0" w:after="0"/>
              <w:rPr>
                <w:rFonts w:cs="Tahoma"/>
                <w:sz w:val="18"/>
                <w:szCs w:val="18"/>
              </w:rPr>
            </w:pPr>
          </w:p>
        </w:tc>
        <w:tc>
          <w:tcPr>
            <w:tcW w:w="0" w:type="pct"/>
            <w:gridSpan w:val="2"/>
            <w:vAlign w:val="bottom"/>
          </w:tcPr>
          <w:p w14:paraId="5C0F44AF"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DE7F43">
              <w:rPr>
                <w:rFonts w:ascii="Calibri" w:hAnsi="Calibri" w:cs="Calibri"/>
                <w:b/>
                <w:bCs/>
                <w:sz w:val="22"/>
                <w:szCs w:val="22"/>
              </w:rPr>
              <w:t>83.481.377</w:t>
            </w:r>
          </w:p>
        </w:tc>
        <w:tc>
          <w:tcPr>
            <w:tcW w:w="0" w:type="pct"/>
            <w:gridSpan w:val="2"/>
            <w:vAlign w:val="bottom"/>
          </w:tcPr>
          <w:p w14:paraId="50CAC76A" w14:textId="77777777" w:rsidR="004949CA" w:rsidRPr="00DE7F43"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DE7F43">
              <w:rPr>
                <w:rFonts w:ascii="Calibri" w:hAnsi="Calibri" w:cs="Calibri"/>
                <w:b/>
                <w:bCs/>
                <w:sz w:val="22"/>
                <w:szCs w:val="22"/>
              </w:rPr>
              <w:t>45.449.582</w:t>
            </w:r>
          </w:p>
        </w:tc>
      </w:tr>
    </w:tbl>
    <w:p w14:paraId="545A6119" w14:textId="02D06AE5" w:rsidR="004949CA" w:rsidRPr="00086B1D" w:rsidRDefault="004949CA" w:rsidP="004949CA">
      <w:pPr>
        <w:pStyle w:val="Tijeloteksta"/>
        <w:rPr>
          <w:rFonts w:cs="Tahoma"/>
          <w:szCs w:val="20"/>
        </w:rPr>
      </w:pPr>
      <w:r w:rsidRPr="00086B1D">
        <w:rPr>
          <w:rFonts w:cs="Tahoma"/>
          <w:szCs w:val="20"/>
        </w:rPr>
        <w:t xml:space="preserve">Energetske karakteristike stambenog fonda u </w:t>
      </w:r>
      <w:r w:rsidR="00223AAD">
        <w:rPr>
          <w:rFonts w:cs="Tahoma"/>
          <w:szCs w:val="20"/>
        </w:rPr>
        <w:t>Hrvatskoj</w:t>
      </w:r>
      <w:r w:rsidRPr="00086B1D">
        <w:rPr>
          <w:rFonts w:cs="Tahoma"/>
          <w:szCs w:val="20"/>
        </w:rPr>
        <w:t xml:space="preserve"> prikazane su u nastavku, a utvrđene su modeliranjem i korištenjem podataka o stvarno isporučenoj energiji od strane opskrbljivača potrošačima u kategoriji kućanstva</w:t>
      </w:r>
      <w:r w:rsidRPr="00086B1D">
        <w:rPr>
          <w:rStyle w:val="Referencafusnote"/>
          <w:rFonts w:cs="Tahoma"/>
          <w:szCs w:val="20"/>
        </w:rPr>
        <w:footnoteReference w:id="7"/>
      </w:r>
      <w:r w:rsidRPr="00086B1D">
        <w:rPr>
          <w:rFonts w:cs="Tahoma"/>
          <w:szCs w:val="20"/>
        </w:rPr>
        <w:t xml:space="preserve">.  </w:t>
      </w:r>
    </w:p>
    <w:p w14:paraId="2A4BF0AC" w14:textId="77777777" w:rsidR="004949CA" w:rsidRPr="00086B1D" w:rsidRDefault="004949CA" w:rsidP="00240C68">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jc w:val="both"/>
        <w:rPr>
          <w:rFonts w:ascii="Tahoma" w:hAnsi="Tahoma" w:cs="Tahoma"/>
          <w:b/>
          <w:bCs/>
          <w:sz w:val="20"/>
          <w:szCs w:val="20"/>
        </w:rPr>
      </w:pPr>
      <w:r w:rsidRPr="00086B1D">
        <w:rPr>
          <w:rFonts w:ascii="Tahoma" w:hAnsi="Tahoma" w:cs="Tahoma"/>
          <w:b/>
          <w:bCs/>
          <w:sz w:val="20"/>
          <w:szCs w:val="20"/>
        </w:rPr>
        <w:t xml:space="preserve">Za potrebe grijanja, hlađenja prostora i pripreme PTV-a u Hrvatskoj se troši 80,69 % ukupne isporučene energije sektoru kućanstva. </w:t>
      </w:r>
    </w:p>
    <w:p w14:paraId="3E5CC23D" w14:textId="1E8A4D60" w:rsidR="004949CA" w:rsidRPr="00086B1D" w:rsidRDefault="004949CA" w:rsidP="004949CA">
      <w:pPr>
        <w:pStyle w:val="Tijeloteksta"/>
        <w:rPr>
          <w:rFonts w:cs="Tahoma"/>
          <w:szCs w:val="20"/>
        </w:rPr>
      </w:pPr>
      <w:r w:rsidRPr="00086B1D">
        <w:rPr>
          <w:rFonts w:cs="Tahoma"/>
          <w:szCs w:val="20"/>
        </w:rPr>
        <w:t xml:space="preserve">Preostala isporučena energija se troši za ostale energetske </w:t>
      </w:r>
      <w:proofErr w:type="spellStart"/>
      <w:r w:rsidRPr="00086B1D">
        <w:rPr>
          <w:rFonts w:cs="Tahoma"/>
          <w:szCs w:val="20"/>
        </w:rPr>
        <w:t>netoplinske</w:t>
      </w:r>
      <w:proofErr w:type="spellEnd"/>
      <w:r w:rsidRPr="00086B1D">
        <w:rPr>
          <w:rFonts w:cs="Tahoma"/>
          <w:szCs w:val="20"/>
        </w:rPr>
        <w:t xml:space="preserve"> potrebe (kuhanje, rasvjeta, pogon električnih uređaja u kućanstvu), kako prikazuje</w:t>
      </w:r>
      <w:r w:rsidR="00985236">
        <w:rPr>
          <w:rFonts w:cs="Tahoma"/>
          <w:szCs w:val="20"/>
        </w:rPr>
        <w:t xml:space="preserve"> Tablica 3-5</w:t>
      </w:r>
      <w:r w:rsidRPr="00086B1D">
        <w:rPr>
          <w:rFonts w:cs="Tahoma"/>
          <w:szCs w:val="20"/>
        </w:rPr>
        <w:t xml:space="preserve">. </w:t>
      </w:r>
    </w:p>
    <w:p w14:paraId="07946A24" w14:textId="46C4D04C" w:rsidR="004949CA" w:rsidRPr="00DE7F43" w:rsidRDefault="004949CA" w:rsidP="004949CA">
      <w:pPr>
        <w:pStyle w:val="Opisslike"/>
      </w:pPr>
      <w:bookmarkStart w:id="66" w:name="_Toc72081540"/>
      <w:bookmarkStart w:id="67" w:name="_Ref83113646"/>
      <w:bookmarkStart w:id="68" w:name="_Toc84240488"/>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5</w:t>
      </w:r>
      <w:r w:rsidRPr="00DE7F43">
        <w:rPr>
          <w:noProof/>
        </w:rPr>
        <w:fldChar w:fldCharType="end"/>
      </w:r>
      <w:r w:rsidRPr="00DE7F43">
        <w:t>: Raspodjela isporučene energije sektoru kućanstava u 2019. godini (s obnovljivom energijom preuzetom iz okoliša pomoću dizalica topline za grijanje prostora)</w:t>
      </w:r>
      <w:bookmarkEnd w:id="66"/>
      <w:bookmarkEnd w:id="67"/>
      <w:bookmarkEnd w:id="68"/>
    </w:p>
    <w:tbl>
      <w:tblPr>
        <w:tblStyle w:val="Svijetlatablicareetke110"/>
        <w:tblW w:w="9288" w:type="dxa"/>
        <w:tblLook w:val="04A0" w:firstRow="1" w:lastRow="0" w:firstColumn="1" w:lastColumn="0" w:noHBand="0" w:noVBand="1"/>
      </w:tblPr>
      <w:tblGrid>
        <w:gridCol w:w="4482"/>
        <w:gridCol w:w="1215"/>
        <w:gridCol w:w="1482"/>
        <w:gridCol w:w="1185"/>
        <w:gridCol w:w="1006"/>
      </w:tblGrid>
      <w:tr w:rsidR="004949CA" w:rsidRPr="00086B1D" w14:paraId="70D9A369" w14:textId="77777777" w:rsidTr="00EA1F4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482" w:type="dxa"/>
            <w:noWrap/>
            <w:hideMark/>
          </w:tcPr>
          <w:p w14:paraId="63B8A198" w14:textId="77777777" w:rsidR="004949CA" w:rsidRPr="00086B1D" w:rsidRDefault="004949CA" w:rsidP="00331A63">
            <w:pPr>
              <w:rPr>
                <w:rFonts w:ascii="Tahoma" w:hAnsi="Tahoma" w:cs="Tahoma"/>
                <w:sz w:val="18"/>
                <w:szCs w:val="18"/>
                <w:lang w:eastAsia="en-GB"/>
              </w:rPr>
            </w:pPr>
            <w:r w:rsidRPr="00086B1D">
              <w:rPr>
                <w:rFonts w:ascii="Tahoma" w:hAnsi="Tahoma" w:cs="Tahoma"/>
                <w:sz w:val="18"/>
                <w:szCs w:val="18"/>
                <w:lang w:eastAsia="en-GB"/>
              </w:rPr>
              <w:t>SEKTOR KUĆANSTVA</w:t>
            </w:r>
          </w:p>
        </w:tc>
        <w:tc>
          <w:tcPr>
            <w:tcW w:w="1215" w:type="dxa"/>
            <w:hideMark/>
          </w:tcPr>
          <w:p w14:paraId="3D1C3F1A"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Obiteljska kuća</w:t>
            </w:r>
          </w:p>
        </w:tc>
        <w:tc>
          <w:tcPr>
            <w:tcW w:w="1400" w:type="dxa"/>
            <w:hideMark/>
          </w:tcPr>
          <w:p w14:paraId="7FAD9E16"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Višestambena zgrada</w:t>
            </w:r>
          </w:p>
        </w:tc>
        <w:tc>
          <w:tcPr>
            <w:tcW w:w="1185" w:type="dxa"/>
            <w:noWrap/>
            <w:hideMark/>
          </w:tcPr>
          <w:p w14:paraId="4296A36F"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eastAsia="en-GB"/>
              </w:rPr>
            </w:pPr>
            <w:r w:rsidRPr="00086B1D">
              <w:rPr>
                <w:rFonts w:ascii="Tahoma" w:hAnsi="Tahoma" w:cs="Tahoma"/>
                <w:sz w:val="18"/>
                <w:szCs w:val="18"/>
                <w:lang w:eastAsia="en-GB"/>
              </w:rPr>
              <w:t>UKUPNO</w:t>
            </w:r>
          </w:p>
        </w:tc>
        <w:tc>
          <w:tcPr>
            <w:tcW w:w="1006" w:type="dxa"/>
            <w:noWrap/>
            <w:hideMark/>
          </w:tcPr>
          <w:p w14:paraId="2808B377"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i/>
                <w:iCs/>
                <w:sz w:val="18"/>
                <w:szCs w:val="18"/>
                <w:lang w:eastAsia="en-GB"/>
              </w:rPr>
              <w:t>Udio [%]</w:t>
            </w:r>
          </w:p>
        </w:tc>
      </w:tr>
      <w:tr w:rsidR="004949CA" w:rsidRPr="00086B1D" w14:paraId="53D060E9" w14:textId="77777777" w:rsidTr="00EA1F46">
        <w:trPr>
          <w:trHeight w:val="513"/>
        </w:trPr>
        <w:tc>
          <w:tcPr>
            <w:cnfStyle w:val="001000000000" w:firstRow="0" w:lastRow="0" w:firstColumn="1" w:lastColumn="0" w:oddVBand="0" w:evenVBand="0" w:oddHBand="0" w:evenHBand="0" w:firstRowFirstColumn="0" w:firstRowLastColumn="0" w:lastRowFirstColumn="0" w:lastRowLastColumn="0"/>
            <w:tcW w:w="4482" w:type="dxa"/>
            <w:hideMark/>
          </w:tcPr>
          <w:p w14:paraId="685EE269"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b w:val="0"/>
                <w:bCs w:val="0"/>
                <w:sz w:val="18"/>
                <w:szCs w:val="18"/>
                <w:lang w:eastAsia="en-GB"/>
              </w:rPr>
              <w:t>Godišnja isporučena energija za potrebe grijanja/hlađenja prostora i pripreme PTV-a [GWh/a]</w:t>
            </w:r>
          </w:p>
        </w:tc>
        <w:tc>
          <w:tcPr>
            <w:tcW w:w="1215" w:type="dxa"/>
            <w:noWrap/>
            <w:hideMark/>
          </w:tcPr>
          <w:p w14:paraId="1B20CC4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14.608,68</w:t>
            </w:r>
          </w:p>
        </w:tc>
        <w:tc>
          <w:tcPr>
            <w:tcW w:w="1400" w:type="dxa"/>
            <w:noWrap/>
            <w:hideMark/>
          </w:tcPr>
          <w:p w14:paraId="544AB75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6.741,43</w:t>
            </w:r>
          </w:p>
        </w:tc>
        <w:tc>
          <w:tcPr>
            <w:tcW w:w="1185" w:type="dxa"/>
            <w:noWrap/>
            <w:hideMark/>
          </w:tcPr>
          <w:p w14:paraId="5168206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21.350,11</w:t>
            </w:r>
          </w:p>
        </w:tc>
        <w:tc>
          <w:tcPr>
            <w:tcW w:w="1006" w:type="dxa"/>
            <w:noWrap/>
            <w:hideMark/>
          </w:tcPr>
          <w:p w14:paraId="22AFF82B"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b/>
                <w:bCs/>
                <w:sz w:val="18"/>
                <w:szCs w:val="18"/>
              </w:rPr>
              <w:t>80,69</w:t>
            </w:r>
          </w:p>
        </w:tc>
      </w:tr>
      <w:tr w:rsidR="004949CA" w:rsidRPr="00086B1D" w14:paraId="0AD569B9" w14:textId="77777777" w:rsidTr="00EA1F46">
        <w:trPr>
          <w:trHeight w:val="407"/>
        </w:trPr>
        <w:tc>
          <w:tcPr>
            <w:cnfStyle w:val="001000000000" w:firstRow="0" w:lastRow="0" w:firstColumn="1" w:lastColumn="0" w:oddVBand="0" w:evenVBand="0" w:oddHBand="0" w:evenHBand="0" w:firstRowFirstColumn="0" w:firstRowLastColumn="0" w:lastRowFirstColumn="0" w:lastRowLastColumn="0"/>
            <w:tcW w:w="4482" w:type="dxa"/>
            <w:hideMark/>
          </w:tcPr>
          <w:p w14:paraId="7C22BBEF"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b w:val="0"/>
                <w:bCs w:val="0"/>
                <w:sz w:val="18"/>
                <w:szCs w:val="18"/>
                <w:lang w:eastAsia="en-GB"/>
              </w:rPr>
              <w:t>Godišnja isporučena energija za ostale energetske potrebe (kuhanje, rasvjeta, pogon el. uređaja) [GWh/a]</w:t>
            </w:r>
          </w:p>
        </w:tc>
        <w:tc>
          <w:tcPr>
            <w:tcW w:w="1215" w:type="dxa"/>
            <w:noWrap/>
            <w:hideMark/>
          </w:tcPr>
          <w:p w14:paraId="5B90B23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3.435,64</w:t>
            </w:r>
          </w:p>
        </w:tc>
        <w:tc>
          <w:tcPr>
            <w:tcW w:w="1400" w:type="dxa"/>
            <w:noWrap/>
            <w:hideMark/>
          </w:tcPr>
          <w:p w14:paraId="5912B61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1.675,20</w:t>
            </w:r>
          </w:p>
        </w:tc>
        <w:tc>
          <w:tcPr>
            <w:tcW w:w="1185" w:type="dxa"/>
            <w:noWrap/>
            <w:hideMark/>
          </w:tcPr>
          <w:p w14:paraId="3DE0415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5.110,84</w:t>
            </w:r>
          </w:p>
        </w:tc>
        <w:tc>
          <w:tcPr>
            <w:tcW w:w="1006" w:type="dxa"/>
            <w:noWrap/>
            <w:hideMark/>
          </w:tcPr>
          <w:p w14:paraId="5F38385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b/>
                <w:bCs/>
                <w:sz w:val="18"/>
                <w:szCs w:val="18"/>
              </w:rPr>
              <w:t>19,31</w:t>
            </w:r>
          </w:p>
        </w:tc>
      </w:tr>
      <w:tr w:rsidR="004949CA" w:rsidRPr="00086B1D" w14:paraId="4D64860D" w14:textId="77777777" w:rsidTr="00EA1F46">
        <w:trPr>
          <w:trHeight w:val="243"/>
        </w:trPr>
        <w:tc>
          <w:tcPr>
            <w:cnfStyle w:val="001000000000" w:firstRow="0" w:lastRow="0" w:firstColumn="1" w:lastColumn="0" w:oddVBand="0" w:evenVBand="0" w:oddHBand="0" w:evenHBand="0" w:firstRowFirstColumn="0" w:firstRowLastColumn="0" w:lastRowFirstColumn="0" w:lastRowLastColumn="0"/>
            <w:tcW w:w="4482" w:type="dxa"/>
            <w:hideMark/>
          </w:tcPr>
          <w:p w14:paraId="3845A012"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b w:val="0"/>
                <w:bCs w:val="0"/>
                <w:sz w:val="18"/>
                <w:szCs w:val="18"/>
                <w:lang w:eastAsia="en-GB"/>
              </w:rPr>
              <w:t>Ukupna godišnja isporučena energija [GWh/a]</w:t>
            </w:r>
          </w:p>
        </w:tc>
        <w:tc>
          <w:tcPr>
            <w:tcW w:w="1215" w:type="dxa"/>
            <w:noWrap/>
            <w:hideMark/>
          </w:tcPr>
          <w:p w14:paraId="621A9F6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18.044,31</w:t>
            </w:r>
          </w:p>
        </w:tc>
        <w:tc>
          <w:tcPr>
            <w:tcW w:w="1400" w:type="dxa"/>
            <w:noWrap/>
            <w:hideMark/>
          </w:tcPr>
          <w:p w14:paraId="32628D4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8.416,64</w:t>
            </w:r>
          </w:p>
        </w:tc>
        <w:tc>
          <w:tcPr>
            <w:tcW w:w="1185" w:type="dxa"/>
            <w:noWrap/>
            <w:hideMark/>
          </w:tcPr>
          <w:p w14:paraId="09D2F2F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26.460,95</w:t>
            </w:r>
          </w:p>
        </w:tc>
        <w:tc>
          <w:tcPr>
            <w:tcW w:w="1006" w:type="dxa"/>
            <w:noWrap/>
            <w:hideMark/>
          </w:tcPr>
          <w:p w14:paraId="7CBF2E6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b/>
                <w:bCs/>
                <w:sz w:val="18"/>
                <w:szCs w:val="18"/>
              </w:rPr>
              <w:t>100,00</w:t>
            </w:r>
          </w:p>
        </w:tc>
      </w:tr>
      <w:tr w:rsidR="004949CA" w:rsidRPr="00086B1D" w14:paraId="2EE57160" w14:textId="77777777" w:rsidTr="00EA1F46">
        <w:trPr>
          <w:trHeight w:val="243"/>
        </w:trPr>
        <w:tc>
          <w:tcPr>
            <w:cnfStyle w:val="001000000000" w:firstRow="0" w:lastRow="0" w:firstColumn="1" w:lastColumn="0" w:oddVBand="0" w:evenVBand="0" w:oddHBand="0" w:evenHBand="0" w:firstRowFirstColumn="0" w:firstRowLastColumn="0" w:lastRowFirstColumn="0" w:lastRowLastColumn="0"/>
            <w:tcW w:w="4482" w:type="dxa"/>
          </w:tcPr>
          <w:p w14:paraId="24779025"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sz w:val="18"/>
                <w:szCs w:val="18"/>
                <w:lang w:eastAsia="en-GB"/>
              </w:rPr>
              <w:t>Udio [%]</w:t>
            </w:r>
          </w:p>
        </w:tc>
        <w:tc>
          <w:tcPr>
            <w:tcW w:w="1215" w:type="dxa"/>
            <w:noWrap/>
          </w:tcPr>
          <w:p w14:paraId="19E192B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68,19</w:t>
            </w:r>
          </w:p>
        </w:tc>
        <w:tc>
          <w:tcPr>
            <w:tcW w:w="1400" w:type="dxa"/>
            <w:noWrap/>
          </w:tcPr>
          <w:p w14:paraId="7DC7387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31,81</w:t>
            </w:r>
          </w:p>
        </w:tc>
        <w:tc>
          <w:tcPr>
            <w:tcW w:w="1185" w:type="dxa"/>
            <w:noWrap/>
          </w:tcPr>
          <w:p w14:paraId="5ECD5AC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b/>
                <w:bCs/>
                <w:sz w:val="18"/>
                <w:szCs w:val="18"/>
              </w:rPr>
              <w:t>100,00</w:t>
            </w:r>
          </w:p>
        </w:tc>
        <w:tc>
          <w:tcPr>
            <w:tcW w:w="1006" w:type="dxa"/>
            <w:noWrap/>
          </w:tcPr>
          <w:p w14:paraId="0721988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 </w:t>
            </w:r>
          </w:p>
        </w:tc>
      </w:tr>
    </w:tbl>
    <w:p w14:paraId="333B2CCB" w14:textId="4AD04AEF" w:rsidR="004949CA" w:rsidRPr="00DE7F43" w:rsidRDefault="004949CA" w:rsidP="004949CA">
      <w:pPr>
        <w:pStyle w:val="Tijeloteksta"/>
      </w:pPr>
      <w:r w:rsidRPr="00DE7F43">
        <w:t xml:space="preserve">Primarna energija ovisi o korištenom energentu za grijanje/hlađenje, što prikazuje </w:t>
      </w:r>
      <w:r w:rsidRPr="00DE7F43">
        <w:fldChar w:fldCharType="begin"/>
      </w:r>
      <w:r w:rsidRPr="00DE7F43">
        <w:instrText xml:space="preserve"> REF _Ref80610704 \h </w:instrText>
      </w:r>
      <w:r w:rsidRPr="00DE7F43">
        <w:fldChar w:fldCharType="separate"/>
      </w:r>
      <w:r w:rsidR="00575AF9" w:rsidRPr="00DE7F43">
        <w:t xml:space="preserve">Tablica </w:t>
      </w:r>
      <w:r w:rsidR="00575AF9">
        <w:rPr>
          <w:noProof/>
        </w:rPr>
        <w:t>3</w:t>
      </w:r>
      <w:r w:rsidR="00575AF9" w:rsidRPr="00DE7F43">
        <w:noBreakHyphen/>
      </w:r>
      <w:r w:rsidR="00575AF9">
        <w:rPr>
          <w:noProof/>
        </w:rPr>
        <w:t>6</w:t>
      </w:r>
      <w:r w:rsidRPr="00DE7F43">
        <w:fldChar w:fldCharType="end"/>
      </w:r>
      <w:r w:rsidRPr="00DE7F43">
        <w:rPr>
          <w:rStyle w:val="Referencafusnote"/>
        </w:rPr>
        <w:footnoteReference w:id="8"/>
      </w:r>
      <w:r w:rsidRPr="00DE7F43">
        <w:t>.</w:t>
      </w:r>
    </w:p>
    <w:p w14:paraId="00323514" w14:textId="79D6EBA4" w:rsidR="004949CA" w:rsidRPr="00DE7F43" w:rsidRDefault="004949CA" w:rsidP="004949CA">
      <w:pPr>
        <w:pStyle w:val="Opisslike"/>
      </w:pPr>
      <w:bookmarkStart w:id="69" w:name="_Ref80610704"/>
      <w:bookmarkStart w:id="70" w:name="_Toc72081541"/>
      <w:bookmarkStart w:id="71" w:name="_Toc84240489"/>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6</w:t>
      </w:r>
      <w:r w:rsidRPr="00DE7F43">
        <w:rPr>
          <w:noProof/>
        </w:rPr>
        <w:fldChar w:fldCharType="end"/>
      </w:r>
      <w:bookmarkEnd w:id="69"/>
      <w:r w:rsidRPr="00DE7F43">
        <w:t>: Korišteni energenti za grijanje/hlađenje prostora i pripreme PTV-a u sektoru kućanstava u 2019. godini</w:t>
      </w:r>
      <w:bookmarkEnd w:id="70"/>
      <w:bookmarkEnd w:id="71"/>
      <w:r w:rsidRPr="00DE7F43">
        <w:t xml:space="preserve"> </w:t>
      </w:r>
    </w:p>
    <w:tbl>
      <w:tblPr>
        <w:tblStyle w:val="Svijetlatablicareetke110"/>
        <w:tblW w:w="5000" w:type="pct"/>
        <w:tblLook w:val="04A0" w:firstRow="1" w:lastRow="0" w:firstColumn="1" w:lastColumn="0" w:noHBand="0" w:noVBand="1"/>
      </w:tblPr>
      <w:tblGrid>
        <w:gridCol w:w="2745"/>
        <w:gridCol w:w="1649"/>
        <w:gridCol w:w="2064"/>
        <w:gridCol w:w="1513"/>
        <w:gridCol w:w="1091"/>
      </w:tblGrid>
      <w:tr w:rsidR="004949CA" w:rsidRPr="00086B1D" w14:paraId="4FA61D08" w14:textId="77777777" w:rsidTr="00331A63">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514" w:type="pct"/>
            <w:hideMark/>
          </w:tcPr>
          <w:p w14:paraId="212ADEC3"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lastRenderedPageBreak/>
              <w:t>SEKTOR KUĆANSTVA</w:t>
            </w:r>
          </w:p>
        </w:tc>
        <w:tc>
          <w:tcPr>
            <w:tcW w:w="910" w:type="pct"/>
            <w:hideMark/>
          </w:tcPr>
          <w:p w14:paraId="04B0B5E9"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Obiteljska kuća</w:t>
            </w:r>
          </w:p>
        </w:tc>
        <w:tc>
          <w:tcPr>
            <w:tcW w:w="1139" w:type="pct"/>
            <w:hideMark/>
          </w:tcPr>
          <w:p w14:paraId="0A3F700F"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Višestambena zgrada</w:t>
            </w:r>
          </w:p>
        </w:tc>
        <w:tc>
          <w:tcPr>
            <w:tcW w:w="835" w:type="pct"/>
            <w:noWrap/>
            <w:hideMark/>
          </w:tcPr>
          <w:p w14:paraId="3EBA9CB5"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UKUPNO</w:t>
            </w:r>
          </w:p>
        </w:tc>
        <w:tc>
          <w:tcPr>
            <w:tcW w:w="602" w:type="pct"/>
            <w:noWrap/>
            <w:hideMark/>
          </w:tcPr>
          <w:p w14:paraId="181A9A82"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Udio [%]</w:t>
            </w:r>
          </w:p>
        </w:tc>
      </w:tr>
      <w:tr w:rsidR="004949CA" w:rsidRPr="00086B1D" w14:paraId="4C2F71FF" w14:textId="77777777" w:rsidTr="00331A63">
        <w:trPr>
          <w:trHeight w:val="40"/>
        </w:trPr>
        <w:tc>
          <w:tcPr>
            <w:cnfStyle w:val="001000000000" w:firstRow="0" w:lastRow="0" w:firstColumn="1" w:lastColumn="0" w:oddVBand="0" w:evenVBand="0" w:oddHBand="0" w:evenHBand="0" w:firstRowFirstColumn="0" w:firstRowLastColumn="0" w:lastRowFirstColumn="0" w:lastRowLastColumn="0"/>
            <w:tcW w:w="1514" w:type="pct"/>
            <w:hideMark/>
          </w:tcPr>
          <w:p w14:paraId="32B49167"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Električna energija</w:t>
            </w:r>
          </w:p>
        </w:tc>
        <w:tc>
          <w:tcPr>
            <w:tcW w:w="910" w:type="pct"/>
            <w:noWrap/>
            <w:hideMark/>
          </w:tcPr>
          <w:p w14:paraId="543AD98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1.603,56</w:t>
            </w:r>
          </w:p>
        </w:tc>
        <w:tc>
          <w:tcPr>
            <w:tcW w:w="1139" w:type="pct"/>
            <w:noWrap/>
            <w:hideMark/>
          </w:tcPr>
          <w:p w14:paraId="70B9252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966,01</w:t>
            </w:r>
          </w:p>
        </w:tc>
        <w:tc>
          <w:tcPr>
            <w:tcW w:w="835" w:type="pct"/>
            <w:noWrap/>
            <w:hideMark/>
          </w:tcPr>
          <w:p w14:paraId="09D43493"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2.569,57</w:t>
            </w:r>
          </w:p>
        </w:tc>
        <w:tc>
          <w:tcPr>
            <w:tcW w:w="602" w:type="pct"/>
            <w:noWrap/>
            <w:hideMark/>
          </w:tcPr>
          <w:p w14:paraId="2CF19D6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12,04%</w:t>
            </w:r>
          </w:p>
        </w:tc>
      </w:tr>
      <w:tr w:rsidR="004949CA" w:rsidRPr="00086B1D" w14:paraId="36102267"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1514" w:type="pct"/>
            <w:hideMark/>
          </w:tcPr>
          <w:p w14:paraId="533522B8"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CTS</w:t>
            </w:r>
          </w:p>
        </w:tc>
        <w:tc>
          <w:tcPr>
            <w:tcW w:w="910" w:type="pct"/>
            <w:noWrap/>
            <w:hideMark/>
          </w:tcPr>
          <w:p w14:paraId="3881D9F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0,00</w:t>
            </w:r>
          </w:p>
        </w:tc>
        <w:tc>
          <w:tcPr>
            <w:tcW w:w="1139" w:type="pct"/>
            <w:noWrap/>
            <w:hideMark/>
          </w:tcPr>
          <w:p w14:paraId="6892B80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1.274,65</w:t>
            </w:r>
          </w:p>
        </w:tc>
        <w:tc>
          <w:tcPr>
            <w:tcW w:w="835" w:type="pct"/>
            <w:noWrap/>
            <w:hideMark/>
          </w:tcPr>
          <w:p w14:paraId="5FAA0D2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1.274,65</w:t>
            </w:r>
          </w:p>
        </w:tc>
        <w:tc>
          <w:tcPr>
            <w:tcW w:w="602" w:type="pct"/>
            <w:noWrap/>
            <w:hideMark/>
          </w:tcPr>
          <w:p w14:paraId="19C8592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5,97%</w:t>
            </w:r>
          </w:p>
        </w:tc>
      </w:tr>
      <w:tr w:rsidR="004949CA" w:rsidRPr="00086B1D" w14:paraId="24EA4032"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1514" w:type="pct"/>
            <w:hideMark/>
          </w:tcPr>
          <w:p w14:paraId="240493F9"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Prirodni plin</w:t>
            </w:r>
          </w:p>
        </w:tc>
        <w:tc>
          <w:tcPr>
            <w:tcW w:w="910" w:type="pct"/>
            <w:noWrap/>
            <w:hideMark/>
          </w:tcPr>
          <w:p w14:paraId="5EAD870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3.098,66</w:t>
            </w:r>
          </w:p>
        </w:tc>
        <w:tc>
          <w:tcPr>
            <w:tcW w:w="1139" w:type="pct"/>
            <w:noWrap/>
            <w:hideMark/>
          </w:tcPr>
          <w:p w14:paraId="4222140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1.815,19</w:t>
            </w:r>
          </w:p>
        </w:tc>
        <w:tc>
          <w:tcPr>
            <w:tcW w:w="835" w:type="pct"/>
            <w:noWrap/>
            <w:hideMark/>
          </w:tcPr>
          <w:p w14:paraId="3066128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4.913,85</w:t>
            </w:r>
          </w:p>
        </w:tc>
        <w:tc>
          <w:tcPr>
            <w:tcW w:w="602" w:type="pct"/>
            <w:noWrap/>
            <w:hideMark/>
          </w:tcPr>
          <w:p w14:paraId="56E1864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23,02%</w:t>
            </w:r>
          </w:p>
        </w:tc>
      </w:tr>
      <w:tr w:rsidR="004949CA" w:rsidRPr="00086B1D" w14:paraId="1164652C"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1514" w:type="pct"/>
            <w:hideMark/>
          </w:tcPr>
          <w:p w14:paraId="49AD7A2E"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Loživo ulje</w:t>
            </w:r>
          </w:p>
        </w:tc>
        <w:tc>
          <w:tcPr>
            <w:tcW w:w="910" w:type="pct"/>
            <w:noWrap/>
            <w:hideMark/>
          </w:tcPr>
          <w:p w14:paraId="1F35238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545,52</w:t>
            </w:r>
          </w:p>
        </w:tc>
        <w:tc>
          <w:tcPr>
            <w:tcW w:w="1139" w:type="pct"/>
            <w:noWrap/>
            <w:hideMark/>
          </w:tcPr>
          <w:p w14:paraId="54A0022D"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56,91</w:t>
            </w:r>
          </w:p>
        </w:tc>
        <w:tc>
          <w:tcPr>
            <w:tcW w:w="835" w:type="pct"/>
            <w:noWrap/>
            <w:hideMark/>
          </w:tcPr>
          <w:p w14:paraId="19804AE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602,43</w:t>
            </w:r>
          </w:p>
        </w:tc>
        <w:tc>
          <w:tcPr>
            <w:tcW w:w="602" w:type="pct"/>
            <w:noWrap/>
            <w:hideMark/>
          </w:tcPr>
          <w:p w14:paraId="69C6F9A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2,82%</w:t>
            </w:r>
          </w:p>
        </w:tc>
      </w:tr>
      <w:tr w:rsidR="004949CA" w:rsidRPr="00086B1D" w14:paraId="52DA4C1D"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1514" w:type="pct"/>
            <w:hideMark/>
          </w:tcPr>
          <w:p w14:paraId="5389F2DE"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UNP</w:t>
            </w:r>
          </w:p>
        </w:tc>
        <w:tc>
          <w:tcPr>
            <w:tcW w:w="910" w:type="pct"/>
            <w:noWrap/>
            <w:hideMark/>
          </w:tcPr>
          <w:p w14:paraId="6E371D1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55,88</w:t>
            </w:r>
          </w:p>
        </w:tc>
        <w:tc>
          <w:tcPr>
            <w:tcW w:w="1139" w:type="pct"/>
            <w:noWrap/>
            <w:hideMark/>
          </w:tcPr>
          <w:p w14:paraId="5363F184"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0,00</w:t>
            </w:r>
          </w:p>
        </w:tc>
        <w:tc>
          <w:tcPr>
            <w:tcW w:w="835" w:type="pct"/>
            <w:noWrap/>
            <w:hideMark/>
          </w:tcPr>
          <w:p w14:paraId="3C35400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55,88</w:t>
            </w:r>
          </w:p>
        </w:tc>
        <w:tc>
          <w:tcPr>
            <w:tcW w:w="602" w:type="pct"/>
            <w:noWrap/>
            <w:hideMark/>
          </w:tcPr>
          <w:p w14:paraId="61E615A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0,26%</w:t>
            </w:r>
          </w:p>
        </w:tc>
      </w:tr>
      <w:tr w:rsidR="004949CA" w:rsidRPr="00086B1D" w14:paraId="6801EFBE"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1514" w:type="pct"/>
            <w:hideMark/>
          </w:tcPr>
          <w:p w14:paraId="1BA6CC34"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Ogrjevno drvo</w:t>
            </w:r>
          </w:p>
        </w:tc>
        <w:tc>
          <w:tcPr>
            <w:tcW w:w="910" w:type="pct"/>
            <w:noWrap/>
            <w:hideMark/>
          </w:tcPr>
          <w:p w14:paraId="68F4AE4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8.212,92</w:t>
            </w:r>
          </w:p>
        </w:tc>
        <w:tc>
          <w:tcPr>
            <w:tcW w:w="1139" w:type="pct"/>
            <w:noWrap/>
            <w:hideMark/>
          </w:tcPr>
          <w:p w14:paraId="0DCF776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2.218,33</w:t>
            </w:r>
          </w:p>
        </w:tc>
        <w:tc>
          <w:tcPr>
            <w:tcW w:w="835" w:type="pct"/>
            <w:noWrap/>
            <w:hideMark/>
          </w:tcPr>
          <w:p w14:paraId="6B252D9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10.431,25</w:t>
            </w:r>
          </w:p>
        </w:tc>
        <w:tc>
          <w:tcPr>
            <w:tcW w:w="602" w:type="pct"/>
            <w:noWrap/>
            <w:hideMark/>
          </w:tcPr>
          <w:p w14:paraId="0C530560"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48,86%</w:t>
            </w:r>
          </w:p>
        </w:tc>
      </w:tr>
      <w:tr w:rsidR="004949CA" w:rsidRPr="00086B1D" w14:paraId="22D1D156" w14:textId="77777777" w:rsidTr="00A44C02">
        <w:trPr>
          <w:trHeight w:val="77"/>
        </w:trPr>
        <w:tc>
          <w:tcPr>
            <w:cnfStyle w:val="001000000000" w:firstRow="0" w:lastRow="0" w:firstColumn="1" w:lastColumn="0" w:oddVBand="0" w:evenVBand="0" w:oddHBand="0" w:evenHBand="0" w:firstRowFirstColumn="0" w:firstRowLastColumn="0" w:lastRowFirstColumn="0" w:lastRowLastColumn="0"/>
            <w:tcW w:w="1514" w:type="pct"/>
            <w:hideMark/>
          </w:tcPr>
          <w:p w14:paraId="2D572AE2"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Drvni peleti/sječka/briketi</w:t>
            </w:r>
          </w:p>
        </w:tc>
        <w:tc>
          <w:tcPr>
            <w:tcW w:w="910" w:type="pct"/>
            <w:noWrap/>
            <w:hideMark/>
          </w:tcPr>
          <w:p w14:paraId="0414F84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751,96</w:t>
            </w:r>
          </w:p>
        </w:tc>
        <w:tc>
          <w:tcPr>
            <w:tcW w:w="1139" w:type="pct"/>
            <w:noWrap/>
            <w:hideMark/>
          </w:tcPr>
          <w:p w14:paraId="3386271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0,00</w:t>
            </w:r>
          </w:p>
        </w:tc>
        <w:tc>
          <w:tcPr>
            <w:tcW w:w="835" w:type="pct"/>
            <w:noWrap/>
            <w:hideMark/>
          </w:tcPr>
          <w:p w14:paraId="3C959E81"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751,96</w:t>
            </w:r>
          </w:p>
        </w:tc>
        <w:tc>
          <w:tcPr>
            <w:tcW w:w="602" w:type="pct"/>
            <w:noWrap/>
            <w:hideMark/>
          </w:tcPr>
          <w:p w14:paraId="52EE80D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3,52%</w:t>
            </w:r>
          </w:p>
        </w:tc>
      </w:tr>
      <w:tr w:rsidR="004949CA" w:rsidRPr="00086B1D" w14:paraId="5D145595" w14:textId="77777777" w:rsidTr="00331A63">
        <w:trPr>
          <w:trHeight w:val="320"/>
        </w:trPr>
        <w:tc>
          <w:tcPr>
            <w:cnfStyle w:val="001000000000" w:firstRow="0" w:lastRow="0" w:firstColumn="1" w:lastColumn="0" w:oddVBand="0" w:evenVBand="0" w:oddHBand="0" w:evenHBand="0" w:firstRowFirstColumn="0" w:firstRowLastColumn="0" w:lastRowFirstColumn="0" w:lastRowLastColumn="0"/>
            <w:tcW w:w="1514" w:type="pct"/>
            <w:hideMark/>
          </w:tcPr>
          <w:p w14:paraId="1EB8BF55"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Sunčeva energija (solarni kolektori)</w:t>
            </w:r>
          </w:p>
        </w:tc>
        <w:tc>
          <w:tcPr>
            <w:tcW w:w="910" w:type="pct"/>
            <w:noWrap/>
            <w:hideMark/>
          </w:tcPr>
          <w:p w14:paraId="3090E99C"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125,61</w:t>
            </w:r>
          </w:p>
        </w:tc>
        <w:tc>
          <w:tcPr>
            <w:tcW w:w="1139" w:type="pct"/>
            <w:noWrap/>
            <w:hideMark/>
          </w:tcPr>
          <w:p w14:paraId="425ED55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0,00</w:t>
            </w:r>
          </w:p>
        </w:tc>
        <w:tc>
          <w:tcPr>
            <w:tcW w:w="835" w:type="pct"/>
            <w:noWrap/>
            <w:hideMark/>
          </w:tcPr>
          <w:p w14:paraId="4B2A87D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125,61</w:t>
            </w:r>
          </w:p>
        </w:tc>
        <w:tc>
          <w:tcPr>
            <w:tcW w:w="602" w:type="pct"/>
            <w:noWrap/>
            <w:hideMark/>
          </w:tcPr>
          <w:p w14:paraId="39AA809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0,59%</w:t>
            </w:r>
          </w:p>
        </w:tc>
      </w:tr>
      <w:tr w:rsidR="004949CA" w:rsidRPr="00086B1D" w14:paraId="4CDC3F77" w14:textId="77777777" w:rsidTr="00331A63">
        <w:trPr>
          <w:trHeight w:val="129"/>
        </w:trPr>
        <w:tc>
          <w:tcPr>
            <w:cnfStyle w:val="001000000000" w:firstRow="0" w:lastRow="0" w:firstColumn="1" w:lastColumn="0" w:oddVBand="0" w:evenVBand="0" w:oddHBand="0" w:evenHBand="0" w:firstRowFirstColumn="0" w:firstRowLastColumn="0" w:lastRowFirstColumn="0" w:lastRowLastColumn="0"/>
            <w:tcW w:w="1514" w:type="pct"/>
            <w:hideMark/>
          </w:tcPr>
          <w:p w14:paraId="70241376"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OIE preuzeta iz okoliša pomoću dizalica topline</w:t>
            </w:r>
          </w:p>
        </w:tc>
        <w:tc>
          <w:tcPr>
            <w:tcW w:w="910" w:type="pct"/>
            <w:noWrap/>
            <w:hideMark/>
          </w:tcPr>
          <w:p w14:paraId="330B8A0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230,02</w:t>
            </w:r>
          </w:p>
        </w:tc>
        <w:tc>
          <w:tcPr>
            <w:tcW w:w="1139" w:type="pct"/>
            <w:noWrap/>
            <w:hideMark/>
          </w:tcPr>
          <w:p w14:paraId="5CBA372E"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086B1D">
              <w:rPr>
                <w:rFonts w:ascii="Tahoma" w:hAnsi="Tahoma" w:cs="Tahoma"/>
                <w:sz w:val="18"/>
                <w:szCs w:val="18"/>
                <w:lang w:eastAsia="hr-HR"/>
              </w:rPr>
              <w:t>394,89</w:t>
            </w:r>
          </w:p>
        </w:tc>
        <w:tc>
          <w:tcPr>
            <w:tcW w:w="835" w:type="pct"/>
            <w:noWrap/>
            <w:hideMark/>
          </w:tcPr>
          <w:p w14:paraId="6EE3D259"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624,91</w:t>
            </w:r>
          </w:p>
        </w:tc>
        <w:tc>
          <w:tcPr>
            <w:tcW w:w="602" w:type="pct"/>
            <w:noWrap/>
            <w:hideMark/>
          </w:tcPr>
          <w:p w14:paraId="35099D1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hr-HR"/>
              </w:rPr>
            </w:pPr>
            <w:r w:rsidRPr="00086B1D">
              <w:rPr>
                <w:rFonts w:ascii="Tahoma" w:hAnsi="Tahoma" w:cs="Tahoma"/>
                <w:i/>
                <w:iCs/>
                <w:sz w:val="18"/>
                <w:szCs w:val="18"/>
                <w:lang w:eastAsia="hr-HR"/>
              </w:rPr>
              <w:t>2,93%</w:t>
            </w:r>
          </w:p>
        </w:tc>
      </w:tr>
      <w:tr w:rsidR="004949CA" w:rsidRPr="00086B1D" w14:paraId="3C952144" w14:textId="77777777" w:rsidTr="00331A63">
        <w:trPr>
          <w:trHeight w:val="315"/>
        </w:trPr>
        <w:tc>
          <w:tcPr>
            <w:cnfStyle w:val="001000000000" w:firstRow="0" w:lastRow="0" w:firstColumn="1" w:lastColumn="0" w:oddVBand="0" w:evenVBand="0" w:oddHBand="0" w:evenHBand="0" w:firstRowFirstColumn="0" w:firstRowLastColumn="0" w:lastRowFirstColumn="0" w:lastRowLastColumn="0"/>
            <w:tcW w:w="1514" w:type="pct"/>
            <w:noWrap/>
            <w:hideMark/>
          </w:tcPr>
          <w:p w14:paraId="387B9657" w14:textId="77777777" w:rsidR="004949CA" w:rsidRPr="00086B1D" w:rsidRDefault="004949CA" w:rsidP="00331A63">
            <w:pPr>
              <w:rPr>
                <w:rFonts w:ascii="Tahoma" w:hAnsi="Tahoma" w:cs="Tahoma"/>
                <w:sz w:val="18"/>
                <w:szCs w:val="18"/>
                <w:lang w:eastAsia="hr-HR"/>
              </w:rPr>
            </w:pPr>
            <w:r w:rsidRPr="00086B1D">
              <w:rPr>
                <w:rFonts w:ascii="Tahoma" w:hAnsi="Tahoma" w:cs="Tahoma"/>
                <w:sz w:val="18"/>
                <w:szCs w:val="18"/>
                <w:lang w:eastAsia="hr-HR"/>
              </w:rPr>
              <w:t>UKUPNO</w:t>
            </w:r>
          </w:p>
        </w:tc>
        <w:tc>
          <w:tcPr>
            <w:tcW w:w="910" w:type="pct"/>
            <w:noWrap/>
            <w:hideMark/>
          </w:tcPr>
          <w:p w14:paraId="784366D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14.624,13</w:t>
            </w:r>
          </w:p>
        </w:tc>
        <w:tc>
          <w:tcPr>
            <w:tcW w:w="1139" w:type="pct"/>
            <w:noWrap/>
            <w:hideMark/>
          </w:tcPr>
          <w:p w14:paraId="4CCD1AC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6.331,09</w:t>
            </w:r>
          </w:p>
        </w:tc>
        <w:tc>
          <w:tcPr>
            <w:tcW w:w="835" w:type="pct"/>
            <w:noWrap/>
            <w:hideMark/>
          </w:tcPr>
          <w:p w14:paraId="738901A8"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21.350,11</w:t>
            </w:r>
          </w:p>
        </w:tc>
        <w:tc>
          <w:tcPr>
            <w:tcW w:w="602" w:type="pct"/>
            <w:noWrap/>
            <w:hideMark/>
          </w:tcPr>
          <w:p w14:paraId="6A11812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086B1D">
              <w:rPr>
                <w:rFonts w:ascii="Tahoma" w:hAnsi="Tahoma" w:cs="Tahoma"/>
                <w:b/>
                <w:bCs/>
                <w:sz w:val="18"/>
                <w:szCs w:val="18"/>
                <w:lang w:eastAsia="hr-HR"/>
              </w:rPr>
              <w:t>100,00%</w:t>
            </w:r>
          </w:p>
        </w:tc>
      </w:tr>
    </w:tbl>
    <w:p w14:paraId="402A14F4" w14:textId="3E07C55D" w:rsidR="004949CA" w:rsidRPr="00086B1D" w:rsidRDefault="0C3F4C7D" w:rsidP="00086B1D">
      <w:pPr>
        <w:jc w:val="both"/>
        <w:rPr>
          <w:rFonts w:ascii="Tahoma" w:hAnsi="Tahoma" w:cs="Tahoma"/>
          <w:sz w:val="20"/>
          <w:szCs w:val="20"/>
        </w:rPr>
      </w:pPr>
      <w:r w:rsidRPr="638C4C38">
        <w:rPr>
          <w:rFonts w:ascii="Tahoma" w:hAnsi="Tahoma" w:cs="Tahoma"/>
          <w:sz w:val="20"/>
          <w:szCs w:val="20"/>
        </w:rPr>
        <w:t>U strukturi potrošnje energenata vidljiva je dominacija ogrjevnog drva s gotovo 50% u cijelom sektoru kućanstava, dok je za VSZ taj udio ipak manji i iznosi oko 35%.</w:t>
      </w:r>
      <w:r w:rsidR="3F55F1CD" w:rsidRPr="638C4C38">
        <w:rPr>
          <w:rFonts w:ascii="Tahoma" w:hAnsi="Tahoma" w:cs="Tahoma"/>
          <w:sz w:val="20"/>
          <w:szCs w:val="20"/>
        </w:rPr>
        <w:t xml:space="preserve"> </w:t>
      </w:r>
      <w:r w:rsidRPr="638C4C38">
        <w:rPr>
          <w:rFonts w:ascii="Tahoma" w:hAnsi="Tahoma" w:cs="Tahoma"/>
          <w:sz w:val="20"/>
          <w:szCs w:val="20"/>
        </w:rPr>
        <w:t xml:space="preserve">Tradicionalno korištenje ogrjevnog drva cjenovno je privlačno, no zastarjela ložišta imaju za posljedicu emisiju čestica, koje negativno utječu na dišne puteve odnosno na zdravlje ljudi. Zbog toga se Programom promovira uporaba OIE, centralizacija sustava grijanja na razini zgrade, ako je to moguće, priključenje na visokoučinkovite centralizirane sustave grijanja i hlađenja, ali također i elektrifikacija sustava grijanja i pripreme potrošne tople vode (PTV) i to kombinacijom dizalica topline i fotonaponskih sustava za vlastitu proizvodnju električne energije. </w:t>
      </w:r>
    </w:p>
    <w:p w14:paraId="2972BA05" w14:textId="3A8FA92C" w:rsidR="004949CA" w:rsidRPr="00086B1D" w:rsidRDefault="004949CA" w:rsidP="00086B1D">
      <w:pPr>
        <w:pStyle w:val="Tijeloteksta"/>
        <w:rPr>
          <w:rFonts w:cs="Tahoma"/>
          <w:szCs w:val="20"/>
        </w:rPr>
      </w:pPr>
      <w:r w:rsidRPr="00086B1D">
        <w:rPr>
          <w:rFonts w:cs="Tahoma"/>
          <w:szCs w:val="20"/>
        </w:rPr>
        <w:t>Za dobivanje potrošnje primarne energije (</w:t>
      </w:r>
      <w:proofErr w:type="spellStart"/>
      <w:r w:rsidRPr="00086B1D">
        <w:rPr>
          <w:rFonts w:cs="Tahoma"/>
          <w:szCs w:val="20"/>
        </w:rPr>
        <w:t>E</w:t>
      </w:r>
      <w:r w:rsidRPr="00086B1D">
        <w:rPr>
          <w:rFonts w:cs="Tahoma"/>
          <w:szCs w:val="20"/>
          <w:vertAlign w:val="subscript"/>
        </w:rPr>
        <w:t>prim</w:t>
      </w:r>
      <w:proofErr w:type="spellEnd"/>
      <w:r w:rsidRPr="00086B1D">
        <w:rPr>
          <w:rFonts w:cs="Tahoma"/>
          <w:szCs w:val="20"/>
        </w:rPr>
        <w:t>) koriste se faktori primarne energije. Ovi faktori predloženi su u nacrtu Pravilnika o sustavu za praćenje, mjerenje i verifikaciju ušteda energije, prilogu I</w:t>
      </w:r>
      <w:r w:rsidRPr="00086B1D">
        <w:rPr>
          <w:rStyle w:val="Referencafusnote"/>
          <w:rFonts w:cs="Tahoma"/>
          <w:szCs w:val="20"/>
        </w:rPr>
        <w:footnoteReference w:id="9"/>
      </w:r>
      <w:r w:rsidRPr="00086B1D">
        <w:rPr>
          <w:rFonts w:cs="Tahoma"/>
          <w:szCs w:val="20"/>
        </w:rPr>
        <w:t xml:space="preserve">,  te se koriste za daljnje izračune. Rezultat prikazuje </w:t>
      </w:r>
      <w:r w:rsidRPr="00086B1D">
        <w:rPr>
          <w:rFonts w:cs="Tahoma"/>
          <w:szCs w:val="20"/>
        </w:rPr>
        <w:fldChar w:fldCharType="begin"/>
      </w:r>
      <w:r w:rsidRPr="00086B1D">
        <w:rPr>
          <w:rFonts w:cs="Tahoma"/>
          <w:szCs w:val="20"/>
        </w:rPr>
        <w:instrText xml:space="preserve"> REF _Ref72136911 \h </w:instrText>
      </w:r>
      <w:r w:rsidR="00086B1D" w:rsidRPr="00086B1D">
        <w:rPr>
          <w:rFonts w:cs="Tahoma"/>
          <w:szCs w:val="20"/>
        </w:rPr>
        <w:instrText xml:space="preserve"> \* MERGEFORMAT </w:instrText>
      </w:r>
      <w:r w:rsidRPr="00086B1D">
        <w:rPr>
          <w:rFonts w:cs="Tahoma"/>
          <w:szCs w:val="20"/>
        </w:rPr>
      </w:r>
      <w:r w:rsidRPr="00086B1D">
        <w:rPr>
          <w:rFonts w:cs="Tahoma"/>
          <w:szCs w:val="20"/>
        </w:rPr>
        <w:fldChar w:fldCharType="separate"/>
      </w:r>
      <w:r w:rsidR="00575AF9" w:rsidRPr="00575AF9">
        <w:rPr>
          <w:rFonts w:cs="Tahoma"/>
          <w:szCs w:val="20"/>
        </w:rPr>
        <w:t xml:space="preserve">Tablica </w:t>
      </w:r>
      <w:r w:rsidR="00575AF9" w:rsidRPr="00575AF9">
        <w:rPr>
          <w:rFonts w:cs="Tahoma"/>
          <w:noProof/>
          <w:szCs w:val="20"/>
        </w:rPr>
        <w:t>3</w:t>
      </w:r>
      <w:r w:rsidR="00575AF9" w:rsidRPr="00575AF9">
        <w:rPr>
          <w:rFonts w:cs="Tahoma"/>
          <w:noProof/>
          <w:szCs w:val="20"/>
        </w:rPr>
        <w:noBreakHyphen/>
        <w:t>7</w:t>
      </w:r>
      <w:r w:rsidRPr="00086B1D">
        <w:rPr>
          <w:rFonts w:cs="Tahoma"/>
          <w:szCs w:val="20"/>
        </w:rPr>
        <w:fldChar w:fldCharType="end"/>
      </w:r>
      <w:r w:rsidRPr="00086B1D">
        <w:rPr>
          <w:rFonts w:cs="Tahoma"/>
          <w:szCs w:val="20"/>
        </w:rPr>
        <w:t>.</w:t>
      </w:r>
    </w:p>
    <w:p w14:paraId="31572271" w14:textId="4944F2A6" w:rsidR="004949CA" w:rsidRPr="00DE7F43" w:rsidRDefault="004949CA" w:rsidP="004949CA">
      <w:pPr>
        <w:pStyle w:val="Opisslike"/>
      </w:pPr>
      <w:bookmarkStart w:id="72" w:name="_Ref72136911"/>
      <w:bookmarkStart w:id="73" w:name="_Toc72081542"/>
      <w:bookmarkStart w:id="74" w:name="_Toc84240490"/>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7</w:t>
      </w:r>
      <w:r w:rsidRPr="00DE7F43">
        <w:rPr>
          <w:noProof/>
        </w:rPr>
        <w:fldChar w:fldCharType="end"/>
      </w:r>
      <w:bookmarkEnd w:id="72"/>
      <w:r w:rsidRPr="00DE7F43">
        <w:t>: Raspodjela primarne energije sektoru kućanstava za potrebe grijanja/hlađenja prostora i pripreme PTV-a u 2019. godini</w:t>
      </w:r>
      <w:bookmarkEnd w:id="73"/>
      <w:bookmarkEnd w:id="74"/>
      <w:r w:rsidRPr="00DE7F43">
        <w:t xml:space="preserve"> </w:t>
      </w:r>
    </w:p>
    <w:tbl>
      <w:tblPr>
        <w:tblStyle w:val="Svijetlatablicareetke110"/>
        <w:tblW w:w="9288" w:type="dxa"/>
        <w:tblLook w:val="04A0" w:firstRow="1" w:lastRow="0" w:firstColumn="1" w:lastColumn="0" w:noHBand="0" w:noVBand="1"/>
      </w:tblPr>
      <w:tblGrid>
        <w:gridCol w:w="4482"/>
        <w:gridCol w:w="1133"/>
        <w:gridCol w:w="1482"/>
        <w:gridCol w:w="1245"/>
        <w:gridCol w:w="946"/>
      </w:tblGrid>
      <w:tr w:rsidR="004949CA" w:rsidRPr="00086B1D" w14:paraId="42B7190F" w14:textId="77777777" w:rsidTr="00EA1F4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4482" w:type="dxa"/>
            <w:noWrap/>
            <w:hideMark/>
          </w:tcPr>
          <w:p w14:paraId="76D10D9B" w14:textId="77777777" w:rsidR="004949CA" w:rsidRPr="00086B1D" w:rsidRDefault="004949CA" w:rsidP="00331A63">
            <w:pPr>
              <w:rPr>
                <w:rFonts w:ascii="Tahoma" w:hAnsi="Tahoma" w:cs="Tahoma"/>
                <w:sz w:val="18"/>
                <w:szCs w:val="18"/>
                <w:lang w:eastAsia="en-GB"/>
              </w:rPr>
            </w:pPr>
            <w:r w:rsidRPr="00086B1D">
              <w:rPr>
                <w:rFonts w:ascii="Tahoma" w:hAnsi="Tahoma" w:cs="Tahoma"/>
                <w:sz w:val="18"/>
                <w:szCs w:val="18"/>
                <w:lang w:eastAsia="en-GB"/>
              </w:rPr>
              <w:t>SEKTOR KUĆANSTVA</w:t>
            </w:r>
          </w:p>
        </w:tc>
        <w:tc>
          <w:tcPr>
            <w:tcW w:w="1133" w:type="dxa"/>
            <w:hideMark/>
          </w:tcPr>
          <w:p w14:paraId="4D03FB3A"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Obiteljska kuća</w:t>
            </w:r>
          </w:p>
        </w:tc>
        <w:tc>
          <w:tcPr>
            <w:tcW w:w="1482" w:type="dxa"/>
            <w:hideMark/>
          </w:tcPr>
          <w:p w14:paraId="2CC9CD18"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lang w:eastAsia="en-GB"/>
              </w:rPr>
              <w:t>Višestambena zgrada</w:t>
            </w:r>
          </w:p>
        </w:tc>
        <w:tc>
          <w:tcPr>
            <w:tcW w:w="1245" w:type="dxa"/>
            <w:noWrap/>
            <w:hideMark/>
          </w:tcPr>
          <w:p w14:paraId="54CDD035"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eastAsia="en-GB"/>
              </w:rPr>
            </w:pPr>
            <w:r w:rsidRPr="00086B1D">
              <w:rPr>
                <w:rFonts w:ascii="Tahoma" w:hAnsi="Tahoma" w:cs="Tahoma"/>
                <w:sz w:val="18"/>
                <w:szCs w:val="18"/>
                <w:lang w:eastAsia="en-GB"/>
              </w:rPr>
              <w:t>UKUPNO</w:t>
            </w:r>
          </w:p>
        </w:tc>
        <w:tc>
          <w:tcPr>
            <w:tcW w:w="946" w:type="dxa"/>
            <w:noWrap/>
            <w:hideMark/>
          </w:tcPr>
          <w:p w14:paraId="76B96DD2" w14:textId="77777777" w:rsidR="004949CA" w:rsidRPr="00086B1D"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i/>
                <w:iCs/>
                <w:sz w:val="18"/>
                <w:szCs w:val="18"/>
                <w:lang w:eastAsia="en-GB"/>
              </w:rPr>
              <w:t>Udio [%]</w:t>
            </w:r>
          </w:p>
        </w:tc>
      </w:tr>
      <w:tr w:rsidR="004949CA" w:rsidRPr="00086B1D" w14:paraId="7B8FED26" w14:textId="77777777" w:rsidTr="00EA1F46">
        <w:trPr>
          <w:trHeight w:val="513"/>
        </w:trPr>
        <w:tc>
          <w:tcPr>
            <w:cnfStyle w:val="001000000000" w:firstRow="0" w:lastRow="0" w:firstColumn="1" w:lastColumn="0" w:oddVBand="0" w:evenVBand="0" w:oddHBand="0" w:evenHBand="0" w:firstRowFirstColumn="0" w:firstRowLastColumn="0" w:lastRowFirstColumn="0" w:lastRowLastColumn="0"/>
            <w:tcW w:w="4482" w:type="dxa"/>
            <w:hideMark/>
          </w:tcPr>
          <w:p w14:paraId="05493363"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b w:val="0"/>
                <w:bCs w:val="0"/>
                <w:sz w:val="18"/>
                <w:szCs w:val="18"/>
                <w:lang w:eastAsia="en-GB"/>
              </w:rPr>
              <w:t>Primarna energija za potrebe grijanja/hlađenja prostora i pripreme PTV-a [GWh/a]</w:t>
            </w:r>
          </w:p>
        </w:tc>
        <w:tc>
          <w:tcPr>
            <w:tcW w:w="1133" w:type="dxa"/>
            <w:noWrap/>
            <w:hideMark/>
          </w:tcPr>
          <w:p w14:paraId="644515C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16.688,07</w:t>
            </w:r>
          </w:p>
        </w:tc>
        <w:tc>
          <w:tcPr>
            <w:tcW w:w="1482" w:type="dxa"/>
            <w:noWrap/>
            <w:hideMark/>
          </w:tcPr>
          <w:p w14:paraId="4960A78A"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7.890,02</w:t>
            </w:r>
          </w:p>
        </w:tc>
        <w:tc>
          <w:tcPr>
            <w:tcW w:w="1245" w:type="dxa"/>
            <w:noWrap/>
            <w:hideMark/>
          </w:tcPr>
          <w:p w14:paraId="1C0840D6"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en-GB"/>
              </w:rPr>
            </w:pPr>
            <w:r w:rsidRPr="00086B1D">
              <w:rPr>
                <w:rFonts w:ascii="Tahoma" w:hAnsi="Tahoma" w:cs="Tahoma"/>
                <w:b/>
                <w:bCs/>
                <w:sz w:val="18"/>
                <w:szCs w:val="18"/>
              </w:rPr>
              <w:t>24.972,98</w:t>
            </w:r>
          </w:p>
        </w:tc>
        <w:tc>
          <w:tcPr>
            <w:tcW w:w="946" w:type="dxa"/>
            <w:noWrap/>
            <w:hideMark/>
          </w:tcPr>
          <w:p w14:paraId="03AC1435"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i/>
                <w:iCs/>
                <w:sz w:val="18"/>
                <w:szCs w:val="18"/>
                <w:lang w:eastAsia="en-GB"/>
              </w:rPr>
            </w:pPr>
            <w:r w:rsidRPr="00086B1D">
              <w:rPr>
                <w:rFonts w:ascii="Tahoma" w:hAnsi="Tahoma" w:cs="Tahoma"/>
                <w:sz w:val="18"/>
                <w:szCs w:val="18"/>
              </w:rPr>
              <w:t>100,00%</w:t>
            </w:r>
          </w:p>
        </w:tc>
      </w:tr>
      <w:tr w:rsidR="004949CA" w:rsidRPr="00086B1D" w14:paraId="7B88D2FC" w14:textId="77777777" w:rsidTr="00EA1F46">
        <w:trPr>
          <w:trHeight w:val="243"/>
        </w:trPr>
        <w:tc>
          <w:tcPr>
            <w:cnfStyle w:val="001000000000" w:firstRow="0" w:lastRow="0" w:firstColumn="1" w:lastColumn="0" w:oddVBand="0" w:evenVBand="0" w:oddHBand="0" w:evenHBand="0" w:firstRowFirstColumn="0" w:firstRowLastColumn="0" w:lastRowFirstColumn="0" w:lastRowLastColumn="0"/>
            <w:tcW w:w="4482" w:type="dxa"/>
          </w:tcPr>
          <w:p w14:paraId="5B89B7F9" w14:textId="77777777" w:rsidR="004949CA" w:rsidRPr="00086B1D" w:rsidRDefault="004949CA" w:rsidP="00331A63">
            <w:pPr>
              <w:rPr>
                <w:rFonts w:ascii="Tahoma" w:hAnsi="Tahoma" w:cs="Tahoma"/>
                <w:b w:val="0"/>
                <w:bCs w:val="0"/>
                <w:sz w:val="18"/>
                <w:szCs w:val="18"/>
                <w:lang w:eastAsia="en-GB"/>
              </w:rPr>
            </w:pPr>
            <w:r w:rsidRPr="00086B1D">
              <w:rPr>
                <w:rFonts w:ascii="Tahoma" w:hAnsi="Tahoma" w:cs="Tahoma"/>
                <w:sz w:val="18"/>
                <w:szCs w:val="18"/>
                <w:lang w:eastAsia="en-GB"/>
              </w:rPr>
              <w:t>Udio [%]</w:t>
            </w:r>
          </w:p>
        </w:tc>
        <w:tc>
          <w:tcPr>
            <w:tcW w:w="1133" w:type="dxa"/>
            <w:noWrap/>
          </w:tcPr>
          <w:p w14:paraId="4D63BE52"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66,82</w:t>
            </w:r>
          </w:p>
        </w:tc>
        <w:tc>
          <w:tcPr>
            <w:tcW w:w="1482" w:type="dxa"/>
            <w:noWrap/>
          </w:tcPr>
          <w:p w14:paraId="06893B1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33,18</w:t>
            </w:r>
          </w:p>
        </w:tc>
        <w:tc>
          <w:tcPr>
            <w:tcW w:w="1245" w:type="dxa"/>
            <w:noWrap/>
          </w:tcPr>
          <w:p w14:paraId="59AC9907"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b/>
                <w:bCs/>
                <w:sz w:val="18"/>
                <w:szCs w:val="18"/>
              </w:rPr>
              <w:t>100,00</w:t>
            </w:r>
          </w:p>
        </w:tc>
        <w:tc>
          <w:tcPr>
            <w:tcW w:w="946" w:type="dxa"/>
            <w:noWrap/>
          </w:tcPr>
          <w:p w14:paraId="4D7779CF" w14:textId="77777777" w:rsidR="004949CA" w:rsidRPr="00086B1D"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en-GB"/>
              </w:rPr>
            </w:pPr>
            <w:r w:rsidRPr="00086B1D">
              <w:rPr>
                <w:rFonts w:ascii="Tahoma" w:hAnsi="Tahoma" w:cs="Tahoma"/>
                <w:sz w:val="18"/>
                <w:szCs w:val="18"/>
              </w:rPr>
              <w:t> </w:t>
            </w:r>
          </w:p>
        </w:tc>
      </w:tr>
    </w:tbl>
    <w:p w14:paraId="4B13171D" w14:textId="72DB78BD" w:rsidR="004949CA" w:rsidRPr="00DE7F43" w:rsidRDefault="004949CA" w:rsidP="004949CA">
      <w:pPr>
        <w:pStyle w:val="Tijeloteksta"/>
      </w:pPr>
      <w:r w:rsidRPr="00DE7F43">
        <w:t xml:space="preserve">S obzirom da se, u skladu s Dugoročnom strategijom, prioritet treba dati zgradama s najlošijim energetskim karakteristikama, kao ključan pokazatelj za utvrđivanje ove kategorije utvrđena je specifična potrebna energije za grijanje </w:t>
      </w:r>
      <w:bookmarkStart w:id="75" w:name="_Hlk86414950"/>
      <w:proofErr w:type="spellStart"/>
      <w:r w:rsidRPr="00DE7F43">
        <w:t>Q</w:t>
      </w:r>
      <w:r w:rsidR="206EDF68" w:rsidRPr="00DE7F43">
        <w:t>”</w:t>
      </w:r>
      <w:r w:rsidRPr="00DE7F43">
        <w:rPr>
          <w:vertAlign w:val="subscript"/>
        </w:rPr>
        <w:t>H,nd</w:t>
      </w:r>
      <w:proofErr w:type="spellEnd"/>
      <w:r w:rsidRPr="00DE7F43">
        <w:t xml:space="preserve"> </w:t>
      </w:r>
      <w:bookmarkEnd w:id="75"/>
      <w:r w:rsidRPr="00DE7F43">
        <w:t>(</w:t>
      </w:r>
      <w:r w:rsidR="00FE15DC">
        <w:fldChar w:fldCharType="begin"/>
      </w:r>
      <w:r w:rsidR="00FE15DC">
        <w:instrText xml:space="preserve"> REF _Ref83114344 \h </w:instrText>
      </w:r>
      <w:r w:rsidR="00FE15DC">
        <w:fldChar w:fldCharType="separate"/>
      </w:r>
      <w:r w:rsidR="00575AF9" w:rsidRPr="00DE7F43">
        <w:t xml:space="preserve">Tablica </w:t>
      </w:r>
      <w:r w:rsidR="00575AF9">
        <w:rPr>
          <w:noProof/>
        </w:rPr>
        <w:t>3</w:t>
      </w:r>
      <w:r w:rsidR="00575AF9" w:rsidRPr="00DE7F43">
        <w:noBreakHyphen/>
      </w:r>
      <w:r w:rsidR="00575AF9">
        <w:rPr>
          <w:noProof/>
        </w:rPr>
        <w:t>8</w:t>
      </w:r>
      <w:r w:rsidR="00FE15DC">
        <w:fldChar w:fldCharType="end"/>
      </w:r>
      <w:r w:rsidRPr="00DE7F43">
        <w:t>)</w:t>
      </w:r>
      <w:r w:rsidRPr="00DE7F43">
        <w:rPr>
          <w:rStyle w:val="Referencafusnote"/>
        </w:rPr>
        <w:footnoteReference w:id="10"/>
      </w:r>
      <w:r w:rsidRPr="00DE7F43">
        <w:t>.</w:t>
      </w:r>
    </w:p>
    <w:p w14:paraId="366AA042" w14:textId="39FEC743" w:rsidR="004949CA" w:rsidRPr="00DE7F43" w:rsidRDefault="137C0FFA" w:rsidP="004949CA">
      <w:pPr>
        <w:pStyle w:val="Opisslike"/>
      </w:pPr>
      <w:bookmarkStart w:id="76" w:name="_Ref83114344"/>
      <w:bookmarkStart w:id="77" w:name="_Toc72081543"/>
      <w:bookmarkStart w:id="78" w:name="_Ref83113670"/>
      <w:bookmarkStart w:id="79" w:name="_Toc84240491"/>
      <w:r w:rsidRPr="00DE7F43">
        <w:t xml:space="preserve">Tablica </w:t>
      </w:r>
      <w:r w:rsidR="004949CA" w:rsidRPr="00DE7F43">
        <w:rPr>
          <w:noProof/>
        </w:rPr>
        <w:fldChar w:fldCharType="begin"/>
      </w:r>
      <w:r w:rsidR="004949CA" w:rsidRPr="00DE7F43">
        <w:rPr>
          <w:noProof/>
        </w:rPr>
        <w:instrText xml:space="preserve"> STYLEREF 1 \s </w:instrText>
      </w:r>
      <w:r w:rsidR="004949CA" w:rsidRPr="00DE7F43">
        <w:rPr>
          <w:noProof/>
        </w:rPr>
        <w:fldChar w:fldCharType="separate"/>
      </w:r>
      <w:r w:rsidR="52F37FDB">
        <w:rPr>
          <w:noProof/>
        </w:rPr>
        <w:t>3</w:t>
      </w:r>
      <w:r w:rsidR="004949CA" w:rsidRPr="00DE7F43">
        <w:rPr>
          <w:noProof/>
        </w:rPr>
        <w:fldChar w:fldCharType="end"/>
      </w:r>
      <w:r w:rsidR="004949CA" w:rsidRPr="00DE7F43">
        <w:noBreakHyphen/>
      </w:r>
      <w:r w:rsidR="004949CA" w:rsidRPr="00DE7F43">
        <w:rPr>
          <w:noProof/>
        </w:rPr>
        <w:fldChar w:fldCharType="begin"/>
      </w:r>
      <w:r w:rsidR="004949CA" w:rsidRPr="00DE7F43">
        <w:rPr>
          <w:noProof/>
        </w:rPr>
        <w:instrText xml:space="preserve"> SEQ Tablica \* ARABIC \s 1 </w:instrText>
      </w:r>
      <w:r w:rsidR="004949CA" w:rsidRPr="00DE7F43">
        <w:rPr>
          <w:noProof/>
        </w:rPr>
        <w:fldChar w:fldCharType="separate"/>
      </w:r>
      <w:r w:rsidR="52F37FDB">
        <w:rPr>
          <w:noProof/>
        </w:rPr>
        <w:t>8</w:t>
      </w:r>
      <w:r w:rsidR="004949CA" w:rsidRPr="00DE7F43">
        <w:rPr>
          <w:noProof/>
        </w:rPr>
        <w:fldChar w:fldCharType="end"/>
      </w:r>
      <w:bookmarkEnd w:id="76"/>
      <w:r w:rsidRPr="00DE7F43">
        <w:t xml:space="preserve">: Specifična potrebna </w:t>
      </w:r>
      <w:r w:rsidR="014B4F87">
        <w:t xml:space="preserve">toplinska </w:t>
      </w:r>
      <w:r w:rsidRPr="00DE7F43">
        <w:t xml:space="preserve">energija za grijanje prostora </w:t>
      </w:r>
      <w:bookmarkStart w:id="80" w:name="_Hlk86414976"/>
      <w:proofErr w:type="spellStart"/>
      <w:r w:rsidRPr="00DE7F43">
        <w:t>Q</w:t>
      </w:r>
      <w:r w:rsidR="4B7044E2" w:rsidRPr="00DE7F43">
        <w:t>”</w:t>
      </w:r>
      <w:r w:rsidRPr="00F7592C">
        <w:rPr>
          <w:vertAlign w:val="subscript"/>
        </w:rPr>
        <w:t>H,nd</w:t>
      </w:r>
      <w:proofErr w:type="spellEnd"/>
      <w:r w:rsidRPr="00DE7F43">
        <w:t xml:space="preserve"> </w:t>
      </w:r>
      <w:bookmarkEnd w:id="80"/>
      <w:r w:rsidRPr="00DE7F43">
        <w:t>u stambenim zgradama prema razdoblju izgradnje i klimatskoj zoni</w:t>
      </w:r>
      <w:bookmarkEnd w:id="77"/>
      <w:bookmarkEnd w:id="78"/>
      <w:bookmarkEnd w:id="79"/>
    </w:p>
    <w:tbl>
      <w:tblPr>
        <w:tblStyle w:val="Svijetlatablicareetke110"/>
        <w:tblW w:w="5000" w:type="pct"/>
        <w:tblLook w:val="04A0" w:firstRow="1" w:lastRow="0" w:firstColumn="1" w:lastColumn="0" w:noHBand="0" w:noVBand="1"/>
      </w:tblPr>
      <w:tblGrid>
        <w:gridCol w:w="1652"/>
        <w:gridCol w:w="2031"/>
        <w:gridCol w:w="1674"/>
        <w:gridCol w:w="2031"/>
        <w:gridCol w:w="1674"/>
      </w:tblGrid>
      <w:tr w:rsidR="004949CA" w:rsidRPr="00086B1D" w14:paraId="69F3F192" w14:textId="77777777" w:rsidTr="638C4C38">
        <w:trPr>
          <w:cnfStyle w:val="100000000000" w:firstRow="1" w:lastRow="0" w:firstColumn="0" w:lastColumn="0" w:oddVBand="0" w:evenVBand="0" w:oddHBand="0"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0" w:type="pct"/>
            <w:vMerge w:val="restart"/>
          </w:tcPr>
          <w:p w14:paraId="3392CCF5" w14:textId="77777777" w:rsidR="004949CA" w:rsidRPr="00086B1D" w:rsidRDefault="004949CA" w:rsidP="00331A63">
            <w:pPr>
              <w:pStyle w:val="Tijeloteksta"/>
              <w:spacing w:before="0" w:after="0"/>
              <w:rPr>
                <w:rFonts w:cs="Tahoma"/>
                <w:sz w:val="18"/>
                <w:szCs w:val="18"/>
              </w:rPr>
            </w:pPr>
            <w:r w:rsidRPr="00086B1D">
              <w:rPr>
                <w:rFonts w:cs="Tahoma"/>
                <w:sz w:val="18"/>
                <w:szCs w:val="18"/>
              </w:rPr>
              <w:t>Razdoblje izgradnje</w:t>
            </w:r>
          </w:p>
        </w:tc>
        <w:tc>
          <w:tcPr>
            <w:tcW w:w="0" w:type="pct"/>
            <w:gridSpan w:val="4"/>
          </w:tcPr>
          <w:p w14:paraId="21CDA9B3" w14:textId="0782EF5D" w:rsidR="004949CA" w:rsidRPr="00086B1D" w:rsidRDefault="046DAC16" w:rsidP="638C4C38">
            <w:pPr>
              <w:pStyle w:val="Tijeloteksta"/>
              <w:spacing w:before="0" w:after="0"/>
              <w:jc w:val="center"/>
              <w:cnfStyle w:val="100000000000" w:firstRow="1" w:lastRow="0" w:firstColumn="0" w:lastColumn="0" w:oddVBand="0" w:evenVBand="0" w:oddHBand="0" w:evenHBand="0" w:firstRowFirstColumn="0" w:firstRowLastColumn="0" w:lastRowFirstColumn="0" w:lastRowLastColumn="0"/>
              <w:rPr>
                <w:rFonts w:cs="Tahoma"/>
                <w:i/>
                <w:iCs/>
                <w:sz w:val="18"/>
                <w:szCs w:val="18"/>
              </w:rPr>
            </w:pPr>
            <w:proofErr w:type="spellStart"/>
            <w:r w:rsidRPr="638C4C38">
              <w:rPr>
                <w:rFonts w:cs="Tahoma"/>
                <w:i/>
                <w:iCs/>
                <w:sz w:val="18"/>
                <w:szCs w:val="18"/>
                <w:lang w:eastAsia="en-GB"/>
              </w:rPr>
              <w:t>Q</w:t>
            </w:r>
            <w:r w:rsidR="663D087C" w:rsidRPr="638C4C38">
              <w:rPr>
                <w:rFonts w:cs="Tahoma"/>
                <w:i/>
                <w:iCs/>
                <w:sz w:val="18"/>
                <w:szCs w:val="18"/>
                <w:lang w:eastAsia="en-GB"/>
              </w:rPr>
              <w:t>”</w:t>
            </w:r>
            <w:r w:rsidRPr="638C4C38">
              <w:rPr>
                <w:rFonts w:cs="Tahoma"/>
                <w:i/>
                <w:iCs/>
                <w:sz w:val="18"/>
                <w:szCs w:val="18"/>
                <w:vertAlign w:val="subscript"/>
                <w:lang w:eastAsia="en-GB"/>
              </w:rPr>
              <w:t>H,nd</w:t>
            </w:r>
            <w:proofErr w:type="spellEnd"/>
            <w:r w:rsidRPr="638C4C38">
              <w:rPr>
                <w:rFonts w:cs="Tahoma"/>
                <w:i/>
                <w:iCs/>
                <w:sz w:val="18"/>
                <w:szCs w:val="18"/>
                <w:lang w:eastAsia="en-GB"/>
              </w:rPr>
              <w:t xml:space="preserve"> [kWh/ m</w:t>
            </w:r>
            <w:r w:rsidRPr="003C5F70">
              <w:rPr>
                <w:rFonts w:cs="Tahoma"/>
                <w:i/>
                <w:iCs/>
                <w:sz w:val="18"/>
                <w:szCs w:val="18"/>
                <w:vertAlign w:val="superscript"/>
                <w:lang w:eastAsia="en-GB"/>
              </w:rPr>
              <w:t>2</w:t>
            </w:r>
            <w:r w:rsidR="199BA144" w:rsidRPr="638C4C38">
              <w:rPr>
                <w:rFonts w:cs="Tahoma"/>
                <w:i/>
                <w:iCs/>
                <w:sz w:val="18"/>
                <w:szCs w:val="18"/>
                <w:lang w:eastAsia="en-GB"/>
              </w:rPr>
              <w:t>·a</w:t>
            </w:r>
            <w:r w:rsidRPr="638C4C38">
              <w:rPr>
                <w:rFonts w:cs="Tahoma"/>
                <w:i/>
                <w:iCs/>
                <w:sz w:val="18"/>
                <w:szCs w:val="18"/>
                <w:lang w:eastAsia="en-GB"/>
              </w:rPr>
              <w:t>]</w:t>
            </w:r>
          </w:p>
        </w:tc>
      </w:tr>
      <w:tr w:rsidR="004949CA" w:rsidRPr="00086B1D" w14:paraId="25BC9EE8" w14:textId="77777777" w:rsidTr="638C4C38">
        <w:trPr>
          <w:trHeight w:val="84"/>
        </w:trPr>
        <w:tc>
          <w:tcPr>
            <w:cnfStyle w:val="001000000000" w:firstRow="0" w:lastRow="0" w:firstColumn="1" w:lastColumn="0" w:oddVBand="0" w:evenVBand="0" w:oddHBand="0" w:evenHBand="0" w:firstRowFirstColumn="0" w:firstRowLastColumn="0" w:lastRowFirstColumn="0" w:lastRowLastColumn="0"/>
            <w:tcW w:w="0" w:type="pct"/>
            <w:vMerge/>
          </w:tcPr>
          <w:p w14:paraId="4E875B0F" w14:textId="77777777" w:rsidR="004949CA" w:rsidRPr="00086B1D" w:rsidRDefault="004949CA" w:rsidP="00331A63">
            <w:pPr>
              <w:pStyle w:val="Tijeloteksta"/>
              <w:spacing w:before="0" w:after="0"/>
              <w:rPr>
                <w:rFonts w:cs="Tahoma"/>
                <w:sz w:val="18"/>
                <w:szCs w:val="18"/>
              </w:rPr>
            </w:pPr>
          </w:p>
        </w:tc>
        <w:tc>
          <w:tcPr>
            <w:tcW w:w="0" w:type="pct"/>
            <w:gridSpan w:val="2"/>
            <w:tcBorders>
              <w:bottom w:val="single" w:sz="12" w:space="0" w:color="666666"/>
            </w:tcBorders>
          </w:tcPr>
          <w:p w14:paraId="39BD334E"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086B1D">
              <w:rPr>
                <w:rFonts w:cs="Tahoma"/>
                <w:b/>
                <w:bCs/>
                <w:i/>
                <w:iCs/>
                <w:sz w:val="18"/>
                <w:szCs w:val="18"/>
                <w:lang w:eastAsia="en-GB"/>
              </w:rPr>
              <w:t>Obiteljske kuće</w:t>
            </w:r>
          </w:p>
        </w:tc>
        <w:tc>
          <w:tcPr>
            <w:tcW w:w="0" w:type="pct"/>
            <w:gridSpan w:val="2"/>
            <w:tcBorders>
              <w:bottom w:val="single" w:sz="12" w:space="0" w:color="767171" w:themeColor="background2" w:themeShade="80"/>
            </w:tcBorders>
          </w:tcPr>
          <w:p w14:paraId="2A65FD8C"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086B1D">
              <w:rPr>
                <w:rFonts w:cs="Tahoma"/>
                <w:b/>
                <w:bCs/>
                <w:i/>
                <w:iCs/>
                <w:sz w:val="18"/>
                <w:szCs w:val="18"/>
                <w:lang w:eastAsia="en-GB"/>
              </w:rPr>
              <w:t>Višestambene zgrade</w:t>
            </w:r>
          </w:p>
        </w:tc>
      </w:tr>
      <w:tr w:rsidR="004949CA" w:rsidRPr="00086B1D" w14:paraId="4D117F3E" w14:textId="77777777" w:rsidTr="638C4C38">
        <w:trPr>
          <w:trHeight w:val="84"/>
        </w:trPr>
        <w:tc>
          <w:tcPr>
            <w:cnfStyle w:val="001000000000" w:firstRow="0" w:lastRow="0" w:firstColumn="1" w:lastColumn="0" w:oddVBand="0" w:evenVBand="0" w:oddHBand="0" w:evenHBand="0" w:firstRowFirstColumn="0" w:firstRowLastColumn="0" w:lastRowFirstColumn="0" w:lastRowLastColumn="0"/>
            <w:tcW w:w="0" w:type="pct"/>
            <w:vMerge/>
          </w:tcPr>
          <w:p w14:paraId="5028E2DA" w14:textId="77777777" w:rsidR="004949CA" w:rsidRPr="00086B1D" w:rsidRDefault="004949CA" w:rsidP="00331A63">
            <w:pPr>
              <w:pStyle w:val="Tijeloteksta"/>
              <w:spacing w:before="0" w:after="0"/>
              <w:rPr>
                <w:rFonts w:cs="Tahoma"/>
                <w:sz w:val="18"/>
                <w:szCs w:val="18"/>
              </w:rPr>
            </w:pPr>
          </w:p>
        </w:tc>
        <w:tc>
          <w:tcPr>
            <w:tcW w:w="0" w:type="pct"/>
            <w:tcBorders>
              <w:bottom w:val="single" w:sz="12" w:space="0" w:color="666666"/>
            </w:tcBorders>
          </w:tcPr>
          <w:p w14:paraId="4B93A45B"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086B1D">
              <w:rPr>
                <w:rFonts w:cs="Tahoma"/>
                <w:b/>
                <w:bCs/>
                <w:i/>
                <w:iCs/>
                <w:sz w:val="18"/>
                <w:szCs w:val="18"/>
                <w:lang w:eastAsia="en-GB"/>
              </w:rPr>
              <w:t>Kontinentalna</w:t>
            </w:r>
          </w:p>
        </w:tc>
        <w:tc>
          <w:tcPr>
            <w:tcW w:w="0" w:type="pct"/>
            <w:tcBorders>
              <w:bottom w:val="single" w:sz="12" w:space="0" w:color="666666"/>
            </w:tcBorders>
          </w:tcPr>
          <w:p w14:paraId="7A1504C2"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086B1D">
              <w:rPr>
                <w:rFonts w:cs="Tahoma"/>
                <w:b/>
                <w:bCs/>
                <w:i/>
                <w:iCs/>
                <w:sz w:val="18"/>
                <w:szCs w:val="18"/>
                <w:lang w:eastAsia="en-GB"/>
              </w:rPr>
              <w:t>Primorska</w:t>
            </w:r>
          </w:p>
        </w:tc>
        <w:tc>
          <w:tcPr>
            <w:tcW w:w="0" w:type="pct"/>
            <w:tcBorders>
              <w:top w:val="single" w:sz="12" w:space="0" w:color="767171" w:themeColor="background2" w:themeShade="80"/>
              <w:bottom w:val="single" w:sz="12" w:space="0" w:color="666666"/>
            </w:tcBorders>
          </w:tcPr>
          <w:p w14:paraId="13646E2E"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i/>
                <w:iCs/>
                <w:sz w:val="18"/>
                <w:szCs w:val="18"/>
                <w:lang w:eastAsia="en-GB"/>
              </w:rPr>
            </w:pPr>
            <w:r w:rsidRPr="00086B1D">
              <w:rPr>
                <w:rFonts w:cs="Tahoma"/>
                <w:b/>
                <w:bCs/>
                <w:i/>
                <w:iCs/>
                <w:sz w:val="18"/>
                <w:szCs w:val="18"/>
                <w:lang w:eastAsia="en-GB"/>
              </w:rPr>
              <w:t>Kontinentalna</w:t>
            </w:r>
          </w:p>
        </w:tc>
        <w:tc>
          <w:tcPr>
            <w:tcW w:w="0" w:type="pct"/>
            <w:tcBorders>
              <w:top w:val="single" w:sz="12" w:space="0" w:color="767171" w:themeColor="background2" w:themeShade="80"/>
              <w:bottom w:val="single" w:sz="12" w:space="0" w:color="666666"/>
            </w:tcBorders>
          </w:tcPr>
          <w:p w14:paraId="0EE39D2D" w14:textId="77777777" w:rsidR="004949CA" w:rsidRPr="00086B1D" w:rsidRDefault="004949CA" w:rsidP="00331A63">
            <w:pPr>
              <w:pStyle w:val="Tijeloteksta"/>
              <w:spacing w:before="0" w:after="0"/>
              <w:jc w:val="center"/>
              <w:cnfStyle w:val="000000000000" w:firstRow="0" w:lastRow="0" w:firstColumn="0" w:lastColumn="0" w:oddVBand="0" w:evenVBand="0" w:oddHBand="0" w:evenHBand="0" w:firstRowFirstColumn="0" w:firstRowLastColumn="0" w:lastRowFirstColumn="0" w:lastRowLastColumn="0"/>
              <w:rPr>
                <w:rFonts w:cs="Tahoma"/>
                <w:b/>
                <w:bCs/>
                <w:i/>
                <w:iCs/>
                <w:sz w:val="18"/>
                <w:szCs w:val="18"/>
                <w:lang w:eastAsia="en-GB"/>
              </w:rPr>
            </w:pPr>
            <w:r w:rsidRPr="00086B1D">
              <w:rPr>
                <w:rFonts w:cs="Tahoma"/>
                <w:b/>
                <w:bCs/>
                <w:i/>
                <w:iCs/>
                <w:sz w:val="18"/>
                <w:szCs w:val="18"/>
                <w:lang w:eastAsia="en-GB"/>
              </w:rPr>
              <w:t>Primorska</w:t>
            </w:r>
          </w:p>
        </w:tc>
      </w:tr>
      <w:tr w:rsidR="004949CA" w:rsidRPr="00086B1D" w14:paraId="260129DB"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334B5AB2" w14:textId="77777777" w:rsidR="004949CA" w:rsidRPr="00086B1D" w:rsidRDefault="004949CA" w:rsidP="00331A63">
            <w:pPr>
              <w:pStyle w:val="Tijeloteksta"/>
              <w:spacing w:before="0" w:after="0"/>
              <w:rPr>
                <w:rFonts w:cs="Tahoma"/>
                <w:sz w:val="18"/>
                <w:szCs w:val="18"/>
              </w:rPr>
            </w:pPr>
            <w:r w:rsidRPr="00086B1D">
              <w:rPr>
                <w:rFonts w:cs="Tahoma"/>
                <w:sz w:val="18"/>
                <w:szCs w:val="18"/>
              </w:rPr>
              <w:t>&gt;1945</w:t>
            </w:r>
          </w:p>
        </w:tc>
        <w:tc>
          <w:tcPr>
            <w:tcW w:w="0" w:type="pct"/>
            <w:vAlign w:val="bottom"/>
          </w:tcPr>
          <w:p w14:paraId="6CE32B1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176</w:t>
            </w:r>
          </w:p>
        </w:tc>
        <w:tc>
          <w:tcPr>
            <w:tcW w:w="0" w:type="pct"/>
            <w:vAlign w:val="bottom"/>
          </w:tcPr>
          <w:p w14:paraId="61F8F5A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127</w:t>
            </w:r>
          </w:p>
        </w:tc>
        <w:tc>
          <w:tcPr>
            <w:tcW w:w="0" w:type="pct"/>
            <w:vAlign w:val="bottom"/>
          </w:tcPr>
          <w:p w14:paraId="26F61CC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161</w:t>
            </w:r>
          </w:p>
        </w:tc>
        <w:tc>
          <w:tcPr>
            <w:tcW w:w="0" w:type="pct"/>
            <w:vAlign w:val="bottom"/>
          </w:tcPr>
          <w:p w14:paraId="4ABBE9B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99</w:t>
            </w:r>
          </w:p>
        </w:tc>
      </w:tr>
      <w:tr w:rsidR="004949CA" w:rsidRPr="00086B1D" w14:paraId="27859472"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15AF8862" w14:textId="77777777" w:rsidR="004949CA" w:rsidRPr="00086B1D" w:rsidRDefault="004949CA" w:rsidP="00331A63">
            <w:pPr>
              <w:pStyle w:val="Tijeloteksta"/>
              <w:spacing w:before="0" w:after="0"/>
              <w:rPr>
                <w:rFonts w:cs="Tahoma"/>
                <w:sz w:val="18"/>
                <w:szCs w:val="18"/>
              </w:rPr>
            </w:pPr>
            <w:r w:rsidRPr="00086B1D">
              <w:rPr>
                <w:rFonts w:cs="Tahoma"/>
                <w:sz w:val="18"/>
                <w:szCs w:val="18"/>
              </w:rPr>
              <w:t>1945-1960</w:t>
            </w:r>
          </w:p>
        </w:tc>
        <w:tc>
          <w:tcPr>
            <w:tcW w:w="0" w:type="pct"/>
            <w:vAlign w:val="bottom"/>
          </w:tcPr>
          <w:p w14:paraId="0A0FD89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258</w:t>
            </w:r>
          </w:p>
        </w:tc>
        <w:tc>
          <w:tcPr>
            <w:tcW w:w="0" w:type="pct"/>
            <w:vAlign w:val="bottom"/>
          </w:tcPr>
          <w:p w14:paraId="1CF3F8A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134</w:t>
            </w:r>
          </w:p>
        </w:tc>
        <w:tc>
          <w:tcPr>
            <w:tcW w:w="0" w:type="pct"/>
            <w:vAlign w:val="bottom"/>
          </w:tcPr>
          <w:p w14:paraId="569737E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158</w:t>
            </w:r>
          </w:p>
        </w:tc>
        <w:tc>
          <w:tcPr>
            <w:tcW w:w="0" w:type="pct"/>
            <w:vAlign w:val="bottom"/>
          </w:tcPr>
          <w:p w14:paraId="0248377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104</w:t>
            </w:r>
          </w:p>
        </w:tc>
      </w:tr>
      <w:tr w:rsidR="004949CA" w:rsidRPr="00086B1D" w14:paraId="4C04D778"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4A9CB1AE" w14:textId="77777777" w:rsidR="004949CA" w:rsidRPr="00086B1D" w:rsidRDefault="004949CA" w:rsidP="00331A63">
            <w:pPr>
              <w:pStyle w:val="Tijeloteksta"/>
              <w:spacing w:before="0" w:after="0"/>
              <w:rPr>
                <w:rFonts w:cs="Tahoma"/>
                <w:sz w:val="18"/>
                <w:szCs w:val="18"/>
              </w:rPr>
            </w:pPr>
            <w:r w:rsidRPr="00086B1D">
              <w:rPr>
                <w:rFonts w:cs="Tahoma"/>
                <w:sz w:val="18"/>
                <w:szCs w:val="18"/>
              </w:rPr>
              <w:t>1961-1970</w:t>
            </w:r>
          </w:p>
        </w:tc>
        <w:tc>
          <w:tcPr>
            <w:tcW w:w="0" w:type="pct"/>
            <w:vAlign w:val="bottom"/>
          </w:tcPr>
          <w:p w14:paraId="78595000"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216</w:t>
            </w:r>
          </w:p>
        </w:tc>
        <w:tc>
          <w:tcPr>
            <w:tcW w:w="0" w:type="pct"/>
            <w:vAlign w:val="bottom"/>
          </w:tcPr>
          <w:p w14:paraId="155F108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122</w:t>
            </w:r>
          </w:p>
        </w:tc>
        <w:tc>
          <w:tcPr>
            <w:tcW w:w="0" w:type="pct"/>
            <w:vAlign w:val="bottom"/>
          </w:tcPr>
          <w:p w14:paraId="7B08EC1E"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135</w:t>
            </w:r>
          </w:p>
        </w:tc>
        <w:tc>
          <w:tcPr>
            <w:tcW w:w="0" w:type="pct"/>
            <w:vAlign w:val="bottom"/>
          </w:tcPr>
          <w:p w14:paraId="20573123"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93</w:t>
            </w:r>
          </w:p>
        </w:tc>
      </w:tr>
      <w:tr w:rsidR="004949CA" w:rsidRPr="00086B1D" w14:paraId="1DA60648"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70CAE292" w14:textId="77777777" w:rsidR="004949CA" w:rsidRPr="00086B1D" w:rsidRDefault="004949CA" w:rsidP="00331A63">
            <w:pPr>
              <w:pStyle w:val="Tijeloteksta"/>
              <w:spacing w:before="0" w:after="0"/>
              <w:rPr>
                <w:rFonts w:cs="Tahoma"/>
                <w:sz w:val="18"/>
                <w:szCs w:val="18"/>
              </w:rPr>
            </w:pPr>
            <w:r w:rsidRPr="00086B1D">
              <w:rPr>
                <w:rFonts w:cs="Tahoma"/>
                <w:sz w:val="18"/>
                <w:szCs w:val="18"/>
              </w:rPr>
              <w:t>1971-1980</w:t>
            </w:r>
          </w:p>
        </w:tc>
        <w:tc>
          <w:tcPr>
            <w:tcW w:w="0" w:type="pct"/>
            <w:vAlign w:val="bottom"/>
          </w:tcPr>
          <w:p w14:paraId="3262DBEC"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196</w:t>
            </w:r>
          </w:p>
        </w:tc>
        <w:tc>
          <w:tcPr>
            <w:tcW w:w="0" w:type="pct"/>
            <w:vAlign w:val="bottom"/>
          </w:tcPr>
          <w:p w14:paraId="159BC15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94</w:t>
            </w:r>
          </w:p>
        </w:tc>
        <w:tc>
          <w:tcPr>
            <w:tcW w:w="0" w:type="pct"/>
            <w:vAlign w:val="bottom"/>
          </w:tcPr>
          <w:p w14:paraId="1354902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124</w:t>
            </w:r>
          </w:p>
        </w:tc>
        <w:tc>
          <w:tcPr>
            <w:tcW w:w="0" w:type="pct"/>
            <w:vAlign w:val="bottom"/>
          </w:tcPr>
          <w:p w14:paraId="2E2A08F2"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93</w:t>
            </w:r>
          </w:p>
        </w:tc>
      </w:tr>
      <w:tr w:rsidR="004949CA" w:rsidRPr="00086B1D" w14:paraId="1C8CB6D5"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054BADE2" w14:textId="77777777" w:rsidR="004949CA" w:rsidRPr="00086B1D" w:rsidRDefault="004949CA" w:rsidP="00331A63">
            <w:pPr>
              <w:pStyle w:val="Tijeloteksta"/>
              <w:spacing w:before="0" w:after="0"/>
              <w:rPr>
                <w:rFonts w:cs="Tahoma"/>
                <w:sz w:val="18"/>
                <w:szCs w:val="18"/>
              </w:rPr>
            </w:pPr>
            <w:r w:rsidRPr="00086B1D">
              <w:rPr>
                <w:rFonts w:cs="Tahoma"/>
                <w:sz w:val="18"/>
                <w:szCs w:val="18"/>
              </w:rPr>
              <w:t>1981-1990</w:t>
            </w:r>
          </w:p>
        </w:tc>
        <w:tc>
          <w:tcPr>
            <w:tcW w:w="0" w:type="pct"/>
            <w:vAlign w:val="bottom"/>
          </w:tcPr>
          <w:p w14:paraId="435A73A5"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155</w:t>
            </w:r>
          </w:p>
        </w:tc>
        <w:tc>
          <w:tcPr>
            <w:tcW w:w="0" w:type="pct"/>
            <w:vAlign w:val="bottom"/>
          </w:tcPr>
          <w:p w14:paraId="001351CB"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77</w:t>
            </w:r>
          </w:p>
        </w:tc>
        <w:tc>
          <w:tcPr>
            <w:tcW w:w="0" w:type="pct"/>
            <w:vAlign w:val="bottom"/>
          </w:tcPr>
          <w:p w14:paraId="00358BD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107</w:t>
            </w:r>
          </w:p>
        </w:tc>
        <w:tc>
          <w:tcPr>
            <w:tcW w:w="0" w:type="pct"/>
            <w:vAlign w:val="bottom"/>
          </w:tcPr>
          <w:p w14:paraId="2142D90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80</w:t>
            </w:r>
          </w:p>
        </w:tc>
      </w:tr>
      <w:tr w:rsidR="004949CA" w:rsidRPr="00086B1D" w14:paraId="7946DC68"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5D4ECD43" w14:textId="77777777" w:rsidR="004949CA" w:rsidRPr="00086B1D" w:rsidRDefault="004949CA" w:rsidP="00331A63">
            <w:pPr>
              <w:pStyle w:val="Tijeloteksta"/>
              <w:spacing w:before="0" w:after="0"/>
              <w:rPr>
                <w:rFonts w:cs="Tahoma"/>
                <w:sz w:val="18"/>
                <w:szCs w:val="18"/>
              </w:rPr>
            </w:pPr>
            <w:r w:rsidRPr="00086B1D">
              <w:rPr>
                <w:rFonts w:cs="Tahoma"/>
                <w:sz w:val="18"/>
                <w:szCs w:val="18"/>
              </w:rPr>
              <w:t>1991-2000</w:t>
            </w:r>
          </w:p>
        </w:tc>
        <w:tc>
          <w:tcPr>
            <w:tcW w:w="0" w:type="pct"/>
            <w:vAlign w:val="bottom"/>
          </w:tcPr>
          <w:p w14:paraId="332572E9"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125</w:t>
            </w:r>
          </w:p>
        </w:tc>
        <w:tc>
          <w:tcPr>
            <w:tcW w:w="0" w:type="pct"/>
            <w:vAlign w:val="bottom"/>
          </w:tcPr>
          <w:p w14:paraId="3EB619E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83</w:t>
            </w:r>
          </w:p>
        </w:tc>
        <w:tc>
          <w:tcPr>
            <w:tcW w:w="0" w:type="pct"/>
            <w:vAlign w:val="bottom"/>
          </w:tcPr>
          <w:p w14:paraId="6B0BA04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86</w:t>
            </w:r>
          </w:p>
        </w:tc>
        <w:tc>
          <w:tcPr>
            <w:tcW w:w="0" w:type="pct"/>
            <w:vAlign w:val="bottom"/>
          </w:tcPr>
          <w:p w14:paraId="3810D84D"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71</w:t>
            </w:r>
          </w:p>
        </w:tc>
      </w:tr>
      <w:tr w:rsidR="004949CA" w:rsidRPr="00086B1D" w14:paraId="6F4F2F87"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2E828B33" w14:textId="77777777" w:rsidR="004949CA" w:rsidRPr="00086B1D" w:rsidRDefault="004949CA" w:rsidP="00331A63">
            <w:pPr>
              <w:pStyle w:val="Tijeloteksta"/>
              <w:spacing w:before="0" w:after="0"/>
              <w:rPr>
                <w:rFonts w:cs="Tahoma"/>
                <w:sz w:val="18"/>
                <w:szCs w:val="18"/>
              </w:rPr>
            </w:pPr>
            <w:r w:rsidRPr="00086B1D">
              <w:rPr>
                <w:rFonts w:cs="Tahoma"/>
                <w:sz w:val="18"/>
                <w:szCs w:val="18"/>
              </w:rPr>
              <w:t>2001-2005</w:t>
            </w:r>
          </w:p>
        </w:tc>
        <w:tc>
          <w:tcPr>
            <w:tcW w:w="0" w:type="pct"/>
            <w:vAlign w:val="bottom"/>
          </w:tcPr>
          <w:p w14:paraId="61230276"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118</w:t>
            </w:r>
          </w:p>
        </w:tc>
        <w:tc>
          <w:tcPr>
            <w:tcW w:w="0" w:type="pct"/>
            <w:vAlign w:val="bottom"/>
          </w:tcPr>
          <w:p w14:paraId="17224807"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69</w:t>
            </w:r>
          </w:p>
        </w:tc>
        <w:tc>
          <w:tcPr>
            <w:tcW w:w="0" w:type="pct"/>
            <w:vAlign w:val="bottom"/>
          </w:tcPr>
          <w:p w14:paraId="1932023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72</w:t>
            </w:r>
          </w:p>
        </w:tc>
        <w:tc>
          <w:tcPr>
            <w:tcW w:w="0" w:type="pct"/>
            <w:vAlign w:val="bottom"/>
          </w:tcPr>
          <w:p w14:paraId="2E8CEC3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59</w:t>
            </w:r>
          </w:p>
        </w:tc>
      </w:tr>
      <w:tr w:rsidR="004949CA" w:rsidRPr="00086B1D" w14:paraId="0332C38D"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4BDF52AA" w14:textId="77777777" w:rsidR="004949CA" w:rsidRPr="00086B1D" w:rsidRDefault="004949CA" w:rsidP="00331A63">
            <w:pPr>
              <w:pStyle w:val="Tijeloteksta"/>
              <w:spacing w:before="0" w:after="0"/>
              <w:rPr>
                <w:rFonts w:cs="Tahoma"/>
                <w:sz w:val="18"/>
                <w:szCs w:val="18"/>
              </w:rPr>
            </w:pPr>
            <w:r w:rsidRPr="00086B1D">
              <w:rPr>
                <w:rFonts w:cs="Tahoma"/>
                <w:sz w:val="18"/>
                <w:szCs w:val="18"/>
              </w:rPr>
              <w:t>2006-2010</w:t>
            </w:r>
          </w:p>
        </w:tc>
        <w:tc>
          <w:tcPr>
            <w:tcW w:w="0" w:type="pct"/>
            <w:vAlign w:val="bottom"/>
          </w:tcPr>
          <w:p w14:paraId="5173311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86</w:t>
            </w:r>
          </w:p>
        </w:tc>
        <w:tc>
          <w:tcPr>
            <w:tcW w:w="0" w:type="pct"/>
          </w:tcPr>
          <w:p w14:paraId="4B2EA6A1"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56</w:t>
            </w:r>
          </w:p>
        </w:tc>
        <w:tc>
          <w:tcPr>
            <w:tcW w:w="0" w:type="pct"/>
            <w:vAlign w:val="bottom"/>
          </w:tcPr>
          <w:p w14:paraId="57BB4A93"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53</w:t>
            </w:r>
          </w:p>
        </w:tc>
        <w:tc>
          <w:tcPr>
            <w:tcW w:w="0" w:type="pct"/>
            <w:vAlign w:val="bottom"/>
          </w:tcPr>
          <w:p w14:paraId="4728CC4F"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46</w:t>
            </w:r>
          </w:p>
        </w:tc>
      </w:tr>
      <w:tr w:rsidR="004949CA" w:rsidRPr="00086B1D" w14:paraId="2EBBA754" w14:textId="77777777" w:rsidTr="638C4C38">
        <w:tc>
          <w:tcPr>
            <w:cnfStyle w:val="001000000000" w:firstRow="0" w:lastRow="0" w:firstColumn="1" w:lastColumn="0" w:oddVBand="0" w:evenVBand="0" w:oddHBand="0" w:evenHBand="0" w:firstRowFirstColumn="0" w:firstRowLastColumn="0" w:lastRowFirstColumn="0" w:lastRowLastColumn="0"/>
            <w:tcW w:w="0" w:type="pct"/>
            <w:vAlign w:val="bottom"/>
          </w:tcPr>
          <w:p w14:paraId="4D84AB53" w14:textId="77777777" w:rsidR="004949CA" w:rsidRPr="00086B1D" w:rsidRDefault="004949CA" w:rsidP="00331A63">
            <w:pPr>
              <w:pStyle w:val="Tijeloteksta"/>
              <w:spacing w:before="0" w:after="0"/>
              <w:rPr>
                <w:rFonts w:cs="Tahoma"/>
                <w:sz w:val="18"/>
                <w:szCs w:val="18"/>
              </w:rPr>
            </w:pPr>
            <w:r w:rsidRPr="00086B1D">
              <w:rPr>
                <w:rFonts w:cs="Tahoma"/>
                <w:sz w:val="18"/>
                <w:szCs w:val="18"/>
              </w:rPr>
              <w:t>2011-2019</w:t>
            </w:r>
          </w:p>
        </w:tc>
        <w:tc>
          <w:tcPr>
            <w:tcW w:w="0" w:type="pct"/>
            <w:vAlign w:val="bottom"/>
          </w:tcPr>
          <w:p w14:paraId="75AD645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70</w:t>
            </w:r>
          </w:p>
        </w:tc>
        <w:tc>
          <w:tcPr>
            <w:tcW w:w="0" w:type="pct"/>
          </w:tcPr>
          <w:p w14:paraId="17EF88F8"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40</w:t>
            </w:r>
          </w:p>
        </w:tc>
        <w:tc>
          <w:tcPr>
            <w:tcW w:w="0" w:type="pct"/>
            <w:vAlign w:val="bottom"/>
          </w:tcPr>
          <w:p w14:paraId="5B665574"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62</w:t>
            </w:r>
          </w:p>
        </w:tc>
        <w:tc>
          <w:tcPr>
            <w:tcW w:w="0" w:type="pct"/>
            <w:vAlign w:val="bottom"/>
          </w:tcPr>
          <w:p w14:paraId="7FE9284A" w14:textId="77777777" w:rsidR="004949CA" w:rsidRPr="00086B1D" w:rsidRDefault="004949CA" w:rsidP="00331A63">
            <w:pPr>
              <w:pStyle w:val="Tijeloteksta"/>
              <w:spacing w:before="0" w:after="0"/>
              <w:jc w:val="right"/>
              <w:cnfStyle w:val="000000000000" w:firstRow="0" w:lastRow="0" w:firstColumn="0" w:lastColumn="0" w:oddVBand="0" w:evenVBand="0" w:oddHBand="0" w:evenHBand="0" w:firstRowFirstColumn="0" w:firstRowLastColumn="0" w:lastRowFirstColumn="0" w:lastRowLastColumn="0"/>
              <w:rPr>
                <w:rFonts w:cs="Tahoma"/>
                <w:b/>
                <w:bCs/>
                <w:sz w:val="18"/>
                <w:szCs w:val="18"/>
              </w:rPr>
            </w:pPr>
            <w:r w:rsidRPr="00086B1D">
              <w:rPr>
                <w:rFonts w:cs="Tahoma"/>
                <w:b/>
                <w:bCs/>
                <w:sz w:val="18"/>
                <w:szCs w:val="18"/>
              </w:rPr>
              <w:t>34</w:t>
            </w:r>
          </w:p>
        </w:tc>
      </w:tr>
    </w:tbl>
    <w:p w14:paraId="700F1283" w14:textId="30DD9B2A" w:rsidR="004949CA" w:rsidRPr="00086B1D" w:rsidRDefault="004949CA" w:rsidP="479139E7">
      <w:pPr>
        <w:pStyle w:val="Tijeloteksta"/>
        <w:rPr>
          <w:rFonts w:cs="Tahoma"/>
        </w:rPr>
      </w:pPr>
      <w:r w:rsidRPr="479139E7">
        <w:rPr>
          <w:rFonts w:cs="Tahoma"/>
        </w:rPr>
        <w:t>Prema prosječnim vrijednostima, prikazanima u gornjoj tablici, VSZ izgrađene prije 1991. godine u kontinentalnoj Hrvatskoj, u pravilu ulaze u energetski razred D ili gori (</w:t>
      </w:r>
      <w:proofErr w:type="spellStart"/>
      <w:r w:rsidRPr="479139E7">
        <w:rPr>
          <w:rFonts w:cs="Tahoma"/>
        </w:rPr>
        <w:t>Q</w:t>
      </w:r>
      <w:bookmarkStart w:id="81" w:name="_Hlk86415517"/>
      <w:r w:rsidR="61AEF95A" w:rsidRPr="479139E7">
        <w:rPr>
          <w:rFonts w:cs="Tahoma"/>
        </w:rPr>
        <w:t>”</w:t>
      </w:r>
      <w:bookmarkEnd w:id="81"/>
      <w:r w:rsidRPr="479139E7">
        <w:rPr>
          <w:rFonts w:cs="Tahoma"/>
          <w:vertAlign w:val="subscript"/>
        </w:rPr>
        <w:t>H,nd</w:t>
      </w:r>
      <w:proofErr w:type="spellEnd"/>
      <w:r w:rsidRPr="479139E7">
        <w:rPr>
          <w:rFonts w:cs="Tahoma"/>
          <w:vertAlign w:val="subscript"/>
        </w:rPr>
        <w:t xml:space="preserve"> </w:t>
      </w:r>
      <w:r w:rsidRPr="479139E7">
        <w:rPr>
          <w:rFonts w:cs="Tahoma"/>
        </w:rPr>
        <w:t xml:space="preserve">&gt; 100), dok u primorskoj </w:t>
      </w:r>
      <w:r w:rsidRPr="479139E7">
        <w:rPr>
          <w:rFonts w:cs="Tahoma"/>
        </w:rPr>
        <w:lastRenderedPageBreak/>
        <w:t>Hrvatskoj VSZ izgrađene prije 2006. ulaze u energetski razred C ili gori (</w:t>
      </w:r>
      <w:proofErr w:type="spellStart"/>
      <w:r w:rsidRPr="479139E7">
        <w:rPr>
          <w:rFonts w:cs="Tahoma"/>
        </w:rPr>
        <w:t>Q</w:t>
      </w:r>
      <w:r w:rsidR="25E57FE5" w:rsidRPr="479139E7">
        <w:rPr>
          <w:rFonts w:cs="Tahoma"/>
        </w:rPr>
        <w:t>”</w:t>
      </w:r>
      <w:r w:rsidRPr="479139E7">
        <w:rPr>
          <w:rFonts w:cs="Tahoma"/>
          <w:vertAlign w:val="subscript"/>
        </w:rPr>
        <w:t>H,nd</w:t>
      </w:r>
      <w:proofErr w:type="spellEnd"/>
      <w:r w:rsidRPr="479139E7">
        <w:rPr>
          <w:rFonts w:cs="Tahoma"/>
        </w:rPr>
        <w:t xml:space="preserve"> &gt; 50) pa je razvidno da velika većina fonda VSZ ulazi u zgrade s najlošijim energetskim karakteristikama. Ipak, pretpostavit će se da će, u pravilu, samo VSZ izgrađene prije 2006. godine doista i ići u obnovu.  </w:t>
      </w:r>
    </w:p>
    <w:p w14:paraId="0D4612FF" w14:textId="2E92C1C9" w:rsidR="004949CA" w:rsidRPr="00086B1D" w:rsidRDefault="0C3F4C7D" w:rsidP="003C5F70">
      <w:pPr>
        <w:jc w:val="both"/>
        <w:rPr>
          <w:rFonts w:ascii="Tahoma" w:hAnsi="Tahoma" w:cs="Tahoma"/>
          <w:sz w:val="20"/>
          <w:szCs w:val="20"/>
          <w:lang w:eastAsia="hr-HR"/>
        </w:rPr>
      </w:pPr>
      <w:r w:rsidRPr="00086B1D">
        <w:rPr>
          <w:rFonts w:ascii="Tahoma" w:hAnsi="Tahoma" w:cs="Tahoma"/>
          <w:sz w:val="20"/>
          <w:szCs w:val="20"/>
          <w:lang w:eastAsia="hr-HR"/>
        </w:rPr>
        <w:t>Rezultate dodatne, detaljnije analize prikazuje</w:t>
      </w:r>
      <w:r w:rsidR="5E631507">
        <w:rPr>
          <w:rFonts w:ascii="Tahoma" w:hAnsi="Tahoma" w:cs="Tahoma"/>
          <w:sz w:val="20"/>
          <w:szCs w:val="20"/>
          <w:lang w:eastAsia="hr-HR"/>
        </w:rPr>
        <w:t xml:space="preserve"> </w:t>
      </w:r>
      <w:r w:rsidR="00367566">
        <w:rPr>
          <w:rFonts w:ascii="Tahoma" w:hAnsi="Tahoma" w:cs="Tahoma"/>
          <w:sz w:val="20"/>
          <w:szCs w:val="20"/>
          <w:lang w:eastAsia="hr-HR"/>
        </w:rPr>
        <w:fldChar w:fldCharType="begin"/>
      </w:r>
      <w:r w:rsidR="00367566">
        <w:rPr>
          <w:rFonts w:ascii="Tahoma" w:hAnsi="Tahoma" w:cs="Tahoma"/>
          <w:sz w:val="20"/>
          <w:szCs w:val="20"/>
          <w:lang w:eastAsia="hr-HR"/>
        </w:rPr>
        <w:instrText xml:space="preserve"> REF _Ref83115101 \h </w:instrText>
      </w:r>
      <w:r w:rsidR="00367566">
        <w:rPr>
          <w:rFonts w:ascii="Tahoma" w:hAnsi="Tahoma" w:cs="Tahoma"/>
          <w:sz w:val="20"/>
          <w:szCs w:val="20"/>
          <w:lang w:eastAsia="hr-HR"/>
        </w:rPr>
      </w:r>
      <w:r w:rsidR="00367566">
        <w:rPr>
          <w:rFonts w:ascii="Tahoma" w:hAnsi="Tahoma" w:cs="Tahoma"/>
          <w:sz w:val="20"/>
          <w:szCs w:val="20"/>
          <w:lang w:eastAsia="hr-HR"/>
        </w:rPr>
        <w:fldChar w:fldCharType="separate"/>
      </w:r>
      <w:r w:rsidR="5E631507" w:rsidRPr="00DE7F43">
        <w:t xml:space="preserve">Tablica </w:t>
      </w:r>
      <w:r w:rsidR="5E631507">
        <w:rPr>
          <w:noProof/>
        </w:rPr>
        <w:t>3</w:t>
      </w:r>
      <w:r w:rsidR="00367566" w:rsidRPr="00DE7F43">
        <w:noBreakHyphen/>
      </w:r>
      <w:r w:rsidR="5E631507">
        <w:rPr>
          <w:noProof/>
        </w:rPr>
        <w:t>9</w:t>
      </w:r>
      <w:r w:rsidR="00367566">
        <w:rPr>
          <w:rFonts w:ascii="Tahoma" w:hAnsi="Tahoma" w:cs="Tahoma"/>
          <w:sz w:val="20"/>
          <w:szCs w:val="20"/>
          <w:lang w:eastAsia="hr-HR"/>
        </w:rPr>
        <w:fldChar w:fldCharType="end"/>
      </w:r>
      <w:r w:rsidR="004949CA" w:rsidRPr="00086B1D">
        <w:rPr>
          <w:rStyle w:val="Referencafusnote"/>
          <w:rFonts w:cs="Tahoma"/>
          <w:sz w:val="20"/>
          <w:szCs w:val="20"/>
        </w:rPr>
        <w:footnoteReference w:id="11"/>
      </w:r>
      <w:r w:rsidRPr="00086B1D">
        <w:rPr>
          <w:rFonts w:ascii="Tahoma" w:hAnsi="Tahoma" w:cs="Tahoma"/>
          <w:sz w:val="20"/>
          <w:szCs w:val="20"/>
          <w:lang w:eastAsia="hr-HR"/>
        </w:rPr>
        <w:t xml:space="preserve">. Preko 1/3 (34%) VSZ u kontinentalnoj Hrvatskoj spada u zgrade s najlošijim svojstvima, dok je u primorskoj Hrvatskoj takvih zgrada 30%. Ujedno, ove zgrade često imaju i loša konstrukcijska svojstva pa će za dobar dio njih biti potrebna i sveobuhvatna obnova.  </w:t>
      </w:r>
    </w:p>
    <w:p w14:paraId="54536739" w14:textId="4BC3F0D5" w:rsidR="004949CA" w:rsidRPr="00DE7F43" w:rsidRDefault="004949CA" w:rsidP="004949CA">
      <w:pPr>
        <w:pStyle w:val="Opisslike"/>
      </w:pPr>
      <w:bookmarkStart w:id="82" w:name="_Ref83115101"/>
      <w:bookmarkStart w:id="83" w:name="_Toc72081544"/>
      <w:bookmarkStart w:id="84" w:name="_Ref83113690"/>
      <w:bookmarkStart w:id="85" w:name="_Toc84240492"/>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9</w:t>
      </w:r>
      <w:r w:rsidRPr="00DE7F43">
        <w:rPr>
          <w:noProof/>
        </w:rPr>
        <w:fldChar w:fldCharType="end"/>
      </w:r>
      <w:bookmarkEnd w:id="82"/>
      <w:r w:rsidRPr="00DE7F43">
        <w:t xml:space="preserve">: Udio VSZ s najlošijim energetskim svojstvima u ukupnom fondu </w:t>
      </w:r>
      <w:bookmarkEnd w:id="83"/>
      <w:r w:rsidRPr="00DE7F43">
        <w:t>VSZ</w:t>
      </w:r>
      <w:bookmarkEnd w:id="84"/>
      <w:bookmarkEnd w:id="85"/>
    </w:p>
    <w:tbl>
      <w:tblPr>
        <w:tblStyle w:val="Svijetlatablicareetke110"/>
        <w:tblW w:w="0" w:type="auto"/>
        <w:tblLook w:val="04A0" w:firstRow="1" w:lastRow="0" w:firstColumn="1" w:lastColumn="0" w:noHBand="0" w:noVBand="1"/>
      </w:tblPr>
      <w:tblGrid>
        <w:gridCol w:w="1390"/>
        <w:gridCol w:w="822"/>
        <w:gridCol w:w="822"/>
        <w:gridCol w:w="822"/>
        <w:gridCol w:w="822"/>
        <w:gridCol w:w="822"/>
        <w:gridCol w:w="802"/>
        <w:gridCol w:w="802"/>
        <w:gridCol w:w="802"/>
        <w:gridCol w:w="1156"/>
      </w:tblGrid>
      <w:tr w:rsidR="004949CA" w:rsidRPr="00DE7F43" w14:paraId="0F334FFA"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ABE474" w14:textId="77777777" w:rsidR="004949CA" w:rsidRPr="00DE7F43" w:rsidRDefault="004949CA" w:rsidP="00331A63">
            <w:pPr>
              <w:rPr>
                <w:sz w:val="18"/>
                <w:szCs w:val="18"/>
              </w:rPr>
            </w:pPr>
            <w:r w:rsidRPr="00DE7F43">
              <w:rPr>
                <w:sz w:val="18"/>
                <w:szCs w:val="18"/>
              </w:rPr>
              <w:t>Energetski razred</w:t>
            </w:r>
          </w:p>
        </w:tc>
        <w:tc>
          <w:tcPr>
            <w:tcW w:w="0" w:type="dxa"/>
          </w:tcPr>
          <w:p w14:paraId="4367FB73"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A+</w:t>
            </w:r>
          </w:p>
        </w:tc>
        <w:tc>
          <w:tcPr>
            <w:tcW w:w="0" w:type="dxa"/>
          </w:tcPr>
          <w:p w14:paraId="0726454B"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A</w:t>
            </w:r>
          </w:p>
        </w:tc>
        <w:tc>
          <w:tcPr>
            <w:tcW w:w="0" w:type="dxa"/>
          </w:tcPr>
          <w:p w14:paraId="623D11E8"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B</w:t>
            </w:r>
          </w:p>
        </w:tc>
        <w:tc>
          <w:tcPr>
            <w:tcW w:w="0" w:type="dxa"/>
          </w:tcPr>
          <w:p w14:paraId="5BE4CBF1"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C</w:t>
            </w:r>
          </w:p>
        </w:tc>
        <w:tc>
          <w:tcPr>
            <w:tcW w:w="0" w:type="dxa"/>
          </w:tcPr>
          <w:p w14:paraId="7370D482"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D</w:t>
            </w:r>
          </w:p>
        </w:tc>
        <w:tc>
          <w:tcPr>
            <w:tcW w:w="0" w:type="dxa"/>
          </w:tcPr>
          <w:p w14:paraId="4A957803"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E</w:t>
            </w:r>
          </w:p>
        </w:tc>
        <w:tc>
          <w:tcPr>
            <w:tcW w:w="0" w:type="dxa"/>
          </w:tcPr>
          <w:p w14:paraId="6329DD6F"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F</w:t>
            </w:r>
          </w:p>
        </w:tc>
        <w:tc>
          <w:tcPr>
            <w:tcW w:w="0" w:type="dxa"/>
          </w:tcPr>
          <w:p w14:paraId="5820DD10"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G</w:t>
            </w:r>
          </w:p>
        </w:tc>
        <w:tc>
          <w:tcPr>
            <w:tcW w:w="0" w:type="dxa"/>
          </w:tcPr>
          <w:p w14:paraId="7FCDA4AC"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8"/>
                <w:szCs w:val="18"/>
              </w:rPr>
            </w:pPr>
            <w:r w:rsidRPr="00DE7F43">
              <w:rPr>
                <w:sz w:val="18"/>
                <w:szCs w:val="18"/>
              </w:rPr>
              <w:t>VSZ s najlošijim svojstvima ukupno</w:t>
            </w:r>
          </w:p>
        </w:tc>
      </w:tr>
      <w:tr w:rsidR="004949CA" w:rsidRPr="00DE7F43" w14:paraId="1DDF22A0" w14:textId="77777777" w:rsidTr="00331A63">
        <w:tc>
          <w:tcPr>
            <w:cnfStyle w:val="001000000000" w:firstRow="0" w:lastRow="0" w:firstColumn="1" w:lastColumn="0" w:oddVBand="0" w:evenVBand="0" w:oddHBand="0" w:evenHBand="0" w:firstRowFirstColumn="0" w:firstRowLastColumn="0" w:lastRowFirstColumn="0" w:lastRowLastColumn="0"/>
            <w:tcW w:w="0" w:type="dxa"/>
          </w:tcPr>
          <w:p w14:paraId="3E8FD61A" w14:textId="77777777" w:rsidR="004949CA" w:rsidRPr="00DE7F43" w:rsidRDefault="004949CA" w:rsidP="00331A63">
            <w:pPr>
              <w:rPr>
                <w:sz w:val="18"/>
                <w:szCs w:val="18"/>
              </w:rPr>
            </w:pPr>
            <w:r w:rsidRPr="00DE7F43">
              <w:rPr>
                <w:sz w:val="18"/>
                <w:szCs w:val="18"/>
              </w:rPr>
              <w:t>VSZ</w:t>
            </w:r>
          </w:p>
        </w:tc>
        <w:tc>
          <w:tcPr>
            <w:tcW w:w="0" w:type="dxa"/>
          </w:tcPr>
          <w:p w14:paraId="2F158AB3"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4,89%</w:t>
            </w:r>
          </w:p>
        </w:tc>
        <w:tc>
          <w:tcPr>
            <w:tcW w:w="0" w:type="dxa"/>
          </w:tcPr>
          <w:p w14:paraId="6876B40A"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20,70%</w:t>
            </w:r>
          </w:p>
        </w:tc>
        <w:tc>
          <w:tcPr>
            <w:tcW w:w="0" w:type="dxa"/>
          </w:tcPr>
          <w:p w14:paraId="2CE5DA9F"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29,30%</w:t>
            </w:r>
          </w:p>
        </w:tc>
        <w:tc>
          <w:tcPr>
            <w:tcW w:w="0" w:type="dxa"/>
          </w:tcPr>
          <w:p w14:paraId="0900CA53"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21,40%</w:t>
            </w:r>
          </w:p>
        </w:tc>
        <w:tc>
          <w:tcPr>
            <w:tcW w:w="0" w:type="dxa"/>
          </w:tcPr>
          <w:p w14:paraId="7E5E8D58"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15,28%</w:t>
            </w:r>
          </w:p>
        </w:tc>
        <w:tc>
          <w:tcPr>
            <w:tcW w:w="0" w:type="dxa"/>
          </w:tcPr>
          <w:p w14:paraId="0C6155D8"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5,80%</w:t>
            </w:r>
          </w:p>
        </w:tc>
        <w:tc>
          <w:tcPr>
            <w:tcW w:w="0" w:type="dxa"/>
          </w:tcPr>
          <w:p w14:paraId="0D26F01A"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2,03%</w:t>
            </w:r>
          </w:p>
        </w:tc>
        <w:tc>
          <w:tcPr>
            <w:tcW w:w="0" w:type="dxa"/>
          </w:tcPr>
          <w:p w14:paraId="29D5C481"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0,60%</w:t>
            </w:r>
          </w:p>
        </w:tc>
        <w:tc>
          <w:tcPr>
            <w:tcW w:w="0" w:type="dxa"/>
          </w:tcPr>
          <w:p w14:paraId="08E03F0A"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p>
        </w:tc>
      </w:tr>
      <w:tr w:rsidR="004949CA" w:rsidRPr="00DE7F43" w14:paraId="5512920B" w14:textId="77777777" w:rsidTr="00331A63">
        <w:tc>
          <w:tcPr>
            <w:cnfStyle w:val="001000000000" w:firstRow="0" w:lastRow="0" w:firstColumn="1" w:lastColumn="0" w:oddVBand="0" w:evenVBand="0" w:oddHBand="0" w:evenHBand="0" w:firstRowFirstColumn="0" w:firstRowLastColumn="0" w:lastRowFirstColumn="0" w:lastRowLastColumn="0"/>
            <w:tcW w:w="1429" w:type="dxa"/>
          </w:tcPr>
          <w:p w14:paraId="14400C40" w14:textId="77777777" w:rsidR="004949CA" w:rsidRPr="00DE7F43" w:rsidRDefault="004949CA" w:rsidP="00331A63">
            <w:pPr>
              <w:rPr>
                <w:b w:val="0"/>
                <w:bCs w:val="0"/>
                <w:sz w:val="18"/>
                <w:szCs w:val="18"/>
              </w:rPr>
            </w:pPr>
            <w:r w:rsidRPr="00DE7F43">
              <w:rPr>
                <w:b w:val="0"/>
                <w:bCs w:val="0"/>
                <w:sz w:val="18"/>
                <w:szCs w:val="18"/>
              </w:rPr>
              <w:t>Kontinentalna</w:t>
            </w:r>
          </w:p>
        </w:tc>
        <w:tc>
          <w:tcPr>
            <w:tcW w:w="840" w:type="dxa"/>
          </w:tcPr>
          <w:p w14:paraId="7822A899"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1,07%</w:t>
            </w:r>
          </w:p>
        </w:tc>
        <w:tc>
          <w:tcPr>
            <w:tcW w:w="840" w:type="dxa"/>
          </w:tcPr>
          <w:p w14:paraId="64AADC02"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11,50%</w:t>
            </w:r>
          </w:p>
        </w:tc>
        <w:tc>
          <w:tcPr>
            <w:tcW w:w="840" w:type="dxa"/>
          </w:tcPr>
          <w:p w14:paraId="09C71E42"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31,54%</w:t>
            </w:r>
          </w:p>
        </w:tc>
        <w:tc>
          <w:tcPr>
            <w:tcW w:w="840" w:type="dxa"/>
          </w:tcPr>
          <w:p w14:paraId="36E0822C"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22,02%</w:t>
            </w:r>
          </w:p>
        </w:tc>
        <w:tc>
          <w:tcPr>
            <w:tcW w:w="840" w:type="dxa"/>
            <w:shd w:val="clear" w:color="auto" w:fill="D0CECE" w:themeFill="background2" w:themeFillShade="E6"/>
          </w:tcPr>
          <w:p w14:paraId="5DEEB4AA"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20,53%</w:t>
            </w:r>
          </w:p>
        </w:tc>
        <w:tc>
          <w:tcPr>
            <w:tcW w:w="840" w:type="dxa"/>
            <w:shd w:val="clear" w:color="auto" w:fill="D0CECE" w:themeFill="background2" w:themeFillShade="E6"/>
          </w:tcPr>
          <w:p w14:paraId="2995C011"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9,00%</w:t>
            </w:r>
          </w:p>
        </w:tc>
        <w:tc>
          <w:tcPr>
            <w:tcW w:w="840" w:type="dxa"/>
            <w:shd w:val="clear" w:color="auto" w:fill="D0CECE" w:themeFill="background2" w:themeFillShade="E6"/>
          </w:tcPr>
          <w:p w14:paraId="70F60BA3"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3,37%</w:t>
            </w:r>
          </w:p>
        </w:tc>
        <w:tc>
          <w:tcPr>
            <w:tcW w:w="840" w:type="dxa"/>
            <w:shd w:val="clear" w:color="auto" w:fill="D0CECE" w:themeFill="background2" w:themeFillShade="E6"/>
          </w:tcPr>
          <w:p w14:paraId="2A2966A6"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0,97%</w:t>
            </w:r>
          </w:p>
        </w:tc>
        <w:tc>
          <w:tcPr>
            <w:tcW w:w="1195" w:type="dxa"/>
            <w:shd w:val="clear" w:color="auto" w:fill="D0CECE" w:themeFill="background2" w:themeFillShade="E6"/>
          </w:tcPr>
          <w:p w14:paraId="1153C0A7"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34%</w:t>
            </w:r>
          </w:p>
        </w:tc>
      </w:tr>
      <w:tr w:rsidR="004949CA" w:rsidRPr="00DE7F43" w14:paraId="5C907E37" w14:textId="77777777" w:rsidTr="00331A63">
        <w:tc>
          <w:tcPr>
            <w:cnfStyle w:val="001000000000" w:firstRow="0" w:lastRow="0" w:firstColumn="1" w:lastColumn="0" w:oddVBand="0" w:evenVBand="0" w:oddHBand="0" w:evenHBand="0" w:firstRowFirstColumn="0" w:firstRowLastColumn="0" w:lastRowFirstColumn="0" w:lastRowLastColumn="0"/>
            <w:tcW w:w="1429" w:type="dxa"/>
          </w:tcPr>
          <w:p w14:paraId="4479A5DC" w14:textId="77777777" w:rsidR="004949CA" w:rsidRPr="00DE7F43" w:rsidRDefault="004949CA" w:rsidP="00331A63">
            <w:pPr>
              <w:rPr>
                <w:b w:val="0"/>
                <w:bCs w:val="0"/>
                <w:sz w:val="18"/>
                <w:szCs w:val="18"/>
              </w:rPr>
            </w:pPr>
            <w:r w:rsidRPr="00DE7F43">
              <w:rPr>
                <w:b w:val="0"/>
                <w:bCs w:val="0"/>
                <w:sz w:val="18"/>
                <w:szCs w:val="18"/>
              </w:rPr>
              <w:t>Primorska</w:t>
            </w:r>
          </w:p>
        </w:tc>
        <w:tc>
          <w:tcPr>
            <w:tcW w:w="840" w:type="dxa"/>
          </w:tcPr>
          <w:p w14:paraId="09DCB80D"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10,29%</w:t>
            </w:r>
          </w:p>
        </w:tc>
        <w:tc>
          <w:tcPr>
            <w:tcW w:w="840" w:type="dxa"/>
          </w:tcPr>
          <w:p w14:paraId="738D7701"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33,70%</w:t>
            </w:r>
          </w:p>
        </w:tc>
        <w:tc>
          <w:tcPr>
            <w:tcW w:w="840" w:type="dxa"/>
          </w:tcPr>
          <w:p w14:paraId="151B489E"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21,14%</w:t>
            </w:r>
          </w:p>
        </w:tc>
        <w:tc>
          <w:tcPr>
            <w:tcW w:w="840" w:type="dxa"/>
            <w:shd w:val="clear" w:color="auto" w:fill="D0CECE" w:themeFill="background2" w:themeFillShade="E6"/>
          </w:tcPr>
          <w:p w14:paraId="52BD9490"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20,52%</w:t>
            </w:r>
          </w:p>
        </w:tc>
        <w:tc>
          <w:tcPr>
            <w:tcW w:w="840" w:type="dxa"/>
            <w:shd w:val="clear" w:color="auto" w:fill="D0CECE" w:themeFill="background2" w:themeFillShade="E6"/>
          </w:tcPr>
          <w:p w14:paraId="4DF936DF"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7,87%</w:t>
            </w:r>
          </w:p>
        </w:tc>
        <w:tc>
          <w:tcPr>
            <w:tcW w:w="840" w:type="dxa"/>
            <w:shd w:val="clear" w:color="auto" w:fill="D0CECE" w:themeFill="background2" w:themeFillShade="E6"/>
          </w:tcPr>
          <w:p w14:paraId="6CBAEBB1"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1,28%</w:t>
            </w:r>
          </w:p>
        </w:tc>
        <w:tc>
          <w:tcPr>
            <w:tcW w:w="840" w:type="dxa"/>
            <w:shd w:val="clear" w:color="auto" w:fill="D0CECE" w:themeFill="background2" w:themeFillShade="E6"/>
          </w:tcPr>
          <w:p w14:paraId="59F0C79B"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0,13%</w:t>
            </w:r>
          </w:p>
        </w:tc>
        <w:tc>
          <w:tcPr>
            <w:tcW w:w="840" w:type="dxa"/>
            <w:shd w:val="clear" w:color="auto" w:fill="D0CECE" w:themeFill="background2" w:themeFillShade="E6"/>
          </w:tcPr>
          <w:p w14:paraId="05266B24"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0,08%</w:t>
            </w:r>
          </w:p>
        </w:tc>
        <w:tc>
          <w:tcPr>
            <w:tcW w:w="1195" w:type="dxa"/>
            <w:shd w:val="clear" w:color="auto" w:fill="D0CECE" w:themeFill="background2" w:themeFillShade="E6"/>
          </w:tcPr>
          <w:p w14:paraId="2DE8F1C9"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sz w:val="18"/>
                <w:szCs w:val="18"/>
              </w:rPr>
            </w:pPr>
            <w:r w:rsidRPr="00DE7F43">
              <w:rPr>
                <w:sz w:val="18"/>
                <w:szCs w:val="18"/>
              </w:rPr>
              <w:t>30%</w:t>
            </w:r>
          </w:p>
        </w:tc>
      </w:tr>
    </w:tbl>
    <w:p w14:paraId="2E46E7C9" w14:textId="60AB7280" w:rsidR="004949CA" w:rsidRPr="00086B1D" w:rsidRDefault="009153BF" w:rsidP="00086B1D">
      <w:pPr>
        <w:jc w:val="both"/>
        <w:rPr>
          <w:rFonts w:ascii="Tahoma" w:hAnsi="Tahoma" w:cs="Tahoma"/>
          <w:sz w:val="20"/>
          <w:szCs w:val="20"/>
          <w:lang w:eastAsia="hr-HR"/>
        </w:rPr>
      </w:pPr>
      <w:r>
        <w:rPr>
          <w:rFonts w:ascii="Tahoma" w:hAnsi="Tahoma" w:cs="Tahoma"/>
          <w:sz w:val="20"/>
          <w:szCs w:val="20"/>
          <w:lang w:eastAsia="hr-HR"/>
        </w:rPr>
        <w:fldChar w:fldCharType="begin"/>
      </w:r>
      <w:r>
        <w:rPr>
          <w:rFonts w:ascii="Tahoma" w:hAnsi="Tahoma" w:cs="Tahoma"/>
          <w:sz w:val="20"/>
          <w:szCs w:val="20"/>
          <w:lang w:eastAsia="hr-HR"/>
        </w:rPr>
        <w:instrText xml:space="preserve"> REF _Ref83113721 \h </w:instrText>
      </w:r>
      <w:r>
        <w:rPr>
          <w:rFonts w:ascii="Tahoma" w:hAnsi="Tahoma" w:cs="Tahoma"/>
          <w:sz w:val="20"/>
          <w:szCs w:val="20"/>
          <w:lang w:eastAsia="hr-HR"/>
        </w:rPr>
      </w:r>
      <w:r>
        <w:rPr>
          <w:rFonts w:ascii="Tahoma" w:hAnsi="Tahoma" w:cs="Tahoma"/>
          <w:sz w:val="20"/>
          <w:szCs w:val="20"/>
          <w:lang w:eastAsia="hr-HR"/>
        </w:rPr>
        <w:fldChar w:fldCharType="separate"/>
      </w:r>
      <w:r w:rsidR="00E7069F" w:rsidRPr="00DE7F43">
        <w:t xml:space="preserve">Tablica </w:t>
      </w:r>
      <w:r w:rsidR="00E7069F">
        <w:rPr>
          <w:noProof/>
        </w:rPr>
        <w:t>3</w:t>
      </w:r>
      <w:r w:rsidR="00E7069F" w:rsidRPr="00DE7F43">
        <w:noBreakHyphen/>
      </w:r>
      <w:r w:rsidR="00E7069F">
        <w:rPr>
          <w:noProof/>
        </w:rPr>
        <w:t>10</w:t>
      </w:r>
      <w:r w:rsidR="00E7069F" w:rsidRPr="00DE7F43">
        <w:t xml:space="preserve">: Ciljane površine i stope obnove stambenih zgrada do 2030. godine prema Dugoročnoj strategiji </w:t>
      </w:r>
      <w:r>
        <w:rPr>
          <w:rFonts w:ascii="Tahoma" w:hAnsi="Tahoma" w:cs="Tahoma"/>
          <w:sz w:val="20"/>
          <w:szCs w:val="20"/>
          <w:lang w:eastAsia="hr-HR"/>
        </w:rPr>
        <w:fldChar w:fldCharType="end"/>
      </w:r>
      <w:r>
        <w:rPr>
          <w:rFonts w:ascii="Tahoma" w:hAnsi="Tahoma" w:cs="Tahoma"/>
          <w:sz w:val="20"/>
          <w:szCs w:val="20"/>
          <w:lang w:eastAsia="hr-HR"/>
        </w:rPr>
        <w:t xml:space="preserve"> </w:t>
      </w:r>
      <w:r w:rsidR="004949CA" w:rsidRPr="00086B1D">
        <w:rPr>
          <w:rFonts w:ascii="Tahoma" w:hAnsi="Tahoma" w:cs="Tahoma"/>
          <w:sz w:val="20"/>
          <w:szCs w:val="20"/>
          <w:lang w:eastAsia="hr-HR"/>
        </w:rPr>
        <w:t xml:space="preserve">jasno pokazuje kolike su potrebe i potencijali za energetskom, ali ovisno o konstrukcijskom stanju, i sveobuhvatnom obnovom VSZ. Naime, samo stambene zgrade koje su izgrađene iza 2012. godine zadovoljavaju važeće uvjete potresne otpornosti, dok je najveći dio ranije građenih zgrada znatno ugrožen, a pogotovo, kako je već istaknuto, onaj fond zgrada izgrađen prije 1963. godine. </w:t>
      </w:r>
    </w:p>
    <w:p w14:paraId="617FC437" w14:textId="77777777" w:rsidR="004949CA" w:rsidRPr="0091152F" w:rsidRDefault="004949CA" w:rsidP="004949CA">
      <w:pPr>
        <w:pStyle w:val="Naslov20"/>
      </w:pPr>
      <w:bookmarkStart w:id="86" w:name="_Toc72081600"/>
      <w:bookmarkStart w:id="87" w:name="_Toc81836279"/>
      <w:bookmarkStart w:id="88" w:name="_Toc83912051"/>
      <w:r w:rsidRPr="0091152F">
        <w:t>Simulacija uštede energije obnovom postojećih višestambenih zgrada u Republici Hrvatskoj</w:t>
      </w:r>
      <w:bookmarkEnd w:id="86"/>
      <w:bookmarkEnd w:id="87"/>
      <w:bookmarkEnd w:id="88"/>
    </w:p>
    <w:p w14:paraId="7D974BD1" w14:textId="0E0ABAF1" w:rsidR="004949CA" w:rsidRPr="00086B1D" w:rsidRDefault="0C3F4C7D" w:rsidP="00086B1D">
      <w:pPr>
        <w:jc w:val="both"/>
        <w:rPr>
          <w:rFonts w:ascii="Tahoma" w:hAnsi="Tahoma" w:cs="Tahoma"/>
          <w:sz w:val="20"/>
          <w:szCs w:val="20"/>
          <w:lang w:eastAsia="hr-HR"/>
        </w:rPr>
      </w:pPr>
      <w:r w:rsidRPr="00086B1D">
        <w:rPr>
          <w:rFonts w:ascii="Tahoma" w:hAnsi="Tahoma" w:cs="Tahoma"/>
          <w:sz w:val="20"/>
          <w:szCs w:val="20"/>
        </w:rPr>
        <w:t xml:space="preserve">Polazna pretpostavka u simulaciji ušteda energije obnovom postojećih VSZ jest </w:t>
      </w:r>
      <w:r w:rsidR="4E33E487" w:rsidRPr="00086B1D">
        <w:rPr>
          <w:rFonts w:ascii="Tahoma" w:hAnsi="Tahoma" w:cs="Tahoma"/>
          <w:sz w:val="20"/>
          <w:szCs w:val="20"/>
        </w:rPr>
        <w:t>ispunjavanje</w:t>
      </w:r>
      <w:r w:rsidRPr="00086B1D">
        <w:rPr>
          <w:rFonts w:ascii="Tahoma" w:hAnsi="Tahoma" w:cs="Tahoma"/>
          <w:sz w:val="20"/>
          <w:szCs w:val="20"/>
        </w:rPr>
        <w:t xml:space="preserve"> ciljeva koji su postavljeni u Dugoročnoj strategiji obnove fonda zgrada do 2050. godine, a koji podrazumijevaju postupno podizanje stope obnove do 3% godišnje u 2030. godini i zadržavanje te stope do 2050. godine, kako bi se do tada ostvario cilj energetski učinkovitog i </w:t>
      </w:r>
      <w:proofErr w:type="spellStart"/>
      <w:r w:rsidRPr="00086B1D">
        <w:rPr>
          <w:rFonts w:ascii="Tahoma" w:hAnsi="Tahoma" w:cs="Tahoma"/>
          <w:sz w:val="20"/>
          <w:szCs w:val="20"/>
        </w:rPr>
        <w:t>dekarboniziranog</w:t>
      </w:r>
      <w:proofErr w:type="spellEnd"/>
      <w:r w:rsidRPr="00086B1D">
        <w:rPr>
          <w:rFonts w:ascii="Tahoma" w:hAnsi="Tahoma" w:cs="Tahoma"/>
          <w:sz w:val="20"/>
          <w:szCs w:val="20"/>
        </w:rPr>
        <w:t xml:space="preserve"> fonda zgrada. </w:t>
      </w:r>
      <w:r w:rsidRPr="00086B1D">
        <w:rPr>
          <w:rFonts w:ascii="Tahoma" w:hAnsi="Tahoma" w:cs="Tahoma"/>
          <w:sz w:val="20"/>
          <w:szCs w:val="20"/>
          <w:lang w:eastAsia="hr-HR"/>
        </w:rPr>
        <w:t xml:space="preserve">Dugoročna strategija predviđa postupno povećanje stope obnove te obnovljene površine stambenih zgrada, koje prikazuje </w:t>
      </w:r>
      <w:r w:rsidR="00CE0F15">
        <w:rPr>
          <w:rFonts w:ascii="Tahoma" w:hAnsi="Tahoma" w:cs="Tahoma"/>
          <w:sz w:val="20"/>
          <w:szCs w:val="20"/>
          <w:lang w:eastAsia="hr-HR"/>
        </w:rPr>
        <w:fldChar w:fldCharType="begin"/>
      </w:r>
      <w:r w:rsidR="00CE0F15">
        <w:rPr>
          <w:rFonts w:ascii="Tahoma" w:hAnsi="Tahoma" w:cs="Tahoma"/>
          <w:sz w:val="20"/>
          <w:szCs w:val="20"/>
          <w:lang w:eastAsia="hr-HR"/>
        </w:rPr>
        <w:instrText xml:space="preserve"> REF _Ref83114315 \h </w:instrText>
      </w:r>
      <w:r w:rsidR="00CE0F15">
        <w:rPr>
          <w:rFonts w:ascii="Tahoma" w:hAnsi="Tahoma" w:cs="Tahoma"/>
          <w:sz w:val="20"/>
          <w:szCs w:val="20"/>
          <w:lang w:eastAsia="hr-HR"/>
        </w:rPr>
      </w:r>
      <w:r w:rsidR="00CE0F15">
        <w:rPr>
          <w:rFonts w:ascii="Tahoma" w:hAnsi="Tahoma" w:cs="Tahoma"/>
          <w:sz w:val="20"/>
          <w:szCs w:val="20"/>
          <w:lang w:eastAsia="hr-HR"/>
        </w:rPr>
        <w:fldChar w:fldCharType="separate"/>
      </w:r>
      <w:r w:rsidR="35D074BF" w:rsidRPr="00DE7F43">
        <w:t xml:space="preserve">Tablica </w:t>
      </w:r>
      <w:r w:rsidR="35D074BF">
        <w:rPr>
          <w:noProof/>
        </w:rPr>
        <w:t>3</w:t>
      </w:r>
      <w:r w:rsidR="00575AF9" w:rsidRPr="00DE7F43">
        <w:noBreakHyphen/>
      </w:r>
      <w:r w:rsidR="35D074BF">
        <w:rPr>
          <w:noProof/>
        </w:rPr>
        <w:t>10</w:t>
      </w:r>
      <w:r w:rsidR="00CE0F15">
        <w:rPr>
          <w:rFonts w:ascii="Tahoma" w:hAnsi="Tahoma" w:cs="Tahoma"/>
          <w:sz w:val="20"/>
          <w:szCs w:val="20"/>
          <w:lang w:eastAsia="hr-HR"/>
        </w:rPr>
        <w:fldChar w:fldCharType="end"/>
      </w:r>
      <w:r w:rsidR="004949CA" w:rsidRPr="00086B1D">
        <w:rPr>
          <w:rStyle w:val="Referencafusnote"/>
          <w:rFonts w:cs="Tahoma"/>
          <w:sz w:val="20"/>
          <w:szCs w:val="20"/>
        </w:rPr>
        <w:footnoteReference w:id="12"/>
      </w:r>
      <w:r w:rsidRPr="00086B1D">
        <w:rPr>
          <w:rFonts w:ascii="Tahoma" w:hAnsi="Tahoma" w:cs="Tahoma"/>
          <w:sz w:val="20"/>
          <w:szCs w:val="20"/>
          <w:lang w:eastAsia="hr-HR"/>
        </w:rPr>
        <w:t xml:space="preserve">. </w:t>
      </w:r>
    </w:p>
    <w:p w14:paraId="304488F6" w14:textId="7571B5F7" w:rsidR="004949CA" w:rsidRPr="00DE7F43" w:rsidRDefault="004949CA" w:rsidP="004949CA">
      <w:pPr>
        <w:pStyle w:val="Opisslike"/>
      </w:pPr>
      <w:bookmarkStart w:id="89" w:name="_Ref83114315"/>
      <w:bookmarkStart w:id="90" w:name="_Toc84240493"/>
      <w:bookmarkStart w:id="91" w:name="_Toc72081545"/>
      <w:bookmarkStart w:id="92" w:name="_Ref83113721"/>
      <w:bookmarkStart w:id="93" w:name="_Ref83113897"/>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10</w:t>
      </w:r>
      <w:r w:rsidRPr="00DE7F43">
        <w:rPr>
          <w:noProof/>
        </w:rPr>
        <w:fldChar w:fldCharType="end"/>
      </w:r>
      <w:bookmarkEnd w:id="89"/>
      <w:r w:rsidRPr="00DE7F43">
        <w:t>: Ciljane površine i stope obnove stambenih zgrada do 2030. godine prema Dugoročnoj strategiji</w:t>
      </w:r>
      <w:bookmarkEnd w:id="90"/>
      <w:r w:rsidRPr="00DE7F43">
        <w:t xml:space="preserve"> </w:t>
      </w:r>
      <w:bookmarkEnd w:id="91"/>
      <w:bookmarkEnd w:id="92"/>
      <w:bookmarkEnd w:id="93"/>
    </w:p>
    <w:tbl>
      <w:tblPr>
        <w:tblStyle w:val="Svijetlatablicareetke110"/>
        <w:tblW w:w="5000" w:type="pct"/>
        <w:tblLook w:val="04A0" w:firstRow="1" w:lastRow="0" w:firstColumn="1" w:lastColumn="0" w:noHBand="0" w:noVBand="1"/>
      </w:tblPr>
      <w:tblGrid>
        <w:gridCol w:w="1082"/>
        <w:gridCol w:w="798"/>
        <w:gridCol w:w="798"/>
        <w:gridCol w:w="798"/>
        <w:gridCol w:w="798"/>
        <w:gridCol w:w="798"/>
        <w:gridCol w:w="798"/>
        <w:gridCol w:w="798"/>
        <w:gridCol w:w="798"/>
        <w:gridCol w:w="798"/>
        <w:gridCol w:w="798"/>
      </w:tblGrid>
      <w:tr w:rsidR="004949CA" w:rsidRPr="00DE7F43" w14:paraId="5324871C"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pct"/>
          </w:tcPr>
          <w:p w14:paraId="50471EE8" w14:textId="77777777" w:rsidR="004949CA" w:rsidRPr="00DE7F43" w:rsidRDefault="004949CA" w:rsidP="00331A63">
            <w:pPr>
              <w:rPr>
                <w:sz w:val="16"/>
                <w:szCs w:val="16"/>
              </w:rPr>
            </w:pPr>
          </w:p>
        </w:tc>
        <w:tc>
          <w:tcPr>
            <w:tcW w:w="440" w:type="pct"/>
          </w:tcPr>
          <w:p w14:paraId="53798671"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2021.</w:t>
            </w:r>
          </w:p>
        </w:tc>
        <w:tc>
          <w:tcPr>
            <w:tcW w:w="440" w:type="pct"/>
          </w:tcPr>
          <w:p w14:paraId="782786EC"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2022.</w:t>
            </w:r>
          </w:p>
        </w:tc>
        <w:tc>
          <w:tcPr>
            <w:tcW w:w="440" w:type="pct"/>
          </w:tcPr>
          <w:p w14:paraId="1F6FFED4"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2023.</w:t>
            </w:r>
          </w:p>
        </w:tc>
        <w:tc>
          <w:tcPr>
            <w:tcW w:w="440" w:type="pct"/>
          </w:tcPr>
          <w:p w14:paraId="268FBE7E"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2024.</w:t>
            </w:r>
          </w:p>
        </w:tc>
        <w:tc>
          <w:tcPr>
            <w:tcW w:w="440" w:type="pct"/>
          </w:tcPr>
          <w:p w14:paraId="738BB971"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2025.</w:t>
            </w:r>
          </w:p>
        </w:tc>
        <w:tc>
          <w:tcPr>
            <w:tcW w:w="440" w:type="pct"/>
          </w:tcPr>
          <w:p w14:paraId="525623CD"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2026.</w:t>
            </w:r>
          </w:p>
        </w:tc>
        <w:tc>
          <w:tcPr>
            <w:tcW w:w="440" w:type="pct"/>
          </w:tcPr>
          <w:p w14:paraId="4DA86423"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2027.</w:t>
            </w:r>
          </w:p>
        </w:tc>
        <w:tc>
          <w:tcPr>
            <w:tcW w:w="440" w:type="pct"/>
          </w:tcPr>
          <w:p w14:paraId="5016656F"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2028.</w:t>
            </w:r>
          </w:p>
        </w:tc>
        <w:tc>
          <w:tcPr>
            <w:tcW w:w="440" w:type="pct"/>
          </w:tcPr>
          <w:p w14:paraId="063E418C"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2029.</w:t>
            </w:r>
          </w:p>
        </w:tc>
        <w:tc>
          <w:tcPr>
            <w:tcW w:w="440" w:type="pct"/>
          </w:tcPr>
          <w:p w14:paraId="1D6552C1"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2030.</w:t>
            </w:r>
          </w:p>
        </w:tc>
      </w:tr>
      <w:tr w:rsidR="004949CA" w:rsidRPr="00DE7F43" w14:paraId="1AFA76B5" w14:textId="77777777" w:rsidTr="00331A63">
        <w:tc>
          <w:tcPr>
            <w:cnfStyle w:val="001000000000" w:firstRow="0" w:lastRow="0" w:firstColumn="1" w:lastColumn="0" w:oddVBand="0" w:evenVBand="0" w:oddHBand="0" w:evenHBand="0" w:firstRowFirstColumn="0" w:firstRowLastColumn="0" w:lastRowFirstColumn="0" w:lastRowLastColumn="0"/>
            <w:tcW w:w="595" w:type="pct"/>
          </w:tcPr>
          <w:p w14:paraId="3B602493" w14:textId="77777777" w:rsidR="004949CA" w:rsidRPr="00DE7F43" w:rsidRDefault="004949CA" w:rsidP="00331A63">
            <w:pPr>
              <w:rPr>
                <w:sz w:val="16"/>
                <w:szCs w:val="16"/>
              </w:rPr>
            </w:pPr>
            <w:r w:rsidRPr="00DE7F43">
              <w:rPr>
                <w:sz w:val="16"/>
                <w:szCs w:val="16"/>
              </w:rPr>
              <w:t>Površina [10</w:t>
            </w:r>
            <w:r w:rsidRPr="00DE7F43">
              <w:rPr>
                <w:sz w:val="16"/>
                <w:szCs w:val="16"/>
                <w:vertAlign w:val="superscript"/>
              </w:rPr>
              <w:t>6</w:t>
            </w:r>
            <w:r w:rsidRPr="00DE7F43">
              <w:rPr>
                <w:sz w:val="16"/>
                <w:szCs w:val="16"/>
              </w:rPr>
              <w:t xml:space="preserve"> m</w:t>
            </w:r>
            <w:r w:rsidRPr="00DE7F43">
              <w:rPr>
                <w:sz w:val="16"/>
                <w:szCs w:val="16"/>
                <w:vertAlign w:val="superscript"/>
              </w:rPr>
              <w:t>2</w:t>
            </w:r>
            <w:r w:rsidRPr="00DE7F43">
              <w:rPr>
                <w:sz w:val="16"/>
                <w:szCs w:val="16"/>
              </w:rPr>
              <w:t>]</w:t>
            </w:r>
          </w:p>
        </w:tc>
        <w:tc>
          <w:tcPr>
            <w:tcW w:w="440" w:type="pct"/>
          </w:tcPr>
          <w:p w14:paraId="7267E85A"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1,10</w:t>
            </w:r>
          </w:p>
        </w:tc>
        <w:tc>
          <w:tcPr>
            <w:tcW w:w="440" w:type="pct"/>
          </w:tcPr>
          <w:p w14:paraId="1749B371"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1,09</w:t>
            </w:r>
          </w:p>
        </w:tc>
        <w:tc>
          <w:tcPr>
            <w:tcW w:w="440" w:type="pct"/>
          </w:tcPr>
          <w:p w14:paraId="0175BB83"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1,62</w:t>
            </w:r>
          </w:p>
        </w:tc>
        <w:tc>
          <w:tcPr>
            <w:tcW w:w="440" w:type="pct"/>
          </w:tcPr>
          <w:p w14:paraId="1CA752AE"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1,60</w:t>
            </w:r>
          </w:p>
        </w:tc>
        <w:tc>
          <w:tcPr>
            <w:tcW w:w="440" w:type="pct"/>
          </w:tcPr>
          <w:p w14:paraId="5A1B98A1"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2,10</w:t>
            </w:r>
          </w:p>
        </w:tc>
        <w:tc>
          <w:tcPr>
            <w:tcW w:w="440" w:type="pct"/>
          </w:tcPr>
          <w:p w14:paraId="6FBB3F66"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2,05</w:t>
            </w:r>
          </w:p>
        </w:tc>
        <w:tc>
          <w:tcPr>
            <w:tcW w:w="440" w:type="pct"/>
          </w:tcPr>
          <w:p w14:paraId="7D7C2B94"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2,52</w:t>
            </w:r>
          </w:p>
        </w:tc>
        <w:tc>
          <w:tcPr>
            <w:tcW w:w="440" w:type="pct"/>
          </w:tcPr>
          <w:p w14:paraId="1FA0D2F7"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2,45</w:t>
            </w:r>
          </w:p>
        </w:tc>
        <w:tc>
          <w:tcPr>
            <w:tcW w:w="440" w:type="pct"/>
          </w:tcPr>
          <w:p w14:paraId="77CA0D7E"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2,87</w:t>
            </w:r>
          </w:p>
        </w:tc>
        <w:tc>
          <w:tcPr>
            <w:tcW w:w="440" w:type="pct"/>
          </w:tcPr>
          <w:p w14:paraId="1D748AB8"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2,78</w:t>
            </w:r>
          </w:p>
        </w:tc>
      </w:tr>
      <w:tr w:rsidR="004949CA" w:rsidRPr="00DE7F43" w14:paraId="54A9E0A2" w14:textId="77777777" w:rsidTr="00331A63">
        <w:tc>
          <w:tcPr>
            <w:cnfStyle w:val="001000000000" w:firstRow="0" w:lastRow="0" w:firstColumn="1" w:lastColumn="0" w:oddVBand="0" w:evenVBand="0" w:oddHBand="0" w:evenHBand="0" w:firstRowFirstColumn="0" w:firstRowLastColumn="0" w:lastRowFirstColumn="0" w:lastRowLastColumn="0"/>
            <w:tcW w:w="595" w:type="pct"/>
          </w:tcPr>
          <w:p w14:paraId="15A8CAA2" w14:textId="77777777" w:rsidR="004949CA" w:rsidRPr="00DE7F43" w:rsidRDefault="004949CA" w:rsidP="00331A63">
            <w:pPr>
              <w:rPr>
                <w:sz w:val="16"/>
                <w:szCs w:val="16"/>
              </w:rPr>
            </w:pPr>
            <w:r w:rsidRPr="00DE7F43">
              <w:rPr>
                <w:sz w:val="16"/>
                <w:szCs w:val="16"/>
              </w:rPr>
              <w:t>Stopa [%]</w:t>
            </w:r>
          </w:p>
        </w:tc>
        <w:tc>
          <w:tcPr>
            <w:tcW w:w="440" w:type="pct"/>
          </w:tcPr>
          <w:p w14:paraId="07726A45"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1,0</w:t>
            </w:r>
          </w:p>
        </w:tc>
        <w:tc>
          <w:tcPr>
            <w:tcW w:w="440" w:type="pct"/>
          </w:tcPr>
          <w:p w14:paraId="4B637C22"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1,0</w:t>
            </w:r>
          </w:p>
        </w:tc>
        <w:tc>
          <w:tcPr>
            <w:tcW w:w="440" w:type="pct"/>
          </w:tcPr>
          <w:p w14:paraId="429DFE7E"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1,5</w:t>
            </w:r>
          </w:p>
        </w:tc>
        <w:tc>
          <w:tcPr>
            <w:tcW w:w="440" w:type="pct"/>
          </w:tcPr>
          <w:p w14:paraId="4238EEF5"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1,5</w:t>
            </w:r>
          </w:p>
        </w:tc>
        <w:tc>
          <w:tcPr>
            <w:tcW w:w="440" w:type="pct"/>
          </w:tcPr>
          <w:p w14:paraId="1D33F5E9"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2,0</w:t>
            </w:r>
          </w:p>
        </w:tc>
        <w:tc>
          <w:tcPr>
            <w:tcW w:w="440" w:type="pct"/>
          </w:tcPr>
          <w:p w14:paraId="6D6DBB5E"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2,0</w:t>
            </w:r>
          </w:p>
        </w:tc>
        <w:tc>
          <w:tcPr>
            <w:tcW w:w="440" w:type="pct"/>
          </w:tcPr>
          <w:p w14:paraId="25B9E92E"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2,5</w:t>
            </w:r>
          </w:p>
        </w:tc>
        <w:tc>
          <w:tcPr>
            <w:tcW w:w="440" w:type="pct"/>
          </w:tcPr>
          <w:p w14:paraId="68335011"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2,5</w:t>
            </w:r>
          </w:p>
        </w:tc>
        <w:tc>
          <w:tcPr>
            <w:tcW w:w="440" w:type="pct"/>
          </w:tcPr>
          <w:p w14:paraId="13938B86"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3,0</w:t>
            </w:r>
          </w:p>
        </w:tc>
        <w:tc>
          <w:tcPr>
            <w:tcW w:w="440" w:type="pct"/>
          </w:tcPr>
          <w:p w14:paraId="1E5C4403"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3,0</w:t>
            </w:r>
          </w:p>
        </w:tc>
      </w:tr>
    </w:tbl>
    <w:p w14:paraId="141B93E0" w14:textId="77777777" w:rsidR="004949CA" w:rsidRPr="00086B1D" w:rsidRDefault="004949CA" w:rsidP="00086B1D">
      <w:pPr>
        <w:jc w:val="both"/>
        <w:rPr>
          <w:rFonts w:ascii="Tahoma" w:hAnsi="Tahoma" w:cs="Tahoma"/>
          <w:sz w:val="20"/>
          <w:szCs w:val="20"/>
          <w:lang w:eastAsia="hr-HR"/>
        </w:rPr>
      </w:pPr>
      <w:r w:rsidRPr="00086B1D">
        <w:rPr>
          <w:rFonts w:ascii="Tahoma" w:hAnsi="Tahoma" w:cs="Tahoma"/>
          <w:sz w:val="20"/>
          <w:szCs w:val="20"/>
          <w:lang w:eastAsia="hr-HR"/>
        </w:rPr>
        <w:t>Ukupno se, prema gornjoj tablici, predviđa obnova 20,17 milijuna m</w:t>
      </w:r>
      <w:r w:rsidRPr="00086B1D">
        <w:rPr>
          <w:rFonts w:ascii="Tahoma" w:hAnsi="Tahoma" w:cs="Tahoma"/>
          <w:sz w:val="20"/>
          <w:szCs w:val="20"/>
          <w:vertAlign w:val="superscript"/>
          <w:lang w:eastAsia="hr-HR"/>
        </w:rPr>
        <w:t>2</w:t>
      </w:r>
      <w:r w:rsidRPr="00086B1D">
        <w:rPr>
          <w:rFonts w:ascii="Tahoma" w:hAnsi="Tahoma" w:cs="Tahoma"/>
          <w:sz w:val="20"/>
          <w:szCs w:val="20"/>
          <w:lang w:eastAsia="hr-HR"/>
        </w:rPr>
        <w:t xml:space="preserve"> stambenih zgrada u razdoblju od 2021. do 2030. godine. Od toga, predviđa se 2,4 milijuna m</w:t>
      </w:r>
      <w:r w:rsidRPr="00086B1D">
        <w:rPr>
          <w:rFonts w:ascii="Tahoma" w:hAnsi="Tahoma" w:cs="Tahoma"/>
          <w:sz w:val="20"/>
          <w:szCs w:val="20"/>
          <w:vertAlign w:val="superscript"/>
          <w:lang w:eastAsia="hr-HR"/>
        </w:rPr>
        <w:t>2</w:t>
      </w:r>
      <w:r w:rsidRPr="00086B1D">
        <w:rPr>
          <w:rFonts w:ascii="Tahoma" w:hAnsi="Tahoma" w:cs="Tahoma"/>
          <w:sz w:val="20"/>
          <w:szCs w:val="20"/>
          <w:lang w:eastAsia="hr-HR"/>
        </w:rPr>
        <w:t xml:space="preserve"> </w:t>
      </w:r>
      <w:proofErr w:type="spellStart"/>
      <w:r w:rsidRPr="00086B1D">
        <w:rPr>
          <w:rFonts w:ascii="Tahoma" w:hAnsi="Tahoma" w:cs="Tahoma"/>
          <w:sz w:val="20"/>
          <w:szCs w:val="20"/>
          <w:lang w:eastAsia="hr-HR"/>
        </w:rPr>
        <w:t>demolacije</w:t>
      </w:r>
      <w:proofErr w:type="spellEnd"/>
      <w:r w:rsidRPr="00086B1D">
        <w:rPr>
          <w:rFonts w:ascii="Tahoma" w:hAnsi="Tahoma" w:cs="Tahoma"/>
          <w:sz w:val="20"/>
          <w:szCs w:val="20"/>
          <w:lang w:eastAsia="hr-HR"/>
        </w:rPr>
        <w:t xml:space="preserve"> odnosno potpune zamjene trenutno postojećih zgrada, što znači da je cilj Dugoročne strategije obnoviti 17,77 milijuna m</w:t>
      </w:r>
      <w:r w:rsidRPr="00086B1D">
        <w:rPr>
          <w:rFonts w:ascii="Tahoma" w:hAnsi="Tahoma" w:cs="Tahoma"/>
          <w:sz w:val="20"/>
          <w:szCs w:val="20"/>
          <w:vertAlign w:val="superscript"/>
          <w:lang w:eastAsia="hr-HR"/>
        </w:rPr>
        <w:t>2</w:t>
      </w:r>
      <w:r w:rsidRPr="00086B1D">
        <w:rPr>
          <w:rFonts w:ascii="Tahoma" w:hAnsi="Tahoma" w:cs="Tahoma"/>
          <w:sz w:val="20"/>
          <w:szCs w:val="20"/>
          <w:lang w:eastAsia="hr-HR"/>
        </w:rPr>
        <w:t xml:space="preserve"> stambenih zgrada u sljedećem razdoblju. </w:t>
      </w:r>
    </w:p>
    <w:p w14:paraId="0104B6DF" w14:textId="651B46DA" w:rsidR="004949CA" w:rsidRPr="00086B1D" w:rsidRDefault="004949CA" w:rsidP="00086B1D">
      <w:pPr>
        <w:jc w:val="both"/>
        <w:rPr>
          <w:rFonts w:ascii="Tahoma" w:hAnsi="Tahoma" w:cs="Tahoma"/>
          <w:sz w:val="20"/>
          <w:szCs w:val="20"/>
          <w:lang w:eastAsia="hr-HR"/>
        </w:rPr>
      </w:pPr>
      <w:r w:rsidRPr="00086B1D">
        <w:rPr>
          <w:rFonts w:ascii="Tahoma" w:hAnsi="Tahoma" w:cs="Tahoma"/>
          <w:sz w:val="20"/>
          <w:szCs w:val="20"/>
          <w:lang w:eastAsia="hr-HR"/>
        </w:rPr>
        <w:t>Uzimajući u obzir gore navedeno kao i udio VSZ u ukupnom fondu stambenih zgrada (35,25% prema m</w:t>
      </w:r>
      <w:r w:rsidRPr="00086B1D">
        <w:rPr>
          <w:rFonts w:ascii="Tahoma" w:hAnsi="Tahoma" w:cs="Tahoma"/>
          <w:sz w:val="20"/>
          <w:szCs w:val="20"/>
          <w:vertAlign w:val="superscript"/>
          <w:lang w:eastAsia="hr-HR"/>
        </w:rPr>
        <w:t>2</w:t>
      </w:r>
      <w:r w:rsidRPr="00086B1D">
        <w:rPr>
          <w:rFonts w:ascii="Tahoma" w:hAnsi="Tahoma" w:cs="Tahoma"/>
          <w:sz w:val="20"/>
          <w:szCs w:val="20"/>
          <w:lang w:eastAsia="hr-HR"/>
        </w:rPr>
        <w:t>) utvrđena je ciljana površina VSZ koju bi na godišnjoj razini trebalo obnavljati (</w:t>
      </w:r>
      <w:r w:rsidR="00CE0F15">
        <w:rPr>
          <w:rFonts w:ascii="Tahoma" w:hAnsi="Tahoma" w:cs="Tahoma"/>
          <w:sz w:val="20"/>
          <w:szCs w:val="20"/>
          <w:lang w:eastAsia="hr-HR"/>
        </w:rPr>
        <w:fldChar w:fldCharType="begin"/>
      </w:r>
      <w:r w:rsidR="00CE0F15">
        <w:rPr>
          <w:rFonts w:ascii="Tahoma" w:hAnsi="Tahoma" w:cs="Tahoma"/>
          <w:sz w:val="20"/>
          <w:szCs w:val="20"/>
          <w:lang w:eastAsia="hr-HR"/>
        </w:rPr>
        <w:instrText xml:space="preserve"> REF _Ref83114288 \h </w:instrText>
      </w:r>
      <w:r w:rsidR="00CE0F15">
        <w:rPr>
          <w:rFonts w:ascii="Tahoma" w:hAnsi="Tahoma" w:cs="Tahoma"/>
          <w:sz w:val="20"/>
          <w:szCs w:val="20"/>
          <w:lang w:eastAsia="hr-HR"/>
        </w:rPr>
      </w:r>
      <w:r w:rsidR="00CE0F15">
        <w:rPr>
          <w:rFonts w:ascii="Tahoma" w:hAnsi="Tahoma" w:cs="Tahoma"/>
          <w:sz w:val="20"/>
          <w:szCs w:val="20"/>
          <w:lang w:eastAsia="hr-HR"/>
        </w:rPr>
        <w:fldChar w:fldCharType="separate"/>
      </w:r>
      <w:r w:rsidR="00575AF9" w:rsidRPr="00DE7F43">
        <w:t xml:space="preserve">Tablica </w:t>
      </w:r>
      <w:r w:rsidR="00575AF9">
        <w:rPr>
          <w:noProof/>
        </w:rPr>
        <w:t>3</w:t>
      </w:r>
      <w:r w:rsidR="00575AF9" w:rsidRPr="00DE7F43">
        <w:noBreakHyphen/>
      </w:r>
      <w:r w:rsidR="00575AF9">
        <w:rPr>
          <w:noProof/>
        </w:rPr>
        <w:t>11</w:t>
      </w:r>
      <w:r w:rsidR="00CE0F15">
        <w:rPr>
          <w:rFonts w:ascii="Tahoma" w:hAnsi="Tahoma" w:cs="Tahoma"/>
          <w:sz w:val="20"/>
          <w:szCs w:val="20"/>
          <w:lang w:eastAsia="hr-HR"/>
        </w:rPr>
        <w:fldChar w:fldCharType="end"/>
      </w:r>
      <w:r w:rsidRPr="00086B1D">
        <w:rPr>
          <w:rFonts w:ascii="Tahoma" w:hAnsi="Tahoma" w:cs="Tahoma"/>
          <w:sz w:val="20"/>
          <w:szCs w:val="20"/>
          <w:lang w:eastAsia="hr-HR"/>
        </w:rPr>
        <w:t>).</w:t>
      </w:r>
    </w:p>
    <w:p w14:paraId="2CE828DC" w14:textId="0FB85984" w:rsidR="004949CA" w:rsidRPr="00DE7F43" w:rsidRDefault="004949CA" w:rsidP="004949CA">
      <w:pPr>
        <w:pStyle w:val="Opisslike"/>
      </w:pPr>
      <w:bookmarkStart w:id="94" w:name="_Ref83114288"/>
      <w:bookmarkStart w:id="95" w:name="_Toc84240494"/>
      <w:bookmarkStart w:id="96" w:name="_Toc72081546"/>
      <w:bookmarkStart w:id="97" w:name="_Ref83113751"/>
      <w:bookmarkStart w:id="98" w:name="_Ref83113872"/>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11</w:t>
      </w:r>
      <w:r w:rsidRPr="00DE7F43">
        <w:rPr>
          <w:noProof/>
        </w:rPr>
        <w:fldChar w:fldCharType="end"/>
      </w:r>
      <w:bookmarkEnd w:id="94"/>
      <w:r w:rsidRPr="00DE7F43">
        <w:t>: Ciljane površine i stope obnove VSZ do 2030. godine u skladu s Dugoročnom strategijom</w:t>
      </w:r>
      <w:bookmarkEnd w:id="95"/>
      <w:r w:rsidRPr="00DE7F43">
        <w:t xml:space="preserve"> </w:t>
      </w:r>
      <w:bookmarkEnd w:id="96"/>
      <w:bookmarkEnd w:id="97"/>
      <w:bookmarkEnd w:id="98"/>
    </w:p>
    <w:tbl>
      <w:tblPr>
        <w:tblStyle w:val="Svijetlatablicareetke110"/>
        <w:tblW w:w="9288" w:type="dxa"/>
        <w:tblLook w:val="04A0" w:firstRow="1" w:lastRow="0" w:firstColumn="1" w:lastColumn="0" w:noHBand="0" w:noVBand="1"/>
      </w:tblPr>
      <w:tblGrid>
        <w:gridCol w:w="1485"/>
        <w:gridCol w:w="623"/>
        <w:gridCol w:w="797"/>
        <w:gridCol w:w="797"/>
        <w:gridCol w:w="797"/>
        <w:gridCol w:w="401"/>
        <w:gridCol w:w="396"/>
        <w:gridCol w:w="797"/>
        <w:gridCol w:w="797"/>
        <w:gridCol w:w="797"/>
        <w:gridCol w:w="797"/>
        <w:gridCol w:w="804"/>
      </w:tblGrid>
      <w:tr w:rsidR="004949CA" w:rsidRPr="00DE7F43" w14:paraId="4560BF83" w14:textId="77777777" w:rsidTr="00567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tcPr>
          <w:p w14:paraId="61743AF7" w14:textId="77777777" w:rsidR="004949CA" w:rsidRPr="00DE7F43" w:rsidRDefault="004949CA" w:rsidP="00331A63">
            <w:pPr>
              <w:rPr>
                <w:sz w:val="16"/>
                <w:szCs w:val="16"/>
              </w:rPr>
            </w:pPr>
          </w:p>
        </w:tc>
        <w:tc>
          <w:tcPr>
            <w:tcW w:w="623" w:type="dxa"/>
          </w:tcPr>
          <w:p w14:paraId="4307002B"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2021.</w:t>
            </w:r>
          </w:p>
        </w:tc>
        <w:tc>
          <w:tcPr>
            <w:tcW w:w="797" w:type="dxa"/>
          </w:tcPr>
          <w:p w14:paraId="7E9E3919"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2022.</w:t>
            </w:r>
          </w:p>
        </w:tc>
        <w:tc>
          <w:tcPr>
            <w:tcW w:w="797" w:type="dxa"/>
          </w:tcPr>
          <w:p w14:paraId="17017F3A"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2023.</w:t>
            </w:r>
          </w:p>
        </w:tc>
        <w:tc>
          <w:tcPr>
            <w:tcW w:w="797" w:type="dxa"/>
          </w:tcPr>
          <w:p w14:paraId="2F7A9363"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2024.</w:t>
            </w:r>
          </w:p>
        </w:tc>
        <w:tc>
          <w:tcPr>
            <w:tcW w:w="797" w:type="dxa"/>
            <w:gridSpan w:val="2"/>
          </w:tcPr>
          <w:p w14:paraId="0C75031A"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2025.</w:t>
            </w:r>
          </w:p>
        </w:tc>
        <w:tc>
          <w:tcPr>
            <w:tcW w:w="797" w:type="dxa"/>
          </w:tcPr>
          <w:p w14:paraId="0004B086"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2026.</w:t>
            </w:r>
          </w:p>
        </w:tc>
        <w:tc>
          <w:tcPr>
            <w:tcW w:w="797" w:type="dxa"/>
          </w:tcPr>
          <w:p w14:paraId="4EF4C15F"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2027.</w:t>
            </w:r>
          </w:p>
        </w:tc>
        <w:tc>
          <w:tcPr>
            <w:tcW w:w="797" w:type="dxa"/>
          </w:tcPr>
          <w:p w14:paraId="1EAB384D"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2028.</w:t>
            </w:r>
          </w:p>
        </w:tc>
        <w:tc>
          <w:tcPr>
            <w:tcW w:w="797" w:type="dxa"/>
          </w:tcPr>
          <w:p w14:paraId="299B9AB2"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2029.</w:t>
            </w:r>
          </w:p>
        </w:tc>
        <w:tc>
          <w:tcPr>
            <w:tcW w:w="804" w:type="dxa"/>
          </w:tcPr>
          <w:p w14:paraId="518A6565" w14:textId="77777777" w:rsidR="004949CA" w:rsidRPr="00DE7F43" w:rsidRDefault="004949CA" w:rsidP="00331A63">
            <w:pPr>
              <w:cnfStyle w:val="100000000000" w:firstRow="1" w:lastRow="0" w:firstColumn="0" w:lastColumn="0" w:oddVBand="0" w:evenVBand="0" w:oddHBand="0" w:evenHBand="0" w:firstRowFirstColumn="0" w:firstRowLastColumn="0" w:lastRowFirstColumn="0" w:lastRowLastColumn="0"/>
              <w:rPr>
                <w:sz w:val="16"/>
                <w:szCs w:val="16"/>
              </w:rPr>
            </w:pPr>
            <w:r w:rsidRPr="00DE7F43">
              <w:rPr>
                <w:sz w:val="16"/>
                <w:szCs w:val="16"/>
              </w:rPr>
              <w:t>2030.</w:t>
            </w:r>
          </w:p>
        </w:tc>
      </w:tr>
      <w:tr w:rsidR="004949CA" w:rsidRPr="00DE7F43" w14:paraId="2ED93706" w14:textId="77777777" w:rsidTr="00567092">
        <w:tc>
          <w:tcPr>
            <w:cnfStyle w:val="001000000000" w:firstRow="0" w:lastRow="0" w:firstColumn="1" w:lastColumn="0" w:oddVBand="0" w:evenVBand="0" w:oddHBand="0" w:evenHBand="0" w:firstRowFirstColumn="0" w:firstRowLastColumn="0" w:lastRowFirstColumn="0" w:lastRowLastColumn="0"/>
            <w:tcW w:w="1485" w:type="dxa"/>
          </w:tcPr>
          <w:p w14:paraId="2B9FED0B" w14:textId="77777777" w:rsidR="004949CA" w:rsidRPr="00DE7F43" w:rsidRDefault="004949CA" w:rsidP="00331A63">
            <w:pPr>
              <w:rPr>
                <w:sz w:val="16"/>
                <w:szCs w:val="16"/>
              </w:rPr>
            </w:pPr>
            <w:r w:rsidRPr="00DE7F43">
              <w:rPr>
                <w:sz w:val="16"/>
                <w:szCs w:val="16"/>
              </w:rPr>
              <w:t>Površina [10</w:t>
            </w:r>
            <w:r w:rsidRPr="00DE7F43">
              <w:rPr>
                <w:sz w:val="16"/>
                <w:szCs w:val="16"/>
                <w:vertAlign w:val="superscript"/>
              </w:rPr>
              <w:t>6</w:t>
            </w:r>
            <w:r w:rsidRPr="00DE7F43">
              <w:rPr>
                <w:sz w:val="16"/>
                <w:szCs w:val="16"/>
              </w:rPr>
              <w:t xml:space="preserve"> m</w:t>
            </w:r>
            <w:r w:rsidRPr="00DE7F43">
              <w:rPr>
                <w:sz w:val="16"/>
                <w:szCs w:val="16"/>
                <w:vertAlign w:val="superscript"/>
              </w:rPr>
              <w:t>2</w:t>
            </w:r>
            <w:r w:rsidRPr="00DE7F43">
              <w:rPr>
                <w:sz w:val="16"/>
                <w:szCs w:val="16"/>
              </w:rPr>
              <w:t>]</w:t>
            </w:r>
          </w:p>
        </w:tc>
        <w:tc>
          <w:tcPr>
            <w:tcW w:w="623" w:type="dxa"/>
          </w:tcPr>
          <w:p w14:paraId="31557A6A"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0,30</w:t>
            </w:r>
          </w:p>
        </w:tc>
        <w:tc>
          <w:tcPr>
            <w:tcW w:w="797" w:type="dxa"/>
          </w:tcPr>
          <w:p w14:paraId="37460FEC"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0,30</w:t>
            </w:r>
          </w:p>
        </w:tc>
        <w:tc>
          <w:tcPr>
            <w:tcW w:w="797" w:type="dxa"/>
          </w:tcPr>
          <w:p w14:paraId="15DD9B4A"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0,49</w:t>
            </w:r>
          </w:p>
        </w:tc>
        <w:tc>
          <w:tcPr>
            <w:tcW w:w="797" w:type="dxa"/>
          </w:tcPr>
          <w:p w14:paraId="719B3574"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0,48</w:t>
            </w:r>
          </w:p>
        </w:tc>
        <w:tc>
          <w:tcPr>
            <w:tcW w:w="797" w:type="dxa"/>
            <w:gridSpan w:val="2"/>
          </w:tcPr>
          <w:p w14:paraId="6A5E9F98"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0,66</w:t>
            </w:r>
          </w:p>
        </w:tc>
        <w:tc>
          <w:tcPr>
            <w:tcW w:w="797" w:type="dxa"/>
          </w:tcPr>
          <w:p w14:paraId="4B1D7F2E"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0,64</w:t>
            </w:r>
          </w:p>
        </w:tc>
        <w:tc>
          <w:tcPr>
            <w:tcW w:w="797" w:type="dxa"/>
          </w:tcPr>
          <w:p w14:paraId="45A4F64E"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0,80</w:t>
            </w:r>
          </w:p>
        </w:tc>
        <w:tc>
          <w:tcPr>
            <w:tcW w:w="797" w:type="dxa"/>
          </w:tcPr>
          <w:p w14:paraId="6489EC12"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0,78</w:t>
            </w:r>
          </w:p>
        </w:tc>
        <w:tc>
          <w:tcPr>
            <w:tcW w:w="797" w:type="dxa"/>
          </w:tcPr>
          <w:p w14:paraId="1A32514C"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0,93</w:t>
            </w:r>
          </w:p>
        </w:tc>
        <w:tc>
          <w:tcPr>
            <w:tcW w:w="804" w:type="dxa"/>
          </w:tcPr>
          <w:p w14:paraId="17659386"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0,90</w:t>
            </w:r>
          </w:p>
        </w:tc>
      </w:tr>
      <w:tr w:rsidR="004949CA" w:rsidRPr="00DE7F43" w14:paraId="05874CAD" w14:textId="77777777" w:rsidTr="00567092">
        <w:tc>
          <w:tcPr>
            <w:cnfStyle w:val="001000000000" w:firstRow="0" w:lastRow="0" w:firstColumn="1" w:lastColumn="0" w:oddVBand="0" w:evenVBand="0" w:oddHBand="0" w:evenHBand="0" w:firstRowFirstColumn="0" w:firstRowLastColumn="0" w:lastRowFirstColumn="0" w:lastRowLastColumn="0"/>
            <w:tcW w:w="1485" w:type="dxa"/>
          </w:tcPr>
          <w:p w14:paraId="5E20B59F" w14:textId="77777777" w:rsidR="004949CA" w:rsidRPr="00DE7F43" w:rsidRDefault="004949CA" w:rsidP="00331A63">
            <w:pPr>
              <w:rPr>
                <w:sz w:val="16"/>
                <w:szCs w:val="16"/>
              </w:rPr>
            </w:pPr>
            <w:r w:rsidRPr="00DE7F43">
              <w:rPr>
                <w:sz w:val="16"/>
                <w:szCs w:val="16"/>
              </w:rPr>
              <w:t>Ukupno</w:t>
            </w:r>
          </w:p>
        </w:tc>
        <w:tc>
          <w:tcPr>
            <w:tcW w:w="7803" w:type="dxa"/>
            <w:gridSpan w:val="11"/>
          </w:tcPr>
          <w:p w14:paraId="27E489CD"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DE7F43">
              <w:rPr>
                <w:b/>
                <w:bCs/>
                <w:sz w:val="16"/>
                <w:szCs w:val="16"/>
              </w:rPr>
              <w:t>6,27</w:t>
            </w:r>
          </w:p>
        </w:tc>
      </w:tr>
      <w:tr w:rsidR="004949CA" w:rsidRPr="00DE7F43" w14:paraId="7CBC509C" w14:textId="77777777" w:rsidTr="00567092">
        <w:tc>
          <w:tcPr>
            <w:cnfStyle w:val="001000000000" w:firstRow="0" w:lastRow="0" w:firstColumn="1" w:lastColumn="0" w:oddVBand="0" w:evenVBand="0" w:oddHBand="0" w:evenHBand="0" w:firstRowFirstColumn="0" w:firstRowLastColumn="0" w:lastRowFirstColumn="0" w:lastRowLastColumn="0"/>
            <w:tcW w:w="1485" w:type="dxa"/>
            <w:vMerge w:val="restart"/>
          </w:tcPr>
          <w:p w14:paraId="32953C1A" w14:textId="77777777" w:rsidR="004949CA" w:rsidRPr="00DE7F43" w:rsidRDefault="004949CA" w:rsidP="00331A63">
            <w:pPr>
              <w:rPr>
                <w:sz w:val="16"/>
                <w:szCs w:val="16"/>
              </w:rPr>
            </w:pPr>
            <w:r w:rsidRPr="00DE7F43">
              <w:rPr>
                <w:sz w:val="16"/>
                <w:szCs w:val="16"/>
              </w:rPr>
              <w:t xml:space="preserve">Raspodjela po klimatskim zonama </w:t>
            </w:r>
          </w:p>
        </w:tc>
        <w:tc>
          <w:tcPr>
            <w:tcW w:w="3415" w:type="dxa"/>
            <w:gridSpan w:val="5"/>
          </w:tcPr>
          <w:p w14:paraId="222F6E37"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E7F43">
              <w:rPr>
                <w:b/>
                <w:bCs/>
                <w:sz w:val="16"/>
                <w:szCs w:val="16"/>
              </w:rPr>
              <w:t>Kontinentalna</w:t>
            </w:r>
          </w:p>
        </w:tc>
        <w:tc>
          <w:tcPr>
            <w:tcW w:w="4388" w:type="dxa"/>
            <w:gridSpan w:val="6"/>
          </w:tcPr>
          <w:p w14:paraId="10A3F35F"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DE7F43">
              <w:rPr>
                <w:b/>
                <w:bCs/>
                <w:sz w:val="16"/>
                <w:szCs w:val="16"/>
              </w:rPr>
              <w:t>Primorska</w:t>
            </w:r>
          </w:p>
        </w:tc>
      </w:tr>
      <w:tr w:rsidR="004949CA" w:rsidRPr="00DE7F43" w14:paraId="211CB673" w14:textId="77777777" w:rsidTr="00567092">
        <w:tc>
          <w:tcPr>
            <w:cnfStyle w:val="001000000000" w:firstRow="0" w:lastRow="0" w:firstColumn="1" w:lastColumn="0" w:oddVBand="0" w:evenVBand="0" w:oddHBand="0" w:evenHBand="0" w:firstRowFirstColumn="0" w:firstRowLastColumn="0" w:lastRowFirstColumn="0" w:lastRowLastColumn="0"/>
            <w:tcW w:w="1485" w:type="dxa"/>
            <w:vMerge/>
          </w:tcPr>
          <w:p w14:paraId="5F6D6D5A" w14:textId="77777777" w:rsidR="004949CA" w:rsidRPr="00DE7F43" w:rsidRDefault="004949CA" w:rsidP="00331A63">
            <w:pPr>
              <w:rPr>
                <w:sz w:val="16"/>
                <w:szCs w:val="16"/>
              </w:rPr>
            </w:pPr>
          </w:p>
        </w:tc>
        <w:tc>
          <w:tcPr>
            <w:tcW w:w="3415" w:type="dxa"/>
            <w:gridSpan w:val="5"/>
            <w:vAlign w:val="center"/>
          </w:tcPr>
          <w:p w14:paraId="0408F921"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3,60</w:t>
            </w:r>
          </w:p>
        </w:tc>
        <w:tc>
          <w:tcPr>
            <w:tcW w:w="4388" w:type="dxa"/>
            <w:gridSpan w:val="6"/>
            <w:vAlign w:val="center"/>
          </w:tcPr>
          <w:p w14:paraId="674A1BE3"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E7F43">
              <w:rPr>
                <w:sz w:val="16"/>
                <w:szCs w:val="16"/>
              </w:rPr>
              <w:t>2,67</w:t>
            </w:r>
          </w:p>
        </w:tc>
      </w:tr>
    </w:tbl>
    <w:p w14:paraId="65900B3A" w14:textId="7EFB257F" w:rsidR="004949CA" w:rsidRPr="00086B1D" w:rsidRDefault="004949CA" w:rsidP="00086B1D">
      <w:pPr>
        <w:jc w:val="both"/>
        <w:rPr>
          <w:rFonts w:ascii="Tahoma" w:hAnsi="Tahoma" w:cs="Tahoma"/>
          <w:sz w:val="20"/>
          <w:szCs w:val="20"/>
        </w:rPr>
      </w:pPr>
      <w:r w:rsidRPr="00086B1D">
        <w:rPr>
          <w:rFonts w:ascii="Tahoma" w:hAnsi="Tahoma" w:cs="Tahoma"/>
          <w:b/>
          <w:bCs/>
          <w:sz w:val="20"/>
          <w:szCs w:val="20"/>
        </w:rPr>
        <w:lastRenderedPageBreak/>
        <w:t>Ukupno bi u razdoblju do 2030. godine trebalo obnoviti oko 6,3 milijuna m</w:t>
      </w:r>
      <w:r w:rsidRPr="00086B1D">
        <w:rPr>
          <w:rFonts w:ascii="Tahoma" w:hAnsi="Tahoma" w:cs="Tahoma"/>
          <w:b/>
          <w:bCs/>
          <w:sz w:val="20"/>
          <w:szCs w:val="20"/>
          <w:vertAlign w:val="superscript"/>
        </w:rPr>
        <w:t>2</w:t>
      </w:r>
      <w:r w:rsidRPr="00086B1D">
        <w:rPr>
          <w:rFonts w:ascii="Tahoma" w:hAnsi="Tahoma" w:cs="Tahoma"/>
          <w:b/>
          <w:bCs/>
          <w:sz w:val="20"/>
          <w:szCs w:val="20"/>
        </w:rPr>
        <w:t xml:space="preserve"> u VSZ</w:t>
      </w:r>
      <w:r w:rsidRPr="00086B1D">
        <w:rPr>
          <w:rFonts w:ascii="Tahoma" w:hAnsi="Tahoma" w:cs="Tahoma"/>
          <w:sz w:val="20"/>
          <w:szCs w:val="20"/>
        </w:rPr>
        <w:t xml:space="preserve">. Od toga, a prema raspodjeli VSZ izgrađenih prije 2006. godine prema klimatskim zonama (57,5% kontinentalna i 42,5% primorska Hrvatska, </w:t>
      </w:r>
      <w:r w:rsidR="00F33566">
        <w:rPr>
          <w:rFonts w:ascii="Tahoma" w:hAnsi="Tahoma" w:cs="Tahoma"/>
          <w:sz w:val="20"/>
          <w:szCs w:val="20"/>
        </w:rPr>
        <w:t>prema</w:t>
      </w:r>
      <w:r w:rsidR="00C67A23">
        <w:rPr>
          <w:rFonts w:ascii="Tahoma" w:hAnsi="Tahoma" w:cs="Tahoma"/>
          <w:sz w:val="20"/>
          <w:szCs w:val="20"/>
        </w:rPr>
        <w:t xml:space="preserve"> </w:t>
      </w:r>
      <w:r w:rsidR="00C67A23">
        <w:rPr>
          <w:rFonts w:ascii="Tahoma" w:hAnsi="Tahoma" w:cs="Tahoma"/>
          <w:sz w:val="20"/>
          <w:szCs w:val="20"/>
        </w:rPr>
        <w:fldChar w:fldCharType="begin"/>
      </w:r>
      <w:r w:rsidR="00C67A23">
        <w:rPr>
          <w:rFonts w:ascii="Tahoma" w:hAnsi="Tahoma" w:cs="Tahoma"/>
          <w:sz w:val="20"/>
          <w:szCs w:val="20"/>
        </w:rPr>
        <w:instrText xml:space="preserve"> REF _Ref83114885 \h </w:instrText>
      </w:r>
      <w:r w:rsidR="00C67A23">
        <w:rPr>
          <w:rFonts w:ascii="Tahoma" w:hAnsi="Tahoma" w:cs="Tahoma"/>
          <w:sz w:val="20"/>
          <w:szCs w:val="20"/>
        </w:rPr>
      </w:r>
      <w:r w:rsidR="00C67A23">
        <w:rPr>
          <w:rFonts w:ascii="Tahoma" w:hAnsi="Tahoma" w:cs="Tahoma"/>
          <w:sz w:val="20"/>
          <w:szCs w:val="20"/>
        </w:rPr>
        <w:fldChar w:fldCharType="separate"/>
      </w:r>
      <w:r w:rsidR="00C67A23" w:rsidRPr="00DE7F43">
        <w:t>Tablic</w:t>
      </w:r>
      <w:r w:rsidR="00F7592C">
        <w:t>i</w:t>
      </w:r>
      <w:r w:rsidR="00C67A23" w:rsidRPr="00DE7F43">
        <w:t xml:space="preserve"> </w:t>
      </w:r>
      <w:r w:rsidR="00C67A23">
        <w:rPr>
          <w:noProof/>
        </w:rPr>
        <w:t>3</w:t>
      </w:r>
      <w:r w:rsidR="00C67A23" w:rsidRPr="00DE7F43">
        <w:noBreakHyphen/>
      </w:r>
      <w:r w:rsidR="00C67A23">
        <w:rPr>
          <w:noProof/>
        </w:rPr>
        <w:t>4</w:t>
      </w:r>
      <w:r w:rsidR="00C67A23">
        <w:rPr>
          <w:rFonts w:ascii="Tahoma" w:hAnsi="Tahoma" w:cs="Tahoma"/>
          <w:sz w:val="20"/>
          <w:szCs w:val="20"/>
        </w:rPr>
        <w:fldChar w:fldCharType="end"/>
      </w:r>
      <w:r w:rsidRPr="00086B1D">
        <w:rPr>
          <w:rFonts w:ascii="Tahoma" w:hAnsi="Tahoma" w:cs="Tahoma"/>
          <w:sz w:val="20"/>
          <w:szCs w:val="20"/>
        </w:rPr>
        <w:t xml:space="preserve">), utvrđena je i raspodjela ciljane obnovljene površine prema klimatskim zonama, kako je prikazano u gornjoj tablici. </w:t>
      </w:r>
    </w:p>
    <w:p w14:paraId="620BABC6" w14:textId="61A396D6" w:rsidR="004949CA" w:rsidRPr="00086B1D" w:rsidRDefault="137C0FFA" w:rsidP="00086B1D">
      <w:pPr>
        <w:jc w:val="both"/>
        <w:rPr>
          <w:rFonts w:ascii="Tahoma" w:hAnsi="Tahoma" w:cs="Tahoma"/>
          <w:sz w:val="20"/>
          <w:szCs w:val="20"/>
          <w:lang w:eastAsia="hr-HR"/>
        </w:rPr>
      </w:pPr>
      <w:r w:rsidRPr="00086B1D">
        <w:rPr>
          <w:rFonts w:ascii="Tahoma" w:hAnsi="Tahoma" w:cs="Tahoma"/>
          <w:sz w:val="20"/>
          <w:szCs w:val="20"/>
          <w:lang w:eastAsia="hr-HR"/>
        </w:rPr>
        <w:t xml:space="preserve">Prema Tehničkom propisu o racionalnoj uporabi energije i toplinskoj zaštiti u zgradama (Narodne novine, br. 128/15, 70/18, 73/18, 86/18 i 102/20; dalje u tekstu TPRUETZZ), </w:t>
      </w:r>
      <w:r w:rsidR="1BC1E951" w:rsidRPr="00086B1D">
        <w:rPr>
          <w:rFonts w:ascii="Tahoma" w:hAnsi="Tahoma" w:cs="Tahoma"/>
          <w:sz w:val="20"/>
          <w:szCs w:val="20"/>
          <w:lang w:eastAsia="hr-HR"/>
        </w:rPr>
        <w:t xml:space="preserve">specifična </w:t>
      </w:r>
      <w:r w:rsidRPr="00086B1D">
        <w:rPr>
          <w:rFonts w:ascii="Tahoma" w:hAnsi="Tahoma" w:cs="Tahoma"/>
          <w:sz w:val="20"/>
          <w:szCs w:val="20"/>
          <w:lang w:eastAsia="hr-HR"/>
        </w:rPr>
        <w:t xml:space="preserve">godišnja potrebna toplinska energija za grijanje, </w:t>
      </w:r>
      <w:proofErr w:type="spellStart"/>
      <w:r w:rsidRPr="00086B1D">
        <w:rPr>
          <w:rFonts w:ascii="Tahoma" w:hAnsi="Tahoma" w:cs="Tahoma"/>
          <w:sz w:val="20"/>
          <w:szCs w:val="20"/>
          <w:lang w:eastAsia="hr-HR"/>
        </w:rPr>
        <w:t>Q</w:t>
      </w:r>
      <w:bookmarkStart w:id="99" w:name="_Hlk86415662"/>
      <w:r w:rsidR="69FB5148" w:rsidRPr="00086B1D">
        <w:rPr>
          <w:rFonts w:ascii="Tahoma" w:hAnsi="Tahoma" w:cs="Tahoma"/>
          <w:sz w:val="20"/>
          <w:szCs w:val="20"/>
          <w:lang w:eastAsia="hr-HR"/>
        </w:rPr>
        <w:t>”</w:t>
      </w:r>
      <w:bookmarkEnd w:id="99"/>
      <w:r w:rsidRPr="00086B1D">
        <w:rPr>
          <w:rFonts w:ascii="Tahoma" w:hAnsi="Tahoma" w:cs="Tahoma"/>
          <w:sz w:val="20"/>
          <w:szCs w:val="20"/>
          <w:vertAlign w:val="subscript"/>
          <w:lang w:eastAsia="hr-HR"/>
        </w:rPr>
        <w:t>H,nd</w:t>
      </w:r>
      <w:proofErr w:type="spellEnd"/>
      <w:r w:rsidRPr="00086B1D">
        <w:rPr>
          <w:rFonts w:ascii="Tahoma" w:hAnsi="Tahoma" w:cs="Tahoma"/>
          <w:sz w:val="20"/>
          <w:szCs w:val="20"/>
          <w:vertAlign w:val="subscript"/>
          <w:lang w:eastAsia="hr-HR"/>
        </w:rPr>
        <w:t xml:space="preserve">  </w:t>
      </w:r>
      <w:r w:rsidRPr="00086B1D">
        <w:rPr>
          <w:rFonts w:ascii="Tahoma" w:hAnsi="Tahoma" w:cs="Tahoma"/>
          <w:sz w:val="20"/>
          <w:szCs w:val="20"/>
          <w:lang w:eastAsia="hr-HR"/>
        </w:rPr>
        <w:t>(kWh/</w:t>
      </w:r>
      <w:r w:rsidR="534D20F7" w:rsidRPr="00086B1D">
        <w:rPr>
          <w:rFonts w:ascii="Tahoma" w:hAnsi="Tahoma" w:cs="Tahoma"/>
          <w:sz w:val="20"/>
          <w:szCs w:val="20"/>
          <w:lang w:eastAsia="hr-HR"/>
        </w:rPr>
        <w:t>m</w:t>
      </w:r>
      <w:r w:rsidR="534D20F7" w:rsidRPr="00F7592C">
        <w:rPr>
          <w:rFonts w:ascii="Tahoma" w:hAnsi="Tahoma" w:cs="Tahoma"/>
          <w:sz w:val="20"/>
          <w:szCs w:val="20"/>
          <w:vertAlign w:val="superscript"/>
          <w:lang w:eastAsia="hr-HR"/>
        </w:rPr>
        <w:t>2</w:t>
      </w:r>
      <w:r w:rsidR="00356E40" w:rsidRPr="00DE7F43">
        <w:rPr>
          <w:rFonts w:cs="Tahoma"/>
          <w:sz w:val="18"/>
          <w:szCs w:val="18"/>
          <w:lang w:eastAsia="hr-HR"/>
        </w:rPr>
        <w:t>·</w:t>
      </w:r>
      <w:r w:rsidRPr="00086B1D">
        <w:rPr>
          <w:rFonts w:ascii="Tahoma" w:hAnsi="Tahoma" w:cs="Tahoma"/>
          <w:sz w:val="20"/>
          <w:szCs w:val="20"/>
          <w:lang w:eastAsia="hr-HR"/>
        </w:rPr>
        <w:t>a) za rekonstruirane zgrade, kada se obnavlja više od 75% grijane ovojnice zgrade, ne smije biti veća od dopuštenih vrijednosti utvrđenih u Tablici 9. TPRUETZZ, a koje prikazuje</w:t>
      </w:r>
      <w:r w:rsidR="00570A52">
        <w:rPr>
          <w:rFonts w:ascii="Tahoma" w:hAnsi="Tahoma" w:cs="Tahoma"/>
          <w:sz w:val="20"/>
          <w:szCs w:val="20"/>
          <w:lang w:eastAsia="hr-HR"/>
        </w:rPr>
        <w:t xml:space="preserve"> </w:t>
      </w:r>
      <w:r w:rsidR="00570A52">
        <w:rPr>
          <w:rFonts w:ascii="Tahoma" w:hAnsi="Tahoma" w:cs="Tahoma"/>
          <w:sz w:val="20"/>
          <w:szCs w:val="20"/>
          <w:lang w:eastAsia="hr-HR"/>
        </w:rPr>
        <w:fldChar w:fldCharType="begin"/>
      </w:r>
      <w:r w:rsidR="00570A52">
        <w:rPr>
          <w:rFonts w:ascii="Tahoma" w:hAnsi="Tahoma" w:cs="Tahoma"/>
          <w:sz w:val="20"/>
          <w:szCs w:val="20"/>
          <w:lang w:eastAsia="hr-HR"/>
        </w:rPr>
        <w:instrText xml:space="preserve"> REF _Ref86133929 \h </w:instrText>
      </w:r>
      <w:r w:rsidR="00570A52">
        <w:rPr>
          <w:rFonts w:ascii="Tahoma" w:hAnsi="Tahoma" w:cs="Tahoma"/>
          <w:sz w:val="20"/>
          <w:szCs w:val="20"/>
          <w:lang w:eastAsia="hr-HR"/>
        </w:rPr>
      </w:r>
      <w:r w:rsidR="00570A52">
        <w:rPr>
          <w:rFonts w:ascii="Tahoma" w:hAnsi="Tahoma" w:cs="Tahoma"/>
          <w:sz w:val="20"/>
          <w:szCs w:val="20"/>
          <w:lang w:eastAsia="hr-HR"/>
        </w:rPr>
        <w:fldChar w:fldCharType="separate"/>
      </w:r>
      <w:r w:rsidR="00570A52" w:rsidRPr="00DE7F43">
        <w:t xml:space="preserve">Tablica </w:t>
      </w:r>
      <w:r w:rsidR="00570A52">
        <w:rPr>
          <w:noProof/>
        </w:rPr>
        <w:t>3</w:t>
      </w:r>
      <w:r w:rsidR="00570A52">
        <w:noBreakHyphen/>
      </w:r>
      <w:r w:rsidR="00570A52">
        <w:rPr>
          <w:noProof/>
        </w:rPr>
        <w:t>12</w:t>
      </w:r>
      <w:r w:rsidR="00570A52">
        <w:rPr>
          <w:rFonts w:ascii="Tahoma" w:hAnsi="Tahoma" w:cs="Tahoma"/>
          <w:sz w:val="20"/>
          <w:szCs w:val="20"/>
          <w:lang w:eastAsia="hr-HR"/>
        </w:rPr>
        <w:fldChar w:fldCharType="end"/>
      </w:r>
      <w:r w:rsidR="00570A52">
        <w:rPr>
          <w:rFonts w:ascii="Tahoma" w:hAnsi="Tahoma" w:cs="Tahoma"/>
          <w:sz w:val="20"/>
          <w:szCs w:val="20"/>
          <w:lang w:eastAsia="hr-HR"/>
        </w:rPr>
        <w:t>.</w:t>
      </w:r>
    </w:p>
    <w:p w14:paraId="74C9C6DC" w14:textId="3F6784B6" w:rsidR="004949CA" w:rsidRPr="00DE7F43" w:rsidRDefault="004949CA" w:rsidP="004949CA">
      <w:pPr>
        <w:pStyle w:val="Opisslike"/>
        <w:jc w:val="left"/>
      </w:pPr>
      <w:bookmarkStart w:id="100" w:name="_Ref86133929"/>
      <w:bookmarkStart w:id="101" w:name="_Ref83114097"/>
      <w:bookmarkStart w:id="102" w:name="_Toc84240495"/>
      <w:bookmarkStart w:id="103" w:name="_Toc72081547"/>
      <w:r w:rsidRPr="00DE7F43">
        <w:t xml:space="preserve">Tablica </w:t>
      </w:r>
      <w:r w:rsidRPr="00DE7F43">
        <w:fldChar w:fldCharType="begin"/>
      </w:r>
      <w:r w:rsidRPr="00DE7F43">
        <w:instrText>STYLEREF 1 \s</w:instrText>
      </w:r>
      <w:r w:rsidRPr="00DE7F43">
        <w:fldChar w:fldCharType="separate"/>
      </w:r>
      <w:r w:rsidR="00570A52">
        <w:rPr>
          <w:noProof/>
        </w:rPr>
        <w:t>3</w:t>
      </w:r>
      <w:r w:rsidRPr="00DE7F43">
        <w:fldChar w:fldCharType="end"/>
      </w:r>
      <w:r w:rsidR="00931EC7">
        <w:noBreakHyphen/>
      </w:r>
      <w:r>
        <w:fldChar w:fldCharType="begin"/>
      </w:r>
      <w:r>
        <w:instrText>SEQ Tablica \* ARABIC \s 1</w:instrText>
      </w:r>
      <w:r>
        <w:fldChar w:fldCharType="separate"/>
      </w:r>
      <w:r w:rsidR="00570A52">
        <w:rPr>
          <w:noProof/>
        </w:rPr>
        <w:t>12</w:t>
      </w:r>
      <w:r>
        <w:fldChar w:fldCharType="end"/>
      </w:r>
      <w:bookmarkEnd w:id="100"/>
      <w:r w:rsidRPr="00DE7F43">
        <w:rPr>
          <w:noProof/>
        </w:rPr>
        <w:t>:</w:t>
      </w:r>
      <w:r w:rsidRPr="00DE7F43">
        <w:t xml:space="preserve"> Najveće dopuštene vrijednosti </w:t>
      </w:r>
      <w:r w:rsidRPr="00DE7F43">
        <w:rPr>
          <w:lang w:eastAsia="hr-HR"/>
        </w:rPr>
        <w:t>Q’’</w:t>
      </w:r>
      <w:proofErr w:type="spellStart"/>
      <w:r w:rsidRPr="00DE7F43">
        <w:rPr>
          <w:vertAlign w:val="subscript"/>
          <w:lang w:eastAsia="hr-HR"/>
        </w:rPr>
        <w:t>H,nd</w:t>
      </w:r>
      <w:proofErr w:type="spellEnd"/>
      <w:r w:rsidRPr="00DE7F43">
        <w:rPr>
          <w:vertAlign w:val="subscript"/>
          <w:lang w:eastAsia="hr-HR"/>
        </w:rPr>
        <w:t xml:space="preserve">   </w:t>
      </w:r>
      <w:r w:rsidRPr="00DE7F43">
        <w:rPr>
          <w:lang w:eastAsia="hr-HR"/>
        </w:rPr>
        <w:t xml:space="preserve">za postojeće stambene zgrade grijane i/ili hlađene </w:t>
      </w:r>
      <w:r w:rsidRPr="00DE7F43">
        <w:t xml:space="preserve">na temperaturu 18 °C ili višu prilikom rekonstrukcije prema članku 45. stavku 7. </w:t>
      </w:r>
      <w:r w:rsidRPr="00DE7F43">
        <w:rPr>
          <w:lang w:eastAsia="hr-HR"/>
        </w:rPr>
        <w:t>TPRUETZZ</w:t>
      </w:r>
      <w:bookmarkEnd w:id="101"/>
      <w:bookmarkEnd w:id="102"/>
      <w:r w:rsidRPr="00DE7F43">
        <w:rPr>
          <w:lang w:eastAsia="hr-HR"/>
        </w:rPr>
        <w:t xml:space="preserve"> </w:t>
      </w:r>
      <w:bookmarkEnd w:id="103"/>
    </w:p>
    <w:tbl>
      <w:tblPr>
        <w:tblStyle w:val="Svijetlatablicareetke110"/>
        <w:tblW w:w="5000" w:type="pct"/>
        <w:tblLook w:val="04A0" w:firstRow="1" w:lastRow="0" w:firstColumn="1" w:lastColumn="0" w:noHBand="0" w:noVBand="1"/>
      </w:tblPr>
      <w:tblGrid>
        <w:gridCol w:w="3445"/>
        <w:gridCol w:w="2857"/>
        <w:gridCol w:w="2760"/>
      </w:tblGrid>
      <w:tr w:rsidR="004949CA" w:rsidRPr="00DE7F43" w14:paraId="0DDBC7A8"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vMerge w:val="restart"/>
          </w:tcPr>
          <w:p w14:paraId="7BDED064" w14:textId="77777777" w:rsidR="004949CA" w:rsidRPr="00DE7F43" w:rsidRDefault="004949CA" w:rsidP="00331A63">
            <w:pPr>
              <w:rPr>
                <w:rFonts w:cs="Tahoma"/>
                <w:b w:val="0"/>
                <w:sz w:val="18"/>
                <w:szCs w:val="18"/>
                <w:lang w:eastAsia="hr-HR"/>
              </w:rPr>
            </w:pPr>
            <w:r w:rsidRPr="00DE7F43">
              <w:rPr>
                <w:rFonts w:cs="Tahoma"/>
                <w:sz w:val="18"/>
                <w:szCs w:val="18"/>
                <w:lang w:eastAsia="hr-HR"/>
              </w:rPr>
              <w:t>ZAHTJEVI - REKONSTRUKCIJA</w:t>
            </w:r>
          </w:p>
        </w:tc>
        <w:tc>
          <w:tcPr>
            <w:tcW w:w="0" w:type="pct"/>
            <w:gridSpan w:val="2"/>
          </w:tcPr>
          <w:p w14:paraId="2DED90E1" w14:textId="77777777" w:rsidR="004949CA" w:rsidRPr="00DE7F43" w:rsidRDefault="004949CA" w:rsidP="00331A63">
            <w:pPr>
              <w:jc w:val="center"/>
              <w:cnfStyle w:val="100000000000" w:firstRow="1" w:lastRow="0" w:firstColumn="0" w:lastColumn="0" w:oddVBand="0" w:evenVBand="0" w:oddHBand="0" w:evenHBand="0" w:firstRowFirstColumn="0" w:firstRowLastColumn="0" w:lastRowFirstColumn="0" w:lastRowLastColumn="0"/>
              <w:rPr>
                <w:rFonts w:cs="Tahoma"/>
                <w:b w:val="0"/>
                <w:sz w:val="18"/>
                <w:szCs w:val="18"/>
                <w:lang w:eastAsia="hr-HR"/>
              </w:rPr>
            </w:pPr>
            <w:r w:rsidRPr="00DE7F43">
              <w:rPr>
                <w:rFonts w:cs="Tahoma"/>
                <w:sz w:val="18"/>
                <w:szCs w:val="18"/>
                <w:lang w:eastAsia="hr-HR"/>
              </w:rPr>
              <w:t>Q’’</w:t>
            </w:r>
            <w:proofErr w:type="spellStart"/>
            <w:r w:rsidRPr="00DE7F43">
              <w:rPr>
                <w:rFonts w:cs="Tahoma"/>
                <w:sz w:val="18"/>
                <w:szCs w:val="18"/>
                <w:vertAlign w:val="subscript"/>
                <w:lang w:eastAsia="hr-HR"/>
              </w:rPr>
              <w:t>H,nd</w:t>
            </w:r>
            <w:proofErr w:type="spellEnd"/>
            <w:r w:rsidRPr="00DE7F43">
              <w:rPr>
                <w:rFonts w:cs="Tahoma"/>
                <w:sz w:val="18"/>
                <w:szCs w:val="18"/>
                <w:vertAlign w:val="subscript"/>
                <w:lang w:eastAsia="hr-HR"/>
              </w:rPr>
              <w:t xml:space="preserve">   </w:t>
            </w:r>
            <w:r w:rsidRPr="00DE7F43">
              <w:rPr>
                <w:rFonts w:cs="Tahoma"/>
                <w:sz w:val="18"/>
                <w:szCs w:val="18"/>
                <w:lang w:eastAsia="hr-HR"/>
              </w:rPr>
              <w:t>[kWh/(m</w:t>
            </w:r>
            <w:r w:rsidRPr="00DE7F43">
              <w:rPr>
                <w:rFonts w:cs="Tahoma"/>
                <w:sz w:val="18"/>
                <w:szCs w:val="18"/>
                <w:vertAlign w:val="superscript"/>
                <w:lang w:eastAsia="hr-HR"/>
              </w:rPr>
              <w:t>2</w:t>
            </w:r>
            <w:r w:rsidRPr="00DE7F43">
              <w:rPr>
                <w:rFonts w:cs="Tahoma"/>
                <w:sz w:val="18"/>
                <w:szCs w:val="18"/>
                <w:lang w:eastAsia="hr-HR"/>
              </w:rPr>
              <w:t>·a)]</w:t>
            </w:r>
          </w:p>
        </w:tc>
      </w:tr>
      <w:tr w:rsidR="004949CA" w:rsidRPr="00DE7F43" w14:paraId="4FB6EEDA" w14:textId="77777777" w:rsidTr="00331A63">
        <w:tc>
          <w:tcPr>
            <w:cnfStyle w:val="001000000000" w:firstRow="0" w:lastRow="0" w:firstColumn="1" w:lastColumn="0" w:oddVBand="0" w:evenVBand="0" w:oddHBand="0" w:evenHBand="0" w:firstRowFirstColumn="0" w:firstRowLastColumn="0" w:lastRowFirstColumn="0" w:lastRowLastColumn="0"/>
            <w:tcW w:w="0" w:type="pct"/>
            <w:vMerge/>
          </w:tcPr>
          <w:p w14:paraId="4387292F" w14:textId="77777777" w:rsidR="004949CA" w:rsidRPr="00DE7F43" w:rsidRDefault="004949CA" w:rsidP="00331A63">
            <w:pPr>
              <w:rPr>
                <w:rFonts w:cs="Tahoma"/>
                <w:b w:val="0"/>
                <w:sz w:val="18"/>
                <w:szCs w:val="18"/>
                <w:lang w:eastAsia="hr-HR"/>
              </w:rPr>
            </w:pPr>
          </w:p>
        </w:tc>
        <w:tc>
          <w:tcPr>
            <w:tcW w:w="0" w:type="pct"/>
          </w:tcPr>
          <w:p w14:paraId="3343CFE9"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b/>
                <w:sz w:val="18"/>
                <w:szCs w:val="18"/>
                <w:lang w:eastAsia="hr-HR"/>
              </w:rPr>
            </w:pPr>
            <w:r w:rsidRPr="00DE7F43">
              <w:rPr>
                <w:rFonts w:cs="Tahoma"/>
                <w:b/>
                <w:sz w:val="18"/>
                <w:szCs w:val="18"/>
                <w:lang w:eastAsia="hr-HR"/>
              </w:rPr>
              <w:t xml:space="preserve">Kontinent </w:t>
            </w:r>
          </w:p>
        </w:tc>
        <w:tc>
          <w:tcPr>
            <w:tcW w:w="0" w:type="pct"/>
          </w:tcPr>
          <w:p w14:paraId="4B8BDD55"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b/>
                <w:sz w:val="18"/>
                <w:szCs w:val="18"/>
                <w:lang w:eastAsia="hr-HR"/>
              </w:rPr>
            </w:pPr>
            <w:r w:rsidRPr="00DE7F43">
              <w:rPr>
                <w:rFonts w:cs="Tahoma"/>
                <w:b/>
                <w:sz w:val="18"/>
                <w:szCs w:val="18"/>
                <w:lang w:eastAsia="hr-HR"/>
              </w:rPr>
              <w:t xml:space="preserve">Primorje </w:t>
            </w:r>
          </w:p>
        </w:tc>
      </w:tr>
      <w:tr w:rsidR="004949CA" w:rsidRPr="00DE7F43" w14:paraId="168DEC9B"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37F60D65" w14:textId="77777777" w:rsidR="004949CA" w:rsidRPr="00DE7F43" w:rsidRDefault="004949CA" w:rsidP="00331A63">
            <w:pPr>
              <w:rPr>
                <w:rFonts w:cs="Tahoma"/>
                <w:b w:val="0"/>
                <w:sz w:val="18"/>
                <w:szCs w:val="18"/>
                <w:lang w:eastAsia="hr-HR"/>
              </w:rPr>
            </w:pPr>
            <w:r w:rsidRPr="00DE7F43">
              <w:rPr>
                <w:rFonts w:cs="Tahoma"/>
                <w:sz w:val="18"/>
                <w:szCs w:val="18"/>
                <w:lang w:eastAsia="hr-HR"/>
              </w:rPr>
              <w:t>Višestambena</w:t>
            </w:r>
          </w:p>
        </w:tc>
        <w:tc>
          <w:tcPr>
            <w:tcW w:w="0" w:type="pct"/>
          </w:tcPr>
          <w:p w14:paraId="756C9A41"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DE7F43">
              <w:rPr>
                <w:rFonts w:cs="Tahoma"/>
                <w:sz w:val="18"/>
                <w:szCs w:val="18"/>
                <w:lang w:eastAsia="hr-HR"/>
              </w:rPr>
              <w:t>93,75</w:t>
            </w:r>
          </w:p>
        </w:tc>
        <w:tc>
          <w:tcPr>
            <w:tcW w:w="0" w:type="pct"/>
          </w:tcPr>
          <w:p w14:paraId="6266A327"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DE7F43">
              <w:rPr>
                <w:rFonts w:cs="Tahoma"/>
                <w:sz w:val="18"/>
                <w:szCs w:val="18"/>
                <w:lang w:eastAsia="hr-HR"/>
              </w:rPr>
              <w:t>50,00</w:t>
            </w:r>
          </w:p>
        </w:tc>
      </w:tr>
      <w:tr w:rsidR="004949CA" w:rsidRPr="00DE7F43" w14:paraId="3257B90B" w14:textId="77777777" w:rsidTr="00331A63">
        <w:tc>
          <w:tcPr>
            <w:cnfStyle w:val="001000000000" w:firstRow="0" w:lastRow="0" w:firstColumn="1" w:lastColumn="0" w:oddVBand="0" w:evenVBand="0" w:oddHBand="0" w:evenHBand="0" w:firstRowFirstColumn="0" w:firstRowLastColumn="0" w:lastRowFirstColumn="0" w:lastRowLastColumn="0"/>
            <w:tcW w:w="0" w:type="pct"/>
          </w:tcPr>
          <w:p w14:paraId="5DBABD30" w14:textId="77777777" w:rsidR="004949CA" w:rsidRPr="00DE7F43" w:rsidRDefault="004949CA" w:rsidP="00331A63">
            <w:pPr>
              <w:rPr>
                <w:rFonts w:cs="Tahoma"/>
                <w:b w:val="0"/>
                <w:sz w:val="18"/>
                <w:szCs w:val="18"/>
                <w:lang w:eastAsia="hr-HR"/>
              </w:rPr>
            </w:pPr>
            <w:r w:rsidRPr="00DE7F43">
              <w:rPr>
                <w:rFonts w:cs="Tahoma"/>
                <w:sz w:val="18"/>
                <w:szCs w:val="18"/>
                <w:lang w:eastAsia="hr-HR"/>
              </w:rPr>
              <w:t>Obiteljska kuća</w:t>
            </w:r>
          </w:p>
        </w:tc>
        <w:tc>
          <w:tcPr>
            <w:tcW w:w="0" w:type="pct"/>
          </w:tcPr>
          <w:p w14:paraId="5FF8D432"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DE7F43">
              <w:rPr>
                <w:rFonts w:cs="Tahoma"/>
                <w:sz w:val="18"/>
                <w:szCs w:val="18"/>
                <w:lang w:eastAsia="hr-HR"/>
              </w:rPr>
              <w:t>93,75</w:t>
            </w:r>
          </w:p>
        </w:tc>
        <w:tc>
          <w:tcPr>
            <w:tcW w:w="0" w:type="pct"/>
          </w:tcPr>
          <w:p w14:paraId="67F1625F" w14:textId="77777777" w:rsidR="004949CA" w:rsidRPr="00DE7F43" w:rsidRDefault="004949CA" w:rsidP="00331A63">
            <w:pPr>
              <w:jc w:val="center"/>
              <w:cnfStyle w:val="000000000000" w:firstRow="0" w:lastRow="0" w:firstColumn="0" w:lastColumn="0" w:oddVBand="0" w:evenVBand="0" w:oddHBand="0" w:evenHBand="0" w:firstRowFirstColumn="0" w:firstRowLastColumn="0" w:lastRowFirstColumn="0" w:lastRowLastColumn="0"/>
              <w:rPr>
                <w:rFonts w:cs="Tahoma"/>
                <w:sz w:val="18"/>
                <w:szCs w:val="18"/>
                <w:lang w:eastAsia="hr-HR"/>
              </w:rPr>
            </w:pPr>
            <w:r w:rsidRPr="00DE7F43">
              <w:rPr>
                <w:rFonts w:cs="Tahoma"/>
                <w:sz w:val="18"/>
                <w:szCs w:val="18"/>
                <w:lang w:eastAsia="hr-HR"/>
              </w:rPr>
              <w:t>60,00</w:t>
            </w:r>
          </w:p>
        </w:tc>
      </w:tr>
    </w:tbl>
    <w:p w14:paraId="6A62AF5D" w14:textId="77777777" w:rsidR="004949CA" w:rsidRPr="00DE7F43" w:rsidRDefault="004949CA" w:rsidP="004949CA">
      <w:pPr>
        <w:rPr>
          <w:i/>
          <w:iCs/>
          <w:sz w:val="16"/>
          <w:szCs w:val="16"/>
          <w:lang w:eastAsia="hr-HR"/>
        </w:rPr>
      </w:pPr>
      <w:r w:rsidRPr="00DE7F43">
        <w:rPr>
          <w:i/>
          <w:iCs/>
          <w:sz w:val="16"/>
          <w:szCs w:val="16"/>
          <w:lang w:eastAsia="hr-HR"/>
        </w:rPr>
        <w:t xml:space="preserve">*navedene su maksimalne vrijednosti; dodatna ograničenja se primjenjuju kod zgrada s povoljnijim faktorom oblika u skladu s propisom. </w:t>
      </w:r>
    </w:p>
    <w:p w14:paraId="66EE70DA" w14:textId="77777777" w:rsidR="004949CA" w:rsidRPr="00086B1D" w:rsidRDefault="004949CA" w:rsidP="00974C8A">
      <w:pPr>
        <w:spacing w:before="120" w:after="120" w:line="240" w:lineRule="auto"/>
        <w:jc w:val="both"/>
        <w:rPr>
          <w:rFonts w:ascii="Tahoma" w:hAnsi="Tahoma" w:cs="Tahoma"/>
          <w:sz w:val="20"/>
          <w:szCs w:val="20"/>
        </w:rPr>
      </w:pPr>
      <w:r w:rsidRPr="00086B1D">
        <w:rPr>
          <w:rFonts w:ascii="Tahoma" w:hAnsi="Tahoma" w:cs="Tahoma"/>
          <w:sz w:val="20"/>
          <w:szCs w:val="20"/>
          <w:lang w:eastAsia="hr-HR"/>
        </w:rPr>
        <w:t>Propisane vrijednosti koje je potrebno postići nakon rekonstrukcije zgrade ovise o faktoru oblika zgrade. Iako je faktor oblika specifičan za svaku zgradu, za potrebe analize koristit će se podatci o faktorima oblika referentnih zgrada</w:t>
      </w:r>
      <w:r w:rsidRPr="00086B1D">
        <w:rPr>
          <w:rStyle w:val="Referencafusnote"/>
          <w:rFonts w:cs="Tahoma"/>
          <w:sz w:val="20"/>
          <w:szCs w:val="20"/>
        </w:rPr>
        <w:footnoteReference w:id="13"/>
      </w:r>
      <w:r w:rsidRPr="00086B1D">
        <w:rPr>
          <w:rFonts w:ascii="Tahoma" w:hAnsi="Tahoma" w:cs="Tahoma"/>
          <w:sz w:val="20"/>
          <w:szCs w:val="20"/>
          <w:lang w:eastAsia="hr-HR"/>
        </w:rPr>
        <w:t>, kako bi se dobile vrijednosti Q’’</w:t>
      </w:r>
      <w:proofErr w:type="spellStart"/>
      <w:r w:rsidRPr="00086B1D">
        <w:rPr>
          <w:rFonts w:ascii="Tahoma" w:hAnsi="Tahoma" w:cs="Tahoma"/>
          <w:sz w:val="20"/>
          <w:szCs w:val="20"/>
          <w:vertAlign w:val="subscript"/>
          <w:lang w:eastAsia="hr-HR"/>
        </w:rPr>
        <w:t>H,nd</w:t>
      </w:r>
      <w:proofErr w:type="spellEnd"/>
      <w:r w:rsidRPr="00086B1D">
        <w:rPr>
          <w:rFonts w:ascii="Tahoma" w:hAnsi="Tahoma" w:cs="Tahoma"/>
          <w:sz w:val="20"/>
          <w:szCs w:val="20"/>
          <w:vertAlign w:val="subscript"/>
          <w:lang w:eastAsia="hr-HR"/>
        </w:rPr>
        <w:t xml:space="preserve">  </w:t>
      </w:r>
      <w:r w:rsidRPr="00086B1D">
        <w:rPr>
          <w:rFonts w:ascii="Tahoma" w:hAnsi="Tahoma" w:cs="Tahoma"/>
          <w:sz w:val="20"/>
          <w:szCs w:val="20"/>
          <w:lang w:eastAsia="hr-HR"/>
        </w:rPr>
        <w:t xml:space="preserve">koje treba ostvariti nakon rekonstrukcije. </w:t>
      </w:r>
      <w:r w:rsidRPr="00086B1D">
        <w:rPr>
          <w:rFonts w:ascii="Tahoma" w:hAnsi="Tahoma" w:cs="Tahoma"/>
          <w:sz w:val="20"/>
          <w:szCs w:val="20"/>
          <w:vertAlign w:val="subscript"/>
          <w:lang w:eastAsia="hr-HR"/>
        </w:rPr>
        <w:t xml:space="preserve"> </w:t>
      </w:r>
    </w:p>
    <w:p w14:paraId="646C54E1" w14:textId="5644FB3D" w:rsidR="004949CA" w:rsidRPr="00DE7F43" w:rsidRDefault="004949CA" w:rsidP="004949CA">
      <w:pPr>
        <w:pStyle w:val="Opisslike"/>
        <w:rPr>
          <w:lang w:eastAsia="hr-HR"/>
        </w:rPr>
      </w:pPr>
      <w:bookmarkStart w:id="104" w:name="_Ref83114981"/>
      <w:bookmarkStart w:id="105" w:name="_Toc72081548"/>
      <w:bookmarkStart w:id="106" w:name="_Toc84240496"/>
      <w:r w:rsidRPr="00DE7F43">
        <w:t xml:space="preserve">Tablica </w:t>
      </w:r>
      <w:r w:rsidRPr="00DE7F43">
        <w:fldChar w:fldCharType="begin"/>
      </w:r>
      <w:r w:rsidRPr="00DE7F43">
        <w:instrText>STYLEREF 1 \s</w:instrText>
      </w:r>
      <w:r w:rsidRPr="00DE7F43">
        <w:fldChar w:fldCharType="separate"/>
      </w:r>
      <w:r w:rsidR="00575AF9">
        <w:rPr>
          <w:noProof/>
        </w:rPr>
        <w:t>3</w:t>
      </w:r>
      <w:r w:rsidRPr="00DE7F43">
        <w:fldChar w:fldCharType="end"/>
      </w:r>
      <w:r w:rsidR="00931EC7">
        <w:noBreakHyphen/>
      </w:r>
      <w:r>
        <w:fldChar w:fldCharType="begin"/>
      </w:r>
      <w:r>
        <w:instrText>SEQ Tablica \* ARABIC \s 1</w:instrText>
      </w:r>
      <w:r>
        <w:fldChar w:fldCharType="separate"/>
      </w:r>
      <w:r w:rsidR="00575AF9">
        <w:rPr>
          <w:noProof/>
        </w:rPr>
        <w:t>13</w:t>
      </w:r>
      <w:r>
        <w:fldChar w:fldCharType="end"/>
      </w:r>
      <w:bookmarkEnd w:id="104"/>
      <w:r w:rsidRPr="00DE7F43">
        <w:rPr>
          <w:noProof/>
        </w:rPr>
        <w:t>:</w:t>
      </w:r>
      <w:r w:rsidRPr="00DE7F43">
        <w:t xml:space="preserve"> Propisane vrijednosti Q’’</w:t>
      </w:r>
      <w:proofErr w:type="spellStart"/>
      <w:r w:rsidRPr="00DE7F43">
        <w:rPr>
          <w:vertAlign w:val="subscript"/>
        </w:rPr>
        <w:t>H,nd</w:t>
      </w:r>
      <w:proofErr w:type="spellEnd"/>
      <w:r w:rsidRPr="00DE7F43">
        <w:t xml:space="preserve"> nakon rekonstrukcije prema Tehničkom propisu za referentne </w:t>
      </w:r>
      <w:bookmarkEnd w:id="105"/>
      <w:r w:rsidRPr="00DE7F43">
        <w:t>VSZ</w:t>
      </w:r>
      <w:bookmarkEnd w:id="106"/>
    </w:p>
    <w:tbl>
      <w:tblPr>
        <w:tblStyle w:val="Svijetlatablicareetke110"/>
        <w:tblW w:w="5000" w:type="pct"/>
        <w:tblLook w:val="04A0" w:firstRow="1" w:lastRow="0" w:firstColumn="1" w:lastColumn="0" w:noHBand="0" w:noVBand="1"/>
      </w:tblPr>
      <w:tblGrid>
        <w:gridCol w:w="2127"/>
        <w:gridCol w:w="1157"/>
        <w:gridCol w:w="1156"/>
        <w:gridCol w:w="1156"/>
        <w:gridCol w:w="1156"/>
        <w:gridCol w:w="1156"/>
        <w:gridCol w:w="1154"/>
      </w:tblGrid>
      <w:tr w:rsidR="004949CA" w:rsidRPr="00DE7F43" w14:paraId="24A7C5DF"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B0114FB" w14:textId="77777777" w:rsidR="004949CA" w:rsidRPr="00DE7F43" w:rsidRDefault="004949CA" w:rsidP="00331A63">
            <w:pPr>
              <w:rPr>
                <w:rFonts w:cs="Tahoma"/>
                <w:sz w:val="18"/>
                <w:szCs w:val="18"/>
              </w:rPr>
            </w:pPr>
          </w:p>
        </w:tc>
        <w:tc>
          <w:tcPr>
            <w:tcW w:w="0" w:type="pct"/>
            <w:gridSpan w:val="3"/>
          </w:tcPr>
          <w:p w14:paraId="638EA178" w14:textId="77777777" w:rsidR="004949CA" w:rsidRPr="00DE7F43" w:rsidRDefault="004949CA" w:rsidP="00331A63">
            <w:pPr>
              <w:jc w:val="center"/>
              <w:cnfStyle w:val="100000000000" w:firstRow="1" w:lastRow="0" w:firstColumn="0" w:lastColumn="0" w:oddVBand="0" w:evenVBand="0" w:oddHBand="0" w:evenHBand="0" w:firstRowFirstColumn="0" w:firstRowLastColumn="0" w:lastRowFirstColumn="0" w:lastRowLastColumn="0"/>
              <w:rPr>
                <w:rFonts w:cs="Tahoma"/>
                <w:b w:val="0"/>
                <w:sz w:val="18"/>
                <w:szCs w:val="18"/>
              </w:rPr>
            </w:pPr>
            <w:r w:rsidRPr="00DE7F43">
              <w:rPr>
                <w:rFonts w:cs="Tahoma"/>
                <w:sz w:val="18"/>
                <w:szCs w:val="18"/>
              </w:rPr>
              <w:t>Kontinentalna</w:t>
            </w:r>
          </w:p>
        </w:tc>
        <w:tc>
          <w:tcPr>
            <w:tcW w:w="0" w:type="pct"/>
            <w:gridSpan w:val="3"/>
          </w:tcPr>
          <w:p w14:paraId="71D572F3" w14:textId="77777777" w:rsidR="004949CA" w:rsidRPr="00DE7F43" w:rsidRDefault="004949CA" w:rsidP="00331A63">
            <w:pPr>
              <w:jc w:val="center"/>
              <w:cnfStyle w:val="100000000000" w:firstRow="1" w:lastRow="0" w:firstColumn="0" w:lastColumn="0" w:oddVBand="0" w:evenVBand="0" w:oddHBand="0" w:evenHBand="0" w:firstRowFirstColumn="0" w:firstRowLastColumn="0" w:lastRowFirstColumn="0" w:lastRowLastColumn="0"/>
              <w:rPr>
                <w:rFonts w:cs="Tahoma"/>
                <w:b w:val="0"/>
                <w:sz w:val="18"/>
                <w:szCs w:val="18"/>
              </w:rPr>
            </w:pPr>
            <w:r w:rsidRPr="00DE7F43">
              <w:rPr>
                <w:rFonts w:cs="Tahoma"/>
                <w:sz w:val="18"/>
                <w:szCs w:val="18"/>
              </w:rPr>
              <w:t>Primorska</w:t>
            </w:r>
          </w:p>
        </w:tc>
      </w:tr>
      <w:tr w:rsidR="004949CA" w:rsidRPr="00DE7F43" w14:paraId="527FFA92" w14:textId="77777777" w:rsidTr="00331A63">
        <w:tc>
          <w:tcPr>
            <w:cnfStyle w:val="001000000000" w:firstRow="0" w:lastRow="0" w:firstColumn="1" w:lastColumn="0" w:oddVBand="0" w:evenVBand="0" w:oddHBand="0" w:evenHBand="0" w:firstRowFirstColumn="0" w:firstRowLastColumn="0" w:lastRowFirstColumn="0" w:lastRowLastColumn="0"/>
            <w:tcW w:w="1173" w:type="pct"/>
          </w:tcPr>
          <w:p w14:paraId="535EBD93" w14:textId="77777777" w:rsidR="004949CA" w:rsidRPr="00DE7F43" w:rsidRDefault="004949CA" w:rsidP="00331A63">
            <w:pPr>
              <w:rPr>
                <w:rFonts w:cs="Tahoma"/>
                <w:sz w:val="18"/>
                <w:szCs w:val="18"/>
              </w:rPr>
            </w:pPr>
            <w:r w:rsidRPr="00DE7F43">
              <w:rPr>
                <w:rFonts w:cs="Tahoma"/>
                <w:sz w:val="18"/>
                <w:szCs w:val="18"/>
              </w:rPr>
              <w:t>Razdoblje izgradnje</w:t>
            </w:r>
          </w:p>
        </w:tc>
        <w:tc>
          <w:tcPr>
            <w:tcW w:w="638" w:type="pct"/>
          </w:tcPr>
          <w:p w14:paraId="749B87C4"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Prije 1970.</w:t>
            </w:r>
          </w:p>
        </w:tc>
        <w:tc>
          <w:tcPr>
            <w:tcW w:w="638" w:type="pct"/>
          </w:tcPr>
          <w:p w14:paraId="0DB46277"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1971.-2005.</w:t>
            </w:r>
          </w:p>
        </w:tc>
        <w:tc>
          <w:tcPr>
            <w:tcW w:w="638" w:type="pct"/>
            <w:shd w:val="clear" w:color="auto" w:fill="D0CECE" w:themeFill="background2" w:themeFillShade="E6"/>
          </w:tcPr>
          <w:p w14:paraId="5C32373C"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Nakon 2006.*</w:t>
            </w:r>
          </w:p>
        </w:tc>
        <w:tc>
          <w:tcPr>
            <w:tcW w:w="638" w:type="pct"/>
          </w:tcPr>
          <w:p w14:paraId="0D7DE7FE"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Prije 1970.</w:t>
            </w:r>
          </w:p>
        </w:tc>
        <w:tc>
          <w:tcPr>
            <w:tcW w:w="638" w:type="pct"/>
          </w:tcPr>
          <w:p w14:paraId="3239C408"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1971.-2005.</w:t>
            </w:r>
          </w:p>
        </w:tc>
        <w:tc>
          <w:tcPr>
            <w:tcW w:w="637" w:type="pct"/>
            <w:shd w:val="clear" w:color="auto" w:fill="D0CECE" w:themeFill="background2" w:themeFillShade="E6"/>
          </w:tcPr>
          <w:p w14:paraId="6D2228B1"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Nakon 2006.*</w:t>
            </w:r>
          </w:p>
        </w:tc>
      </w:tr>
      <w:tr w:rsidR="004949CA" w:rsidRPr="00DE7F43" w14:paraId="07CB42BD" w14:textId="77777777" w:rsidTr="00331A63">
        <w:tc>
          <w:tcPr>
            <w:cnfStyle w:val="001000000000" w:firstRow="0" w:lastRow="0" w:firstColumn="1" w:lastColumn="0" w:oddVBand="0" w:evenVBand="0" w:oddHBand="0" w:evenHBand="0" w:firstRowFirstColumn="0" w:firstRowLastColumn="0" w:lastRowFirstColumn="0" w:lastRowLastColumn="0"/>
            <w:tcW w:w="1173" w:type="pct"/>
          </w:tcPr>
          <w:p w14:paraId="12BC9F04" w14:textId="77777777" w:rsidR="004949CA" w:rsidRPr="00DE7F43" w:rsidRDefault="004949CA" w:rsidP="00331A63">
            <w:pPr>
              <w:rPr>
                <w:rFonts w:cs="Tahoma"/>
                <w:sz w:val="18"/>
                <w:szCs w:val="18"/>
              </w:rPr>
            </w:pPr>
            <w:r w:rsidRPr="00DE7F43">
              <w:rPr>
                <w:rFonts w:cs="Tahoma"/>
                <w:sz w:val="18"/>
                <w:szCs w:val="18"/>
              </w:rPr>
              <w:t>Faktor oblika f</w:t>
            </w:r>
            <w:r w:rsidRPr="00DE7F43">
              <w:rPr>
                <w:rFonts w:cs="Tahoma"/>
                <w:sz w:val="18"/>
                <w:szCs w:val="18"/>
                <w:vertAlign w:val="subscript"/>
              </w:rPr>
              <w:t>0</w:t>
            </w:r>
          </w:p>
        </w:tc>
        <w:tc>
          <w:tcPr>
            <w:tcW w:w="638" w:type="pct"/>
          </w:tcPr>
          <w:p w14:paraId="692D061C"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0,5</w:t>
            </w:r>
          </w:p>
        </w:tc>
        <w:tc>
          <w:tcPr>
            <w:tcW w:w="638" w:type="pct"/>
          </w:tcPr>
          <w:p w14:paraId="7F506012"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0,47</w:t>
            </w:r>
          </w:p>
        </w:tc>
        <w:tc>
          <w:tcPr>
            <w:tcW w:w="638" w:type="pct"/>
            <w:shd w:val="clear" w:color="auto" w:fill="D0CECE" w:themeFill="background2" w:themeFillShade="E6"/>
          </w:tcPr>
          <w:p w14:paraId="49829510"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tcPr>
          <w:p w14:paraId="319D70D6"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0,55</w:t>
            </w:r>
          </w:p>
        </w:tc>
        <w:tc>
          <w:tcPr>
            <w:tcW w:w="638" w:type="pct"/>
          </w:tcPr>
          <w:p w14:paraId="7FFE9C67"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0,49</w:t>
            </w:r>
          </w:p>
        </w:tc>
        <w:tc>
          <w:tcPr>
            <w:tcW w:w="637" w:type="pct"/>
            <w:shd w:val="clear" w:color="auto" w:fill="D0CECE" w:themeFill="background2" w:themeFillShade="E6"/>
          </w:tcPr>
          <w:p w14:paraId="65C31360"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r>
      <w:tr w:rsidR="004949CA" w:rsidRPr="00DE7F43" w14:paraId="1E97C556" w14:textId="77777777" w:rsidTr="00331A63">
        <w:tc>
          <w:tcPr>
            <w:cnfStyle w:val="001000000000" w:firstRow="0" w:lastRow="0" w:firstColumn="1" w:lastColumn="0" w:oddVBand="0" w:evenVBand="0" w:oddHBand="0" w:evenHBand="0" w:firstRowFirstColumn="0" w:firstRowLastColumn="0" w:lastRowFirstColumn="0" w:lastRowLastColumn="0"/>
            <w:tcW w:w="1173" w:type="pct"/>
          </w:tcPr>
          <w:p w14:paraId="1BCBFF9D" w14:textId="77777777" w:rsidR="004949CA" w:rsidRPr="00DE7F43" w:rsidRDefault="004949CA" w:rsidP="00331A63">
            <w:pPr>
              <w:rPr>
                <w:rFonts w:cs="Tahoma"/>
                <w:sz w:val="18"/>
                <w:szCs w:val="18"/>
              </w:rPr>
            </w:pPr>
            <w:r w:rsidRPr="00DE7F43">
              <w:rPr>
                <w:rFonts w:cs="Tahoma"/>
                <w:sz w:val="18"/>
                <w:szCs w:val="18"/>
              </w:rPr>
              <w:t>Nakon rekonstrukcije  Q’’</w:t>
            </w:r>
            <w:proofErr w:type="spellStart"/>
            <w:r w:rsidRPr="00DE7F43">
              <w:rPr>
                <w:rFonts w:cs="Tahoma"/>
                <w:sz w:val="18"/>
                <w:szCs w:val="18"/>
                <w:vertAlign w:val="subscript"/>
              </w:rPr>
              <w:t>H,nd</w:t>
            </w:r>
            <w:proofErr w:type="spellEnd"/>
            <w:r w:rsidRPr="00DE7F43">
              <w:rPr>
                <w:rFonts w:cs="Tahoma"/>
                <w:sz w:val="18"/>
                <w:szCs w:val="18"/>
                <w:vertAlign w:val="subscript"/>
              </w:rPr>
              <w:t xml:space="preserve"> </w:t>
            </w:r>
            <w:r w:rsidRPr="00DE7F43">
              <w:rPr>
                <w:rFonts w:cs="Tahoma"/>
                <w:sz w:val="18"/>
                <w:szCs w:val="18"/>
              </w:rPr>
              <w:t>[kWh/(m</w:t>
            </w:r>
            <w:r w:rsidRPr="00DE7F43">
              <w:rPr>
                <w:rFonts w:cs="Tahoma"/>
                <w:sz w:val="18"/>
                <w:szCs w:val="18"/>
                <w:vertAlign w:val="superscript"/>
              </w:rPr>
              <w:t>2</w:t>
            </w:r>
            <w:r w:rsidRPr="00DE7F43">
              <w:rPr>
                <w:rFonts w:cs="Tahoma"/>
                <w:sz w:val="18"/>
                <w:szCs w:val="18"/>
              </w:rPr>
              <w:t xml:space="preserve">·a)] </w:t>
            </w:r>
          </w:p>
        </w:tc>
        <w:tc>
          <w:tcPr>
            <w:tcW w:w="638" w:type="pct"/>
          </w:tcPr>
          <w:p w14:paraId="7C19F14A"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65,86</w:t>
            </w:r>
          </w:p>
        </w:tc>
        <w:tc>
          <w:tcPr>
            <w:tcW w:w="638" w:type="pct"/>
          </w:tcPr>
          <w:p w14:paraId="0A4A9A20"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64,33</w:t>
            </w:r>
          </w:p>
        </w:tc>
        <w:tc>
          <w:tcPr>
            <w:tcW w:w="638" w:type="pct"/>
            <w:shd w:val="clear" w:color="auto" w:fill="D0CECE" w:themeFill="background2" w:themeFillShade="E6"/>
          </w:tcPr>
          <w:p w14:paraId="6B076303"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tcPr>
          <w:p w14:paraId="156E5C6F"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36,47</w:t>
            </w:r>
          </w:p>
        </w:tc>
        <w:tc>
          <w:tcPr>
            <w:tcW w:w="638" w:type="pct"/>
          </w:tcPr>
          <w:p w14:paraId="45DCC8FE"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34,85</w:t>
            </w:r>
          </w:p>
        </w:tc>
        <w:tc>
          <w:tcPr>
            <w:tcW w:w="637" w:type="pct"/>
            <w:shd w:val="clear" w:color="auto" w:fill="D0CECE" w:themeFill="background2" w:themeFillShade="E6"/>
          </w:tcPr>
          <w:p w14:paraId="42179ABB"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r>
    </w:tbl>
    <w:p w14:paraId="3F7A4012" w14:textId="77777777" w:rsidR="004949CA" w:rsidRPr="00DE7F43" w:rsidRDefault="004949CA" w:rsidP="004949CA">
      <w:pPr>
        <w:pStyle w:val="Opisslike"/>
        <w:spacing w:before="0" w:after="0"/>
      </w:pPr>
      <w:r w:rsidRPr="00DE7F43">
        <w:t xml:space="preserve">* Zgrade izgrađene nakon 2006. godine ne obrađuju se jer nisu izgledni kandidati za energetsku obnovu s obzirom da su morale ispuniti minimalne zahtjeve toplinske zaštite prema tadašnjem tehničkom propisu. </w:t>
      </w:r>
    </w:p>
    <w:p w14:paraId="4FF8C57C" w14:textId="6A58A1BB" w:rsidR="004949CA" w:rsidRPr="00DE7F43" w:rsidRDefault="00703BB4" w:rsidP="00F7592C">
      <w:pPr>
        <w:spacing w:before="120" w:after="120" w:line="240" w:lineRule="auto"/>
        <w:jc w:val="both"/>
        <w:rPr>
          <w:rFonts w:cs="Tahoma"/>
          <w:sz w:val="18"/>
          <w:szCs w:val="18"/>
        </w:rPr>
      </w:pPr>
      <w:r>
        <w:t>Tablica 3-4</w:t>
      </w:r>
      <w:r w:rsidR="004949CA" w:rsidRPr="00DE7F43">
        <w:t xml:space="preserve"> i </w:t>
      </w:r>
      <w:r w:rsidR="00ED1525">
        <w:fldChar w:fldCharType="begin"/>
      </w:r>
      <w:r w:rsidR="00ED1525">
        <w:instrText xml:space="preserve"> REF _Ref72136911 \h </w:instrText>
      </w:r>
      <w:r w:rsidR="005A60FE">
        <w:instrText xml:space="preserve"> \* MERGEFORMAT </w:instrText>
      </w:r>
      <w:r w:rsidR="00ED1525">
        <w:fldChar w:fldCharType="separate"/>
      </w:r>
      <w:r w:rsidR="00575AF9" w:rsidRPr="00DE7F43">
        <w:t xml:space="preserve">Tablica </w:t>
      </w:r>
      <w:r w:rsidR="00575AF9">
        <w:rPr>
          <w:noProof/>
        </w:rPr>
        <w:t>3</w:t>
      </w:r>
      <w:r w:rsidR="00575AF9" w:rsidRPr="00DE7F43">
        <w:noBreakHyphen/>
      </w:r>
      <w:r w:rsidR="00575AF9">
        <w:rPr>
          <w:noProof/>
        </w:rPr>
        <w:t>7</w:t>
      </w:r>
      <w:r w:rsidR="00ED1525">
        <w:fldChar w:fldCharType="end"/>
      </w:r>
      <w:r w:rsidR="004949CA" w:rsidRPr="00DE7F43">
        <w:t xml:space="preserve"> daju podloge za utvrđivanje prosječne vrijednosti </w:t>
      </w:r>
      <w:r w:rsidR="004949CA" w:rsidRPr="00DE7F43">
        <w:rPr>
          <w:rFonts w:cs="Tahoma"/>
          <w:sz w:val="18"/>
          <w:szCs w:val="18"/>
        </w:rPr>
        <w:t>Q’’</w:t>
      </w:r>
      <w:proofErr w:type="spellStart"/>
      <w:r w:rsidR="004949CA" w:rsidRPr="00DE7F43">
        <w:rPr>
          <w:rFonts w:cs="Tahoma"/>
          <w:sz w:val="18"/>
          <w:szCs w:val="18"/>
          <w:vertAlign w:val="subscript"/>
        </w:rPr>
        <w:t>H,nd</w:t>
      </w:r>
      <w:proofErr w:type="spellEnd"/>
      <w:r w:rsidR="004949CA" w:rsidRPr="00DE7F43">
        <w:rPr>
          <w:rFonts w:cs="Tahoma"/>
          <w:sz w:val="18"/>
          <w:szCs w:val="18"/>
        </w:rPr>
        <w:t xml:space="preserve"> </w:t>
      </w:r>
      <w:r w:rsidR="004949CA" w:rsidRPr="00ED1525">
        <w:rPr>
          <w:rFonts w:ascii="Tahoma" w:hAnsi="Tahoma" w:cs="Tahoma"/>
          <w:sz w:val="20"/>
          <w:szCs w:val="20"/>
        </w:rPr>
        <w:t xml:space="preserve">prije rekonstrukcije, koje prikazuje </w:t>
      </w:r>
      <w:r w:rsidR="00FD5586">
        <w:rPr>
          <w:rFonts w:ascii="Tahoma" w:hAnsi="Tahoma" w:cs="Tahoma"/>
          <w:sz w:val="20"/>
          <w:szCs w:val="20"/>
        </w:rPr>
        <w:fldChar w:fldCharType="begin"/>
      </w:r>
      <w:r w:rsidR="00FD5586">
        <w:rPr>
          <w:rFonts w:ascii="Tahoma" w:hAnsi="Tahoma" w:cs="Tahoma"/>
          <w:sz w:val="20"/>
          <w:szCs w:val="20"/>
        </w:rPr>
        <w:instrText xml:space="preserve"> REF _Ref83114921 \h </w:instrText>
      </w:r>
      <w:r w:rsidR="005A60FE">
        <w:rPr>
          <w:rFonts w:ascii="Tahoma" w:hAnsi="Tahoma" w:cs="Tahoma"/>
          <w:sz w:val="20"/>
          <w:szCs w:val="20"/>
        </w:rPr>
        <w:instrText xml:space="preserve"> \* MERGEFORMAT </w:instrText>
      </w:r>
      <w:r w:rsidR="00FD5586">
        <w:rPr>
          <w:rFonts w:ascii="Tahoma" w:hAnsi="Tahoma" w:cs="Tahoma"/>
          <w:sz w:val="20"/>
          <w:szCs w:val="20"/>
        </w:rPr>
      </w:r>
      <w:r w:rsidR="00FD5586">
        <w:rPr>
          <w:rFonts w:ascii="Tahoma" w:hAnsi="Tahoma" w:cs="Tahoma"/>
          <w:sz w:val="20"/>
          <w:szCs w:val="20"/>
        </w:rPr>
        <w:fldChar w:fldCharType="separate"/>
      </w:r>
      <w:r w:rsidR="002F6734" w:rsidRPr="00DE7F43">
        <w:t xml:space="preserve">Tablica </w:t>
      </w:r>
      <w:r w:rsidR="002F6734">
        <w:rPr>
          <w:noProof/>
        </w:rPr>
        <w:t>3</w:t>
      </w:r>
      <w:r w:rsidR="002F6734">
        <w:noBreakHyphen/>
      </w:r>
      <w:r w:rsidR="002F6734">
        <w:rPr>
          <w:noProof/>
        </w:rPr>
        <w:t>14</w:t>
      </w:r>
      <w:r w:rsidR="00FD5586">
        <w:rPr>
          <w:rFonts w:ascii="Tahoma" w:hAnsi="Tahoma" w:cs="Tahoma"/>
          <w:sz w:val="20"/>
          <w:szCs w:val="20"/>
        </w:rPr>
        <w:fldChar w:fldCharType="end"/>
      </w:r>
      <w:r w:rsidR="004949CA" w:rsidRPr="00DE7F43">
        <w:rPr>
          <w:rFonts w:cs="Tahoma"/>
          <w:sz w:val="18"/>
          <w:szCs w:val="18"/>
        </w:rPr>
        <w:t>.</w:t>
      </w:r>
    </w:p>
    <w:p w14:paraId="15BD02D0" w14:textId="122F6F99" w:rsidR="004949CA" w:rsidRPr="00DE7F43" w:rsidRDefault="004949CA" w:rsidP="004949CA">
      <w:pPr>
        <w:pStyle w:val="Opisslike"/>
        <w:rPr>
          <w:lang w:eastAsia="hr-HR"/>
        </w:rPr>
      </w:pPr>
      <w:bookmarkStart w:id="107" w:name="_Ref83114921"/>
      <w:bookmarkStart w:id="108" w:name="_Toc72081549"/>
      <w:bookmarkStart w:id="109" w:name="_Toc84240497"/>
      <w:r w:rsidRPr="00DE7F43">
        <w:t xml:space="preserve">Tablica </w:t>
      </w:r>
      <w:r w:rsidRPr="00DE7F43">
        <w:fldChar w:fldCharType="begin"/>
      </w:r>
      <w:r w:rsidRPr="00DE7F43">
        <w:instrText>STYLEREF 1 \s</w:instrText>
      </w:r>
      <w:r w:rsidRPr="00DE7F43">
        <w:fldChar w:fldCharType="separate"/>
      </w:r>
      <w:r w:rsidR="00575AF9">
        <w:rPr>
          <w:noProof/>
        </w:rPr>
        <w:t>3</w:t>
      </w:r>
      <w:r w:rsidRPr="00DE7F43">
        <w:fldChar w:fldCharType="end"/>
      </w:r>
      <w:r w:rsidR="00931EC7">
        <w:noBreakHyphen/>
      </w:r>
      <w:r>
        <w:fldChar w:fldCharType="begin"/>
      </w:r>
      <w:r>
        <w:instrText>SEQ Tablica \* ARABIC \s 1</w:instrText>
      </w:r>
      <w:r>
        <w:fldChar w:fldCharType="separate"/>
      </w:r>
      <w:r w:rsidR="00575AF9">
        <w:rPr>
          <w:noProof/>
        </w:rPr>
        <w:t>14</w:t>
      </w:r>
      <w:r>
        <w:fldChar w:fldCharType="end"/>
      </w:r>
      <w:bookmarkEnd w:id="107"/>
      <w:r w:rsidRPr="00DE7F43">
        <w:rPr>
          <w:noProof/>
        </w:rPr>
        <w:t>:</w:t>
      </w:r>
      <w:r w:rsidRPr="00DE7F43">
        <w:t xml:space="preserve"> Prosječne vrijednosti Q’’</w:t>
      </w:r>
      <w:proofErr w:type="spellStart"/>
      <w:r w:rsidRPr="00DE7F43">
        <w:rPr>
          <w:vertAlign w:val="subscript"/>
        </w:rPr>
        <w:t>H,nd</w:t>
      </w:r>
      <w:proofErr w:type="spellEnd"/>
      <w:r w:rsidRPr="00DE7F43">
        <w:t xml:space="preserve"> prije rekonstrukcije za VSZ prema godini izgradnje i klimatskoj zoni</w:t>
      </w:r>
      <w:bookmarkEnd w:id="108"/>
      <w:bookmarkEnd w:id="109"/>
    </w:p>
    <w:tbl>
      <w:tblPr>
        <w:tblStyle w:val="Svijetlatablicareetke110"/>
        <w:tblW w:w="5000" w:type="pct"/>
        <w:tblLook w:val="04A0" w:firstRow="1" w:lastRow="0" w:firstColumn="1" w:lastColumn="0" w:noHBand="0" w:noVBand="1"/>
      </w:tblPr>
      <w:tblGrid>
        <w:gridCol w:w="2127"/>
        <w:gridCol w:w="1157"/>
        <w:gridCol w:w="1156"/>
        <w:gridCol w:w="1156"/>
        <w:gridCol w:w="1156"/>
        <w:gridCol w:w="1156"/>
        <w:gridCol w:w="1154"/>
      </w:tblGrid>
      <w:tr w:rsidR="004949CA" w:rsidRPr="00DE7F43" w14:paraId="22F65B6A"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0F219419" w14:textId="77777777" w:rsidR="004949CA" w:rsidRPr="00DE7F43" w:rsidRDefault="004949CA" w:rsidP="00331A63">
            <w:pPr>
              <w:rPr>
                <w:rFonts w:cs="Tahoma"/>
                <w:sz w:val="18"/>
                <w:szCs w:val="18"/>
              </w:rPr>
            </w:pPr>
          </w:p>
        </w:tc>
        <w:tc>
          <w:tcPr>
            <w:tcW w:w="0" w:type="pct"/>
            <w:gridSpan w:val="3"/>
          </w:tcPr>
          <w:p w14:paraId="163B2ED8" w14:textId="77777777" w:rsidR="004949CA" w:rsidRPr="00DE7F43" w:rsidRDefault="004949CA" w:rsidP="00331A63">
            <w:pPr>
              <w:jc w:val="center"/>
              <w:cnfStyle w:val="100000000000" w:firstRow="1" w:lastRow="0" w:firstColumn="0" w:lastColumn="0" w:oddVBand="0" w:evenVBand="0" w:oddHBand="0" w:evenHBand="0" w:firstRowFirstColumn="0" w:firstRowLastColumn="0" w:lastRowFirstColumn="0" w:lastRowLastColumn="0"/>
              <w:rPr>
                <w:rFonts w:cs="Tahoma"/>
                <w:b w:val="0"/>
                <w:sz w:val="18"/>
                <w:szCs w:val="18"/>
              </w:rPr>
            </w:pPr>
            <w:r w:rsidRPr="00DE7F43">
              <w:rPr>
                <w:rFonts w:cs="Tahoma"/>
                <w:sz w:val="18"/>
                <w:szCs w:val="18"/>
              </w:rPr>
              <w:t>Kontinentalna</w:t>
            </w:r>
          </w:p>
        </w:tc>
        <w:tc>
          <w:tcPr>
            <w:tcW w:w="0" w:type="pct"/>
            <w:gridSpan w:val="3"/>
          </w:tcPr>
          <w:p w14:paraId="7780CAF0" w14:textId="77777777" w:rsidR="004949CA" w:rsidRPr="00DE7F43" w:rsidRDefault="004949CA" w:rsidP="00331A63">
            <w:pPr>
              <w:jc w:val="center"/>
              <w:cnfStyle w:val="100000000000" w:firstRow="1" w:lastRow="0" w:firstColumn="0" w:lastColumn="0" w:oddVBand="0" w:evenVBand="0" w:oddHBand="0" w:evenHBand="0" w:firstRowFirstColumn="0" w:firstRowLastColumn="0" w:lastRowFirstColumn="0" w:lastRowLastColumn="0"/>
              <w:rPr>
                <w:rFonts w:cs="Tahoma"/>
                <w:b w:val="0"/>
                <w:sz w:val="18"/>
                <w:szCs w:val="18"/>
              </w:rPr>
            </w:pPr>
            <w:r w:rsidRPr="00DE7F43">
              <w:rPr>
                <w:rFonts w:cs="Tahoma"/>
                <w:sz w:val="18"/>
                <w:szCs w:val="18"/>
              </w:rPr>
              <w:t>Primorska</w:t>
            </w:r>
          </w:p>
        </w:tc>
      </w:tr>
      <w:tr w:rsidR="004949CA" w:rsidRPr="00DE7F43" w14:paraId="24B8A9F2" w14:textId="77777777" w:rsidTr="00331A63">
        <w:tc>
          <w:tcPr>
            <w:cnfStyle w:val="001000000000" w:firstRow="0" w:lastRow="0" w:firstColumn="1" w:lastColumn="0" w:oddVBand="0" w:evenVBand="0" w:oddHBand="0" w:evenHBand="0" w:firstRowFirstColumn="0" w:firstRowLastColumn="0" w:lastRowFirstColumn="0" w:lastRowLastColumn="0"/>
            <w:tcW w:w="1173" w:type="pct"/>
          </w:tcPr>
          <w:p w14:paraId="601DBFA8" w14:textId="77777777" w:rsidR="004949CA" w:rsidRPr="00DE7F43" w:rsidRDefault="004949CA" w:rsidP="00331A63">
            <w:pPr>
              <w:rPr>
                <w:rFonts w:cs="Tahoma"/>
                <w:sz w:val="18"/>
                <w:szCs w:val="18"/>
              </w:rPr>
            </w:pPr>
            <w:r w:rsidRPr="00DE7F43">
              <w:rPr>
                <w:rFonts w:cs="Tahoma"/>
                <w:sz w:val="18"/>
                <w:szCs w:val="18"/>
              </w:rPr>
              <w:t>Razdoblje izgradnje</w:t>
            </w:r>
          </w:p>
        </w:tc>
        <w:tc>
          <w:tcPr>
            <w:tcW w:w="638" w:type="pct"/>
          </w:tcPr>
          <w:p w14:paraId="704E7B2D"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Prije 1970.</w:t>
            </w:r>
          </w:p>
        </w:tc>
        <w:tc>
          <w:tcPr>
            <w:tcW w:w="638" w:type="pct"/>
          </w:tcPr>
          <w:p w14:paraId="0DD863D0"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1971.-2005.</w:t>
            </w:r>
          </w:p>
        </w:tc>
        <w:tc>
          <w:tcPr>
            <w:tcW w:w="638" w:type="pct"/>
            <w:shd w:val="clear" w:color="auto" w:fill="D0CECE" w:themeFill="background2" w:themeFillShade="E6"/>
          </w:tcPr>
          <w:p w14:paraId="4179DCC8"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Nakon 2006.</w:t>
            </w:r>
          </w:p>
        </w:tc>
        <w:tc>
          <w:tcPr>
            <w:tcW w:w="638" w:type="pct"/>
          </w:tcPr>
          <w:p w14:paraId="7B17C3A9"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Prije 1970.</w:t>
            </w:r>
          </w:p>
        </w:tc>
        <w:tc>
          <w:tcPr>
            <w:tcW w:w="638" w:type="pct"/>
          </w:tcPr>
          <w:p w14:paraId="59BA36E2"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1971.-2005.</w:t>
            </w:r>
          </w:p>
        </w:tc>
        <w:tc>
          <w:tcPr>
            <w:tcW w:w="637" w:type="pct"/>
            <w:shd w:val="clear" w:color="auto" w:fill="D0CECE" w:themeFill="background2" w:themeFillShade="E6"/>
          </w:tcPr>
          <w:p w14:paraId="57D86C1E" w14:textId="77777777" w:rsidR="004949CA" w:rsidRPr="00DE7F43" w:rsidRDefault="004949CA" w:rsidP="00331A63">
            <w:pPr>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sz w:val="18"/>
                <w:szCs w:val="18"/>
              </w:rPr>
              <w:t>Nakon 2006.</w:t>
            </w:r>
          </w:p>
        </w:tc>
      </w:tr>
      <w:tr w:rsidR="004949CA" w:rsidRPr="00DE7F43" w14:paraId="74229DDF" w14:textId="77777777" w:rsidTr="00331A63">
        <w:tc>
          <w:tcPr>
            <w:cnfStyle w:val="001000000000" w:firstRow="0" w:lastRow="0" w:firstColumn="1" w:lastColumn="0" w:oddVBand="0" w:evenVBand="0" w:oddHBand="0" w:evenHBand="0" w:firstRowFirstColumn="0" w:firstRowLastColumn="0" w:lastRowFirstColumn="0" w:lastRowLastColumn="0"/>
            <w:tcW w:w="1173" w:type="pct"/>
          </w:tcPr>
          <w:p w14:paraId="5B5C63BB" w14:textId="77777777" w:rsidR="004949CA" w:rsidRPr="00DE7F43" w:rsidRDefault="004949CA" w:rsidP="00331A63">
            <w:pPr>
              <w:rPr>
                <w:rFonts w:cs="Tahoma"/>
                <w:sz w:val="18"/>
                <w:szCs w:val="18"/>
              </w:rPr>
            </w:pPr>
            <w:r w:rsidRPr="00DE7F43">
              <w:rPr>
                <w:rFonts w:cs="Tahoma"/>
                <w:sz w:val="18"/>
                <w:szCs w:val="18"/>
              </w:rPr>
              <w:t>Prije rekonstrukcije  Q’’</w:t>
            </w:r>
            <w:proofErr w:type="spellStart"/>
            <w:r w:rsidRPr="00DE7F43">
              <w:rPr>
                <w:rFonts w:cs="Tahoma"/>
                <w:sz w:val="18"/>
                <w:szCs w:val="18"/>
                <w:vertAlign w:val="subscript"/>
              </w:rPr>
              <w:t>H,nd</w:t>
            </w:r>
            <w:proofErr w:type="spellEnd"/>
            <w:r w:rsidRPr="00DE7F43">
              <w:rPr>
                <w:rFonts w:cs="Tahoma"/>
                <w:sz w:val="18"/>
                <w:szCs w:val="18"/>
                <w:vertAlign w:val="subscript"/>
              </w:rPr>
              <w:t xml:space="preserve"> </w:t>
            </w:r>
            <w:r w:rsidRPr="00DE7F43">
              <w:rPr>
                <w:rFonts w:cs="Tahoma"/>
                <w:sz w:val="18"/>
                <w:szCs w:val="18"/>
              </w:rPr>
              <w:t>[kWh/(m</w:t>
            </w:r>
            <w:r w:rsidRPr="00DE7F43">
              <w:rPr>
                <w:rFonts w:cs="Tahoma"/>
                <w:sz w:val="18"/>
                <w:szCs w:val="18"/>
                <w:vertAlign w:val="superscript"/>
              </w:rPr>
              <w:t>2</w:t>
            </w:r>
            <w:r w:rsidRPr="00DE7F43">
              <w:rPr>
                <w:rFonts w:cs="Tahoma"/>
                <w:sz w:val="18"/>
                <w:szCs w:val="18"/>
              </w:rPr>
              <w:t xml:space="preserve">·a)] </w:t>
            </w:r>
          </w:p>
        </w:tc>
        <w:tc>
          <w:tcPr>
            <w:tcW w:w="638" w:type="pct"/>
          </w:tcPr>
          <w:p w14:paraId="026AED55"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147,99</w:t>
            </w:r>
          </w:p>
          <w:p w14:paraId="5B1F74AC"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tcPr>
          <w:p w14:paraId="60CBDD6D"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107,91</w:t>
            </w:r>
          </w:p>
          <w:p w14:paraId="07FA8182"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shd w:val="clear" w:color="auto" w:fill="D0CECE" w:themeFill="background2" w:themeFillShade="E6"/>
          </w:tcPr>
          <w:p w14:paraId="304702B6"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tcPr>
          <w:p w14:paraId="2F3FD995"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96,88</w:t>
            </w:r>
          </w:p>
          <w:p w14:paraId="3F8AFE53"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c>
          <w:tcPr>
            <w:tcW w:w="638" w:type="pct"/>
          </w:tcPr>
          <w:p w14:paraId="524B7DC8"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r w:rsidRPr="00DE7F43">
              <w:rPr>
                <w:rFonts w:cs="Tahoma"/>
                <w:sz w:val="18"/>
                <w:szCs w:val="18"/>
              </w:rPr>
              <w:t>82,58</w:t>
            </w:r>
          </w:p>
        </w:tc>
        <w:tc>
          <w:tcPr>
            <w:tcW w:w="637" w:type="pct"/>
            <w:shd w:val="clear" w:color="auto" w:fill="D0CECE" w:themeFill="background2" w:themeFillShade="E6"/>
          </w:tcPr>
          <w:p w14:paraId="3525545F" w14:textId="77777777" w:rsidR="004949CA" w:rsidRPr="00DE7F43"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sz w:val="18"/>
                <w:szCs w:val="18"/>
              </w:rPr>
            </w:pPr>
          </w:p>
        </w:tc>
      </w:tr>
    </w:tbl>
    <w:p w14:paraId="6F0F5A49" w14:textId="424991A9" w:rsidR="004949CA" w:rsidRPr="00086B1D" w:rsidRDefault="0C3F4C7D" w:rsidP="00F7592C">
      <w:pPr>
        <w:spacing w:before="120" w:after="120" w:line="240" w:lineRule="auto"/>
        <w:jc w:val="both"/>
        <w:rPr>
          <w:rFonts w:ascii="Tahoma" w:hAnsi="Tahoma" w:cs="Tahoma"/>
          <w:sz w:val="20"/>
          <w:szCs w:val="20"/>
        </w:rPr>
      </w:pPr>
      <w:r w:rsidRPr="638C4C38">
        <w:rPr>
          <w:rFonts w:ascii="Tahoma" w:hAnsi="Tahoma" w:cs="Tahoma"/>
          <w:sz w:val="20"/>
          <w:szCs w:val="20"/>
        </w:rPr>
        <w:t xml:space="preserve">Za izračun ušteda energije u neposrednoj potrošnji (uštede isporučene energije) koristit će se metoda odozdo-prema-gore za integralnu </w:t>
      </w:r>
      <w:r w:rsidR="07145E88" w:rsidRPr="638C4C38">
        <w:rPr>
          <w:rFonts w:ascii="Tahoma" w:hAnsi="Tahoma" w:cs="Tahoma"/>
          <w:sz w:val="20"/>
          <w:szCs w:val="20"/>
        </w:rPr>
        <w:t xml:space="preserve">energetsku </w:t>
      </w:r>
      <w:r w:rsidRPr="638C4C38">
        <w:rPr>
          <w:rFonts w:ascii="Tahoma" w:hAnsi="Tahoma" w:cs="Tahoma"/>
          <w:sz w:val="20"/>
          <w:szCs w:val="20"/>
        </w:rPr>
        <w:t>obnovu postojećih stambenih zgrada i zgrada uslužnog sektora prema Pravilniku o sustavu za praćenje, mjerenje i verifikaciju ušteda energije (Narodne novine, broj 33/20):</w:t>
      </w:r>
    </w:p>
    <w:p w14:paraId="3B07A07A" w14:textId="77777777" w:rsidR="004949CA" w:rsidRPr="00DE7F43" w:rsidRDefault="004949CA" w:rsidP="004949CA">
      <w:pPr>
        <w:pStyle w:val="Odlomakpopisa"/>
        <w:numPr>
          <w:ilvl w:val="0"/>
          <w:numId w:val="0"/>
        </w:numPr>
        <w:ind w:left="720"/>
        <w:jc w:val="center"/>
      </w:pPr>
      <m:oMath>
        <m:r>
          <w:rPr>
            <w:rFonts w:ascii="Cambria Math" w:hAnsi="Cambria Math"/>
          </w:rPr>
          <m:t>UFES=</m:t>
        </m:r>
        <m:f>
          <m:fPr>
            <m:ctrlPr>
              <w:rPr>
                <w:rFonts w:ascii="Cambria Math" w:hAnsi="Cambria Math"/>
                <w:i/>
              </w:rPr>
            </m:ctrlPr>
          </m:fPr>
          <m:num>
            <m:sSub>
              <m:sSubPr>
                <m:ctrlPr>
                  <w:rPr>
                    <w:rFonts w:ascii="Cambria Math" w:hAnsi="Cambria Math"/>
                    <w:i/>
                  </w:rPr>
                </m:ctrlPr>
              </m:sSubPr>
              <m:e>
                <m:r>
                  <w:rPr>
                    <w:rFonts w:ascii="Cambria Math" w:hAnsi="Cambria Math"/>
                  </w:rPr>
                  <m:t>SHD</m:t>
                </m:r>
              </m:e>
              <m:sub>
                <m:r>
                  <w:rPr>
                    <w:rFonts w:ascii="Cambria Math" w:hAnsi="Cambria Math"/>
                  </w:rPr>
                  <m:t>init</m:t>
                </m:r>
              </m:sub>
            </m:sSub>
          </m:num>
          <m:den>
            <m:sSub>
              <m:sSubPr>
                <m:ctrlPr>
                  <w:rPr>
                    <w:rFonts w:ascii="Cambria Math" w:hAnsi="Cambria Math"/>
                    <w:i/>
                  </w:rPr>
                </m:ctrlPr>
              </m:sSubPr>
              <m:e>
                <m:r>
                  <w:rPr>
                    <w:rFonts w:ascii="Cambria Math" w:hAnsi="Cambria Math"/>
                  </w:rPr>
                  <m:t>η</m:t>
                </m:r>
              </m:e>
              <m:sub>
                <m:r>
                  <w:rPr>
                    <w:rFonts w:ascii="Cambria Math" w:hAnsi="Cambria Math"/>
                  </w:rPr>
                  <m:t>init</m:t>
                </m:r>
              </m:sub>
            </m:sSub>
          </m:den>
        </m:f>
      </m:oMath>
      <w:r w:rsidRPr="00DE7F43">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SHD</m:t>
                </m:r>
              </m:e>
              <m:sub>
                <m:r>
                  <w:rPr>
                    <w:rFonts w:ascii="Cambria Math" w:hAnsi="Cambria Math"/>
                  </w:rPr>
                  <m:t>new</m:t>
                </m:r>
              </m:sub>
            </m:sSub>
          </m:num>
          <m:den>
            <m:sSub>
              <m:sSubPr>
                <m:ctrlPr>
                  <w:rPr>
                    <w:rFonts w:ascii="Cambria Math" w:hAnsi="Cambria Math"/>
                    <w:i/>
                  </w:rPr>
                </m:ctrlPr>
              </m:sSubPr>
              <m:e>
                <m:r>
                  <w:rPr>
                    <w:rFonts w:ascii="Cambria Math" w:hAnsi="Cambria Math"/>
                  </w:rPr>
                  <m:t>η</m:t>
                </m:r>
              </m:e>
              <m:sub>
                <m:r>
                  <w:rPr>
                    <w:rFonts w:ascii="Cambria Math" w:hAnsi="Cambria Math"/>
                  </w:rPr>
                  <m:t>new</m:t>
                </m:r>
              </m:sub>
            </m:sSub>
          </m:den>
        </m:f>
      </m:oMath>
    </w:p>
    <w:p w14:paraId="2EA428D6" w14:textId="77777777" w:rsidR="004949CA" w:rsidRPr="00DE7F43" w:rsidRDefault="004949CA" w:rsidP="004949CA">
      <w:pPr>
        <w:pStyle w:val="Odlomakpopisa"/>
        <w:numPr>
          <w:ilvl w:val="0"/>
          <w:numId w:val="0"/>
        </w:numPr>
        <w:ind w:left="720"/>
        <w:jc w:val="center"/>
      </w:pPr>
      <m:oMathPara>
        <m:oMath>
          <m:r>
            <w:rPr>
              <w:rFonts w:ascii="Cambria Math" w:hAnsi="Cambria Math"/>
            </w:rPr>
            <m:t xml:space="preserve">FES=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UFES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i</m:t>
                  </m:r>
                </m:sub>
              </m:sSub>
            </m:e>
          </m:nary>
        </m:oMath>
      </m:oMathPara>
    </w:p>
    <w:p w14:paraId="6ABF5C47" w14:textId="77777777" w:rsidR="004949CA" w:rsidRPr="00DE7F43" w:rsidRDefault="004949CA" w:rsidP="004949CA">
      <w:r w:rsidRPr="00DE7F43">
        <w:t>pri čemu su ulazne vrijednosti objašnjene u donjoj tablici.</w:t>
      </w:r>
    </w:p>
    <w:p w14:paraId="4A43F505" w14:textId="53968954" w:rsidR="004949CA" w:rsidRPr="00DE7F43" w:rsidRDefault="004949CA" w:rsidP="004949CA">
      <w:pPr>
        <w:pStyle w:val="Opisslike"/>
      </w:pPr>
      <w:bookmarkStart w:id="110" w:name="_Toc72081550"/>
      <w:bookmarkStart w:id="111" w:name="_Toc84240498"/>
      <w:r w:rsidRPr="00DE7F43">
        <w:t xml:space="preserve">Tablica </w:t>
      </w:r>
      <w:r w:rsidRPr="00DE7F43">
        <w:fldChar w:fldCharType="begin"/>
      </w:r>
      <w:r w:rsidRPr="00DE7F43">
        <w:instrText>STYLEREF 1 \s</w:instrText>
      </w:r>
      <w:r w:rsidRPr="00DE7F43">
        <w:fldChar w:fldCharType="separate"/>
      </w:r>
      <w:r w:rsidR="00575AF9">
        <w:rPr>
          <w:noProof/>
        </w:rPr>
        <w:t>3</w:t>
      </w:r>
      <w:r w:rsidRPr="00DE7F43">
        <w:fldChar w:fldCharType="end"/>
      </w:r>
      <w:r w:rsidR="00931EC7">
        <w:noBreakHyphen/>
      </w:r>
      <w:r>
        <w:fldChar w:fldCharType="begin"/>
      </w:r>
      <w:r>
        <w:instrText>SEQ Tablica \* ARABIC \s 1</w:instrText>
      </w:r>
      <w:r>
        <w:fldChar w:fldCharType="separate"/>
      </w:r>
      <w:r w:rsidR="00575AF9">
        <w:rPr>
          <w:noProof/>
        </w:rPr>
        <w:t>15</w:t>
      </w:r>
      <w:r>
        <w:fldChar w:fldCharType="end"/>
      </w:r>
      <w:r w:rsidRPr="00DE7F43">
        <w:rPr>
          <w:noProof/>
        </w:rPr>
        <w:t>:</w:t>
      </w:r>
      <w:r w:rsidRPr="00DE7F43">
        <w:t xml:space="preserve"> Pregled ulaznih podataka i izvora tih podataka za izračun ušteda energije u neposrednoj potrošnji</w:t>
      </w:r>
      <w:bookmarkEnd w:id="110"/>
      <w:bookmarkEnd w:id="111"/>
    </w:p>
    <w:tbl>
      <w:tblPr>
        <w:tblStyle w:val="Reetkatablice"/>
        <w:tblW w:w="0" w:type="auto"/>
        <w:tblLook w:val="04A0" w:firstRow="1" w:lastRow="0" w:firstColumn="1" w:lastColumn="0" w:noHBand="0" w:noVBand="1"/>
      </w:tblPr>
      <w:tblGrid>
        <w:gridCol w:w="3171"/>
        <w:gridCol w:w="5891"/>
      </w:tblGrid>
      <w:tr w:rsidR="004949CA" w:rsidRPr="00086B1D" w14:paraId="75DCFA95" w14:textId="77777777" w:rsidTr="2617B706">
        <w:tc>
          <w:tcPr>
            <w:tcW w:w="3256" w:type="dxa"/>
          </w:tcPr>
          <w:p w14:paraId="2C1BA9DE" w14:textId="77777777" w:rsidR="004949CA" w:rsidRPr="00086B1D" w:rsidRDefault="004949CA" w:rsidP="00331A63">
            <w:pPr>
              <w:rPr>
                <w:rFonts w:ascii="Tahoma" w:hAnsi="Tahoma" w:cs="Tahoma"/>
                <w:sz w:val="20"/>
                <w:szCs w:val="20"/>
              </w:rPr>
            </w:pPr>
            <w:proofErr w:type="spellStart"/>
            <w:r w:rsidRPr="00086B1D">
              <w:rPr>
                <w:rFonts w:ascii="Tahoma" w:hAnsi="Tahoma" w:cs="Tahoma"/>
                <w:sz w:val="20"/>
                <w:szCs w:val="20"/>
              </w:rPr>
              <w:t>SHD</w:t>
            </w:r>
            <w:r w:rsidRPr="00086B1D">
              <w:rPr>
                <w:rFonts w:ascii="Tahoma" w:hAnsi="Tahoma" w:cs="Tahoma"/>
                <w:sz w:val="20"/>
                <w:szCs w:val="20"/>
                <w:vertAlign w:val="subscript"/>
              </w:rPr>
              <w:t>init</w:t>
            </w:r>
            <w:proofErr w:type="spellEnd"/>
            <w:r w:rsidRPr="00086B1D">
              <w:rPr>
                <w:rFonts w:ascii="Tahoma" w:hAnsi="Tahoma" w:cs="Tahoma"/>
                <w:sz w:val="20"/>
                <w:szCs w:val="20"/>
              </w:rPr>
              <w:t xml:space="preserve"> = </w:t>
            </w:r>
            <w:r w:rsidRPr="00086B1D">
              <w:rPr>
                <w:rFonts w:ascii="Tahoma" w:hAnsi="Tahoma" w:cs="Tahoma"/>
                <w:sz w:val="20"/>
                <w:szCs w:val="20"/>
                <w:lang w:eastAsia="hr-HR"/>
              </w:rPr>
              <w:t>Q’’</w:t>
            </w:r>
            <w:proofErr w:type="spellStart"/>
            <w:r w:rsidRPr="00086B1D">
              <w:rPr>
                <w:rFonts w:ascii="Tahoma" w:hAnsi="Tahoma" w:cs="Tahoma"/>
                <w:sz w:val="20"/>
                <w:szCs w:val="20"/>
                <w:vertAlign w:val="subscript"/>
                <w:lang w:eastAsia="hr-HR"/>
              </w:rPr>
              <w:t>H,nd</w:t>
            </w:r>
            <w:proofErr w:type="spellEnd"/>
            <w:r w:rsidRPr="00086B1D">
              <w:rPr>
                <w:rFonts w:ascii="Tahoma" w:hAnsi="Tahoma" w:cs="Tahoma"/>
                <w:sz w:val="20"/>
                <w:szCs w:val="20"/>
                <w:vertAlign w:val="subscript"/>
                <w:lang w:eastAsia="hr-HR"/>
              </w:rPr>
              <w:t xml:space="preserve"> </w:t>
            </w:r>
            <w:r w:rsidRPr="00086B1D">
              <w:rPr>
                <w:rFonts w:ascii="Tahoma" w:hAnsi="Tahoma" w:cs="Tahoma"/>
                <w:sz w:val="20"/>
                <w:szCs w:val="20"/>
                <w:lang w:eastAsia="hr-HR"/>
              </w:rPr>
              <w:t>prije rekonstrukcije</w:t>
            </w:r>
          </w:p>
        </w:tc>
        <w:tc>
          <w:tcPr>
            <w:tcW w:w="6088" w:type="dxa"/>
          </w:tcPr>
          <w:p w14:paraId="3C507673" w14:textId="7D9A6305" w:rsidR="004949CA" w:rsidRPr="00086B1D" w:rsidRDefault="00401F22" w:rsidP="00331A63">
            <w:pP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 REF _Ref83114921 \h </w:instrText>
            </w:r>
            <w:r>
              <w:rPr>
                <w:rFonts w:ascii="Tahoma" w:hAnsi="Tahoma" w:cs="Tahoma"/>
                <w:sz w:val="20"/>
                <w:szCs w:val="20"/>
              </w:rPr>
            </w:r>
            <w:r>
              <w:rPr>
                <w:rFonts w:ascii="Tahoma" w:hAnsi="Tahoma" w:cs="Tahoma"/>
                <w:sz w:val="20"/>
                <w:szCs w:val="20"/>
              </w:rPr>
              <w:fldChar w:fldCharType="separate"/>
            </w:r>
            <w:r w:rsidR="00575AF9" w:rsidRPr="00DE7F43">
              <w:t xml:space="preserve">Tablica </w:t>
            </w:r>
            <w:r w:rsidR="00575AF9">
              <w:rPr>
                <w:noProof/>
              </w:rPr>
              <w:t>3</w:t>
            </w:r>
            <w:r w:rsidR="00575AF9">
              <w:noBreakHyphen/>
            </w:r>
            <w:r w:rsidR="00575AF9">
              <w:rPr>
                <w:noProof/>
              </w:rPr>
              <w:t>14</w:t>
            </w:r>
            <w:r>
              <w:rPr>
                <w:rFonts w:ascii="Tahoma" w:hAnsi="Tahoma" w:cs="Tahoma"/>
                <w:sz w:val="20"/>
                <w:szCs w:val="20"/>
              </w:rPr>
              <w:fldChar w:fldCharType="end"/>
            </w:r>
            <w:r w:rsidR="004949CA" w:rsidRPr="00086B1D">
              <w:rPr>
                <w:rFonts w:ascii="Tahoma" w:hAnsi="Tahoma" w:cs="Tahoma"/>
                <w:sz w:val="20"/>
                <w:szCs w:val="20"/>
              </w:rPr>
              <w:t xml:space="preserve"> temeljem </w:t>
            </w:r>
            <w:r>
              <w:rPr>
                <w:rFonts w:ascii="Tahoma" w:hAnsi="Tahoma" w:cs="Tahoma"/>
                <w:sz w:val="20"/>
                <w:szCs w:val="20"/>
              </w:rPr>
              <w:fldChar w:fldCharType="begin"/>
            </w:r>
            <w:r>
              <w:rPr>
                <w:rFonts w:ascii="Tahoma" w:hAnsi="Tahoma" w:cs="Tahoma"/>
                <w:sz w:val="20"/>
                <w:szCs w:val="20"/>
              </w:rPr>
              <w:instrText xml:space="preserve"> REF _Ref83114885 \h </w:instrText>
            </w:r>
            <w:r>
              <w:rPr>
                <w:rFonts w:ascii="Tahoma" w:hAnsi="Tahoma" w:cs="Tahoma"/>
                <w:sz w:val="20"/>
                <w:szCs w:val="20"/>
              </w:rPr>
            </w:r>
            <w:r>
              <w:rPr>
                <w:rFonts w:ascii="Tahoma" w:hAnsi="Tahoma" w:cs="Tahoma"/>
                <w:sz w:val="20"/>
                <w:szCs w:val="20"/>
              </w:rPr>
              <w:fldChar w:fldCharType="separate"/>
            </w:r>
            <w:r w:rsidR="00575AF9" w:rsidRPr="00DE7F43">
              <w:t xml:space="preserve">Tablica </w:t>
            </w:r>
            <w:r w:rsidR="00575AF9">
              <w:rPr>
                <w:noProof/>
              </w:rPr>
              <w:t>3</w:t>
            </w:r>
            <w:r w:rsidR="00575AF9" w:rsidRPr="00DE7F43">
              <w:noBreakHyphen/>
            </w:r>
            <w:r w:rsidR="00575AF9">
              <w:rPr>
                <w:noProof/>
              </w:rPr>
              <w:t>4</w:t>
            </w:r>
            <w:r>
              <w:rPr>
                <w:rFonts w:ascii="Tahoma" w:hAnsi="Tahoma" w:cs="Tahoma"/>
                <w:sz w:val="20"/>
                <w:szCs w:val="20"/>
              </w:rPr>
              <w:fldChar w:fldCharType="end"/>
            </w:r>
            <w:r w:rsidR="004949CA" w:rsidRPr="00086B1D">
              <w:rPr>
                <w:rFonts w:ascii="Tahoma" w:hAnsi="Tahoma" w:cs="Tahoma"/>
                <w:sz w:val="20"/>
                <w:szCs w:val="20"/>
              </w:rPr>
              <w:t xml:space="preserve"> i </w:t>
            </w:r>
            <w:r>
              <w:rPr>
                <w:rFonts w:ascii="Tahoma" w:hAnsi="Tahoma" w:cs="Tahoma"/>
                <w:sz w:val="20"/>
                <w:szCs w:val="20"/>
              </w:rPr>
              <w:fldChar w:fldCharType="begin"/>
            </w:r>
            <w:r>
              <w:rPr>
                <w:rFonts w:ascii="Tahoma" w:hAnsi="Tahoma" w:cs="Tahoma"/>
                <w:sz w:val="20"/>
                <w:szCs w:val="20"/>
              </w:rPr>
              <w:instrText xml:space="preserve"> REF _Ref72136911 \h </w:instrText>
            </w:r>
            <w:r>
              <w:rPr>
                <w:rFonts w:ascii="Tahoma" w:hAnsi="Tahoma" w:cs="Tahoma"/>
                <w:sz w:val="20"/>
                <w:szCs w:val="20"/>
              </w:rPr>
            </w:r>
            <w:r>
              <w:rPr>
                <w:rFonts w:ascii="Tahoma" w:hAnsi="Tahoma" w:cs="Tahoma"/>
                <w:sz w:val="20"/>
                <w:szCs w:val="20"/>
              </w:rPr>
              <w:fldChar w:fldCharType="separate"/>
            </w:r>
            <w:r w:rsidR="00575AF9" w:rsidRPr="00DE7F43">
              <w:t xml:space="preserve">Tablica </w:t>
            </w:r>
            <w:r w:rsidR="00575AF9">
              <w:rPr>
                <w:noProof/>
              </w:rPr>
              <w:t>3</w:t>
            </w:r>
            <w:r w:rsidR="00575AF9" w:rsidRPr="00DE7F43">
              <w:noBreakHyphen/>
            </w:r>
            <w:r w:rsidR="00575AF9">
              <w:rPr>
                <w:noProof/>
              </w:rPr>
              <w:t>7</w:t>
            </w:r>
            <w:r>
              <w:rPr>
                <w:rFonts w:ascii="Tahoma" w:hAnsi="Tahoma" w:cs="Tahoma"/>
                <w:sz w:val="20"/>
                <w:szCs w:val="20"/>
              </w:rPr>
              <w:fldChar w:fldCharType="end"/>
            </w:r>
          </w:p>
        </w:tc>
      </w:tr>
      <w:tr w:rsidR="004949CA" w:rsidRPr="00086B1D" w14:paraId="27C7706A" w14:textId="77777777" w:rsidTr="2617B706">
        <w:tc>
          <w:tcPr>
            <w:tcW w:w="3256" w:type="dxa"/>
          </w:tcPr>
          <w:p w14:paraId="39861A0B" w14:textId="77777777" w:rsidR="004949CA" w:rsidRPr="00086B1D" w:rsidRDefault="004949CA" w:rsidP="00331A63">
            <w:pPr>
              <w:rPr>
                <w:rFonts w:ascii="Tahoma" w:hAnsi="Tahoma" w:cs="Tahoma"/>
                <w:sz w:val="20"/>
                <w:szCs w:val="20"/>
              </w:rPr>
            </w:pPr>
            <w:proofErr w:type="spellStart"/>
            <w:r w:rsidRPr="00086B1D">
              <w:rPr>
                <w:rFonts w:ascii="Tahoma" w:hAnsi="Tahoma" w:cs="Tahoma"/>
                <w:sz w:val="20"/>
                <w:szCs w:val="20"/>
              </w:rPr>
              <w:lastRenderedPageBreak/>
              <w:t>SHD</w:t>
            </w:r>
            <w:r w:rsidRPr="00086B1D">
              <w:rPr>
                <w:rFonts w:ascii="Tahoma" w:hAnsi="Tahoma" w:cs="Tahoma"/>
                <w:sz w:val="20"/>
                <w:szCs w:val="20"/>
                <w:vertAlign w:val="subscript"/>
              </w:rPr>
              <w:t>new</w:t>
            </w:r>
            <w:proofErr w:type="spellEnd"/>
            <w:r w:rsidRPr="00086B1D">
              <w:rPr>
                <w:rFonts w:ascii="Tahoma" w:hAnsi="Tahoma" w:cs="Tahoma"/>
                <w:sz w:val="20"/>
                <w:szCs w:val="20"/>
              </w:rPr>
              <w:t xml:space="preserve">= </w:t>
            </w:r>
            <w:r w:rsidRPr="00086B1D">
              <w:rPr>
                <w:rFonts w:ascii="Tahoma" w:hAnsi="Tahoma" w:cs="Tahoma"/>
                <w:sz w:val="20"/>
                <w:szCs w:val="20"/>
                <w:lang w:eastAsia="hr-HR"/>
              </w:rPr>
              <w:t>Q’’</w:t>
            </w:r>
            <w:proofErr w:type="spellStart"/>
            <w:r w:rsidRPr="00086B1D">
              <w:rPr>
                <w:rFonts w:ascii="Tahoma" w:hAnsi="Tahoma" w:cs="Tahoma"/>
                <w:sz w:val="20"/>
                <w:szCs w:val="20"/>
                <w:vertAlign w:val="subscript"/>
                <w:lang w:eastAsia="hr-HR"/>
              </w:rPr>
              <w:t>H,nd</w:t>
            </w:r>
            <w:proofErr w:type="spellEnd"/>
            <w:r w:rsidRPr="00086B1D">
              <w:rPr>
                <w:rFonts w:ascii="Tahoma" w:hAnsi="Tahoma" w:cs="Tahoma"/>
                <w:sz w:val="20"/>
                <w:szCs w:val="20"/>
                <w:vertAlign w:val="subscript"/>
                <w:lang w:eastAsia="hr-HR"/>
              </w:rPr>
              <w:t xml:space="preserve"> </w:t>
            </w:r>
            <w:r w:rsidRPr="00086B1D">
              <w:rPr>
                <w:rFonts w:ascii="Tahoma" w:hAnsi="Tahoma" w:cs="Tahoma"/>
                <w:sz w:val="20"/>
                <w:szCs w:val="20"/>
                <w:lang w:eastAsia="hr-HR"/>
              </w:rPr>
              <w:t>nakon rekonstrukcije</w:t>
            </w:r>
          </w:p>
        </w:tc>
        <w:tc>
          <w:tcPr>
            <w:tcW w:w="6088" w:type="dxa"/>
          </w:tcPr>
          <w:p w14:paraId="68A1F1D5" w14:textId="64756CCD" w:rsidR="004949CA" w:rsidRPr="00086B1D" w:rsidRDefault="00401F22" w:rsidP="00331A63">
            <w:pP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 xml:space="preserve"> REF _Ref83114981 \h </w:instrText>
            </w:r>
            <w:r>
              <w:rPr>
                <w:rFonts w:ascii="Tahoma" w:hAnsi="Tahoma" w:cs="Tahoma"/>
                <w:sz w:val="20"/>
                <w:szCs w:val="20"/>
              </w:rPr>
            </w:r>
            <w:r>
              <w:rPr>
                <w:rFonts w:ascii="Tahoma" w:hAnsi="Tahoma" w:cs="Tahoma"/>
                <w:sz w:val="20"/>
                <w:szCs w:val="20"/>
              </w:rPr>
              <w:fldChar w:fldCharType="separate"/>
            </w:r>
            <w:r w:rsidR="00575AF9" w:rsidRPr="00DE7F43">
              <w:t xml:space="preserve">Tablica </w:t>
            </w:r>
            <w:r w:rsidR="00575AF9">
              <w:rPr>
                <w:noProof/>
              </w:rPr>
              <w:t>3</w:t>
            </w:r>
            <w:r w:rsidR="00575AF9">
              <w:noBreakHyphen/>
            </w:r>
            <w:r w:rsidR="00575AF9">
              <w:rPr>
                <w:noProof/>
              </w:rPr>
              <w:t>13</w:t>
            </w:r>
            <w:r>
              <w:rPr>
                <w:rFonts w:ascii="Tahoma" w:hAnsi="Tahoma" w:cs="Tahoma"/>
                <w:sz w:val="20"/>
                <w:szCs w:val="20"/>
              </w:rPr>
              <w:fldChar w:fldCharType="end"/>
            </w:r>
          </w:p>
        </w:tc>
      </w:tr>
      <w:tr w:rsidR="004949CA" w:rsidRPr="00086B1D" w14:paraId="244F8625" w14:textId="77777777" w:rsidTr="2617B706">
        <w:tc>
          <w:tcPr>
            <w:tcW w:w="3256" w:type="dxa"/>
          </w:tcPr>
          <w:p w14:paraId="29306BE6" w14:textId="77777777" w:rsidR="004949CA" w:rsidRPr="00086B1D" w:rsidRDefault="004949CA" w:rsidP="00331A63">
            <w:pPr>
              <w:rPr>
                <w:rFonts w:ascii="Tahoma" w:hAnsi="Tahoma" w:cs="Tahoma"/>
                <w:sz w:val="20"/>
                <w:szCs w:val="20"/>
              </w:rPr>
            </w:pPr>
            <w:proofErr w:type="spellStart"/>
            <w:r w:rsidRPr="00086B1D">
              <w:rPr>
                <w:rFonts w:ascii="Tahoma" w:hAnsi="Tahoma" w:cs="Tahoma"/>
                <w:sz w:val="20"/>
                <w:szCs w:val="20"/>
              </w:rPr>
              <w:t>η</w:t>
            </w:r>
            <w:r w:rsidRPr="00086B1D">
              <w:rPr>
                <w:rFonts w:ascii="Tahoma" w:hAnsi="Tahoma" w:cs="Tahoma"/>
                <w:sz w:val="20"/>
                <w:szCs w:val="20"/>
                <w:vertAlign w:val="subscript"/>
              </w:rPr>
              <w:t>init</w:t>
            </w:r>
            <w:proofErr w:type="spellEnd"/>
            <w:r w:rsidRPr="00086B1D">
              <w:rPr>
                <w:rFonts w:ascii="Tahoma" w:hAnsi="Tahoma" w:cs="Tahoma"/>
                <w:sz w:val="20"/>
                <w:szCs w:val="20"/>
              </w:rPr>
              <w:t>=</w:t>
            </w:r>
            <w:proofErr w:type="spellStart"/>
            <w:r w:rsidRPr="00086B1D">
              <w:rPr>
                <w:rFonts w:ascii="Tahoma" w:hAnsi="Tahoma" w:cs="Tahoma"/>
                <w:sz w:val="20"/>
                <w:szCs w:val="20"/>
              </w:rPr>
              <w:t>η</w:t>
            </w:r>
            <w:r w:rsidRPr="00086B1D">
              <w:rPr>
                <w:rFonts w:ascii="Tahoma" w:hAnsi="Tahoma" w:cs="Tahoma"/>
                <w:sz w:val="20"/>
                <w:szCs w:val="20"/>
                <w:vertAlign w:val="subscript"/>
              </w:rPr>
              <w:t>new</w:t>
            </w:r>
            <w:proofErr w:type="spellEnd"/>
            <w:r w:rsidRPr="00086B1D">
              <w:rPr>
                <w:rFonts w:ascii="Tahoma" w:hAnsi="Tahoma" w:cs="Tahoma"/>
                <w:sz w:val="20"/>
                <w:szCs w:val="20"/>
              </w:rPr>
              <w:t xml:space="preserve">= </w:t>
            </w:r>
            <w:proofErr w:type="spellStart"/>
            <w:r w:rsidRPr="00086B1D">
              <w:rPr>
                <w:rFonts w:ascii="Tahoma" w:hAnsi="Tahoma" w:cs="Tahoma"/>
                <w:sz w:val="20"/>
                <w:szCs w:val="20"/>
              </w:rPr>
              <w:t>η</w:t>
            </w:r>
            <w:r w:rsidRPr="00086B1D">
              <w:rPr>
                <w:rFonts w:ascii="Tahoma" w:hAnsi="Tahoma" w:cs="Tahoma"/>
                <w:sz w:val="20"/>
                <w:szCs w:val="20"/>
                <w:vertAlign w:val="subscript"/>
              </w:rPr>
              <w:t>boiler</w:t>
            </w:r>
            <w:r w:rsidRPr="00086B1D">
              <w:rPr>
                <w:rFonts w:ascii="Tahoma" w:hAnsi="Tahoma" w:cs="Tahoma"/>
                <w:sz w:val="20"/>
                <w:szCs w:val="20"/>
              </w:rPr>
              <w:t>X</w:t>
            </w:r>
            <w:proofErr w:type="spellEnd"/>
            <w:r w:rsidRPr="00086B1D">
              <w:rPr>
                <w:rFonts w:ascii="Tahoma" w:hAnsi="Tahoma" w:cs="Tahoma"/>
                <w:sz w:val="20"/>
                <w:szCs w:val="20"/>
              </w:rPr>
              <w:t xml:space="preserve"> </w:t>
            </w:r>
            <w:proofErr w:type="spellStart"/>
            <w:r w:rsidRPr="00086B1D">
              <w:rPr>
                <w:rFonts w:ascii="Tahoma" w:hAnsi="Tahoma" w:cs="Tahoma"/>
                <w:sz w:val="20"/>
                <w:szCs w:val="20"/>
              </w:rPr>
              <w:t>η</w:t>
            </w:r>
            <w:r w:rsidRPr="00086B1D">
              <w:rPr>
                <w:rFonts w:ascii="Tahoma" w:hAnsi="Tahoma" w:cs="Tahoma"/>
                <w:sz w:val="20"/>
                <w:szCs w:val="20"/>
                <w:vertAlign w:val="subscript"/>
              </w:rPr>
              <w:t>disX</w:t>
            </w:r>
            <w:proofErr w:type="spellEnd"/>
            <w:r w:rsidRPr="00086B1D">
              <w:rPr>
                <w:rFonts w:ascii="Tahoma" w:hAnsi="Tahoma" w:cs="Tahoma"/>
                <w:sz w:val="20"/>
                <w:szCs w:val="20"/>
                <w:vertAlign w:val="subscript"/>
              </w:rPr>
              <w:t xml:space="preserve"> </w:t>
            </w:r>
            <w:proofErr w:type="spellStart"/>
            <w:r w:rsidRPr="00086B1D">
              <w:rPr>
                <w:rFonts w:ascii="Tahoma" w:hAnsi="Tahoma" w:cs="Tahoma"/>
                <w:sz w:val="20"/>
                <w:szCs w:val="20"/>
              </w:rPr>
              <w:t>η</w:t>
            </w:r>
            <w:r w:rsidRPr="00086B1D">
              <w:rPr>
                <w:rFonts w:ascii="Tahoma" w:hAnsi="Tahoma" w:cs="Tahoma"/>
                <w:sz w:val="20"/>
                <w:szCs w:val="20"/>
                <w:vertAlign w:val="subscript"/>
              </w:rPr>
              <w:t>em</w:t>
            </w:r>
            <w:proofErr w:type="spellEnd"/>
          </w:p>
        </w:tc>
        <w:tc>
          <w:tcPr>
            <w:tcW w:w="6088" w:type="dxa"/>
          </w:tcPr>
          <w:p w14:paraId="41A824C8" w14:textId="77777777" w:rsidR="004949CA" w:rsidRPr="00086B1D" w:rsidRDefault="137C0FFA" w:rsidP="2617B706">
            <w:pPr>
              <w:pStyle w:val="Odlomakpopisa"/>
              <w:numPr>
                <w:ilvl w:val="0"/>
                <w:numId w:val="47"/>
              </w:numPr>
              <w:spacing w:before="0" w:after="0"/>
              <w:rPr>
                <w:rFonts w:cs="Tahoma"/>
              </w:rPr>
            </w:pPr>
            <w:r w:rsidRPr="2617B706">
              <w:rPr>
                <w:rFonts w:cs="Tahoma"/>
              </w:rPr>
              <w:t>Pretpostavlja se da je efikasnost sustava grijanja jednaka prije i nakon rekonstrukcije</w:t>
            </w:r>
          </w:p>
          <w:p w14:paraId="6A97D868" w14:textId="7257722D" w:rsidR="004949CA" w:rsidRPr="00086B1D" w:rsidRDefault="137C0FFA" w:rsidP="2617B706">
            <w:pPr>
              <w:pStyle w:val="Odlomakpopisa"/>
              <w:numPr>
                <w:ilvl w:val="0"/>
                <w:numId w:val="47"/>
              </w:numPr>
              <w:spacing w:before="0" w:after="0"/>
              <w:rPr>
                <w:rFonts w:cs="Tahoma"/>
              </w:rPr>
            </w:pPr>
            <w:r w:rsidRPr="2617B706">
              <w:rPr>
                <w:rFonts w:cs="Tahoma"/>
              </w:rPr>
              <w:t xml:space="preserve">Efikasnost sustava izračunava se kao umnožak efikasnosti podsustava proizvodnje toplinske energije (kotao), efikasnosti podsustava razvoda (distribucije) toplinske energije i efikasnosti podsustava emisije topline u prostor, sve u skladu s metodologijom definiranom u Pravilniku o sustavu za praćenje, mjerenje i verifikaciju ušteda energije </w:t>
            </w:r>
          </w:p>
          <w:p w14:paraId="5E56001F" w14:textId="77777777" w:rsidR="004949CA" w:rsidRPr="00086B1D" w:rsidRDefault="137C0FFA" w:rsidP="2617B706">
            <w:pPr>
              <w:pStyle w:val="Odlomakpopisa"/>
              <w:numPr>
                <w:ilvl w:val="0"/>
                <w:numId w:val="47"/>
              </w:numPr>
              <w:spacing w:before="0" w:after="0"/>
              <w:rPr>
                <w:rFonts w:cs="Tahoma"/>
              </w:rPr>
            </w:pPr>
            <w:r w:rsidRPr="2617B706">
              <w:rPr>
                <w:rFonts w:cs="Tahoma"/>
              </w:rPr>
              <w:t>Sva tri podataka o efikasnostima podsustava sustava za grijanje za sve kategorije VSZ mogu se naći u projektu referentnih zgrada</w:t>
            </w:r>
            <w:r w:rsidR="004949CA" w:rsidRPr="2617B706">
              <w:rPr>
                <w:rStyle w:val="Referencafusnote"/>
                <w:rFonts w:cs="Tahoma"/>
              </w:rPr>
              <w:footnoteReference w:id="14"/>
            </w:r>
            <w:r w:rsidRPr="2617B706">
              <w:rPr>
                <w:rFonts w:cs="Tahoma"/>
              </w:rPr>
              <w:t xml:space="preserve"> te su korišteni u izračunu</w:t>
            </w:r>
          </w:p>
        </w:tc>
      </w:tr>
      <w:tr w:rsidR="004949CA" w:rsidRPr="00086B1D" w14:paraId="577A7A2B" w14:textId="77777777" w:rsidTr="2617B706">
        <w:tc>
          <w:tcPr>
            <w:tcW w:w="3256" w:type="dxa"/>
          </w:tcPr>
          <w:p w14:paraId="19DA0DF7" w14:textId="77777777" w:rsidR="004949CA" w:rsidRPr="00086B1D" w:rsidRDefault="004949CA" w:rsidP="00331A63">
            <w:pPr>
              <w:rPr>
                <w:rFonts w:ascii="Tahoma" w:hAnsi="Tahoma" w:cs="Tahoma"/>
                <w:sz w:val="20"/>
                <w:szCs w:val="20"/>
              </w:rPr>
            </w:pPr>
            <w:proofErr w:type="spellStart"/>
            <w:r w:rsidRPr="00086B1D">
              <w:rPr>
                <w:rFonts w:ascii="Tahoma" w:hAnsi="Tahoma" w:cs="Tahoma"/>
                <w:sz w:val="20"/>
                <w:szCs w:val="20"/>
              </w:rPr>
              <w:t>A</w:t>
            </w:r>
            <w:r w:rsidRPr="00086B1D">
              <w:rPr>
                <w:rFonts w:ascii="Tahoma" w:hAnsi="Tahoma" w:cs="Tahoma"/>
                <w:sz w:val="20"/>
                <w:szCs w:val="20"/>
                <w:vertAlign w:val="subscript"/>
              </w:rPr>
              <w:t>i</w:t>
            </w:r>
            <w:proofErr w:type="spellEnd"/>
          </w:p>
        </w:tc>
        <w:tc>
          <w:tcPr>
            <w:tcW w:w="6088" w:type="dxa"/>
          </w:tcPr>
          <w:p w14:paraId="5D566C02" w14:textId="5471CC04" w:rsidR="004949CA" w:rsidRPr="00086B1D" w:rsidRDefault="004949CA" w:rsidP="00331A63">
            <w:pPr>
              <w:rPr>
                <w:rFonts w:ascii="Tahoma" w:hAnsi="Tahoma" w:cs="Tahoma"/>
                <w:sz w:val="20"/>
                <w:szCs w:val="20"/>
              </w:rPr>
            </w:pPr>
            <w:r w:rsidRPr="00086B1D">
              <w:rPr>
                <w:rFonts w:ascii="Tahoma" w:hAnsi="Tahoma" w:cs="Tahoma"/>
                <w:sz w:val="20"/>
                <w:szCs w:val="20"/>
              </w:rPr>
              <w:t>Podatak predstavlja površinu VSZ koja će se obnoviti prema ciljevima Dugoročne strategije (</w:t>
            </w:r>
            <w:r w:rsidR="00401F22">
              <w:rPr>
                <w:rFonts w:ascii="Tahoma" w:hAnsi="Tahoma" w:cs="Tahoma"/>
                <w:sz w:val="20"/>
                <w:szCs w:val="20"/>
              </w:rPr>
              <w:fldChar w:fldCharType="begin"/>
            </w:r>
            <w:r w:rsidR="00401F22">
              <w:rPr>
                <w:rFonts w:ascii="Tahoma" w:hAnsi="Tahoma" w:cs="Tahoma"/>
                <w:sz w:val="20"/>
                <w:szCs w:val="20"/>
              </w:rPr>
              <w:instrText xml:space="preserve"> REF _Ref83114288 \h </w:instrText>
            </w:r>
            <w:r w:rsidR="00401F22">
              <w:rPr>
                <w:rFonts w:ascii="Tahoma" w:hAnsi="Tahoma" w:cs="Tahoma"/>
                <w:sz w:val="20"/>
                <w:szCs w:val="20"/>
              </w:rPr>
            </w:r>
            <w:r w:rsidR="00401F22">
              <w:rPr>
                <w:rFonts w:ascii="Tahoma" w:hAnsi="Tahoma" w:cs="Tahoma"/>
                <w:sz w:val="20"/>
                <w:szCs w:val="20"/>
              </w:rPr>
              <w:fldChar w:fldCharType="separate"/>
            </w:r>
            <w:r w:rsidR="00575AF9" w:rsidRPr="00DE7F43">
              <w:t xml:space="preserve">Tablica </w:t>
            </w:r>
            <w:r w:rsidR="00575AF9">
              <w:rPr>
                <w:noProof/>
              </w:rPr>
              <w:t>3</w:t>
            </w:r>
            <w:r w:rsidR="00575AF9" w:rsidRPr="00DE7F43">
              <w:noBreakHyphen/>
            </w:r>
            <w:r w:rsidR="00575AF9">
              <w:rPr>
                <w:noProof/>
              </w:rPr>
              <w:t>11</w:t>
            </w:r>
            <w:r w:rsidR="00401F22">
              <w:rPr>
                <w:rFonts w:ascii="Tahoma" w:hAnsi="Tahoma" w:cs="Tahoma"/>
                <w:sz w:val="20"/>
                <w:szCs w:val="20"/>
              </w:rPr>
              <w:fldChar w:fldCharType="end"/>
            </w:r>
            <w:r w:rsidRPr="00086B1D">
              <w:rPr>
                <w:rFonts w:ascii="Tahoma" w:hAnsi="Tahoma" w:cs="Tahoma"/>
                <w:sz w:val="20"/>
                <w:szCs w:val="20"/>
              </w:rPr>
              <w:t>)</w:t>
            </w:r>
          </w:p>
        </w:tc>
      </w:tr>
    </w:tbl>
    <w:p w14:paraId="10AD9D9D" w14:textId="77777777" w:rsidR="004949CA" w:rsidRPr="00086B1D" w:rsidRDefault="004949CA" w:rsidP="007F3F25">
      <w:pPr>
        <w:spacing w:before="120" w:after="120" w:line="240" w:lineRule="auto"/>
        <w:jc w:val="both"/>
        <w:rPr>
          <w:rFonts w:ascii="Tahoma" w:hAnsi="Tahoma" w:cs="Tahoma"/>
          <w:sz w:val="20"/>
          <w:szCs w:val="20"/>
        </w:rPr>
      </w:pPr>
      <w:r w:rsidRPr="00086B1D">
        <w:rPr>
          <w:rFonts w:ascii="Tahoma" w:hAnsi="Tahoma" w:cs="Tahoma"/>
          <w:sz w:val="20"/>
          <w:szCs w:val="20"/>
        </w:rPr>
        <w:t xml:space="preserve">Rezultati izračuna prikazani su u donjoj tablici. Pri tome treba istaknuti da je u toj tablici prikazana i vrijednost očekivanih ušteda primarne energije, izračunate uz zadržavanje postojeće strukture energenata, što je konzervativna pretpostavka, jer se Programom potiče i zamjena tehničkih sustava. </w:t>
      </w:r>
    </w:p>
    <w:p w14:paraId="6F844947" w14:textId="6E00A035" w:rsidR="004949CA" w:rsidRPr="00DE7F43" w:rsidRDefault="004949CA" w:rsidP="004949CA">
      <w:pPr>
        <w:pStyle w:val="Opisslike"/>
      </w:pPr>
      <w:bookmarkStart w:id="112" w:name="_Ref83115503"/>
      <w:bookmarkStart w:id="113" w:name="_Toc72081551"/>
      <w:bookmarkStart w:id="114" w:name="_Toc84240499"/>
      <w:r w:rsidRPr="00DE7F43">
        <w:t xml:space="preserve">Tablica </w:t>
      </w:r>
      <w:r w:rsidRPr="00DE7F43">
        <w:fldChar w:fldCharType="begin"/>
      </w:r>
      <w:r w:rsidRPr="00DE7F43">
        <w:instrText>STYLEREF 1 \s</w:instrText>
      </w:r>
      <w:r w:rsidRPr="00DE7F43">
        <w:fldChar w:fldCharType="separate"/>
      </w:r>
      <w:r w:rsidR="00575AF9">
        <w:rPr>
          <w:noProof/>
        </w:rPr>
        <w:t>3</w:t>
      </w:r>
      <w:r w:rsidRPr="00DE7F43">
        <w:fldChar w:fldCharType="end"/>
      </w:r>
      <w:r w:rsidR="00931EC7">
        <w:noBreakHyphen/>
      </w:r>
      <w:r>
        <w:fldChar w:fldCharType="begin"/>
      </w:r>
      <w:r>
        <w:instrText>SEQ Tablica \* ARABIC \s 1</w:instrText>
      </w:r>
      <w:r>
        <w:fldChar w:fldCharType="separate"/>
      </w:r>
      <w:r w:rsidR="00575AF9">
        <w:rPr>
          <w:noProof/>
        </w:rPr>
        <w:t>16</w:t>
      </w:r>
      <w:r>
        <w:fldChar w:fldCharType="end"/>
      </w:r>
      <w:bookmarkEnd w:id="112"/>
      <w:r w:rsidRPr="00DE7F43">
        <w:rPr>
          <w:noProof/>
        </w:rPr>
        <w:t>:</w:t>
      </w:r>
      <w:r w:rsidRPr="00DE7F43">
        <w:t xml:space="preserve"> Izračun ušteda energije u neposrednoj potrošnji (isporučena energija) i ušteda primarne energije za ostvarene ciljeve obnove VSZ prema Dugoročnoj strategiji</w:t>
      </w:r>
      <w:bookmarkEnd w:id="113"/>
      <w:bookmarkEnd w:id="114"/>
    </w:p>
    <w:tbl>
      <w:tblPr>
        <w:tblStyle w:val="Svijetlatablicareetke110"/>
        <w:tblW w:w="5001" w:type="pct"/>
        <w:tblLook w:val="04A0" w:firstRow="1" w:lastRow="0" w:firstColumn="1" w:lastColumn="0" w:noHBand="0" w:noVBand="1"/>
      </w:tblPr>
      <w:tblGrid>
        <w:gridCol w:w="3152"/>
        <w:gridCol w:w="963"/>
        <w:gridCol w:w="963"/>
        <w:gridCol w:w="1006"/>
        <w:gridCol w:w="995"/>
        <w:gridCol w:w="995"/>
        <w:gridCol w:w="990"/>
      </w:tblGrid>
      <w:tr w:rsidR="004949CA" w:rsidRPr="007F3F25" w14:paraId="490052F3" w14:textId="77777777" w:rsidTr="479139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pct"/>
            <w:hideMark/>
          </w:tcPr>
          <w:p w14:paraId="40FC204E"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 </w:t>
            </w:r>
          </w:p>
        </w:tc>
        <w:tc>
          <w:tcPr>
            <w:tcW w:w="0" w:type="pct"/>
            <w:gridSpan w:val="3"/>
            <w:hideMark/>
          </w:tcPr>
          <w:p w14:paraId="23701F63"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lang w:eastAsia="hr-HR"/>
              </w:rPr>
            </w:pPr>
            <w:r w:rsidRPr="007F3F25">
              <w:rPr>
                <w:rFonts w:ascii="Tahoma" w:hAnsi="Tahoma" w:cs="Tahoma"/>
                <w:sz w:val="20"/>
                <w:szCs w:val="20"/>
                <w:lang w:eastAsia="hr-HR"/>
              </w:rPr>
              <w:t>Kontinentalna</w:t>
            </w:r>
          </w:p>
        </w:tc>
        <w:tc>
          <w:tcPr>
            <w:tcW w:w="0" w:type="pct"/>
            <w:gridSpan w:val="3"/>
            <w:hideMark/>
          </w:tcPr>
          <w:p w14:paraId="1F70E4A5"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20"/>
                <w:szCs w:val="20"/>
                <w:lang w:eastAsia="hr-HR"/>
              </w:rPr>
            </w:pPr>
            <w:r w:rsidRPr="007F3F25">
              <w:rPr>
                <w:rFonts w:ascii="Tahoma" w:hAnsi="Tahoma" w:cs="Tahoma"/>
                <w:sz w:val="20"/>
                <w:szCs w:val="20"/>
                <w:lang w:eastAsia="hr-HR"/>
              </w:rPr>
              <w:t>Primorska</w:t>
            </w:r>
          </w:p>
        </w:tc>
      </w:tr>
      <w:tr w:rsidR="004949CA" w:rsidRPr="007F3F25" w14:paraId="06861D49"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2C7B1948"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Razdoblje izgradnje</w:t>
            </w:r>
          </w:p>
        </w:tc>
        <w:tc>
          <w:tcPr>
            <w:tcW w:w="531" w:type="pct"/>
            <w:hideMark/>
          </w:tcPr>
          <w:p w14:paraId="0985B34E"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Prije 1970.</w:t>
            </w:r>
          </w:p>
        </w:tc>
        <w:tc>
          <w:tcPr>
            <w:tcW w:w="531" w:type="pct"/>
            <w:hideMark/>
          </w:tcPr>
          <w:p w14:paraId="693C6A23"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1971.-2005.</w:t>
            </w:r>
          </w:p>
        </w:tc>
        <w:tc>
          <w:tcPr>
            <w:tcW w:w="555" w:type="pct"/>
            <w:shd w:val="clear" w:color="auto" w:fill="D0CECE" w:themeFill="background2" w:themeFillShade="E6"/>
            <w:hideMark/>
          </w:tcPr>
          <w:p w14:paraId="4DC0A066"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Nakon 2006.</w:t>
            </w:r>
          </w:p>
        </w:tc>
        <w:tc>
          <w:tcPr>
            <w:tcW w:w="549" w:type="pct"/>
            <w:hideMark/>
          </w:tcPr>
          <w:p w14:paraId="71D6412B"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Prije 1970.</w:t>
            </w:r>
          </w:p>
        </w:tc>
        <w:tc>
          <w:tcPr>
            <w:tcW w:w="549" w:type="pct"/>
            <w:hideMark/>
          </w:tcPr>
          <w:p w14:paraId="438EFFD6"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1971.-2005.</w:t>
            </w:r>
          </w:p>
        </w:tc>
        <w:tc>
          <w:tcPr>
            <w:tcW w:w="546" w:type="pct"/>
            <w:shd w:val="clear" w:color="auto" w:fill="D0CECE" w:themeFill="background2" w:themeFillShade="E6"/>
            <w:hideMark/>
          </w:tcPr>
          <w:p w14:paraId="5FF9A043" w14:textId="77777777" w:rsidR="004949CA" w:rsidRPr="007F3F25"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Nakon 2006.</w:t>
            </w:r>
          </w:p>
        </w:tc>
      </w:tr>
      <w:tr w:rsidR="004949CA" w:rsidRPr="007F3F25" w14:paraId="6E7092AD"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621E1F0F" w14:textId="77777777" w:rsidR="004949CA" w:rsidRPr="007F3F25" w:rsidRDefault="004949CA" w:rsidP="00331A63">
            <w:pPr>
              <w:rPr>
                <w:rFonts w:ascii="Tahoma" w:hAnsi="Tahoma" w:cs="Tahoma"/>
                <w:b w:val="0"/>
                <w:bCs w:val="0"/>
                <w:sz w:val="20"/>
                <w:szCs w:val="20"/>
                <w:vertAlign w:val="subscript"/>
                <w:lang w:eastAsia="hr-HR"/>
              </w:rPr>
            </w:pPr>
            <w:r w:rsidRPr="007F3F25">
              <w:rPr>
                <w:rFonts w:ascii="Tahoma" w:hAnsi="Tahoma" w:cs="Tahoma"/>
                <w:sz w:val="20"/>
                <w:szCs w:val="20"/>
                <w:lang w:eastAsia="hr-HR"/>
              </w:rPr>
              <w:t xml:space="preserve">Obnovljena površina </w:t>
            </w:r>
            <w:proofErr w:type="spellStart"/>
            <w:r w:rsidRPr="007F3F25">
              <w:rPr>
                <w:rFonts w:ascii="Tahoma" w:hAnsi="Tahoma" w:cs="Tahoma"/>
                <w:sz w:val="20"/>
                <w:szCs w:val="20"/>
                <w:lang w:eastAsia="hr-HR"/>
              </w:rPr>
              <w:t>A</w:t>
            </w:r>
            <w:r w:rsidRPr="007F3F25">
              <w:rPr>
                <w:rFonts w:ascii="Tahoma" w:hAnsi="Tahoma" w:cs="Tahoma"/>
                <w:sz w:val="20"/>
                <w:szCs w:val="20"/>
                <w:vertAlign w:val="subscript"/>
                <w:lang w:eastAsia="hr-HR"/>
              </w:rPr>
              <w:t>i</w:t>
            </w:r>
            <w:proofErr w:type="spellEnd"/>
            <w:r w:rsidRPr="007F3F25">
              <w:rPr>
                <w:rFonts w:ascii="Tahoma" w:hAnsi="Tahoma" w:cs="Tahoma"/>
                <w:sz w:val="20"/>
                <w:szCs w:val="20"/>
                <w:vertAlign w:val="subscript"/>
                <w:lang w:eastAsia="hr-HR"/>
              </w:rPr>
              <w:t xml:space="preserve"> </w:t>
            </w:r>
          </w:p>
          <w:p w14:paraId="389A5C5D"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[10</w:t>
            </w:r>
            <w:r w:rsidRPr="007F3F25">
              <w:rPr>
                <w:rFonts w:ascii="Tahoma" w:hAnsi="Tahoma" w:cs="Tahoma"/>
                <w:sz w:val="20"/>
                <w:szCs w:val="20"/>
                <w:vertAlign w:val="superscript"/>
                <w:lang w:eastAsia="hr-HR"/>
              </w:rPr>
              <w:t>6</w:t>
            </w:r>
            <w:r w:rsidRPr="007F3F25">
              <w:rPr>
                <w:rFonts w:ascii="Tahoma" w:hAnsi="Tahoma" w:cs="Tahoma"/>
                <w:sz w:val="20"/>
                <w:szCs w:val="20"/>
                <w:lang w:eastAsia="hr-HR"/>
              </w:rPr>
              <w:t xml:space="preserve"> m</w:t>
            </w:r>
            <w:r w:rsidRPr="007F3F25">
              <w:rPr>
                <w:rFonts w:ascii="Tahoma" w:hAnsi="Tahoma" w:cs="Tahoma"/>
                <w:sz w:val="20"/>
                <w:szCs w:val="20"/>
                <w:vertAlign w:val="superscript"/>
                <w:lang w:eastAsia="hr-HR"/>
              </w:rPr>
              <w:t>2</w:t>
            </w:r>
            <w:r w:rsidRPr="007F3F25">
              <w:rPr>
                <w:rFonts w:ascii="Tahoma" w:hAnsi="Tahoma" w:cs="Tahoma"/>
                <w:sz w:val="20"/>
                <w:szCs w:val="20"/>
                <w:lang w:eastAsia="hr-HR"/>
              </w:rPr>
              <w:t>]</w:t>
            </w:r>
          </w:p>
        </w:tc>
        <w:tc>
          <w:tcPr>
            <w:tcW w:w="531" w:type="pct"/>
            <w:hideMark/>
          </w:tcPr>
          <w:p w14:paraId="14D6346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1,55</w:t>
            </w:r>
          </w:p>
        </w:tc>
        <w:tc>
          <w:tcPr>
            <w:tcW w:w="531" w:type="pct"/>
            <w:hideMark/>
          </w:tcPr>
          <w:p w14:paraId="78A60ED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2,05</w:t>
            </w:r>
          </w:p>
        </w:tc>
        <w:tc>
          <w:tcPr>
            <w:tcW w:w="555" w:type="pct"/>
            <w:shd w:val="clear" w:color="auto" w:fill="D0CECE" w:themeFill="background2" w:themeFillShade="E6"/>
          </w:tcPr>
          <w:p w14:paraId="1595294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49" w:type="pct"/>
            <w:hideMark/>
          </w:tcPr>
          <w:p w14:paraId="165C448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1,18</w:t>
            </w:r>
          </w:p>
        </w:tc>
        <w:tc>
          <w:tcPr>
            <w:tcW w:w="549" w:type="pct"/>
            <w:hideMark/>
          </w:tcPr>
          <w:p w14:paraId="6CBEE04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1,48</w:t>
            </w:r>
          </w:p>
        </w:tc>
        <w:tc>
          <w:tcPr>
            <w:tcW w:w="546" w:type="pct"/>
            <w:shd w:val="clear" w:color="auto" w:fill="D0CECE" w:themeFill="background2" w:themeFillShade="E6"/>
          </w:tcPr>
          <w:p w14:paraId="71AF558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r>
      <w:tr w:rsidR="004949CA" w:rsidRPr="007F3F25" w14:paraId="321D674E"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6FB7DC13" w14:textId="1C9505FF" w:rsidR="004949CA" w:rsidRPr="007F3F25" w:rsidRDefault="004949CA" w:rsidP="00331A63">
            <w:pPr>
              <w:rPr>
                <w:rFonts w:ascii="Tahoma" w:hAnsi="Tahoma" w:cs="Tahoma"/>
                <w:sz w:val="20"/>
                <w:szCs w:val="20"/>
                <w:lang w:eastAsia="hr-HR"/>
              </w:rPr>
            </w:pPr>
            <w:r w:rsidRPr="479139E7">
              <w:rPr>
                <w:rFonts w:ascii="Tahoma" w:hAnsi="Tahoma" w:cs="Tahoma"/>
                <w:sz w:val="20"/>
                <w:szCs w:val="20"/>
                <w:lang w:eastAsia="hr-HR"/>
              </w:rPr>
              <w:t>Prije rekonstrukcije Q’’</w:t>
            </w:r>
            <w:proofErr w:type="spellStart"/>
            <w:r w:rsidRPr="00F7592C">
              <w:rPr>
                <w:rFonts w:ascii="Tahoma" w:hAnsi="Tahoma" w:cs="Tahoma"/>
                <w:sz w:val="20"/>
                <w:szCs w:val="20"/>
                <w:vertAlign w:val="subscript"/>
                <w:lang w:eastAsia="hr-HR"/>
              </w:rPr>
              <w:t>H,nd</w:t>
            </w:r>
            <w:proofErr w:type="spellEnd"/>
            <w:r w:rsidRPr="00F7592C">
              <w:rPr>
                <w:rFonts w:ascii="Tahoma" w:hAnsi="Tahoma" w:cs="Tahoma"/>
                <w:sz w:val="20"/>
                <w:szCs w:val="20"/>
                <w:vertAlign w:val="subscript"/>
                <w:lang w:eastAsia="hr-HR"/>
              </w:rPr>
              <w:t xml:space="preserve"> </w:t>
            </w:r>
            <w:r w:rsidRPr="479139E7">
              <w:rPr>
                <w:rFonts w:ascii="Tahoma" w:hAnsi="Tahoma" w:cs="Tahoma"/>
                <w:sz w:val="20"/>
                <w:szCs w:val="20"/>
                <w:lang w:eastAsia="hr-HR"/>
              </w:rPr>
              <w:t>[kWh/(m</w:t>
            </w:r>
            <w:r w:rsidRPr="00F7592C">
              <w:rPr>
                <w:rFonts w:ascii="Tahoma" w:hAnsi="Tahoma" w:cs="Tahoma"/>
                <w:sz w:val="20"/>
                <w:szCs w:val="20"/>
                <w:vertAlign w:val="superscript"/>
                <w:lang w:eastAsia="hr-HR"/>
              </w:rPr>
              <w:t>2</w:t>
            </w:r>
            <w:r w:rsidRPr="479139E7">
              <w:rPr>
                <w:rFonts w:ascii="Tahoma" w:hAnsi="Tahoma" w:cs="Tahoma"/>
                <w:sz w:val="20"/>
                <w:szCs w:val="20"/>
                <w:lang w:eastAsia="hr-HR"/>
              </w:rPr>
              <w:t>·a)]</w:t>
            </w:r>
          </w:p>
        </w:tc>
        <w:tc>
          <w:tcPr>
            <w:tcW w:w="531" w:type="pct"/>
            <w:hideMark/>
          </w:tcPr>
          <w:p w14:paraId="7B82AE0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147,99</w:t>
            </w:r>
          </w:p>
          <w:p w14:paraId="5F5B166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31" w:type="pct"/>
            <w:hideMark/>
          </w:tcPr>
          <w:p w14:paraId="4476B7B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107,91</w:t>
            </w:r>
          </w:p>
          <w:p w14:paraId="1971F87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55" w:type="pct"/>
            <w:shd w:val="clear" w:color="auto" w:fill="D0CECE" w:themeFill="background2" w:themeFillShade="E6"/>
          </w:tcPr>
          <w:p w14:paraId="4454B32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49" w:type="pct"/>
          </w:tcPr>
          <w:p w14:paraId="006AEB6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96,88</w:t>
            </w:r>
          </w:p>
          <w:p w14:paraId="20D5229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49" w:type="pct"/>
          </w:tcPr>
          <w:p w14:paraId="2B9CA45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82,58</w:t>
            </w:r>
          </w:p>
        </w:tc>
        <w:tc>
          <w:tcPr>
            <w:tcW w:w="546" w:type="pct"/>
            <w:shd w:val="clear" w:color="auto" w:fill="D0CECE" w:themeFill="background2" w:themeFillShade="E6"/>
          </w:tcPr>
          <w:p w14:paraId="335A814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r>
      <w:tr w:rsidR="004949CA" w:rsidRPr="007F3F25" w14:paraId="2D206720"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2D10DE83"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Nakon rekonstrukcije Q’’</w:t>
            </w:r>
            <w:proofErr w:type="spellStart"/>
            <w:r w:rsidRPr="007F3F25">
              <w:rPr>
                <w:rFonts w:ascii="Tahoma" w:hAnsi="Tahoma" w:cs="Tahoma"/>
                <w:sz w:val="20"/>
                <w:szCs w:val="20"/>
                <w:vertAlign w:val="subscript"/>
                <w:lang w:eastAsia="hr-HR"/>
              </w:rPr>
              <w:t>H,nd</w:t>
            </w:r>
            <w:proofErr w:type="spellEnd"/>
            <w:r w:rsidRPr="007F3F25">
              <w:rPr>
                <w:rFonts w:ascii="Tahoma" w:hAnsi="Tahoma" w:cs="Tahoma"/>
                <w:sz w:val="20"/>
                <w:szCs w:val="20"/>
                <w:vertAlign w:val="subscript"/>
                <w:lang w:eastAsia="hr-HR"/>
              </w:rPr>
              <w:t xml:space="preserve"> </w:t>
            </w:r>
            <w:r w:rsidRPr="007F3F25">
              <w:rPr>
                <w:rFonts w:ascii="Tahoma" w:hAnsi="Tahoma" w:cs="Tahoma"/>
                <w:sz w:val="20"/>
                <w:szCs w:val="20"/>
                <w:lang w:eastAsia="hr-HR"/>
              </w:rPr>
              <w:t>[kWh/(m</w:t>
            </w:r>
            <w:r w:rsidRPr="007F3F25">
              <w:rPr>
                <w:rFonts w:ascii="Tahoma" w:hAnsi="Tahoma" w:cs="Tahoma"/>
                <w:sz w:val="20"/>
                <w:szCs w:val="20"/>
                <w:vertAlign w:val="superscript"/>
                <w:lang w:eastAsia="hr-HR"/>
              </w:rPr>
              <w:t>2</w:t>
            </w:r>
            <w:r w:rsidRPr="007F3F25">
              <w:rPr>
                <w:rFonts w:ascii="Tahoma" w:hAnsi="Tahoma" w:cs="Tahoma"/>
                <w:sz w:val="20"/>
                <w:szCs w:val="20"/>
                <w:lang w:eastAsia="hr-HR"/>
              </w:rPr>
              <w:t>·a)]</w:t>
            </w:r>
          </w:p>
        </w:tc>
        <w:tc>
          <w:tcPr>
            <w:tcW w:w="531" w:type="pct"/>
            <w:hideMark/>
          </w:tcPr>
          <w:p w14:paraId="7B35082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65,86</w:t>
            </w:r>
          </w:p>
        </w:tc>
        <w:tc>
          <w:tcPr>
            <w:tcW w:w="531" w:type="pct"/>
            <w:hideMark/>
          </w:tcPr>
          <w:p w14:paraId="3C86264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64,33</w:t>
            </w:r>
          </w:p>
        </w:tc>
        <w:tc>
          <w:tcPr>
            <w:tcW w:w="555" w:type="pct"/>
            <w:shd w:val="clear" w:color="auto" w:fill="D0CECE" w:themeFill="background2" w:themeFillShade="E6"/>
          </w:tcPr>
          <w:p w14:paraId="0177684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49" w:type="pct"/>
            <w:hideMark/>
          </w:tcPr>
          <w:p w14:paraId="5CE7661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36,47</w:t>
            </w:r>
          </w:p>
        </w:tc>
        <w:tc>
          <w:tcPr>
            <w:tcW w:w="549" w:type="pct"/>
            <w:hideMark/>
          </w:tcPr>
          <w:p w14:paraId="34458B4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34,85</w:t>
            </w:r>
          </w:p>
        </w:tc>
        <w:tc>
          <w:tcPr>
            <w:tcW w:w="546" w:type="pct"/>
            <w:shd w:val="clear" w:color="auto" w:fill="D0CECE" w:themeFill="background2" w:themeFillShade="E6"/>
          </w:tcPr>
          <w:p w14:paraId="6AFDFEA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r>
      <w:tr w:rsidR="004949CA" w:rsidRPr="007F3F25" w14:paraId="07360EF1"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4F2111AA"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 xml:space="preserve">Efikasnost sustava </w:t>
            </w:r>
            <w:proofErr w:type="spellStart"/>
            <w:r w:rsidRPr="007F3F25">
              <w:rPr>
                <w:rFonts w:ascii="Tahoma" w:hAnsi="Tahoma" w:cs="Tahoma"/>
                <w:sz w:val="20"/>
                <w:szCs w:val="20"/>
              </w:rPr>
              <w:t>η</w:t>
            </w:r>
            <w:r w:rsidRPr="007F3F25">
              <w:rPr>
                <w:rFonts w:ascii="Tahoma" w:hAnsi="Tahoma" w:cs="Tahoma"/>
                <w:sz w:val="20"/>
                <w:szCs w:val="20"/>
                <w:vertAlign w:val="subscript"/>
              </w:rPr>
              <w:t>init</w:t>
            </w:r>
            <w:proofErr w:type="spellEnd"/>
            <w:r w:rsidRPr="007F3F25">
              <w:rPr>
                <w:rFonts w:ascii="Tahoma" w:hAnsi="Tahoma" w:cs="Tahoma"/>
                <w:sz w:val="20"/>
                <w:szCs w:val="20"/>
              </w:rPr>
              <w:t>=</w:t>
            </w:r>
            <w:proofErr w:type="spellStart"/>
            <w:r w:rsidRPr="007F3F25">
              <w:rPr>
                <w:rFonts w:ascii="Tahoma" w:hAnsi="Tahoma" w:cs="Tahoma"/>
                <w:sz w:val="20"/>
                <w:szCs w:val="20"/>
              </w:rPr>
              <w:t>η</w:t>
            </w:r>
            <w:r w:rsidRPr="007F3F25">
              <w:rPr>
                <w:rFonts w:ascii="Tahoma" w:hAnsi="Tahoma" w:cs="Tahoma"/>
                <w:sz w:val="20"/>
                <w:szCs w:val="20"/>
                <w:vertAlign w:val="subscript"/>
              </w:rPr>
              <w:t>new</w:t>
            </w:r>
            <w:proofErr w:type="spellEnd"/>
          </w:p>
        </w:tc>
        <w:tc>
          <w:tcPr>
            <w:tcW w:w="531" w:type="pct"/>
            <w:hideMark/>
          </w:tcPr>
          <w:p w14:paraId="42AF74D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0,6348</w:t>
            </w:r>
          </w:p>
        </w:tc>
        <w:tc>
          <w:tcPr>
            <w:tcW w:w="531" w:type="pct"/>
            <w:hideMark/>
          </w:tcPr>
          <w:p w14:paraId="6021F38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0,6405</w:t>
            </w:r>
          </w:p>
        </w:tc>
        <w:tc>
          <w:tcPr>
            <w:tcW w:w="555" w:type="pct"/>
            <w:shd w:val="clear" w:color="auto" w:fill="D0CECE" w:themeFill="background2" w:themeFillShade="E6"/>
          </w:tcPr>
          <w:p w14:paraId="1189892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c>
          <w:tcPr>
            <w:tcW w:w="549" w:type="pct"/>
            <w:hideMark/>
          </w:tcPr>
          <w:p w14:paraId="646016C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0,8000</w:t>
            </w:r>
          </w:p>
        </w:tc>
        <w:tc>
          <w:tcPr>
            <w:tcW w:w="549" w:type="pct"/>
            <w:hideMark/>
          </w:tcPr>
          <w:p w14:paraId="5555C5A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0,8000</w:t>
            </w:r>
          </w:p>
        </w:tc>
        <w:tc>
          <w:tcPr>
            <w:tcW w:w="546" w:type="pct"/>
            <w:shd w:val="clear" w:color="auto" w:fill="D0CECE" w:themeFill="background2" w:themeFillShade="E6"/>
          </w:tcPr>
          <w:p w14:paraId="568D565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r>
      <w:tr w:rsidR="004949CA" w:rsidRPr="007F3F25" w14:paraId="3E23CE63"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0" w:type="pct"/>
            <w:gridSpan w:val="7"/>
          </w:tcPr>
          <w:p w14:paraId="3FE7E408" w14:textId="77777777" w:rsidR="004949CA" w:rsidRPr="007F3F25" w:rsidRDefault="004949CA" w:rsidP="00331A63">
            <w:pPr>
              <w:rPr>
                <w:rFonts w:ascii="Tahoma" w:hAnsi="Tahoma" w:cs="Tahoma"/>
                <w:b w:val="0"/>
                <w:sz w:val="20"/>
                <w:szCs w:val="20"/>
                <w:lang w:eastAsia="hr-HR"/>
              </w:rPr>
            </w:pPr>
            <w:r w:rsidRPr="007F3F25">
              <w:rPr>
                <w:rFonts w:ascii="Tahoma" w:hAnsi="Tahoma" w:cs="Tahoma"/>
                <w:sz w:val="20"/>
                <w:szCs w:val="20"/>
                <w:lang w:eastAsia="hr-HR"/>
              </w:rPr>
              <w:t xml:space="preserve">Rezultati izračuna uz </w:t>
            </w:r>
            <w:r w:rsidRPr="007F3F25">
              <w:rPr>
                <w:rFonts w:ascii="Tahoma" w:hAnsi="Tahoma" w:cs="Tahoma"/>
                <w:sz w:val="20"/>
                <w:szCs w:val="20"/>
              </w:rPr>
              <w:t xml:space="preserve">vrijednost </w:t>
            </w:r>
            <w:r w:rsidRPr="007F3F25">
              <w:rPr>
                <w:rFonts w:ascii="Tahoma" w:hAnsi="Tahoma" w:cs="Tahoma"/>
                <w:sz w:val="20"/>
                <w:szCs w:val="20"/>
                <w:lang w:eastAsia="hr-HR"/>
              </w:rPr>
              <w:t>Q’’</w:t>
            </w:r>
            <w:proofErr w:type="spellStart"/>
            <w:r w:rsidRPr="007F3F25">
              <w:rPr>
                <w:rFonts w:ascii="Tahoma" w:hAnsi="Tahoma" w:cs="Tahoma"/>
                <w:sz w:val="20"/>
                <w:szCs w:val="20"/>
                <w:vertAlign w:val="subscript"/>
                <w:lang w:eastAsia="hr-HR"/>
              </w:rPr>
              <w:t>H,nd</w:t>
            </w:r>
            <w:proofErr w:type="spellEnd"/>
            <w:r w:rsidRPr="007F3F25">
              <w:rPr>
                <w:rFonts w:ascii="Tahoma" w:hAnsi="Tahoma" w:cs="Tahoma"/>
                <w:sz w:val="20"/>
                <w:szCs w:val="20"/>
                <w:vertAlign w:val="subscript"/>
                <w:lang w:eastAsia="hr-HR"/>
              </w:rPr>
              <w:t xml:space="preserve"> </w:t>
            </w:r>
            <w:r w:rsidRPr="007F3F25">
              <w:rPr>
                <w:rFonts w:ascii="Tahoma" w:hAnsi="Tahoma" w:cs="Tahoma"/>
                <w:sz w:val="20"/>
                <w:szCs w:val="20"/>
              </w:rPr>
              <w:t>nakon</w:t>
            </w:r>
            <w:r w:rsidRPr="007F3F25">
              <w:rPr>
                <w:rFonts w:ascii="Tahoma" w:hAnsi="Tahoma" w:cs="Tahoma"/>
                <w:sz w:val="20"/>
                <w:szCs w:val="20"/>
                <w:lang w:eastAsia="hr-HR"/>
              </w:rPr>
              <w:t xml:space="preserve"> rekonstrukcije</w:t>
            </w:r>
            <w:r w:rsidRPr="007F3F25">
              <w:rPr>
                <w:rFonts w:ascii="Tahoma" w:hAnsi="Tahoma" w:cs="Tahoma"/>
                <w:sz w:val="20"/>
                <w:szCs w:val="20"/>
              </w:rPr>
              <w:t xml:space="preserve"> prema Tehničkom propisu</w:t>
            </w:r>
          </w:p>
        </w:tc>
      </w:tr>
      <w:tr w:rsidR="004949CA" w:rsidRPr="007F3F25" w14:paraId="415C2F72"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7EB190BD"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UFES [kWh/(m</w:t>
            </w:r>
            <w:r w:rsidRPr="007F3F25">
              <w:rPr>
                <w:rFonts w:ascii="Tahoma" w:hAnsi="Tahoma" w:cs="Tahoma"/>
                <w:sz w:val="20"/>
                <w:szCs w:val="20"/>
                <w:vertAlign w:val="superscript"/>
                <w:lang w:eastAsia="hr-HR"/>
              </w:rPr>
              <w:t>2</w:t>
            </w:r>
            <w:r w:rsidRPr="007F3F25">
              <w:rPr>
                <w:rFonts w:ascii="Tahoma" w:hAnsi="Tahoma" w:cs="Tahoma"/>
                <w:sz w:val="20"/>
                <w:szCs w:val="20"/>
                <w:lang w:eastAsia="hr-HR"/>
              </w:rPr>
              <w:t>)]</w:t>
            </w:r>
          </w:p>
        </w:tc>
        <w:tc>
          <w:tcPr>
            <w:tcW w:w="531" w:type="pct"/>
            <w:hideMark/>
          </w:tcPr>
          <w:p w14:paraId="7D0AAE9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129,38</w:t>
            </w:r>
          </w:p>
        </w:tc>
        <w:tc>
          <w:tcPr>
            <w:tcW w:w="531" w:type="pct"/>
            <w:hideMark/>
          </w:tcPr>
          <w:p w14:paraId="1DDA15A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lang w:eastAsia="hr-HR"/>
              </w:rPr>
              <w:t>68,05</w:t>
            </w:r>
          </w:p>
        </w:tc>
        <w:tc>
          <w:tcPr>
            <w:tcW w:w="555" w:type="pct"/>
            <w:shd w:val="clear" w:color="auto" w:fill="D0CECE" w:themeFill="background2" w:themeFillShade="E6"/>
            <w:hideMark/>
          </w:tcPr>
          <w:p w14:paraId="527D864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c>
          <w:tcPr>
            <w:tcW w:w="549" w:type="pct"/>
            <w:hideMark/>
          </w:tcPr>
          <w:p w14:paraId="3496219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75,52</w:t>
            </w:r>
          </w:p>
        </w:tc>
        <w:tc>
          <w:tcPr>
            <w:tcW w:w="549" w:type="pct"/>
            <w:hideMark/>
          </w:tcPr>
          <w:p w14:paraId="7E94AEF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7F3F25">
              <w:rPr>
                <w:rFonts w:ascii="Tahoma" w:hAnsi="Tahoma" w:cs="Tahoma"/>
                <w:sz w:val="20"/>
                <w:szCs w:val="20"/>
              </w:rPr>
              <w:t>59,67</w:t>
            </w:r>
          </w:p>
        </w:tc>
        <w:tc>
          <w:tcPr>
            <w:tcW w:w="546" w:type="pct"/>
            <w:shd w:val="clear" w:color="auto" w:fill="D0CECE" w:themeFill="background2" w:themeFillShade="E6"/>
            <w:hideMark/>
          </w:tcPr>
          <w:p w14:paraId="2908601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p>
        </w:tc>
      </w:tr>
      <w:tr w:rsidR="004949CA" w:rsidRPr="007F3F25" w14:paraId="289F9C5C" w14:textId="77777777" w:rsidTr="479139E7">
        <w:trPr>
          <w:trHeight w:val="300"/>
        </w:trPr>
        <w:tc>
          <w:tcPr>
            <w:cnfStyle w:val="001000000000" w:firstRow="0" w:lastRow="0" w:firstColumn="1" w:lastColumn="0" w:oddVBand="0" w:evenVBand="0" w:oddHBand="0" w:evenHBand="0" w:firstRowFirstColumn="0" w:firstRowLastColumn="0" w:lastRowFirstColumn="0" w:lastRowLastColumn="0"/>
            <w:tcW w:w="1739" w:type="pct"/>
            <w:hideMark/>
          </w:tcPr>
          <w:p w14:paraId="08950C5F" w14:textId="77777777" w:rsidR="004949CA" w:rsidRPr="007F3F25" w:rsidRDefault="004949CA" w:rsidP="00331A63">
            <w:pPr>
              <w:rPr>
                <w:rFonts w:ascii="Tahoma" w:hAnsi="Tahoma" w:cs="Tahoma"/>
                <w:sz w:val="20"/>
                <w:szCs w:val="20"/>
                <w:lang w:eastAsia="hr-HR"/>
              </w:rPr>
            </w:pPr>
            <w:r w:rsidRPr="007F3F25">
              <w:rPr>
                <w:rFonts w:ascii="Tahoma" w:hAnsi="Tahoma" w:cs="Tahoma"/>
                <w:sz w:val="20"/>
                <w:szCs w:val="20"/>
                <w:lang w:eastAsia="hr-HR"/>
              </w:rPr>
              <w:t>FES [GWh]</w:t>
            </w:r>
          </w:p>
        </w:tc>
        <w:tc>
          <w:tcPr>
            <w:tcW w:w="531" w:type="pct"/>
            <w:vAlign w:val="center"/>
            <w:hideMark/>
          </w:tcPr>
          <w:p w14:paraId="590857D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201,03</w:t>
            </w:r>
          </w:p>
        </w:tc>
        <w:tc>
          <w:tcPr>
            <w:tcW w:w="531" w:type="pct"/>
            <w:vAlign w:val="center"/>
            <w:hideMark/>
          </w:tcPr>
          <w:p w14:paraId="301E262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139,47</w:t>
            </w:r>
          </w:p>
        </w:tc>
        <w:tc>
          <w:tcPr>
            <w:tcW w:w="555" w:type="pct"/>
            <w:shd w:val="clear" w:color="auto" w:fill="D0CECE" w:themeFill="background2" w:themeFillShade="E6"/>
            <w:vAlign w:val="bottom"/>
            <w:hideMark/>
          </w:tcPr>
          <w:p w14:paraId="0FAA5A3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 </w:t>
            </w:r>
          </w:p>
        </w:tc>
        <w:tc>
          <w:tcPr>
            <w:tcW w:w="549" w:type="pct"/>
            <w:vAlign w:val="center"/>
            <w:hideMark/>
          </w:tcPr>
          <w:p w14:paraId="1554DF9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89,10</w:t>
            </w:r>
          </w:p>
        </w:tc>
        <w:tc>
          <w:tcPr>
            <w:tcW w:w="549" w:type="pct"/>
            <w:vAlign w:val="center"/>
            <w:hideMark/>
          </w:tcPr>
          <w:p w14:paraId="74120F8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88,56</w:t>
            </w:r>
          </w:p>
        </w:tc>
        <w:tc>
          <w:tcPr>
            <w:tcW w:w="546" w:type="pct"/>
            <w:shd w:val="clear" w:color="auto" w:fill="D0CECE" w:themeFill="background2" w:themeFillShade="E6"/>
            <w:vAlign w:val="bottom"/>
            <w:hideMark/>
          </w:tcPr>
          <w:p w14:paraId="73EB657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7F3F25">
              <w:rPr>
                <w:rFonts w:ascii="Tahoma" w:hAnsi="Tahoma" w:cs="Tahoma"/>
                <w:sz w:val="20"/>
                <w:szCs w:val="20"/>
              </w:rPr>
              <w:t> </w:t>
            </w:r>
          </w:p>
        </w:tc>
      </w:tr>
      <w:tr w:rsidR="004949CA" w:rsidRPr="007F3F25" w14:paraId="71DC4D69" w14:textId="77777777" w:rsidTr="479139E7">
        <w:trPr>
          <w:trHeight w:val="70"/>
        </w:trPr>
        <w:tc>
          <w:tcPr>
            <w:cnfStyle w:val="001000000000" w:firstRow="0" w:lastRow="0" w:firstColumn="1" w:lastColumn="0" w:oddVBand="0" w:evenVBand="0" w:oddHBand="0" w:evenHBand="0" w:firstRowFirstColumn="0" w:firstRowLastColumn="0" w:lastRowFirstColumn="0" w:lastRowLastColumn="0"/>
            <w:tcW w:w="0" w:type="pct"/>
            <w:vMerge w:val="restart"/>
          </w:tcPr>
          <w:p w14:paraId="0E3E3617" w14:textId="77777777" w:rsidR="004949CA" w:rsidRPr="007F3F25" w:rsidRDefault="004949CA" w:rsidP="00331A63">
            <w:pPr>
              <w:rPr>
                <w:rFonts w:ascii="Tahoma" w:hAnsi="Tahoma" w:cs="Tahoma"/>
                <w:b w:val="0"/>
                <w:sz w:val="20"/>
                <w:szCs w:val="20"/>
                <w:lang w:eastAsia="hr-HR"/>
              </w:rPr>
            </w:pPr>
            <w:r w:rsidRPr="007F3F25">
              <w:rPr>
                <w:rFonts w:ascii="Tahoma" w:hAnsi="Tahoma" w:cs="Tahoma"/>
                <w:sz w:val="20"/>
                <w:szCs w:val="20"/>
                <w:lang w:eastAsia="hr-HR"/>
              </w:rPr>
              <w:t>Total FES [GWh]</w:t>
            </w:r>
          </w:p>
          <w:p w14:paraId="03ADBA78" w14:textId="77777777" w:rsidR="004949CA" w:rsidRPr="007F3F25" w:rsidRDefault="004949CA" w:rsidP="00331A63">
            <w:pPr>
              <w:rPr>
                <w:rFonts w:ascii="Tahoma" w:hAnsi="Tahoma" w:cs="Tahoma"/>
                <w:b w:val="0"/>
                <w:sz w:val="20"/>
                <w:szCs w:val="20"/>
                <w:lang w:eastAsia="hr-HR"/>
              </w:rPr>
            </w:pPr>
          </w:p>
        </w:tc>
        <w:tc>
          <w:tcPr>
            <w:tcW w:w="0" w:type="pct"/>
            <w:gridSpan w:val="3"/>
            <w:vAlign w:val="center"/>
          </w:tcPr>
          <w:p w14:paraId="3AD74438" w14:textId="77777777" w:rsidR="004949CA" w:rsidRPr="007F3F25"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lang w:eastAsia="hr-HR"/>
              </w:rPr>
            </w:pPr>
            <w:r w:rsidRPr="007F3F25">
              <w:rPr>
                <w:rFonts w:ascii="Tahoma" w:hAnsi="Tahoma" w:cs="Tahoma"/>
                <w:b/>
                <w:bCs/>
                <w:sz w:val="20"/>
                <w:szCs w:val="20"/>
              </w:rPr>
              <w:t>340,50</w:t>
            </w:r>
          </w:p>
        </w:tc>
        <w:tc>
          <w:tcPr>
            <w:tcW w:w="0" w:type="pct"/>
            <w:gridSpan w:val="3"/>
            <w:vAlign w:val="center"/>
          </w:tcPr>
          <w:p w14:paraId="6F60DBC7" w14:textId="77777777" w:rsidR="004949CA" w:rsidRPr="007F3F25"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sz w:val="20"/>
                <w:szCs w:val="20"/>
                <w:lang w:eastAsia="hr-HR"/>
              </w:rPr>
            </w:pPr>
            <w:r w:rsidRPr="007F3F25">
              <w:rPr>
                <w:rFonts w:ascii="Tahoma" w:hAnsi="Tahoma" w:cs="Tahoma"/>
                <w:b/>
                <w:bCs/>
                <w:sz w:val="20"/>
                <w:szCs w:val="20"/>
              </w:rPr>
              <w:t>177,66</w:t>
            </w:r>
          </w:p>
        </w:tc>
      </w:tr>
      <w:tr w:rsidR="004949CA" w:rsidRPr="007F3F25" w14:paraId="05B8AE81" w14:textId="77777777" w:rsidTr="479139E7">
        <w:trPr>
          <w:trHeight w:val="70"/>
        </w:trPr>
        <w:tc>
          <w:tcPr>
            <w:cnfStyle w:val="001000000000" w:firstRow="0" w:lastRow="0" w:firstColumn="1" w:lastColumn="0" w:oddVBand="0" w:evenVBand="0" w:oddHBand="0" w:evenHBand="0" w:firstRowFirstColumn="0" w:firstRowLastColumn="0" w:lastRowFirstColumn="0" w:lastRowLastColumn="0"/>
            <w:tcW w:w="0" w:type="pct"/>
            <w:vMerge/>
          </w:tcPr>
          <w:p w14:paraId="2B92B98B" w14:textId="77777777" w:rsidR="004949CA" w:rsidRPr="007F3F25" w:rsidRDefault="004949CA" w:rsidP="00331A63">
            <w:pPr>
              <w:rPr>
                <w:rFonts w:ascii="Tahoma" w:hAnsi="Tahoma" w:cs="Tahoma"/>
                <w:b w:val="0"/>
                <w:sz w:val="20"/>
                <w:szCs w:val="20"/>
                <w:lang w:eastAsia="hr-HR"/>
              </w:rPr>
            </w:pPr>
          </w:p>
        </w:tc>
        <w:tc>
          <w:tcPr>
            <w:tcW w:w="0" w:type="pct"/>
            <w:gridSpan w:val="6"/>
          </w:tcPr>
          <w:p w14:paraId="36E4E1D6" w14:textId="77777777" w:rsidR="004949CA" w:rsidRPr="007F3F25"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lang w:eastAsia="hr-HR"/>
              </w:rPr>
            </w:pPr>
            <w:r w:rsidRPr="007F3F25">
              <w:rPr>
                <w:rFonts w:ascii="Tahoma" w:hAnsi="Tahoma" w:cs="Tahoma"/>
                <w:b/>
                <w:bCs/>
                <w:sz w:val="20"/>
                <w:szCs w:val="20"/>
              </w:rPr>
              <w:t>518,16</w:t>
            </w:r>
          </w:p>
        </w:tc>
      </w:tr>
      <w:tr w:rsidR="004949CA" w:rsidRPr="007F3F25" w14:paraId="29D8AE88" w14:textId="77777777" w:rsidTr="479139E7">
        <w:trPr>
          <w:trHeight w:val="150"/>
        </w:trPr>
        <w:tc>
          <w:tcPr>
            <w:cnfStyle w:val="001000000000" w:firstRow="0" w:lastRow="0" w:firstColumn="1" w:lastColumn="0" w:oddVBand="0" w:evenVBand="0" w:oddHBand="0" w:evenHBand="0" w:firstRowFirstColumn="0" w:firstRowLastColumn="0" w:lastRowFirstColumn="0" w:lastRowLastColumn="0"/>
            <w:tcW w:w="0" w:type="pct"/>
          </w:tcPr>
          <w:p w14:paraId="190B4396" w14:textId="77777777" w:rsidR="004949CA" w:rsidRPr="007F3F25" w:rsidRDefault="004949CA" w:rsidP="00331A63">
            <w:pPr>
              <w:rPr>
                <w:rFonts w:ascii="Tahoma" w:hAnsi="Tahoma" w:cs="Tahoma"/>
                <w:bCs w:val="0"/>
                <w:sz w:val="20"/>
                <w:szCs w:val="20"/>
                <w:lang w:eastAsia="hr-HR"/>
              </w:rPr>
            </w:pPr>
            <w:r w:rsidRPr="007F3F25">
              <w:rPr>
                <w:rFonts w:ascii="Tahoma" w:hAnsi="Tahoma" w:cs="Tahoma"/>
                <w:bCs w:val="0"/>
                <w:sz w:val="20"/>
                <w:szCs w:val="20"/>
                <w:lang w:eastAsia="hr-HR"/>
              </w:rPr>
              <w:t>Ušteda primarne energije [GWh]]</w:t>
            </w:r>
          </w:p>
        </w:tc>
        <w:tc>
          <w:tcPr>
            <w:tcW w:w="0" w:type="pct"/>
            <w:gridSpan w:val="6"/>
          </w:tcPr>
          <w:p w14:paraId="602C9839" w14:textId="77777777" w:rsidR="004949CA" w:rsidRPr="007F3F25"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7F3F25">
              <w:rPr>
                <w:rFonts w:ascii="Tahoma" w:hAnsi="Tahoma" w:cs="Tahoma"/>
                <w:b/>
                <w:bCs/>
                <w:sz w:val="20"/>
                <w:szCs w:val="20"/>
              </w:rPr>
              <w:t>658,66</w:t>
            </w:r>
          </w:p>
        </w:tc>
      </w:tr>
    </w:tbl>
    <w:p w14:paraId="78AC597D" w14:textId="2E4ECDA8" w:rsidR="004949CA" w:rsidRPr="00DE7F43" w:rsidRDefault="004949CA" w:rsidP="007F3F25">
      <w:pPr>
        <w:spacing w:before="120" w:after="120" w:line="240" w:lineRule="auto"/>
        <w:jc w:val="both"/>
      </w:pPr>
      <w:r w:rsidRPr="00DE7F43">
        <w:t xml:space="preserve">Dodatno se ovdje treba osvrnuti i na cilj kumulativnih ušteda energije kojega je </w:t>
      </w:r>
      <w:r w:rsidR="007D7985">
        <w:t>Hrvatska</w:t>
      </w:r>
      <w:r w:rsidRPr="00DE7F43">
        <w:t xml:space="preserve">, temeljem zahtjeva članka 7. Direktive o energetskoj učinkovitosti, postavila u svom NEKP-u. Taj cilj za razdoblje od 2021. do 2030. godine iznosi </w:t>
      </w:r>
      <w:r w:rsidRPr="00DE7F43">
        <w:rPr>
          <w:b/>
          <w:bCs/>
        </w:rPr>
        <w:t>125,3 PJ</w:t>
      </w:r>
      <w:r w:rsidRPr="00DE7F43">
        <w:t xml:space="preserve"> odnosno </w:t>
      </w:r>
      <w:r w:rsidRPr="00DE7F43">
        <w:rPr>
          <w:b/>
          <w:bCs/>
        </w:rPr>
        <w:t>34.805,56 GWh</w:t>
      </w:r>
      <w:r w:rsidRPr="00DE7F43">
        <w:t>.</w:t>
      </w:r>
      <w:r w:rsidRPr="00DE7F43">
        <w:rPr>
          <w:b/>
          <w:bCs/>
        </w:rPr>
        <w:t xml:space="preserve"> </w:t>
      </w:r>
      <w:r w:rsidRPr="00DE7F43">
        <w:t>Kolike će se kumulativne uštede ostvariti iz obnove VSZ uvelike ovisi o godišnjoj raspodjeli aktivnosti – što se ranije započne s provedbom, to će kumulativne uštede biti veće. Raspodjela ušteda po godinama vezat će se na ciljanu površinu po godinama (</w:t>
      </w:r>
      <w:r w:rsidR="004C7024">
        <w:fldChar w:fldCharType="begin"/>
      </w:r>
      <w:r w:rsidR="004C7024">
        <w:instrText xml:space="preserve"> REF _Ref83114288 \h </w:instrText>
      </w:r>
      <w:r w:rsidR="004C7024">
        <w:fldChar w:fldCharType="separate"/>
      </w:r>
      <w:r w:rsidR="00575AF9" w:rsidRPr="00DE7F43">
        <w:t xml:space="preserve">Tablica </w:t>
      </w:r>
      <w:r w:rsidR="00575AF9">
        <w:rPr>
          <w:noProof/>
        </w:rPr>
        <w:t>3</w:t>
      </w:r>
      <w:r w:rsidR="00575AF9" w:rsidRPr="00DE7F43">
        <w:noBreakHyphen/>
      </w:r>
      <w:r w:rsidR="00575AF9">
        <w:rPr>
          <w:noProof/>
        </w:rPr>
        <w:t>11</w:t>
      </w:r>
      <w:r w:rsidR="004C7024">
        <w:fldChar w:fldCharType="end"/>
      </w:r>
      <w:r w:rsidRPr="00DE7F43">
        <w:t xml:space="preserve">). Izračun kumulativnih ušteda energije prikazuje </w:t>
      </w:r>
      <w:r w:rsidR="004C7024">
        <w:fldChar w:fldCharType="begin"/>
      </w:r>
      <w:r w:rsidR="004C7024">
        <w:instrText xml:space="preserve"> REF _Ref83115033 \h </w:instrText>
      </w:r>
      <w:r w:rsidR="004C7024">
        <w:fldChar w:fldCharType="separate"/>
      </w:r>
      <w:r w:rsidR="00575AF9" w:rsidRPr="00DE7F43">
        <w:t xml:space="preserve">Tablica </w:t>
      </w:r>
      <w:r w:rsidR="00575AF9">
        <w:rPr>
          <w:noProof/>
        </w:rPr>
        <w:t>3</w:t>
      </w:r>
      <w:r w:rsidR="00575AF9">
        <w:noBreakHyphen/>
      </w:r>
      <w:r w:rsidR="00575AF9">
        <w:rPr>
          <w:noProof/>
        </w:rPr>
        <w:t>17</w:t>
      </w:r>
      <w:r w:rsidR="004C7024">
        <w:fldChar w:fldCharType="end"/>
      </w:r>
      <w:r w:rsidRPr="00DE7F43">
        <w:t xml:space="preserve">. </w:t>
      </w:r>
    </w:p>
    <w:p w14:paraId="06F2188F" w14:textId="00BB9648" w:rsidR="004949CA" w:rsidRPr="00DE7F43" w:rsidRDefault="004949CA" w:rsidP="004949CA">
      <w:pPr>
        <w:pStyle w:val="Opisslike"/>
      </w:pPr>
      <w:bookmarkStart w:id="115" w:name="_Ref83115033"/>
      <w:bookmarkStart w:id="116" w:name="_Toc72081552"/>
      <w:bookmarkStart w:id="117" w:name="_Toc84240500"/>
      <w:r w:rsidRPr="00DE7F43">
        <w:t xml:space="preserve">Tablica </w:t>
      </w:r>
      <w:r w:rsidRPr="00DE7F43">
        <w:fldChar w:fldCharType="begin"/>
      </w:r>
      <w:r w:rsidRPr="00DE7F43">
        <w:instrText>STYLEREF 1 \s</w:instrText>
      </w:r>
      <w:r w:rsidRPr="00DE7F43">
        <w:fldChar w:fldCharType="separate"/>
      </w:r>
      <w:r w:rsidR="00575AF9">
        <w:rPr>
          <w:noProof/>
        </w:rPr>
        <w:t>3</w:t>
      </w:r>
      <w:r w:rsidRPr="00DE7F43">
        <w:fldChar w:fldCharType="end"/>
      </w:r>
      <w:r w:rsidR="00931EC7">
        <w:noBreakHyphen/>
      </w:r>
      <w:r>
        <w:fldChar w:fldCharType="begin"/>
      </w:r>
      <w:r>
        <w:instrText>SEQ Tablica \* ARABIC \s 1</w:instrText>
      </w:r>
      <w:r>
        <w:fldChar w:fldCharType="separate"/>
      </w:r>
      <w:r w:rsidR="00575AF9">
        <w:rPr>
          <w:noProof/>
        </w:rPr>
        <w:t>17</w:t>
      </w:r>
      <w:r>
        <w:fldChar w:fldCharType="end"/>
      </w:r>
      <w:bookmarkEnd w:id="115"/>
      <w:r w:rsidRPr="00DE7F43">
        <w:rPr>
          <w:noProof/>
        </w:rPr>
        <w:t>:</w:t>
      </w:r>
      <w:r w:rsidRPr="00DE7F43">
        <w:t xml:space="preserve"> Izračun kumulativnih ušteda energije u neposrednoj potrošnji (isporučena energija) za ostvarene ciljeve obnove VSZ prema Dugoročnoj strategiji</w:t>
      </w:r>
      <w:bookmarkEnd w:id="116"/>
      <w:bookmarkEnd w:id="117"/>
    </w:p>
    <w:tbl>
      <w:tblPr>
        <w:tblStyle w:val="Svijetlatablicareetke110"/>
        <w:tblW w:w="5000" w:type="pct"/>
        <w:tblLook w:val="04A0" w:firstRow="1" w:lastRow="0" w:firstColumn="1" w:lastColumn="0" w:noHBand="0" w:noVBand="1"/>
      </w:tblPr>
      <w:tblGrid>
        <w:gridCol w:w="1134"/>
        <w:gridCol w:w="691"/>
        <w:gridCol w:w="691"/>
        <w:gridCol w:w="690"/>
        <w:gridCol w:w="690"/>
        <w:gridCol w:w="690"/>
        <w:gridCol w:w="690"/>
        <w:gridCol w:w="690"/>
        <w:gridCol w:w="690"/>
        <w:gridCol w:w="690"/>
        <w:gridCol w:w="690"/>
        <w:gridCol w:w="1026"/>
      </w:tblGrid>
      <w:tr w:rsidR="004949CA" w:rsidRPr="007F3F25" w14:paraId="1E832AFA" w14:textId="77777777" w:rsidTr="00331A63">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10A4DB14" w14:textId="77777777" w:rsidR="004949CA" w:rsidRPr="007F3F25" w:rsidRDefault="004949CA" w:rsidP="00331A63">
            <w:pPr>
              <w:rPr>
                <w:rFonts w:ascii="Tahoma" w:hAnsi="Tahoma" w:cs="Tahoma"/>
                <w:sz w:val="18"/>
                <w:szCs w:val="18"/>
                <w:lang w:eastAsia="hr-HR"/>
              </w:rPr>
            </w:pPr>
            <w:r w:rsidRPr="007F3F25">
              <w:rPr>
                <w:rFonts w:ascii="Tahoma" w:hAnsi="Tahoma" w:cs="Tahoma"/>
                <w:sz w:val="18"/>
                <w:szCs w:val="18"/>
                <w:lang w:eastAsia="hr-HR"/>
              </w:rPr>
              <w:t>Godišnje uštede [GWh]</w:t>
            </w:r>
          </w:p>
        </w:tc>
        <w:tc>
          <w:tcPr>
            <w:tcW w:w="0" w:type="pct"/>
            <w:hideMark/>
          </w:tcPr>
          <w:p w14:paraId="1F75396D"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6F28D60C"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0CA88732"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38572DF4"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038ACA9A"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7E8B2B11"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3C002310"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6C4DE843"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03D44F2D"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02EE1624"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c>
          <w:tcPr>
            <w:tcW w:w="0" w:type="pct"/>
            <w:hideMark/>
          </w:tcPr>
          <w:p w14:paraId="02D41DAD" w14:textId="77777777" w:rsidR="004949CA" w:rsidRPr="007F3F25"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lang w:eastAsia="hr-HR"/>
              </w:rPr>
              <w:t> </w:t>
            </w:r>
          </w:p>
        </w:tc>
      </w:tr>
      <w:tr w:rsidR="004949CA" w:rsidRPr="007F3F25" w14:paraId="24BC775E" w14:textId="77777777" w:rsidTr="00331A63">
        <w:trPr>
          <w:trHeight w:val="40"/>
        </w:trPr>
        <w:tc>
          <w:tcPr>
            <w:cnfStyle w:val="001000000000" w:firstRow="0" w:lastRow="0" w:firstColumn="1" w:lastColumn="0" w:oddVBand="0" w:evenVBand="0" w:oddHBand="0" w:evenHBand="0" w:firstRowFirstColumn="0" w:firstRowLastColumn="0" w:lastRowFirstColumn="0" w:lastRowLastColumn="0"/>
            <w:tcW w:w="0" w:type="pct"/>
            <w:hideMark/>
          </w:tcPr>
          <w:p w14:paraId="29147AFB"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2021</w:t>
            </w:r>
          </w:p>
        </w:tc>
        <w:tc>
          <w:tcPr>
            <w:tcW w:w="0" w:type="pct"/>
            <w:vAlign w:val="center"/>
            <w:hideMark/>
          </w:tcPr>
          <w:p w14:paraId="11BEA9E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5A89D28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45E27F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5B2FD49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54FAB48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30ECE14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0A8A73A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C82820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35C2927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0479D64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511EC6C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r>
      <w:tr w:rsidR="004949CA" w:rsidRPr="007F3F25" w14:paraId="405A33C2"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6D3C1807"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lastRenderedPageBreak/>
              <w:t>2022</w:t>
            </w:r>
          </w:p>
        </w:tc>
        <w:tc>
          <w:tcPr>
            <w:tcW w:w="0" w:type="pct"/>
            <w:vAlign w:val="center"/>
            <w:hideMark/>
          </w:tcPr>
          <w:p w14:paraId="3572BE4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0DFB704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020E571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B30C3C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18D3BE1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0E30D25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02017CB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0E19512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C4BA14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C78378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2AF6279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49,8</w:t>
            </w:r>
          </w:p>
        </w:tc>
      </w:tr>
      <w:tr w:rsidR="004949CA" w:rsidRPr="007F3F25" w14:paraId="01DD68B4"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5F807A22"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2023</w:t>
            </w:r>
          </w:p>
        </w:tc>
        <w:tc>
          <w:tcPr>
            <w:tcW w:w="0" w:type="pct"/>
            <w:vAlign w:val="center"/>
            <w:hideMark/>
          </w:tcPr>
          <w:p w14:paraId="5EDA505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7848888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11AA46A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4C64997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A60DB5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00CBD31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266E6A4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4EF295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1611B8E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0EF19F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2FC3B40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90,1</w:t>
            </w:r>
          </w:p>
        </w:tc>
      </w:tr>
      <w:tr w:rsidR="004949CA" w:rsidRPr="007F3F25" w14:paraId="0CF15C01"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260668CE"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2024</w:t>
            </w:r>
          </w:p>
        </w:tc>
        <w:tc>
          <w:tcPr>
            <w:tcW w:w="0" w:type="pct"/>
            <w:vAlign w:val="center"/>
            <w:hideMark/>
          </w:tcPr>
          <w:p w14:paraId="5EEF6F2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2287B3C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4B08FB9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32A893F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084148D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B943F5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114EC14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15597E0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2543FBE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3C248DD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6162234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129,7</w:t>
            </w:r>
          </w:p>
        </w:tc>
      </w:tr>
      <w:tr w:rsidR="004949CA" w:rsidRPr="007F3F25" w14:paraId="4F3EE081"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22633EB9"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2025</w:t>
            </w:r>
          </w:p>
        </w:tc>
        <w:tc>
          <w:tcPr>
            <w:tcW w:w="0" w:type="pct"/>
            <w:vAlign w:val="center"/>
            <w:hideMark/>
          </w:tcPr>
          <w:p w14:paraId="546A071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029DD21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7B90CD8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7D29E82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4BBCC40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23B893D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B0B5B8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DC3BA2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58CAA36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0EC33E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30913F8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183,9</w:t>
            </w:r>
          </w:p>
        </w:tc>
      </w:tr>
      <w:tr w:rsidR="004949CA" w:rsidRPr="007F3F25" w14:paraId="4B59A66D"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3A379320"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2026</w:t>
            </w:r>
          </w:p>
        </w:tc>
        <w:tc>
          <w:tcPr>
            <w:tcW w:w="0" w:type="pct"/>
            <w:vAlign w:val="center"/>
            <w:hideMark/>
          </w:tcPr>
          <w:p w14:paraId="0113F97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7654E3C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31B2211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19ABEA0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733E391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35209DF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52,7</w:t>
            </w:r>
          </w:p>
        </w:tc>
        <w:tc>
          <w:tcPr>
            <w:tcW w:w="0" w:type="pct"/>
            <w:vAlign w:val="center"/>
            <w:hideMark/>
          </w:tcPr>
          <w:p w14:paraId="3F59D82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4C59FC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5C8EEF0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273DA3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6188776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236,6</w:t>
            </w:r>
          </w:p>
        </w:tc>
      </w:tr>
      <w:tr w:rsidR="004949CA" w:rsidRPr="007F3F25" w14:paraId="5B24DF5B"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49526EAD"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2027</w:t>
            </w:r>
          </w:p>
        </w:tc>
        <w:tc>
          <w:tcPr>
            <w:tcW w:w="0" w:type="pct"/>
            <w:vAlign w:val="center"/>
            <w:hideMark/>
          </w:tcPr>
          <w:p w14:paraId="7A6CBCD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38953D5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505F76D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795F0B7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4E46D91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0F0469D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52,7</w:t>
            </w:r>
          </w:p>
        </w:tc>
        <w:tc>
          <w:tcPr>
            <w:tcW w:w="0" w:type="pct"/>
            <w:vAlign w:val="center"/>
            <w:hideMark/>
          </w:tcPr>
          <w:p w14:paraId="375CD59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66,4</w:t>
            </w:r>
          </w:p>
        </w:tc>
        <w:tc>
          <w:tcPr>
            <w:tcW w:w="0" w:type="pct"/>
            <w:vAlign w:val="center"/>
            <w:hideMark/>
          </w:tcPr>
          <w:p w14:paraId="7F7BBB9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48D80AE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2327671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39AA73A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303,1</w:t>
            </w:r>
          </w:p>
        </w:tc>
      </w:tr>
      <w:tr w:rsidR="004949CA" w:rsidRPr="007F3F25" w14:paraId="73DB4FC2"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30999DA5"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2028</w:t>
            </w:r>
          </w:p>
        </w:tc>
        <w:tc>
          <w:tcPr>
            <w:tcW w:w="0" w:type="pct"/>
            <w:vAlign w:val="center"/>
            <w:hideMark/>
          </w:tcPr>
          <w:p w14:paraId="104198E3"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3F92FD0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0502CB9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574940F6"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304E06CB"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3C67630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52,7</w:t>
            </w:r>
          </w:p>
        </w:tc>
        <w:tc>
          <w:tcPr>
            <w:tcW w:w="0" w:type="pct"/>
            <w:vAlign w:val="center"/>
            <w:hideMark/>
          </w:tcPr>
          <w:p w14:paraId="654ECFB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66,4</w:t>
            </w:r>
          </w:p>
        </w:tc>
        <w:tc>
          <w:tcPr>
            <w:tcW w:w="0" w:type="pct"/>
            <w:vAlign w:val="center"/>
            <w:hideMark/>
          </w:tcPr>
          <w:p w14:paraId="1B84A1D0"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64,4</w:t>
            </w:r>
          </w:p>
        </w:tc>
        <w:tc>
          <w:tcPr>
            <w:tcW w:w="0" w:type="pct"/>
            <w:vAlign w:val="center"/>
            <w:hideMark/>
          </w:tcPr>
          <w:p w14:paraId="4A4070B8"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2531199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67B05C8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367,5</w:t>
            </w:r>
          </w:p>
        </w:tc>
      </w:tr>
      <w:tr w:rsidR="004949CA" w:rsidRPr="007F3F25" w14:paraId="4C5EA2C1"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3F8FAAB4"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2029</w:t>
            </w:r>
          </w:p>
        </w:tc>
        <w:tc>
          <w:tcPr>
            <w:tcW w:w="0" w:type="pct"/>
            <w:vAlign w:val="center"/>
            <w:hideMark/>
          </w:tcPr>
          <w:p w14:paraId="0594A48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32782FB9"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47CBA8E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6B1B271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0BB8802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4018C19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52,7</w:t>
            </w:r>
          </w:p>
        </w:tc>
        <w:tc>
          <w:tcPr>
            <w:tcW w:w="0" w:type="pct"/>
            <w:vAlign w:val="center"/>
            <w:hideMark/>
          </w:tcPr>
          <w:p w14:paraId="10C88A6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66,4</w:t>
            </w:r>
          </w:p>
        </w:tc>
        <w:tc>
          <w:tcPr>
            <w:tcW w:w="0" w:type="pct"/>
            <w:vAlign w:val="center"/>
            <w:hideMark/>
          </w:tcPr>
          <w:p w14:paraId="7871D67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64,4</w:t>
            </w:r>
          </w:p>
        </w:tc>
        <w:tc>
          <w:tcPr>
            <w:tcW w:w="0" w:type="pct"/>
            <w:vAlign w:val="center"/>
            <w:hideMark/>
          </w:tcPr>
          <w:p w14:paraId="423CD57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76,6</w:t>
            </w:r>
          </w:p>
        </w:tc>
        <w:tc>
          <w:tcPr>
            <w:tcW w:w="0" w:type="pct"/>
            <w:vAlign w:val="center"/>
            <w:hideMark/>
          </w:tcPr>
          <w:p w14:paraId="32D702D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 </w:t>
            </w:r>
          </w:p>
        </w:tc>
        <w:tc>
          <w:tcPr>
            <w:tcW w:w="0" w:type="pct"/>
            <w:vAlign w:val="center"/>
            <w:hideMark/>
          </w:tcPr>
          <w:p w14:paraId="7D94B131"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444,1</w:t>
            </w:r>
          </w:p>
        </w:tc>
      </w:tr>
      <w:tr w:rsidR="004949CA" w:rsidRPr="007F3F25" w14:paraId="6346E12E"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hideMark/>
          </w:tcPr>
          <w:p w14:paraId="6596ACFD"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2030</w:t>
            </w:r>
          </w:p>
        </w:tc>
        <w:tc>
          <w:tcPr>
            <w:tcW w:w="0" w:type="pct"/>
            <w:vAlign w:val="center"/>
            <w:hideMark/>
          </w:tcPr>
          <w:p w14:paraId="60774EC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25,1</w:t>
            </w:r>
          </w:p>
        </w:tc>
        <w:tc>
          <w:tcPr>
            <w:tcW w:w="0" w:type="pct"/>
            <w:vAlign w:val="center"/>
            <w:hideMark/>
          </w:tcPr>
          <w:p w14:paraId="5C17406D"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24,8</w:t>
            </w:r>
          </w:p>
        </w:tc>
        <w:tc>
          <w:tcPr>
            <w:tcW w:w="0" w:type="pct"/>
            <w:vAlign w:val="center"/>
            <w:hideMark/>
          </w:tcPr>
          <w:p w14:paraId="030F7EA7"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40,2</w:t>
            </w:r>
          </w:p>
        </w:tc>
        <w:tc>
          <w:tcPr>
            <w:tcW w:w="0" w:type="pct"/>
            <w:vAlign w:val="center"/>
            <w:hideMark/>
          </w:tcPr>
          <w:p w14:paraId="047A731C"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39,6</w:t>
            </w:r>
          </w:p>
        </w:tc>
        <w:tc>
          <w:tcPr>
            <w:tcW w:w="0" w:type="pct"/>
            <w:vAlign w:val="center"/>
            <w:hideMark/>
          </w:tcPr>
          <w:p w14:paraId="689EB39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54,2</w:t>
            </w:r>
          </w:p>
        </w:tc>
        <w:tc>
          <w:tcPr>
            <w:tcW w:w="0" w:type="pct"/>
            <w:vAlign w:val="center"/>
            <w:hideMark/>
          </w:tcPr>
          <w:p w14:paraId="2B5D98F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52,7</w:t>
            </w:r>
          </w:p>
        </w:tc>
        <w:tc>
          <w:tcPr>
            <w:tcW w:w="0" w:type="pct"/>
            <w:vAlign w:val="center"/>
            <w:hideMark/>
          </w:tcPr>
          <w:p w14:paraId="40C13D54"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66,4</w:t>
            </w:r>
          </w:p>
        </w:tc>
        <w:tc>
          <w:tcPr>
            <w:tcW w:w="0" w:type="pct"/>
            <w:vAlign w:val="center"/>
            <w:hideMark/>
          </w:tcPr>
          <w:p w14:paraId="505A88F2"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64,4</w:t>
            </w:r>
          </w:p>
        </w:tc>
        <w:tc>
          <w:tcPr>
            <w:tcW w:w="0" w:type="pct"/>
            <w:vAlign w:val="center"/>
            <w:hideMark/>
          </w:tcPr>
          <w:p w14:paraId="3C44860E"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76,6</w:t>
            </w:r>
          </w:p>
        </w:tc>
        <w:tc>
          <w:tcPr>
            <w:tcW w:w="0" w:type="pct"/>
            <w:vAlign w:val="center"/>
            <w:hideMark/>
          </w:tcPr>
          <w:p w14:paraId="2BD78E45"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74,0</w:t>
            </w:r>
          </w:p>
        </w:tc>
        <w:tc>
          <w:tcPr>
            <w:tcW w:w="0" w:type="pct"/>
            <w:vAlign w:val="center"/>
            <w:hideMark/>
          </w:tcPr>
          <w:p w14:paraId="0779B5FA"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sz w:val="18"/>
                <w:szCs w:val="18"/>
              </w:rPr>
              <w:t>518,2</w:t>
            </w:r>
          </w:p>
        </w:tc>
      </w:tr>
      <w:tr w:rsidR="004949CA" w:rsidRPr="007F3F25" w14:paraId="70C8E8B5"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pct"/>
            <w:gridSpan w:val="11"/>
          </w:tcPr>
          <w:p w14:paraId="313985BE" w14:textId="77777777" w:rsidR="004949CA" w:rsidRPr="007F3F25" w:rsidRDefault="004949CA" w:rsidP="00331A63">
            <w:pPr>
              <w:jc w:val="right"/>
              <w:rPr>
                <w:rFonts w:ascii="Tahoma" w:hAnsi="Tahoma" w:cs="Tahoma"/>
                <w:sz w:val="18"/>
                <w:szCs w:val="18"/>
                <w:lang w:eastAsia="hr-HR"/>
              </w:rPr>
            </w:pPr>
            <w:r w:rsidRPr="007F3F25">
              <w:rPr>
                <w:rFonts w:ascii="Tahoma" w:hAnsi="Tahoma" w:cs="Tahoma"/>
                <w:sz w:val="18"/>
                <w:szCs w:val="18"/>
                <w:lang w:eastAsia="hr-HR"/>
              </w:rPr>
              <w:t>UKUPNE KUMULATIVNE UŠTEDE ZA RAZDOBLJE 2021. – 2030. [GWh] </w:t>
            </w:r>
          </w:p>
        </w:tc>
        <w:tc>
          <w:tcPr>
            <w:tcW w:w="0" w:type="pct"/>
          </w:tcPr>
          <w:p w14:paraId="06CC904F" w14:textId="77777777" w:rsidR="004949CA" w:rsidRPr="007F3F25"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7F3F25">
              <w:rPr>
                <w:rFonts w:ascii="Tahoma" w:hAnsi="Tahoma" w:cs="Tahoma"/>
                <w:b/>
                <w:bCs/>
                <w:sz w:val="18"/>
                <w:szCs w:val="18"/>
                <w:lang w:eastAsia="hr-HR"/>
              </w:rPr>
              <w:t>2.348,0</w:t>
            </w:r>
          </w:p>
        </w:tc>
      </w:tr>
    </w:tbl>
    <w:p w14:paraId="668A51FE" w14:textId="77777777" w:rsidR="004949CA" w:rsidRPr="007F3F25" w:rsidRDefault="004949CA" w:rsidP="00D864CE">
      <w:pPr>
        <w:spacing w:before="120" w:after="120" w:line="240" w:lineRule="auto"/>
        <w:jc w:val="both"/>
        <w:rPr>
          <w:rFonts w:ascii="Tahoma" w:hAnsi="Tahoma" w:cs="Tahoma"/>
          <w:sz w:val="20"/>
          <w:szCs w:val="20"/>
        </w:rPr>
      </w:pPr>
      <w:r w:rsidRPr="007F3F25">
        <w:rPr>
          <w:rFonts w:ascii="Tahoma" w:hAnsi="Tahoma" w:cs="Tahoma"/>
          <w:sz w:val="20"/>
          <w:szCs w:val="20"/>
        </w:rPr>
        <w:t xml:space="preserve">Ukupan nacionalni cilj kumulativnih ušteda energije, prema Zakonu o energetskoj učinkovitosti, ostvarit će se 70% iz sustava obveza energetske učinkovitosti, a 30% alternativnim mjerama politike (10.441,67 GWh). NEKP-om je ovaj Program definiran kao alternativna mjera politike. </w:t>
      </w:r>
    </w:p>
    <w:p w14:paraId="63786DD0" w14:textId="77777777" w:rsidR="004949CA" w:rsidRPr="007F3F25" w:rsidRDefault="004949CA" w:rsidP="00D864CE">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F3F25">
        <w:rPr>
          <w:rFonts w:ascii="Tahoma" w:hAnsi="Tahoma" w:cs="Tahoma"/>
          <w:b/>
          <w:bCs/>
          <w:sz w:val="20"/>
          <w:szCs w:val="20"/>
        </w:rPr>
        <w:t xml:space="preserve">Ovaj Program energetske obnove VSZ, kada bi se proveo na način da ostvari ciljane obnovljene površine VSZ u skladu s Dugoročnom strategijom, ostvario bi oko 22,5% nacionalnog cilja kumulativnih ušteda energije iz alternativnih mjera politike odnosno 6,8% ukupnog nacionalnog cilja. </w:t>
      </w:r>
    </w:p>
    <w:p w14:paraId="1E19BE06" w14:textId="2034826C" w:rsidR="004949CA" w:rsidRPr="0091152F" w:rsidRDefault="004949CA" w:rsidP="004949CA">
      <w:pPr>
        <w:pStyle w:val="Naslov20"/>
      </w:pPr>
      <w:bookmarkStart w:id="118" w:name="_Toc72081601"/>
      <w:bookmarkStart w:id="119" w:name="_Toc81836280"/>
      <w:bookmarkStart w:id="120" w:name="_Toc83912052"/>
      <w:r w:rsidRPr="0091152F">
        <w:t>Analiza provedenih programa i projekata povećanja energetske učinkovitosti u VSZ u Hrvatskoj te EU praksa</w:t>
      </w:r>
      <w:bookmarkEnd w:id="118"/>
      <w:bookmarkEnd w:id="119"/>
      <w:bookmarkEnd w:id="120"/>
    </w:p>
    <w:p w14:paraId="5C9BB083" w14:textId="77777777" w:rsidR="004949CA" w:rsidRPr="0091152F" w:rsidRDefault="004949CA" w:rsidP="004949CA">
      <w:pPr>
        <w:pStyle w:val="Naslov30"/>
      </w:pPr>
      <w:bookmarkStart w:id="121" w:name="_Toc81836281"/>
      <w:bookmarkStart w:id="122" w:name="_Toc83912053"/>
      <w:r w:rsidRPr="0091152F">
        <w:t>Osnovne karakteristike i rezultati Programa energetske obnove VSZ od 2014. do 2020. godine</w:t>
      </w:r>
      <w:bookmarkEnd w:id="121"/>
      <w:bookmarkEnd w:id="122"/>
    </w:p>
    <w:p w14:paraId="5BCF849A" w14:textId="36BC427A" w:rsidR="004949CA" w:rsidRPr="00B133D0" w:rsidRDefault="004949CA" w:rsidP="00B133D0">
      <w:pPr>
        <w:spacing w:line="240" w:lineRule="auto"/>
        <w:jc w:val="both"/>
        <w:rPr>
          <w:rFonts w:ascii="Tahoma" w:hAnsi="Tahoma" w:cs="Tahoma"/>
          <w:sz w:val="20"/>
          <w:szCs w:val="20"/>
        </w:rPr>
      </w:pPr>
      <w:r w:rsidRPr="00B133D0">
        <w:rPr>
          <w:rFonts w:ascii="Tahoma" w:hAnsi="Tahoma" w:cs="Tahoma"/>
          <w:sz w:val="20"/>
          <w:szCs w:val="20"/>
        </w:rPr>
        <w:t xml:space="preserve">Vlada </w:t>
      </w:r>
      <w:r w:rsidRPr="00C51D76">
        <w:rPr>
          <w:rFonts w:ascii="Tahoma" w:hAnsi="Tahoma" w:cs="Tahoma"/>
          <w:sz w:val="20"/>
          <w:szCs w:val="20"/>
        </w:rPr>
        <w:t>Republike Hrvatske</w:t>
      </w:r>
      <w:r w:rsidRPr="00B133D0">
        <w:rPr>
          <w:rFonts w:ascii="Tahoma" w:hAnsi="Tahoma" w:cs="Tahoma"/>
          <w:sz w:val="20"/>
          <w:szCs w:val="20"/>
        </w:rPr>
        <w:t xml:space="preserve"> donijela je 24. lipnja 2014. Program energetske obnove višestambenih zgrada za  razdoblje od  2014. do 2020. godine s detaljnim planom za razdoblje od 2014. do 2016. godine (Narodne novine, broj 78/14). Fond za zaštitu okoliša i energetsku učinkovitost (FZOEU) bio je zadužen za provedbu tog Programa, dok se ne stvore uvjeti za korištenje sredstava iz ESI fondova. Ovim su Programom upravitelji zgrada dobili ulogu 'posrednika' između FZOEU i građana, suvlasnika VSZ. </w:t>
      </w:r>
    </w:p>
    <w:p w14:paraId="431F012E" w14:textId="53C2A74B" w:rsidR="004949CA" w:rsidRPr="00B133D0" w:rsidRDefault="004949CA" w:rsidP="00B133D0">
      <w:pPr>
        <w:spacing w:line="240" w:lineRule="auto"/>
        <w:jc w:val="both"/>
        <w:rPr>
          <w:rFonts w:ascii="Tahoma" w:hAnsi="Tahoma" w:cs="Tahoma"/>
          <w:sz w:val="20"/>
          <w:szCs w:val="20"/>
        </w:rPr>
      </w:pPr>
      <w:r w:rsidRPr="00B133D0">
        <w:rPr>
          <w:rFonts w:ascii="Tahoma" w:hAnsi="Tahoma" w:cs="Tahoma"/>
          <w:sz w:val="20"/>
          <w:szCs w:val="20"/>
        </w:rPr>
        <w:t>FZOEU je tijekom 2014. i 2015. godine raspisivao javne pozive za:</w:t>
      </w:r>
    </w:p>
    <w:p w14:paraId="177D1782" w14:textId="77777777" w:rsidR="004949CA" w:rsidRPr="00B133D0" w:rsidRDefault="137C0FFA" w:rsidP="2617B706">
      <w:pPr>
        <w:pStyle w:val="Odlomakpopisa"/>
        <w:numPr>
          <w:ilvl w:val="0"/>
          <w:numId w:val="50"/>
        </w:numPr>
        <w:rPr>
          <w:rFonts w:cs="Tahoma"/>
        </w:rPr>
      </w:pPr>
      <w:r w:rsidRPr="2617B706">
        <w:rPr>
          <w:rFonts w:cs="Tahoma"/>
        </w:rPr>
        <w:t>energetske preglede i energetske certifikate VSZ;</w:t>
      </w:r>
    </w:p>
    <w:p w14:paraId="34FB88E1" w14:textId="77777777" w:rsidR="004949CA" w:rsidRPr="00B133D0" w:rsidRDefault="137C0FFA" w:rsidP="2617B706">
      <w:pPr>
        <w:pStyle w:val="Odlomakpopisa"/>
        <w:numPr>
          <w:ilvl w:val="0"/>
          <w:numId w:val="50"/>
        </w:numPr>
        <w:rPr>
          <w:rFonts w:cs="Tahoma"/>
        </w:rPr>
      </w:pPr>
      <w:r w:rsidRPr="2617B706">
        <w:rPr>
          <w:rFonts w:cs="Tahoma"/>
        </w:rPr>
        <w:t>pripremu projektne dokumentacije za energetsku obnovu VSZ;</w:t>
      </w:r>
    </w:p>
    <w:p w14:paraId="30BEF17C" w14:textId="77777777" w:rsidR="004949CA" w:rsidRPr="00B133D0" w:rsidRDefault="137C0FFA" w:rsidP="2617B706">
      <w:pPr>
        <w:pStyle w:val="Odlomakpopisa"/>
        <w:numPr>
          <w:ilvl w:val="0"/>
          <w:numId w:val="50"/>
        </w:numPr>
        <w:rPr>
          <w:rFonts w:cs="Tahoma"/>
        </w:rPr>
      </w:pPr>
      <w:r w:rsidRPr="2617B706">
        <w:rPr>
          <w:rFonts w:cs="Tahoma"/>
        </w:rPr>
        <w:t>energetsku obnovu VSZ:</w:t>
      </w:r>
    </w:p>
    <w:p w14:paraId="28430268" w14:textId="77777777" w:rsidR="004949CA" w:rsidRPr="00B133D0" w:rsidRDefault="137C0FFA" w:rsidP="2617B706">
      <w:pPr>
        <w:pStyle w:val="Odlomakpopisa"/>
        <w:numPr>
          <w:ilvl w:val="0"/>
          <w:numId w:val="50"/>
        </w:numPr>
        <w:rPr>
          <w:rFonts w:cs="Tahoma"/>
        </w:rPr>
      </w:pPr>
      <w:r w:rsidRPr="2617B706">
        <w:rPr>
          <w:rFonts w:cs="Tahoma"/>
        </w:rPr>
        <w:t xml:space="preserve">ugradnju individualnih mjerila potrošnje toplinske energije za VSZ priključene na centralizirane toplinske sustave (CTS). </w:t>
      </w:r>
    </w:p>
    <w:p w14:paraId="2DC019E3" w14:textId="6D98CE5F" w:rsidR="004949CA" w:rsidRPr="00B133D0" w:rsidRDefault="004949CA" w:rsidP="00B133D0">
      <w:pPr>
        <w:spacing w:line="240" w:lineRule="auto"/>
        <w:jc w:val="both"/>
        <w:rPr>
          <w:rFonts w:ascii="Tahoma" w:hAnsi="Tahoma" w:cs="Tahoma"/>
          <w:sz w:val="20"/>
          <w:szCs w:val="20"/>
        </w:rPr>
      </w:pPr>
      <w:r w:rsidRPr="00B133D0">
        <w:rPr>
          <w:rFonts w:ascii="Tahoma" w:hAnsi="Tahoma" w:cs="Tahoma"/>
          <w:sz w:val="20"/>
          <w:szCs w:val="20"/>
        </w:rPr>
        <w:t xml:space="preserve">FZOEU je u tom razdoblju odobrio oko 279 milijuna </w:t>
      </w:r>
      <w:r w:rsidR="0063313B">
        <w:rPr>
          <w:rFonts w:ascii="Tahoma" w:hAnsi="Tahoma" w:cs="Tahoma"/>
          <w:sz w:val="20"/>
          <w:szCs w:val="20"/>
        </w:rPr>
        <w:t>kuna</w:t>
      </w:r>
      <w:r w:rsidRPr="00B133D0">
        <w:rPr>
          <w:rFonts w:ascii="Tahoma" w:hAnsi="Tahoma" w:cs="Tahoma"/>
          <w:sz w:val="20"/>
          <w:szCs w:val="20"/>
        </w:rPr>
        <w:t xml:space="preserve"> bespovratnih sredstava i to za 1.347 energetskih pregleda i certifikata, 915 projektnih dokumentacija te 430 projekta energetske obnove VSZ. Sufinanciranje je, u skladu s propisima FZOEU-a, iznosilo 40, 60 ili 80% ovisno o tome gdje se VSZ nalazi, osim za izradu projektne dokumentacije razine glavnog projekta, koja se financirala sa 100%, s ciljem osiguranja dovoljnog portfelja pripremljenih projekata za povlačenje ESIF sredstava. </w:t>
      </w:r>
    </w:p>
    <w:p w14:paraId="3DADE598" w14:textId="07AD46B3" w:rsidR="004949CA" w:rsidRPr="00B133D0" w:rsidRDefault="0C3F4C7D" w:rsidP="00B133D0">
      <w:pPr>
        <w:spacing w:line="240" w:lineRule="auto"/>
        <w:jc w:val="both"/>
        <w:rPr>
          <w:rFonts w:ascii="Tahoma" w:hAnsi="Tahoma" w:cs="Tahoma"/>
          <w:sz w:val="20"/>
          <w:szCs w:val="20"/>
        </w:rPr>
      </w:pPr>
      <w:r w:rsidRPr="638C4C38">
        <w:rPr>
          <w:rFonts w:ascii="Tahoma" w:hAnsi="Tahoma" w:cs="Tahoma"/>
          <w:sz w:val="20"/>
          <w:szCs w:val="20"/>
        </w:rPr>
        <w:t>Od 2016. godine, Program se provodio sufinanciranjem iz sredstava Europskog fonda za regionalni razvoj (EFRR) temeljem Operativnog programa „Konkurentnost i kohezija 2014.-2020.“ (OPKK), prioritetne osi 4 „Promicanje energetske učinkovitosti i obnovljivih izvora energije“, investicijskog prioriteta 4c „Podupiranje energetske učinkovitosti, pametnog upravljanja energijom i korištenja OIE u javnoj infrastrukturi, uključujući javne zgrade, te u stambenom sektoru“, specifičnog cilja 4c2 „Smanjenje potrošnje energije u višestambenim zgradama“ (SC 4c2). U listopadu 2016. godine MPGI je objavilo</w:t>
      </w:r>
      <w:bookmarkStart w:id="123" w:name="_Hlk481483442"/>
      <w:r w:rsidRPr="638C4C38">
        <w:rPr>
          <w:rFonts w:ascii="Tahoma" w:hAnsi="Tahoma" w:cs="Tahoma"/>
          <w:sz w:val="20"/>
          <w:szCs w:val="20"/>
        </w:rPr>
        <w:t xml:space="preserve"> poziv na dostavu projektnih prijedloga „Energetska obnova višestambenih zgrada“ (referentni broj: KK.04.2.2.01)</w:t>
      </w:r>
      <w:bookmarkEnd w:id="123"/>
      <w:r w:rsidRPr="638C4C38">
        <w:rPr>
          <w:rFonts w:ascii="Tahoma" w:hAnsi="Tahoma" w:cs="Tahoma"/>
          <w:sz w:val="20"/>
          <w:szCs w:val="20"/>
        </w:rPr>
        <w:t xml:space="preserve">, kojim je realiziran SC 4c2. U okviru ovog poziva provedena je energetska obnova 542 zgrade ukupne vrijednosti oko 947 milijuna kuna, od čega gotovo 523 milijuna kuna čine bespovratna sredstva EFRR-a. Navedenim pozivom podupirale su se mjere energetske obnove kroz </w:t>
      </w:r>
      <w:r w:rsidRPr="638C4C38">
        <w:rPr>
          <w:rFonts w:ascii="Tahoma" w:hAnsi="Tahoma" w:cs="Tahoma"/>
          <w:sz w:val="20"/>
          <w:szCs w:val="20"/>
        </w:rPr>
        <w:lastRenderedPageBreak/>
        <w:t xml:space="preserve">integrirani pristup uz uvjet uštede </w:t>
      </w:r>
      <w:r w:rsidR="2A9671EB" w:rsidRPr="638C4C38">
        <w:rPr>
          <w:rFonts w:ascii="Tahoma" w:hAnsi="Tahoma" w:cs="Tahoma"/>
          <w:sz w:val="20"/>
          <w:szCs w:val="20"/>
        </w:rPr>
        <w:t xml:space="preserve">godišnje potrebne toplinske </w:t>
      </w:r>
      <w:r w:rsidRPr="638C4C38">
        <w:rPr>
          <w:rFonts w:ascii="Tahoma" w:hAnsi="Tahoma" w:cs="Tahoma"/>
          <w:sz w:val="20"/>
          <w:szCs w:val="20"/>
        </w:rPr>
        <w:t>energije za grijanje (</w:t>
      </w:r>
      <w:proofErr w:type="spellStart"/>
      <w:r w:rsidRPr="638C4C38">
        <w:rPr>
          <w:rFonts w:ascii="Tahoma" w:hAnsi="Tahoma" w:cs="Tahoma"/>
          <w:sz w:val="20"/>
          <w:szCs w:val="20"/>
        </w:rPr>
        <w:t>Q</w:t>
      </w:r>
      <w:r w:rsidRPr="638C4C38">
        <w:rPr>
          <w:rFonts w:ascii="Tahoma" w:hAnsi="Tahoma" w:cs="Tahoma"/>
          <w:sz w:val="20"/>
          <w:szCs w:val="20"/>
          <w:vertAlign w:val="subscript"/>
        </w:rPr>
        <w:t>H,nd</w:t>
      </w:r>
      <w:proofErr w:type="spellEnd"/>
      <w:r w:rsidRPr="638C4C38">
        <w:rPr>
          <w:rFonts w:ascii="Tahoma" w:hAnsi="Tahoma" w:cs="Tahoma"/>
          <w:sz w:val="20"/>
          <w:szCs w:val="20"/>
        </w:rPr>
        <w:t xml:space="preserve">) od najmanje 50% u odnosu na godišnju potrebnu </w:t>
      </w:r>
      <w:r w:rsidR="4520E4B1" w:rsidRPr="638C4C38">
        <w:rPr>
          <w:rFonts w:ascii="Tahoma" w:hAnsi="Tahoma" w:cs="Tahoma"/>
          <w:sz w:val="20"/>
          <w:szCs w:val="20"/>
        </w:rPr>
        <w:t xml:space="preserve">toplinsku </w:t>
      </w:r>
      <w:r w:rsidRPr="638C4C38">
        <w:rPr>
          <w:rFonts w:ascii="Tahoma" w:hAnsi="Tahoma" w:cs="Tahoma"/>
          <w:sz w:val="20"/>
          <w:szCs w:val="20"/>
        </w:rPr>
        <w:t xml:space="preserve">energiju za grijanje prije provedbe projekta. Drugim riječima, poticala se </w:t>
      </w:r>
      <w:r w:rsidRPr="638C4C38">
        <w:rPr>
          <w:rFonts w:ascii="Tahoma" w:hAnsi="Tahoma" w:cs="Tahoma"/>
          <w:b/>
          <w:bCs/>
          <w:sz w:val="20"/>
          <w:szCs w:val="20"/>
        </w:rPr>
        <w:t xml:space="preserve">integralna energetska obnova </w:t>
      </w:r>
      <w:r w:rsidRPr="638C4C38">
        <w:rPr>
          <w:rFonts w:ascii="Tahoma" w:hAnsi="Tahoma" w:cs="Tahoma"/>
          <w:sz w:val="20"/>
          <w:szCs w:val="20"/>
        </w:rPr>
        <w:t xml:space="preserve">(kroz minimalni zahtjev prihvatljivosti vezan uz </w:t>
      </w:r>
      <w:proofErr w:type="spellStart"/>
      <w:r w:rsidRPr="638C4C38">
        <w:rPr>
          <w:rFonts w:ascii="Tahoma" w:hAnsi="Tahoma" w:cs="Tahoma"/>
          <w:sz w:val="20"/>
          <w:szCs w:val="20"/>
        </w:rPr>
        <w:t>Q</w:t>
      </w:r>
      <w:r w:rsidRPr="638C4C38">
        <w:rPr>
          <w:rFonts w:ascii="Tahoma" w:hAnsi="Tahoma" w:cs="Tahoma"/>
          <w:sz w:val="20"/>
          <w:szCs w:val="20"/>
          <w:vertAlign w:val="subscript"/>
        </w:rPr>
        <w:t>H,nd</w:t>
      </w:r>
      <w:proofErr w:type="spellEnd"/>
      <w:r w:rsidRPr="638C4C38">
        <w:rPr>
          <w:rFonts w:ascii="Tahoma" w:hAnsi="Tahoma" w:cs="Tahoma"/>
          <w:sz w:val="20"/>
          <w:szCs w:val="20"/>
        </w:rPr>
        <w:t xml:space="preserve">), no bilo je moguće ostvariti i dubinsku obnovu (kroz mogućnost sufinanciranja tehničkih sustava), mada taj zahtjev nije bio obvezujući.  </w:t>
      </w:r>
    </w:p>
    <w:p w14:paraId="534DC0AC" w14:textId="0C9C7953" w:rsidR="004949CA" w:rsidRPr="00B133D0" w:rsidRDefault="004949CA" w:rsidP="00B133D0">
      <w:pPr>
        <w:spacing w:line="240" w:lineRule="auto"/>
        <w:jc w:val="both"/>
        <w:rPr>
          <w:rFonts w:ascii="Tahoma" w:hAnsi="Tahoma" w:cs="Tahoma"/>
          <w:sz w:val="20"/>
          <w:szCs w:val="20"/>
        </w:rPr>
      </w:pPr>
      <w:r w:rsidRPr="00B133D0">
        <w:rPr>
          <w:rFonts w:ascii="Tahoma" w:hAnsi="Tahoma" w:cs="Tahoma"/>
          <w:sz w:val="20"/>
          <w:szCs w:val="20"/>
          <w:lang w:eastAsia="hr-HR"/>
        </w:rPr>
        <w:t xml:space="preserve">U pozivu su bili definirani i maksimalni iznosi bespovratnih sredstava koji su se mogli dobiti, a koje prikazuje </w:t>
      </w:r>
      <w:r w:rsidR="004C7024">
        <w:rPr>
          <w:rFonts w:ascii="Tahoma" w:hAnsi="Tahoma" w:cs="Tahoma"/>
          <w:i/>
          <w:iCs/>
          <w:sz w:val="20"/>
          <w:szCs w:val="20"/>
        </w:rPr>
        <w:fldChar w:fldCharType="begin"/>
      </w:r>
      <w:r w:rsidR="004C7024">
        <w:rPr>
          <w:rFonts w:ascii="Tahoma" w:hAnsi="Tahoma" w:cs="Tahoma"/>
          <w:sz w:val="20"/>
          <w:szCs w:val="20"/>
          <w:lang w:eastAsia="hr-HR"/>
        </w:rPr>
        <w:instrText xml:space="preserve"> REF _Ref83115047 \h </w:instrText>
      </w:r>
      <w:r w:rsidR="004C7024">
        <w:rPr>
          <w:rFonts w:ascii="Tahoma" w:hAnsi="Tahoma" w:cs="Tahoma"/>
          <w:i/>
          <w:iCs/>
          <w:sz w:val="20"/>
          <w:szCs w:val="20"/>
        </w:rPr>
      </w:r>
      <w:r w:rsidR="004C7024">
        <w:rPr>
          <w:rFonts w:ascii="Tahoma" w:hAnsi="Tahoma" w:cs="Tahoma"/>
          <w:i/>
          <w:iCs/>
          <w:sz w:val="20"/>
          <w:szCs w:val="20"/>
        </w:rPr>
        <w:fldChar w:fldCharType="separate"/>
      </w:r>
      <w:r w:rsidR="00575AF9" w:rsidRPr="00DE7F43">
        <w:t xml:space="preserve">Tablica </w:t>
      </w:r>
      <w:r w:rsidR="00575AF9">
        <w:rPr>
          <w:noProof/>
        </w:rPr>
        <w:t>3</w:t>
      </w:r>
      <w:r w:rsidR="00575AF9" w:rsidRPr="00DE7F43">
        <w:noBreakHyphen/>
      </w:r>
      <w:r w:rsidR="00575AF9">
        <w:rPr>
          <w:noProof/>
        </w:rPr>
        <w:t>18</w:t>
      </w:r>
      <w:r w:rsidR="004C7024">
        <w:rPr>
          <w:rFonts w:ascii="Tahoma" w:hAnsi="Tahoma" w:cs="Tahoma"/>
          <w:i/>
          <w:iCs/>
          <w:sz w:val="20"/>
          <w:szCs w:val="20"/>
        </w:rPr>
        <w:fldChar w:fldCharType="end"/>
      </w:r>
      <w:r w:rsidRPr="00B133D0">
        <w:rPr>
          <w:rFonts w:ascii="Tahoma" w:hAnsi="Tahoma" w:cs="Tahoma"/>
          <w:sz w:val="20"/>
          <w:szCs w:val="20"/>
        </w:rPr>
        <w:t>.</w:t>
      </w:r>
    </w:p>
    <w:p w14:paraId="68E5791F" w14:textId="26E59F6F" w:rsidR="004949CA" w:rsidRPr="00DE7F43" w:rsidRDefault="004949CA" w:rsidP="004949CA">
      <w:pPr>
        <w:pStyle w:val="Opisslike"/>
      </w:pPr>
      <w:bookmarkStart w:id="124" w:name="_Ref83115047"/>
      <w:bookmarkStart w:id="125" w:name="_Toc72081553"/>
      <w:bookmarkStart w:id="126" w:name="_Toc84240501"/>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18</w:t>
      </w:r>
      <w:r w:rsidRPr="00DE7F43">
        <w:rPr>
          <w:noProof/>
        </w:rPr>
        <w:fldChar w:fldCharType="end"/>
      </w:r>
      <w:bookmarkEnd w:id="124"/>
      <w:r w:rsidRPr="00DE7F43">
        <w:t>: Intenziteti potpore po Javnom pozivu MPGI za energetsku obnovu VSZ iz 2016. godine</w:t>
      </w:r>
      <w:bookmarkEnd w:id="125"/>
      <w:bookmarkEnd w:id="126"/>
    </w:p>
    <w:tbl>
      <w:tblPr>
        <w:tblStyle w:val="Svijetlatablicareetke110"/>
        <w:tblW w:w="5000" w:type="pct"/>
        <w:tblLook w:val="04A0" w:firstRow="1" w:lastRow="0" w:firstColumn="1" w:lastColumn="0" w:noHBand="0" w:noVBand="1"/>
      </w:tblPr>
      <w:tblGrid>
        <w:gridCol w:w="2891"/>
        <w:gridCol w:w="3086"/>
        <w:gridCol w:w="3085"/>
      </w:tblGrid>
      <w:tr w:rsidR="004949CA" w:rsidRPr="00B133D0" w14:paraId="1B2FCE9A" w14:textId="77777777" w:rsidTr="00331A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tcPr>
          <w:p w14:paraId="46649704" w14:textId="77777777" w:rsidR="004949CA" w:rsidRPr="00B133D0" w:rsidRDefault="004949CA" w:rsidP="00331A63">
            <w:pPr>
              <w:rPr>
                <w:rFonts w:ascii="Tahoma" w:hAnsi="Tahoma" w:cs="Tahoma"/>
                <w:bCs w:val="0"/>
                <w:sz w:val="18"/>
                <w:szCs w:val="18"/>
                <w:lang w:eastAsia="hr-HR"/>
              </w:rPr>
            </w:pPr>
            <w:r w:rsidRPr="00B133D0">
              <w:rPr>
                <w:rFonts w:ascii="Tahoma" w:hAnsi="Tahoma" w:cs="Tahoma"/>
                <w:bCs w:val="0"/>
                <w:sz w:val="18"/>
                <w:szCs w:val="18"/>
                <w:lang w:eastAsia="hr-HR"/>
              </w:rPr>
              <w:t>Aktivnost energetske obnove</w:t>
            </w:r>
          </w:p>
        </w:tc>
        <w:tc>
          <w:tcPr>
            <w:tcW w:w="0" w:type="pct"/>
          </w:tcPr>
          <w:p w14:paraId="1C025EDB"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Cs w:val="0"/>
                <w:sz w:val="18"/>
                <w:szCs w:val="18"/>
                <w:lang w:eastAsia="hr-HR"/>
              </w:rPr>
            </w:pPr>
            <w:r w:rsidRPr="00B133D0">
              <w:rPr>
                <w:rFonts w:ascii="Tahoma" w:hAnsi="Tahoma" w:cs="Tahoma"/>
                <w:bCs w:val="0"/>
                <w:sz w:val="18"/>
                <w:szCs w:val="18"/>
                <w:lang w:eastAsia="hr-HR"/>
              </w:rPr>
              <w:t>Stopa sufinanciranja [%]</w:t>
            </w:r>
          </w:p>
        </w:tc>
        <w:tc>
          <w:tcPr>
            <w:tcW w:w="0" w:type="pct"/>
          </w:tcPr>
          <w:p w14:paraId="21FDA857" w14:textId="1A320275"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Cs w:val="0"/>
                <w:sz w:val="18"/>
                <w:szCs w:val="18"/>
                <w:lang w:eastAsia="hr-HR"/>
              </w:rPr>
            </w:pPr>
            <w:r w:rsidRPr="00B133D0">
              <w:rPr>
                <w:rFonts w:ascii="Tahoma" w:hAnsi="Tahoma" w:cs="Tahoma"/>
                <w:bCs w:val="0"/>
                <w:sz w:val="18"/>
                <w:szCs w:val="18"/>
                <w:lang w:eastAsia="hr-HR"/>
              </w:rPr>
              <w:t>Maksimalni iznos sufinanciranja po javnom pozivu [</w:t>
            </w:r>
            <w:r w:rsidR="0063313B">
              <w:rPr>
                <w:rFonts w:ascii="Tahoma" w:hAnsi="Tahoma" w:cs="Tahoma"/>
                <w:bCs w:val="0"/>
                <w:sz w:val="18"/>
                <w:szCs w:val="18"/>
                <w:lang w:eastAsia="hr-HR"/>
              </w:rPr>
              <w:t>kuna</w:t>
            </w:r>
            <w:r w:rsidRPr="00B133D0">
              <w:rPr>
                <w:rFonts w:ascii="Tahoma" w:hAnsi="Tahoma" w:cs="Tahoma"/>
                <w:bCs w:val="0"/>
                <w:sz w:val="18"/>
                <w:szCs w:val="18"/>
                <w:lang w:eastAsia="hr-HR"/>
              </w:rPr>
              <w:t>]</w:t>
            </w:r>
          </w:p>
        </w:tc>
      </w:tr>
      <w:tr w:rsidR="004949CA" w:rsidRPr="00B133D0" w14:paraId="798A7FB4" w14:textId="77777777" w:rsidTr="00331A63">
        <w:trPr>
          <w:trHeight w:val="369"/>
        </w:trPr>
        <w:tc>
          <w:tcPr>
            <w:cnfStyle w:val="001000000000" w:firstRow="0" w:lastRow="0" w:firstColumn="1" w:lastColumn="0" w:oddVBand="0" w:evenVBand="0" w:oddHBand="0" w:evenHBand="0" w:firstRowFirstColumn="0" w:firstRowLastColumn="0" w:lastRowFirstColumn="0" w:lastRowLastColumn="0"/>
            <w:tcW w:w="0" w:type="pct"/>
          </w:tcPr>
          <w:p w14:paraId="141597E1" w14:textId="77777777" w:rsidR="004949CA" w:rsidRPr="00B133D0" w:rsidRDefault="004949CA" w:rsidP="00331A63">
            <w:pPr>
              <w:rPr>
                <w:rFonts w:ascii="Tahoma" w:hAnsi="Tahoma" w:cs="Tahoma"/>
                <w:sz w:val="18"/>
                <w:szCs w:val="18"/>
                <w:lang w:eastAsia="hr-HR"/>
              </w:rPr>
            </w:pPr>
            <w:r w:rsidRPr="00B133D0">
              <w:rPr>
                <w:rFonts w:ascii="Tahoma" w:hAnsi="Tahoma" w:cs="Tahoma"/>
                <w:b w:val="0"/>
                <w:sz w:val="18"/>
                <w:szCs w:val="18"/>
                <w:lang w:eastAsia="hr-HR"/>
              </w:rPr>
              <w:t>Energetski pregled i energetski certifikat, prije i nakon obnove</w:t>
            </w:r>
          </w:p>
        </w:tc>
        <w:tc>
          <w:tcPr>
            <w:tcW w:w="0" w:type="pct"/>
          </w:tcPr>
          <w:p w14:paraId="1B70537B"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B133D0">
              <w:rPr>
                <w:rFonts w:ascii="Tahoma" w:hAnsi="Tahoma" w:cs="Tahoma"/>
                <w:sz w:val="18"/>
                <w:szCs w:val="18"/>
                <w:lang w:eastAsia="hr-HR"/>
              </w:rPr>
              <w:t>85%</w:t>
            </w:r>
          </w:p>
        </w:tc>
        <w:tc>
          <w:tcPr>
            <w:tcW w:w="0" w:type="pct"/>
          </w:tcPr>
          <w:p w14:paraId="3F3F46C3" w14:textId="0B95045F" w:rsidR="004949CA" w:rsidRPr="00B133D0" w:rsidRDefault="004949CA" w:rsidP="00331A63">
            <w:pPr>
              <w:pStyle w:val="Default"/>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Cs/>
                <w:color w:val="auto"/>
                <w:sz w:val="18"/>
                <w:szCs w:val="18"/>
                <w:lang w:eastAsia="hr-HR"/>
              </w:rPr>
            </w:pPr>
            <w:r w:rsidRPr="00B133D0">
              <w:rPr>
                <w:rFonts w:ascii="Tahoma" w:eastAsia="Times New Roman" w:hAnsi="Tahoma" w:cs="Tahoma"/>
                <w:bCs/>
                <w:color w:val="auto"/>
                <w:sz w:val="18"/>
                <w:szCs w:val="18"/>
                <w:lang w:eastAsia="hr-HR"/>
              </w:rPr>
              <w:t xml:space="preserve">maksimalni iznos bespovratnih sredstava iznosi 7 </w:t>
            </w:r>
            <w:r w:rsidR="0063313B">
              <w:rPr>
                <w:rFonts w:ascii="Tahoma" w:eastAsia="Times New Roman" w:hAnsi="Tahoma" w:cs="Tahoma"/>
                <w:bCs/>
                <w:color w:val="auto"/>
                <w:sz w:val="18"/>
                <w:szCs w:val="18"/>
                <w:lang w:eastAsia="hr-HR"/>
              </w:rPr>
              <w:t>kuna</w:t>
            </w:r>
            <w:r w:rsidRPr="00B133D0">
              <w:rPr>
                <w:rFonts w:ascii="Tahoma" w:eastAsia="Times New Roman" w:hAnsi="Tahoma" w:cs="Tahoma"/>
                <w:bCs/>
                <w:color w:val="auto"/>
                <w:sz w:val="18"/>
                <w:szCs w:val="18"/>
                <w:lang w:eastAsia="hr-HR"/>
              </w:rPr>
              <w:t>/m</w:t>
            </w:r>
            <w:r w:rsidRPr="00B133D0">
              <w:rPr>
                <w:rFonts w:ascii="Tahoma" w:eastAsia="Times New Roman" w:hAnsi="Tahoma" w:cs="Tahoma"/>
                <w:bCs/>
                <w:color w:val="auto"/>
                <w:sz w:val="18"/>
                <w:szCs w:val="18"/>
                <w:vertAlign w:val="superscript"/>
                <w:lang w:eastAsia="hr-HR"/>
              </w:rPr>
              <w:t>2</w:t>
            </w:r>
            <w:r w:rsidRPr="00B133D0">
              <w:rPr>
                <w:rFonts w:ascii="Tahoma" w:eastAsia="Times New Roman" w:hAnsi="Tahoma" w:cs="Tahoma"/>
                <w:bCs/>
                <w:color w:val="auto"/>
                <w:sz w:val="18"/>
                <w:szCs w:val="18"/>
                <w:lang w:eastAsia="hr-HR"/>
              </w:rPr>
              <w:t xml:space="preserve"> GBP-a, a maksimalno 30.000,00 kuna</w:t>
            </w:r>
          </w:p>
        </w:tc>
      </w:tr>
      <w:tr w:rsidR="004949CA" w:rsidRPr="00B133D0" w14:paraId="6908D8D8" w14:textId="77777777" w:rsidTr="00331A63">
        <w:trPr>
          <w:trHeight w:val="284"/>
        </w:trPr>
        <w:tc>
          <w:tcPr>
            <w:cnfStyle w:val="001000000000" w:firstRow="0" w:lastRow="0" w:firstColumn="1" w:lastColumn="0" w:oddVBand="0" w:evenVBand="0" w:oddHBand="0" w:evenHBand="0" w:firstRowFirstColumn="0" w:firstRowLastColumn="0" w:lastRowFirstColumn="0" w:lastRowLastColumn="0"/>
            <w:tcW w:w="0" w:type="pct"/>
          </w:tcPr>
          <w:p w14:paraId="51520690" w14:textId="77777777" w:rsidR="004949CA" w:rsidRPr="00B133D0" w:rsidRDefault="004949CA" w:rsidP="00331A63">
            <w:pPr>
              <w:rPr>
                <w:rFonts w:ascii="Tahoma" w:hAnsi="Tahoma" w:cs="Tahoma"/>
                <w:b w:val="0"/>
                <w:sz w:val="18"/>
                <w:szCs w:val="18"/>
                <w:lang w:eastAsia="hr-HR"/>
              </w:rPr>
            </w:pPr>
            <w:r w:rsidRPr="00B133D0">
              <w:rPr>
                <w:rFonts w:ascii="Tahoma" w:hAnsi="Tahoma" w:cs="Tahoma"/>
                <w:b w:val="0"/>
                <w:sz w:val="18"/>
                <w:szCs w:val="18"/>
                <w:lang w:eastAsia="hr-HR"/>
              </w:rPr>
              <w:t>Glavni projekt energetske obnove (elaborati, ako je primjenjivo)</w:t>
            </w:r>
          </w:p>
        </w:tc>
        <w:tc>
          <w:tcPr>
            <w:tcW w:w="0" w:type="pct"/>
          </w:tcPr>
          <w:p w14:paraId="52D2AAFD"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B133D0">
              <w:rPr>
                <w:rFonts w:ascii="Tahoma" w:hAnsi="Tahoma" w:cs="Tahoma"/>
                <w:sz w:val="18"/>
                <w:szCs w:val="18"/>
                <w:lang w:eastAsia="hr-HR"/>
              </w:rPr>
              <w:t>85%</w:t>
            </w:r>
          </w:p>
        </w:tc>
        <w:tc>
          <w:tcPr>
            <w:tcW w:w="0" w:type="pct"/>
          </w:tcPr>
          <w:p w14:paraId="76F67C3B" w14:textId="6ED55706" w:rsidR="004949CA" w:rsidRPr="00B133D0" w:rsidRDefault="004949CA" w:rsidP="00331A63">
            <w:pPr>
              <w:pStyle w:val="Default"/>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rPr>
            </w:pPr>
            <w:r w:rsidRPr="00B133D0">
              <w:rPr>
                <w:rFonts w:ascii="Tahoma" w:eastAsia="Times New Roman" w:hAnsi="Tahoma" w:cs="Tahoma"/>
                <w:bCs/>
                <w:color w:val="auto"/>
                <w:sz w:val="18"/>
                <w:szCs w:val="18"/>
                <w:lang w:eastAsia="hr-HR"/>
              </w:rPr>
              <w:t xml:space="preserve">maksimalni iznos bespovratnih sredstava iznosi 25 </w:t>
            </w:r>
            <w:r w:rsidR="0063313B">
              <w:rPr>
                <w:rFonts w:ascii="Tahoma" w:eastAsia="Times New Roman" w:hAnsi="Tahoma" w:cs="Tahoma"/>
                <w:bCs/>
                <w:color w:val="auto"/>
                <w:sz w:val="18"/>
                <w:szCs w:val="18"/>
                <w:lang w:eastAsia="hr-HR"/>
              </w:rPr>
              <w:t>kuna</w:t>
            </w:r>
            <w:r w:rsidRPr="00B133D0">
              <w:rPr>
                <w:rFonts w:ascii="Tahoma" w:eastAsia="Times New Roman" w:hAnsi="Tahoma" w:cs="Tahoma"/>
                <w:bCs/>
                <w:color w:val="auto"/>
                <w:sz w:val="18"/>
                <w:szCs w:val="18"/>
                <w:lang w:eastAsia="hr-HR"/>
              </w:rPr>
              <w:t>/m</w:t>
            </w:r>
            <w:r w:rsidRPr="00B133D0">
              <w:rPr>
                <w:rFonts w:ascii="Tahoma" w:eastAsia="Times New Roman" w:hAnsi="Tahoma" w:cs="Tahoma"/>
                <w:bCs/>
                <w:color w:val="auto"/>
                <w:sz w:val="18"/>
                <w:szCs w:val="18"/>
                <w:vertAlign w:val="superscript"/>
                <w:lang w:eastAsia="hr-HR"/>
              </w:rPr>
              <w:t>2</w:t>
            </w:r>
            <w:r w:rsidRPr="00B133D0">
              <w:rPr>
                <w:rFonts w:ascii="Tahoma" w:eastAsia="Times New Roman" w:hAnsi="Tahoma" w:cs="Tahoma"/>
                <w:bCs/>
                <w:color w:val="auto"/>
                <w:sz w:val="18"/>
                <w:szCs w:val="18"/>
                <w:lang w:eastAsia="hr-HR"/>
              </w:rPr>
              <w:t xml:space="preserve"> GBP-a, a maksimalno 200.000,00 kuna</w:t>
            </w:r>
          </w:p>
        </w:tc>
      </w:tr>
      <w:tr w:rsidR="004949CA" w:rsidRPr="00B133D0" w14:paraId="4ADFE6D7"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pct"/>
          </w:tcPr>
          <w:p w14:paraId="1373C896" w14:textId="77777777" w:rsidR="004949CA" w:rsidRPr="00B133D0" w:rsidRDefault="004949CA" w:rsidP="00331A63">
            <w:pPr>
              <w:rPr>
                <w:rFonts w:ascii="Tahoma" w:hAnsi="Tahoma" w:cs="Tahoma"/>
                <w:b w:val="0"/>
                <w:sz w:val="18"/>
                <w:szCs w:val="18"/>
                <w:lang w:eastAsia="hr-HR"/>
              </w:rPr>
            </w:pPr>
            <w:r w:rsidRPr="00B133D0">
              <w:rPr>
                <w:rFonts w:ascii="Tahoma" w:hAnsi="Tahoma" w:cs="Tahoma"/>
                <w:b w:val="0"/>
                <w:sz w:val="18"/>
                <w:szCs w:val="18"/>
                <w:lang w:eastAsia="hr-HR"/>
              </w:rPr>
              <w:t xml:space="preserve">Provedba mjera energetske učinkovitosti i korištenje obnovljivih izvora energije i horizontalne mjere </w:t>
            </w:r>
          </w:p>
        </w:tc>
        <w:tc>
          <w:tcPr>
            <w:tcW w:w="0" w:type="pct"/>
          </w:tcPr>
          <w:p w14:paraId="5BE2EE78"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B133D0">
              <w:rPr>
                <w:rFonts w:ascii="Tahoma" w:hAnsi="Tahoma" w:cs="Tahoma"/>
                <w:sz w:val="18"/>
                <w:szCs w:val="18"/>
                <w:lang w:eastAsia="hr-HR"/>
              </w:rPr>
              <w:t>60%</w:t>
            </w:r>
          </w:p>
        </w:tc>
        <w:tc>
          <w:tcPr>
            <w:tcW w:w="0" w:type="pct"/>
          </w:tcPr>
          <w:p w14:paraId="2BE3527A" w14:textId="097868F6" w:rsidR="004949CA" w:rsidRPr="00B133D0" w:rsidRDefault="004949CA" w:rsidP="00331A63">
            <w:pPr>
              <w:pStyle w:val="Default"/>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auto"/>
              </w:rPr>
            </w:pPr>
            <w:r w:rsidRPr="00B133D0">
              <w:rPr>
                <w:rFonts w:ascii="Tahoma" w:eastAsia="Times New Roman" w:hAnsi="Tahoma" w:cs="Tahoma"/>
                <w:bCs/>
                <w:color w:val="auto"/>
                <w:sz w:val="18"/>
                <w:szCs w:val="18"/>
                <w:lang w:eastAsia="hr-HR"/>
              </w:rPr>
              <w:t xml:space="preserve">maksimalni iznos bespovratnih sredstava iznosi 600 </w:t>
            </w:r>
            <w:r w:rsidR="0063313B">
              <w:rPr>
                <w:rFonts w:ascii="Tahoma" w:eastAsia="Times New Roman" w:hAnsi="Tahoma" w:cs="Tahoma"/>
                <w:bCs/>
                <w:color w:val="auto"/>
                <w:sz w:val="18"/>
                <w:szCs w:val="18"/>
                <w:lang w:eastAsia="hr-HR"/>
              </w:rPr>
              <w:t>kuna</w:t>
            </w:r>
            <w:r w:rsidRPr="00B133D0">
              <w:rPr>
                <w:rFonts w:ascii="Tahoma" w:eastAsia="Times New Roman" w:hAnsi="Tahoma" w:cs="Tahoma"/>
                <w:bCs/>
                <w:color w:val="auto"/>
                <w:sz w:val="18"/>
                <w:szCs w:val="18"/>
                <w:lang w:eastAsia="hr-HR"/>
              </w:rPr>
              <w:t>/m</w:t>
            </w:r>
            <w:r w:rsidRPr="00B133D0">
              <w:rPr>
                <w:rFonts w:ascii="Tahoma" w:eastAsia="Times New Roman" w:hAnsi="Tahoma" w:cs="Tahoma"/>
                <w:bCs/>
                <w:color w:val="auto"/>
                <w:sz w:val="18"/>
                <w:szCs w:val="18"/>
                <w:vertAlign w:val="superscript"/>
                <w:lang w:eastAsia="hr-HR"/>
              </w:rPr>
              <w:t>2</w:t>
            </w:r>
            <w:r w:rsidRPr="00B133D0">
              <w:rPr>
                <w:rFonts w:ascii="Tahoma" w:eastAsia="Times New Roman" w:hAnsi="Tahoma" w:cs="Tahoma"/>
                <w:bCs/>
                <w:color w:val="auto"/>
                <w:sz w:val="18"/>
                <w:szCs w:val="18"/>
                <w:lang w:eastAsia="hr-HR"/>
              </w:rPr>
              <w:t xml:space="preserve"> GBP-a, a maksimalno 12.600.000,00 kuna</w:t>
            </w:r>
          </w:p>
        </w:tc>
      </w:tr>
      <w:tr w:rsidR="004949CA" w:rsidRPr="00B133D0" w14:paraId="7899249A"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pct"/>
          </w:tcPr>
          <w:p w14:paraId="0AA79BC1" w14:textId="77777777" w:rsidR="004949CA" w:rsidRPr="00B133D0" w:rsidRDefault="004949CA" w:rsidP="00331A63">
            <w:pPr>
              <w:rPr>
                <w:rFonts w:ascii="Tahoma" w:hAnsi="Tahoma" w:cs="Tahoma"/>
                <w:b w:val="0"/>
                <w:sz w:val="18"/>
                <w:szCs w:val="18"/>
                <w:lang w:eastAsia="hr-HR"/>
              </w:rPr>
            </w:pPr>
            <w:r w:rsidRPr="00B133D0">
              <w:rPr>
                <w:rFonts w:ascii="Tahoma" w:hAnsi="Tahoma" w:cs="Tahoma"/>
                <w:b w:val="0"/>
                <w:sz w:val="18"/>
                <w:szCs w:val="18"/>
                <w:lang w:eastAsia="hr-HR"/>
              </w:rPr>
              <w:t xml:space="preserve">Stručni nadzor građenja/ </w:t>
            </w:r>
          </w:p>
          <w:p w14:paraId="5B0EDFD4" w14:textId="77777777" w:rsidR="004949CA" w:rsidRPr="00B133D0" w:rsidRDefault="004949CA" w:rsidP="00331A63">
            <w:pPr>
              <w:rPr>
                <w:rFonts w:ascii="Tahoma" w:hAnsi="Tahoma" w:cs="Tahoma"/>
                <w:b w:val="0"/>
                <w:sz w:val="18"/>
                <w:szCs w:val="18"/>
                <w:lang w:eastAsia="hr-HR"/>
              </w:rPr>
            </w:pPr>
            <w:r w:rsidRPr="00B133D0">
              <w:rPr>
                <w:rFonts w:ascii="Tahoma" w:hAnsi="Tahoma" w:cs="Tahoma"/>
                <w:b w:val="0"/>
                <w:sz w:val="18"/>
                <w:szCs w:val="18"/>
                <w:lang w:eastAsia="hr-HR"/>
              </w:rPr>
              <w:t xml:space="preserve">Projektantski nadzor/ Koordinator zaštite na radu </w:t>
            </w:r>
          </w:p>
        </w:tc>
        <w:tc>
          <w:tcPr>
            <w:tcW w:w="0" w:type="pct"/>
          </w:tcPr>
          <w:p w14:paraId="64ADA201"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B133D0">
              <w:rPr>
                <w:rFonts w:ascii="Tahoma" w:hAnsi="Tahoma" w:cs="Tahoma"/>
                <w:sz w:val="18"/>
                <w:szCs w:val="18"/>
                <w:lang w:eastAsia="hr-HR"/>
              </w:rPr>
              <w:t>60%</w:t>
            </w:r>
          </w:p>
        </w:tc>
        <w:tc>
          <w:tcPr>
            <w:tcW w:w="0" w:type="pct"/>
          </w:tcPr>
          <w:p w14:paraId="742CDFF8" w14:textId="77777777" w:rsidR="004949CA" w:rsidRPr="00B133D0" w:rsidRDefault="004949CA" w:rsidP="00331A63">
            <w:pPr>
              <w:pStyle w:val="Default"/>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Cs/>
                <w:color w:val="auto"/>
                <w:sz w:val="18"/>
                <w:szCs w:val="18"/>
                <w:lang w:eastAsia="hr-HR"/>
              </w:rPr>
            </w:pPr>
            <w:r w:rsidRPr="00B133D0">
              <w:rPr>
                <w:rFonts w:ascii="Tahoma" w:eastAsia="Times New Roman" w:hAnsi="Tahoma" w:cs="Tahoma"/>
                <w:bCs/>
                <w:color w:val="auto"/>
                <w:sz w:val="18"/>
                <w:szCs w:val="18"/>
                <w:lang w:eastAsia="hr-HR"/>
              </w:rPr>
              <w:t>maksimalni iznos bespovratnih sredstava ne smije iznositi više od 5% ukupne vrijednosti radova, a maksimalno 150.000,00 kuna</w:t>
            </w:r>
          </w:p>
        </w:tc>
      </w:tr>
      <w:tr w:rsidR="004949CA" w:rsidRPr="00B133D0" w14:paraId="51B34A87" w14:textId="77777777" w:rsidTr="00331A63">
        <w:trPr>
          <w:trHeight w:val="20"/>
        </w:trPr>
        <w:tc>
          <w:tcPr>
            <w:cnfStyle w:val="001000000000" w:firstRow="0" w:lastRow="0" w:firstColumn="1" w:lastColumn="0" w:oddVBand="0" w:evenVBand="0" w:oddHBand="0" w:evenHBand="0" w:firstRowFirstColumn="0" w:firstRowLastColumn="0" w:lastRowFirstColumn="0" w:lastRowLastColumn="0"/>
            <w:tcW w:w="0" w:type="pct"/>
          </w:tcPr>
          <w:p w14:paraId="261E1D5C" w14:textId="77777777" w:rsidR="004949CA" w:rsidRPr="00B133D0" w:rsidRDefault="004949CA" w:rsidP="00331A63">
            <w:pPr>
              <w:rPr>
                <w:rFonts w:ascii="Tahoma" w:hAnsi="Tahoma" w:cs="Tahoma"/>
                <w:b w:val="0"/>
                <w:sz w:val="18"/>
                <w:szCs w:val="18"/>
                <w:lang w:eastAsia="hr-HR"/>
              </w:rPr>
            </w:pPr>
            <w:r w:rsidRPr="00B133D0">
              <w:rPr>
                <w:rFonts w:ascii="Tahoma" w:hAnsi="Tahoma" w:cs="Tahoma"/>
                <w:b w:val="0"/>
                <w:sz w:val="18"/>
                <w:szCs w:val="18"/>
                <w:lang w:eastAsia="hr-HR"/>
              </w:rPr>
              <w:t xml:space="preserve">Upravljanje projektom i administracija </w:t>
            </w:r>
          </w:p>
          <w:p w14:paraId="6C591E2C" w14:textId="77777777" w:rsidR="004949CA" w:rsidRPr="00B133D0" w:rsidRDefault="004949CA" w:rsidP="00331A63">
            <w:pPr>
              <w:rPr>
                <w:rFonts w:ascii="Tahoma" w:hAnsi="Tahoma" w:cs="Tahoma"/>
                <w:b w:val="0"/>
                <w:sz w:val="18"/>
                <w:szCs w:val="18"/>
                <w:lang w:eastAsia="hr-HR"/>
              </w:rPr>
            </w:pPr>
          </w:p>
        </w:tc>
        <w:tc>
          <w:tcPr>
            <w:tcW w:w="0" w:type="pct"/>
          </w:tcPr>
          <w:p w14:paraId="31E77053"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B133D0">
              <w:rPr>
                <w:rFonts w:ascii="Tahoma" w:hAnsi="Tahoma" w:cs="Tahoma"/>
                <w:sz w:val="18"/>
                <w:szCs w:val="18"/>
                <w:lang w:eastAsia="hr-HR"/>
              </w:rPr>
              <w:t>85%</w:t>
            </w:r>
          </w:p>
        </w:tc>
        <w:tc>
          <w:tcPr>
            <w:tcW w:w="0" w:type="pct"/>
          </w:tcPr>
          <w:p w14:paraId="16CD0130" w14:textId="77777777" w:rsidR="004949CA" w:rsidRPr="00B133D0" w:rsidRDefault="004949CA" w:rsidP="00331A63">
            <w:pPr>
              <w:pStyle w:val="Default"/>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Cs/>
                <w:color w:val="auto"/>
                <w:sz w:val="18"/>
                <w:szCs w:val="18"/>
                <w:lang w:eastAsia="hr-HR"/>
              </w:rPr>
            </w:pPr>
            <w:r w:rsidRPr="00B133D0">
              <w:rPr>
                <w:rFonts w:ascii="Tahoma" w:eastAsia="Times New Roman" w:hAnsi="Tahoma" w:cs="Tahoma"/>
                <w:bCs/>
                <w:color w:val="auto"/>
                <w:sz w:val="18"/>
                <w:szCs w:val="18"/>
                <w:lang w:eastAsia="hr-HR"/>
              </w:rPr>
              <w:t>maksimalni iznos bespovratnih sredstava iznosi 170 kuna po satu (bruto iznos), a maksimalno 7.650,00 kuna</w:t>
            </w:r>
          </w:p>
        </w:tc>
      </w:tr>
    </w:tbl>
    <w:p w14:paraId="663F10CE" w14:textId="77777777" w:rsidR="004949CA" w:rsidRPr="00B133D0" w:rsidRDefault="004949CA" w:rsidP="00B133D0">
      <w:pPr>
        <w:spacing w:before="120" w:after="120" w:line="240" w:lineRule="auto"/>
        <w:jc w:val="both"/>
        <w:rPr>
          <w:rFonts w:ascii="Tahoma" w:hAnsi="Tahoma" w:cs="Tahoma"/>
          <w:sz w:val="20"/>
          <w:szCs w:val="20"/>
        </w:rPr>
      </w:pPr>
      <w:r w:rsidRPr="00B133D0">
        <w:rPr>
          <w:rFonts w:ascii="Tahoma" w:hAnsi="Tahoma" w:cs="Tahoma"/>
          <w:sz w:val="20"/>
          <w:szCs w:val="20"/>
        </w:rPr>
        <w:t>Prihvatljive mjere energetske obnove uključivale su sljedeće:</w:t>
      </w:r>
    </w:p>
    <w:p w14:paraId="1C74A107" w14:textId="77777777" w:rsidR="004949CA" w:rsidRPr="00B133D0" w:rsidRDefault="137C0FFA" w:rsidP="2617B706">
      <w:pPr>
        <w:pStyle w:val="Odlomakpopisa"/>
        <w:numPr>
          <w:ilvl w:val="0"/>
          <w:numId w:val="51"/>
        </w:numPr>
        <w:autoSpaceDE w:val="0"/>
        <w:autoSpaceDN w:val="0"/>
        <w:adjustRightInd w:val="0"/>
        <w:spacing w:before="120" w:after="120"/>
        <w:ind w:left="714" w:hanging="357"/>
        <w:rPr>
          <w:rFonts w:cs="Tahoma"/>
        </w:rPr>
      </w:pPr>
      <w:r w:rsidRPr="2617B706">
        <w:rPr>
          <w:rFonts w:cs="Tahoma"/>
        </w:rPr>
        <w:t xml:space="preserve">Obnova ovojnice zgrade – povećanje toplinske zaštite ovojnice kojom se dodaju, obnavljaju ili zamjenjuju dijelovi zgrade koji su dio omotača grijanog ili hlađenog dijela zgrade kao što su prozori, vrata, prozirni elementi pročelja, toplinska izolacija podova, zidova, stropova, ravnih, kosih i zaobljenih krovova, pokrova i hidroizolacija; </w:t>
      </w:r>
    </w:p>
    <w:p w14:paraId="41525C7D" w14:textId="77777777" w:rsidR="004949CA" w:rsidRPr="00B133D0" w:rsidRDefault="137C0FFA" w:rsidP="2617B706">
      <w:pPr>
        <w:pStyle w:val="Odlomakpopisa"/>
        <w:numPr>
          <w:ilvl w:val="0"/>
          <w:numId w:val="51"/>
        </w:numPr>
        <w:autoSpaceDE w:val="0"/>
        <w:autoSpaceDN w:val="0"/>
        <w:adjustRightInd w:val="0"/>
        <w:spacing w:before="120" w:after="120"/>
        <w:ind w:left="714" w:hanging="357"/>
        <w:rPr>
          <w:rFonts w:cs="Tahoma"/>
        </w:rPr>
      </w:pPr>
      <w:r w:rsidRPr="2617B706">
        <w:rPr>
          <w:rFonts w:cs="Tahoma"/>
        </w:rPr>
        <w:t xml:space="preserve">Ugradnja novog visokoučinkovitog sustava grijanja; </w:t>
      </w:r>
    </w:p>
    <w:p w14:paraId="0FB3042D" w14:textId="77777777" w:rsidR="004949CA" w:rsidRPr="00B133D0" w:rsidRDefault="137C0FFA" w:rsidP="2617B706">
      <w:pPr>
        <w:pStyle w:val="Odlomakpopisa"/>
        <w:numPr>
          <w:ilvl w:val="0"/>
          <w:numId w:val="51"/>
        </w:numPr>
        <w:autoSpaceDE w:val="0"/>
        <w:autoSpaceDN w:val="0"/>
        <w:adjustRightInd w:val="0"/>
        <w:spacing w:before="120" w:after="120"/>
        <w:ind w:left="714" w:hanging="357"/>
        <w:rPr>
          <w:rFonts w:cs="Tahoma"/>
        </w:rPr>
      </w:pPr>
      <w:r w:rsidRPr="2617B706">
        <w:rPr>
          <w:rFonts w:cs="Tahoma"/>
        </w:rPr>
        <w:t xml:space="preserve">Zamjena postojećeg sustava grijanja potrošne vode sustavom koji koristi OIE; </w:t>
      </w:r>
    </w:p>
    <w:p w14:paraId="61B3E0E0" w14:textId="77777777" w:rsidR="004949CA" w:rsidRPr="00B133D0" w:rsidRDefault="137C0FFA" w:rsidP="2617B706">
      <w:pPr>
        <w:pStyle w:val="Odlomakpopisa"/>
        <w:numPr>
          <w:ilvl w:val="0"/>
          <w:numId w:val="51"/>
        </w:numPr>
        <w:autoSpaceDE w:val="0"/>
        <w:autoSpaceDN w:val="0"/>
        <w:adjustRightInd w:val="0"/>
        <w:spacing w:before="120" w:after="120"/>
        <w:ind w:left="714" w:hanging="357"/>
        <w:rPr>
          <w:rFonts w:cs="Tahoma"/>
        </w:rPr>
      </w:pPr>
      <w:r w:rsidRPr="2617B706">
        <w:rPr>
          <w:rFonts w:cs="Tahoma"/>
        </w:rPr>
        <w:t xml:space="preserve">Zamjena unutarnje rasvjete zajedničkih prostora učinkovitijom; </w:t>
      </w:r>
    </w:p>
    <w:p w14:paraId="4CC6E9DC" w14:textId="77777777" w:rsidR="004949CA" w:rsidRPr="00B133D0" w:rsidRDefault="137C0FFA" w:rsidP="2617B706">
      <w:pPr>
        <w:pStyle w:val="Odlomakpopisa"/>
        <w:numPr>
          <w:ilvl w:val="0"/>
          <w:numId w:val="51"/>
        </w:numPr>
        <w:autoSpaceDE w:val="0"/>
        <w:autoSpaceDN w:val="0"/>
        <w:adjustRightInd w:val="0"/>
        <w:spacing w:before="120" w:after="120"/>
        <w:ind w:left="714" w:hanging="357"/>
        <w:rPr>
          <w:rFonts w:cs="Tahoma"/>
        </w:rPr>
      </w:pPr>
      <w:r w:rsidRPr="2617B706">
        <w:rPr>
          <w:rFonts w:cs="Tahoma"/>
        </w:rPr>
        <w:t xml:space="preserve">Promicanje korištenja obnovljivih izvora energije ugradnjom sustava za solarno grijanje odnosno pripremu potrošne tople vode, dizalica topline, toplana ili kotlova na biomasu itd., ukoliko se proizvedena energija koristi isključivo za potrebe jedinstvene arhitektonske cjeline; </w:t>
      </w:r>
    </w:p>
    <w:p w14:paraId="060679C3" w14:textId="77777777" w:rsidR="004949CA" w:rsidRPr="00B133D0" w:rsidRDefault="137C0FFA" w:rsidP="2617B706">
      <w:pPr>
        <w:pStyle w:val="Odlomakpopisa"/>
        <w:numPr>
          <w:ilvl w:val="0"/>
          <w:numId w:val="51"/>
        </w:numPr>
        <w:autoSpaceDE w:val="0"/>
        <w:autoSpaceDN w:val="0"/>
        <w:adjustRightInd w:val="0"/>
        <w:spacing w:before="120" w:after="120"/>
        <w:ind w:left="714" w:hanging="357"/>
        <w:rPr>
          <w:rFonts w:cs="Tahoma"/>
        </w:rPr>
      </w:pPr>
      <w:r w:rsidRPr="2617B706">
        <w:rPr>
          <w:rFonts w:cs="Tahoma"/>
        </w:rPr>
        <w:t xml:space="preserve">Uvođenje sustava automatizacije i upravljanja zgradom. </w:t>
      </w:r>
    </w:p>
    <w:p w14:paraId="4179E357" w14:textId="77777777" w:rsidR="004949CA" w:rsidRPr="00B133D0" w:rsidRDefault="004949CA" w:rsidP="00B133D0">
      <w:pPr>
        <w:spacing w:before="120" w:after="120" w:line="240" w:lineRule="auto"/>
        <w:jc w:val="both"/>
        <w:rPr>
          <w:rFonts w:ascii="Tahoma" w:hAnsi="Tahoma" w:cs="Tahoma"/>
          <w:sz w:val="20"/>
          <w:szCs w:val="20"/>
        </w:rPr>
      </w:pPr>
      <w:r w:rsidRPr="00B133D0">
        <w:rPr>
          <w:rFonts w:ascii="Tahoma" w:hAnsi="Tahoma" w:cs="Tahoma"/>
          <w:sz w:val="20"/>
          <w:szCs w:val="20"/>
        </w:rPr>
        <w:t>Za navedene mjere pozivom su bili definirani i minimalni tehnički uvjeti, kao i prihvatljiva oprema i radovi za postizanje tih uvjeta. Osim toga, pozivom je bilo omogućena i provedba elementa pristupačnosti za svladavanje visinskih razlika u skladu s Pravilnikom o osiguranju pristupačnosti građevina osobama s invaliditetom i smanjenom pokretljivosti (Narodne novine, broj 78/13).</w:t>
      </w:r>
    </w:p>
    <w:p w14:paraId="7C134E9A" w14:textId="77777777" w:rsidR="004949CA" w:rsidRPr="00B133D0" w:rsidRDefault="004949CA" w:rsidP="00B133D0">
      <w:pPr>
        <w:spacing w:before="120" w:after="120" w:line="240" w:lineRule="auto"/>
        <w:jc w:val="both"/>
        <w:rPr>
          <w:rFonts w:ascii="Tahoma" w:hAnsi="Tahoma" w:cs="Tahoma"/>
          <w:sz w:val="20"/>
          <w:szCs w:val="20"/>
        </w:rPr>
      </w:pPr>
      <w:r w:rsidRPr="00B133D0">
        <w:rPr>
          <w:rFonts w:ascii="Tahoma" w:hAnsi="Tahoma" w:cs="Tahoma"/>
          <w:sz w:val="20"/>
          <w:szCs w:val="20"/>
        </w:rPr>
        <w:t xml:space="preserve">FZOEU je imao važnu ulogu pružanja tehničke pomoći prijaviteljima, što se pokazalo izuzetno korisnim i djelotvornim, jer je prolaznost prijava na javni poziv bila 92%. </w:t>
      </w:r>
    </w:p>
    <w:p w14:paraId="28D2C900" w14:textId="77777777" w:rsidR="00413A57" w:rsidRDefault="004949CA" w:rsidP="00B133D0">
      <w:pPr>
        <w:spacing w:before="120" w:after="120" w:line="240" w:lineRule="auto"/>
        <w:jc w:val="both"/>
        <w:rPr>
          <w:rFonts w:ascii="Tahoma" w:hAnsi="Tahoma" w:cs="Tahoma"/>
          <w:sz w:val="20"/>
          <w:szCs w:val="20"/>
        </w:rPr>
      </w:pPr>
      <w:r w:rsidRPr="00B133D0">
        <w:rPr>
          <w:rFonts w:ascii="Tahoma" w:hAnsi="Tahoma" w:cs="Tahoma"/>
          <w:sz w:val="20"/>
          <w:szCs w:val="20"/>
        </w:rPr>
        <w:t xml:space="preserve">Također treba istaknuti da se kroz navedene aktivnosti nije posebno adresiralo pitanje energetski siromašnih odnosno socijalno ugroženih građana. Naime, ocijenjeno je da bi prikupljanje ovako osjetljivih informacija na razini zgrade dodatno otežalo postupak prijave zgrada za energetsku obnovu. </w:t>
      </w:r>
    </w:p>
    <w:p w14:paraId="30655FA8" w14:textId="710B6090" w:rsidR="004949CA" w:rsidRPr="00B133D0" w:rsidRDefault="6447484A" w:rsidP="00B133D0">
      <w:pPr>
        <w:spacing w:before="120" w:after="120" w:line="240" w:lineRule="auto"/>
        <w:jc w:val="both"/>
        <w:rPr>
          <w:rFonts w:ascii="Tahoma" w:hAnsi="Tahoma" w:cs="Tahoma"/>
          <w:sz w:val="20"/>
          <w:szCs w:val="20"/>
        </w:rPr>
      </w:pPr>
      <w:r w:rsidRPr="638C4C38">
        <w:rPr>
          <w:rFonts w:ascii="Tahoma" w:hAnsi="Tahoma" w:cs="Tahoma"/>
          <w:sz w:val="20"/>
          <w:szCs w:val="20"/>
        </w:rPr>
        <w:t>Stoga je</w:t>
      </w:r>
      <w:r w:rsidR="0C3F4C7D" w:rsidRPr="638C4C38">
        <w:rPr>
          <w:rFonts w:ascii="Tahoma" w:hAnsi="Tahoma" w:cs="Tahoma"/>
          <w:sz w:val="20"/>
          <w:szCs w:val="20"/>
        </w:rPr>
        <w:t xml:space="preserve"> 2019. godine pokrenuta izrada programa za energetsku obnovu specifičnog skupa zgrada na potpomognutim područjima i područjima posebne državne skrbi, kojim bi se počelo rješavati ovo pitanje </w:t>
      </w:r>
      <w:r w:rsidR="0C3F4C7D" w:rsidRPr="638C4C38">
        <w:rPr>
          <w:rFonts w:ascii="Tahoma" w:hAnsi="Tahoma" w:cs="Tahoma"/>
          <w:sz w:val="20"/>
          <w:szCs w:val="20"/>
        </w:rPr>
        <w:lastRenderedPageBreak/>
        <w:t xml:space="preserve">i to ciljano u zgradama koje su u vlasništvu ili suvlasništvu </w:t>
      </w:r>
      <w:r w:rsidR="00C51D76" w:rsidRPr="638C4C38">
        <w:rPr>
          <w:rFonts w:ascii="Tahoma" w:hAnsi="Tahoma" w:cs="Tahoma"/>
          <w:sz w:val="20"/>
          <w:szCs w:val="20"/>
        </w:rPr>
        <w:t>Hrvatske</w:t>
      </w:r>
      <w:r w:rsidR="0C3F4C7D" w:rsidRPr="638C4C38">
        <w:rPr>
          <w:rFonts w:ascii="Tahoma" w:hAnsi="Tahoma" w:cs="Tahoma"/>
          <w:sz w:val="20"/>
          <w:szCs w:val="20"/>
        </w:rPr>
        <w:t xml:space="preserve">, a u pravilu ih koriste socijalno ugroženi građani. Ovaj program usmjeren na građane u riziku od energetskog siromaštva </w:t>
      </w:r>
      <w:r w:rsidR="7EA9B04C" w:rsidRPr="638C4C38">
        <w:rPr>
          <w:rFonts w:ascii="Tahoma" w:hAnsi="Tahoma" w:cs="Tahoma"/>
          <w:sz w:val="20"/>
          <w:szCs w:val="20"/>
        </w:rPr>
        <w:t xml:space="preserve">u </w:t>
      </w:r>
      <w:r w:rsidR="0C3F4C7D" w:rsidRPr="638C4C38">
        <w:rPr>
          <w:rFonts w:ascii="Tahoma" w:hAnsi="Tahoma" w:cs="Tahoma"/>
          <w:sz w:val="20"/>
          <w:szCs w:val="20"/>
        </w:rPr>
        <w:t>potpomognutim područjima i područjima posebne državne skrbi izrađen je te se usvaja istodobno</w:t>
      </w:r>
      <w:r w:rsidR="083D6EBF" w:rsidRPr="638C4C38">
        <w:rPr>
          <w:rFonts w:ascii="Tahoma" w:hAnsi="Tahoma" w:cs="Tahoma"/>
          <w:sz w:val="20"/>
          <w:szCs w:val="20"/>
        </w:rPr>
        <w:t xml:space="preserve"> </w:t>
      </w:r>
      <w:r w:rsidR="0C3F4C7D" w:rsidRPr="638C4C38">
        <w:rPr>
          <w:rFonts w:ascii="Tahoma" w:hAnsi="Tahoma" w:cs="Tahoma"/>
          <w:sz w:val="20"/>
          <w:szCs w:val="20"/>
        </w:rPr>
        <w:t xml:space="preserve">s ovim Programom. </w:t>
      </w:r>
    </w:p>
    <w:p w14:paraId="3C138FCA" w14:textId="110F7137" w:rsidR="004949CA" w:rsidRPr="00B133D0" w:rsidRDefault="004949CA" w:rsidP="00B133D0">
      <w:pPr>
        <w:spacing w:before="120" w:after="120" w:line="240" w:lineRule="auto"/>
        <w:jc w:val="both"/>
        <w:rPr>
          <w:rFonts w:ascii="Tahoma" w:hAnsi="Tahoma" w:cs="Tahoma"/>
          <w:sz w:val="20"/>
          <w:szCs w:val="20"/>
        </w:rPr>
      </w:pPr>
      <w:r w:rsidRPr="00B133D0">
        <w:rPr>
          <w:rFonts w:ascii="Tahoma" w:hAnsi="Tahoma" w:cs="Tahoma"/>
          <w:sz w:val="20"/>
          <w:szCs w:val="20"/>
        </w:rPr>
        <w:t xml:space="preserve">Učinci koji se sada mogu utvrditi su oni vezani uz provedbu Programa putem javnih poziva iz razdoblja od 2014. do 2016. godine. Ostvarene uštede energije, ukupni iznos investicije te isplaćena bespovratna sredstva prikazuje </w:t>
      </w:r>
      <w:r w:rsidR="004C7024">
        <w:rPr>
          <w:rFonts w:ascii="Tahoma" w:hAnsi="Tahoma" w:cs="Tahoma"/>
          <w:sz w:val="20"/>
          <w:szCs w:val="20"/>
        </w:rPr>
        <w:fldChar w:fldCharType="begin"/>
      </w:r>
      <w:r w:rsidR="004C7024">
        <w:rPr>
          <w:rFonts w:ascii="Tahoma" w:hAnsi="Tahoma" w:cs="Tahoma"/>
          <w:sz w:val="20"/>
          <w:szCs w:val="20"/>
        </w:rPr>
        <w:instrText xml:space="preserve"> REF _Ref83115060 \h </w:instrText>
      </w:r>
      <w:r w:rsidR="004C7024">
        <w:rPr>
          <w:rFonts w:ascii="Tahoma" w:hAnsi="Tahoma" w:cs="Tahoma"/>
          <w:sz w:val="20"/>
          <w:szCs w:val="20"/>
        </w:rPr>
      </w:r>
      <w:r w:rsidR="004C7024">
        <w:rPr>
          <w:rFonts w:ascii="Tahoma" w:hAnsi="Tahoma" w:cs="Tahoma"/>
          <w:sz w:val="20"/>
          <w:szCs w:val="20"/>
        </w:rPr>
        <w:fldChar w:fldCharType="separate"/>
      </w:r>
      <w:r w:rsidR="00575AF9" w:rsidRPr="00DE7F43">
        <w:t xml:space="preserve">Tablica </w:t>
      </w:r>
      <w:r w:rsidR="00575AF9">
        <w:rPr>
          <w:noProof/>
        </w:rPr>
        <w:t>3</w:t>
      </w:r>
      <w:r w:rsidR="00575AF9" w:rsidRPr="00DE7F43">
        <w:noBreakHyphen/>
      </w:r>
      <w:r w:rsidR="00575AF9">
        <w:rPr>
          <w:noProof/>
        </w:rPr>
        <w:t>19</w:t>
      </w:r>
      <w:r w:rsidR="004C7024">
        <w:rPr>
          <w:rFonts w:ascii="Tahoma" w:hAnsi="Tahoma" w:cs="Tahoma"/>
          <w:sz w:val="20"/>
          <w:szCs w:val="20"/>
        </w:rPr>
        <w:fldChar w:fldCharType="end"/>
      </w:r>
      <w:r w:rsidRPr="00B133D0">
        <w:rPr>
          <w:rFonts w:ascii="Tahoma" w:hAnsi="Tahoma" w:cs="Tahoma"/>
          <w:sz w:val="20"/>
          <w:szCs w:val="20"/>
        </w:rPr>
        <w:t>.</w:t>
      </w:r>
    </w:p>
    <w:p w14:paraId="55801777" w14:textId="75B646DB" w:rsidR="004949CA" w:rsidRPr="00DE7F43" w:rsidRDefault="004949CA" w:rsidP="004949CA">
      <w:pPr>
        <w:pStyle w:val="Opisslike"/>
      </w:pPr>
      <w:bookmarkStart w:id="127" w:name="_Ref83115060"/>
      <w:bookmarkStart w:id="128" w:name="_Toc72081554"/>
      <w:bookmarkStart w:id="129" w:name="_Toc84240502"/>
      <w:r w:rsidRPr="00DE7F43">
        <w:t xml:space="preserve">Tablica </w:t>
      </w:r>
      <w:r w:rsidRPr="00DE7F43">
        <w:rPr>
          <w:noProof/>
        </w:rPr>
        <w:fldChar w:fldCharType="begin"/>
      </w:r>
      <w:r w:rsidRPr="00DE7F43">
        <w:rPr>
          <w:noProof/>
        </w:rPr>
        <w:instrText xml:space="preserve"> STYLEREF 1 \s </w:instrText>
      </w:r>
      <w:r w:rsidRPr="00DE7F43">
        <w:rPr>
          <w:noProof/>
        </w:rPr>
        <w:fldChar w:fldCharType="separate"/>
      </w:r>
      <w:r w:rsidR="00575AF9">
        <w:rPr>
          <w:noProof/>
        </w:rPr>
        <w:t>3</w:t>
      </w:r>
      <w:r w:rsidRPr="00DE7F43">
        <w:rPr>
          <w:noProof/>
        </w:rPr>
        <w:fldChar w:fldCharType="end"/>
      </w:r>
      <w:r w:rsidRPr="00DE7F43">
        <w:noBreakHyphen/>
      </w:r>
      <w:r w:rsidRPr="00DE7F43">
        <w:rPr>
          <w:noProof/>
        </w:rPr>
        <w:fldChar w:fldCharType="begin"/>
      </w:r>
      <w:r w:rsidRPr="00DE7F43">
        <w:rPr>
          <w:noProof/>
        </w:rPr>
        <w:instrText xml:space="preserve"> SEQ Tablica \* ARABIC \s 1 </w:instrText>
      </w:r>
      <w:r w:rsidRPr="00DE7F43">
        <w:rPr>
          <w:noProof/>
        </w:rPr>
        <w:fldChar w:fldCharType="separate"/>
      </w:r>
      <w:r w:rsidR="00575AF9">
        <w:rPr>
          <w:noProof/>
        </w:rPr>
        <w:t>19</w:t>
      </w:r>
      <w:r w:rsidRPr="00DE7F43">
        <w:rPr>
          <w:noProof/>
        </w:rPr>
        <w:fldChar w:fldCharType="end"/>
      </w:r>
      <w:bookmarkEnd w:id="127"/>
      <w:r w:rsidRPr="00DE7F43">
        <w:t xml:space="preserve">: </w:t>
      </w:r>
      <w:bookmarkEnd w:id="128"/>
      <w:r w:rsidRPr="00DE7F43">
        <w:t>Učinci Programa energetske obnove VSZ za razdoblje od 2014. do 2020. godine</w:t>
      </w:r>
      <w:bookmarkEnd w:id="129"/>
    </w:p>
    <w:tbl>
      <w:tblPr>
        <w:tblStyle w:val="Svijetlatablicareetke110"/>
        <w:tblW w:w="9180" w:type="dxa"/>
        <w:tblLook w:val="04A0" w:firstRow="1" w:lastRow="0" w:firstColumn="1" w:lastColumn="0" w:noHBand="0" w:noVBand="1"/>
      </w:tblPr>
      <w:tblGrid>
        <w:gridCol w:w="3640"/>
        <w:gridCol w:w="842"/>
        <w:gridCol w:w="849"/>
        <w:gridCol w:w="732"/>
        <w:gridCol w:w="826"/>
        <w:gridCol w:w="732"/>
        <w:gridCol w:w="827"/>
        <w:gridCol w:w="732"/>
      </w:tblGrid>
      <w:tr w:rsidR="004949CA" w:rsidRPr="00B133D0" w14:paraId="52DB450F" w14:textId="77777777" w:rsidTr="00EA1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0" w:type="dxa"/>
          </w:tcPr>
          <w:p w14:paraId="2E111D54" w14:textId="77777777" w:rsidR="004949CA" w:rsidRPr="00B133D0" w:rsidRDefault="004949CA" w:rsidP="00331A63">
            <w:pPr>
              <w:rPr>
                <w:rFonts w:ascii="Tahoma" w:hAnsi="Tahoma" w:cs="Tahoma"/>
                <w:sz w:val="17"/>
                <w:szCs w:val="17"/>
              </w:rPr>
            </w:pPr>
            <w:r w:rsidRPr="00B133D0">
              <w:rPr>
                <w:rFonts w:ascii="Tahoma" w:hAnsi="Tahoma" w:cs="Tahoma"/>
                <w:sz w:val="17"/>
                <w:szCs w:val="17"/>
              </w:rPr>
              <w:t>Godina provedbe</w:t>
            </w:r>
          </w:p>
        </w:tc>
        <w:tc>
          <w:tcPr>
            <w:tcW w:w="843" w:type="dxa"/>
          </w:tcPr>
          <w:p w14:paraId="619EE4F9"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2014.</w:t>
            </w:r>
          </w:p>
        </w:tc>
        <w:tc>
          <w:tcPr>
            <w:tcW w:w="850" w:type="dxa"/>
          </w:tcPr>
          <w:p w14:paraId="27C30CE9"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2015.</w:t>
            </w:r>
          </w:p>
        </w:tc>
        <w:tc>
          <w:tcPr>
            <w:tcW w:w="732" w:type="dxa"/>
          </w:tcPr>
          <w:p w14:paraId="00D30211"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2016.</w:t>
            </w:r>
          </w:p>
        </w:tc>
        <w:tc>
          <w:tcPr>
            <w:tcW w:w="827" w:type="dxa"/>
          </w:tcPr>
          <w:p w14:paraId="3A02FB3A"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2017.</w:t>
            </w:r>
          </w:p>
        </w:tc>
        <w:tc>
          <w:tcPr>
            <w:tcW w:w="732" w:type="dxa"/>
          </w:tcPr>
          <w:p w14:paraId="1F6CAAA1"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2018.</w:t>
            </w:r>
          </w:p>
        </w:tc>
        <w:tc>
          <w:tcPr>
            <w:tcW w:w="828" w:type="dxa"/>
          </w:tcPr>
          <w:p w14:paraId="26DA972A"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2019.</w:t>
            </w:r>
          </w:p>
        </w:tc>
        <w:tc>
          <w:tcPr>
            <w:tcW w:w="708" w:type="dxa"/>
          </w:tcPr>
          <w:p w14:paraId="2AE5F456" w14:textId="77777777" w:rsidR="004949CA" w:rsidRPr="00B133D0"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2020.</w:t>
            </w:r>
          </w:p>
        </w:tc>
      </w:tr>
      <w:tr w:rsidR="004949CA" w:rsidRPr="00B133D0" w14:paraId="2A6B7A21"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40F524AB" w14:textId="77777777" w:rsidR="004949CA" w:rsidRPr="00B133D0" w:rsidRDefault="004949CA" w:rsidP="00331A63">
            <w:pPr>
              <w:rPr>
                <w:rFonts w:ascii="Tahoma" w:hAnsi="Tahoma" w:cs="Tahoma"/>
                <w:sz w:val="17"/>
                <w:szCs w:val="17"/>
              </w:rPr>
            </w:pPr>
            <w:r w:rsidRPr="00B133D0">
              <w:rPr>
                <w:rFonts w:ascii="Tahoma" w:hAnsi="Tahoma" w:cs="Tahoma"/>
                <w:sz w:val="17"/>
                <w:szCs w:val="17"/>
              </w:rPr>
              <w:t>Nova godišnja ušteda [PJ]</w:t>
            </w:r>
          </w:p>
        </w:tc>
        <w:tc>
          <w:tcPr>
            <w:tcW w:w="843" w:type="dxa"/>
          </w:tcPr>
          <w:p w14:paraId="178C9442"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0,0210</w:t>
            </w:r>
          </w:p>
        </w:tc>
        <w:tc>
          <w:tcPr>
            <w:tcW w:w="850" w:type="dxa"/>
          </w:tcPr>
          <w:p w14:paraId="07205D2E"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0,2355</w:t>
            </w:r>
          </w:p>
        </w:tc>
        <w:tc>
          <w:tcPr>
            <w:tcW w:w="732" w:type="dxa"/>
          </w:tcPr>
          <w:p w14:paraId="7FA35FD6"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0,1825</w:t>
            </w:r>
          </w:p>
        </w:tc>
        <w:tc>
          <w:tcPr>
            <w:tcW w:w="827" w:type="dxa"/>
          </w:tcPr>
          <w:p w14:paraId="39A08270"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0,1548</w:t>
            </w:r>
          </w:p>
        </w:tc>
        <w:tc>
          <w:tcPr>
            <w:tcW w:w="732" w:type="dxa"/>
          </w:tcPr>
          <w:p w14:paraId="5DB8D987"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0,1103</w:t>
            </w:r>
          </w:p>
        </w:tc>
        <w:tc>
          <w:tcPr>
            <w:tcW w:w="828" w:type="dxa"/>
          </w:tcPr>
          <w:p w14:paraId="177DFDE4"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0,3190</w:t>
            </w:r>
          </w:p>
        </w:tc>
        <w:tc>
          <w:tcPr>
            <w:tcW w:w="708" w:type="dxa"/>
          </w:tcPr>
          <w:p w14:paraId="5781D23E"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0,0157</w:t>
            </w:r>
          </w:p>
        </w:tc>
      </w:tr>
      <w:tr w:rsidR="004949CA" w:rsidRPr="00B133D0" w14:paraId="70F33B66"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78390326" w14:textId="77777777" w:rsidR="004949CA" w:rsidRPr="00B133D0" w:rsidRDefault="004949CA" w:rsidP="00331A63">
            <w:pPr>
              <w:rPr>
                <w:rFonts w:ascii="Tahoma" w:hAnsi="Tahoma" w:cs="Tahoma"/>
                <w:sz w:val="17"/>
                <w:szCs w:val="17"/>
              </w:rPr>
            </w:pPr>
            <w:r w:rsidRPr="00B133D0">
              <w:rPr>
                <w:rFonts w:ascii="Tahoma" w:hAnsi="Tahoma" w:cs="Tahoma"/>
                <w:sz w:val="17"/>
                <w:szCs w:val="17"/>
              </w:rPr>
              <w:t>Ukupne godišnje ušteda u 2020. [PJ]</w:t>
            </w:r>
          </w:p>
        </w:tc>
        <w:tc>
          <w:tcPr>
            <w:tcW w:w="5520" w:type="dxa"/>
            <w:gridSpan w:val="7"/>
          </w:tcPr>
          <w:p w14:paraId="3E3ACDBA"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1,0388</w:t>
            </w:r>
          </w:p>
        </w:tc>
      </w:tr>
      <w:tr w:rsidR="004949CA" w:rsidRPr="00B133D0" w14:paraId="0EA597BA"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3E3AA84C" w14:textId="77777777" w:rsidR="004949CA" w:rsidRPr="00B133D0" w:rsidRDefault="004949CA" w:rsidP="00331A63">
            <w:pPr>
              <w:rPr>
                <w:rFonts w:ascii="Tahoma" w:hAnsi="Tahoma" w:cs="Tahoma"/>
                <w:sz w:val="17"/>
                <w:szCs w:val="17"/>
              </w:rPr>
            </w:pPr>
            <w:r w:rsidRPr="00B133D0">
              <w:rPr>
                <w:rFonts w:ascii="Tahoma" w:hAnsi="Tahoma" w:cs="Tahoma"/>
                <w:sz w:val="17"/>
                <w:szCs w:val="17"/>
              </w:rPr>
              <w:t>Ukupno smanjenje emisija CO</w:t>
            </w:r>
            <w:r w:rsidRPr="00B133D0">
              <w:rPr>
                <w:rFonts w:ascii="Tahoma" w:hAnsi="Tahoma" w:cs="Tahoma"/>
                <w:sz w:val="17"/>
                <w:szCs w:val="17"/>
                <w:vertAlign w:val="subscript"/>
              </w:rPr>
              <w:t>2</w:t>
            </w:r>
            <w:r w:rsidRPr="00B133D0">
              <w:rPr>
                <w:rFonts w:ascii="Tahoma" w:hAnsi="Tahoma" w:cs="Tahoma"/>
                <w:sz w:val="17"/>
                <w:szCs w:val="17"/>
              </w:rPr>
              <w:t xml:space="preserve"> [t]</w:t>
            </w:r>
          </w:p>
        </w:tc>
        <w:tc>
          <w:tcPr>
            <w:tcW w:w="5520" w:type="dxa"/>
            <w:gridSpan w:val="7"/>
          </w:tcPr>
          <w:p w14:paraId="6B574958"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rPr>
            </w:pPr>
            <w:r w:rsidRPr="00B133D0">
              <w:rPr>
                <w:rFonts w:ascii="Tahoma" w:hAnsi="Tahoma" w:cs="Tahoma"/>
                <w:sz w:val="17"/>
                <w:szCs w:val="17"/>
              </w:rPr>
              <w:t>63.465,19</w:t>
            </w:r>
          </w:p>
        </w:tc>
      </w:tr>
      <w:tr w:rsidR="004949CA" w:rsidRPr="00B133D0" w14:paraId="449DD98E"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01BA7DA3" w14:textId="77777777" w:rsidR="004949CA" w:rsidRPr="00B133D0" w:rsidRDefault="004949CA" w:rsidP="00331A63">
            <w:pPr>
              <w:rPr>
                <w:rFonts w:ascii="Tahoma" w:hAnsi="Tahoma" w:cs="Tahoma"/>
                <w:sz w:val="17"/>
                <w:szCs w:val="17"/>
              </w:rPr>
            </w:pPr>
            <w:r w:rsidRPr="00B133D0">
              <w:rPr>
                <w:rFonts w:ascii="Tahoma" w:hAnsi="Tahoma" w:cs="Tahoma"/>
                <w:sz w:val="17"/>
                <w:szCs w:val="17"/>
              </w:rPr>
              <w:t>Kumulativne uštede 2014.-2020. [PJ]</w:t>
            </w:r>
          </w:p>
        </w:tc>
        <w:tc>
          <w:tcPr>
            <w:tcW w:w="5520" w:type="dxa"/>
            <w:gridSpan w:val="7"/>
          </w:tcPr>
          <w:p w14:paraId="6A727921"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lang w:eastAsia="hr-HR"/>
              </w:rPr>
            </w:pPr>
            <w:r w:rsidRPr="00B133D0">
              <w:rPr>
                <w:rFonts w:ascii="Tahoma" w:hAnsi="Tahoma" w:cs="Tahoma"/>
                <w:b/>
                <w:bCs/>
                <w:sz w:val="17"/>
                <w:szCs w:val="17"/>
              </w:rPr>
              <w:t>2,9120</w:t>
            </w:r>
          </w:p>
        </w:tc>
      </w:tr>
      <w:tr w:rsidR="004949CA" w:rsidRPr="00B133D0" w14:paraId="4973FF3D"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76B00303" w14:textId="04923BFF" w:rsidR="004949CA" w:rsidRPr="00B133D0" w:rsidRDefault="004949CA" w:rsidP="00331A63">
            <w:pPr>
              <w:rPr>
                <w:rFonts w:ascii="Tahoma" w:hAnsi="Tahoma" w:cs="Tahoma"/>
                <w:sz w:val="17"/>
                <w:szCs w:val="17"/>
              </w:rPr>
            </w:pPr>
            <w:r w:rsidRPr="00B133D0">
              <w:rPr>
                <w:rFonts w:ascii="Tahoma" w:hAnsi="Tahoma" w:cs="Tahoma"/>
                <w:sz w:val="17"/>
                <w:szCs w:val="17"/>
              </w:rPr>
              <w:t>Ukupna investicija [</w:t>
            </w:r>
            <w:r w:rsidR="0063313B">
              <w:rPr>
                <w:rFonts w:ascii="Tahoma" w:hAnsi="Tahoma" w:cs="Tahoma"/>
                <w:sz w:val="17"/>
                <w:szCs w:val="17"/>
              </w:rPr>
              <w:t>kuna</w:t>
            </w:r>
            <w:r w:rsidRPr="00B133D0">
              <w:rPr>
                <w:rFonts w:ascii="Tahoma" w:hAnsi="Tahoma" w:cs="Tahoma"/>
                <w:sz w:val="17"/>
                <w:szCs w:val="17"/>
              </w:rPr>
              <w:t>]</w:t>
            </w:r>
          </w:p>
        </w:tc>
        <w:tc>
          <w:tcPr>
            <w:tcW w:w="5520" w:type="dxa"/>
            <w:gridSpan w:val="7"/>
          </w:tcPr>
          <w:p w14:paraId="59706F8B"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highlight w:val="yellow"/>
              </w:rPr>
            </w:pPr>
            <w:r w:rsidRPr="00B133D0">
              <w:rPr>
                <w:rFonts w:ascii="Tahoma" w:hAnsi="Tahoma" w:cs="Tahoma"/>
                <w:sz w:val="17"/>
                <w:szCs w:val="17"/>
              </w:rPr>
              <w:t>1.122.436.799,24</w:t>
            </w:r>
          </w:p>
        </w:tc>
      </w:tr>
      <w:tr w:rsidR="004949CA" w:rsidRPr="00B133D0" w14:paraId="2C05AC9B" w14:textId="77777777" w:rsidTr="00EA1F46">
        <w:tc>
          <w:tcPr>
            <w:cnfStyle w:val="001000000000" w:firstRow="0" w:lastRow="0" w:firstColumn="1" w:lastColumn="0" w:oddVBand="0" w:evenVBand="0" w:oddHBand="0" w:evenHBand="0" w:firstRowFirstColumn="0" w:firstRowLastColumn="0" w:lastRowFirstColumn="0" w:lastRowLastColumn="0"/>
            <w:tcW w:w="3660" w:type="dxa"/>
          </w:tcPr>
          <w:p w14:paraId="0213958A" w14:textId="79145178" w:rsidR="004949CA" w:rsidRPr="00B133D0" w:rsidRDefault="004949CA" w:rsidP="00331A63">
            <w:pPr>
              <w:rPr>
                <w:rFonts w:ascii="Tahoma" w:hAnsi="Tahoma" w:cs="Tahoma"/>
                <w:sz w:val="17"/>
                <w:szCs w:val="17"/>
              </w:rPr>
            </w:pPr>
            <w:r w:rsidRPr="00B133D0">
              <w:rPr>
                <w:rFonts w:ascii="Tahoma" w:hAnsi="Tahoma" w:cs="Tahoma"/>
                <w:sz w:val="17"/>
                <w:szCs w:val="17"/>
              </w:rPr>
              <w:t>Ukupna bespovratna sredstva [</w:t>
            </w:r>
            <w:r w:rsidR="0063313B">
              <w:rPr>
                <w:rFonts w:ascii="Tahoma" w:hAnsi="Tahoma" w:cs="Tahoma"/>
                <w:sz w:val="17"/>
                <w:szCs w:val="17"/>
              </w:rPr>
              <w:t>kuna</w:t>
            </w:r>
            <w:r w:rsidRPr="00B133D0">
              <w:rPr>
                <w:rFonts w:ascii="Tahoma" w:hAnsi="Tahoma" w:cs="Tahoma"/>
                <w:sz w:val="17"/>
                <w:szCs w:val="17"/>
              </w:rPr>
              <w:t>]</w:t>
            </w:r>
          </w:p>
        </w:tc>
        <w:tc>
          <w:tcPr>
            <w:tcW w:w="5520" w:type="dxa"/>
            <w:gridSpan w:val="7"/>
          </w:tcPr>
          <w:p w14:paraId="445C8275" w14:textId="77777777" w:rsidR="004949CA" w:rsidRPr="00B133D0"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17"/>
                <w:szCs w:val="17"/>
                <w:highlight w:val="yellow"/>
              </w:rPr>
            </w:pPr>
            <w:r w:rsidRPr="00B133D0">
              <w:rPr>
                <w:rFonts w:ascii="Tahoma" w:hAnsi="Tahoma" w:cs="Tahoma"/>
                <w:sz w:val="17"/>
                <w:szCs w:val="17"/>
              </w:rPr>
              <w:t>614.284.403,18</w:t>
            </w:r>
          </w:p>
        </w:tc>
      </w:tr>
    </w:tbl>
    <w:p w14:paraId="70BB8894" w14:textId="77777777" w:rsidR="004949CA" w:rsidRPr="00B133D0" w:rsidRDefault="004949CA" w:rsidP="00B133D0">
      <w:pPr>
        <w:jc w:val="both"/>
        <w:rPr>
          <w:rFonts w:ascii="Tahoma" w:hAnsi="Tahoma" w:cs="Tahoma"/>
          <w:i/>
          <w:iCs/>
          <w:sz w:val="18"/>
        </w:rPr>
      </w:pPr>
      <w:r w:rsidRPr="00B133D0">
        <w:rPr>
          <w:rFonts w:ascii="Tahoma" w:hAnsi="Tahoma" w:cs="Tahoma"/>
          <w:i/>
          <w:iCs/>
          <w:sz w:val="18"/>
        </w:rPr>
        <w:t xml:space="preserve">* Napomena: Prikazani brojevi predstavljaju preliminarni rezultat analize podataka iz </w:t>
      </w:r>
      <w:proofErr w:type="spellStart"/>
      <w:r w:rsidRPr="00B133D0">
        <w:rPr>
          <w:rFonts w:ascii="Tahoma" w:hAnsi="Tahoma" w:cs="Tahoma"/>
          <w:i/>
          <w:iCs/>
          <w:sz w:val="18"/>
        </w:rPr>
        <w:t>SMiV</w:t>
      </w:r>
      <w:proofErr w:type="spellEnd"/>
      <w:r w:rsidRPr="00B133D0">
        <w:rPr>
          <w:rFonts w:ascii="Tahoma" w:hAnsi="Tahoma" w:cs="Tahoma"/>
          <w:i/>
          <w:iCs/>
          <w:sz w:val="18"/>
        </w:rPr>
        <w:t xml:space="preserve">-a. Rezultati nisu konačni, pogotovo za 2020. godinu za koju još nije u cijelosti završen unos podataka u </w:t>
      </w:r>
      <w:proofErr w:type="spellStart"/>
      <w:r w:rsidRPr="00B133D0">
        <w:rPr>
          <w:rFonts w:ascii="Tahoma" w:hAnsi="Tahoma" w:cs="Tahoma"/>
          <w:i/>
          <w:iCs/>
          <w:sz w:val="18"/>
        </w:rPr>
        <w:t>SMiV</w:t>
      </w:r>
      <w:proofErr w:type="spellEnd"/>
      <w:r w:rsidRPr="00B133D0">
        <w:rPr>
          <w:rFonts w:ascii="Tahoma" w:hAnsi="Tahoma" w:cs="Tahoma"/>
          <w:i/>
          <w:iCs/>
          <w:sz w:val="18"/>
        </w:rPr>
        <w:t xml:space="preserve">. Konačni rezultati bit će dostupni u godišnjem izvješću 2022. godine. </w:t>
      </w:r>
    </w:p>
    <w:p w14:paraId="65738089" w14:textId="77777777" w:rsidR="004949CA" w:rsidRPr="00B133D0" w:rsidRDefault="004949CA" w:rsidP="00B133D0">
      <w:pPr>
        <w:jc w:val="both"/>
        <w:rPr>
          <w:rFonts w:ascii="Tahoma" w:hAnsi="Tahoma" w:cs="Tahoma"/>
          <w:sz w:val="20"/>
          <w:szCs w:val="20"/>
        </w:rPr>
      </w:pPr>
      <w:r w:rsidRPr="00B133D0">
        <w:rPr>
          <w:rFonts w:ascii="Tahoma" w:hAnsi="Tahoma" w:cs="Tahoma"/>
          <w:b/>
          <w:bCs/>
          <w:sz w:val="20"/>
          <w:szCs w:val="20"/>
        </w:rPr>
        <w:t>Rezultati pokazuju da je model provedbe u razdoblju 2014. do 2020. godine mogao biti uspješniji u pogledu postignutih ušteda energije u odnosu na planirane, da su bila dostupna sredstva za kontinuiranu provedbu i nakon 2016. godine.</w:t>
      </w:r>
      <w:r w:rsidRPr="00B133D0">
        <w:rPr>
          <w:rFonts w:ascii="Tahoma" w:hAnsi="Tahoma" w:cs="Tahoma"/>
          <w:sz w:val="20"/>
          <w:szCs w:val="20"/>
        </w:rPr>
        <w:t xml:space="preserve"> Naime, prema 4. </w:t>
      </w:r>
      <w:proofErr w:type="spellStart"/>
      <w:r w:rsidRPr="00B133D0">
        <w:rPr>
          <w:rFonts w:ascii="Tahoma" w:hAnsi="Tahoma" w:cs="Tahoma"/>
          <w:sz w:val="20"/>
          <w:szCs w:val="20"/>
        </w:rPr>
        <w:t>NAPEnU</w:t>
      </w:r>
      <w:proofErr w:type="spellEnd"/>
      <w:r w:rsidRPr="00B133D0">
        <w:rPr>
          <w:rFonts w:ascii="Tahoma" w:hAnsi="Tahoma" w:cs="Tahoma"/>
          <w:sz w:val="20"/>
          <w:szCs w:val="20"/>
        </w:rPr>
        <w:t xml:space="preserve"> predviđeno je da će se do kraja 2020. godine ostvariti kumulativne uštede u iznosu od 5,1400 PJ te je iz gornje tablice vidljivo da je ostvareno oko 57% ovoga cilja. </w:t>
      </w:r>
    </w:p>
    <w:p w14:paraId="1B1701D5" w14:textId="77777777" w:rsidR="004949CA" w:rsidRPr="0091152F" w:rsidRDefault="004949CA" w:rsidP="004949CA">
      <w:pPr>
        <w:pStyle w:val="Naslov30"/>
      </w:pPr>
      <w:bookmarkStart w:id="130" w:name="_Toc81836282"/>
      <w:bookmarkStart w:id="131" w:name="_Toc83912054"/>
      <w:r w:rsidRPr="0091152F">
        <w:t>Uočeni problemi u provedbi Programa i prijedlozi za unaprjeđenja</w:t>
      </w:r>
      <w:bookmarkEnd w:id="130"/>
      <w:bookmarkEnd w:id="131"/>
    </w:p>
    <w:p w14:paraId="1905B959" w14:textId="479535F0" w:rsidR="004949CA" w:rsidRPr="00E10D19" w:rsidRDefault="004949CA">
      <w:pPr>
        <w:spacing w:before="120" w:after="120" w:line="240" w:lineRule="auto"/>
        <w:jc w:val="both"/>
        <w:rPr>
          <w:rFonts w:ascii="Tahoma" w:hAnsi="Tahoma" w:cs="Tahoma"/>
          <w:sz w:val="20"/>
          <w:szCs w:val="20"/>
        </w:rPr>
      </w:pPr>
      <w:r w:rsidRPr="00E10D19">
        <w:rPr>
          <w:rFonts w:ascii="Tahoma" w:hAnsi="Tahoma" w:cs="Tahoma"/>
          <w:sz w:val="20"/>
          <w:szCs w:val="20"/>
        </w:rPr>
        <w:t xml:space="preserve">Osnovni nedostatak u provedbi Programa u prethodnom razdoblju bio je izostanak kontinuiteta provedbe javnih poziva za sufinanciranje </w:t>
      </w:r>
      <w:r w:rsidR="00987DB9">
        <w:rPr>
          <w:rFonts w:ascii="Tahoma" w:hAnsi="Tahoma" w:cs="Tahoma"/>
          <w:sz w:val="20"/>
          <w:szCs w:val="20"/>
        </w:rPr>
        <w:t xml:space="preserve">što je </w:t>
      </w:r>
      <w:r w:rsidRPr="00C51D76">
        <w:rPr>
          <w:rFonts w:ascii="Tahoma" w:hAnsi="Tahoma" w:cs="Tahoma"/>
          <w:sz w:val="20"/>
          <w:szCs w:val="20"/>
        </w:rPr>
        <w:t>izravno</w:t>
      </w:r>
      <w:r w:rsidRPr="00E10D19">
        <w:rPr>
          <w:rFonts w:ascii="Tahoma" w:hAnsi="Tahoma" w:cs="Tahoma"/>
          <w:sz w:val="20"/>
          <w:szCs w:val="20"/>
        </w:rPr>
        <w:t xml:space="preserve"> vezan</w:t>
      </w:r>
      <w:r w:rsidR="00987DB9">
        <w:rPr>
          <w:rFonts w:ascii="Tahoma" w:hAnsi="Tahoma" w:cs="Tahoma"/>
          <w:sz w:val="20"/>
          <w:szCs w:val="20"/>
        </w:rPr>
        <w:t>o</w:t>
      </w:r>
      <w:r w:rsidRPr="00E10D19">
        <w:rPr>
          <w:rFonts w:ascii="Tahoma" w:hAnsi="Tahoma" w:cs="Tahoma"/>
          <w:sz w:val="20"/>
          <w:szCs w:val="20"/>
        </w:rPr>
        <w:t xml:space="preserve"> uz (ne)raspoloživost financijskih sredstava, odnosno nakon iscrpljenja alokacije prema OPKK, više nije bilo raspoloživih sredstava iz drugih izvora za ovu svrhu. </w:t>
      </w:r>
    </w:p>
    <w:p w14:paraId="0BA43AD7" w14:textId="77777777" w:rsidR="004949CA" w:rsidRPr="00E10D19" w:rsidRDefault="004949CA" w:rsidP="00E10D19">
      <w:pPr>
        <w:spacing w:before="120" w:after="120" w:line="240" w:lineRule="auto"/>
        <w:jc w:val="both"/>
        <w:rPr>
          <w:rFonts w:ascii="Tahoma" w:hAnsi="Tahoma" w:cs="Tahoma"/>
          <w:sz w:val="20"/>
          <w:szCs w:val="20"/>
        </w:rPr>
      </w:pPr>
      <w:r w:rsidRPr="00E10D19">
        <w:rPr>
          <w:rFonts w:ascii="Tahoma" w:hAnsi="Tahoma" w:cs="Tahoma"/>
          <w:sz w:val="20"/>
          <w:szCs w:val="20"/>
        </w:rPr>
        <w:t xml:space="preserve">Prema tome, osiguravanje dostatnih sredstava za potrebe utvrđene u ovom Programu ključno je za njegovu uspješnu provedbu i ostvarenje željenih ciljeva. </w:t>
      </w:r>
    </w:p>
    <w:p w14:paraId="367203BA" w14:textId="3EDF19A1" w:rsidR="004949CA" w:rsidRPr="00E10D19" w:rsidRDefault="004949CA" w:rsidP="00E10D19">
      <w:pPr>
        <w:spacing w:before="120" w:after="120" w:line="240" w:lineRule="auto"/>
        <w:jc w:val="both"/>
        <w:rPr>
          <w:rFonts w:ascii="Tahoma" w:hAnsi="Tahoma" w:cs="Tahoma"/>
          <w:sz w:val="20"/>
          <w:szCs w:val="20"/>
        </w:rPr>
      </w:pPr>
      <w:r w:rsidRPr="00E10D19">
        <w:rPr>
          <w:rFonts w:ascii="Tahoma" w:hAnsi="Tahoma" w:cs="Tahoma"/>
          <w:sz w:val="20"/>
          <w:szCs w:val="20"/>
        </w:rPr>
        <w:t xml:space="preserve">Osim dostatnih izvora sredstava, na kontinuiranost provedbe </w:t>
      </w:r>
      <w:r w:rsidR="00940B78">
        <w:rPr>
          <w:rFonts w:ascii="Tahoma" w:hAnsi="Tahoma" w:cs="Tahoma"/>
          <w:sz w:val="20"/>
          <w:szCs w:val="20"/>
        </w:rPr>
        <w:t>utječe</w:t>
      </w:r>
      <w:r w:rsidRPr="00E10D19">
        <w:rPr>
          <w:rFonts w:ascii="Tahoma" w:hAnsi="Tahoma" w:cs="Tahoma"/>
          <w:sz w:val="20"/>
          <w:szCs w:val="20"/>
        </w:rPr>
        <w:t xml:space="preserve"> i izabrani model provedbe. Dosadašnji model temeljio se na bespovratnim sredstvima i raspisivanju javnih poziva za korištenje tih sredstava. Istodobno, suvlasnici VSZ morali su osigurati i sredstva za zatvaranje financijske konstrukcije, što se u pravilu rješavalo kreditom komercijalnih banaka i temeljilo na povećanju pričuve. </w:t>
      </w:r>
    </w:p>
    <w:p w14:paraId="4F05C432" w14:textId="77777777" w:rsidR="004949CA" w:rsidRPr="00E10D19" w:rsidRDefault="004949CA" w:rsidP="00E10D19">
      <w:pPr>
        <w:spacing w:before="120" w:after="120" w:line="240" w:lineRule="auto"/>
        <w:jc w:val="both"/>
        <w:rPr>
          <w:rFonts w:ascii="Tahoma" w:hAnsi="Tahoma" w:cs="Tahoma"/>
          <w:sz w:val="20"/>
          <w:szCs w:val="20"/>
          <w:lang w:eastAsia="hr-HR"/>
        </w:rPr>
      </w:pPr>
      <w:r w:rsidRPr="00E10D19">
        <w:rPr>
          <w:rFonts w:ascii="Tahoma" w:hAnsi="Tahoma" w:cs="Tahoma"/>
          <w:sz w:val="20"/>
          <w:szCs w:val="20"/>
        </w:rPr>
        <w:t xml:space="preserve">Kao moguće poboljšanje modela nameće se primjena financijskog instrumenta u kombinaciji s bespovratnim sredstvima unutar iste operacije, temeljenim na ostvarenim razinama energetskih karakteristika. Ovakav model moguće je uz korištenje ESIF sredstava te će se svakako razmotriti za daljnje korištenje. Model bi mogao kombinirati i sredstva komercijalnih banaka s ESIF sredstvima, kako bi se ukupno raspoloživa sredstva povećala. Osim toga, ovakav model bi mogao osigurati i dulju ročnost kredita, u odnosu na one koji su trenutno u ponudi na tržištu, čime bi se smanjio 'udar' na suvlasnike u vidu povećane pričuve potrebne za otplatu kredita. </w:t>
      </w:r>
    </w:p>
    <w:p w14:paraId="00C44824" w14:textId="45430813" w:rsidR="004949CA" w:rsidRPr="00E10D19" w:rsidRDefault="004949CA" w:rsidP="00E10D19">
      <w:pPr>
        <w:spacing w:before="120" w:after="120" w:line="240" w:lineRule="auto"/>
        <w:jc w:val="both"/>
        <w:rPr>
          <w:rFonts w:ascii="Tahoma" w:hAnsi="Tahoma" w:cs="Tahoma"/>
          <w:sz w:val="20"/>
          <w:szCs w:val="20"/>
        </w:rPr>
      </w:pPr>
      <w:r w:rsidRPr="00E10D19">
        <w:rPr>
          <w:rFonts w:ascii="Tahoma" w:hAnsi="Tahoma" w:cs="Tahoma"/>
          <w:sz w:val="20"/>
          <w:szCs w:val="20"/>
        </w:rPr>
        <w:t xml:space="preserve">Ovakav primjer pronalazi se u Litvi te se </w:t>
      </w:r>
      <w:r w:rsidRPr="00E10D19">
        <w:rPr>
          <w:rStyle w:val="jlqj4b"/>
          <w:rFonts w:ascii="Tahoma" w:hAnsi="Tahoma" w:cs="Tahoma"/>
          <w:sz w:val="20"/>
          <w:szCs w:val="20"/>
        </w:rPr>
        <w:t>često navodi kao primjer najbolje prakse programa obnove višestambenih zgrada. Model se često naziva „fondom fondova“, a temelji se na ideji da takav fond raspolaže sredstvima kako iz EFRR, tako i sredstvima komercijalnih banaka. U Litvi je taj omjer sredstava bio 138 milijuna EUR iz ERDF te 255 milijuna EUR iz komercijalne banke koja je odabrana postupkom javne nabave. Iz tog fonda, osigurava se 100% bespovratnih sredstava za pripremu projekata, dok se za samu energetsku obnovu osiguravaju krediti. Ovisno o postignutom energetskom razredu, uz kredit se osiguravaju i bespovratna sredstva. Važno je istaknuti da su se ta bespovratna sredstva smanjivala kroz godine te od 2018. iznose do 35% prihvatljivih troškova</w:t>
      </w:r>
      <w:r w:rsidRPr="00E10D19">
        <w:rPr>
          <w:rStyle w:val="Referencafusnote"/>
          <w:rFonts w:cs="Tahoma"/>
          <w:sz w:val="20"/>
          <w:szCs w:val="20"/>
        </w:rPr>
        <w:footnoteReference w:id="15"/>
      </w:r>
      <w:r w:rsidRPr="00E10D19">
        <w:rPr>
          <w:rStyle w:val="jlqj4b"/>
          <w:rFonts w:ascii="Tahoma" w:hAnsi="Tahoma" w:cs="Tahoma"/>
          <w:sz w:val="20"/>
          <w:szCs w:val="20"/>
        </w:rPr>
        <w:t xml:space="preserve">.   </w:t>
      </w:r>
    </w:p>
    <w:p w14:paraId="0510449B" w14:textId="788B9F11" w:rsidR="004949CA" w:rsidRPr="00E10D19" w:rsidRDefault="0C3F4C7D" w:rsidP="00E10D19">
      <w:pPr>
        <w:spacing w:before="120" w:after="120" w:line="240" w:lineRule="auto"/>
        <w:jc w:val="both"/>
        <w:rPr>
          <w:rFonts w:ascii="Tahoma" w:hAnsi="Tahoma" w:cs="Tahoma"/>
          <w:sz w:val="20"/>
          <w:szCs w:val="20"/>
        </w:rPr>
      </w:pPr>
      <w:r w:rsidRPr="638C4C38">
        <w:rPr>
          <w:rFonts w:ascii="Tahoma" w:hAnsi="Tahoma" w:cs="Tahoma"/>
          <w:sz w:val="20"/>
          <w:szCs w:val="20"/>
        </w:rPr>
        <w:lastRenderedPageBreak/>
        <w:t>Nadalje, iako je većina upravitelja zgrada stekla značajno iskustvo u provedbi energetske obnove, ipak se predlaže zadržavanje jedinstvene kontaktne točke ('</w:t>
      </w:r>
      <w:r w:rsidRPr="638C4C38">
        <w:rPr>
          <w:rFonts w:ascii="Tahoma" w:hAnsi="Tahoma" w:cs="Tahoma"/>
          <w:i/>
          <w:iCs/>
          <w:sz w:val="20"/>
          <w:szCs w:val="20"/>
        </w:rPr>
        <w:t>one-stop shop'</w:t>
      </w:r>
      <w:r w:rsidRPr="638C4C38">
        <w:rPr>
          <w:rFonts w:ascii="Tahoma" w:hAnsi="Tahoma" w:cs="Tahoma"/>
          <w:sz w:val="20"/>
          <w:szCs w:val="20"/>
        </w:rPr>
        <w:t>) za pružanje tehničke pomoći prijaviteljima. FZOEU može i dalje obavljati tu ulogu, ali predv</w:t>
      </w:r>
      <w:r w:rsidR="4057A805" w:rsidRPr="638C4C38">
        <w:rPr>
          <w:rFonts w:ascii="Tahoma" w:hAnsi="Tahoma" w:cs="Tahoma"/>
          <w:sz w:val="20"/>
          <w:szCs w:val="20"/>
        </w:rPr>
        <w:t>i</w:t>
      </w:r>
      <w:r w:rsidRPr="638C4C38">
        <w:rPr>
          <w:rFonts w:ascii="Tahoma" w:hAnsi="Tahoma" w:cs="Tahoma"/>
          <w:sz w:val="20"/>
          <w:szCs w:val="20"/>
        </w:rPr>
        <w:t xml:space="preserve">đa se i uspostavljanje </w:t>
      </w:r>
      <w:r w:rsidRPr="638C4C38">
        <w:rPr>
          <w:rFonts w:ascii="Tahoma" w:hAnsi="Tahoma" w:cs="Tahoma"/>
          <w:i/>
          <w:iCs/>
          <w:sz w:val="20"/>
          <w:szCs w:val="20"/>
        </w:rPr>
        <w:t>one-stop shop</w:t>
      </w:r>
      <w:r w:rsidRPr="638C4C38">
        <w:rPr>
          <w:rFonts w:ascii="Tahoma" w:hAnsi="Tahoma" w:cs="Tahoma"/>
          <w:sz w:val="20"/>
          <w:szCs w:val="20"/>
        </w:rPr>
        <w:t xml:space="preserve"> usluge na razini lokalne/regionalne samouprave te razvojnih i energetskih agencija. Tehnička pomoć putem </w:t>
      </w:r>
      <w:r w:rsidRPr="638C4C38">
        <w:rPr>
          <w:rFonts w:ascii="Tahoma" w:hAnsi="Tahoma" w:cs="Tahoma"/>
          <w:i/>
          <w:iCs/>
          <w:sz w:val="20"/>
          <w:szCs w:val="20"/>
        </w:rPr>
        <w:t>one-stop shop</w:t>
      </w:r>
      <w:r w:rsidRPr="638C4C38">
        <w:rPr>
          <w:rFonts w:ascii="Tahoma" w:hAnsi="Tahoma" w:cs="Tahoma"/>
          <w:sz w:val="20"/>
          <w:szCs w:val="20"/>
        </w:rPr>
        <w:t xml:space="preserve"> usluge poglavito će biti potrebna nakon uspostavljanja novog modela provedbe (financijski instrument). Za zgrade oštećene u potresu, razvoj </w:t>
      </w:r>
      <w:r w:rsidRPr="638C4C38">
        <w:rPr>
          <w:rFonts w:ascii="Tahoma" w:hAnsi="Tahoma" w:cs="Tahoma"/>
          <w:i/>
          <w:iCs/>
          <w:sz w:val="20"/>
          <w:szCs w:val="20"/>
        </w:rPr>
        <w:t>one-stop shop</w:t>
      </w:r>
      <w:r w:rsidRPr="638C4C38">
        <w:rPr>
          <w:rFonts w:ascii="Tahoma" w:hAnsi="Tahoma" w:cs="Tahoma"/>
          <w:sz w:val="20"/>
          <w:szCs w:val="20"/>
        </w:rPr>
        <w:t xml:space="preserve"> usluge za proces sveobuhvatne obnove provodit će se u sklopu mjere C6.1. R3 „Povećanje učinkovitosti, smanjenje administrativnog opterećenja i digitalizacija procesa obnove“ Nacionalnog plana oporavka i otpornosti 2021.-2026., koju će koordinirati MPGI i FZO, a koji je detaljnije opisan u poglavlju 9. ovoga Programa. </w:t>
      </w:r>
    </w:p>
    <w:p w14:paraId="5C249246" w14:textId="71A7DF8F" w:rsidR="004949CA" w:rsidRPr="00E10D19" w:rsidRDefault="0C3F4C7D" w:rsidP="00E10D19">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trike/>
          <w:sz w:val="20"/>
          <w:szCs w:val="20"/>
        </w:rPr>
      </w:pPr>
      <w:r w:rsidRPr="638C4C38">
        <w:rPr>
          <w:rFonts w:ascii="Tahoma" w:hAnsi="Tahoma" w:cs="Tahoma"/>
          <w:b/>
          <w:bCs/>
          <w:sz w:val="20"/>
          <w:szCs w:val="20"/>
        </w:rPr>
        <w:t xml:space="preserve">Postojeći model provedbe pokazao se kao prihvatljiv i vrlo privlačan za suvlasnike. Ipak, najveći nedostatak modela je </w:t>
      </w:r>
      <w:proofErr w:type="spellStart"/>
      <w:r w:rsidRPr="638C4C38">
        <w:rPr>
          <w:rFonts w:ascii="Tahoma" w:hAnsi="Tahoma" w:cs="Tahoma"/>
          <w:b/>
          <w:bCs/>
          <w:sz w:val="20"/>
          <w:szCs w:val="20"/>
        </w:rPr>
        <w:t>nekontinuiranost</w:t>
      </w:r>
      <w:proofErr w:type="spellEnd"/>
      <w:r w:rsidRPr="638C4C38">
        <w:rPr>
          <w:rFonts w:ascii="Tahoma" w:hAnsi="Tahoma" w:cs="Tahoma"/>
          <w:b/>
          <w:bCs/>
          <w:sz w:val="20"/>
          <w:szCs w:val="20"/>
        </w:rPr>
        <w:t xml:space="preserve"> provedbe, uzrokovana najvećim dijelom nedostatnim sredstvima. U prvom trogodišnjem razdoblju primijenit će se model dodjele bespovratnih sredstava, dok se za sljedeća razdoblja treba uspostaviti model temeljen na financijskom instrumentu kojim će se kombinirati krediti i bespovratna sredstva. </w:t>
      </w:r>
    </w:p>
    <w:p w14:paraId="020C73F6" w14:textId="666FBC42" w:rsidR="004949CA" w:rsidRPr="008F3BBD" w:rsidRDefault="004949CA" w:rsidP="004949CA">
      <w:pPr>
        <w:pStyle w:val="Naslov10"/>
      </w:pPr>
      <w:bookmarkStart w:id="132" w:name="_Toc81836283"/>
      <w:bookmarkStart w:id="133" w:name="_Toc83912055"/>
      <w:r w:rsidRPr="008F3BBD">
        <w:lastRenderedPageBreak/>
        <w:t>O</w:t>
      </w:r>
      <w:bookmarkEnd w:id="132"/>
      <w:r w:rsidR="0036063E">
        <w:t>pis srednjeročnih razvojnih potreba i razvojnih potencijala</w:t>
      </w:r>
      <w:bookmarkEnd w:id="133"/>
    </w:p>
    <w:p w14:paraId="32C96781" w14:textId="2B1615D3" w:rsidR="004949CA" w:rsidRPr="00745697" w:rsidRDefault="0C3F4C7D"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 xml:space="preserve">Kako je prikazano u poglavlju 2.2, energetska obnova zgrada odnosno energetska  učinkovitost  i cjelokupna </w:t>
      </w:r>
      <w:proofErr w:type="spellStart"/>
      <w:r w:rsidRPr="00745697">
        <w:rPr>
          <w:rFonts w:ascii="Tahoma" w:hAnsi="Tahoma" w:cs="Tahoma"/>
          <w:sz w:val="20"/>
          <w:szCs w:val="20"/>
          <w:lang w:eastAsia="hr-HR"/>
        </w:rPr>
        <w:t>dekarbonizacija</w:t>
      </w:r>
      <w:proofErr w:type="spellEnd"/>
      <w:r w:rsidRPr="00745697">
        <w:rPr>
          <w:rFonts w:ascii="Tahoma" w:hAnsi="Tahoma" w:cs="Tahoma"/>
          <w:sz w:val="20"/>
          <w:szCs w:val="20"/>
          <w:lang w:eastAsia="hr-HR"/>
        </w:rPr>
        <w:t xml:space="preserve"> zgrada prepoznata je kao ključna mjera  za  postizanje  ukupnih  nacionalnih ciljeva  uštede  energije  i  smanjenja  emisija  ugljičnog  dioksida. Uzimajući u obzir da VSZ predstavljaju oko 35% stambenog fonda u </w:t>
      </w:r>
      <w:r w:rsidR="555602F2">
        <w:rPr>
          <w:rFonts w:ascii="Tahoma" w:hAnsi="Tahoma" w:cs="Tahoma"/>
          <w:sz w:val="20"/>
          <w:szCs w:val="20"/>
          <w:lang w:eastAsia="hr-HR"/>
        </w:rPr>
        <w:t>Hrvatskoj</w:t>
      </w:r>
      <w:r w:rsidRPr="00745697">
        <w:rPr>
          <w:rFonts w:ascii="Tahoma" w:hAnsi="Tahoma" w:cs="Tahoma"/>
          <w:sz w:val="20"/>
          <w:szCs w:val="20"/>
          <w:lang w:eastAsia="hr-HR"/>
        </w:rPr>
        <w:t xml:space="preserve"> (prema ukupnoj ploštini korisne površine grijanog dijela zgrada) odnosno oko 27% ukupnog fonda zgrada u </w:t>
      </w:r>
      <w:r w:rsidR="6F9485C0">
        <w:rPr>
          <w:rFonts w:ascii="Tahoma" w:hAnsi="Tahoma" w:cs="Tahoma"/>
          <w:sz w:val="20"/>
          <w:szCs w:val="20"/>
          <w:lang w:eastAsia="hr-HR"/>
        </w:rPr>
        <w:t>Hrvatskoj</w:t>
      </w:r>
      <w:r w:rsidR="004949CA" w:rsidRPr="00745697">
        <w:rPr>
          <w:rStyle w:val="Referencafusnote"/>
          <w:rFonts w:cs="Tahoma"/>
          <w:sz w:val="20"/>
          <w:szCs w:val="20"/>
        </w:rPr>
        <w:footnoteReference w:id="16"/>
      </w:r>
      <w:r w:rsidRPr="00745697">
        <w:rPr>
          <w:rFonts w:ascii="Tahoma" w:hAnsi="Tahoma" w:cs="Tahoma"/>
          <w:sz w:val="20"/>
          <w:szCs w:val="20"/>
          <w:lang w:eastAsia="hr-HR"/>
        </w:rPr>
        <w:t xml:space="preserve">, značaj i učinak poboljšanja </w:t>
      </w:r>
      <w:proofErr w:type="spellStart"/>
      <w:r w:rsidRPr="00745697">
        <w:rPr>
          <w:rFonts w:ascii="Tahoma" w:hAnsi="Tahoma" w:cs="Tahoma"/>
          <w:sz w:val="20"/>
          <w:szCs w:val="20"/>
          <w:lang w:eastAsia="hr-HR"/>
        </w:rPr>
        <w:t>EnU</w:t>
      </w:r>
      <w:proofErr w:type="spellEnd"/>
      <w:r w:rsidRPr="00745697">
        <w:rPr>
          <w:rFonts w:ascii="Tahoma" w:hAnsi="Tahoma" w:cs="Tahoma"/>
          <w:sz w:val="20"/>
          <w:szCs w:val="20"/>
          <w:lang w:eastAsia="hr-HR"/>
        </w:rPr>
        <w:t xml:space="preserve"> i </w:t>
      </w:r>
      <w:proofErr w:type="spellStart"/>
      <w:r w:rsidRPr="00745697">
        <w:rPr>
          <w:rFonts w:ascii="Tahoma" w:hAnsi="Tahoma" w:cs="Tahoma"/>
          <w:sz w:val="20"/>
          <w:szCs w:val="20"/>
          <w:lang w:eastAsia="hr-HR"/>
        </w:rPr>
        <w:t>dekarbonizacije</w:t>
      </w:r>
      <w:proofErr w:type="spellEnd"/>
      <w:r w:rsidRPr="00745697">
        <w:rPr>
          <w:rFonts w:ascii="Tahoma" w:hAnsi="Tahoma" w:cs="Tahoma"/>
          <w:sz w:val="20"/>
          <w:szCs w:val="20"/>
          <w:lang w:eastAsia="hr-HR"/>
        </w:rPr>
        <w:t xml:space="preserve"> VSZ na postizanje sveukupnih nacionalnih ciljeva je nepobitan.</w:t>
      </w:r>
    </w:p>
    <w:p w14:paraId="7394901C" w14:textId="045F6FDF"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Tome treba pridodati i stanje fonda VSZ, koje je prikazano u poglavlju 3.2. (</w:t>
      </w:r>
      <w:r w:rsidR="009D4183">
        <w:rPr>
          <w:rFonts w:ascii="Tahoma" w:hAnsi="Tahoma" w:cs="Tahoma"/>
          <w:sz w:val="20"/>
          <w:szCs w:val="20"/>
          <w:lang w:eastAsia="hr-HR"/>
        </w:rPr>
        <w:fldChar w:fldCharType="begin"/>
      </w:r>
      <w:r w:rsidR="009D4183">
        <w:rPr>
          <w:rFonts w:ascii="Tahoma" w:hAnsi="Tahoma" w:cs="Tahoma"/>
          <w:sz w:val="20"/>
          <w:szCs w:val="20"/>
          <w:lang w:eastAsia="hr-HR"/>
        </w:rPr>
        <w:instrText xml:space="preserve"> REF _Ref83115101 \h </w:instrText>
      </w:r>
      <w:r w:rsidR="009D4183">
        <w:rPr>
          <w:rFonts w:ascii="Tahoma" w:hAnsi="Tahoma" w:cs="Tahoma"/>
          <w:sz w:val="20"/>
          <w:szCs w:val="20"/>
          <w:lang w:eastAsia="hr-HR"/>
        </w:rPr>
      </w:r>
      <w:r w:rsidR="009D4183">
        <w:rPr>
          <w:rFonts w:ascii="Tahoma" w:hAnsi="Tahoma" w:cs="Tahoma"/>
          <w:sz w:val="20"/>
          <w:szCs w:val="20"/>
          <w:lang w:eastAsia="hr-HR"/>
        </w:rPr>
        <w:fldChar w:fldCharType="separate"/>
      </w:r>
      <w:r w:rsidR="00575AF9" w:rsidRPr="00DE7F43">
        <w:t xml:space="preserve">Tablica </w:t>
      </w:r>
      <w:r w:rsidR="00575AF9">
        <w:rPr>
          <w:noProof/>
        </w:rPr>
        <w:t>3</w:t>
      </w:r>
      <w:r w:rsidR="00575AF9" w:rsidRPr="00DE7F43">
        <w:noBreakHyphen/>
      </w:r>
      <w:r w:rsidR="00575AF9">
        <w:rPr>
          <w:noProof/>
        </w:rPr>
        <w:t>9</w:t>
      </w:r>
      <w:r w:rsidR="009D4183">
        <w:rPr>
          <w:rFonts w:ascii="Tahoma" w:hAnsi="Tahoma" w:cs="Tahoma"/>
          <w:sz w:val="20"/>
          <w:szCs w:val="20"/>
          <w:lang w:eastAsia="hr-HR"/>
        </w:rPr>
        <w:fldChar w:fldCharType="end"/>
      </w:r>
      <w:r w:rsidRPr="00745697">
        <w:rPr>
          <w:rFonts w:ascii="Tahoma" w:hAnsi="Tahoma" w:cs="Tahoma"/>
          <w:sz w:val="20"/>
          <w:szCs w:val="20"/>
          <w:lang w:eastAsia="hr-HR"/>
        </w:rPr>
        <w:t>), gdje je pokazano da oko 1/3 VSZ u Hrvatskoj spada u zgrade s najlošijim energetskim svojstvima. Ujedno, ove zgrade često imaju i loša konstrukcijska svojstva pa će za dobar dio njih biti potrebna i sveobuhvatna obnova. Naime, stambene zgrade koje su izgrađene iza 2012. godine ispunjavaju  važeće propisane zahtjeve potresne otpornosti, dok je najveći dio ranije građenih zgrada znatno ugrožen, posebice one izgrađene prije 1965.</w:t>
      </w:r>
      <w:r w:rsidRPr="00745697">
        <w:rPr>
          <w:rFonts w:ascii="Tahoma" w:hAnsi="Tahoma" w:cs="Tahoma"/>
          <w:b/>
          <w:bCs/>
          <w:sz w:val="20"/>
          <w:szCs w:val="20"/>
        </w:rPr>
        <w:t xml:space="preserve"> </w:t>
      </w:r>
      <w:r w:rsidRPr="00745697">
        <w:rPr>
          <w:rFonts w:ascii="Tahoma" w:hAnsi="Tahoma" w:cs="Tahoma"/>
          <w:sz w:val="20"/>
          <w:szCs w:val="20"/>
          <w:lang w:eastAsia="hr-HR"/>
        </w:rPr>
        <w:t xml:space="preserve">godine, kako je ranije i objašnjeno. </w:t>
      </w:r>
    </w:p>
    <w:p w14:paraId="2569879F" w14:textId="7E06938B"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 xml:space="preserve">Prema analizama koje su napravljene u Dugoročnoj strategiji, predviđa se da će čak 50% VSZ morati ići na sveobuhvatnu obnovu (koja uključuje mjere povećanja potresne otpornosti), a da će ostalih 50% provesti samo neku od razina energetske obnove. </w:t>
      </w:r>
    </w:p>
    <w:p w14:paraId="5C84A591"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 xml:space="preserve">Kako bi se zorno prikazale mogućnosti, ali i izazovi koji se očekuju tijekom provedbe ovog Programa, izrađena je SWOT analiza Programa. Pri tome snage i slabosti predstavljaju analizu karakteristika ovog Programa, dok prilike i prijetnje daju analizu okruženja, na kojega se odredbama ovoga Programa ne može utjecati.  </w:t>
      </w:r>
    </w:p>
    <w:tbl>
      <w:tblPr>
        <w:tblStyle w:val="Tablicareetke210"/>
        <w:tblW w:w="5000" w:type="pct"/>
        <w:tblLook w:val="04A0" w:firstRow="1" w:lastRow="0" w:firstColumn="1" w:lastColumn="0" w:noHBand="0" w:noVBand="1"/>
      </w:tblPr>
      <w:tblGrid>
        <w:gridCol w:w="4877"/>
        <w:gridCol w:w="4195"/>
      </w:tblGrid>
      <w:tr w:rsidR="004949CA" w:rsidRPr="00745697" w14:paraId="495C1F8F" w14:textId="77777777" w:rsidTr="638C4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D09E77" w14:textId="77777777" w:rsidR="004949CA" w:rsidRPr="00745697" w:rsidRDefault="004949CA" w:rsidP="00331A63">
            <w:pPr>
              <w:jc w:val="center"/>
              <w:rPr>
                <w:rFonts w:ascii="Tahoma" w:hAnsi="Tahoma" w:cs="Tahoma"/>
                <w:sz w:val="20"/>
                <w:szCs w:val="20"/>
              </w:rPr>
            </w:pPr>
            <w:r w:rsidRPr="00745697">
              <w:rPr>
                <w:rFonts w:ascii="Tahoma" w:hAnsi="Tahoma" w:cs="Tahoma"/>
                <w:sz w:val="20"/>
                <w:szCs w:val="20"/>
              </w:rPr>
              <w:t>SWOT ANALIZA PROGRAMA OBNOVE VSZ</w:t>
            </w:r>
          </w:p>
        </w:tc>
      </w:tr>
      <w:tr w:rsidR="004949CA" w:rsidRPr="00745697" w14:paraId="3901916A" w14:textId="77777777" w:rsidTr="638C4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pct"/>
          </w:tcPr>
          <w:p w14:paraId="6E33931A" w14:textId="77777777" w:rsidR="004949CA" w:rsidRPr="00745697" w:rsidRDefault="004949CA" w:rsidP="00331A63">
            <w:pPr>
              <w:rPr>
                <w:rFonts w:ascii="Tahoma" w:hAnsi="Tahoma" w:cs="Tahoma"/>
                <w:sz w:val="20"/>
                <w:szCs w:val="20"/>
              </w:rPr>
            </w:pPr>
            <w:r w:rsidRPr="00745697">
              <w:rPr>
                <w:rFonts w:ascii="Tahoma" w:hAnsi="Tahoma" w:cs="Tahoma"/>
                <w:sz w:val="20"/>
                <w:szCs w:val="20"/>
              </w:rPr>
              <w:t>Snage</w:t>
            </w:r>
          </w:p>
        </w:tc>
        <w:tc>
          <w:tcPr>
            <w:tcW w:w="2312" w:type="pct"/>
          </w:tcPr>
          <w:p w14:paraId="4B9F4AB3" w14:textId="77777777" w:rsidR="004949CA" w:rsidRPr="00745697" w:rsidRDefault="004949CA" w:rsidP="00331A63">
            <w:pPr>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r w:rsidRPr="00745697">
              <w:rPr>
                <w:rFonts w:ascii="Tahoma" w:hAnsi="Tahoma" w:cs="Tahoma"/>
                <w:b/>
                <w:bCs/>
                <w:sz w:val="20"/>
                <w:szCs w:val="20"/>
              </w:rPr>
              <w:t>Slabost</w:t>
            </w:r>
          </w:p>
        </w:tc>
      </w:tr>
      <w:tr w:rsidR="004949CA" w:rsidRPr="00745697" w14:paraId="4776DF21" w14:textId="77777777" w:rsidTr="638C4C38">
        <w:tc>
          <w:tcPr>
            <w:cnfStyle w:val="001000000000" w:firstRow="0" w:lastRow="0" w:firstColumn="1" w:lastColumn="0" w:oddVBand="0" w:evenVBand="0" w:oddHBand="0" w:evenHBand="0" w:firstRowFirstColumn="0" w:firstRowLastColumn="0" w:lastRowFirstColumn="0" w:lastRowLastColumn="0"/>
            <w:tcW w:w="2688" w:type="pct"/>
          </w:tcPr>
          <w:p w14:paraId="0C3467ED" w14:textId="77777777" w:rsidR="004949CA" w:rsidRPr="00745697" w:rsidRDefault="137C0FFA" w:rsidP="2617B706">
            <w:pPr>
              <w:pStyle w:val="Odlomakpopisa"/>
              <w:numPr>
                <w:ilvl w:val="0"/>
                <w:numId w:val="31"/>
              </w:numPr>
              <w:spacing w:before="0" w:after="0"/>
              <w:rPr>
                <w:rFonts w:cs="Tahoma"/>
                <w:b w:val="0"/>
                <w:bCs w:val="0"/>
              </w:rPr>
            </w:pPr>
            <w:r w:rsidRPr="2617B706">
              <w:rPr>
                <w:rFonts w:cs="Tahoma"/>
                <w:b w:val="0"/>
                <w:bCs w:val="0"/>
              </w:rPr>
              <w:t xml:space="preserve">Značajni potencijali za poboljšanje </w:t>
            </w:r>
            <w:proofErr w:type="spellStart"/>
            <w:r w:rsidRPr="2617B706">
              <w:rPr>
                <w:rFonts w:cs="Tahoma"/>
                <w:b w:val="0"/>
                <w:bCs w:val="0"/>
              </w:rPr>
              <w:t>EnU</w:t>
            </w:r>
            <w:proofErr w:type="spellEnd"/>
            <w:r w:rsidRPr="2617B706">
              <w:rPr>
                <w:rFonts w:cs="Tahoma"/>
                <w:b w:val="0"/>
                <w:bCs w:val="0"/>
              </w:rPr>
              <w:t xml:space="preserve"> u VSZ s najlošijim energetskim svojstvima (1/3 svih VSZ)</w:t>
            </w:r>
          </w:p>
          <w:p w14:paraId="5183AF76" w14:textId="77777777" w:rsidR="004949CA" w:rsidRPr="00745697" w:rsidRDefault="137C0FFA" w:rsidP="2617B706">
            <w:pPr>
              <w:pStyle w:val="Odlomakpopisa"/>
              <w:numPr>
                <w:ilvl w:val="0"/>
                <w:numId w:val="31"/>
              </w:numPr>
              <w:spacing w:before="0" w:after="0"/>
              <w:rPr>
                <w:rFonts w:cs="Tahoma"/>
                <w:b w:val="0"/>
                <w:bCs w:val="0"/>
              </w:rPr>
            </w:pPr>
            <w:r w:rsidRPr="2617B706">
              <w:rPr>
                <w:rFonts w:cs="Tahoma"/>
                <w:b w:val="0"/>
                <w:bCs w:val="0"/>
              </w:rPr>
              <w:t>Institucionalno iskustvo (MPGI i FZOEU) iz provedbe u razdoblju 2014. do 2020.</w:t>
            </w:r>
          </w:p>
          <w:p w14:paraId="43EF1CD5" w14:textId="77777777" w:rsidR="004949CA" w:rsidRPr="00745697" w:rsidRDefault="137C0FFA" w:rsidP="2617B706">
            <w:pPr>
              <w:pStyle w:val="Odlomakpopisa"/>
              <w:numPr>
                <w:ilvl w:val="0"/>
                <w:numId w:val="31"/>
              </w:numPr>
              <w:spacing w:before="0" w:after="0"/>
              <w:rPr>
                <w:rFonts w:cs="Tahoma"/>
                <w:b w:val="0"/>
                <w:bCs w:val="0"/>
              </w:rPr>
            </w:pPr>
            <w:r w:rsidRPr="2617B706">
              <w:rPr>
                <w:rFonts w:cs="Tahoma"/>
                <w:b w:val="0"/>
                <w:bCs w:val="0"/>
              </w:rPr>
              <w:t>Iskustvo upravitelja zgrada u prijavi i provedbi energetske obnove</w:t>
            </w:r>
          </w:p>
          <w:p w14:paraId="4731DE7C" w14:textId="77777777" w:rsidR="004949CA" w:rsidRPr="00745697" w:rsidRDefault="137C0FFA" w:rsidP="2617B706">
            <w:pPr>
              <w:pStyle w:val="Odlomakpopisa"/>
              <w:numPr>
                <w:ilvl w:val="0"/>
                <w:numId w:val="31"/>
              </w:numPr>
              <w:spacing w:before="0" w:after="0"/>
              <w:rPr>
                <w:rFonts w:cs="Tahoma"/>
                <w:b w:val="0"/>
                <w:bCs w:val="0"/>
              </w:rPr>
            </w:pPr>
            <w:r w:rsidRPr="2617B706">
              <w:rPr>
                <w:rFonts w:cs="Tahoma"/>
                <w:b w:val="0"/>
                <w:bCs w:val="0"/>
              </w:rPr>
              <w:t>Konkurentno tržište u području energetskog certificiranja i projektiranja</w:t>
            </w:r>
          </w:p>
          <w:p w14:paraId="5F312358" w14:textId="5038611E" w:rsidR="004949CA" w:rsidRPr="00745697" w:rsidRDefault="046DAC16" w:rsidP="2617B706">
            <w:pPr>
              <w:pStyle w:val="Odlomakpopisa"/>
              <w:numPr>
                <w:ilvl w:val="0"/>
                <w:numId w:val="31"/>
              </w:numPr>
              <w:spacing w:before="0" w:after="0"/>
              <w:rPr>
                <w:rFonts w:cs="Tahoma"/>
                <w:b w:val="0"/>
                <w:bCs w:val="0"/>
              </w:rPr>
            </w:pPr>
            <w:r w:rsidRPr="638C4C38">
              <w:rPr>
                <w:rFonts w:cs="Tahoma"/>
                <w:b w:val="0"/>
                <w:bCs w:val="0"/>
              </w:rPr>
              <w:t>Visoke stope sufinanciranja (</w:t>
            </w:r>
            <w:r w:rsidR="55B6E9F9" w:rsidRPr="638C4C38">
              <w:rPr>
                <w:rFonts w:cs="Tahoma"/>
                <w:b w:val="0"/>
                <w:bCs w:val="0"/>
              </w:rPr>
              <w:t>≥</w:t>
            </w:r>
            <w:r w:rsidRPr="638C4C38">
              <w:rPr>
                <w:rFonts w:cs="Tahoma"/>
                <w:b w:val="0"/>
                <w:bCs w:val="0"/>
              </w:rPr>
              <w:t xml:space="preserve"> 60%, ovisno o razini obnove)</w:t>
            </w:r>
          </w:p>
          <w:p w14:paraId="7B25E12C" w14:textId="77777777" w:rsidR="004949CA" w:rsidRPr="00745697" w:rsidRDefault="137C0FFA" w:rsidP="2617B706">
            <w:pPr>
              <w:pStyle w:val="Odlomakpopisa"/>
              <w:numPr>
                <w:ilvl w:val="0"/>
                <w:numId w:val="31"/>
              </w:numPr>
              <w:spacing w:before="0" w:after="0"/>
              <w:rPr>
                <w:rFonts w:cs="Tahoma"/>
              </w:rPr>
            </w:pPr>
            <w:r w:rsidRPr="2617B706">
              <w:rPr>
                <w:rFonts w:cs="Tahoma"/>
                <w:b w:val="0"/>
                <w:bCs w:val="0"/>
              </w:rPr>
              <w:t>Planovi za korištenje financijskih sredstava iz Mehanizma za oporavak i otpornost i ESI fondova</w:t>
            </w:r>
          </w:p>
          <w:p w14:paraId="773C5F00" w14:textId="77777777" w:rsidR="004949CA" w:rsidRPr="00745697" w:rsidRDefault="137C0FFA" w:rsidP="2617B706">
            <w:pPr>
              <w:pStyle w:val="Odlomakpopisa"/>
              <w:numPr>
                <w:ilvl w:val="0"/>
                <w:numId w:val="31"/>
              </w:numPr>
              <w:spacing w:before="0" w:after="0"/>
              <w:rPr>
                <w:rFonts w:cs="Tahoma"/>
                <w:b w:val="0"/>
                <w:bCs w:val="0"/>
              </w:rPr>
            </w:pPr>
            <w:r w:rsidRPr="2617B706">
              <w:rPr>
                <w:rFonts w:cs="Tahoma"/>
                <w:b w:val="0"/>
                <w:bCs w:val="0"/>
              </w:rPr>
              <w:t>Iskustvo bankarskog sektora i mogućnost kombiniranja javnih i komercijalnih sredstava</w:t>
            </w:r>
          </w:p>
          <w:p w14:paraId="62157351" w14:textId="77777777" w:rsidR="004949CA" w:rsidRPr="00745697" w:rsidRDefault="137C0FFA" w:rsidP="2617B706">
            <w:pPr>
              <w:pStyle w:val="Odlomakpopisa"/>
              <w:numPr>
                <w:ilvl w:val="0"/>
                <w:numId w:val="31"/>
              </w:numPr>
              <w:spacing w:before="0" w:after="0"/>
              <w:rPr>
                <w:rFonts w:cs="Tahoma"/>
                <w:b w:val="0"/>
                <w:bCs w:val="0"/>
              </w:rPr>
            </w:pPr>
            <w:r w:rsidRPr="2617B706">
              <w:rPr>
                <w:rFonts w:cs="Tahoma"/>
                <w:b w:val="0"/>
                <w:bCs w:val="0"/>
              </w:rPr>
              <w:t>Snažne promotivne aktivnosti predviđene Programom</w:t>
            </w:r>
          </w:p>
          <w:p w14:paraId="6BF5CF0D" w14:textId="4B492500" w:rsidR="00745697" w:rsidRPr="00745697" w:rsidRDefault="137C0FFA" w:rsidP="2617B706">
            <w:pPr>
              <w:pStyle w:val="Odlomakpopisa"/>
              <w:numPr>
                <w:ilvl w:val="0"/>
                <w:numId w:val="31"/>
              </w:numPr>
              <w:spacing w:before="0" w:after="0"/>
              <w:rPr>
                <w:rFonts w:cs="Tahoma"/>
                <w:b w:val="0"/>
                <w:bCs w:val="0"/>
              </w:rPr>
            </w:pPr>
            <w:r w:rsidRPr="2617B706">
              <w:rPr>
                <w:rFonts w:cs="Tahoma"/>
                <w:b w:val="0"/>
                <w:bCs w:val="0"/>
              </w:rPr>
              <w:t>Dostupnost potrebnih materijala i tehnologija – razvijeno tržište</w:t>
            </w:r>
          </w:p>
        </w:tc>
        <w:tc>
          <w:tcPr>
            <w:tcW w:w="2312" w:type="pct"/>
          </w:tcPr>
          <w:p w14:paraId="501523C0" w14:textId="77777777" w:rsidR="004949CA" w:rsidRPr="00745697" w:rsidRDefault="137C0FFA" w:rsidP="2617B706">
            <w:pPr>
              <w:pStyle w:val="Odlomakpopisa"/>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Velik broj VSZ koje trebaju sveobuhvatnu obnovu (potreba za većim financijskim sredstvima od predviđenih)</w:t>
            </w:r>
          </w:p>
          <w:p w14:paraId="56096AAB" w14:textId="77777777" w:rsidR="004949CA" w:rsidRPr="00745697" w:rsidRDefault="137C0FFA" w:rsidP="2617B706">
            <w:pPr>
              <w:pStyle w:val="Odlomakpopisa"/>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Dostupnost sufinanciranja jednom godišnje (temeljem javnih poziva) odnosno nedostatak kontinuiteta u dostupnosti sufinanciranja</w:t>
            </w:r>
          </w:p>
          <w:p w14:paraId="424E0DDE" w14:textId="77777777" w:rsidR="004949CA" w:rsidRPr="0074569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p>
        </w:tc>
      </w:tr>
      <w:tr w:rsidR="004949CA" w:rsidRPr="00745697" w14:paraId="5C480DB9" w14:textId="77777777" w:rsidTr="638C4C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8" w:type="pct"/>
          </w:tcPr>
          <w:p w14:paraId="365ADAE4" w14:textId="77777777" w:rsidR="004949CA" w:rsidRPr="00745697" w:rsidRDefault="004949CA" w:rsidP="00331A63">
            <w:pPr>
              <w:rPr>
                <w:rFonts w:ascii="Tahoma" w:hAnsi="Tahoma" w:cs="Tahoma"/>
                <w:sz w:val="20"/>
                <w:szCs w:val="20"/>
              </w:rPr>
            </w:pPr>
            <w:r w:rsidRPr="00745697">
              <w:rPr>
                <w:rFonts w:ascii="Tahoma" w:hAnsi="Tahoma" w:cs="Tahoma"/>
                <w:sz w:val="20"/>
                <w:szCs w:val="20"/>
              </w:rPr>
              <w:t>Prilike</w:t>
            </w:r>
          </w:p>
        </w:tc>
        <w:tc>
          <w:tcPr>
            <w:tcW w:w="2312" w:type="pct"/>
          </w:tcPr>
          <w:p w14:paraId="568C37DD" w14:textId="77777777" w:rsidR="004949CA" w:rsidRPr="00745697" w:rsidRDefault="004949CA" w:rsidP="00331A63">
            <w:pPr>
              <w:cnfStyle w:val="000000100000" w:firstRow="0" w:lastRow="0" w:firstColumn="0" w:lastColumn="0" w:oddVBand="0" w:evenVBand="0" w:oddHBand="1" w:evenHBand="0" w:firstRowFirstColumn="0" w:firstRowLastColumn="0" w:lastRowFirstColumn="0" w:lastRowLastColumn="0"/>
              <w:rPr>
                <w:rFonts w:ascii="Tahoma" w:hAnsi="Tahoma" w:cs="Tahoma"/>
                <w:b/>
                <w:bCs/>
                <w:sz w:val="20"/>
                <w:szCs w:val="20"/>
              </w:rPr>
            </w:pPr>
            <w:r w:rsidRPr="00745697">
              <w:rPr>
                <w:rFonts w:ascii="Tahoma" w:hAnsi="Tahoma" w:cs="Tahoma"/>
                <w:b/>
                <w:bCs/>
                <w:sz w:val="20"/>
                <w:szCs w:val="20"/>
              </w:rPr>
              <w:t>Prijetnje</w:t>
            </w:r>
          </w:p>
        </w:tc>
      </w:tr>
      <w:tr w:rsidR="004949CA" w:rsidRPr="00745697" w14:paraId="176C4571" w14:textId="77777777" w:rsidTr="638C4C38">
        <w:tc>
          <w:tcPr>
            <w:cnfStyle w:val="001000000000" w:firstRow="0" w:lastRow="0" w:firstColumn="1" w:lastColumn="0" w:oddVBand="0" w:evenVBand="0" w:oddHBand="0" w:evenHBand="0" w:firstRowFirstColumn="0" w:firstRowLastColumn="0" w:lastRowFirstColumn="0" w:lastRowLastColumn="0"/>
            <w:tcW w:w="2688" w:type="pct"/>
          </w:tcPr>
          <w:p w14:paraId="53435663" w14:textId="77777777" w:rsidR="004949CA" w:rsidRPr="00745697" w:rsidRDefault="137C0FFA" w:rsidP="2617B706">
            <w:pPr>
              <w:pStyle w:val="Odlomakpopisa"/>
              <w:numPr>
                <w:ilvl w:val="0"/>
                <w:numId w:val="31"/>
              </w:numPr>
              <w:spacing w:before="0" w:after="0"/>
              <w:rPr>
                <w:rFonts w:cs="Tahoma"/>
              </w:rPr>
            </w:pPr>
            <w:r w:rsidRPr="2617B706">
              <w:rPr>
                <w:rFonts w:cs="Tahoma"/>
                <w:b w:val="0"/>
                <w:bCs w:val="0"/>
              </w:rPr>
              <w:t xml:space="preserve">Svijest građana o </w:t>
            </w:r>
            <w:proofErr w:type="spellStart"/>
            <w:r w:rsidRPr="2617B706">
              <w:rPr>
                <w:rFonts w:cs="Tahoma"/>
                <w:b w:val="0"/>
                <w:bCs w:val="0"/>
              </w:rPr>
              <w:t>EnU</w:t>
            </w:r>
            <w:proofErr w:type="spellEnd"/>
            <w:r w:rsidRPr="2617B706">
              <w:rPr>
                <w:rFonts w:cs="Tahoma"/>
                <w:b w:val="0"/>
                <w:bCs w:val="0"/>
              </w:rPr>
              <w:t xml:space="preserve"> kao mjeri za smanjenje troškova, poboljšanje životnih uvjeta i vrijednosti nekretnine</w:t>
            </w:r>
          </w:p>
          <w:p w14:paraId="5955E82F" w14:textId="77777777" w:rsidR="004949CA" w:rsidRPr="00745697" w:rsidRDefault="137C0FFA" w:rsidP="2617B706">
            <w:pPr>
              <w:pStyle w:val="Odlomakpopisa"/>
              <w:numPr>
                <w:ilvl w:val="0"/>
                <w:numId w:val="31"/>
              </w:numPr>
              <w:spacing w:before="0" w:after="0"/>
              <w:rPr>
                <w:rFonts w:cs="Tahoma"/>
                <w:b w:val="0"/>
                <w:bCs w:val="0"/>
              </w:rPr>
            </w:pPr>
            <w:r w:rsidRPr="2617B706">
              <w:rPr>
                <w:rFonts w:cs="Tahoma"/>
                <w:b w:val="0"/>
                <w:bCs w:val="0"/>
              </w:rPr>
              <w:lastRenderedPageBreak/>
              <w:t>Povećanje aktivnosti u građevinskom sektoru</w:t>
            </w:r>
          </w:p>
          <w:p w14:paraId="4FB93335" w14:textId="77777777" w:rsidR="004949CA" w:rsidRPr="00745697" w:rsidRDefault="137C0FFA" w:rsidP="2617B706">
            <w:pPr>
              <w:pStyle w:val="Odlomakpopisa"/>
              <w:numPr>
                <w:ilvl w:val="0"/>
                <w:numId w:val="31"/>
              </w:numPr>
              <w:spacing w:before="0" w:after="0"/>
              <w:rPr>
                <w:rFonts w:cs="Tahoma"/>
                <w:b w:val="0"/>
                <w:bCs w:val="0"/>
              </w:rPr>
            </w:pPr>
            <w:r w:rsidRPr="2617B706">
              <w:rPr>
                <w:rFonts w:cs="Tahoma"/>
                <w:b w:val="0"/>
                <w:bCs w:val="0"/>
              </w:rPr>
              <w:t>Zelena orijentacija financijskih institucija (uključujući primjenu EU taksonomije) odnosno mogućnost uspostave komplementarnih komercijalnih kreditnih linija za obnovu VSZ</w:t>
            </w:r>
          </w:p>
          <w:p w14:paraId="0EEE53D2" w14:textId="77777777" w:rsidR="004949CA" w:rsidRPr="00745697" w:rsidRDefault="137C0FFA" w:rsidP="2617B706">
            <w:pPr>
              <w:pStyle w:val="Odlomakpopisa"/>
              <w:numPr>
                <w:ilvl w:val="0"/>
                <w:numId w:val="31"/>
              </w:numPr>
              <w:spacing w:before="0" w:after="0"/>
              <w:rPr>
                <w:rFonts w:cs="Tahoma"/>
                <w:b w:val="0"/>
                <w:bCs w:val="0"/>
              </w:rPr>
            </w:pPr>
            <w:r w:rsidRPr="2617B706">
              <w:rPr>
                <w:rFonts w:cs="Tahoma"/>
                <w:b w:val="0"/>
                <w:bCs w:val="0"/>
              </w:rPr>
              <w:t>Prilika za sveobuhvatnu obnovu VSZ oštećenih u potresu – energetska uz konstrukcijsku obnovu</w:t>
            </w:r>
          </w:p>
          <w:p w14:paraId="6812516A" w14:textId="77777777" w:rsidR="004949CA" w:rsidRPr="00745697" w:rsidRDefault="137C0FFA" w:rsidP="2617B706">
            <w:pPr>
              <w:pStyle w:val="Odlomakpopisa"/>
              <w:numPr>
                <w:ilvl w:val="0"/>
                <w:numId w:val="31"/>
              </w:numPr>
              <w:spacing w:before="0" w:after="0"/>
              <w:rPr>
                <w:rFonts w:cs="Tahoma"/>
                <w:b w:val="0"/>
                <w:bCs w:val="0"/>
              </w:rPr>
            </w:pPr>
            <w:r w:rsidRPr="2617B706">
              <w:rPr>
                <w:rFonts w:cs="Tahoma"/>
                <w:b w:val="0"/>
                <w:bCs w:val="0"/>
              </w:rPr>
              <w:t>Trend porasta rada od kuće te želja za osiguranjem ugodnih životnih uvjeta i manjih troškova za energiju povezana s duljim boravkom u kući</w:t>
            </w:r>
          </w:p>
          <w:p w14:paraId="21CA3D34" w14:textId="77777777" w:rsidR="004949CA" w:rsidRPr="00745697" w:rsidRDefault="137C0FFA" w:rsidP="2617B706">
            <w:pPr>
              <w:pStyle w:val="Odlomakpopisa"/>
              <w:numPr>
                <w:ilvl w:val="0"/>
                <w:numId w:val="31"/>
              </w:numPr>
              <w:spacing w:before="0" w:after="0"/>
              <w:rPr>
                <w:rFonts w:cs="Tahoma"/>
                <w:b w:val="0"/>
                <w:bCs w:val="0"/>
              </w:rPr>
            </w:pPr>
            <w:r w:rsidRPr="2617B706">
              <w:rPr>
                <w:rFonts w:cs="Tahoma"/>
                <w:b w:val="0"/>
                <w:bCs w:val="0"/>
              </w:rPr>
              <w:t>Prilika za primjenu zelene infrastrukture - zeleni krovovi, zelene fasade, zelene parkirališne površine, uređenje čestice unutar zahvata u prostoru  i sl.</w:t>
            </w:r>
          </w:p>
          <w:p w14:paraId="669ACABB" w14:textId="77777777" w:rsidR="004949CA" w:rsidRPr="00745697" w:rsidRDefault="004949CA" w:rsidP="00331A63">
            <w:pPr>
              <w:rPr>
                <w:rFonts w:ascii="Tahoma" w:hAnsi="Tahoma" w:cs="Tahoma"/>
                <w:sz w:val="20"/>
                <w:szCs w:val="20"/>
              </w:rPr>
            </w:pPr>
          </w:p>
        </w:tc>
        <w:tc>
          <w:tcPr>
            <w:tcW w:w="2312" w:type="pct"/>
          </w:tcPr>
          <w:p w14:paraId="5B6055C7" w14:textId="77777777" w:rsidR="004949CA" w:rsidRPr="00745697" w:rsidRDefault="137C0FFA" w:rsidP="2617B706">
            <w:pPr>
              <w:pStyle w:val="Odlomakpopisa"/>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lastRenderedPageBreak/>
              <w:t>Sposobnost suvlasnika za zatvaranje financijske konstrukcije (povećanje pričuve)</w:t>
            </w:r>
          </w:p>
          <w:p w14:paraId="19C79813" w14:textId="77777777" w:rsidR="004949CA" w:rsidRPr="00745697" w:rsidRDefault="137C0FFA" w:rsidP="2617B706">
            <w:pPr>
              <w:pStyle w:val="Odlomakpopisa"/>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lastRenderedPageBreak/>
              <w:t>Različita mišljenja suvlasnika o potrebnoj vrsti/razini obnove, zbog čega se teže donose odluke o obnovi</w:t>
            </w:r>
          </w:p>
          <w:p w14:paraId="1921D025" w14:textId="77777777" w:rsidR="004949CA" w:rsidRPr="00745697" w:rsidRDefault="137C0FFA" w:rsidP="2617B706">
            <w:pPr>
              <w:pStyle w:val="Odlomakpopisa"/>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Nedostatak građevinske operative (stručnih i kvalificiranih radnika, mehanizacije i ostale opreme)</w:t>
            </w:r>
          </w:p>
          <w:p w14:paraId="413ADA9B" w14:textId="77777777" w:rsidR="004949CA" w:rsidRPr="00745697" w:rsidRDefault="137C0FFA" w:rsidP="2617B706">
            <w:pPr>
              <w:pStyle w:val="Odlomakpopisa"/>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 xml:space="preserve">Porast cijena opreme i radova, zbog manjka građevinske operative na strani ponude te zbog velike potražnje za građevinskim radovima nakon potresa   </w:t>
            </w:r>
          </w:p>
          <w:p w14:paraId="09E14ADF" w14:textId="5703FDC7" w:rsidR="004949CA" w:rsidRPr="00745697" w:rsidRDefault="137C0FFA" w:rsidP="2617B706">
            <w:pPr>
              <w:pStyle w:val="Odlomakpopisa"/>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 xml:space="preserve">Daljnja depopulacija određenih krajeva </w:t>
            </w:r>
            <w:r w:rsidR="002A330A" w:rsidRPr="2617B706">
              <w:rPr>
                <w:rFonts w:cs="Tahoma"/>
              </w:rPr>
              <w:t>Hrvatske</w:t>
            </w:r>
            <w:r w:rsidRPr="2617B706">
              <w:rPr>
                <w:rFonts w:cs="Tahoma"/>
              </w:rPr>
              <w:t xml:space="preserve"> i napuštanje stambenog fonda </w:t>
            </w:r>
          </w:p>
          <w:p w14:paraId="23020955" w14:textId="77777777" w:rsidR="004949CA" w:rsidRPr="00745697" w:rsidRDefault="137C0FFA" w:rsidP="2617B706">
            <w:pPr>
              <w:pStyle w:val="Odlomakpopisa"/>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Neuređeni imovinsko-pravni odnosi</w:t>
            </w:r>
          </w:p>
          <w:p w14:paraId="202CBDD3" w14:textId="77777777" w:rsidR="004949CA" w:rsidRPr="00745697" w:rsidRDefault="137C0FFA" w:rsidP="2617B706">
            <w:pPr>
              <w:pStyle w:val="Odlomakpopisa"/>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Nedovoljna upoznatost građana s korištenjem obnovljivih izvora energije osim tradicionalnog ogrjevnog drva</w:t>
            </w:r>
          </w:p>
          <w:p w14:paraId="6F7B071D" w14:textId="57E7F54C" w:rsidR="004949CA" w:rsidRPr="00745697" w:rsidRDefault="137C0FFA" w:rsidP="2617B706">
            <w:pPr>
              <w:pStyle w:val="Odlomakpopisa"/>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Nepredviđeni događaji u kategoriji 'više sile' (pandemije, potresi i sl.)</w:t>
            </w:r>
          </w:p>
          <w:p w14:paraId="5DCCDDF7" w14:textId="77777777" w:rsidR="004949CA" w:rsidRPr="00745697" w:rsidRDefault="137C0FFA" w:rsidP="2617B706">
            <w:pPr>
              <w:pStyle w:val="Odlomakpopisa"/>
              <w:numPr>
                <w:ilvl w:val="0"/>
                <w:numId w:val="31"/>
              </w:numPr>
              <w:spacing w:before="0" w:after="0"/>
              <w:cnfStyle w:val="000000000000" w:firstRow="0" w:lastRow="0" w:firstColumn="0" w:lastColumn="0" w:oddVBand="0" w:evenVBand="0" w:oddHBand="0" w:evenHBand="0" w:firstRowFirstColumn="0" w:firstRowLastColumn="0" w:lastRowFirstColumn="0" w:lastRowLastColumn="0"/>
              <w:rPr>
                <w:rFonts w:cs="Tahoma"/>
              </w:rPr>
            </w:pPr>
            <w:r w:rsidRPr="2617B706">
              <w:rPr>
                <w:rFonts w:cs="Tahoma"/>
              </w:rPr>
              <w:t xml:space="preserve">Propuštanje prilike da se VSZ oštećene u potresu obnove na sveobuhvatan način (konstrukcijska i energetska obnova) </w:t>
            </w:r>
          </w:p>
        </w:tc>
      </w:tr>
    </w:tbl>
    <w:p w14:paraId="2FB0CB6E" w14:textId="4B4D39D8"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lastRenderedPageBreak/>
        <w:t xml:space="preserve">Uočene slabosti </w:t>
      </w:r>
      <w:r w:rsidR="001A5CDE" w:rsidRPr="00DD7BC5">
        <w:rPr>
          <w:rFonts w:ascii="Tahoma" w:hAnsi="Tahoma" w:cs="Tahoma"/>
          <w:sz w:val="20"/>
          <w:szCs w:val="20"/>
        </w:rPr>
        <w:t xml:space="preserve">i prijetnje </w:t>
      </w:r>
      <w:r w:rsidRPr="00DD7BC5">
        <w:rPr>
          <w:rFonts w:ascii="Tahoma" w:hAnsi="Tahoma" w:cs="Tahoma"/>
          <w:sz w:val="20"/>
          <w:szCs w:val="20"/>
        </w:rPr>
        <w:t>u ovom trenutku nije moguće u potpunosti eliminirati, no one će se tijekom provedbe Programa pomno pratiti</w:t>
      </w:r>
      <w:r w:rsidRPr="00745697">
        <w:rPr>
          <w:rFonts w:ascii="Tahoma" w:hAnsi="Tahoma" w:cs="Tahoma"/>
          <w:sz w:val="20"/>
          <w:szCs w:val="20"/>
        </w:rPr>
        <w:t xml:space="preserve"> te će se u svakoj reviziji Programa na temelju spoznaja iz provedbe Program unaprijediti. </w:t>
      </w:r>
    </w:p>
    <w:p w14:paraId="3A931FFE" w14:textId="0B2891B7" w:rsidR="004949CA" w:rsidRPr="00745697" w:rsidRDefault="007E3CCC" w:rsidP="00745697">
      <w:pPr>
        <w:spacing w:before="120" w:after="120" w:line="240" w:lineRule="auto"/>
        <w:jc w:val="both"/>
        <w:rPr>
          <w:rFonts w:ascii="Tahoma" w:hAnsi="Tahoma" w:cs="Tahoma"/>
          <w:sz w:val="20"/>
          <w:szCs w:val="20"/>
        </w:rPr>
      </w:pPr>
      <w:r>
        <w:rPr>
          <w:rFonts w:ascii="Tahoma" w:hAnsi="Tahoma" w:cs="Tahoma"/>
          <w:sz w:val="20"/>
          <w:szCs w:val="20"/>
        </w:rPr>
        <w:t>R</w:t>
      </w:r>
      <w:r w:rsidR="004949CA" w:rsidRPr="00745697">
        <w:rPr>
          <w:rFonts w:ascii="Tahoma" w:hAnsi="Tahoma" w:cs="Tahoma"/>
          <w:sz w:val="20"/>
          <w:szCs w:val="20"/>
        </w:rPr>
        <w:t xml:space="preserve">azvidno je da postoji snažna potreba i velik potencijal za energetskom obnovom VSZ, na cijelom području </w:t>
      </w:r>
      <w:r>
        <w:rPr>
          <w:rFonts w:ascii="Tahoma" w:hAnsi="Tahoma" w:cs="Tahoma"/>
          <w:sz w:val="20"/>
          <w:szCs w:val="20"/>
        </w:rPr>
        <w:t>Hrvatske</w:t>
      </w:r>
      <w:r w:rsidR="004949CA" w:rsidRPr="00745697">
        <w:rPr>
          <w:rFonts w:ascii="Tahoma" w:hAnsi="Tahoma" w:cs="Tahoma"/>
          <w:sz w:val="20"/>
          <w:szCs w:val="20"/>
        </w:rPr>
        <w:t xml:space="preserve">. Potrebno je pojačati informativne i edukativne aktivnosti vezane uz iskorištavanje obnovljivih izvora energije, jer te mjere mogu uvelike doprinijeti </w:t>
      </w:r>
      <w:proofErr w:type="spellStart"/>
      <w:r w:rsidR="004949CA" w:rsidRPr="00745697">
        <w:rPr>
          <w:rFonts w:ascii="Tahoma" w:hAnsi="Tahoma" w:cs="Tahoma"/>
          <w:sz w:val="20"/>
          <w:szCs w:val="20"/>
        </w:rPr>
        <w:t>dekarbonizaciji</w:t>
      </w:r>
      <w:proofErr w:type="spellEnd"/>
      <w:r w:rsidR="004949CA" w:rsidRPr="00745697">
        <w:rPr>
          <w:rFonts w:ascii="Tahoma" w:hAnsi="Tahoma" w:cs="Tahoma"/>
          <w:sz w:val="20"/>
          <w:szCs w:val="20"/>
        </w:rPr>
        <w:t xml:space="preserve"> fonda zgrada. Poglavito se ovdje misli na ugradnju fotonaponskih sustava za pokrivanje vlastitih potreba za električnom energijom cijelih VSZ, a ne samo zajedničkih dijelova. </w:t>
      </w:r>
    </w:p>
    <w:p w14:paraId="393F25EC"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 xml:space="preserve">Program daje priliku i financijskim institucijama da uspostave nove ili prilagode postojeće kreditne linije za obnovu VSZ, čime će omogućiti suvlasnicima da zatvore financijsku konstrukciju obnove VSZ. Model treba kombinirati kredite i bespovratna sredstva, čija visina ovisi o ostvarenim učincima. </w:t>
      </w:r>
    </w:p>
    <w:p w14:paraId="469E8F9F"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Dakako da najveće prilike imaju poduzetnici u cijelom lancu obnove zgrada, od energetskog certificiranja, preko projektiranja pa da prodaje materijala i izvođenja radova.</w:t>
      </w:r>
    </w:p>
    <w:p w14:paraId="4BF8AC24"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 xml:space="preserve">Ova analiza pokazuje da Program može imati pozitivne društvene i gospodarske učinke, od smanjenja energetskog siromaštva, preko unaprijeđena javnih i financijskih usluga do aktiviranja građevinske operative i podizanja aktivnosti u ovoj gospodarskoj djelatnosti. Ove šire koristi bit će adresirane i u poglavlju 13. </w:t>
      </w:r>
    </w:p>
    <w:p w14:paraId="1DF0B1B4" w14:textId="77777777" w:rsidR="004949CA" w:rsidRPr="00572A01" w:rsidRDefault="004949CA" w:rsidP="004949CA">
      <w:pPr>
        <w:rPr>
          <w:lang w:eastAsia="hr-HR"/>
        </w:rPr>
      </w:pPr>
    </w:p>
    <w:p w14:paraId="35DE0AF3" w14:textId="0CDA0A11" w:rsidR="004949CA" w:rsidRDefault="004949CA" w:rsidP="004949CA">
      <w:pPr>
        <w:pStyle w:val="Naslov10"/>
      </w:pPr>
      <w:bookmarkStart w:id="134" w:name="_Toc81836284"/>
      <w:bookmarkStart w:id="135" w:name="_Toc83912056"/>
      <w:r>
        <w:lastRenderedPageBreak/>
        <w:t>O</w:t>
      </w:r>
      <w:bookmarkEnd w:id="134"/>
      <w:r w:rsidR="0036063E">
        <w:t xml:space="preserve">pis prioriteta </w:t>
      </w:r>
      <w:r w:rsidR="00193631">
        <w:t>javne poli</w:t>
      </w:r>
      <w:r w:rsidR="00515227">
        <w:t>t</w:t>
      </w:r>
      <w:r w:rsidR="00193631">
        <w:t>ike u srednjeročnom razdoblju</w:t>
      </w:r>
      <w:bookmarkEnd w:id="135"/>
    </w:p>
    <w:p w14:paraId="2256EDD6" w14:textId="52631339"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 xml:space="preserve">U skladu s prethodno opisanim potrebama i potencijalima za obnovom VSZ kao i Dugoročnom strategijom obnove </w:t>
      </w:r>
      <w:r w:rsidR="003B52B9">
        <w:rPr>
          <w:rFonts w:ascii="Tahoma" w:hAnsi="Tahoma" w:cs="Tahoma"/>
          <w:sz w:val="20"/>
          <w:szCs w:val="20"/>
          <w:lang w:eastAsia="hr-HR"/>
        </w:rPr>
        <w:t xml:space="preserve">nacionalnog </w:t>
      </w:r>
      <w:r w:rsidRPr="00745697">
        <w:rPr>
          <w:rFonts w:ascii="Tahoma" w:hAnsi="Tahoma" w:cs="Tahoma"/>
          <w:sz w:val="20"/>
          <w:szCs w:val="20"/>
          <w:lang w:eastAsia="hr-HR"/>
        </w:rPr>
        <w:t xml:space="preserve">fonda zgrada  do 2050. godine, u srednjoročnom razdoblju (do kraja 2030. godine) prioritet je obnova VSZ s najlošijim energetskim svojstvima – dakle, VSZ energetskog razreda D (prema </w:t>
      </w:r>
      <w:proofErr w:type="spellStart"/>
      <w:r w:rsidRPr="00745697">
        <w:rPr>
          <w:rFonts w:ascii="Tahoma" w:hAnsi="Tahoma" w:cs="Tahoma"/>
          <w:sz w:val="20"/>
          <w:szCs w:val="20"/>
          <w:lang w:eastAsia="hr-HR"/>
        </w:rPr>
        <w:t>Q</w:t>
      </w:r>
      <w:r w:rsidR="71C9618A" w:rsidRPr="00745697">
        <w:rPr>
          <w:rFonts w:ascii="Tahoma" w:hAnsi="Tahoma" w:cs="Tahoma"/>
          <w:sz w:val="20"/>
          <w:szCs w:val="20"/>
          <w:lang w:eastAsia="hr-HR"/>
        </w:rPr>
        <w:t>”</w:t>
      </w:r>
      <w:r w:rsidRPr="00745697">
        <w:rPr>
          <w:rFonts w:ascii="Tahoma" w:hAnsi="Tahoma" w:cs="Tahoma"/>
          <w:sz w:val="20"/>
          <w:szCs w:val="20"/>
          <w:vertAlign w:val="subscript"/>
          <w:lang w:eastAsia="hr-HR"/>
        </w:rPr>
        <w:t>H,nd</w:t>
      </w:r>
      <w:proofErr w:type="spellEnd"/>
      <w:r w:rsidRPr="00745697">
        <w:rPr>
          <w:rFonts w:ascii="Tahoma" w:hAnsi="Tahoma" w:cs="Tahoma"/>
          <w:sz w:val="20"/>
          <w:szCs w:val="20"/>
          <w:lang w:eastAsia="hr-HR"/>
        </w:rPr>
        <w:t xml:space="preserve">) ili lošijeg u kontinentalnoj Hrvatskoj odnosno C (prema </w:t>
      </w:r>
      <w:proofErr w:type="spellStart"/>
      <w:r w:rsidRPr="00745697">
        <w:rPr>
          <w:rFonts w:ascii="Tahoma" w:hAnsi="Tahoma" w:cs="Tahoma"/>
          <w:sz w:val="20"/>
          <w:szCs w:val="20"/>
          <w:lang w:eastAsia="hr-HR"/>
        </w:rPr>
        <w:t>Q</w:t>
      </w:r>
      <w:bookmarkStart w:id="136" w:name="_Hlk86416146"/>
      <w:r w:rsidR="1B8A7EB8" w:rsidRPr="00745697">
        <w:rPr>
          <w:rFonts w:ascii="Tahoma" w:hAnsi="Tahoma" w:cs="Tahoma"/>
          <w:sz w:val="20"/>
          <w:szCs w:val="20"/>
          <w:lang w:eastAsia="hr-HR"/>
        </w:rPr>
        <w:t>”</w:t>
      </w:r>
      <w:bookmarkEnd w:id="136"/>
      <w:r w:rsidRPr="00745697">
        <w:rPr>
          <w:rFonts w:ascii="Tahoma" w:hAnsi="Tahoma" w:cs="Tahoma"/>
          <w:sz w:val="20"/>
          <w:szCs w:val="20"/>
          <w:vertAlign w:val="subscript"/>
          <w:lang w:eastAsia="hr-HR"/>
        </w:rPr>
        <w:t>H,nd</w:t>
      </w:r>
      <w:proofErr w:type="spellEnd"/>
      <w:r w:rsidRPr="00745697">
        <w:rPr>
          <w:rFonts w:ascii="Tahoma" w:hAnsi="Tahoma" w:cs="Tahoma"/>
          <w:sz w:val="20"/>
          <w:szCs w:val="20"/>
          <w:lang w:eastAsia="hr-HR"/>
        </w:rPr>
        <w:t>) ili lošijeg u primorskoj Hrvatskoj. To bi značilo da je u fokusu ovog Programa oko 9 milijuna m</w:t>
      </w:r>
      <w:r w:rsidRPr="00745697">
        <w:rPr>
          <w:rFonts w:ascii="Tahoma" w:hAnsi="Tahoma" w:cs="Tahoma"/>
          <w:sz w:val="20"/>
          <w:szCs w:val="20"/>
          <w:vertAlign w:val="superscript"/>
          <w:lang w:eastAsia="hr-HR"/>
        </w:rPr>
        <w:t>2</w:t>
      </w:r>
      <w:r w:rsidRPr="00745697">
        <w:rPr>
          <w:rFonts w:ascii="Tahoma" w:hAnsi="Tahoma" w:cs="Tahoma"/>
          <w:sz w:val="20"/>
          <w:szCs w:val="20"/>
          <w:lang w:eastAsia="hr-HR"/>
        </w:rPr>
        <w:t xml:space="preserve"> VSZ u kontinentalnoj Hrvatskoj odnosno nešto manje od 6 milijuna m</w:t>
      </w:r>
      <w:r w:rsidRPr="00745697">
        <w:rPr>
          <w:rFonts w:ascii="Tahoma" w:hAnsi="Tahoma" w:cs="Tahoma"/>
          <w:sz w:val="20"/>
          <w:szCs w:val="20"/>
          <w:vertAlign w:val="superscript"/>
          <w:lang w:eastAsia="hr-HR"/>
        </w:rPr>
        <w:t>2</w:t>
      </w:r>
      <w:r w:rsidRPr="00745697">
        <w:rPr>
          <w:rFonts w:ascii="Tahoma" w:hAnsi="Tahoma" w:cs="Tahoma"/>
          <w:sz w:val="20"/>
          <w:szCs w:val="20"/>
          <w:lang w:eastAsia="hr-HR"/>
        </w:rPr>
        <w:t xml:space="preserve"> VSZ u primorskoj Hrvatskoj</w:t>
      </w:r>
      <w:r w:rsidRPr="00745697">
        <w:rPr>
          <w:rStyle w:val="Referencafusnote"/>
          <w:rFonts w:cs="Tahoma"/>
          <w:sz w:val="20"/>
          <w:szCs w:val="20"/>
        </w:rPr>
        <w:footnoteReference w:id="17"/>
      </w:r>
      <w:r w:rsidRPr="00745697">
        <w:rPr>
          <w:rFonts w:ascii="Tahoma" w:hAnsi="Tahoma" w:cs="Tahoma"/>
          <w:sz w:val="20"/>
          <w:szCs w:val="20"/>
          <w:lang w:eastAsia="hr-HR"/>
        </w:rPr>
        <w:t xml:space="preserve">. </w:t>
      </w:r>
    </w:p>
    <w:p w14:paraId="7BEEF13F" w14:textId="3F8956F6"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 xml:space="preserve">Dugoročna strategija obnove </w:t>
      </w:r>
      <w:r w:rsidR="003B52B9">
        <w:rPr>
          <w:rFonts w:ascii="Tahoma" w:hAnsi="Tahoma" w:cs="Tahoma"/>
          <w:sz w:val="20"/>
          <w:szCs w:val="20"/>
          <w:lang w:eastAsia="hr-HR"/>
        </w:rPr>
        <w:t xml:space="preserve">nacionalnog </w:t>
      </w:r>
      <w:r w:rsidRPr="00745697">
        <w:rPr>
          <w:rFonts w:ascii="Tahoma" w:hAnsi="Tahoma" w:cs="Tahoma"/>
          <w:sz w:val="20"/>
          <w:szCs w:val="20"/>
          <w:lang w:eastAsia="hr-HR"/>
        </w:rPr>
        <w:t>fonda zgrada do 2050. godine predviđa u srednjoročnom razdoblju od 2021. do 2030. godine postupno povećanje stope obnove s 1% u 2021. godini do 3% u 2030. godini (</w:t>
      </w:r>
      <w:r w:rsidR="00515227">
        <w:rPr>
          <w:rFonts w:ascii="Tahoma" w:hAnsi="Tahoma" w:cs="Tahoma"/>
          <w:sz w:val="20"/>
          <w:szCs w:val="20"/>
          <w:lang w:eastAsia="hr-HR"/>
        </w:rPr>
        <w:fldChar w:fldCharType="begin"/>
      </w:r>
      <w:r w:rsidR="00515227">
        <w:rPr>
          <w:rFonts w:ascii="Tahoma" w:hAnsi="Tahoma" w:cs="Tahoma"/>
          <w:sz w:val="20"/>
          <w:szCs w:val="20"/>
          <w:lang w:eastAsia="hr-HR"/>
        </w:rPr>
        <w:instrText xml:space="preserve"> REF _Ref83114315 \h </w:instrText>
      </w:r>
      <w:r w:rsidR="00515227">
        <w:rPr>
          <w:rFonts w:ascii="Tahoma" w:hAnsi="Tahoma" w:cs="Tahoma"/>
          <w:sz w:val="20"/>
          <w:szCs w:val="20"/>
          <w:lang w:eastAsia="hr-HR"/>
        </w:rPr>
      </w:r>
      <w:r w:rsidR="00515227">
        <w:rPr>
          <w:rFonts w:ascii="Tahoma" w:hAnsi="Tahoma" w:cs="Tahoma"/>
          <w:sz w:val="20"/>
          <w:szCs w:val="20"/>
          <w:lang w:eastAsia="hr-HR"/>
        </w:rPr>
        <w:fldChar w:fldCharType="separate"/>
      </w:r>
      <w:r w:rsidR="00575AF9" w:rsidRPr="00DE7F43">
        <w:t xml:space="preserve">Tablica </w:t>
      </w:r>
      <w:r w:rsidR="00575AF9">
        <w:rPr>
          <w:noProof/>
        </w:rPr>
        <w:t>3</w:t>
      </w:r>
      <w:r w:rsidR="00575AF9" w:rsidRPr="00DE7F43">
        <w:noBreakHyphen/>
      </w:r>
      <w:r w:rsidR="00575AF9">
        <w:rPr>
          <w:noProof/>
        </w:rPr>
        <w:t>10</w:t>
      </w:r>
      <w:r w:rsidR="00515227">
        <w:rPr>
          <w:rFonts w:ascii="Tahoma" w:hAnsi="Tahoma" w:cs="Tahoma"/>
          <w:sz w:val="20"/>
          <w:szCs w:val="20"/>
          <w:lang w:eastAsia="hr-HR"/>
        </w:rPr>
        <w:fldChar w:fldCharType="end"/>
      </w:r>
      <w:r w:rsidRPr="00745697">
        <w:rPr>
          <w:rFonts w:ascii="Tahoma" w:hAnsi="Tahoma" w:cs="Tahoma"/>
          <w:sz w:val="20"/>
          <w:szCs w:val="20"/>
          <w:lang w:eastAsia="hr-HR"/>
        </w:rPr>
        <w:t>)</w:t>
      </w:r>
      <w:r w:rsidRPr="00745697">
        <w:rPr>
          <w:rStyle w:val="Referencafusnote"/>
          <w:rFonts w:cs="Tahoma"/>
          <w:sz w:val="20"/>
          <w:szCs w:val="20"/>
        </w:rPr>
        <w:footnoteReference w:id="18"/>
      </w:r>
      <w:r w:rsidRPr="00745697">
        <w:rPr>
          <w:rFonts w:ascii="Tahoma" w:hAnsi="Tahoma" w:cs="Tahoma"/>
          <w:sz w:val="20"/>
          <w:szCs w:val="20"/>
          <w:lang w:eastAsia="hr-HR"/>
        </w:rPr>
        <w:t>, a na temelju pretpostavki iz Dugoročne strategije, utvrđene su i ciljane površine VSZ koje bi na godišnjoj razini trebalo obnavljati, kako bi se ispunili ciljevi Dugoročne strategije. Navedene ciljane površine već su prikazane u poglavlju 3.2 (</w:t>
      </w:r>
      <w:r w:rsidR="00515227">
        <w:rPr>
          <w:rFonts w:ascii="Tahoma" w:hAnsi="Tahoma" w:cs="Tahoma"/>
          <w:sz w:val="20"/>
          <w:szCs w:val="20"/>
          <w:lang w:eastAsia="hr-HR"/>
        </w:rPr>
        <w:fldChar w:fldCharType="begin"/>
      </w:r>
      <w:r w:rsidR="00515227">
        <w:rPr>
          <w:rFonts w:ascii="Tahoma" w:hAnsi="Tahoma" w:cs="Tahoma"/>
          <w:sz w:val="20"/>
          <w:szCs w:val="20"/>
          <w:lang w:eastAsia="hr-HR"/>
        </w:rPr>
        <w:instrText xml:space="preserve"> REF _Ref83114288 \h </w:instrText>
      </w:r>
      <w:r w:rsidR="00515227">
        <w:rPr>
          <w:rFonts w:ascii="Tahoma" w:hAnsi="Tahoma" w:cs="Tahoma"/>
          <w:sz w:val="20"/>
          <w:szCs w:val="20"/>
          <w:lang w:eastAsia="hr-HR"/>
        </w:rPr>
      </w:r>
      <w:r w:rsidR="00515227">
        <w:rPr>
          <w:rFonts w:ascii="Tahoma" w:hAnsi="Tahoma" w:cs="Tahoma"/>
          <w:sz w:val="20"/>
          <w:szCs w:val="20"/>
          <w:lang w:eastAsia="hr-HR"/>
        </w:rPr>
        <w:fldChar w:fldCharType="separate"/>
      </w:r>
      <w:r w:rsidR="00575AF9" w:rsidRPr="00DE7F43">
        <w:t xml:space="preserve">Tablica </w:t>
      </w:r>
      <w:r w:rsidR="00575AF9">
        <w:rPr>
          <w:noProof/>
        </w:rPr>
        <w:t>3</w:t>
      </w:r>
      <w:r w:rsidR="00575AF9" w:rsidRPr="00DE7F43">
        <w:noBreakHyphen/>
      </w:r>
      <w:r w:rsidR="00575AF9">
        <w:rPr>
          <w:noProof/>
        </w:rPr>
        <w:t>11</w:t>
      </w:r>
      <w:r w:rsidR="00515227">
        <w:rPr>
          <w:rFonts w:ascii="Tahoma" w:hAnsi="Tahoma" w:cs="Tahoma"/>
          <w:sz w:val="20"/>
          <w:szCs w:val="20"/>
          <w:lang w:eastAsia="hr-HR"/>
        </w:rPr>
        <w:fldChar w:fldCharType="end"/>
      </w:r>
      <w:r w:rsidRPr="00745697">
        <w:rPr>
          <w:rFonts w:ascii="Tahoma" w:hAnsi="Tahoma" w:cs="Tahoma"/>
          <w:sz w:val="20"/>
          <w:szCs w:val="20"/>
          <w:lang w:eastAsia="hr-HR"/>
        </w:rPr>
        <w:t>).</w:t>
      </w:r>
    </w:p>
    <w:p w14:paraId="18A9FB2B"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b/>
          <w:bCs/>
          <w:sz w:val="20"/>
          <w:szCs w:val="20"/>
        </w:rPr>
        <w:t>Ukupno bi u razdoblju do 2030. godine trebalo obnoviti nešto manje od 6,3 milijuna m</w:t>
      </w:r>
      <w:r w:rsidRPr="00745697">
        <w:rPr>
          <w:rFonts w:ascii="Tahoma" w:hAnsi="Tahoma" w:cs="Tahoma"/>
          <w:b/>
          <w:bCs/>
          <w:sz w:val="20"/>
          <w:szCs w:val="20"/>
          <w:vertAlign w:val="superscript"/>
        </w:rPr>
        <w:t>2</w:t>
      </w:r>
      <w:r w:rsidRPr="00745697">
        <w:rPr>
          <w:rFonts w:ascii="Tahoma" w:hAnsi="Tahoma" w:cs="Tahoma"/>
          <w:b/>
          <w:bCs/>
          <w:sz w:val="20"/>
          <w:szCs w:val="20"/>
        </w:rPr>
        <w:t xml:space="preserve"> u VSZ</w:t>
      </w:r>
      <w:r w:rsidRPr="00745697">
        <w:rPr>
          <w:rFonts w:ascii="Tahoma" w:hAnsi="Tahoma" w:cs="Tahoma"/>
          <w:sz w:val="20"/>
          <w:szCs w:val="20"/>
        </w:rPr>
        <w:t xml:space="preserve">. S obzirom da se ovaj Program donosi 2021. godine, početak provedbe projekata obnove VSZ jest 2022. godine, što ostavlja 9 godina za ostvarenje zacrtanih srednjoročnih ciljeva. Drugim riječima, prosječno bi </w:t>
      </w:r>
      <w:r w:rsidRPr="00745697">
        <w:rPr>
          <w:rFonts w:ascii="Tahoma" w:hAnsi="Tahoma" w:cs="Tahoma"/>
          <w:b/>
          <w:bCs/>
          <w:sz w:val="20"/>
          <w:szCs w:val="20"/>
        </w:rPr>
        <w:t>godišnje trebalo obnavljati oko 0,7 milijuna m</w:t>
      </w:r>
      <w:r w:rsidRPr="00745697">
        <w:rPr>
          <w:rFonts w:ascii="Tahoma" w:hAnsi="Tahoma" w:cs="Tahoma"/>
          <w:b/>
          <w:bCs/>
          <w:sz w:val="20"/>
          <w:szCs w:val="20"/>
          <w:vertAlign w:val="superscript"/>
        </w:rPr>
        <w:t>2</w:t>
      </w:r>
      <w:r w:rsidRPr="00745697">
        <w:rPr>
          <w:rFonts w:ascii="Tahoma" w:hAnsi="Tahoma" w:cs="Tahoma"/>
          <w:b/>
          <w:bCs/>
          <w:sz w:val="20"/>
          <w:szCs w:val="20"/>
        </w:rPr>
        <w:t xml:space="preserve"> VSZ</w:t>
      </w:r>
      <w:r w:rsidRPr="00745697">
        <w:rPr>
          <w:rFonts w:ascii="Tahoma" w:hAnsi="Tahoma" w:cs="Tahoma"/>
          <w:sz w:val="20"/>
          <w:szCs w:val="20"/>
        </w:rPr>
        <w:t xml:space="preserve"> najlošijih energetskih karakteristika. </w:t>
      </w:r>
    </w:p>
    <w:p w14:paraId="4C156F12" w14:textId="77777777"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 xml:space="preserve">Prethodno provedeni Program energetske obnove VSZ od 2014. do 2020. dokazuje da su ove brojke dostižne, ali da je od presudne važnost kontinuiranost provedbe Programa odnosno raspisivanje javnih poziva svake godine i uspostava financijskog instrumenta koji će omogućiti kontinuirane prijave za kreditiranje energetske obnove. </w:t>
      </w:r>
    </w:p>
    <w:p w14:paraId="6D52E632" w14:textId="77777777"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Prioritet ovog Programa je osigurati kontinuiranu obnovu VSZ najlošijih energetskih karakteristika od 2022. godine nadalje osiguravanjem sredstava dostatnih za obnovu prosječno 700.000 m</w:t>
      </w:r>
      <w:r w:rsidRPr="00745697">
        <w:rPr>
          <w:rFonts w:ascii="Tahoma" w:hAnsi="Tahoma" w:cs="Tahoma"/>
          <w:b/>
          <w:bCs/>
          <w:sz w:val="20"/>
          <w:szCs w:val="20"/>
          <w:vertAlign w:val="superscript"/>
        </w:rPr>
        <w:t>2</w:t>
      </w:r>
      <w:r w:rsidRPr="00745697">
        <w:rPr>
          <w:rFonts w:ascii="Tahoma" w:hAnsi="Tahoma" w:cs="Tahoma"/>
          <w:b/>
          <w:bCs/>
          <w:sz w:val="20"/>
          <w:szCs w:val="20"/>
        </w:rPr>
        <w:t xml:space="preserve"> VSZ godišnje. </w:t>
      </w:r>
    </w:p>
    <w:p w14:paraId="2055F225" w14:textId="2405CC3B" w:rsidR="004949CA" w:rsidRDefault="004949CA" w:rsidP="004949CA">
      <w:pPr>
        <w:pStyle w:val="Naslov10"/>
      </w:pPr>
      <w:bookmarkStart w:id="137" w:name="_Toc81836285"/>
      <w:bookmarkStart w:id="138" w:name="_Toc83912057"/>
      <w:r>
        <w:lastRenderedPageBreak/>
        <w:t>S</w:t>
      </w:r>
      <w:bookmarkEnd w:id="137"/>
      <w:r w:rsidR="00193631">
        <w:t>rednjoročna vizija razvoja</w:t>
      </w:r>
      <w:bookmarkEnd w:id="138"/>
    </w:p>
    <w:p w14:paraId="1C373129" w14:textId="2FD38344"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Vizija Nacionalne razvojne strategije (Narodne novine, broj 123/17)</w:t>
      </w:r>
      <w:r w:rsidR="00707EDF" w:rsidRPr="00707EDF">
        <w:rPr>
          <w:rFonts w:ascii="Tahoma" w:hAnsi="Tahoma" w:cs="Tahoma"/>
          <w:sz w:val="20"/>
          <w:szCs w:val="20"/>
          <w:lang w:eastAsia="hr-HR"/>
        </w:rPr>
        <w:t xml:space="preserve"> </w:t>
      </w:r>
      <w:r w:rsidR="00707EDF" w:rsidRPr="00745697">
        <w:rPr>
          <w:rFonts w:ascii="Tahoma" w:hAnsi="Tahoma" w:cs="Tahoma"/>
          <w:sz w:val="20"/>
          <w:szCs w:val="20"/>
          <w:lang w:eastAsia="hr-HR"/>
        </w:rPr>
        <w:t>)</w:t>
      </w:r>
      <w:r w:rsidR="00707EDF">
        <w:rPr>
          <w:rStyle w:val="Referencafusnote"/>
          <w:rFonts w:cs="Tahoma"/>
          <w:sz w:val="20"/>
          <w:szCs w:val="20"/>
          <w:lang w:eastAsia="hr-HR"/>
        </w:rPr>
        <w:footnoteReference w:id="19"/>
      </w:r>
      <w:r w:rsidR="00707EDF" w:rsidRPr="00745697">
        <w:rPr>
          <w:rFonts w:ascii="Tahoma" w:hAnsi="Tahoma" w:cs="Tahoma"/>
          <w:sz w:val="20"/>
          <w:szCs w:val="20"/>
          <w:lang w:eastAsia="hr-HR"/>
        </w:rPr>
        <w:t xml:space="preserve"> </w:t>
      </w:r>
      <w:r w:rsidR="00707EDF">
        <w:rPr>
          <w:rFonts w:ascii="Tahoma" w:hAnsi="Tahoma" w:cs="Tahoma"/>
          <w:sz w:val="20"/>
          <w:szCs w:val="20"/>
          <w:lang w:eastAsia="hr-HR"/>
        </w:rPr>
        <w:t>kao najvažnije</w:t>
      </w:r>
      <w:r w:rsidR="00C20E8A">
        <w:rPr>
          <w:rFonts w:ascii="Tahoma" w:hAnsi="Tahoma" w:cs="Tahoma"/>
          <w:sz w:val="20"/>
          <w:szCs w:val="20"/>
          <w:lang w:eastAsia="hr-HR"/>
        </w:rPr>
        <w:t>g</w:t>
      </w:r>
      <w:r w:rsidR="00707EDF">
        <w:rPr>
          <w:rFonts w:ascii="Tahoma" w:hAnsi="Tahoma" w:cs="Tahoma"/>
          <w:sz w:val="20"/>
          <w:szCs w:val="20"/>
          <w:lang w:eastAsia="hr-HR"/>
        </w:rPr>
        <w:t xml:space="preserve"> dokumenta strateškog planiranja u Hrvatskoj</w:t>
      </w:r>
      <w:r w:rsidRPr="00745697">
        <w:rPr>
          <w:rFonts w:ascii="Tahoma" w:hAnsi="Tahoma" w:cs="Tahoma"/>
          <w:sz w:val="20"/>
          <w:szCs w:val="20"/>
          <w:lang w:eastAsia="hr-HR"/>
        </w:rPr>
        <w:t xml:space="preserve"> jest:</w:t>
      </w:r>
    </w:p>
    <w:p w14:paraId="0C65C2D2" w14:textId="77777777"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Hrvatska je u 2030. godini konkurentna, inovativna i sigurna zemlja prepoznatljivog identiteta i kulture, zemlja očuvanih resursa, kvalitetnih životnih uvjeta i jednakih prilika za sve.</w:t>
      </w:r>
    </w:p>
    <w:p w14:paraId="36EFAC5C" w14:textId="00CD5350"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rPr>
        <w:t>Dugoročna strategija obnove nacionalnog fonda zgrada do 2050. godine, akt je kojega je Vlada usvojila na temelju Zakona o gradnji (Narodne novine, br. 153/13, 20/17, 39/19 i 125/19) te čija je vizija:</w:t>
      </w:r>
    </w:p>
    <w:p w14:paraId="23B4167F" w14:textId="6001E792"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 xml:space="preserve">Sve zgrade u </w:t>
      </w:r>
      <w:r w:rsidR="007F5842">
        <w:rPr>
          <w:rFonts w:ascii="Tahoma" w:hAnsi="Tahoma" w:cs="Tahoma"/>
          <w:b/>
          <w:bCs/>
          <w:sz w:val="20"/>
          <w:szCs w:val="20"/>
        </w:rPr>
        <w:t>Hrvatskoj</w:t>
      </w:r>
      <w:r w:rsidR="007F5842" w:rsidRPr="00745697">
        <w:rPr>
          <w:rFonts w:ascii="Tahoma" w:hAnsi="Tahoma" w:cs="Tahoma"/>
          <w:b/>
          <w:bCs/>
          <w:sz w:val="20"/>
          <w:szCs w:val="20"/>
        </w:rPr>
        <w:t xml:space="preserve"> </w:t>
      </w:r>
      <w:r w:rsidRPr="00745697">
        <w:rPr>
          <w:rFonts w:ascii="Tahoma" w:hAnsi="Tahoma" w:cs="Tahoma"/>
          <w:b/>
          <w:bCs/>
          <w:sz w:val="20"/>
          <w:szCs w:val="20"/>
        </w:rPr>
        <w:t>su 2050. godine gotovo nula energetske ili s visokom razinom energetske učinkovitosti.</w:t>
      </w:r>
    </w:p>
    <w:p w14:paraId="4ECFCE24" w14:textId="441DBF21" w:rsidR="004949CA" w:rsidRPr="00745697" w:rsidRDefault="004949CA" w:rsidP="00745697">
      <w:pPr>
        <w:spacing w:before="120" w:after="120" w:line="240" w:lineRule="auto"/>
        <w:jc w:val="both"/>
        <w:rPr>
          <w:rFonts w:ascii="Tahoma" w:hAnsi="Tahoma" w:cs="Tahoma"/>
          <w:sz w:val="20"/>
          <w:szCs w:val="20"/>
        </w:rPr>
      </w:pPr>
      <w:r w:rsidRPr="00745697">
        <w:rPr>
          <w:rFonts w:ascii="Tahoma" w:hAnsi="Tahoma" w:cs="Tahoma"/>
          <w:sz w:val="20"/>
          <w:szCs w:val="20"/>
          <w:lang w:eastAsia="hr-HR"/>
        </w:rPr>
        <w:t xml:space="preserve">Srednjoročni cilj </w:t>
      </w:r>
      <w:r w:rsidRPr="00745697">
        <w:rPr>
          <w:rFonts w:ascii="Tahoma" w:hAnsi="Tahoma" w:cs="Tahoma"/>
          <w:sz w:val="20"/>
          <w:szCs w:val="20"/>
        </w:rPr>
        <w:t>Dugoročne strategije obnove nacionalnog fonda zgrada za 2030.godinu jest:</w:t>
      </w:r>
    </w:p>
    <w:p w14:paraId="15242A46" w14:textId="77777777"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U 2030. godini obnovljeno je 25% nacionalnog fonda zgrada te je postignuta godišnja stopa obnove zgrada od 3%.</w:t>
      </w:r>
    </w:p>
    <w:p w14:paraId="27768830" w14:textId="443A3A4B"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 xml:space="preserve">Ovaj Program donosi se temeljem članka 47.b Zakona o gradnji, a njegova je svrha doprinijeti ostvarenju srednjoročnog cilja Dugoročne strategije obnove nacionalnog fonda zgrada. Stoga, u smislu Zakona o sustavu strateškog planiranja i upravljanja razvojem </w:t>
      </w:r>
      <w:r w:rsidR="0062523D">
        <w:rPr>
          <w:rFonts w:ascii="Tahoma" w:hAnsi="Tahoma" w:cs="Tahoma"/>
          <w:sz w:val="20"/>
          <w:szCs w:val="20"/>
          <w:lang w:eastAsia="hr-HR"/>
        </w:rPr>
        <w:t>Republike Hrvatske</w:t>
      </w:r>
      <w:r w:rsidRPr="00745697">
        <w:rPr>
          <w:rFonts w:ascii="Tahoma" w:hAnsi="Tahoma" w:cs="Tahoma"/>
          <w:sz w:val="20"/>
          <w:szCs w:val="20"/>
          <w:lang w:eastAsia="hr-HR"/>
        </w:rPr>
        <w:t xml:space="preserve">, ovaj Program predstavlja 10-godišnji plan provedbe Dugoročne strategije obnove nacionalnog fonda zgrada za specifičan segment toga fonda – višestambene zgrade. </w:t>
      </w:r>
    </w:p>
    <w:p w14:paraId="09535B3A" w14:textId="77777777"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U skladu s opisanim strateškim ciljevima iz hijerarhijski nadređenih dokumenata strateškog planiranja te razvojnim potrebama, potencijalima i prioritetima obnove VSZ, vizija ovog Programa može se utvrditi kako slijedi:</w:t>
      </w:r>
    </w:p>
    <w:p w14:paraId="5DDF85FA" w14:textId="77777777" w:rsidR="004949CA" w:rsidRPr="00745697"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745697">
        <w:rPr>
          <w:rFonts w:ascii="Tahoma" w:hAnsi="Tahoma" w:cs="Tahoma"/>
          <w:b/>
          <w:bCs/>
          <w:sz w:val="20"/>
          <w:szCs w:val="20"/>
        </w:rPr>
        <w:t xml:space="preserve">Hrvatski građani 2030. godine žive u kvalitetno obnovljenim, sigurnim, zdravim i energetski učinkovitim višestambenim zgradama, koje iskorištavaju raspoložive obnovljive izvore energije uporabom modernih tehnologija te osiguravaju dostojanstvene uvjete stanovanja. </w:t>
      </w:r>
    </w:p>
    <w:p w14:paraId="6323B3B7" w14:textId="77777777" w:rsidR="004949CA" w:rsidRPr="00745697" w:rsidRDefault="004949CA" w:rsidP="00745697">
      <w:pPr>
        <w:spacing w:before="120" w:after="120" w:line="240" w:lineRule="auto"/>
        <w:jc w:val="both"/>
        <w:rPr>
          <w:rFonts w:ascii="Tahoma" w:hAnsi="Tahoma" w:cs="Tahoma"/>
          <w:sz w:val="20"/>
          <w:szCs w:val="20"/>
          <w:lang w:eastAsia="hr-HR"/>
        </w:rPr>
      </w:pPr>
      <w:r w:rsidRPr="00745697">
        <w:rPr>
          <w:rFonts w:ascii="Tahoma" w:hAnsi="Tahoma" w:cs="Tahoma"/>
          <w:sz w:val="20"/>
          <w:szCs w:val="20"/>
          <w:lang w:eastAsia="hr-HR"/>
        </w:rPr>
        <w:t>U ovoj rečenici sadržani su temeljne odrednice ovog Programa:</w:t>
      </w:r>
    </w:p>
    <w:p w14:paraId="6BB262E6" w14:textId="77777777" w:rsidR="004949CA" w:rsidRPr="00745697" w:rsidRDefault="004949CA" w:rsidP="00745697">
      <w:pPr>
        <w:pStyle w:val="Odlomakpopisa"/>
        <w:numPr>
          <w:ilvl w:val="0"/>
          <w:numId w:val="32"/>
        </w:numPr>
        <w:spacing w:before="120" w:after="120"/>
        <w:rPr>
          <w:rFonts w:cs="Tahoma"/>
          <w:szCs w:val="20"/>
        </w:rPr>
      </w:pPr>
      <w:r w:rsidRPr="00745697">
        <w:rPr>
          <w:rFonts w:cs="Tahoma"/>
          <w:szCs w:val="20"/>
        </w:rPr>
        <w:t>Programom se utvrđuje način financijske pomoći koju država pruža suvlasnicima za obnovu VSZ prema načelima:</w:t>
      </w:r>
    </w:p>
    <w:p w14:paraId="3588EF37" w14:textId="77777777" w:rsidR="004949CA" w:rsidRPr="00745697" w:rsidRDefault="004949CA" w:rsidP="00745697">
      <w:pPr>
        <w:pStyle w:val="Odlomakpopisa"/>
        <w:numPr>
          <w:ilvl w:val="1"/>
          <w:numId w:val="32"/>
        </w:numPr>
        <w:spacing w:before="120" w:after="120"/>
        <w:rPr>
          <w:rFonts w:cs="Tahoma"/>
          <w:szCs w:val="20"/>
        </w:rPr>
      </w:pPr>
      <w:r w:rsidRPr="00745697">
        <w:rPr>
          <w:rFonts w:cs="Tahoma"/>
          <w:szCs w:val="20"/>
        </w:rPr>
        <w:t xml:space="preserve">energetske učinkovitosti i korištenja obnovljivih izvora energije, sve do </w:t>
      </w:r>
      <w:proofErr w:type="spellStart"/>
      <w:r w:rsidRPr="00745697">
        <w:rPr>
          <w:rFonts w:cs="Tahoma"/>
          <w:szCs w:val="20"/>
        </w:rPr>
        <w:t>nZEB</w:t>
      </w:r>
      <w:proofErr w:type="spellEnd"/>
      <w:r w:rsidRPr="00745697">
        <w:rPr>
          <w:rFonts w:cs="Tahoma"/>
          <w:szCs w:val="20"/>
        </w:rPr>
        <w:t xml:space="preserve"> standarda za rekonstrukciju,</w:t>
      </w:r>
    </w:p>
    <w:p w14:paraId="614DECEA" w14:textId="77777777" w:rsidR="004949CA" w:rsidRPr="00745697" w:rsidRDefault="004949CA" w:rsidP="00745697">
      <w:pPr>
        <w:pStyle w:val="Odlomakpopisa"/>
        <w:numPr>
          <w:ilvl w:val="1"/>
          <w:numId w:val="32"/>
        </w:numPr>
        <w:spacing w:before="120" w:after="120"/>
        <w:rPr>
          <w:rFonts w:cs="Tahoma"/>
          <w:szCs w:val="20"/>
        </w:rPr>
      </w:pPr>
      <w:r w:rsidRPr="00745697">
        <w:rPr>
          <w:rFonts w:cs="Tahoma"/>
          <w:szCs w:val="20"/>
        </w:rPr>
        <w:t xml:space="preserve">kvalitetnih odnosno zdravih unutarnjih klimatskih uvjeta i </w:t>
      </w:r>
    </w:p>
    <w:p w14:paraId="0586C858" w14:textId="77777777" w:rsidR="004949CA" w:rsidRPr="00745697" w:rsidRDefault="004949CA" w:rsidP="00745697">
      <w:pPr>
        <w:pStyle w:val="Odlomakpopisa"/>
        <w:numPr>
          <w:ilvl w:val="1"/>
          <w:numId w:val="32"/>
        </w:numPr>
        <w:spacing w:before="120" w:after="120"/>
        <w:rPr>
          <w:rFonts w:cs="Tahoma"/>
          <w:szCs w:val="20"/>
        </w:rPr>
      </w:pPr>
      <w:r w:rsidRPr="00745697">
        <w:rPr>
          <w:rFonts w:cs="Tahoma"/>
          <w:szCs w:val="20"/>
        </w:rPr>
        <w:t>sigurnosti u slučaju požara i potresa.</w:t>
      </w:r>
    </w:p>
    <w:p w14:paraId="1EC08AB3" w14:textId="77777777" w:rsidR="004949CA" w:rsidRPr="00745697" w:rsidRDefault="004949CA" w:rsidP="00745697">
      <w:pPr>
        <w:pStyle w:val="Odlomakpopisa"/>
        <w:numPr>
          <w:ilvl w:val="0"/>
          <w:numId w:val="32"/>
        </w:numPr>
        <w:spacing w:before="120" w:after="120"/>
        <w:rPr>
          <w:rFonts w:cs="Tahoma"/>
          <w:szCs w:val="20"/>
        </w:rPr>
      </w:pPr>
      <w:r w:rsidRPr="00745697">
        <w:rPr>
          <w:rFonts w:cs="Tahoma"/>
          <w:szCs w:val="20"/>
        </w:rPr>
        <w:t xml:space="preserve">Programom se uspostavlja sustav za osiguravanje energetske obnove VSZ stradalih u potresu, kao nadogradnja odnosno usporedni proces s konstrukcijskom obnovom i/ili popravkom </w:t>
      </w:r>
      <w:proofErr w:type="spellStart"/>
      <w:r w:rsidRPr="00745697">
        <w:rPr>
          <w:rFonts w:cs="Tahoma"/>
          <w:szCs w:val="20"/>
        </w:rPr>
        <w:t>nekonstrukcijskih</w:t>
      </w:r>
      <w:proofErr w:type="spellEnd"/>
      <w:r w:rsidRPr="00745697">
        <w:rPr>
          <w:rFonts w:cs="Tahoma"/>
          <w:szCs w:val="20"/>
        </w:rPr>
        <w:t xml:space="preserve"> elemenata nakon potresa.</w:t>
      </w:r>
    </w:p>
    <w:p w14:paraId="5B95A761" w14:textId="7CB15031" w:rsidR="004949CA" w:rsidRPr="00745697" w:rsidRDefault="004949CA" w:rsidP="00745697">
      <w:pPr>
        <w:pStyle w:val="Odlomakpopisa"/>
        <w:numPr>
          <w:ilvl w:val="0"/>
          <w:numId w:val="32"/>
        </w:numPr>
        <w:spacing w:before="120" w:after="120"/>
        <w:rPr>
          <w:rFonts w:cs="Tahoma"/>
          <w:szCs w:val="20"/>
        </w:rPr>
      </w:pPr>
      <w:r w:rsidRPr="00745697">
        <w:rPr>
          <w:rFonts w:cs="Tahoma"/>
          <w:szCs w:val="20"/>
        </w:rPr>
        <w:t xml:space="preserve">Programom se uspostavlja sustavan način borbe protiv energetskog siromaštva i to omogućavanjem financijske pomoći građanima koji su u riziku od </w:t>
      </w:r>
      <w:r w:rsidR="00385F23" w:rsidRPr="00745697">
        <w:rPr>
          <w:rFonts w:cs="Tahoma"/>
          <w:szCs w:val="20"/>
        </w:rPr>
        <w:t>energetskog</w:t>
      </w:r>
      <w:r w:rsidRPr="00745697">
        <w:rPr>
          <w:rFonts w:cs="Tahoma"/>
          <w:szCs w:val="20"/>
        </w:rPr>
        <w:t xml:space="preserve"> siromaštva, a koji su vlasnici stanova u VSZ koje se obnavljaju. </w:t>
      </w:r>
    </w:p>
    <w:p w14:paraId="1743107A" w14:textId="77777777" w:rsidR="004949CA" w:rsidRPr="009E0B42" w:rsidRDefault="004949CA" w:rsidP="004949CA">
      <w:pPr>
        <w:rPr>
          <w:lang w:eastAsia="hr-HR"/>
        </w:rPr>
      </w:pPr>
    </w:p>
    <w:p w14:paraId="02DBE2CE" w14:textId="525F1683" w:rsidR="004949CA" w:rsidRDefault="004949CA" w:rsidP="004949CA">
      <w:pPr>
        <w:pStyle w:val="Naslov10"/>
      </w:pPr>
      <w:bookmarkStart w:id="139" w:name="_Toc81836286"/>
      <w:bookmarkStart w:id="140" w:name="_Toc83912058"/>
      <w:r>
        <w:lastRenderedPageBreak/>
        <w:t>P</w:t>
      </w:r>
      <w:bookmarkEnd w:id="139"/>
      <w:r w:rsidR="00193631">
        <w:t>osebni ciljevi i ključni pokazatelji ishoda</w:t>
      </w:r>
      <w:bookmarkEnd w:id="140"/>
    </w:p>
    <w:p w14:paraId="48989B14" w14:textId="5D05940B" w:rsidR="004949CA" w:rsidRPr="002F041F" w:rsidRDefault="004949CA" w:rsidP="00745697">
      <w:pPr>
        <w:spacing w:before="120" w:after="120" w:line="240" w:lineRule="auto"/>
        <w:jc w:val="both"/>
        <w:rPr>
          <w:rFonts w:ascii="Tahoma" w:hAnsi="Tahoma" w:cs="Tahoma"/>
          <w:sz w:val="20"/>
          <w:szCs w:val="20"/>
          <w:lang w:eastAsia="hr-HR"/>
        </w:rPr>
      </w:pPr>
      <w:r w:rsidRPr="002F041F">
        <w:rPr>
          <w:rFonts w:ascii="Tahoma" w:hAnsi="Tahoma" w:cs="Tahoma"/>
          <w:sz w:val="20"/>
          <w:szCs w:val="20"/>
          <w:lang w:eastAsia="hr-HR"/>
        </w:rPr>
        <w:t xml:space="preserve">Dugoročna strategija obnove nacionalnog fonda zgrada do 2050. temeljni je akt strateškog planiranja za područje obnove zgrada. Ovaj Program je u funkciji ostvarenja strateškog cilja definiranog upravo u Dugoročnoj strategiji, u kojoj su definirani i pokazatelji učinka. </w:t>
      </w:r>
    </w:p>
    <w:p w14:paraId="2182287C" w14:textId="77777777" w:rsidR="004949CA" w:rsidRPr="002F041F" w:rsidRDefault="004949CA" w:rsidP="00745697">
      <w:pPr>
        <w:spacing w:before="120" w:after="120" w:line="240" w:lineRule="auto"/>
        <w:jc w:val="both"/>
        <w:rPr>
          <w:rFonts w:ascii="Tahoma" w:hAnsi="Tahoma" w:cs="Tahoma"/>
          <w:sz w:val="20"/>
          <w:szCs w:val="20"/>
          <w:lang w:eastAsia="hr-HR"/>
        </w:rPr>
      </w:pPr>
      <w:r w:rsidRPr="002F041F">
        <w:rPr>
          <w:rFonts w:ascii="Tahoma" w:hAnsi="Tahoma" w:cs="Tahoma"/>
          <w:sz w:val="20"/>
          <w:szCs w:val="20"/>
          <w:lang w:eastAsia="hr-HR"/>
        </w:rPr>
        <w:t xml:space="preserve">Ovaj Program je jedna od mjera za ostvarenje ciljeva Dugoročne strategije odnosno provedba ovoga Programa doprinosi ostvarenju strateškog cilja iz Dugoročne strategije s fokusom na segment višestambenih zgrada. Zato se mjerljivi pokazatelji ishoda definiraju za ovaj Program u cijelosti, a ostvarenje tih ciljeva će se pratiti na način opisan u poglavlju 14. </w:t>
      </w:r>
    </w:p>
    <w:tbl>
      <w:tblPr>
        <w:tblStyle w:val="Svijetlatablicareetke110"/>
        <w:tblW w:w="0" w:type="auto"/>
        <w:tblLook w:val="04A0" w:firstRow="1" w:lastRow="0" w:firstColumn="1" w:lastColumn="0" w:noHBand="0" w:noVBand="1"/>
      </w:tblPr>
      <w:tblGrid>
        <w:gridCol w:w="3306"/>
        <w:gridCol w:w="2359"/>
        <w:gridCol w:w="3397"/>
      </w:tblGrid>
      <w:tr w:rsidR="004949CA" w:rsidRPr="002F041F" w14:paraId="08424CD7" w14:textId="77777777" w:rsidTr="638C4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3"/>
          </w:tcPr>
          <w:p w14:paraId="1957DBD7"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sz w:val="18"/>
                <w:szCs w:val="18"/>
                <w:lang w:eastAsia="hr-HR"/>
              </w:rPr>
              <w:t>Strateški cilj:</w:t>
            </w:r>
          </w:p>
          <w:p w14:paraId="5A9982D2" w14:textId="3A0D3F91" w:rsidR="004949CA" w:rsidRPr="002F041F" w:rsidRDefault="0C3F4C7D" w:rsidP="00567092">
            <w:pPr>
              <w:jc w:val="both"/>
              <w:rPr>
                <w:rFonts w:ascii="Tahoma" w:hAnsi="Tahoma" w:cs="Tahoma"/>
                <w:b w:val="0"/>
                <w:bCs w:val="0"/>
                <w:sz w:val="18"/>
                <w:szCs w:val="18"/>
                <w:lang w:eastAsia="hr-HR"/>
              </w:rPr>
            </w:pPr>
            <w:r w:rsidRPr="638C4C38">
              <w:rPr>
                <w:rFonts w:ascii="Tahoma" w:hAnsi="Tahoma" w:cs="Tahoma"/>
                <w:b w:val="0"/>
                <w:bCs w:val="0"/>
                <w:sz w:val="18"/>
                <w:szCs w:val="18"/>
                <w:lang w:eastAsia="hr-HR"/>
              </w:rPr>
              <w:t xml:space="preserve">Sve zgrade u </w:t>
            </w:r>
            <w:r w:rsidR="02B40151" w:rsidRPr="638C4C38">
              <w:rPr>
                <w:rFonts w:ascii="Tahoma" w:hAnsi="Tahoma" w:cs="Tahoma"/>
                <w:b w:val="0"/>
                <w:bCs w:val="0"/>
                <w:sz w:val="18"/>
                <w:szCs w:val="18"/>
                <w:lang w:eastAsia="hr-HR"/>
              </w:rPr>
              <w:t>Hrvatskoj</w:t>
            </w:r>
            <w:r w:rsidRPr="638C4C38">
              <w:rPr>
                <w:rFonts w:ascii="Tahoma" w:hAnsi="Tahoma" w:cs="Tahoma"/>
                <w:b w:val="0"/>
                <w:bCs w:val="0"/>
                <w:sz w:val="18"/>
                <w:szCs w:val="18"/>
                <w:lang w:eastAsia="hr-HR"/>
              </w:rPr>
              <w:t xml:space="preserve"> su 2050. godine gotovo nula energetske ili s visokom razinom energetske učinkovitosti.</w:t>
            </w:r>
          </w:p>
          <w:p w14:paraId="4E3CA993" w14:textId="77777777" w:rsidR="004949CA" w:rsidRPr="002F041F" w:rsidRDefault="004949CA" w:rsidP="00331A63">
            <w:pPr>
              <w:rPr>
                <w:rFonts w:ascii="Tahoma" w:hAnsi="Tahoma" w:cs="Tahoma"/>
                <w:sz w:val="18"/>
                <w:szCs w:val="18"/>
                <w:lang w:eastAsia="hr-HR"/>
              </w:rPr>
            </w:pPr>
          </w:p>
        </w:tc>
      </w:tr>
      <w:tr w:rsidR="004949CA" w:rsidRPr="002F041F" w14:paraId="20E64247" w14:textId="77777777" w:rsidTr="638C4C38">
        <w:tc>
          <w:tcPr>
            <w:cnfStyle w:val="001000000000" w:firstRow="0" w:lastRow="0" w:firstColumn="1" w:lastColumn="0" w:oddVBand="0" w:evenVBand="0" w:oddHBand="0" w:evenHBand="0" w:firstRowFirstColumn="0" w:firstRowLastColumn="0" w:lastRowFirstColumn="0" w:lastRowLastColumn="0"/>
            <w:tcW w:w="3306" w:type="dxa"/>
          </w:tcPr>
          <w:p w14:paraId="728A7ED0"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sz w:val="18"/>
                <w:szCs w:val="18"/>
                <w:lang w:eastAsia="hr-HR"/>
              </w:rPr>
              <w:t>Pokazatelj učinka:</w:t>
            </w:r>
          </w:p>
          <w:p w14:paraId="462FDFEF"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b w:val="0"/>
                <w:bCs w:val="0"/>
                <w:sz w:val="18"/>
                <w:szCs w:val="18"/>
                <w:lang w:eastAsia="hr-HR"/>
              </w:rPr>
              <w:t>Prosječna godišnja stopa obnove zgrada (na temelju desetogodišnjeg razdoblja)</w:t>
            </w:r>
          </w:p>
        </w:tc>
        <w:tc>
          <w:tcPr>
            <w:tcW w:w="2359" w:type="dxa"/>
          </w:tcPr>
          <w:p w14:paraId="35AE9CBB"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 xml:space="preserve">Početna vrijednost </w:t>
            </w:r>
          </w:p>
          <w:p w14:paraId="06BF81A9"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 xml:space="preserve">0,7% </w:t>
            </w:r>
          </w:p>
        </w:tc>
        <w:tc>
          <w:tcPr>
            <w:tcW w:w="3397" w:type="dxa"/>
          </w:tcPr>
          <w:p w14:paraId="7BDDEE0F"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Ciljana vrijednost 2030.:</w:t>
            </w:r>
          </w:p>
          <w:p w14:paraId="0C02A219"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3%</w:t>
            </w:r>
          </w:p>
          <w:p w14:paraId="5C115B3E"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r>
      <w:tr w:rsidR="004949CA" w:rsidRPr="002F041F" w14:paraId="6F54030C" w14:textId="77777777" w:rsidTr="638C4C38">
        <w:tc>
          <w:tcPr>
            <w:cnfStyle w:val="001000000000" w:firstRow="0" w:lastRow="0" w:firstColumn="1" w:lastColumn="0" w:oddVBand="0" w:evenVBand="0" w:oddHBand="0" w:evenHBand="0" w:firstRowFirstColumn="0" w:firstRowLastColumn="0" w:lastRowFirstColumn="0" w:lastRowLastColumn="0"/>
            <w:tcW w:w="9062" w:type="dxa"/>
            <w:gridSpan w:val="3"/>
          </w:tcPr>
          <w:p w14:paraId="2DE8B05B"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sz w:val="18"/>
                <w:szCs w:val="18"/>
                <w:lang w:eastAsia="hr-HR"/>
              </w:rPr>
              <w:t>Posebni cilj 1:</w:t>
            </w:r>
          </w:p>
          <w:p w14:paraId="52C264F4" w14:textId="77777777" w:rsidR="004949CA" w:rsidRPr="002F041F" w:rsidRDefault="004949CA" w:rsidP="00331A63">
            <w:pPr>
              <w:rPr>
                <w:rFonts w:ascii="Tahoma" w:hAnsi="Tahoma" w:cs="Tahoma"/>
                <w:sz w:val="18"/>
                <w:szCs w:val="18"/>
                <w:lang w:eastAsia="hr-HR"/>
              </w:rPr>
            </w:pPr>
            <w:r w:rsidRPr="002F041F">
              <w:rPr>
                <w:rFonts w:ascii="Tahoma" w:hAnsi="Tahoma" w:cs="Tahoma"/>
                <w:b w:val="0"/>
                <w:bCs w:val="0"/>
                <w:sz w:val="18"/>
                <w:szCs w:val="18"/>
                <w:lang w:eastAsia="hr-HR"/>
              </w:rPr>
              <w:t>Energetska i sveobuhvatna obnova višestambenih zgrada u razdoblju 2021. do 2030. (provedba ovog Programa energetske obnove VSZ)</w:t>
            </w:r>
          </w:p>
          <w:p w14:paraId="06A7D2F0" w14:textId="77777777" w:rsidR="004949CA" w:rsidRPr="002F041F" w:rsidRDefault="004949CA" w:rsidP="00331A63">
            <w:pPr>
              <w:rPr>
                <w:rFonts w:ascii="Tahoma" w:hAnsi="Tahoma" w:cs="Tahoma"/>
                <w:sz w:val="18"/>
                <w:szCs w:val="18"/>
                <w:lang w:eastAsia="hr-HR"/>
              </w:rPr>
            </w:pPr>
            <w:r w:rsidRPr="002F041F">
              <w:rPr>
                <w:rFonts w:ascii="Tahoma" w:hAnsi="Tahoma" w:cs="Tahoma"/>
                <w:b w:val="0"/>
                <w:bCs w:val="0"/>
                <w:sz w:val="18"/>
                <w:szCs w:val="18"/>
                <w:lang w:eastAsia="hr-HR"/>
              </w:rPr>
              <w:t xml:space="preserve"> </w:t>
            </w:r>
          </w:p>
        </w:tc>
      </w:tr>
      <w:tr w:rsidR="004949CA" w:rsidRPr="002F041F" w14:paraId="197C8F57" w14:textId="77777777" w:rsidTr="638C4C38">
        <w:trPr>
          <w:trHeight w:val="734"/>
        </w:trPr>
        <w:tc>
          <w:tcPr>
            <w:cnfStyle w:val="001000000000" w:firstRow="0" w:lastRow="0" w:firstColumn="1" w:lastColumn="0" w:oddVBand="0" w:evenVBand="0" w:oddHBand="0" w:evenHBand="0" w:firstRowFirstColumn="0" w:firstRowLastColumn="0" w:lastRowFirstColumn="0" w:lastRowLastColumn="0"/>
            <w:tcW w:w="3306" w:type="dxa"/>
          </w:tcPr>
          <w:p w14:paraId="0505D69A"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sz w:val="18"/>
                <w:szCs w:val="18"/>
                <w:lang w:eastAsia="hr-HR"/>
              </w:rPr>
              <w:t>Pokazatelj ishoda:</w:t>
            </w:r>
          </w:p>
          <w:p w14:paraId="4C069382"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b w:val="0"/>
                <w:bCs w:val="0"/>
                <w:sz w:val="18"/>
                <w:szCs w:val="18"/>
                <w:lang w:eastAsia="hr-HR"/>
              </w:rPr>
              <w:t xml:space="preserve">Ukupno obnovljena građevinska bruto površina VSZ u desetogodišnjem razdoblju </w:t>
            </w:r>
          </w:p>
          <w:p w14:paraId="3355B998" w14:textId="77777777" w:rsidR="004949CA" w:rsidRPr="002F041F" w:rsidRDefault="004949CA" w:rsidP="00331A63">
            <w:pPr>
              <w:rPr>
                <w:rFonts w:ascii="Tahoma" w:hAnsi="Tahoma" w:cs="Tahoma"/>
                <w:sz w:val="18"/>
                <w:szCs w:val="18"/>
                <w:lang w:eastAsia="hr-HR"/>
              </w:rPr>
            </w:pPr>
          </w:p>
        </w:tc>
        <w:tc>
          <w:tcPr>
            <w:tcW w:w="2359" w:type="dxa"/>
          </w:tcPr>
          <w:p w14:paraId="7ABDCE1D"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Početna vrijednost:</w:t>
            </w:r>
          </w:p>
          <w:p w14:paraId="5E991CD4"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0</w:t>
            </w:r>
          </w:p>
        </w:tc>
        <w:tc>
          <w:tcPr>
            <w:tcW w:w="3397" w:type="dxa"/>
          </w:tcPr>
          <w:p w14:paraId="32F3D93E"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Ciljana vrijednost 2024.:</w:t>
            </w:r>
          </w:p>
          <w:p w14:paraId="4FE1EC66"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1,57 milijuna m</w:t>
            </w:r>
            <w:r w:rsidRPr="002F041F">
              <w:rPr>
                <w:rFonts w:ascii="Tahoma" w:hAnsi="Tahoma" w:cs="Tahoma"/>
                <w:sz w:val="18"/>
                <w:szCs w:val="18"/>
                <w:vertAlign w:val="superscript"/>
                <w:lang w:eastAsia="hr-HR"/>
              </w:rPr>
              <w:t>2</w:t>
            </w:r>
          </w:p>
          <w:p w14:paraId="2936ECD5"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Ciljana vrijednost 2030.:</w:t>
            </w:r>
          </w:p>
          <w:p w14:paraId="3B2870CF"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6,27 milijuna m</w:t>
            </w:r>
            <w:r w:rsidRPr="002F041F">
              <w:rPr>
                <w:rFonts w:ascii="Tahoma" w:hAnsi="Tahoma" w:cs="Tahoma"/>
                <w:sz w:val="18"/>
                <w:szCs w:val="18"/>
                <w:vertAlign w:val="superscript"/>
                <w:lang w:eastAsia="hr-HR"/>
              </w:rPr>
              <w:t>2</w:t>
            </w:r>
          </w:p>
        </w:tc>
      </w:tr>
      <w:tr w:rsidR="004949CA" w:rsidRPr="002F041F" w14:paraId="4A7F86B3" w14:textId="77777777" w:rsidTr="638C4C38">
        <w:tc>
          <w:tcPr>
            <w:cnfStyle w:val="001000000000" w:firstRow="0" w:lastRow="0" w:firstColumn="1" w:lastColumn="0" w:oddVBand="0" w:evenVBand="0" w:oddHBand="0" w:evenHBand="0" w:firstRowFirstColumn="0" w:firstRowLastColumn="0" w:lastRowFirstColumn="0" w:lastRowLastColumn="0"/>
            <w:tcW w:w="3306" w:type="dxa"/>
          </w:tcPr>
          <w:p w14:paraId="5A93C3C9"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sz w:val="18"/>
                <w:szCs w:val="18"/>
                <w:lang w:eastAsia="hr-HR"/>
              </w:rPr>
              <w:t>Pokazatelj ishoda:</w:t>
            </w:r>
          </w:p>
          <w:p w14:paraId="71CAE549" w14:textId="77777777" w:rsidR="004949CA" w:rsidRPr="002F041F" w:rsidRDefault="004949CA" w:rsidP="00331A63">
            <w:pPr>
              <w:rPr>
                <w:rFonts w:ascii="Tahoma" w:hAnsi="Tahoma" w:cs="Tahoma"/>
                <w:b w:val="0"/>
                <w:bCs w:val="0"/>
                <w:sz w:val="18"/>
                <w:szCs w:val="18"/>
                <w:lang w:eastAsia="hr-HR"/>
              </w:rPr>
            </w:pPr>
            <w:r w:rsidRPr="002F041F">
              <w:rPr>
                <w:rFonts w:ascii="Tahoma" w:hAnsi="Tahoma" w:cs="Tahoma"/>
                <w:b w:val="0"/>
                <w:bCs w:val="0"/>
                <w:sz w:val="18"/>
                <w:szCs w:val="18"/>
                <w:lang w:eastAsia="hr-HR"/>
              </w:rPr>
              <w:t xml:space="preserve">Kumulativna ušteda energije u neposrednoj potrošnji ostvarenih obnovom VSZ u razdoblju </w:t>
            </w:r>
          </w:p>
          <w:p w14:paraId="0FCB179C" w14:textId="77777777" w:rsidR="004949CA" w:rsidRPr="002F041F" w:rsidRDefault="004949CA" w:rsidP="00331A63">
            <w:pPr>
              <w:rPr>
                <w:rFonts w:ascii="Tahoma" w:hAnsi="Tahoma" w:cs="Tahoma"/>
                <w:sz w:val="18"/>
                <w:szCs w:val="18"/>
                <w:lang w:eastAsia="hr-HR"/>
              </w:rPr>
            </w:pPr>
          </w:p>
        </w:tc>
        <w:tc>
          <w:tcPr>
            <w:tcW w:w="2359" w:type="dxa"/>
          </w:tcPr>
          <w:p w14:paraId="7D557956"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Početna vrijednost:</w:t>
            </w:r>
          </w:p>
          <w:p w14:paraId="531CC4E3"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0</w:t>
            </w:r>
          </w:p>
        </w:tc>
        <w:tc>
          <w:tcPr>
            <w:tcW w:w="3397" w:type="dxa"/>
          </w:tcPr>
          <w:p w14:paraId="11BA20FE"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Ciljana vrijednost 2024. (2021.-2024.):</w:t>
            </w:r>
          </w:p>
          <w:p w14:paraId="2C9072A9"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294,6 GWh</w:t>
            </w:r>
          </w:p>
          <w:p w14:paraId="3C8B94B0" w14:textId="77777777"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2F041F">
              <w:rPr>
                <w:rFonts w:ascii="Tahoma" w:hAnsi="Tahoma" w:cs="Tahoma"/>
                <w:sz w:val="18"/>
                <w:szCs w:val="18"/>
                <w:lang w:eastAsia="hr-HR"/>
              </w:rPr>
              <w:t>Ciljana vrijednost 2030. (2021.-2030.:</w:t>
            </w:r>
          </w:p>
          <w:p w14:paraId="51D3EEDD" w14:textId="1DE34C12" w:rsidR="004949CA" w:rsidRPr="002F041F"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vertAlign w:val="superscript"/>
                <w:lang w:eastAsia="hr-HR"/>
              </w:rPr>
            </w:pPr>
            <w:r w:rsidRPr="002F041F">
              <w:rPr>
                <w:rFonts w:ascii="Tahoma" w:hAnsi="Tahoma" w:cs="Tahoma"/>
                <w:sz w:val="18"/>
                <w:szCs w:val="18"/>
                <w:lang w:eastAsia="hr-HR"/>
              </w:rPr>
              <w:t xml:space="preserve">2.348,0 GWh (prema </w:t>
            </w:r>
            <w:r w:rsidR="00460A2C">
              <w:rPr>
                <w:rFonts w:ascii="Tahoma" w:hAnsi="Tahoma" w:cs="Tahoma"/>
                <w:b/>
                <w:bCs/>
                <w:sz w:val="18"/>
                <w:szCs w:val="18"/>
                <w:lang w:eastAsia="hr-HR"/>
              </w:rPr>
              <w:fldChar w:fldCharType="begin"/>
            </w:r>
            <w:r w:rsidR="00460A2C">
              <w:rPr>
                <w:rFonts w:ascii="Tahoma" w:hAnsi="Tahoma" w:cs="Tahoma"/>
                <w:sz w:val="18"/>
                <w:szCs w:val="18"/>
                <w:lang w:eastAsia="hr-HR"/>
              </w:rPr>
              <w:instrText xml:space="preserve"> REF _Ref83115033 \h </w:instrText>
            </w:r>
            <w:r w:rsidR="00460A2C">
              <w:rPr>
                <w:rFonts w:ascii="Tahoma" w:hAnsi="Tahoma" w:cs="Tahoma"/>
                <w:b/>
                <w:bCs/>
                <w:sz w:val="18"/>
                <w:szCs w:val="18"/>
                <w:lang w:eastAsia="hr-HR"/>
              </w:rPr>
            </w:r>
            <w:r w:rsidR="00460A2C">
              <w:rPr>
                <w:rFonts w:ascii="Tahoma" w:hAnsi="Tahoma" w:cs="Tahoma"/>
                <w:b/>
                <w:bCs/>
                <w:sz w:val="18"/>
                <w:szCs w:val="18"/>
                <w:lang w:eastAsia="hr-HR"/>
              </w:rPr>
              <w:fldChar w:fldCharType="separate"/>
            </w:r>
            <w:r w:rsidR="00575AF9" w:rsidRPr="00DE7F43">
              <w:t xml:space="preserve">Tablica </w:t>
            </w:r>
            <w:r w:rsidR="00575AF9">
              <w:rPr>
                <w:noProof/>
              </w:rPr>
              <w:t>3</w:t>
            </w:r>
            <w:r w:rsidR="00575AF9">
              <w:noBreakHyphen/>
            </w:r>
            <w:r w:rsidR="00575AF9">
              <w:rPr>
                <w:noProof/>
              </w:rPr>
              <w:t>17</w:t>
            </w:r>
            <w:r w:rsidR="00460A2C">
              <w:rPr>
                <w:rFonts w:ascii="Tahoma" w:hAnsi="Tahoma" w:cs="Tahoma"/>
                <w:b/>
                <w:bCs/>
                <w:sz w:val="18"/>
                <w:szCs w:val="18"/>
                <w:lang w:eastAsia="hr-HR"/>
              </w:rPr>
              <w:fldChar w:fldCharType="end"/>
            </w:r>
            <w:r w:rsidRPr="002F041F">
              <w:rPr>
                <w:rFonts w:ascii="Tahoma" w:hAnsi="Tahoma" w:cs="Tahoma"/>
                <w:sz w:val="18"/>
                <w:szCs w:val="18"/>
                <w:lang w:eastAsia="hr-HR"/>
              </w:rPr>
              <w:t>)</w:t>
            </w:r>
          </w:p>
        </w:tc>
      </w:tr>
    </w:tbl>
    <w:p w14:paraId="195F68E1" w14:textId="77777777" w:rsidR="004949CA" w:rsidRPr="002F041F" w:rsidRDefault="004949CA" w:rsidP="00745697">
      <w:pPr>
        <w:spacing w:before="120" w:after="120" w:line="240" w:lineRule="auto"/>
        <w:jc w:val="both"/>
        <w:rPr>
          <w:rFonts w:ascii="Tahoma" w:hAnsi="Tahoma" w:cs="Tahoma"/>
          <w:sz w:val="20"/>
          <w:szCs w:val="20"/>
          <w:lang w:eastAsia="hr-HR"/>
        </w:rPr>
      </w:pPr>
      <w:r w:rsidRPr="002F041F">
        <w:rPr>
          <w:rFonts w:ascii="Tahoma" w:hAnsi="Tahoma" w:cs="Tahoma"/>
          <w:sz w:val="20"/>
          <w:szCs w:val="20"/>
          <w:lang w:eastAsia="hr-HR"/>
        </w:rPr>
        <w:t xml:space="preserve">Ciljane vrijednosti pokazatelja ishoda daju se za 2024. i 2030. godinu. Naime, krajem 2024. godine završit će prvo trogodišnje razdoblje provedbe ovoga Programa (2022.-2024.), što je i u skladu s vremenskim okvirom Nacionalnog akcijskog plana energetske učinkovitosti koji se izrađuje prema obvezi utvrđenoj Zakonom o energetskoj učinkovitosti. </w:t>
      </w:r>
    </w:p>
    <w:p w14:paraId="7C475022" w14:textId="77777777" w:rsidR="004949CA" w:rsidRPr="002F041F" w:rsidRDefault="004949CA" w:rsidP="00745697">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2F041F">
        <w:rPr>
          <w:rFonts w:ascii="Tahoma" w:hAnsi="Tahoma" w:cs="Tahoma"/>
          <w:b/>
          <w:bCs/>
          <w:sz w:val="20"/>
          <w:szCs w:val="20"/>
        </w:rPr>
        <w:t xml:space="preserve">Sve ovdje prikazane ciljane vrijednosti u skladu su s Dugoročnom strategijom, a služe za praćenje napretka i kontinuiteta provedbe Programa. </w:t>
      </w:r>
    </w:p>
    <w:p w14:paraId="56DA24BB" w14:textId="3EF91BDF" w:rsidR="004949CA" w:rsidRPr="002F041F" w:rsidRDefault="004949CA" w:rsidP="00745697">
      <w:pPr>
        <w:spacing w:before="120" w:after="120" w:line="240" w:lineRule="auto"/>
        <w:jc w:val="both"/>
        <w:rPr>
          <w:rFonts w:ascii="Tahoma" w:hAnsi="Tahoma" w:cs="Tahoma"/>
          <w:sz w:val="20"/>
          <w:szCs w:val="20"/>
          <w:lang w:eastAsia="hr-HR"/>
        </w:rPr>
      </w:pPr>
      <w:r w:rsidRPr="002F041F">
        <w:rPr>
          <w:rFonts w:ascii="Tahoma" w:hAnsi="Tahoma" w:cs="Tahoma"/>
          <w:sz w:val="20"/>
          <w:szCs w:val="20"/>
          <w:lang w:eastAsia="hr-HR"/>
        </w:rPr>
        <w:t xml:space="preserve">Ostvarenje ovih ciljeva ovisit će o dostupnosti potrebnih javnih financijskih sredstava za poticaje, kako bi se investicije u obnovu doista i </w:t>
      </w:r>
      <w:r w:rsidR="00745697" w:rsidRPr="002F041F">
        <w:rPr>
          <w:rFonts w:ascii="Tahoma" w:hAnsi="Tahoma" w:cs="Tahoma"/>
          <w:sz w:val="20"/>
          <w:szCs w:val="20"/>
          <w:lang w:eastAsia="hr-HR"/>
        </w:rPr>
        <w:t>ostvarile</w:t>
      </w:r>
      <w:r w:rsidRPr="002F041F">
        <w:rPr>
          <w:rFonts w:ascii="Tahoma" w:hAnsi="Tahoma" w:cs="Tahoma"/>
          <w:sz w:val="20"/>
          <w:szCs w:val="20"/>
          <w:lang w:eastAsia="hr-HR"/>
        </w:rPr>
        <w:t xml:space="preserve"> (procjena potrebnih investicija prikazana je u poglavlju 11.). Prema do sada poznatim </w:t>
      </w:r>
      <w:r w:rsidR="00745697" w:rsidRPr="002F041F">
        <w:rPr>
          <w:rFonts w:ascii="Tahoma" w:hAnsi="Tahoma" w:cs="Tahoma"/>
          <w:sz w:val="20"/>
          <w:szCs w:val="20"/>
          <w:lang w:eastAsia="hr-HR"/>
        </w:rPr>
        <w:t>informacijama</w:t>
      </w:r>
      <w:r w:rsidRPr="002F041F">
        <w:rPr>
          <w:rFonts w:ascii="Tahoma" w:hAnsi="Tahoma" w:cs="Tahoma"/>
          <w:sz w:val="20"/>
          <w:szCs w:val="20"/>
          <w:lang w:eastAsia="hr-HR"/>
        </w:rPr>
        <w:t xml:space="preserve"> o raspoloživim sredstvima, prvenstveno iz Mehanizma za oporavak i otpornost, postizanje gore navedenih ciljeva za 2024. godinu bit će izazovno. Zbog toga je nužno pronalaziti nove izvore financiranja, kako bi se ti ciljevi odnosno ciljevi za 2030. </w:t>
      </w:r>
      <w:r w:rsidR="00745697" w:rsidRPr="002F041F">
        <w:rPr>
          <w:rFonts w:ascii="Tahoma" w:hAnsi="Tahoma" w:cs="Tahoma"/>
          <w:sz w:val="20"/>
          <w:szCs w:val="20"/>
          <w:lang w:eastAsia="hr-HR"/>
        </w:rPr>
        <w:t>godinu</w:t>
      </w:r>
      <w:r w:rsidRPr="002F041F">
        <w:rPr>
          <w:rFonts w:ascii="Tahoma" w:hAnsi="Tahoma" w:cs="Tahoma"/>
          <w:sz w:val="20"/>
          <w:szCs w:val="20"/>
          <w:lang w:eastAsia="hr-HR"/>
        </w:rPr>
        <w:t xml:space="preserve"> i postigli. </w:t>
      </w:r>
    </w:p>
    <w:p w14:paraId="26FA21F2" w14:textId="125B5F5F" w:rsidR="004949CA" w:rsidRPr="002F041F" w:rsidRDefault="004949CA" w:rsidP="006F4210">
      <w:pPr>
        <w:spacing w:before="120" w:after="120" w:line="240" w:lineRule="auto"/>
        <w:jc w:val="both"/>
        <w:rPr>
          <w:rFonts w:ascii="Tahoma" w:hAnsi="Tahoma" w:cs="Tahoma"/>
          <w:sz w:val="20"/>
          <w:szCs w:val="20"/>
          <w:lang w:eastAsia="hr-HR"/>
        </w:rPr>
      </w:pPr>
      <w:r w:rsidRPr="002F041F">
        <w:rPr>
          <w:rFonts w:ascii="Tahoma" w:hAnsi="Tahoma" w:cs="Tahoma"/>
          <w:sz w:val="20"/>
          <w:szCs w:val="20"/>
          <w:lang w:eastAsia="hr-HR"/>
        </w:rPr>
        <w:t xml:space="preserve">Program je, prema potrebi, potrebno revidirati nakon prvog trogodišnjeg razdoblja njegove </w:t>
      </w:r>
      <w:r w:rsidR="00745697" w:rsidRPr="002F041F">
        <w:rPr>
          <w:rFonts w:ascii="Tahoma" w:hAnsi="Tahoma" w:cs="Tahoma"/>
          <w:sz w:val="20"/>
          <w:szCs w:val="20"/>
          <w:lang w:eastAsia="hr-HR"/>
        </w:rPr>
        <w:t>p</w:t>
      </w:r>
      <w:r w:rsidRPr="002F041F">
        <w:rPr>
          <w:rFonts w:ascii="Tahoma" w:hAnsi="Tahoma" w:cs="Tahoma"/>
          <w:sz w:val="20"/>
          <w:szCs w:val="20"/>
          <w:lang w:eastAsia="hr-HR"/>
        </w:rPr>
        <w:t xml:space="preserve">rovedbe, utvrditi ostvarenja do kraja 2024. godine te očekivano kretanje prema ciljevima za sljedeće trogodišnje razdoblje (do kraja 2027. godine) kao i za cijelo razdoblje do kraja 2030. godine. Početne vrijednosti pokazatelja ishoda postavljene su na nulu, jer se ovoj Program odnosi na novo razdoblje te ostvarenja iz proteklog razdoblja nemaju utjecaja na ciljeve koji se postavljaju za 2030. godinu.  </w:t>
      </w:r>
    </w:p>
    <w:p w14:paraId="64F4FC08" w14:textId="6BEA670F" w:rsidR="004949CA" w:rsidRDefault="004949CA" w:rsidP="004949CA">
      <w:pPr>
        <w:pStyle w:val="Naslov10"/>
      </w:pPr>
      <w:bookmarkStart w:id="141" w:name="_Toc81836287"/>
      <w:bookmarkStart w:id="142" w:name="_Toc83912059"/>
      <w:r>
        <w:lastRenderedPageBreak/>
        <w:t>P</w:t>
      </w:r>
      <w:r w:rsidR="00193631">
        <w:t xml:space="preserve">rijedlog i analiza mjera </w:t>
      </w:r>
      <w:r>
        <w:t>obnove  višestambenih zgrada</w:t>
      </w:r>
      <w:bookmarkEnd w:id="141"/>
      <w:bookmarkEnd w:id="142"/>
    </w:p>
    <w:p w14:paraId="2575A4D0" w14:textId="4AF02260" w:rsidR="004949CA" w:rsidRDefault="004949CA" w:rsidP="004949CA">
      <w:pPr>
        <w:pStyle w:val="Naslov20"/>
      </w:pPr>
      <w:bookmarkStart w:id="143" w:name="_Toc81836288"/>
      <w:bookmarkStart w:id="144" w:name="_Toc83912060"/>
      <w:r>
        <w:t>Mjere energetske obnove</w:t>
      </w:r>
      <w:bookmarkEnd w:id="143"/>
      <w:bookmarkEnd w:id="144"/>
    </w:p>
    <w:p w14:paraId="2D40743D" w14:textId="694CC88A" w:rsidR="004949CA" w:rsidRPr="008A6D46" w:rsidRDefault="004949CA" w:rsidP="008A6D46">
      <w:pPr>
        <w:spacing w:before="120" w:after="120" w:line="240" w:lineRule="auto"/>
        <w:jc w:val="both"/>
        <w:rPr>
          <w:rFonts w:ascii="Tahoma" w:hAnsi="Tahoma" w:cs="Tahoma"/>
          <w:sz w:val="20"/>
          <w:szCs w:val="20"/>
          <w:lang w:eastAsia="hr-HR"/>
        </w:rPr>
      </w:pPr>
      <w:r w:rsidRPr="008A6D46">
        <w:rPr>
          <w:rFonts w:ascii="Tahoma" w:hAnsi="Tahoma" w:cs="Tahoma"/>
          <w:sz w:val="20"/>
          <w:szCs w:val="20"/>
          <w:lang w:eastAsia="hr-HR"/>
        </w:rPr>
        <w:t xml:space="preserve">Mjere energetske obnove VSZ uključuju pojedinačne mjere za poboljšanje </w:t>
      </w:r>
      <w:proofErr w:type="spellStart"/>
      <w:r w:rsidRPr="008A6D46">
        <w:rPr>
          <w:rFonts w:ascii="Tahoma" w:hAnsi="Tahoma" w:cs="Tahoma"/>
          <w:sz w:val="20"/>
          <w:szCs w:val="20"/>
          <w:lang w:eastAsia="hr-HR"/>
        </w:rPr>
        <w:t>EnU</w:t>
      </w:r>
      <w:proofErr w:type="spellEnd"/>
      <w:r w:rsidRPr="008A6D46">
        <w:rPr>
          <w:rFonts w:ascii="Tahoma" w:hAnsi="Tahoma" w:cs="Tahoma"/>
          <w:sz w:val="20"/>
          <w:szCs w:val="20"/>
          <w:lang w:eastAsia="hr-HR"/>
        </w:rPr>
        <w:t xml:space="preserve"> i korištenje OIE kao i kombinaciju tih mjera, o kojoj ovisi radi li se o razini integralne energetske ili dubinske obnove. </w:t>
      </w:r>
      <w:r w:rsidR="00992E4C">
        <w:rPr>
          <w:rFonts w:ascii="Tahoma" w:hAnsi="Tahoma" w:cs="Tahoma"/>
          <w:sz w:val="20"/>
          <w:szCs w:val="20"/>
          <w:lang w:eastAsia="hr-HR"/>
        </w:rPr>
        <w:fldChar w:fldCharType="begin"/>
      </w:r>
      <w:r w:rsidR="00992E4C">
        <w:rPr>
          <w:rFonts w:ascii="Tahoma" w:hAnsi="Tahoma" w:cs="Tahoma"/>
          <w:sz w:val="20"/>
          <w:szCs w:val="20"/>
          <w:lang w:eastAsia="hr-HR"/>
        </w:rPr>
        <w:instrText xml:space="preserve"> REF _Ref83115224 \h </w:instrText>
      </w:r>
      <w:r w:rsidR="00992E4C">
        <w:rPr>
          <w:rFonts w:ascii="Tahoma" w:hAnsi="Tahoma" w:cs="Tahoma"/>
          <w:sz w:val="20"/>
          <w:szCs w:val="20"/>
          <w:lang w:eastAsia="hr-HR"/>
        </w:rPr>
      </w:r>
      <w:r w:rsidR="00992E4C">
        <w:rPr>
          <w:rFonts w:ascii="Tahoma" w:hAnsi="Tahoma" w:cs="Tahoma"/>
          <w:sz w:val="20"/>
          <w:szCs w:val="20"/>
          <w:lang w:eastAsia="hr-HR"/>
        </w:rPr>
        <w:fldChar w:fldCharType="separate"/>
      </w:r>
      <w:r w:rsidR="00575AF9" w:rsidRPr="00B2139E">
        <w:t xml:space="preserve">Tablica </w:t>
      </w:r>
      <w:r w:rsidR="00575AF9">
        <w:rPr>
          <w:noProof/>
        </w:rPr>
        <w:t>8</w:t>
      </w:r>
      <w:r w:rsidR="00575AF9" w:rsidRPr="00B2139E">
        <w:noBreakHyphen/>
      </w:r>
      <w:r w:rsidR="00575AF9">
        <w:rPr>
          <w:noProof/>
        </w:rPr>
        <w:t>1</w:t>
      </w:r>
      <w:r w:rsidR="00992E4C">
        <w:rPr>
          <w:rFonts w:ascii="Tahoma" w:hAnsi="Tahoma" w:cs="Tahoma"/>
          <w:sz w:val="20"/>
          <w:szCs w:val="20"/>
          <w:lang w:eastAsia="hr-HR"/>
        </w:rPr>
        <w:fldChar w:fldCharType="end"/>
      </w:r>
      <w:r w:rsidRPr="008A6D46">
        <w:rPr>
          <w:rFonts w:ascii="Tahoma" w:hAnsi="Tahoma" w:cs="Tahoma"/>
          <w:sz w:val="20"/>
          <w:szCs w:val="20"/>
          <w:lang w:eastAsia="hr-HR"/>
        </w:rPr>
        <w:t xml:space="preserve"> prikazuje okvirnu listu mjera energetske obnove koje se provode i sufinanciraju u sklopu ovog Programa. </w:t>
      </w:r>
    </w:p>
    <w:p w14:paraId="1CB8163D" w14:textId="77777777" w:rsidR="004949CA" w:rsidRPr="008A6D46" w:rsidRDefault="004949CA" w:rsidP="008A6D46">
      <w:pPr>
        <w:spacing w:before="120" w:after="120" w:line="240" w:lineRule="auto"/>
        <w:jc w:val="both"/>
        <w:rPr>
          <w:rFonts w:ascii="Tahoma" w:hAnsi="Tahoma" w:cs="Tahoma"/>
          <w:sz w:val="20"/>
          <w:szCs w:val="20"/>
          <w:lang w:eastAsia="hr-HR"/>
        </w:rPr>
      </w:pPr>
      <w:r w:rsidRPr="008A6D46">
        <w:rPr>
          <w:rFonts w:ascii="Tahoma" w:hAnsi="Tahoma" w:cs="Tahoma"/>
          <w:sz w:val="20"/>
          <w:szCs w:val="20"/>
          <w:lang w:eastAsia="hr-HR"/>
        </w:rPr>
        <w:t>Elementi ovojnice i tehnički sustavi moraju ispuniti zahtjeve propisane u Tehničko</w:t>
      </w:r>
      <w:r w:rsidRPr="008A6D46">
        <w:rPr>
          <w:rFonts w:ascii="Tahoma" w:hAnsi="Tahoma" w:cs="Tahoma"/>
          <w:sz w:val="20"/>
          <w:szCs w:val="20"/>
        </w:rPr>
        <w:t xml:space="preserve">m </w:t>
      </w:r>
      <w:r w:rsidRPr="008A6D46">
        <w:rPr>
          <w:rFonts w:ascii="Tahoma" w:hAnsi="Tahoma" w:cs="Tahoma"/>
          <w:sz w:val="20"/>
          <w:szCs w:val="20"/>
          <w:lang w:eastAsia="hr-HR"/>
        </w:rPr>
        <w:t xml:space="preserve">propisu o racionalnoj uporabi energije i toplinskoj zaštiti u zgradama, koji je važeći u trenutku objave javnog poziva za sufinanciranje. Ukoliko za neku mjeru nema propisanih minimalnih zahtjeva, oni se mogu utvrditi u javnim pozivima na temelju istraživanja tržišta te se vrijednosti postavljaju na one koje odgovaraju najboljim raspoloživim tehnologijama na tržištu. Utvrđivanje tehničkih uvjeta provodi tijelo nadležno za provedbu javnih poziva temeljem ovog Programa. </w:t>
      </w:r>
      <w:r w:rsidRPr="008A6D46">
        <w:rPr>
          <w:rFonts w:ascii="Tahoma" w:hAnsi="Tahoma" w:cs="Tahoma"/>
          <w:sz w:val="20"/>
          <w:szCs w:val="20"/>
        </w:rPr>
        <w:t>Mjere vezane uz tehničke sustave predstavljaju visokoučinkovite alternativne sustave, u skladu s navedenim Tehničkim propisom te Katalogom tipskih rješenja za primjenu alternativnih sustava.</w:t>
      </w:r>
    </w:p>
    <w:p w14:paraId="5D39DFF9" w14:textId="39702350"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lang w:eastAsia="hr-HR"/>
        </w:rPr>
        <w:t xml:space="preserve">U tablici 8-1 daju se aktualne prosječne tržišne jedinične cijene za pojedinačne mjere (ako je primjenjivo. Ovi troškovi utvrđeni su na temelju analiza provedenih za </w:t>
      </w:r>
      <w:r w:rsidRPr="008A6D46">
        <w:rPr>
          <w:rFonts w:ascii="Tahoma" w:hAnsi="Tahoma" w:cs="Tahoma"/>
          <w:sz w:val="20"/>
          <w:szCs w:val="20"/>
        </w:rPr>
        <w:t>utvrđivanje novih minimalnih zahtjeva za energetsko svojstvo zgrada prema njihovoj namjeni (tzv. referentne zgrade) u skladu sa zahtjevima Direktive o energetskim svojstvima zgrada</w:t>
      </w:r>
      <w:r w:rsidRPr="008A6D46">
        <w:rPr>
          <w:rStyle w:val="Referencafusnote"/>
          <w:rFonts w:cs="Tahoma"/>
          <w:sz w:val="20"/>
          <w:szCs w:val="20"/>
        </w:rPr>
        <w:footnoteReference w:id="20"/>
      </w:r>
      <w:r w:rsidRPr="008A6D46">
        <w:rPr>
          <w:rFonts w:ascii="Tahoma" w:hAnsi="Tahoma" w:cs="Tahoma"/>
          <w:sz w:val="20"/>
          <w:szCs w:val="20"/>
        </w:rPr>
        <w:t xml:space="preserve"> te utvrđivanje troškovno optimalnih uvjeta obnove, pri čemu se koriste stvarni podatci o troškovima iz realiziranih projekata obnove, ali se uvažava i porast cijena opreme i radova od trenutka realizacije tih projekata do danas</w:t>
      </w:r>
      <w:r w:rsidRPr="008A6D46">
        <w:rPr>
          <w:rStyle w:val="Referencafusnote"/>
          <w:rFonts w:cs="Tahoma"/>
          <w:sz w:val="20"/>
          <w:szCs w:val="20"/>
        </w:rPr>
        <w:footnoteReference w:id="21"/>
      </w:r>
      <w:r w:rsidRPr="008A6D46">
        <w:rPr>
          <w:rFonts w:ascii="Tahoma" w:hAnsi="Tahoma" w:cs="Tahoma"/>
          <w:sz w:val="20"/>
          <w:szCs w:val="20"/>
        </w:rPr>
        <w:t xml:space="preserve">. Stoga su cijene u Tablici 8-1 samo okvirne i predstavljaju trenutno stanje na tržištu. </w:t>
      </w:r>
      <w:r w:rsidRPr="008A6D46">
        <w:rPr>
          <w:rFonts w:ascii="Tahoma" w:hAnsi="Tahoma" w:cs="Tahoma"/>
          <w:b/>
          <w:bCs/>
          <w:sz w:val="20"/>
          <w:szCs w:val="20"/>
        </w:rPr>
        <w:t>U</w:t>
      </w:r>
      <w:r w:rsidRPr="008A6D46">
        <w:rPr>
          <w:rFonts w:ascii="Tahoma" w:hAnsi="Tahoma" w:cs="Tahoma"/>
          <w:b/>
          <w:bCs/>
          <w:sz w:val="20"/>
          <w:szCs w:val="20"/>
          <w:lang w:eastAsia="hr-HR"/>
        </w:rPr>
        <w:t xml:space="preserve"> javnim pozivima za sufinanciranje obnove VSZ odnosno programu kreditiranja putem financijskog </w:t>
      </w:r>
      <w:r w:rsidR="003D3044" w:rsidRPr="008A6D46">
        <w:rPr>
          <w:rFonts w:ascii="Tahoma" w:hAnsi="Tahoma" w:cs="Tahoma"/>
          <w:b/>
          <w:bCs/>
          <w:sz w:val="20"/>
          <w:szCs w:val="20"/>
          <w:lang w:eastAsia="hr-HR"/>
        </w:rPr>
        <w:t>instrumenta</w:t>
      </w:r>
      <w:r w:rsidRPr="008A6D46">
        <w:rPr>
          <w:rFonts w:ascii="Tahoma" w:hAnsi="Tahoma" w:cs="Tahoma"/>
          <w:b/>
          <w:bCs/>
          <w:sz w:val="20"/>
          <w:szCs w:val="20"/>
          <w:lang w:eastAsia="hr-HR"/>
        </w:rPr>
        <w:t xml:space="preserve"> utvrđuju se mjere i iznosi maksimalno prihvatljivih troškova po mjerama ili grupama mjera</w:t>
      </w:r>
      <w:r w:rsidRPr="008A6D46">
        <w:rPr>
          <w:rFonts w:ascii="Tahoma" w:hAnsi="Tahoma" w:cs="Tahoma"/>
          <w:sz w:val="20"/>
          <w:szCs w:val="20"/>
          <w:lang w:eastAsia="hr-HR"/>
        </w:rPr>
        <w:t>, temeljem troškova ostvarenih u provedenim projektima obnove VSZ.</w:t>
      </w:r>
      <w:r w:rsidRPr="008A6D46">
        <w:rPr>
          <w:rFonts w:ascii="Tahoma" w:hAnsi="Tahoma" w:cs="Tahoma"/>
          <w:sz w:val="20"/>
          <w:szCs w:val="20"/>
        </w:rPr>
        <w:t xml:space="preserve"> </w:t>
      </w:r>
    </w:p>
    <w:p w14:paraId="10524E0B" w14:textId="1E0780A4"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 xml:space="preserve">Okvirne </w:t>
      </w:r>
      <w:r w:rsidR="00654118">
        <w:rPr>
          <w:rFonts w:ascii="Tahoma" w:hAnsi="Tahoma" w:cs="Tahoma"/>
          <w:sz w:val="20"/>
          <w:szCs w:val="20"/>
        </w:rPr>
        <w:t>jedinične cijene mjera</w:t>
      </w:r>
      <w:r w:rsidR="00654118" w:rsidRPr="008A6D46">
        <w:rPr>
          <w:rFonts w:ascii="Tahoma" w:hAnsi="Tahoma" w:cs="Tahoma"/>
          <w:sz w:val="20"/>
          <w:szCs w:val="20"/>
        </w:rPr>
        <w:t xml:space="preserve"> </w:t>
      </w:r>
      <w:r w:rsidRPr="008A6D46">
        <w:rPr>
          <w:rFonts w:ascii="Tahoma" w:hAnsi="Tahoma" w:cs="Tahoma"/>
          <w:sz w:val="20"/>
          <w:szCs w:val="20"/>
        </w:rPr>
        <w:t xml:space="preserve">obuhvaćaju radove potrebne za provedbu mjere – pripremne, radove na provedbi mjere i radove nužne za osiguranje cjelovitog djelovanja zgrade. </w:t>
      </w:r>
    </w:p>
    <w:p w14:paraId="4088B5C4" w14:textId="6B232540" w:rsidR="004949CA" w:rsidRPr="00B2139E" w:rsidRDefault="004949CA" w:rsidP="004949CA">
      <w:pPr>
        <w:pStyle w:val="Opisslike"/>
      </w:pPr>
      <w:bookmarkStart w:id="145" w:name="_Ref83115224"/>
      <w:bookmarkStart w:id="146" w:name="_Toc72332616"/>
      <w:bookmarkStart w:id="147" w:name="_Toc84240503"/>
      <w:bookmarkStart w:id="148" w:name="_Hlk80958665"/>
      <w:r w:rsidRPr="00B2139E">
        <w:t xml:space="preserve">Tablica </w:t>
      </w:r>
      <w:r w:rsidRPr="00B2139E">
        <w:rPr>
          <w:noProof/>
        </w:rPr>
        <w:fldChar w:fldCharType="begin"/>
      </w:r>
      <w:r w:rsidRPr="00B2139E">
        <w:rPr>
          <w:noProof/>
        </w:rPr>
        <w:instrText xml:space="preserve"> STYLEREF 1 \s </w:instrText>
      </w:r>
      <w:r w:rsidRPr="00B2139E">
        <w:rPr>
          <w:noProof/>
        </w:rPr>
        <w:fldChar w:fldCharType="separate"/>
      </w:r>
      <w:r w:rsidR="00575AF9">
        <w:rPr>
          <w:noProof/>
        </w:rPr>
        <w:t>8</w:t>
      </w:r>
      <w:r w:rsidRPr="00B2139E">
        <w:rPr>
          <w:noProof/>
        </w:rPr>
        <w:fldChar w:fldCharType="end"/>
      </w:r>
      <w:r w:rsidRPr="00B2139E">
        <w:noBreakHyphen/>
      </w:r>
      <w:r>
        <w:fldChar w:fldCharType="begin"/>
      </w:r>
      <w:r>
        <w:instrText>SEQ Tablica \* ARABIC \s 1</w:instrText>
      </w:r>
      <w:r>
        <w:fldChar w:fldCharType="separate"/>
      </w:r>
      <w:r w:rsidR="00575AF9">
        <w:rPr>
          <w:noProof/>
        </w:rPr>
        <w:t>1</w:t>
      </w:r>
      <w:r>
        <w:fldChar w:fldCharType="end"/>
      </w:r>
      <w:bookmarkEnd w:id="145"/>
      <w:r w:rsidRPr="00B2139E">
        <w:t>: Okvirne mjere energetske obnove koje se provode u sklopu Programa</w:t>
      </w:r>
      <w:bookmarkEnd w:id="146"/>
      <w:bookmarkEnd w:id="147"/>
      <w:r w:rsidRPr="00B2139E">
        <w:t xml:space="preserve"> </w:t>
      </w:r>
    </w:p>
    <w:tbl>
      <w:tblPr>
        <w:tblStyle w:val="Svijetlatablicareetke12"/>
        <w:tblW w:w="9288" w:type="dxa"/>
        <w:tblLook w:val="04A0" w:firstRow="1" w:lastRow="0" w:firstColumn="1" w:lastColumn="0" w:noHBand="0" w:noVBand="1"/>
      </w:tblPr>
      <w:tblGrid>
        <w:gridCol w:w="1905"/>
        <w:gridCol w:w="4963"/>
        <w:gridCol w:w="2420"/>
      </w:tblGrid>
      <w:tr w:rsidR="004949CA" w:rsidRPr="00B2139E" w14:paraId="3B8F382A" w14:textId="77777777" w:rsidTr="00EA1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Pr>
          <w:bookmarkEnd w:id="148"/>
          <w:p w14:paraId="57B1FBC4" w14:textId="77777777" w:rsidR="004949CA" w:rsidRPr="008A6D46" w:rsidRDefault="004949CA" w:rsidP="00331A63">
            <w:pPr>
              <w:rPr>
                <w:rFonts w:ascii="Tahoma" w:hAnsi="Tahoma" w:cs="Tahoma"/>
                <w:sz w:val="18"/>
                <w:szCs w:val="18"/>
                <w:lang w:eastAsia="hr-HR"/>
              </w:rPr>
            </w:pPr>
            <w:r w:rsidRPr="008A6D46">
              <w:rPr>
                <w:rFonts w:ascii="Tahoma" w:hAnsi="Tahoma" w:cs="Tahoma"/>
                <w:sz w:val="18"/>
                <w:szCs w:val="18"/>
                <w:lang w:eastAsia="hr-HR"/>
              </w:rPr>
              <w:t>Naziv mjere</w:t>
            </w:r>
          </w:p>
        </w:tc>
        <w:tc>
          <w:tcPr>
            <w:tcW w:w="4963" w:type="dxa"/>
          </w:tcPr>
          <w:p w14:paraId="621466B1" w14:textId="77777777" w:rsidR="004949CA" w:rsidRPr="008A6D46"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Opis mjere (tehnički uvjeti prihvatljivosti opreme i radova)</w:t>
            </w:r>
          </w:p>
        </w:tc>
        <w:tc>
          <w:tcPr>
            <w:tcW w:w="2420" w:type="dxa"/>
          </w:tcPr>
          <w:p w14:paraId="43B481FF" w14:textId="77777777" w:rsidR="004949CA" w:rsidRPr="008A6D46"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eastAsia="hr-HR"/>
              </w:rPr>
            </w:pPr>
            <w:r w:rsidRPr="008A6D46">
              <w:rPr>
                <w:rFonts w:ascii="Tahoma" w:hAnsi="Tahoma" w:cs="Tahoma"/>
                <w:sz w:val="18"/>
                <w:szCs w:val="18"/>
                <w:lang w:eastAsia="hr-HR"/>
              </w:rPr>
              <w:t xml:space="preserve">Okvirna jedinična cijena </w:t>
            </w:r>
          </w:p>
          <w:p w14:paraId="7EEBEA7A" w14:textId="77777777" w:rsidR="004949CA" w:rsidRPr="008A6D46"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r>
      <w:tr w:rsidR="004949CA" w:rsidRPr="00B2139E" w14:paraId="4E23DD95" w14:textId="77777777" w:rsidTr="00EA1F46">
        <w:tc>
          <w:tcPr>
            <w:cnfStyle w:val="001000000000" w:firstRow="0" w:lastRow="0" w:firstColumn="1" w:lastColumn="0" w:oddVBand="0" w:evenVBand="0" w:oddHBand="0" w:evenHBand="0" w:firstRowFirstColumn="0" w:firstRowLastColumn="0" w:lastRowFirstColumn="0" w:lastRowLastColumn="0"/>
            <w:tcW w:w="1905" w:type="dxa"/>
            <w:vMerge w:val="restart"/>
          </w:tcPr>
          <w:p w14:paraId="006A8831" w14:textId="77777777" w:rsidR="004949CA" w:rsidRPr="008A6D46" w:rsidRDefault="004949CA" w:rsidP="00331A63">
            <w:pPr>
              <w:rPr>
                <w:rFonts w:ascii="Tahoma" w:hAnsi="Tahoma" w:cs="Tahoma"/>
                <w:sz w:val="18"/>
                <w:szCs w:val="18"/>
                <w:lang w:eastAsia="hr-HR"/>
              </w:rPr>
            </w:pPr>
            <w:r w:rsidRPr="008A6D46">
              <w:rPr>
                <w:rFonts w:ascii="Tahoma" w:hAnsi="Tahoma" w:cs="Tahoma"/>
                <w:sz w:val="18"/>
                <w:szCs w:val="18"/>
                <w:lang w:eastAsia="hr-HR"/>
              </w:rPr>
              <w:t>mjere na vanjskoj ovojnici</w:t>
            </w:r>
            <w:r w:rsidRPr="008A6D46">
              <w:rPr>
                <w:rStyle w:val="Referencafusnote"/>
                <w:rFonts w:cs="Tahoma"/>
                <w:sz w:val="18"/>
                <w:szCs w:val="18"/>
              </w:rPr>
              <w:footnoteReference w:id="22"/>
            </w:r>
          </w:p>
          <w:p w14:paraId="11F7669E" w14:textId="77777777" w:rsidR="004949CA" w:rsidRPr="008A6D46" w:rsidRDefault="004949CA" w:rsidP="00331A63">
            <w:pPr>
              <w:rPr>
                <w:rFonts w:ascii="Tahoma" w:hAnsi="Tahoma" w:cs="Tahoma"/>
                <w:b w:val="0"/>
                <w:bCs w:val="0"/>
                <w:sz w:val="18"/>
                <w:szCs w:val="18"/>
                <w:lang w:eastAsia="hr-HR"/>
              </w:rPr>
            </w:pPr>
          </w:p>
          <w:p w14:paraId="5B287252" w14:textId="77777777" w:rsidR="004949CA" w:rsidRPr="008A6D46" w:rsidRDefault="004949CA" w:rsidP="00331A63">
            <w:pPr>
              <w:rPr>
                <w:rFonts w:ascii="Tahoma" w:hAnsi="Tahoma" w:cs="Tahoma"/>
                <w:b w:val="0"/>
                <w:bCs w:val="0"/>
                <w:sz w:val="18"/>
                <w:szCs w:val="18"/>
                <w:lang w:eastAsia="hr-HR"/>
              </w:rPr>
            </w:pPr>
          </w:p>
        </w:tc>
        <w:tc>
          <w:tcPr>
            <w:tcW w:w="4963" w:type="dxa"/>
          </w:tcPr>
          <w:p w14:paraId="39B69E9A"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Vanjski zid prema minimalnim zahtjevima TPRUETZZ</w:t>
            </w:r>
          </w:p>
        </w:tc>
        <w:tc>
          <w:tcPr>
            <w:tcW w:w="2420" w:type="dxa"/>
          </w:tcPr>
          <w:p w14:paraId="2DEF3DD5" w14:textId="7CCEE369"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545,00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44078E80" w14:textId="77777777" w:rsidTr="00EA1F46">
        <w:tc>
          <w:tcPr>
            <w:cnfStyle w:val="001000000000" w:firstRow="0" w:lastRow="0" w:firstColumn="1" w:lastColumn="0" w:oddVBand="0" w:evenVBand="0" w:oddHBand="0" w:evenHBand="0" w:firstRowFirstColumn="0" w:firstRowLastColumn="0" w:lastRowFirstColumn="0" w:lastRowLastColumn="0"/>
            <w:tcW w:w="1905" w:type="dxa"/>
            <w:vMerge/>
          </w:tcPr>
          <w:p w14:paraId="50F888BA" w14:textId="77777777" w:rsidR="004949CA" w:rsidRPr="008A6D46" w:rsidRDefault="004949CA" w:rsidP="00331A63">
            <w:pPr>
              <w:rPr>
                <w:rFonts w:ascii="Tahoma" w:hAnsi="Tahoma" w:cs="Tahoma"/>
                <w:sz w:val="18"/>
                <w:szCs w:val="18"/>
                <w:lang w:eastAsia="hr-HR"/>
              </w:rPr>
            </w:pPr>
          </w:p>
        </w:tc>
        <w:tc>
          <w:tcPr>
            <w:tcW w:w="4963" w:type="dxa"/>
          </w:tcPr>
          <w:p w14:paraId="69A21B1D"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Ravni krov prema minimalnim zahtjevima TPRUETZZ</w:t>
            </w:r>
          </w:p>
        </w:tc>
        <w:tc>
          <w:tcPr>
            <w:tcW w:w="2420" w:type="dxa"/>
          </w:tcPr>
          <w:p w14:paraId="0AF715AF" w14:textId="27F7318D"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90,00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5C8E6E65" w14:textId="77777777" w:rsidTr="00EA1F46">
        <w:tc>
          <w:tcPr>
            <w:cnfStyle w:val="001000000000" w:firstRow="0" w:lastRow="0" w:firstColumn="1" w:lastColumn="0" w:oddVBand="0" w:evenVBand="0" w:oddHBand="0" w:evenHBand="0" w:firstRowFirstColumn="0" w:firstRowLastColumn="0" w:lastRowFirstColumn="0" w:lastRowLastColumn="0"/>
            <w:tcW w:w="1905" w:type="dxa"/>
            <w:vMerge/>
          </w:tcPr>
          <w:p w14:paraId="70F2999E" w14:textId="77777777" w:rsidR="004949CA" w:rsidRPr="008A6D46" w:rsidRDefault="004949CA" w:rsidP="00331A63">
            <w:pPr>
              <w:rPr>
                <w:rFonts w:ascii="Tahoma" w:hAnsi="Tahoma" w:cs="Tahoma"/>
                <w:sz w:val="18"/>
                <w:szCs w:val="18"/>
                <w:lang w:eastAsia="hr-HR"/>
              </w:rPr>
            </w:pPr>
          </w:p>
        </w:tc>
        <w:tc>
          <w:tcPr>
            <w:tcW w:w="4963" w:type="dxa"/>
          </w:tcPr>
          <w:p w14:paraId="25FC296D"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Izolacija stropa prema negrijanom tavanu prema minimalnim zahtjevima TPRUETZZ</w:t>
            </w:r>
          </w:p>
        </w:tc>
        <w:tc>
          <w:tcPr>
            <w:tcW w:w="2420" w:type="dxa"/>
          </w:tcPr>
          <w:p w14:paraId="55CE0B25" w14:textId="5134B22F"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90,00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66BEB84B" w14:textId="77777777" w:rsidTr="00EA1F46">
        <w:tc>
          <w:tcPr>
            <w:cnfStyle w:val="001000000000" w:firstRow="0" w:lastRow="0" w:firstColumn="1" w:lastColumn="0" w:oddVBand="0" w:evenVBand="0" w:oddHBand="0" w:evenHBand="0" w:firstRowFirstColumn="0" w:firstRowLastColumn="0" w:lastRowFirstColumn="0" w:lastRowLastColumn="0"/>
            <w:tcW w:w="1905" w:type="dxa"/>
            <w:vMerge/>
          </w:tcPr>
          <w:p w14:paraId="5F2DFE5E" w14:textId="77777777" w:rsidR="004949CA" w:rsidRPr="008A6D46" w:rsidRDefault="004949CA" w:rsidP="00331A63">
            <w:pPr>
              <w:rPr>
                <w:rFonts w:ascii="Tahoma" w:hAnsi="Tahoma" w:cs="Tahoma"/>
                <w:sz w:val="18"/>
                <w:szCs w:val="18"/>
                <w:lang w:eastAsia="hr-HR"/>
              </w:rPr>
            </w:pPr>
          </w:p>
        </w:tc>
        <w:tc>
          <w:tcPr>
            <w:tcW w:w="4963" w:type="dxa"/>
          </w:tcPr>
          <w:p w14:paraId="028448A6"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Izolacija stropa iznad vanjskog zraka prema minimalnim zahtjevima TPRUETZZ</w:t>
            </w:r>
          </w:p>
        </w:tc>
        <w:tc>
          <w:tcPr>
            <w:tcW w:w="2420" w:type="dxa"/>
          </w:tcPr>
          <w:p w14:paraId="27E3BC62" w14:textId="6DA4853F"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130,00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2ABDF2AA" w14:textId="77777777" w:rsidTr="00EA1F46">
        <w:tc>
          <w:tcPr>
            <w:cnfStyle w:val="001000000000" w:firstRow="0" w:lastRow="0" w:firstColumn="1" w:lastColumn="0" w:oddVBand="0" w:evenVBand="0" w:oddHBand="0" w:evenHBand="0" w:firstRowFirstColumn="0" w:firstRowLastColumn="0" w:lastRowFirstColumn="0" w:lastRowLastColumn="0"/>
            <w:tcW w:w="1905" w:type="dxa"/>
            <w:vMerge/>
          </w:tcPr>
          <w:p w14:paraId="3DB10B09" w14:textId="77777777" w:rsidR="004949CA" w:rsidRPr="008A6D46" w:rsidRDefault="004949CA" w:rsidP="00331A63">
            <w:pPr>
              <w:rPr>
                <w:rFonts w:ascii="Tahoma" w:hAnsi="Tahoma" w:cs="Tahoma"/>
                <w:sz w:val="18"/>
                <w:szCs w:val="18"/>
                <w:lang w:eastAsia="hr-HR"/>
              </w:rPr>
            </w:pPr>
          </w:p>
        </w:tc>
        <w:tc>
          <w:tcPr>
            <w:tcW w:w="4963" w:type="dxa"/>
          </w:tcPr>
          <w:p w14:paraId="4C01206D"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Kosi krov prema minimalnim zahtjevima TPRUETZZ</w:t>
            </w:r>
          </w:p>
        </w:tc>
        <w:tc>
          <w:tcPr>
            <w:tcW w:w="2420" w:type="dxa"/>
          </w:tcPr>
          <w:p w14:paraId="6245CC5D" w14:textId="5B98A95D"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190,00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721288AD" w14:textId="77777777" w:rsidTr="00EA1F46">
        <w:tc>
          <w:tcPr>
            <w:cnfStyle w:val="001000000000" w:firstRow="0" w:lastRow="0" w:firstColumn="1" w:lastColumn="0" w:oddVBand="0" w:evenVBand="0" w:oddHBand="0" w:evenHBand="0" w:firstRowFirstColumn="0" w:firstRowLastColumn="0" w:lastRowFirstColumn="0" w:lastRowLastColumn="0"/>
            <w:tcW w:w="1905" w:type="dxa"/>
            <w:vMerge/>
          </w:tcPr>
          <w:p w14:paraId="5413264B" w14:textId="77777777" w:rsidR="004949CA" w:rsidRPr="008A6D46" w:rsidRDefault="004949CA" w:rsidP="00331A63">
            <w:pPr>
              <w:rPr>
                <w:rFonts w:ascii="Tahoma" w:hAnsi="Tahoma" w:cs="Tahoma"/>
                <w:sz w:val="18"/>
                <w:szCs w:val="18"/>
                <w:lang w:eastAsia="hr-HR"/>
              </w:rPr>
            </w:pPr>
          </w:p>
        </w:tc>
        <w:tc>
          <w:tcPr>
            <w:tcW w:w="4963" w:type="dxa"/>
          </w:tcPr>
          <w:p w14:paraId="7DB0F079"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Pod iznad negrijanog prostora prema minimalnim zahtjevima TPRUETZZ</w:t>
            </w:r>
          </w:p>
        </w:tc>
        <w:tc>
          <w:tcPr>
            <w:tcW w:w="2420" w:type="dxa"/>
          </w:tcPr>
          <w:p w14:paraId="08063B03" w14:textId="0AA628C9"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110,00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36C9E18B" w14:textId="77777777" w:rsidTr="00EA1F46">
        <w:tc>
          <w:tcPr>
            <w:cnfStyle w:val="001000000000" w:firstRow="0" w:lastRow="0" w:firstColumn="1" w:lastColumn="0" w:oddVBand="0" w:evenVBand="0" w:oddHBand="0" w:evenHBand="0" w:firstRowFirstColumn="0" w:firstRowLastColumn="0" w:lastRowFirstColumn="0" w:lastRowLastColumn="0"/>
            <w:tcW w:w="1905" w:type="dxa"/>
            <w:vMerge/>
          </w:tcPr>
          <w:p w14:paraId="4C124397" w14:textId="77777777" w:rsidR="004949CA" w:rsidRPr="008A6D46" w:rsidRDefault="004949CA" w:rsidP="00331A63">
            <w:pPr>
              <w:rPr>
                <w:rFonts w:ascii="Tahoma" w:hAnsi="Tahoma" w:cs="Tahoma"/>
                <w:sz w:val="18"/>
                <w:szCs w:val="18"/>
                <w:lang w:eastAsia="hr-HR"/>
              </w:rPr>
            </w:pPr>
          </w:p>
        </w:tc>
        <w:tc>
          <w:tcPr>
            <w:tcW w:w="4963" w:type="dxa"/>
          </w:tcPr>
          <w:p w14:paraId="73B7E3AD"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Pod na tlu prema minimalnim zahtjevima TPRUETZZ</w:t>
            </w:r>
          </w:p>
        </w:tc>
        <w:tc>
          <w:tcPr>
            <w:tcW w:w="2420" w:type="dxa"/>
          </w:tcPr>
          <w:p w14:paraId="70A64C4C" w14:textId="23774BE3"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125,00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10A90662" w14:textId="77777777" w:rsidTr="00EA1F46">
        <w:tc>
          <w:tcPr>
            <w:cnfStyle w:val="001000000000" w:firstRow="0" w:lastRow="0" w:firstColumn="1" w:lastColumn="0" w:oddVBand="0" w:evenVBand="0" w:oddHBand="0" w:evenHBand="0" w:firstRowFirstColumn="0" w:firstRowLastColumn="0" w:lastRowFirstColumn="0" w:lastRowLastColumn="0"/>
            <w:tcW w:w="1905" w:type="dxa"/>
            <w:vMerge/>
          </w:tcPr>
          <w:p w14:paraId="79DE548E" w14:textId="77777777" w:rsidR="004949CA" w:rsidRPr="008A6D46" w:rsidRDefault="004949CA" w:rsidP="00331A63">
            <w:pPr>
              <w:rPr>
                <w:rFonts w:ascii="Tahoma" w:hAnsi="Tahoma" w:cs="Tahoma"/>
                <w:sz w:val="18"/>
                <w:szCs w:val="18"/>
                <w:lang w:eastAsia="hr-HR"/>
              </w:rPr>
            </w:pPr>
          </w:p>
        </w:tc>
        <w:tc>
          <w:tcPr>
            <w:tcW w:w="4963" w:type="dxa"/>
          </w:tcPr>
          <w:p w14:paraId="615EBB3A"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Zidovi prema negrijanim prostorima prema minimalnim zahtjevima TPRUETZZ</w:t>
            </w:r>
          </w:p>
        </w:tc>
        <w:tc>
          <w:tcPr>
            <w:tcW w:w="2420" w:type="dxa"/>
          </w:tcPr>
          <w:p w14:paraId="0A4192CA" w14:textId="32A7050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280,00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003B736F" w14:textId="77777777" w:rsidTr="00EA1F46">
        <w:tc>
          <w:tcPr>
            <w:cnfStyle w:val="001000000000" w:firstRow="0" w:lastRow="0" w:firstColumn="1" w:lastColumn="0" w:oddVBand="0" w:evenVBand="0" w:oddHBand="0" w:evenHBand="0" w:firstRowFirstColumn="0" w:firstRowLastColumn="0" w:lastRowFirstColumn="0" w:lastRowLastColumn="0"/>
            <w:tcW w:w="1905" w:type="dxa"/>
            <w:vMerge/>
          </w:tcPr>
          <w:p w14:paraId="3F669D84" w14:textId="77777777" w:rsidR="004949CA" w:rsidRPr="008A6D46" w:rsidRDefault="004949CA" w:rsidP="00331A63">
            <w:pPr>
              <w:rPr>
                <w:rFonts w:ascii="Tahoma" w:hAnsi="Tahoma" w:cs="Tahoma"/>
                <w:sz w:val="18"/>
                <w:szCs w:val="18"/>
                <w:lang w:eastAsia="hr-HR"/>
              </w:rPr>
            </w:pPr>
          </w:p>
        </w:tc>
        <w:tc>
          <w:tcPr>
            <w:tcW w:w="4963" w:type="dxa"/>
          </w:tcPr>
          <w:p w14:paraId="5EB5A878"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vanjske stolarije (s uključenom zaštitom od insolacije – rolete, kapci)</w:t>
            </w:r>
          </w:p>
          <w:p w14:paraId="7A0CE36C"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prema minimalnim zahtjevima TPRUETZZ</w:t>
            </w:r>
          </w:p>
        </w:tc>
        <w:tc>
          <w:tcPr>
            <w:tcW w:w="2420" w:type="dxa"/>
          </w:tcPr>
          <w:p w14:paraId="5B7DB2A6" w14:textId="4C78B4E9"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515,00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0F8EF05F" w14:textId="77777777" w:rsidTr="00EA1F46">
        <w:tc>
          <w:tcPr>
            <w:cnfStyle w:val="001000000000" w:firstRow="0" w:lastRow="0" w:firstColumn="1" w:lastColumn="0" w:oddVBand="0" w:evenVBand="0" w:oddHBand="0" w:evenHBand="0" w:firstRowFirstColumn="0" w:firstRowLastColumn="0" w:lastRowFirstColumn="0" w:lastRowLastColumn="0"/>
            <w:tcW w:w="1905" w:type="dxa"/>
            <w:vMerge/>
          </w:tcPr>
          <w:p w14:paraId="03C816BC" w14:textId="77777777" w:rsidR="004949CA" w:rsidRPr="008A6D46" w:rsidRDefault="004949CA" w:rsidP="00331A63">
            <w:pPr>
              <w:rPr>
                <w:rFonts w:ascii="Tahoma" w:hAnsi="Tahoma" w:cs="Tahoma"/>
                <w:b w:val="0"/>
                <w:bCs w:val="0"/>
                <w:sz w:val="18"/>
                <w:szCs w:val="18"/>
                <w:lang w:eastAsia="hr-HR"/>
              </w:rPr>
            </w:pPr>
          </w:p>
        </w:tc>
        <w:tc>
          <w:tcPr>
            <w:tcW w:w="4963" w:type="dxa"/>
          </w:tcPr>
          <w:p w14:paraId="2E1CE09F"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Vanjska zaštite od insolacije – rolete, kapci</w:t>
            </w:r>
          </w:p>
        </w:tc>
        <w:tc>
          <w:tcPr>
            <w:tcW w:w="2420" w:type="dxa"/>
          </w:tcPr>
          <w:p w14:paraId="24E21010" w14:textId="4DC1208A"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135,00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7AD30150"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79A83155" w14:textId="77777777" w:rsidR="004949CA" w:rsidRPr="008A6D46" w:rsidRDefault="004949CA" w:rsidP="00331A63">
            <w:pPr>
              <w:rPr>
                <w:rFonts w:ascii="Tahoma" w:hAnsi="Tahoma" w:cs="Tahoma"/>
                <w:b w:val="0"/>
                <w:bCs w:val="0"/>
                <w:i/>
                <w:iCs/>
                <w:sz w:val="16"/>
                <w:szCs w:val="16"/>
                <w:lang w:eastAsia="hr-HR"/>
              </w:rPr>
            </w:pPr>
            <w:r w:rsidRPr="008A6D46">
              <w:rPr>
                <w:rFonts w:ascii="Tahoma" w:hAnsi="Tahoma" w:cs="Tahoma"/>
                <w:sz w:val="18"/>
                <w:szCs w:val="18"/>
                <w:lang w:eastAsia="hr-HR"/>
              </w:rPr>
              <w:t>izvor topline za grijanje i PTV – prirodni plin</w:t>
            </w:r>
          </w:p>
          <w:p w14:paraId="447970A5" w14:textId="77777777" w:rsidR="004949CA" w:rsidRPr="008A6D46" w:rsidRDefault="004949CA" w:rsidP="00331A63">
            <w:pPr>
              <w:rPr>
                <w:rFonts w:ascii="Tahoma" w:hAnsi="Tahoma" w:cs="Tahoma"/>
                <w:sz w:val="24"/>
                <w:lang w:eastAsia="hr-HR"/>
              </w:rPr>
            </w:pPr>
            <w:r w:rsidRPr="008A6D46">
              <w:rPr>
                <w:rFonts w:ascii="Tahoma" w:hAnsi="Tahoma" w:cs="Tahoma"/>
                <w:i/>
                <w:iCs/>
                <w:sz w:val="16"/>
                <w:szCs w:val="16"/>
                <w:lang w:eastAsia="hr-HR"/>
              </w:rPr>
              <w:t>(NAPOMENA: ova mjera prihvatljiva je isključivo u okviru poziva koji će biti sufinancirani iz NPOO</w:t>
            </w:r>
            <w:r w:rsidRPr="008A6D46">
              <w:rPr>
                <w:rStyle w:val="Referencafusnote"/>
                <w:rFonts w:cs="Tahoma"/>
                <w:i/>
                <w:iCs/>
                <w:sz w:val="16"/>
                <w:szCs w:val="16"/>
              </w:rPr>
              <w:footnoteReference w:id="23"/>
            </w:r>
            <w:r w:rsidRPr="008A6D46">
              <w:rPr>
                <w:rFonts w:ascii="Tahoma" w:hAnsi="Tahoma" w:cs="Tahoma"/>
                <w:i/>
                <w:iCs/>
                <w:sz w:val="16"/>
                <w:szCs w:val="16"/>
                <w:lang w:eastAsia="hr-HR"/>
              </w:rPr>
              <w:t xml:space="preserve"> </w:t>
            </w:r>
          </w:p>
          <w:p w14:paraId="01E33540" w14:textId="77777777" w:rsidR="004949CA" w:rsidRPr="008A6D46" w:rsidRDefault="004949CA" w:rsidP="00331A63">
            <w:pPr>
              <w:rPr>
                <w:rFonts w:ascii="Tahoma" w:hAnsi="Tahoma" w:cs="Tahoma"/>
                <w:b w:val="0"/>
                <w:bCs w:val="0"/>
                <w:sz w:val="18"/>
                <w:szCs w:val="18"/>
              </w:rPr>
            </w:pPr>
          </w:p>
        </w:tc>
        <w:tc>
          <w:tcPr>
            <w:tcW w:w="4963" w:type="dxa"/>
          </w:tcPr>
          <w:p w14:paraId="047E7A6C"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ili ugradnja</w:t>
            </w:r>
            <w:r w:rsidRPr="008A6D46">
              <w:rPr>
                <w:rFonts w:ascii="Tahoma" w:hAnsi="Tahoma" w:cs="Tahoma"/>
              </w:rPr>
              <w:t xml:space="preserve"> </w:t>
            </w:r>
            <w:r w:rsidRPr="008A6D46">
              <w:rPr>
                <w:rFonts w:ascii="Tahoma" w:hAnsi="Tahoma" w:cs="Tahoma"/>
                <w:sz w:val="18"/>
                <w:szCs w:val="18"/>
                <w:lang w:eastAsia="hr-HR"/>
              </w:rPr>
              <w:t>visokoučinkovitog kondenzacijskog kotla na prirodni plin - izvora topline za grijanje i pripremu PTV, uključujući sve dijelove sustava i kotlovnice do priključka na sustav razvoda (mjera se zadržava zbog usklađenosti s ranijim pozivima)</w:t>
            </w:r>
          </w:p>
          <w:p w14:paraId="032B2E1F"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učinkovitost kotla η ≥ 105%</w:t>
            </w:r>
          </w:p>
          <w:p w14:paraId="2A951E2A"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energetske klase A ili više</w:t>
            </w:r>
          </w:p>
        </w:tc>
        <w:tc>
          <w:tcPr>
            <w:tcW w:w="2420" w:type="dxa"/>
          </w:tcPr>
          <w:p w14:paraId="35B303B6" w14:textId="050A3C6E"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130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2FA22786" w14:textId="74BD09D2"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1.045 </w:t>
            </w:r>
            <w:r w:rsidR="0063313B">
              <w:rPr>
                <w:rFonts w:ascii="Tahoma" w:hAnsi="Tahoma" w:cs="Tahoma"/>
                <w:sz w:val="18"/>
                <w:szCs w:val="18"/>
                <w:lang w:eastAsia="hr-HR"/>
              </w:rPr>
              <w:t>kuna</w:t>
            </w:r>
            <w:r w:rsidRPr="008A6D46">
              <w:rPr>
                <w:rFonts w:ascii="Tahoma" w:hAnsi="Tahoma" w:cs="Tahoma"/>
                <w:sz w:val="18"/>
                <w:szCs w:val="18"/>
                <w:lang w:eastAsia="hr-HR"/>
              </w:rPr>
              <w:t xml:space="preserve">/kWh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4949CA" w:rsidRPr="00B2139E" w14:paraId="0271D887"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0BE65EC4"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izvor topline za grijanje i PTV - peleti</w:t>
            </w:r>
          </w:p>
          <w:p w14:paraId="1FCE2CB1" w14:textId="77777777" w:rsidR="004949CA" w:rsidRPr="008A6D46" w:rsidRDefault="004949CA" w:rsidP="00331A63">
            <w:pPr>
              <w:rPr>
                <w:rFonts w:ascii="Tahoma" w:hAnsi="Tahoma" w:cs="Tahoma"/>
                <w:b w:val="0"/>
                <w:bCs w:val="0"/>
                <w:sz w:val="18"/>
                <w:szCs w:val="18"/>
                <w:lang w:eastAsia="hr-HR"/>
              </w:rPr>
            </w:pPr>
          </w:p>
        </w:tc>
        <w:tc>
          <w:tcPr>
            <w:tcW w:w="4963" w:type="dxa"/>
          </w:tcPr>
          <w:p w14:paraId="43955193"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ili ugradnja kotla na pelete – izvora topline za grijanje i pripremu PTV, uključujući sve dijelove sustava i kotlovnice do priključka na sustav razvoda</w:t>
            </w:r>
          </w:p>
          <w:p w14:paraId="526754FC"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 xml:space="preserve">učinkovitost kotla </w:t>
            </w:r>
            <w:bookmarkStart w:id="149" w:name="_Hlk75771837"/>
            <w:r w:rsidRPr="2617B706">
              <w:rPr>
                <w:rFonts w:cs="Tahoma"/>
                <w:sz w:val="18"/>
                <w:szCs w:val="18"/>
              </w:rPr>
              <w:t>η ≥ 92%</w:t>
            </w:r>
            <w:bookmarkEnd w:id="149"/>
          </w:p>
          <w:p w14:paraId="6134268E"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energetske klase A ili više</w:t>
            </w:r>
          </w:p>
        </w:tc>
        <w:tc>
          <w:tcPr>
            <w:tcW w:w="2420" w:type="dxa"/>
          </w:tcPr>
          <w:p w14:paraId="28B7FBB7" w14:textId="132EB088"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135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35406510" w14:textId="013712F9"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1.075 </w:t>
            </w:r>
            <w:r w:rsidR="0063313B">
              <w:rPr>
                <w:rFonts w:ascii="Tahoma" w:hAnsi="Tahoma" w:cs="Tahoma"/>
                <w:sz w:val="18"/>
                <w:szCs w:val="18"/>
                <w:lang w:eastAsia="hr-HR"/>
              </w:rPr>
              <w:t>kuna</w:t>
            </w:r>
            <w:r w:rsidRPr="008A6D46">
              <w:rPr>
                <w:rFonts w:ascii="Tahoma" w:hAnsi="Tahoma" w:cs="Tahoma"/>
                <w:sz w:val="18"/>
                <w:szCs w:val="18"/>
                <w:lang w:eastAsia="hr-HR"/>
              </w:rPr>
              <w:t xml:space="preserve">/kWh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4949CA" w:rsidRPr="00B2139E" w14:paraId="57E1D5C9"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648C71FB"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izvor topline za grijanje i hlađenje – dizalica topline zrak/zrak</w:t>
            </w:r>
          </w:p>
          <w:p w14:paraId="7AFD9A33" w14:textId="77777777" w:rsidR="004949CA" w:rsidRPr="008A6D46" w:rsidRDefault="004949CA" w:rsidP="00331A63">
            <w:pPr>
              <w:rPr>
                <w:rFonts w:ascii="Tahoma" w:hAnsi="Tahoma" w:cs="Tahoma"/>
                <w:b w:val="0"/>
                <w:bCs w:val="0"/>
                <w:sz w:val="18"/>
                <w:szCs w:val="18"/>
                <w:lang w:eastAsia="hr-HR"/>
              </w:rPr>
            </w:pPr>
          </w:p>
        </w:tc>
        <w:tc>
          <w:tcPr>
            <w:tcW w:w="4963" w:type="dxa"/>
          </w:tcPr>
          <w:p w14:paraId="6E119C92"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ili ugradnja centraliziranog sustava dizalice topline zrak/zrak – izvora topline za grijanje i hlađenje, uključujući sve dijelove sustava i kotlovnice do priključka na sustav razvoda</w:t>
            </w:r>
          </w:p>
          <w:p w14:paraId="34B08B98"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COP ≥ 3</w:t>
            </w:r>
          </w:p>
          <w:p w14:paraId="73E8181D"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energetske klase A ili više</w:t>
            </w:r>
          </w:p>
          <w:p w14:paraId="29F1FED5"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SCOP za dizalicu topline prema HRN EN 14825:2019 (ili „jednakovrijedno“) za grijanje za temperaturu prolaza vode od 35°C i prosječnu klimu ≥3,4</w:t>
            </w:r>
          </w:p>
          <w:p w14:paraId="43C9F33E"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SEER za dizalicu topline prema HRN EN 14825:2019 (ili „jednakovrijedno“) za komforno hlađenje za temperaturu prolaza vode od 7°C i prosječnu klimu ≥4,0</w:t>
            </w:r>
          </w:p>
          <w:p w14:paraId="35855E67"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stupnjevana ili kontinuirana regulacija učinka od minimalno 25% do 100%</w:t>
            </w:r>
          </w:p>
          <w:p w14:paraId="588356D4"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8A6D46">
              <w:rPr>
                <w:rFonts w:ascii="Tahoma" w:hAnsi="Tahoma" w:cs="Tahoma"/>
                <w:sz w:val="18"/>
                <w:szCs w:val="18"/>
              </w:rPr>
              <w:t xml:space="preserve">mjera ne obuhvaća ugradnju </w:t>
            </w:r>
            <w:proofErr w:type="spellStart"/>
            <w:r w:rsidRPr="008A6D46">
              <w:rPr>
                <w:rFonts w:ascii="Tahoma" w:hAnsi="Tahoma" w:cs="Tahoma"/>
                <w:sz w:val="18"/>
                <w:szCs w:val="18"/>
              </w:rPr>
              <w:t>split</w:t>
            </w:r>
            <w:proofErr w:type="spellEnd"/>
            <w:r w:rsidRPr="008A6D46">
              <w:rPr>
                <w:rFonts w:ascii="Tahoma" w:hAnsi="Tahoma" w:cs="Tahoma"/>
                <w:sz w:val="18"/>
                <w:szCs w:val="18"/>
              </w:rPr>
              <w:t xml:space="preserve"> uređaja</w:t>
            </w:r>
          </w:p>
        </w:tc>
        <w:tc>
          <w:tcPr>
            <w:tcW w:w="2420" w:type="dxa"/>
          </w:tcPr>
          <w:p w14:paraId="41A6F2CF" w14:textId="38DF8B76"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270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3CBDC957" w14:textId="72F5FFC3"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2.140 </w:t>
            </w:r>
            <w:r w:rsidR="0063313B">
              <w:rPr>
                <w:rFonts w:ascii="Tahoma" w:hAnsi="Tahoma" w:cs="Tahoma"/>
                <w:sz w:val="18"/>
                <w:szCs w:val="18"/>
                <w:lang w:eastAsia="hr-HR"/>
              </w:rPr>
              <w:t>kuna</w:t>
            </w:r>
            <w:r w:rsidRPr="008A6D46">
              <w:rPr>
                <w:rFonts w:ascii="Tahoma" w:hAnsi="Tahoma" w:cs="Tahoma"/>
                <w:sz w:val="18"/>
                <w:szCs w:val="18"/>
                <w:lang w:eastAsia="hr-HR"/>
              </w:rPr>
              <w:t xml:space="preserve">/kWh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4949CA" w:rsidRPr="00B2139E" w14:paraId="109C69D5"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0DD36F4B"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izvor topline za grijanje, hlađenje i PTV – dizalica topline zrak/voda</w:t>
            </w:r>
          </w:p>
          <w:p w14:paraId="0361399C" w14:textId="77777777" w:rsidR="004949CA" w:rsidRPr="008A6D46" w:rsidRDefault="004949CA" w:rsidP="00331A63">
            <w:pPr>
              <w:rPr>
                <w:rFonts w:ascii="Tahoma" w:hAnsi="Tahoma" w:cs="Tahoma"/>
                <w:b w:val="0"/>
                <w:bCs w:val="0"/>
                <w:sz w:val="18"/>
                <w:szCs w:val="18"/>
                <w:lang w:eastAsia="hr-HR"/>
              </w:rPr>
            </w:pPr>
          </w:p>
        </w:tc>
        <w:tc>
          <w:tcPr>
            <w:tcW w:w="4963" w:type="dxa"/>
          </w:tcPr>
          <w:p w14:paraId="43EBD357"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ili ugradnja dizalice topline zrak/voda – izvora topline za grijanje, hlađenje i pripremu PTV, uključujući sve dijelove sustava i kotlovnice do priključka na sustav razvoda</w:t>
            </w:r>
          </w:p>
          <w:p w14:paraId="491776E3"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COP ≥ 3</w:t>
            </w:r>
          </w:p>
          <w:p w14:paraId="2438CAD8"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energetske klase A ili više</w:t>
            </w:r>
          </w:p>
          <w:p w14:paraId="31CA74EB"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SCOP za dizalicu topline prema HRN EN 14825:2019 (ili „jednakovrijedno“) za grijanje za temperaturu prolaza vode od 35°C i prosječnu klimu ≥3,5</w:t>
            </w:r>
          </w:p>
          <w:p w14:paraId="3EF43AE8"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SEER za dizalicu topline prema HRN EN 14825:2019 (ili „jednakovrijedno“) za komforno hlađenje za temperaturu prolaza vode od 7°C i prosječnu klimu ≥4,0</w:t>
            </w:r>
          </w:p>
          <w:p w14:paraId="3A84A076"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stupnjevana ili kontinuirana regulacija učinka od minimalno 25% do 100%</w:t>
            </w:r>
          </w:p>
        </w:tc>
        <w:tc>
          <w:tcPr>
            <w:tcW w:w="2420" w:type="dxa"/>
          </w:tcPr>
          <w:p w14:paraId="0D0CA1F7" w14:textId="6261D599"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270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38AE4511" w14:textId="5E4C2EDD"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2.180 </w:t>
            </w:r>
            <w:r w:rsidR="0063313B">
              <w:rPr>
                <w:rFonts w:ascii="Tahoma" w:hAnsi="Tahoma" w:cs="Tahoma"/>
                <w:sz w:val="18"/>
                <w:szCs w:val="18"/>
                <w:lang w:eastAsia="hr-HR"/>
              </w:rPr>
              <w:t>kuna</w:t>
            </w:r>
            <w:r w:rsidRPr="008A6D46">
              <w:rPr>
                <w:rFonts w:ascii="Tahoma" w:hAnsi="Tahoma" w:cs="Tahoma"/>
                <w:sz w:val="18"/>
                <w:szCs w:val="18"/>
                <w:lang w:eastAsia="hr-HR"/>
              </w:rPr>
              <w:t xml:space="preserve">/kWh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4949CA" w:rsidRPr="00B2139E" w14:paraId="3BF1368E"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5B94BCE3"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lastRenderedPageBreak/>
              <w:t>izvor topline za grijanje, hlađenje i PTV – dizalica topline voda/voda</w:t>
            </w:r>
          </w:p>
          <w:p w14:paraId="741F2641" w14:textId="77777777" w:rsidR="004949CA" w:rsidRPr="008A6D46" w:rsidRDefault="004949CA" w:rsidP="00331A63">
            <w:pPr>
              <w:rPr>
                <w:rFonts w:ascii="Tahoma" w:hAnsi="Tahoma" w:cs="Tahoma"/>
                <w:b w:val="0"/>
                <w:bCs w:val="0"/>
                <w:sz w:val="18"/>
                <w:szCs w:val="18"/>
                <w:lang w:eastAsia="hr-HR"/>
              </w:rPr>
            </w:pPr>
          </w:p>
        </w:tc>
        <w:tc>
          <w:tcPr>
            <w:tcW w:w="4963" w:type="dxa"/>
          </w:tcPr>
          <w:p w14:paraId="6A0B8AFD"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ili ugradnja dizalice topline voda/voda – izvora topline za grijanje, hlađenje i pripremu PTV, uključujući sve dijelove sustava i kotlovnice do priključka na sustav razvoda</w:t>
            </w:r>
          </w:p>
          <w:p w14:paraId="57E00405"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COP ≥ 4</w:t>
            </w:r>
          </w:p>
          <w:p w14:paraId="4807142D"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energetske klase A ili više</w:t>
            </w:r>
          </w:p>
          <w:p w14:paraId="529DCC73"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SCOP za dizalicu topline prema HRN EN 14825:2019 (ili „jednakovrijedno“) za grijanje za temperaturu prolaza vode od 35°C i prosječnu klimu ≥4,3</w:t>
            </w:r>
          </w:p>
          <w:p w14:paraId="0AB94A45"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SEER za dizalicu topline prema HRN EN 14825:2019 (ili „jednakovrijedno“) za komforno hlađenje za temperaturu prolaza vode od 7°C i prosječnu klimu ≥4,5</w:t>
            </w:r>
          </w:p>
          <w:p w14:paraId="01630187"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stupnjevana ili kontinuirana regulacija učinka od minimalno 25% do 100%</w:t>
            </w:r>
          </w:p>
        </w:tc>
        <w:tc>
          <w:tcPr>
            <w:tcW w:w="2420" w:type="dxa"/>
          </w:tcPr>
          <w:p w14:paraId="4E3E3DF5" w14:textId="2BAEBDC9"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635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44DBB666" w14:textId="69B39844"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5.075 </w:t>
            </w:r>
            <w:r w:rsidR="0063313B">
              <w:rPr>
                <w:rFonts w:ascii="Tahoma" w:hAnsi="Tahoma" w:cs="Tahoma"/>
                <w:sz w:val="18"/>
                <w:szCs w:val="18"/>
                <w:lang w:eastAsia="hr-HR"/>
              </w:rPr>
              <w:t>kuna</w:t>
            </w:r>
            <w:r w:rsidRPr="008A6D46">
              <w:rPr>
                <w:rFonts w:ascii="Tahoma" w:hAnsi="Tahoma" w:cs="Tahoma"/>
                <w:sz w:val="18"/>
                <w:szCs w:val="18"/>
                <w:lang w:eastAsia="hr-HR"/>
              </w:rPr>
              <w:t xml:space="preserve">/kWh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4949CA" w:rsidRPr="00B2139E" w14:paraId="5C19A7AA"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2FC6B4B6"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izvor topline za grijanje, hlađenje i PTV – dizalica topline tlo/voda</w:t>
            </w:r>
          </w:p>
          <w:p w14:paraId="750F7CC3" w14:textId="77777777" w:rsidR="004949CA" w:rsidRPr="008A6D46" w:rsidRDefault="004949CA" w:rsidP="00331A63">
            <w:pPr>
              <w:rPr>
                <w:rFonts w:ascii="Tahoma" w:hAnsi="Tahoma" w:cs="Tahoma"/>
                <w:b w:val="0"/>
                <w:bCs w:val="0"/>
                <w:sz w:val="18"/>
                <w:szCs w:val="18"/>
                <w:lang w:eastAsia="hr-HR"/>
              </w:rPr>
            </w:pPr>
          </w:p>
        </w:tc>
        <w:tc>
          <w:tcPr>
            <w:tcW w:w="4963" w:type="dxa"/>
          </w:tcPr>
          <w:p w14:paraId="6E322C17"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ili ugradnja dizalice topline tlo/voda – izvora topline za grijanje, hlađenje i pripremu PTV , uključujući sve dijelove sustava i kotlovnice do priključka na sustav razvoda</w:t>
            </w:r>
          </w:p>
          <w:p w14:paraId="15D253E3"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 xml:space="preserve">COP ≥ 3,5 </w:t>
            </w:r>
          </w:p>
          <w:p w14:paraId="40E8E3BC"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energetske klase A ili više</w:t>
            </w:r>
          </w:p>
          <w:p w14:paraId="41758CF2"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SCOP za dizalicu topline prema HRN EN 14825:2019 (ili „jednakovrijedno“) za grijanje za temperaturu prolaza vode od 35°C i prosječnu klimu ≥4,1</w:t>
            </w:r>
          </w:p>
          <w:p w14:paraId="55ACFE19"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SEER za dizalicu topline prema HRN EN 14825:2019 (ili „jednakovrijedno“) za komforno hlađenje za temperaturu prolaza vode od 7°C i prosječnu klimu ≥5,0</w:t>
            </w:r>
          </w:p>
          <w:p w14:paraId="689CEB48"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stupnjevana ili kontinuirana regulacija učinka od minimalno 25% do 100%</w:t>
            </w:r>
          </w:p>
        </w:tc>
        <w:tc>
          <w:tcPr>
            <w:tcW w:w="2420" w:type="dxa"/>
          </w:tcPr>
          <w:p w14:paraId="66FB2011" w14:textId="29E55726"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660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4B0A1021" w14:textId="5E4D1C9A"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5.290 </w:t>
            </w:r>
            <w:r w:rsidR="0063313B">
              <w:rPr>
                <w:rFonts w:ascii="Tahoma" w:hAnsi="Tahoma" w:cs="Tahoma"/>
                <w:sz w:val="18"/>
                <w:szCs w:val="18"/>
                <w:lang w:eastAsia="hr-HR"/>
              </w:rPr>
              <w:t>kuna</w:t>
            </w:r>
            <w:r w:rsidRPr="008A6D46">
              <w:rPr>
                <w:rFonts w:ascii="Tahoma" w:hAnsi="Tahoma" w:cs="Tahoma"/>
                <w:sz w:val="18"/>
                <w:szCs w:val="18"/>
                <w:lang w:eastAsia="hr-HR"/>
              </w:rPr>
              <w:t xml:space="preserve">/kWh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4949CA" w:rsidRPr="00B2139E" w14:paraId="57AA78CF" w14:textId="77777777" w:rsidTr="00EA1F46">
        <w:trPr>
          <w:trHeight w:val="786"/>
        </w:trPr>
        <w:tc>
          <w:tcPr>
            <w:cnfStyle w:val="001000000000" w:firstRow="0" w:lastRow="0" w:firstColumn="1" w:lastColumn="0" w:oddVBand="0" w:evenVBand="0" w:oddHBand="0" w:evenHBand="0" w:firstRowFirstColumn="0" w:firstRowLastColumn="0" w:lastRowFirstColumn="0" w:lastRowLastColumn="0"/>
            <w:tcW w:w="1905" w:type="dxa"/>
          </w:tcPr>
          <w:p w14:paraId="5F421141"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izvor topline za grijanje – VRF (VRV)</w:t>
            </w:r>
          </w:p>
          <w:p w14:paraId="049CC50E" w14:textId="77777777" w:rsidR="004949CA" w:rsidRPr="008A6D46" w:rsidRDefault="004949CA" w:rsidP="00331A63">
            <w:pPr>
              <w:rPr>
                <w:rFonts w:ascii="Tahoma" w:hAnsi="Tahoma" w:cs="Tahoma"/>
                <w:b w:val="0"/>
                <w:bCs w:val="0"/>
                <w:sz w:val="18"/>
                <w:szCs w:val="18"/>
                <w:lang w:eastAsia="hr-HR"/>
              </w:rPr>
            </w:pPr>
          </w:p>
        </w:tc>
        <w:tc>
          <w:tcPr>
            <w:tcW w:w="4963" w:type="dxa"/>
          </w:tcPr>
          <w:p w14:paraId="0D4066C8"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ili ugradnja VRV (VRF) izvora topline za grijanje</w:t>
            </w:r>
          </w:p>
          <w:p w14:paraId="7AB3BF13"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 xml:space="preserve">COP ≥ 3 </w:t>
            </w:r>
          </w:p>
          <w:p w14:paraId="5CB6337D"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energetske klase A ili više</w:t>
            </w:r>
          </w:p>
        </w:tc>
        <w:tc>
          <w:tcPr>
            <w:tcW w:w="2420" w:type="dxa"/>
          </w:tcPr>
          <w:p w14:paraId="54E2185A" w14:textId="4F4F2AF1"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925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00CD1BA7" w14:textId="2B2F4814"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7.380 </w:t>
            </w:r>
            <w:r w:rsidR="0063313B">
              <w:rPr>
                <w:rFonts w:ascii="Tahoma" w:hAnsi="Tahoma" w:cs="Tahoma"/>
                <w:sz w:val="18"/>
                <w:szCs w:val="18"/>
                <w:lang w:eastAsia="hr-HR"/>
              </w:rPr>
              <w:t>kuna</w:t>
            </w:r>
            <w:r w:rsidRPr="008A6D46">
              <w:rPr>
                <w:rFonts w:ascii="Tahoma" w:hAnsi="Tahoma" w:cs="Tahoma"/>
                <w:sz w:val="18"/>
                <w:szCs w:val="18"/>
                <w:lang w:eastAsia="hr-HR"/>
              </w:rPr>
              <w:t xml:space="preserve">/kWh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4949CA" w:rsidRPr="00B2139E" w14:paraId="048493E5"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41E97E4F"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izvor topline za grijanje i PTV – daljinsko grijanje</w:t>
            </w:r>
          </w:p>
          <w:p w14:paraId="359F6B3A" w14:textId="77777777" w:rsidR="004949CA" w:rsidRPr="008A6D46" w:rsidRDefault="004949CA" w:rsidP="00331A63">
            <w:pPr>
              <w:rPr>
                <w:rFonts w:ascii="Tahoma" w:hAnsi="Tahoma" w:cs="Tahoma"/>
                <w:sz w:val="18"/>
                <w:szCs w:val="18"/>
                <w:lang w:eastAsia="hr-HR"/>
              </w:rPr>
            </w:pPr>
          </w:p>
        </w:tc>
        <w:tc>
          <w:tcPr>
            <w:tcW w:w="4963" w:type="dxa"/>
          </w:tcPr>
          <w:p w14:paraId="3FE15155"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ili ugradnja izmjenjivača topline za grijanje i pripremu PTV</w:t>
            </w:r>
          </w:p>
          <w:p w14:paraId="41FA0BBC"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učinkovitost η ≥ 98%</w:t>
            </w:r>
          </w:p>
        </w:tc>
        <w:tc>
          <w:tcPr>
            <w:tcW w:w="2420" w:type="dxa"/>
          </w:tcPr>
          <w:p w14:paraId="30A10DAE" w14:textId="4FECE9A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25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2D9692A5" w14:textId="4ECC82F5"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185 </w:t>
            </w:r>
            <w:r w:rsidR="0063313B">
              <w:rPr>
                <w:rFonts w:ascii="Tahoma" w:hAnsi="Tahoma" w:cs="Tahoma"/>
                <w:sz w:val="18"/>
                <w:szCs w:val="18"/>
                <w:lang w:eastAsia="hr-HR"/>
              </w:rPr>
              <w:t>kuna</w:t>
            </w:r>
            <w:r w:rsidRPr="008A6D46">
              <w:rPr>
                <w:rFonts w:ascii="Tahoma" w:hAnsi="Tahoma" w:cs="Tahoma"/>
                <w:sz w:val="18"/>
                <w:szCs w:val="18"/>
                <w:lang w:eastAsia="hr-HR"/>
              </w:rPr>
              <w:t xml:space="preserve">/kWh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4949CA" w:rsidRPr="00B2139E" w14:paraId="640D8454"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6D2A6466"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 xml:space="preserve">izvor rashladne energije za hlađenje zgrade – kompresijski </w:t>
            </w:r>
            <w:proofErr w:type="spellStart"/>
            <w:r w:rsidRPr="008A6D46">
              <w:rPr>
                <w:rFonts w:ascii="Tahoma" w:hAnsi="Tahoma" w:cs="Tahoma"/>
                <w:sz w:val="18"/>
                <w:szCs w:val="18"/>
                <w:lang w:eastAsia="hr-HR"/>
              </w:rPr>
              <w:t>rashladnik</w:t>
            </w:r>
            <w:proofErr w:type="spellEnd"/>
            <w:r w:rsidRPr="008A6D46">
              <w:rPr>
                <w:rFonts w:ascii="Tahoma" w:hAnsi="Tahoma" w:cs="Tahoma"/>
                <w:sz w:val="18"/>
                <w:szCs w:val="18"/>
                <w:lang w:eastAsia="hr-HR"/>
              </w:rPr>
              <w:t xml:space="preserve"> zrakom hlađen</w:t>
            </w:r>
          </w:p>
        </w:tc>
        <w:tc>
          <w:tcPr>
            <w:tcW w:w="4963" w:type="dxa"/>
          </w:tcPr>
          <w:p w14:paraId="0E5A7D57"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zamjena ili nova ugradnja </w:t>
            </w:r>
            <w:proofErr w:type="spellStart"/>
            <w:r w:rsidRPr="008A6D46">
              <w:rPr>
                <w:rFonts w:ascii="Tahoma" w:hAnsi="Tahoma" w:cs="Tahoma"/>
                <w:sz w:val="18"/>
                <w:szCs w:val="18"/>
                <w:lang w:eastAsia="hr-HR"/>
              </w:rPr>
              <w:t>rashladnika</w:t>
            </w:r>
            <w:proofErr w:type="spellEnd"/>
            <w:r w:rsidRPr="008A6D46">
              <w:rPr>
                <w:rFonts w:ascii="Tahoma" w:hAnsi="Tahoma" w:cs="Tahoma"/>
                <w:sz w:val="18"/>
                <w:szCs w:val="18"/>
                <w:lang w:eastAsia="hr-HR"/>
              </w:rPr>
              <w:t xml:space="preserve"> – izvora topline za hlađenje </w:t>
            </w:r>
          </w:p>
          <w:p w14:paraId="408735D1"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EER ≥ 3</w:t>
            </w:r>
          </w:p>
          <w:p w14:paraId="1E286A25"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energetske klase A ili više</w:t>
            </w:r>
          </w:p>
        </w:tc>
        <w:tc>
          <w:tcPr>
            <w:tcW w:w="2420" w:type="dxa"/>
          </w:tcPr>
          <w:p w14:paraId="0F7CD168" w14:textId="16C8E24C"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120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427A2C97" w14:textId="339E49AA"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1.775 </w:t>
            </w:r>
            <w:r w:rsidR="0063313B">
              <w:rPr>
                <w:rFonts w:ascii="Tahoma" w:hAnsi="Tahoma" w:cs="Tahoma"/>
                <w:sz w:val="18"/>
                <w:szCs w:val="18"/>
                <w:lang w:eastAsia="hr-HR"/>
              </w:rPr>
              <w:t>kuna</w:t>
            </w:r>
            <w:r w:rsidRPr="008A6D46">
              <w:rPr>
                <w:rFonts w:ascii="Tahoma" w:hAnsi="Tahoma" w:cs="Tahoma"/>
                <w:sz w:val="18"/>
                <w:szCs w:val="18"/>
                <w:lang w:eastAsia="hr-HR"/>
              </w:rPr>
              <w:t xml:space="preserve">/kWh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4949CA" w:rsidRPr="00B2139E" w14:paraId="26F38AA9"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759A84CC"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 xml:space="preserve">razvod grijanja </w:t>
            </w:r>
          </w:p>
        </w:tc>
        <w:tc>
          <w:tcPr>
            <w:tcW w:w="4963" w:type="dxa"/>
          </w:tcPr>
          <w:p w14:paraId="43E570BC"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ili ugradnja razvoda grijanja dimenzioniranog prema smanjenim potrebama zgrade nakon integralne energetske obnove</w:t>
            </w:r>
          </w:p>
          <w:p w14:paraId="5422A20E" w14:textId="77777777" w:rsidR="004949CA" w:rsidRPr="008A6D46" w:rsidRDefault="137C0FFA" w:rsidP="2617B706">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sidRPr="2617B706">
              <w:rPr>
                <w:rFonts w:cs="Tahoma"/>
                <w:sz w:val="18"/>
                <w:szCs w:val="18"/>
              </w:rPr>
              <w:t>izolacija razvoda prema minimalnim zahtjevima TPRUETZZ</w:t>
            </w:r>
          </w:p>
        </w:tc>
        <w:tc>
          <w:tcPr>
            <w:tcW w:w="2420" w:type="dxa"/>
          </w:tcPr>
          <w:p w14:paraId="4FAFD10C" w14:textId="5A7CC03E"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325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0C041A67"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681B2BF1"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 xml:space="preserve">ogrjevna tijela - </w:t>
            </w:r>
            <w:proofErr w:type="spellStart"/>
            <w:r w:rsidRPr="008A6D46">
              <w:rPr>
                <w:rFonts w:ascii="Tahoma" w:hAnsi="Tahoma" w:cs="Tahoma"/>
                <w:sz w:val="18"/>
                <w:szCs w:val="18"/>
                <w:lang w:eastAsia="hr-HR"/>
              </w:rPr>
              <w:t>ventilokonvektori</w:t>
            </w:r>
            <w:proofErr w:type="spellEnd"/>
          </w:p>
        </w:tc>
        <w:tc>
          <w:tcPr>
            <w:tcW w:w="4963" w:type="dxa"/>
          </w:tcPr>
          <w:p w14:paraId="75719F61"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zamjena ili ugradnja </w:t>
            </w:r>
            <w:proofErr w:type="spellStart"/>
            <w:r w:rsidRPr="008A6D46">
              <w:rPr>
                <w:rFonts w:ascii="Tahoma" w:hAnsi="Tahoma" w:cs="Tahoma"/>
                <w:sz w:val="18"/>
                <w:szCs w:val="18"/>
                <w:lang w:eastAsia="hr-HR"/>
              </w:rPr>
              <w:t>ventilokonvektora</w:t>
            </w:r>
            <w:proofErr w:type="spellEnd"/>
            <w:r w:rsidRPr="008A6D46">
              <w:rPr>
                <w:rFonts w:ascii="Tahoma" w:hAnsi="Tahoma" w:cs="Tahoma"/>
                <w:sz w:val="18"/>
                <w:szCs w:val="18"/>
                <w:lang w:eastAsia="hr-HR"/>
              </w:rPr>
              <w:t xml:space="preserve"> za grijanje i hlađenje zgrade</w:t>
            </w:r>
          </w:p>
          <w:p w14:paraId="22FC3C7C"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c>
          <w:tcPr>
            <w:tcW w:w="2420" w:type="dxa"/>
          </w:tcPr>
          <w:p w14:paraId="41A9186B" w14:textId="7EE80148"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340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0F1AA3A1" w14:textId="2586238A"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2.735 </w:t>
            </w:r>
            <w:r w:rsidR="0063313B">
              <w:rPr>
                <w:rFonts w:ascii="Tahoma" w:hAnsi="Tahoma" w:cs="Tahoma"/>
                <w:sz w:val="18"/>
                <w:szCs w:val="18"/>
                <w:lang w:eastAsia="hr-HR"/>
              </w:rPr>
              <w:t>kuna</w:t>
            </w:r>
            <w:r w:rsidRPr="008A6D46">
              <w:rPr>
                <w:rFonts w:ascii="Tahoma" w:hAnsi="Tahoma" w:cs="Tahoma"/>
                <w:sz w:val="18"/>
                <w:szCs w:val="18"/>
                <w:lang w:eastAsia="hr-HR"/>
              </w:rPr>
              <w:t xml:space="preserve">/kWh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4949CA" w:rsidRPr="00B2139E" w14:paraId="62591637"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14759CC4"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ogrjevna tijela - radijatori</w:t>
            </w:r>
          </w:p>
        </w:tc>
        <w:tc>
          <w:tcPr>
            <w:tcW w:w="4963" w:type="dxa"/>
          </w:tcPr>
          <w:p w14:paraId="7F0BB948"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zamjena ili ugradnja radijatora s uređajima za samoregulaciju temperature</w:t>
            </w:r>
          </w:p>
        </w:tc>
        <w:tc>
          <w:tcPr>
            <w:tcW w:w="2420" w:type="dxa"/>
          </w:tcPr>
          <w:p w14:paraId="7FCFF431" w14:textId="260E2CB1"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120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p w14:paraId="67D7F183" w14:textId="08D547B0"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1.775 </w:t>
            </w:r>
            <w:r w:rsidR="0063313B">
              <w:rPr>
                <w:rFonts w:ascii="Tahoma" w:hAnsi="Tahoma" w:cs="Tahoma"/>
                <w:sz w:val="18"/>
                <w:szCs w:val="18"/>
                <w:lang w:eastAsia="hr-HR"/>
              </w:rPr>
              <w:t>kuna</w:t>
            </w:r>
            <w:r w:rsidRPr="008A6D46">
              <w:rPr>
                <w:rFonts w:ascii="Tahoma" w:hAnsi="Tahoma" w:cs="Tahoma"/>
                <w:sz w:val="18"/>
                <w:szCs w:val="18"/>
                <w:lang w:eastAsia="hr-HR"/>
              </w:rPr>
              <w:t xml:space="preserve">/kWh </w:t>
            </w:r>
            <w:proofErr w:type="spellStart"/>
            <w:r w:rsidRPr="008A6D46">
              <w:rPr>
                <w:rFonts w:ascii="Tahoma" w:hAnsi="Tahoma" w:cs="Tahoma"/>
                <w:sz w:val="18"/>
                <w:szCs w:val="18"/>
                <w:lang w:eastAsia="hr-HR"/>
              </w:rPr>
              <w:t>P</w:t>
            </w:r>
            <w:r w:rsidRPr="008A6D46">
              <w:rPr>
                <w:rFonts w:ascii="Tahoma" w:hAnsi="Tahoma" w:cs="Tahoma"/>
                <w:sz w:val="18"/>
                <w:szCs w:val="18"/>
                <w:vertAlign w:val="subscript"/>
                <w:lang w:eastAsia="hr-HR"/>
              </w:rPr>
              <w:t>gen</w:t>
            </w:r>
            <w:proofErr w:type="spellEnd"/>
          </w:p>
        </w:tc>
      </w:tr>
      <w:tr w:rsidR="004949CA" w:rsidRPr="00B2139E" w14:paraId="7E3DA19F"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0EB61DD7"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sustav ventilacije i klimatizacije – klima komora</w:t>
            </w:r>
          </w:p>
        </w:tc>
        <w:tc>
          <w:tcPr>
            <w:tcW w:w="4963" w:type="dxa"/>
          </w:tcPr>
          <w:p w14:paraId="7BA37D1F"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zamjena ili ugradnja ventilacijskog uređaja  </w:t>
            </w:r>
          </w:p>
          <w:p w14:paraId="4A03FB0F" w14:textId="77777777" w:rsidR="004949CA" w:rsidRPr="008A6D46"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prema minimalnim zahtjevima TPRUETZZ</w:t>
            </w:r>
          </w:p>
        </w:tc>
        <w:tc>
          <w:tcPr>
            <w:tcW w:w="2420" w:type="dxa"/>
          </w:tcPr>
          <w:p w14:paraId="15C33E67" w14:textId="792BE60E"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55 </w:t>
            </w:r>
            <w:r w:rsidR="0063313B">
              <w:rPr>
                <w:rFonts w:ascii="Tahoma" w:hAnsi="Tahoma" w:cs="Tahoma"/>
                <w:sz w:val="18"/>
                <w:szCs w:val="18"/>
                <w:lang w:eastAsia="hr-HR"/>
              </w:rPr>
              <w:t>kuna</w:t>
            </w:r>
            <w:r w:rsidRPr="008A6D46">
              <w:rPr>
                <w:rFonts w:ascii="Tahoma" w:hAnsi="Tahoma" w:cs="Tahoma"/>
                <w:sz w:val="18"/>
                <w:szCs w:val="18"/>
                <w:lang w:eastAsia="hr-HR"/>
              </w:rPr>
              <w:t xml:space="preserve"> h/m³</w:t>
            </w:r>
          </w:p>
        </w:tc>
      </w:tr>
      <w:tr w:rsidR="004949CA" w:rsidRPr="00B2139E" w14:paraId="721423C0"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1D6E5769"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sustav ventilacije i klimatizacije – kanalski razvod</w:t>
            </w:r>
          </w:p>
        </w:tc>
        <w:tc>
          <w:tcPr>
            <w:tcW w:w="4963" w:type="dxa"/>
          </w:tcPr>
          <w:p w14:paraId="2D1C1A5B"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zamjena ili ugradnja kanalskog razvoda sustava ventilacije  </w:t>
            </w:r>
          </w:p>
        </w:tc>
        <w:tc>
          <w:tcPr>
            <w:tcW w:w="2420" w:type="dxa"/>
          </w:tcPr>
          <w:p w14:paraId="2A2BEC47" w14:textId="24258CFE"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65 </w:t>
            </w:r>
            <w:r w:rsidR="0063313B">
              <w:rPr>
                <w:rFonts w:ascii="Tahoma" w:hAnsi="Tahoma" w:cs="Tahoma"/>
                <w:sz w:val="18"/>
                <w:szCs w:val="18"/>
                <w:lang w:eastAsia="hr-HR"/>
              </w:rPr>
              <w:t>kuna</w:t>
            </w:r>
            <w:r w:rsidRPr="008A6D46">
              <w:rPr>
                <w:rFonts w:ascii="Tahoma" w:hAnsi="Tahoma" w:cs="Tahoma"/>
                <w:sz w:val="18"/>
                <w:szCs w:val="18"/>
                <w:lang w:eastAsia="hr-HR"/>
              </w:rPr>
              <w:t xml:space="preserve">/m²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147897B6"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09AC734A"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lastRenderedPageBreak/>
              <w:t>sustav pripreme PTV – spremnik PTV</w:t>
            </w:r>
          </w:p>
        </w:tc>
        <w:tc>
          <w:tcPr>
            <w:tcW w:w="4963" w:type="dxa"/>
          </w:tcPr>
          <w:p w14:paraId="37CF9F25"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zamjena ili ugradnja spremnika PTV </w:t>
            </w:r>
          </w:p>
          <w:p w14:paraId="3319304D" w14:textId="77777777" w:rsidR="004949CA" w:rsidRPr="008A6D46" w:rsidRDefault="137C0FFA" w:rsidP="2617B706">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eastAsiaTheme="minorEastAsia" w:cs="Tahoma"/>
                <w:sz w:val="18"/>
                <w:szCs w:val="18"/>
              </w:rPr>
            </w:pPr>
            <w:r w:rsidRPr="2617B706">
              <w:rPr>
                <w:rFonts w:cs="Tahoma"/>
                <w:sz w:val="18"/>
                <w:szCs w:val="18"/>
              </w:rPr>
              <w:t>izolacija spremnika prema minimalnim zahtjevima TPRUETZZ</w:t>
            </w:r>
          </w:p>
        </w:tc>
        <w:tc>
          <w:tcPr>
            <w:tcW w:w="2420" w:type="dxa"/>
          </w:tcPr>
          <w:p w14:paraId="685EB5FD" w14:textId="77777777"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r>
      <w:tr w:rsidR="004949CA" w:rsidRPr="00B2139E" w14:paraId="591C878B"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7160CAB3"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obnovljivi izvori energije – solarni kolektori za pripremu PTV</w:t>
            </w:r>
          </w:p>
        </w:tc>
        <w:tc>
          <w:tcPr>
            <w:tcW w:w="4963" w:type="dxa"/>
          </w:tcPr>
          <w:p w14:paraId="294D2DF7"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ugradnja solarnih kolektora, spremnika i pripadajuće automatike za regulaciju. Tehnički zahtjev za kolektore je posjedovanje certifikata o kvaliteti proizvoda - Solar </w:t>
            </w:r>
            <w:proofErr w:type="spellStart"/>
            <w:r w:rsidRPr="008A6D46">
              <w:rPr>
                <w:rFonts w:ascii="Tahoma" w:hAnsi="Tahoma" w:cs="Tahoma"/>
                <w:sz w:val="18"/>
                <w:szCs w:val="18"/>
                <w:lang w:eastAsia="hr-HR"/>
              </w:rPr>
              <w:t>Keymark</w:t>
            </w:r>
            <w:proofErr w:type="spellEnd"/>
          </w:p>
        </w:tc>
        <w:tc>
          <w:tcPr>
            <w:tcW w:w="2420" w:type="dxa"/>
          </w:tcPr>
          <w:p w14:paraId="10E916CE" w14:textId="4F9EA0F3"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8A6D46">
              <w:rPr>
                <w:rFonts w:ascii="Tahoma" w:hAnsi="Tahoma" w:cs="Tahoma"/>
                <w:sz w:val="18"/>
                <w:szCs w:val="18"/>
              </w:rPr>
              <w:t xml:space="preserve">5.000 </w:t>
            </w:r>
            <w:r w:rsidR="0063313B">
              <w:rPr>
                <w:rFonts w:ascii="Tahoma" w:hAnsi="Tahoma" w:cs="Tahoma"/>
                <w:sz w:val="18"/>
                <w:szCs w:val="18"/>
              </w:rPr>
              <w:t>kuna</w:t>
            </w:r>
            <w:r w:rsidRPr="008A6D46">
              <w:rPr>
                <w:rFonts w:ascii="Tahoma" w:hAnsi="Tahoma" w:cs="Tahoma"/>
                <w:sz w:val="18"/>
                <w:szCs w:val="18"/>
              </w:rPr>
              <w:t>/</w:t>
            </w:r>
            <w:r w:rsidRPr="008A6D46">
              <w:rPr>
                <w:rFonts w:ascii="Tahoma" w:eastAsia="Tahoma" w:hAnsi="Tahoma" w:cs="Tahoma"/>
                <w:sz w:val="18"/>
                <w:szCs w:val="18"/>
              </w:rPr>
              <w:t>m² kolektora</w:t>
            </w:r>
          </w:p>
        </w:tc>
      </w:tr>
      <w:tr w:rsidR="004949CA" w:rsidRPr="00B2139E" w14:paraId="0933E1D7"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3688CDDE"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obnovljivi izvori energije – fotonaponski sustav</w:t>
            </w:r>
          </w:p>
        </w:tc>
        <w:tc>
          <w:tcPr>
            <w:tcW w:w="4963" w:type="dxa"/>
          </w:tcPr>
          <w:p w14:paraId="394E867B"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ugradnja fotonaponske elektrane na raspoložive krovne površine za pokrivanje vlastitih potreba za električnom energijom </w:t>
            </w:r>
          </w:p>
        </w:tc>
        <w:tc>
          <w:tcPr>
            <w:tcW w:w="2420" w:type="dxa"/>
          </w:tcPr>
          <w:p w14:paraId="1489E571" w14:textId="1391585B"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7.500 </w:t>
            </w:r>
            <w:r w:rsidR="0063313B">
              <w:rPr>
                <w:rFonts w:ascii="Tahoma" w:hAnsi="Tahoma" w:cs="Tahoma"/>
                <w:sz w:val="18"/>
                <w:szCs w:val="18"/>
                <w:lang w:eastAsia="hr-HR"/>
              </w:rPr>
              <w:t>kuna</w:t>
            </w:r>
            <w:r w:rsidRPr="008A6D46">
              <w:rPr>
                <w:rFonts w:ascii="Tahoma" w:hAnsi="Tahoma" w:cs="Tahoma"/>
                <w:sz w:val="18"/>
                <w:szCs w:val="18"/>
                <w:lang w:eastAsia="hr-HR"/>
              </w:rPr>
              <w:t>/</w:t>
            </w:r>
            <w:proofErr w:type="spellStart"/>
            <w:r w:rsidRPr="008A6D46">
              <w:rPr>
                <w:rFonts w:ascii="Tahoma" w:hAnsi="Tahoma" w:cs="Tahoma"/>
                <w:sz w:val="18"/>
                <w:szCs w:val="18"/>
                <w:lang w:eastAsia="hr-HR"/>
              </w:rPr>
              <w:t>kWp</w:t>
            </w:r>
            <w:proofErr w:type="spellEnd"/>
            <w:r w:rsidRPr="008A6D46">
              <w:rPr>
                <w:rFonts w:ascii="Tahoma" w:hAnsi="Tahoma" w:cs="Tahoma"/>
                <w:sz w:val="18"/>
                <w:szCs w:val="18"/>
                <w:lang w:eastAsia="hr-HR"/>
              </w:rPr>
              <w:t xml:space="preserve"> vršne instalirane snage</w:t>
            </w:r>
          </w:p>
        </w:tc>
      </w:tr>
      <w:tr w:rsidR="004949CA" w:rsidRPr="00B2139E" w14:paraId="4C200064"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266BBB04"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ugradnja spremnika električne energije</w:t>
            </w:r>
          </w:p>
        </w:tc>
        <w:tc>
          <w:tcPr>
            <w:tcW w:w="4963" w:type="dxa"/>
          </w:tcPr>
          <w:p w14:paraId="0DF24DFD"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regulatorni okvir trenutačno ne podupire ugradnju spremnika električne energije i nema minimalnih tehničkih uvjeta koje je potrebno ispuniti; prihvatljiva je ugradnja spremnika električne energije vezanih sa novim ili postojećim fotonaponskim sustavima u zgradi</w:t>
            </w:r>
          </w:p>
        </w:tc>
        <w:tc>
          <w:tcPr>
            <w:tcW w:w="2420" w:type="dxa"/>
          </w:tcPr>
          <w:p w14:paraId="23A6ABF8" w14:textId="49F758E0"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5.000 </w:t>
            </w:r>
            <w:r w:rsidR="0063313B">
              <w:rPr>
                <w:rFonts w:ascii="Tahoma" w:hAnsi="Tahoma" w:cs="Tahoma"/>
                <w:sz w:val="18"/>
                <w:szCs w:val="18"/>
                <w:lang w:eastAsia="hr-HR"/>
              </w:rPr>
              <w:t>kuna</w:t>
            </w:r>
            <w:r w:rsidRPr="008A6D46">
              <w:rPr>
                <w:rFonts w:ascii="Tahoma" w:hAnsi="Tahoma" w:cs="Tahoma"/>
                <w:sz w:val="18"/>
                <w:szCs w:val="18"/>
                <w:lang w:eastAsia="hr-HR"/>
              </w:rPr>
              <w:t>/kWh</w:t>
            </w:r>
          </w:p>
        </w:tc>
      </w:tr>
      <w:tr w:rsidR="004949CA" w:rsidRPr="00B2139E" w14:paraId="025B3EB8"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02BBD81F"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sustav unutarnje rasvjete – zajednički prostori</w:t>
            </w:r>
          </w:p>
        </w:tc>
        <w:tc>
          <w:tcPr>
            <w:tcW w:w="4963" w:type="dxa"/>
          </w:tcPr>
          <w:p w14:paraId="7B5EBDED"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Implementacija sustava unutarnje rasvjete preko senzora okupiranosti ili u najgorem slučaju </w:t>
            </w:r>
            <w:proofErr w:type="spellStart"/>
            <w:r w:rsidRPr="008A6D46">
              <w:rPr>
                <w:rFonts w:ascii="Tahoma" w:hAnsi="Tahoma" w:cs="Tahoma"/>
                <w:sz w:val="18"/>
                <w:szCs w:val="18"/>
                <w:lang w:eastAsia="hr-HR"/>
              </w:rPr>
              <w:t>uklopnog</w:t>
            </w:r>
            <w:proofErr w:type="spellEnd"/>
            <w:r w:rsidRPr="008A6D46">
              <w:rPr>
                <w:rFonts w:ascii="Tahoma" w:hAnsi="Tahoma" w:cs="Tahoma"/>
                <w:sz w:val="18"/>
                <w:szCs w:val="18"/>
                <w:lang w:eastAsia="hr-HR"/>
              </w:rPr>
              <w:t xml:space="preserve"> sata korištenjem LED tehnologije (učinkovitost izvora svjetlosti iznad 115 lm/W)</w:t>
            </w:r>
          </w:p>
        </w:tc>
        <w:tc>
          <w:tcPr>
            <w:tcW w:w="2420" w:type="dxa"/>
          </w:tcPr>
          <w:p w14:paraId="7CA934CB" w14:textId="31195D98"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100 </w:t>
            </w:r>
            <w:r w:rsidR="0063313B">
              <w:rPr>
                <w:rFonts w:ascii="Tahoma" w:hAnsi="Tahoma" w:cs="Tahoma"/>
                <w:sz w:val="18"/>
                <w:szCs w:val="18"/>
                <w:lang w:eastAsia="hr-HR"/>
              </w:rPr>
              <w:t>kuna</w:t>
            </w:r>
            <w:r w:rsidRPr="008A6D46">
              <w:rPr>
                <w:rFonts w:ascii="Tahoma" w:hAnsi="Tahoma" w:cs="Tahoma"/>
                <w:sz w:val="18"/>
                <w:szCs w:val="18"/>
                <w:lang w:eastAsia="hr-HR"/>
              </w:rPr>
              <w:t>/m</w:t>
            </w:r>
            <w:r w:rsidRPr="008A6D46">
              <w:rPr>
                <w:rFonts w:ascii="Tahoma" w:hAnsi="Tahoma" w:cs="Tahoma"/>
                <w:sz w:val="18"/>
                <w:szCs w:val="18"/>
                <w:vertAlign w:val="superscript"/>
                <w:lang w:eastAsia="hr-HR"/>
              </w:rPr>
              <w:t xml:space="preserve">2 </w:t>
            </w:r>
            <w:proofErr w:type="spellStart"/>
            <w:r w:rsidRPr="008A6D46">
              <w:rPr>
                <w:rFonts w:ascii="Tahoma" w:hAnsi="Tahoma" w:cs="Tahoma"/>
                <w:sz w:val="18"/>
                <w:szCs w:val="18"/>
                <w:lang w:eastAsia="hr-HR"/>
              </w:rPr>
              <w:t>A</w:t>
            </w:r>
            <w:r w:rsidRPr="008A6D46">
              <w:rPr>
                <w:rFonts w:ascii="Tahoma" w:hAnsi="Tahoma" w:cs="Tahoma"/>
                <w:sz w:val="18"/>
                <w:szCs w:val="18"/>
                <w:vertAlign w:val="subscript"/>
                <w:lang w:eastAsia="hr-HR"/>
              </w:rPr>
              <w:t>k</w:t>
            </w:r>
            <w:proofErr w:type="spellEnd"/>
          </w:p>
        </w:tc>
      </w:tr>
      <w:tr w:rsidR="004949CA" w:rsidRPr="00B2139E" w14:paraId="1C286953"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0181CCC6"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sustav automatizacije i upravljanja zgradom</w:t>
            </w:r>
          </w:p>
        </w:tc>
        <w:tc>
          <w:tcPr>
            <w:tcW w:w="4963" w:type="dxa"/>
          </w:tcPr>
          <w:p w14:paraId="6B9976AF"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prema čl. 41.b i 41.c Tehničkog propisa o racionalnoj uporabi energije i toplinskoj zaštiti u zgradama</w:t>
            </w:r>
          </w:p>
        </w:tc>
        <w:tc>
          <w:tcPr>
            <w:tcW w:w="2420" w:type="dxa"/>
          </w:tcPr>
          <w:p w14:paraId="796B1598"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integrirano u cijenu tehničkih sustava </w:t>
            </w:r>
          </w:p>
        </w:tc>
      </w:tr>
      <w:tr w:rsidR="004949CA" w:rsidRPr="00B2139E" w14:paraId="6C4ACB1B" w14:textId="77777777" w:rsidTr="00EA1F46">
        <w:tc>
          <w:tcPr>
            <w:cnfStyle w:val="001000000000" w:firstRow="0" w:lastRow="0" w:firstColumn="1" w:lastColumn="0" w:oddVBand="0" w:evenVBand="0" w:oddHBand="0" w:evenHBand="0" w:firstRowFirstColumn="0" w:firstRowLastColumn="0" w:lastRowFirstColumn="0" w:lastRowLastColumn="0"/>
            <w:tcW w:w="1905" w:type="dxa"/>
          </w:tcPr>
          <w:p w14:paraId="555D476E" w14:textId="77777777" w:rsidR="004949CA" w:rsidRPr="008A6D46" w:rsidRDefault="004949CA" w:rsidP="00331A63">
            <w:pPr>
              <w:rPr>
                <w:rFonts w:ascii="Tahoma" w:hAnsi="Tahoma" w:cs="Tahoma"/>
                <w:b w:val="0"/>
                <w:bCs w:val="0"/>
                <w:sz w:val="18"/>
                <w:szCs w:val="18"/>
                <w:lang w:eastAsia="hr-HR"/>
              </w:rPr>
            </w:pPr>
            <w:r w:rsidRPr="008A6D46">
              <w:rPr>
                <w:rFonts w:ascii="Tahoma" w:hAnsi="Tahoma" w:cs="Tahoma"/>
                <w:sz w:val="18"/>
                <w:szCs w:val="18"/>
                <w:lang w:eastAsia="hr-HR"/>
              </w:rPr>
              <w:t>sustav daljinskog očitanja potrošnje energenata i vode</w:t>
            </w:r>
          </w:p>
        </w:tc>
        <w:tc>
          <w:tcPr>
            <w:tcW w:w="4963" w:type="dxa"/>
          </w:tcPr>
          <w:p w14:paraId="768A1C3A" w14:textId="77777777" w:rsidR="004949CA" w:rsidRPr="008A6D46"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provedba pilot projekta C6.1. R6 „Pilot projekt uspostave i provedbe sustavnog gospodarenja </w:t>
            </w:r>
          </w:p>
          <w:p w14:paraId="4C079F7F" w14:textId="3528705A" w:rsidR="004949C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energijom te razvoj novog modela financiranja“  Nacionalnog plana oporavka i otpornosti 2021-2026 na području jedne odabrane JLS - vrijednost projekta 12.000.000 </w:t>
            </w:r>
            <w:r w:rsidR="0063313B">
              <w:rPr>
                <w:rFonts w:ascii="Tahoma" w:hAnsi="Tahoma" w:cs="Tahoma"/>
                <w:sz w:val="18"/>
                <w:szCs w:val="18"/>
                <w:lang w:eastAsia="hr-HR"/>
              </w:rPr>
              <w:t>kuna</w:t>
            </w:r>
            <w:r w:rsidRPr="008A6D46">
              <w:rPr>
                <w:rFonts w:ascii="Tahoma" w:hAnsi="Tahoma" w:cs="Tahoma"/>
                <w:sz w:val="18"/>
                <w:szCs w:val="18"/>
                <w:lang w:eastAsia="hr-HR"/>
              </w:rPr>
              <w:t xml:space="preserve"> za razdoblje 2021. do 2026. godine</w:t>
            </w:r>
          </w:p>
          <w:p w14:paraId="2B69D209" w14:textId="04B26CE1" w:rsidR="008A6D46" w:rsidRPr="008A6D46" w:rsidRDefault="008A6D46"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c>
          <w:tcPr>
            <w:tcW w:w="2420" w:type="dxa"/>
          </w:tcPr>
          <w:p w14:paraId="15AB6B94" w14:textId="6B6B0841" w:rsidR="004949CA" w:rsidRPr="008A6D46"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A6D46">
              <w:rPr>
                <w:rFonts w:ascii="Tahoma" w:hAnsi="Tahoma" w:cs="Tahoma"/>
                <w:sz w:val="18"/>
                <w:szCs w:val="18"/>
                <w:lang w:eastAsia="hr-HR"/>
              </w:rPr>
              <w:t xml:space="preserve">10.561 </w:t>
            </w:r>
            <w:r w:rsidR="0063313B">
              <w:rPr>
                <w:rFonts w:ascii="Tahoma" w:hAnsi="Tahoma" w:cs="Tahoma"/>
                <w:sz w:val="18"/>
                <w:szCs w:val="18"/>
                <w:lang w:eastAsia="hr-HR"/>
              </w:rPr>
              <w:t>kuna</w:t>
            </w:r>
            <w:r w:rsidRPr="008A6D46">
              <w:rPr>
                <w:rFonts w:ascii="Tahoma" w:hAnsi="Tahoma" w:cs="Tahoma"/>
                <w:sz w:val="18"/>
                <w:szCs w:val="18"/>
                <w:lang w:eastAsia="hr-HR"/>
              </w:rPr>
              <w:t xml:space="preserve"> po mjernom mjestu i energentu</w:t>
            </w:r>
          </w:p>
        </w:tc>
      </w:tr>
    </w:tbl>
    <w:p w14:paraId="0C5EA972" w14:textId="77777777" w:rsidR="004949CA" w:rsidRPr="008A6D46" w:rsidRDefault="004949CA" w:rsidP="008A6D46">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jc w:val="both"/>
        <w:rPr>
          <w:rFonts w:ascii="Tahoma" w:hAnsi="Tahoma" w:cs="Tahoma"/>
          <w:b/>
          <w:bCs/>
          <w:sz w:val="20"/>
          <w:szCs w:val="20"/>
        </w:rPr>
      </w:pPr>
      <w:r w:rsidRPr="008A6D46">
        <w:rPr>
          <w:rFonts w:ascii="Tahoma" w:hAnsi="Tahoma" w:cs="Tahoma"/>
          <w:b/>
          <w:bCs/>
          <w:sz w:val="20"/>
          <w:szCs w:val="20"/>
        </w:rPr>
        <w:t xml:space="preserve">Cijene prikazane u gornjoj tablici služe samo kao okvirni pokazatelj te se ne trebaju prenositi u javne pozive ili programe kreditiranja, jer protekom vremena te cijene više neće biti relevantne. U javnim pozivima će se definirati maksimalni iznosi prihvatljivog troška, uvažavajući stanje na tržištu. Osim toga, popis mjera prihvatljivih za sufinanciranje može se kroz javne pozive i programe kreditiranja proširivati, ovisno o napretku tehnologije i utvrđenim potrebama VSZ. </w:t>
      </w:r>
    </w:p>
    <w:p w14:paraId="26973DC7" w14:textId="77777777"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Kod energetske obnove višestambenih zgrada razlikujemo dvije razine:</w:t>
      </w:r>
    </w:p>
    <w:p w14:paraId="1329BA16" w14:textId="77777777" w:rsidR="004949CA" w:rsidRPr="008A6D46" w:rsidRDefault="004949CA" w:rsidP="008A6D46">
      <w:pPr>
        <w:pStyle w:val="Odlomakpopisa"/>
        <w:numPr>
          <w:ilvl w:val="0"/>
          <w:numId w:val="43"/>
        </w:numPr>
        <w:spacing w:before="120" w:after="120"/>
        <w:rPr>
          <w:rFonts w:cs="Tahoma"/>
          <w:szCs w:val="20"/>
        </w:rPr>
      </w:pPr>
      <w:r w:rsidRPr="008A6D46">
        <w:rPr>
          <w:rFonts w:cs="Tahoma"/>
          <w:szCs w:val="20"/>
        </w:rPr>
        <w:t xml:space="preserve">integralna energetska obnova </w:t>
      </w:r>
      <w:r w:rsidRPr="008A6D46">
        <w:rPr>
          <w:rFonts w:cs="Tahoma"/>
          <w:strike/>
          <w:szCs w:val="20"/>
        </w:rPr>
        <w:t>i</w:t>
      </w:r>
    </w:p>
    <w:p w14:paraId="42D499B6" w14:textId="77777777" w:rsidR="004949CA" w:rsidRPr="008A6D46" w:rsidRDefault="004949CA" w:rsidP="008A6D46">
      <w:pPr>
        <w:pStyle w:val="Odlomakpopisa"/>
        <w:numPr>
          <w:ilvl w:val="0"/>
          <w:numId w:val="43"/>
        </w:numPr>
        <w:spacing w:before="120" w:after="120"/>
        <w:rPr>
          <w:rFonts w:cs="Tahoma"/>
          <w:szCs w:val="20"/>
        </w:rPr>
      </w:pPr>
      <w:r w:rsidRPr="008A6D46">
        <w:rPr>
          <w:rFonts w:cs="Tahoma"/>
          <w:szCs w:val="20"/>
        </w:rPr>
        <w:t>dubinska obnova.</w:t>
      </w:r>
    </w:p>
    <w:p w14:paraId="7119AC09" w14:textId="1DF29298" w:rsidR="004949CA" w:rsidRPr="008A6D46" w:rsidRDefault="0C3F4C7D" w:rsidP="008A6D46">
      <w:pPr>
        <w:spacing w:before="120" w:after="120" w:line="240" w:lineRule="auto"/>
        <w:jc w:val="both"/>
        <w:rPr>
          <w:rFonts w:ascii="Tahoma" w:hAnsi="Tahoma" w:cs="Tahoma"/>
          <w:sz w:val="20"/>
          <w:szCs w:val="20"/>
        </w:rPr>
      </w:pPr>
      <w:r w:rsidRPr="638C4C38">
        <w:rPr>
          <w:rFonts w:ascii="Tahoma" w:hAnsi="Tahoma" w:cs="Tahoma"/>
          <w:b/>
          <w:bCs/>
          <w:sz w:val="20"/>
          <w:szCs w:val="20"/>
        </w:rPr>
        <w:t>Integralna energetska obnova</w:t>
      </w:r>
      <w:r w:rsidRPr="638C4C38">
        <w:rPr>
          <w:rFonts w:ascii="Tahoma" w:hAnsi="Tahoma" w:cs="Tahoma"/>
          <w:sz w:val="20"/>
          <w:szCs w:val="20"/>
        </w:rPr>
        <w:t xml:space="preserve"> - obuhvaća kombinaciju više mjera energetske obnove, a obavezno uključuje mjeru na ovojnici zgrade kojima se ostvaruje </w:t>
      </w:r>
      <w:r w:rsidR="53DA1E03" w:rsidRPr="638C4C38">
        <w:rPr>
          <w:rFonts w:ascii="Tahoma" w:hAnsi="Tahoma" w:cs="Tahoma"/>
          <w:sz w:val="20"/>
          <w:szCs w:val="20"/>
        </w:rPr>
        <w:t xml:space="preserve">ušteda </w:t>
      </w:r>
      <w:r w:rsidR="70E21C7D" w:rsidRPr="638C4C38">
        <w:rPr>
          <w:rFonts w:ascii="Tahoma" w:hAnsi="Tahoma" w:cs="Tahoma"/>
          <w:sz w:val="20"/>
          <w:szCs w:val="20"/>
        </w:rPr>
        <w:t xml:space="preserve">godišnje </w:t>
      </w:r>
      <w:r w:rsidR="3E9BF88B" w:rsidRPr="638C4C38">
        <w:rPr>
          <w:rFonts w:ascii="Tahoma" w:hAnsi="Tahoma" w:cs="Tahoma"/>
          <w:sz w:val="20"/>
          <w:szCs w:val="20"/>
        </w:rPr>
        <w:t xml:space="preserve">potrebne toplinske </w:t>
      </w:r>
      <w:r w:rsidRPr="638C4C38">
        <w:rPr>
          <w:rFonts w:ascii="Tahoma" w:hAnsi="Tahoma" w:cs="Tahoma"/>
          <w:sz w:val="20"/>
          <w:szCs w:val="20"/>
        </w:rPr>
        <w:t>energije za grijanje (</w:t>
      </w:r>
      <w:proofErr w:type="spellStart"/>
      <w:r w:rsidRPr="638C4C38">
        <w:rPr>
          <w:rFonts w:ascii="Tahoma" w:hAnsi="Tahoma" w:cs="Tahoma"/>
          <w:sz w:val="20"/>
          <w:szCs w:val="20"/>
        </w:rPr>
        <w:t>Q</w:t>
      </w:r>
      <w:r w:rsidRPr="638C4C38">
        <w:rPr>
          <w:rFonts w:ascii="Tahoma" w:hAnsi="Tahoma" w:cs="Tahoma"/>
          <w:sz w:val="20"/>
          <w:szCs w:val="20"/>
          <w:vertAlign w:val="subscript"/>
        </w:rPr>
        <w:t>H,nd</w:t>
      </w:r>
      <w:proofErr w:type="spellEnd"/>
      <w:r w:rsidRPr="638C4C38">
        <w:rPr>
          <w:rFonts w:ascii="Tahoma" w:hAnsi="Tahoma" w:cs="Tahoma"/>
          <w:sz w:val="20"/>
          <w:szCs w:val="20"/>
        </w:rPr>
        <w:t xml:space="preserve">) od najmanje 50 % u odnosu na </w:t>
      </w:r>
      <w:r w:rsidR="3E9BF88B" w:rsidRPr="638C4C38">
        <w:rPr>
          <w:rFonts w:ascii="Tahoma" w:hAnsi="Tahoma" w:cs="Tahoma"/>
          <w:sz w:val="20"/>
          <w:szCs w:val="20"/>
        </w:rPr>
        <w:t>stanje</w:t>
      </w:r>
      <w:r w:rsidRPr="638C4C38">
        <w:rPr>
          <w:rFonts w:ascii="Tahoma" w:hAnsi="Tahoma" w:cs="Tahoma"/>
          <w:sz w:val="20"/>
          <w:szCs w:val="20"/>
        </w:rPr>
        <w:t xml:space="preserve"> prije obnove. Iznimno može obuhvaćati samo jednu mjeru na ovojnici ako ona rezultira </w:t>
      </w:r>
      <w:r w:rsidR="5E2A505C" w:rsidRPr="638C4C38">
        <w:rPr>
          <w:rFonts w:ascii="Tahoma" w:hAnsi="Tahoma" w:cs="Tahoma"/>
          <w:sz w:val="20"/>
          <w:szCs w:val="20"/>
        </w:rPr>
        <w:t xml:space="preserve">uštedom </w:t>
      </w:r>
      <w:r w:rsidR="479BEE2E" w:rsidRPr="638C4C38">
        <w:rPr>
          <w:rFonts w:ascii="Tahoma" w:hAnsi="Tahoma" w:cs="Tahoma"/>
          <w:sz w:val="20"/>
          <w:szCs w:val="20"/>
        </w:rPr>
        <w:t xml:space="preserve">godišnje </w:t>
      </w:r>
      <w:r w:rsidR="3E9BF88B" w:rsidRPr="638C4C38">
        <w:rPr>
          <w:rFonts w:ascii="Tahoma" w:hAnsi="Tahoma" w:cs="Tahoma"/>
          <w:sz w:val="20"/>
          <w:szCs w:val="20"/>
        </w:rPr>
        <w:t xml:space="preserve">potrebne toplinske </w:t>
      </w:r>
      <w:r w:rsidRPr="638C4C38">
        <w:rPr>
          <w:rFonts w:ascii="Tahoma" w:hAnsi="Tahoma" w:cs="Tahoma"/>
          <w:sz w:val="20"/>
          <w:szCs w:val="20"/>
        </w:rPr>
        <w:t>energije za grijanje (</w:t>
      </w:r>
      <w:proofErr w:type="spellStart"/>
      <w:r w:rsidRPr="638C4C38">
        <w:rPr>
          <w:rFonts w:ascii="Tahoma" w:hAnsi="Tahoma" w:cs="Tahoma"/>
          <w:sz w:val="20"/>
          <w:szCs w:val="20"/>
        </w:rPr>
        <w:t>Q</w:t>
      </w:r>
      <w:r w:rsidRPr="638C4C38">
        <w:rPr>
          <w:rFonts w:ascii="Tahoma" w:hAnsi="Tahoma" w:cs="Tahoma"/>
          <w:sz w:val="20"/>
          <w:szCs w:val="20"/>
          <w:vertAlign w:val="subscript"/>
        </w:rPr>
        <w:t>H,nd</w:t>
      </w:r>
      <w:proofErr w:type="spellEnd"/>
      <w:r w:rsidRPr="638C4C38">
        <w:rPr>
          <w:rFonts w:ascii="Tahoma" w:hAnsi="Tahoma" w:cs="Tahoma"/>
          <w:sz w:val="20"/>
          <w:szCs w:val="20"/>
        </w:rPr>
        <w:t xml:space="preserve">) i od najmanje 50% u odnosu na </w:t>
      </w:r>
      <w:r w:rsidR="3E9BF88B" w:rsidRPr="638C4C38">
        <w:rPr>
          <w:rFonts w:ascii="Tahoma" w:hAnsi="Tahoma" w:cs="Tahoma"/>
          <w:sz w:val="20"/>
          <w:szCs w:val="20"/>
        </w:rPr>
        <w:t>stanje</w:t>
      </w:r>
      <w:r w:rsidRPr="638C4C38">
        <w:rPr>
          <w:rFonts w:ascii="Tahoma" w:hAnsi="Tahoma" w:cs="Tahoma"/>
          <w:sz w:val="20"/>
          <w:szCs w:val="20"/>
        </w:rPr>
        <w:t xml:space="preserve"> prije obnove.</w:t>
      </w:r>
    </w:p>
    <w:p w14:paraId="00E9DC12" w14:textId="77777777"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 xml:space="preserve">Stopa sufinanciranja za ovako definiranu integralnu energetsku obnovu iznosi </w:t>
      </w:r>
      <w:r w:rsidRPr="008A6D46">
        <w:rPr>
          <w:rFonts w:ascii="Tahoma" w:hAnsi="Tahoma" w:cs="Tahoma"/>
          <w:b/>
          <w:bCs/>
          <w:sz w:val="20"/>
          <w:szCs w:val="20"/>
        </w:rPr>
        <w:t>do 60%</w:t>
      </w:r>
      <w:r w:rsidRPr="008A6D46">
        <w:rPr>
          <w:rFonts w:ascii="Tahoma" w:hAnsi="Tahoma" w:cs="Tahoma"/>
          <w:sz w:val="20"/>
          <w:szCs w:val="20"/>
        </w:rPr>
        <w:t xml:space="preserve"> prihvatljivih troškova</w:t>
      </w:r>
      <w:r w:rsidRPr="008A6D46">
        <w:rPr>
          <w:rStyle w:val="Referencafusnote"/>
          <w:rFonts w:cs="Tahoma"/>
          <w:sz w:val="20"/>
          <w:szCs w:val="20"/>
        </w:rPr>
        <w:footnoteReference w:id="24"/>
      </w:r>
      <w:r w:rsidRPr="008A6D46">
        <w:rPr>
          <w:rFonts w:ascii="Tahoma" w:hAnsi="Tahoma" w:cs="Tahoma"/>
          <w:sz w:val="20"/>
          <w:szCs w:val="20"/>
        </w:rPr>
        <w:t>.</w:t>
      </w:r>
    </w:p>
    <w:p w14:paraId="26AC4953" w14:textId="77777777" w:rsidR="004949CA" w:rsidRPr="008A6D46" w:rsidRDefault="0C3F4C7D" w:rsidP="008A6D46">
      <w:pPr>
        <w:spacing w:before="120" w:after="120" w:line="240" w:lineRule="auto"/>
        <w:jc w:val="both"/>
        <w:rPr>
          <w:rFonts w:ascii="Tahoma" w:hAnsi="Tahoma" w:cs="Tahoma"/>
          <w:sz w:val="20"/>
          <w:szCs w:val="20"/>
        </w:rPr>
      </w:pPr>
      <w:r w:rsidRPr="638C4C38">
        <w:rPr>
          <w:rFonts w:ascii="Tahoma" w:hAnsi="Tahoma" w:cs="Tahoma"/>
          <w:sz w:val="20"/>
          <w:szCs w:val="20"/>
        </w:rPr>
        <w:t xml:space="preserve">Za integralnu energetsku obnovu mogu se prijaviti sve zgrade, bez obzira na energetski razred. </w:t>
      </w:r>
    </w:p>
    <w:p w14:paraId="3A85C421" w14:textId="77777777"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lastRenderedPageBreak/>
        <w:t xml:space="preserve">Minimalna obvezna tehnička dokumentacija za prijavu na javne pozive/programe kreditiranja u ovom slučaju je </w:t>
      </w:r>
      <w:r w:rsidRPr="008A6D46">
        <w:rPr>
          <w:rFonts w:ascii="Tahoma" w:hAnsi="Tahoma" w:cs="Tahoma"/>
          <w:b/>
          <w:bCs/>
          <w:sz w:val="20"/>
          <w:szCs w:val="20"/>
        </w:rPr>
        <w:t>glavni projekt</w:t>
      </w:r>
      <w:r w:rsidRPr="008A6D46">
        <w:rPr>
          <w:rFonts w:ascii="Tahoma" w:hAnsi="Tahoma" w:cs="Tahoma"/>
          <w:sz w:val="20"/>
          <w:szCs w:val="20"/>
        </w:rPr>
        <w:t xml:space="preserve"> i ostali potrebni projekti i elaborati sa sažetkom analize postojećeg stanja. </w:t>
      </w:r>
    </w:p>
    <w:p w14:paraId="38C1F633" w14:textId="77777777"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 xml:space="preserve">Ostala dokumentacija detaljno se propisuje u javnim pozivima/programima kreditiranja, a uključuje, primjerice, fotodokumentaciju postojećeg stanja; troškovnik opreme i radova; analizu postojećeg stanja zgrade u skladu s čl. 45. stavkom 15. i 16. TRUETZZ, analiza primjene visokoučinkovitih alternativnih sustava u mjeri u kojoj je to tehnički, funkcionalno i gospodarski izvedivo u skladu s TRUETZZ i dr.  </w:t>
      </w:r>
    </w:p>
    <w:p w14:paraId="040EDA59" w14:textId="028C7B49" w:rsidR="004949CA" w:rsidRPr="008A6D46" w:rsidRDefault="0C3F4C7D" w:rsidP="008A6D46">
      <w:pPr>
        <w:spacing w:before="120" w:after="120" w:line="240" w:lineRule="auto"/>
        <w:jc w:val="both"/>
        <w:rPr>
          <w:rFonts w:ascii="Tahoma" w:hAnsi="Tahoma" w:cs="Tahoma"/>
          <w:sz w:val="20"/>
          <w:szCs w:val="20"/>
        </w:rPr>
      </w:pPr>
      <w:r w:rsidRPr="76C5F75F">
        <w:rPr>
          <w:rFonts w:ascii="Tahoma" w:hAnsi="Tahoma" w:cs="Tahoma"/>
          <w:b/>
          <w:bCs/>
          <w:sz w:val="20"/>
          <w:szCs w:val="20"/>
        </w:rPr>
        <w:t>Dubinska obnova</w:t>
      </w:r>
      <w:r w:rsidRPr="76C5F75F">
        <w:rPr>
          <w:rFonts w:ascii="Tahoma" w:hAnsi="Tahoma" w:cs="Tahoma"/>
          <w:sz w:val="20"/>
          <w:szCs w:val="20"/>
        </w:rPr>
        <w:t xml:space="preserve"> zahtijeva postizanje ušteda od najmanje 50% </w:t>
      </w:r>
      <w:r w:rsidR="78C3773F" w:rsidRPr="76C5F75F">
        <w:rPr>
          <w:rFonts w:ascii="Tahoma" w:hAnsi="Tahoma" w:cs="Tahoma"/>
          <w:sz w:val="20"/>
          <w:szCs w:val="20"/>
        </w:rPr>
        <w:t>godišnje</w:t>
      </w:r>
      <w:r w:rsidRPr="76C5F75F">
        <w:rPr>
          <w:rFonts w:ascii="Tahoma" w:hAnsi="Tahoma" w:cs="Tahoma"/>
          <w:sz w:val="20"/>
          <w:szCs w:val="20"/>
        </w:rPr>
        <w:t xml:space="preserve"> potrebne </w:t>
      </w:r>
      <w:r w:rsidR="0B9677FD" w:rsidRPr="76C5F75F">
        <w:rPr>
          <w:rFonts w:ascii="Tahoma" w:hAnsi="Tahoma" w:cs="Tahoma"/>
          <w:sz w:val="20"/>
          <w:szCs w:val="20"/>
        </w:rPr>
        <w:t xml:space="preserve">toplinske </w:t>
      </w:r>
      <w:r w:rsidRPr="76C5F75F">
        <w:rPr>
          <w:rFonts w:ascii="Tahoma" w:hAnsi="Tahoma" w:cs="Tahoma"/>
          <w:sz w:val="20"/>
          <w:szCs w:val="20"/>
        </w:rPr>
        <w:t>energije za grijanje (</w:t>
      </w:r>
      <w:proofErr w:type="spellStart"/>
      <w:r w:rsidRPr="76C5F75F">
        <w:rPr>
          <w:rFonts w:ascii="Tahoma" w:hAnsi="Tahoma" w:cs="Tahoma"/>
          <w:sz w:val="20"/>
          <w:szCs w:val="20"/>
        </w:rPr>
        <w:t>Q</w:t>
      </w:r>
      <w:r w:rsidRPr="76C5F75F">
        <w:rPr>
          <w:rFonts w:ascii="Tahoma" w:hAnsi="Tahoma" w:cs="Tahoma"/>
          <w:sz w:val="20"/>
          <w:szCs w:val="20"/>
          <w:vertAlign w:val="subscript"/>
        </w:rPr>
        <w:t>H.nd</w:t>
      </w:r>
      <w:proofErr w:type="spellEnd"/>
      <w:r w:rsidRPr="76C5F75F">
        <w:rPr>
          <w:rFonts w:ascii="Tahoma" w:hAnsi="Tahoma" w:cs="Tahoma"/>
          <w:sz w:val="20"/>
          <w:szCs w:val="20"/>
        </w:rPr>
        <w:t>) i primarne energije (</w:t>
      </w:r>
      <w:proofErr w:type="spellStart"/>
      <w:r w:rsidRPr="76C5F75F">
        <w:rPr>
          <w:rFonts w:ascii="Tahoma" w:hAnsi="Tahoma" w:cs="Tahoma"/>
          <w:sz w:val="20"/>
          <w:szCs w:val="20"/>
        </w:rPr>
        <w:t>E</w:t>
      </w:r>
      <w:r w:rsidRPr="76C5F75F">
        <w:rPr>
          <w:rFonts w:ascii="Tahoma" w:hAnsi="Tahoma" w:cs="Tahoma"/>
          <w:sz w:val="20"/>
          <w:szCs w:val="20"/>
          <w:vertAlign w:val="subscript"/>
        </w:rPr>
        <w:t>prim</w:t>
      </w:r>
      <w:proofErr w:type="spellEnd"/>
      <w:r w:rsidRPr="76C5F75F">
        <w:rPr>
          <w:rFonts w:ascii="Tahoma" w:hAnsi="Tahoma" w:cs="Tahoma"/>
          <w:sz w:val="20"/>
          <w:szCs w:val="20"/>
        </w:rPr>
        <w:t>)</w:t>
      </w:r>
      <w:r w:rsidR="0CB9E257" w:rsidRPr="76C5F75F">
        <w:rPr>
          <w:rFonts w:ascii="Tahoma" w:hAnsi="Tahoma" w:cs="Tahoma"/>
          <w:sz w:val="20"/>
          <w:szCs w:val="20"/>
        </w:rPr>
        <w:t xml:space="preserve"> na godišnjoj razini</w:t>
      </w:r>
      <w:r w:rsidRPr="76C5F75F">
        <w:rPr>
          <w:rFonts w:ascii="Tahoma" w:hAnsi="Tahoma" w:cs="Tahoma"/>
          <w:sz w:val="20"/>
          <w:szCs w:val="20"/>
        </w:rPr>
        <w:t>. Kako bi se zadovoljili ovi uvjeti, nužno je provesti i mjere na ovojnici i mjere vezane uz tehničke sustave. Kako bi se stimulirala dubinska obnova, Programom se utvrđuje sljedeće:</w:t>
      </w:r>
    </w:p>
    <w:p w14:paraId="48DB3750" w14:textId="77777777" w:rsidR="004949CA" w:rsidRPr="008A6D46" w:rsidRDefault="137C0FFA" w:rsidP="2617B706">
      <w:pPr>
        <w:pStyle w:val="Odlomakpopisa"/>
        <w:numPr>
          <w:ilvl w:val="0"/>
          <w:numId w:val="42"/>
        </w:numPr>
        <w:spacing w:before="120" w:after="120"/>
        <w:rPr>
          <w:rFonts w:cs="Tahoma"/>
        </w:rPr>
      </w:pPr>
      <w:r w:rsidRPr="2617B706">
        <w:rPr>
          <w:rFonts w:cs="Tahoma"/>
        </w:rPr>
        <w:t xml:space="preserve">Stopa sufinanciranja dubinske obnove iznosi </w:t>
      </w:r>
      <w:r w:rsidRPr="2617B706">
        <w:rPr>
          <w:rFonts w:cs="Tahoma"/>
          <w:b/>
          <w:bCs/>
        </w:rPr>
        <w:t>do 80%</w:t>
      </w:r>
      <w:r w:rsidRPr="2617B706">
        <w:rPr>
          <w:rFonts w:cs="Tahoma"/>
        </w:rPr>
        <w:t xml:space="preserve"> opravdanih troškova. </w:t>
      </w:r>
    </w:p>
    <w:p w14:paraId="1CE5CDA2" w14:textId="25841EAC" w:rsidR="004949CA" w:rsidRPr="008A6D46" w:rsidRDefault="137C0FFA" w:rsidP="2617B706">
      <w:pPr>
        <w:pStyle w:val="Odlomakpopisa"/>
        <w:numPr>
          <w:ilvl w:val="0"/>
          <w:numId w:val="42"/>
        </w:numPr>
        <w:spacing w:before="120" w:after="120"/>
        <w:rPr>
          <w:rFonts w:cs="Tahoma"/>
        </w:rPr>
      </w:pPr>
      <w:r w:rsidRPr="2617B706">
        <w:rPr>
          <w:rFonts w:cs="Tahoma"/>
        </w:rPr>
        <w:t xml:space="preserve">Ukoliko se dubinskom obnovom dostigne </w:t>
      </w:r>
      <w:proofErr w:type="spellStart"/>
      <w:r w:rsidRPr="2617B706">
        <w:rPr>
          <w:rFonts w:cs="Tahoma"/>
        </w:rPr>
        <w:t>nZEB</w:t>
      </w:r>
      <w:proofErr w:type="spellEnd"/>
      <w:r w:rsidRPr="2617B706">
        <w:rPr>
          <w:rFonts w:cs="Tahoma"/>
        </w:rPr>
        <w:t xml:space="preserve"> standard za rekonstrukciju</w:t>
      </w:r>
      <w:r w:rsidR="000023E4">
        <w:rPr>
          <w:rStyle w:val="Referencafusnote"/>
          <w:rFonts w:cs="Tahoma"/>
        </w:rPr>
        <w:footnoteReference w:id="25"/>
      </w:r>
      <w:r w:rsidRPr="2617B706">
        <w:rPr>
          <w:rFonts w:cs="Tahoma"/>
        </w:rPr>
        <w:t xml:space="preserve">, stopa sufinanciranja iznosit će </w:t>
      </w:r>
      <w:r w:rsidRPr="2617B706">
        <w:rPr>
          <w:rFonts w:cs="Tahoma"/>
          <w:b/>
          <w:bCs/>
        </w:rPr>
        <w:t>do 85%</w:t>
      </w:r>
      <w:r w:rsidRPr="2617B706">
        <w:rPr>
          <w:rFonts w:cs="Tahoma"/>
        </w:rPr>
        <w:t xml:space="preserve"> opravdanih troškova. </w:t>
      </w:r>
    </w:p>
    <w:p w14:paraId="370E83F6" w14:textId="77777777" w:rsidR="004949CA" w:rsidRPr="008A6D46" w:rsidRDefault="137C0FFA" w:rsidP="2617B706">
      <w:pPr>
        <w:pStyle w:val="Odlomakpopisa"/>
        <w:numPr>
          <w:ilvl w:val="0"/>
          <w:numId w:val="42"/>
        </w:numPr>
        <w:spacing w:before="120" w:after="120"/>
        <w:rPr>
          <w:rFonts w:cs="Tahoma"/>
        </w:rPr>
      </w:pPr>
      <w:r w:rsidRPr="2617B706">
        <w:rPr>
          <w:rFonts w:cs="Tahoma"/>
        </w:rPr>
        <w:t xml:space="preserve">Minimalna obvezna tehnička dokumentacija za prijavu na javne pozive/programe kreditiranja u ovom slučaju je </w:t>
      </w:r>
      <w:r w:rsidRPr="2617B706">
        <w:rPr>
          <w:rFonts w:cs="Tahoma"/>
          <w:b/>
          <w:bCs/>
        </w:rPr>
        <w:t>glavni projekt</w:t>
      </w:r>
      <w:r w:rsidRPr="2617B706">
        <w:rPr>
          <w:rFonts w:cs="Tahoma"/>
        </w:rPr>
        <w:t xml:space="preserve"> i ostali potrebni projekti i elaborati sa sažetkom analize postojećeg stanja. Ostala dokumentacija i uvjeti biti će propisani u pozivima/programima kreditiranja (primjerice fotodokumentacija postojećeg stanja; troškovnik opreme i radova, analiza postojećeg stanja zgrade u skladu s u skladu s čl. 45. stavkom 15. i 16. TRUETZZ, analiza primjene visokoučinkovitih alternativnih sustava u mjeri u kojoj je to tehnički, funkcionalno i gospodarski izvedivo u skladu s TRUETZZ).  </w:t>
      </w:r>
    </w:p>
    <w:p w14:paraId="42E9527A" w14:textId="77777777"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Maksimalni iznosi prihvatljivih troškova po jednoj VSZ definiraju se na sljedeći način:</w:t>
      </w:r>
    </w:p>
    <w:p w14:paraId="0C0DF18F" w14:textId="77777777" w:rsidR="004949CA" w:rsidRPr="008A6D46" w:rsidRDefault="137C0FFA" w:rsidP="2617B706">
      <w:pPr>
        <w:pStyle w:val="Odlomakpopisa"/>
        <w:numPr>
          <w:ilvl w:val="0"/>
          <w:numId w:val="44"/>
        </w:numPr>
        <w:spacing w:before="120" w:after="120"/>
        <w:rPr>
          <w:rFonts w:cs="Tahoma"/>
        </w:rPr>
      </w:pPr>
      <w:r w:rsidRPr="2617B706">
        <w:rPr>
          <w:rFonts w:cs="Tahoma"/>
        </w:rPr>
        <w:t>Za pojedinačne mjere koriste se okvirne vrijednosti iz Tablice 8-1 odnosno te se vrijednosti određuju u javnim pozivima/programima kreditiranja.</w:t>
      </w:r>
    </w:p>
    <w:p w14:paraId="0DF8A942" w14:textId="263A5701" w:rsidR="004949CA" w:rsidRPr="008A6D46" w:rsidRDefault="046DAC16" w:rsidP="2617B706">
      <w:pPr>
        <w:pStyle w:val="Odlomakpopisa"/>
        <w:numPr>
          <w:ilvl w:val="0"/>
          <w:numId w:val="44"/>
        </w:numPr>
        <w:spacing w:before="120" w:after="120"/>
        <w:rPr>
          <w:rFonts w:cs="Tahoma"/>
        </w:rPr>
      </w:pPr>
      <w:r w:rsidRPr="638C4C38">
        <w:rPr>
          <w:rFonts w:cs="Tahoma"/>
        </w:rPr>
        <w:t xml:space="preserve">Za integralnu energetsku obnovu maksimalni iznos prihvatljivog troška ne može biti veći od </w:t>
      </w:r>
      <w:r w:rsidRPr="638C4C38">
        <w:rPr>
          <w:rFonts w:cs="Tahoma"/>
          <w:b/>
          <w:bCs/>
        </w:rPr>
        <w:t xml:space="preserve">1.500 </w:t>
      </w:r>
      <w:r w:rsidR="7899C2E3" w:rsidRPr="638C4C38">
        <w:rPr>
          <w:rFonts w:cs="Tahoma"/>
          <w:b/>
          <w:bCs/>
        </w:rPr>
        <w:t>kuna</w:t>
      </w:r>
      <w:r w:rsidRPr="638C4C38">
        <w:rPr>
          <w:rFonts w:cs="Tahoma"/>
          <w:b/>
          <w:bCs/>
        </w:rPr>
        <w:t>/m</w:t>
      </w:r>
      <w:r w:rsidRPr="638C4C38">
        <w:rPr>
          <w:rFonts w:cs="Tahoma"/>
          <w:b/>
          <w:bCs/>
          <w:vertAlign w:val="superscript"/>
        </w:rPr>
        <w:t>2</w:t>
      </w:r>
      <w:r w:rsidRPr="638C4C38">
        <w:rPr>
          <w:rFonts w:cs="Tahoma"/>
          <w:b/>
          <w:bCs/>
        </w:rPr>
        <w:t xml:space="preserve"> </w:t>
      </w:r>
      <w:r w:rsidRPr="638C4C38">
        <w:rPr>
          <w:rFonts w:cs="Tahoma"/>
        </w:rPr>
        <w:t>građevinske bruto površine VSZ</w:t>
      </w:r>
      <w:r w:rsidRPr="638C4C38">
        <w:rPr>
          <w:rFonts w:cs="Tahoma"/>
          <w:b/>
          <w:bCs/>
        </w:rPr>
        <w:t xml:space="preserve"> </w:t>
      </w:r>
      <w:r w:rsidRPr="638C4C38">
        <w:rPr>
          <w:rFonts w:cs="Tahoma"/>
        </w:rPr>
        <w:t>odnosno</w:t>
      </w:r>
      <w:r w:rsidRPr="638C4C38">
        <w:rPr>
          <w:rFonts w:cs="Tahoma"/>
          <w:b/>
          <w:bCs/>
        </w:rPr>
        <w:t xml:space="preserve"> 15.000.000 </w:t>
      </w:r>
      <w:r w:rsidR="7899C2E3" w:rsidRPr="638C4C38">
        <w:rPr>
          <w:rFonts w:cs="Tahoma"/>
          <w:b/>
          <w:bCs/>
        </w:rPr>
        <w:t>kuna</w:t>
      </w:r>
      <w:r w:rsidRPr="638C4C38">
        <w:rPr>
          <w:rFonts w:cs="Tahoma"/>
        </w:rPr>
        <w:t>.</w:t>
      </w:r>
    </w:p>
    <w:p w14:paraId="17820632" w14:textId="56AF86EC" w:rsidR="004949CA" w:rsidRPr="008A6D46" w:rsidRDefault="046DAC16" w:rsidP="2617B706">
      <w:pPr>
        <w:pStyle w:val="Odlomakpopisa"/>
        <w:numPr>
          <w:ilvl w:val="0"/>
          <w:numId w:val="44"/>
        </w:numPr>
        <w:spacing w:before="120" w:after="120"/>
        <w:rPr>
          <w:rFonts w:cs="Tahoma"/>
        </w:rPr>
      </w:pPr>
      <w:r w:rsidRPr="638C4C38">
        <w:rPr>
          <w:rFonts w:cs="Tahoma"/>
        </w:rPr>
        <w:t xml:space="preserve">Za dubinsku obnovu maksimalni iznos prihvatljivog troška ne može biti veći od </w:t>
      </w:r>
      <w:r w:rsidRPr="638C4C38">
        <w:rPr>
          <w:rFonts w:cs="Tahoma"/>
          <w:b/>
          <w:bCs/>
        </w:rPr>
        <w:t xml:space="preserve">2.500 </w:t>
      </w:r>
      <w:r w:rsidR="7899C2E3" w:rsidRPr="638C4C38">
        <w:rPr>
          <w:rFonts w:cs="Tahoma"/>
          <w:b/>
          <w:bCs/>
        </w:rPr>
        <w:t>kuna</w:t>
      </w:r>
      <w:r w:rsidRPr="638C4C38">
        <w:rPr>
          <w:rFonts w:cs="Tahoma"/>
          <w:b/>
          <w:bCs/>
        </w:rPr>
        <w:t>/m</w:t>
      </w:r>
      <w:r w:rsidRPr="638C4C38">
        <w:rPr>
          <w:rFonts w:cs="Tahoma"/>
          <w:b/>
          <w:bCs/>
          <w:vertAlign w:val="superscript"/>
        </w:rPr>
        <w:t>2</w:t>
      </w:r>
      <w:r w:rsidRPr="638C4C38">
        <w:rPr>
          <w:rFonts w:cs="Tahoma"/>
          <w:vertAlign w:val="superscript"/>
        </w:rPr>
        <w:t xml:space="preserve"> </w:t>
      </w:r>
      <w:r w:rsidRPr="638C4C38">
        <w:rPr>
          <w:rFonts w:cs="Tahoma"/>
        </w:rPr>
        <w:t>građevinske bruto površine VSZ</w:t>
      </w:r>
      <w:r w:rsidRPr="638C4C38">
        <w:rPr>
          <w:rFonts w:cs="Tahoma"/>
          <w:b/>
          <w:bCs/>
        </w:rPr>
        <w:t xml:space="preserve"> </w:t>
      </w:r>
      <w:r w:rsidRPr="638C4C38">
        <w:rPr>
          <w:rFonts w:cs="Tahoma"/>
        </w:rPr>
        <w:t xml:space="preserve">odnosno </w:t>
      </w:r>
      <w:r w:rsidRPr="638C4C38">
        <w:rPr>
          <w:rFonts w:cs="Tahoma"/>
          <w:b/>
          <w:bCs/>
        </w:rPr>
        <w:t xml:space="preserve">20.000.000 </w:t>
      </w:r>
      <w:r w:rsidR="7899C2E3" w:rsidRPr="638C4C38">
        <w:rPr>
          <w:rFonts w:cs="Tahoma"/>
          <w:b/>
          <w:bCs/>
        </w:rPr>
        <w:t>kuna</w:t>
      </w:r>
      <w:r w:rsidRPr="638C4C38">
        <w:rPr>
          <w:rFonts w:cs="Tahoma"/>
        </w:rPr>
        <w:t>.</w:t>
      </w:r>
    </w:p>
    <w:p w14:paraId="72346EFF" w14:textId="77777777" w:rsidR="004949CA" w:rsidRPr="008A6D46" w:rsidRDefault="004949CA" w:rsidP="008A6D46">
      <w:pPr>
        <w:spacing w:before="120" w:after="120" w:line="240" w:lineRule="auto"/>
        <w:jc w:val="both"/>
        <w:rPr>
          <w:rFonts w:ascii="Tahoma" w:hAnsi="Tahoma" w:cs="Tahoma"/>
          <w:sz w:val="20"/>
          <w:szCs w:val="20"/>
        </w:rPr>
      </w:pPr>
      <w:r w:rsidRPr="008A6D46">
        <w:rPr>
          <w:rFonts w:ascii="Tahoma" w:hAnsi="Tahoma" w:cs="Tahoma"/>
          <w:sz w:val="20"/>
          <w:szCs w:val="20"/>
        </w:rPr>
        <w:t>Ove vrijednosti daju se kao okvirne, a temelje se na trenutnim cijenama i iskustvima iz provedbe obnove VSZ. Maksimalni iznosi prihvatljivog troška određeni su prema pretpostavljenoj prosječnoj vrijednosti veličine VSZ i kombinacijama mjera koje se očekuju provoditi unutar pojedine kategorije obnove.  Maksimalni iznosi prihvatljivog troška u jediničnim i apsolutnim iznosima utvrđuju se u javnim pozivima/programima kreditiranja.</w:t>
      </w:r>
    </w:p>
    <w:p w14:paraId="60932DBD" w14:textId="77777777" w:rsidR="004949CA" w:rsidRPr="008A6D46" w:rsidRDefault="004949CA" w:rsidP="008A6D46">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8A6D46">
        <w:rPr>
          <w:rFonts w:ascii="Tahoma" w:hAnsi="Tahoma" w:cs="Tahoma"/>
          <w:b/>
          <w:bCs/>
          <w:sz w:val="20"/>
          <w:szCs w:val="20"/>
        </w:rPr>
        <w:t xml:space="preserve">Potrebno je redovito pratiti kretanje cijena na tržištu, a pogotovo ostvarene cijene na projektima kojima je omogućeno sufinanciranje. U skladu s tim kretanjima, MPGI odnosno nadležno tijelo za provedbu utvrđuje ove vrijednosti u svakom javnom pozivu/programu kreditiranja, vodeći pri tome računa o racionalnosti uporabe javnih sredstava i minimiziranju distorzija na tržištu uzrokovanih postojanjem poticaja.  </w:t>
      </w:r>
    </w:p>
    <w:p w14:paraId="094E844E" w14:textId="6DC5FD06" w:rsidR="004949CA" w:rsidRPr="004E409B" w:rsidRDefault="004949CA" w:rsidP="004949CA">
      <w:pPr>
        <w:pStyle w:val="Naslov20"/>
        <w:rPr>
          <w:sz w:val="28"/>
          <w:szCs w:val="28"/>
        </w:rPr>
      </w:pPr>
      <w:bookmarkStart w:id="151" w:name="_Toc81824910"/>
      <w:bookmarkStart w:id="152" w:name="_Toc81824911"/>
      <w:bookmarkStart w:id="153" w:name="_Toc72408481"/>
      <w:bookmarkStart w:id="154" w:name="_Toc81836289"/>
      <w:bookmarkStart w:id="155" w:name="_Toc83912061"/>
      <w:bookmarkEnd w:id="151"/>
      <w:bookmarkEnd w:id="152"/>
      <w:r>
        <w:t>Mjere sveobuhvatne obnove</w:t>
      </w:r>
      <w:bookmarkEnd w:id="153"/>
      <w:bookmarkEnd w:id="154"/>
      <w:r>
        <w:t xml:space="preserve"> </w:t>
      </w:r>
      <w:r w:rsidRPr="00BA2EAC">
        <w:t>zgrad</w:t>
      </w:r>
      <w:r w:rsidR="002419B6" w:rsidRPr="00BA2EAC">
        <w:t>a</w:t>
      </w:r>
      <w:bookmarkEnd w:id="155"/>
      <w:r w:rsidRPr="004E409B">
        <w:rPr>
          <w:sz w:val="28"/>
          <w:szCs w:val="28"/>
        </w:rPr>
        <w:t xml:space="preserve"> </w:t>
      </w:r>
    </w:p>
    <w:p w14:paraId="2436533E" w14:textId="77777777" w:rsidR="004949CA" w:rsidRPr="008F7B22" w:rsidRDefault="004949CA" w:rsidP="000E66CF">
      <w:pPr>
        <w:spacing w:before="120" w:after="120" w:line="240" w:lineRule="auto"/>
        <w:jc w:val="both"/>
        <w:rPr>
          <w:rFonts w:ascii="Tahoma" w:hAnsi="Tahoma" w:cs="Tahoma"/>
          <w:sz w:val="20"/>
          <w:szCs w:val="20"/>
          <w:lang w:eastAsia="hr-HR"/>
        </w:rPr>
      </w:pPr>
      <w:r w:rsidRPr="008F7B22">
        <w:rPr>
          <w:rFonts w:ascii="Tahoma" w:hAnsi="Tahoma" w:cs="Tahoma"/>
          <w:sz w:val="20"/>
          <w:szCs w:val="20"/>
          <w:lang w:eastAsia="hr-HR"/>
        </w:rPr>
        <w:t xml:space="preserve">Sveobuhvatna obnova podrazumijeva, uz provedbu neke od razina energetske obnove, i provedbu neke od sljedećih mjera: </w:t>
      </w:r>
    </w:p>
    <w:p w14:paraId="5324401F" w14:textId="77777777" w:rsidR="004949CA" w:rsidRPr="008F7B22" w:rsidRDefault="137C0FFA" w:rsidP="2617B706">
      <w:pPr>
        <w:pStyle w:val="Odlomakpopisa"/>
        <w:numPr>
          <w:ilvl w:val="0"/>
          <w:numId w:val="27"/>
        </w:numPr>
        <w:spacing w:before="120" w:after="120"/>
        <w:rPr>
          <w:rFonts w:cs="Tahoma"/>
        </w:rPr>
      </w:pPr>
      <w:r w:rsidRPr="2617B706">
        <w:rPr>
          <w:rFonts w:cs="Tahoma"/>
        </w:rPr>
        <w:t xml:space="preserve">povećanja sigurnosti u slučaju požara, </w:t>
      </w:r>
    </w:p>
    <w:p w14:paraId="30BCD3DB" w14:textId="77777777" w:rsidR="004949CA" w:rsidRPr="008F7B22" w:rsidRDefault="137C0FFA" w:rsidP="2617B706">
      <w:pPr>
        <w:pStyle w:val="Odlomakpopisa"/>
        <w:numPr>
          <w:ilvl w:val="0"/>
          <w:numId w:val="27"/>
        </w:numPr>
        <w:spacing w:before="120" w:after="120"/>
        <w:rPr>
          <w:rFonts w:cs="Tahoma"/>
        </w:rPr>
      </w:pPr>
      <w:r w:rsidRPr="2617B706">
        <w:rPr>
          <w:rFonts w:cs="Tahoma"/>
        </w:rPr>
        <w:t>mjere za osiguravanje zdravih unutarnjih klimatskih uvjeta te</w:t>
      </w:r>
    </w:p>
    <w:p w14:paraId="5718564B" w14:textId="77777777" w:rsidR="004949CA" w:rsidRPr="008F7B22" w:rsidRDefault="137C0FFA" w:rsidP="2617B706">
      <w:pPr>
        <w:pStyle w:val="Odlomakpopisa"/>
        <w:numPr>
          <w:ilvl w:val="0"/>
          <w:numId w:val="27"/>
        </w:numPr>
        <w:spacing w:before="120" w:after="120"/>
        <w:rPr>
          <w:rFonts w:cs="Tahoma"/>
        </w:rPr>
      </w:pPr>
      <w:r w:rsidRPr="2617B706">
        <w:rPr>
          <w:rFonts w:cs="Tahoma"/>
        </w:rPr>
        <w:t>mjere za unapređenje mehaničke otpornosti i stabilnosti  zgrade, posebice radi povećanja potresne otpornosti zgrade.</w:t>
      </w:r>
    </w:p>
    <w:p w14:paraId="5BB35E00" w14:textId="434E47DC" w:rsidR="004949CA" w:rsidRPr="008F7B22" w:rsidRDefault="0C3F4C7D" w:rsidP="00A43F21">
      <w:pPr>
        <w:spacing w:before="120" w:after="120" w:line="240" w:lineRule="auto"/>
        <w:jc w:val="both"/>
        <w:rPr>
          <w:rFonts w:ascii="Tahoma" w:eastAsia="Tahoma" w:hAnsi="Tahoma" w:cs="Tahoma"/>
          <w:b/>
          <w:bCs/>
          <w:sz w:val="20"/>
          <w:szCs w:val="20"/>
        </w:rPr>
      </w:pPr>
      <w:r w:rsidRPr="638C4C38">
        <w:rPr>
          <w:rFonts w:ascii="Tahoma" w:hAnsi="Tahoma" w:cs="Tahoma"/>
          <w:sz w:val="20"/>
          <w:szCs w:val="20"/>
        </w:rPr>
        <w:lastRenderedPageBreak/>
        <w:t xml:space="preserve">Za potrebe ovog Programa, </w:t>
      </w:r>
      <w:r w:rsidRPr="638C4C38">
        <w:rPr>
          <w:rFonts w:ascii="Tahoma" w:hAnsi="Tahoma" w:cs="Tahoma"/>
          <w:b/>
          <w:bCs/>
          <w:sz w:val="20"/>
          <w:szCs w:val="20"/>
        </w:rPr>
        <w:t xml:space="preserve">prihvatljive razine energetske obnove koje u kombinaciji s nekom od navedene tri mjere predstavljaju sveobuhvatnu obnovu su integralna energetska </w:t>
      </w:r>
      <w:r w:rsidR="17E27CC6" w:rsidRPr="638C4C38">
        <w:rPr>
          <w:rFonts w:ascii="Tahoma" w:hAnsi="Tahoma" w:cs="Tahoma"/>
          <w:b/>
          <w:bCs/>
          <w:sz w:val="20"/>
          <w:szCs w:val="20"/>
        </w:rPr>
        <w:t>il</w:t>
      </w:r>
      <w:r w:rsidRPr="638C4C38">
        <w:rPr>
          <w:rFonts w:ascii="Tahoma" w:hAnsi="Tahoma" w:cs="Tahoma"/>
          <w:b/>
          <w:bCs/>
          <w:sz w:val="20"/>
          <w:szCs w:val="20"/>
        </w:rPr>
        <w:t>i dubinska obnova</w:t>
      </w:r>
      <w:r w:rsidRPr="638C4C38">
        <w:rPr>
          <w:rFonts w:ascii="Tahoma" w:hAnsi="Tahoma" w:cs="Tahoma"/>
          <w:sz w:val="20"/>
          <w:szCs w:val="20"/>
        </w:rPr>
        <w:t xml:space="preserve">, </w:t>
      </w:r>
      <w:r w:rsidRPr="638C4C38">
        <w:rPr>
          <w:rFonts w:ascii="Tahoma" w:hAnsi="Tahoma" w:cs="Tahoma"/>
          <w:b/>
          <w:bCs/>
          <w:sz w:val="20"/>
          <w:szCs w:val="20"/>
        </w:rPr>
        <w:t>uz</w:t>
      </w:r>
      <w:r w:rsidRPr="638C4C38">
        <w:rPr>
          <w:rFonts w:ascii="Tahoma" w:eastAsia="Tahoma" w:hAnsi="Tahoma" w:cs="Tahoma"/>
          <w:b/>
          <w:bCs/>
          <w:sz w:val="20"/>
          <w:szCs w:val="20"/>
        </w:rPr>
        <w:t xml:space="preserve"> obaveznu </w:t>
      </w:r>
      <w:r w:rsidR="42466622" w:rsidRPr="638C4C38">
        <w:rPr>
          <w:rFonts w:ascii="Tahoma" w:eastAsia="Tahoma" w:hAnsi="Tahoma" w:cs="Tahoma"/>
          <w:b/>
          <w:bCs/>
          <w:sz w:val="20"/>
          <w:szCs w:val="20"/>
        </w:rPr>
        <w:t>primjenu</w:t>
      </w:r>
      <w:r w:rsidRPr="638C4C38">
        <w:rPr>
          <w:rFonts w:ascii="Tahoma" w:eastAsia="Tahoma" w:hAnsi="Tahoma" w:cs="Tahoma"/>
          <w:b/>
          <w:bCs/>
          <w:sz w:val="20"/>
          <w:szCs w:val="20"/>
        </w:rPr>
        <w:t xml:space="preserve"> jedn</w:t>
      </w:r>
      <w:r w:rsidR="3CB86ED6" w:rsidRPr="638C4C38">
        <w:rPr>
          <w:rFonts w:ascii="Tahoma" w:eastAsia="Tahoma" w:hAnsi="Tahoma" w:cs="Tahoma"/>
          <w:b/>
          <w:bCs/>
          <w:sz w:val="20"/>
          <w:szCs w:val="20"/>
        </w:rPr>
        <w:t>e</w:t>
      </w:r>
      <w:r w:rsidRPr="638C4C38">
        <w:rPr>
          <w:rFonts w:ascii="Tahoma" w:eastAsia="Tahoma" w:hAnsi="Tahoma" w:cs="Tahoma"/>
          <w:b/>
          <w:bCs/>
          <w:sz w:val="20"/>
          <w:szCs w:val="20"/>
        </w:rPr>
        <w:t xml:space="preserve"> ili više mjer</w:t>
      </w:r>
      <w:r w:rsidR="35923C39" w:rsidRPr="638C4C38">
        <w:rPr>
          <w:rFonts w:ascii="Tahoma" w:hAnsi="Tahoma" w:cs="Tahoma"/>
          <w:b/>
          <w:bCs/>
          <w:sz w:val="20"/>
          <w:szCs w:val="20"/>
        </w:rPr>
        <w:t>a</w:t>
      </w:r>
      <w:r w:rsidRPr="638C4C38">
        <w:rPr>
          <w:rFonts w:ascii="Tahoma" w:hAnsi="Tahoma" w:cs="Tahoma"/>
          <w:b/>
          <w:bCs/>
          <w:sz w:val="20"/>
          <w:szCs w:val="20"/>
        </w:rPr>
        <w:t xml:space="preserve"> za unapređenje mehaničke otpornosti i stabilnosti  zgrade,  radi povećanja potresne otpornosti zgrade.</w:t>
      </w:r>
    </w:p>
    <w:p w14:paraId="0B2A0F47" w14:textId="77777777" w:rsidR="004949CA" w:rsidRPr="008F7B22" w:rsidRDefault="004949CA" w:rsidP="00A43F21">
      <w:pPr>
        <w:spacing w:before="120" w:after="120" w:line="240" w:lineRule="auto"/>
        <w:jc w:val="both"/>
        <w:rPr>
          <w:rFonts w:ascii="Tahoma" w:hAnsi="Tahoma" w:cs="Tahoma"/>
          <w:sz w:val="20"/>
          <w:szCs w:val="20"/>
        </w:rPr>
      </w:pPr>
      <w:r w:rsidRPr="008F7B22">
        <w:rPr>
          <w:rFonts w:ascii="Tahoma" w:hAnsi="Tahoma" w:cs="Tahoma"/>
          <w:sz w:val="20"/>
          <w:szCs w:val="20"/>
        </w:rPr>
        <w:t>Kada se radi o značajnoj obnovi zgrade (što je uvijek slučaj kod integralne energetske i dubinske obnove) potrebno je napraviti analizu postojećeg stanja zgrade u kojoj će se utvrditi potreba za mjerama iz ove tri kategorije te će se dati prikaz očekivanih troškova.</w:t>
      </w:r>
    </w:p>
    <w:p w14:paraId="6798D222" w14:textId="77777777" w:rsidR="004949CA" w:rsidRPr="008F7B22" w:rsidRDefault="004949CA" w:rsidP="00A43F21">
      <w:pPr>
        <w:spacing w:before="120" w:after="120" w:line="240" w:lineRule="auto"/>
        <w:jc w:val="both"/>
        <w:rPr>
          <w:rFonts w:ascii="Tahoma" w:hAnsi="Tahoma" w:cs="Tahoma"/>
          <w:sz w:val="20"/>
          <w:szCs w:val="20"/>
        </w:rPr>
      </w:pPr>
      <w:r w:rsidRPr="008F7B22">
        <w:rPr>
          <w:rFonts w:ascii="Tahoma" w:hAnsi="Tahoma" w:cs="Tahoma"/>
          <w:b/>
          <w:bCs/>
          <w:sz w:val="20"/>
          <w:szCs w:val="20"/>
        </w:rPr>
        <w:t>Analiza postojećeg stanja zgrade je dio projektne dokumentacije sukladno članku 45., stavcima 15. i 16. TPRUETZZ-a te sastavni dio obvezne dokumentacije za prijavu na javne pozive/programe kreditiranja koji će se raspisivati za provedbu ovog Programa.</w:t>
      </w:r>
      <w:r w:rsidRPr="008F7B22">
        <w:rPr>
          <w:rStyle w:val="Referencafusnote"/>
          <w:rFonts w:cs="Tahoma"/>
          <w:b/>
          <w:bCs/>
          <w:sz w:val="20"/>
          <w:szCs w:val="20"/>
        </w:rPr>
        <w:footnoteReference w:id="26"/>
      </w:r>
      <w:r w:rsidRPr="008F7B22">
        <w:rPr>
          <w:rFonts w:ascii="Tahoma" w:hAnsi="Tahoma" w:cs="Tahoma"/>
          <w:b/>
          <w:bCs/>
          <w:sz w:val="20"/>
          <w:szCs w:val="20"/>
        </w:rPr>
        <w:t xml:space="preserve"> </w:t>
      </w:r>
      <w:r w:rsidRPr="008F7B22">
        <w:rPr>
          <w:rFonts w:ascii="Tahoma" w:hAnsi="Tahoma" w:cs="Tahoma"/>
          <w:sz w:val="20"/>
          <w:szCs w:val="20"/>
        </w:rPr>
        <w:t>Početak primjene ovog zahtjeva definiran je u TPRUETZZ-u.</w:t>
      </w:r>
    </w:p>
    <w:p w14:paraId="6CC25D28" w14:textId="2A94D1E5" w:rsidR="004949CA" w:rsidRPr="008F7B22" w:rsidRDefault="0C3F4C7D" w:rsidP="00A43F21">
      <w:pPr>
        <w:spacing w:before="120" w:after="120" w:line="240" w:lineRule="auto"/>
        <w:jc w:val="both"/>
        <w:rPr>
          <w:rFonts w:ascii="Tahoma" w:hAnsi="Tahoma" w:cs="Tahoma"/>
          <w:b/>
          <w:bCs/>
          <w:sz w:val="20"/>
          <w:szCs w:val="20"/>
        </w:rPr>
      </w:pPr>
      <w:r w:rsidRPr="638C4C38">
        <w:rPr>
          <w:rFonts w:ascii="Tahoma" w:hAnsi="Tahoma" w:cs="Tahoma"/>
          <w:sz w:val="20"/>
          <w:szCs w:val="20"/>
        </w:rPr>
        <w:t>Programom nije potrebno propisivati prihvatljive mjere iz ovih kategorija, jer će one ovisiti o postojećem stanju svake VSZ i stručnoj ocjeni projektanta</w:t>
      </w:r>
      <w:r w:rsidR="5DA1E255" w:rsidRPr="638C4C38">
        <w:rPr>
          <w:rFonts w:ascii="Tahoma" w:hAnsi="Tahoma" w:cs="Tahoma"/>
          <w:sz w:val="20"/>
          <w:szCs w:val="20"/>
        </w:rPr>
        <w:t xml:space="preserve"> u projektu</w:t>
      </w:r>
      <w:r w:rsidRPr="638C4C38">
        <w:rPr>
          <w:rFonts w:ascii="Tahoma" w:hAnsi="Tahoma" w:cs="Tahoma"/>
          <w:sz w:val="20"/>
          <w:szCs w:val="20"/>
        </w:rPr>
        <w:t xml:space="preserve"> o potrebnim zahvatima. </w:t>
      </w:r>
      <w:r w:rsidRPr="638C4C38">
        <w:rPr>
          <w:rFonts w:ascii="Tahoma" w:hAnsi="Tahoma" w:cs="Tahoma"/>
          <w:b/>
          <w:bCs/>
          <w:sz w:val="20"/>
          <w:szCs w:val="20"/>
        </w:rPr>
        <w:t xml:space="preserve"> </w:t>
      </w:r>
    </w:p>
    <w:p w14:paraId="075AFC64" w14:textId="5FE67137" w:rsidR="004949CA" w:rsidRPr="008F7B22" w:rsidRDefault="004949CA" w:rsidP="008F7B22">
      <w:pPr>
        <w:spacing w:after="0" w:line="240" w:lineRule="auto"/>
        <w:jc w:val="both"/>
        <w:rPr>
          <w:rFonts w:ascii="Tahoma" w:hAnsi="Tahoma" w:cs="Tahoma"/>
          <w:sz w:val="20"/>
          <w:szCs w:val="20"/>
          <w:lang w:eastAsia="hr-HR"/>
        </w:rPr>
      </w:pPr>
      <w:r w:rsidRPr="008F7B22">
        <w:rPr>
          <w:rFonts w:ascii="Tahoma" w:hAnsi="Tahoma" w:cs="Tahoma"/>
          <w:sz w:val="20"/>
          <w:szCs w:val="20"/>
        </w:rPr>
        <w:fldChar w:fldCharType="begin"/>
      </w:r>
      <w:r w:rsidRPr="008F7B22">
        <w:rPr>
          <w:rFonts w:ascii="Tahoma" w:hAnsi="Tahoma" w:cs="Tahoma"/>
          <w:sz w:val="20"/>
          <w:szCs w:val="20"/>
        </w:rPr>
        <w:instrText xml:space="preserve"> REF _Ref80958006 \h </w:instrText>
      </w:r>
      <w:r w:rsidR="008A6D46" w:rsidRPr="008F7B22">
        <w:rPr>
          <w:rFonts w:ascii="Tahoma" w:hAnsi="Tahoma" w:cs="Tahoma"/>
          <w:sz w:val="20"/>
          <w:szCs w:val="20"/>
        </w:rPr>
        <w:instrText xml:space="preserve"> \* MERGEFORMAT </w:instrText>
      </w:r>
      <w:r w:rsidRPr="008F7B22">
        <w:rPr>
          <w:rFonts w:ascii="Tahoma" w:hAnsi="Tahoma" w:cs="Tahoma"/>
          <w:sz w:val="20"/>
          <w:szCs w:val="20"/>
        </w:rPr>
      </w:r>
      <w:r w:rsidRPr="008F7B22">
        <w:rPr>
          <w:rFonts w:ascii="Tahoma" w:hAnsi="Tahoma" w:cs="Tahoma"/>
          <w:sz w:val="20"/>
          <w:szCs w:val="20"/>
        </w:rPr>
        <w:fldChar w:fldCharType="separate"/>
      </w:r>
      <w:r w:rsidR="00575AF9" w:rsidRPr="00575AF9">
        <w:rPr>
          <w:rFonts w:ascii="Tahoma" w:hAnsi="Tahoma" w:cs="Tahoma"/>
          <w:sz w:val="20"/>
          <w:szCs w:val="20"/>
        </w:rPr>
        <w:t xml:space="preserve">Tablica </w:t>
      </w:r>
      <w:r w:rsidR="00575AF9" w:rsidRPr="00575AF9">
        <w:rPr>
          <w:rFonts w:ascii="Tahoma" w:hAnsi="Tahoma" w:cs="Tahoma"/>
          <w:noProof/>
          <w:sz w:val="20"/>
          <w:szCs w:val="20"/>
        </w:rPr>
        <w:t>8</w:t>
      </w:r>
      <w:r w:rsidR="00575AF9" w:rsidRPr="00575AF9">
        <w:rPr>
          <w:rFonts w:ascii="Tahoma" w:hAnsi="Tahoma" w:cs="Tahoma"/>
          <w:noProof/>
          <w:sz w:val="20"/>
          <w:szCs w:val="20"/>
        </w:rPr>
        <w:noBreakHyphen/>
        <w:t>2</w:t>
      </w:r>
      <w:r w:rsidRPr="008F7B22">
        <w:rPr>
          <w:rFonts w:ascii="Tahoma" w:hAnsi="Tahoma" w:cs="Tahoma"/>
          <w:sz w:val="20"/>
          <w:szCs w:val="20"/>
        </w:rPr>
        <w:fldChar w:fldCharType="end"/>
      </w:r>
      <w:r w:rsidRPr="008F7B22">
        <w:rPr>
          <w:rFonts w:ascii="Tahoma" w:hAnsi="Tahoma" w:cs="Tahoma"/>
          <w:sz w:val="20"/>
          <w:szCs w:val="20"/>
        </w:rPr>
        <w:t xml:space="preserve"> daje okvirne opise ovih mjera i procijenjene prosječne cijene. </w:t>
      </w:r>
    </w:p>
    <w:p w14:paraId="48914997" w14:textId="432DADF5" w:rsidR="004949CA" w:rsidRDefault="004949CA" w:rsidP="004949CA">
      <w:pPr>
        <w:pStyle w:val="Opisslike"/>
      </w:pPr>
      <w:bookmarkStart w:id="156" w:name="_Ref80958006"/>
      <w:bookmarkStart w:id="157" w:name="_Toc84240504"/>
      <w:r w:rsidRPr="00F34A88">
        <w:t xml:space="preserve">Tablica </w:t>
      </w:r>
      <w:r>
        <w:rPr>
          <w:noProof/>
        </w:rPr>
        <w:fldChar w:fldCharType="begin"/>
      </w:r>
      <w:r>
        <w:rPr>
          <w:noProof/>
        </w:rPr>
        <w:instrText xml:space="preserve"> STYLEREF 1 \s </w:instrText>
      </w:r>
      <w:r>
        <w:rPr>
          <w:noProof/>
        </w:rPr>
        <w:fldChar w:fldCharType="separate"/>
      </w:r>
      <w:r w:rsidR="00575AF9">
        <w:rPr>
          <w:noProof/>
        </w:rPr>
        <w:t>8</w:t>
      </w:r>
      <w:r>
        <w:rPr>
          <w:noProof/>
        </w:rPr>
        <w:fldChar w:fldCharType="end"/>
      </w:r>
      <w:r>
        <w:noBreakHyphen/>
      </w:r>
      <w:r>
        <w:fldChar w:fldCharType="begin"/>
      </w:r>
      <w:r>
        <w:instrText>SEQ Tablica \* ARABIC \s 1</w:instrText>
      </w:r>
      <w:r>
        <w:fldChar w:fldCharType="separate"/>
      </w:r>
      <w:r w:rsidR="00575AF9">
        <w:rPr>
          <w:noProof/>
        </w:rPr>
        <w:t>2</w:t>
      </w:r>
      <w:r>
        <w:fldChar w:fldCharType="end"/>
      </w:r>
      <w:bookmarkEnd w:id="156"/>
      <w:r w:rsidRPr="00F34A88">
        <w:t xml:space="preserve">: </w:t>
      </w:r>
      <w:r>
        <w:t>Okvirne mjere sveobuhvatne obnove koje se provode u sklopu Programa</w:t>
      </w:r>
      <w:bookmarkEnd w:id="157"/>
      <w:r>
        <w:t xml:space="preserve"> </w:t>
      </w:r>
    </w:p>
    <w:tbl>
      <w:tblPr>
        <w:tblStyle w:val="Svijetlatablicareetke12"/>
        <w:tblW w:w="5000" w:type="pct"/>
        <w:tblLook w:val="04A0" w:firstRow="1" w:lastRow="0" w:firstColumn="1" w:lastColumn="0" w:noHBand="0" w:noVBand="1"/>
      </w:tblPr>
      <w:tblGrid>
        <w:gridCol w:w="2640"/>
        <w:gridCol w:w="4138"/>
        <w:gridCol w:w="2284"/>
      </w:tblGrid>
      <w:tr w:rsidR="004949CA" w:rsidRPr="008F7B22" w14:paraId="313FB180" w14:textId="77777777" w:rsidTr="2617B7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pct"/>
          </w:tcPr>
          <w:p w14:paraId="08C107B7" w14:textId="77777777" w:rsidR="004949CA" w:rsidRPr="008F7B22" w:rsidRDefault="004949CA" w:rsidP="00331A63">
            <w:pPr>
              <w:rPr>
                <w:rFonts w:ascii="Tahoma" w:hAnsi="Tahoma" w:cs="Tahoma"/>
                <w:sz w:val="18"/>
                <w:szCs w:val="18"/>
                <w:lang w:eastAsia="hr-HR"/>
              </w:rPr>
            </w:pPr>
            <w:r w:rsidRPr="008F7B22">
              <w:rPr>
                <w:rFonts w:ascii="Tahoma" w:hAnsi="Tahoma" w:cs="Tahoma"/>
                <w:sz w:val="18"/>
                <w:szCs w:val="18"/>
                <w:lang w:eastAsia="hr-HR"/>
              </w:rPr>
              <w:t>Naziv mjere</w:t>
            </w:r>
          </w:p>
        </w:tc>
        <w:tc>
          <w:tcPr>
            <w:tcW w:w="2283" w:type="pct"/>
          </w:tcPr>
          <w:p w14:paraId="7051B37F" w14:textId="77777777" w:rsidR="004949CA" w:rsidRPr="008F7B22"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Opis mjere (tehnički uvjeti prihvatljivosti opreme i radova)</w:t>
            </w:r>
          </w:p>
        </w:tc>
        <w:tc>
          <w:tcPr>
            <w:tcW w:w="1260" w:type="pct"/>
          </w:tcPr>
          <w:p w14:paraId="095FFBF0" w14:textId="77777777" w:rsidR="004949CA" w:rsidRPr="008F7B22"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eastAsia="hr-HR"/>
              </w:rPr>
            </w:pPr>
            <w:r w:rsidRPr="008F7B22">
              <w:rPr>
                <w:rFonts w:ascii="Tahoma" w:hAnsi="Tahoma" w:cs="Tahoma"/>
                <w:sz w:val="18"/>
                <w:szCs w:val="18"/>
                <w:lang w:eastAsia="hr-HR"/>
              </w:rPr>
              <w:t xml:space="preserve">Okvirna jedinična cijena </w:t>
            </w:r>
          </w:p>
          <w:p w14:paraId="4250CFC6" w14:textId="77777777" w:rsidR="004949CA" w:rsidRPr="008F7B22"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r>
      <w:tr w:rsidR="004949CA" w:rsidRPr="008F7B22" w14:paraId="68DFCFCF" w14:textId="77777777" w:rsidTr="2617B706">
        <w:tc>
          <w:tcPr>
            <w:cnfStyle w:val="001000000000" w:firstRow="0" w:lastRow="0" w:firstColumn="1" w:lastColumn="0" w:oddVBand="0" w:evenVBand="0" w:oddHBand="0" w:evenHBand="0" w:firstRowFirstColumn="0" w:firstRowLastColumn="0" w:lastRowFirstColumn="0" w:lastRowLastColumn="0"/>
            <w:tcW w:w="1457" w:type="pct"/>
          </w:tcPr>
          <w:p w14:paraId="73895BC8" w14:textId="77777777" w:rsidR="004949CA" w:rsidRPr="008F7B22" w:rsidRDefault="004949CA" w:rsidP="00331A63">
            <w:pPr>
              <w:rPr>
                <w:rFonts w:ascii="Tahoma" w:hAnsi="Tahoma" w:cs="Tahoma"/>
                <w:b w:val="0"/>
                <w:bCs w:val="0"/>
                <w:sz w:val="18"/>
                <w:szCs w:val="18"/>
                <w:lang w:eastAsia="hr-HR"/>
              </w:rPr>
            </w:pPr>
            <w:r w:rsidRPr="008F7B22">
              <w:rPr>
                <w:rFonts w:ascii="Tahoma" w:hAnsi="Tahoma" w:cs="Tahoma"/>
                <w:sz w:val="18"/>
                <w:szCs w:val="18"/>
                <w:lang w:eastAsia="hr-HR"/>
              </w:rPr>
              <w:t>povećanje sigurnosti u slučaju požara</w:t>
            </w:r>
          </w:p>
        </w:tc>
        <w:tc>
          <w:tcPr>
            <w:tcW w:w="2283" w:type="pct"/>
          </w:tcPr>
          <w:p w14:paraId="7792F127"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nužan uvjet je izrada elaborata zaštite od požara, uključenog u prihvatljive aktivnosti projekta</w:t>
            </w:r>
          </w:p>
        </w:tc>
        <w:tc>
          <w:tcPr>
            <w:tcW w:w="1260" w:type="pct"/>
          </w:tcPr>
          <w:p w14:paraId="5B3A5BC7"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15% prihvatljivih troškova energetske obnove</w:t>
            </w:r>
          </w:p>
        </w:tc>
      </w:tr>
      <w:tr w:rsidR="004949CA" w:rsidRPr="008F7B22" w14:paraId="6AADB5B4" w14:textId="77777777" w:rsidTr="2617B706">
        <w:tc>
          <w:tcPr>
            <w:cnfStyle w:val="001000000000" w:firstRow="0" w:lastRow="0" w:firstColumn="1" w:lastColumn="0" w:oddVBand="0" w:evenVBand="0" w:oddHBand="0" w:evenHBand="0" w:firstRowFirstColumn="0" w:firstRowLastColumn="0" w:lastRowFirstColumn="0" w:lastRowLastColumn="0"/>
            <w:tcW w:w="1457" w:type="pct"/>
          </w:tcPr>
          <w:p w14:paraId="6D343554" w14:textId="77777777" w:rsidR="004949CA" w:rsidRPr="008F7B22" w:rsidRDefault="004949CA" w:rsidP="00331A63">
            <w:pPr>
              <w:rPr>
                <w:rFonts w:ascii="Tahoma" w:hAnsi="Tahoma" w:cs="Tahoma"/>
                <w:b w:val="0"/>
                <w:bCs w:val="0"/>
                <w:sz w:val="18"/>
                <w:szCs w:val="18"/>
                <w:lang w:eastAsia="hr-HR"/>
              </w:rPr>
            </w:pPr>
            <w:r w:rsidRPr="008F7B22">
              <w:rPr>
                <w:rFonts w:ascii="Tahoma" w:hAnsi="Tahoma" w:cs="Tahoma"/>
                <w:sz w:val="18"/>
                <w:szCs w:val="18"/>
                <w:lang w:eastAsia="hr-HR"/>
              </w:rPr>
              <w:t>osiguravanje zdravih unutarnjih klimatskih uvjeta</w:t>
            </w:r>
          </w:p>
        </w:tc>
        <w:tc>
          <w:tcPr>
            <w:tcW w:w="2283" w:type="pct"/>
          </w:tcPr>
          <w:p w14:paraId="06EEBE65"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 xml:space="preserve">nužan uvjet za osiguranje zdravih unutarnjih klimatskih uvjeta je izrada projekta energetske obnove zgrade u skladu s važećom regulativom, čime će se osigurati definiranje zahtjeva za zgradu, rizici, i način ispunjenja zdravih unutarnjih klimatskih uvjeta u skladu s namjenom i načinom korištenja zgrade. </w:t>
            </w:r>
          </w:p>
          <w:p w14:paraId="100AEB4E"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 xml:space="preserve">Primjeri mjera za osiguranje zdravih unutarnjih klimatskih uvjeta: </w:t>
            </w:r>
          </w:p>
          <w:p w14:paraId="0DF1D52C" w14:textId="77777777" w:rsidR="004949CA" w:rsidRPr="008F7B22"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sustav ventilacije s regulacijom količine zraka prema stvarnim potrebama (</w:t>
            </w:r>
            <w:r w:rsidRPr="2617B706">
              <w:rPr>
                <w:rFonts w:cs="Tahoma"/>
                <w:i/>
                <w:iCs/>
                <w:sz w:val="18"/>
                <w:szCs w:val="18"/>
              </w:rPr>
              <w:t xml:space="preserve">on </w:t>
            </w:r>
            <w:proofErr w:type="spellStart"/>
            <w:r w:rsidRPr="2617B706">
              <w:rPr>
                <w:rFonts w:cs="Tahoma"/>
                <w:i/>
                <w:iCs/>
                <w:sz w:val="18"/>
                <w:szCs w:val="18"/>
              </w:rPr>
              <w:t>demand</w:t>
            </w:r>
            <w:proofErr w:type="spellEnd"/>
            <w:r w:rsidRPr="2617B706">
              <w:rPr>
                <w:rFonts w:cs="Tahoma"/>
                <w:i/>
                <w:iCs/>
                <w:sz w:val="18"/>
                <w:szCs w:val="18"/>
              </w:rPr>
              <w:t xml:space="preserve"> </w:t>
            </w:r>
            <w:proofErr w:type="spellStart"/>
            <w:r w:rsidRPr="2617B706">
              <w:rPr>
                <w:rFonts w:cs="Tahoma"/>
                <w:i/>
                <w:iCs/>
                <w:sz w:val="18"/>
                <w:szCs w:val="18"/>
              </w:rPr>
              <w:t>ventilation</w:t>
            </w:r>
            <w:proofErr w:type="spellEnd"/>
            <w:r w:rsidRPr="2617B706">
              <w:rPr>
                <w:rFonts w:cs="Tahoma"/>
                <w:sz w:val="18"/>
                <w:szCs w:val="18"/>
              </w:rPr>
              <w:t>) – senzori kvalitete zraka u prostoru – vlažnost, temperatura, lebdeće čestice, brzina strujanja, hlapive organske tvari, CO</w:t>
            </w:r>
            <w:r w:rsidRPr="2617B706">
              <w:rPr>
                <w:rFonts w:cs="Tahoma"/>
                <w:sz w:val="18"/>
                <w:szCs w:val="18"/>
                <w:vertAlign w:val="subscript"/>
              </w:rPr>
              <w:t>2</w:t>
            </w:r>
            <w:r w:rsidRPr="2617B706">
              <w:rPr>
                <w:rFonts w:cs="Tahoma"/>
                <w:sz w:val="18"/>
                <w:szCs w:val="18"/>
              </w:rPr>
              <w:t>, radon</w:t>
            </w:r>
          </w:p>
          <w:p w14:paraId="118BB78D" w14:textId="77777777" w:rsidR="004949CA" w:rsidRPr="008F7B22"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 xml:space="preserve">osiguranje zadovoljavajuće razine osvjetljenja prostora i prirodnog osvjetljenja u prostorima, upravljanje rasvjetom, senzori osvijetljenosti, </w:t>
            </w:r>
            <w:proofErr w:type="spellStart"/>
            <w:r w:rsidRPr="2617B706">
              <w:rPr>
                <w:rFonts w:cs="Tahoma"/>
                <w:sz w:val="18"/>
                <w:szCs w:val="18"/>
              </w:rPr>
              <w:t>blještanja</w:t>
            </w:r>
            <w:proofErr w:type="spellEnd"/>
            <w:r w:rsidRPr="2617B706">
              <w:rPr>
                <w:rFonts w:cs="Tahoma"/>
                <w:sz w:val="18"/>
                <w:szCs w:val="18"/>
              </w:rPr>
              <w:t xml:space="preserve">, </w:t>
            </w:r>
          </w:p>
          <w:p w14:paraId="380D6966" w14:textId="77777777" w:rsidR="004949CA" w:rsidRPr="008F7B22"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uklanjanje i zamjena materijala zaraženih plijesnima i gljivicama</w:t>
            </w:r>
          </w:p>
          <w:p w14:paraId="75914B56" w14:textId="77777777" w:rsidR="004949CA" w:rsidRPr="008F7B22"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uklanjanje azbestnih obloga, pokrova i izolacija</w:t>
            </w:r>
          </w:p>
          <w:p w14:paraId="620427EA" w14:textId="77777777" w:rsidR="004949CA" w:rsidRPr="008F7B22"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osiguranje kvalitete pitke vode u zgradi</w:t>
            </w:r>
          </w:p>
          <w:p w14:paraId="547C17A5" w14:textId="77777777" w:rsidR="004949CA" w:rsidRPr="008F7B22"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osiguranje odgovarajuće akustičke kvalitete prostora (izolacija od vanjske buke, smanjenje izvora buke u zgradi)</w:t>
            </w:r>
          </w:p>
          <w:p w14:paraId="37A3F467" w14:textId="77777777" w:rsidR="004949CA" w:rsidRPr="008F7B22" w:rsidRDefault="137C0FFA" w:rsidP="00D864CE">
            <w:pPr>
              <w:pStyle w:val="Odlomakpopisa"/>
              <w:numPr>
                <w:ilvl w:val="0"/>
                <w:numId w:val="53"/>
              </w:numPr>
              <w:spacing w:before="0" w:after="0"/>
              <w:cnfStyle w:val="000000000000" w:firstRow="0" w:lastRow="0" w:firstColumn="0" w:lastColumn="0" w:oddVBand="0" w:evenVBand="0" w:oddHBand="0" w:evenHBand="0" w:firstRowFirstColumn="0" w:firstRowLastColumn="0" w:lastRowFirstColumn="0" w:lastRowLastColumn="0"/>
              <w:rPr>
                <w:rFonts w:cs="Tahoma"/>
                <w:sz w:val="18"/>
                <w:szCs w:val="18"/>
              </w:rPr>
            </w:pPr>
            <w:r w:rsidRPr="2617B706">
              <w:rPr>
                <w:rFonts w:cs="Tahoma"/>
                <w:sz w:val="18"/>
                <w:szCs w:val="18"/>
              </w:rPr>
              <w:t>sanacija vlage (ovisi o oštećenjima i predmetu sanacije)</w:t>
            </w:r>
          </w:p>
        </w:tc>
        <w:tc>
          <w:tcPr>
            <w:tcW w:w="1260" w:type="pct"/>
          </w:tcPr>
          <w:p w14:paraId="27E3D6A1"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obuhvaćeno ostalim radovima cjelovite energetske obnove zgrada</w:t>
            </w:r>
          </w:p>
        </w:tc>
      </w:tr>
      <w:tr w:rsidR="004949CA" w:rsidRPr="008F7B22" w14:paraId="49D42570" w14:textId="77777777" w:rsidTr="2617B706">
        <w:tc>
          <w:tcPr>
            <w:cnfStyle w:val="001000000000" w:firstRow="0" w:lastRow="0" w:firstColumn="1" w:lastColumn="0" w:oddVBand="0" w:evenVBand="0" w:oddHBand="0" w:evenHBand="0" w:firstRowFirstColumn="0" w:firstRowLastColumn="0" w:lastRowFirstColumn="0" w:lastRowLastColumn="0"/>
            <w:tcW w:w="1457" w:type="pct"/>
          </w:tcPr>
          <w:p w14:paraId="2520A4B7" w14:textId="77777777" w:rsidR="004949CA" w:rsidRPr="008F7B22" w:rsidRDefault="004949CA" w:rsidP="00331A63">
            <w:pPr>
              <w:rPr>
                <w:rFonts w:ascii="Tahoma" w:hAnsi="Tahoma" w:cs="Tahoma"/>
                <w:sz w:val="18"/>
                <w:szCs w:val="18"/>
                <w:lang w:eastAsia="hr-HR"/>
              </w:rPr>
            </w:pPr>
            <w:r w:rsidRPr="008F7B22">
              <w:rPr>
                <w:rFonts w:ascii="Tahoma" w:hAnsi="Tahoma" w:cs="Tahoma"/>
                <w:sz w:val="18"/>
                <w:szCs w:val="18"/>
                <w:lang w:eastAsia="hr-HR"/>
              </w:rPr>
              <w:t>mjere za unapređenje ispunjavanja temeljnog zahtjeva mehaničke otpornosti i stabilnosti</w:t>
            </w:r>
          </w:p>
        </w:tc>
        <w:tc>
          <w:tcPr>
            <w:tcW w:w="2283" w:type="pct"/>
          </w:tcPr>
          <w:p w14:paraId="705BD0A7" w14:textId="77777777"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nužan uvjet je izrada projekta obnove zgrade u skladu s važećom regulativom</w:t>
            </w:r>
          </w:p>
        </w:tc>
        <w:tc>
          <w:tcPr>
            <w:tcW w:w="1260" w:type="pct"/>
          </w:tcPr>
          <w:p w14:paraId="0D607E26" w14:textId="26D7F0E4" w:rsidR="004949CA" w:rsidRPr="008F7B22"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8F7B22">
              <w:rPr>
                <w:rFonts w:ascii="Tahoma" w:hAnsi="Tahoma" w:cs="Tahoma"/>
                <w:sz w:val="18"/>
                <w:szCs w:val="18"/>
                <w:lang w:eastAsia="hr-HR"/>
              </w:rPr>
              <w:t xml:space="preserve">1.000 </w:t>
            </w:r>
            <w:r w:rsidR="0063313B">
              <w:rPr>
                <w:rFonts w:ascii="Tahoma" w:hAnsi="Tahoma" w:cs="Tahoma"/>
                <w:sz w:val="18"/>
                <w:szCs w:val="18"/>
                <w:lang w:eastAsia="hr-HR"/>
              </w:rPr>
              <w:t>kuna</w:t>
            </w:r>
            <w:r w:rsidRPr="008F7B22">
              <w:rPr>
                <w:rFonts w:ascii="Tahoma" w:hAnsi="Tahoma" w:cs="Tahoma"/>
                <w:sz w:val="18"/>
                <w:szCs w:val="18"/>
                <w:lang w:eastAsia="hr-HR"/>
              </w:rPr>
              <w:t>/m² bruto površine zgrade</w:t>
            </w:r>
          </w:p>
        </w:tc>
      </w:tr>
    </w:tbl>
    <w:p w14:paraId="6AAD04EA" w14:textId="77777777" w:rsidR="004949CA" w:rsidRPr="008F7B22" w:rsidRDefault="004949CA" w:rsidP="00441B62">
      <w:pPr>
        <w:spacing w:before="120" w:after="120" w:line="240" w:lineRule="auto"/>
        <w:jc w:val="both"/>
        <w:rPr>
          <w:rFonts w:ascii="Tahoma" w:hAnsi="Tahoma" w:cs="Tahoma"/>
          <w:sz w:val="20"/>
          <w:szCs w:val="20"/>
        </w:rPr>
      </w:pPr>
      <w:r w:rsidRPr="008F7B22">
        <w:rPr>
          <w:rFonts w:ascii="Tahoma" w:hAnsi="Tahoma" w:cs="Tahoma"/>
          <w:sz w:val="20"/>
          <w:szCs w:val="20"/>
        </w:rPr>
        <w:lastRenderedPageBreak/>
        <w:t xml:space="preserve">Mjere sveobuhvatne obnove će dovesti do povećanja troškova obnove, koje nije moguće povratiti iz ušteda na troškovima za energiju. Ipak, neprovođenje takvih mjera za posljedicu može imati katastrofalne događaje u slučaju požara ili potresa koje utječu na sigurnost, odnosno trajne posljedice na zdravlje stanara ukoliko nisu osigurani zdravi klimatski uvjeti. </w:t>
      </w:r>
    </w:p>
    <w:p w14:paraId="0AA26CF0" w14:textId="77777777" w:rsidR="004949CA" w:rsidRPr="008F7B22" w:rsidRDefault="004949CA" w:rsidP="00441B62">
      <w:pPr>
        <w:spacing w:before="120" w:after="120" w:line="240" w:lineRule="auto"/>
        <w:jc w:val="both"/>
        <w:rPr>
          <w:rFonts w:ascii="Tahoma" w:hAnsi="Tahoma" w:cs="Tahoma"/>
          <w:sz w:val="20"/>
          <w:szCs w:val="20"/>
        </w:rPr>
      </w:pPr>
      <w:r w:rsidRPr="008F7B22">
        <w:rPr>
          <w:rFonts w:ascii="Tahoma" w:hAnsi="Tahoma" w:cs="Tahoma"/>
          <w:sz w:val="20"/>
          <w:szCs w:val="20"/>
        </w:rPr>
        <w:t>Zbog navedenog će provedba ovih mjera biti prihvatljiv trošak u sklopu projekta. Pri tome će vrijediti sljedeće odredbe:</w:t>
      </w:r>
    </w:p>
    <w:p w14:paraId="1439E432" w14:textId="32A97EAD" w:rsidR="004949CA" w:rsidRPr="008F7B22" w:rsidRDefault="046DAC16" w:rsidP="2617B706">
      <w:pPr>
        <w:pStyle w:val="Odlomakpopisa"/>
        <w:numPr>
          <w:ilvl w:val="0"/>
          <w:numId w:val="54"/>
        </w:numPr>
        <w:rPr>
          <w:rFonts w:cs="Tahoma"/>
        </w:rPr>
      </w:pPr>
      <w:r w:rsidRPr="76C5F75F">
        <w:rPr>
          <w:rFonts w:cs="Tahoma"/>
          <w:b/>
          <w:bCs/>
        </w:rPr>
        <w:t>Trošak mjera za povećanje sigurnosti u slučaju požara</w:t>
      </w:r>
      <w:r w:rsidRPr="76C5F75F">
        <w:rPr>
          <w:rFonts w:cs="Tahoma"/>
        </w:rPr>
        <w:t xml:space="preserve"> (one koje već nisu sastavni dio mjera energetske obnove i posebno su iskazane troškovnički kako u analizi postojećeg stanja, tako i u glavnom projektu obnove) </w:t>
      </w:r>
      <w:r w:rsidRPr="76C5F75F">
        <w:rPr>
          <w:rFonts w:cs="Tahoma"/>
          <w:b/>
          <w:bCs/>
        </w:rPr>
        <w:t>koji se smatra prihvatljivim</w:t>
      </w:r>
      <w:r w:rsidRPr="76C5F75F">
        <w:rPr>
          <w:rFonts w:cs="Tahoma"/>
        </w:rPr>
        <w:t xml:space="preserve"> </w:t>
      </w:r>
      <w:r w:rsidRPr="76C5F75F">
        <w:rPr>
          <w:rFonts w:cs="Tahoma"/>
          <w:b/>
          <w:bCs/>
        </w:rPr>
        <w:t>ne može iznositi više od 15% ukupnih prihvatljivih troškova energetske obnove</w:t>
      </w:r>
      <w:r w:rsidRPr="76C5F75F">
        <w:rPr>
          <w:rFonts w:cs="Tahoma"/>
        </w:rPr>
        <w:t>, a stopa sufinanciranja koja se primjenjuje odgovara stopi sufinanciranja razine energetske obnove i iznosi:</w:t>
      </w:r>
    </w:p>
    <w:p w14:paraId="0BF3FDB3" w14:textId="4541168C" w:rsidR="004949CA" w:rsidRPr="008F7B22" w:rsidRDefault="046DAC16" w:rsidP="2617B706">
      <w:pPr>
        <w:pStyle w:val="Odlomakpopisa"/>
        <w:numPr>
          <w:ilvl w:val="1"/>
          <w:numId w:val="54"/>
        </w:numPr>
        <w:rPr>
          <w:rFonts w:cs="Tahoma"/>
        </w:rPr>
      </w:pPr>
      <w:r w:rsidRPr="638C4C38">
        <w:rPr>
          <w:rFonts w:cs="Tahoma"/>
        </w:rPr>
        <w:t xml:space="preserve">60% ako se ove mjere provode uz integralnu energetsku obnovu, pri čemu je maksimalni prihvatljivi trošak obnove 1.725 </w:t>
      </w:r>
      <w:r w:rsidR="7899C2E3" w:rsidRPr="638C4C38">
        <w:rPr>
          <w:rFonts w:cs="Tahoma"/>
        </w:rPr>
        <w:t>kuna</w:t>
      </w:r>
      <w:r w:rsidRPr="638C4C38">
        <w:rPr>
          <w:rFonts w:cs="Tahoma"/>
        </w:rPr>
        <w:t>/m</w:t>
      </w:r>
      <w:r w:rsidRPr="638C4C38">
        <w:rPr>
          <w:rFonts w:cs="Tahoma"/>
          <w:vertAlign w:val="superscript"/>
        </w:rPr>
        <w:t>2</w:t>
      </w:r>
      <w:r w:rsidRPr="638C4C38">
        <w:rPr>
          <w:rFonts w:cs="Tahoma"/>
        </w:rPr>
        <w:t xml:space="preserve"> građevinske bruto površine VSZ odnosno </w:t>
      </w:r>
    </w:p>
    <w:p w14:paraId="2A5883F6" w14:textId="6D0AC9C8" w:rsidR="004949CA" w:rsidRPr="008F7B22" w:rsidRDefault="137C0FFA" w:rsidP="2617B706">
      <w:pPr>
        <w:pStyle w:val="Odlomakpopisa"/>
        <w:numPr>
          <w:ilvl w:val="1"/>
          <w:numId w:val="54"/>
        </w:numPr>
        <w:rPr>
          <w:rFonts w:cs="Tahoma"/>
        </w:rPr>
      </w:pPr>
      <w:r w:rsidRPr="2617B706">
        <w:rPr>
          <w:rFonts w:cs="Tahoma"/>
        </w:rPr>
        <w:t xml:space="preserve">80% ako se provode uz dubinsku obnovu, pri čemu je maksimalni prihvatljivi trošak obnove 2.875 </w:t>
      </w:r>
      <w:r w:rsidR="19290C86" w:rsidRPr="2617B706">
        <w:rPr>
          <w:rFonts w:cs="Tahoma"/>
        </w:rPr>
        <w:t>kuna</w:t>
      </w:r>
      <w:r w:rsidRPr="2617B706">
        <w:rPr>
          <w:rFonts w:cs="Tahoma"/>
        </w:rPr>
        <w:t>/m</w:t>
      </w:r>
      <w:r w:rsidRPr="2617B706">
        <w:rPr>
          <w:rFonts w:cs="Tahoma"/>
          <w:vertAlign w:val="superscript"/>
        </w:rPr>
        <w:t>2</w:t>
      </w:r>
      <w:r w:rsidRPr="2617B706">
        <w:rPr>
          <w:rFonts w:cs="Tahoma"/>
        </w:rPr>
        <w:t xml:space="preserve"> građevinske bruto površine VSZ.</w:t>
      </w:r>
    </w:p>
    <w:p w14:paraId="20CB363B" w14:textId="77777777" w:rsidR="004949CA" w:rsidRPr="008F7B22" w:rsidRDefault="137C0FFA" w:rsidP="2617B706">
      <w:pPr>
        <w:pStyle w:val="Odlomakpopisa"/>
        <w:numPr>
          <w:ilvl w:val="0"/>
          <w:numId w:val="27"/>
        </w:numPr>
        <w:ind w:left="720"/>
        <w:rPr>
          <w:rFonts w:cs="Tahoma"/>
          <w:b/>
          <w:bCs/>
        </w:rPr>
      </w:pPr>
      <w:r w:rsidRPr="2617B706">
        <w:rPr>
          <w:rFonts w:cs="Tahoma"/>
          <w:b/>
          <w:bCs/>
        </w:rPr>
        <w:t>Trošak mjera za osiguravanje zdravih unutarnjih klimatskih uvjeta</w:t>
      </w:r>
      <w:r w:rsidRPr="2617B706">
        <w:rPr>
          <w:rFonts w:cs="Tahoma"/>
        </w:rPr>
        <w:t xml:space="preserve"> </w:t>
      </w:r>
      <w:r w:rsidRPr="2617B706">
        <w:rPr>
          <w:rFonts w:cs="Tahoma"/>
          <w:b/>
          <w:bCs/>
        </w:rPr>
        <w:t>prihvatljive su kao sastavni dio mjera energetske obnove</w:t>
      </w:r>
      <w:r w:rsidRPr="2617B706">
        <w:rPr>
          <w:rFonts w:cs="Tahoma"/>
        </w:rPr>
        <w:t>, a stopa sufinanciranja koja se primjenjuje odgovara stopi sufinanciranja razine energetske obnove i iznosi:</w:t>
      </w:r>
    </w:p>
    <w:p w14:paraId="2EEC4250" w14:textId="51EBDE17" w:rsidR="004949CA" w:rsidRPr="008F7B22" w:rsidRDefault="137C0FFA" w:rsidP="2617B706">
      <w:pPr>
        <w:pStyle w:val="Odlomakpopisa"/>
        <w:numPr>
          <w:ilvl w:val="1"/>
          <w:numId w:val="54"/>
        </w:numPr>
        <w:rPr>
          <w:rFonts w:cs="Tahoma"/>
        </w:rPr>
      </w:pPr>
      <w:r w:rsidRPr="2617B706">
        <w:rPr>
          <w:rFonts w:cs="Tahoma"/>
        </w:rPr>
        <w:t xml:space="preserve">60% ako se ove mjere provode u sklopu integralne energetske obnove, pri čemu je maksimalni prihvatljivi trošak obnove 1.500 </w:t>
      </w:r>
      <w:r w:rsidR="19290C86" w:rsidRPr="2617B706">
        <w:rPr>
          <w:rFonts w:cs="Tahoma"/>
        </w:rPr>
        <w:t>kuna</w:t>
      </w:r>
      <w:r w:rsidRPr="2617B706">
        <w:rPr>
          <w:rFonts w:cs="Tahoma"/>
        </w:rPr>
        <w:t>/m</w:t>
      </w:r>
      <w:r w:rsidRPr="2617B706">
        <w:rPr>
          <w:rFonts w:cs="Tahoma"/>
          <w:vertAlign w:val="superscript"/>
        </w:rPr>
        <w:t>2</w:t>
      </w:r>
      <w:r w:rsidRPr="2617B706">
        <w:rPr>
          <w:rFonts w:cs="Tahoma"/>
        </w:rPr>
        <w:t xml:space="preserve"> građevinske bruto površine VSZ odnosno </w:t>
      </w:r>
    </w:p>
    <w:p w14:paraId="38B8B87A" w14:textId="60B3E980" w:rsidR="004949CA" w:rsidRPr="008F7B22" w:rsidRDefault="137C0FFA" w:rsidP="2617B706">
      <w:pPr>
        <w:pStyle w:val="Odlomakpopisa"/>
        <w:numPr>
          <w:ilvl w:val="1"/>
          <w:numId w:val="27"/>
        </w:numPr>
        <w:ind w:left="1440"/>
        <w:rPr>
          <w:rFonts w:cs="Tahoma"/>
          <w:b/>
          <w:bCs/>
        </w:rPr>
      </w:pPr>
      <w:r w:rsidRPr="2617B706">
        <w:rPr>
          <w:rFonts w:cs="Tahoma"/>
        </w:rPr>
        <w:t xml:space="preserve">80% ako se provode uz dubinsku obnovu, pri čemu je maksimalni prihvatljivi trošak obnove 2.500 </w:t>
      </w:r>
      <w:r w:rsidR="19290C86" w:rsidRPr="2617B706">
        <w:rPr>
          <w:rFonts w:cs="Tahoma"/>
        </w:rPr>
        <w:t>kuna</w:t>
      </w:r>
      <w:r w:rsidRPr="2617B706">
        <w:rPr>
          <w:rFonts w:cs="Tahoma"/>
        </w:rPr>
        <w:t>/m</w:t>
      </w:r>
      <w:r w:rsidRPr="2617B706">
        <w:rPr>
          <w:rFonts w:cs="Tahoma"/>
          <w:vertAlign w:val="superscript"/>
        </w:rPr>
        <w:t>2</w:t>
      </w:r>
      <w:r w:rsidRPr="2617B706">
        <w:rPr>
          <w:rFonts w:cs="Tahoma"/>
        </w:rPr>
        <w:t xml:space="preserve"> građevinske bruto površine VSZ.</w:t>
      </w:r>
    </w:p>
    <w:p w14:paraId="2189E9C1" w14:textId="77777777" w:rsidR="004949CA" w:rsidRPr="008F7B22" w:rsidRDefault="137C0FFA" w:rsidP="2617B706">
      <w:pPr>
        <w:pStyle w:val="Odlomakpopisa"/>
        <w:numPr>
          <w:ilvl w:val="0"/>
          <w:numId w:val="27"/>
        </w:numPr>
        <w:ind w:left="720"/>
        <w:rPr>
          <w:rFonts w:cs="Tahoma"/>
        </w:rPr>
      </w:pPr>
      <w:r w:rsidRPr="2617B706">
        <w:rPr>
          <w:rFonts w:cs="Tahoma"/>
          <w:b/>
          <w:bCs/>
        </w:rPr>
        <w:t>Mjere za unapređenje mehaničke otpornosti i stabilnosti  zgrade, posebice radi povećanja potresne otpornosti zgrade</w:t>
      </w:r>
      <w:r w:rsidRPr="2617B706">
        <w:rPr>
          <w:rFonts w:cs="Tahoma"/>
        </w:rPr>
        <w:t xml:space="preserve"> (one koje već nisu sastavni dio mjera energetske obnove i posebno su iskazane troškovnički u projektu obnove) </w:t>
      </w:r>
      <w:r w:rsidRPr="2617B706">
        <w:rPr>
          <w:rFonts w:cs="Tahoma"/>
          <w:b/>
          <w:bCs/>
        </w:rPr>
        <w:t>obvezne su da bi se obnova VSZ smatrala sveobuhvatnom i imala pravo na sufinanciranje od 80%</w:t>
      </w:r>
      <w:r w:rsidRPr="2617B706">
        <w:rPr>
          <w:rFonts w:cs="Tahoma"/>
        </w:rPr>
        <w:t xml:space="preserve"> bez obzira provodi li se uz nju integralna energetska ili dubinska obnova - ovako definirana sveobuhvatna obnova </w:t>
      </w:r>
      <w:r w:rsidRPr="2617B706">
        <w:rPr>
          <w:rFonts w:cs="Tahoma"/>
          <w:b/>
          <w:bCs/>
        </w:rPr>
        <w:t>sufinancirat će se uvijek sa stopom od 80%</w:t>
      </w:r>
      <w:r w:rsidRPr="2617B706">
        <w:rPr>
          <w:rFonts w:cs="Tahoma"/>
        </w:rPr>
        <w:t>, ali će maksimalni prihvatljivi trošak ovisiti o kategoriji energetske obnove te će iznositi:</w:t>
      </w:r>
    </w:p>
    <w:p w14:paraId="42D944E4" w14:textId="7111C8D6" w:rsidR="004949CA" w:rsidRPr="008F7B22" w:rsidRDefault="137C0FFA" w:rsidP="2617B706">
      <w:pPr>
        <w:pStyle w:val="Odlomakpopisa"/>
        <w:numPr>
          <w:ilvl w:val="1"/>
          <w:numId w:val="27"/>
        </w:numPr>
        <w:ind w:left="1440"/>
        <w:rPr>
          <w:rFonts w:cs="Tahoma"/>
        </w:rPr>
      </w:pPr>
      <w:r w:rsidRPr="2617B706">
        <w:rPr>
          <w:rFonts w:cs="Tahoma"/>
        </w:rPr>
        <w:t xml:space="preserve">u slučaju integralne energetske obnove 2.500 </w:t>
      </w:r>
      <w:r w:rsidR="19290C86" w:rsidRPr="2617B706">
        <w:rPr>
          <w:rFonts w:cs="Tahoma"/>
        </w:rPr>
        <w:t>kuna</w:t>
      </w:r>
      <w:r w:rsidRPr="2617B706">
        <w:rPr>
          <w:rFonts w:cs="Tahoma"/>
        </w:rPr>
        <w:t>/m</w:t>
      </w:r>
      <w:r w:rsidRPr="2617B706">
        <w:rPr>
          <w:rFonts w:cs="Tahoma"/>
          <w:vertAlign w:val="superscript"/>
        </w:rPr>
        <w:t>2</w:t>
      </w:r>
      <w:r w:rsidRPr="2617B706">
        <w:rPr>
          <w:rFonts w:cs="Tahoma"/>
        </w:rPr>
        <w:t xml:space="preserve"> građevinske bruto površine VSZ odnosno</w:t>
      </w:r>
    </w:p>
    <w:p w14:paraId="2434A603" w14:textId="4789AF21" w:rsidR="004949CA" w:rsidRPr="008F7B22" w:rsidRDefault="046DAC16" w:rsidP="2617B706">
      <w:pPr>
        <w:pStyle w:val="Odlomakpopisa"/>
        <w:numPr>
          <w:ilvl w:val="1"/>
          <w:numId w:val="27"/>
        </w:numPr>
        <w:ind w:left="1440"/>
        <w:rPr>
          <w:rFonts w:cs="Tahoma"/>
        </w:rPr>
      </w:pPr>
      <w:r w:rsidRPr="2617B706">
        <w:rPr>
          <w:rFonts w:cs="Tahoma"/>
        </w:rPr>
        <w:t xml:space="preserve">u slučaju dubinske obnove 3.500 </w:t>
      </w:r>
      <w:r w:rsidR="7899C2E3" w:rsidRPr="2617B706">
        <w:rPr>
          <w:rFonts w:cs="Tahoma"/>
        </w:rPr>
        <w:t>kuna</w:t>
      </w:r>
      <w:r w:rsidRPr="2617B706">
        <w:rPr>
          <w:rFonts w:cs="Tahoma"/>
        </w:rPr>
        <w:t>/m</w:t>
      </w:r>
      <w:r w:rsidRPr="2617B706">
        <w:rPr>
          <w:rFonts w:cs="Tahoma"/>
          <w:vertAlign w:val="superscript"/>
        </w:rPr>
        <w:t xml:space="preserve">2 </w:t>
      </w:r>
      <w:r w:rsidRPr="2617B706">
        <w:rPr>
          <w:rFonts w:cs="Tahoma"/>
        </w:rPr>
        <w:t xml:space="preserve">građevinske bruto površine VSZ odnosno do </w:t>
      </w:r>
      <w:r w:rsidRPr="2617B706">
        <w:rPr>
          <w:rFonts w:cs="Tahoma"/>
          <w:b/>
          <w:bCs/>
        </w:rPr>
        <w:t xml:space="preserve">26.500.000 </w:t>
      </w:r>
      <w:r w:rsidR="7899C2E3" w:rsidRPr="2617B706">
        <w:rPr>
          <w:rFonts w:cs="Tahoma"/>
          <w:b/>
          <w:bCs/>
        </w:rPr>
        <w:t>kuna</w:t>
      </w:r>
      <w:r w:rsidR="004949CA" w:rsidRPr="2617B706">
        <w:rPr>
          <w:rStyle w:val="Referencafusnote"/>
          <w:rFonts w:cs="Tahoma"/>
        </w:rPr>
        <w:footnoteReference w:id="27"/>
      </w:r>
      <w:r w:rsidRPr="2617B706">
        <w:rPr>
          <w:rFonts w:cs="Tahoma"/>
        </w:rPr>
        <w:t>.</w:t>
      </w:r>
    </w:p>
    <w:p w14:paraId="12D18A00" w14:textId="311E6297" w:rsidR="004949CA" w:rsidRDefault="004949CA" w:rsidP="008F7B22">
      <w:pPr>
        <w:jc w:val="both"/>
        <w:rPr>
          <w:rFonts w:ascii="Tahoma" w:hAnsi="Tahoma" w:cs="Tahoma"/>
          <w:sz w:val="20"/>
          <w:szCs w:val="20"/>
        </w:rPr>
      </w:pPr>
      <w:r w:rsidRPr="008F7B22">
        <w:rPr>
          <w:rFonts w:ascii="Tahoma" w:hAnsi="Tahoma" w:cs="Tahoma"/>
          <w:sz w:val="20"/>
          <w:szCs w:val="20"/>
        </w:rPr>
        <w:t xml:space="preserve">Sve gore navedeno odnosi se na VSZ koje nisu oštećene u potresima na području Grada Zagreba,  Krapinsko-zagorske županije, Zagrebačke županije, Sisačko-moslavačke županije i Karlovačke županije. </w:t>
      </w:r>
    </w:p>
    <w:p w14:paraId="75B9087A" w14:textId="3A08B9CC" w:rsidR="006347BC" w:rsidRPr="008F7B22" w:rsidRDefault="006347BC" w:rsidP="008F7B22">
      <w:pPr>
        <w:jc w:val="both"/>
        <w:rPr>
          <w:rFonts w:ascii="Tahoma" w:hAnsi="Tahoma" w:cs="Tahoma"/>
          <w:sz w:val="20"/>
          <w:szCs w:val="20"/>
        </w:rPr>
      </w:pPr>
      <w:r>
        <w:rPr>
          <w:rFonts w:ascii="Tahoma" w:hAnsi="Tahoma" w:cs="Tahoma"/>
          <w:sz w:val="20"/>
          <w:szCs w:val="20"/>
        </w:rPr>
        <w:t>Za zgrade oštećene u potresu</w:t>
      </w:r>
      <w:r w:rsidR="00757BCA">
        <w:rPr>
          <w:rFonts w:ascii="Tahoma" w:hAnsi="Tahoma" w:cs="Tahoma"/>
          <w:sz w:val="20"/>
          <w:szCs w:val="20"/>
        </w:rPr>
        <w:t xml:space="preserve">, </w:t>
      </w:r>
      <w:r w:rsidR="009D7D16">
        <w:rPr>
          <w:rFonts w:ascii="Tahoma" w:hAnsi="Tahoma" w:cs="Tahoma"/>
          <w:sz w:val="20"/>
          <w:szCs w:val="20"/>
        </w:rPr>
        <w:t>neka od razina energetske obnove (</w:t>
      </w:r>
      <w:r w:rsidR="000255DE">
        <w:rPr>
          <w:rFonts w:ascii="Tahoma" w:hAnsi="Tahoma" w:cs="Tahoma"/>
          <w:sz w:val="20"/>
          <w:szCs w:val="20"/>
        </w:rPr>
        <w:t>integralna</w:t>
      </w:r>
      <w:r w:rsidR="009D7D16">
        <w:rPr>
          <w:rFonts w:ascii="Tahoma" w:hAnsi="Tahoma" w:cs="Tahoma"/>
          <w:sz w:val="20"/>
          <w:szCs w:val="20"/>
        </w:rPr>
        <w:t xml:space="preserve"> ili dubinska) provodi su uvijek uz </w:t>
      </w:r>
      <w:r w:rsidR="00BC3353">
        <w:rPr>
          <w:rFonts w:ascii="Tahoma" w:hAnsi="Tahoma" w:cs="Tahoma"/>
          <w:sz w:val="20"/>
          <w:szCs w:val="20"/>
        </w:rPr>
        <w:t xml:space="preserve">mjere unaprijeđena mehaničke otpornosti i stabilnosti zgrade pa </w:t>
      </w:r>
      <w:r w:rsidR="00BC3353" w:rsidRPr="004858AF">
        <w:rPr>
          <w:rFonts w:ascii="Tahoma" w:hAnsi="Tahoma" w:cs="Tahoma"/>
          <w:b/>
          <w:bCs/>
          <w:sz w:val="20"/>
          <w:szCs w:val="20"/>
        </w:rPr>
        <w:t xml:space="preserve">se </w:t>
      </w:r>
      <w:r w:rsidR="00ED2F27" w:rsidRPr="004858AF">
        <w:rPr>
          <w:rFonts w:ascii="Tahoma" w:hAnsi="Tahoma" w:cs="Tahoma"/>
          <w:b/>
          <w:bCs/>
          <w:sz w:val="20"/>
          <w:szCs w:val="20"/>
        </w:rPr>
        <w:t>obnova potresom oštećenih zgrada prema ovom Programu uvijek smatra sveobuhvatnom obnovom</w:t>
      </w:r>
      <w:r w:rsidR="006843FA" w:rsidRPr="004858AF">
        <w:rPr>
          <w:rFonts w:ascii="Tahoma" w:hAnsi="Tahoma" w:cs="Tahoma"/>
          <w:b/>
          <w:bCs/>
          <w:sz w:val="20"/>
          <w:szCs w:val="20"/>
        </w:rPr>
        <w:t xml:space="preserve"> te se sufinancira sa 80% prihvatljivih troškova</w:t>
      </w:r>
      <w:r w:rsidR="006843FA">
        <w:rPr>
          <w:rFonts w:ascii="Tahoma" w:hAnsi="Tahoma" w:cs="Tahoma"/>
          <w:sz w:val="20"/>
          <w:szCs w:val="20"/>
        </w:rPr>
        <w:t xml:space="preserve">. </w:t>
      </w:r>
      <w:r w:rsidR="00966494">
        <w:rPr>
          <w:rFonts w:ascii="Tahoma" w:hAnsi="Tahoma" w:cs="Tahoma"/>
          <w:sz w:val="20"/>
          <w:szCs w:val="20"/>
        </w:rPr>
        <w:t>Pri tome</w:t>
      </w:r>
      <w:r w:rsidR="00BC0A18">
        <w:rPr>
          <w:rFonts w:ascii="Tahoma" w:hAnsi="Tahoma" w:cs="Tahoma"/>
          <w:sz w:val="20"/>
          <w:szCs w:val="20"/>
        </w:rPr>
        <w:t xml:space="preserve"> će se maksimalni prihvatljivi trošak</w:t>
      </w:r>
      <w:r w:rsidR="00BD167D">
        <w:rPr>
          <w:rFonts w:ascii="Tahoma" w:hAnsi="Tahoma" w:cs="Tahoma"/>
          <w:sz w:val="20"/>
          <w:szCs w:val="20"/>
        </w:rPr>
        <w:t xml:space="preserve"> za obnovu oštećenih zgrada </w:t>
      </w:r>
      <w:r w:rsidR="00D7058F">
        <w:rPr>
          <w:rFonts w:ascii="Tahoma" w:hAnsi="Tahoma" w:cs="Tahoma"/>
          <w:sz w:val="20"/>
          <w:szCs w:val="20"/>
        </w:rPr>
        <w:t xml:space="preserve">uskladiti s procjenom danom u </w:t>
      </w:r>
      <w:r w:rsidR="005F7112" w:rsidRPr="008E4DAB">
        <w:rPr>
          <w:rFonts w:asciiTheme="majorHAnsi" w:hAnsiTheme="majorHAnsi" w:cstheme="majorHAnsi"/>
          <w:color w:val="000000" w:themeColor="text1"/>
        </w:rPr>
        <w:t>RDNA (</w:t>
      </w:r>
      <w:proofErr w:type="spellStart"/>
      <w:r w:rsidR="005F7112" w:rsidRPr="008E4DAB">
        <w:rPr>
          <w:rFonts w:asciiTheme="majorHAnsi" w:hAnsiTheme="majorHAnsi" w:cstheme="majorHAnsi"/>
          <w:i/>
          <w:color w:val="000000" w:themeColor="text1"/>
        </w:rPr>
        <w:t>Rapid</w:t>
      </w:r>
      <w:proofErr w:type="spellEnd"/>
      <w:r w:rsidR="005F7112" w:rsidRPr="008E4DAB">
        <w:rPr>
          <w:rFonts w:asciiTheme="majorHAnsi" w:hAnsiTheme="majorHAnsi" w:cstheme="majorHAnsi"/>
          <w:i/>
          <w:color w:val="000000" w:themeColor="text1"/>
        </w:rPr>
        <w:t xml:space="preserve"> </w:t>
      </w:r>
      <w:proofErr w:type="spellStart"/>
      <w:r w:rsidR="005F7112" w:rsidRPr="008E4DAB">
        <w:rPr>
          <w:rFonts w:asciiTheme="majorHAnsi" w:hAnsiTheme="majorHAnsi" w:cstheme="majorHAnsi"/>
          <w:i/>
          <w:color w:val="000000" w:themeColor="text1"/>
        </w:rPr>
        <w:t>Damage</w:t>
      </w:r>
      <w:proofErr w:type="spellEnd"/>
      <w:r w:rsidR="005F7112" w:rsidRPr="008E4DAB">
        <w:rPr>
          <w:rFonts w:asciiTheme="majorHAnsi" w:hAnsiTheme="majorHAnsi" w:cstheme="majorHAnsi"/>
          <w:i/>
          <w:color w:val="000000" w:themeColor="text1"/>
        </w:rPr>
        <w:t xml:space="preserve"> </w:t>
      </w:r>
      <w:proofErr w:type="spellStart"/>
      <w:r w:rsidR="005F7112" w:rsidRPr="008E4DAB">
        <w:rPr>
          <w:rFonts w:asciiTheme="majorHAnsi" w:hAnsiTheme="majorHAnsi" w:cstheme="majorHAnsi"/>
          <w:i/>
          <w:color w:val="000000" w:themeColor="text1"/>
        </w:rPr>
        <w:t>and</w:t>
      </w:r>
      <w:proofErr w:type="spellEnd"/>
      <w:r w:rsidR="005F7112" w:rsidRPr="008E4DAB">
        <w:rPr>
          <w:rFonts w:asciiTheme="majorHAnsi" w:hAnsiTheme="majorHAnsi" w:cstheme="majorHAnsi"/>
          <w:i/>
          <w:color w:val="000000" w:themeColor="text1"/>
        </w:rPr>
        <w:t xml:space="preserve"> </w:t>
      </w:r>
      <w:proofErr w:type="spellStart"/>
      <w:r w:rsidR="005F7112" w:rsidRPr="008E4DAB">
        <w:rPr>
          <w:rFonts w:asciiTheme="majorHAnsi" w:hAnsiTheme="majorHAnsi" w:cstheme="majorHAnsi"/>
          <w:i/>
          <w:color w:val="000000" w:themeColor="text1"/>
        </w:rPr>
        <w:t>Need</w:t>
      </w:r>
      <w:proofErr w:type="spellEnd"/>
      <w:r w:rsidR="005F7112" w:rsidRPr="008E4DAB">
        <w:rPr>
          <w:rFonts w:asciiTheme="majorHAnsi" w:hAnsiTheme="majorHAnsi" w:cstheme="majorHAnsi"/>
          <w:i/>
          <w:color w:val="000000" w:themeColor="text1"/>
        </w:rPr>
        <w:t xml:space="preserve"> </w:t>
      </w:r>
      <w:proofErr w:type="spellStart"/>
      <w:r w:rsidR="005F7112" w:rsidRPr="008E4DAB">
        <w:rPr>
          <w:rFonts w:asciiTheme="majorHAnsi" w:hAnsiTheme="majorHAnsi" w:cstheme="majorHAnsi"/>
          <w:i/>
          <w:color w:val="000000" w:themeColor="text1"/>
        </w:rPr>
        <w:t>Assessment</w:t>
      </w:r>
      <w:proofErr w:type="spellEnd"/>
      <w:r w:rsidR="005F7112" w:rsidRPr="008E4DAB">
        <w:rPr>
          <w:rFonts w:asciiTheme="majorHAnsi" w:hAnsiTheme="majorHAnsi" w:cstheme="majorHAnsi"/>
          <w:color w:val="000000" w:themeColor="text1"/>
        </w:rPr>
        <w:t>)</w:t>
      </w:r>
      <w:r w:rsidR="00D7058F" w:rsidRPr="008E4DAB">
        <w:rPr>
          <w:rFonts w:ascii="Tahoma" w:hAnsi="Tahoma" w:cs="Tahoma"/>
          <w:color w:val="000000" w:themeColor="text1"/>
          <w:sz w:val="20"/>
          <w:szCs w:val="20"/>
        </w:rPr>
        <w:t xml:space="preserve"> </w:t>
      </w:r>
      <w:r w:rsidR="005F7112">
        <w:rPr>
          <w:rFonts w:ascii="Tahoma" w:hAnsi="Tahoma" w:cs="Tahoma"/>
          <w:sz w:val="20"/>
          <w:szCs w:val="20"/>
        </w:rPr>
        <w:t>analizi</w:t>
      </w:r>
      <w:r w:rsidR="008E1E01">
        <w:rPr>
          <w:rStyle w:val="Referencafusnote"/>
          <w:rFonts w:cs="Tahoma"/>
          <w:sz w:val="20"/>
          <w:szCs w:val="20"/>
        </w:rPr>
        <w:footnoteReference w:id="28"/>
      </w:r>
      <w:r w:rsidR="005F7112">
        <w:rPr>
          <w:rFonts w:ascii="Tahoma" w:hAnsi="Tahoma" w:cs="Tahoma"/>
          <w:sz w:val="20"/>
          <w:szCs w:val="20"/>
        </w:rPr>
        <w:t xml:space="preserve">, </w:t>
      </w:r>
      <w:r w:rsidR="00523A8C">
        <w:rPr>
          <w:rFonts w:ascii="Tahoma" w:hAnsi="Tahoma" w:cs="Tahoma"/>
          <w:sz w:val="20"/>
          <w:szCs w:val="20"/>
        </w:rPr>
        <w:t>koji iznosi 500 €/m</w:t>
      </w:r>
      <w:r w:rsidR="00523A8C" w:rsidRPr="007C064D">
        <w:rPr>
          <w:rFonts w:ascii="Tahoma" w:hAnsi="Tahoma" w:cs="Tahoma"/>
          <w:sz w:val="20"/>
          <w:szCs w:val="20"/>
          <w:vertAlign w:val="superscript"/>
        </w:rPr>
        <w:t>2</w:t>
      </w:r>
      <w:r w:rsidR="00931232">
        <w:rPr>
          <w:rFonts w:ascii="Tahoma" w:hAnsi="Tahoma" w:cs="Tahoma"/>
          <w:sz w:val="20"/>
          <w:szCs w:val="20"/>
        </w:rPr>
        <w:t>.</w:t>
      </w:r>
      <w:r w:rsidR="004437AB">
        <w:rPr>
          <w:rFonts w:ascii="Tahoma" w:hAnsi="Tahoma" w:cs="Tahoma"/>
          <w:sz w:val="20"/>
          <w:szCs w:val="20"/>
        </w:rPr>
        <w:t xml:space="preserve"> </w:t>
      </w:r>
      <w:r w:rsidR="0060366C">
        <w:rPr>
          <w:rFonts w:ascii="Tahoma" w:hAnsi="Tahoma" w:cs="Tahoma"/>
          <w:sz w:val="20"/>
          <w:szCs w:val="20"/>
        </w:rPr>
        <w:t xml:space="preserve">Okvirna jedinična cijena mjera energetske obnove </w:t>
      </w:r>
      <w:r w:rsidR="00BE65F8">
        <w:rPr>
          <w:rFonts w:ascii="Tahoma" w:hAnsi="Tahoma" w:cs="Tahoma"/>
          <w:sz w:val="20"/>
          <w:szCs w:val="20"/>
        </w:rPr>
        <w:t xml:space="preserve">je identična cijenama za zgrade neoštećene u potresu. </w:t>
      </w:r>
    </w:p>
    <w:p w14:paraId="0BA7CB5D" w14:textId="7ED86CEB" w:rsidR="004949CA" w:rsidRPr="008F7B22" w:rsidRDefault="004949CA" w:rsidP="008F7B22">
      <w:pPr>
        <w:jc w:val="both"/>
        <w:rPr>
          <w:rFonts w:ascii="Tahoma" w:hAnsi="Tahoma" w:cs="Tahoma"/>
          <w:sz w:val="20"/>
          <w:szCs w:val="20"/>
        </w:rPr>
      </w:pPr>
      <w:r w:rsidRPr="008F7B22">
        <w:rPr>
          <w:rFonts w:ascii="Tahoma" w:hAnsi="Tahoma" w:cs="Tahoma"/>
          <w:sz w:val="20"/>
          <w:szCs w:val="20"/>
        </w:rPr>
        <w:lastRenderedPageBreak/>
        <w:t>Za VSZ  koje jesu oštećene u potresima, Provedbeni model kojim bi se ovo omogućilo opisan je u poglavlju 9.</w:t>
      </w:r>
    </w:p>
    <w:p w14:paraId="3F316C74" w14:textId="2CDA18B6" w:rsidR="004949CA" w:rsidRPr="008F7B22" w:rsidRDefault="0C3F4C7D" w:rsidP="008F7B22">
      <w:pPr>
        <w:jc w:val="both"/>
        <w:rPr>
          <w:rFonts w:ascii="Tahoma" w:hAnsi="Tahoma" w:cs="Tahoma"/>
          <w:sz w:val="20"/>
          <w:szCs w:val="20"/>
        </w:rPr>
      </w:pPr>
      <w:r w:rsidRPr="76C5F75F">
        <w:rPr>
          <w:rFonts w:ascii="Tahoma" w:hAnsi="Tahoma" w:cs="Tahoma"/>
          <w:sz w:val="20"/>
          <w:szCs w:val="20"/>
        </w:rPr>
        <w:t xml:space="preserve">Minimalna obvezna tehnička dokumentacija za prijavu na javne pozive/program kreditiranja u slučaju sveobuhvatne obnove je </w:t>
      </w:r>
      <w:r w:rsidRPr="76C5F75F">
        <w:rPr>
          <w:rFonts w:ascii="Tahoma" w:hAnsi="Tahoma" w:cs="Tahoma"/>
          <w:b/>
          <w:bCs/>
          <w:sz w:val="20"/>
          <w:szCs w:val="20"/>
        </w:rPr>
        <w:t>glavni projekt</w:t>
      </w:r>
      <w:r w:rsidRPr="76C5F75F">
        <w:rPr>
          <w:rFonts w:ascii="Tahoma" w:hAnsi="Tahoma" w:cs="Tahoma"/>
          <w:sz w:val="20"/>
          <w:szCs w:val="20"/>
        </w:rPr>
        <w:t xml:space="preserve"> i ostali potrebni projekti i elaborati sa sažetkom analize postojećeg stanja. Sadržaj projekata i ostala dokumentacija detaljno se propisuje javnim pozivima/programu kreditiranja, a uključuje, primjerice, fotodokumentaciju postojećeg stanja: dokaze o prebivalištu, vlasništvu i zakonitosti građevine, troškovnik opreme i radova s jasno i zasebno iskazanim troškovima vezanim uz zadovoljavanje zdravih unutarnjih klimatskih uvjeta, zaštite od požara i rizika povezanih s djelovanjem potresa; analizu postojećeg stanja zgrade s prijedlogom mjera i procjenom investicije po pitanju zdravih unutarnjih klimatskih uvjeta, mehaničke otpornosti i stabilnosti, posebice potresne otpornosti zgrade te sigurnosti u slučaju požara.</w:t>
      </w:r>
    </w:p>
    <w:p w14:paraId="661A646C" w14:textId="77777777" w:rsidR="004949CA" w:rsidRDefault="004949CA" w:rsidP="004949CA">
      <w:pPr>
        <w:pStyle w:val="Naslov20"/>
      </w:pPr>
      <w:bookmarkStart w:id="158" w:name="_Toc72408482"/>
      <w:bookmarkStart w:id="159" w:name="_Toc81836290"/>
      <w:bookmarkStart w:id="160" w:name="_Toc83912062"/>
      <w:r>
        <w:t>Ostale prihvatljive aktivnosti</w:t>
      </w:r>
      <w:bookmarkEnd w:id="158"/>
      <w:bookmarkEnd w:id="159"/>
      <w:bookmarkEnd w:id="160"/>
    </w:p>
    <w:p w14:paraId="1D8B6B9D" w14:textId="5F1677D8" w:rsidR="004949CA" w:rsidRPr="00E04457" w:rsidRDefault="0C3F4C7D" w:rsidP="00E04457">
      <w:pPr>
        <w:jc w:val="both"/>
        <w:rPr>
          <w:rFonts w:ascii="Tahoma" w:hAnsi="Tahoma" w:cs="Tahoma"/>
          <w:b/>
          <w:bCs/>
          <w:sz w:val="20"/>
          <w:szCs w:val="20"/>
          <w:lang w:eastAsia="hr-HR"/>
        </w:rPr>
      </w:pPr>
      <w:r w:rsidRPr="00E04457">
        <w:rPr>
          <w:rFonts w:ascii="Tahoma" w:hAnsi="Tahoma" w:cs="Tahoma"/>
          <w:sz w:val="20"/>
          <w:szCs w:val="20"/>
          <w:lang w:eastAsia="hr-HR"/>
        </w:rPr>
        <w:t xml:space="preserve">U ostale prihvatljive aktivnosti ulaze aktivnosti vezane uz pripremu, vođenje i nadzor provedbe projekata, ali i neke tehničke mjere koje ne pripadaju u mjere energetske obnove već u mjere zelene gradnje, koje doprinose suzbijanju i prilagodbi klimatskim promjenama (mjere zelene infrastrukture) te mjere za osiguranje pristupačnosti. Ove mjere prikazuje </w:t>
      </w:r>
      <w:r w:rsidR="004949CA" w:rsidRPr="00E04457">
        <w:rPr>
          <w:rFonts w:ascii="Tahoma" w:hAnsi="Tahoma" w:cs="Tahoma"/>
          <w:sz w:val="20"/>
          <w:szCs w:val="20"/>
          <w:lang w:eastAsia="hr-HR"/>
        </w:rPr>
        <w:fldChar w:fldCharType="begin"/>
      </w:r>
      <w:r w:rsidR="004949CA" w:rsidRPr="00E04457">
        <w:rPr>
          <w:rFonts w:ascii="Tahoma" w:hAnsi="Tahoma" w:cs="Tahoma"/>
          <w:sz w:val="20"/>
          <w:szCs w:val="20"/>
          <w:lang w:eastAsia="hr-HR"/>
        </w:rPr>
        <w:instrText xml:space="preserve"> REF _Ref80958184 \h </w:instrText>
      </w:r>
      <w:r w:rsidR="00E04457" w:rsidRPr="00E04457">
        <w:rPr>
          <w:rFonts w:ascii="Tahoma" w:hAnsi="Tahoma" w:cs="Tahoma"/>
          <w:sz w:val="20"/>
          <w:szCs w:val="20"/>
          <w:lang w:eastAsia="hr-HR"/>
        </w:rPr>
        <w:instrText xml:space="preserve"> \* MERGEFORMAT </w:instrText>
      </w:r>
      <w:r w:rsidR="004949CA" w:rsidRPr="00E04457">
        <w:rPr>
          <w:rFonts w:ascii="Tahoma" w:hAnsi="Tahoma" w:cs="Tahoma"/>
          <w:sz w:val="20"/>
          <w:szCs w:val="20"/>
          <w:lang w:eastAsia="hr-HR"/>
        </w:rPr>
      </w:r>
      <w:r w:rsidR="004949CA" w:rsidRPr="00E04457">
        <w:rPr>
          <w:rFonts w:ascii="Tahoma" w:hAnsi="Tahoma" w:cs="Tahoma"/>
          <w:sz w:val="20"/>
          <w:szCs w:val="20"/>
          <w:lang w:eastAsia="hr-HR"/>
        </w:rPr>
        <w:fldChar w:fldCharType="separate"/>
      </w:r>
      <w:r w:rsidR="35D074BF" w:rsidRPr="00575AF9">
        <w:rPr>
          <w:rFonts w:ascii="Tahoma" w:hAnsi="Tahoma" w:cs="Tahoma"/>
          <w:sz w:val="20"/>
          <w:szCs w:val="20"/>
        </w:rPr>
        <w:t xml:space="preserve">Tablica </w:t>
      </w:r>
      <w:r w:rsidR="35D074BF" w:rsidRPr="00575AF9">
        <w:rPr>
          <w:rFonts w:ascii="Tahoma" w:hAnsi="Tahoma" w:cs="Tahoma"/>
          <w:noProof/>
          <w:sz w:val="20"/>
          <w:szCs w:val="20"/>
        </w:rPr>
        <w:t>8</w:t>
      </w:r>
      <w:r w:rsidR="35D074BF" w:rsidRPr="00575AF9">
        <w:rPr>
          <w:rFonts w:ascii="Tahoma" w:hAnsi="Tahoma" w:cs="Tahoma"/>
          <w:noProof/>
          <w:sz w:val="20"/>
          <w:szCs w:val="20"/>
        </w:rPr>
        <w:noBreakHyphen/>
        <w:t>3</w:t>
      </w:r>
      <w:r w:rsidR="004949CA" w:rsidRPr="00E04457">
        <w:rPr>
          <w:rFonts w:ascii="Tahoma" w:hAnsi="Tahoma" w:cs="Tahoma"/>
          <w:sz w:val="20"/>
          <w:szCs w:val="20"/>
          <w:lang w:eastAsia="hr-HR"/>
        </w:rPr>
        <w:fldChar w:fldCharType="end"/>
      </w:r>
      <w:r w:rsidRPr="00E04457">
        <w:rPr>
          <w:rFonts w:ascii="Tahoma" w:hAnsi="Tahoma" w:cs="Tahoma"/>
          <w:sz w:val="20"/>
          <w:szCs w:val="20"/>
          <w:lang w:eastAsia="hr-HR"/>
        </w:rPr>
        <w:t xml:space="preserve">, koja također prikazuje i okvirne cijene temeljene na trenutnim tržišnim vrijednostima. </w:t>
      </w:r>
      <w:r w:rsidRPr="00E04457">
        <w:rPr>
          <w:rFonts w:ascii="Tahoma" w:hAnsi="Tahoma" w:cs="Tahoma"/>
          <w:b/>
          <w:bCs/>
          <w:sz w:val="20"/>
          <w:szCs w:val="20"/>
          <w:lang w:eastAsia="hr-HR"/>
        </w:rPr>
        <w:t>Ovdje navedene aktivnost</w:t>
      </w:r>
      <w:r w:rsidR="05782025" w:rsidRPr="00E04457">
        <w:rPr>
          <w:rFonts w:ascii="Tahoma" w:hAnsi="Tahoma" w:cs="Tahoma"/>
          <w:b/>
          <w:bCs/>
          <w:sz w:val="20"/>
          <w:szCs w:val="20"/>
          <w:lang w:eastAsia="hr-HR"/>
        </w:rPr>
        <w:t>i</w:t>
      </w:r>
      <w:r w:rsidRPr="00E04457">
        <w:rPr>
          <w:rFonts w:ascii="Tahoma" w:hAnsi="Tahoma" w:cs="Tahoma"/>
          <w:b/>
          <w:bCs/>
          <w:sz w:val="20"/>
          <w:szCs w:val="20"/>
          <w:lang w:eastAsia="hr-HR"/>
        </w:rPr>
        <w:t xml:space="preserve"> i cijene su okvirne, u javnim pozivima se utvrđuju vrijednosti prihvatljivog troška  za sve potrebne aktivnosti</w:t>
      </w:r>
      <w:r w:rsidRPr="00E04457">
        <w:rPr>
          <w:rFonts w:ascii="Tahoma" w:hAnsi="Tahoma" w:cs="Tahoma"/>
          <w:sz w:val="20"/>
          <w:szCs w:val="20"/>
          <w:lang w:eastAsia="hr-HR"/>
        </w:rPr>
        <w:t>.</w:t>
      </w:r>
    </w:p>
    <w:p w14:paraId="08AC1A7D" w14:textId="70961636" w:rsidR="004949CA" w:rsidRPr="00A270EB" w:rsidRDefault="004949CA" w:rsidP="004949CA">
      <w:pPr>
        <w:pStyle w:val="Opisslike"/>
      </w:pPr>
      <w:bookmarkStart w:id="161" w:name="_Ref80958184"/>
      <w:bookmarkStart w:id="162" w:name="_Toc72332617"/>
      <w:bookmarkStart w:id="163" w:name="_Toc84240505"/>
      <w:r w:rsidRPr="00A270EB">
        <w:t xml:space="preserve">Tablica </w:t>
      </w:r>
      <w:r w:rsidRPr="00A270EB">
        <w:rPr>
          <w:noProof/>
        </w:rPr>
        <w:fldChar w:fldCharType="begin"/>
      </w:r>
      <w:r w:rsidRPr="00A270EB">
        <w:rPr>
          <w:noProof/>
        </w:rPr>
        <w:instrText xml:space="preserve"> STYLEREF 1 \s </w:instrText>
      </w:r>
      <w:r w:rsidRPr="00A270EB">
        <w:rPr>
          <w:noProof/>
        </w:rPr>
        <w:fldChar w:fldCharType="separate"/>
      </w:r>
      <w:r w:rsidR="00575AF9">
        <w:rPr>
          <w:noProof/>
        </w:rPr>
        <w:t>8</w:t>
      </w:r>
      <w:r w:rsidRPr="00A270EB">
        <w:rPr>
          <w:noProof/>
        </w:rPr>
        <w:fldChar w:fldCharType="end"/>
      </w:r>
      <w:r w:rsidRPr="00A270EB">
        <w:noBreakHyphen/>
      </w:r>
      <w:r>
        <w:fldChar w:fldCharType="begin"/>
      </w:r>
      <w:r>
        <w:instrText>SEQ Tablica \* ARABIC \s 1</w:instrText>
      </w:r>
      <w:r>
        <w:fldChar w:fldCharType="separate"/>
      </w:r>
      <w:r w:rsidR="00575AF9">
        <w:rPr>
          <w:noProof/>
        </w:rPr>
        <w:t>3</w:t>
      </w:r>
      <w:r>
        <w:fldChar w:fldCharType="end"/>
      </w:r>
      <w:bookmarkEnd w:id="161"/>
      <w:r w:rsidRPr="00A270EB">
        <w:t>: Ostale prihvatljive aktivnosti u sklopu Programa</w:t>
      </w:r>
      <w:bookmarkEnd w:id="162"/>
      <w:bookmarkEnd w:id="163"/>
      <w:r w:rsidRPr="00A270EB">
        <w:t xml:space="preserve"> </w:t>
      </w:r>
    </w:p>
    <w:tbl>
      <w:tblPr>
        <w:tblStyle w:val="Svijetlatablicareetke12"/>
        <w:tblW w:w="5000" w:type="pct"/>
        <w:tblLook w:val="04A0" w:firstRow="1" w:lastRow="0" w:firstColumn="1" w:lastColumn="0" w:noHBand="0" w:noVBand="1"/>
      </w:tblPr>
      <w:tblGrid>
        <w:gridCol w:w="413"/>
        <w:gridCol w:w="4599"/>
        <w:gridCol w:w="1912"/>
        <w:gridCol w:w="2138"/>
      </w:tblGrid>
      <w:tr w:rsidR="004949CA" w:rsidRPr="00E04457" w14:paraId="0323C773" w14:textId="77777777" w:rsidTr="638C4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1" w:type="pct"/>
            <w:gridSpan w:val="2"/>
          </w:tcPr>
          <w:p w14:paraId="4D80E694" w14:textId="77777777" w:rsidR="004949CA" w:rsidRPr="00E04457" w:rsidRDefault="004949CA" w:rsidP="00331A63">
            <w:pPr>
              <w:rPr>
                <w:rFonts w:ascii="Tahoma" w:hAnsi="Tahoma" w:cs="Tahoma"/>
                <w:sz w:val="18"/>
                <w:szCs w:val="18"/>
                <w:lang w:eastAsia="hr-HR"/>
              </w:rPr>
            </w:pPr>
            <w:r w:rsidRPr="00E04457">
              <w:rPr>
                <w:rFonts w:ascii="Tahoma" w:hAnsi="Tahoma" w:cs="Tahoma"/>
                <w:sz w:val="18"/>
                <w:szCs w:val="18"/>
                <w:lang w:eastAsia="hr-HR"/>
              </w:rPr>
              <w:t>Naziv aktivnosti</w:t>
            </w:r>
          </w:p>
        </w:tc>
        <w:tc>
          <w:tcPr>
            <w:tcW w:w="1057" w:type="pct"/>
          </w:tcPr>
          <w:p w14:paraId="651AAC4E" w14:textId="77777777" w:rsidR="004949CA" w:rsidRPr="00E04457"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prosječna tržišna cijena</w:t>
            </w:r>
          </w:p>
        </w:tc>
        <w:tc>
          <w:tcPr>
            <w:tcW w:w="1182" w:type="pct"/>
          </w:tcPr>
          <w:p w14:paraId="4B5125CB" w14:textId="77777777" w:rsidR="004949CA" w:rsidRPr="00E04457"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prihvatljivih troškova i/ili bespovratnih sredstava po pojedinačnom projektnom prijedlogu </w:t>
            </w:r>
          </w:p>
        </w:tc>
      </w:tr>
      <w:tr w:rsidR="004949CA" w:rsidRPr="00E04457" w14:paraId="0458CDE6"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0EA72D12"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1</w:t>
            </w:r>
          </w:p>
        </w:tc>
        <w:tc>
          <w:tcPr>
            <w:tcW w:w="2540" w:type="pct"/>
          </w:tcPr>
          <w:p w14:paraId="3E78B80D" w14:textId="19FF4C68" w:rsidR="004949CA" w:rsidRPr="00E04457" w:rsidRDefault="0C3F4C7D"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638C4C38">
              <w:rPr>
                <w:rFonts w:ascii="Tahoma" w:hAnsi="Tahoma" w:cs="Tahoma"/>
                <w:sz w:val="18"/>
                <w:szCs w:val="18"/>
                <w:lang w:eastAsia="hr-HR"/>
              </w:rPr>
              <w:t>Glavni projekt, ostali projekti, uključujući sve mape i elaborate</w:t>
            </w:r>
            <w:r w:rsidR="6E6656ED" w:rsidRPr="638C4C38">
              <w:rPr>
                <w:rFonts w:ascii="Tahoma" w:hAnsi="Tahoma" w:cs="Tahoma"/>
                <w:sz w:val="18"/>
                <w:szCs w:val="18"/>
                <w:lang w:eastAsia="hr-HR"/>
              </w:rPr>
              <w:t>, kontrol</w:t>
            </w:r>
            <w:r w:rsidR="36257F10" w:rsidRPr="638C4C38">
              <w:rPr>
                <w:rFonts w:ascii="Tahoma" w:hAnsi="Tahoma" w:cs="Tahoma"/>
                <w:sz w:val="18"/>
                <w:szCs w:val="18"/>
                <w:lang w:eastAsia="hr-HR"/>
              </w:rPr>
              <w:t>a</w:t>
            </w:r>
            <w:r w:rsidR="6E6656ED" w:rsidRPr="638C4C38">
              <w:rPr>
                <w:rFonts w:ascii="Tahoma" w:hAnsi="Tahoma" w:cs="Tahoma"/>
                <w:sz w:val="18"/>
                <w:szCs w:val="18"/>
                <w:lang w:eastAsia="hr-HR"/>
              </w:rPr>
              <w:t xml:space="preserve"> projekta </w:t>
            </w:r>
            <w:r w:rsidR="06756637" w:rsidRPr="638C4C38">
              <w:rPr>
                <w:rFonts w:ascii="Tahoma" w:hAnsi="Tahoma" w:cs="Tahoma"/>
                <w:sz w:val="18"/>
                <w:szCs w:val="18"/>
                <w:lang w:eastAsia="hr-HR"/>
              </w:rPr>
              <w:t xml:space="preserve">od strane </w:t>
            </w:r>
            <w:proofErr w:type="spellStart"/>
            <w:r w:rsidR="06756637" w:rsidRPr="638C4C38">
              <w:rPr>
                <w:rFonts w:ascii="Tahoma" w:hAnsi="Tahoma" w:cs="Tahoma"/>
                <w:sz w:val="18"/>
                <w:szCs w:val="18"/>
                <w:lang w:eastAsia="hr-HR"/>
              </w:rPr>
              <w:t>revidenta</w:t>
            </w:r>
            <w:proofErr w:type="spellEnd"/>
            <w:r w:rsidR="06756637" w:rsidRPr="638C4C38">
              <w:rPr>
                <w:rFonts w:ascii="Tahoma" w:hAnsi="Tahoma" w:cs="Tahoma"/>
                <w:sz w:val="18"/>
                <w:szCs w:val="18"/>
                <w:lang w:eastAsia="hr-HR"/>
              </w:rPr>
              <w:t xml:space="preserve"> </w:t>
            </w:r>
            <w:r w:rsidR="6E6656ED" w:rsidRPr="638C4C38">
              <w:rPr>
                <w:rFonts w:ascii="Tahoma" w:hAnsi="Tahoma" w:cs="Tahoma"/>
                <w:sz w:val="18"/>
                <w:szCs w:val="18"/>
                <w:lang w:eastAsia="hr-HR"/>
              </w:rPr>
              <w:t xml:space="preserve">ako je primjenjivo prema </w:t>
            </w:r>
            <w:r w:rsidR="3D60DF64" w:rsidRPr="638C4C38">
              <w:rPr>
                <w:rFonts w:ascii="Tahoma" w:hAnsi="Tahoma" w:cs="Tahoma"/>
                <w:sz w:val="18"/>
                <w:szCs w:val="18"/>
                <w:lang w:eastAsia="hr-HR"/>
              </w:rPr>
              <w:t xml:space="preserve">važećim </w:t>
            </w:r>
            <w:r w:rsidR="6E6656ED" w:rsidRPr="638C4C38">
              <w:rPr>
                <w:rFonts w:ascii="Tahoma" w:hAnsi="Tahoma" w:cs="Tahoma"/>
                <w:sz w:val="18"/>
                <w:szCs w:val="18"/>
                <w:lang w:eastAsia="hr-HR"/>
              </w:rPr>
              <w:t>propisima</w:t>
            </w:r>
          </w:p>
        </w:tc>
        <w:tc>
          <w:tcPr>
            <w:tcW w:w="1057" w:type="pct"/>
          </w:tcPr>
          <w:p w14:paraId="38399128"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7% investicije</w:t>
            </w:r>
          </w:p>
        </w:tc>
        <w:tc>
          <w:tcPr>
            <w:tcW w:w="1182" w:type="pct"/>
          </w:tcPr>
          <w:p w14:paraId="13827B7C" w14:textId="0810709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jedinični iznos prihvatljivih troškova iznosi 70 </w:t>
            </w:r>
            <w:r w:rsidR="0063313B">
              <w:rPr>
                <w:rFonts w:ascii="Tahoma" w:hAnsi="Tahoma" w:cs="Tahoma"/>
                <w:sz w:val="18"/>
                <w:szCs w:val="18"/>
                <w:lang w:eastAsia="hr-HR"/>
              </w:rPr>
              <w:t>kuna</w:t>
            </w:r>
            <w:r w:rsidRPr="00E04457">
              <w:rPr>
                <w:rFonts w:ascii="Tahoma" w:hAnsi="Tahoma" w:cs="Tahoma"/>
                <w:sz w:val="18"/>
                <w:szCs w:val="18"/>
                <w:lang w:eastAsia="hr-HR"/>
              </w:rPr>
              <w:t xml:space="preserve">/m² GBP </w:t>
            </w:r>
          </w:p>
          <w:p w14:paraId="0FC7F042" w14:textId="4A9C2906"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bespovratnih sredstava koji može biti dodijeljen za ovu aktivnost ukupno iznosi 500.000 </w:t>
            </w:r>
            <w:r w:rsidR="0063313B">
              <w:rPr>
                <w:rFonts w:ascii="Tahoma" w:hAnsi="Tahoma" w:cs="Tahoma"/>
                <w:sz w:val="18"/>
                <w:szCs w:val="18"/>
                <w:lang w:eastAsia="hr-HR"/>
              </w:rPr>
              <w:t>kuna</w:t>
            </w:r>
            <w:r w:rsidRPr="00E04457">
              <w:rPr>
                <w:rFonts w:ascii="Tahoma" w:hAnsi="Tahoma" w:cs="Tahoma"/>
                <w:sz w:val="18"/>
                <w:szCs w:val="18"/>
                <w:lang w:eastAsia="hr-HR"/>
              </w:rPr>
              <w:t>, a ne smije iznositi više od 7% ukupne vrijednosti radova</w:t>
            </w:r>
          </w:p>
        </w:tc>
      </w:tr>
      <w:tr w:rsidR="004949CA" w:rsidRPr="00E04457" w14:paraId="6D384559"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5DDFB3B0"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2</w:t>
            </w:r>
          </w:p>
        </w:tc>
        <w:tc>
          <w:tcPr>
            <w:tcW w:w="2540" w:type="pct"/>
          </w:tcPr>
          <w:p w14:paraId="69FD5D8C"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Analiza postojećeg stanja zgrade u skladu s čl. 45. st. 15. Tehničkog propisa o racionalnoj uporabi energije i toplinskoj zaštiti u zgradama</w:t>
            </w:r>
          </w:p>
        </w:tc>
        <w:tc>
          <w:tcPr>
            <w:tcW w:w="1057" w:type="pct"/>
          </w:tcPr>
          <w:p w14:paraId="37FAB24E"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uključeno u (1) </w:t>
            </w:r>
          </w:p>
        </w:tc>
        <w:tc>
          <w:tcPr>
            <w:tcW w:w="1182" w:type="pct"/>
          </w:tcPr>
          <w:p w14:paraId="27972A23" w14:textId="77777777" w:rsidR="004949CA" w:rsidRPr="00E04457"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w:t>
            </w:r>
          </w:p>
        </w:tc>
      </w:tr>
      <w:tr w:rsidR="004949CA" w:rsidRPr="00E04457" w14:paraId="71CC6C25"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22C94FDC"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3</w:t>
            </w:r>
          </w:p>
        </w:tc>
        <w:tc>
          <w:tcPr>
            <w:tcW w:w="2540" w:type="pct"/>
          </w:tcPr>
          <w:p w14:paraId="20096D63"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Analiza primjene visokoučinkovitih alternativnih sustava u mjeri u kojoj je to tehnički, funkcionalno i gospodarski izvedivo u skladu s čl.45. st. 12 Tehničkog propisa o racionalnoj uporabi energije i toplinskoj zaštiti u zgradama</w:t>
            </w:r>
          </w:p>
        </w:tc>
        <w:tc>
          <w:tcPr>
            <w:tcW w:w="1057" w:type="pct"/>
          </w:tcPr>
          <w:p w14:paraId="24B626DD"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uključeno u (1)</w:t>
            </w:r>
          </w:p>
        </w:tc>
        <w:tc>
          <w:tcPr>
            <w:tcW w:w="1182" w:type="pct"/>
          </w:tcPr>
          <w:p w14:paraId="7AFDB317" w14:textId="77777777" w:rsidR="004949CA" w:rsidRPr="00E04457"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w:t>
            </w:r>
          </w:p>
        </w:tc>
      </w:tr>
      <w:tr w:rsidR="004949CA" w:rsidRPr="00E04457" w14:paraId="7DF892EE"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4A5DABC5"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4</w:t>
            </w:r>
          </w:p>
        </w:tc>
        <w:tc>
          <w:tcPr>
            <w:tcW w:w="2540" w:type="pct"/>
          </w:tcPr>
          <w:p w14:paraId="069386CD"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Energetski pregled i certifikat prije obnove </w:t>
            </w:r>
          </w:p>
        </w:tc>
        <w:tc>
          <w:tcPr>
            <w:tcW w:w="1057" w:type="pct"/>
          </w:tcPr>
          <w:p w14:paraId="64A71EF7" w14:textId="63DEA47E"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15 </w:t>
            </w:r>
            <w:r w:rsidR="0063313B">
              <w:rPr>
                <w:rFonts w:ascii="Tahoma" w:hAnsi="Tahoma" w:cs="Tahoma"/>
                <w:sz w:val="18"/>
                <w:szCs w:val="18"/>
                <w:lang w:eastAsia="hr-HR"/>
              </w:rPr>
              <w:t>kuna</w:t>
            </w:r>
            <w:r w:rsidRPr="00E04457">
              <w:rPr>
                <w:rFonts w:ascii="Tahoma" w:hAnsi="Tahoma" w:cs="Tahoma"/>
                <w:sz w:val="18"/>
                <w:szCs w:val="18"/>
                <w:lang w:eastAsia="hr-HR"/>
              </w:rPr>
              <w:t xml:space="preserve">/m² </w:t>
            </w:r>
            <w:proofErr w:type="spellStart"/>
            <w:r w:rsidRPr="00E04457">
              <w:rPr>
                <w:rFonts w:ascii="Tahoma" w:hAnsi="Tahoma" w:cs="Tahoma"/>
                <w:sz w:val="18"/>
                <w:szCs w:val="18"/>
                <w:lang w:eastAsia="hr-HR"/>
              </w:rPr>
              <w:t>A</w:t>
            </w:r>
            <w:r w:rsidRPr="00E04457">
              <w:rPr>
                <w:rFonts w:ascii="Tahoma" w:hAnsi="Tahoma" w:cs="Tahoma"/>
                <w:sz w:val="18"/>
                <w:szCs w:val="18"/>
                <w:vertAlign w:val="subscript"/>
                <w:lang w:eastAsia="hr-HR"/>
              </w:rPr>
              <w:t>k</w:t>
            </w:r>
            <w:proofErr w:type="spellEnd"/>
          </w:p>
        </w:tc>
        <w:tc>
          <w:tcPr>
            <w:tcW w:w="1182" w:type="pct"/>
          </w:tcPr>
          <w:p w14:paraId="7A5BE848" w14:textId="6F596364"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jedinični iznos prihvatljivih troškova unutar ove aktivnosti iznosi 15,00 </w:t>
            </w:r>
            <w:r w:rsidR="0063313B">
              <w:rPr>
                <w:rFonts w:ascii="Tahoma" w:hAnsi="Tahoma" w:cs="Tahoma"/>
                <w:sz w:val="18"/>
                <w:szCs w:val="18"/>
                <w:lang w:eastAsia="hr-HR"/>
              </w:rPr>
              <w:t>kuna</w:t>
            </w:r>
            <w:r w:rsidRPr="00E04457">
              <w:rPr>
                <w:rFonts w:ascii="Tahoma" w:hAnsi="Tahoma" w:cs="Tahoma"/>
                <w:sz w:val="18"/>
                <w:szCs w:val="18"/>
                <w:lang w:eastAsia="hr-HR"/>
              </w:rPr>
              <w:t xml:space="preserve">/m² </w:t>
            </w:r>
            <w:proofErr w:type="spellStart"/>
            <w:r w:rsidRPr="00E04457">
              <w:rPr>
                <w:rFonts w:ascii="Tahoma" w:hAnsi="Tahoma" w:cs="Tahoma"/>
                <w:sz w:val="18"/>
                <w:szCs w:val="18"/>
                <w:lang w:eastAsia="hr-HR"/>
              </w:rPr>
              <w:t>Ak</w:t>
            </w:r>
            <w:proofErr w:type="spellEnd"/>
            <w:r w:rsidRPr="00E04457">
              <w:rPr>
                <w:rFonts w:ascii="Tahoma" w:hAnsi="Tahoma" w:cs="Tahoma"/>
                <w:sz w:val="18"/>
                <w:szCs w:val="18"/>
                <w:lang w:eastAsia="hr-HR"/>
              </w:rPr>
              <w:t xml:space="preserve"> </w:t>
            </w:r>
          </w:p>
          <w:p w14:paraId="32EB0A58"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bespovratnih sredstava koji može biti dodijeljen </w:t>
            </w:r>
            <w:r w:rsidRPr="00E04457">
              <w:rPr>
                <w:rFonts w:ascii="Tahoma" w:hAnsi="Tahoma" w:cs="Tahoma"/>
                <w:sz w:val="18"/>
                <w:szCs w:val="18"/>
                <w:lang w:eastAsia="hr-HR"/>
              </w:rPr>
              <w:lastRenderedPageBreak/>
              <w:t>za ovu aktivnost ukupno iznosi 50.000,00 kuna.</w:t>
            </w:r>
          </w:p>
        </w:tc>
      </w:tr>
      <w:tr w:rsidR="004949CA" w:rsidRPr="00E04457" w14:paraId="29977AEC"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4429A0CF"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lastRenderedPageBreak/>
              <w:t>5</w:t>
            </w:r>
          </w:p>
        </w:tc>
        <w:tc>
          <w:tcPr>
            <w:tcW w:w="2540" w:type="pct"/>
          </w:tcPr>
          <w:p w14:paraId="0C0AF1DB"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Elaborat zaštite od požara</w:t>
            </w:r>
          </w:p>
        </w:tc>
        <w:tc>
          <w:tcPr>
            <w:tcW w:w="1057" w:type="pct"/>
          </w:tcPr>
          <w:p w14:paraId="1AED0B12" w14:textId="5346E990"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15.000 </w:t>
            </w:r>
            <w:r w:rsidR="0063313B">
              <w:rPr>
                <w:rFonts w:ascii="Tahoma" w:hAnsi="Tahoma" w:cs="Tahoma"/>
                <w:sz w:val="18"/>
                <w:szCs w:val="18"/>
                <w:lang w:eastAsia="hr-HR"/>
              </w:rPr>
              <w:t>kuna</w:t>
            </w:r>
            <w:r w:rsidRPr="00E04457">
              <w:rPr>
                <w:rFonts w:ascii="Tahoma" w:hAnsi="Tahoma" w:cs="Tahoma"/>
                <w:sz w:val="18"/>
                <w:szCs w:val="18"/>
                <w:lang w:eastAsia="hr-HR"/>
              </w:rPr>
              <w:t xml:space="preserve"> </w:t>
            </w:r>
          </w:p>
          <w:p w14:paraId="12CE60F9"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uključeno u (1)</w:t>
            </w:r>
          </w:p>
        </w:tc>
        <w:tc>
          <w:tcPr>
            <w:tcW w:w="1182" w:type="pct"/>
          </w:tcPr>
          <w:p w14:paraId="126AE31D" w14:textId="77777777" w:rsidR="004949CA" w:rsidRPr="00E04457"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w:t>
            </w:r>
          </w:p>
        </w:tc>
      </w:tr>
      <w:tr w:rsidR="004949CA" w:rsidRPr="00E04457" w14:paraId="66BC38E2"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335369BB"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6</w:t>
            </w:r>
          </w:p>
        </w:tc>
        <w:tc>
          <w:tcPr>
            <w:tcW w:w="2540" w:type="pct"/>
          </w:tcPr>
          <w:p w14:paraId="220BF50A"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Stručni nadzor radova, projektantski nadzor, koordinator zaštite na radu</w:t>
            </w:r>
          </w:p>
        </w:tc>
        <w:tc>
          <w:tcPr>
            <w:tcW w:w="1057" w:type="pct"/>
          </w:tcPr>
          <w:p w14:paraId="3FC44CC3"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3% investicije</w:t>
            </w:r>
          </w:p>
        </w:tc>
        <w:tc>
          <w:tcPr>
            <w:tcW w:w="1182" w:type="pct"/>
          </w:tcPr>
          <w:p w14:paraId="68C19D4B"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Maksimalni iznos bespovratnih sredstava koji može biti dodijeljen za ovu aktivnost ukupno iznosi 220.000 kuna, a ne smije iznositi više od 3% ukupne vrijednosti radova</w:t>
            </w:r>
          </w:p>
        </w:tc>
      </w:tr>
      <w:tr w:rsidR="004949CA" w:rsidRPr="00E04457" w14:paraId="65867D84"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5DDF32DB"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7</w:t>
            </w:r>
          </w:p>
        </w:tc>
        <w:tc>
          <w:tcPr>
            <w:tcW w:w="2540" w:type="pct"/>
          </w:tcPr>
          <w:p w14:paraId="56AEE5F5"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Energetski pregled i certifikat nakon obnove</w:t>
            </w:r>
          </w:p>
        </w:tc>
        <w:tc>
          <w:tcPr>
            <w:tcW w:w="1057" w:type="pct"/>
          </w:tcPr>
          <w:p w14:paraId="0EB8BF26" w14:textId="627B2B6D"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10 </w:t>
            </w:r>
            <w:r w:rsidR="0063313B">
              <w:rPr>
                <w:rFonts w:ascii="Tahoma" w:hAnsi="Tahoma" w:cs="Tahoma"/>
                <w:sz w:val="18"/>
                <w:szCs w:val="18"/>
                <w:lang w:eastAsia="hr-HR"/>
              </w:rPr>
              <w:t>kuna</w:t>
            </w:r>
            <w:r w:rsidRPr="00E04457">
              <w:rPr>
                <w:rFonts w:ascii="Tahoma" w:hAnsi="Tahoma" w:cs="Tahoma"/>
                <w:sz w:val="18"/>
                <w:szCs w:val="18"/>
                <w:lang w:eastAsia="hr-HR"/>
              </w:rPr>
              <w:t>/m²Ak</w:t>
            </w:r>
          </w:p>
          <w:p w14:paraId="6089D1CB"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c>
          <w:tcPr>
            <w:tcW w:w="1182" w:type="pct"/>
          </w:tcPr>
          <w:p w14:paraId="22425368" w14:textId="2A3DE6F1"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bespovratnih sredstava koji može biti dodijeljen za ovu aktivnost ukupno iznosi 21.000 </w:t>
            </w:r>
            <w:r w:rsidR="0063313B">
              <w:rPr>
                <w:rFonts w:ascii="Tahoma" w:hAnsi="Tahoma" w:cs="Tahoma"/>
                <w:sz w:val="18"/>
                <w:szCs w:val="18"/>
                <w:lang w:eastAsia="hr-HR"/>
              </w:rPr>
              <w:t>kuna</w:t>
            </w:r>
          </w:p>
        </w:tc>
      </w:tr>
      <w:tr w:rsidR="004949CA" w:rsidRPr="00E04457" w14:paraId="0F5F7055"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738A2EC1"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8</w:t>
            </w:r>
          </w:p>
        </w:tc>
        <w:tc>
          <w:tcPr>
            <w:tcW w:w="2540" w:type="pct"/>
          </w:tcPr>
          <w:p w14:paraId="1730A158"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Upravljanje projektom (samo u slučaju agregiranja projekata)</w:t>
            </w:r>
          </w:p>
        </w:tc>
        <w:tc>
          <w:tcPr>
            <w:tcW w:w="1057" w:type="pct"/>
          </w:tcPr>
          <w:p w14:paraId="3FAA70EE"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0,6% investicije</w:t>
            </w:r>
          </w:p>
        </w:tc>
        <w:tc>
          <w:tcPr>
            <w:tcW w:w="1182" w:type="pct"/>
          </w:tcPr>
          <w:p w14:paraId="08BB2AA3" w14:textId="23D16612"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bespovratnih sredstava koji može biti dodijeljen za ovu aktivnost ukupno iznosi 10.000 </w:t>
            </w:r>
            <w:r w:rsidR="0063313B">
              <w:rPr>
                <w:rFonts w:ascii="Tahoma" w:hAnsi="Tahoma" w:cs="Tahoma"/>
                <w:sz w:val="18"/>
                <w:szCs w:val="18"/>
                <w:lang w:eastAsia="hr-HR"/>
              </w:rPr>
              <w:t>kuna</w:t>
            </w:r>
          </w:p>
        </w:tc>
      </w:tr>
      <w:tr w:rsidR="004949CA" w:rsidRPr="00E04457" w14:paraId="2325DFD8"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5B651A6F"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9</w:t>
            </w:r>
          </w:p>
        </w:tc>
        <w:tc>
          <w:tcPr>
            <w:tcW w:w="2540" w:type="pct"/>
          </w:tcPr>
          <w:p w14:paraId="50B3FEF2"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Upravljanje projektom i administracija</w:t>
            </w:r>
          </w:p>
        </w:tc>
        <w:tc>
          <w:tcPr>
            <w:tcW w:w="1057" w:type="pct"/>
          </w:tcPr>
          <w:p w14:paraId="244875F6"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c>
          <w:tcPr>
            <w:tcW w:w="1182" w:type="pct"/>
          </w:tcPr>
          <w:p w14:paraId="0AE2355D" w14:textId="3345950F"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bespovratnih sredstava koji može biti dodijeljen za ovu aktivnost ukupno iznosi 40.000 </w:t>
            </w:r>
            <w:r w:rsidR="0063313B">
              <w:rPr>
                <w:rFonts w:ascii="Tahoma" w:hAnsi="Tahoma" w:cs="Tahoma"/>
                <w:sz w:val="18"/>
                <w:szCs w:val="18"/>
                <w:lang w:eastAsia="hr-HR"/>
              </w:rPr>
              <w:t>kuna</w:t>
            </w:r>
          </w:p>
        </w:tc>
      </w:tr>
      <w:tr w:rsidR="004949CA" w:rsidRPr="00E04457" w14:paraId="1096E356" w14:textId="77777777" w:rsidTr="638C4C38">
        <w:tc>
          <w:tcPr>
            <w:cnfStyle w:val="001000000000" w:firstRow="0" w:lastRow="0" w:firstColumn="1" w:lastColumn="0" w:oddVBand="0" w:evenVBand="0" w:oddHBand="0" w:evenHBand="0" w:firstRowFirstColumn="0" w:firstRowLastColumn="0" w:lastRowFirstColumn="0" w:lastRowLastColumn="0"/>
            <w:tcW w:w="221" w:type="pct"/>
          </w:tcPr>
          <w:p w14:paraId="7F0917A3"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b w:val="0"/>
                <w:bCs w:val="0"/>
                <w:sz w:val="18"/>
                <w:szCs w:val="18"/>
                <w:lang w:eastAsia="hr-HR"/>
              </w:rPr>
              <w:t>10</w:t>
            </w:r>
          </w:p>
        </w:tc>
        <w:tc>
          <w:tcPr>
            <w:tcW w:w="2540" w:type="pct"/>
          </w:tcPr>
          <w:p w14:paraId="1ADCD4EF"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Promidžba i vidljivost projekta</w:t>
            </w:r>
          </w:p>
        </w:tc>
        <w:tc>
          <w:tcPr>
            <w:tcW w:w="1057" w:type="pct"/>
          </w:tcPr>
          <w:p w14:paraId="24E18D19"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c>
          <w:tcPr>
            <w:tcW w:w="1182" w:type="pct"/>
          </w:tcPr>
          <w:p w14:paraId="7BEEBB5D" w14:textId="0F743618"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Maksimalni iznos bespovratnih sredstava koji može biti dodijeljen za ovu aktivnost ukupno iznosi 20.000 </w:t>
            </w:r>
            <w:r w:rsidR="0063313B">
              <w:rPr>
                <w:rFonts w:ascii="Tahoma" w:hAnsi="Tahoma" w:cs="Tahoma"/>
                <w:sz w:val="18"/>
                <w:szCs w:val="18"/>
                <w:lang w:eastAsia="hr-HR"/>
              </w:rPr>
              <w:t>kuna</w:t>
            </w:r>
          </w:p>
        </w:tc>
      </w:tr>
    </w:tbl>
    <w:p w14:paraId="079C1A29" w14:textId="77777777" w:rsidR="004949CA" w:rsidRPr="00E04457" w:rsidRDefault="004949CA" w:rsidP="00E04457">
      <w:pPr>
        <w:jc w:val="both"/>
        <w:rPr>
          <w:rFonts w:ascii="Tahoma" w:hAnsi="Tahoma" w:cs="Tahoma"/>
          <w:sz w:val="20"/>
          <w:szCs w:val="20"/>
          <w:lang w:eastAsia="hr-HR"/>
        </w:rPr>
      </w:pPr>
      <w:r w:rsidRPr="00E04457">
        <w:rPr>
          <w:rFonts w:ascii="Tahoma" w:hAnsi="Tahoma" w:cs="Tahoma"/>
          <w:sz w:val="20"/>
          <w:szCs w:val="20"/>
          <w:lang w:eastAsia="hr-HR"/>
        </w:rPr>
        <w:t xml:space="preserve">Za sve navedene aktivnosti Programom se predviđa </w:t>
      </w:r>
      <w:r w:rsidRPr="00E04457">
        <w:rPr>
          <w:rFonts w:ascii="Tahoma" w:hAnsi="Tahoma" w:cs="Tahoma"/>
          <w:b/>
          <w:bCs/>
          <w:sz w:val="20"/>
          <w:szCs w:val="20"/>
          <w:lang w:eastAsia="hr-HR"/>
        </w:rPr>
        <w:t>stopa sufinanciranja od 85%</w:t>
      </w:r>
      <w:r w:rsidRPr="00E04457">
        <w:rPr>
          <w:rFonts w:ascii="Tahoma" w:hAnsi="Tahoma" w:cs="Tahoma"/>
          <w:sz w:val="20"/>
          <w:szCs w:val="20"/>
          <w:lang w:eastAsia="hr-HR"/>
        </w:rPr>
        <w:t xml:space="preserve">. U slučaju VSZ oštećenih u potresu, stopa sufinanciranja ovih aktivnosti je </w:t>
      </w:r>
      <w:r w:rsidRPr="00E04457">
        <w:rPr>
          <w:rFonts w:ascii="Tahoma" w:hAnsi="Tahoma" w:cs="Tahoma"/>
          <w:b/>
          <w:bCs/>
          <w:sz w:val="20"/>
          <w:szCs w:val="20"/>
          <w:lang w:eastAsia="hr-HR"/>
        </w:rPr>
        <w:t>100%</w:t>
      </w:r>
      <w:r w:rsidRPr="00E04457">
        <w:rPr>
          <w:rFonts w:ascii="Tahoma" w:hAnsi="Tahoma" w:cs="Tahoma"/>
          <w:sz w:val="20"/>
          <w:szCs w:val="20"/>
          <w:lang w:eastAsia="hr-HR"/>
        </w:rPr>
        <w:t>.</w:t>
      </w:r>
    </w:p>
    <w:p w14:paraId="0AA4480D" w14:textId="3F36073A" w:rsidR="004949CA" w:rsidRPr="00E04457" w:rsidRDefault="0C3F4C7D" w:rsidP="00E04457">
      <w:pPr>
        <w:jc w:val="both"/>
        <w:rPr>
          <w:rFonts w:ascii="Tahoma" w:hAnsi="Tahoma" w:cs="Tahoma"/>
          <w:sz w:val="20"/>
          <w:szCs w:val="20"/>
          <w:lang w:eastAsia="hr-HR"/>
        </w:rPr>
      </w:pPr>
      <w:r w:rsidRPr="00E04457">
        <w:rPr>
          <w:rFonts w:ascii="Tahoma" w:hAnsi="Tahoma" w:cs="Tahoma"/>
          <w:sz w:val="20"/>
          <w:szCs w:val="20"/>
          <w:lang w:eastAsia="hr-HR"/>
        </w:rPr>
        <w:t>Obnova zgrada treba se iskoristiti za poticanje i drugih mjera koje će donijeti kako ener</w:t>
      </w:r>
      <w:r w:rsidR="4ABC70E3">
        <w:rPr>
          <w:rFonts w:ascii="Tahoma" w:hAnsi="Tahoma" w:cs="Tahoma"/>
          <w:sz w:val="20"/>
          <w:szCs w:val="20"/>
          <w:lang w:eastAsia="hr-HR"/>
        </w:rPr>
        <w:t>g</w:t>
      </w:r>
      <w:r w:rsidRPr="00E04457">
        <w:rPr>
          <w:rFonts w:ascii="Tahoma" w:hAnsi="Tahoma" w:cs="Tahoma"/>
          <w:sz w:val="20"/>
          <w:szCs w:val="20"/>
          <w:lang w:eastAsia="hr-HR"/>
        </w:rPr>
        <w:t>etsko-klim</w:t>
      </w:r>
      <w:r w:rsidR="4ABC70E3">
        <w:rPr>
          <w:rFonts w:ascii="Tahoma" w:hAnsi="Tahoma" w:cs="Tahoma"/>
          <w:sz w:val="20"/>
          <w:szCs w:val="20"/>
          <w:lang w:eastAsia="hr-HR"/>
        </w:rPr>
        <w:t>a</w:t>
      </w:r>
      <w:r w:rsidRPr="00E04457">
        <w:rPr>
          <w:rFonts w:ascii="Tahoma" w:hAnsi="Tahoma" w:cs="Tahoma"/>
          <w:sz w:val="20"/>
          <w:szCs w:val="20"/>
          <w:lang w:eastAsia="hr-HR"/>
        </w:rPr>
        <w:t xml:space="preserve">tske tako i društvene koristi. Primjerice, mjera primjene elementa pristupačnosti za svladavanje visinskih razlika u skladu s </w:t>
      </w:r>
      <w:r w:rsidRPr="003C5F70">
        <w:rPr>
          <w:rFonts w:ascii="Tahoma" w:hAnsi="Tahoma" w:cs="Tahoma"/>
          <w:i/>
          <w:iCs/>
          <w:sz w:val="20"/>
          <w:szCs w:val="20"/>
          <w:lang w:eastAsia="hr-HR"/>
        </w:rPr>
        <w:t xml:space="preserve">Pravilnikom o osiguranju pristupačnosti građevina osobama s invaliditetom i smanjenom pokretljivosti </w:t>
      </w:r>
      <w:r w:rsidRPr="00E04457">
        <w:rPr>
          <w:rFonts w:ascii="Tahoma" w:hAnsi="Tahoma" w:cs="Tahoma"/>
          <w:sz w:val="20"/>
          <w:szCs w:val="20"/>
          <w:lang w:eastAsia="hr-HR"/>
        </w:rPr>
        <w:t xml:space="preserve">već je bila prihvatljiva i u prijašnjim javnim pozivima pa je treba i dalje primjenjivati. Što se tiče primjena elemenata zelene infrastrukture na samoj zgradi (npr. zelene fasade ili krovovi), takve mjere su također prihvatljive kao i mjere zelene infrastrukture na građevnoj čestici VSZ. </w:t>
      </w:r>
      <w:r w:rsidR="004949CA" w:rsidRPr="00E04457">
        <w:rPr>
          <w:rFonts w:ascii="Tahoma" w:hAnsi="Tahoma" w:cs="Tahoma"/>
          <w:sz w:val="20"/>
          <w:szCs w:val="20"/>
          <w:lang w:eastAsia="hr-HR"/>
        </w:rPr>
        <w:fldChar w:fldCharType="begin"/>
      </w:r>
      <w:r w:rsidR="004949CA" w:rsidRPr="00E04457">
        <w:rPr>
          <w:rFonts w:ascii="Tahoma" w:hAnsi="Tahoma" w:cs="Tahoma"/>
          <w:sz w:val="20"/>
          <w:szCs w:val="20"/>
          <w:lang w:eastAsia="hr-HR"/>
        </w:rPr>
        <w:instrText xml:space="preserve"> REF _Ref80959466 \h </w:instrText>
      </w:r>
      <w:r w:rsidR="00E04457" w:rsidRPr="00E04457">
        <w:rPr>
          <w:rFonts w:ascii="Tahoma" w:hAnsi="Tahoma" w:cs="Tahoma"/>
          <w:sz w:val="20"/>
          <w:szCs w:val="20"/>
          <w:lang w:eastAsia="hr-HR"/>
        </w:rPr>
        <w:instrText xml:space="preserve"> \* MERGEFORMAT </w:instrText>
      </w:r>
      <w:r w:rsidR="004949CA" w:rsidRPr="00E04457">
        <w:rPr>
          <w:rFonts w:ascii="Tahoma" w:hAnsi="Tahoma" w:cs="Tahoma"/>
          <w:sz w:val="20"/>
          <w:szCs w:val="20"/>
          <w:lang w:eastAsia="hr-HR"/>
        </w:rPr>
      </w:r>
      <w:r w:rsidR="004949CA" w:rsidRPr="00E04457">
        <w:rPr>
          <w:rFonts w:ascii="Tahoma" w:hAnsi="Tahoma" w:cs="Tahoma"/>
          <w:sz w:val="20"/>
          <w:szCs w:val="20"/>
          <w:lang w:eastAsia="hr-HR"/>
        </w:rPr>
        <w:fldChar w:fldCharType="separate"/>
      </w:r>
      <w:r w:rsidR="35D074BF" w:rsidRPr="00575AF9">
        <w:rPr>
          <w:rFonts w:ascii="Tahoma" w:hAnsi="Tahoma" w:cs="Tahoma"/>
          <w:sz w:val="20"/>
          <w:szCs w:val="20"/>
        </w:rPr>
        <w:t xml:space="preserve">Tablica </w:t>
      </w:r>
      <w:r w:rsidR="35D074BF" w:rsidRPr="00575AF9">
        <w:rPr>
          <w:rFonts w:ascii="Tahoma" w:hAnsi="Tahoma" w:cs="Tahoma"/>
          <w:noProof/>
          <w:sz w:val="20"/>
          <w:szCs w:val="20"/>
        </w:rPr>
        <w:t>8</w:t>
      </w:r>
      <w:r w:rsidR="35D074BF" w:rsidRPr="00575AF9">
        <w:rPr>
          <w:rFonts w:ascii="Tahoma" w:hAnsi="Tahoma" w:cs="Tahoma"/>
          <w:noProof/>
          <w:sz w:val="20"/>
          <w:szCs w:val="20"/>
        </w:rPr>
        <w:noBreakHyphen/>
        <w:t>4</w:t>
      </w:r>
      <w:r w:rsidR="004949CA" w:rsidRPr="00E04457">
        <w:rPr>
          <w:rFonts w:ascii="Tahoma" w:hAnsi="Tahoma" w:cs="Tahoma"/>
          <w:sz w:val="20"/>
          <w:szCs w:val="20"/>
          <w:lang w:eastAsia="hr-HR"/>
        </w:rPr>
        <w:fldChar w:fldCharType="end"/>
      </w:r>
      <w:r w:rsidRPr="00E04457">
        <w:rPr>
          <w:rFonts w:ascii="Tahoma" w:hAnsi="Tahoma" w:cs="Tahoma"/>
          <w:sz w:val="20"/>
          <w:szCs w:val="20"/>
          <w:lang w:eastAsia="hr-HR"/>
        </w:rPr>
        <w:t xml:space="preserve"> prikazuje ove mjere.</w:t>
      </w:r>
    </w:p>
    <w:p w14:paraId="5B6CD431" w14:textId="401021A4" w:rsidR="004949CA" w:rsidRDefault="004949CA" w:rsidP="004949CA">
      <w:pPr>
        <w:pStyle w:val="Opisslike"/>
      </w:pPr>
      <w:bookmarkStart w:id="164" w:name="_Ref80959466"/>
      <w:bookmarkStart w:id="165" w:name="_Toc84240506"/>
      <w:r w:rsidRPr="00F34A88">
        <w:t xml:space="preserve">Tablica </w:t>
      </w:r>
      <w:r>
        <w:rPr>
          <w:noProof/>
        </w:rPr>
        <w:fldChar w:fldCharType="begin"/>
      </w:r>
      <w:r>
        <w:rPr>
          <w:noProof/>
        </w:rPr>
        <w:instrText xml:space="preserve"> STYLEREF 1 \s </w:instrText>
      </w:r>
      <w:r>
        <w:rPr>
          <w:noProof/>
        </w:rPr>
        <w:fldChar w:fldCharType="separate"/>
      </w:r>
      <w:r w:rsidR="00575AF9">
        <w:rPr>
          <w:noProof/>
        </w:rPr>
        <w:t>8</w:t>
      </w:r>
      <w:r>
        <w:rPr>
          <w:noProof/>
        </w:rPr>
        <w:fldChar w:fldCharType="end"/>
      </w:r>
      <w:r>
        <w:noBreakHyphen/>
      </w:r>
      <w:r>
        <w:fldChar w:fldCharType="begin"/>
      </w:r>
      <w:r>
        <w:instrText>SEQ Tablica \* ARABIC \s 1</w:instrText>
      </w:r>
      <w:r>
        <w:fldChar w:fldCharType="separate"/>
      </w:r>
      <w:r w:rsidR="00575AF9">
        <w:rPr>
          <w:noProof/>
        </w:rPr>
        <w:t>4</w:t>
      </w:r>
      <w:r>
        <w:fldChar w:fldCharType="end"/>
      </w:r>
      <w:bookmarkEnd w:id="164"/>
      <w:r w:rsidRPr="00F34A88">
        <w:t xml:space="preserve">: </w:t>
      </w:r>
      <w:r>
        <w:t>Okvirne mjere osiguravanja pristupačnosti i zelene infrastrukture koje se provode u sklopu Programa</w:t>
      </w:r>
      <w:bookmarkEnd w:id="165"/>
      <w:r>
        <w:t xml:space="preserve"> </w:t>
      </w:r>
    </w:p>
    <w:tbl>
      <w:tblPr>
        <w:tblStyle w:val="Svijetlatablicareetke12"/>
        <w:tblW w:w="5000" w:type="pct"/>
        <w:tblLook w:val="04A0" w:firstRow="1" w:lastRow="0" w:firstColumn="1" w:lastColumn="0" w:noHBand="0" w:noVBand="1"/>
      </w:tblPr>
      <w:tblGrid>
        <w:gridCol w:w="2640"/>
        <w:gridCol w:w="4138"/>
        <w:gridCol w:w="2284"/>
      </w:tblGrid>
      <w:tr w:rsidR="004949CA" w:rsidRPr="00E04457" w14:paraId="1069A0A1" w14:textId="77777777" w:rsidTr="76C5F7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 w:type="pct"/>
          </w:tcPr>
          <w:p w14:paraId="791541DA" w14:textId="77777777" w:rsidR="004949CA" w:rsidRPr="00E04457" w:rsidRDefault="004949CA" w:rsidP="00331A63">
            <w:pPr>
              <w:rPr>
                <w:rFonts w:ascii="Tahoma" w:hAnsi="Tahoma" w:cs="Tahoma"/>
                <w:sz w:val="18"/>
                <w:szCs w:val="18"/>
                <w:lang w:eastAsia="hr-HR"/>
              </w:rPr>
            </w:pPr>
            <w:r w:rsidRPr="00E04457">
              <w:rPr>
                <w:rFonts w:ascii="Tahoma" w:hAnsi="Tahoma" w:cs="Tahoma"/>
                <w:sz w:val="18"/>
                <w:szCs w:val="18"/>
                <w:lang w:eastAsia="hr-HR"/>
              </w:rPr>
              <w:t>Naziv mjere</w:t>
            </w:r>
          </w:p>
        </w:tc>
        <w:tc>
          <w:tcPr>
            <w:tcW w:w="2283" w:type="pct"/>
          </w:tcPr>
          <w:p w14:paraId="3F8C312C" w14:textId="77777777" w:rsidR="004949CA" w:rsidRPr="00E04457"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Opis mjere (minimalni</w:t>
            </w:r>
            <w:r w:rsidRPr="00E04457">
              <w:rPr>
                <w:rFonts w:ascii="Tahoma" w:hAnsi="Tahoma" w:cs="Tahoma"/>
                <w:color w:val="00B050"/>
                <w:sz w:val="18"/>
                <w:szCs w:val="18"/>
                <w:lang w:eastAsia="hr-HR"/>
              </w:rPr>
              <w:t xml:space="preserve"> </w:t>
            </w:r>
            <w:r w:rsidRPr="00E04457">
              <w:rPr>
                <w:rFonts w:ascii="Tahoma" w:hAnsi="Tahoma" w:cs="Tahoma"/>
                <w:sz w:val="18"/>
                <w:szCs w:val="18"/>
                <w:lang w:eastAsia="hr-HR"/>
              </w:rPr>
              <w:t>tehnički uvjeti prihvatljivosti opreme i radova)</w:t>
            </w:r>
          </w:p>
        </w:tc>
        <w:tc>
          <w:tcPr>
            <w:tcW w:w="1260" w:type="pct"/>
          </w:tcPr>
          <w:p w14:paraId="00472AE6" w14:textId="77777777" w:rsidR="004949CA" w:rsidRPr="00E04457"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lang w:eastAsia="hr-HR"/>
              </w:rPr>
            </w:pPr>
            <w:r w:rsidRPr="00E04457">
              <w:rPr>
                <w:rFonts w:ascii="Tahoma" w:hAnsi="Tahoma" w:cs="Tahoma"/>
                <w:sz w:val="18"/>
                <w:szCs w:val="18"/>
                <w:lang w:eastAsia="hr-HR"/>
              </w:rPr>
              <w:t xml:space="preserve">Okvirna jedinična cijena </w:t>
            </w:r>
          </w:p>
          <w:p w14:paraId="454558BA" w14:textId="77777777" w:rsidR="004949CA" w:rsidRPr="00E04457"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r>
      <w:tr w:rsidR="004949CA" w:rsidRPr="00E04457" w14:paraId="731F18B2" w14:textId="77777777" w:rsidTr="76C5F75F">
        <w:tc>
          <w:tcPr>
            <w:cnfStyle w:val="001000000000" w:firstRow="0" w:lastRow="0" w:firstColumn="1" w:lastColumn="0" w:oddVBand="0" w:evenVBand="0" w:oddHBand="0" w:evenHBand="0" w:firstRowFirstColumn="0" w:firstRowLastColumn="0" w:lastRowFirstColumn="0" w:lastRowLastColumn="0"/>
            <w:tcW w:w="1457" w:type="pct"/>
          </w:tcPr>
          <w:p w14:paraId="3F44062C" w14:textId="77777777" w:rsidR="004949CA" w:rsidRPr="00E04457" w:rsidRDefault="004949CA" w:rsidP="00331A63">
            <w:pPr>
              <w:rPr>
                <w:rFonts w:ascii="Tahoma" w:hAnsi="Tahoma" w:cs="Tahoma"/>
                <w:b w:val="0"/>
                <w:bCs w:val="0"/>
                <w:sz w:val="18"/>
                <w:szCs w:val="18"/>
                <w:lang w:eastAsia="hr-HR"/>
              </w:rPr>
            </w:pPr>
            <w:r w:rsidRPr="00E04457">
              <w:rPr>
                <w:rFonts w:ascii="Tahoma" w:hAnsi="Tahoma" w:cs="Tahoma"/>
                <w:sz w:val="18"/>
                <w:szCs w:val="18"/>
                <w:lang w:eastAsia="hr-HR"/>
              </w:rPr>
              <w:t>provedba novih/rekonstrukcija postojećih elemenata pristupačnosti</w:t>
            </w:r>
          </w:p>
        </w:tc>
        <w:tc>
          <w:tcPr>
            <w:tcW w:w="2283" w:type="pct"/>
          </w:tcPr>
          <w:p w14:paraId="2FAD9CFA"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eastAsia="Tahoma" w:hAnsi="Tahoma" w:cs="Tahoma"/>
                <w:color w:val="00B050"/>
                <w:sz w:val="18"/>
                <w:szCs w:val="18"/>
              </w:rPr>
            </w:pPr>
            <w:r w:rsidRPr="00E04457">
              <w:rPr>
                <w:rFonts w:ascii="Tahoma" w:hAnsi="Tahoma" w:cs="Tahoma"/>
                <w:sz w:val="18"/>
                <w:szCs w:val="18"/>
                <w:lang w:eastAsia="hr-HR"/>
              </w:rPr>
              <w:t xml:space="preserve">nužan uvjet je izrada glavnog projekta  te </w:t>
            </w:r>
            <w:r w:rsidRPr="00E04457">
              <w:rPr>
                <w:rFonts w:ascii="Tahoma" w:eastAsia="Tahoma" w:hAnsi="Tahoma" w:cs="Tahoma"/>
                <w:sz w:val="18"/>
                <w:szCs w:val="18"/>
              </w:rPr>
              <w:t>ukoliko je primjenjivo ishoditi potrebne dozvole i/ili potvrde, odnosno suglasnosti</w:t>
            </w:r>
          </w:p>
        </w:tc>
        <w:tc>
          <w:tcPr>
            <w:tcW w:w="1260" w:type="pct"/>
          </w:tcPr>
          <w:p w14:paraId="326BF83D" w14:textId="784C01CB"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prema projektnoj dokumentaciji, najviše 450.000 </w:t>
            </w:r>
            <w:r w:rsidR="0063313B">
              <w:rPr>
                <w:rFonts w:ascii="Tahoma" w:hAnsi="Tahoma" w:cs="Tahoma"/>
                <w:sz w:val="18"/>
                <w:szCs w:val="18"/>
                <w:lang w:eastAsia="hr-HR"/>
              </w:rPr>
              <w:t>kuna</w:t>
            </w:r>
            <w:r w:rsidRPr="00E04457">
              <w:rPr>
                <w:rFonts w:ascii="Tahoma" w:hAnsi="Tahoma" w:cs="Tahoma"/>
                <w:sz w:val="18"/>
                <w:szCs w:val="18"/>
                <w:lang w:eastAsia="hr-HR"/>
              </w:rPr>
              <w:t xml:space="preserve"> po stubišnoj vertikali (ulazu)</w:t>
            </w:r>
          </w:p>
        </w:tc>
      </w:tr>
      <w:tr w:rsidR="004949CA" w:rsidRPr="00E04457" w14:paraId="29BA61C4" w14:textId="77777777" w:rsidTr="76C5F75F">
        <w:tc>
          <w:tcPr>
            <w:cnfStyle w:val="001000000000" w:firstRow="0" w:lastRow="0" w:firstColumn="1" w:lastColumn="0" w:oddVBand="0" w:evenVBand="0" w:oddHBand="0" w:evenHBand="0" w:firstRowFirstColumn="0" w:firstRowLastColumn="0" w:lastRowFirstColumn="0" w:lastRowLastColumn="0"/>
            <w:tcW w:w="1457" w:type="pct"/>
            <w:vMerge w:val="restart"/>
          </w:tcPr>
          <w:p w14:paraId="509195EF" w14:textId="77777777" w:rsidR="004949CA" w:rsidRDefault="004949CA" w:rsidP="00331A63">
            <w:pPr>
              <w:rPr>
                <w:rFonts w:ascii="Tahoma" w:hAnsi="Tahoma" w:cs="Tahoma"/>
                <w:sz w:val="18"/>
                <w:szCs w:val="18"/>
                <w:lang w:eastAsia="hr-HR"/>
              </w:rPr>
            </w:pPr>
            <w:r w:rsidRPr="00E04457">
              <w:rPr>
                <w:rFonts w:ascii="Tahoma" w:hAnsi="Tahoma" w:cs="Tahoma"/>
                <w:sz w:val="18"/>
                <w:szCs w:val="18"/>
                <w:lang w:eastAsia="hr-HR"/>
              </w:rPr>
              <w:t>mjere ugradnje elemenata zelene infrastrukture</w:t>
            </w:r>
          </w:p>
          <w:p w14:paraId="0B034B05" w14:textId="19BC156D" w:rsidR="00334140" w:rsidRPr="00334140" w:rsidRDefault="00334140" w:rsidP="00B16443">
            <w:pPr>
              <w:rPr>
                <w:rFonts w:ascii="Tahoma" w:eastAsia="Tahoma" w:hAnsi="Tahoma" w:cs="Tahoma"/>
                <w:b w:val="0"/>
                <w:bCs w:val="0"/>
                <w:i/>
                <w:iCs/>
                <w:sz w:val="18"/>
                <w:szCs w:val="18"/>
                <w:lang w:eastAsia="hr-HR"/>
              </w:rPr>
            </w:pPr>
          </w:p>
        </w:tc>
        <w:tc>
          <w:tcPr>
            <w:tcW w:w="2283" w:type="pct"/>
          </w:tcPr>
          <w:p w14:paraId="4E8F72CC" w14:textId="77777777" w:rsidR="004949CA" w:rsidRDefault="004949CA" w:rsidP="00331A63">
            <w:pPr>
              <w:cnfStyle w:val="000000000000" w:firstRow="0" w:lastRow="0" w:firstColumn="0" w:lastColumn="0" w:oddVBand="0" w:evenVBand="0" w:oddHBand="0" w:evenHBand="0" w:firstRowFirstColumn="0" w:firstRowLastColumn="0" w:lastRowFirstColumn="0" w:lastRowLastColumn="0"/>
              <w:rPr>
                <w:rFonts w:ascii="Tahoma" w:eastAsia="Tahoma" w:hAnsi="Tahoma" w:cs="Tahoma"/>
                <w:sz w:val="18"/>
                <w:szCs w:val="18"/>
              </w:rPr>
            </w:pPr>
            <w:r w:rsidRPr="00E04457">
              <w:rPr>
                <w:rFonts w:ascii="Tahoma" w:hAnsi="Tahoma" w:cs="Tahoma"/>
                <w:sz w:val="18"/>
                <w:szCs w:val="18"/>
                <w:lang w:eastAsia="hr-HR"/>
              </w:rPr>
              <w:t xml:space="preserve">nužan uvjet za ugradnju elemenata zelene infrastrukture je izrada glavnog projekta </w:t>
            </w:r>
            <w:r w:rsidR="00B16443" w:rsidRPr="00E04457">
              <w:rPr>
                <w:rFonts w:ascii="Tahoma" w:hAnsi="Tahoma" w:cs="Tahoma"/>
                <w:sz w:val="18"/>
                <w:szCs w:val="18"/>
                <w:lang w:eastAsia="hr-HR"/>
              </w:rPr>
              <w:t xml:space="preserve">te </w:t>
            </w:r>
            <w:r w:rsidR="00B16443" w:rsidRPr="00E04457">
              <w:rPr>
                <w:rFonts w:ascii="Tahoma" w:eastAsia="Tahoma" w:hAnsi="Tahoma" w:cs="Tahoma"/>
                <w:sz w:val="18"/>
                <w:szCs w:val="18"/>
              </w:rPr>
              <w:t>ukoliko je primjenjivo ishoditi potrebne dozvole i/ili potvrde, odnosno suglasnosti</w:t>
            </w:r>
          </w:p>
          <w:p w14:paraId="1861B717" w14:textId="492C9651" w:rsidR="00B16443" w:rsidRPr="00E04457" w:rsidRDefault="00B16443" w:rsidP="00331A63">
            <w:pPr>
              <w:cnfStyle w:val="000000000000" w:firstRow="0" w:lastRow="0" w:firstColumn="0" w:lastColumn="0" w:oddVBand="0" w:evenVBand="0" w:oddHBand="0" w:evenHBand="0" w:firstRowFirstColumn="0" w:firstRowLastColumn="0" w:lastRowFirstColumn="0" w:lastRowLastColumn="0"/>
              <w:rPr>
                <w:rFonts w:ascii="Tahoma" w:hAnsi="Tahoma" w:cs="Tahoma"/>
                <w:szCs w:val="20"/>
              </w:rPr>
            </w:pPr>
          </w:p>
        </w:tc>
        <w:tc>
          <w:tcPr>
            <w:tcW w:w="1260" w:type="pct"/>
          </w:tcPr>
          <w:p w14:paraId="77B9B0A3"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
        </w:tc>
      </w:tr>
      <w:tr w:rsidR="004949CA" w:rsidRPr="00E04457" w14:paraId="1BADBBBC" w14:textId="77777777" w:rsidTr="76C5F75F">
        <w:tc>
          <w:tcPr>
            <w:cnfStyle w:val="001000000000" w:firstRow="0" w:lastRow="0" w:firstColumn="1" w:lastColumn="0" w:oddVBand="0" w:evenVBand="0" w:oddHBand="0" w:evenHBand="0" w:firstRowFirstColumn="0" w:firstRowLastColumn="0" w:lastRowFirstColumn="0" w:lastRowLastColumn="0"/>
            <w:tcW w:w="1457" w:type="pct"/>
            <w:vMerge/>
          </w:tcPr>
          <w:p w14:paraId="6E455C1D" w14:textId="77777777" w:rsidR="004949CA" w:rsidRPr="00E04457" w:rsidRDefault="004949CA" w:rsidP="00331A63">
            <w:pPr>
              <w:rPr>
                <w:rFonts w:ascii="Tahoma" w:hAnsi="Tahoma" w:cs="Tahoma"/>
                <w:sz w:val="18"/>
                <w:szCs w:val="18"/>
                <w:lang w:eastAsia="hr-HR"/>
              </w:rPr>
            </w:pPr>
          </w:p>
        </w:tc>
        <w:tc>
          <w:tcPr>
            <w:tcW w:w="2283" w:type="pct"/>
          </w:tcPr>
          <w:p w14:paraId="75EBC269"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izvedba zelenih krovova zgrada</w:t>
            </w:r>
          </w:p>
        </w:tc>
        <w:tc>
          <w:tcPr>
            <w:tcW w:w="1260" w:type="pct"/>
          </w:tcPr>
          <w:p w14:paraId="708E3C57" w14:textId="70BACC7E"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500 </w:t>
            </w:r>
            <w:r w:rsidR="0063313B">
              <w:rPr>
                <w:rFonts w:ascii="Tahoma" w:hAnsi="Tahoma" w:cs="Tahoma"/>
                <w:sz w:val="18"/>
                <w:szCs w:val="18"/>
                <w:lang w:eastAsia="hr-HR"/>
              </w:rPr>
              <w:t>kuna</w:t>
            </w:r>
            <w:r w:rsidRPr="00E04457">
              <w:rPr>
                <w:rFonts w:ascii="Tahoma" w:hAnsi="Tahoma" w:cs="Tahoma"/>
                <w:sz w:val="18"/>
                <w:szCs w:val="18"/>
                <w:lang w:eastAsia="hr-HR"/>
              </w:rPr>
              <w:t>/m² ozelenjenog krova</w:t>
            </w:r>
          </w:p>
        </w:tc>
      </w:tr>
      <w:tr w:rsidR="004949CA" w:rsidRPr="00E04457" w14:paraId="3453713B" w14:textId="77777777" w:rsidTr="76C5F75F">
        <w:trPr>
          <w:trHeight w:val="638"/>
        </w:trPr>
        <w:tc>
          <w:tcPr>
            <w:cnfStyle w:val="001000000000" w:firstRow="0" w:lastRow="0" w:firstColumn="1" w:lastColumn="0" w:oddVBand="0" w:evenVBand="0" w:oddHBand="0" w:evenHBand="0" w:firstRowFirstColumn="0" w:firstRowLastColumn="0" w:lastRowFirstColumn="0" w:lastRowLastColumn="0"/>
            <w:tcW w:w="1457" w:type="pct"/>
            <w:vMerge/>
          </w:tcPr>
          <w:p w14:paraId="7307E4F3" w14:textId="77777777" w:rsidR="004949CA" w:rsidRPr="00E04457" w:rsidRDefault="004949CA" w:rsidP="00331A63">
            <w:pPr>
              <w:rPr>
                <w:rFonts w:ascii="Tahoma" w:hAnsi="Tahoma" w:cs="Tahoma"/>
                <w:sz w:val="18"/>
                <w:szCs w:val="18"/>
                <w:lang w:eastAsia="hr-HR"/>
              </w:rPr>
            </w:pPr>
          </w:p>
        </w:tc>
        <w:tc>
          <w:tcPr>
            <w:tcW w:w="2283" w:type="pct"/>
          </w:tcPr>
          <w:p w14:paraId="10E72D53"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izvedba ozelenjenih pročelja zgrada</w:t>
            </w:r>
          </w:p>
        </w:tc>
        <w:tc>
          <w:tcPr>
            <w:tcW w:w="1260" w:type="pct"/>
          </w:tcPr>
          <w:p w14:paraId="0FC28420" w14:textId="4943F582"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 xml:space="preserve">4.000 – 12.000 </w:t>
            </w:r>
            <w:r w:rsidR="0063313B">
              <w:rPr>
                <w:rFonts w:ascii="Tahoma" w:hAnsi="Tahoma" w:cs="Tahoma"/>
                <w:sz w:val="18"/>
                <w:szCs w:val="18"/>
                <w:lang w:eastAsia="hr-HR"/>
              </w:rPr>
              <w:t>kuna</w:t>
            </w:r>
            <w:r w:rsidRPr="00E04457">
              <w:rPr>
                <w:rFonts w:ascii="Tahoma" w:hAnsi="Tahoma" w:cs="Tahoma"/>
                <w:sz w:val="18"/>
                <w:szCs w:val="18"/>
                <w:lang w:eastAsia="hr-HR"/>
              </w:rPr>
              <w:t>/m² ozelenjenog pročelja</w:t>
            </w:r>
          </w:p>
        </w:tc>
      </w:tr>
      <w:tr w:rsidR="004949CA" w:rsidRPr="00E04457" w14:paraId="264FC316" w14:textId="77777777" w:rsidTr="76C5F75F">
        <w:trPr>
          <w:trHeight w:val="495"/>
        </w:trPr>
        <w:tc>
          <w:tcPr>
            <w:cnfStyle w:val="001000000000" w:firstRow="0" w:lastRow="0" w:firstColumn="1" w:lastColumn="0" w:oddVBand="0" w:evenVBand="0" w:oddHBand="0" w:evenHBand="0" w:firstRowFirstColumn="0" w:firstRowLastColumn="0" w:lastRowFirstColumn="0" w:lastRowLastColumn="0"/>
            <w:tcW w:w="2788" w:type="dxa"/>
            <w:vMerge/>
          </w:tcPr>
          <w:p w14:paraId="002BA15B" w14:textId="77777777" w:rsidR="004949CA" w:rsidRPr="00E04457" w:rsidRDefault="004949CA" w:rsidP="00331A63">
            <w:pPr>
              <w:rPr>
                <w:rFonts w:ascii="Tahoma" w:hAnsi="Tahoma" w:cs="Tahoma"/>
              </w:rPr>
            </w:pPr>
          </w:p>
        </w:tc>
        <w:tc>
          <w:tcPr>
            <w:tcW w:w="4370" w:type="dxa"/>
          </w:tcPr>
          <w:p w14:paraId="24D9C706"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04457">
              <w:rPr>
                <w:rFonts w:ascii="Tahoma" w:hAnsi="Tahoma" w:cs="Tahoma"/>
                <w:sz w:val="18"/>
                <w:szCs w:val="18"/>
                <w:lang w:eastAsia="hr-HR"/>
              </w:rPr>
              <w:t>povećanje zelenih površina na građevnoj čestici zgrade (parkirališta i dr.)</w:t>
            </w:r>
          </w:p>
        </w:tc>
        <w:tc>
          <w:tcPr>
            <w:tcW w:w="2412" w:type="dxa"/>
          </w:tcPr>
          <w:p w14:paraId="51B4F60A"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Cs w:val="20"/>
                <w:lang w:eastAsia="hr-HR"/>
              </w:rPr>
            </w:pPr>
          </w:p>
        </w:tc>
      </w:tr>
      <w:tr w:rsidR="004949CA" w:rsidRPr="00E04457" w14:paraId="013D2DAE" w14:textId="77777777" w:rsidTr="76C5F75F">
        <w:trPr>
          <w:trHeight w:val="314"/>
        </w:trPr>
        <w:tc>
          <w:tcPr>
            <w:cnfStyle w:val="001000000000" w:firstRow="0" w:lastRow="0" w:firstColumn="1" w:lastColumn="0" w:oddVBand="0" w:evenVBand="0" w:oddHBand="0" w:evenHBand="0" w:firstRowFirstColumn="0" w:firstRowLastColumn="0" w:lastRowFirstColumn="0" w:lastRowLastColumn="0"/>
            <w:tcW w:w="2788" w:type="dxa"/>
            <w:vMerge/>
          </w:tcPr>
          <w:p w14:paraId="5CFBFA95" w14:textId="77777777" w:rsidR="004949CA" w:rsidRPr="00E04457" w:rsidRDefault="004949CA" w:rsidP="00331A63">
            <w:pPr>
              <w:rPr>
                <w:rFonts w:ascii="Tahoma" w:hAnsi="Tahoma" w:cs="Tahoma"/>
              </w:rPr>
            </w:pPr>
          </w:p>
        </w:tc>
        <w:tc>
          <w:tcPr>
            <w:tcW w:w="4370" w:type="dxa"/>
          </w:tcPr>
          <w:p w14:paraId="49C90CEE"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proofErr w:type="spellStart"/>
            <w:r w:rsidRPr="00E04457">
              <w:rPr>
                <w:rFonts w:ascii="Tahoma" w:hAnsi="Tahoma" w:cs="Tahoma"/>
                <w:sz w:val="18"/>
                <w:szCs w:val="18"/>
                <w:lang w:eastAsia="hr-HR"/>
              </w:rPr>
              <w:t>ozelenjavanje</w:t>
            </w:r>
            <w:proofErr w:type="spellEnd"/>
            <w:r w:rsidRPr="00E04457">
              <w:rPr>
                <w:rFonts w:ascii="Tahoma" w:hAnsi="Tahoma" w:cs="Tahoma"/>
                <w:sz w:val="18"/>
                <w:szCs w:val="18"/>
                <w:lang w:eastAsia="hr-HR"/>
              </w:rPr>
              <w:t xml:space="preserve"> postojećih površina, sadnja stabala i dr.</w:t>
            </w:r>
          </w:p>
        </w:tc>
        <w:tc>
          <w:tcPr>
            <w:tcW w:w="2412" w:type="dxa"/>
          </w:tcPr>
          <w:p w14:paraId="4101E864" w14:textId="77777777" w:rsidR="004949CA" w:rsidRPr="00E04457"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Cs w:val="20"/>
                <w:lang w:eastAsia="hr-HR"/>
              </w:rPr>
            </w:pPr>
          </w:p>
        </w:tc>
      </w:tr>
    </w:tbl>
    <w:p w14:paraId="230E2E86" w14:textId="2D27A7DA" w:rsidR="004949CA" w:rsidRPr="00E04457" w:rsidRDefault="0C3F4C7D" w:rsidP="00E04457">
      <w:pPr>
        <w:spacing w:before="120" w:after="120" w:line="240" w:lineRule="auto"/>
        <w:jc w:val="both"/>
        <w:rPr>
          <w:rFonts w:ascii="Tahoma" w:hAnsi="Tahoma" w:cs="Tahoma"/>
          <w:strike/>
          <w:sz w:val="20"/>
          <w:szCs w:val="20"/>
          <w:lang w:eastAsia="hr-HR"/>
        </w:rPr>
      </w:pPr>
      <w:r w:rsidRPr="638C4C38">
        <w:rPr>
          <w:rFonts w:ascii="Tahoma" w:hAnsi="Tahoma" w:cs="Tahoma"/>
          <w:sz w:val="20"/>
          <w:szCs w:val="20"/>
          <w:lang w:eastAsia="hr-HR"/>
        </w:rPr>
        <w:t xml:space="preserve">Navedene mjere su dodatne prihvatljive mjere prema ovom Programu i provode se isključivo uz mjere odnosno kategorije obnove detaljno opisane u poglavljima 8.1. i 8.2. te se za njih primjenjuju  stope sufinanciranja utvrđene na razini cijelog projekta (60% za integralnu i 80% za dubinsku obnovu). </w:t>
      </w:r>
    </w:p>
    <w:p w14:paraId="721B9B00" w14:textId="77777777" w:rsidR="004949CA" w:rsidRPr="00E04457" w:rsidRDefault="004949CA" w:rsidP="00E04457">
      <w:pPr>
        <w:spacing w:before="120" w:after="120" w:line="240" w:lineRule="auto"/>
        <w:jc w:val="both"/>
        <w:rPr>
          <w:rFonts w:ascii="Tahoma" w:hAnsi="Tahoma" w:cs="Tahoma"/>
          <w:sz w:val="20"/>
          <w:szCs w:val="20"/>
          <w:lang w:eastAsia="hr-HR"/>
        </w:rPr>
      </w:pPr>
      <w:r w:rsidRPr="00E04457">
        <w:rPr>
          <w:rFonts w:ascii="Tahoma" w:hAnsi="Tahoma" w:cs="Tahoma"/>
          <w:sz w:val="20"/>
          <w:szCs w:val="20"/>
          <w:lang w:eastAsia="hr-HR"/>
        </w:rPr>
        <w:t>Mjere ugradnje elemenata zelene infrastrukture iskazane okvirno u Tablici 8-4 kao i ostale mjere ZI koje se primjenjuju na zgradi i/ili na građevnoj čestici zgrade, financirat će se sukladno Programu razvoja zelene infrastrukture u urbanim područjima za razdoblje 2021. do 2030. godine.</w:t>
      </w:r>
    </w:p>
    <w:p w14:paraId="28164FEA" w14:textId="77777777" w:rsidR="004949CA" w:rsidRPr="00E04457" w:rsidRDefault="004949CA" w:rsidP="00E04457">
      <w:pPr>
        <w:spacing w:before="120" w:after="120" w:line="240" w:lineRule="auto"/>
        <w:jc w:val="both"/>
        <w:rPr>
          <w:rFonts w:ascii="Tahoma" w:hAnsi="Tahoma" w:cs="Tahoma"/>
          <w:sz w:val="20"/>
          <w:szCs w:val="20"/>
          <w:lang w:eastAsia="hr-HR"/>
        </w:rPr>
      </w:pPr>
      <w:r w:rsidRPr="00E04457">
        <w:rPr>
          <w:rFonts w:ascii="Tahoma" w:hAnsi="Tahoma" w:cs="Tahoma"/>
          <w:sz w:val="20"/>
          <w:szCs w:val="20"/>
          <w:lang w:eastAsia="hr-HR"/>
        </w:rPr>
        <w:t xml:space="preserve">Programom će se također poticati i mjere održive urbane mobilnosti koje uključuju parkirališnu infrastrukturu za bicikle te infrastrukturu za punjenje električnih vozila u VSZ. Pri tome treba istaknuti odredbe članka 21. c Zakona o gradnji, koji uvodi obvezu postavljanja kanalske infrastrukture za električne kabele do parkirališnih mjesta unutar ili izvan zgrade, ukoliko su obnovom obuhvaćena parkirališta ili električna infrastruktura zgrade/parkirališta. Ukoliko su ispunjeni uvjet navedeni u Zakonu, ova mjera je obveza suvlasnika, ali će se ovim Programom omogućiti u tom slučaju omogućiti sufinanciranje postavljanja mjesta za punjenje. Ukoliko nema zakonske obveze, cjelokupna infrastruktura koja uključuje kanale, kabele i mjesta za punjenje može biti prihvatljiv trošak prema ovome Programu. Pri tome je preduvjet za sufinanciranje ovih mjera vlasništvo suvlasnika nad parkirnim prostorom te postignut dogovor oko korištenja i naplate te infrastrukture na razini zgrade. </w:t>
      </w:r>
    </w:p>
    <w:p w14:paraId="7B049E71" w14:textId="47AAD55B" w:rsidR="004949CA" w:rsidRDefault="004949CA" w:rsidP="004949CA">
      <w:pPr>
        <w:pStyle w:val="Naslov20"/>
      </w:pPr>
      <w:bookmarkStart w:id="166" w:name="_Toc77953508"/>
      <w:bookmarkStart w:id="167" w:name="_Toc81836291"/>
      <w:bookmarkStart w:id="168" w:name="_Toc83912063"/>
      <w:r>
        <w:t xml:space="preserve">Sumarni prikaz kategorija i uvjeta sufinanciranja obnove </w:t>
      </w:r>
      <w:bookmarkEnd w:id="166"/>
      <w:bookmarkEnd w:id="167"/>
      <w:r w:rsidR="00AD7888">
        <w:t>višestambenih zgrada</w:t>
      </w:r>
      <w:bookmarkEnd w:id="168"/>
    </w:p>
    <w:p w14:paraId="7B3F5E77" w14:textId="2AD8CB51" w:rsidR="004949CA" w:rsidRPr="00B17E21" w:rsidRDefault="00E26D7C" w:rsidP="00B17E21">
      <w:pPr>
        <w:spacing w:before="120" w:after="120" w:line="240" w:lineRule="auto"/>
        <w:jc w:val="both"/>
        <w:rPr>
          <w:rFonts w:ascii="Tahoma" w:hAnsi="Tahoma" w:cs="Tahoma"/>
          <w:color w:val="FF0000"/>
          <w:sz w:val="20"/>
          <w:szCs w:val="20"/>
          <w:lang w:eastAsia="hr-HR"/>
        </w:rPr>
      </w:pPr>
      <w:r>
        <w:rPr>
          <w:rFonts w:ascii="Tahoma" w:hAnsi="Tahoma" w:cs="Tahoma"/>
          <w:sz w:val="20"/>
          <w:szCs w:val="20"/>
        </w:rPr>
        <w:fldChar w:fldCharType="begin"/>
      </w:r>
      <w:r>
        <w:rPr>
          <w:rFonts w:ascii="Tahoma" w:hAnsi="Tahoma" w:cs="Tahoma"/>
          <w:sz w:val="20"/>
          <w:szCs w:val="20"/>
        </w:rPr>
        <w:instrText xml:space="preserve"> REF _Ref83115273 \h </w:instrText>
      </w:r>
      <w:r>
        <w:rPr>
          <w:rFonts w:ascii="Tahoma" w:hAnsi="Tahoma" w:cs="Tahoma"/>
          <w:sz w:val="20"/>
          <w:szCs w:val="20"/>
        </w:rPr>
      </w:r>
      <w:r>
        <w:rPr>
          <w:rFonts w:ascii="Tahoma" w:hAnsi="Tahoma" w:cs="Tahoma"/>
          <w:sz w:val="20"/>
          <w:szCs w:val="20"/>
        </w:rPr>
        <w:fldChar w:fldCharType="separate"/>
      </w:r>
      <w:r w:rsidR="00575AF9" w:rsidRPr="00F34A88">
        <w:t xml:space="preserve">Tablica </w:t>
      </w:r>
      <w:r w:rsidR="00575AF9">
        <w:rPr>
          <w:noProof/>
        </w:rPr>
        <w:t>8</w:t>
      </w:r>
      <w:r w:rsidR="00575AF9">
        <w:noBreakHyphen/>
      </w:r>
      <w:r w:rsidR="00575AF9">
        <w:rPr>
          <w:noProof/>
        </w:rPr>
        <w:t>5</w:t>
      </w:r>
      <w:r>
        <w:rPr>
          <w:rFonts w:ascii="Tahoma" w:hAnsi="Tahoma" w:cs="Tahoma"/>
          <w:sz w:val="20"/>
          <w:szCs w:val="20"/>
        </w:rPr>
        <w:fldChar w:fldCharType="end"/>
      </w:r>
      <w:r w:rsidR="004949CA" w:rsidRPr="00B17E21">
        <w:rPr>
          <w:rFonts w:ascii="Tahoma" w:hAnsi="Tahoma" w:cs="Tahoma"/>
          <w:sz w:val="20"/>
          <w:szCs w:val="20"/>
        </w:rPr>
        <w:t xml:space="preserve"> daje pregled temeljnih uvjeta za sudjelovanje u ovom Programu. </w:t>
      </w:r>
    </w:p>
    <w:p w14:paraId="49180087" w14:textId="02362B02" w:rsidR="004949CA" w:rsidRDefault="004949CA" w:rsidP="004949CA">
      <w:pPr>
        <w:pStyle w:val="Opisslike"/>
      </w:pPr>
      <w:bookmarkStart w:id="169" w:name="_Ref83115273"/>
      <w:bookmarkStart w:id="170" w:name="_Toc77953158"/>
      <w:bookmarkStart w:id="171" w:name="_Toc84240507"/>
      <w:r w:rsidRPr="00F34A88">
        <w:t xml:space="preserve">Tablica </w:t>
      </w:r>
      <w:r>
        <w:rPr>
          <w:noProof/>
        </w:rPr>
        <w:fldChar w:fldCharType="begin"/>
      </w:r>
      <w:r>
        <w:rPr>
          <w:noProof/>
        </w:rPr>
        <w:instrText xml:space="preserve"> STYLEREF 1 \s </w:instrText>
      </w:r>
      <w:r>
        <w:rPr>
          <w:noProof/>
        </w:rPr>
        <w:fldChar w:fldCharType="separate"/>
      </w:r>
      <w:r w:rsidR="00575AF9">
        <w:rPr>
          <w:noProof/>
        </w:rPr>
        <w:t>8</w:t>
      </w:r>
      <w:r>
        <w:rPr>
          <w:noProof/>
        </w:rPr>
        <w:fldChar w:fldCharType="end"/>
      </w:r>
      <w:r>
        <w:noBreakHyphen/>
      </w:r>
      <w:r>
        <w:fldChar w:fldCharType="begin"/>
      </w:r>
      <w:r>
        <w:instrText>SEQ Tablica \* ARABIC \s 1</w:instrText>
      </w:r>
      <w:r>
        <w:fldChar w:fldCharType="separate"/>
      </w:r>
      <w:r w:rsidR="00575AF9">
        <w:rPr>
          <w:noProof/>
        </w:rPr>
        <w:t>5</w:t>
      </w:r>
      <w:r>
        <w:fldChar w:fldCharType="end"/>
      </w:r>
      <w:bookmarkEnd w:id="169"/>
      <w:r w:rsidRPr="00F34A88">
        <w:t xml:space="preserve">: </w:t>
      </w:r>
      <w:r>
        <w:t>Pregled stopa sufinanciranja, maksimalnih prihvatljivih troškova te ostalih uvjeta sudjelovanja VSZ neoštećenih u potresu u Programu</w:t>
      </w:r>
      <w:bookmarkEnd w:id="170"/>
      <w:bookmarkEnd w:id="171"/>
      <w:r>
        <w:t xml:space="preserve"> </w:t>
      </w:r>
    </w:p>
    <w:tbl>
      <w:tblPr>
        <w:tblStyle w:val="Svijetlatablicareetke110"/>
        <w:tblW w:w="5000" w:type="pct"/>
        <w:tblLook w:val="04A0" w:firstRow="1" w:lastRow="0" w:firstColumn="1" w:lastColumn="0" w:noHBand="0" w:noVBand="1"/>
      </w:tblPr>
      <w:tblGrid>
        <w:gridCol w:w="1713"/>
        <w:gridCol w:w="1905"/>
        <w:gridCol w:w="1821"/>
        <w:gridCol w:w="1811"/>
        <w:gridCol w:w="1812"/>
      </w:tblGrid>
      <w:tr w:rsidR="004949CA" w:rsidRPr="00F7592C" w14:paraId="3F1C9473"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vMerge w:val="restart"/>
          </w:tcPr>
          <w:p w14:paraId="38D91A47" w14:textId="77777777" w:rsidR="004949CA" w:rsidRPr="00F7592C" w:rsidRDefault="004949CA" w:rsidP="00331A63">
            <w:pPr>
              <w:rPr>
                <w:rFonts w:ascii="Tahoma" w:hAnsi="Tahoma" w:cs="Tahoma"/>
                <w:sz w:val="20"/>
                <w:szCs w:val="20"/>
              </w:rPr>
            </w:pPr>
            <w:r w:rsidRPr="00F7592C">
              <w:rPr>
                <w:rFonts w:ascii="Tahoma" w:hAnsi="Tahoma" w:cs="Tahoma"/>
                <w:sz w:val="20"/>
                <w:szCs w:val="20"/>
              </w:rPr>
              <w:t xml:space="preserve">Kategorija energetske obnove </w:t>
            </w:r>
          </w:p>
        </w:tc>
        <w:tc>
          <w:tcPr>
            <w:tcW w:w="4055" w:type="pct"/>
            <w:gridSpan w:val="4"/>
            <w:shd w:val="clear" w:color="auto" w:fill="FFFFFF" w:themeFill="background1"/>
          </w:tcPr>
          <w:p w14:paraId="7BD1EA75" w14:textId="77777777" w:rsidR="004949CA" w:rsidRPr="00F7592C" w:rsidRDefault="004949CA" w:rsidP="00331A63">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Mjere obnove</w:t>
            </w:r>
          </w:p>
        </w:tc>
      </w:tr>
      <w:tr w:rsidR="004949CA" w:rsidRPr="00F7592C" w14:paraId="098EE4CD" w14:textId="77777777" w:rsidTr="00331A63">
        <w:tc>
          <w:tcPr>
            <w:cnfStyle w:val="001000000000" w:firstRow="0" w:lastRow="0" w:firstColumn="1" w:lastColumn="0" w:oddVBand="0" w:evenVBand="0" w:oddHBand="0" w:evenHBand="0" w:firstRowFirstColumn="0" w:firstRowLastColumn="0" w:lastRowFirstColumn="0" w:lastRowLastColumn="0"/>
            <w:tcW w:w="945" w:type="pct"/>
            <w:vMerge/>
          </w:tcPr>
          <w:p w14:paraId="4677C2B0" w14:textId="77777777" w:rsidR="004949CA" w:rsidRPr="00F7592C" w:rsidRDefault="004949CA" w:rsidP="00331A63">
            <w:pPr>
              <w:rPr>
                <w:rFonts w:ascii="Tahoma" w:hAnsi="Tahoma" w:cs="Tahoma"/>
                <w:sz w:val="20"/>
                <w:szCs w:val="20"/>
              </w:rPr>
            </w:pPr>
          </w:p>
        </w:tc>
        <w:tc>
          <w:tcPr>
            <w:tcW w:w="1051" w:type="pct"/>
            <w:shd w:val="clear" w:color="auto" w:fill="FFFFFF" w:themeFill="background1"/>
          </w:tcPr>
          <w:p w14:paraId="7B74BBA4"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Bez mjera sveobuhvatne obnove </w:t>
            </w:r>
          </w:p>
        </w:tc>
        <w:tc>
          <w:tcPr>
            <w:tcW w:w="1005" w:type="pct"/>
          </w:tcPr>
          <w:p w14:paraId="484F7D63"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Zdravi unutarnji klimatski uvjeti</w:t>
            </w:r>
          </w:p>
        </w:tc>
        <w:tc>
          <w:tcPr>
            <w:tcW w:w="999" w:type="pct"/>
          </w:tcPr>
          <w:p w14:paraId="2C8A0DB7"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Zaštita od požara</w:t>
            </w:r>
          </w:p>
        </w:tc>
        <w:tc>
          <w:tcPr>
            <w:tcW w:w="1000" w:type="pct"/>
          </w:tcPr>
          <w:p w14:paraId="473CFBA6"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Povećanje potresne otpornosti zgrade</w:t>
            </w:r>
          </w:p>
        </w:tc>
      </w:tr>
      <w:tr w:rsidR="004949CA" w:rsidRPr="00F7592C" w14:paraId="63FDA8B3" w14:textId="77777777" w:rsidTr="00331A63">
        <w:tc>
          <w:tcPr>
            <w:cnfStyle w:val="001000000000" w:firstRow="0" w:lastRow="0" w:firstColumn="1" w:lastColumn="0" w:oddVBand="0" w:evenVBand="0" w:oddHBand="0" w:evenHBand="0" w:firstRowFirstColumn="0" w:firstRowLastColumn="0" w:lastRowFirstColumn="0" w:lastRowLastColumn="0"/>
            <w:tcW w:w="945" w:type="pct"/>
          </w:tcPr>
          <w:p w14:paraId="49EC499D" w14:textId="77777777" w:rsidR="004949CA" w:rsidRPr="00F7592C" w:rsidRDefault="004949CA" w:rsidP="00331A63">
            <w:pPr>
              <w:rPr>
                <w:rFonts w:ascii="Tahoma" w:hAnsi="Tahoma" w:cs="Tahoma"/>
                <w:b w:val="0"/>
                <w:bCs w:val="0"/>
                <w:sz w:val="20"/>
                <w:szCs w:val="20"/>
              </w:rPr>
            </w:pPr>
            <w:r w:rsidRPr="00F7592C">
              <w:rPr>
                <w:rFonts w:ascii="Tahoma" w:hAnsi="Tahoma" w:cs="Tahoma"/>
                <w:sz w:val="20"/>
                <w:szCs w:val="20"/>
              </w:rPr>
              <w:t xml:space="preserve">Integralna energetska obnova </w:t>
            </w:r>
          </w:p>
          <w:p w14:paraId="08D0EE45" w14:textId="2596E46B" w:rsidR="004949CA" w:rsidRPr="00F7592C" w:rsidRDefault="0050627D" w:rsidP="00331A63">
            <w:pPr>
              <w:rPr>
                <w:rFonts w:ascii="Tahoma" w:hAnsi="Tahoma" w:cs="Tahoma"/>
                <w:b w:val="0"/>
                <w:bCs w:val="0"/>
                <w:sz w:val="20"/>
                <w:szCs w:val="20"/>
              </w:rPr>
            </w:pPr>
            <w:r w:rsidRPr="00F7592C">
              <w:rPr>
                <w:rFonts w:ascii="Tahoma" w:hAnsi="Tahoma" w:cs="Tahoma"/>
                <w:b w:val="0"/>
                <w:bCs w:val="0"/>
                <w:sz w:val="20"/>
                <w:szCs w:val="20"/>
                <w:lang w:eastAsia="hr-HR"/>
              </w:rPr>
              <w:t xml:space="preserve">Ušteda </w:t>
            </w:r>
            <w:proofErr w:type="spellStart"/>
            <w:r w:rsidR="004949CA" w:rsidRPr="00F7592C">
              <w:rPr>
                <w:rFonts w:ascii="Tahoma" w:hAnsi="Tahoma" w:cs="Tahoma"/>
                <w:b w:val="0"/>
                <w:bCs w:val="0"/>
                <w:sz w:val="20"/>
                <w:szCs w:val="20"/>
                <w:lang w:eastAsia="hr-HR"/>
              </w:rPr>
              <w:t>Q</w:t>
            </w:r>
            <w:r w:rsidR="004949CA" w:rsidRPr="00F7592C">
              <w:rPr>
                <w:rFonts w:ascii="Tahoma" w:hAnsi="Tahoma" w:cs="Tahoma"/>
                <w:b w:val="0"/>
                <w:bCs w:val="0"/>
                <w:sz w:val="20"/>
                <w:szCs w:val="20"/>
                <w:vertAlign w:val="subscript"/>
                <w:lang w:eastAsia="hr-HR"/>
              </w:rPr>
              <w:t>H,nd</w:t>
            </w:r>
            <w:proofErr w:type="spellEnd"/>
            <w:r w:rsidR="004949CA" w:rsidRPr="00F7592C">
              <w:rPr>
                <w:rFonts w:ascii="Tahoma" w:hAnsi="Tahoma" w:cs="Tahoma"/>
                <w:b w:val="0"/>
                <w:bCs w:val="0"/>
                <w:sz w:val="20"/>
                <w:szCs w:val="20"/>
                <w:lang w:eastAsia="hr-HR"/>
              </w:rPr>
              <w:t xml:space="preserve"> minimalno 50%</w:t>
            </w:r>
          </w:p>
        </w:tc>
        <w:tc>
          <w:tcPr>
            <w:tcW w:w="1051" w:type="pct"/>
            <w:shd w:val="clear" w:color="auto" w:fill="FFFFFF" w:themeFill="background1"/>
          </w:tcPr>
          <w:p w14:paraId="52518590"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60%</w:t>
            </w:r>
          </w:p>
          <w:p w14:paraId="1C7DBD81" w14:textId="160930A9"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1.500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5" w:type="pct"/>
          </w:tcPr>
          <w:p w14:paraId="1EDBCFB0"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60%</w:t>
            </w:r>
          </w:p>
          <w:p w14:paraId="71BB53E6" w14:textId="799C7F42"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1.500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999" w:type="pct"/>
          </w:tcPr>
          <w:p w14:paraId="3A8E8AE7"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60%</w:t>
            </w:r>
          </w:p>
          <w:p w14:paraId="09738C93" w14:textId="03CB0C34"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1.725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0" w:type="pct"/>
          </w:tcPr>
          <w:p w14:paraId="30E48FE9"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80%</w:t>
            </w:r>
          </w:p>
          <w:p w14:paraId="4B71B370" w14:textId="1F9FD8DF"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r>
      <w:tr w:rsidR="004949CA" w:rsidRPr="00F7592C" w14:paraId="4620B990" w14:textId="77777777" w:rsidTr="00331A63">
        <w:tc>
          <w:tcPr>
            <w:cnfStyle w:val="001000000000" w:firstRow="0" w:lastRow="0" w:firstColumn="1" w:lastColumn="0" w:oddVBand="0" w:evenVBand="0" w:oddHBand="0" w:evenHBand="0" w:firstRowFirstColumn="0" w:firstRowLastColumn="0" w:lastRowFirstColumn="0" w:lastRowLastColumn="0"/>
            <w:tcW w:w="945" w:type="pct"/>
          </w:tcPr>
          <w:p w14:paraId="153DD324" w14:textId="77777777" w:rsidR="004949CA" w:rsidRPr="00F7592C" w:rsidRDefault="004949CA" w:rsidP="00331A63">
            <w:pPr>
              <w:rPr>
                <w:rFonts w:ascii="Tahoma" w:hAnsi="Tahoma" w:cs="Tahoma"/>
                <w:b w:val="0"/>
                <w:bCs w:val="0"/>
                <w:sz w:val="20"/>
                <w:szCs w:val="20"/>
              </w:rPr>
            </w:pPr>
            <w:r w:rsidRPr="00F7592C">
              <w:rPr>
                <w:rFonts w:ascii="Tahoma" w:hAnsi="Tahoma" w:cs="Tahoma"/>
                <w:sz w:val="20"/>
                <w:szCs w:val="20"/>
              </w:rPr>
              <w:t xml:space="preserve">Dubinska obnova </w:t>
            </w:r>
          </w:p>
          <w:p w14:paraId="7FD9C612" w14:textId="28C5A567" w:rsidR="004949CA" w:rsidRPr="00F7592C" w:rsidRDefault="0050627D" w:rsidP="00331A63">
            <w:pPr>
              <w:rPr>
                <w:rFonts w:ascii="Tahoma" w:hAnsi="Tahoma" w:cs="Tahoma"/>
                <w:b w:val="0"/>
                <w:bCs w:val="0"/>
                <w:sz w:val="20"/>
                <w:szCs w:val="20"/>
                <w:lang w:eastAsia="hr-HR"/>
              </w:rPr>
            </w:pPr>
            <w:r w:rsidRPr="00F7592C">
              <w:rPr>
                <w:rFonts w:ascii="Tahoma" w:hAnsi="Tahoma" w:cs="Tahoma"/>
                <w:b w:val="0"/>
                <w:bCs w:val="0"/>
                <w:sz w:val="20"/>
                <w:szCs w:val="20"/>
                <w:lang w:eastAsia="hr-HR"/>
              </w:rPr>
              <w:t xml:space="preserve">Ušteda </w:t>
            </w:r>
            <w:proofErr w:type="spellStart"/>
            <w:r w:rsidR="004949CA" w:rsidRPr="00F7592C">
              <w:rPr>
                <w:rFonts w:ascii="Tahoma" w:hAnsi="Tahoma" w:cs="Tahoma"/>
                <w:b w:val="0"/>
                <w:bCs w:val="0"/>
                <w:sz w:val="20"/>
                <w:szCs w:val="20"/>
                <w:lang w:eastAsia="hr-HR"/>
              </w:rPr>
              <w:t>Q</w:t>
            </w:r>
            <w:r w:rsidR="004949CA" w:rsidRPr="00F7592C">
              <w:rPr>
                <w:rFonts w:ascii="Tahoma" w:hAnsi="Tahoma" w:cs="Tahoma"/>
                <w:b w:val="0"/>
                <w:bCs w:val="0"/>
                <w:sz w:val="20"/>
                <w:szCs w:val="20"/>
                <w:vertAlign w:val="subscript"/>
                <w:lang w:eastAsia="hr-HR"/>
              </w:rPr>
              <w:t>H,nd</w:t>
            </w:r>
            <w:proofErr w:type="spellEnd"/>
            <w:r w:rsidR="004949CA" w:rsidRPr="00F7592C">
              <w:rPr>
                <w:rFonts w:ascii="Tahoma" w:hAnsi="Tahoma" w:cs="Tahoma"/>
                <w:b w:val="0"/>
                <w:bCs w:val="0"/>
                <w:sz w:val="20"/>
                <w:szCs w:val="20"/>
                <w:lang w:eastAsia="hr-HR"/>
              </w:rPr>
              <w:t xml:space="preserve"> minimalno 50% i</w:t>
            </w:r>
          </w:p>
          <w:p w14:paraId="60909101" w14:textId="416733AA" w:rsidR="004949CA" w:rsidRPr="00F7592C" w:rsidRDefault="0050627D" w:rsidP="00331A63">
            <w:pPr>
              <w:rPr>
                <w:rFonts w:ascii="Tahoma" w:hAnsi="Tahoma" w:cs="Tahoma"/>
                <w:sz w:val="20"/>
                <w:szCs w:val="20"/>
              </w:rPr>
            </w:pPr>
            <w:r w:rsidRPr="00F7592C">
              <w:rPr>
                <w:rFonts w:ascii="Tahoma" w:hAnsi="Tahoma" w:cs="Tahoma"/>
                <w:b w:val="0"/>
                <w:bCs w:val="0"/>
                <w:sz w:val="20"/>
                <w:szCs w:val="20"/>
                <w:lang w:eastAsia="hr-HR"/>
              </w:rPr>
              <w:t xml:space="preserve">Ušteda </w:t>
            </w:r>
            <w:proofErr w:type="spellStart"/>
            <w:r w:rsidR="004949CA" w:rsidRPr="00F7592C">
              <w:rPr>
                <w:rFonts w:ascii="Tahoma" w:hAnsi="Tahoma" w:cs="Tahoma"/>
                <w:b w:val="0"/>
                <w:bCs w:val="0"/>
                <w:sz w:val="20"/>
                <w:szCs w:val="20"/>
                <w:lang w:eastAsia="hr-HR"/>
              </w:rPr>
              <w:t>E</w:t>
            </w:r>
            <w:r w:rsidR="004949CA" w:rsidRPr="00F7592C">
              <w:rPr>
                <w:rFonts w:ascii="Tahoma" w:hAnsi="Tahoma" w:cs="Tahoma"/>
                <w:b w:val="0"/>
                <w:bCs w:val="0"/>
                <w:sz w:val="20"/>
                <w:szCs w:val="20"/>
                <w:vertAlign w:val="subscript"/>
                <w:lang w:eastAsia="hr-HR"/>
              </w:rPr>
              <w:t>prim</w:t>
            </w:r>
            <w:proofErr w:type="spellEnd"/>
            <w:r w:rsidR="004949CA" w:rsidRPr="00F7592C">
              <w:rPr>
                <w:rFonts w:ascii="Tahoma" w:hAnsi="Tahoma" w:cs="Tahoma"/>
                <w:b w:val="0"/>
                <w:bCs w:val="0"/>
                <w:sz w:val="20"/>
                <w:szCs w:val="20"/>
                <w:vertAlign w:val="subscript"/>
                <w:lang w:eastAsia="hr-HR"/>
              </w:rPr>
              <w:t xml:space="preserve"> </w:t>
            </w:r>
            <w:r w:rsidR="004949CA" w:rsidRPr="00F7592C">
              <w:rPr>
                <w:rFonts w:ascii="Tahoma" w:hAnsi="Tahoma" w:cs="Tahoma"/>
                <w:b w:val="0"/>
                <w:bCs w:val="0"/>
                <w:sz w:val="20"/>
                <w:szCs w:val="20"/>
                <w:lang w:eastAsia="hr-HR"/>
              </w:rPr>
              <w:t>minimalno</w:t>
            </w:r>
            <w:r w:rsidR="004949CA" w:rsidRPr="00F7592C">
              <w:rPr>
                <w:rFonts w:ascii="Tahoma" w:hAnsi="Tahoma" w:cs="Tahoma"/>
                <w:b w:val="0"/>
                <w:bCs w:val="0"/>
                <w:sz w:val="20"/>
                <w:szCs w:val="20"/>
                <w:vertAlign w:val="subscript"/>
                <w:lang w:eastAsia="hr-HR"/>
              </w:rPr>
              <w:t xml:space="preserve"> </w:t>
            </w:r>
            <w:r w:rsidR="004949CA" w:rsidRPr="00F7592C">
              <w:rPr>
                <w:rFonts w:ascii="Tahoma" w:hAnsi="Tahoma" w:cs="Tahoma"/>
                <w:b w:val="0"/>
                <w:bCs w:val="0"/>
                <w:sz w:val="20"/>
                <w:szCs w:val="20"/>
                <w:lang w:eastAsia="hr-HR"/>
              </w:rPr>
              <w:t>50%</w:t>
            </w:r>
          </w:p>
        </w:tc>
        <w:tc>
          <w:tcPr>
            <w:tcW w:w="1051" w:type="pct"/>
            <w:shd w:val="clear" w:color="auto" w:fill="FFFFFF" w:themeFill="background1"/>
          </w:tcPr>
          <w:p w14:paraId="2517C5EE"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80%</w:t>
            </w:r>
          </w:p>
          <w:p w14:paraId="1C110AE3" w14:textId="524F9C68"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5" w:type="pct"/>
          </w:tcPr>
          <w:p w14:paraId="54DB6E9F"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80%</w:t>
            </w:r>
          </w:p>
          <w:p w14:paraId="012FA088" w14:textId="533020DD"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999" w:type="pct"/>
          </w:tcPr>
          <w:p w14:paraId="1B2E41EC"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80%</w:t>
            </w:r>
          </w:p>
          <w:p w14:paraId="58A3BD45" w14:textId="7869AB61"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2.875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0" w:type="pct"/>
          </w:tcPr>
          <w:p w14:paraId="1CA0F0CC"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80%</w:t>
            </w:r>
          </w:p>
          <w:p w14:paraId="6542937B" w14:textId="08E09410"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3.500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r>
      <w:tr w:rsidR="004949CA" w:rsidRPr="00F7592C" w14:paraId="2E82F906" w14:textId="77777777" w:rsidTr="00331A63">
        <w:tc>
          <w:tcPr>
            <w:cnfStyle w:val="001000000000" w:firstRow="0" w:lastRow="0" w:firstColumn="1" w:lastColumn="0" w:oddVBand="0" w:evenVBand="0" w:oddHBand="0" w:evenHBand="0" w:firstRowFirstColumn="0" w:firstRowLastColumn="0" w:lastRowFirstColumn="0" w:lastRowLastColumn="0"/>
            <w:tcW w:w="945" w:type="pct"/>
          </w:tcPr>
          <w:p w14:paraId="707BA805" w14:textId="77777777" w:rsidR="004949CA" w:rsidRPr="00F7592C" w:rsidRDefault="004949CA" w:rsidP="00331A63">
            <w:pPr>
              <w:rPr>
                <w:rFonts w:ascii="Tahoma" w:hAnsi="Tahoma" w:cs="Tahoma"/>
                <w:b w:val="0"/>
                <w:bCs w:val="0"/>
                <w:sz w:val="20"/>
                <w:szCs w:val="20"/>
              </w:rPr>
            </w:pPr>
            <w:r w:rsidRPr="00F7592C">
              <w:rPr>
                <w:rFonts w:ascii="Tahoma" w:hAnsi="Tahoma" w:cs="Tahoma"/>
                <w:sz w:val="20"/>
                <w:szCs w:val="20"/>
              </w:rPr>
              <w:t xml:space="preserve">Dubinska obnova </w:t>
            </w:r>
          </w:p>
          <w:p w14:paraId="52E9B86F" w14:textId="77777777" w:rsidR="004949CA" w:rsidRPr="00F7592C" w:rsidRDefault="004949CA" w:rsidP="00331A63">
            <w:pPr>
              <w:rPr>
                <w:rFonts w:ascii="Tahoma" w:hAnsi="Tahoma" w:cs="Tahoma"/>
                <w:sz w:val="20"/>
                <w:szCs w:val="20"/>
              </w:rPr>
            </w:pPr>
            <w:r w:rsidRPr="00F7592C">
              <w:rPr>
                <w:rFonts w:ascii="Tahoma" w:hAnsi="Tahoma" w:cs="Tahoma"/>
                <w:b w:val="0"/>
                <w:bCs w:val="0"/>
                <w:sz w:val="20"/>
                <w:szCs w:val="20"/>
                <w:lang w:eastAsia="hr-HR"/>
              </w:rPr>
              <w:t xml:space="preserve">Postignut </w:t>
            </w:r>
            <w:proofErr w:type="spellStart"/>
            <w:r w:rsidRPr="00F7592C">
              <w:rPr>
                <w:rFonts w:ascii="Tahoma" w:hAnsi="Tahoma" w:cs="Tahoma"/>
                <w:b w:val="0"/>
                <w:bCs w:val="0"/>
                <w:sz w:val="20"/>
                <w:szCs w:val="20"/>
                <w:lang w:eastAsia="hr-HR"/>
              </w:rPr>
              <w:t>nZEB</w:t>
            </w:r>
            <w:proofErr w:type="spellEnd"/>
            <w:r w:rsidRPr="00F7592C">
              <w:rPr>
                <w:rFonts w:ascii="Tahoma" w:hAnsi="Tahoma" w:cs="Tahoma"/>
                <w:b w:val="0"/>
                <w:bCs w:val="0"/>
                <w:sz w:val="20"/>
                <w:szCs w:val="20"/>
                <w:lang w:eastAsia="hr-HR"/>
              </w:rPr>
              <w:t xml:space="preserve"> standard za rekonstrukciju</w:t>
            </w:r>
          </w:p>
        </w:tc>
        <w:tc>
          <w:tcPr>
            <w:tcW w:w="1051" w:type="pct"/>
            <w:shd w:val="clear" w:color="auto" w:fill="FFFFFF" w:themeFill="background1"/>
          </w:tcPr>
          <w:p w14:paraId="6B555476"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85%</w:t>
            </w:r>
          </w:p>
          <w:p w14:paraId="4396206A" w14:textId="2A9CEBFA"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5" w:type="pct"/>
          </w:tcPr>
          <w:p w14:paraId="71664B8F"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85%</w:t>
            </w:r>
          </w:p>
          <w:p w14:paraId="7C6DB0F8" w14:textId="61159835"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999" w:type="pct"/>
          </w:tcPr>
          <w:p w14:paraId="172B1C66"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85%</w:t>
            </w:r>
          </w:p>
          <w:p w14:paraId="6BED23BC" w14:textId="147D008C"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2.875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c>
          <w:tcPr>
            <w:tcW w:w="1000" w:type="pct"/>
          </w:tcPr>
          <w:p w14:paraId="0380C35C" w14:textId="77777777"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85%</w:t>
            </w:r>
          </w:p>
          <w:p w14:paraId="7DD34ECD" w14:textId="1A8AC5CA" w:rsidR="004949CA" w:rsidRPr="00F7592C"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F7592C">
              <w:rPr>
                <w:rFonts w:ascii="Tahoma" w:hAnsi="Tahoma" w:cs="Tahoma"/>
                <w:sz w:val="20"/>
                <w:szCs w:val="20"/>
              </w:rPr>
              <w:t xml:space="preserve">3.500 </w:t>
            </w:r>
            <w:r w:rsidR="0063313B" w:rsidRPr="00F7592C">
              <w:rPr>
                <w:rFonts w:ascii="Tahoma" w:hAnsi="Tahoma" w:cs="Tahoma"/>
                <w:sz w:val="20"/>
                <w:szCs w:val="20"/>
              </w:rPr>
              <w:t>kuna</w:t>
            </w:r>
            <w:r w:rsidRPr="00F7592C">
              <w:rPr>
                <w:rFonts w:ascii="Tahoma" w:hAnsi="Tahoma" w:cs="Tahoma"/>
                <w:sz w:val="20"/>
                <w:szCs w:val="20"/>
              </w:rPr>
              <w:t>/m</w:t>
            </w:r>
            <w:r w:rsidRPr="00F7592C">
              <w:rPr>
                <w:rFonts w:ascii="Tahoma" w:hAnsi="Tahoma" w:cs="Tahoma"/>
                <w:sz w:val="20"/>
                <w:szCs w:val="20"/>
                <w:vertAlign w:val="superscript"/>
              </w:rPr>
              <w:t>2</w:t>
            </w:r>
          </w:p>
        </w:tc>
      </w:tr>
      <w:tr w:rsidR="004949CA" w:rsidRPr="00F7592C" w14:paraId="732C010B"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1981A0B" w14:textId="77777777" w:rsidR="004949CA" w:rsidRPr="00F7592C" w:rsidRDefault="004949CA" w:rsidP="00331A63">
            <w:pPr>
              <w:jc w:val="center"/>
              <w:rPr>
                <w:rFonts w:ascii="Tahoma" w:hAnsi="Tahoma" w:cs="Tahoma"/>
                <w:sz w:val="20"/>
                <w:szCs w:val="20"/>
                <w:lang w:eastAsia="hr-HR"/>
              </w:rPr>
            </w:pPr>
            <w:r w:rsidRPr="00F7592C">
              <w:rPr>
                <w:rFonts w:ascii="Tahoma" w:hAnsi="Tahoma" w:cs="Tahoma"/>
                <w:sz w:val="20"/>
                <w:szCs w:val="20"/>
                <w:lang w:eastAsia="hr-HR"/>
              </w:rPr>
              <w:t>Minimalna tehnička dokumentacija za ostvarenje sufinanciranja obnove: glavni projekt Sufinanciranje tehničke dokumentacije: 85%</w:t>
            </w:r>
          </w:p>
        </w:tc>
      </w:tr>
      <w:tr w:rsidR="004949CA" w:rsidRPr="006010C9" w14:paraId="43662385"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5"/>
          </w:tcPr>
          <w:p w14:paraId="7A30F64F" w14:textId="77777777" w:rsidR="004949CA" w:rsidRPr="00B17E21" w:rsidRDefault="004949CA" w:rsidP="00331A63">
            <w:pPr>
              <w:jc w:val="center"/>
              <w:rPr>
                <w:rFonts w:ascii="Tahoma" w:hAnsi="Tahoma" w:cs="Tahoma"/>
                <w:sz w:val="20"/>
                <w:szCs w:val="20"/>
                <w:lang w:eastAsia="hr-HR"/>
              </w:rPr>
            </w:pPr>
            <w:r w:rsidRPr="00B17E21">
              <w:rPr>
                <w:rFonts w:ascii="Tahoma" w:hAnsi="Tahoma" w:cs="Tahoma"/>
                <w:sz w:val="20"/>
                <w:szCs w:val="20"/>
                <w:lang w:eastAsia="hr-HR"/>
              </w:rPr>
              <w:lastRenderedPageBreak/>
              <w:t xml:space="preserve">Mjere osiguranja pristupačnosti, zelene infrastrukture i održive mobilnosti sufinanciraju se ovisno o gore navedenoj kombinaciji mjera </w:t>
            </w:r>
          </w:p>
        </w:tc>
      </w:tr>
    </w:tbl>
    <w:p w14:paraId="41AE8A7B" w14:textId="5B1AD51D" w:rsidR="004949CA" w:rsidRPr="00B17E21" w:rsidRDefault="0C3F4C7D" w:rsidP="00B17E21">
      <w:pPr>
        <w:spacing w:before="120" w:after="120" w:line="240" w:lineRule="auto"/>
        <w:jc w:val="both"/>
        <w:rPr>
          <w:rFonts w:ascii="Tahoma" w:hAnsi="Tahoma" w:cs="Tahoma"/>
          <w:b/>
          <w:bCs/>
          <w:sz w:val="20"/>
          <w:szCs w:val="20"/>
        </w:rPr>
      </w:pPr>
      <w:r w:rsidRPr="638C4C38">
        <w:rPr>
          <w:rFonts w:ascii="Tahoma" w:hAnsi="Tahoma" w:cs="Tahoma"/>
          <w:b/>
          <w:bCs/>
          <w:sz w:val="20"/>
          <w:szCs w:val="20"/>
        </w:rPr>
        <w:t xml:space="preserve">Za zgrade oštećene u potresu primjenjuje se jedinstvena stopa sufinanciranja od 80% za prihvatljive mjere obnove te 100% za </w:t>
      </w:r>
      <w:r w:rsidR="367C354F" w:rsidRPr="638C4C38">
        <w:rPr>
          <w:rFonts w:ascii="Tahoma" w:hAnsi="Tahoma" w:cs="Tahoma"/>
          <w:b/>
          <w:bCs/>
          <w:sz w:val="20"/>
          <w:szCs w:val="20"/>
        </w:rPr>
        <w:t>projektnu</w:t>
      </w:r>
      <w:r w:rsidRPr="638C4C38">
        <w:rPr>
          <w:rFonts w:ascii="Tahoma" w:hAnsi="Tahoma" w:cs="Tahoma"/>
          <w:b/>
          <w:bCs/>
          <w:sz w:val="20"/>
          <w:szCs w:val="20"/>
        </w:rPr>
        <w:t xml:space="preserve"> dokumentaciju i ostale aktivnosti navedene u </w:t>
      </w:r>
      <w:r w:rsidR="4AB9FA28" w:rsidRPr="638C4C38">
        <w:rPr>
          <w:rFonts w:ascii="Tahoma" w:hAnsi="Tahoma" w:cs="Tahoma"/>
          <w:b/>
          <w:bCs/>
          <w:sz w:val="20"/>
          <w:szCs w:val="20"/>
        </w:rPr>
        <w:t xml:space="preserve">Tablici </w:t>
      </w:r>
      <w:r w:rsidRPr="638C4C38">
        <w:rPr>
          <w:rFonts w:ascii="Tahoma" w:hAnsi="Tahoma" w:cs="Tahoma"/>
          <w:b/>
          <w:bCs/>
          <w:sz w:val="20"/>
          <w:szCs w:val="20"/>
        </w:rPr>
        <w:t>8</w:t>
      </w:r>
      <w:r w:rsidR="4AB9FA28" w:rsidRPr="638C4C38">
        <w:rPr>
          <w:rFonts w:ascii="Tahoma" w:hAnsi="Tahoma" w:cs="Tahoma"/>
          <w:b/>
          <w:bCs/>
          <w:sz w:val="20"/>
          <w:szCs w:val="20"/>
        </w:rPr>
        <w:t>-</w:t>
      </w:r>
      <w:r w:rsidRPr="638C4C38">
        <w:rPr>
          <w:rFonts w:ascii="Tahoma" w:hAnsi="Tahoma" w:cs="Tahoma"/>
          <w:b/>
          <w:bCs/>
          <w:sz w:val="20"/>
          <w:szCs w:val="20"/>
        </w:rPr>
        <w:t>3.</w:t>
      </w:r>
    </w:p>
    <w:p w14:paraId="600376F6" w14:textId="77777777" w:rsidR="004949CA" w:rsidRPr="006B25E4" w:rsidRDefault="004949CA" w:rsidP="004949CA">
      <w:pPr>
        <w:rPr>
          <w:lang w:eastAsia="hr-HR"/>
        </w:rPr>
      </w:pPr>
    </w:p>
    <w:p w14:paraId="7FF792E1" w14:textId="32657B04" w:rsidR="004949CA" w:rsidRDefault="004949CA" w:rsidP="004949CA">
      <w:pPr>
        <w:pStyle w:val="Naslov10"/>
      </w:pPr>
      <w:bookmarkStart w:id="172" w:name="_Toc81836292"/>
      <w:bookmarkStart w:id="173" w:name="_Toc83912064"/>
      <w:r>
        <w:lastRenderedPageBreak/>
        <w:t>R</w:t>
      </w:r>
      <w:bookmarkEnd w:id="172"/>
      <w:r w:rsidR="00806E72">
        <w:t>a</w:t>
      </w:r>
      <w:r w:rsidR="00AD7888">
        <w:t>zrada modela i scenarija provedbe energetske obnove višestambenih zgrada</w:t>
      </w:r>
      <w:bookmarkEnd w:id="173"/>
    </w:p>
    <w:p w14:paraId="57CAC7EF" w14:textId="6EB2569F" w:rsidR="004949CA" w:rsidRDefault="004949CA" w:rsidP="004949CA">
      <w:pPr>
        <w:pStyle w:val="Naslov20"/>
      </w:pPr>
      <w:bookmarkStart w:id="174" w:name="_Toc72410260"/>
      <w:bookmarkStart w:id="175" w:name="_Toc81836293"/>
      <w:bookmarkStart w:id="176" w:name="_Toc83912065"/>
      <w:r>
        <w:t xml:space="preserve">Model provedbe energetske ili sveobuhvatne obnove </w:t>
      </w:r>
      <w:r w:rsidR="00CC1A2E">
        <w:t xml:space="preserve">višestambenih zgrada </w:t>
      </w:r>
      <w:r>
        <w:t>neoštećenih u potresu</w:t>
      </w:r>
      <w:bookmarkEnd w:id="174"/>
      <w:bookmarkEnd w:id="175"/>
      <w:bookmarkEnd w:id="176"/>
    </w:p>
    <w:p w14:paraId="196501F4" w14:textId="77777777" w:rsidR="004949CA" w:rsidRPr="00E9588A" w:rsidRDefault="004949CA" w:rsidP="00E9588A">
      <w:pPr>
        <w:spacing w:before="120" w:after="120" w:line="240" w:lineRule="auto"/>
        <w:jc w:val="both"/>
        <w:rPr>
          <w:rFonts w:ascii="Tahoma" w:hAnsi="Tahoma" w:cs="Tahoma"/>
          <w:b/>
          <w:bCs/>
          <w:sz w:val="20"/>
          <w:szCs w:val="20"/>
          <w:u w:val="single"/>
          <w:lang w:eastAsia="hr-HR"/>
        </w:rPr>
      </w:pPr>
      <w:r w:rsidRPr="00E9588A">
        <w:rPr>
          <w:rFonts w:ascii="Tahoma" w:hAnsi="Tahoma" w:cs="Tahoma"/>
          <w:b/>
          <w:bCs/>
          <w:sz w:val="20"/>
          <w:szCs w:val="20"/>
          <w:u w:val="single"/>
          <w:lang w:eastAsia="hr-HR"/>
        </w:rPr>
        <w:t xml:space="preserve">Obuhvat modela </w:t>
      </w:r>
    </w:p>
    <w:p w14:paraId="5308B738"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 xml:space="preserve">Prvi model provedbe ovog Programa odnosi se isključivo na VSZ koje nisu oštećene u potresima koji su se dogodili u 2020. godini. Za takve VSZ definira se jedinstveni model provedbe, koji će omogućiti odabir jedne od sljedećih razina obnove: </w:t>
      </w:r>
    </w:p>
    <w:p w14:paraId="1069C76C" w14:textId="77777777" w:rsidR="004949CA" w:rsidRPr="00E9588A" w:rsidRDefault="004949CA" w:rsidP="00E9588A">
      <w:pPr>
        <w:pStyle w:val="Odlomakpopisa"/>
        <w:numPr>
          <w:ilvl w:val="0"/>
          <w:numId w:val="38"/>
        </w:numPr>
        <w:spacing w:before="120" w:after="120"/>
        <w:rPr>
          <w:rFonts w:cs="Tahoma"/>
          <w:szCs w:val="20"/>
        </w:rPr>
      </w:pPr>
      <w:r w:rsidRPr="00E9588A">
        <w:rPr>
          <w:rFonts w:cs="Tahoma"/>
          <w:szCs w:val="20"/>
        </w:rPr>
        <w:t xml:space="preserve">integralnu energetsku obnovu, </w:t>
      </w:r>
    </w:p>
    <w:p w14:paraId="4514392D" w14:textId="77777777" w:rsidR="004949CA" w:rsidRPr="00E9588A" w:rsidRDefault="004949CA" w:rsidP="00E9588A">
      <w:pPr>
        <w:pStyle w:val="Odlomakpopisa"/>
        <w:numPr>
          <w:ilvl w:val="0"/>
          <w:numId w:val="38"/>
        </w:numPr>
        <w:spacing w:before="120" w:after="120"/>
        <w:rPr>
          <w:rFonts w:cs="Tahoma"/>
          <w:szCs w:val="20"/>
        </w:rPr>
      </w:pPr>
      <w:r w:rsidRPr="00E9588A">
        <w:rPr>
          <w:rFonts w:cs="Tahoma"/>
          <w:szCs w:val="20"/>
        </w:rPr>
        <w:t xml:space="preserve">dubinsku obnovu ili </w:t>
      </w:r>
    </w:p>
    <w:p w14:paraId="33E23D01" w14:textId="77777777" w:rsidR="004949CA" w:rsidRPr="00E9588A" w:rsidRDefault="004949CA" w:rsidP="00E9588A">
      <w:pPr>
        <w:pStyle w:val="Odlomakpopisa"/>
        <w:numPr>
          <w:ilvl w:val="0"/>
          <w:numId w:val="38"/>
        </w:numPr>
        <w:spacing w:before="120" w:after="120"/>
        <w:rPr>
          <w:rFonts w:cs="Tahoma"/>
          <w:szCs w:val="20"/>
        </w:rPr>
      </w:pPr>
      <w:r w:rsidRPr="00E9588A">
        <w:rPr>
          <w:rFonts w:cs="Tahoma"/>
          <w:szCs w:val="20"/>
        </w:rPr>
        <w:t xml:space="preserve">sveobuhvatnu obnovu. </w:t>
      </w:r>
    </w:p>
    <w:p w14:paraId="094B180C" w14:textId="27729F5C"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 xml:space="preserve">Model se primjenjuje za sve </w:t>
      </w:r>
      <w:r w:rsidR="00CC1A2E">
        <w:rPr>
          <w:rFonts w:ascii="Tahoma" w:hAnsi="Tahoma" w:cs="Tahoma"/>
          <w:sz w:val="20"/>
          <w:szCs w:val="20"/>
          <w:lang w:eastAsia="hr-HR"/>
        </w:rPr>
        <w:t>višestambene zgrade</w:t>
      </w:r>
      <w:r w:rsidR="00CC1A2E" w:rsidRPr="00E9588A">
        <w:rPr>
          <w:rFonts w:ascii="Tahoma" w:hAnsi="Tahoma" w:cs="Tahoma"/>
          <w:sz w:val="20"/>
          <w:szCs w:val="20"/>
          <w:lang w:eastAsia="hr-HR"/>
        </w:rPr>
        <w:t xml:space="preserve"> </w:t>
      </w:r>
      <w:r w:rsidRPr="00E9588A">
        <w:rPr>
          <w:rFonts w:ascii="Tahoma" w:hAnsi="Tahoma" w:cs="Tahoma"/>
          <w:sz w:val="20"/>
          <w:szCs w:val="20"/>
          <w:lang w:eastAsia="hr-HR"/>
        </w:rPr>
        <w:t xml:space="preserve">bez obzira na godinu izgradnje ili klimatsku zonu. </w:t>
      </w:r>
    </w:p>
    <w:p w14:paraId="20E63F2E" w14:textId="58C7BDBF" w:rsidR="004949CA" w:rsidRPr="00E9588A" w:rsidRDefault="0C3F4C7D" w:rsidP="00E9588A">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Fokus je na VSZ najlošijih energetskih karakteristika, a to su VSZ energetskog razreda (prema </w:t>
      </w:r>
      <w:proofErr w:type="spellStart"/>
      <w:r w:rsidRPr="638C4C38">
        <w:rPr>
          <w:rFonts w:ascii="Tahoma" w:hAnsi="Tahoma" w:cs="Tahoma"/>
          <w:sz w:val="20"/>
          <w:szCs w:val="20"/>
          <w:lang w:eastAsia="hr-HR"/>
        </w:rPr>
        <w:t>Q</w:t>
      </w:r>
      <w:r w:rsidR="2AA45748" w:rsidRPr="638C4C38">
        <w:rPr>
          <w:rFonts w:ascii="Tahoma" w:hAnsi="Tahoma" w:cs="Tahoma"/>
          <w:sz w:val="20"/>
          <w:szCs w:val="20"/>
          <w:lang w:eastAsia="hr-HR"/>
        </w:rPr>
        <w:t>”</w:t>
      </w:r>
      <w:r w:rsidRPr="638C4C38">
        <w:rPr>
          <w:rFonts w:ascii="Tahoma" w:hAnsi="Tahoma" w:cs="Tahoma"/>
          <w:sz w:val="20"/>
          <w:szCs w:val="20"/>
          <w:vertAlign w:val="subscript"/>
          <w:lang w:eastAsia="hr-HR"/>
        </w:rPr>
        <w:t>H,nd</w:t>
      </w:r>
      <w:proofErr w:type="spellEnd"/>
      <w:r w:rsidRPr="638C4C38">
        <w:rPr>
          <w:rFonts w:ascii="Tahoma" w:hAnsi="Tahoma" w:cs="Tahoma"/>
          <w:sz w:val="20"/>
          <w:szCs w:val="20"/>
          <w:lang w:eastAsia="hr-HR"/>
        </w:rPr>
        <w:t>) minimalno D ili lošijeg u kontinentalnoj Hrvatskoj ili C ili lošijeg u primorskoj Hrvatskoj. Na ovaj se način raspoloživa financijska sredstva usmjeravaju prvo na zgrade s najlošijim energetskim karakteristikama, što je u skladu s Dugoročnom strategijom.</w:t>
      </w:r>
    </w:p>
    <w:p w14:paraId="3C1291BE" w14:textId="58D2A26F"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Zgrade koje su zaštićene kao pojedinačno kulturno dobro ili se nalaze unutar kulturno-povijesne cjeline mogu se obnavljati po ovom Programu, ukoliko mogu ispuniti njegove uvjete. Projektna dokumentacija mora imati sve potrebne potvrde i suglasnosti nadležnih tijela</w:t>
      </w:r>
      <w:r w:rsidR="000718D6">
        <w:rPr>
          <w:rFonts w:ascii="Tahoma" w:hAnsi="Tahoma" w:cs="Tahoma"/>
          <w:sz w:val="20"/>
          <w:szCs w:val="20"/>
          <w:lang w:eastAsia="hr-HR"/>
        </w:rPr>
        <w:t>,</w:t>
      </w:r>
      <w:r w:rsidR="000718D6" w:rsidRPr="00E9588A">
        <w:rPr>
          <w:rFonts w:ascii="Tahoma" w:hAnsi="Tahoma" w:cs="Tahoma"/>
          <w:sz w:val="20"/>
          <w:szCs w:val="20"/>
          <w:lang w:eastAsia="hr-HR"/>
        </w:rPr>
        <w:t xml:space="preserve"> </w:t>
      </w:r>
      <w:r w:rsidR="00DC6A25" w:rsidRPr="00B51387">
        <w:rPr>
          <w:rFonts w:ascii="Tahoma" w:hAnsi="Tahoma" w:cs="Tahoma"/>
          <w:sz w:val="20"/>
          <w:szCs w:val="20"/>
          <w:lang w:eastAsia="hr-HR"/>
        </w:rPr>
        <w:t>uključujući ministarstva nadležnog za poslove kulture te izrađena od osobe sa potrebnim dopuštenjem za obavljanje poslova na zaštiti i očuvanju kulturnih dobara</w:t>
      </w:r>
      <w:r w:rsidR="000718D6">
        <w:rPr>
          <w:rFonts w:ascii="Tahoma" w:hAnsi="Tahoma" w:cs="Tahoma"/>
          <w:color w:val="00B050"/>
          <w:sz w:val="20"/>
          <w:szCs w:val="20"/>
          <w:lang w:eastAsia="hr-HR"/>
        </w:rPr>
        <w:t>.</w:t>
      </w:r>
      <w:r w:rsidR="00DC6A25">
        <w:rPr>
          <w:rFonts w:ascii="Tahoma" w:hAnsi="Tahoma" w:cs="Tahoma"/>
          <w:sz w:val="20"/>
          <w:szCs w:val="20"/>
          <w:lang w:eastAsia="hr-HR"/>
        </w:rPr>
        <w:t xml:space="preserve"> </w:t>
      </w:r>
      <w:r w:rsidRPr="00E9588A">
        <w:rPr>
          <w:rFonts w:ascii="Tahoma" w:hAnsi="Tahoma" w:cs="Tahoma"/>
          <w:sz w:val="20"/>
          <w:szCs w:val="20"/>
          <w:lang w:eastAsia="hr-HR"/>
        </w:rPr>
        <w:t xml:space="preserve">Za one zgrade koje to ne mogu, obnova se treba omogućiti kroz mjeru ENU-6: Program energetske obnove zgrada koje imaju status kulturnog dobra iz Dugoročne strategije. </w:t>
      </w:r>
    </w:p>
    <w:p w14:paraId="2F6DEB2F" w14:textId="77777777" w:rsidR="004949CA" w:rsidRPr="00E9588A" w:rsidRDefault="004949CA" w:rsidP="00E9588A">
      <w:pPr>
        <w:spacing w:before="120" w:after="120" w:line="240" w:lineRule="auto"/>
        <w:jc w:val="both"/>
        <w:rPr>
          <w:rFonts w:ascii="Tahoma" w:hAnsi="Tahoma" w:cs="Tahoma"/>
          <w:b/>
          <w:bCs/>
          <w:sz w:val="20"/>
          <w:szCs w:val="20"/>
          <w:u w:val="single"/>
          <w:lang w:eastAsia="hr-HR"/>
        </w:rPr>
      </w:pPr>
      <w:r w:rsidRPr="00E9588A">
        <w:rPr>
          <w:rFonts w:ascii="Tahoma" w:hAnsi="Tahoma" w:cs="Tahoma"/>
          <w:b/>
          <w:bCs/>
          <w:sz w:val="20"/>
          <w:szCs w:val="20"/>
          <w:u w:val="single"/>
          <w:lang w:eastAsia="hr-HR"/>
        </w:rPr>
        <w:t>Prihvatljive mjere i troškovi</w:t>
      </w:r>
    </w:p>
    <w:p w14:paraId="26E436A7" w14:textId="0DDCD0CD" w:rsidR="004949CA" w:rsidRPr="00E9588A" w:rsidRDefault="0C3F4C7D" w:rsidP="00E9588A">
      <w:pPr>
        <w:spacing w:before="120" w:after="120" w:line="240" w:lineRule="auto"/>
        <w:jc w:val="both"/>
        <w:rPr>
          <w:rFonts w:ascii="Tahoma" w:hAnsi="Tahoma" w:cs="Tahoma"/>
          <w:b/>
          <w:bCs/>
          <w:strike/>
          <w:sz w:val="20"/>
          <w:szCs w:val="20"/>
          <w:lang w:eastAsia="hr-HR"/>
        </w:rPr>
      </w:pPr>
      <w:r w:rsidRPr="638C4C38">
        <w:rPr>
          <w:rFonts w:ascii="Tahoma" w:hAnsi="Tahoma" w:cs="Tahoma"/>
          <w:sz w:val="20"/>
          <w:szCs w:val="20"/>
          <w:lang w:eastAsia="hr-HR"/>
        </w:rPr>
        <w:t xml:space="preserve">Mjere koje su prihvatljive za sufinanciranje unutar svake kategorije obnove kao i prihvatljivi troškovi sufinanciranja i stope sufinanciranja okvirno su definirane u prethodnom poglavlju, uz napomenu da se </w:t>
      </w:r>
      <w:r w:rsidRPr="638C4C38">
        <w:rPr>
          <w:rFonts w:ascii="Tahoma" w:hAnsi="Tahoma" w:cs="Tahoma"/>
          <w:b/>
          <w:bCs/>
          <w:sz w:val="20"/>
          <w:szCs w:val="20"/>
          <w:lang w:eastAsia="hr-HR"/>
        </w:rPr>
        <w:t>i mjere i prihvatljivi troškovi propisuju  javnim pozivima/programima kreditiranja kojima će provoditi ovaj Program</w:t>
      </w:r>
      <w:r w:rsidRPr="638C4C38">
        <w:rPr>
          <w:rFonts w:ascii="Tahoma" w:hAnsi="Tahoma" w:cs="Tahoma"/>
          <w:sz w:val="20"/>
          <w:szCs w:val="20"/>
          <w:lang w:eastAsia="hr-HR"/>
        </w:rPr>
        <w:t xml:space="preserve">. </w:t>
      </w:r>
    </w:p>
    <w:p w14:paraId="1C117093" w14:textId="77777777" w:rsidR="004949CA" w:rsidRPr="00E9588A" w:rsidRDefault="004949CA" w:rsidP="00E9588A">
      <w:pPr>
        <w:spacing w:before="120" w:after="120" w:line="240" w:lineRule="auto"/>
        <w:jc w:val="both"/>
        <w:rPr>
          <w:rFonts w:ascii="Tahoma" w:hAnsi="Tahoma" w:cs="Tahoma"/>
          <w:b/>
          <w:bCs/>
          <w:strike/>
          <w:sz w:val="20"/>
          <w:szCs w:val="20"/>
          <w:lang w:eastAsia="hr-HR"/>
        </w:rPr>
      </w:pPr>
      <w:r w:rsidRPr="00E9588A">
        <w:rPr>
          <w:rFonts w:ascii="Tahoma" w:hAnsi="Tahoma" w:cs="Tahoma"/>
          <w:b/>
          <w:bCs/>
          <w:sz w:val="20"/>
          <w:szCs w:val="20"/>
          <w:lang w:eastAsia="hr-HR"/>
        </w:rPr>
        <w:t xml:space="preserve">Javni pozivi/programi kreditiranja koji se provode prema ovom Programu moraju dobiti suglasnost MPGI prije objave.  </w:t>
      </w:r>
    </w:p>
    <w:p w14:paraId="17CBEB49" w14:textId="77777777" w:rsidR="004949CA" w:rsidRPr="00E9588A" w:rsidRDefault="004949CA" w:rsidP="00E9588A">
      <w:pPr>
        <w:spacing w:before="120" w:after="120" w:line="240" w:lineRule="auto"/>
        <w:jc w:val="both"/>
        <w:rPr>
          <w:rFonts w:ascii="Tahoma" w:hAnsi="Tahoma" w:cs="Tahoma"/>
          <w:b/>
          <w:bCs/>
          <w:sz w:val="20"/>
          <w:szCs w:val="20"/>
          <w:u w:val="single"/>
          <w:lang w:eastAsia="hr-HR"/>
        </w:rPr>
      </w:pPr>
      <w:r w:rsidRPr="00E9588A">
        <w:rPr>
          <w:rFonts w:ascii="Tahoma" w:hAnsi="Tahoma" w:cs="Tahoma"/>
          <w:b/>
          <w:bCs/>
          <w:sz w:val="20"/>
          <w:szCs w:val="20"/>
          <w:u w:val="single"/>
          <w:lang w:eastAsia="hr-HR"/>
        </w:rPr>
        <w:t xml:space="preserve">Prihvatljivi prijavitelji odnosno korisnici sredstava </w:t>
      </w:r>
    </w:p>
    <w:p w14:paraId="050DFE6E"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 xml:space="preserve">Suvlasnici VSZ su prihvatljivi korisnici bespovratnih sredstava. Za donošenje odluke o energetskoj obnovi zgrade potrebna je natpolovična suglasnost suvlasnika, koja se računa po suvlasničkim dijelovima. </w:t>
      </w:r>
    </w:p>
    <w:p w14:paraId="04E66A34"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U ime i za račun suvlasnika VSZ, prijavu za ostvarenje prava na sufinanciranje može podnijeti ovlašteni predstavnik suvlasnika zgrade (predstavnik suvlasnika) ili upravitelj zgrade u ime i za račun suvlasnika zgrade. Ukoliko postoji više predstavnika suvlasnika i/ili više upravitelja VSZ koja predstavlja jedinstvenu arhitektonsku cjelinu, tada predstavnici suvlasnika opunomoćuju jednog predstavnika suvlasnika ili jednog upravitelja zgrade koji podnosi projektni prijedlog.</w:t>
      </w:r>
    </w:p>
    <w:p w14:paraId="1684EEC3" w14:textId="1CA152F8" w:rsidR="004949CA" w:rsidRPr="00E9588A" w:rsidRDefault="0C3F4C7D" w:rsidP="00E9588A">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Također je potrebno omogućiti i promovirati da se unutar jedne projektne prijave uključi više zgrada i to onih koje se nalaze na istoj mikrolokaciji (gradski blok ili kvart), a posebice onih koje su istih ili sličnih </w:t>
      </w:r>
      <w:r w:rsidRPr="638C4C38">
        <w:rPr>
          <w:rFonts w:ascii="Tahoma" w:hAnsi="Tahoma" w:cs="Tahoma"/>
          <w:sz w:val="20"/>
          <w:szCs w:val="20"/>
          <w:lang w:eastAsia="hr-HR"/>
        </w:rPr>
        <w:lastRenderedPageBreak/>
        <w:t xml:space="preserve">arhitektonskih karakteristika, koje omogućavaju izradu tipske dokumentacije koja će odgovarati svim obuhvaćenim zgradama. Cilj ovakvog 'agregiranja' zgrada u jednu projektnu prijavu je osigurati jedinstvena arhitektonska i energetska rješenja na razini bloka odnosno kvarta te smanjiti cijene kako pripreme projektne dokumentacije tako i cjelokupne obnove (popusti na količine). Osim toga, ovakvo 'agregiranje' projekata smanjit će i administrativno opterećenje jer će se smanjiti broj ugovora i postupaka u odnosu na situaciju u kojoj jedan ugovor uvijek znači jednu zgradu. U prvom razdoblju provedbe Programa, potrebno je analizirati </w:t>
      </w:r>
      <w:r w:rsidR="11D60F09" w:rsidRPr="638C4C38">
        <w:rPr>
          <w:rFonts w:ascii="Tahoma" w:hAnsi="Tahoma" w:cs="Tahoma"/>
          <w:sz w:val="20"/>
          <w:szCs w:val="20"/>
          <w:lang w:eastAsia="hr-HR"/>
        </w:rPr>
        <w:t>izvodljivost</w:t>
      </w:r>
      <w:r w:rsidRPr="638C4C38">
        <w:rPr>
          <w:rFonts w:ascii="Tahoma" w:hAnsi="Tahoma" w:cs="Tahoma"/>
          <w:sz w:val="20"/>
          <w:szCs w:val="20"/>
          <w:lang w:eastAsia="hr-HR"/>
        </w:rPr>
        <w:t xml:space="preserve"> ovakvog pristupa, promovirati ga, ali ga nikako ne postavljati kao obvezujući, jer okrupnjavanje projekata zasigurno neće biti lagan posao. Svakako treba informirati upravitelje zgrada, koji u svom portfelju imaju više zgrada na jednoj mikrolokaciji, o razmatranju ovakvog pristupa. Treba poticati i udruživanje upravitelja, pri čemu bi uvijek jedan upravitelj bio nositelj prijave, putem suglasnosti ostalih upravitelja. Jedan od načina poticanja ovakvog pristupa jest i sufinanciranje aktivnosti uređenja okoliša, tj. zelenih i sivih površina koje se nalaze u neposrednoj blizini obuhvaćenih zgrada, ali i zajedničkih energetskih rješenja, ukoliko su moguća, kao primjerice zajedničke kotlovnice za osiguravanje toplinske energije za grijanje/hlađenje i pripremu PTV. Kako bi se potaknulo agregiranje projekata, </w:t>
      </w:r>
      <w:r w:rsidRPr="638C4C38">
        <w:rPr>
          <w:rFonts w:ascii="Tahoma" w:hAnsi="Tahoma" w:cs="Tahoma"/>
          <w:b/>
          <w:bCs/>
          <w:sz w:val="20"/>
          <w:szCs w:val="20"/>
          <w:lang w:eastAsia="hr-HR"/>
        </w:rPr>
        <w:t>potrebno je osigurati sufinanciranje ovog troška u iznosu od 85%, s time da se prihvatljivim smatra dodatni trošak upravljanja projektom prema Tablici 8-3.</w:t>
      </w:r>
      <w:r w:rsidRPr="638C4C38">
        <w:rPr>
          <w:rFonts w:ascii="Tahoma" w:hAnsi="Tahoma" w:cs="Tahoma"/>
          <w:sz w:val="20"/>
          <w:szCs w:val="20"/>
          <w:lang w:eastAsia="hr-HR"/>
        </w:rPr>
        <w:t xml:space="preserve"> Odluka o uključivanju mogućnosti agregiranja projekata u javne pozive/programe kreditiranja donijet će se na temelju analize izvodljivosti uspostave modela agregiranja projekata VSZ. Ukoliko se utvrdi da je model izvediv, njegova će primjena početi u drugom trogodišnjem razdoblju provedbe ovoga Programa. </w:t>
      </w:r>
    </w:p>
    <w:p w14:paraId="04C86637" w14:textId="77777777" w:rsidR="004949CA" w:rsidRPr="00E9588A" w:rsidRDefault="004949CA" w:rsidP="00E9588A">
      <w:pPr>
        <w:spacing w:before="120" w:after="120" w:line="240" w:lineRule="auto"/>
        <w:jc w:val="both"/>
        <w:rPr>
          <w:rFonts w:ascii="Tahoma" w:hAnsi="Tahoma" w:cs="Tahoma"/>
          <w:b/>
          <w:bCs/>
          <w:sz w:val="20"/>
          <w:szCs w:val="20"/>
          <w:u w:val="single"/>
          <w:lang w:eastAsia="hr-HR"/>
        </w:rPr>
      </w:pPr>
      <w:r w:rsidRPr="00E9588A">
        <w:rPr>
          <w:rFonts w:ascii="Tahoma" w:hAnsi="Tahoma" w:cs="Tahoma"/>
          <w:b/>
          <w:bCs/>
          <w:sz w:val="20"/>
          <w:szCs w:val="20"/>
          <w:u w:val="single"/>
          <w:lang w:eastAsia="hr-HR"/>
        </w:rPr>
        <w:t>Financijski mehanizam</w:t>
      </w:r>
    </w:p>
    <w:p w14:paraId="17060860"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 xml:space="preserve">Model provedbe u prvom trogodišnjem razdoblju predstavlja nastavak dosadašnje prakse, koja podrazumijeva osiguravanje bespovratnih sredstava iz EU izvora (NPOO) te provedbu javnih poziva za sufinanciranje obnove. Model se predlaže jer je poznat i uhodan te ga je nužno brzo pokrenuti kako bi se započeo novi ciklus obnova te kako bi se već pripremljeni projekti doista i realizirali, čime će se vratiti povjerenje suvlasnika da država nastavlja s poticanjem energetske obnove VSZ. Model temeljen na javnim pozivima za dodjelu bespovratnih sredstava primjenjuje se u prve tri godine razdoblja ovoga Programa (od 2022. do 2024. godine), u kojemu se kontinuirano analiziraju rezultati i identificiraju eventualni problemi u provedbi i postizanju zacrtanih ciljeva. </w:t>
      </w:r>
    </w:p>
    <w:p w14:paraId="5D7C0DC9"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 xml:space="preserve">Paralelno s provedbom javnih poziva u skladu s raspoloživim sredstvima i prema postojećem modelu, u prvom trogodišnjem razdoblju, MRRFEU i MPGI u suradnji s HBOR-om raditi će na uspostavi novog financijskog instrumenta, koji će kombinirati kredite i bespovratna sredstva, ali koji će također biti privlačan za privlačenje dodatnih sredstava domaćih i međunarodnih financijskih institucija. Uspostava financijskog instrumenta s komponentnom bespovratnih sredstava se snažno potiče ovim Programom, jer će omogućiti kontinuiranost provedbe. čime se smanjuju pritisci na tržište i smanjuje administrativno opterećenje.  Za uspostavu financijskog instrumenta predviđa se korištenje ESIF sredstava u skladu s višegodišnjim financijskim okvirom 2021. – 2027. godine. </w:t>
      </w:r>
    </w:p>
    <w:p w14:paraId="7B29B9B9"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b/>
          <w:bCs/>
          <w:sz w:val="20"/>
          <w:szCs w:val="20"/>
          <w:lang w:eastAsia="hr-HR"/>
        </w:rPr>
        <w:t>Zaključno, Programom se predviđa uvođenje financijskog instrumenta te se zadužuju MRRFEU, MPGI i HBOR da razrade takav financijski instrument tijekom prvog trogodišnjeg razdoblja provedbe Programa</w:t>
      </w:r>
      <w:r w:rsidRPr="00E9588A">
        <w:rPr>
          <w:rFonts w:ascii="Tahoma" w:hAnsi="Tahoma" w:cs="Tahoma"/>
          <w:sz w:val="20"/>
          <w:szCs w:val="20"/>
          <w:lang w:eastAsia="hr-HR"/>
        </w:rPr>
        <w:t xml:space="preserve">. </w:t>
      </w:r>
    </w:p>
    <w:p w14:paraId="0AC6E905" w14:textId="77777777" w:rsidR="004949CA" w:rsidRPr="00E9588A" w:rsidRDefault="004949CA" w:rsidP="00E9588A">
      <w:pPr>
        <w:spacing w:before="120" w:after="120" w:line="240" w:lineRule="auto"/>
        <w:jc w:val="both"/>
        <w:rPr>
          <w:rFonts w:ascii="Tahoma" w:hAnsi="Tahoma" w:cs="Tahoma"/>
          <w:b/>
          <w:bCs/>
          <w:sz w:val="20"/>
          <w:szCs w:val="20"/>
          <w:u w:val="single"/>
          <w:lang w:eastAsia="hr-HR"/>
        </w:rPr>
      </w:pPr>
      <w:r w:rsidRPr="00E9588A">
        <w:rPr>
          <w:rFonts w:ascii="Tahoma" w:hAnsi="Tahoma" w:cs="Tahoma"/>
          <w:b/>
          <w:bCs/>
          <w:sz w:val="20"/>
          <w:szCs w:val="20"/>
          <w:u w:val="single"/>
          <w:lang w:eastAsia="hr-HR"/>
        </w:rPr>
        <w:t>Koraci provedbe za razdoblje 2022. -2024.</w:t>
      </w:r>
    </w:p>
    <w:p w14:paraId="0BE60D35" w14:textId="6B43016A" w:rsidR="004949CA" w:rsidRPr="00E9588A" w:rsidRDefault="0C3F4C7D" w:rsidP="00E9588A">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Koraci provedbe modela temeljenog na dodjeli bespovratnih sredstava putem javnih poziva koje objavljuje MPGI opisani su u nastavku. Bespovratna sredstva se u prvom pozivu osiguravaju iz Mehanizma za oporavak i otpornost u skladu s NPOO (vidjeti poglavlje 11.). Provedbeni mehanizam ima iste temeljene karakteristike kao mehanizam korišten u zadnjem javnom pozivu za korištenje ESIF sredstava 2016. godine. Provedba će se provoditi po zajedničkim EU pravilima koja će raspisati nadležno upravljačko tijelo pa su </w:t>
      </w:r>
      <w:r w:rsidRPr="638C4C38">
        <w:rPr>
          <w:rFonts w:ascii="Tahoma" w:hAnsi="Tahoma" w:cs="Tahoma"/>
          <w:b/>
          <w:bCs/>
          <w:sz w:val="20"/>
          <w:szCs w:val="20"/>
          <w:lang w:eastAsia="hr-HR"/>
        </w:rPr>
        <w:t>koraci provedbe ovdje navedeni samo okvirn</w:t>
      </w:r>
      <w:r w:rsidR="619BC281" w:rsidRPr="638C4C38">
        <w:rPr>
          <w:rFonts w:ascii="Tahoma" w:hAnsi="Tahoma" w:cs="Tahoma"/>
          <w:b/>
          <w:bCs/>
          <w:sz w:val="20"/>
          <w:szCs w:val="20"/>
          <w:lang w:eastAsia="hr-HR"/>
        </w:rPr>
        <w:t>o</w:t>
      </w:r>
      <w:r w:rsidRPr="638C4C38">
        <w:rPr>
          <w:rFonts w:ascii="Tahoma" w:hAnsi="Tahoma" w:cs="Tahoma"/>
          <w:b/>
          <w:bCs/>
          <w:sz w:val="20"/>
          <w:szCs w:val="20"/>
          <w:lang w:eastAsia="hr-HR"/>
        </w:rPr>
        <w:t xml:space="preserve"> te će se detaljno raspisivati u javnim pozivima</w:t>
      </w:r>
      <w:r w:rsidRPr="638C4C38">
        <w:rPr>
          <w:rFonts w:ascii="Tahoma" w:hAnsi="Tahoma" w:cs="Tahoma"/>
          <w:sz w:val="20"/>
          <w:szCs w:val="20"/>
          <w:lang w:eastAsia="hr-HR"/>
        </w:rPr>
        <w:t xml:space="preserve">. </w:t>
      </w:r>
    </w:p>
    <w:p w14:paraId="13955A10" w14:textId="77777777" w:rsidR="004949CA" w:rsidRPr="00E9588A" w:rsidRDefault="004949CA" w:rsidP="00E9588A">
      <w:pPr>
        <w:spacing w:before="120" w:after="120" w:line="240" w:lineRule="auto"/>
        <w:jc w:val="both"/>
        <w:rPr>
          <w:rFonts w:ascii="Tahoma" w:hAnsi="Tahoma" w:cs="Tahoma"/>
          <w:b/>
          <w:bCs/>
          <w:sz w:val="20"/>
          <w:szCs w:val="20"/>
          <w:lang w:eastAsia="hr-HR"/>
        </w:rPr>
      </w:pPr>
      <w:r w:rsidRPr="00E9588A">
        <w:rPr>
          <w:rFonts w:ascii="Tahoma" w:hAnsi="Tahoma" w:cs="Tahoma"/>
          <w:b/>
          <w:bCs/>
          <w:sz w:val="20"/>
          <w:szCs w:val="20"/>
          <w:lang w:eastAsia="hr-HR"/>
        </w:rPr>
        <w:t xml:space="preserve">1. korak: priprema provedbe i promocija </w:t>
      </w:r>
    </w:p>
    <w:p w14:paraId="63ACC6F1" w14:textId="09499593" w:rsidR="004949CA" w:rsidRPr="00E9588A" w:rsidRDefault="137C0FFA" w:rsidP="2617B706">
      <w:pPr>
        <w:pStyle w:val="Odlomakpopisa"/>
        <w:keepLines w:val="0"/>
        <w:numPr>
          <w:ilvl w:val="0"/>
          <w:numId w:val="19"/>
        </w:numPr>
        <w:spacing w:before="120" w:after="120"/>
        <w:ind w:left="714" w:hanging="357"/>
        <w:rPr>
          <w:rFonts w:cs="Tahoma"/>
        </w:rPr>
      </w:pPr>
      <w:r w:rsidRPr="2617B706">
        <w:rPr>
          <w:rFonts w:cs="Tahoma"/>
        </w:rPr>
        <w:t xml:space="preserve">MPGI informira javnost o Programu odmah po njegovom usvajanju na način propisano Zakonom o sustavu strateškog planiranja i upravljanja razvojem </w:t>
      </w:r>
      <w:r w:rsidR="21CEAF97" w:rsidRPr="2617B706">
        <w:rPr>
          <w:rFonts w:cs="Tahoma"/>
        </w:rPr>
        <w:t>Republike Hrvatske</w:t>
      </w:r>
      <w:r w:rsidRPr="2617B706">
        <w:rPr>
          <w:rFonts w:cs="Tahoma"/>
        </w:rPr>
        <w:t xml:space="preserve"> koji kaže da Nositelj izrade nacionalnog plana radi odgovarajućeg informiranja, komunikacije i vidljivosti postupka planiranja javnih politika obvezno izrađuje i donosi komunikacijsku strategiju i komunikacijski akcijski plan u roku od 90 dana od dana stupanja na snagu odluke Vlade o donošenju akta </w:t>
      </w:r>
      <w:r w:rsidRPr="2617B706">
        <w:rPr>
          <w:rFonts w:cs="Tahoma"/>
        </w:rPr>
        <w:lastRenderedPageBreak/>
        <w:t>strateškog planiranja. MPGI najavljuje raspisivanje javnog poziva te promovira energetsku obnovu VSZ kroz uobičajene komunikacijske kanale (konferencije i priopćenja za medije, sudjelovanje u informativnim i edukativnim radijskim i televizijskim emisijama, širenje informacija putem mrežnih stranica i društvenih medija, itd.). U ove se aktivnosti uključuje i FZOEU.</w:t>
      </w:r>
    </w:p>
    <w:p w14:paraId="7658EF0D" w14:textId="77777777" w:rsidR="004949CA" w:rsidRPr="00E9588A" w:rsidRDefault="137C0FFA" w:rsidP="2617B706">
      <w:pPr>
        <w:pStyle w:val="Odlomakpopisa"/>
        <w:numPr>
          <w:ilvl w:val="0"/>
          <w:numId w:val="19"/>
        </w:numPr>
        <w:spacing w:before="120" w:after="120"/>
        <w:rPr>
          <w:rFonts w:cs="Tahoma"/>
        </w:rPr>
      </w:pPr>
      <w:r w:rsidRPr="2617B706">
        <w:rPr>
          <w:rFonts w:cs="Tahoma"/>
        </w:rPr>
        <w:t>MPGI izrađuje javni poziv za sufinanciranje energetske obnove VSZ s jasnim i transparentnim kriterijima za dodjelu sredstava. Tehnički i financijski kriteriji u javnom pozivu moraju biti usklađeni s kriterijima danima u ovom Programu u bitnim odrednicama, dok se prihvatljive mjere i maksimalni iznosi prihvatljivih troškova redovito ažuriraju kroz javne pozive. U javnim pozivima se detaljno propisuje potrebna dokumentacija za prijavu, uz minimalno zadovoljavanje uvjeta danih u poglavlju 8. ovoga Programa.</w:t>
      </w:r>
    </w:p>
    <w:p w14:paraId="4CD7CE51" w14:textId="77777777" w:rsidR="004949CA" w:rsidRPr="00E9588A" w:rsidRDefault="137C0FFA" w:rsidP="2617B706">
      <w:pPr>
        <w:pStyle w:val="Odlomakpopisa"/>
        <w:numPr>
          <w:ilvl w:val="0"/>
          <w:numId w:val="19"/>
        </w:numPr>
        <w:spacing w:before="120" w:after="120"/>
        <w:rPr>
          <w:rFonts w:cs="Tahoma"/>
        </w:rPr>
      </w:pPr>
      <w:r w:rsidRPr="2617B706">
        <w:rPr>
          <w:rFonts w:cs="Tahoma"/>
        </w:rPr>
        <w:t xml:space="preserve">MPGI objavljuje na svojim mrežnim stranicama najavu javnog poziva. Informacija o namjeri objavljivanja javnog poziva dostavlja se i medijima. MPGI će, u cilju što boljeg informiranja javnosti, provesti informativno-edukativnu kampanju o načinu i uvjetima javnog poziva za energetsku obnovu VSZ te osigurati prisutnost informacija o javnom pozivu u medijima tijekom njegovog trajanja. </w:t>
      </w:r>
    </w:p>
    <w:p w14:paraId="0E12D85D" w14:textId="77777777" w:rsidR="004949CA" w:rsidRPr="00E9588A" w:rsidRDefault="004949CA" w:rsidP="00E9588A">
      <w:pPr>
        <w:spacing w:before="120" w:after="120" w:line="240" w:lineRule="auto"/>
        <w:jc w:val="both"/>
        <w:rPr>
          <w:rFonts w:ascii="Tahoma" w:hAnsi="Tahoma" w:cs="Tahoma"/>
          <w:b/>
          <w:bCs/>
          <w:sz w:val="20"/>
          <w:szCs w:val="20"/>
          <w:lang w:eastAsia="hr-HR"/>
        </w:rPr>
      </w:pPr>
      <w:r w:rsidRPr="00E9588A">
        <w:rPr>
          <w:rFonts w:ascii="Tahoma" w:hAnsi="Tahoma" w:cs="Tahoma"/>
          <w:b/>
          <w:bCs/>
          <w:sz w:val="20"/>
          <w:szCs w:val="20"/>
          <w:lang w:eastAsia="hr-HR"/>
        </w:rPr>
        <w:t xml:space="preserve">2. korak: provedba javnog poziva za dodjelu bespovratnih sredstava </w:t>
      </w:r>
    </w:p>
    <w:p w14:paraId="04032096" w14:textId="77777777" w:rsidR="004949CA" w:rsidRPr="00E9588A" w:rsidRDefault="137C0FFA" w:rsidP="2617B706">
      <w:pPr>
        <w:pStyle w:val="Odlomakpopisa"/>
        <w:numPr>
          <w:ilvl w:val="0"/>
          <w:numId w:val="19"/>
        </w:numPr>
        <w:spacing w:before="120" w:after="120"/>
        <w:rPr>
          <w:rFonts w:cs="Tahoma"/>
        </w:rPr>
      </w:pPr>
      <w:r w:rsidRPr="2617B706">
        <w:rPr>
          <w:rFonts w:cs="Tahoma"/>
        </w:rPr>
        <w:t xml:space="preserve">MPGI objavljuje javni poziv za dodjelu bespovratnih sredstava za energetsku obnovu VSZ u kojem se detaljno propisuju uvjeti i sva potrebna dokumentacija za prijavu. </w:t>
      </w:r>
    </w:p>
    <w:p w14:paraId="0705C1D5" w14:textId="3C4BA443" w:rsidR="004949CA" w:rsidRPr="00E9588A" w:rsidRDefault="137C0FFA" w:rsidP="2617B706">
      <w:pPr>
        <w:pStyle w:val="Odlomakpopisa"/>
        <w:numPr>
          <w:ilvl w:val="0"/>
          <w:numId w:val="19"/>
        </w:numPr>
        <w:spacing w:before="120" w:after="120"/>
        <w:rPr>
          <w:rFonts w:cs="Tahoma"/>
        </w:rPr>
      </w:pPr>
      <w:r w:rsidRPr="2617B706">
        <w:rPr>
          <w:rFonts w:cs="Tahoma"/>
        </w:rPr>
        <w:t xml:space="preserve">Prijave se obrađuju u skladu s propisanim procedurama za korištenje sredstava NPOO  te se s uspješnim prijaviteljima sklapa ugovor o sufinanciranju energetske obnove VSZ u ime i za račun suvlasnika VSZ. </w:t>
      </w:r>
    </w:p>
    <w:p w14:paraId="02E9C9B8" w14:textId="77777777" w:rsidR="004949CA" w:rsidRPr="00E9588A" w:rsidRDefault="004949CA" w:rsidP="00E9588A">
      <w:pPr>
        <w:spacing w:before="120" w:after="120" w:line="240" w:lineRule="auto"/>
        <w:jc w:val="both"/>
        <w:rPr>
          <w:rFonts w:ascii="Tahoma" w:hAnsi="Tahoma" w:cs="Tahoma"/>
          <w:b/>
          <w:bCs/>
          <w:sz w:val="20"/>
          <w:szCs w:val="20"/>
          <w:lang w:eastAsia="hr-HR"/>
        </w:rPr>
      </w:pPr>
      <w:r w:rsidRPr="00E9588A">
        <w:rPr>
          <w:rFonts w:ascii="Tahoma" w:hAnsi="Tahoma" w:cs="Tahoma"/>
          <w:b/>
          <w:bCs/>
          <w:sz w:val="20"/>
          <w:szCs w:val="20"/>
          <w:lang w:eastAsia="hr-HR"/>
        </w:rPr>
        <w:t>3. korak: izvođenje radova i plaćanja</w:t>
      </w:r>
    </w:p>
    <w:p w14:paraId="5DEC5A4E" w14:textId="77777777" w:rsidR="004949CA" w:rsidRPr="00E9588A" w:rsidRDefault="137C0FFA" w:rsidP="2617B706">
      <w:pPr>
        <w:pStyle w:val="Odlomakpopisa"/>
        <w:numPr>
          <w:ilvl w:val="0"/>
          <w:numId w:val="36"/>
        </w:numPr>
        <w:spacing w:before="120" w:after="120"/>
        <w:rPr>
          <w:rFonts w:cs="Tahoma"/>
        </w:rPr>
      </w:pPr>
      <w:r w:rsidRPr="2617B706">
        <w:rPr>
          <w:rFonts w:cs="Tahoma"/>
        </w:rPr>
        <w:t>Izvođač radova izvodi ugovorene radove energetske obnove.</w:t>
      </w:r>
    </w:p>
    <w:p w14:paraId="4F514099" w14:textId="77777777" w:rsidR="004949CA" w:rsidRPr="00E9588A" w:rsidRDefault="137C0FFA" w:rsidP="2617B706">
      <w:pPr>
        <w:pStyle w:val="Odlomakpopisa"/>
        <w:numPr>
          <w:ilvl w:val="0"/>
          <w:numId w:val="36"/>
        </w:numPr>
        <w:spacing w:before="120" w:after="120"/>
        <w:rPr>
          <w:rFonts w:cs="Tahoma"/>
        </w:rPr>
      </w:pPr>
      <w:r w:rsidRPr="2617B706">
        <w:rPr>
          <w:rFonts w:cs="Tahoma"/>
        </w:rPr>
        <w:t>Završnim izvješćem nadzornog inženjera potvrđuje se izvedba radova u skladu s glavnim projektom te je to izvješće dio obvezne dokumentacije za isplatu sredstava.</w:t>
      </w:r>
    </w:p>
    <w:p w14:paraId="7B280B64" w14:textId="77777777" w:rsidR="004949CA" w:rsidRPr="00E9588A" w:rsidRDefault="137C0FFA" w:rsidP="2617B706">
      <w:pPr>
        <w:pStyle w:val="Odlomakpopisa"/>
        <w:numPr>
          <w:ilvl w:val="0"/>
          <w:numId w:val="36"/>
        </w:numPr>
        <w:spacing w:before="120" w:after="120"/>
        <w:rPr>
          <w:rFonts w:cs="Tahoma"/>
        </w:rPr>
      </w:pPr>
      <w:r w:rsidRPr="2617B706">
        <w:rPr>
          <w:rFonts w:cs="Tahoma"/>
        </w:rPr>
        <w:t xml:space="preserve">Energetski </w:t>
      </w:r>
      <w:proofErr w:type="spellStart"/>
      <w:r w:rsidRPr="2617B706">
        <w:rPr>
          <w:rFonts w:cs="Tahoma"/>
        </w:rPr>
        <w:t>certifikator</w:t>
      </w:r>
      <w:proofErr w:type="spellEnd"/>
      <w:r w:rsidRPr="2617B706">
        <w:rPr>
          <w:rFonts w:cs="Tahoma"/>
        </w:rPr>
        <w:t xml:space="preserve"> provodi završni energetski pregled, izrađuje izvješće o završnom energetskom pregledu te izdaje energetski certifikat nakon obnove. </w:t>
      </w:r>
    </w:p>
    <w:p w14:paraId="4A49E50D" w14:textId="77777777" w:rsidR="004949CA" w:rsidRPr="00E9588A" w:rsidRDefault="137C0FFA" w:rsidP="2617B706">
      <w:pPr>
        <w:pStyle w:val="Odlomakpopisa"/>
        <w:numPr>
          <w:ilvl w:val="0"/>
          <w:numId w:val="36"/>
        </w:numPr>
        <w:spacing w:before="120" w:after="120"/>
        <w:rPr>
          <w:rFonts w:cs="Tahoma"/>
        </w:rPr>
      </w:pPr>
      <w:r w:rsidRPr="2617B706">
        <w:rPr>
          <w:rFonts w:cs="Tahoma"/>
        </w:rPr>
        <w:t>Korisnik dostavlja nadležnim tijelima svu dokumentaciju za isplatu sredstva, koja se detaljno propisuje u javnom pozivu i ugovoru u roku koji je propisan javnim pozivom odnosno ugovorom.</w:t>
      </w:r>
    </w:p>
    <w:p w14:paraId="0FE508F4" w14:textId="77777777" w:rsidR="004949CA" w:rsidRPr="00E9588A" w:rsidRDefault="137C0FFA" w:rsidP="2617B706">
      <w:pPr>
        <w:pStyle w:val="Odlomakpopisa"/>
        <w:numPr>
          <w:ilvl w:val="0"/>
          <w:numId w:val="36"/>
        </w:numPr>
        <w:spacing w:before="120" w:after="120"/>
        <w:rPr>
          <w:rFonts w:cs="Tahoma"/>
          <w:b/>
          <w:bCs/>
        </w:rPr>
      </w:pPr>
      <w:r w:rsidRPr="2617B706">
        <w:rPr>
          <w:rFonts w:cs="Tahoma"/>
        </w:rPr>
        <w:t xml:space="preserve">Nadležna tijela utvrđuju potpunost dokumentacije za isplatu te isplaćuje sredstva korisniku u roku koji je propisan javnim pozivom odnosno ugovorom. </w:t>
      </w:r>
    </w:p>
    <w:p w14:paraId="60953B53" w14:textId="77777777" w:rsidR="004949CA" w:rsidRPr="00E9588A" w:rsidRDefault="137C0FFA" w:rsidP="2617B706">
      <w:pPr>
        <w:pStyle w:val="Odlomakpopisa"/>
        <w:numPr>
          <w:ilvl w:val="0"/>
          <w:numId w:val="36"/>
        </w:numPr>
        <w:spacing w:before="120" w:after="120"/>
        <w:rPr>
          <w:rFonts w:cs="Tahoma"/>
          <w:b/>
          <w:bCs/>
        </w:rPr>
      </w:pPr>
      <w:r w:rsidRPr="2617B706">
        <w:rPr>
          <w:rFonts w:cs="Tahoma"/>
        </w:rPr>
        <w:t xml:space="preserve">Nadležna tijela zadržavaju pravo provedbe terenske kontrole izvedenih radova energetske obnove prije isplate sredstava i uskrate isplate sredstava ukoliko se utvrdi da energetska obnova nije izvedena u skladu s dokumentacijom za prijavu. </w:t>
      </w:r>
    </w:p>
    <w:p w14:paraId="5811D251" w14:textId="77777777" w:rsidR="004949CA" w:rsidRPr="00E9588A" w:rsidRDefault="004949CA" w:rsidP="00E9588A">
      <w:pPr>
        <w:spacing w:before="120" w:after="120" w:line="240" w:lineRule="auto"/>
        <w:jc w:val="both"/>
        <w:rPr>
          <w:rFonts w:ascii="Tahoma" w:hAnsi="Tahoma" w:cs="Tahoma"/>
          <w:b/>
          <w:bCs/>
          <w:sz w:val="20"/>
          <w:szCs w:val="20"/>
        </w:rPr>
      </w:pPr>
      <w:r w:rsidRPr="00E9588A">
        <w:rPr>
          <w:rFonts w:ascii="Tahoma" w:hAnsi="Tahoma" w:cs="Tahoma"/>
          <w:b/>
          <w:bCs/>
          <w:sz w:val="20"/>
          <w:szCs w:val="20"/>
        </w:rPr>
        <w:t>4. korak: izvješćivanje</w:t>
      </w:r>
    </w:p>
    <w:p w14:paraId="3EBE4E3C" w14:textId="53F01467" w:rsidR="004949CA" w:rsidRPr="00E9588A" w:rsidRDefault="137C0FFA" w:rsidP="2617B706">
      <w:pPr>
        <w:pStyle w:val="Odlomakpopisa"/>
        <w:numPr>
          <w:ilvl w:val="0"/>
          <w:numId w:val="36"/>
        </w:numPr>
        <w:spacing w:before="120" w:after="120"/>
        <w:rPr>
          <w:rFonts w:cs="Tahoma"/>
        </w:rPr>
      </w:pPr>
      <w:r w:rsidRPr="2617B706">
        <w:rPr>
          <w:rFonts w:cs="Tahoma"/>
        </w:rPr>
        <w:t xml:space="preserve">Nadležno tijelo za provedbu javnog poziva je kao davatelj subvencije u smislu Zakona o </w:t>
      </w:r>
      <w:r w:rsidR="228B577D" w:rsidRPr="2617B706">
        <w:rPr>
          <w:rFonts w:cs="Tahoma"/>
        </w:rPr>
        <w:t>energetskoj</w:t>
      </w:r>
      <w:r w:rsidRPr="2617B706">
        <w:rPr>
          <w:rFonts w:cs="Tahoma"/>
        </w:rPr>
        <w:t xml:space="preserve"> učinkovitosti dužan unositi informacije u </w:t>
      </w:r>
      <w:proofErr w:type="spellStart"/>
      <w:r w:rsidRPr="2617B706">
        <w:rPr>
          <w:rFonts w:cs="Tahoma"/>
        </w:rPr>
        <w:t>SMiV</w:t>
      </w:r>
      <w:proofErr w:type="spellEnd"/>
      <w:r w:rsidRPr="2617B706">
        <w:rPr>
          <w:rFonts w:cs="Tahoma"/>
        </w:rPr>
        <w:t xml:space="preserve"> te izvještavati MPGI i MINGOR o rezultatima provedbe Programa i to u sklopu izvješća o realizaciji godišnjeg programa rada i financijskog plana za proteklu godinu kao i na zahtjev nadležnih ministarstava.</w:t>
      </w:r>
    </w:p>
    <w:p w14:paraId="25CC2159" w14:textId="77777777" w:rsidR="004949CA" w:rsidRPr="00E9588A" w:rsidRDefault="137C0FFA" w:rsidP="2617B706">
      <w:pPr>
        <w:pStyle w:val="Odlomakpopisa"/>
        <w:numPr>
          <w:ilvl w:val="0"/>
          <w:numId w:val="36"/>
        </w:numPr>
        <w:spacing w:before="120" w:after="120"/>
        <w:rPr>
          <w:rFonts w:cs="Tahoma"/>
        </w:rPr>
      </w:pPr>
      <w:r w:rsidRPr="2617B706">
        <w:rPr>
          <w:rFonts w:cs="Tahoma"/>
        </w:rPr>
        <w:t xml:space="preserve">Nadležno tijelo je dužno podatke unositi u </w:t>
      </w:r>
      <w:proofErr w:type="spellStart"/>
      <w:r w:rsidRPr="2617B706">
        <w:rPr>
          <w:rFonts w:cs="Tahoma"/>
        </w:rPr>
        <w:t>SMiV</w:t>
      </w:r>
      <w:proofErr w:type="spellEnd"/>
      <w:r w:rsidRPr="2617B706">
        <w:rPr>
          <w:rFonts w:cs="Tahoma"/>
        </w:rPr>
        <w:t xml:space="preserve"> bez zadrške odnosno odmah kada se projekt smatra završenim. </w:t>
      </w:r>
    </w:p>
    <w:p w14:paraId="4F3CCC7C" w14:textId="4FC852DD" w:rsidR="137C0FFA" w:rsidRDefault="137C0FFA" w:rsidP="3A2FA2E0">
      <w:pPr>
        <w:pStyle w:val="Odlomakpopisa"/>
        <w:numPr>
          <w:ilvl w:val="0"/>
          <w:numId w:val="36"/>
        </w:numPr>
        <w:spacing w:before="120" w:after="120"/>
        <w:rPr>
          <w:rFonts w:cs="Tahoma"/>
        </w:rPr>
      </w:pPr>
      <w:r w:rsidRPr="3A2FA2E0">
        <w:rPr>
          <w:rFonts w:cs="Tahoma"/>
        </w:rPr>
        <w:t xml:space="preserve">nadležno tijelo sudjeluju u pripremi izvješća Vladi o ostvarenim aktivnostima, napretku i rezultatima Programa, u skladu sa Zakonom o energetskoj učinkovitosti, na način detaljno opisan u poglavlju 13. ovoga Programa. </w:t>
      </w:r>
    </w:p>
    <w:p w14:paraId="170D250A" w14:textId="4160BE05" w:rsidR="3A2FA2E0" w:rsidRDefault="00A37B90" w:rsidP="76C5F75F">
      <w:pPr>
        <w:spacing w:before="120" w:after="120" w:line="240" w:lineRule="auto"/>
        <w:jc w:val="both"/>
        <w:rPr>
          <w:rFonts w:ascii="Tahoma" w:hAnsi="Tahoma" w:cs="Tahoma"/>
          <w:b/>
          <w:bCs/>
          <w:sz w:val="20"/>
          <w:szCs w:val="20"/>
          <w:lang w:eastAsia="hr-HR"/>
        </w:rPr>
      </w:pPr>
      <w:r>
        <w:rPr>
          <w:rFonts w:ascii="Tahoma" w:hAnsi="Tahoma" w:cs="Tahoma"/>
          <w:b/>
          <w:bCs/>
          <w:sz w:val="20"/>
          <w:szCs w:val="20"/>
          <w:lang w:eastAsia="hr-HR"/>
        </w:rPr>
        <w:t xml:space="preserve">U prvom trogodišnjem razdoblju  2022. -2024. </w:t>
      </w:r>
      <w:r w:rsidR="5C8CCBC0" w:rsidRPr="76C5F75F">
        <w:rPr>
          <w:rFonts w:ascii="Tahoma" w:hAnsi="Tahoma" w:cs="Tahoma"/>
          <w:b/>
          <w:bCs/>
          <w:sz w:val="20"/>
          <w:szCs w:val="20"/>
          <w:lang w:eastAsia="hr-HR"/>
        </w:rPr>
        <w:t xml:space="preserve">MPGI </w:t>
      </w:r>
      <w:r>
        <w:rPr>
          <w:rFonts w:ascii="Tahoma" w:hAnsi="Tahoma" w:cs="Tahoma"/>
          <w:b/>
          <w:bCs/>
          <w:sz w:val="20"/>
          <w:szCs w:val="20"/>
          <w:lang w:eastAsia="hr-HR"/>
        </w:rPr>
        <w:t xml:space="preserve"> je</w:t>
      </w:r>
      <w:r w:rsidR="5C8CCBC0" w:rsidRPr="76C5F75F">
        <w:rPr>
          <w:rFonts w:ascii="Tahoma" w:hAnsi="Tahoma" w:cs="Tahoma"/>
          <w:b/>
          <w:bCs/>
          <w:sz w:val="20"/>
          <w:szCs w:val="20"/>
          <w:lang w:eastAsia="hr-HR"/>
        </w:rPr>
        <w:t xml:space="preserve"> provedbeno tijelo za energetsku </w:t>
      </w:r>
      <w:r>
        <w:rPr>
          <w:rFonts w:ascii="Tahoma" w:hAnsi="Tahoma" w:cs="Tahoma"/>
          <w:b/>
          <w:bCs/>
          <w:sz w:val="20"/>
          <w:szCs w:val="20"/>
          <w:lang w:eastAsia="hr-HR"/>
        </w:rPr>
        <w:t xml:space="preserve"> i </w:t>
      </w:r>
      <w:r w:rsidR="5C8CCBC0" w:rsidRPr="76C5F75F">
        <w:rPr>
          <w:rFonts w:ascii="Tahoma" w:hAnsi="Tahoma" w:cs="Tahoma"/>
          <w:b/>
          <w:bCs/>
          <w:sz w:val="20"/>
          <w:szCs w:val="20"/>
          <w:lang w:eastAsia="hr-HR"/>
        </w:rPr>
        <w:t>sveobuhvatnu obnovu višestambenih zgrada neoštećenih u potresima</w:t>
      </w:r>
    </w:p>
    <w:p w14:paraId="48215003" w14:textId="0753AD6E" w:rsidR="3A2FA2E0" w:rsidRDefault="3A2FA2E0" w:rsidP="76C5F75F">
      <w:pPr>
        <w:spacing w:before="120" w:after="120"/>
        <w:rPr>
          <w:rFonts w:ascii="Tahoma" w:eastAsia="Times New Roman" w:hAnsi="Tahoma" w:cs="Myriad Pro"/>
          <w:sz w:val="20"/>
          <w:szCs w:val="20"/>
        </w:rPr>
      </w:pPr>
    </w:p>
    <w:p w14:paraId="5756E2C9" w14:textId="77777777" w:rsidR="004949CA" w:rsidRPr="00E9588A" w:rsidRDefault="004949CA" w:rsidP="00E9588A">
      <w:pPr>
        <w:spacing w:before="120" w:after="120" w:line="240" w:lineRule="auto"/>
        <w:jc w:val="both"/>
        <w:rPr>
          <w:rFonts w:ascii="Tahoma" w:hAnsi="Tahoma" w:cs="Tahoma"/>
          <w:b/>
          <w:bCs/>
          <w:sz w:val="20"/>
          <w:szCs w:val="20"/>
          <w:u w:val="single"/>
        </w:rPr>
      </w:pPr>
      <w:r w:rsidRPr="00E9588A">
        <w:rPr>
          <w:rFonts w:ascii="Tahoma" w:hAnsi="Tahoma" w:cs="Tahoma"/>
          <w:b/>
          <w:bCs/>
          <w:sz w:val="20"/>
          <w:szCs w:val="20"/>
          <w:u w:val="single"/>
        </w:rPr>
        <w:lastRenderedPageBreak/>
        <w:t>Mogućnost uspostave financijskog instrumenta</w:t>
      </w:r>
    </w:p>
    <w:p w14:paraId="3B471688" w14:textId="77777777"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Kao što je već istaknuto, u prvom trogodišnjem razdoblju provedbe ovog Programa, predviđa se nastavak provedbe po modelu dodjele bespovratnih sredstava putem javnih poziva za što će se koristiti sredstva predviđena u NPOO. No u istom ovom razdoblju, potrebno je intenzivno raditi na uspostavi modela za korištenje ESIF sredstava iz EFRR temeljem OPKK za razdoblje od 2021. do 2027. godine. S obzirom da je programiranje ovog novog financijskog okvira trenutno u tijeku potrebno je, kao prvo, osigurati dostatna sredstva prema projekcijama danima u ovom Programu, a kao drugo, razraditi financijski instrument za korištenje tih sredstava.</w:t>
      </w:r>
    </w:p>
    <w:p w14:paraId="31382D42" w14:textId="77777777"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 xml:space="preserve">Financijski instrument bi se temeljio na kreditnoj liniji za obnovu VSZ koju bi uspostavio HBOR kroz mrežu banaka, koje će biti odabrane temeljem transparentnog postupka javne nabave. Pri tome, kao važni uvjeti za odabir banaka koje bi sudjelovale u instrumentu treba biti kamatna stopa na kredite koje nude (što manja) te veličina vlastitih sredstava koje banke donose u instrument (što veća, kao u primjeru Litve, koji je objašnjen u poglavlju 3.3.), čime bi se povećala ukupno dostupna sredstva za kreditiranje energetske obnove. </w:t>
      </w:r>
    </w:p>
    <w:p w14:paraId="532D0C40" w14:textId="03ECBC24"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 xml:space="preserve">Financijski instrument treba osmisliti na način da ostvari što veći učinak financijske poluge kako bi se relativno oskudnim ESIF sredstvima ostvario što veći broj investicija. Optimalno, proizvod bi </w:t>
      </w:r>
      <w:r w:rsidR="00E9588A" w:rsidRPr="00E9588A">
        <w:rPr>
          <w:rFonts w:ascii="Tahoma" w:hAnsi="Tahoma" w:cs="Tahoma"/>
          <w:sz w:val="20"/>
          <w:szCs w:val="20"/>
        </w:rPr>
        <w:t>kombinirao</w:t>
      </w:r>
      <w:r w:rsidRPr="00E9588A">
        <w:rPr>
          <w:rFonts w:ascii="Tahoma" w:hAnsi="Tahoma" w:cs="Tahoma"/>
          <w:sz w:val="20"/>
          <w:szCs w:val="20"/>
        </w:rPr>
        <w:t xml:space="preserve"> ESIF sredstva sa sredstvima poslovnih banaka/međunarodnih financijskih institucija i trebao omogućiti nisku cijenu financiranja uz niske uvjete osiguranja i maksimalno dugu ročnost.</w:t>
      </w:r>
    </w:p>
    <w:p w14:paraId="023BD3D6" w14:textId="77777777"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 xml:space="preserve">U provedbi ovog modela, potrebno je osigurati tehničku pomoć i to za evaluaciju projektnih prijedloga koji se prijavljuju za kreditiranje i za verifikaciju provedenih aktivnosti. </w:t>
      </w:r>
    </w:p>
    <w:p w14:paraId="4C3A7163" w14:textId="77777777"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 xml:space="preserve">S razvojem ovakvog financijskog instrumenta potrebno je krenuti odmah po usvajanju ovoga Programa te je s njegovom primjenom potrebno započeti odmah po stjecanju uvjeta za korištenje ESIF sredstava temeljem novog OPKK za razdoblje od 2021. do 2027. godine. </w:t>
      </w:r>
    </w:p>
    <w:p w14:paraId="791CC917" w14:textId="735850D4" w:rsidR="004949CA" w:rsidRDefault="004949CA" w:rsidP="004949CA">
      <w:pPr>
        <w:pStyle w:val="Naslov20"/>
      </w:pPr>
      <w:bookmarkStart w:id="177" w:name="_Toc72410261"/>
      <w:bookmarkStart w:id="178" w:name="_Toc81836294"/>
      <w:bookmarkStart w:id="179" w:name="_Toc83912066"/>
      <w:r>
        <w:t xml:space="preserve">Model provedbe sveobuhvatne obnove </w:t>
      </w:r>
      <w:r w:rsidR="000260E8">
        <w:t xml:space="preserve">višestambenih zgrada </w:t>
      </w:r>
      <w:r>
        <w:t>oštećenih u potresu</w:t>
      </w:r>
      <w:bookmarkEnd w:id="177"/>
      <w:bookmarkEnd w:id="178"/>
      <w:bookmarkEnd w:id="179"/>
    </w:p>
    <w:p w14:paraId="605B7E4D" w14:textId="77777777" w:rsidR="004949CA" w:rsidRPr="00E9588A" w:rsidRDefault="004949CA" w:rsidP="00E9588A">
      <w:pPr>
        <w:spacing w:before="120" w:after="120" w:line="240" w:lineRule="auto"/>
        <w:jc w:val="both"/>
        <w:rPr>
          <w:rFonts w:ascii="Tahoma" w:hAnsi="Tahoma" w:cs="Tahoma"/>
          <w:b/>
          <w:bCs/>
          <w:sz w:val="20"/>
          <w:szCs w:val="20"/>
          <w:lang w:eastAsia="hr-HR"/>
        </w:rPr>
      </w:pPr>
      <w:r w:rsidRPr="00E9588A">
        <w:rPr>
          <w:rFonts w:ascii="Tahoma" w:hAnsi="Tahoma" w:cs="Tahoma"/>
          <w:b/>
          <w:bCs/>
          <w:sz w:val="20"/>
          <w:szCs w:val="20"/>
          <w:lang w:eastAsia="hr-HR"/>
        </w:rPr>
        <w:t>Za višestambene zgrade koje su oštećene u potresu sufinanciranje sveobuhvatne obnove ostvarit će se sredstvima NPOO, mjera C6.1. R1-I2 „Obnova zgrada oštećenih u potresu s energetskom obnovom“.</w:t>
      </w:r>
    </w:p>
    <w:p w14:paraId="31092F0F" w14:textId="4C341122" w:rsidR="004949CA" w:rsidRPr="00F7592C" w:rsidRDefault="0C3F4C7D" w:rsidP="00E9588A">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Mjera će se provoditi u skladu s </w:t>
      </w:r>
      <w:proofErr w:type="spellStart"/>
      <w:r w:rsidRPr="638C4C38">
        <w:rPr>
          <w:rFonts w:ascii="Tahoma" w:hAnsi="Tahoma" w:cs="Tahoma"/>
          <w:i/>
          <w:iCs/>
          <w:sz w:val="20"/>
          <w:szCs w:val="20"/>
          <w:lang w:eastAsia="hr-HR"/>
        </w:rPr>
        <w:t>build</w:t>
      </w:r>
      <w:proofErr w:type="spellEnd"/>
      <w:r w:rsidRPr="638C4C38">
        <w:rPr>
          <w:rFonts w:ascii="Tahoma" w:hAnsi="Tahoma" w:cs="Tahoma"/>
          <w:i/>
          <w:iCs/>
          <w:sz w:val="20"/>
          <w:szCs w:val="20"/>
          <w:lang w:eastAsia="hr-HR"/>
        </w:rPr>
        <w:t xml:space="preserve">  </w:t>
      </w:r>
      <w:proofErr w:type="spellStart"/>
      <w:r w:rsidRPr="638C4C38">
        <w:rPr>
          <w:rFonts w:ascii="Tahoma" w:hAnsi="Tahoma" w:cs="Tahoma"/>
          <w:i/>
          <w:iCs/>
          <w:sz w:val="20"/>
          <w:szCs w:val="20"/>
          <w:lang w:eastAsia="hr-HR"/>
        </w:rPr>
        <w:t>back</w:t>
      </w:r>
      <w:proofErr w:type="spellEnd"/>
      <w:r w:rsidRPr="638C4C38">
        <w:rPr>
          <w:rFonts w:ascii="Tahoma" w:hAnsi="Tahoma" w:cs="Tahoma"/>
          <w:i/>
          <w:iCs/>
          <w:sz w:val="20"/>
          <w:szCs w:val="20"/>
          <w:lang w:eastAsia="hr-HR"/>
        </w:rPr>
        <w:t xml:space="preserve">  </w:t>
      </w:r>
      <w:proofErr w:type="spellStart"/>
      <w:r w:rsidRPr="638C4C38">
        <w:rPr>
          <w:rFonts w:ascii="Tahoma" w:hAnsi="Tahoma" w:cs="Tahoma"/>
          <w:i/>
          <w:iCs/>
          <w:sz w:val="20"/>
          <w:szCs w:val="20"/>
          <w:lang w:eastAsia="hr-HR"/>
        </w:rPr>
        <w:t>better</w:t>
      </w:r>
      <w:proofErr w:type="spellEnd"/>
      <w:r w:rsidRPr="638C4C38">
        <w:rPr>
          <w:rFonts w:ascii="Tahoma" w:hAnsi="Tahoma" w:cs="Tahoma"/>
          <w:sz w:val="20"/>
          <w:szCs w:val="20"/>
          <w:lang w:eastAsia="hr-HR"/>
        </w:rPr>
        <w:t xml:space="preserve">  (BBB) načelom te će se osigurati </w:t>
      </w:r>
      <w:r w:rsidR="70639431" w:rsidRPr="638C4C38">
        <w:rPr>
          <w:rFonts w:ascii="Tahoma" w:hAnsi="Tahoma" w:cs="Tahoma"/>
          <w:sz w:val="20"/>
          <w:szCs w:val="20"/>
          <w:lang w:eastAsia="hr-HR"/>
        </w:rPr>
        <w:t xml:space="preserve">ušteda </w:t>
      </w:r>
      <w:r w:rsidRPr="638C4C38">
        <w:rPr>
          <w:rFonts w:ascii="Tahoma" w:hAnsi="Tahoma" w:cs="Tahoma"/>
          <w:sz w:val="20"/>
          <w:szCs w:val="20"/>
          <w:lang w:eastAsia="hr-HR"/>
        </w:rPr>
        <w:t>potreb</w:t>
      </w:r>
      <w:r w:rsidR="05C3FBC9" w:rsidRPr="638C4C38">
        <w:rPr>
          <w:rFonts w:ascii="Tahoma" w:hAnsi="Tahoma" w:cs="Tahoma"/>
          <w:sz w:val="20"/>
          <w:szCs w:val="20"/>
          <w:lang w:eastAsia="hr-HR"/>
        </w:rPr>
        <w:t xml:space="preserve">ne toplinske </w:t>
      </w:r>
      <w:r w:rsidRPr="638C4C38">
        <w:rPr>
          <w:rFonts w:ascii="Tahoma" w:hAnsi="Tahoma" w:cs="Tahoma"/>
          <w:sz w:val="20"/>
          <w:szCs w:val="20"/>
          <w:lang w:eastAsia="hr-HR"/>
        </w:rPr>
        <w:t>energije za grijanje (</w:t>
      </w:r>
      <w:proofErr w:type="spellStart"/>
      <w:r w:rsidRPr="638C4C38">
        <w:rPr>
          <w:rFonts w:ascii="Tahoma" w:hAnsi="Tahoma" w:cs="Tahoma"/>
          <w:sz w:val="20"/>
          <w:szCs w:val="20"/>
          <w:lang w:eastAsia="hr-HR"/>
        </w:rPr>
        <w:t>Q</w:t>
      </w:r>
      <w:r w:rsidRPr="638C4C38">
        <w:rPr>
          <w:rFonts w:ascii="Tahoma" w:hAnsi="Tahoma" w:cs="Tahoma"/>
          <w:sz w:val="20"/>
          <w:szCs w:val="20"/>
          <w:vertAlign w:val="subscript"/>
          <w:lang w:eastAsia="hr-HR"/>
        </w:rPr>
        <w:t>h,nd</w:t>
      </w:r>
      <w:proofErr w:type="spellEnd"/>
      <w:r w:rsidRPr="638C4C38">
        <w:rPr>
          <w:rFonts w:ascii="Tahoma" w:hAnsi="Tahoma" w:cs="Tahoma"/>
          <w:sz w:val="20"/>
          <w:szCs w:val="20"/>
          <w:lang w:eastAsia="hr-HR"/>
        </w:rPr>
        <w:t xml:space="preserve">) od minimalnih 50% u odnosu na stanje prije obnove. Mjera se provodi na temelju javnih poziva korisnicima sredstava. BBB je,  u  kontekstu  procesa  obnove nakon  potresa, najvažniji dio za energetsku obnovu  i uštedu. Vraćanjem zgrada u prijašnje stanje ne postižu se klimatski, zeleni i energetski ciljevi, ali BBB-om i energetskom obnovom je to moguće ostvariti. Sveobuhvatna obnova podrazumijeva i troškove </w:t>
      </w:r>
      <w:r w:rsidR="004949CA" w:rsidRPr="638C4C38">
        <w:rPr>
          <w:rFonts w:ascii="Tahoma" w:hAnsi="Tahoma" w:cs="Tahoma"/>
          <w:sz w:val="20"/>
          <w:szCs w:val="20"/>
          <w:lang w:eastAsia="hr-HR"/>
        </w:rPr>
        <w:t>seizmičkog ojačavanja zgrada.</w:t>
      </w:r>
    </w:p>
    <w:p w14:paraId="485F192E" w14:textId="76050D57" w:rsidR="004949CA" w:rsidRDefault="0C3F4C7D" w:rsidP="00E9588A">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Javni poziv za višestambene zgrade bio je usmjeren prema zahtjevima za  konstruktivnom rekonstrukcijom zgrada. Dodatni javni poziv bit će usmjeren </w:t>
      </w:r>
      <w:r w:rsidR="428DA28A" w:rsidRPr="638C4C38">
        <w:rPr>
          <w:rFonts w:ascii="Tahoma" w:hAnsi="Tahoma" w:cs="Tahoma"/>
          <w:sz w:val="20"/>
          <w:szCs w:val="20"/>
          <w:lang w:eastAsia="hr-HR"/>
        </w:rPr>
        <w:t xml:space="preserve">i </w:t>
      </w:r>
      <w:r w:rsidRPr="638C4C38">
        <w:rPr>
          <w:rFonts w:ascii="Tahoma" w:hAnsi="Tahoma" w:cs="Tahoma"/>
          <w:sz w:val="20"/>
          <w:szCs w:val="20"/>
          <w:lang w:eastAsia="hr-HR"/>
        </w:rPr>
        <w:t xml:space="preserve">na postizanje energetske obnove kako bi se </w:t>
      </w:r>
      <w:r w:rsidR="708326BB" w:rsidRPr="638C4C38">
        <w:rPr>
          <w:rFonts w:ascii="Tahoma" w:hAnsi="Tahoma" w:cs="Tahoma"/>
          <w:sz w:val="20"/>
          <w:szCs w:val="20"/>
          <w:lang w:eastAsia="hr-HR"/>
        </w:rPr>
        <w:t xml:space="preserve">uvažilo </w:t>
      </w:r>
      <w:r w:rsidRPr="638C4C38">
        <w:rPr>
          <w:rFonts w:ascii="Tahoma" w:hAnsi="Tahoma" w:cs="Tahoma"/>
          <w:sz w:val="20"/>
          <w:szCs w:val="20"/>
          <w:lang w:eastAsia="hr-HR"/>
        </w:rPr>
        <w:t xml:space="preserve">BBB </w:t>
      </w:r>
      <w:r w:rsidR="708326BB" w:rsidRPr="638C4C38">
        <w:rPr>
          <w:rFonts w:ascii="Tahoma" w:hAnsi="Tahoma" w:cs="Tahoma"/>
          <w:sz w:val="20"/>
          <w:szCs w:val="20"/>
          <w:lang w:eastAsia="hr-HR"/>
        </w:rPr>
        <w:t xml:space="preserve">načelo </w:t>
      </w:r>
      <w:r w:rsidRPr="638C4C38">
        <w:rPr>
          <w:rFonts w:ascii="Tahoma" w:hAnsi="Tahoma" w:cs="Tahoma"/>
          <w:sz w:val="20"/>
          <w:szCs w:val="20"/>
          <w:lang w:eastAsia="hr-HR"/>
        </w:rPr>
        <w:t xml:space="preserve">i </w:t>
      </w:r>
      <w:r w:rsidR="708326BB" w:rsidRPr="638C4C38">
        <w:rPr>
          <w:rFonts w:ascii="Tahoma" w:hAnsi="Tahoma" w:cs="Tahoma"/>
          <w:sz w:val="20"/>
          <w:szCs w:val="20"/>
          <w:lang w:eastAsia="hr-HR"/>
        </w:rPr>
        <w:t xml:space="preserve">postigli </w:t>
      </w:r>
      <w:r w:rsidRPr="638C4C38">
        <w:rPr>
          <w:rFonts w:ascii="Tahoma" w:hAnsi="Tahoma" w:cs="Tahoma"/>
          <w:sz w:val="20"/>
          <w:szCs w:val="20"/>
          <w:lang w:eastAsia="hr-HR"/>
        </w:rPr>
        <w:t xml:space="preserve">ciljevi </w:t>
      </w:r>
      <w:r w:rsidR="472CD532" w:rsidRPr="638C4C38">
        <w:rPr>
          <w:rFonts w:ascii="Tahoma" w:hAnsi="Tahoma" w:cs="Tahoma"/>
          <w:sz w:val="20"/>
          <w:szCs w:val="20"/>
          <w:lang w:eastAsia="hr-HR"/>
        </w:rPr>
        <w:t>NPOO-a</w:t>
      </w:r>
      <w:r w:rsidRPr="638C4C38">
        <w:rPr>
          <w:rFonts w:ascii="Tahoma" w:hAnsi="Tahoma" w:cs="Tahoma"/>
          <w:sz w:val="20"/>
          <w:szCs w:val="20"/>
          <w:lang w:eastAsia="hr-HR"/>
        </w:rPr>
        <w:t>,  osigura</w:t>
      </w:r>
      <w:r w:rsidR="004949CA" w:rsidRPr="638C4C38">
        <w:rPr>
          <w:rFonts w:ascii="Tahoma" w:hAnsi="Tahoma" w:cs="Tahoma"/>
          <w:sz w:val="20"/>
          <w:szCs w:val="20"/>
          <w:lang w:eastAsia="hr-HR"/>
        </w:rPr>
        <w:t xml:space="preserve">njem </w:t>
      </w:r>
      <w:r w:rsidRPr="638C4C38">
        <w:rPr>
          <w:rFonts w:ascii="Tahoma" w:hAnsi="Tahoma" w:cs="Tahoma"/>
          <w:sz w:val="20"/>
          <w:szCs w:val="20"/>
          <w:lang w:eastAsia="hr-HR"/>
        </w:rPr>
        <w:t xml:space="preserve"> smanje</w:t>
      </w:r>
      <w:r w:rsidR="004949CA" w:rsidRPr="638C4C38">
        <w:rPr>
          <w:rFonts w:ascii="Tahoma" w:hAnsi="Tahoma" w:cs="Tahoma"/>
          <w:sz w:val="20"/>
          <w:szCs w:val="20"/>
          <w:lang w:eastAsia="hr-HR"/>
        </w:rPr>
        <w:t>na</w:t>
      </w:r>
      <w:r w:rsidRPr="638C4C38">
        <w:rPr>
          <w:rFonts w:ascii="Tahoma" w:hAnsi="Tahoma" w:cs="Tahoma"/>
          <w:sz w:val="20"/>
          <w:szCs w:val="20"/>
          <w:lang w:eastAsia="hr-HR"/>
        </w:rPr>
        <w:t xml:space="preserve">  energetskih potreba kroz </w:t>
      </w:r>
      <w:r w:rsidR="004949CA" w:rsidRPr="638C4C38">
        <w:rPr>
          <w:rFonts w:ascii="Tahoma" w:hAnsi="Tahoma" w:cs="Tahoma"/>
          <w:sz w:val="20"/>
          <w:szCs w:val="20"/>
          <w:lang w:eastAsia="hr-HR"/>
        </w:rPr>
        <w:t>projektiranu</w:t>
      </w:r>
      <w:r w:rsidR="472CD532" w:rsidRPr="638C4C38">
        <w:rPr>
          <w:rFonts w:ascii="Tahoma" w:hAnsi="Tahoma" w:cs="Tahoma"/>
          <w:sz w:val="20"/>
          <w:szCs w:val="20"/>
          <w:lang w:eastAsia="hr-HR"/>
        </w:rPr>
        <w:t xml:space="preserve"> uštedu</w:t>
      </w:r>
      <w:r w:rsidRPr="638C4C38">
        <w:rPr>
          <w:rFonts w:ascii="Tahoma" w:hAnsi="Tahoma" w:cs="Tahoma"/>
          <w:sz w:val="20"/>
          <w:szCs w:val="20"/>
          <w:lang w:eastAsia="hr-HR"/>
        </w:rPr>
        <w:t xml:space="preserve"> </w:t>
      </w:r>
      <w:r w:rsidR="00B9F942" w:rsidRPr="638C4C38">
        <w:rPr>
          <w:rFonts w:ascii="Tahoma" w:hAnsi="Tahoma" w:cs="Tahoma"/>
          <w:sz w:val="20"/>
          <w:szCs w:val="20"/>
          <w:lang w:eastAsia="hr-HR"/>
        </w:rPr>
        <w:t xml:space="preserve">potrebne toplinske </w:t>
      </w:r>
      <w:r w:rsidRPr="638C4C38">
        <w:rPr>
          <w:rFonts w:ascii="Tahoma" w:hAnsi="Tahoma" w:cs="Tahoma"/>
          <w:sz w:val="20"/>
          <w:szCs w:val="20"/>
          <w:lang w:eastAsia="hr-HR"/>
        </w:rPr>
        <w:t>energije za grijanje (</w:t>
      </w:r>
      <w:proofErr w:type="spellStart"/>
      <w:r w:rsidRPr="638C4C38">
        <w:rPr>
          <w:rFonts w:ascii="Tahoma" w:hAnsi="Tahoma" w:cs="Tahoma"/>
          <w:sz w:val="20"/>
          <w:szCs w:val="20"/>
          <w:lang w:eastAsia="hr-HR"/>
        </w:rPr>
        <w:t>Q</w:t>
      </w:r>
      <w:r w:rsidRPr="638C4C38">
        <w:rPr>
          <w:rFonts w:ascii="Tahoma" w:hAnsi="Tahoma" w:cs="Tahoma"/>
          <w:sz w:val="20"/>
          <w:szCs w:val="20"/>
          <w:vertAlign w:val="subscript"/>
          <w:lang w:eastAsia="hr-HR"/>
        </w:rPr>
        <w:t>hnd</w:t>
      </w:r>
      <w:proofErr w:type="spellEnd"/>
      <w:r w:rsidRPr="638C4C38">
        <w:rPr>
          <w:rFonts w:ascii="Tahoma" w:hAnsi="Tahoma" w:cs="Tahoma"/>
          <w:sz w:val="20"/>
          <w:szCs w:val="20"/>
          <w:lang w:eastAsia="hr-HR"/>
        </w:rPr>
        <w:t xml:space="preserve">) od minimalnih 50% u višestambenim zgradama koje nemaju status kulturnog dobra te </w:t>
      </w:r>
      <w:r w:rsidR="0812B820" w:rsidRPr="638C4C38">
        <w:rPr>
          <w:rFonts w:ascii="Tahoma" w:hAnsi="Tahoma" w:cs="Tahoma"/>
          <w:sz w:val="20"/>
          <w:szCs w:val="20"/>
          <w:lang w:eastAsia="hr-HR"/>
        </w:rPr>
        <w:t xml:space="preserve">uštedu </w:t>
      </w:r>
      <w:r w:rsidRPr="638C4C38">
        <w:rPr>
          <w:rFonts w:ascii="Tahoma" w:hAnsi="Tahoma" w:cs="Tahoma"/>
          <w:sz w:val="20"/>
          <w:szCs w:val="20"/>
          <w:lang w:eastAsia="hr-HR"/>
        </w:rPr>
        <w:t>projektirane energije (</w:t>
      </w:r>
      <w:proofErr w:type="spellStart"/>
      <w:r w:rsidRPr="638C4C38">
        <w:rPr>
          <w:rFonts w:ascii="Tahoma" w:hAnsi="Tahoma" w:cs="Tahoma"/>
          <w:sz w:val="20"/>
          <w:szCs w:val="20"/>
          <w:lang w:eastAsia="hr-HR"/>
        </w:rPr>
        <w:t>Q</w:t>
      </w:r>
      <w:r w:rsidRPr="638C4C38">
        <w:rPr>
          <w:rFonts w:ascii="Tahoma" w:hAnsi="Tahoma" w:cs="Tahoma"/>
          <w:sz w:val="20"/>
          <w:szCs w:val="20"/>
          <w:vertAlign w:val="subscript"/>
          <w:lang w:eastAsia="hr-HR"/>
        </w:rPr>
        <w:t>hnd</w:t>
      </w:r>
      <w:proofErr w:type="spellEnd"/>
      <w:r w:rsidRPr="638C4C38">
        <w:rPr>
          <w:rFonts w:ascii="Tahoma" w:hAnsi="Tahoma" w:cs="Tahoma"/>
          <w:sz w:val="20"/>
          <w:szCs w:val="20"/>
          <w:lang w:eastAsia="hr-HR"/>
        </w:rPr>
        <w:t xml:space="preserve"> ili </w:t>
      </w:r>
      <w:proofErr w:type="spellStart"/>
      <w:r w:rsidRPr="638C4C38">
        <w:rPr>
          <w:rFonts w:ascii="Tahoma" w:hAnsi="Tahoma" w:cs="Tahoma"/>
          <w:sz w:val="20"/>
          <w:szCs w:val="20"/>
          <w:lang w:eastAsia="hr-HR"/>
        </w:rPr>
        <w:t>E</w:t>
      </w:r>
      <w:r w:rsidRPr="638C4C38">
        <w:rPr>
          <w:rFonts w:ascii="Tahoma" w:hAnsi="Tahoma" w:cs="Tahoma"/>
          <w:sz w:val="20"/>
          <w:szCs w:val="20"/>
          <w:vertAlign w:val="subscript"/>
          <w:lang w:eastAsia="hr-HR"/>
        </w:rPr>
        <w:t>prim</w:t>
      </w:r>
      <w:proofErr w:type="spellEnd"/>
      <w:r w:rsidRPr="638C4C38">
        <w:rPr>
          <w:rFonts w:ascii="Tahoma" w:hAnsi="Tahoma" w:cs="Tahoma"/>
          <w:sz w:val="20"/>
          <w:szCs w:val="20"/>
          <w:lang w:eastAsia="hr-HR"/>
        </w:rPr>
        <w:t xml:space="preserve">) od minimalnih 20% u zgradama sa statusom kulturnog dobra.  Na  razini  </w:t>
      </w:r>
      <w:r w:rsidR="00A37B90">
        <w:rPr>
          <w:rFonts w:ascii="Tahoma" w:hAnsi="Tahoma" w:cs="Tahoma"/>
          <w:sz w:val="20"/>
          <w:szCs w:val="20"/>
          <w:lang w:eastAsia="hr-HR"/>
        </w:rPr>
        <w:t xml:space="preserve"> investicije </w:t>
      </w:r>
      <w:r w:rsidR="51FFB315" w:rsidRPr="638C4C38">
        <w:rPr>
          <w:rFonts w:ascii="Tahoma" w:hAnsi="Tahoma" w:cs="Tahoma"/>
          <w:sz w:val="20"/>
          <w:szCs w:val="20"/>
          <w:lang w:eastAsia="hr-HR"/>
        </w:rPr>
        <w:t>u NPOO</w:t>
      </w:r>
      <w:r w:rsidRPr="638C4C38">
        <w:rPr>
          <w:rFonts w:ascii="Tahoma" w:hAnsi="Tahoma" w:cs="Tahoma"/>
          <w:sz w:val="20"/>
          <w:szCs w:val="20"/>
          <w:lang w:eastAsia="hr-HR"/>
        </w:rPr>
        <w:t xml:space="preserve"> osigurat će se najmanje  30%  </w:t>
      </w:r>
      <w:r w:rsidR="659F9DC7" w:rsidRPr="638C4C38">
        <w:rPr>
          <w:rFonts w:ascii="Tahoma" w:hAnsi="Tahoma" w:cs="Tahoma"/>
          <w:sz w:val="20"/>
          <w:szCs w:val="20"/>
          <w:lang w:eastAsia="hr-HR"/>
        </w:rPr>
        <w:t>ušteda</w:t>
      </w:r>
      <w:r w:rsidRPr="638C4C38">
        <w:rPr>
          <w:rFonts w:ascii="Tahoma" w:hAnsi="Tahoma" w:cs="Tahoma"/>
          <w:sz w:val="20"/>
          <w:szCs w:val="20"/>
          <w:lang w:eastAsia="hr-HR"/>
        </w:rPr>
        <w:t xml:space="preserve">  primarne  energije (</w:t>
      </w:r>
      <w:proofErr w:type="spellStart"/>
      <w:r w:rsidRPr="638C4C38">
        <w:rPr>
          <w:rFonts w:ascii="Tahoma" w:hAnsi="Tahoma" w:cs="Tahoma"/>
          <w:sz w:val="20"/>
          <w:szCs w:val="20"/>
          <w:lang w:eastAsia="hr-HR"/>
        </w:rPr>
        <w:t>E</w:t>
      </w:r>
      <w:r w:rsidRPr="638C4C38">
        <w:rPr>
          <w:rFonts w:ascii="Tahoma" w:hAnsi="Tahoma" w:cs="Tahoma"/>
          <w:sz w:val="20"/>
          <w:szCs w:val="20"/>
          <w:vertAlign w:val="subscript"/>
          <w:lang w:eastAsia="hr-HR"/>
        </w:rPr>
        <w:t>prim</w:t>
      </w:r>
      <w:proofErr w:type="spellEnd"/>
      <w:r w:rsidRPr="638C4C38">
        <w:rPr>
          <w:rFonts w:ascii="Tahoma" w:hAnsi="Tahoma" w:cs="Tahoma"/>
          <w:sz w:val="20"/>
          <w:szCs w:val="20"/>
          <w:lang w:eastAsia="hr-HR"/>
        </w:rPr>
        <w:t xml:space="preserve">)  u  odnosu  na  </w:t>
      </w:r>
      <w:r w:rsidR="659F9DC7" w:rsidRPr="638C4C38">
        <w:rPr>
          <w:rFonts w:ascii="Tahoma" w:hAnsi="Tahoma" w:cs="Tahoma"/>
          <w:sz w:val="20"/>
          <w:szCs w:val="20"/>
          <w:lang w:eastAsia="hr-HR"/>
        </w:rPr>
        <w:t xml:space="preserve">stanje  </w:t>
      </w:r>
      <w:r w:rsidRPr="638C4C38">
        <w:rPr>
          <w:rFonts w:ascii="Tahoma" w:hAnsi="Tahoma" w:cs="Tahoma"/>
          <w:sz w:val="20"/>
          <w:szCs w:val="20"/>
          <w:lang w:eastAsia="hr-HR"/>
        </w:rPr>
        <w:t>prije obnove (uključuje tehničke sustave poput grijanja, hlađenja, potrošne tople vode, osvjetljenja i dr.)</w:t>
      </w:r>
    </w:p>
    <w:p w14:paraId="0355E589" w14:textId="29F9E6E7" w:rsidR="004949CA" w:rsidRPr="00E9588A" w:rsidRDefault="00A37B90" w:rsidP="00E9588A">
      <w:pPr>
        <w:spacing w:before="120" w:after="120" w:line="240" w:lineRule="auto"/>
        <w:jc w:val="both"/>
        <w:rPr>
          <w:rFonts w:ascii="Tahoma" w:hAnsi="Tahoma" w:cs="Tahoma"/>
          <w:b/>
          <w:bCs/>
          <w:sz w:val="20"/>
          <w:szCs w:val="20"/>
          <w:lang w:eastAsia="hr-HR"/>
        </w:rPr>
      </w:pPr>
      <w:r>
        <w:rPr>
          <w:rFonts w:ascii="Tahoma" w:hAnsi="Tahoma" w:cs="Tahoma"/>
          <w:b/>
          <w:bCs/>
          <w:sz w:val="20"/>
          <w:szCs w:val="20"/>
          <w:lang w:eastAsia="hr-HR"/>
        </w:rPr>
        <w:t xml:space="preserve">U prvom trogodišnjem razdoblju  2022. -2024. </w:t>
      </w:r>
      <w:r w:rsidR="004949CA" w:rsidRPr="00E9588A">
        <w:rPr>
          <w:rFonts w:ascii="Tahoma" w:hAnsi="Tahoma" w:cs="Tahoma"/>
          <w:b/>
          <w:bCs/>
          <w:sz w:val="20"/>
          <w:szCs w:val="20"/>
          <w:lang w:eastAsia="hr-HR"/>
        </w:rPr>
        <w:t>FZO</w:t>
      </w:r>
      <w:r w:rsidR="004949CA" w:rsidRPr="00E9588A">
        <w:rPr>
          <w:rStyle w:val="Referencafusnote"/>
          <w:rFonts w:cs="Tahoma"/>
          <w:sz w:val="20"/>
          <w:szCs w:val="20"/>
        </w:rPr>
        <w:footnoteReference w:id="29"/>
      </w:r>
      <w:r w:rsidR="004949CA" w:rsidRPr="00E9588A">
        <w:rPr>
          <w:rFonts w:ascii="Tahoma" w:hAnsi="Tahoma" w:cs="Tahoma"/>
          <w:b/>
          <w:bCs/>
          <w:sz w:val="20"/>
          <w:szCs w:val="20"/>
          <w:lang w:eastAsia="hr-HR"/>
        </w:rPr>
        <w:t xml:space="preserve"> </w:t>
      </w:r>
      <w:r>
        <w:rPr>
          <w:rFonts w:ascii="Tahoma" w:hAnsi="Tahoma" w:cs="Tahoma"/>
          <w:b/>
          <w:bCs/>
          <w:sz w:val="20"/>
          <w:szCs w:val="20"/>
          <w:lang w:eastAsia="hr-HR"/>
        </w:rPr>
        <w:t xml:space="preserve"> je </w:t>
      </w:r>
      <w:r w:rsidR="004949CA" w:rsidRPr="00E9588A">
        <w:rPr>
          <w:rFonts w:ascii="Tahoma" w:hAnsi="Tahoma" w:cs="Tahoma"/>
          <w:b/>
          <w:bCs/>
          <w:sz w:val="20"/>
          <w:szCs w:val="20"/>
          <w:lang w:eastAsia="hr-HR"/>
        </w:rPr>
        <w:t xml:space="preserve">provedbeno tijelo za konstrukcijsku obnovu i sveobuhvatnu obnovu </w:t>
      </w:r>
      <w:r w:rsidR="6DEC5F7E" w:rsidRPr="00E9588A">
        <w:rPr>
          <w:rFonts w:ascii="Tahoma" w:hAnsi="Tahoma" w:cs="Tahoma"/>
          <w:b/>
          <w:bCs/>
          <w:sz w:val="20"/>
          <w:szCs w:val="20"/>
          <w:lang w:eastAsia="hr-HR"/>
        </w:rPr>
        <w:t xml:space="preserve"> višestambenih zgrada </w:t>
      </w:r>
      <w:r w:rsidR="407FDE69" w:rsidRPr="00E9588A">
        <w:rPr>
          <w:rFonts w:ascii="Tahoma" w:hAnsi="Tahoma" w:cs="Tahoma"/>
          <w:b/>
          <w:bCs/>
          <w:sz w:val="20"/>
          <w:szCs w:val="20"/>
          <w:lang w:eastAsia="hr-HR"/>
        </w:rPr>
        <w:t>oštećenih</w:t>
      </w:r>
      <w:r w:rsidR="0DBD92A1" w:rsidRPr="00E9588A">
        <w:rPr>
          <w:rFonts w:ascii="Tahoma" w:hAnsi="Tahoma" w:cs="Tahoma"/>
          <w:b/>
          <w:bCs/>
          <w:sz w:val="20"/>
          <w:szCs w:val="20"/>
          <w:lang w:eastAsia="hr-HR"/>
        </w:rPr>
        <w:t xml:space="preserve"> </w:t>
      </w:r>
      <w:r w:rsidR="407FDE69" w:rsidRPr="00E9588A">
        <w:rPr>
          <w:rFonts w:ascii="Tahoma" w:hAnsi="Tahoma" w:cs="Tahoma"/>
          <w:b/>
          <w:bCs/>
          <w:sz w:val="20"/>
          <w:szCs w:val="20"/>
          <w:lang w:eastAsia="hr-HR"/>
        </w:rPr>
        <w:t>u potres</w:t>
      </w:r>
      <w:r>
        <w:rPr>
          <w:rFonts w:ascii="Tahoma" w:hAnsi="Tahoma" w:cs="Tahoma"/>
          <w:b/>
          <w:bCs/>
          <w:sz w:val="20"/>
          <w:szCs w:val="20"/>
          <w:lang w:eastAsia="hr-HR"/>
        </w:rPr>
        <w:t>u</w:t>
      </w:r>
      <w:r w:rsidR="407FDE69" w:rsidRPr="00E9588A">
        <w:rPr>
          <w:rFonts w:ascii="Tahoma" w:hAnsi="Tahoma" w:cs="Tahoma"/>
          <w:b/>
          <w:bCs/>
          <w:sz w:val="20"/>
          <w:szCs w:val="20"/>
          <w:lang w:eastAsia="hr-HR"/>
        </w:rPr>
        <w:t xml:space="preserve"> </w:t>
      </w:r>
      <w:r w:rsidR="004949CA" w:rsidRPr="00E9588A">
        <w:rPr>
          <w:rFonts w:ascii="Tahoma" w:hAnsi="Tahoma" w:cs="Tahoma"/>
          <w:b/>
          <w:bCs/>
          <w:sz w:val="20"/>
          <w:szCs w:val="20"/>
          <w:lang w:eastAsia="hr-HR"/>
        </w:rPr>
        <w:t xml:space="preserve">, kako je utvrđeno u NPOO-u. </w:t>
      </w:r>
    </w:p>
    <w:p w14:paraId="11537ADC" w14:textId="731C0408" w:rsidR="004949CA" w:rsidRPr="00E9588A" w:rsidRDefault="0C3F4C7D" w:rsidP="00E9588A">
      <w:pPr>
        <w:spacing w:before="120" w:after="120" w:line="240" w:lineRule="auto"/>
        <w:jc w:val="both"/>
        <w:rPr>
          <w:rFonts w:ascii="Tahoma" w:hAnsi="Tahoma" w:cs="Tahoma"/>
          <w:strike/>
          <w:sz w:val="20"/>
          <w:szCs w:val="20"/>
          <w:lang w:eastAsia="hr-HR"/>
        </w:rPr>
      </w:pPr>
      <w:r w:rsidRPr="638C4C38">
        <w:rPr>
          <w:rFonts w:ascii="Tahoma" w:hAnsi="Tahoma" w:cs="Tahoma"/>
          <w:sz w:val="20"/>
          <w:szCs w:val="20"/>
          <w:lang w:eastAsia="hr-HR"/>
        </w:rPr>
        <w:t>Također treba istaknuti da se ovim modelom obuhvaćaju i one VSZ oštećene u potresu, koje su provele hitne sanacije</w:t>
      </w:r>
      <w:r w:rsidR="429D6C8A" w:rsidRPr="638C4C38">
        <w:rPr>
          <w:rFonts w:ascii="Tahoma" w:hAnsi="Tahoma" w:cs="Tahoma"/>
          <w:sz w:val="20"/>
          <w:szCs w:val="20"/>
          <w:lang w:eastAsia="hr-HR"/>
        </w:rPr>
        <w:t>,</w:t>
      </w:r>
      <w:r w:rsidR="29169268" w:rsidRPr="638C4C38">
        <w:rPr>
          <w:rFonts w:ascii="Tahoma" w:hAnsi="Tahoma" w:cs="Tahoma"/>
          <w:sz w:val="20"/>
          <w:szCs w:val="20"/>
          <w:lang w:eastAsia="hr-HR"/>
        </w:rPr>
        <w:t xml:space="preserve"> </w:t>
      </w:r>
      <w:bookmarkStart w:id="180" w:name="_Hlk86417864"/>
      <w:r w:rsidR="29169268" w:rsidRPr="638C4C38">
        <w:rPr>
          <w:rFonts w:ascii="Tahoma" w:hAnsi="Tahoma" w:cs="Tahoma"/>
          <w:sz w:val="20"/>
          <w:szCs w:val="20"/>
          <w:lang w:eastAsia="hr-HR"/>
        </w:rPr>
        <w:t xml:space="preserve">a </w:t>
      </w:r>
      <w:r w:rsidR="0E7A9BA4" w:rsidRPr="638C4C38">
        <w:rPr>
          <w:rFonts w:ascii="Tahoma" w:hAnsi="Tahoma" w:cs="Tahoma"/>
          <w:sz w:val="20"/>
          <w:szCs w:val="20"/>
          <w:lang w:eastAsia="hr-HR"/>
        </w:rPr>
        <w:t>planiraju provesti i energetsk</w:t>
      </w:r>
      <w:r w:rsidR="12B3F525" w:rsidRPr="638C4C38">
        <w:rPr>
          <w:rFonts w:ascii="Tahoma" w:hAnsi="Tahoma" w:cs="Tahoma"/>
          <w:sz w:val="20"/>
          <w:szCs w:val="20"/>
          <w:lang w:eastAsia="hr-HR"/>
        </w:rPr>
        <w:t>u</w:t>
      </w:r>
      <w:r w:rsidR="0E7A9BA4" w:rsidRPr="638C4C38">
        <w:rPr>
          <w:rFonts w:ascii="Tahoma" w:hAnsi="Tahoma" w:cs="Tahoma"/>
          <w:sz w:val="20"/>
          <w:szCs w:val="20"/>
          <w:lang w:eastAsia="hr-HR"/>
        </w:rPr>
        <w:t xml:space="preserve"> i konstrukcijsku obnovu</w:t>
      </w:r>
      <w:r w:rsidRPr="638C4C38">
        <w:rPr>
          <w:rFonts w:ascii="Tahoma" w:hAnsi="Tahoma" w:cs="Tahoma"/>
          <w:sz w:val="20"/>
          <w:szCs w:val="20"/>
          <w:lang w:eastAsia="hr-HR"/>
        </w:rPr>
        <w:t xml:space="preserve">. </w:t>
      </w:r>
      <w:r w:rsidR="0E7A9BA4" w:rsidRPr="638C4C38">
        <w:rPr>
          <w:rFonts w:ascii="Tahoma" w:hAnsi="Tahoma" w:cs="Tahoma"/>
          <w:sz w:val="20"/>
          <w:szCs w:val="20"/>
          <w:lang w:eastAsia="hr-HR"/>
        </w:rPr>
        <w:t xml:space="preserve">Također su prihvatljive i zgrade </w:t>
      </w:r>
      <w:r w:rsidR="0E7A9BA4" w:rsidRPr="638C4C38">
        <w:rPr>
          <w:rFonts w:ascii="Tahoma" w:hAnsi="Tahoma" w:cs="Tahoma"/>
          <w:sz w:val="20"/>
          <w:szCs w:val="20"/>
          <w:lang w:eastAsia="hr-HR"/>
        </w:rPr>
        <w:lastRenderedPageBreak/>
        <w:t>koje su već provele konstrukcijsku obnovu po Zakonu o obnovi</w:t>
      </w:r>
      <w:r w:rsidR="02DA7E8F" w:rsidRPr="638C4C38">
        <w:rPr>
          <w:rFonts w:ascii="Tahoma" w:hAnsi="Tahoma" w:cs="Tahoma"/>
          <w:sz w:val="20"/>
          <w:szCs w:val="20"/>
          <w:lang w:eastAsia="hr-HR"/>
        </w:rPr>
        <w:t>, a planiraju još provesti i energetsku obnovu.</w:t>
      </w:r>
      <w:bookmarkEnd w:id="180"/>
      <w:r w:rsidRPr="638C4C38">
        <w:rPr>
          <w:rFonts w:ascii="Tahoma" w:hAnsi="Tahoma" w:cs="Tahoma"/>
          <w:sz w:val="20"/>
          <w:szCs w:val="20"/>
          <w:lang w:eastAsia="hr-HR"/>
        </w:rPr>
        <w:t xml:space="preserve"> </w:t>
      </w:r>
    </w:p>
    <w:p w14:paraId="4A9D0557" w14:textId="77777777"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rPr>
        <w:t xml:space="preserve">Uklanjanje postojeće neupotrebljive i izgradnja zamjenske građevine nisu predmet ovog Programa. </w:t>
      </w:r>
    </w:p>
    <w:p w14:paraId="04E2B606" w14:textId="77777777" w:rsidR="004949CA" w:rsidRPr="009C2508" w:rsidRDefault="004949CA" w:rsidP="004949CA">
      <w:pPr>
        <w:rPr>
          <w:lang w:eastAsia="hr-HR"/>
        </w:rPr>
      </w:pPr>
    </w:p>
    <w:p w14:paraId="086DA860" w14:textId="41B8BC08" w:rsidR="004949CA" w:rsidRDefault="004949CA" w:rsidP="004949CA">
      <w:pPr>
        <w:pStyle w:val="Naslov10"/>
        <w:ind w:left="709" w:hanging="709"/>
      </w:pPr>
      <w:bookmarkStart w:id="181" w:name="_Toc81836295"/>
      <w:bookmarkStart w:id="182" w:name="_Toc83912067"/>
      <w:r>
        <w:lastRenderedPageBreak/>
        <w:t>U</w:t>
      </w:r>
      <w:bookmarkEnd w:id="181"/>
      <w:r w:rsidR="00AD7888">
        <w:t>blažavanje energetskog siromaštva</w:t>
      </w:r>
      <w:bookmarkEnd w:id="182"/>
    </w:p>
    <w:p w14:paraId="71E11415" w14:textId="312B4D9F" w:rsidR="004949CA" w:rsidRDefault="004949CA" w:rsidP="004949CA">
      <w:pPr>
        <w:pStyle w:val="Naslov20"/>
      </w:pPr>
      <w:bookmarkStart w:id="183" w:name="_Toc72081615"/>
      <w:bookmarkStart w:id="184" w:name="_Toc81836296"/>
      <w:bookmarkStart w:id="185" w:name="_Toc83912068"/>
      <w:r>
        <w:t xml:space="preserve">Energetsko siromaštvo u EU i </w:t>
      </w:r>
      <w:bookmarkEnd w:id="183"/>
      <w:bookmarkEnd w:id="184"/>
      <w:r w:rsidR="0063313B">
        <w:t>Hrvatskoj</w:t>
      </w:r>
      <w:bookmarkEnd w:id="185"/>
    </w:p>
    <w:p w14:paraId="62CC6615" w14:textId="1245148D"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Energetsko siromaštvo prepoznato je kao rastući problem u EU, zbog čega je adresirano i u najvažnijim aktima</w:t>
      </w:r>
      <w:r w:rsidR="00577DA7">
        <w:rPr>
          <w:rFonts w:ascii="Tahoma" w:hAnsi="Tahoma" w:cs="Tahoma"/>
          <w:sz w:val="20"/>
          <w:szCs w:val="20"/>
          <w:lang w:eastAsia="hr-HR"/>
        </w:rPr>
        <w:t xml:space="preserve"> Europske unije</w:t>
      </w:r>
      <w:r w:rsidRPr="00E9588A">
        <w:rPr>
          <w:rFonts w:ascii="Tahoma" w:hAnsi="Tahoma" w:cs="Tahoma"/>
          <w:sz w:val="20"/>
          <w:szCs w:val="20"/>
          <w:lang w:eastAsia="hr-HR"/>
        </w:rPr>
        <w:t xml:space="preserve">. Direktiva o energetskim svojstvima zgrada nalaže državama članicama da u svojim dugoročnim strategijama definiraju mjere kojima se doprinosi ublažavanju energetskog siromaštva. Izmijenjena Direktiva (EU) 2018/2002 o energetskoj učinkovitosti nalaže državama članicama da u osmišljavanju mjera politike za ispunjavanje svojih obveza u pogledu uštede energije uzmu u obzir potrebu za smanjenjem energetskog siromaštva te da provode mjere </w:t>
      </w:r>
      <w:proofErr w:type="spellStart"/>
      <w:r w:rsidRPr="00E9588A">
        <w:rPr>
          <w:rFonts w:ascii="Tahoma" w:hAnsi="Tahoma" w:cs="Tahoma"/>
          <w:sz w:val="20"/>
          <w:szCs w:val="20"/>
          <w:lang w:eastAsia="hr-HR"/>
        </w:rPr>
        <w:t>EnU</w:t>
      </w:r>
      <w:proofErr w:type="spellEnd"/>
      <w:r w:rsidRPr="00E9588A">
        <w:rPr>
          <w:rFonts w:ascii="Tahoma" w:hAnsi="Tahoma" w:cs="Tahoma"/>
          <w:sz w:val="20"/>
          <w:szCs w:val="20"/>
          <w:lang w:eastAsia="hr-HR"/>
        </w:rPr>
        <w:t xml:space="preserve"> među ranjivim kućanstvima, uključujući ona pogođena energetskim siromaštvom i, prema potrebi, u socijalnim prostorima za stanovanje. Direktiva (EU) 2019/944  Europskog parlamenta i Vijeća od 5. lipnja 2019. o zajedničkim pravilima za unutarnje tržište električne energije i izmjeni Direktive 2012/27/EU (Tekst značajan za EGP) (SL L 158, 14.06.2019.) također prepoznaje problem energetskog siromaštva i nalaže državama članicama da poduzmu potrebne mjere za zaštitu ugroženih i energetski siromašnih kupaca u kontekstu unutarnjeg tržišta električne energije. I konačno, Uredba (EU) 2018/1999 o upravljanju energetskom unijom i djelovanjem u području klime obvezuje države članice EU da u svojim NEKP-ima procijene broj kućanstava u energetskom siromaštvu te da donesu politike i mjere za zaštitu potrošača, osobito ranjivih i energetski siromašnih potrošača. </w:t>
      </w:r>
    </w:p>
    <w:p w14:paraId="67A31773" w14:textId="389BEE9E" w:rsidR="004949CA" w:rsidRPr="00E9588A" w:rsidRDefault="004949CA" w:rsidP="00E9588A">
      <w:pPr>
        <w:spacing w:before="120" w:after="120" w:line="240" w:lineRule="auto"/>
        <w:jc w:val="both"/>
        <w:rPr>
          <w:rFonts w:ascii="Tahoma" w:hAnsi="Tahoma" w:cs="Tahoma"/>
          <w:sz w:val="20"/>
          <w:szCs w:val="20"/>
          <w:lang w:eastAsia="hr-HR"/>
        </w:rPr>
      </w:pPr>
      <w:r w:rsidRPr="00E9588A">
        <w:rPr>
          <w:rFonts w:ascii="Tahoma" w:hAnsi="Tahoma" w:cs="Tahoma"/>
          <w:sz w:val="20"/>
          <w:szCs w:val="20"/>
          <w:lang w:eastAsia="hr-HR"/>
        </w:rPr>
        <w:t>Dvije najčešće korištene definicije energetskog siromaštva u znanstvenoj literaturi su:</w:t>
      </w:r>
    </w:p>
    <w:p w14:paraId="76C77482" w14:textId="77777777" w:rsidR="004949CA" w:rsidRPr="00E9588A" w:rsidRDefault="137C0FFA" w:rsidP="2617B706">
      <w:pPr>
        <w:pStyle w:val="Odlomakpopisa"/>
        <w:numPr>
          <w:ilvl w:val="0"/>
          <w:numId w:val="39"/>
        </w:numPr>
        <w:tabs>
          <w:tab w:val="left" w:pos="431"/>
        </w:tabs>
        <w:spacing w:before="120" w:after="120"/>
        <w:rPr>
          <w:rFonts w:cs="Tahoma"/>
        </w:rPr>
      </w:pPr>
      <w:r w:rsidRPr="2617B706">
        <w:rPr>
          <w:rFonts w:cs="Tahoma"/>
        </w:rPr>
        <w:t>„Kućanstvo je energetski siromašno ukoliko bi trebalo trošiti više od 10% svojih prihoda da održi dom adekvatno toplim” (Boardman, 1991.)</w:t>
      </w:r>
    </w:p>
    <w:p w14:paraId="5CCDA858" w14:textId="77777777" w:rsidR="004949CA" w:rsidRPr="00E9588A" w:rsidRDefault="137C0FFA" w:rsidP="2617B706">
      <w:pPr>
        <w:pStyle w:val="Odlomakpopisa"/>
        <w:numPr>
          <w:ilvl w:val="0"/>
          <w:numId w:val="39"/>
        </w:numPr>
        <w:tabs>
          <w:tab w:val="left" w:pos="431"/>
        </w:tabs>
        <w:spacing w:before="120" w:after="120"/>
        <w:rPr>
          <w:rFonts w:cs="Tahoma"/>
        </w:rPr>
      </w:pPr>
      <w:r w:rsidRPr="2617B706">
        <w:rPr>
          <w:rFonts w:cs="Tahoma"/>
        </w:rPr>
        <w:t>“Nemogućnost zagrijavanja doma i podmirivanja osnovnih energetskih potreba do društveno i materijalno potrebne razine” uz “narušeno fizičko i mentalno zdravlje i smanjenje mogućnosti sudjelovanja u aktivnostima zajednice” (</w:t>
      </w:r>
      <w:proofErr w:type="spellStart"/>
      <w:r w:rsidRPr="2617B706">
        <w:rPr>
          <w:rFonts w:cs="Tahoma"/>
        </w:rPr>
        <w:t>Buzarovski</w:t>
      </w:r>
      <w:proofErr w:type="spellEnd"/>
      <w:r w:rsidRPr="2617B706">
        <w:rPr>
          <w:rFonts w:cs="Tahoma"/>
        </w:rPr>
        <w:t>, 2007.)</w:t>
      </w:r>
    </w:p>
    <w:p w14:paraId="28EC1995" w14:textId="20C25B28" w:rsidR="004949CA" w:rsidRPr="00E9588A" w:rsidRDefault="004949CA" w:rsidP="00E9588A">
      <w:pPr>
        <w:spacing w:before="120" w:after="120" w:line="240" w:lineRule="auto"/>
        <w:jc w:val="both"/>
        <w:rPr>
          <w:rStyle w:val="tlid-translation"/>
          <w:rFonts w:ascii="Tahoma" w:hAnsi="Tahoma" w:cs="Tahoma"/>
          <w:sz w:val="20"/>
          <w:szCs w:val="20"/>
        </w:rPr>
      </w:pPr>
      <w:r w:rsidRPr="00E9588A">
        <w:rPr>
          <w:rFonts w:ascii="Tahoma" w:hAnsi="Tahoma" w:cs="Tahoma"/>
          <w:sz w:val="20"/>
          <w:szCs w:val="20"/>
          <w:lang w:eastAsia="hr-HR"/>
        </w:rPr>
        <w:t>U nedostatku definicije</w:t>
      </w:r>
      <w:r w:rsidR="007D16F4">
        <w:rPr>
          <w:rStyle w:val="Referencafusnote"/>
          <w:rFonts w:cs="Tahoma"/>
          <w:sz w:val="20"/>
          <w:szCs w:val="20"/>
          <w:lang w:eastAsia="hr-HR"/>
        </w:rPr>
        <w:footnoteReference w:id="30"/>
      </w:r>
      <w:r w:rsidRPr="00E9588A">
        <w:rPr>
          <w:rFonts w:ascii="Tahoma" w:hAnsi="Tahoma" w:cs="Tahoma"/>
          <w:sz w:val="20"/>
          <w:szCs w:val="20"/>
          <w:lang w:eastAsia="hr-HR"/>
        </w:rPr>
        <w:t xml:space="preserve">, energetsko siromaštvo može se mjeriti </w:t>
      </w:r>
      <w:r w:rsidRPr="00E9588A">
        <w:rPr>
          <w:rStyle w:val="tlid-translation"/>
          <w:rFonts w:ascii="Tahoma" w:hAnsi="Tahoma" w:cs="Tahoma"/>
          <w:sz w:val="20"/>
          <w:szCs w:val="20"/>
        </w:rPr>
        <w:t>i korištenjem zamjenskih pokazatelja. Statistika Europske unije o dohotku i životnim uvjetima (EU - SILC)</w:t>
      </w:r>
      <w:r w:rsidRPr="00E9588A">
        <w:rPr>
          <w:rStyle w:val="Referencafusnote"/>
          <w:rFonts w:cs="Tahoma"/>
          <w:sz w:val="20"/>
          <w:szCs w:val="20"/>
        </w:rPr>
        <w:footnoteReference w:id="31"/>
      </w:r>
      <w:r w:rsidRPr="00E9588A">
        <w:rPr>
          <w:rStyle w:val="tlid-translation"/>
          <w:rFonts w:ascii="Tahoma" w:hAnsi="Tahoma" w:cs="Tahoma"/>
          <w:sz w:val="20"/>
          <w:szCs w:val="20"/>
        </w:rPr>
        <w:t xml:space="preserve"> uključuje tri varijable koje se uobičajeno koriste za opisivanje i mjerenje energetskog siromaštva u EU:</w:t>
      </w:r>
    </w:p>
    <w:p w14:paraId="049E266D" w14:textId="77777777" w:rsidR="004949CA" w:rsidRPr="00E9588A" w:rsidRDefault="137C0FFA" w:rsidP="2617B706">
      <w:pPr>
        <w:pStyle w:val="Odlomakpopisa"/>
        <w:keepLines w:val="0"/>
        <w:numPr>
          <w:ilvl w:val="0"/>
          <w:numId w:val="40"/>
        </w:numPr>
        <w:tabs>
          <w:tab w:val="left" w:pos="431"/>
        </w:tabs>
        <w:spacing w:before="120" w:after="120"/>
        <w:rPr>
          <w:rStyle w:val="tlid-translation"/>
          <w:rFonts w:cs="Tahoma"/>
        </w:rPr>
      </w:pPr>
      <w:r w:rsidRPr="2617B706">
        <w:rPr>
          <w:rStyle w:val="tlid-translation"/>
          <w:rFonts w:cs="Tahoma"/>
        </w:rPr>
        <w:t xml:space="preserve">nemogućnost adekvatnog zagrijavanja doma; </w:t>
      </w:r>
    </w:p>
    <w:p w14:paraId="4234C70A" w14:textId="77777777" w:rsidR="004949CA" w:rsidRPr="00E9588A" w:rsidRDefault="137C0FFA" w:rsidP="2617B706">
      <w:pPr>
        <w:pStyle w:val="Odlomakpopisa"/>
        <w:keepLines w:val="0"/>
        <w:numPr>
          <w:ilvl w:val="0"/>
          <w:numId w:val="40"/>
        </w:numPr>
        <w:tabs>
          <w:tab w:val="left" w:pos="431"/>
        </w:tabs>
        <w:spacing w:before="120" w:after="120"/>
        <w:rPr>
          <w:rStyle w:val="tlid-translation"/>
          <w:rFonts w:cs="Tahoma"/>
        </w:rPr>
      </w:pPr>
      <w:r w:rsidRPr="2617B706">
        <w:rPr>
          <w:rStyle w:val="tlid-translation"/>
          <w:rFonts w:cs="Tahoma"/>
        </w:rPr>
        <w:t xml:space="preserve">dospjele neplaćene obveze po računima za energiju i </w:t>
      </w:r>
    </w:p>
    <w:p w14:paraId="7DC4A13F" w14:textId="77777777" w:rsidR="004949CA" w:rsidRPr="00E9588A" w:rsidRDefault="137C0FFA" w:rsidP="2617B706">
      <w:pPr>
        <w:pStyle w:val="Odlomakpopisa"/>
        <w:keepLines w:val="0"/>
        <w:numPr>
          <w:ilvl w:val="0"/>
          <w:numId w:val="40"/>
        </w:numPr>
        <w:tabs>
          <w:tab w:val="left" w:pos="431"/>
        </w:tabs>
        <w:spacing w:before="120" w:after="120"/>
        <w:rPr>
          <w:rFonts w:cs="Tahoma"/>
        </w:rPr>
      </w:pPr>
      <w:r w:rsidRPr="2617B706">
        <w:rPr>
          <w:rStyle w:val="tlid-translation"/>
          <w:rFonts w:cs="Tahoma"/>
        </w:rPr>
        <w:t>prisutnost krova koji propušta, vlažnih zidova, podova ili temelja, ili trulež u prozorskim okvirima ili podu.</w:t>
      </w:r>
      <w:r w:rsidRPr="2617B706">
        <w:rPr>
          <w:rFonts w:cs="Tahoma"/>
        </w:rPr>
        <w:t xml:space="preserve"> </w:t>
      </w:r>
    </w:p>
    <w:p w14:paraId="7B6AED30" w14:textId="0F1CA23A" w:rsidR="004949CA" w:rsidRPr="00E9588A" w:rsidRDefault="004949CA" w:rsidP="00E9588A">
      <w:pPr>
        <w:pStyle w:val="Opisslike"/>
        <w:spacing w:after="120"/>
        <w:rPr>
          <w:rFonts w:cs="Tahoma"/>
          <w:i w:val="0"/>
          <w:iCs w:val="0"/>
          <w:sz w:val="20"/>
          <w:szCs w:val="20"/>
          <w:lang w:eastAsia="hr-HR"/>
        </w:rPr>
      </w:pPr>
      <w:r w:rsidRPr="00E9588A">
        <w:rPr>
          <w:rFonts w:cs="Tahoma"/>
          <w:i w:val="0"/>
          <w:iCs w:val="0"/>
          <w:sz w:val="20"/>
          <w:szCs w:val="20"/>
          <w:lang w:eastAsia="hr-HR"/>
        </w:rPr>
        <w:t>Nemogućnost održavanja doma adekvatno toplim na razini EU prikazuje</w:t>
      </w:r>
      <w:r w:rsidR="009F2156">
        <w:rPr>
          <w:rFonts w:cs="Tahoma"/>
          <w:i w:val="0"/>
          <w:iCs w:val="0"/>
          <w:sz w:val="20"/>
          <w:szCs w:val="20"/>
          <w:lang w:eastAsia="hr-HR"/>
        </w:rPr>
        <w:t xml:space="preserve"> Slika 10-1</w:t>
      </w:r>
      <w:r w:rsidRPr="00E26D7C">
        <w:t>,</w:t>
      </w:r>
      <w:r w:rsidRPr="00E9588A">
        <w:rPr>
          <w:rFonts w:cs="Tahoma"/>
          <w:i w:val="0"/>
          <w:iCs w:val="0"/>
          <w:sz w:val="20"/>
          <w:szCs w:val="20"/>
          <w:lang w:eastAsia="hr-HR"/>
        </w:rPr>
        <w:t xml:space="preserve"> koja pokazuje da prema tom pokazatelju </w:t>
      </w:r>
      <w:r w:rsidR="001A3195" w:rsidRPr="008912F7">
        <w:rPr>
          <w:rFonts w:cs="Tahoma"/>
          <w:i w:val="0"/>
          <w:iCs w:val="0"/>
          <w:sz w:val="20"/>
          <w:szCs w:val="20"/>
          <w:lang w:eastAsia="hr-HR"/>
        </w:rPr>
        <w:t xml:space="preserve">Hrvatska </w:t>
      </w:r>
      <w:r w:rsidRPr="00E9588A">
        <w:rPr>
          <w:rFonts w:cs="Tahoma"/>
          <w:i w:val="0"/>
          <w:iCs w:val="0"/>
          <w:sz w:val="20"/>
          <w:szCs w:val="20"/>
          <w:lang w:eastAsia="hr-HR"/>
        </w:rPr>
        <w:t>spada u zemlje koje nemaju ekstremno izražen ovaj problem.</w:t>
      </w:r>
    </w:p>
    <w:p w14:paraId="501A3BA7" w14:textId="77777777" w:rsidR="004949CA" w:rsidRPr="00F34A88" w:rsidRDefault="004949CA" w:rsidP="004949CA">
      <w:pPr>
        <w:pStyle w:val="Opisslike"/>
      </w:pPr>
      <w:r w:rsidRPr="00F34A88">
        <w:rPr>
          <w:noProof/>
          <w:lang w:eastAsia="hr-HR"/>
        </w:rPr>
        <w:lastRenderedPageBreak/>
        <w:drawing>
          <wp:inline distT="0" distB="0" distL="0" distR="0" wp14:anchorId="04738CA6" wp14:editId="5FE76357">
            <wp:extent cx="5939790" cy="5143500"/>
            <wp:effectExtent l="0" t="0" r="3810" b="0"/>
            <wp:docPr id="1" name="Chart 1">
              <a:extLst xmlns:a="http://schemas.openxmlformats.org/drawingml/2006/main">
                <a:ext uri="{FF2B5EF4-FFF2-40B4-BE49-F238E27FC236}">
                  <a16:creationId xmlns:a16="http://schemas.microsoft.com/office/drawing/2014/main" id="{C6E9BCB1-BA5F-4921-8085-D3B3B9F7A1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96F6131" w14:textId="5A07E355" w:rsidR="004949CA" w:rsidRPr="00F34A88" w:rsidRDefault="004949CA" w:rsidP="004949CA">
      <w:pPr>
        <w:pStyle w:val="Opisslike"/>
        <w:rPr>
          <w:lang w:eastAsia="hr-HR"/>
        </w:rPr>
      </w:pPr>
      <w:bookmarkStart w:id="186" w:name="_Toc72077917"/>
      <w:bookmarkStart w:id="187" w:name="_Toc83106949"/>
      <w:bookmarkStart w:id="188" w:name="_Ref83115301"/>
      <w:r w:rsidRPr="00F34A88">
        <w:t xml:space="preserve">Slika </w:t>
      </w:r>
      <w:r>
        <w:rPr>
          <w:noProof/>
        </w:rPr>
        <w:fldChar w:fldCharType="begin"/>
      </w:r>
      <w:r>
        <w:rPr>
          <w:noProof/>
        </w:rPr>
        <w:instrText xml:space="preserve"> STYLEREF 1 \s </w:instrText>
      </w:r>
      <w:r>
        <w:rPr>
          <w:noProof/>
        </w:rPr>
        <w:fldChar w:fldCharType="separate"/>
      </w:r>
      <w:r w:rsidR="00575AF9">
        <w:rPr>
          <w:noProof/>
        </w:rPr>
        <w:t>10</w:t>
      </w:r>
      <w:r>
        <w:rPr>
          <w:noProof/>
        </w:rPr>
        <w:fldChar w:fldCharType="end"/>
      </w:r>
      <w:r>
        <w:noBreakHyphen/>
      </w:r>
      <w:r>
        <w:rPr>
          <w:noProof/>
        </w:rPr>
        <w:fldChar w:fldCharType="begin"/>
      </w:r>
      <w:r>
        <w:rPr>
          <w:noProof/>
        </w:rPr>
        <w:instrText xml:space="preserve"> SEQ Slika \* ARABIC \s 1 </w:instrText>
      </w:r>
      <w:r>
        <w:rPr>
          <w:noProof/>
        </w:rPr>
        <w:fldChar w:fldCharType="separate"/>
      </w:r>
      <w:r w:rsidR="00575AF9">
        <w:rPr>
          <w:noProof/>
        </w:rPr>
        <w:t>1</w:t>
      </w:r>
      <w:r>
        <w:rPr>
          <w:noProof/>
        </w:rPr>
        <w:fldChar w:fldCharType="end"/>
      </w:r>
      <w:r w:rsidRPr="00F34A88">
        <w:t>: Nemogućnost održavanja doma adekvatno toplim [EUROSTAT]</w:t>
      </w:r>
      <w:bookmarkEnd w:id="186"/>
      <w:bookmarkEnd w:id="187"/>
      <w:bookmarkEnd w:id="188"/>
    </w:p>
    <w:p w14:paraId="60F06160" w14:textId="77777777"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 xml:space="preserve">Treba istaknuti da je definiranje energetskog siromaštva važno za statističko praćenje ovog fenomena, no za definiranje shema potpore ključno je utvrditi jednostavne, primjenjive i dokazive kriterije kojima će se neko kućanstvo svrstati u kategoriju energetski siromašnoga i bit će prihvatljivo za dobivanje odgovarajuće pomoći iz ciljanog programa za suzbijanje energetskog siromaštva. </w:t>
      </w:r>
    </w:p>
    <w:p w14:paraId="00D49225" w14:textId="58883255"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 xml:space="preserve">U </w:t>
      </w:r>
      <w:r w:rsidR="004E3C36">
        <w:rPr>
          <w:rFonts w:ascii="Tahoma" w:hAnsi="Tahoma" w:cs="Tahoma"/>
          <w:sz w:val="20"/>
          <w:szCs w:val="20"/>
        </w:rPr>
        <w:t>Hrvatskoj</w:t>
      </w:r>
      <w:r w:rsidRPr="00E9588A">
        <w:rPr>
          <w:rFonts w:ascii="Tahoma" w:hAnsi="Tahoma" w:cs="Tahoma"/>
          <w:sz w:val="20"/>
          <w:szCs w:val="20"/>
        </w:rPr>
        <w:t xml:space="preserve"> su aktivnosti usmjerene za suzbijanje energetskog siromaštva bile usmjerene samo na segment OK i to na </w:t>
      </w:r>
      <w:r w:rsidRPr="00E9588A">
        <w:rPr>
          <w:rFonts w:ascii="Tahoma" w:hAnsi="Tahoma" w:cs="Tahoma"/>
          <w:b/>
          <w:bCs/>
          <w:sz w:val="20"/>
          <w:szCs w:val="20"/>
        </w:rPr>
        <w:t>primatelje zajamčene minimalne naknade</w:t>
      </w:r>
      <w:r w:rsidRPr="00E9588A">
        <w:rPr>
          <w:rFonts w:ascii="Tahoma" w:hAnsi="Tahoma" w:cs="Tahoma"/>
          <w:sz w:val="20"/>
          <w:szCs w:val="20"/>
        </w:rPr>
        <w:t xml:space="preserve"> koji su vlasnici/suvlasnici obiteljske kuće. Zajamčena minimalna naknada dodjeljuje se socijalno najugroženijem stanovništvu sukladno Zakonu o socijalnoj skrbi (Narodne novine, br. 157/13, 152/14, 99/15, 52/16, 16/17, 130/17, 98/19, 64/20, 133/20 i 138/20). </w:t>
      </w:r>
    </w:p>
    <w:p w14:paraId="75F748FD" w14:textId="7BFFC79C" w:rsidR="004949CA" w:rsidRPr="00E9588A" w:rsidRDefault="004949CA" w:rsidP="00E9588A">
      <w:pPr>
        <w:spacing w:before="120" w:after="120" w:line="240" w:lineRule="auto"/>
        <w:jc w:val="both"/>
        <w:rPr>
          <w:rFonts w:ascii="Tahoma" w:hAnsi="Tahoma" w:cs="Tahoma"/>
          <w:sz w:val="20"/>
          <w:szCs w:val="20"/>
        </w:rPr>
      </w:pPr>
      <w:r w:rsidRPr="00E9588A">
        <w:rPr>
          <w:rFonts w:ascii="Tahoma" w:hAnsi="Tahoma" w:cs="Tahoma"/>
          <w:sz w:val="20"/>
          <w:szCs w:val="20"/>
        </w:rPr>
        <w:t xml:space="preserve">Za građane u riziku od energetskog siromaštva koji stanuju u VSZ do sada nije bilo ciljanih programa. Jedan od razloga leži u činjenici da je prikupljanje ovakvih osjetljivih informacija na razini VSZ problematično te bi dodatno zakompliciralo postupak pripreme dokumentacije za prijavu na javne pozive za sufinanciranje. Ovaj razlog je u potpunosti opravdan. No, identificirana je posebna skupina višestambenih zgrada, koje su u djelomičnom suvlasništvu </w:t>
      </w:r>
      <w:r w:rsidR="004E3C36">
        <w:rPr>
          <w:rFonts w:ascii="Tahoma" w:hAnsi="Tahoma" w:cs="Tahoma"/>
          <w:sz w:val="20"/>
          <w:szCs w:val="20"/>
        </w:rPr>
        <w:t>države</w:t>
      </w:r>
      <w:r w:rsidRPr="00E9588A">
        <w:rPr>
          <w:rFonts w:ascii="Tahoma" w:hAnsi="Tahoma" w:cs="Tahoma"/>
          <w:sz w:val="20"/>
          <w:szCs w:val="20"/>
        </w:rPr>
        <w:t xml:space="preserve"> i time u nadležnosti SDUOZS te se nalaze na potpomognutim područjima i područjima posebne državne skrbi. Tijekom 2019. godine izrađen je nacrt Programa obnove ovih zgrada, koji je kao mjera ušao i u NEKP i u Dugoročnu strategiju. </w:t>
      </w:r>
    </w:p>
    <w:p w14:paraId="2AB810EB" w14:textId="1E99989F" w:rsidR="004949CA" w:rsidRPr="00E9588A" w:rsidRDefault="004949CA" w:rsidP="00E9588A">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E9588A">
        <w:rPr>
          <w:rFonts w:ascii="Tahoma" w:hAnsi="Tahoma" w:cs="Tahoma"/>
          <w:b/>
          <w:bCs/>
          <w:sz w:val="20"/>
          <w:szCs w:val="20"/>
        </w:rPr>
        <w:t xml:space="preserve">S obzirom da se radi o fondu zgrada s vrlo lošim energetskim svojstvima, u kojima većinom stanuju socijalno ugroženi građani, te da se te zgrade nalaze na područjima koja su po razvijenosti ispod prosjeka </w:t>
      </w:r>
      <w:r w:rsidR="004E3C36">
        <w:rPr>
          <w:rFonts w:ascii="Tahoma" w:hAnsi="Tahoma" w:cs="Tahoma"/>
          <w:b/>
          <w:bCs/>
          <w:sz w:val="20"/>
          <w:szCs w:val="20"/>
        </w:rPr>
        <w:t>Hrvatske</w:t>
      </w:r>
      <w:r w:rsidRPr="00E9588A">
        <w:rPr>
          <w:rFonts w:ascii="Tahoma" w:hAnsi="Tahoma" w:cs="Tahoma"/>
          <w:b/>
          <w:bCs/>
          <w:sz w:val="20"/>
          <w:szCs w:val="20"/>
        </w:rPr>
        <w:t xml:space="preserve">, opravdano je borbu protiv energetskog siromaštva u segmentu VSZ započeti upravo usvajanjem i provedbom takvog ciljanog Programa.  </w:t>
      </w:r>
    </w:p>
    <w:p w14:paraId="726DC1E3" w14:textId="77777777" w:rsidR="004949CA" w:rsidRPr="00E9588A" w:rsidRDefault="004949CA" w:rsidP="00E9588A">
      <w:pPr>
        <w:tabs>
          <w:tab w:val="left" w:pos="431"/>
        </w:tabs>
        <w:spacing w:before="120" w:after="120" w:line="240" w:lineRule="auto"/>
        <w:jc w:val="both"/>
        <w:rPr>
          <w:rFonts w:ascii="Tahoma" w:hAnsi="Tahoma" w:cs="Tahoma"/>
          <w:sz w:val="20"/>
          <w:szCs w:val="20"/>
        </w:rPr>
      </w:pPr>
      <w:r w:rsidRPr="00E9588A">
        <w:rPr>
          <w:rFonts w:ascii="Tahoma" w:hAnsi="Tahoma" w:cs="Tahoma"/>
          <w:sz w:val="20"/>
          <w:szCs w:val="20"/>
        </w:rPr>
        <w:lastRenderedPageBreak/>
        <w:t xml:space="preserve">Provedba navedenog Programa planira se u razdoblju od 2022. do 2025. godine. </w:t>
      </w:r>
    </w:p>
    <w:p w14:paraId="77B41C58" w14:textId="77777777" w:rsidR="004949CA" w:rsidRPr="00E9588A" w:rsidRDefault="004949CA" w:rsidP="00E9588A">
      <w:pPr>
        <w:tabs>
          <w:tab w:val="left" w:pos="431"/>
        </w:tabs>
        <w:spacing w:before="120" w:after="120" w:line="240" w:lineRule="auto"/>
        <w:jc w:val="both"/>
        <w:rPr>
          <w:rFonts w:ascii="Tahoma" w:hAnsi="Tahoma" w:cs="Tahoma"/>
          <w:sz w:val="20"/>
          <w:szCs w:val="20"/>
        </w:rPr>
      </w:pPr>
      <w:r w:rsidRPr="00E9588A">
        <w:rPr>
          <w:rFonts w:ascii="Tahoma" w:hAnsi="Tahoma" w:cs="Tahoma"/>
          <w:sz w:val="20"/>
          <w:szCs w:val="20"/>
        </w:rPr>
        <w:t xml:space="preserve">Tijekom ovog razdoblja potrebno je provesti analizu kojom će se jasno utvrditi koliki je broj građana u riziku od energetskog siromaštva u VSZ, počevši pri tome od kategorije primatelja zajamčene minimalne naknade, a potom proširivati kriterije energetskog siromaštva, u skladu s Dugoročnom strategijom obnove nacionalnog fonda zgrada do 2050. godine (Narodne novine, broj 140/20), koja je identificirala sljedeće moguće kriterije za utvrđivanje energetskog siromaštva: </w:t>
      </w:r>
    </w:p>
    <w:p w14:paraId="53B057F9" w14:textId="77777777" w:rsidR="004949CA" w:rsidRPr="00E9588A" w:rsidRDefault="137C0FFA" w:rsidP="2617B706">
      <w:pPr>
        <w:pStyle w:val="Odlomakpopisa"/>
        <w:numPr>
          <w:ilvl w:val="0"/>
          <w:numId w:val="41"/>
        </w:numPr>
        <w:tabs>
          <w:tab w:val="left" w:pos="431"/>
        </w:tabs>
        <w:spacing w:before="120" w:after="120"/>
        <w:rPr>
          <w:rFonts w:cs="Tahoma"/>
        </w:rPr>
      </w:pPr>
      <w:r w:rsidRPr="2617B706">
        <w:rPr>
          <w:rFonts w:cs="Tahoma"/>
        </w:rPr>
        <w:t xml:space="preserve">prihodi kućanstva, </w:t>
      </w:r>
    </w:p>
    <w:p w14:paraId="2F2BDCFA" w14:textId="77777777" w:rsidR="004949CA" w:rsidRPr="00E9588A" w:rsidRDefault="137C0FFA" w:rsidP="2617B706">
      <w:pPr>
        <w:pStyle w:val="Odlomakpopisa"/>
        <w:numPr>
          <w:ilvl w:val="0"/>
          <w:numId w:val="41"/>
        </w:numPr>
        <w:tabs>
          <w:tab w:val="left" w:pos="431"/>
        </w:tabs>
        <w:spacing w:before="120" w:after="120"/>
        <w:rPr>
          <w:rFonts w:cs="Tahoma"/>
        </w:rPr>
      </w:pPr>
      <w:r w:rsidRPr="2617B706">
        <w:rPr>
          <w:rFonts w:cs="Tahoma"/>
        </w:rPr>
        <w:t xml:space="preserve">energetski razred zgrade, </w:t>
      </w:r>
    </w:p>
    <w:p w14:paraId="40C91D6A" w14:textId="77777777" w:rsidR="004949CA" w:rsidRPr="00E9588A" w:rsidRDefault="137C0FFA" w:rsidP="2617B706">
      <w:pPr>
        <w:pStyle w:val="Odlomakpopisa"/>
        <w:numPr>
          <w:ilvl w:val="0"/>
          <w:numId w:val="41"/>
        </w:numPr>
        <w:tabs>
          <w:tab w:val="left" w:pos="431"/>
        </w:tabs>
        <w:spacing w:before="120" w:after="120"/>
        <w:rPr>
          <w:rFonts w:cs="Tahoma"/>
        </w:rPr>
      </w:pPr>
      <w:r w:rsidRPr="2617B706">
        <w:rPr>
          <w:rFonts w:cs="Tahoma"/>
        </w:rPr>
        <w:t>kvadratura po članu kućanstva,</w:t>
      </w:r>
    </w:p>
    <w:p w14:paraId="7E7A46FE" w14:textId="77777777" w:rsidR="004949CA" w:rsidRPr="00E9588A" w:rsidRDefault="137C0FFA" w:rsidP="2617B706">
      <w:pPr>
        <w:pStyle w:val="Odlomakpopisa"/>
        <w:numPr>
          <w:ilvl w:val="0"/>
          <w:numId w:val="41"/>
        </w:numPr>
        <w:tabs>
          <w:tab w:val="left" w:pos="431"/>
        </w:tabs>
        <w:spacing w:before="120" w:after="120"/>
        <w:rPr>
          <w:rFonts w:cs="Tahoma"/>
        </w:rPr>
      </w:pPr>
      <w:r w:rsidRPr="2617B706">
        <w:rPr>
          <w:rFonts w:cs="Tahoma"/>
        </w:rPr>
        <w:t>ukupni troškovi za energiju u odnosu na ukupne prihode kućanstva,</w:t>
      </w:r>
    </w:p>
    <w:p w14:paraId="34027629" w14:textId="77777777" w:rsidR="004949CA" w:rsidRPr="00E9588A" w:rsidRDefault="137C0FFA" w:rsidP="2617B706">
      <w:pPr>
        <w:pStyle w:val="Odlomakpopisa"/>
        <w:numPr>
          <w:ilvl w:val="0"/>
          <w:numId w:val="41"/>
        </w:numPr>
        <w:tabs>
          <w:tab w:val="left" w:pos="431"/>
        </w:tabs>
        <w:spacing w:before="120" w:after="120"/>
        <w:rPr>
          <w:rFonts w:cs="Tahoma"/>
        </w:rPr>
      </w:pPr>
      <w:r w:rsidRPr="2617B706">
        <w:rPr>
          <w:rFonts w:cs="Tahoma"/>
        </w:rPr>
        <w:t>ostale  kategorije socijalnog  statusa (invalidnina, dječji doplatak,  umirovljenici  s minimalnom mirovinom, socijalno zdravstveni cenzus, imovinsko-vlasnički cenzus i dr.)</w:t>
      </w:r>
    </w:p>
    <w:p w14:paraId="5D7BCE59" w14:textId="436E5CA8" w:rsidR="004949CA" w:rsidRPr="00E9588A" w:rsidRDefault="0C3F4C7D" w:rsidP="00E9588A">
      <w:pPr>
        <w:tabs>
          <w:tab w:val="left" w:pos="431"/>
        </w:tabs>
        <w:spacing w:before="120" w:after="120" w:line="240" w:lineRule="auto"/>
        <w:jc w:val="both"/>
        <w:rPr>
          <w:rFonts w:ascii="Tahoma" w:hAnsi="Tahoma" w:cs="Tahoma"/>
          <w:sz w:val="20"/>
          <w:szCs w:val="20"/>
        </w:rPr>
      </w:pPr>
      <w:r w:rsidRPr="00E9588A">
        <w:rPr>
          <w:rFonts w:ascii="Tahoma" w:hAnsi="Tahoma" w:cs="Tahoma"/>
          <w:sz w:val="20"/>
          <w:szCs w:val="20"/>
        </w:rPr>
        <w:t xml:space="preserve">Primjere takvih kriterija u programima energetske učinkovitosti i suzbijanja energetskog siromaštva </w:t>
      </w:r>
      <w:r w:rsidRPr="638C4C38">
        <w:rPr>
          <w:rFonts w:ascii="Tahoma" w:hAnsi="Tahoma" w:cs="Tahoma"/>
          <w:sz w:val="20"/>
          <w:szCs w:val="20"/>
        </w:rPr>
        <w:t xml:space="preserve">prikazuje </w:t>
      </w:r>
      <w:r w:rsidR="00E26D7C">
        <w:rPr>
          <w:rFonts w:ascii="Tahoma" w:hAnsi="Tahoma" w:cs="Tahoma"/>
          <w:sz w:val="20"/>
          <w:szCs w:val="20"/>
        </w:rPr>
        <w:fldChar w:fldCharType="begin"/>
      </w:r>
      <w:r w:rsidR="00E26D7C">
        <w:rPr>
          <w:rFonts w:ascii="Tahoma" w:hAnsi="Tahoma" w:cs="Tahoma"/>
          <w:sz w:val="20"/>
          <w:szCs w:val="20"/>
        </w:rPr>
        <w:instrText xml:space="preserve"> REF _Ref83115343 \h </w:instrText>
      </w:r>
      <w:r w:rsidR="00E26D7C">
        <w:rPr>
          <w:rFonts w:ascii="Tahoma" w:hAnsi="Tahoma" w:cs="Tahoma"/>
          <w:sz w:val="20"/>
          <w:szCs w:val="20"/>
        </w:rPr>
      </w:r>
      <w:r w:rsidR="00E26D7C">
        <w:rPr>
          <w:rFonts w:ascii="Tahoma" w:hAnsi="Tahoma" w:cs="Tahoma"/>
          <w:sz w:val="20"/>
          <w:szCs w:val="20"/>
        </w:rPr>
        <w:fldChar w:fldCharType="separate"/>
      </w:r>
      <w:r w:rsidR="35D074BF" w:rsidRPr="00F34A88">
        <w:t xml:space="preserve">Tablica </w:t>
      </w:r>
      <w:r w:rsidR="35D074BF">
        <w:rPr>
          <w:noProof/>
        </w:rPr>
        <w:t>10</w:t>
      </w:r>
      <w:r w:rsidR="00575AF9">
        <w:noBreakHyphen/>
      </w:r>
      <w:r w:rsidR="35D074BF">
        <w:rPr>
          <w:noProof/>
        </w:rPr>
        <w:t>2</w:t>
      </w:r>
      <w:r w:rsidR="35D074BF" w:rsidRPr="00F34A88">
        <w:t xml:space="preserve">: </w:t>
      </w:r>
      <w:r w:rsidR="35D074BF" w:rsidRPr="638C4C38">
        <w:rPr>
          <w:rFonts w:cs="Tahoma"/>
        </w:rPr>
        <w:t>Primjeri kriterija energetskog siromaštva u EU</w:t>
      </w:r>
      <w:r w:rsidR="00E26D7C">
        <w:rPr>
          <w:rFonts w:ascii="Tahoma" w:hAnsi="Tahoma" w:cs="Tahoma"/>
          <w:sz w:val="20"/>
          <w:szCs w:val="20"/>
        </w:rPr>
        <w:fldChar w:fldCharType="end"/>
      </w:r>
      <w:r w:rsidRPr="638C4C38">
        <w:rPr>
          <w:rFonts w:ascii="Tahoma" w:hAnsi="Tahoma" w:cs="Tahoma"/>
          <w:sz w:val="20"/>
          <w:szCs w:val="20"/>
        </w:rPr>
        <w:t>.</w:t>
      </w:r>
    </w:p>
    <w:p w14:paraId="71A802CC" w14:textId="300C89C7" w:rsidR="004949CA" w:rsidRDefault="004949CA" w:rsidP="004949CA">
      <w:pPr>
        <w:pStyle w:val="Opisslike"/>
        <w:rPr>
          <w:rFonts w:cs="Tahoma"/>
          <w:szCs w:val="16"/>
        </w:rPr>
      </w:pPr>
      <w:bookmarkStart w:id="189" w:name="_Toc72081558"/>
      <w:bookmarkStart w:id="190" w:name="_Ref83115343"/>
      <w:bookmarkStart w:id="191" w:name="_Toc84240508"/>
      <w:r w:rsidRPr="00F34A88">
        <w:t xml:space="preserve">Tablica </w:t>
      </w:r>
      <w:r>
        <w:rPr>
          <w:noProof/>
        </w:rPr>
        <w:fldChar w:fldCharType="begin"/>
      </w:r>
      <w:r>
        <w:rPr>
          <w:noProof/>
        </w:rPr>
        <w:instrText xml:space="preserve"> STYLEREF 1 \s </w:instrText>
      </w:r>
      <w:r>
        <w:rPr>
          <w:noProof/>
        </w:rPr>
        <w:fldChar w:fldCharType="separate"/>
      </w:r>
      <w:r w:rsidR="00575AF9">
        <w:rPr>
          <w:noProof/>
        </w:rPr>
        <w:t>10</w:t>
      </w:r>
      <w:r>
        <w:rPr>
          <w:noProof/>
        </w:rPr>
        <w:fldChar w:fldCharType="end"/>
      </w:r>
      <w:r>
        <w:noBreakHyphen/>
      </w:r>
      <w:r>
        <w:rPr>
          <w:noProof/>
        </w:rPr>
        <w:fldChar w:fldCharType="begin"/>
      </w:r>
      <w:r>
        <w:rPr>
          <w:noProof/>
        </w:rPr>
        <w:instrText xml:space="preserve"> SEQ Tablica \* ARABIC \s 1 </w:instrText>
      </w:r>
      <w:r>
        <w:rPr>
          <w:noProof/>
        </w:rPr>
        <w:fldChar w:fldCharType="separate"/>
      </w:r>
      <w:r w:rsidR="00575AF9">
        <w:rPr>
          <w:noProof/>
        </w:rPr>
        <w:t>2</w:t>
      </w:r>
      <w:r>
        <w:rPr>
          <w:noProof/>
        </w:rPr>
        <w:fldChar w:fldCharType="end"/>
      </w:r>
      <w:r w:rsidRPr="00F34A88">
        <w:t xml:space="preserve">: </w:t>
      </w:r>
      <w:r w:rsidRPr="00F34A88">
        <w:rPr>
          <w:rFonts w:cs="Tahoma"/>
          <w:szCs w:val="16"/>
        </w:rPr>
        <w:t>Primjeri kriterija energetskog siromaštva u EU</w:t>
      </w:r>
      <w:bookmarkEnd w:id="189"/>
      <w:bookmarkEnd w:id="190"/>
      <w:bookmarkEnd w:id="191"/>
    </w:p>
    <w:tbl>
      <w:tblPr>
        <w:tblStyle w:val="Svijetlatablicareetke110"/>
        <w:tblW w:w="5000" w:type="pct"/>
        <w:tblLook w:val="04A0" w:firstRow="1" w:lastRow="0" w:firstColumn="1" w:lastColumn="0" w:noHBand="0" w:noVBand="1"/>
      </w:tblPr>
      <w:tblGrid>
        <w:gridCol w:w="1352"/>
        <w:gridCol w:w="7710"/>
      </w:tblGrid>
      <w:tr w:rsidR="004949CA" w:rsidRPr="00E9588A" w14:paraId="65248134" w14:textId="77777777" w:rsidTr="006E1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pct"/>
          </w:tcPr>
          <w:p w14:paraId="55803D7A" w14:textId="77777777" w:rsidR="004949CA" w:rsidRPr="00E9588A" w:rsidRDefault="004949CA" w:rsidP="00331A63">
            <w:pPr>
              <w:rPr>
                <w:rFonts w:ascii="Tahoma" w:hAnsi="Tahoma" w:cs="Tahoma"/>
                <w:sz w:val="20"/>
                <w:szCs w:val="20"/>
              </w:rPr>
            </w:pPr>
            <w:r w:rsidRPr="00E9588A">
              <w:rPr>
                <w:rFonts w:ascii="Tahoma" w:hAnsi="Tahoma" w:cs="Tahoma"/>
                <w:sz w:val="20"/>
                <w:szCs w:val="20"/>
              </w:rPr>
              <w:t xml:space="preserve"> Država</w:t>
            </w:r>
          </w:p>
        </w:tc>
        <w:tc>
          <w:tcPr>
            <w:tcW w:w="4254" w:type="pct"/>
          </w:tcPr>
          <w:p w14:paraId="33C3446B"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E9588A">
              <w:rPr>
                <w:rFonts w:ascii="Tahoma" w:hAnsi="Tahoma" w:cs="Tahoma"/>
                <w:sz w:val="20"/>
                <w:szCs w:val="20"/>
              </w:rPr>
              <w:t>Kriterij energetskog siromaštva</w:t>
            </w:r>
          </w:p>
        </w:tc>
      </w:tr>
      <w:tr w:rsidR="004949CA" w:rsidRPr="00E9588A" w14:paraId="3F452062" w14:textId="77777777" w:rsidTr="006E155E">
        <w:tc>
          <w:tcPr>
            <w:cnfStyle w:val="001000000000" w:firstRow="0" w:lastRow="0" w:firstColumn="1" w:lastColumn="0" w:oddVBand="0" w:evenVBand="0" w:oddHBand="0" w:evenHBand="0" w:firstRowFirstColumn="0" w:firstRowLastColumn="0" w:lastRowFirstColumn="0" w:lastRowLastColumn="0"/>
            <w:tcW w:w="746" w:type="pct"/>
          </w:tcPr>
          <w:p w14:paraId="447D9AE8" w14:textId="77777777" w:rsidR="004949CA" w:rsidRPr="00E9588A" w:rsidRDefault="004949CA" w:rsidP="00331A63">
            <w:pPr>
              <w:rPr>
                <w:rFonts w:ascii="Tahoma" w:hAnsi="Tahoma" w:cs="Tahoma"/>
                <w:sz w:val="20"/>
                <w:szCs w:val="20"/>
              </w:rPr>
            </w:pPr>
            <w:r w:rsidRPr="00E9588A">
              <w:rPr>
                <w:rFonts w:ascii="Tahoma" w:hAnsi="Tahoma" w:cs="Tahoma"/>
                <w:sz w:val="20"/>
                <w:szCs w:val="20"/>
              </w:rPr>
              <w:t xml:space="preserve">Irska </w:t>
            </w:r>
          </w:p>
        </w:tc>
        <w:tc>
          <w:tcPr>
            <w:tcW w:w="4254" w:type="pct"/>
          </w:tcPr>
          <w:p w14:paraId="21AC8927"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i/>
                <w:sz w:val="20"/>
                <w:szCs w:val="20"/>
              </w:rPr>
            </w:pPr>
            <w:proofErr w:type="spellStart"/>
            <w:r w:rsidRPr="00E9588A">
              <w:rPr>
                <w:rFonts w:ascii="Tahoma" w:hAnsi="Tahoma" w:cs="Tahoma"/>
                <w:i/>
                <w:sz w:val="20"/>
                <w:szCs w:val="20"/>
              </w:rPr>
              <w:t>Better</w:t>
            </w:r>
            <w:proofErr w:type="spellEnd"/>
            <w:r w:rsidRPr="00E9588A">
              <w:rPr>
                <w:rFonts w:ascii="Tahoma" w:hAnsi="Tahoma" w:cs="Tahoma"/>
                <w:i/>
                <w:sz w:val="20"/>
                <w:szCs w:val="20"/>
              </w:rPr>
              <w:t xml:space="preserve"> </w:t>
            </w:r>
            <w:proofErr w:type="spellStart"/>
            <w:r w:rsidRPr="00E9588A">
              <w:rPr>
                <w:rFonts w:ascii="Tahoma" w:hAnsi="Tahoma" w:cs="Tahoma"/>
                <w:i/>
                <w:sz w:val="20"/>
                <w:szCs w:val="20"/>
              </w:rPr>
              <w:t>Energy:Warmer</w:t>
            </w:r>
            <w:proofErr w:type="spellEnd"/>
            <w:r w:rsidRPr="00E9588A">
              <w:rPr>
                <w:rFonts w:ascii="Tahoma" w:hAnsi="Tahoma" w:cs="Tahoma"/>
                <w:i/>
                <w:sz w:val="20"/>
                <w:szCs w:val="20"/>
              </w:rPr>
              <w:t xml:space="preserve"> </w:t>
            </w:r>
            <w:proofErr w:type="spellStart"/>
            <w:r w:rsidRPr="00E9588A">
              <w:rPr>
                <w:rFonts w:ascii="Tahoma" w:hAnsi="Tahoma" w:cs="Tahoma"/>
                <w:i/>
                <w:sz w:val="20"/>
                <w:szCs w:val="20"/>
              </w:rPr>
              <w:t>Houses</w:t>
            </w:r>
            <w:proofErr w:type="spellEnd"/>
            <w:r w:rsidRPr="00E9588A">
              <w:rPr>
                <w:rFonts w:ascii="Tahoma" w:hAnsi="Tahoma" w:cs="Tahoma"/>
                <w:i/>
                <w:sz w:val="20"/>
                <w:szCs w:val="20"/>
              </w:rPr>
              <w:t xml:space="preserve"> (program financiran iz EFRR)</w:t>
            </w:r>
          </w:p>
          <w:p w14:paraId="731672F5"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588A">
              <w:rPr>
                <w:rFonts w:ascii="Tahoma" w:hAnsi="Tahoma" w:cs="Tahoma"/>
                <w:sz w:val="20"/>
                <w:szCs w:val="20"/>
              </w:rPr>
              <w:t>Prihvatljivi korisnici su oni koji primaju jednu od pomoći: 1) naknadu za gorivo; 2) naknadu za nezaposlene više od 6 mjeseci i s djetetom mlađim od 7 godina i 3) obiteljski dodatak.</w:t>
            </w:r>
          </w:p>
        </w:tc>
      </w:tr>
      <w:tr w:rsidR="004949CA" w:rsidRPr="00E9588A" w14:paraId="08577CEA" w14:textId="77777777" w:rsidTr="006E155E">
        <w:tc>
          <w:tcPr>
            <w:cnfStyle w:val="001000000000" w:firstRow="0" w:lastRow="0" w:firstColumn="1" w:lastColumn="0" w:oddVBand="0" w:evenVBand="0" w:oddHBand="0" w:evenHBand="0" w:firstRowFirstColumn="0" w:firstRowLastColumn="0" w:lastRowFirstColumn="0" w:lastRowLastColumn="0"/>
            <w:tcW w:w="746" w:type="pct"/>
          </w:tcPr>
          <w:p w14:paraId="59F82159" w14:textId="77777777" w:rsidR="004949CA" w:rsidRPr="00E9588A" w:rsidRDefault="004949CA" w:rsidP="00331A63">
            <w:pPr>
              <w:rPr>
                <w:rFonts w:ascii="Tahoma" w:hAnsi="Tahoma" w:cs="Tahoma"/>
                <w:sz w:val="20"/>
                <w:szCs w:val="20"/>
              </w:rPr>
            </w:pPr>
            <w:r w:rsidRPr="00E9588A">
              <w:rPr>
                <w:rFonts w:ascii="Tahoma" w:hAnsi="Tahoma" w:cs="Tahoma"/>
                <w:sz w:val="20"/>
                <w:szCs w:val="20"/>
              </w:rPr>
              <w:t xml:space="preserve">Rumunjska </w:t>
            </w:r>
          </w:p>
        </w:tc>
        <w:tc>
          <w:tcPr>
            <w:tcW w:w="4254" w:type="pct"/>
          </w:tcPr>
          <w:p w14:paraId="1F2433B1"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i/>
                <w:sz w:val="20"/>
                <w:szCs w:val="20"/>
              </w:rPr>
            </w:pPr>
            <w:r w:rsidRPr="00E9588A">
              <w:rPr>
                <w:rFonts w:ascii="Tahoma" w:hAnsi="Tahoma" w:cs="Tahoma"/>
                <w:i/>
                <w:sz w:val="20"/>
                <w:szCs w:val="20"/>
              </w:rPr>
              <w:t>Višegodišnji nacionalni program za poboljšanje energetskih svojstava stambenih blokova (program financiran iz EFRR)</w:t>
            </w:r>
          </w:p>
          <w:p w14:paraId="4ADFD768"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588A">
              <w:rPr>
                <w:rFonts w:ascii="Tahoma" w:hAnsi="Tahoma" w:cs="Tahoma"/>
                <w:sz w:val="20"/>
                <w:szCs w:val="20"/>
              </w:rPr>
              <w:t xml:space="preserve">Zgrade građene između 1951. i 1990. u kojima je više od 50% kućanstava s niskim prihodima (&lt; 500 € /mjesec) </w:t>
            </w:r>
            <w:r w:rsidRPr="00E9588A">
              <w:rPr>
                <w:rFonts w:ascii="Tahoma" w:hAnsi="Tahoma" w:cs="Tahoma"/>
                <w:i/>
                <w:sz w:val="20"/>
                <w:szCs w:val="20"/>
              </w:rPr>
              <w:t xml:space="preserve"> </w:t>
            </w:r>
          </w:p>
        </w:tc>
      </w:tr>
      <w:tr w:rsidR="004949CA" w:rsidRPr="00E9588A" w14:paraId="76F87EFA" w14:textId="77777777" w:rsidTr="006E155E">
        <w:tc>
          <w:tcPr>
            <w:cnfStyle w:val="001000000000" w:firstRow="0" w:lastRow="0" w:firstColumn="1" w:lastColumn="0" w:oddVBand="0" w:evenVBand="0" w:oddHBand="0" w:evenHBand="0" w:firstRowFirstColumn="0" w:firstRowLastColumn="0" w:lastRowFirstColumn="0" w:lastRowLastColumn="0"/>
            <w:tcW w:w="746" w:type="pct"/>
          </w:tcPr>
          <w:p w14:paraId="1F5FBF1A" w14:textId="77777777" w:rsidR="004949CA" w:rsidRPr="00E9588A" w:rsidRDefault="004949CA" w:rsidP="00331A63">
            <w:pPr>
              <w:rPr>
                <w:rFonts w:ascii="Tahoma" w:hAnsi="Tahoma" w:cs="Tahoma"/>
                <w:sz w:val="20"/>
                <w:szCs w:val="20"/>
              </w:rPr>
            </w:pPr>
            <w:r w:rsidRPr="00E9588A">
              <w:rPr>
                <w:rFonts w:ascii="Tahoma" w:hAnsi="Tahoma" w:cs="Tahoma"/>
                <w:sz w:val="20"/>
                <w:szCs w:val="20"/>
              </w:rPr>
              <w:t xml:space="preserve">Engleska </w:t>
            </w:r>
          </w:p>
        </w:tc>
        <w:tc>
          <w:tcPr>
            <w:tcW w:w="4254" w:type="pct"/>
          </w:tcPr>
          <w:p w14:paraId="373314B9"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i/>
                <w:sz w:val="20"/>
                <w:szCs w:val="20"/>
              </w:rPr>
            </w:pPr>
            <w:proofErr w:type="spellStart"/>
            <w:r w:rsidRPr="00E9588A">
              <w:rPr>
                <w:rFonts w:ascii="Tahoma" w:hAnsi="Tahoma" w:cs="Tahoma"/>
                <w:i/>
                <w:sz w:val="20"/>
                <w:szCs w:val="20"/>
              </w:rPr>
              <w:t>Warm</w:t>
            </w:r>
            <w:proofErr w:type="spellEnd"/>
            <w:r w:rsidRPr="00E9588A">
              <w:rPr>
                <w:rFonts w:ascii="Tahoma" w:hAnsi="Tahoma" w:cs="Tahoma"/>
                <w:i/>
                <w:sz w:val="20"/>
                <w:szCs w:val="20"/>
              </w:rPr>
              <w:t xml:space="preserve"> Front shema (nacionalno financiranje)</w:t>
            </w:r>
          </w:p>
          <w:p w14:paraId="3DAED39A"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E9588A">
              <w:rPr>
                <w:rFonts w:ascii="Tahoma" w:hAnsi="Tahoma" w:cs="Tahoma"/>
                <w:sz w:val="20"/>
                <w:szCs w:val="20"/>
              </w:rPr>
              <w:t xml:space="preserve">Zgrada mora biti energetskog razreda D ili lošijeg. Korisnik mora biti prihvatljiv za tzv. naknadu za hladno vrijeme, koju primaju </w:t>
            </w:r>
            <w:r w:rsidRPr="00E9588A">
              <w:rPr>
                <w:rStyle w:val="tlid-translation"/>
                <w:rFonts w:ascii="Tahoma" w:hAnsi="Tahoma" w:cs="Tahoma"/>
                <w:sz w:val="20"/>
                <w:szCs w:val="20"/>
              </w:rPr>
              <w:t>umirovljenici, odrasli i djeca s invaliditetom te obitelji s djecom do 5 godina koje primaju jednu od naknada vezanih uz dohodak, a plaćanje se vrši automatski kada je prosječna temperatura na vremenskoj stanici povezana s poštanskim brojem korisnika zabilježena kao, ili se predviđa da će biti, 0°C ili ispod sedam uzastopnih dana.</w:t>
            </w:r>
            <w:r w:rsidRPr="00E9588A">
              <w:rPr>
                <w:rFonts w:ascii="Tahoma" w:hAnsi="Tahoma" w:cs="Tahoma"/>
                <w:sz w:val="20"/>
                <w:szCs w:val="20"/>
              </w:rPr>
              <w:t xml:space="preserve"> </w:t>
            </w:r>
          </w:p>
        </w:tc>
      </w:tr>
    </w:tbl>
    <w:p w14:paraId="26B69A2F" w14:textId="50F09429" w:rsidR="006E155E" w:rsidRDefault="00C5603F" w:rsidP="006E155E">
      <w:pPr>
        <w:pStyle w:val="Naslov20"/>
      </w:pPr>
      <w:bookmarkStart w:id="192" w:name="_Toc83912069"/>
      <w:r>
        <w:t xml:space="preserve">Model pomoći </w:t>
      </w:r>
      <w:r w:rsidR="00A749F2">
        <w:t xml:space="preserve">suvlasnicima </w:t>
      </w:r>
      <w:r w:rsidR="00AD7888">
        <w:t>višestambenih zgrada</w:t>
      </w:r>
      <w:r w:rsidR="00A749F2">
        <w:t xml:space="preserve"> u riziku od energetskog siromaštva</w:t>
      </w:r>
      <w:bookmarkEnd w:id="192"/>
    </w:p>
    <w:p w14:paraId="66DC856F" w14:textId="77777777" w:rsidR="006E155E" w:rsidRDefault="006E155E" w:rsidP="00E9588A">
      <w:pPr>
        <w:tabs>
          <w:tab w:val="left" w:pos="431"/>
        </w:tabs>
        <w:spacing w:before="120" w:after="120" w:line="240" w:lineRule="auto"/>
        <w:jc w:val="both"/>
        <w:rPr>
          <w:rFonts w:ascii="Tahoma" w:hAnsi="Tahoma" w:cs="Tahoma"/>
          <w:sz w:val="20"/>
          <w:szCs w:val="20"/>
        </w:rPr>
      </w:pPr>
    </w:p>
    <w:p w14:paraId="362C3A53" w14:textId="780D74AC" w:rsidR="004949CA" w:rsidRPr="00E9588A" w:rsidRDefault="0C3F4C7D" w:rsidP="00E9588A">
      <w:pPr>
        <w:tabs>
          <w:tab w:val="left" w:pos="431"/>
        </w:tabs>
        <w:spacing w:before="120" w:after="120" w:line="240" w:lineRule="auto"/>
        <w:jc w:val="both"/>
        <w:rPr>
          <w:rFonts w:ascii="Tahoma" w:hAnsi="Tahoma" w:cs="Tahoma"/>
          <w:sz w:val="20"/>
          <w:szCs w:val="20"/>
        </w:rPr>
      </w:pPr>
      <w:r w:rsidRPr="76C5F75F">
        <w:rPr>
          <w:rFonts w:ascii="Tahoma" w:hAnsi="Tahoma" w:cs="Tahoma"/>
          <w:sz w:val="20"/>
          <w:szCs w:val="20"/>
        </w:rPr>
        <w:t>NEKP i Dugoročna strategija navode da je potrebno razmotriti uspostavu fonda kojim će se u cijelosti pokrivati troškovi za suvlasnike u VSZ koji ulaze u kategoriju građana u riziku od energetskog siromaštva. Uspostava ovog fonda, odnosno općeg modela sufinanciranja suvlasnika u VSZ koji su ugroženi od energetskog siromaštva, temeljit će se na detaljnoj analizi potreba. U toj analizi svakako treba krenuti od kategorije korisnika zajamčene minimalne naknade, kao kod obiteljskih kuća, te utvrditi koliko takvih građana stanuje u VSZ, koji je njihov vlasnički status i mogu li se identificirati zgrade koje imaju veću koncentraciju takvih suvlasnika ili stanara (u slučaju kada je suvlasnik država ili jedinica lokalne ili područne</w:t>
      </w:r>
      <w:r w:rsidR="278ED974" w:rsidRPr="76C5F75F">
        <w:rPr>
          <w:rFonts w:ascii="Tahoma" w:hAnsi="Tahoma" w:cs="Tahoma"/>
          <w:sz w:val="20"/>
          <w:szCs w:val="20"/>
        </w:rPr>
        <w:t xml:space="preserve"> </w:t>
      </w:r>
      <w:r w:rsidRPr="76C5F75F">
        <w:rPr>
          <w:rFonts w:ascii="Tahoma" w:hAnsi="Tahoma" w:cs="Tahoma"/>
          <w:sz w:val="20"/>
          <w:szCs w:val="20"/>
        </w:rPr>
        <w:t xml:space="preserve">(regionalne) samouprave). VSZ s većom koncentracijom ovakvih suvlasnika/stanara mogu biti predmet posebnog potprograma, na sličan način koji je utvrđen za VSZ na potpomognutim područjima i područjima posebne državne skrbi. </w:t>
      </w:r>
    </w:p>
    <w:p w14:paraId="59C66595" w14:textId="77777777" w:rsidR="004949CA" w:rsidRPr="00E9588A" w:rsidRDefault="004949CA" w:rsidP="00E9588A">
      <w:pPr>
        <w:tabs>
          <w:tab w:val="left" w:pos="431"/>
        </w:tabs>
        <w:spacing w:before="120" w:after="120" w:line="240" w:lineRule="auto"/>
        <w:jc w:val="both"/>
        <w:rPr>
          <w:rFonts w:ascii="Tahoma" w:hAnsi="Tahoma" w:cs="Tahoma"/>
          <w:sz w:val="20"/>
          <w:szCs w:val="20"/>
        </w:rPr>
      </w:pPr>
      <w:r w:rsidRPr="00E9588A">
        <w:rPr>
          <w:rFonts w:ascii="Tahoma" w:hAnsi="Tahoma" w:cs="Tahoma"/>
          <w:sz w:val="20"/>
          <w:szCs w:val="20"/>
        </w:rPr>
        <w:t xml:space="preserve">S druge strane, i svim ostalim građanima, suvlasnicima u VSZ, koji su u riziku od  energetskog siromaštva treba omogućiti kompenzaciju troškova obnove njihove VSZ do 100% prihvatljivih troškova, jednako kako se to omogućava vlasnicima obiteljskih kuća. U tom smislu, potrebno je osigurati financijska sredstva za tu kompenzaciju. Kompenzacija troška pozitivno bi djelovala na spremnost suvlasnika u riziku od energetskog siromaštva da daju suglasnost za obnovu svoje VSZ, jer bi ti suvlasnici bili </w:t>
      </w:r>
      <w:r w:rsidRPr="00E9588A">
        <w:rPr>
          <w:rFonts w:ascii="Tahoma" w:hAnsi="Tahoma" w:cs="Tahoma"/>
          <w:sz w:val="20"/>
          <w:szCs w:val="20"/>
        </w:rPr>
        <w:lastRenderedPageBreak/>
        <w:t xml:space="preserve">oslobođeni od povećanja pričuve i ulaženja u kreditne obveze. Kompenzacija bi se uplaćivala na zajednički račun zgrade, a postupak prijave za kompenzaciju provodili bi upravitelji u ime i za račun suvlasnika koji ispunjavaju uvjete rizičnosti od energetskog siromaštva. </w:t>
      </w:r>
    </w:p>
    <w:p w14:paraId="2B33E065" w14:textId="77777777" w:rsidR="004949CA" w:rsidRPr="00E9588A" w:rsidRDefault="004949CA" w:rsidP="00E9588A">
      <w:pPr>
        <w:tabs>
          <w:tab w:val="left" w:pos="431"/>
        </w:tabs>
        <w:spacing w:before="120" w:after="120" w:line="240" w:lineRule="auto"/>
        <w:jc w:val="both"/>
        <w:rPr>
          <w:rFonts w:ascii="Tahoma" w:hAnsi="Tahoma" w:cs="Tahoma"/>
          <w:sz w:val="20"/>
          <w:szCs w:val="20"/>
        </w:rPr>
      </w:pPr>
      <w:r w:rsidRPr="00E9588A">
        <w:rPr>
          <w:rFonts w:ascii="Tahoma" w:hAnsi="Tahoma" w:cs="Tahoma"/>
          <w:sz w:val="20"/>
          <w:szCs w:val="20"/>
        </w:rPr>
        <w:t xml:space="preserve">S obzirom da je prvo potrebno provesti navedenu analizu te osigurati sredstva za ovaj kompenzacijski fond, primjena ovog modela predviđa se u drugom trogodišnjem razdoblju provedbe ovoga Programa.  </w:t>
      </w:r>
    </w:p>
    <w:p w14:paraId="00343F50" w14:textId="77777777" w:rsidR="004949CA" w:rsidRPr="00E9588A" w:rsidRDefault="004949CA" w:rsidP="00E9588A">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E9588A">
        <w:rPr>
          <w:rFonts w:ascii="Tahoma" w:hAnsi="Tahoma" w:cs="Tahoma"/>
          <w:b/>
          <w:bCs/>
          <w:sz w:val="20"/>
          <w:szCs w:val="20"/>
        </w:rPr>
        <w:t xml:space="preserve">Ovim se Programom utvrđuje nužnost uspostave modela za kompenzaciju troškova obnove do 100% prihvatljivih troškova suvlasnicima u VSZ koji su u riziku od energetskog siromaštva. Primjena tog modela započet će u drugom trogodišnjem razdoblju provedbe ovoga Programa.  </w:t>
      </w:r>
    </w:p>
    <w:p w14:paraId="6F6D9183" w14:textId="77777777" w:rsidR="004949CA" w:rsidRPr="00536686" w:rsidRDefault="004949CA" w:rsidP="004949CA">
      <w:pPr>
        <w:rPr>
          <w:strike/>
          <w:lang w:eastAsia="hr-HR"/>
        </w:rPr>
      </w:pPr>
    </w:p>
    <w:p w14:paraId="59744A4C" w14:textId="77777777" w:rsidR="004949CA" w:rsidRDefault="004949CA" w:rsidP="004949CA">
      <w:pPr>
        <w:rPr>
          <w:lang w:eastAsia="hr-HR"/>
        </w:rPr>
      </w:pPr>
    </w:p>
    <w:p w14:paraId="5D5329A3" w14:textId="5FAA000E" w:rsidR="004949CA" w:rsidRPr="00586018" w:rsidRDefault="004949CA" w:rsidP="004949CA">
      <w:pPr>
        <w:pStyle w:val="Naslov10"/>
        <w:ind w:left="709" w:hanging="709"/>
      </w:pPr>
      <w:bookmarkStart w:id="193" w:name="_Toc81836297"/>
      <w:bookmarkStart w:id="194" w:name="_Toc83912070"/>
      <w:r>
        <w:lastRenderedPageBreak/>
        <w:t>I</w:t>
      </w:r>
      <w:r w:rsidR="00586018" w:rsidRPr="00586018">
        <w:t>ndikativni financijski plan s prikazom financijskih pretpostavki za provedbu posebnih ciljeva i projekata od strateškog značaja</w:t>
      </w:r>
      <w:bookmarkEnd w:id="193"/>
      <w:bookmarkEnd w:id="194"/>
    </w:p>
    <w:p w14:paraId="5A713EDC" w14:textId="77777777" w:rsidR="004949CA" w:rsidRPr="00E9588A" w:rsidRDefault="004949CA" w:rsidP="004949CA">
      <w:pPr>
        <w:pStyle w:val="Naslov20"/>
      </w:pPr>
      <w:bookmarkStart w:id="195" w:name="_Toc72156286"/>
      <w:bookmarkStart w:id="196" w:name="_Toc81836298"/>
      <w:bookmarkStart w:id="197" w:name="_Toc83912071"/>
      <w:r w:rsidRPr="00E9588A">
        <w:t xml:space="preserve">Procjena investicijskih troškova obnove </w:t>
      </w:r>
      <w:bookmarkEnd w:id="195"/>
      <w:r w:rsidRPr="00E9588A">
        <w:t>VSZ</w:t>
      </w:r>
      <w:bookmarkEnd w:id="196"/>
      <w:bookmarkEnd w:id="197"/>
    </w:p>
    <w:p w14:paraId="4585664C" w14:textId="6D3C4987" w:rsidR="004949CA" w:rsidRPr="00E9588A" w:rsidRDefault="004949CA" w:rsidP="00E9588A">
      <w:pPr>
        <w:jc w:val="both"/>
        <w:rPr>
          <w:rFonts w:ascii="Tahoma" w:hAnsi="Tahoma" w:cs="Tahoma"/>
          <w:sz w:val="20"/>
          <w:szCs w:val="20"/>
        </w:rPr>
      </w:pPr>
      <w:r w:rsidRPr="00E9588A">
        <w:rPr>
          <w:rFonts w:ascii="Tahoma" w:hAnsi="Tahoma" w:cs="Tahoma"/>
          <w:sz w:val="20"/>
          <w:szCs w:val="20"/>
          <w:lang w:eastAsia="hr-HR"/>
        </w:rPr>
        <w:t xml:space="preserve">Kao polazišna točka u procjeni investicijskih troškova obnove koristit će se ciljane površine obnovljenih VSZ koje prikazuje </w:t>
      </w:r>
      <w:r w:rsidR="00AD18A2">
        <w:rPr>
          <w:rFonts w:ascii="Tahoma" w:hAnsi="Tahoma" w:cs="Tahoma"/>
          <w:sz w:val="20"/>
          <w:szCs w:val="20"/>
          <w:lang w:eastAsia="hr-HR"/>
        </w:rPr>
        <w:fldChar w:fldCharType="begin"/>
      </w:r>
      <w:r w:rsidR="00AD18A2">
        <w:rPr>
          <w:rFonts w:ascii="Tahoma" w:hAnsi="Tahoma" w:cs="Tahoma"/>
          <w:sz w:val="20"/>
          <w:szCs w:val="20"/>
          <w:lang w:eastAsia="hr-HR"/>
        </w:rPr>
        <w:instrText xml:space="preserve"> REF _Ref83114288 \h </w:instrText>
      </w:r>
      <w:r w:rsidR="00AD18A2">
        <w:rPr>
          <w:rFonts w:ascii="Tahoma" w:hAnsi="Tahoma" w:cs="Tahoma"/>
          <w:sz w:val="20"/>
          <w:szCs w:val="20"/>
          <w:lang w:eastAsia="hr-HR"/>
        </w:rPr>
      </w:r>
      <w:r w:rsidR="00AD18A2">
        <w:rPr>
          <w:rFonts w:ascii="Tahoma" w:hAnsi="Tahoma" w:cs="Tahoma"/>
          <w:sz w:val="20"/>
          <w:szCs w:val="20"/>
          <w:lang w:eastAsia="hr-HR"/>
        </w:rPr>
        <w:fldChar w:fldCharType="separate"/>
      </w:r>
      <w:r w:rsidR="00575AF9" w:rsidRPr="00DE7F43">
        <w:t xml:space="preserve">Tablica </w:t>
      </w:r>
      <w:r w:rsidR="00575AF9">
        <w:rPr>
          <w:noProof/>
        </w:rPr>
        <w:t>3</w:t>
      </w:r>
      <w:r w:rsidR="00575AF9" w:rsidRPr="00DE7F43">
        <w:noBreakHyphen/>
      </w:r>
      <w:r w:rsidR="00575AF9">
        <w:rPr>
          <w:noProof/>
        </w:rPr>
        <w:t>11</w:t>
      </w:r>
      <w:r w:rsidR="00AD18A2">
        <w:rPr>
          <w:rFonts w:ascii="Tahoma" w:hAnsi="Tahoma" w:cs="Tahoma"/>
          <w:sz w:val="20"/>
          <w:szCs w:val="20"/>
          <w:lang w:eastAsia="hr-HR"/>
        </w:rPr>
        <w:fldChar w:fldCharType="end"/>
      </w:r>
      <w:r w:rsidRPr="00E9588A">
        <w:rPr>
          <w:rFonts w:ascii="Tahoma" w:hAnsi="Tahoma" w:cs="Tahoma"/>
          <w:sz w:val="20"/>
          <w:szCs w:val="20"/>
          <w:lang w:eastAsia="hr-HR"/>
        </w:rPr>
        <w:t xml:space="preserve">. Dugoročna strategija pretpostavlja se da će </w:t>
      </w:r>
      <w:r w:rsidRPr="00E9588A">
        <w:rPr>
          <w:rFonts w:ascii="Tahoma" w:hAnsi="Tahoma" w:cs="Tahoma"/>
          <w:sz w:val="20"/>
          <w:szCs w:val="20"/>
        </w:rPr>
        <w:t xml:space="preserve">50% VSZ trebati samo energetsku obnovu, dok će ostalih 50% trebati sveobuhvatnu koja uključuje mjere vezane uz smanjenje rizika povezanih s djelovanjem potresa. Za VSZ koje će trebati samo energetsku obnovu, pretpostavlja se da će se u 50% slučajeva raditi o integralnoj energetskoj obnovi, a u 50% slučajeva o dubinskoj obnovi. Uvažavajući utvrđene maksimalne jedinične troškove pojedinih razina obnove, procjena investicijskih troškova obnove u cijelom razdoblju prikazuje </w:t>
      </w:r>
      <w:r w:rsidR="00AD18A2">
        <w:rPr>
          <w:rFonts w:ascii="Tahoma" w:hAnsi="Tahoma" w:cs="Tahoma"/>
          <w:sz w:val="20"/>
          <w:szCs w:val="20"/>
        </w:rPr>
        <w:fldChar w:fldCharType="begin"/>
      </w:r>
      <w:r w:rsidR="00AD18A2">
        <w:rPr>
          <w:rFonts w:ascii="Tahoma" w:hAnsi="Tahoma" w:cs="Tahoma"/>
          <w:sz w:val="20"/>
          <w:szCs w:val="20"/>
        </w:rPr>
        <w:instrText xml:space="preserve"> REF _Ref83115390 \h </w:instrText>
      </w:r>
      <w:r w:rsidR="00AD18A2">
        <w:rPr>
          <w:rFonts w:ascii="Tahoma" w:hAnsi="Tahoma" w:cs="Tahoma"/>
          <w:sz w:val="20"/>
          <w:szCs w:val="20"/>
        </w:rPr>
      </w:r>
      <w:r w:rsidR="00AD18A2">
        <w:rPr>
          <w:rFonts w:ascii="Tahoma" w:hAnsi="Tahoma" w:cs="Tahoma"/>
          <w:sz w:val="20"/>
          <w:szCs w:val="20"/>
        </w:rPr>
        <w:fldChar w:fldCharType="separate"/>
      </w:r>
      <w:r w:rsidR="00575AF9" w:rsidRPr="00E14E86">
        <w:t xml:space="preserve">Tablica </w:t>
      </w:r>
      <w:r w:rsidR="00575AF9">
        <w:rPr>
          <w:noProof/>
        </w:rPr>
        <w:t>11</w:t>
      </w:r>
      <w:r w:rsidR="00575AF9" w:rsidRPr="00E14E86">
        <w:noBreakHyphen/>
      </w:r>
      <w:r w:rsidR="00575AF9">
        <w:rPr>
          <w:noProof/>
        </w:rPr>
        <w:t>1</w:t>
      </w:r>
      <w:r w:rsidR="00AD18A2">
        <w:rPr>
          <w:rFonts w:ascii="Tahoma" w:hAnsi="Tahoma" w:cs="Tahoma"/>
          <w:sz w:val="20"/>
          <w:szCs w:val="20"/>
        </w:rPr>
        <w:fldChar w:fldCharType="end"/>
      </w:r>
      <w:r w:rsidRPr="00E9588A">
        <w:rPr>
          <w:rFonts w:ascii="Tahoma" w:hAnsi="Tahoma" w:cs="Tahoma"/>
          <w:sz w:val="20"/>
          <w:szCs w:val="20"/>
        </w:rPr>
        <w:t>.</w:t>
      </w:r>
    </w:p>
    <w:p w14:paraId="29B24C6D" w14:textId="4132000D" w:rsidR="004949CA" w:rsidRPr="00E14E86" w:rsidRDefault="004949CA" w:rsidP="004949CA">
      <w:pPr>
        <w:pStyle w:val="Opisslike"/>
        <w:rPr>
          <w:rFonts w:cs="Tahoma"/>
          <w:szCs w:val="16"/>
        </w:rPr>
      </w:pPr>
      <w:bookmarkStart w:id="198" w:name="_Ref83115390"/>
      <w:bookmarkStart w:id="199" w:name="_Toc72081562"/>
      <w:bookmarkStart w:id="200" w:name="_Toc84240509"/>
      <w:r w:rsidRPr="00E14E86">
        <w:t xml:space="preserve">Tablica </w:t>
      </w:r>
      <w:r w:rsidRPr="00E14E86">
        <w:rPr>
          <w:noProof/>
        </w:rPr>
        <w:fldChar w:fldCharType="begin"/>
      </w:r>
      <w:r w:rsidRPr="00E14E86">
        <w:rPr>
          <w:noProof/>
        </w:rPr>
        <w:instrText xml:space="preserve"> STYLEREF 1 \s </w:instrText>
      </w:r>
      <w:r w:rsidRPr="00E14E86">
        <w:rPr>
          <w:noProof/>
        </w:rPr>
        <w:fldChar w:fldCharType="separate"/>
      </w:r>
      <w:r w:rsidR="00575AF9">
        <w:rPr>
          <w:noProof/>
        </w:rPr>
        <w:t>11</w:t>
      </w:r>
      <w:r w:rsidRPr="00E14E86">
        <w:rPr>
          <w:noProof/>
        </w:rPr>
        <w:fldChar w:fldCharType="end"/>
      </w:r>
      <w:r w:rsidRPr="00E14E86">
        <w:noBreakHyphen/>
      </w:r>
      <w:r w:rsidRPr="00E14E86">
        <w:rPr>
          <w:noProof/>
        </w:rPr>
        <w:fldChar w:fldCharType="begin"/>
      </w:r>
      <w:r w:rsidRPr="00E14E86">
        <w:rPr>
          <w:noProof/>
        </w:rPr>
        <w:instrText xml:space="preserve"> SEQ Tablica \* ARABIC \s 1 </w:instrText>
      </w:r>
      <w:r w:rsidRPr="00E14E86">
        <w:rPr>
          <w:noProof/>
        </w:rPr>
        <w:fldChar w:fldCharType="separate"/>
      </w:r>
      <w:r w:rsidR="00575AF9">
        <w:rPr>
          <w:noProof/>
        </w:rPr>
        <w:t>1</w:t>
      </w:r>
      <w:r w:rsidRPr="00E14E86">
        <w:rPr>
          <w:noProof/>
        </w:rPr>
        <w:fldChar w:fldCharType="end"/>
      </w:r>
      <w:bookmarkEnd w:id="198"/>
      <w:r w:rsidRPr="00E14E86">
        <w:t xml:space="preserve">: </w:t>
      </w:r>
      <w:r w:rsidRPr="00E14E86">
        <w:rPr>
          <w:rFonts w:cs="Tahoma"/>
          <w:szCs w:val="16"/>
        </w:rPr>
        <w:t>Procjena investicijskog troška obnove VSZ za razdoblje od 2021. do 2030</w:t>
      </w:r>
      <w:bookmarkEnd w:id="199"/>
      <w:r w:rsidRPr="00E14E86">
        <w:rPr>
          <w:rFonts w:cs="Tahoma"/>
          <w:szCs w:val="16"/>
        </w:rPr>
        <w:t xml:space="preserve"> prema Dugoročnoj strategiji</w:t>
      </w:r>
      <w:bookmarkEnd w:id="200"/>
    </w:p>
    <w:tbl>
      <w:tblPr>
        <w:tblStyle w:val="Svijetlatablicareetke110"/>
        <w:tblW w:w="5000" w:type="pct"/>
        <w:tblLayout w:type="fixed"/>
        <w:tblLook w:val="04A0" w:firstRow="1" w:lastRow="0" w:firstColumn="1" w:lastColumn="0" w:noHBand="0" w:noVBand="1"/>
      </w:tblPr>
      <w:tblGrid>
        <w:gridCol w:w="2194"/>
        <w:gridCol w:w="689"/>
        <w:gridCol w:w="687"/>
        <w:gridCol w:w="687"/>
        <w:gridCol w:w="687"/>
        <w:gridCol w:w="687"/>
        <w:gridCol w:w="689"/>
        <w:gridCol w:w="687"/>
        <w:gridCol w:w="687"/>
        <w:gridCol w:w="687"/>
        <w:gridCol w:w="681"/>
      </w:tblGrid>
      <w:tr w:rsidR="004949CA" w:rsidRPr="00E9588A" w14:paraId="76D77619" w14:textId="77777777" w:rsidTr="00331A6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1" w:type="pct"/>
            <w:hideMark/>
          </w:tcPr>
          <w:p w14:paraId="382AAAC5" w14:textId="77777777" w:rsidR="004949CA" w:rsidRPr="00E9588A" w:rsidRDefault="004949CA" w:rsidP="00331A63">
            <w:pPr>
              <w:rPr>
                <w:rFonts w:ascii="Tahoma" w:hAnsi="Tahoma" w:cs="Tahoma"/>
                <w:sz w:val="16"/>
                <w:szCs w:val="16"/>
                <w:lang w:eastAsia="hr-HR"/>
              </w:rPr>
            </w:pPr>
            <w:r w:rsidRPr="00E9588A">
              <w:rPr>
                <w:rFonts w:ascii="Tahoma" w:hAnsi="Tahoma" w:cs="Tahoma"/>
                <w:sz w:val="16"/>
                <w:szCs w:val="16"/>
                <w:lang w:eastAsia="hr-HR"/>
              </w:rPr>
              <w:t> </w:t>
            </w:r>
          </w:p>
        </w:tc>
        <w:tc>
          <w:tcPr>
            <w:tcW w:w="380" w:type="pct"/>
            <w:hideMark/>
          </w:tcPr>
          <w:p w14:paraId="57E611BF"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2021.</w:t>
            </w:r>
          </w:p>
        </w:tc>
        <w:tc>
          <w:tcPr>
            <w:tcW w:w="379" w:type="pct"/>
            <w:hideMark/>
          </w:tcPr>
          <w:p w14:paraId="30439F7C"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2022.</w:t>
            </w:r>
          </w:p>
        </w:tc>
        <w:tc>
          <w:tcPr>
            <w:tcW w:w="379" w:type="pct"/>
            <w:hideMark/>
          </w:tcPr>
          <w:p w14:paraId="2D4A1C62"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2023.</w:t>
            </w:r>
          </w:p>
        </w:tc>
        <w:tc>
          <w:tcPr>
            <w:tcW w:w="379" w:type="pct"/>
            <w:hideMark/>
          </w:tcPr>
          <w:p w14:paraId="0F2FA842"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2024.</w:t>
            </w:r>
          </w:p>
        </w:tc>
        <w:tc>
          <w:tcPr>
            <w:tcW w:w="379" w:type="pct"/>
            <w:hideMark/>
          </w:tcPr>
          <w:p w14:paraId="3256987C"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2025.</w:t>
            </w:r>
          </w:p>
        </w:tc>
        <w:tc>
          <w:tcPr>
            <w:tcW w:w="380" w:type="pct"/>
            <w:hideMark/>
          </w:tcPr>
          <w:p w14:paraId="3F24A2D7"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2026.</w:t>
            </w:r>
          </w:p>
        </w:tc>
        <w:tc>
          <w:tcPr>
            <w:tcW w:w="379" w:type="pct"/>
            <w:hideMark/>
          </w:tcPr>
          <w:p w14:paraId="7B87EB1E"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2027.</w:t>
            </w:r>
          </w:p>
        </w:tc>
        <w:tc>
          <w:tcPr>
            <w:tcW w:w="379" w:type="pct"/>
            <w:hideMark/>
          </w:tcPr>
          <w:p w14:paraId="2853D603"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2028.</w:t>
            </w:r>
          </w:p>
        </w:tc>
        <w:tc>
          <w:tcPr>
            <w:tcW w:w="379" w:type="pct"/>
            <w:hideMark/>
          </w:tcPr>
          <w:p w14:paraId="3345EB29"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2029.</w:t>
            </w:r>
          </w:p>
        </w:tc>
        <w:tc>
          <w:tcPr>
            <w:tcW w:w="376" w:type="pct"/>
            <w:hideMark/>
          </w:tcPr>
          <w:p w14:paraId="1C5B54F8" w14:textId="77777777" w:rsidR="004949CA" w:rsidRPr="00E9588A"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lang w:eastAsia="hr-HR"/>
              </w:rPr>
              <w:t>2030.</w:t>
            </w:r>
          </w:p>
        </w:tc>
      </w:tr>
      <w:tr w:rsidR="004949CA" w:rsidRPr="00E9588A" w14:paraId="1B9BD1CA" w14:textId="77777777" w:rsidTr="00331A63">
        <w:trPr>
          <w:trHeight w:val="315"/>
        </w:trPr>
        <w:tc>
          <w:tcPr>
            <w:cnfStyle w:val="001000000000" w:firstRow="0" w:lastRow="0" w:firstColumn="1" w:lastColumn="0" w:oddVBand="0" w:evenVBand="0" w:oddHBand="0" w:evenHBand="0" w:firstRowFirstColumn="0" w:firstRowLastColumn="0" w:lastRowFirstColumn="0" w:lastRowLastColumn="0"/>
            <w:tcW w:w="1211" w:type="pct"/>
            <w:vAlign w:val="center"/>
          </w:tcPr>
          <w:p w14:paraId="42DA8C47" w14:textId="77777777" w:rsidR="004949CA" w:rsidRPr="00E9588A" w:rsidRDefault="004949CA" w:rsidP="00331A63">
            <w:pPr>
              <w:rPr>
                <w:rFonts w:ascii="Tahoma" w:hAnsi="Tahoma" w:cs="Tahoma"/>
                <w:sz w:val="16"/>
                <w:szCs w:val="16"/>
                <w:lang w:eastAsia="hr-HR"/>
              </w:rPr>
            </w:pPr>
            <w:r w:rsidRPr="00E9588A">
              <w:rPr>
                <w:rFonts w:ascii="Tahoma" w:hAnsi="Tahoma" w:cs="Tahoma"/>
                <w:sz w:val="16"/>
                <w:szCs w:val="16"/>
              </w:rPr>
              <w:t>Ciljana površina [milijuna m</w:t>
            </w:r>
            <w:r w:rsidRPr="00E9588A">
              <w:rPr>
                <w:rFonts w:ascii="Tahoma" w:hAnsi="Tahoma" w:cs="Tahoma"/>
                <w:sz w:val="16"/>
                <w:szCs w:val="16"/>
                <w:vertAlign w:val="superscript"/>
              </w:rPr>
              <w:t>2</w:t>
            </w:r>
            <w:r w:rsidRPr="00E9588A">
              <w:rPr>
                <w:rFonts w:ascii="Tahoma" w:hAnsi="Tahoma" w:cs="Tahoma"/>
                <w:sz w:val="16"/>
                <w:szCs w:val="16"/>
              </w:rPr>
              <w:t>]</w:t>
            </w:r>
          </w:p>
        </w:tc>
        <w:tc>
          <w:tcPr>
            <w:tcW w:w="380" w:type="pct"/>
            <w:vAlign w:val="center"/>
          </w:tcPr>
          <w:p w14:paraId="5544488C"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0,30</w:t>
            </w:r>
          </w:p>
        </w:tc>
        <w:tc>
          <w:tcPr>
            <w:tcW w:w="379" w:type="pct"/>
            <w:vAlign w:val="center"/>
          </w:tcPr>
          <w:p w14:paraId="37A00B03"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0,30</w:t>
            </w:r>
          </w:p>
        </w:tc>
        <w:tc>
          <w:tcPr>
            <w:tcW w:w="379" w:type="pct"/>
            <w:vAlign w:val="center"/>
          </w:tcPr>
          <w:p w14:paraId="11D33800"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0,49</w:t>
            </w:r>
          </w:p>
        </w:tc>
        <w:tc>
          <w:tcPr>
            <w:tcW w:w="379" w:type="pct"/>
            <w:vAlign w:val="center"/>
          </w:tcPr>
          <w:p w14:paraId="6F181D88"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0,48</w:t>
            </w:r>
          </w:p>
        </w:tc>
        <w:tc>
          <w:tcPr>
            <w:tcW w:w="379" w:type="pct"/>
            <w:vAlign w:val="center"/>
          </w:tcPr>
          <w:p w14:paraId="0B31D9D4"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0,66</w:t>
            </w:r>
          </w:p>
        </w:tc>
        <w:tc>
          <w:tcPr>
            <w:tcW w:w="380" w:type="pct"/>
            <w:vAlign w:val="center"/>
          </w:tcPr>
          <w:p w14:paraId="127E5164"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0,64</w:t>
            </w:r>
          </w:p>
        </w:tc>
        <w:tc>
          <w:tcPr>
            <w:tcW w:w="379" w:type="pct"/>
            <w:vAlign w:val="center"/>
          </w:tcPr>
          <w:p w14:paraId="130525B9"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0,80</w:t>
            </w:r>
          </w:p>
        </w:tc>
        <w:tc>
          <w:tcPr>
            <w:tcW w:w="379" w:type="pct"/>
            <w:vAlign w:val="center"/>
          </w:tcPr>
          <w:p w14:paraId="4784ED1E"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0,78</w:t>
            </w:r>
          </w:p>
        </w:tc>
        <w:tc>
          <w:tcPr>
            <w:tcW w:w="379" w:type="pct"/>
            <w:vAlign w:val="center"/>
          </w:tcPr>
          <w:p w14:paraId="5189799B"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0,93</w:t>
            </w:r>
          </w:p>
        </w:tc>
        <w:tc>
          <w:tcPr>
            <w:tcW w:w="376" w:type="pct"/>
            <w:vAlign w:val="center"/>
          </w:tcPr>
          <w:p w14:paraId="220B03C1"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9588A">
              <w:rPr>
                <w:rFonts w:ascii="Tahoma" w:hAnsi="Tahoma" w:cs="Tahoma"/>
                <w:sz w:val="16"/>
                <w:szCs w:val="16"/>
              </w:rPr>
              <w:t>0,90</w:t>
            </w:r>
          </w:p>
        </w:tc>
      </w:tr>
      <w:tr w:rsidR="004949CA" w:rsidRPr="00E9588A" w14:paraId="5DED67B1" w14:textId="77777777" w:rsidTr="00331A63">
        <w:trPr>
          <w:trHeight w:val="330"/>
        </w:trPr>
        <w:tc>
          <w:tcPr>
            <w:cnfStyle w:val="001000000000" w:firstRow="0" w:lastRow="0" w:firstColumn="1" w:lastColumn="0" w:oddVBand="0" w:evenVBand="0" w:oddHBand="0" w:evenHBand="0" w:firstRowFirstColumn="0" w:firstRowLastColumn="0" w:lastRowFirstColumn="0" w:lastRowLastColumn="0"/>
            <w:tcW w:w="1211" w:type="pct"/>
            <w:hideMark/>
          </w:tcPr>
          <w:p w14:paraId="43CC0195" w14:textId="0580C370" w:rsidR="004949CA" w:rsidRPr="00E9588A" w:rsidRDefault="004949CA" w:rsidP="00331A63">
            <w:pPr>
              <w:rPr>
                <w:rFonts w:ascii="Tahoma" w:hAnsi="Tahoma" w:cs="Tahoma"/>
                <w:sz w:val="16"/>
                <w:szCs w:val="16"/>
                <w:lang w:eastAsia="hr-HR"/>
              </w:rPr>
            </w:pPr>
            <w:r w:rsidRPr="00E9588A">
              <w:rPr>
                <w:rFonts w:ascii="Tahoma" w:hAnsi="Tahoma" w:cs="Tahoma"/>
                <w:sz w:val="16"/>
                <w:szCs w:val="16"/>
                <w:lang w:eastAsia="hr-HR"/>
              </w:rPr>
              <w:t xml:space="preserve">Trošak [milijardi </w:t>
            </w:r>
            <w:r w:rsidR="0063313B">
              <w:rPr>
                <w:rFonts w:ascii="Tahoma" w:hAnsi="Tahoma" w:cs="Tahoma"/>
                <w:sz w:val="16"/>
                <w:szCs w:val="16"/>
                <w:lang w:eastAsia="hr-HR"/>
              </w:rPr>
              <w:t>kuna</w:t>
            </w:r>
            <w:r w:rsidRPr="00E9588A">
              <w:rPr>
                <w:rFonts w:ascii="Tahoma" w:hAnsi="Tahoma" w:cs="Tahoma"/>
                <w:sz w:val="16"/>
                <w:szCs w:val="16"/>
                <w:lang w:eastAsia="hr-HR"/>
              </w:rPr>
              <w:t>]</w:t>
            </w:r>
          </w:p>
        </w:tc>
        <w:tc>
          <w:tcPr>
            <w:tcW w:w="380" w:type="pct"/>
            <w:hideMark/>
          </w:tcPr>
          <w:p w14:paraId="04658ABF"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0,83</w:t>
            </w:r>
          </w:p>
        </w:tc>
        <w:tc>
          <w:tcPr>
            <w:tcW w:w="379" w:type="pct"/>
            <w:hideMark/>
          </w:tcPr>
          <w:p w14:paraId="46887E27"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0,82</w:t>
            </w:r>
          </w:p>
        </w:tc>
        <w:tc>
          <w:tcPr>
            <w:tcW w:w="379" w:type="pct"/>
            <w:hideMark/>
          </w:tcPr>
          <w:p w14:paraId="7D5C83EB"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1,34</w:t>
            </w:r>
          </w:p>
        </w:tc>
        <w:tc>
          <w:tcPr>
            <w:tcW w:w="379" w:type="pct"/>
            <w:hideMark/>
          </w:tcPr>
          <w:p w14:paraId="613DC1D5"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1,32</w:t>
            </w:r>
          </w:p>
        </w:tc>
        <w:tc>
          <w:tcPr>
            <w:tcW w:w="379" w:type="pct"/>
            <w:hideMark/>
          </w:tcPr>
          <w:p w14:paraId="19420523"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1,80</w:t>
            </w:r>
          </w:p>
        </w:tc>
        <w:tc>
          <w:tcPr>
            <w:tcW w:w="380" w:type="pct"/>
            <w:hideMark/>
          </w:tcPr>
          <w:p w14:paraId="14CBD3C1"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1,75</w:t>
            </w:r>
          </w:p>
        </w:tc>
        <w:tc>
          <w:tcPr>
            <w:tcW w:w="379" w:type="pct"/>
            <w:hideMark/>
          </w:tcPr>
          <w:p w14:paraId="6A8743E4"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2,21</w:t>
            </w:r>
          </w:p>
        </w:tc>
        <w:tc>
          <w:tcPr>
            <w:tcW w:w="379" w:type="pct"/>
            <w:hideMark/>
          </w:tcPr>
          <w:p w14:paraId="6244652E"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2,14</w:t>
            </w:r>
          </w:p>
        </w:tc>
        <w:tc>
          <w:tcPr>
            <w:tcW w:w="379" w:type="pct"/>
            <w:hideMark/>
          </w:tcPr>
          <w:p w14:paraId="74EA905E"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2,55</w:t>
            </w:r>
          </w:p>
        </w:tc>
        <w:tc>
          <w:tcPr>
            <w:tcW w:w="376" w:type="pct"/>
            <w:hideMark/>
          </w:tcPr>
          <w:p w14:paraId="65B14D3F" w14:textId="77777777" w:rsidR="004949CA" w:rsidRPr="00E9588A"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E9588A">
              <w:rPr>
                <w:rFonts w:ascii="Tahoma" w:hAnsi="Tahoma" w:cs="Tahoma"/>
                <w:sz w:val="16"/>
                <w:szCs w:val="16"/>
              </w:rPr>
              <w:t>2,46</w:t>
            </w:r>
          </w:p>
        </w:tc>
      </w:tr>
      <w:tr w:rsidR="004949CA" w:rsidRPr="00E9588A" w14:paraId="421D3FA3" w14:textId="77777777" w:rsidTr="00331A63">
        <w:trPr>
          <w:trHeight w:val="58"/>
        </w:trPr>
        <w:tc>
          <w:tcPr>
            <w:cnfStyle w:val="001000000000" w:firstRow="0" w:lastRow="0" w:firstColumn="1" w:lastColumn="0" w:oddVBand="0" w:evenVBand="0" w:oddHBand="0" w:evenHBand="0" w:firstRowFirstColumn="0" w:firstRowLastColumn="0" w:lastRowFirstColumn="0" w:lastRowLastColumn="0"/>
            <w:tcW w:w="1590" w:type="pct"/>
            <w:gridSpan w:val="2"/>
          </w:tcPr>
          <w:p w14:paraId="77AFCA2A" w14:textId="37D65197" w:rsidR="004949CA" w:rsidRPr="00E9588A" w:rsidRDefault="004949CA" w:rsidP="00331A63">
            <w:pPr>
              <w:rPr>
                <w:rFonts w:ascii="Tahoma" w:hAnsi="Tahoma" w:cs="Tahoma"/>
                <w:b w:val="0"/>
                <w:bCs w:val="0"/>
                <w:sz w:val="16"/>
                <w:szCs w:val="16"/>
                <w:lang w:eastAsia="hr-HR"/>
              </w:rPr>
            </w:pPr>
            <w:r w:rsidRPr="00E9588A">
              <w:rPr>
                <w:rFonts w:ascii="Tahoma" w:hAnsi="Tahoma" w:cs="Tahoma"/>
                <w:sz w:val="16"/>
                <w:szCs w:val="16"/>
                <w:lang w:eastAsia="hr-HR"/>
              </w:rPr>
              <w:t xml:space="preserve">Ukupno do 2030. [milijardi </w:t>
            </w:r>
            <w:r w:rsidR="0063313B">
              <w:rPr>
                <w:rFonts w:ascii="Tahoma" w:hAnsi="Tahoma" w:cs="Tahoma"/>
                <w:sz w:val="16"/>
                <w:szCs w:val="16"/>
                <w:lang w:eastAsia="hr-HR"/>
              </w:rPr>
              <w:t>kuna</w:t>
            </w:r>
            <w:r w:rsidRPr="00E9588A">
              <w:rPr>
                <w:rFonts w:ascii="Tahoma" w:hAnsi="Tahoma" w:cs="Tahoma"/>
                <w:sz w:val="16"/>
                <w:szCs w:val="16"/>
                <w:lang w:eastAsia="hr-HR"/>
              </w:rPr>
              <w:t>]</w:t>
            </w:r>
          </w:p>
        </w:tc>
        <w:tc>
          <w:tcPr>
            <w:tcW w:w="3410" w:type="pct"/>
            <w:gridSpan w:val="9"/>
          </w:tcPr>
          <w:p w14:paraId="2DEB976F" w14:textId="77777777" w:rsidR="004949CA" w:rsidRPr="00E9588A"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9588A">
              <w:rPr>
                <w:rFonts w:ascii="Tahoma" w:hAnsi="Tahoma" w:cs="Tahoma"/>
                <w:b/>
                <w:bCs/>
                <w:sz w:val="16"/>
                <w:szCs w:val="16"/>
                <w:lang w:eastAsia="hr-HR"/>
              </w:rPr>
              <w:t>17,24</w:t>
            </w:r>
          </w:p>
        </w:tc>
      </w:tr>
      <w:tr w:rsidR="004949CA" w:rsidRPr="00E9588A" w14:paraId="50DC5FD3" w14:textId="77777777" w:rsidTr="00331A63">
        <w:trPr>
          <w:trHeight w:val="58"/>
        </w:trPr>
        <w:tc>
          <w:tcPr>
            <w:cnfStyle w:val="001000000000" w:firstRow="0" w:lastRow="0" w:firstColumn="1" w:lastColumn="0" w:oddVBand="0" w:evenVBand="0" w:oddHBand="0" w:evenHBand="0" w:firstRowFirstColumn="0" w:firstRowLastColumn="0" w:lastRowFirstColumn="0" w:lastRowLastColumn="0"/>
            <w:tcW w:w="1590" w:type="pct"/>
            <w:gridSpan w:val="2"/>
          </w:tcPr>
          <w:p w14:paraId="771F2089" w14:textId="3404E6A6" w:rsidR="004949CA" w:rsidRPr="00E9588A" w:rsidRDefault="004949CA" w:rsidP="00331A63">
            <w:pPr>
              <w:rPr>
                <w:rFonts w:ascii="Tahoma" w:hAnsi="Tahoma" w:cs="Tahoma"/>
                <w:b w:val="0"/>
                <w:bCs w:val="0"/>
                <w:sz w:val="16"/>
                <w:szCs w:val="16"/>
                <w:lang w:eastAsia="hr-HR"/>
              </w:rPr>
            </w:pPr>
            <w:r w:rsidRPr="00E9588A">
              <w:rPr>
                <w:rFonts w:ascii="Tahoma" w:hAnsi="Tahoma" w:cs="Tahoma"/>
                <w:sz w:val="16"/>
                <w:szCs w:val="16"/>
                <w:lang w:eastAsia="hr-HR"/>
              </w:rPr>
              <w:t xml:space="preserve">Ukupno 2022. -2024.* [milijardi </w:t>
            </w:r>
            <w:r w:rsidR="0063313B">
              <w:rPr>
                <w:rFonts w:ascii="Tahoma" w:hAnsi="Tahoma" w:cs="Tahoma"/>
                <w:sz w:val="16"/>
                <w:szCs w:val="16"/>
                <w:lang w:eastAsia="hr-HR"/>
              </w:rPr>
              <w:t>kuna</w:t>
            </w:r>
            <w:r w:rsidRPr="00E9588A">
              <w:rPr>
                <w:rFonts w:ascii="Tahoma" w:hAnsi="Tahoma" w:cs="Tahoma"/>
                <w:sz w:val="16"/>
                <w:szCs w:val="16"/>
                <w:lang w:eastAsia="hr-HR"/>
              </w:rPr>
              <w:t>]</w:t>
            </w:r>
          </w:p>
        </w:tc>
        <w:tc>
          <w:tcPr>
            <w:tcW w:w="3410" w:type="pct"/>
            <w:gridSpan w:val="9"/>
          </w:tcPr>
          <w:p w14:paraId="00301D30" w14:textId="77777777" w:rsidR="004949CA" w:rsidRPr="00E9588A"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9588A">
              <w:rPr>
                <w:rFonts w:ascii="Tahoma" w:hAnsi="Tahoma" w:cs="Tahoma"/>
                <w:b/>
                <w:bCs/>
                <w:sz w:val="16"/>
                <w:szCs w:val="16"/>
                <w:lang w:eastAsia="hr-HR"/>
              </w:rPr>
              <w:t>4,31</w:t>
            </w:r>
          </w:p>
        </w:tc>
      </w:tr>
    </w:tbl>
    <w:p w14:paraId="315513FF" w14:textId="744B0631" w:rsidR="004949CA" w:rsidRPr="00E14E86" w:rsidRDefault="004949CA" w:rsidP="004949CA">
      <w:r w:rsidRPr="7970654A">
        <w:rPr>
          <w:i/>
          <w:iCs/>
          <w:sz w:val="18"/>
          <w:szCs w:val="18"/>
        </w:rPr>
        <w:t>*Ciljane površine raspoređene su prema godinama</w:t>
      </w:r>
      <w:r w:rsidRPr="00945B0D">
        <w:rPr>
          <w:i/>
          <w:iCs/>
          <w:sz w:val="18"/>
          <w:szCs w:val="18"/>
        </w:rPr>
        <w:t xml:space="preserve"> sukladno </w:t>
      </w:r>
      <w:r w:rsidRPr="7970654A">
        <w:rPr>
          <w:i/>
          <w:iCs/>
          <w:sz w:val="18"/>
          <w:szCs w:val="18"/>
        </w:rPr>
        <w:t>ciljanim stopama obnove iz Dugoročne strategije.</w:t>
      </w:r>
      <w:r>
        <w:t xml:space="preserve"> </w:t>
      </w:r>
      <w:r w:rsidRPr="7970654A">
        <w:rPr>
          <w:i/>
          <w:iCs/>
        </w:rPr>
        <w:t xml:space="preserve">S </w:t>
      </w:r>
      <w:r w:rsidRPr="7970654A">
        <w:rPr>
          <w:i/>
          <w:iCs/>
          <w:sz w:val="18"/>
          <w:szCs w:val="18"/>
        </w:rPr>
        <w:t>obzirom da u 2021. godini neće biti obnovljenih VSZ prema ovome Programu, ciljana obn</w:t>
      </w:r>
      <w:r w:rsidR="005315C7">
        <w:rPr>
          <w:i/>
          <w:iCs/>
          <w:sz w:val="18"/>
          <w:szCs w:val="18"/>
        </w:rPr>
        <w:t>o</w:t>
      </w:r>
      <w:r w:rsidRPr="7970654A">
        <w:rPr>
          <w:i/>
          <w:iCs/>
          <w:sz w:val="18"/>
          <w:szCs w:val="18"/>
        </w:rPr>
        <w:t xml:space="preserve">vljena površina iz te godine raspodjeljuje se na sljedeće tri godine, te se pripadajući trošak iz te godine ubraja u ukupan trošak za razdoblje od 2022. do 2024. godine.   </w:t>
      </w:r>
      <w:r>
        <w:t xml:space="preserve">  </w:t>
      </w:r>
    </w:p>
    <w:p w14:paraId="27ECE68B" w14:textId="1CB1172A" w:rsidR="004949CA" w:rsidRPr="006C1824" w:rsidRDefault="004949CA" w:rsidP="006C1824">
      <w:pPr>
        <w:spacing w:before="120" w:after="120" w:line="240" w:lineRule="auto"/>
        <w:jc w:val="both"/>
        <w:rPr>
          <w:rFonts w:ascii="Tahoma" w:hAnsi="Tahoma" w:cs="Tahoma"/>
          <w:sz w:val="20"/>
          <w:szCs w:val="20"/>
        </w:rPr>
      </w:pPr>
      <w:r w:rsidRPr="006C1824">
        <w:rPr>
          <w:rFonts w:ascii="Tahoma" w:hAnsi="Tahoma" w:cs="Tahoma"/>
          <w:sz w:val="20"/>
          <w:szCs w:val="20"/>
        </w:rPr>
        <w:t xml:space="preserve">Procijenjene investicije za obnovu VSZ iznose </w:t>
      </w:r>
      <w:r w:rsidRPr="006C1824">
        <w:rPr>
          <w:rFonts w:ascii="Tahoma" w:hAnsi="Tahoma" w:cs="Tahoma"/>
          <w:b/>
          <w:bCs/>
          <w:sz w:val="20"/>
          <w:szCs w:val="20"/>
        </w:rPr>
        <w:t xml:space="preserve">nešto više od 17 milijardi </w:t>
      </w:r>
      <w:r w:rsidR="0063313B">
        <w:rPr>
          <w:rFonts w:ascii="Tahoma" w:hAnsi="Tahoma" w:cs="Tahoma"/>
          <w:b/>
          <w:bCs/>
          <w:sz w:val="20"/>
          <w:szCs w:val="20"/>
        </w:rPr>
        <w:t>kuna</w:t>
      </w:r>
      <w:r w:rsidRPr="006C1824">
        <w:rPr>
          <w:rFonts w:ascii="Tahoma" w:hAnsi="Tahoma" w:cs="Tahoma"/>
          <w:sz w:val="20"/>
          <w:szCs w:val="20"/>
        </w:rPr>
        <w:t xml:space="preserve"> u razmatranom desetogodišnjem razdoblju. Do kraja 2024. godine, a kako bi se postigli ciljevi iz Dugoročne strategije, bit će potrebne investicije u VSZ od oko </w:t>
      </w:r>
      <w:r w:rsidRPr="006C1824">
        <w:rPr>
          <w:rFonts w:ascii="Tahoma" w:hAnsi="Tahoma" w:cs="Tahoma"/>
          <w:b/>
          <w:bCs/>
          <w:sz w:val="20"/>
          <w:szCs w:val="20"/>
        </w:rPr>
        <w:t xml:space="preserve">4,3 milijarde </w:t>
      </w:r>
      <w:r w:rsidR="0063313B">
        <w:rPr>
          <w:rFonts w:ascii="Tahoma" w:hAnsi="Tahoma" w:cs="Tahoma"/>
          <w:b/>
          <w:bCs/>
          <w:sz w:val="20"/>
          <w:szCs w:val="20"/>
        </w:rPr>
        <w:t>kuna</w:t>
      </w:r>
      <w:r w:rsidRPr="006C1824">
        <w:rPr>
          <w:rFonts w:ascii="Tahoma" w:hAnsi="Tahoma" w:cs="Tahoma"/>
          <w:sz w:val="20"/>
          <w:szCs w:val="20"/>
        </w:rPr>
        <w:t>.</w:t>
      </w:r>
    </w:p>
    <w:p w14:paraId="46553238" w14:textId="34024DDA" w:rsidR="004949CA" w:rsidRPr="006C1824" w:rsidRDefault="004949CA" w:rsidP="006C1824">
      <w:pPr>
        <w:spacing w:before="120" w:after="120" w:line="240" w:lineRule="auto"/>
        <w:jc w:val="both"/>
        <w:rPr>
          <w:rFonts w:ascii="Tahoma" w:hAnsi="Tahoma" w:cs="Tahoma"/>
          <w:sz w:val="20"/>
          <w:szCs w:val="20"/>
        </w:rPr>
      </w:pPr>
      <w:r w:rsidRPr="006C1824">
        <w:rPr>
          <w:rFonts w:ascii="Tahoma" w:hAnsi="Tahoma" w:cs="Tahoma"/>
          <w:sz w:val="20"/>
          <w:szCs w:val="20"/>
        </w:rPr>
        <w:t xml:space="preserve">S obzirom da ovaj Program podrazumijeva osiguravanje bespovratnih sredstava u iznosima od 60 do 80%, udio javnih sredstava iz nacionalnih, EU i ostalih međunarodnih izvora je izuzetno velik te iznosi između </w:t>
      </w:r>
      <w:r w:rsidRPr="006C1824">
        <w:rPr>
          <w:rFonts w:ascii="Tahoma" w:hAnsi="Tahoma" w:cs="Tahoma"/>
          <w:b/>
          <w:bCs/>
          <w:sz w:val="20"/>
          <w:szCs w:val="20"/>
        </w:rPr>
        <w:t xml:space="preserve">2,6 i 3,5 milijardi </w:t>
      </w:r>
      <w:r w:rsidR="0063313B">
        <w:rPr>
          <w:rFonts w:ascii="Tahoma" w:hAnsi="Tahoma" w:cs="Tahoma"/>
          <w:b/>
          <w:bCs/>
          <w:sz w:val="20"/>
          <w:szCs w:val="20"/>
        </w:rPr>
        <w:t>kuna</w:t>
      </w:r>
      <w:r w:rsidRPr="006C1824">
        <w:rPr>
          <w:rFonts w:ascii="Tahoma" w:hAnsi="Tahoma" w:cs="Tahoma"/>
          <w:b/>
          <w:bCs/>
          <w:sz w:val="20"/>
          <w:szCs w:val="20"/>
        </w:rPr>
        <w:t xml:space="preserve"> u razdoblju do 2024. godine</w:t>
      </w:r>
      <w:r w:rsidRPr="006C1824">
        <w:rPr>
          <w:rFonts w:ascii="Tahoma" w:hAnsi="Tahoma" w:cs="Tahoma"/>
          <w:sz w:val="20"/>
          <w:szCs w:val="20"/>
        </w:rPr>
        <w:t xml:space="preserve"> odnosno 10,3 do 13,8 milijardi </w:t>
      </w:r>
      <w:r w:rsidR="0063313B">
        <w:rPr>
          <w:rFonts w:ascii="Tahoma" w:hAnsi="Tahoma" w:cs="Tahoma"/>
          <w:sz w:val="20"/>
          <w:szCs w:val="20"/>
        </w:rPr>
        <w:t>kuna</w:t>
      </w:r>
      <w:r w:rsidRPr="006C1824">
        <w:rPr>
          <w:rFonts w:ascii="Tahoma" w:hAnsi="Tahoma" w:cs="Tahoma"/>
          <w:sz w:val="20"/>
          <w:szCs w:val="20"/>
        </w:rPr>
        <w:t xml:space="preserve"> u čitavom desetogodišnjem razdoblju.</w:t>
      </w:r>
    </w:p>
    <w:p w14:paraId="4D74725F" w14:textId="7D397A50" w:rsidR="004949CA" w:rsidRPr="006C1824" w:rsidRDefault="004949CA" w:rsidP="006C1824">
      <w:pPr>
        <w:spacing w:before="120" w:after="120" w:line="240" w:lineRule="auto"/>
        <w:jc w:val="both"/>
        <w:rPr>
          <w:rFonts w:ascii="Tahoma" w:hAnsi="Tahoma" w:cs="Tahoma"/>
          <w:sz w:val="20"/>
          <w:szCs w:val="20"/>
        </w:rPr>
      </w:pPr>
      <w:r w:rsidRPr="006C1824">
        <w:rPr>
          <w:rFonts w:ascii="Tahoma" w:hAnsi="Tahoma" w:cs="Tahoma"/>
          <w:sz w:val="20"/>
          <w:szCs w:val="20"/>
        </w:rPr>
        <w:t>U ovu procjenu uključena su oba dijela ovoga Programa – VSZ neoštećene u potresu i VSZ oštećene u potresu. Troškovi za kompenzaciju troškova građanima u riziku od energ</w:t>
      </w:r>
      <w:r w:rsidR="005315C7">
        <w:rPr>
          <w:rFonts w:ascii="Tahoma" w:hAnsi="Tahoma" w:cs="Tahoma"/>
          <w:sz w:val="20"/>
          <w:szCs w:val="20"/>
        </w:rPr>
        <w:t>e</w:t>
      </w:r>
      <w:r w:rsidRPr="006C1824">
        <w:rPr>
          <w:rFonts w:ascii="Tahoma" w:hAnsi="Tahoma" w:cs="Tahoma"/>
          <w:sz w:val="20"/>
          <w:szCs w:val="20"/>
        </w:rPr>
        <w:t xml:space="preserve">tskog siromaštva nisu posebno iskazani, jer ih zbog nedostataka podataka o broju takvih građana nije moguće utvrditi. </w:t>
      </w:r>
    </w:p>
    <w:p w14:paraId="07549329" w14:textId="38E5C677" w:rsidR="004949CA" w:rsidRPr="006C1824" w:rsidRDefault="002D755D" w:rsidP="006C1824">
      <w:pPr>
        <w:spacing w:before="120" w:after="120" w:line="240" w:lineRule="auto"/>
        <w:jc w:val="both"/>
        <w:rPr>
          <w:rFonts w:ascii="Tahoma" w:hAnsi="Tahoma" w:cs="Tahoma"/>
          <w:b/>
          <w:bCs/>
          <w:sz w:val="20"/>
          <w:szCs w:val="20"/>
          <w:lang w:eastAsia="hr-HR"/>
        </w:rPr>
      </w:pPr>
      <w:r>
        <w:rPr>
          <w:rFonts w:ascii="Tahoma" w:hAnsi="Tahoma" w:cs="Tahoma"/>
          <w:b/>
          <w:bCs/>
          <w:sz w:val="20"/>
          <w:szCs w:val="20"/>
        </w:rPr>
        <w:t>P</w:t>
      </w:r>
      <w:r w:rsidR="004949CA" w:rsidRPr="006C1824">
        <w:rPr>
          <w:rFonts w:ascii="Tahoma" w:hAnsi="Tahoma" w:cs="Tahoma"/>
          <w:b/>
          <w:bCs/>
          <w:sz w:val="20"/>
          <w:szCs w:val="20"/>
        </w:rPr>
        <w:t>rocjena predstavlja gornju granicu potrebnih investicija jer podrazumijeva situaciju u kojoj bi se u čak 50% slučajeva suvlasnici VSZ odlučili na sveobuhvatnu obnovu.</w:t>
      </w:r>
      <w:r w:rsidR="004949CA" w:rsidRPr="006C1824">
        <w:rPr>
          <w:rFonts w:ascii="Tahoma" w:hAnsi="Tahoma" w:cs="Tahoma"/>
          <w:sz w:val="20"/>
          <w:szCs w:val="20"/>
        </w:rPr>
        <w:t xml:space="preserve"> Ipak, zbog visokih investicijskih troškova i potrebe osiguranja vlastitog udjela građana u toj investiciji, ne očekuje se ostvarenje ovih pretpostavki, već se očekuje da će se građani u pravilu odlučivati na provedbu integralne energetske obnove, a puno manje na provedbu drugih kategorija obnove, bez obzira na </w:t>
      </w:r>
      <w:r w:rsidR="004949CA" w:rsidRPr="006C1824">
        <w:rPr>
          <w:rFonts w:ascii="Tahoma" w:hAnsi="Tahoma" w:cs="Tahoma"/>
          <w:sz w:val="20"/>
          <w:szCs w:val="20"/>
        </w:rPr>
        <w:lastRenderedPageBreak/>
        <w:t xml:space="preserve">visoke stope sufinanciranja. Stoga se pretpostavlja da </w:t>
      </w:r>
      <w:r w:rsidR="004949CA" w:rsidRPr="006C1824">
        <w:rPr>
          <w:rFonts w:ascii="Tahoma" w:hAnsi="Tahoma" w:cs="Tahoma"/>
          <w:sz w:val="20"/>
          <w:szCs w:val="20"/>
          <w:lang w:eastAsia="hr-HR"/>
        </w:rPr>
        <w:t>će udio integralne energetske obnove biti 60%, dubinske obnove 20%, te da će se 20% VSZ odlučiti za sveobuhvatnu obnovu koja uključuje mjere</w:t>
      </w:r>
      <w:r w:rsidR="004949CA" w:rsidRPr="006C1824">
        <w:rPr>
          <w:rFonts w:ascii="Tahoma" w:hAnsi="Tahoma" w:cs="Tahoma"/>
          <w:sz w:val="20"/>
          <w:szCs w:val="20"/>
        </w:rPr>
        <w:t xml:space="preserve"> za povećanje potresne otpornosti zgrade</w:t>
      </w:r>
      <w:r w:rsidR="004949CA" w:rsidRPr="006C1824">
        <w:rPr>
          <w:rFonts w:ascii="Tahoma" w:hAnsi="Tahoma" w:cs="Tahoma"/>
          <w:sz w:val="20"/>
          <w:szCs w:val="20"/>
          <w:lang w:eastAsia="hr-HR"/>
        </w:rPr>
        <w:t xml:space="preserve"> i troškovno je vrlo zahtjevna. </w:t>
      </w:r>
      <w:r w:rsidR="004949CA" w:rsidRPr="006C1824">
        <w:rPr>
          <w:rFonts w:ascii="Tahoma" w:hAnsi="Tahoma" w:cs="Tahoma"/>
          <w:b/>
          <w:bCs/>
          <w:sz w:val="20"/>
          <w:szCs w:val="20"/>
          <w:lang w:eastAsia="hr-HR"/>
        </w:rPr>
        <w:t xml:space="preserve">Ove pretpostavke u skladu su s NPOO. </w:t>
      </w:r>
    </w:p>
    <w:p w14:paraId="529E4DE8" w14:textId="27DFB095" w:rsidR="004949CA" w:rsidRPr="006C1824" w:rsidRDefault="004949CA" w:rsidP="006C1824">
      <w:pPr>
        <w:spacing w:before="120" w:after="120" w:line="240" w:lineRule="auto"/>
        <w:jc w:val="both"/>
        <w:rPr>
          <w:rFonts w:ascii="Tahoma" w:hAnsi="Tahoma" w:cs="Tahoma"/>
          <w:sz w:val="20"/>
          <w:szCs w:val="20"/>
        </w:rPr>
      </w:pPr>
      <w:r w:rsidRPr="006C1824">
        <w:rPr>
          <w:rFonts w:ascii="Tahoma" w:hAnsi="Tahoma" w:cs="Tahoma"/>
          <w:sz w:val="20"/>
          <w:szCs w:val="20"/>
        </w:rPr>
        <w:t xml:space="preserve">Uvažavajući utvrđene maksimalne jedinične troškove pojedinih razina obnove, procjena investicijskih troškova obnove u cijelom razdoblju uz navedene pretpostavke usklađene s NPOO prikazuje </w:t>
      </w:r>
      <w:r w:rsidR="009864CD">
        <w:rPr>
          <w:rFonts w:ascii="Tahoma" w:hAnsi="Tahoma" w:cs="Tahoma"/>
          <w:sz w:val="20"/>
          <w:szCs w:val="20"/>
        </w:rPr>
        <w:fldChar w:fldCharType="begin"/>
      </w:r>
      <w:r w:rsidR="009864CD">
        <w:rPr>
          <w:rFonts w:ascii="Tahoma" w:hAnsi="Tahoma" w:cs="Tahoma"/>
          <w:sz w:val="20"/>
          <w:szCs w:val="20"/>
        </w:rPr>
        <w:instrText xml:space="preserve"> REF _Ref83115410 \h </w:instrText>
      </w:r>
      <w:r w:rsidR="009864CD">
        <w:rPr>
          <w:rFonts w:ascii="Tahoma" w:hAnsi="Tahoma" w:cs="Tahoma"/>
          <w:sz w:val="20"/>
          <w:szCs w:val="20"/>
        </w:rPr>
      </w:r>
      <w:r w:rsidR="009864CD">
        <w:rPr>
          <w:rFonts w:ascii="Tahoma" w:hAnsi="Tahoma" w:cs="Tahoma"/>
          <w:sz w:val="20"/>
          <w:szCs w:val="20"/>
        </w:rPr>
        <w:fldChar w:fldCharType="separate"/>
      </w:r>
      <w:r w:rsidR="00575AF9" w:rsidRPr="00E14E86">
        <w:t xml:space="preserve">Tablica </w:t>
      </w:r>
      <w:r w:rsidR="00575AF9">
        <w:rPr>
          <w:noProof/>
        </w:rPr>
        <w:t>11</w:t>
      </w:r>
      <w:r w:rsidR="00575AF9" w:rsidRPr="00E14E86">
        <w:noBreakHyphen/>
      </w:r>
      <w:r w:rsidR="00575AF9">
        <w:rPr>
          <w:noProof/>
        </w:rPr>
        <w:t>2</w:t>
      </w:r>
      <w:r w:rsidR="009864CD">
        <w:rPr>
          <w:rFonts w:ascii="Tahoma" w:hAnsi="Tahoma" w:cs="Tahoma"/>
          <w:sz w:val="20"/>
          <w:szCs w:val="20"/>
        </w:rPr>
        <w:fldChar w:fldCharType="end"/>
      </w:r>
      <w:r w:rsidRPr="006C1824">
        <w:rPr>
          <w:rFonts w:ascii="Tahoma" w:hAnsi="Tahoma" w:cs="Tahoma"/>
          <w:sz w:val="20"/>
          <w:szCs w:val="20"/>
        </w:rPr>
        <w:t>.</w:t>
      </w:r>
    </w:p>
    <w:p w14:paraId="1E1F9819" w14:textId="656C6DE7" w:rsidR="004949CA" w:rsidRPr="00E14E86" w:rsidRDefault="004949CA" w:rsidP="004949CA">
      <w:pPr>
        <w:pStyle w:val="Opisslike"/>
        <w:rPr>
          <w:rFonts w:cs="Tahoma"/>
          <w:szCs w:val="16"/>
        </w:rPr>
      </w:pPr>
      <w:bookmarkStart w:id="201" w:name="_Ref83115410"/>
      <w:bookmarkStart w:id="202" w:name="_Toc84240510"/>
      <w:r w:rsidRPr="00E14E86">
        <w:t xml:space="preserve">Tablica </w:t>
      </w:r>
      <w:r w:rsidRPr="00E14E86">
        <w:rPr>
          <w:noProof/>
        </w:rPr>
        <w:fldChar w:fldCharType="begin"/>
      </w:r>
      <w:r w:rsidRPr="00E14E86">
        <w:rPr>
          <w:noProof/>
        </w:rPr>
        <w:instrText xml:space="preserve"> STYLEREF 1 \s </w:instrText>
      </w:r>
      <w:r w:rsidRPr="00E14E86">
        <w:rPr>
          <w:noProof/>
        </w:rPr>
        <w:fldChar w:fldCharType="separate"/>
      </w:r>
      <w:r w:rsidR="00575AF9">
        <w:rPr>
          <w:noProof/>
        </w:rPr>
        <w:t>11</w:t>
      </w:r>
      <w:r w:rsidRPr="00E14E86">
        <w:rPr>
          <w:noProof/>
        </w:rPr>
        <w:fldChar w:fldCharType="end"/>
      </w:r>
      <w:r w:rsidRPr="00E14E86">
        <w:noBreakHyphen/>
      </w:r>
      <w:r>
        <w:fldChar w:fldCharType="begin"/>
      </w:r>
      <w:r>
        <w:instrText>SEQ Tablica \* ARABIC \s 1</w:instrText>
      </w:r>
      <w:r>
        <w:fldChar w:fldCharType="separate"/>
      </w:r>
      <w:r w:rsidR="00575AF9">
        <w:rPr>
          <w:noProof/>
        </w:rPr>
        <w:t>2</w:t>
      </w:r>
      <w:r>
        <w:fldChar w:fldCharType="end"/>
      </w:r>
      <w:bookmarkEnd w:id="201"/>
      <w:r w:rsidRPr="00E14E86">
        <w:t xml:space="preserve">: </w:t>
      </w:r>
      <w:r w:rsidRPr="00E14E86">
        <w:rPr>
          <w:rFonts w:cs="Tahoma"/>
          <w:szCs w:val="16"/>
        </w:rPr>
        <w:t>Procjena investicijskog troška obnove VSZ za razdoblje od 2021. do 2030. uz pretpostavljene kategorije obnova prema NPOO</w:t>
      </w:r>
      <w:bookmarkEnd w:id="202"/>
    </w:p>
    <w:tbl>
      <w:tblPr>
        <w:tblStyle w:val="Svijetlatablicareetke110"/>
        <w:tblW w:w="9322" w:type="dxa"/>
        <w:tblLayout w:type="fixed"/>
        <w:tblLook w:val="04A0" w:firstRow="1" w:lastRow="0" w:firstColumn="1" w:lastColumn="0" w:noHBand="0" w:noVBand="1"/>
      </w:tblPr>
      <w:tblGrid>
        <w:gridCol w:w="2093"/>
        <w:gridCol w:w="850"/>
        <w:gridCol w:w="709"/>
        <w:gridCol w:w="709"/>
        <w:gridCol w:w="709"/>
        <w:gridCol w:w="708"/>
        <w:gridCol w:w="709"/>
        <w:gridCol w:w="709"/>
        <w:gridCol w:w="709"/>
        <w:gridCol w:w="725"/>
        <w:gridCol w:w="692"/>
      </w:tblGrid>
      <w:tr w:rsidR="00334140" w:rsidRPr="006C1824" w14:paraId="478A4B22" w14:textId="77777777" w:rsidTr="00334140">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093" w:type="dxa"/>
            <w:hideMark/>
          </w:tcPr>
          <w:p w14:paraId="3D1AB041" w14:textId="77777777" w:rsidR="004949CA" w:rsidRPr="006C1824" w:rsidRDefault="004949CA" w:rsidP="00331A63">
            <w:pPr>
              <w:rPr>
                <w:rFonts w:ascii="Tahoma" w:hAnsi="Tahoma" w:cs="Tahoma"/>
                <w:sz w:val="16"/>
                <w:szCs w:val="16"/>
                <w:lang w:eastAsia="hr-HR"/>
              </w:rPr>
            </w:pPr>
            <w:r w:rsidRPr="006C1824">
              <w:rPr>
                <w:rFonts w:ascii="Tahoma" w:hAnsi="Tahoma" w:cs="Tahoma"/>
                <w:sz w:val="16"/>
                <w:szCs w:val="16"/>
                <w:lang w:eastAsia="hr-HR"/>
              </w:rPr>
              <w:t> </w:t>
            </w:r>
          </w:p>
        </w:tc>
        <w:tc>
          <w:tcPr>
            <w:tcW w:w="850" w:type="dxa"/>
            <w:hideMark/>
          </w:tcPr>
          <w:p w14:paraId="43E877CB"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2021.</w:t>
            </w:r>
          </w:p>
        </w:tc>
        <w:tc>
          <w:tcPr>
            <w:tcW w:w="709" w:type="dxa"/>
            <w:hideMark/>
          </w:tcPr>
          <w:p w14:paraId="484879D7"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2022.</w:t>
            </w:r>
          </w:p>
        </w:tc>
        <w:tc>
          <w:tcPr>
            <w:tcW w:w="709" w:type="dxa"/>
            <w:hideMark/>
          </w:tcPr>
          <w:p w14:paraId="1F7717CE"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2023.</w:t>
            </w:r>
          </w:p>
        </w:tc>
        <w:tc>
          <w:tcPr>
            <w:tcW w:w="709" w:type="dxa"/>
            <w:hideMark/>
          </w:tcPr>
          <w:p w14:paraId="36D9067D"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2024.</w:t>
            </w:r>
          </w:p>
        </w:tc>
        <w:tc>
          <w:tcPr>
            <w:tcW w:w="708" w:type="dxa"/>
            <w:hideMark/>
          </w:tcPr>
          <w:p w14:paraId="3EDABC48"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2025.</w:t>
            </w:r>
          </w:p>
        </w:tc>
        <w:tc>
          <w:tcPr>
            <w:tcW w:w="709" w:type="dxa"/>
            <w:hideMark/>
          </w:tcPr>
          <w:p w14:paraId="6875EBF2"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2026.</w:t>
            </w:r>
          </w:p>
        </w:tc>
        <w:tc>
          <w:tcPr>
            <w:tcW w:w="709" w:type="dxa"/>
            <w:hideMark/>
          </w:tcPr>
          <w:p w14:paraId="0EE9A24C"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2027.</w:t>
            </w:r>
          </w:p>
        </w:tc>
        <w:tc>
          <w:tcPr>
            <w:tcW w:w="709" w:type="dxa"/>
            <w:hideMark/>
          </w:tcPr>
          <w:p w14:paraId="3403E8FE"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2028.</w:t>
            </w:r>
          </w:p>
        </w:tc>
        <w:tc>
          <w:tcPr>
            <w:tcW w:w="725" w:type="dxa"/>
            <w:hideMark/>
          </w:tcPr>
          <w:p w14:paraId="150E38A2"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2029.</w:t>
            </w:r>
          </w:p>
        </w:tc>
        <w:tc>
          <w:tcPr>
            <w:tcW w:w="692" w:type="dxa"/>
            <w:hideMark/>
          </w:tcPr>
          <w:p w14:paraId="5D9F68F4" w14:textId="77777777" w:rsidR="004949CA" w:rsidRPr="006C1824"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lang w:eastAsia="hr-HR"/>
              </w:rPr>
              <w:t>2030.</w:t>
            </w:r>
          </w:p>
        </w:tc>
      </w:tr>
      <w:tr w:rsidR="00334140" w:rsidRPr="006C1824" w14:paraId="6FB0D0D3" w14:textId="77777777" w:rsidTr="00334140">
        <w:trPr>
          <w:trHeight w:val="38"/>
        </w:trPr>
        <w:tc>
          <w:tcPr>
            <w:cnfStyle w:val="001000000000" w:firstRow="0" w:lastRow="0" w:firstColumn="1" w:lastColumn="0" w:oddVBand="0" w:evenVBand="0" w:oddHBand="0" w:evenHBand="0" w:firstRowFirstColumn="0" w:firstRowLastColumn="0" w:lastRowFirstColumn="0" w:lastRowLastColumn="0"/>
            <w:tcW w:w="2093" w:type="dxa"/>
          </w:tcPr>
          <w:p w14:paraId="1F711FCF" w14:textId="77777777" w:rsidR="004949CA" w:rsidRPr="006C1824" w:rsidRDefault="004949CA" w:rsidP="00331A63">
            <w:pPr>
              <w:rPr>
                <w:rFonts w:ascii="Tahoma" w:hAnsi="Tahoma" w:cs="Tahoma"/>
                <w:sz w:val="16"/>
                <w:szCs w:val="16"/>
                <w:lang w:eastAsia="hr-HR"/>
              </w:rPr>
            </w:pPr>
            <w:r w:rsidRPr="006C1824">
              <w:rPr>
                <w:rFonts w:ascii="Tahoma" w:hAnsi="Tahoma" w:cs="Tahoma"/>
                <w:sz w:val="16"/>
                <w:szCs w:val="16"/>
              </w:rPr>
              <w:t>Ciljana površina [milijuna m</w:t>
            </w:r>
            <w:r w:rsidRPr="006C1824">
              <w:rPr>
                <w:rFonts w:ascii="Tahoma" w:hAnsi="Tahoma" w:cs="Tahoma"/>
                <w:sz w:val="16"/>
                <w:szCs w:val="16"/>
                <w:vertAlign w:val="superscript"/>
              </w:rPr>
              <w:t>2</w:t>
            </w:r>
            <w:r w:rsidRPr="006C1824">
              <w:rPr>
                <w:rFonts w:ascii="Tahoma" w:hAnsi="Tahoma" w:cs="Tahoma"/>
                <w:sz w:val="16"/>
                <w:szCs w:val="16"/>
              </w:rPr>
              <w:t>]</w:t>
            </w:r>
          </w:p>
        </w:tc>
        <w:tc>
          <w:tcPr>
            <w:tcW w:w="850" w:type="dxa"/>
            <w:vAlign w:val="center"/>
          </w:tcPr>
          <w:p w14:paraId="51DE147A"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0,30</w:t>
            </w:r>
          </w:p>
        </w:tc>
        <w:tc>
          <w:tcPr>
            <w:tcW w:w="709" w:type="dxa"/>
            <w:vAlign w:val="center"/>
          </w:tcPr>
          <w:p w14:paraId="4FC462B6"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0,30</w:t>
            </w:r>
          </w:p>
        </w:tc>
        <w:tc>
          <w:tcPr>
            <w:tcW w:w="709" w:type="dxa"/>
            <w:vAlign w:val="center"/>
          </w:tcPr>
          <w:p w14:paraId="3C0BCA84"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0,49</w:t>
            </w:r>
          </w:p>
        </w:tc>
        <w:tc>
          <w:tcPr>
            <w:tcW w:w="709" w:type="dxa"/>
            <w:vAlign w:val="center"/>
          </w:tcPr>
          <w:p w14:paraId="2B650119"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0,48</w:t>
            </w:r>
          </w:p>
        </w:tc>
        <w:tc>
          <w:tcPr>
            <w:tcW w:w="708" w:type="dxa"/>
            <w:vAlign w:val="center"/>
          </w:tcPr>
          <w:p w14:paraId="5CE7D912"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0,66</w:t>
            </w:r>
          </w:p>
        </w:tc>
        <w:tc>
          <w:tcPr>
            <w:tcW w:w="709" w:type="dxa"/>
            <w:vAlign w:val="center"/>
          </w:tcPr>
          <w:p w14:paraId="457F8232"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0,64</w:t>
            </w:r>
          </w:p>
        </w:tc>
        <w:tc>
          <w:tcPr>
            <w:tcW w:w="709" w:type="dxa"/>
            <w:vAlign w:val="center"/>
          </w:tcPr>
          <w:p w14:paraId="47B29F44"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0,80</w:t>
            </w:r>
          </w:p>
        </w:tc>
        <w:tc>
          <w:tcPr>
            <w:tcW w:w="709" w:type="dxa"/>
            <w:vAlign w:val="center"/>
          </w:tcPr>
          <w:p w14:paraId="2A94CB25"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0,78</w:t>
            </w:r>
          </w:p>
        </w:tc>
        <w:tc>
          <w:tcPr>
            <w:tcW w:w="725" w:type="dxa"/>
            <w:vAlign w:val="center"/>
          </w:tcPr>
          <w:p w14:paraId="2942234F"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0,93</w:t>
            </w:r>
          </w:p>
        </w:tc>
        <w:tc>
          <w:tcPr>
            <w:tcW w:w="692" w:type="dxa"/>
            <w:vAlign w:val="center"/>
          </w:tcPr>
          <w:p w14:paraId="69515182"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6C1824">
              <w:rPr>
                <w:rFonts w:ascii="Tahoma" w:hAnsi="Tahoma" w:cs="Tahoma"/>
                <w:sz w:val="16"/>
                <w:szCs w:val="16"/>
              </w:rPr>
              <w:t>0,90</w:t>
            </w:r>
          </w:p>
        </w:tc>
      </w:tr>
      <w:tr w:rsidR="00334140" w:rsidRPr="006C1824" w14:paraId="42950FFC" w14:textId="77777777" w:rsidTr="00334140">
        <w:trPr>
          <w:trHeight w:val="69"/>
        </w:trPr>
        <w:tc>
          <w:tcPr>
            <w:cnfStyle w:val="001000000000" w:firstRow="0" w:lastRow="0" w:firstColumn="1" w:lastColumn="0" w:oddVBand="0" w:evenVBand="0" w:oddHBand="0" w:evenHBand="0" w:firstRowFirstColumn="0" w:firstRowLastColumn="0" w:lastRowFirstColumn="0" w:lastRowLastColumn="0"/>
            <w:tcW w:w="2093" w:type="dxa"/>
            <w:hideMark/>
          </w:tcPr>
          <w:p w14:paraId="6D481E5E" w14:textId="61FBA815" w:rsidR="004949CA" w:rsidRPr="006C1824" w:rsidRDefault="004949CA" w:rsidP="00331A63">
            <w:pPr>
              <w:rPr>
                <w:rFonts w:ascii="Tahoma" w:hAnsi="Tahoma" w:cs="Tahoma"/>
                <w:sz w:val="16"/>
                <w:szCs w:val="16"/>
                <w:lang w:eastAsia="hr-HR"/>
              </w:rPr>
            </w:pPr>
            <w:r w:rsidRPr="006C1824">
              <w:rPr>
                <w:rFonts w:ascii="Tahoma" w:hAnsi="Tahoma" w:cs="Tahoma"/>
                <w:sz w:val="16"/>
                <w:szCs w:val="16"/>
                <w:lang w:eastAsia="hr-HR"/>
              </w:rPr>
              <w:t xml:space="preserve">Trošak [milijardi </w:t>
            </w:r>
            <w:r w:rsidR="0063313B">
              <w:rPr>
                <w:rFonts w:ascii="Tahoma" w:hAnsi="Tahoma" w:cs="Tahoma"/>
                <w:sz w:val="16"/>
                <w:szCs w:val="16"/>
                <w:lang w:eastAsia="hr-HR"/>
              </w:rPr>
              <w:t>kuna</w:t>
            </w:r>
            <w:r w:rsidRPr="006C1824">
              <w:rPr>
                <w:rFonts w:ascii="Tahoma" w:hAnsi="Tahoma" w:cs="Tahoma"/>
                <w:sz w:val="16"/>
                <w:szCs w:val="16"/>
                <w:lang w:eastAsia="hr-HR"/>
              </w:rPr>
              <w:t>]</w:t>
            </w:r>
          </w:p>
        </w:tc>
        <w:tc>
          <w:tcPr>
            <w:tcW w:w="850" w:type="dxa"/>
            <w:vAlign w:val="center"/>
            <w:hideMark/>
          </w:tcPr>
          <w:p w14:paraId="02C1F5C3"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0,64</w:t>
            </w:r>
          </w:p>
        </w:tc>
        <w:tc>
          <w:tcPr>
            <w:tcW w:w="709" w:type="dxa"/>
            <w:vAlign w:val="center"/>
            <w:hideMark/>
          </w:tcPr>
          <w:p w14:paraId="65FDE5D2"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0,63</w:t>
            </w:r>
          </w:p>
        </w:tc>
        <w:tc>
          <w:tcPr>
            <w:tcW w:w="709" w:type="dxa"/>
            <w:vAlign w:val="center"/>
            <w:hideMark/>
          </w:tcPr>
          <w:p w14:paraId="58669B08"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1,02</w:t>
            </w:r>
          </w:p>
        </w:tc>
        <w:tc>
          <w:tcPr>
            <w:tcW w:w="709" w:type="dxa"/>
            <w:vAlign w:val="center"/>
            <w:hideMark/>
          </w:tcPr>
          <w:p w14:paraId="73566868"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1,01</w:t>
            </w:r>
          </w:p>
        </w:tc>
        <w:tc>
          <w:tcPr>
            <w:tcW w:w="708" w:type="dxa"/>
            <w:vAlign w:val="center"/>
            <w:hideMark/>
          </w:tcPr>
          <w:p w14:paraId="54F04A34"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1,38</w:t>
            </w:r>
          </w:p>
        </w:tc>
        <w:tc>
          <w:tcPr>
            <w:tcW w:w="709" w:type="dxa"/>
            <w:vAlign w:val="center"/>
            <w:hideMark/>
          </w:tcPr>
          <w:p w14:paraId="215B8070"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1,34</w:t>
            </w:r>
          </w:p>
        </w:tc>
        <w:tc>
          <w:tcPr>
            <w:tcW w:w="709" w:type="dxa"/>
            <w:vAlign w:val="center"/>
            <w:hideMark/>
          </w:tcPr>
          <w:p w14:paraId="4E5B1078"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1,69</w:t>
            </w:r>
          </w:p>
        </w:tc>
        <w:tc>
          <w:tcPr>
            <w:tcW w:w="709" w:type="dxa"/>
            <w:vAlign w:val="center"/>
            <w:hideMark/>
          </w:tcPr>
          <w:p w14:paraId="1693A5E3"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1,64</w:t>
            </w:r>
          </w:p>
        </w:tc>
        <w:tc>
          <w:tcPr>
            <w:tcW w:w="725" w:type="dxa"/>
            <w:vAlign w:val="center"/>
            <w:hideMark/>
          </w:tcPr>
          <w:p w14:paraId="394FA439"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1,95</w:t>
            </w:r>
          </w:p>
        </w:tc>
        <w:tc>
          <w:tcPr>
            <w:tcW w:w="692" w:type="dxa"/>
            <w:vAlign w:val="center"/>
            <w:hideMark/>
          </w:tcPr>
          <w:p w14:paraId="3F5BDF5F" w14:textId="77777777" w:rsidR="004949CA" w:rsidRPr="006C1824"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rPr>
            </w:pPr>
            <w:r w:rsidRPr="006C1824">
              <w:rPr>
                <w:rFonts w:ascii="Tahoma" w:hAnsi="Tahoma" w:cs="Tahoma"/>
                <w:sz w:val="16"/>
                <w:szCs w:val="16"/>
              </w:rPr>
              <w:t>1,88</w:t>
            </w:r>
          </w:p>
        </w:tc>
      </w:tr>
      <w:tr w:rsidR="004949CA" w:rsidRPr="006C1824" w14:paraId="1FCFE104" w14:textId="77777777" w:rsidTr="00334140">
        <w:trPr>
          <w:trHeight w:val="58"/>
        </w:trPr>
        <w:tc>
          <w:tcPr>
            <w:cnfStyle w:val="001000000000" w:firstRow="0" w:lastRow="0" w:firstColumn="1" w:lastColumn="0" w:oddVBand="0" w:evenVBand="0" w:oddHBand="0" w:evenHBand="0" w:firstRowFirstColumn="0" w:firstRowLastColumn="0" w:lastRowFirstColumn="0" w:lastRowLastColumn="0"/>
            <w:tcW w:w="2943" w:type="dxa"/>
            <w:gridSpan w:val="2"/>
          </w:tcPr>
          <w:p w14:paraId="6B931388" w14:textId="0E6C1A34" w:rsidR="004949CA" w:rsidRPr="006C1824" w:rsidRDefault="004949CA" w:rsidP="00331A63">
            <w:pPr>
              <w:rPr>
                <w:rFonts w:ascii="Tahoma" w:hAnsi="Tahoma" w:cs="Tahoma"/>
                <w:b w:val="0"/>
                <w:bCs w:val="0"/>
                <w:sz w:val="16"/>
                <w:szCs w:val="16"/>
                <w:lang w:eastAsia="hr-HR"/>
              </w:rPr>
            </w:pPr>
            <w:r w:rsidRPr="006C1824">
              <w:rPr>
                <w:rFonts w:ascii="Tahoma" w:hAnsi="Tahoma" w:cs="Tahoma"/>
                <w:sz w:val="16"/>
                <w:szCs w:val="16"/>
                <w:lang w:eastAsia="hr-HR"/>
              </w:rPr>
              <w:t xml:space="preserve">Ukupno do 2030. [milijardi </w:t>
            </w:r>
            <w:r w:rsidR="0063313B">
              <w:rPr>
                <w:rFonts w:ascii="Tahoma" w:hAnsi="Tahoma" w:cs="Tahoma"/>
                <w:sz w:val="16"/>
                <w:szCs w:val="16"/>
                <w:lang w:eastAsia="hr-HR"/>
              </w:rPr>
              <w:t>kuna</w:t>
            </w:r>
            <w:r w:rsidRPr="006C1824">
              <w:rPr>
                <w:rFonts w:ascii="Tahoma" w:hAnsi="Tahoma" w:cs="Tahoma"/>
                <w:sz w:val="16"/>
                <w:szCs w:val="16"/>
                <w:lang w:eastAsia="hr-HR"/>
              </w:rPr>
              <w:t>]</w:t>
            </w:r>
          </w:p>
        </w:tc>
        <w:tc>
          <w:tcPr>
            <w:tcW w:w="6379" w:type="dxa"/>
            <w:gridSpan w:val="9"/>
          </w:tcPr>
          <w:p w14:paraId="04613235" w14:textId="77777777" w:rsidR="004949CA" w:rsidRPr="006C1824"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6C1824">
              <w:rPr>
                <w:rFonts w:ascii="Tahoma" w:hAnsi="Tahoma" w:cs="Tahoma"/>
                <w:b/>
                <w:bCs/>
                <w:sz w:val="16"/>
                <w:szCs w:val="16"/>
                <w:lang w:eastAsia="hr-HR"/>
              </w:rPr>
              <w:t>13,16</w:t>
            </w:r>
          </w:p>
        </w:tc>
      </w:tr>
      <w:tr w:rsidR="004949CA" w:rsidRPr="006C1824" w14:paraId="1B9BCEBB" w14:textId="77777777" w:rsidTr="00334140">
        <w:trPr>
          <w:trHeight w:val="58"/>
        </w:trPr>
        <w:tc>
          <w:tcPr>
            <w:cnfStyle w:val="001000000000" w:firstRow="0" w:lastRow="0" w:firstColumn="1" w:lastColumn="0" w:oddVBand="0" w:evenVBand="0" w:oddHBand="0" w:evenHBand="0" w:firstRowFirstColumn="0" w:firstRowLastColumn="0" w:lastRowFirstColumn="0" w:lastRowLastColumn="0"/>
            <w:tcW w:w="2943" w:type="dxa"/>
            <w:gridSpan w:val="2"/>
          </w:tcPr>
          <w:p w14:paraId="04F80E0E" w14:textId="6435F7EF" w:rsidR="004949CA" w:rsidRPr="006C1824" w:rsidRDefault="004949CA" w:rsidP="00331A63">
            <w:pPr>
              <w:rPr>
                <w:rFonts w:ascii="Tahoma" w:hAnsi="Tahoma" w:cs="Tahoma"/>
                <w:b w:val="0"/>
                <w:bCs w:val="0"/>
                <w:sz w:val="16"/>
                <w:szCs w:val="16"/>
                <w:lang w:eastAsia="hr-HR"/>
              </w:rPr>
            </w:pPr>
            <w:r w:rsidRPr="006C1824">
              <w:rPr>
                <w:rFonts w:ascii="Tahoma" w:hAnsi="Tahoma" w:cs="Tahoma"/>
                <w:sz w:val="16"/>
                <w:szCs w:val="16"/>
                <w:lang w:eastAsia="hr-HR"/>
              </w:rPr>
              <w:t xml:space="preserve">Ukupno 2022. - 2024.* [milijardi </w:t>
            </w:r>
            <w:r w:rsidR="0063313B">
              <w:rPr>
                <w:rFonts w:ascii="Tahoma" w:hAnsi="Tahoma" w:cs="Tahoma"/>
                <w:sz w:val="16"/>
                <w:szCs w:val="16"/>
                <w:lang w:eastAsia="hr-HR"/>
              </w:rPr>
              <w:t>kuna</w:t>
            </w:r>
            <w:r w:rsidRPr="006C1824">
              <w:rPr>
                <w:rFonts w:ascii="Tahoma" w:hAnsi="Tahoma" w:cs="Tahoma"/>
                <w:sz w:val="16"/>
                <w:szCs w:val="16"/>
                <w:lang w:eastAsia="hr-HR"/>
              </w:rPr>
              <w:t>]</w:t>
            </w:r>
          </w:p>
        </w:tc>
        <w:tc>
          <w:tcPr>
            <w:tcW w:w="6379" w:type="dxa"/>
            <w:gridSpan w:val="9"/>
          </w:tcPr>
          <w:p w14:paraId="3B3FDA05" w14:textId="77777777" w:rsidR="004949CA" w:rsidRPr="006C1824"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6C1824">
              <w:rPr>
                <w:rFonts w:ascii="Tahoma" w:hAnsi="Tahoma" w:cs="Tahoma"/>
                <w:b/>
                <w:bCs/>
                <w:sz w:val="16"/>
                <w:szCs w:val="16"/>
                <w:lang w:eastAsia="hr-HR"/>
              </w:rPr>
              <w:t>3,29</w:t>
            </w:r>
          </w:p>
        </w:tc>
      </w:tr>
    </w:tbl>
    <w:p w14:paraId="43569867" w14:textId="41649932" w:rsidR="004949CA" w:rsidRPr="00E14E86" w:rsidRDefault="004949CA" w:rsidP="004949CA">
      <w:r w:rsidRPr="00E14E86">
        <w:rPr>
          <w:i/>
          <w:iCs/>
          <w:sz w:val="18"/>
        </w:rPr>
        <w:t>*Ciljane površine raspoređene su prema godinama sukl</w:t>
      </w:r>
      <w:r w:rsidR="005315C7">
        <w:rPr>
          <w:i/>
          <w:iCs/>
          <w:sz w:val="18"/>
        </w:rPr>
        <w:t>a</w:t>
      </w:r>
      <w:r w:rsidRPr="00E14E86">
        <w:rPr>
          <w:i/>
          <w:iCs/>
          <w:sz w:val="18"/>
        </w:rPr>
        <w:t>dno ciljanim stopama obnove iz Dugoročne strategije.</w:t>
      </w:r>
      <w:r w:rsidRPr="00E14E86">
        <w:t xml:space="preserve"> </w:t>
      </w:r>
      <w:r w:rsidRPr="00E14E86">
        <w:rPr>
          <w:i/>
          <w:iCs/>
        </w:rPr>
        <w:t xml:space="preserve">S </w:t>
      </w:r>
      <w:r w:rsidRPr="00E14E86">
        <w:rPr>
          <w:i/>
          <w:iCs/>
          <w:sz w:val="18"/>
        </w:rPr>
        <w:t>obzirom da u 2021. godini neće biti obnovljenih VSZ prema ovome Programu, ciljana obn</w:t>
      </w:r>
      <w:r w:rsidR="005315C7">
        <w:rPr>
          <w:i/>
          <w:iCs/>
          <w:sz w:val="18"/>
        </w:rPr>
        <w:t>o</w:t>
      </w:r>
      <w:r w:rsidRPr="00E14E86">
        <w:rPr>
          <w:i/>
          <w:iCs/>
          <w:sz w:val="18"/>
        </w:rPr>
        <w:t xml:space="preserve">vljena površina iz te godine raspodjeljuje se na sljedeće tri godine, te se pripadajući trošak iz te godine ubraja u ukupan trošak za razdoblje od 2022. do 2024. godine.   </w:t>
      </w:r>
      <w:r w:rsidRPr="00E14E86">
        <w:t xml:space="preserve">  </w:t>
      </w:r>
    </w:p>
    <w:p w14:paraId="6C21714B" w14:textId="4C4855B5" w:rsidR="004949CA" w:rsidRPr="00D80144" w:rsidRDefault="004949CA" w:rsidP="00D80144">
      <w:pPr>
        <w:jc w:val="both"/>
        <w:rPr>
          <w:rFonts w:ascii="Tahoma" w:hAnsi="Tahoma" w:cs="Tahoma"/>
          <w:sz w:val="20"/>
          <w:szCs w:val="20"/>
          <w:lang w:eastAsia="hr-HR"/>
        </w:rPr>
      </w:pPr>
      <w:r w:rsidRPr="00D80144">
        <w:rPr>
          <w:rFonts w:ascii="Tahoma" w:hAnsi="Tahoma" w:cs="Tahoma"/>
          <w:sz w:val="20"/>
          <w:szCs w:val="20"/>
          <w:lang w:eastAsia="hr-HR"/>
        </w:rPr>
        <w:t xml:space="preserve">Procjena u gornjoj tablici može se smatrati </w:t>
      </w:r>
      <w:r w:rsidRPr="00D80144">
        <w:rPr>
          <w:rFonts w:ascii="Tahoma" w:hAnsi="Tahoma" w:cs="Tahoma"/>
          <w:b/>
          <w:bCs/>
          <w:sz w:val="20"/>
          <w:szCs w:val="20"/>
          <w:lang w:eastAsia="hr-HR"/>
        </w:rPr>
        <w:t>donjom granicom procjene potrebnih investicija</w:t>
      </w:r>
      <w:r w:rsidRPr="00D80144">
        <w:rPr>
          <w:rFonts w:ascii="Tahoma" w:hAnsi="Tahoma" w:cs="Tahoma"/>
          <w:sz w:val="20"/>
          <w:szCs w:val="20"/>
          <w:lang w:eastAsia="hr-HR"/>
        </w:rPr>
        <w:t xml:space="preserve">, odnosno očekivane najmanje potrebne investicije za provedbu ovoga Programa iznose nešto više od </w:t>
      </w:r>
      <w:r w:rsidRPr="00D80144">
        <w:rPr>
          <w:rFonts w:ascii="Tahoma" w:hAnsi="Tahoma" w:cs="Tahoma"/>
          <w:b/>
          <w:bCs/>
          <w:sz w:val="20"/>
          <w:szCs w:val="20"/>
          <w:lang w:eastAsia="hr-HR"/>
        </w:rPr>
        <w:t xml:space="preserve">13 milijardi </w:t>
      </w:r>
      <w:r w:rsidR="0063313B">
        <w:rPr>
          <w:rFonts w:ascii="Tahoma" w:hAnsi="Tahoma" w:cs="Tahoma"/>
          <w:b/>
          <w:bCs/>
          <w:sz w:val="20"/>
          <w:szCs w:val="20"/>
          <w:lang w:eastAsia="hr-HR"/>
        </w:rPr>
        <w:t>kuna</w:t>
      </w:r>
      <w:r w:rsidRPr="00D80144">
        <w:rPr>
          <w:rFonts w:ascii="Tahoma" w:hAnsi="Tahoma" w:cs="Tahoma"/>
          <w:b/>
          <w:bCs/>
          <w:sz w:val="20"/>
          <w:szCs w:val="20"/>
          <w:lang w:eastAsia="hr-HR"/>
        </w:rPr>
        <w:t>,</w:t>
      </w:r>
      <w:r w:rsidRPr="00D80144">
        <w:rPr>
          <w:rFonts w:ascii="Tahoma" w:hAnsi="Tahoma" w:cs="Tahoma"/>
          <w:sz w:val="20"/>
          <w:szCs w:val="20"/>
          <w:lang w:eastAsia="hr-HR"/>
        </w:rPr>
        <w:t xml:space="preserve"> pri čemu za prvo trogodišnje razdoblje procijenjene investicije iznose </w:t>
      </w:r>
      <w:r w:rsidRPr="00D80144">
        <w:rPr>
          <w:rFonts w:ascii="Tahoma" w:hAnsi="Tahoma" w:cs="Tahoma"/>
          <w:b/>
          <w:bCs/>
          <w:sz w:val="20"/>
          <w:szCs w:val="20"/>
          <w:lang w:eastAsia="hr-HR"/>
        </w:rPr>
        <w:t xml:space="preserve">3,3 milijarde </w:t>
      </w:r>
      <w:r w:rsidR="0063313B">
        <w:rPr>
          <w:rFonts w:ascii="Tahoma" w:hAnsi="Tahoma" w:cs="Tahoma"/>
          <w:b/>
          <w:bCs/>
          <w:sz w:val="20"/>
          <w:szCs w:val="20"/>
          <w:lang w:eastAsia="hr-HR"/>
        </w:rPr>
        <w:t>kuna</w:t>
      </w:r>
      <w:r w:rsidRPr="00D80144">
        <w:rPr>
          <w:rFonts w:ascii="Tahoma" w:hAnsi="Tahoma" w:cs="Tahoma"/>
          <w:sz w:val="20"/>
          <w:szCs w:val="20"/>
          <w:lang w:eastAsia="hr-HR"/>
        </w:rPr>
        <w:t xml:space="preserve">. S obzirom na predviđene stope sufinanciranja i udjele pojedinih kategorija obnove, potrebna javna sredstva u ovom slučaju iznose oko 8,9 milijardi </w:t>
      </w:r>
      <w:r w:rsidR="0063313B">
        <w:rPr>
          <w:rFonts w:ascii="Tahoma" w:hAnsi="Tahoma" w:cs="Tahoma"/>
          <w:sz w:val="20"/>
          <w:szCs w:val="20"/>
          <w:lang w:eastAsia="hr-HR"/>
        </w:rPr>
        <w:t>kuna</w:t>
      </w:r>
      <w:r w:rsidRPr="00D80144">
        <w:rPr>
          <w:rFonts w:ascii="Tahoma" w:hAnsi="Tahoma" w:cs="Tahoma"/>
          <w:sz w:val="20"/>
          <w:szCs w:val="20"/>
          <w:lang w:eastAsia="hr-HR"/>
        </w:rPr>
        <w:t xml:space="preserve"> za cijelo razdoblje odnosno 2,2 milijarde </w:t>
      </w:r>
      <w:r w:rsidR="0063313B">
        <w:rPr>
          <w:rFonts w:ascii="Tahoma" w:hAnsi="Tahoma" w:cs="Tahoma"/>
          <w:sz w:val="20"/>
          <w:szCs w:val="20"/>
          <w:lang w:eastAsia="hr-HR"/>
        </w:rPr>
        <w:t>kuna</w:t>
      </w:r>
      <w:r w:rsidRPr="00D80144">
        <w:rPr>
          <w:rFonts w:ascii="Tahoma" w:hAnsi="Tahoma" w:cs="Tahoma"/>
          <w:sz w:val="20"/>
          <w:szCs w:val="20"/>
          <w:lang w:eastAsia="hr-HR"/>
        </w:rPr>
        <w:t xml:space="preserve"> u prvom trogodišnjem razdoblju. </w:t>
      </w:r>
    </w:p>
    <w:p w14:paraId="5A044E32" w14:textId="77777777" w:rsidR="004949CA" w:rsidRDefault="004949CA" w:rsidP="004949CA">
      <w:pPr>
        <w:pStyle w:val="Naslov20"/>
      </w:pPr>
      <w:bookmarkStart w:id="203" w:name="_Toc81824925"/>
      <w:bookmarkStart w:id="204" w:name="_Toc72156287"/>
      <w:bookmarkStart w:id="205" w:name="_Toc81836299"/>
      <w:bookmarkStart w:id="206" w:name="_Toc83912072"/>
      <w:bookmarkEnd w:id="203"/>
      <w:r>
        <w:t xml:space="preserve">Mogući izvori financiranja obnove </w:t>
      </w:r>
      <w:bookmarkEnd w:id="204"/>
      <w:r>
        <w:t>VSZ</w:t>
      </w:r>
      <w:bookmarkEnd w:id="205"/>
      <w:bookmarkEnd w:id="206"/>
    </w:p>
    <w:p w14:paraId="7238A90E" w14:textId="77777777" w:rsidR="004949CA" w:rsidRPr="00D80144" w:rsidRDefault="004949CA" w:rsidP="00D80144">
      <w:pPr>
        <w:jc w:val="both"/>
        <w:rPr>
          <w:rFonts w:ascii="Tahoma" w:hAnsi="Tahoma" w:cs="Tahoma"/>
          <w:sz w:val="20"/>
          <w:szCs w:val="20"/>
          <w:lang w:eastAsia="hr-HR"/>
        </w:rPr>
      </w:pPr>
      <w:r w:rsidRPr="00D80144">
        <w:rPr>
          <w:rFonts w:ascii="Tahoma" w:hAnsi="Tahoma" w:cs="Tahoma"/>
          <w:sz w:val="20"/>
          <w:szCs w:val="20"/>
          <w:lang w:eastAsia="hr-HR"/>
        </w:rPr>
        <w:t>Iz gornje procjene investicijskih troškova razvidno je da će u sljedećem razdoblju biti potrebna izuzetno velika sredstva za osiguranje bespovratnih sredstava za energetsku obnovu VSZ.</w:t>
      </w:r>
    </w:p>
    <w:p w14:paraId="02BA7693" w14:textId="77777777" w:rsidR="004949CA" w:rsidRPr="00D80144" w:rsidRDefault="004949CA" w:rsidP="00D80144">
      <w:pPr>
        <w:jc w:val="both"/>
        <w:rPr>
          <w:rFonts w:ascii="Tahoma" w:hAnsi="Tahoma" w:cs="Tahoma"/>
          <w:sz w:val="20"/>
          <w:szCs w:val="20"/>
          <w:lang w:eastAsia="hr-HR"/>
        </w:rPr>
      </w:pPr>
      <w:r w:rsidRPr="00D80144">
        <w:rPr>
          <w:rFonts w:ascii="Tahoma" w:hAnsi="Tahoma" w:cs="Tahoma"/>
          <w:sz w:val="20"/>
          <w:szCs w:val="20"/>
          <w:lang w:eastAsia="hr-HR"/>
        </w:rPr>
        <w:t xml:space="preserve">Kako je utvrđeno u Dugoročnoj strategiji, za energetsku obnovu VSZ primarno je potrebno koristiti EU sredstva i to Mehanizam za oporavak i otpornost te ESI fondove koji će biti na raspolaganju za programsko razdoblje od 2021. do 2027. Korištenje nacionalnih sredstava se ne predviđa u prvom trogodišnjem razdoblju provedbe ovoga Programa, ali se može razmotriti u sljedećim razdobljima, ovisno o utrošenosti EU sredstava i raspoloživosti nacionalnih sredstava iz FZOEU-a.  </w:t>
      </w:r>
    </w:p>
    <w:p w14:paraId="46639BE0" w14:textId="0E0CE995" w:rsidR="004949CA" w:rsidRPr="00D80144" w:rsidRDefault="004949CA" w:rsidP="00D80144">
      <w:pPr>
        <w:jc w:val="both"/>
        <w:rPr>
          <w:rFonts w:ascii="Tahoma" w:hAnsi="Tahoma" w:cs="Tahoma"/>
          <w:sz w:val="20"/>
          <w:szCs w:val="20"/>
          <w:lang w:eastAsia="hr-HR"/>
        </w:rPr>
      </w:pPr>
      <w:r w:rsidRPr="00D80144">
        <w:rPr>
          <w:rFonts w:ascii="Tahoma" w:hAnsi="Tahoma" w:cs="Tahoma"/>
          <w:sz w:val="20"/>
          <w:szCs w:val="20"/>
          <w:lang w:eastAsia="hr-HR"/>
        </w:rPr>
        <w:t xml:space="preserve">Za korištenje Mehanizma za oporavak i otpornost, </w:t>
      </w:r>
      <w:r w:rsidR="00B25495">
        <w:rPr>
          <w:rFonts w:ascii="Tahoma" w:hAnsi="Tahoma" w:cs="Tahoma"/>
          <w:sz w:val="20"/>
          <w:szCs w:val="20"/>
          <w:lang w:eastAsia="hr-HR"/>
        </w:rPr>
        <w:t>Hrvatska</w:t>
      </w:r>
      <w:r w:rsidRPr="00D80144">
        <w:rPr>
          <w:rFonts w:ascii="Tahoma" w:hAnsi="Tahoma" w:cs="Tahoma"/>
          <w:sz w:val="20"/>
          <w:szCs w:val="20"/>
          <w:lang w:eastAsia="hr-HR"/>
        </w:rPr>
        <w:t xml:space="preserve"> je izradila Nacionalni plan oporavka i otpornosti (NPOO)</w:t>
      </w:r>
      <w:r w:rsidRPr="00D80144">
        <w:rPr>
          <w:rStyle w:val="Referencafusnote"/>
          <w:rFonts w:cs="Tahoma"/>
          <w:sz w:val="20"/>
          <w:szCs w:val="20"/>
        </w:rPr>
        <w:footnoteReference w:id="32"/>
      </w:r>
      <w:r w:rsidRPr="00D80144">
        <w:rPr>
          <w:rFonts w:ascii="Tahoma" w:hAnsi="Tahoma" w:cs="Tahoma"/>
          <w:sz w:val="20"/>
          <w:szCs w:val="20"/>
          <w:lang w:eastAsia="hr-HR"/>
        </w:rPr>
        <w:t xml:space="preserve">. Jedna od reformi navedenih u NPOO jest </w:t>
      </w:r>
      <w:proofErr w:type="spellStart"/>
      <w:r w:rsidRPr="00D80144">
        <w:rPr>
          <w:rFonts w:ascii="Tahoma" w:hAnsi="Tahoma" w:cs="Tahoma"/>
          <w:sz w:val="20"/>
          <w:szCs w:val="20"/>
          <w:lang w:eastAsia="hr-HR"/>
        </w:rPr>
        <w:t>Dekarbonizacija</w:t>
      </w:r>
      <w:proofErr w:type="spellEnd"/>
      <w:r w:rsidRPr="00D80144">
        <w:rPr>
          <w:rFonts w:ascii="Tahoma" w:hAnsi="Tahoma" w:cs="Tahoma"/>
          <w:sz w:val="20"/>
          <w:szCs w:val="20"/>
          <w:lang w:eastAsia="hr-HR"/>
        </w:rPr>
        <w:t xml:space="preserve"> zgrada (C.6.1.R1), koja se planira provesti kroz tri vezane investicije, od kojih su za ovaj Program bitne:</w:t>
      </w:r>
    </w:p>
    <w:p w14:paraId="765FBC3D" w14:textId="2069B107" w:rsidR="004949CA" w:rsidRPr="00D80144" w:rsidRDefault="137C0FFA" w:rsidP="2617B706">
      <w:pPr>
        <w:pStyle w:val="Odlomakpopisa"/>
        <w:numPr>
          <w:ilvl w:val="0"/>
          <w:numId w:val="52"/>
        </w:numPr>
        <w:rPr>
          <w:rFonts w:cs="Tahoma"/>
        </w:rPr>
      </w:pPr>
      <w:r w:rsidRPr="2617B706">
        <w:rPr>
          <w:rFonts w:cs="Tahoma"/>
        </w:rPr>
        <w:t xml:space="preserve">Energetska obnova zgrada (C.6.1. R1-I1) – odnosi se na VSZ i zgrade javnog sektora (ZJS) te je predviđena alokacija od 1 milijarde </w:t>
      </w:r>
      <w:r w:rsidR="19290C86" w:rsidRPr="2617B706">
        <w:rPr>
          <w:rFonts w:cs="Tahoma"/>
        </w:rPr>
        <w:t>kuna</w:t>
      </w:r>
    </w:p>
    <w:p w14:paraId="51C5552A" w14:textId="11B9205A" w:rsidR="004949CA" w:rsidRPr="00D80144" w:rsidRDefault="137C0FFA" w:rsidP="2617B706">
      <w:pPr>
        <w:pStyle w:val="Odlomakpopisa"/>
        <w:numPr>
          <w:ilvl w:val="0"/>
          <w:numId w:val="52"/>
        </w:numPr>
        <w:rPr>
          <w:rFonts w:cs="Tahoma"/>
        </w:rPr>
      </w:pPr>
      <w:r w:rsidRPr="2617B706">
        <w:rPr>
          <w:rFonts w:cs="Tahoma"/>
        </w:rPr>
        <w:t xml:space="preserve">Obnova zgrada oštećenih u potresu s energetskom obnovom (C.6.1. R1-I2) – odnosi se na VSZ i ZJS te je predviđena alokacija od 4,456 milijarde </w:t>
      </w:r>
      <w:r w:rsidR="19290C86" w:rsidRPr="2617B706">
        <w:rPr>
          <w:rFonts w:cs="Tahoma"/>
        </w:rPr>
        <w:t>kuna</w:t>
      </w:r>
      <w:r w:rsidRPr="2617B706">
        <w:rPr>
          <w:rFonts w:cs="Tahoma"/>
        </w:rPr>
        <w:t xml:space="preserve">. </w:t>
      </w:r>
    </w:p>
    <w:p w14:paraId="1A610068" w14:textId="061AE920" w:rsidR="004949CA" w:rsidRPr="00D80144" w:rsidRDefault="004949CA" w:rsidP="00D80144">
      <w:pPr>
        <w:jc w:val="both"/>
        <w:rPr>
          <w:rFonts w:ascii="Tahoma" w:hAnsi="Tahoma" w:cs="Tahoma"/>
          <w:sz w:val="20"/>
          <w:szCs w:val="20"/>
        </w:rPr>
      </w:pPr>
      <w:r w:rsidRPr="00D80144">
        <w:rPr>
          <w:rFonts w:ascii="Tahoma" w:hAnsi="Tahoma" w:cs="Tahoma"/>
          <w:sz w:val="20"/>
          <w:szCs w:val="20"/>
        </w:rPr>
        <w:t xml:space="preserve">Iz investicije C.6.1. R1-I1 za obnovu VSZ neoštećenih u potresu predviđa se 300 milijuna </w:t>
      </w:r>
      <w:r w:rsidR="0063313B">
        <w:rPr>
          <w:rFonts w:ascii="Tahoma" w:hAnsi="Tahoma" w:cs="Tahoma"/>
          <w:sz w:val="20"/>
          <w:szCs w:val="20"/>
        </w:rPr>
        <w:t>kuna</w:t>
      </w:r>
      <w:r w:rsidRPr="00D80144">
        <w:rPr>
          <w:rFonts w:ascii="Tahoma" w:hAnsi="Tahoma" w:cs="Tahoma"/>
          <w:sz w:val="20"/>
          <w:szCs w:val="20"/>
        </w:rPr>
        <w:t xml:space="preserve">. </w:t>
      </w:r>
    </w:p>
    <w:p w14:paraId="16594896" w14:textId="4B1AB36E" w:rsidR="004949CA" w:rsidRPr="00D80144" w:rsidRDefault="0C3F4C7D" w:rsidP="00D80144">
      <w:pPr>
        <w:jc w:val="both"/>
        <w:rPr>
          <w:rFonts w:ascii="Tahoma" w:hAnsi="Tahoma" w:cs="Tahoma"/>
          <w:sz w:val="20"/>
          <w:szCs w:val="20"/>
        </w:rPr>
      </w:pPr>
      <w:r w:rsidRPr="638C4C38">
        <w:rPr>
          <w:rFonts w:ascii="Tahoma" w:hAnsi="Tahoma" w:cs="Tahoma"/>
          <w:sz w:val="20"/>
          <w:szCs w:val="20"/>
        </w:rPr>
        <w:t>Iz investicije C.6.1. R1-I2 za VSZ oštećene u potresu predviđa se obnova barem 45.000 m</w:t>
      </w:r>
      <w:r w:rsidRPr="638C4C38">
        <w:rPr>
          <w:rFonts w:ascii="Tahoma" w:hAnsi="Tahoma" w:cs="Tahoma"/>
          <w:sz w:val="20"/>
          <w:szCs w:val="20"/>
          <w:vertAlign w:val="superscript"/>
        </w:rPr>
        <w:t>2</w:t>
      </w:r>
      <w:r w:rsidRPr="638C4C38">
        <w:rPr>
          <w:rFonts w:ascii="Tahoma" w:hAnsi="Tahoma" w:cs="Tahoma"/>
          <w:sz w:val="20"/>
          <w:szCs w:val="20"/>
        </w:rPr>
        <w:t xml:space="preserve"> VSZ. Pri tome treba istaknuti da će se sredstva predviđena ovom mjerom koristiti i za vraćanje zgrade u prvobitno stanje (troškovi nevezani uz potrošnju energije) kao i za provedbu neke od razina obnove predviđene ovim Programom. Dio troška koji će se odnositi na neku od kategorija obnove predviđenih ovim programom temelji se na procjeni troška od 500 €/m</w:t>
      </w:r>
      <w:r w:rsidRPr="638C4C38">
        <w:rPr>
          <w:rFonts w:ascii="Tahoma" w:hAnsi="Tahoma" w:cs="Tahoma"/>
          <w:sz w:val="20"/>
          <w:szCs w:val="20"/>
          <w:vertAlign w:val="superscript"/>
        </w:rPr>
        <w:t>2</w:t>
      </w:r>
      <w:r w:rsidRPr="638C4C38">
        <w:rPr>
          <w:rFonts w:ascii="Tahoma" w:hAnsi="Tahoma" w:cs="Tahoma"/>
          <w:sz w:val="20"/>
          <w:szCs w:val="20"/>
        </w:rPr>
        <w:t xml:space="preserve"> kako je navedeno u NPOO. To znači da će se za obnovu VSZ prema ovom modelu utrošiti najmanje 23 milijuna € odnosno oko 172,5 milijuna </w:t>
      </w:r>
      <w:r w:rsidR="3D18CBD7" w:rsidRPr="638C4C38">
        <w:rPr>
          <w:rFonts w:ascii="Tahoma" w:hAnsi="Tahoma" w:cs="Tahoma"/>
          <w:sz w:val="20"/>
          <w:szCs w:val="20"/>
        </w:rPr>
        <w:t>kuna</w:t>
      </w:r>
      <w:r w:rsidRPr="638C4C38">
        <w:rPr>
          <w:rFonts w:ascii="Tahoma" w:hAnsi="Tahoma" w:cs="Tahoma"/>
          <w:sz w:val="20"/>
          <w:szCs w:val="20"/>
        </w:rPr>
        <w:t xml:space="preserve">. No </w:t>
      </w:r>
      <w:r w:rsidRPr="638C4C38">
        <w:rPr>
          <w:rFonts w:ascii="Tahoma" w:hAnsi="Tahoma" w:cs="Tahoma"/>
          <w:sz w:val="20"/>
          <w:szCs w:val="20"/>
        </w:rPr>
        <w:lastRenderedPageBreak/>
        <w:t>za cjelovitu obnovu</w:t>
      </w:r>
      <w:r w:rsidR="00720CD5">
        <w:rPr>
          <w:rFonts w:ascii="Tahoma" w:hAnsi="Tahoma" w:cs="Tahoma"/>
          <w:sz w:val="20"/>
          <w:szCs w:val="20"/>
        </w:rPr>
        <w:t xml:space="preserve"> s energetskom obnovom</w:t>
      </w:r>
      <w:r w:rsidRPr="638C4C38">
        <w:rPr>
          <w:rFonts w:ascii="Tahoma" w:hAnsi="Tahoma" w:cs="Tahoma"/>
          <w:sz w:val="20"/>
          <w:szCs w:val="20"/>
        </w:rPr>
        <w:t xml:space="preserve"> zgrada, trošak će biti puno veći te se procjenjuje da će za ovaj model iz NPOO biti raspoloživo 636,57 milijuna </w:t>
      </w:r>
      <w:r w:rsidR="3D18CBD7" w:rsidRPr="638C4C38">
        <w:rPr>
          <w:rFonts w:ascii="Tahoma" w:hAnsi="Tahoma" w:cs="Tahoma"/>
          <w:sz w:val="20"/>
          <w:szCs w:val="20"/>
        </w:rPr>
        <w:t>kuna</w:t>
      </w:r>
      <w:r w:rsidRPr="638C4C38">
        <w:rPr>
          <w:rFonts w:ascii="Tahoma" w:hAnsi="Tahoma" w:cs="Tahoma"/>
          <w:sz w:val="20"/>
          <w:szCs w:val="20"/>
        </w:rPr>
        <w:t xml:space="preserve">. </w:t>
      </w:r>
    </w:p>
    <w:p w14:paraId="7A425BCF" w14:textId="072CC305" w:rsidR="004949CA" w:rsidRDefault="004949CA" w:rsidP="00D80144">
      <w:pPr>
        <w:jc w:val="both"/>
        <w:rPr>
          <w:rFonts w:ascii="Tahoma" w:hAnsi="Tahoma" w:cs="Tahoma"/>
          <w:sz w:val="20"/>
          <w:szCs w:val="20"/>
          <w:lang w:eastAsia="hr-HR"/>
        </w:rPr>
      </w:pPr>
      <w:r w:rsidRPr="00D80144">
        <w:rPr>
          <w:rFonts w:ascii="Tahoma" w:hAnsi="Tahoma" w:cs="Tahoma"/>
          <w:sz w:val="20"/>
          <w:szCs w:val="20"/>
        </w:rPr>
        <w:t xml:space="preserve">Prema tome, ukupno je za obnovu VSZ iz NPOO raspoloživa gotovo 1 milijarda </w:t>
      </w:r>
      <w:r w:rsidR="0063313B">
        <w:rPr>
          <w:rFonts w:ascii="Tahoma" w:hAnsi="Tahoma" w:cs="Tahoma"/>
          <w:sz w:val="20"/>
          <w:szCs w:val="20"/>
        </w:rPr>
        <w:t>kuna</w:t>
      </w:r>
      <w:r w:rsidRPr="00D80144">
        <w:rPr>
          <w:rFonts w:ascii="Tahoma" w:hAnsi="Tahoma" w:cs="Tahoma"/>
          <w:sz w:val="20"/>
          <w:szCs w:val="20"/>
        </w:rPr>
        <w:t xml:space="preserve">. Ipak, od toga se za aktivnosti predviđene ovim Programom sa sigurnošću može predvidjeti alokacija od </w:t>
      </w:r>
      <w:r w:rsidRPr="00D80144">
        <w:rPr>
          <w:rFonts w:ascii="Tahoma" w:hAnsi="Tahoma" w:cs="Tahoma"/>
          <w:b/>
          <w:bCs/>
          <w:sz w:val="20"/>
          <w:szCs w:val="20"/>
        </w:rPr>
        <w:t xml:space="preserve">472,5 milijuna </w:t>
      </w:r>
      <w:r w:rsidR="0063313B">
        <w:rPr>
          <w:rFonts w:ascii="Tahoma" w:hAnsi="Tahoma" w:cs="Tahoma"/>
          <w:b/>
          <w:bCs/>
          <w:sz w:val="20"/>
          <w:szCs w:val="20"/>
        </w:rPr>
        <w:t>kuna</w:t>
      </w:r>
      <w:r w:rsidRPr="00D80144">
        <w:rPr>
          <w:rFonts w:ascii="Tahoma" w:hAnsi="Tahoma" w:cs="Tahoma"/>
          <w:b/>
          <w:bCs/>
          <w:sz w:val="20"/>
          <w:szCs w:val="20"/>
        </w:rPr>
        <w:t xml:space="preserve"> (300 milijuna </w:t>
      </w:r>
      <w:r w:rsidR="0063313B">
        <w:rPr>
          <w:rFonts w:ascii="Tahoma" w:hAnsi="Tahoma" w:cs="Tahoma"/>
          <w:b/>
          <w:bCs/>
          <w:sz w:val="20"/>
          <w:szCs w:val="20"/>
        </w:rPr>
        <w:t>kuna</w:t>
      </w:r>
      <w:r w:rsidRPr="00D80144">
        <w:rPr>
          <w:rFonts w:ascii="Tahoma" w:hAnsi="Tahoma" w:cs="Tahoma"/>
          <w:b/>
          <w:bCs/>
          <w:sz w:val="20"/>
          <w:szCs w:val="20"/>
        </w:rPr>
        <w:t xml:space="preserve"> za neoštećene i 172,5 milijuna </w:t>
      </w:r>
      <w:r w:rsidR="0063313B">
        <w:rPr>
          <w:rFonts w:ascii="Tahoma" w:hAnsi="Tahoma" w:cs="Tahoma"/>
          <w:b/>
          <w:bCs/>
          <w:sz w:val="20"/>
          <w:szCs w:val="20"/>
        </w:rPr>
        <w:t>kuna</w:t>
      </w:r>
      <w:r w:rsidRPr="00D80144">
        <w:rPr>
          <w:rFonts w:ascii="Tahoma" w:hAnsi="Tahoma" w:cs="Tahoma"/>
          <w:b/>
          <w:bCs/>
          <w:sz w:val="20"/>
          <w:szCs w:val="20"/>
        </w:rPr>
        <w:t xml:space="preserve"> za oštećene VSZ).</w:t>
      </w:r>
      <w:r w:rsidRPr="00D80144">
        <w:rPr>
          <w:rFonts w:ascii="Tahoma" w:hAnsi="Tahoma" w:cs="Tahoma"/>
          <w:sz w:val="20"/>
          <w:szCs w:val="20"/>
        </w:rPr>
        <w:t xml:space="preserve"> </w:t>
      </w:r>
      <w:r w:rsidRPr="00D80144">
        <w:rPr>
          <w:rFonts w:ascii="Tahoma" w:hAnsi="Tahoma" w:cs="Tahoma"/>
          <w:sz w:val="20"/>
          <w:szCs w:val="20"/>
          <w:lang w:eastAsia="hr-HR"/>
        </w:rPr>
        <w:t xml:space="preserve">Taj će se iznos koristiti za utvrđivanje indikativnog financijskog plana za razdoblje 2022. do 2024., koje se prikazuje u sljedećem poglavlju. </w:t>
      </w:r>
    </w:p>
    <w:p w14:paraId="5B42389C" w14:textId="21558714" w:rsidR="00EB235D" w:rsidRPr="00B226F7" w:rsidRDefault="00C96E32" w:rsidP="000734EB">
      <w:pPr>
        <w:jc w:val="both"/>
        <w:rPr>
          <w:rFonts w:ascii="Tahoma" w:hAnsi="Tahoma" w:cs="Tahoma"/>
          <w:sz w:val="20"/>
          <w:szCs w:val="20"/>
          <w:lang w:eastAsia="hr-HR"/>
        </w:rPr>
      </w:pPr>
      <w:bookmarkStart w:id="207" w:name="_Hlk86417947"/>
      <w:r>
        <w:rPr>
          <w:rFonts w:ascii="Tahoma" w:hAnsi="Tahoma" w:cs="Tahoma"/>
          <w:sz w:val="20"/>
          <w:szCs w:val="20"/>
          <w:lang w:eastAsia="hr-HR"/>
        </w:rPr>
        <w:t>S</w:t>
      </w:r>
      <w:r w:rsidR="00B8008B">
        <w:rPr>
          <w:rFonts w:ascii="Tahoma" w:hAnsi="Tahoma" w:cs="Tahoma"/>
          <w:sz w:val="20"/>
          <w:szCs w:val="20"/>
          <w:lang w:eastAsia="hr-HR"/>
        </w:rPr>
        <w:t>redstava iz NPOO-a</w:t>
      </w:r>
      <w:r>
        <w:rPr>
          <w:rFonts w:ascii="Tahoma" w:hAnsi="Tahoma" w:cs="Tahoma"/>
          <w:sz w:val="20"/>
          <w:szCs w:val="20"/>
          <w:lang w:eastAsia="hr-HR"/>
        </w:rPr>
        <w:t xml:space="preserve"> dodjeljuju se prema načelu</w:t>
      </w:r>
      <w:r w:rsidR="00763E96">
        <w:rPr>
          <w:rFonts w:ascii="Tahoma" w:hAnsi="Tahoma" w:cs="Tahoma"/>
          <w:sz w:val="20"/>
          <w:szCs w:val="20"/>
          <w:lang w:eastAsia="hr-HR"/>
        </w:rPr>
        <w:t xml:space="preserve"> </w:t>
      </w:r>
      <w:r w:rsidR="00B226F7" w:rsidRPr="00B226F7">
        <w:rPr>
          <w:rFonts w:ascii="Tahoma" w:hAnsi="Tahoma" w:cs="Tahoma"/>
          <w:sz w:val="20"/>
          <w:szCs w:val="20"/>
          <w:lang w:eastAsia="hr-HR"/>
        </w:rPr>
        <w:t xml:space="preserve">“Ne nanosi značajnu štetu” (engl. </w:t>
      </w:r>
      <w:r w:rsidR="00B226F7" w:rsidRPr="00B226F7">
        <w:rPr>
          <w:rFonts w:ascii="Tahoma" w:hAnsi="Tahoma" w:cs="Tahoma"/>
          <w:i/>
          <w:iCs/>
          <w:sz w:val="20"/>
          <w:szCs w:val="20"/>
          <w:lang w:eastAsia="hr-HR"/>
        </w:rPr>
        <w:t xml:space="preserve">Do no </w:t>
      </w:r>
      <w:proofErr w:type="spellStart"/>
      <w:r w:rsidR="00B226F7" w:rsidRPr="00B226F7">
        <w:rPr>
          <w:rFonts w:ascii="Tahoma" w:hAnsi="Tahoma" w:cs="Tahoma"/>
          <w:i/>
          <w:iCs/>
          <w:sz w:val="20"/>
          <w:szCs w:val="20"/>
          <w:lang w:eastAsia="hr-HR"/>
        </w:rPr>
        <w:t>significant</w:t>
      </w:r>
      <w:proofErr w:type="spellEnd"/>
      <w:r w:rsidR="00B226F7" w:rsidRPr="00B226F7">
        <w:rPr>
          <w:rFonts w:ascii="Tahoma" w:hAnsi="Tahoma" w:cs="Tahoma"/>
          <w:i/>
          <w:iCs/>
          <w:sz w:val="20"/>
          <w:szCs w:val="20"/>
          <w:lang w:eastAsia="hr-HR"/>
        </w:rPr>
        <w:t xml:space="preserve"> </w:t>
      </w:r>
      <w:proofErr w:type="spellStart"/>
      <w:r w:rsidR="00B226F7" w:rsidRPr="00B226F7">
        <w:rPr>
          <w:rFonts w:ascii="Tahoma" w:hAnsi="Tahoma" w:cs="Tahoma"/>
          <w:i/>
          <w:iCs/>
          <w:sz w:val="20"/>
          <w:szCs w:val="20"/>
          <w:lang w:eastAsia="hr-HR"/>
        </w:rPr>
        <w:t>harm</w:t>
      </w:r>
      <w:proofErr w:type="spellEnd"/>
      <w:r w:rsidR="00B226F7">
        <w:rPr>
          <w:rFonts w:ascii="Tahoma" w:hAnsi="Tahoma" w:cs="Tahoma"/>
          <w:sz w:val="20"/>
          <w:szCs w:val="20"/>
          <w:lang w:eastAsia="hr-HR"/>
        </w:rPr>
        <w:t xml:space="preserve"> – DNSH)</w:t>
      </w:r>
      <w:r w:rsidR="009861F2">
        <w:rPr>
          <w:rFonts w:ascii="Tahoma" w:hAnsi="Tahoma" w:cs="Tahoma"/>
          <w:sz w:val="20"/>
          <w:szCs w:val="20"/>
          <w:lang w:eastAsia="hr-HR"/>
        </w:rPr>
        <w:t xml:space="preserve">, koje podrazumijeva da </w:t>
      </w:r>
      <w:r w:rsidR="00FF5C67">
        <w:rPr>
          <w:rFonts w:ascii="Tahoma" w:hAnsi="Tahoma" w:cs="Tahoma"/>
          <w:sz w:val="20"/>
          <w:szCs w:val="20"/>
          <w:lang w:eastAsia="hr-HR"/>
        </w:rPr>
        <w:t xml:space="preserve">investicije koje se sufinanciraju nemaju </w:t>
      </w:r>
      <w:r w:rsidR="000734EB">
        <w:rPr>
          <w:rFonts w:ascii="Tahoma" w:hAnsi="Tahoma" w:cs="Tahoma"/>
          <w:sz w:val="20"/>
          <w:szCs w:val="20"/>
          <w:lang w:eastAsia="hr-HR"/>
        </w:rPr>
        <w:t>značajan negativan utjecaj na u</w:t>
      </w:r>
      <w:r w:rsidR="000734EB" w:rsidRPr="000734EB">
        <w:rPr>
          <w:rFonts w:ascii="Tahoma" w:hAnsi="Tahoma" w:cs="Tahoma"/>
          <w:sz w:val="20"/>
          <w:szCs w:val="20"/>
          <w:lang w:eastAsia="hr-HR"/>
        </w:rPr>
        <w:t>blažavanje klimatskih promjena</w:t>
      </w:r>
      <w:r w:rsidR="000734EB">
        <w:rPr>
          <w:rFonts w:ascii="Tahoma" w:hAnsi="Tahoma" w:cs="Tahoma"/>
          <w:sz w:val="20"/>
          <w:szCs w:val="20"/>
          <w:lang w:eastAsia="hr-HR"/>
        </w:rPr>
        <w:t>, p</w:t>
      </w:r>
      <w:r w:rsidR="000734EB" w:rsidRPr="000734EB">
        <w:rPr>
          <w:rFonts w:ascii="Tahoma" w:hAnsi="Tahoma" w:cs="Tahoma"/>
          <w:sz w:val="20"/>
          <w:szCs w:val="20"/>
          <w:lang w:eastAsia="hr-HR"/>
        </w:rPr>
        <w:t>rilagođavanje klimatskim promjenama</w:t>
      </w:r>
      <w:r w:rsidR="000734EB">
        <w:rPr>
          <w:rFonts w:ascii="Tahoma" w:hAnsi="Tahoma" w:cs="Tahoma"/>
          <w:sz w:val="20"/>
          <w:szCs w:val="20"/>
          <w:lang w:eastAsia="hr-HR"/>
        </w:rPr>
        <w:t>, o</w:t>
      </w:r>
      <w:r w:rsidR="000734EB" w:rsidRPr="000734EB">
        <w:rPr>
          <w:rFonts w:ascii="Tahoma" w:hAnsi="Tahoma" w:cs="Tahoma"/>
          <w:sz w:val="20"/>
          <w:szCs w:val="20"/>
          <w:lang w:eastAsia="hr-HR"/>
        </w:rPr>
        <w:t>drživ</w:t>
      </w:r>
      <w:r w:rsidR="000734EB">
        <w:rPr>
          <w:rFonts w:ascii="Tahoma" w:hAnsi="Tahoma" w:cs="Tahoma"/>
          <w:sz w:val="20"/>
          <w:szCs w:val="20"/>
          <w:lang w:eastAsia="hr-HR"/>
        </w:rPr>
        <w:t>e</w:t>
      </w:r>
      <w:r w:rsidR="000734EB" w:rsidRPr="000734EB">
        <w:rPr>
          <w:rFonts w:ascii="Tahoma" w:hAnsi="Tahoma" w:cs="Tahoma"/>
          <w:sz w:val="20"/>
          <w:szCs w:val="20"/>
          <w:lang w:eastAsia="hr-HR"/>
        </w:rPr>
        <w:t xml:space="preserve"> uporab</w:t>
      </w:r>
      <w:r w:rsidR="000734EB">
        <w:rPr>
          <w:rFonts w:ascii="Tahoma" w:hAnsi="Tahoma" w:cs="Tahoma"/>
          <w:sz w:val="20"/>
          <w:szCs w:val="20"/>
          <w:lang w:eastAsia="hr-HR"/>
        </w:rPr>
        <w:t>u</w:t>
      </w:r>
      <w:r w:rsidR="000734EB" w:rsidRPr="000734EB">
        <w:rPr>
          <w:rFonts w:ascii="Tahoma" w:hAnsi="Tahoma" w:cs="Tahoma"/>
          <w:sz w:val="20"/>
          <w:szCs w:val="20"/>
          <w:lang w:eastAsia="hr-HR"/>
        </w:rPr>
        <w:t xml:space="preserve"> i zaštit</w:t>
      </w:r>
      <w:r w:rsidR="000734EB">
        <w:rPr>
          <w:rFonts w:ascii="Tahoma" w:hAnsi="Tahoma" w:cs="Tahoma"/>
          <w:sz w:val="20"/>
          <w:szCs w:val="20"/>
          <w:lang w:eastAsia="hr-HR"/>
        </w:rPr>
        <w:t>u</w:t>
      </w:r>
      <w:r w:rsidR="000734EB" w:rsidRPr="000734EB">
        <w:rPr>
          <w:rFonts w:ascii="Tahoma" w:hAnsi="Tahoma" w:cs="Tahoma"/>
          <w:sz w:val="20"/>
          <w:szCs w:val="20"/>
          <w:lang w:eastAsia="hr-HR"/>
        </w:rPr>
        <w:t xml:space="preserve"> voda i morskih resursa</w:t>
      </w:r>
      <w:r w:rsidR="000734EB">
        <w:rPr>
          <w:rFonts w:ascii="Tahoma" w:hAnsi="Tahoma" w:cs="Tahoma"/>
          <w:sz w:val="20"/>
          <w:szCs w:val="20"/>
          <w:lang w:eastAsia="hr-HR"/>
        </w:rPr>
        <w:t>, k</w:t>
      </w:r>
      <w:r w:rsidR="000734EB" w:rsidRPr="000734EB">
        <w:rPr>
          <w:rFonts w:ascii="Tahoma" w:hAnsi="Tahoma" w:cs="Tahoma"/>
          <w:sz w:val="20"/>
          <w:szCs w:val="20"/>
          <w:lang w:eastAsia="hr-HR"/>
        </w:rPr>
        <w:t>ružno gospodarstvo, uključujući prevenciju otpada i recikliranje</w:t>
      </w:r>
      <w:r w:rsidR="000734EB">
        <w:rPr>
          <w:rFonts w:ascii="Tahoma" w:hAnsi="Tahoma" w:cs="Tahoma"/>
          <w:sz w:val="20"/>
          <w:szCs w:val="20"/>
          <w:lang w:eastAsia="hr-HR"/>
        </w:rPr>
        <w:t>, p</w:t>
      </w:r>
      <w:r w:rsidR="000734EB" w:rsidRPr="000734EB">
        <w:rPr>
          <w:rFonts w:ascii="Tahoma" w:hAnsi="Tahoma" w:cs="Tahoma"/>
          <w:sz w:val="20"/>
          <w:szCs w:val="20"/>
          <w:lang w:eastAsia="hr-HR"/>
        </w:rPr>
        <w:t>revencij</w:t>
      </w:r>
      <w:r w:rsidR="000734EB">
        <w:rPr>
          <w:rFonts w:ascii="Tahoma" w:hAnsi="Tahoma" w:cs="Tahoma"/>
          <w:sz w:val="20"/>
          <w:szCs w:val="20"/>
          <w:lang w:eastAsia="hr-HR"/>
        </w:rPr>
        <w:t>u</w:t>
      </w:r>
      <w:r w:rsidR="000734EB" w:rsidRPr="000734EB">
        <w:rPr>
          <w:rFonts w:ascii="Tahoma" w:hAnsi="Tahoma" w:cs="Tahoma"/>
          <w:sz w:val="20"/>
          <w:szCs w:val="20"/>
          <w:lang w:eastAsia="hr-HR"/>
        </w:rPr>
        <w:t xml:space="preserve"> onečišćenja i kontrola  zraka, vode ili tla</w:t>
      </w:r>
      <w:r w:rsidR="000734EB">
        <w:rPr>
          <w:rFonts w:ascii="Tahoma" w:hAnsi="Tahoma" w:cs="Tahoma"/>
          <w:sz w:val="20"/>
          <w:szCs w:val="20"/>
          <w:lang w:eastAsia="hr-HR"/>
        </w:rPr>
        <w:t xml:space="preserve"> te z</w:t>
      </w:r>
      <w:r w:rsidR="000734EB" w:rsidRPr="000734EB">
        <w:rPr>
          <w:rFonts w:ascii="Tahoma" w:hAnsi="Tahoma" w:cs="Tahoma"/>
          <w:sz w:val="20"/>
          <w:szCs w:val="20"/>
          <w:lang w:eastAsia="hr-HR"/>
        </w:rPr>
        <w:t>aštit</w:t>
      </w:r>
      <w:r w:rsidR="000734EB">
        <w:rPr>
          <w:rFonts w:ascii="Tahoma" w:hAnsi="Tahoma" w:cs="Tahoma"/>
          <w:sz w:val="20"/>
          <w:szCs w:val="20"/>
          <w:lang w:eastAsia="hr-HR"/>
        </w:rPr>
        <w:t>u</w:t>
      </w:r>
      <w:r w:rsidR="000734EB" w:rsidRPr="000734EB">
        <w:rPr>
          <w:rFonts w:ascii="Tahoma" w:hAnsi="Tahoma" w:cs="Tahoma"/>
          <w:sz w:val="20"/>
          <w:szCs w:val="20"/>
          <w:lang w:eastAsia="hr-HR"/>
        </w:rPr>
        <w:t xml:space="preserve"> i obnov</w:t>
      </w:r>
      <w:r w:rsidR="000734EB">
        <w:rPr>
          <w:rFonts w:ascii="Tahoma" w:hAnsi="Tahoma" w:cs="Tahoma"/>
          <w:sz w:val="20"/>
          <w:szCs w:val="20"/>
          <w:lang w:eastAsia="hr-HR"/>
        </w:rPr>
        <w:t>u</w:t>
      </w:r>
      <w:r w:rsidR="000734EB" w:rsidRPr="000734EB">
        <w:rPr>
          <w:rFonts w:ascii="Tahoma" w:hAnsi="Tahoma" w:cs="Tahoma"/>
          <w:sz w:val="20"/>
          <w:szCs w:val="20"/>
          <w:lang w:eastAsia="hr-HR"/>
        </w:rPr>
        <w:t xml:space="preserve"> biološke raznolikosti i ekosustava</w:t>
      </w:r>
      <w:r w:rsidR="000734EB">
        <w:rPr>
          <w:rFonts w:ascii="Tahoma" w:hAnsi="Tahoma" w:cs="Tahoma"/>
          <w:sz w:val="20"/>
          <w:szCs w:val="20"/>
          <w:lang w:eastAsia="hr-HR"/>
        </w:rPr>
        <w:t xml:space="preserve">. </w:t>
      </w:r>
      <w:r w:rsidR="00294816">
        <w:rPr>
          <w:rFonts w:ascii="Tahoma" w:hAnsi="Tahoma" w:cs="Tahoma"/>
          <w:sz w:val="20"/>
          <w:szCs w:val="20"/>
          <w:lang w:eastAsia="hr-HR"/>
        </w:rPr>
        <w:t xml:space="preserve">O zadovoljavanju </w:t>
      </w:r>
      <w:r w:rsidR="003E1388">
        <w:rPr>
          <w:rFonts w:ascii="Tahoma" w:hAnsi="Tahoma" w:cs="Tahoma"/>
          <w:sz w:val="20"/>
          <w:szCs w:val="20"/>
          <w:lang w:eastAsia="hr-HR"/>
        </w:rPr>
        <w:t>DNSH načela vodit će se računa u svim javnim pozivima i drugim mehanizmima za provedbu ovoga</w:t>
      </w:r>
      <w:r w:rsidR="00F45D61">
        <w:rPr>
          <w:rFonts w:ascii="Tahoma" w:hAnsi="Tahoma" w:cs="Tahoma"/>
          <w:sz w:val="20"/>
          <w:szCs w:val="20"/>
          <w:lang w:eastAsia="hr-HR"/>
        </w:rPr>
        <w:t xml:space="preserve"> programa. </w:t>
      </w:r>
      <w:r w:rsidR="00763E96">
        <w:rPr>
          <w:rFonts w:ascii="Tahoma" w:hAnsi="Tahoma" w:cs="Tahoma"/>
          <w:sz w:val="20"/>
          <w:szCs w:val="20"/>
          <w:lang w:eastAsia="hr-HR"/>
        </w:rPr>
        <w:t xml:space="preserve"> </w:t>
      </w:r>
    </w:p>
    <w:bookmarkEnd w:id="207"/>
    <w:p w14:paraId="5EC912AD" w14:textId="1608BDF4" w:rsidR="004949CA" w:rsidRPr="00D80144" w:rsidRDefault="004949CA" w:rsidP="00D80144">
      <w:pPr>
        <w:jc w:val="both"/>
        <w:rPr>
          <w:rFonts w:ascii="Tahoma" w:hAnsi="Tahoma" w:cs="Tahoma"/>
          <w:sz w:val="20"/>
          <w:szCs w:val="20"/>
          <w:lang w:eastAsia="hr-HR"/>
        </w:rPr>
      </w:pPr>
      <w:r w:rsidRPr="00D80144">
        <w:rPr>
          <w:rFonts w:ascii="Tahoma" w:hAnsi="Tahoma" w:cs="Tahoma"/>
          <w:b/>
          <w:bCs/>
          <w:sz w:val="20"/>
          <w:szCs w:val="20"/>
          <w:lang w:eastAsia="hr-HR"/>
        </w:rPr>
        <w:t>Što se tiče sredstava iz ESI fondova za novo programsko razdoblje, nije moguće utvrditi kolika će biti raspoloživa sredstva, jer OPKK za razdoblje od 2021. do 2027. godine u trenutku izrade ovoga Programa nije usvojen.</w:t>
      </w:r>
      <w:r w:rsidRPr="00D80144">
        <w:rPr>
          <w:rFonts w:ascii="Tahoma" w:hAnsi="Tahoma" w:cs="Tahoma"/>
          <w:sz w:val="20"/>
          <w:szCs w:val="20"/>
          <w:lang w:eastAsia="hr-HR"/>
        </w:rPr>
        <w:t xml:space="preserve"> Preliminarno se predviđaju sredstva od 20 milijuna €, koja će se utrošiti kr</w:t>
      </w:r>
      <w:r w:rsidR="005315C7">
        <w:rPr>
          <w:rFonts w:ascii="Tahoma" w:hAnsi="Tahoma" w:cs="Tahoma"/>
          <w:sz w:val="20"/>
          <w:szCs w:val="20"/>
          <w:lang w:eastAsia="hr-HR"/>
        </w:rPr>
        <w:t>o</w:t>
      </w:r>
      <w:r w:rsidRPr="00D80144">
        <w:rPr>
          <w:rFonts w:ascii="Tahoma" w:hAnsi="Tahoma" w:cs="Tahoma"/>
          <w:sz w:val="20"/>
          <w:szCs w:val="20"/>
          <w:lang w:eastAsia="hr-HR"/>
        </w:rPr>
        <w:t xml:space="preserve">z financijski instrument.  </w:t>
      </w:r>
    </w:p>
    <w:p w14:paraId="62DE6810" w14:textId="77777777" w:rsidR="004949CA" w:rsidRPr="00D80144" w:rsidRDefault="004949CA" w:rsidP="00D80144">
      <w:pPr>
        <w:jc w:val="both"/>
        <w:rPr>
          <w:rFonts w:ascii="Tahoma" w:hAnsi="Tahoma" w:cs="Tahoma"/>
          <w:sz w:val="20"/>
          <w:szCs w:val="20"/>
          <w:lang w:eastAsia="hr-HR"/>
        </w:rPr>
      </w:pPr>
      <w:r w:rsidRPr="00D80144">
        <w:rPr>
          <w:rFonts w:ascii="Tahoma" w:hAnsi="Tahoma" w:cs="Tahoma"/>
          <w:sz w:val="20"/>
          <w:szCs w:val="20"/>
          <w:lang w:eastAsia="hr-HR"/>
        </w:rPr>
        <w:t xml:space="preserve">Što se ESCO modela za VSZ tiče, potrebno je istaknuti da je on omogućen i uređen kroz Zakon o energetskoj učinkovitosti, no ipak se do sada razvoj tog modela za VSZ nije dogodio. Ovo i jest očekivano, jer se ESCO model odnosno ugovaranje po ostvarenom energetskom učinku treba temeljiti na stvarno ostvarenim uštedama, što je na razini VSZ teško postići, zbog suvlasničkih odnosa i nepostojanja zajedničkog mjerenja potrošnje energije na razini zgrade. Zato se, barem u prvom trogodišnjem razdoblju, ne predlaže razvijanje provedbenog modela temeljenog na ovim načelima. No, ono što je svakako potrebno jest uvođenje praćenja potrošnje energije i prikupljanje podataka u ISGE-u za obnovljene VSZ, čime bi se stekao bolji uvid u potrošnju te bi se novi modeli mogli temeljiti na saznanjima koja će proizaći iz boljeg poznavanja 'ponašanja' VSZ prije i nakon obnove.    </w:t>
      </w:r>
    </w:p>
    <w:p w14:paraId="094B1943" w14:textId="77777777" w:rsidR="004949CA" w:rsidRPr="00D80144" w:rsidRDefault="004949CA" w:rsidP="00D80144">
      <w:pPr>
        <w:jc w:val="both"/>
        <w:rPr>
          <w:rFonts w:ascii="Tahoma" w:hAnsi="Tahoma" w:cs="Tahoma"/>
          <w:sz w:val="20"/>
          <w:szCs w:val="20"/>
        </w:rPr>
      </w:pPr>
      <w:r w:rsidRPr="3A2FA2E0">
        <w:rPr>
          <w:rFonts w:ascii="Tahoma" w:hAnsi="Tahoma" w:cs="Tahoma"/>
          <w:sz w:val="20"/>
          <w:szCs w:val="20"/>
          <w:lang w:eastAsia="hr-HR"/>
        </w:rPr>
        <w:t xml:space="preserve">S obzirom da VSZ u pravilu zatvaraju financijsku konstrukciju kreditima komercijalnih banaka, svakako je potrebno raditi na uspostavi modela suradnje s komercijalnim bankama, kojima će se omogućiti kombiniranje javnih i komercijalnih sredstava, kako bi se osigurala dostatna sredstva. </w:t>
      </w:r>
      <w:r w:rsidRPr="3A2FA2E0">
        <w:rPr>
          <w:rFonts w:ascii="Tahoma" w:hAnsi="Tahoma" w:cs="Tahoma"/>
          <w:sz w:val="20"/>
          <w:szCs w:val="20"/>
        </w:rPr>
        <w:t>U ove aktivnosti treba svakako treba uključiti i HBOR.</w:t>
      </w:r>
    </w:p>
    <w:p w14:paraId="2114E4F3" w14:textId="22B7D0EC" w:rsidR="004949CA" w:rsidRPr="00D80144" w:rsidRDefault="4EEA0DB0" w:rsidP="0049413C">
      <w:pPr>
        <w:spacing w:before="60"/>
        <w:jc w:val="both"/>
        <w:rPr>
          <w:rFonts w:ascii="Tahoma" w:hAnsi="Tahoma" w:cs="Tahoma"/>
          <w:sz w:val="20"/>
          <w:szCs w:val="20"/>
        </w:rPr>
      </w:pPr>
      <w:r w:rsidRPr="3A2FA2E0">
        <w:rPr>
          <w:rFonts w:ascii="Tahoma" w:hAnsi="Tahoma" w:cs="Tahoma"/>
          <w:sz w:val="20"/>
          <w:szCs w:val="20"/>
        </w:rPr>
        <w:t>S</w:t>
      </w:r>
      <w:r w:rsidRPr="0049413C">
        <w:rPr>
          <w:rFonts w:ascii="Tahoma" w:hAnsi="Tahoma" w:cs="Tahoma"/>
          <w:sz w:val="20"/>
          <w:szCs w:val="20"/>
        </w:rPr>
        <w:t>manjenje emisije stakleničkih plinova na najmanje 55% usvojeno u tzv. Europskom zakonu o klimi (Uredba (EU) 2021/1119 Europskog parlamenta i Vijeća od 30. lipnja 2021. o uspostavi okvira za postizanje klimatske neutralnosti i o izmjeni Uredbi (EZ) br. 401/2009 i (EU) 2018/1999 („Europski zakon o klimi”), čime je navedeni cilj postao pravno obvezujući za sve države članice te je slijedom toga predložen novi zakonodavni paket „Spremni za 55“</w:t>
      </w:r>
      <w:r w:rsidR="0C3F4C7D" w:rsidRPr="3A2FA2E0">
        <w:rPr>
          <w:rFonts w:ascii="Tahoma" w:hAnsi="Tahoma" w:cs="Tahoma"/>
          <w:sz w:val="20"/>
          <w:szCs w:val="20"/>
        </w:rPr>
        <w:t xml:space="preserve"> kojim se EU </w:t>
      </w:r>
      <w:r w:rsidR="3B29BE1D" w:rsidRPr="3A2FA2E0">
        <w:rPr>
          <w:rFonts w:ascii="Tahoma" w:hAnsi="Tahoma" w:cs="Tahoma"/>
          <w:sz w:val="20"/>
          <w:szCs w:val="20"/>
        </w:rPr>
        <w:t>približava</w:t>
      </w:r>
      <w:r w:rsidR="0C3F4C7D" w:rsidRPr="3A2FA2E0">
        <w:rPr>
          <w:rFonts w:ascii="Tahoma" w:hAnsi="Tahoma" w:cs="Tahoma"/>
          <w:sz w:val="20"/>
          <w:szCs w:val="20"/>
        </w:rPr>
        <w:t xml:space="preserve"> ciljevima iz Europskog zelenog plana, odnosno ostvarivanju klimatske neutralnosti do 2050.</w:t>
      </w:r>
      <w:r w:rsidR="4D1B561A" w:rsidRPr="3A2FA2E0">
        <w:rPr>
          <w:rFonts w:ascii="Tahoma" w:hAnsi="Tahoma" w:cs="Tahoma"/>
          <w:sz w:val="20"/>
          <w:szCs w:val="20"/>
        </w:rPr>
        <w:t xml:space="preserve"> </w:t>
      </w:r>
      <w:r w:rsidR="0C3F4C7D" w:rsidRPr="3A2FA2E0">
        <w:rPr>
          <w:rFonts w:ascii="Tahoma" w:hAnsi="Tahoma" w:cs="Tahoma"/>
          <w:sz w:val="20"/>
          <w:szCs w:val="20"/>
        </w:rPr>
        <w:t>g</w:t>
      </w:r>
      <w:r w:rsidR="4D1B561A" w:rsidRPr="3A2FA2E0">
        <w:rPr>
          <w:rFonts w:ascii="Tahoma" w:hAnsi="Tahoma" w:cs="Tahoma"/>
          <w:sz w:val="20"/>
          <w:szCs w:val="20"/>
        </w:rPr>
        <w:t>odine</w:t>
      </w:r>
      <w:r w:rsidR="0C3F4C7D" w:rsidRPr="3A2FA2E0">
        <w:rPr>
          <w:rFonts w:ascii="Tahoma" w:hAnsi="Tahoma" w:cs="Tahoma"/>
          <w:sz w:val="20"/>
          <w:szCs w:val="20"/>
        </w:rPr>
        <w:t xml:space="preserve"> uključujući prijelazni cilj do 2030.</w:t>
      </w:r>
      <w:r w:rsidR="4D1B561A" w:rsidRPr="3A2FA2E0">
        <w:rPr>
          <w:rFonts w:ascii="Tahoma" w:hAnsi="Tahoma" w:cs="Tahoma"/>
          <w:sz w:val="20"/>
          <w:szCs w:val="20"/>
        </w:rPr>
        <w:t xml:space="preserve"> </w:t>
      </w:r>
      <w:r w:rsidR="0C3F4C7D" w:rsidRPr="3A2FA2E0">
        <w:rPr>
          <w:rFonts w:ascii="Tahoma" w:hAnsi="Tahoma" w:cs="Tahoma"/>
          <w:sz w:val="20"/>
          <w:szCs w:val="20"/>
        </w:rPr>
        <w:t>g</w:t>
      </w:r>
      <w:r w:rsidR="4D1B561A" w:rsidRPr="3A2FA2E0">
        <w:rPr>
          <w:rFonts w:ascii="Tahoma" w:hAnsi="Tahoma" w:cs="Tahoma"/>
          <w:sz w:val="20"/>
          <w:szCs w:val="20"/>
        </w:rPr>
        <w:t>odine</w:t>
      </w:r>
      <w:r w:rsidR="0C3F4C7D" w:rsidRPr="3A2FA2E0">
        <w:rPr>
          <w:rFonts w:ascii="Tahoma" w:hAnsi="Tahoma" w:cs="Tahoma"/>
          <w:sz w:val="20"/>
          <w:szCs w:val="20"/>
        </w:rPr>
        <w:t xml:space="preserve"> u smanjenju </w:t>
      </w:r>
      <w:r w:rsidR="3705AACA" w:rsidRPr="3A2FA2E0">
        <w:rPr>
          <w:rFonts w:ascii="Tahoma" w:hAnsi="Tahoma" w:cs="Tahoma"/>
          <w:sz w:val="20"/>
          <w:szCs w:val="20"/>
        </w:rPr>
        <w:t xml:space="preserve">stakleničkih plinova </w:t>
      </w:r>
      <w:r w:rsidR="0C3F4C7D" w:rsidRPr="3A2FA2E0">
        <w:rPr>
          <w:rFonts w:ascii="Tahoma" w:hAnsi="Tahoma" w:cs="Tahoma"/>
          <w:sz w:val="20"/>
          <w:szCs w:val="20"/>
        </w:rPr>
        <w:t>za 55% u odnosu na 1990.</w:t>
      </w:r>
      <w:r w:rsidR="4D1B561A" w:rsidRPr="3A2FA2E0">
        <w:rPr>
          <w:rFonts w:ascii="Tahoma" w:hAnsi="Tahoma" w:cs="Tahoma"/>
          <w:sz w:val="20"/>
          <w:szCs w:val="20"/>
        </w:rPr>
        <w:t xml:space="preserve"> </w:t>
      </w:r>
      <w:r w:rsidR="1842FCDD" w:rsidRPr="3A2FA2E0">
        <w:rPr>
          <w:rFonts w:ascii="Tahoma" w:hAnsi="Tahoma" w:cs="Tahoma"/>
          <w:sz w:val="20"/>
          <w:szCs w:val="20"/>
        </w:rPr>
        <w:t>G</w:t>
      </w:r>
      <w:r w:rsidR="4D1B561A" w:rsidRPr="3A2FA2E0">
        <w:rPr>
          <w:rFonts w:ascii="Tahoma" w:hAnsi="Tahoma" w:cs="Tahoma"/>
          <w:sz w:val="20"/>
          <w:szCs w:val="20"/>
        </w:rPr>
        <w:t>odinu</w:t>
      </w:r>
      <w:r w:rsidR="7BF16B6A" w:rsidRPr="3A2FA2E0">
        <w:rPr>
          <w:rFonts w:ascii="Tahoma" w:hAnsi="Tahoma" w:cs="Tahoma"/>
          <w:sz w:val="20"/>
          <w:szCs w:val="20"/>
        </w:rPr>
        <w:t xml:space="preserve">. </w:t>
      </w:r>
      <w:r w:rsidR="4BD5E516" w:rsidRPr="3A2FA2E0">
        <w:rPr>
          <w:rFonts w:ascii="Tahoma" w:hAnsi="Tahoma" w:cs="Tahoma"/>
          <w:sz w:val="20"/>
          <w:szCs w:val="20"/>
        </w:rPr>
        <w:t>Navedenim z</w:t>
      </w:r>
      <w:r w:rsidR="7BF16B6A" w:rsidRPr="3A2FA2E0">
        <w:rPr>
          <w:rFonts w:ascii="Tahoma" w:hAnsi="Tahoma" w:cs="Tahoma"/>
          <w:sz w:val="20"/>
          <w:szCs w:val="20"/>
        </w:rPr>
        <w:t xml:space="preserve">akonodavnim paketom </w:t>
      </w:r>
      <w:r w:rsidR="0C3F4C7D" w:rsidRPr="3A2FA2E0">
        <w:rPr>
          <w:rFonts w:ascii="Tahoma" w:hAnsi="Tahoma" w:cs="Tahoma"/>
          <w:sz w:val="20"/>
          <w:szCs w:val="20"/>
        </w:rPr>
        <w:t>dan je</w:t>
      </w:r>
      <w:r w:rsidR="0C3F4C7D" w:rsidRPr="3A2FA2E0">
        <w:rPr>
          <w:rFonts w:ascii="Tahoma" w:hAnsi="Tahoma" w:cs="Tahoma"/>
          <w:b/>
          <w:bCs/>
          <w:sz w:val="20"/>
          <w:szCs w:val="20"/>
        </w:rPr>
        <w:t xml:space="preserve"> prijedlog za osnivanje Socijalnog fonda</w:t>
      </w:r>
      <w:r w:rsidR="19D717D1" w:rsidRPr="3A2FA2E0">
        <w:rPr>
          <w:rFonts w:ascii="Tahoma" w:hAnsi="Tahoma" w:cs="Tahoma"/>
          <w:b/>
          <w:bCs/>
          <w:sz w:val="20"/>
          <w:szCs w:val="20"/>
        </w:rPr>
        <w:t xml:space="preserve"> </w:t>
      </w:r>
      <w:r w:rsidR="0A3228F5" w:rsidRPr="3A2FA2E0">
        <w:rPr>
          <w:rFonts w:ascii="Tahoma" w:hAnsi="Tahoma" w:cs="Tahoma"/>
          <w:b/>
          <w:bCs/>
          <w:sz w:val="20"/>
          <w:szCs w:val="20"/>
        </w:rPr>
        <w:t xml:space="preserve">za klimatsku politiku </w:t>
      </w:r>
      <w:r w:rsidR="19D717D1" w:rsidRPr="3A2FA2E0">
        <w:rPr>
          <w:rFonts w:ascii="Tahoma" w:hAnsi="Tahoma" w:cs="Tahoma"/>
          <w:sz w:val="20"/>
          <w:szCs w:val="20"/>
        </w:rPr>
        <w:t>(SK fond)</w:t>
      </w:r>
      <w:r w:rsidR="0C3F4C7D" w:rsidRPr="3A2FA2E0">
        <w:rPr>
          <w:rFonts w:ascii="Tahoma" w:hAnsi="Tahoma" w:cs="Tahoma"/>
          <w:sz w:val="20"/>
          <w:szCs w:val="20"/>
        </w:rPr>
        <w:t xml:space="preserve"> sa svrhom </w:t>
      </w:r>
      <w:r w:rsidR="4EE09CBB" w:rsidRPr="3A2FA2E0">
        <w:rPr>
          <w:rFonts w:ascii="Tahoma" w:hAnsi="Tahoma" w:cs="Tahoma"/>
          <w:sz w:val="20"/>
          <w:szCs w:val="20"/>
        </w:rPr>
        <w:t xml:space="preserve">ublažavanja </w:t>
      </w:r>
      <w:r w:rsidR="0C3F4C7D" w:rsidRPr="3A2FA2E0">
        <w:rPr>
          <w:rFonts w:ascii="Tahoma" w:hAnsi="Tahoma" w:cs="Tahoma"/>
          <w:sz w:val="20"/>
          <w:szCs w:val="20"/>
        </w:rPr>
        <w:t xml:space="preserve">utjecaja na ranjive društvene skupine (kućanstva, mikro poduzeća i korisnike cestovnog prijevoza), </w:t>
      </w:r>
      <w:proofErr w:type="spellStart"/>
      <w:r w:rsidR="0C3F4C7D" w:rsidRPr="3A2FA2E0">
        <w:rPr>
          <w:rFonts w:ascii="Tahoma" w:hAnsi="Tahoma" w:cs="Tahoma"/>
          <w:sz w:val="20"/>
          <w:szCs w:val="20"/>
        </w:rPr>
        <w:t>usljed</w:t>
      </w:r>
      <w:proofErr w:type="spellEnd"/>
      <w:r w:rsidR="0C3F4C7D" w:rsidRPr="3A2FA2E0">
        <w:rPr>
          <w:rFonts w:ascii="Tahoma" w:hAnsi="Tahoma" w:cs="Tahoma"/>
          <w:sz w:val="20"/>
          <w:szCs w:val="20"/>
        </w:rPr>
        <w:t xml:space="preserve"> uključivanja zgradarstva i cestovnog prijevoza u sustav trgovanja emisijskim jedinicama. SK </w:t>
      </w:r>
      <w:r w:rsidR="19D717D1" w:rsidRPr="3A2FA2E0">
        <w:rPr>
          <w:rFonts w:ascii="Tahoma" w:hAnsi="Tahoma" w:cs="Tahoma"/>
          <w:sz w:val="20"/>
          <w:szCs w:val="20"/>
        </w:rPr>
        <w:t>fondom</w:t>
      </w:r>
      <w:r w:rsidR="0C3F4C7D" w:rsidRPr="3A2FA2E0">
        <w:rPr>
          <w:rFonts w:ascii="Tahoma" w:hAnsi="Tahoma" w:cs="Tahoma"/>
          <w:sz w:val="20"/>
          <w:szCs w:val="20"/>
        </w:rPr>
        <w:t xml:space="preserve"> bi se osiguralo zemljama članicama financiranje troškova privremenih potpora i mjera i investicija koje imaju za cilj smanjivanje ovisnosti o fosilnim gorivima kroz povećanje energetske učinkovitosti zgrada, </w:t>
      </w:r>
      <w:proofErr w:type="spellStart"/>
      <w:r w:rsidR="0C3F4C7D" w:rsidRPr="3A2FA2E0">
        <w:rPr>
          <w:rFonts w:ascii="Tahoma" w:hAnsi="Tahoma" w:cs="Tahoma"/>
          <w:sz w:val="20"/>
          <w:szCs w:val="20"/>
        </w:rPr>
        <w:t>dekarbonizaciju</w:t>
      </w:r>
      <w:proofErr w:type="spellEnd"/>
      <w:r w:rsidR="0C3F4C7D" w:rsidRPr="3A2FA2E0">
        <w:rPr>
          <w:rFonts w:ascii="Tahoma" w:hAnsi="Tahoma" w:cs="Tahoma"/>
          <w:sz w:val="20"/>
          <w:szCs w:val="20"/>
        </w:rPr>
        <w:t xml:space="preserve"> hlađenja i grijanja zgrada, uključujući integriranje energije iz obnovljivih izvora i davanja za poboljšanje dostupnosti nulte i nisko emisijske mobilnosti i transporta.</w:t>
      </w:r>
    </w:p>
    <w:p w14:paraId="39A00E4D" w14:textId="4AE82AC1" w:rsidR="004949CA" w:rsidRPr="00D80144" w:rsidRDefault="004949CA" w:rsidP="00D80144">
      <w:pPr>
        <w:spacing w:before="60"/>
        <w:jc w:val="both"/>
        <w:rPr>
          <w:rFonts w:ascii="Tahoma" w:hAnsi="Tahoma" w:cs="Tahoma"/>
          <w:noProof/>
          <w:sz w:val="20"/>
          <w:szCs w:val="20"/>
        </w:rPr>
      </w:pPr>
      <w:r w:rsidRPr="00D80144">
        <w:rPr>
          <w:rFonts w:ascii="Tahoma" w:hAnsi="Tahoma" w:cs="Tahoma"/>
          <w:sz w:val="20"/>
          <w:szCs w:val="20"/>
        </w:rPr>
        <w:t xml:space="preserve">Uredba o osnivanju </w:t>
      </w:r>
      <w:r w:rsidR="00F5170A">
        <w:rPr>
          <w:rFonts w:ascii="Tahoma" w:hAnsi="Tahoma" w:cs="Tahoma"/>
          <w:sz w:val="20"/>
          <w:szCs w:val="20"/>
        </w:rPr>
        <w:t xml:space="preserve">SK </w:t>
      </w:r>
      <w:r w:rsidR="00E302E1">
        <w:rPr>
          <w:rFonts w:ascii="Tahoma" w:hAnsi="Tahoma" w:cs="Tahoma"/>
          <w:sz w:val="20"/>
          <w:szCs w:val="20"/>
        </w:rPr>
        <w:t>f</w:t>
      </w:r>
      <w:r w:rsidR="00E302E1" w:rsidRPr="00D80144">
        <w:rPr>
          <w:rFonts w:ascii="Tahoma" w:hAnsi="Tahoma" w:cs="Tahoma"/>
          <w:sz w:val="20"/>
          <w:szCs w:val="20"/>
        </w:rPr>
        <w:t xml:space="preserve">onda </w:t>
      </w:r>
      <w:r w:rsidRPr="00D80144">
        <w:rPr>
          <w:rFonts w:ascii="Tahoma" w:hAnsi="Tahoma" w:cs="Tahoma"/>
          <w:sz w:val="20"/>
          <w:szCs w:val="20"/>
        </w:rPr>
        <w:t>započ</w:t>
      </w:r>
      <w:r w:rsidR="00F5170A">
        <w:rPr>
          <w:rFonts w:ascii="Tahoma" w:hAnsi="Tahoma" w:cs="Tahoma"/>
          <w:sz w:val="20"/>
          <w:szCs w:val="20"/>
        </w:rPr>
        <w:t>et će se</w:t>
      </w:r>
      <w:r w:rsidRPr="00D80144">
        <w:rPr>
          <w:rFonts w:ascii="Tahoma" w:hAnsi="Tahoma" w:cs="Tahoma"/>
          <w:sz w:val="20"/>
          <w:szCs w:val="20"/>
        </w:rPr>
        <w:t xml:space="preserve"> primjenjivati od 30. lipnja 2024.g., što je također i rok do kada će države članice trebati službeno podnijeti Komisiji </w:t>
      </w:r>
      <w:r w:rsidR="001B7672" w:rsidRPr="00D80144">
        <w:rPr>
          <w:rFonts w:ascii="Tahoma" w:hAnsi="Tahoma" w:cs="Tahoma"/>
          <w:sz w:val="20"/>
          <w:szCs w:val="20"/>
        </w:rPr>
        <w:t>Socijaln</w:t>
      </w:r>
      <w:r w:rsidR="001B7672">
        <w:rPr>
          <w:rFonts w:ascii="Tahoma" w:hAnsi="Tahoma" w:cs="Tahoma"/>
          <w:sz w:val="20"/>
          <w:szCs w:val="20"/>
        </w:rPr>
        <w:t xml:space="preserve">i plan za </w:t>
      </w:r>
      <w:r w:rsidR="001B7672" w:rsidRPr="00D80144">
        <w:rPr>
          <w:rFonts w:ascii="Tahoma" w:hAnsi="Tahoma" w:cs="Tahoma"/>
          <w:sz w:val="20"/>
          <w:szCs w:val="20"/>
        </w:rPr>
        <w:t>klimatsk</w:t>
      </w:r>
      <w:r w:rsidR="001B7672">
        <w:rPr>
          <w:rFonts w:ascii="Tahoma" w:hAnsi="Tahoma" w:cs="Tahoma"/>
          <w:sz w:val="20"/>
          <w:szCs w:val="20"/>
        </w:rPr>
        <w:t>u</w:t>
      </w:r>
      <w:r w:rsidR="001B7672" w:rsidRPr="00D80144">
        <w:rPr>
          <w:rFonts w:ascii="Tahoma" w:hAnsi="Tahoma" w:cs="Tahoma"/>
          <w:sz w:val="20"/>
          <w:szCs w:val="20"/>
        </w:rPr>
        <w:t xml:space="preserve"> </w:t>
      </w:r>
      <w:r w:rsidR="001B7672">
        <w:rPr>
          <w:rFonts w:ascii="Tahoma" w:hAnsi="Tahoma" w:cs="Tahoma"/>
          <w:sz w:val="20"/>
          <w:szCs w:val="20"/>
        </w:rPr>
        <w:t>politiku</w:t>
      </w:r>
      <w:r w:rsidRPr="00D80144">
        <w:rPr>
          <w:rFonts w:ascii="Tahoma" w:hAnsi="Tahoma" w:cs="Tahoma"/>
          <w:sz w:val="20"/>
          <w:szCs w:val="20"/>
        </w:rPr>
        <w:t>. Očekuje se da bi od početka 2025.</w:t>
      </w:r>
      <w:r w:rsidR="001A3195">
        <w:rPr>
          <w:rFonts w:ascii="Tahoma" w:hAnsi="Tahoma" w:cs="Tahoma"/>
          <w:sz w:val="20"/>
          <w:szCs w:val="20"/>
        </w:rPr>
        <w:t xml:space="preserve"> </w:t>
      </w:r>
      <w:r w:rsidRPr="00D80144">
        <w:rPr>
          <w:rFonts w:ascii="Tahoma" w:hAnsi="Tahoma" w:cs="Tahoma"/>
          <w:sz w:val="20"/>
          <w:szCs w:val="20"/>
        </w:rPr>
        <w:t>g</w:t>
      </w:r>
      <w:r w:rsidR="001A3195">
        <w:rPr>
          <w:rFonts w:ascii="Tahoma" w:hAnsi="Tahoma" w:cs="Tahoma"/>
          <w:sz w:val="20"/>
          <w:szCs w:val="20"/>
        </w:rPr>
        <w:t>odine</w:t>
      </w:r>
      <w:r w:rsidRPr="00D80144">
        <w:rPr>
          <w:rFonts w:ascii="Tahoma" w:hAnsi="Tahoma" w:cs="Tahoma"/>
          <w:sz w:val="20"/>
          <w:szCs w:val="20"/>
        </w:rPr>
        <w:t xml:space="preserve">, Komisija započela s potpisivanjem pojedinačnih Ugovora s državama </w:t>
      </w:r>
      <w:r w:rsidRPr="00D80144">
        <w:rPr>
          <w:rFonts w:ascii="Tahoma" w:hAnsi="Tahoma" w:cs="Tahoma"/>
          <w:sz w:val="20"/>
          <w:szCs w:val="20"/>
        </w:rPr>
        <w:lastRenderedPageBreak/>
        <w:t xml:space="preserve">članicama o korištenju sredstava iz SK </w:t>
      </w:r>
      <w:r w:rsidR="00E302E1">
        <w:rPr>
          <w:rFonts w:ascii="Tahoma" w:hAnsi="Tahoma" w:cs="Tahoma"/>
          <w:sz w:val="20"/>
          <w:szCs w:val="20"/>
        </w:rPr>
        <w:t>f</w:t>
      </w:r>
      <w:r w:rsidR="00E302E1" w:rsidRPr="00D80144">
        <w:rPr>
          <w:rFonts w:ascii="Tahoma" w:hAnsi="Tahoma" w:cs="Tahoma"/>
          <w:sz w:val="20"/>
          <w:szCs w:val="20"/>
        </w:rPr>
        <w:t>onda</w:t>
      </w:r>
      <w:r w:rsidRPr="00D80144">
        <w:rPr>
          <w:rFonts w:ascii="Tahoma" w:hAnsi="Tahoma" w:cs="Tahoma"/>
          <w:sz w:val="20"/>
          <w:szCs w:val="20"/>
        </w:rPr>
        <w:t>, dok bi od sredine 2025.g</w:t>
      </w:r>
      <w:r w:rsidR="001A3195">
        <w:rPr>
          <w:rFonts w:ascii="Tahoma" w:hAnsi="Tahoma" w:cs="Tahoma"/>
          <w:sz w:val="20"/>
          <w:szCs w:val="20"/>
        </w:rPr>
        <w:t>odine</w:t>
      </w:r>
      <w:r w:rsidRPr="00D80144">
        <w:rPr>
          <w:rFonts w:ascii="Tahoma" w:hAnsi="Tahoma" w:cs="Tahoma"/>
          <w:sz w:val="20"/>
          <w:szCs w:val="20"/>
        </w:rPr>
        <w:t>, države članice mogle tražiti isplate iz SK Fonda. Plaćanja bi se izvršila nakon procjene ispunjenih etapa i ciljeva iz podnesenog Plana.</w:t>
      </w:r>
    </w:p>
    <w:p w14:paraId="4C517983" w14:textId="3FFF7C07" w:rsidR="004949CA" w:rsidRPr="00D80144" w:rsidRDefault="004949CA" w:rsidP="00D80144">
      <w:pPr>
        <w:spacing w:before="60"/>
        <w:jc w:val="both"/>
        <w:rPr>
          <w:rFonts w:ascii="Tahoma" w:hAnsi="Tahoma" w:cs="Tahoma"/>
          <w:sz w:val="20"/>
          <w:szCs w:val="20"/>
        </w:rPr>
      </w:pPr>
      <w:r w:rsidRPr="00D80144">
        <w:rPr>
          <w:rFonts w:ascii="Tahoma" w:hAnsi="Tahoma" w:cs="Tahoma"/>
          <w:sz w:val="20"/>
          <w:szCs w:val="20"/>
        </w:rPr>
        <w:t xml:space="preserve">SK </w:t>
      </w:r>
      <w:r w:rsidR="00E302E1">
        <w:rPr>
          <w:rFonts w:ascii="Tahoma" w:hAnsi="Tahoma" w:cs="Tahoma"/>
          <w:sz w:val="20"/>
          <w:szCs w:val="20"/>
        </w:rPr>
        <w:t>f</w:t>
      </w:r>
      <w:r w:rsidR="00E302E1" w:rsidRPr="00D80144">
        <w:rPr>
          <w:rFonts w:ascii="Tahoma" w:hAnsi="Tahoma" w:cs="Tahoma"/>
          <w:sz w:val="20"/>
          <w:szCs w:val="20"/>
        </w:rPr>
        <w:t xml:space="preserve">ond </w:t>
      </w:r>
      <w:r w:rsidRPr="00D80144">
        <w:rPr>
          <w:rFonts w:ascii="Tahoma" w:hAnsi="Tahoma" w:cs="Tahoma"/>
          <w:sz w:val="20"/>
          <w:szCs w:val="20"/>
        </w:rPr>
        <w:t>bi trebao financirati mjere i investicije za postizanje ključnih faza i ciljeva vezanih uz energetsku učinkovitost, obnovu zgrada, prijevoz bez ili sa smanjenim emisijama, smanjenje emisija stakleničkih plinova, smanjenje broja ranjivih kućanstava.</w:t>
      </w:r>
    </w:p>
    <w:p w14:paraId="6CAF72C0" w14:textId="625940CC" w:rsidR="004949CA" w:rsidRPr="00D80144" w:rsidRDefault="004949CA" w:rsidP="00D80144">
      <w:pPr>
        <w:spacing w:before="60"/>
        <w:jc w:val="both"/>
        <w:rPr>
          <w:rFonts w:ascii="Tahoma" w:hAnsi="Tahoma" w:cs="Tahoma"/>
          <w:noProof/>
          <w:sz w:val="20"/>
          <w:szCs w:val="20"/>
        </w:rPr>
      </w:pPr>
      <w:r w:rsidRPr="00D80144">
        <w:rPr>
          <w:rFonts w:ascii="Tahoma" w:hAnsi="Tahoma" w:cs="Tahoma"/>
          <w:b/>
          <w:bCs/>
          <w:sz w:val="20"/>
          <w:szCs w:val="20"/>
        </w:rPr>
        <w:t xml:space="preserve">Financijska sredstva </w:t>
      </w:r>
      <w:r w:rsidR="00E302E1">
        <w:rPr>
          <w:rFonts w:ascii="Tahoma" w:hAnsi="Tahoma" w:cs="Tahoma"/>
          <w:b/>
          <w:bCs/>
          <w:sz w:val="20"/>
          <w:szCs w:val="20"/>
        </w:rPr>
        <w:t>SK</w:t>
      </w:r>
      <w:r w:rsidRPr="00D80144">
        <w:rPr>
          <w:rFonts w:ascii="Tahoma" w:hAnsi="Tahoma" w:cs="Tahoma"/>
          <w:b/>
          <w:bCs/>
          <w:sz w:val="20"/>
          <w:szCs w:val="20"/>
        </w:rPr>
        <w:t xml:space="preserve"> fonda će pomoći u premošćivanju nedostatka financijskih sredstava za ispunjenje većih ciljeva smanjenja emisija do 2030. godine</w:t>
      </w:r>
      <w:r w:rsidRPr="00D80144">
        <w:rPr>
          <w:rFonts w:ascii="Tahoma" w:hAnsi="Tahoma" w:cs="Tahoma"/>
          <w:sz w:val="20"/>
          <w:szCs w:val="20"/>
        </w:rPr>
        <w:t>.</w:t>
      </w:r>
      <w:r w:rsidRPr="00D80144">
        <w:rPr>
          <w:rFonts w:ascii="Tahoma" w:hAnsi="Tahoma" w:cs="Tahoma"/>
          <w:noProof/>
          <w:sz w:val="20"/>
          <w:szCs w:val="20"/>
        </w:rPr>
        <w:t xml:space="preserve"> Cilj je </w:t>
      </w:r>
      <w:r w:rsidR="00E302E1">
        <w:rPr>
          <w:rFonts w:ascii="Tahoma" w:hAnsi="Tahoma" w:cs="Tahoma"/>
          <w:noProof/>
          <w:sz w:val="20"/>
          <w:szCs w:val="20"/>
          <w:bdr w:val="none" w:sz="0" w:space="0" w:color="auto" w:frame="1"/>
        </w:rPr>
        <w:t>SK f</w:t>
      </w:r>
      <w:r w:rsidRPr="00D80144">
        <w:rPr>
          <w:rFonts w:ascii="Tahoma" w:hAnsi="Tahoma" w:cs="Tahoma"/>
          <w:noProof/>
          <w:sz w:val="20"/>
          <w:szCs w:val="20"/>
          <w:bdr w:val="none" w:sz="0" w:space="0" w:color="auto" w:frame="1"/>
        </w:rPr>
        <w:t>onda</w:t>
      </w:r>
      <w:r w:rsidRPr="00D80144">
        <w:rPr>
          <w:rFonts w:ascii="Tahoma" w:hAnsi="Tahoma" w:cs="Tahoma"/>
          <w:noProof/>
          <w:sz w:val="20"/>
          <w:szCs w:val="20"/>
        </w:rPr>
        <w:t xml:space="preserve"> je ublažiti cjenovni učinak određivanja novih cijena ugljika te državama članicama pružiti financijska sredstva za potporu njihovim politikama usmjerenima na socijalne učinke takvog trgovanja emisijama na </w:t>
      </w:r>
      <w:r w:rsidRPr="00D80144">
        <w:rPr>
          <w:rFonts w:ascii="Tahoma" w:hAnsi="Tahoma" w:cs="Tahoma"/>
          <w:noProof/>
          <w:sz w:val="20"/>
          <w:szCs w:val="20"/>
          <w:bdr w:val="none" w:sz="0" w:space="0" w:color="auto" w:frame="1"/>
        </w:rPr>
        <w:t xml:space="preserve">ranjiva kućanstva, mikropoduzeća i korisnike usluga prijevoza. To bi se osobito trebalo postići privremenom potporom dohotku te mjerama i </w:t>
      </w:r>
      <w:r w:rsidRPr="00D80144">
        <w:rPr>
          <w:rFonts w:ascii="Tahoma" w:hAnsi="Tahoma" w:cs="Tahoma"/>
          <w:noProof/>
          <w:sz w:val="20"/>
          <w:szCs w:val="20"/>
        </w:rPr>
        <w:t>ulaganjima namijenjenima srednjoročnom do dugoročnom smanjenju ovisnosti o fosilnim gorivima kroz povećanje energetske učinkovitosti zgrada, dekarbonizaciju grijanja i hlađenja zgrada, uključujući integraciju energije iz obnovljivih izvora, te omogućivanje boljeg pristupa mobilnosti i prijevozu s nultom i niskom stopom emisija.</w:t>
      </w:r>
    </w:p>
    <w:p w14:paraId="21D219A0" w14:textId="4B1F2E4A" w:rsidR="004949CA" w:rsidRPr="00D80144" w:rsidRDefault="004949CA" w:rsidP="00D80144">
      <w:pPr>
        <w:spacing w:before="60"/>
        <w:jc w:val="both"/>
        <w:rPr>
          <w:rFonts w:ascii="Tahoma" w:hAnsi="Tahoma" w:cs="Tahoma"/>
          <w:sz w:val="20"/>
          <w:szCs w:val="20"/>
        </w:rPr>
      </w:pPr>
      <w:r w:rsidRPr="00D80144">
        <w:rPr>
          <w:rFonts w:ascii="Tahoma" w:hAnsi="Tahoma" w:cs="Tahoma"/>
          <w:sz w:val="20"/>
          <w:szCs w:val="20"/>
        </w:rPr>
        <w:t xml:space="preserve">Kriteriji distribucije sredstava između </w:t>
      </w:r>
      <w:r w:rsidR="00144E37">
        <w:rPr>
          <w:rFonts w:ascii="Tahoma" w:hAnsi="Tahoma" w:cs="Tahoma"/>
          <w:sz w:val="20"/>
          <w:szCs w:val="20"/>
        </w:rPr>
        <w:t>država članica</w:t>
      </w:r>
      <w:r w:rsidRPr="00D80144">
        <w:rPr>
          <w:rFonts w:ascii="Tahoma" w:hAnsi="Tahoma" w:cs="Tahoma"/>
          <w:sz w:val="20"/>
          <w:szCs w:val="20"/>
        </w:rPr>
        <w:t xml:space="preserve"> bi išli prema udjelu kućanstava kojima prijeti siromaštvo, emisijama kućanstava, ukupnoj populaciji i dr., i to tako da sve </w:t>
      </w:r>
      <w:r w:rsidR="00180E37">
        <w:rPr>
          <w:rFonts w:ascii="Tahoma" w:hAnsi="Tahoma" w:cs="Tahoma"/>
          <w:sz w:val="20"/>
          <w:szCs w:val="20"/>
        </w:rPr>
        <w:t>države članice</w:t>
      </w:r>
      <w:r w:rsidR="00180E37" w:rsidRPr="00D80144">
        <w:rPr>
          <w:rFonts w:ascii="Tahoma" w:hAnsi="Tahoma" w:cs="Tahoma"/>
          <w:sz w:val="20"/>
          <w:szCs w:val="20"/>
        </w:rPr>
        <w:t xml:space="preserve"> </w:t>
      </w:r>
      <w:r w:rsidRPr="00D80144">
        <w:rPr>
          <w:rFonts w:ascii="Tahoma" w:hAnsi="Tahoma" w:cs="Tahoma"/>
          <w:sz w:val="20"/>
          <w:szCs w:val="20"/>
        </w:rPr>
        <w:t>imaju korist od SK Fonda, no više one čije stanovništvo ima niža primanja.</w:t>
      </w:r>
    </w:p>
    <w:p w14:paraId="142DDBEE" w14:textId="4D8E8ABC" w:rsidR="004949CA" w:rsidRPr="00D80144" w:rsidRDefault="004949CA" w:rsidP="00D80144">
      <w:pPr>
        <w:spacing w:before="60"/>
        <w:jc w:val="both"/>
        <w:rPr>
          <w:rFonts w:ascii="Tahoma" w:eastAsia="Arial Unicode MS" w:hAnsi="Tahoma" w:cs="Tahoma"/>
          <w:noProof/>
          <w:sz w:val="20"/>
          <w:szCs w:val="20"/>
        </w:rPr>
      </w:pPr>
      <w:r w:rsidRPr="00D80144">
        <w:rPr>
          <w:rFonts w:ascii="Tahoma" w:hAnsi="Tahoma" w:cs="Tahoma"/>
          <w:noProof/>
          <w:sz w:val="20"/>
          <w:szCs w:val="20"/>
        </w:rPr>
        <w:t xml:space="preserve">Financijska omotnica </w:t>
      </w:r>
      <w:r w:rsidR="00E302E1">
        <w:rPr>
          <w:rFonts w:ascii="Tahoma" w:hAnsi="Tahoma" w:cs="Tahoma"/>
          <w:noProof/>
          <w:sz w:val="20"/>
          <w:szCs w:val="20"/>
          <w:bdr w:val="none" w:sz="0" w:space="0" w:color="auto" w:frame="1"/>
        </w:rPr>
        <w:t>SK f</w:t>
      </w:r>
      <w:r w:rsidRPr="00D80144">
        <w:rPr>
          <w:rFonts w:ascii="Tahoma" w:hAnsi="Tahoma" w:cs="Tahoma"/>
          <w:noProof/>
          <w:sz w:val="20"/>
          <w:szCs w:val="20"/>
          <w:bdr w:val="none" w:sz="0" w:space="0" w:color="auto" w:frame="1"/>
        </w:rPr>
        <w:t>onda</w:t>
      </w:r>
      <w:r w:rsidRPr="00D80144">
        <w:rPr>
          <w:rFonts w:ascii="Tahoma" w:hAnsi="Tahoma" w:cs="Tahoma"/>
          <w:noProof/>
          <w:sz w:val="20"/>
          <w:szCs w:val="20"/>
        </w:rPr>
        <w:t xml:space="preserve"> iznosi 23,7 milijardi EUR za razdoblje 2025.–2027. i 48,5 milijardi EUR za razdoblje 2028.–2032. (članak 9.), što u načelu čini 25 % očekivanih prihoda od prodaje emisijskih jedinica na dražbi u okviru trgovanja emisijama za zgrade i cestovni promet. Raspodjela sredstava u </w:t>
      </w:r>
      <w:r w:rsidR="00E302E1">
        <w:rPr>
          <w:rFonts w:ascii="Tahoma" w:hAnsi="Tahoma" w:cs="Tahoma"/>
          <w:noProof/>
          <w:sz w:val="20"/>
          <w:szCs w:val="20"/>
          <w:bdr w:val="none" w:sz="0" w:space="0" w:color="auto" w:frame="1"/>
        </w:rPr>
        <w:t>SK f</w:t>
      </w:r>
      <w:r w:rsidRPr="00D80144">
        <w:rPr>
          <w:rFonts w:ascii="Tahoma" w:hAnsi="Tahoma" w:cs="Tahoma"/>
          <w:noProof/>
          <w:sz w:val="20"/>
          <w:szCs w:val="20"/>
          <w:bdr w:val="none" w:sz="0" w:space="0" w:color="auto" w:frame="1"/>
        </w:rPr>
        <w:t>ond</w:t>
      </w:r>
      <w:r w:rsidRPr="00D80144">
        <w:rPr>
          <w:rFonts w:ascii="Tahoma" w:hAnsi="Tahoma" w:cs="Tahoma"/>
          <w:noProof/>
          <w:sz w:val="20"/>
          <w:szCs w:val="20"/>
        </w:rPr>
        <w:t xml:space="preserve"> izvršit će se u skladu s člankom 13. i prilozima I. i II. Države članice trebale bi doprinijeti s najmanje 50 % ukupnih procijenjenih troškova plana. U tu bi svrhu trebale, među ostalim, upotrebljavati prihode od dražbe svojih emisijskih jedinica u okviru trgovanja emisijama za dva nova sektora (članak 14.). </w:t>
      </w:r>
    </w:p>
    <w:p w14:paraId="3E5AF3E8" w14:textId="706D38D8" w:rsidR="004949CA" w:rsidRDefault="004949CA" w:rsidP="00D80144">
      <w:pPr>
        <w:jc w:val="both"/>
        <w:rPr>
          <w:rFonts w:ascii="Tahoma" w:hAnsi="Tahoma" w:cs="Tahoma"/>
          <w:noProof/>
          <w:sz w:val="20"/>
          <w:szCs w:val="20"/>
        </w:rPr>
      </w:pPr>
      <w:r w:rsidRPr="00D80144">
        <w:rPr>
          <w:rFonts w:ascii="Tahoma" w:hAnsi="Tahoma" w:cs="Tahoma"/>
          <w:noProof/>
          <w:sz w:val="20"/>
          <w:szCs w:val="20"/>
        </w:rPr>
        <w:t xml:space="preserve">Svaka država članica Komisiji podnosi socijalni plan za klimatsku politiku („plan”) zajedno s ažuriranim integriranim nacionalnim energetskim i klimatskim planom. Sredstva iz </w:t>
      </w:r>
      <w:r w:rsidR="00265A22">
        <w:rPr>
          <w:rFonts w:ascii="Tahoma" w:hAnsi="Tahoma" w:cs="Tahoma"/>
          <w:noProof/>
          <w:sz w:val="20"/>
          <w:szCs w:val="20"/>
        </w:rPr>
        <w:t>SK f</w:t>
      </w:r>
      <w:r w:rsidRPr="00D80144">
        <w:rPr>
          <w:rFonts w:ascii="Tahoma" w:hAnsi="Tahoma" w:cs="Tahoma"/>
          <w:noProof/>
          <w:sz w:val="20"/>
          <w:szCs w:val="20"/>
        </w:rPr>
        <w:t xml:space="preserve">onda namijenjena su kao financijska potpora državama članicama za financiranje mjera i ulaganja utvrđenih u njihovim planovima. </w:t>
      </w:r>
    </w:p>
    <w:p w14:paraId="5128C56E" w14:textId="6474E9C4" w:rsidR="00505014" w:rsidRPr="00D80144" w:rsidRDefault="00A064D6" w:rsidP="00D80144">
      <w:pPr>
        <w:jc w:val="both"/>
        <w:rPr>
          <w:rFonts w:ascii="Tahoma" w:hAnsi="Tahoma" w:cs="Tahoma"/>
          <w:noProof/>
          <w:sz w:val="20"/>
          <w:szCs w:val="20"/>
        </w:rPr>
      </w:pPr>
      <w:r>
        <w:rPr>
          <w:rFonts w:ascii="Tahoma" w:hAnsi="Tahoma" w:cs="Tahoma"/>
          <w:noProof/>
          <w:sz w:val="20"/>
          <w:szCs w:val="20"/>
        </w:rPr>
        <w:t>Predviđeni hrvastki udio u ukupno raspoloživim sredtvima SK fonda je 1,94%</w:t>
      </w:r>
      <w:r w:rsidR="00EB02DB">
        <w:rPr>
          <w:rFonts w:ascii="Tahoma" w:hAnsi="Tahoma" w:cs="Tahoma"/>
          <w:noProof/>
          <w:sz w:val="20"/>
          <w:szCs w:val="20"/>
        </w:rPr>
        <w:t xml:space="preserve"> odnosno 1,4</w:t>
      </w:r>
      <w:r w:rsidR="002101DE">
        <w:rPr>
          <w:rFonts w:ascii="Tahoma" w:hAnsi="Tahoma" w:cs="Tahoma"/>
          <w:noProof/>
          <w:sz w:val="20"/>
          <w:szCs w:val="20"/>
        </w:rPr>
        <w:t>03</w:t>
      </w:r>
      <w:r w:rsidR="00EB02DB">
        <w:rPr>
          <w:rFonts w:ascii="Tahoma" w:hAnsi="Tahoma" w:cs="Tahoma"/>
          <w:noProof/>
          <w:sz w:val="20"/>
          <w:szCs w:val="20"/>
        </w:rPr>
        <w:t xml:space="preserve"> milijarde </w:t>
      </w:r>
      <w:r w:rsidR="004D64D4">
        <w:rPr>
          <w:rFonts w:ascii="Tahoma" w:hAnsi="Tahoma" w:cs="Tahoma"/>
          <w:noProof/>
          <w:sz w:val="20"/>
          <w:szCs w:val="20"/>
        </w:rPr>
        <w:t>EUR</w:t>
      </w:r>
      <w:r w:rsidR="00634F93">
        <w:rPr>
          <w:rFonts w:ascii="Tahoma" w:hAnsi="Tahoma" w:cs="Tahoma"/>
          <w:noProof/>
          <w:sz w:val="20"/>
          <w:szCs w:val="20"/>
        </w:rPr>
        <w:t xml:space="preserve"> u razdoblju </w:t>
      </w:r>
      <w:r w:rsidR="00FE7E66">
        <w:rPr>
          <w:rFonts w:ascii="Tahoma" w:hAnsi="Tahoma" w:cs="Tahoma"/>
          <w:noProof/>
          <w:sz w:val="20"/>
          <w:szCs w:val="20"/>
        </w:rPr>
        <w:t>od 2025. do 2032. godine</w:t>
      </w:r>
      <w:r w:rsidR="009C5973">
        <w:rPr>
          <w:rFonts w:ascii="Tahoma" w:hAnsi="Tahoma" w:cs="Tahoma"/>
          <w:noProof/>
          <w:sz w:val="20"/>
          <w:szCs w:val="20"/>
        </w:rPr>
        <w:t>, od čega</w:t>
      </w:r>
      <w:r w:rsidR="002101DE">
        <w:rPr>
          <w:rFonts w:ascii="Tahoma" w:hAnsi="Tahoma" w:cs="Tahoma"/>
          <w:noProof/>
          <w:sz w:val="20"/>
          <w:szCs w:val="20"/>
        </w:rPr>
        <w:t xml:space="preserve"> oko 460 milijuna EUR u razdiblju od 2025. do 2027., a </w:t>
      </w:r>
      <w:r w:rsidR="009D2295">
        <w:rPr>
          <w:rFonts w:ascii="Tahoma" w:hAnsi="Tahoma" w:cs="Tahoma"/>
          <w:noProof/>
          <w:sz w:val="20"/>
          <w:szCs w:val="20"/>
        </w:rPr>
        <w:t xml:space="preserve">943 milijuna EUR u razudoblju od 2028. do 2032. godine. </w:t>
      </w:r>
      <w:r w:rsidR="009C5973">
        <w:rPr>
          <w:rFonts w:ascii="Tahoma" w:hAnsi="Tahoma" w:cs="Tahoma"/>
          <w:noProof/>
          <w:sz w:val="20"/>
          <w:szCs w:val="20"/>
        </w:rPr>
        <w:t xml:space="preserve"> </w:t>
      </w:r>
      <w:r>
        <w:rPr>
          <w:rFonts w:ascii="Tahoma" w:hAnsi="Tahoma" w:cs="Tahoma"/>
          <w:noProof/>
          <w:sz w:val="20"/>
          <w:szCs w:val="20"/>
        </w:rPr>
        <w:t xml:space="preserve"> </w:t>
      </w:r>
    </w:p>
    <w:p w14:paraId="424BD8D5" w14:textId="210E93A3" w:rsidR="004949CA" w:rsidRPr="00D80144" w:rsidRDefault="004949CA" w:rsidP="00D80144">
      <w:pPr>
        <w:pStyle w:val="ManualNumPar1"/>
        <w:ind w:left="0" w:firstLine="0"/>
        <w:rPr>
          <w:rFonts w:ascii="Tahoma" w:eastAsia="Times New Roman" w:hAnsi="Tahoma" w:cs="Tahoma"/>
          <w:b/>
          <w:bCs/>
          <w:noProof/>
          <w:sz w:val="20"/>
          <w:szCs w:val="20"/>
          <w:lang w:eastAsia="de-DE"/>
        </w:rPr>
      </w:pPr>
      <w:r w:rsidRPr="00D80144">
        <w:rPr>
          <w:rFonts w:ascii="Tahoma" w:eastAsia="Times New Roman" w:hAnsi="Tahoma" w:cs="Tahoma"/>
          <w:noProof/>
          <w:sz w:val="20"/>
          <w:szCs w:val="20"/>
          <w:lang w:eastAsia="de-DE"/>
        </w:rPr>
        <w:t>Isplata potpore ovisi o postizanju ključnih etapa i ciljnih vrijednosti za mjere i ulaganja utvrđene u planovima</w:t>
      </w:r>
      <w:r w:rsidRPr="00D80144">
        <w:rPr>
          <w:rFonts w:ascii="Tahoma" w:eastAsia="Times New Roman" w:hAnsi="Tahoma" w:cs="Tahoma"/>
          <w:b/>
          <w:bCs/>
          <w:noProof/>
          <w:sz w:val="20"/>
          <w:szCs w:val="20"/>
          <w:lang w:eastAsia="de-DE"/>
        </w:rPr>
        <w:t>. Te ključne etape i ciljne vrijednosti</w:t>
      </w:r>
      <w:r w:rsidRPr="00D80144">
        <w:rPr>
          <w:rFonts w:ascii="Tahoma" w:eastAsia="Times New Roman" w:hAnsi="Tahoma" w:cs="Tahoma"/>
          <w:noProof/>
          <w:sz w:val="20"/>
          <w:szCs w:val="20"/>
          <w:lang w:eastAsia="de-DE"/>
        </w:rPr>
        <w:t xml:space="preserve"> </w:t>
      </w:r>
      <w:r w:rsidRPr="00D80144">
        <w:rPr>
          <w:rFonts w:ascii="Tahoma" w:eastAsia="Times New Roman" w:hAnsi="Tahoma" w:cs="Tahoma"/>
          <w:b/>
          <w:bCs/>
          <w:noProof/>
          <w:sz w:val="20"/>
          <w:szCs w:val="20"/>
          <w:lang w:eastAsia="de-DE"/>
        </w:rPr>
        <w:t>moraju biti usklađene s klimatskim ciljevima Unije</w:t>
      </w:r>
      <w:r w:rsidR="004D0663">
        <w:rPr>
          <w:rFonts w:ascii="Tahoma" w:eastAsia="Times New Roman" w:hAnsi="Tahoma" w:cs="Tahoma"/>
          <w:b/>
          <w:bCs/>
          <w:noProof/>
          <w:sz w:val="20"/>
          <w:szCs w:val="20"/>
          <w:lang w:eastAsia="de-DE"/>
        </w:rPr>
        <w:t>,</w:t>
      </w:r>
      <w:r w:rsidRPr="00D80144">
        <w:rPr>
          <w:rFonts w:ascii="Tahoma" w:eastAsia="Times New Roman" w:hAnsi="Tahoma" w:cs="Tahoma"/>
          <w:b/>
          <w:bCs/>
          <w:noProof/>
          <w:sz w:val="20"/>
          <w:szCs w:val="20"/>
          <w:lang w:eastAsia="de-DE"/>
        </w:rPr>
        <w:t xml:space="preserve"> obuhvaćati će energetsku učinkovitost, obnovu zgrada te smanjenje broja ranjivih kućanstava, posebno kućanstava u energetskom siromaštvu.</w:t>
      </w:r>
    </w:p>
    <w:p w14:paraId="745E95DB" w14:textId="77777777" w:rsidR="004949CA" w:rsidRPr="00AA520D" w:rsidRDefault="004949CA" w:rsidP="004949CA">
      <w:pPr>
        <w:rPr>
          <w:strike/>
        </w:rPr>
      </w:pPr>
    </w:p>
    <w:p w14:paraId="6BA7EA84" w14:textId="77777777" w:rsidR="004949CA" w:rsidRDefault="004949CA" w:rsidP="004949CA">
      <w:r>
        <w:br w:type="page"/>
      </w:r>
    </w:p>
    <w:p w14:paraId="23DCC2D1" w14:textId="77777777" w:rsidR="004949CA" w:rsidRDefault="004949CA" w:rsidP="004949CA">
      <w:pPr>
        <w:pStyle w:val="Naslov20"/>
      </w:pPr>
      <w:bookmarkStart w:id="208" w:name="_Toc72156288"/>
      <w:bookmarkStart w:id="209" w:name="_Toc81836300"/>
      <w:bookmarkStart w:id="210" w:name="_Toc83912073"/>
      <w:r>
        <w:lastRenderedPageBreak/>
        <w:t>Indikativni financijski plan za razdoblje 2022.-2024.</w:t>
      </w:r>
      <w:bookmarkEnd w:id="208"/>
      <w:bookmarkEnd w:id="209"/>
      <w:bookmarkEnd w:id="210"/>
    </w:p>
    <w:p w14:paraId="672A7EF3" w14:textId="601FFA5C"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Indikativni financijski plan izrađen je uvažavajući </w:t>
      </w:r>
      <w:r w:rsidR="00B31263" w:rsidRPr="00EE1B6E">
        <w:rPr>
          <w:rFonts w:ascii="Tahoma" w:hAnsi="Tahoma" w:cs="Tahoma"/>
          <w:sz w:val="20"/>
          <w:szCs w:val="20"/>
          <w:lang w:eastAsia="hr-HR"/>
        </w:rPr>
        <w:t>trenutn</w:t>
      </w:r>
      <w:r w:rsidR="00B31263">
        <w:rPr>
          <w:rFonts w:ascii="Tahoma" w:hAnsi="Tahoma" w:cs="Tahoma"/>
          <w:sz w:val="20"/>
          <w:szCs w:val="20"/>
          <w:lang w:eastAsia="hr-HR"/>
        </w:rPr>
        <w:t>o</w:t>
      </w:r>
      <w:r w:rsidR="00B31263" w:rsidRPr="00EE1B6E">
        <w:rPr>
          <w:rFonts w:ascii="Tahoma" w:hAnsi="Tahoma" w:cs="Tahoma"/>
          <w:sz w:val="20"/>
          <w:szCs w:val="20"/>
          <w:lang w:eastAsia="hr-HR"/>
        </w:rPr>
        <w:t xml:space="preserve"> </w:t>
      </w:r>
      <w:r w:rsidRPr="00EE1B6E">
        <w:rPr>
          <w:rFonts w:ascii="Tahoma" w:hAnsi="Tahoma" w:cs="Tahoma"/>
          <w:sz w:val="20"/>
          <w:szCs w:val="20"/>
          <w:lang w:eastAsia="hr-HR"/>
        </w:rPr>
        <w:t>raspoloživ</w:t>
      </w:r>
      <w:r w:rsidR="00B31263">
        <w:rPr>
          <w:rFonts w:ascii="Tahoma" w:hAnsi="Tahoma" w:cs="Tahoma"/>
          <w:sz w:val="20"/>
          <w:szCs w:val="20"/>
          <w:lang w:eastAsia="hr-HR"/>
        </w:rPr>
        <w:t>a</w:t>
      </w:r>
      <w:r w:rsidRPr="00EE1B6E">
        <w:rPr>
          <w:rFonts w:ascii="Tahoma" w:hAnsi="Tahoma" w:cs="Tahoma"/>
          <w:sz w:val="20"/>
          <w:szCs w:val="20"/>
          <w:lang w:eastAsia="hr-HR"/>
        </w:rPr>
        <w:t xml:space="preserve"> </w:t>
      </w:r>
      <w:r w:rsidR="00B31263" w:rsidRPr="00EE1B6E">
        <w:rPr>
          <w:rFonts w:ascii="Tahoma" w:hAnsi="Tahoma" w:cs="Tahoma"/>
          <w:sz w:val="20"/>
          <w:szCs w:val="20"/>
          <w:lang w:eastAsia="hr-HR"/>
        </w:rPr>
        <w:t>financijsk</w:t>
      </w:r>
      <w:r w:rsidR="00B31263">
        <w:rPr>
          <w:rFonts w:ascii="Tahoma" w:hAnsi="Tahoma" w:cs="Tahoma"/>
          <w:sz w:val="20"/>
          <w:szCs w:val="20"/>
          <w:lang w:eastAsia="hr-HR"/>
        </w:rPr>
        <w:t>a</w:t>
      </w:r>
      <w:r w:rsidR="00B31263" w:rsidRPr="00EE1B6E">
        <w:rPr>
          <w:rFonts w:ascii="Tahoma" w:hAnsi="Tahoma" w:cs="Tahoma"/>
          <w:sz w:val="20"/>
          <w:szCs w:val="20"/>
          <w:lang w:eastAsia="hr-HR"/>
        </w:rPr>
        <w:t xml:space="preserve"> </w:t>
      </w:r>
      <w:r w:rsidRPr="00EE1B6E">
        <w:rPr>
          <w:rFonts w:ascii="Tahoma" w:hAnsi="Tahoma" w:cs="Tahoma"/>
          <w:sz w:val="20"/>
          <w:szCs w:val="20"/>
          <w:lang w:eastAsia="hr-HR"/>
        </w:rPr>
        <w:t>sredstva, a to su sredstva iz NPOO:</w:t>
      </w:r>
    </w:p>
    <w:p w14:paraId="645524DD" w14:textId="45D494CE" w:rsidR="004949CA" w:rsidRPr="00EE1B6E" w:rsidRDefault="137C0FFA" w:rsidP="2617B706">
      <w:pPr>
        <w:pStyle w:val="Odlomakpopisa"/>
        <w:numPr>
          <w:ilvl w:val="0"/>
          <w:numId w:val="45"/>
        </w:numPr>
        <w:spacing w:before="120" w:after="120"/>
        <w:rPr>
          <w:rFonts w:cs="Tahoma"/>
        </w:rPr>
      </w:pPr>
      <w:r w:rsidRPr="2617B706">
        <w:rPr>
          <w:rFonts w:cs="Tahoma"/>
        </w:rPr>
        <w:t xml:space="preserve">472,5 milijuna </w:t>
      </w:r>
      <w:r w:rsidR="19290C86" w:rsidRPr="2617B706">
        <w:rPr>
          <w:rFonts w:cs="Tahoma"/>
        </w:rPr>
        <w:t>kuna</w:t>
      </w:r>
      <w:r w:rsidRPr="2617B706">
        <w:rPr>
          <w:rFonts w:cs="Tahoma"/>
        </w:rPr>
        <w:t xml:space="preserve"> za obnovu VSZ (i oštećenih i neoštećenih u potresu) i </w:t>
      </w:r>
    </w:p>
    <w:p w14:paraId="31742467" w14:textId="4FDFBFA5" w:rsidR="004949CA" w:rsidRPr="00EE1B6E" w:rsidRDefault="004949CA" w:rsidP="00EE1B6E">
      <w:pPr>
        <w:widowControl w:val="0"/>
        <w:spacing w:before="120" w:after="120" w:line="240" w:lineRule="auto"/>
        <w:jc w:val="both"/>
        <w:rPr>
          <w:rFonts w:ascii="Tahoma" w:hAnsi="Tahoma" w:cs="Tahoma"/>
          <w:sz w:val="20"/>
          <w:szCs w:val="20"/>
        </w:rPr>
      </w:pPr>
      <w:r w:rsidRPr="00EE1B6E">
        <w:rPr>
          <w:rFonts w:ascii="Tahoma" w:hAnsi="Tahoma" w:cs="Tahoma"/>
          <w:sz w:val="20"/>
          <w:szCs w:val="20"/>
        </w:rPr>
        <w:t xml:space="preserve">Pri tome se predviđa da će se sva raspoloživa sredstva ugovoriti u ovom trogodišnjem razdoblju, dok će isplate tih </w:t>
      </w:r>
      <w:r w:rsidR="00EE1B6E" w:rsidRPr="00EE1B6E">
        <w:rPr>
          <w:rFonts w:ascii="Tahoma" w:hAnsi="Tahoma" w:cs="Tahoma"/>
          <w:sz w:val="20"/>
          <w:szCs w:val="20"/>
        </w:rPr>
        <w:t>sredstava</w:t>
      </w:r>
      <w:r w:rsidRPr="00EE1B6E">
        <w:rPr>
          <w:rFonts w:ascii="Tahoma" w:hAnsi="Tahoma" w:cs="Tahoma"/>
          <w:sz w:val="20"/>
          <w:szCs w:val="20"/>
        </w:rPr>
        <w:t xml:space="preserve"> ovisiti o dinamici provedbe </w:t>
      </w:r>
      <w:r w:rsidR="00EE1B6E" w:rsidRPr="00EE1B6E">
        <w:rPr>
          <w:rFonts w:ascii="Tahoma" w:hAnsi="Tahoma" w:cs="Tahoma"/>
          <w:sz w:val="20"/>
          <w:szCs w:val="20"/>
        </w:rPr>
        <w:t>projekata</w:t>
      </w:r>
      <w:r w:rsidRPr="00EE1B6E">
        <w:rPr>
          <w:rFonts w:ascii="Tahoma" w:hAnsi="Tahoma" w:cs="Tahoma"/>
          <w:sz w:val="20"/>
          <w:szCs w:val="20"/>
        </w:rPr>
        <w:t xml:space="preserve"> obnove VSZ. </w:t>
      </w:r>
      <w:r w:rsidR="00B57074">
        <w:rPr>
          <w:rFonts w:ascii="Tahoma" w:hAnsi="Tahoma" w:cs="Tahoma"/>
          <w:sz w:val="20"/>
          <w:szCs w:val="20"/>
        </w:rPr>
        <w:t xml:space="preserve">Tablica 11-4 </w:t>
      </w:r>
      <w:r w:rsidR="00B57074" w:rsidRPr="00EE1B6E">
        <w:rPr>
          <w:rFonts w:ascii="Tahoma" w:hAnsi="Tahoma" w:cs="Tahoma"/>
          <w:sz w:val="20"/>
          <w:szCs w:val="20"/>
        </w:rPr>
        <w:t>prikazuj</w:t>
      </w:r>
      <w:r w:rsidR="00B57074">
        <w:rPr>
          <w:rFonts w:ascii="Tahoma" w:hAnsi="Tahoma" w:cs="Tahoma"/>
          <w:sz w:val="20"/>
          <w:szCs w:val="20"/>
        </w:rPr>
        <w:t>e</w:t>
      </w:r>
      <w:r w:rsidR="00B57074" w:rsidRPr="00EE1B6E">
        <w:rPr>
          <w:rFonts w:ascii="Tahoma" w:hAnsi="Tahoma" w:cs="Tahoma"/>
          <w:sz w:val="20"/>
          <w:szCs w:val="20"/>
        </w:rPr>
        <w:t xml:space="preserve"> </w:t>
      </w:r>
      <w:r w:rsidRPr="00EE1B6E">
        <w:rPr>
          <w:rFonts w:ascii="Tahoma" w:hAnsi="Tahoma" w:cs="Tahoma"/>
          <w:sz w:val="20"/>
          <w:szCs w:val="20"/>
        </w:rPr>
        <w:t xml:space="preserve">raspodjelu raspoloživih financijskih sredstava te procjenu površina VSZ koje će se uz ta sredstva obnoviti. </w:t>
      </w:r>
    </w:p>
    <w:p w14:paraId="4FA54F65" w14:textId="66836463" w:rsidR="004949CA" w:rsidRDefault="004949CA" w:rsidP="004949CA">
      <w:pPr>
        <w:pStyle w:val="Opisslike"/>
        <w:rPr>
          <w:rFonts w:cs="Tahoma"/>
          <w:szCs w:val="16"/>
        </w:rPr>
      </w:pPr>
      <w:bookmarkStart w:id="211" w:name="_Toc72081563"/>
      <w:bookmarkStart w:id="212" w:name="_Toc84240512"/>
      <w:r w:rsidRPr="00F34A88">
        <w:t xml:space="preserve">Tablica </w:t>
      </w:r>
      <w:r>
        <w:rPr>
          <w:noProof/>
        </w:rPr>
        <w:fldChar w:fldCharType="begin"/>
      </w:r>
      <w:r>
        <w:rPr>
          <w:noProof/>
        </w:rPr>
        <w:instrText xml:space="preserve"> STYLEREF 1 \s </w:instrText>
      </w:r>
      <w:r>
        <w:rPr>
          <w:noProof/>
        </w:rPr>
        <w:fldChar w:fldCharType="separate"/>
      </w:r>
      <w:r w:rsidR="00575AF9">
        <w:rPr>
          <w:noProof/>
        </w:rPr>
        <w:t>11</w:t>
      </w:r>
      <w:r>
        <w:rPr>
          <w:noProof/>
        </w:rPr>
        <w:fldChar w:fldCharType="end"/>
      </w:r>
      <w:r>
        <w:noBreakHyphen/>
      </w:r>
      <w:r>
        <w:fldChar w:fldCharType="begin"/>
      </w:r>
      <w:r>
        <w:instrText>SEQ Tablica \* ARABIC \s 1</w:instrText>
      </w:r>
      <w:r>
        <w:fldChar w:fldCharType="separate"/>
      </w:r>
      <w:r w:rsidR="00575AF9">
        <w:rPr>
          <w:noProof/>
        </w:rPr>
        <w:t>4</w:t>
      </w:r>
      <w:r>
        <w:fldChar w:fldCharType="end"/>
      </w:r>
      <w:r w:rsidRPr="00F34A88">
        <w:t xml:space="preserve">: </w:t>
      </w:r>
      <w:r>
        <w:rPr>
          <w:rFonts w:cs="Tahoma"/>
          <w:szCs w:val="16"/>
        </w:rPr>
        <w:t>Indikativni financijski plan i procjena obnovljene površine VSZ u razdoblju od 2022. do 2024.</w:t>
      </w:r>
      <w:bookmarkEnd w:id="211"/>
      <w:bookmarkEnd w:id="212"/>
      <w:r>
        <w:rPr>
          <w:rFonts w:cs="Tahoma"/>
          <w:szCs w:val="16"/>
        </w:rPr>
        <w:t xml:space="preserve"> </w:t>
      </w:r>
    </w:p>
    <w:tbl>
      <w:tblPr>
        <w:tblStyle w:val="Svijetlatablicareetke110"/>
        <w:tblW w:w="5000" w:type="pct"/>
        <w:tblLook w:val="04A0" w:firstRow="1" w:lastRow="0" w:firstColumn="1" w:lastColumn="0" w:noHBand="0" w:noVBand="1"/>
      </w:tblPr>
      <w:tblGrid>
        <w:gridCol w:w="4995"/>
        <w:gridCol w:w="731"/>
        <w:gridCol w:w="1112"/>
        <w:gridCol w:w="1112"/>
        <w:gridCol w:w="1112"/>
      </w:tblGrid>
      <w:tr w:rsidR="004949CA" w:rsidRPr="00EE1B6E" w14:paraId="6809E71D" w14:textId="77777777" w:rsidTr="00331A63">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880" w:type="pct"/>
            <w:hideMark/>
          </w:tcPr>
          <w:p w14:paraId="13E3B694"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w:t>
            </w:r>
          </w:p>
        </w:tc>
        <w:tc>
          <w:tcPr>
            <w:tcW w:w="335" w:type="pct"/>
            <w:hideMark/>
          </w:tcPr>
          <w:p w14:paraId="21DFF9EC"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2021.</w:t>
            </w:r>
          </w:p>
        </w:tc>
        <w:tc>
          <w:tcPr>
            <w:tcW w:w="595" w:type="pct"/>
            <w:hideMark/>
          </w:tcPr>
          <w:p w14:paraId="2883A861"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2022.</w:t>
            </w:r>
          </w:p>
        </w:tc>
        <w:tc>
          <w:tcPr>
            <w:tcW w:w="595" w:type="pct"/>
            <w:hideMark/>
          </w:tcPr>
          <w:p w14:paraId="5DDF5C51"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2023.</w:t>
            </w:r>
          </w:p>
        </w:tc>
        <w:tc>
          <w:tcPr>
            <w:tcW w:w="595" w:type="pct"/>
            <w:hideMark/>
          </w:tcPr>
          <w:p w14:paraId="5CE5696A"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2024.</w:t>
            </w:r>
          </w:p>
        </w:tc>
      </w:tr>
      <w:tr w:rsidR="004949CA" w:rsidRPr="00EE1B6E" w14:paraId="605D25D4" w14:textId="77777777" w:rsidTr="00331A63">
        <w:trPr>
          <w:trHeight w:val="36"/>
        </w:trPr>
        <w:tc>
          <w:tcPr>
            <w:cnfStyle w:val="001000000000" w:firstRow="0" w:lastRow="0" w:firstColumn="1" w:lastColumn="0" w:oddVBand="0" w:evenVBand="0" w:oddHBand="0" w:evenHBand="0" w:firstRowFirstColumn="0" w:firstRowLastColumn="0" w:lastRowFirstColumn="0" w:lastRowLastColumn="0"/>
            <w:tcW w:w="2880" w:type="pct"/>
            <w:hideMark/>
          </w:tcPr>
          <w:p w14:paraId="5EF43B0B" w14:textId="77064C8E"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xml:space="preserve">Sufinanciranje NPOO - godišnje [milijuna </w:t>
            </w:r>
            <w:r w:rsidR="0063313B">
              <w:rPr>
                <w:rFonts w:ascii="Tahoma" w:hAnsi="Tahoma" w:cs="Tahoma"/>
                <w:color w:val="000000"/>
                <w:sz w:val="18"/>
                <w:szCs w:val="18"/>
                <w:lang w:eastAsia="hr-HR"/>
              </w:rPr>
              <w:t>kuna</w:t>
            </w:r>
            <w:r w:rsidRPr="00EE1B6E">
              <w:rPr>
                <w:rFonts w:ascii="Tahoma" w:hAnsi="Tahoma" w:cs="Tahoma"/>
                <w:color w:val="000000"/>
                <w:sz w:val="18"/>
                <w:szCs w:val="18"/>
                <w:lang w:eastAsia="hr-HR"/>
              </w:rPr>
              <w:t>]</w:t>
            </w:r>
          </w:p>
        </w:tc>
        <w:tc>
          <w:tcPr>
            <w:tcW w:w="335" w:type="pct"/>
            <w:hideMark/>
          </w:tcPr>
          <w:p w14:paraId="5A8A0A55"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0,00</w:t>
            </w:r>
          </w:p>
        </w:tc>
        <w:tc>
          <w:tcPr>
            <w:tcW w:w="595" w:type="pct"/>
            <w:hideMark/>
          </w:tcPr>
          <w:p w14:paraId="7CBB49F3"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157,50</w:t>
            </w:r>
          </w:p>
        </w:tc>
        <w:tc>
          <w:tcPr>
            <w:tcW w:w="595" w:type="pct"/>
            <w:hideMark/>
          </w:tcPr>
          <w:p w14:paraId="3810DEC5"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157,50</w:t>
            </w:r>
          </w:p>
        </w:tc>
        <w:tc>
          <w:tcPr>
            <w:tcW w:w="595" w:type="pct"/>
            <w:hideMark/>
          </w:tcPr>
          <w:p w14:paraId="7A3F1031"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157,50</w:t>
            </w:r>
          </w:p>
        </w:tc>
      </w:tr>
      <w:tr w:rsidR="004949CA" w:rsidRPr="00EE1B6E" w14:paraId="00FA89AD" w14:textId="77777777" w:rsidTr="00331A63">
        <w:trPr>
          <w:trHeight w:val="46"/>
        </w:trPr>
        <w:tc>
          <w:tcPr>
            <w:cnfStyle w:val="001000000000" w:firstRow="0" w:lastRow="0" w:firstColumn="1" w:lastColumn="0" w:oddVBand="0" w:evenVBand="0" w:oddHBand="0" w:evenHBand="0" w:firstRowFirstColumn="0" w:firstRowLastColumn="0" w:lastRowFirstColumn="0" w:lastRowLastColumn="0"/>
            <w:tcW w:w="2880" w:type="pct"/>
            <w:hideMark/>
          </w:tcPr>
          <w:p w14:paraId="708123EF" w14:textId="47B3DD59"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xml:space="preserve">Sufinanciranje NPOO - ukupno [milijuna </w:t>
            </w:r>
            <w:r w:rsidR="0063313B">
              <w:rPr>
                <w:rFonts w:ascii="Tahoma" w:hAnsi="Tahoma" w:cs="Tahoma"/>
                <w:color w:val="000000"/>
                <w:sz w:val="18"/>
                <w:szCs w:val="18"/>
                <w:lang w:eastAsia="hr-HR"/>
              </w:rPr>
              <w:t>kuna</w:t>
            </w:r>
            <w:r w:rsidRPr="00EE1B6E">
              <w:rPr>
                <w:rFonts w:ascii="Tahoma" w:hAnsi="Tahoma" w:cs="Tahoma"/>
                <w:color w:val="000000"/>
                <w:sz w:val="18"/>
                <w:szCs w:val="18"/>
                <w:lang w:eastAsia="hr-HR"/>
              </w:rPr>
              <w:t>]</w:t>
            </w:r>
          </w:p>
        </w:tc>
        <w:tc>
          <w:tcPr>
            <w:tcW w:w="2120" w:type="pct"/>
            <w:gridSpan w:val="4"/>
            <w:hideMark/>
          </w:tcPr>
          <w:p w14:paraId="254C7393" w14:textId="77777777" w:rsidR="004949CA" w:rsidRPr="00EE1B6E"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472,50</w:t>
            </w:r>
          </w:p>
        </w:tc>
      </w:tr>
      <w:tr w:rsidR="004949CA" w:rsidRPr="00EE1B6E" w14:paraId="7FFD2D95" w14:textId="77777777" w:rsidTr="00331A63">
        <w:trPr>
          <w:trHeight w:val="46"/>
        </w:trPr>
        <w:tc>
          <w:tcPr>
            <w:cnfStyle w:val="001000000000" w:firstRow="0" w:lastRow="0" w:firstColumn="1" w:lastColumn="0" w:oddVBand="0" w:evenVBand="0" w:oddHBand="0" w:evenHBand="0" w:firstRowFirstColumn="0" w:firstRowLastColumn="0" w:lastRowFirstColumn="0" w:lastRowLastColumn="0"/>
            <w:tcW w:w="2880" w:type="pct"/>
            <w:hideMark/>
          </w:tcPr>
          <w:p w14:paraId="268058F6" w14:textId="5A3F702E"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xml:space="preserve">Ukupna investicija [milijuna </w:t>
            </w:r>
            <w:r w:rsidR="0063313B">
              <w:rPr>
                <w:rFonts w:ascii="Tahoma" w:hAnsi="Tahoma" w:cs="Tahoma"/>
                <w:color w:val="000000"/>
                <w:sz w:val="18"/>
                <w:szCs w:val="18"/>
                <w:lang w:eastAsia="hr-HR"/>
              </w:rPr>
              <w:t>kuna</w:t>
            </w:r>
            <w:r w:rsidRPr="00EE1B6E">
              <w:rPr>
                <w:rFonts w:ascii="Tahoma" w:hAnsi="Tahoma" w:cs="Tahoma"/>
                <w:color w:val="000000"/>
                <w:sz w:val="18"/>
                <w:szCs w:val="18"/>
                <w:lang w:eastAsia="hr-HR"/>
              </w:rPr>
              <w:t>]</w:t>
            </w:r>
          </w:p>
        </w:tc>
        <w:tc>
          <w:tcPr>
            <w:tcW w:w="2120" w:type="pct"/>
            <w:gridSpan w:val="4"/>
            <w:hideMark/>
          </w:tcPr>
          <w:p w14:paraId="24E1A82B" w14:textId="77777777" w:rsidR="004949CA" w:rsidRPr="00EE1B6E"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694,85</w:t>
            </w:r>
          </w:p>
        </w:tc>
      </w:tr>
      <w:tr w:rsidR="004949CA" w:rsidRPr="00EE1B6E" w14:paraId="6425E3BE" w14:textId="77777777" w:rsidTr="00331A63">
        <w:trPr>
          <w:trHeight w:val="46"/>
        </w:trPr>
        <w:tc>
          <w:tcPr>
            <w:cnfStyle w:val="001000000000" w:firstRow="0" w:lastRow="0" w:firstColumn="1" w:lastColumn="0" w:oddVBand="0" w:evenVBand="0" w:oddHBand="0" w:evenHBand="0" w:firstRowFirstColumn="0" w:firstRowLastColumn="0" w:lastRowFirstColumn="0" w:lastRowLastColumn="0"/>
            <w:tcW w:w="2880" w:type="pct"/>
            <w:hideMark/>
          </w:tcPr>
          <w:p w14:paraId="2ECA98EA"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Procijenjena obnovljena površina VSZ - godišnje [m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w:t>
            </w:r>
          </w:p>
        </w:tc>
        <w:tc>
          <w:tcPr>
            <w:tcW w:w="335" w:type="pct"/>
            <w:hideMark/>
          </w:tcPr>
          <w:p w14:paraId="2D591AE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0,00</w:t>
            </w:r>
          </w:p>
        </w:tc>
        <w:tc>
          <w:tcPr>
            <w:tcW w:w="595" w:type="pct"/>
            <w:hideMark/>
          </w:tcPr>
          <w:p w14:paraId="4E69FE36"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105.000,00</w:t>
            </w:r>
          </w:p>
        </w:tc>
        <w:tc>
          <w:tcPr>
            <w:tcW w:w="595" w:type="pct"/>
            <w:hideMark/>
          </w:tcPr>
          <w:p w14:paraId="534A45D7"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105.000,00</w:t>
            </w:r>
          </w:p>
        </w:tc>
        <w:tc>
          <w:tcPr>
            <w:tcW w:w="595" w:type="pct"/>
            <w:hideMark/>
          </w:tcPr>
          <w:p w14:paraId="63663C5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105.000,00</w:t>
            </w:r>
          </w:p>
        </w:tc>
      </w:tr>
      <w:tr w:rsidR="004949CA" w:rsidRPr="00EE1B6E" w14:paraId="2D03665C" w14:textId="77777777" w:rsidTr="00331A63">
        <w:trPr>
          <w:trHeight w:val="46"/>
        </w:trPr>
        <w:tc>
          <w:tcPr>
            <w:cnfStyle w:val="001000000000" w:firstRow="0" w:lastRow="0" w:firstColumn="1" w:lastColumn="0" w:oddVBand="0" w:evenVBand="0" w:oddHBand="0" w:evenHBand="0" w:firstRowFirstColumn="0" w:firstRowLastColumn="0" w:lastRowFirstColumn="0" w:lastRowLastColumn="0"/>
            <w:tcW w:w="2880" w:type="pct"/>
          </w:tcPr>
          <w:p w14:paraId="1C9EDFD2"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Procijenjena obnovljena površina VSZ - ukupno [m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w:t>
            </w:r>
          </w:p>
        </w:tc>
        <w:tc>
          <w:tcPr>
            <w:tcW w:w="2120" w:type="pct"/>
            <w:gridSpan w:val="4"/>
          </w:tcPr>
          <w:p w14:paraId="15FD2F11" w14:textId="77777777" w:rsidR="004949CA" w:rsidRPr="00EE1B6E"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315.000,00</w:t>
            </w:r>
          </w:p>
        </w:tc>
      </w:tr>
    </w:tbl>
    <w:p w14:paraId="767AA053" w14:textId="77777777" w:rsidR="004949CA" w:rsidRDefault="004949CA" w:rsidP="00EE1B6E">
      <w:pPr>
        <w:spacing w:before="120" w:after="120" w:line="240" w:lineRule="auto"/>
        <w:jc w:val="both"/>
        <w:rPr>
          <w:rFonts w:ascii="Tahoma" w:hAnsi="Tahoma" w:cs="Tahoma"/>
          <w:sz w:val="20"/>
          <w:szCs w:val="20"/>
        </w:rPr>
      </w:pPr>
      <w:r w:rsidRPr="00EE1B6E">
        <w:rPr>
          <w:rFonts w:ascii="Tahoma" w:hAnsi="Tahoma" w:cs="Tahoma"/>
          <w:sz w:val="20"/>
          <w:szCs w:val="20"/>
        </w:rPr>
        <w:t>Usporedbe radi, kako bismo postigli ciljeve definirane u Dugoročnoj strategiji, u ovom razdoblju trebalo bi obnoviti 1,57 milijuna m</w:t>
      </w:r>
      <w:r w:rsidRPr="00EE1B6E">
        <w:rPr>
          <w:rFonts w:ascii="Tahoma" w:hAnsi="Tahoma" w:cs="Tahoma"/>
          <w:sz w:val="20"/>
          <w:szCs w:val="20"/>
          <w:vertAlign w:val="superscript"/>
        </w:rPr>
        <w:t>2</w:t>
      </w:r>
      <w:r w:rsidRPr="00EE1B6E">
        <w:rPr>
          <w:rFonts w:ascii="Tahoma" w:hAnsi="Tahoma" w:cs="Tahoma"/>
          <w:sz w:val="20"/>
          <w:szCs w:val="20"/>
        </w:rPr>
        <w:t xml:space="preserve">. Drugim riječima, raspoloživa sredstva su dostatna za ostvarenje oko 20% cilja postavljenog u Dugoročnoj strategiji. Okvirni dugoročni financijski plan, koji prikazuje ukupno potrebna sredstva za ispunjavanje ciljeva iz Dugoročne strategije, uz pretpostavljene visine investicijskih troškova i stope sufinanciranja dane za pojedine kategorije obnove dane u poglavlju 8. ovoga Programa prikazuje donja tablica. </w:t>
      </w:r>
    </w:p>
    <w:tbl>
      <w:tblPr>
        <w:tblStyle w:val="Svijetlatablicareetke110"/>
        <w:tblW w:w="0" w:type="auto"/>
        <w:tblLook w:val="04A0" w:firstRow="1" w:lastRow="0" w:firstColumn="1" w:lastColumn="0" w:noHBand="0" w:noVBand="1"/>
      </w:tblPr>
      <w:tblGrid>
        <w:gridCol w:w="1192"/>
        <w:gridCol w:w="216"/>
        <w:gridCol w:w="1188"/>
        <w:gridCol w:w="564"/>
        <w:gridCol w:w="564"/>
        <w:gridCol w:w="564"/>
        <w:gridCol w:w="564"/>
        <w:gridCol w:w="564"/>
        <w:gridCol w:w="564"/>
        <w:gridCol w:w="564"/>
        <w:gridCol w:w="564"/>
        <w:gridCol w:w="564"/>
        <w:gridCol w:w="564"/>
        <w:gridCol w:w="826"/>
      </w:tblGrid>
      <w:tr w:rsidR="0049413C" w:rsidRPr="00EE1B6E" w14:paraId="6863C9A9" w14:textId="77777777" w:rsidTr="00B16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4" w:type="dxa"/>
            <w:gridSpan w:val="14"/>
            <w:shd w:val="clear" w:color="auto" w:fill="D9D9D9" w:themeFill="background1" w:themeFillShade="D9"/>
          </w:tcPr>
          <w:p w14:paraId="041758C8" w14:textId="77777777" w:rsidR="0049413C" w:rsidRPr="00EE1B6E" w:rsidRDefault="0049413C" w:rsidP="00B16443">
            <w:pPr>
              <w:rPr>
                <w:rFonts w:ascii="Tahoma" w:hAnsi="Tahoma" w:cs="Tahoma"/>
                <w:b w:val="0"/>
                <w:bCs w:val="0"/>
                <w:sz w:val="16"/>
                <w:szCs w:val="16"/>
                <w:lang w:eastAsia="hr-HR"/>
              </w:rPr>
            </w:pPr>
            <w:r w:rsidRPr="00EE1B6E">
              <w:rPr>
                <w:rFonts w:ascii="Tahoma" w:hAnsi="Tahoma" w:cs="Tahoma"/>
                <w:sz w:val="16"/>
                <w:szCs w:val="16"/>
                <w:lang w:eastAsia="hr-HR"/>
              </w:rPr>
              <w:t>Strateški cilj:</w:t>
            </w:r>
          </w:p>
          <w:p w14:paraId="0EB59D64" w14:textId="77777777" w:rsidR="0049413C" w:rsidRPr="00EE1B6E" w:rsidRDefault="0049413C" w:rsidP="00B16443">
            <w:pPr>
              <w:rPr>
                <w:rFonts w:ascii="Tahoma" w:hAnsi="Tahoma" w:cs="Tahoma"/>
                <w:b w:val="0"/>
                <w:bCs w:val="0"/>
                <w:sz w:val="16"/>
                <w:szCs w:val="16"/>
                <w:lang w:eastAsia="hr-HR"/>
              </w:rPr>
            </w:pPr>
            <w:r w:rsidRPr="00EE1B6E">
              <w:rPr>
                <w:rFonts w:ascii="Tahoma" w:hAnsi="Tahoma" w:cs="Tahoma"/>
                <w:b w:val="0"/>
                <w:bCs w:val="0"/>
                <w:sz w:val="16"/>
                <w:szCs w:val="16"/>
                <w:lang w:eastAsia="hr-HR"/>
              </w:rPr>
              <w:t xml:space="preserve">Sve zgrade u </w:t>
            </w:r>
            <w:r>
              <w:rPr>
                <w:rFonts w:ascii="Tahoma" w:hAnsi="Tahoma" w:cs="Tahoma"/>
                <w:b w:val="0"/>
                <w:bCs w:val="0"/>
                <w:sz w:val="16"/>
                <w:szCs w:val="16"/>
                <w:lang w:eastAsia="hr-HR"/>
              </w:rPr>
              <w:t>Hrvatskoj</w:t>
            </w:r>
            <w:r w:rsidRPr="00EE1B6E">
              <w:rPr>
                <w:rFonts w:ascii="Tahoma" w:hAnsi="Tahoma" w:cs="Tahoma"/>
                <w:b w:val="0"/>
                <w:bCs w:val="0"/>
                <w:sz w:val="16"/>
                <w:szCs w:val="16"/>
                <w:lang w:eastAsia="hr-HR"/>
              </w:rPr>
              <w:t xml:space="preserve"> su 2050. godine gotovo nula energetske ili s visokom razinom energetske učinkovitosti.</w:t>
            </w:r>
          </w:p>
        </w:tc>
      </w:tr>
      <w:tr w:rsidR="0049413C" w:rsidRPr="00EE1B6E" w14:paraId="285D453F" w14:textId="77777777" w:rsidTr="00B16443">
        <w:tc>
          <w:tcPr>
            <w:cnfStyle w:val="001000000000" w:firstRow="0" w:lastRow="0" w:firstColumn="1" w:lastColumn="0" w:oddVBand="0" w:evenVBand="0" w:oddHBand="0" w:evenHBand="0" w:firstRowFirstColumn="0" w:firstRowLastColumn="0" w:lastRowFirstColumn="0" w:lastRowLastColumn="0"/>
            <w:tcW w:w="9344" w:type="dxa"/>
            <w:gridSpan w:val="14"/>
          </w:tcPr>
          <w:p w14:paraId="573C4B69" w14:textId="77777777" w:rsidR="0049413C" w:rsidRPr="00EE1B6E" w:rsidRDefault="0049413C" w:rsidP="00B16443">
            <w:pPr>
              <w:rPr>
                <w:rFonts w:ascii="Tahoma" w:hAnsi="Tahoma" w:cs="Tahoma"/>
                <w:sz w:val="16"/>
                <w:szCs w:val="16"/>
                <w:lang w:eastAsia="hr-HR"/>
              </w:rPr>
            </w:pPr>
            <w:r w:rsidRPr="00EE1B6E">
              <w:rPr>
                <w:rFonts w:ascii="Tahoma" w:hAnsi="Tahoma" w:cs="Tahoma"/>
                <w:sz w:val="16"/>
                <w:szCs w:val="16"/>
                <w:lang w:eastAsia="hr-HR"/>
              </w:rPr>
              <w:t xml:space="preserve">Pokazatelj učinka: </w:t>
            </w:r>
            <w:r w:rsidRPr="00EE1B6E">
              <w:rPr>
                <w:rFonts w:ascii="Tahoma" w:hAnsi="Tahoma" w:cs="Tahoma"/>
                <w:b w:val="0"/>
                <w:bCs w:val="0"/>
                <w:sz w:val="16"/>
                <w:szCs w:val="16"/>
                <w:lang w:eastAsia="hr-HR"/>
              </w:rPr>
              <w:t xml:space="preserve">Ukupno obnovljena površina stambenih zgrada u razdoblju </w:t>
            </w:r>
          </w:p>
          <w:p w14:paraId="3F25CE04" w14:textId="77777777" w:rsidR="0049413C" w:rsidRPr="00EE1B6E" w:rsidRDefault="0049413C" w:rsidP="00B16443">
            <w:pPr>
              <w:rPr>
                <w:rFonts w:ascii="Tahoma" w:hAnsi="Tahoma" w:cs="Tahoma"/>
                <w:sz w:val="16"/>
                <w:szCs w:val="16"/>
                <w:lang w:eastAsia="hr-HR"/>
              </w:rPr>
            </w:pPr>
            <w:r w:rsidRPr="00EE1B6E">
              <w:rPr>
                <w:rFonts w:ascii="Tahoma" w:hAnsi="Tahoma" w:cs="Tahoma"/>
                <w:sz w:val="16"/>
                <w:szCs w:val="16"/>
                <w:lang w:eastAsia="hr-HR"/>
              </w:rPr>
              <w:t xml:space="preserve">Početna vrijednost: </w:t>
            </w:r>
            <w:r w:rsidRPr="00EE1B6E">
              <w:rPr>
                <w:rFonts w:ascii="Tahoma" w:hAnsi="Tahoma" w:cs="Tahoma"/>
                <w:b w:val="0"/>
                <w:bCs w:val="0"/>
                <w:sz w:val="16"/>
                <w:szCs w:val="16"/>
                <w:lang w:eastAsia="hr-HR"/>
              </w:rPr>
              <w:t xml:space="preserve">0 </w:t>
            </w:r>
            <w:r w:rsidRPr="00EE1B6E">
              <w:rPr>
                <w:rFonts w:ascii="Tahoma" w:hAnsi="Tahoma" w:cs="Tahoma"/>
                <w:sz w:val="16"/>
                <w:szCs w:val="16"/>
                <w:lang w:eastAsia="hr-HR"/>
              </w:rPr>
              <w:t xml:space="preserve">  Ciljana vrijednost 2030.: </w:t>
            </w:r>
            <w:r w:rsidRPr="00EE1B6E">
              <w:rPr>
                <w:rFonts w:ascii="Tahoma" w:hAnsi="Tahoma" w:cs="Tahoma"/>
                <w:b w:val="0"/>
                <w:bCs w:val="0"/>
                <w:sz w:val="16"/>
                <w:szCs w:val="16"/>
                <w:lang w:eastAsia="hr-HR"/>
              </w:rPr>
              <w:t>17,77 milijuna m</w:t>
            </w:r>
            <w:r w:rsidRPr="00EE1B6E">
              <w:rPr>
                <w:rFonts w:ascii="Tahoma" w:hAnsi="Tahoma" w:cs="Tahoma"/>
                <w:b w:val="0"/>
                <w:bCs w:val="0"/>
                <w:sz w:val="16"/>
                <w:szCs w:val="16"/>
                <w:vertAlign w:val="superscript"/>
                <w:lang w:eastAsia="hr-HR"/>
              </w:rPr>
              <w:t>2</w:t>
            </w:r>
            <w:r w:rsidRPr="00EE1B6E">
              <w:rPr>
                <w:rFonts w:ascii="Tahoma" w:hAnsi="Tahoma" w:cs="Tahoma"/>
                <w:b w:val="0"/>
                <w:bCs w:val="0"/>
                <w:sz w:val="16"/>
                <w:szCs w:val="16"/>
                <w:lang w:eastAsia="hr-HR"/>
              </w:rPr>
              <w:t xml:space="preserve"> (ukupno u razdoblju 2021.-2030.)</w:t>
            </w:r>
          </w:p>
        </w:tc>
      </w:tr>
      <w:tr w:rsidR="0049413C" w:rsidRPr="00EE1B6E" w14:paraId="0DECE402" w14:textId="77777777" w:rsidTr="00B16443">
        <w:tc>
          <w:tcPr>
            <w:cnfStyle w:val="001000000000" w:firstRow="0" w:lastRow="0" w:firstColumn="1" w:lastColumn="0" w:oddVBand="0" w:evenVBand="0" w:oddHBand="0" w:evenHBand="0" w:firstRowFirstColumn="0" w:firstRowLastColumn="0" w:lastRowFirstColumn="0" w:lastRowLastColumn="0"/>
            <w:tcW w:w="1196" w:type="dxa"/>
            <w:vMerge w:val="restart"/>
          </w:tcPr>
          <w:p w14:paraId="1D365AE7" w14:textId="77777777" w:rsidR="0049413C" w:rsidRPr="00EE1B6E" w:rsidRDefault="0049413C" w:rsidP="00B16443">
            <w:pPr>
              <w:rPr>
                <w:rFonts w:ascii="Tahoma" w:hAnsi="Tahoma" w:cs="Tahoma"/>
                <w:sz w:val="16"/>
                <w:szCs w:val="16"/>
                <w:lang w:eastAsia="hr-HR"/>
              </w:rPr>
            </w:pPr>
            <w:r w:rsidRPr="00EE1B6E">
              <w:rPr>
                <w:rFonts w:ascii="Tahoma" w:hAnsi="Tahoma" w:cs="Tahoma"/>
                <w:sz w:val="16"/>
                <w:szCs w:val="16"/>
                <w:lang w:eastAsia="hr-HR"/>
              </w:rPr>
              <w:t>POSEBNI CILJEVI</w:t>
            </w:r>
          </w:p>
        </w:tc>
        <w:tc>
          <w:tcPr>
            <w:tcW w:w="1659" w:type="dxa"/>
            <w:gridSpan w:val="2"/>
            <w:vMerge w:val="restart"/>
          </w:tcPr>
          <w:p w14:paraId="494A21AA"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E1B6E">
              <w:rPr>
                <w:rFonts w:ascii="Tahoma" w:hAnsi="Tahoma" w:cs="Tahoma"/>
                <w:b/>
                <w:bCs/>
                <w:sz w:val="16"/>
                <w:szCs w:val="16"/>
                <w:lang w:eastAsia="hr-HR"/>
              </w:rPr>
              <w:t>POKAZATELJ ISHODA</w:t>
            </w:r>
          </w:p>
        </w:tc>
        <w:tc>
          <w:tcPr>
            <w:tcW w:w="6489" w:type="dxa"/>
            <w:gridSpan w:val="11"/>
          </w:tcPr>
          <w:p w14:paraId="3BFA571E" w14:textId="77777777" w:rsidR="0049413C" w:rsidRPr="00EE1B6E" w:rsidRDefault="0049413C" w:rsidP="00B1644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E1B6E">
              <w:rPr>
                <w:rFonts w:ascii="Tahoma" w:hAnsi="Tahoma" w:cs="Tahoma"/>
                <w:b/>
                <w:bCs/>
                <w:sz w:val="16"/>
                <w:szCs w:val="16"/>
                <w:lang w:eastAsia="hr-HR"/>
              </w:rPr>
              <w:t xml:space="preserve">FINANCIJSKI PLAN [milijuna </w:t>
            </w:r>
            <w:r>
              <w:rPr>
                <w:rFonts w:ascii="Tahoma" w:hAnsi="Tahoma" w:cs="Tahoma"/>
                <w:b/>
                <w:bCs/>
                <w:sz w:val="16"/>
                <w:szCs w:val="16"/>
                <w:lang w:eastAsia="hr-HR"/>
              </w:rPr>
              <w:t>kuna</w:t>
            </w:r>
            <w:r w:rsidRPr="00EE1B6E">
              <w:rPr>
                <w:rFonts w:ascii="Tahoma" w:hAnsi="Tahoma" w:cs="Tahoma"/>
                <w:b/>
                <w:bCs/>
                <w:sz w:val="16"/>
                <w:szCs w:val="16"/>
                <w:lang w:eastAsia="hr-HR"/>
              </w:rPr>
              <w:t>]</w:t>
            </w:r>
          </w:p>
        </w:tc>
      </w:tr>
      <w:tr w:rsidR="0049413C" w:rsidRPr="00EE1B6E" w14:paraId="4F1A9E0B" w14:textId="77777777" w:rsidTr="00B16443">
        <w:tc>
          <w:tcPr>
            <w:cnfStyle w:val="001000000000" w:firstRow="0" w:lastRow="0" w:firstColumn="1" w:lastColumn="0" w:oddVBand="0" w:evenVBand="0" w:oddHBand="0" w:evenHBand="0" w:firstRowFirstColumn="0" w:firstRowLastColumn="0" w:lastRowFirstColumn="0" w:lastRowLastColumn="0"/>
            <w:tcW w:w="1196" w:type="dxa"/>
            <w:vMerge/>
          </w:tcPr>
          <w:p w14:paraId="53F3C67D" w14:textId="77777777" w:rsidR="0049413C" w:rsidRPr="00EE1B6E" w:rsidRDefault="0049413C" w:rsidP="00B16443">
            <w:pPr>
              <w:rPr>
                <w:rFonts w:ascii="Tahoma" w:hAnsi="Tahoma" w:cs="Tahoma"/>
                <w:sz w:val="16"/>
                <w:szCs w:val="16"/>
                <w:lang w:eastAsia="hr-HR"/>
              </w:rPr>
            </w:pPr>
          </w:p>
        </w:tc>
        <w:tc>
          <w:tcPr>
            <w:tcW w:w="1659" w:type="dxa"/>
            <w:gridSpan w:val="2"/>
            <w:vMerge/>
          </w:tcPr>
          <w:p w14:paraId="4A12983B"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p>
        </w:tc>
        <w:tc>
          <w:tcPr>
            <w:tcW w:w="566" w:type="dxa"/>
          </w:tcPr>
          <w:p w14:paraId="4666DBB6"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2021</w:t>
            </w:r>
          </w:p>
        </w:tc>
        <w:tc>
          <w:tcPr>
            <w:tcW w:w="566" w:type="dxa"/>
          </w:tcPr>
          <w:p w14:paraId="7307AB82"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2022</w:t>
            </w:r>
          </w:p>
        </w:tc>
        <w:tc>
          <w:tcPr>
            <w:tcW w:w="566" w:type="dxa"/>
          </w:tcPr>
          <w:p w14:paraId="084B84A1"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2023</w:t>
            </w:r>
          </w:p>
        </w:tc>
        <w:tc>
          <w:tcPr>
            <w:tcW w:w="566" w:type="dxa"/>
          </w:tcPr>
          <w:p w14:paraId="542BC544"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2024</w:t>
            </w:r>
          </w:p>
        </w:tc>
        <w:tc>
          <w:tcPr>
            <w:tcW w:w="566" w:type="dxa"/>
          </w:tcPr>
          <w:p w14:paraId="2E3BA50F"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2025</w:t>
            </w:r>
          </w:p>
        </w:tc>
        <w:tc>
          <w:tcPr>
            <w:tcW w:w="566" w:type="dxa"/>
          </w:tcPr>
          <w:p w14:paraId="413804BE"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2026</w:t>
            </w:r>
          </w:p>
        </w:tc>
        <w:tc>
          <w:tcPr>
            <w:tcW w:w="566" w:type="dxa"/>
          </w:tcPr>
          <w:p w14:paraId="1D1AD421"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2027</w:t>
            </w:r>
          </w:p>
        </w:tc>
        <w:tc>
          <w:tcPr>
            <w:tcW w:w="566" w:type="dxa"/>
          </w:tcPr>
          <w:p w14:paraId="2948A711"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2028</w:t>
            </w:r>
          </w:p>
        </w:tc>
        <w:tc>
          <w:tcPr>
            <w:tcW w:w="566" w:type="dxa"/>
          </w:tcPr>
          <w:p w14:paraId="633E100A"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2029</w:t>
            </w:r>
          </w:p>
        </w:tc>
        <w:tc>
          <w:tcPr>
            <w:tcW w:w="566" w:type="dxa"/>
          </w:tcPr>
          <w:p w14:paraId="5EFA39CE"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2030</w:t>
            </w:r>
          </w:p>
        </w:tc>
        <w:tc>
          <w:tcPr>
            <w:tcW w:w="829" w:type="dxa"/>
          </w:tcPr>
          <w:p w14:paraId="40887C70"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UKUPNO</w:t>
            </w:r>
          </w:p>
        </w:tc>
      </w:tr>
      <w:tr w:rsidR="0049413C" w:rsidRPr="00EE1B6E" w14:paraId="2D51A02E" w14:textId="77777777" w:rsidTr="00B16443">
        <w:trPr>
          <w:cantSplit/>
          <w:trHeight w:val="1134"/>
        </w:trPr>
        <w:tc>
          <w:tcPr>
            <w:cnfStyle w:val="001000000000" w:firstRow="0" w:lastRow="0" w:firstColumn="1" w:lastColumn="0" w:oddVBand="0" w:evenVBand="0" w:oddHBand="0" w:evenHBand="0" w:firstRowFirstColumn="0" w:firstRowLastColumn="0" w:lastRowFirstColumn="0" w:lastRowLastColumn="0"/>
            <w:tcW w:w="1196" w:type="dxa"/>
          </w:tcPr>
          <w:p w14:paraId="4B2DDF2B" w14:textId="77777777" w:rsidR="0049413C" w:rsidRPr="00EE1B6E" w:rsidRDefault="0049413C" w:rsidP="00B16443">
            <w:pPr>
              <w:rPr>
                <w:rFonts w:ascii="Tahoma" w:hAnsi="Tahoma" w:cs="Tahoma"/>
                <w:b w:val="0"/>
                <w:bCs w:val="0"/>
                <w:sz w:val="16"/>
                <w:szCs w:val="16"/>
                <w:lang w:eastAsia="hr-HR"/>
              </w:rPr>
            </w:pPr>
            <w:r w:rsidRPr="00EE1B6E">
              <w:rPr>
                <w:rFonts w:ascii="Tahoma" w:hAnsi="Tahoma" w:cs="Tahoma"/>
                <w:sz w:val="16"/>
                <w:szCs w:val="16"/>
                <w:lang w:eastAsia="hr-HR"/>
              </w:rPr>
              <w:t>Posebni cilj 1:</w:t>
            </w:r>
          </w:p>
          <w:p w14:paraId="39D73FED" w14:textId="77777777" w:rsidR="0049413C" w:rsidRPr="00EE1B6E" w:rsidRDefault="0049413C" w:rsidP="00B16443">
            <w:pPr>
              <w:rPr>
                <w:rFonts w:ascii="Tahoma" w:hAnsi="Tahoma" w:cs="Tahoma"/>
                <w:sz w:val="16"/>
                <w:szCs w:val="16"/>
                <w:lang w:eastAsia="hr-HR"/>
              </w:rPr>
            </w:pPr>
            <w:r w:rsidRPr="00EE1B6E">
              <w:rPr>
                <w:rFonts w:ascii="Tahoma" w:hAnsi="Tahoma" w:cs="Tahoma"/>
                <w:b w:val="0"/>
                <w:bCs w:val="0"/>
                <w:sz w:val="16"/>
                <w:szCs w:val="16"/>
                <w:lang w:eastAsia="hr-HR"/>
              </w:rPr>
              <w:t xml:space="preserve">Energetska i sveobuhvatna obnova </w:t>
            </w:r>
            <w:r w:rsidRPr="00EE1B6E">
              <w:rPr>
                <w:rFonts w:ascii="Tahoma" w:hAnsi="Tahoma" w:cs="Tahoma"/>
                <w:sz w:val="16"/>
                <w:szCs w:val="16"/>
                <w:lang w:eastAsia="hr-HR"/>
              </w:rPr>
              <w:t>VSZ</w:t>
            </w:r>
            <w:r w:rsidRPr="00EE1B6E">
              <w:rPr>
                <w:rFonts w:ascii="Tahoma" w:hAnsi="Tahoma" w:cs="Tahoma"/>
                <w:b w:val="0"/>
                <w:bCs w:val="0"/>
                <w:sz w:val="16"/>
                <w:szCs w:val="16"/>
                <w:lang w:eastAsia="hr-HR"/>
              </w:rPr>
              <w:t xml:space="preserve"> u razdoblju 2021. do 2030. </w:t>
            </w:r>
          </w:p>
        </w:tc>
        <w:tc>
          <w:tcPr>
            <w:tcW w:w="1659" w:type="dxa"/>
            <w:gridSpan w:val="2"/>
          </w:tcPr>
          <w:p w14:paraId="11BC2FA2"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E1B6E">
              <w:rPr>
                <w:rFonts w:ascii="Tahoma" w:hAnsi="Tahoma" w:cs="Tahoma"/>
                <w:sz w:val="16"/>
                <w:szCs w:val="16"/>
                <w:lang w:eastAsia="hr-HR"/>
              </w:rPr>
              <w:t xml:space="preserve">Ukupno obnovljena površina </w:t>
            </w:r>
            <w:r w:rsidRPr="00EE1B6E">
              <w:rPr>
                <w:rFonts w:ascii="Tahoma" w:hAnsi="Tahoma" w:cs="Tahoma"/>
                <w:b/>
                <w:bCs/>
                <w:sz w:val="16"/>
                <w:szCs w:val="16"/>
                <w:lang w:eastAsia="hr-HR"/>
              </w:rPr>
              <w:t>VSZ</w:t>
            </w:r>
            <w:r w:rsidRPr="00EE1B6E">
              <w:rPr>
                <w:rFonts w:ascii="Tahoma" w:hAnsi="Tahoma" w:cs="Tahoma"/>
                <w:sz w:val="16"/>
                <w:szCs w:val="16"/>
                <w:lang w:eastAsia="hr-HR"/>
              </w:rPr>
              <w:t xml:space="preserve"> u desetogodišnjem razdoblju </w:t>
            </w:r>
          </w:p>
          <w:p w14:paraId="7B7C06BB"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Ciljana vrijednost 2030.:</w:t>
            </w:r>
          </w:p>
          <w:p w14:paraId="601B2C91"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6,27 milijuna m</w:t>
            </w:r>
            <w:r w:rsidRPr="00EE1B6E">
              <w:rPr>
                <w:rFonts w:ascii="Tahoma" w:hAnsi="Tahoma" w:cs="Tahoma"/>
                <w:sz w:val="16"/>
                <w:szCs w:val="16"/>
                <w:vertAlign w:val="superscript"/>
                <w:lang w:eastAsia="hr-HR"/>
              </w:rPr>
              <w:t>2</w:t>
            </w:r>
          </w:p>
        </w:tc>
        <w:tc>
          <w:tcPr>
            <w:tcW w:w="566" w:type="dxa"/>
            <w:textDirection w:val="btLr"/>
            <w:vAlign w:val="center"/>
          </w:tcPr>
          <w:p w14:paraId="0D89A174"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834</w:t>
            </w:r>
          </w:p>
        </w:tc>
        <w:tc>
          <w:tcPr>
            <w:tcW w:w="566" w:type="dxa"/>
            <w:textDirection w:val="btLr"/>
            <w:vAlign w:val="center"/>
          </w:tcPr>
          <w:p w14:paraId="74038C65"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824</w:t>
            </w:r>
          </w:p>
        </w:tc>
        <w:tc>
          <w:tcPr>
            <w:tcW w:w="566" w:type="dxa"/>
            <w:textDirection w:val="btLr"/>
            <w:vAlign w:val="center"/>
          </w:tcPr>
          <w:p w14:paraId="472DF3CE"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1.338</w:t>
            </w:r>
          </w:p>
        </w:tc>
        <w:tc>
          <w:tcPr>
            <w:tcW w:w="566" w:type="dxa"/>
            <w:textDirection w:val="btLr"/>
            <w:vAlign w:val="center"/>
          </w:tcPr>
          <w:p w14:paraId="48EEFC14"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1.318</w:t>
            </w:r>
          </w:p>
        </w:tc>
        <w:tc>
          <w:tcPr>
            <w:tcW w:w="566" w:type="dxa"/>
            <w:textDirection w:val="btLr"/>
            <w:vAlign w:val="center"/>
          </w:tcPr>
          <w:p w14:paraId="134967BB"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1.803</w:t>
            </w:r>
          </w:p>
        </w:tc>
        <w:tc>
          <w:tcPr>
            <w:tcW w:w="566" w:type="dxa"/>
            <w:textDirection w:val="btLr"/>
            <w:vAlign w:val="center"/>
          </w:tcPr>
          <w:p w14:paraId="021D29F5"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1.755</w:t>
            </w:r>
          </w:p>
        </w:tc>
        <w:tc>
          <w:tcPr>
            <w:tcW w:w="566" w:type="dxa"/>
            <w:textDirection w:val="btLr"/>
            <w:vAlign w:val="center"/>
          </w:tcPr>
          <w:p w14:paraId="33DF583F"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2.210</w:t>
            </w:r>
          </w:p>
        </w:tc>
        <w:tc>
          <w:tcPr>
            <w:tcW w:w="566" w:type="dxa"/>
            <w:textDirection w:val="btLr"/>
            <w:vAlign w:val="center"/>
          </w:tcPr>
          <w:p w14:paraId="1A49443B"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2.142</w:t>
            </w:r>
          </w:p>
        </w:tc>
        <w:tc>
          <w:tcPr>
            <w:tcW w:w="566" w:type="dxa"/>
            <w:textDirection w:val="btLr"/>
            <w:vAlign w:val="center"/>
          </w:tcPr>
          <w:p w14:paraId="07CB3FAA"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2.549</w:t>
            </w:r>
          </w:p>
        </w:tc>
        <w:tc>
          <w:tcPr>
            <w:tcW w:w="566" w:type="dxa"/>
            <w:textDirection w:val="btLr"/>
            <w:vAlign w:val="center"/>
          </w:tcPr>
          <w:p w14:paraId="1B560107"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2.462</w:t>
            </w:r>
          </w:p>
        </w:tc>
        <w:tc>
          <w:tcPr>
            <w:tcW w:w="829" w:type="dxa"/>
            <w:textDirection w:val="btLr"/>
            <w:vAlign w:val="center"/>
          </w:tcPr>
          <w:p w14:paraId="4D7219B9"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E1B6E">
              <w:rPr>
                <w:rFonts w:ascii="Tahoma" w:hAnsi="Tahoma" w:cs="Tahoma"/>
                <w:b/>
                <w:bCs/>
                <w:sz w:val="16"/>
                <w:szCs w:val="16"/>
                <w:lang w:eastAsia="hr-HR"/>
              </w:rPr>
              <w:t>17.235</w:t>
            </w:r>
          </w:p>
        </w:tc>
      </w:tr>
      <w:tr w:rsidR="0049413C" w:rsidRPr="00EE1B6E" w14:paraId="243F310D" w14:textId="77777777" w:rsidTr="00B16443">
        <w:tc>
          <w:tcPr>
            <w:cnfStyle w:val="001000000000" w:firstRow="0" w:lastRow="0" w:firstColumn="1" w:lastColumn="0" w:oddVBand="0" w:evenVBand="0" w:oddHBand="0" w:evenHBand="0" w:firstRowFirstColumn="0" w:firstRowLastColumn="0" w:lastRowFirstColumn="0" w:lastRowLastColumn="0"/>
            <w:tcW w:w="2855" w:type="dxa"/>
            <w:gridSpan w:val="3"/>
          </w:tcPr>
          <w:p w14:paraId="2F7AD39D" w14:textId="77777777" w:rsidR="0049413C" w:rsidRPr="00EE1B6E" w:rsidRDefault="0049413C" w:rsidP="00B16443">
            <w:pPr>
              <w:rPr>
                <w:rFonts w:ascii="Tahoma" w:hAnsi="Tahoma" w:cs="Tahoma"/>
                <w:sz w:val="16"/>
                <w:szCs w:val="16"/>
                <w:lang w:eastAsia="hr-HR"/>
              </w:rPr>
            </w:pPr>
            <w:r w:rsidRPr="00EE1B6E">
              <w:rPr>
                <w:rFonts w:ascii="Tahoma" w:hAnsi="Tahoma" w:cs="Tahoma"/>
                <w:sz w:val="16"/>
                <w:szCs w:val="16"/>
                <w:lang w:eastAsia="hr-HR"/>
              </w:rPr>
              <w:t xml:space="preserve">INDIKATIVNA ALOKACIJA TDU ZA OSTVARENJE STRATEŠKOG CILJA PO GODINAMA </w:t>
            </w:r>
          </w:p>
        </w:tc>
        <w:tc>
          <w:tcPr>
            <w:tcW w:w="566" w:type="dxa"/>
          </w:tcPr>
          <w:p w14:paraId="1614EBC7"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3BA5FE8B"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6A22FEBF"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5B93E6F0"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540F6133"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6D10BD76"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36415333"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0321A49F"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3CB51A1D"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tcPr>
          <w:p w14:paraId="0AB7A6C7"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829" w:type="dxa"/>
          </w:tcPr>
          <w:p w14:paraId="4285DB69"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r>
      <w:tr w:rsidR="0049413C" w:rsidRPr="00EE1B6E" w14:paraId="0520E5EF" w14:textId="77777777" w:rsidTr="00B16443">
        <w:tc>
          <w:tcPr>
            <w:cnfStyle w:val="001000000000" w:firstRow="0" w:lastRow="0" w:firstColumn="1" w:lastColumn="0" w:oddVBand="0" w:evenVBand="0" w:oddHBand="0" w:evenHBand="0" w:firstRowFirstColumn="0" w:firstRowLastColumn="0" w:lastRowFirstColumn="0" w:lastRowLastColumn="0"/>
            <w:tcW w:w="1596" w:type="dxa"/>
            <w:gridSpan w:val="2"/>
            <w:vMerge w:val="restart"/>
            <w:vAlign w:val="center"/>
          </w:tcPr>
          <w:p w14:paraId="27497466" w14:textId="77777777" w:rsidR="0049413C" w:rsidRPr="00EE1B6E" w:rsidRDefault="0049413C" w:rsidP="00B16443">
            <w:pPr>
              <w:rPr>
                <w:rFonts w:ascii="Tahoma" w:hAnsi="Tahoma" w:cs="Tahoma"/>
                <w:b w:val="0"/>
                <w:bCs w:val="0"/>
                <w:sz w:val="16"/>
                <w:szCs w:val="16"/>
                <w:lang w:eastAsia="hr-HR"/>
              </w:rPr>
            </w:pPr>
            <w:r w:rsidRPr="00EE1B6E">
              <w:rPr>
                <w:rFonts w:ascii="Tahoma" w:hAnsi="Tahoma" w:cs="Tahoma"/>
                <w:b w:val="0"/>
                <w:bCs w:val="0"/>
                <w:sz w:val="16"/>
                <w:szCs w:val="16"/>
                <w:lang w:eastAsia="hr-HR"/>
              </w:rPr>
              <w:t>PLANIRANI IZVORI FINANCIRANJA</w:t>
            </w:r>
          </w:p>
        </w:tc>
        <w:tc>
          <w:tcPr>
            <w:tcW w:w="1259" w:type="dxa"/>
          </w:tcPr>
          <w:p w14:paraId="48033B21"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DRŽAVNI PRORAČUN</w:t>
            </w:r>
          </w:p>
        </w:tc>
        <w:tc>
          <w:tcPr>
            <w:tcW w:w="566" w:type="dxa"/>
            <w:shd w:val="clear" w:color="auto" w:fill="BFBFBF" w:themeFill="background1" w:themeFillShade="BF"/>
          </w:tcPr>
          <w:p w14:paraId="3F00452B"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086A56D8"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7292563C"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73033DB8"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5E63BAB2"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32FE2C6F"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5BFB7C22"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59D60E13"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03E6D40F"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566" w:type="dxa"/>
            <w:shd w:val="clear" w:color="auto" w:fill="BFBFBF" w:themeFill="background1" w:themeFillShade="BF"/>
          </w:tcPr>
          <w:p w14:paraId="4961FF2B"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c>
          <w:tcPr>
            <w:tcW w:w="829" w:type="dxa"/>
            <w:shd w:val="clear" w:color="auto" w:fill="BFBFBF" w:themeFill="background1" w:themeFillShade="BF"/>
          </w:tcPr>
          <w:p w14:paraId="4F86E58B"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p>
        </w:tc>
      </w:tr>
      <w:tr w:rsidR="0049413C" w:rsidRPr="00EE1B6E" w14:paraId="4B49DA3F" w14:textId="77777777" w:rsidTr="00B16443">
        <w:trPr>
          <w:cantSplit/>
          <w:trHeight w:val="1134"/>
        </w:trPr>
        <w:tc>
          <w:tcPr>
            <w:cnfStyle w:val="001000000000" w:firstRow="0" w:lastRow="0" w:firstColumn="1" w:lastColumn="0" w:oddVBand="0" w:evenVBand="0" w:oddHBand="0" w:evenHBand="0" w:firstRowFirstColumn="0" w:firstRowLastColumn="0" w:lastRowFirstColumn="0" w:lastRowLastColumn="0"/>
            <w:tcW w:w="1596" w:type="dxa"/>
            <w:gridSpan w:val="2"/>
            <w:vMerge/>
          </w:tcPr>
          <w:p w14:paraId="5A21AC88" w14:textId="77777777" w:rsidR="0049413C" w:rsidRPr="00EE1B6E" w:rsidRDefault="0049413C" w:rsidP="00B16443">
            <w:pPr>
              <w:rPr>
                <w:rFonts w:ascii="Tahoma" w:hAnsi="Tahoma" w:cs="Tahoma"/>
                <w:b w:val="0"/>
                <w:bCs w:val="0"/>
                <w:sz w:val="16"/>
                <w:szCs w:val="16"/>
                <w:lang w:eastAsia="hr-HR"/>
              </w:rPr>
            </w:pPr>
          </w:p>
        </w:tc>
        <w:tc>
          <w:tcPr>
            <w:tcW w:w="1259" w:type="dxa"/>
          </w:tcPr>
          <w:p w14:paraId="58E4CBC6" w14:textId="77777777" w:rsidR="0049413C" w:rsidRPr="00EE1B6E" w:rsidRDefault="0049413C" w:rsidP="00B16443">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FONDOVI EU/ ZAJMOVI, POMOĆI / OSTALO</w:t>
            </w:r>
          </w:p>
        </w:tc>
        <w:tc>
          <w:tcPr>
            <w:tcW w:w="566" w:type="dxa"/>
            <w:textDirection w:val="btLr"/>
            <w:vAlign w:val="center"/>
          </w:tcPr>
          <w:p w14:paraId="5C6A5A1F"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567</w:t>
            </w:r>
          </w:p>
        </w:tc>
        <w:tc>
          <w:tcPr>
            <w:tcW w:w="566" w:type="dxa"/>
            <w:textDirection w:val="btLr"/>
            <w:vAlign w:val="center"/>
          </w:tcPr>
          <w:p w14:paraId="77104661"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560</w:t>
            </w:r>
          </w:p>
        </w:tc>
        <w:tc>
          <w:tcPr>
            <w:tcW w:w="566" w:type="dxa"/>
            <w:textDirection w:val="btLr"/>
            <w:vAlign w:val="center"/>
          </w:tcPr>
          <w:p w14:paraId="4668DF63"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910</w:t>
            </w:r>
          </w:p>
        </w:tc>
        <w:tc>
          <w:tcPr>
            <w:tcW w:w="566" w:type="dxa"/>
            <w:textDirection w:val="btLr"/>
            <w:vAlign w:val="center"/>
          </w:tcPr>
          <w:p w14:paraId="404EC53D"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896</w:t>
            </w:r>
          </w:p>
        </w:tc>
        <w:tc>
          <w:tcPr>
            <w:tcW w:w="566" w:type="dxa"/>
            <w:textDirection w:val="btLr"/>
            <w:vAlign w:val="center"/>
          </w:tcPr>
          <w:p w14:paraId="28F17AB2"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1.226</w:t>
            </w:r>
          </w:p>
        </w:tc>
        <w:tc>
          <w:tcPr>
            <w:tcW w:w="566" w:type="dxa"/>
            <w:textDirection w:val="btLr"/>
            <w:vAlign w:val="center"/>
          </w:tcPr>
          <w:p w14:paraId="52FCC7B8"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1.193</w:t>
            </w:r>
          </w:p>
        </w:tc>
        <w:tc>
          <w:tcPr>
            <w:tcW w:w="566" w:type="dxa"/>
            <w:textDirection w:val="btLr"/>
            <w:vAlign w:val="center"/>
          </w:tcPr>
          <w:p w14:paraId="4686BB81"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1.503</w:t>
            </w:r>
          </w:p>
        </w:tc>
        <w:tc>
          <w:tcPr>
            <w:tcW w:w="566" w:type="dxa"/>
            <w:textDirection w:val="btLr"/>
            <w:vAlign w:val="center"/>
          </w:tcPr>
          <w:p w14:paraId="39D41FA7"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1.457</w:t>
            </w:r>
          </w:p>
        </w:tc>
        <w:tc>
          <w:tcPr>
            <w:tcW w:w="566" w:type="dxa"/>
            <w:textDirection w:val="btLr"/>
            <w:vAlign w:val="center"/>
          </w:tcPr>
          <w:p w14:paraId="19CF10B4"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1.734</w:t>
            </w:r>
          </w:p>
        </w:tc>
        <w:tc>
          <w:tcPr>
            <w:tcW w:w="566" w:type="dxa"/>
            <w:textDirection w:val="btLr"/>
            <w:vAlign w:val="center"/>
          </w:tcPr>
          <w:p w14:paraId="37C0845C"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eastAsia="hr-HR"/>
              </w:rPr>
            </w:pPr>
            <w:r w:rsidRPr="00EE1B6E">
              <w:rPr>
                <w:rFonts w:ascii="Tahoma" w:hAnsi="Tahoma" w:cs="Tahoma"/>
                <w:sz w:val="16"/>
                <w:szCs w:val="16"/>
                <w:lang w:eastAsia="hr-HR"/>
              </w:rPr>
              <w:t>1.674</w:t>
            </w:r>
          </w:p>
        </w:tc>
        <w:tc>
          <w:tcPr>
            <w:tcW w:w="829" w:type="dxa"/>
            <w:textDirection w:val="btLr"/>
            <w:vAlign w:val="center"/>
          </w:tcPr>
          <w:p w14:paraId="6FA29563" w14:textId="77777777" w:rsidR="0049413C" w:rsidRPr="00EE1B6E" w:rsidRDefault="0049413C" w:rsidP="00B16443">
            <w:pPr>
              <w:ind w:left="113" w:right="113"/>
              <w:jc w:val="center"/>
              <w:cnfStyle w:val="000000000000" w:firstRow="0" w:lastRow="0" w:firstColumn="0" w:lastColumn="0" w:oddVBand="0" w:evenVBand="0" w:oddHBand="0" w:evenHBand="0" w:firstRowFirstColumn="0" w:firstRowLastColumn="0" w:lastRowFirstColumn="0" w:lastRowLastColumn="0"/>
              <w:rPr>
                <w:rFonts w:ascii="Tahoma" w:hAnsi="Tahoma" w:cs="Tahoma"/>
                <w:b/>
                <w:bCs/>
                <w:sz w:val="16"/>
                <w:szCs w:val="16"/>
                <w:lang w:eastAsia="hr-HR"/>
              </w:rPr>
            </w:pPr>
            <w:r w:rsidRPr="00EE1B6E">
              <w:rPr>
                <w:rFonts w:ascii="Tahoma" w:hAnsi="Tahoma" w:cs="Tahoma"/>
                <w:b/>
                <w:bCs/>
                <w:sz w:val="16"/>
                <w:szCs w:val="16"/>
                <w:lang w:eastAsia="hr-HR"/>
              </w:rPr>
              <w:t>11.720</w:t>
            </w:r>
          </w:p>
        </w:tc>
      </w:tr>
    </w:tbl>
    <w:p w14:paraId="0214187B" w14:textId="13936121" w:rsidR="004949CA" w:rsidRPr="00EE1B6E" w:rsidRDefault="004949CA" w:rsidP="00EE1B6E">
      <w:pPr>
        <w:pBdr>
          <w:top w:val="single" w:sz="12" w:space="1" w:color="999999" w:themeColor="text1" w:themeTint="66"/>
          <w:left w:val="single" w:sz="12" w:space="4" w:color="999999" w:themeColor="text1" w:themeTint="66"/>
          <w:bottom w:val="single" w:sz="12" w:space="1" w:color="999999" w:themeColor="text1" w:themeTint="66"/>
          <w:right w:val="single" w:sz="12" w:space="4" w:color="999999" w:themeColor="text1" w:themeTint="66"/>
        </w:pBdr>
        <w:spacing w:before="120" w:after="120" w:line="240" w:lineRule="auto"/>
        <w:jc w:val="both"/>
        <w:rPr>
          <w:rFonts w:ascii="Tahoma" w:hAnsi="Tahoma" w:cs="Tahoma"/>
          <w:b/>
          <w:bCs/>
          <w:sz w:val="20"/>
          <w:szCs w:val="20"/>
        </w:rPr>
      </w:pPr>
      <w:r w:rsidRPr="00EE1B6E">
        <w:rPr>
          <w:rFonts w:ascii="Tahoma" w:hAnsi="Tahoma" w:cs="Tahoma"/>
          <w:b/>
          <w:bCs/>
          <w:sz w:val="20"/>
          <w:szCs w:val="20"/>
        </w:rPr>
        <w:t xml:space="preserve">Za postizanje ciljeva Dugoročne strategije u segmentu VSZ potrebno je do 2030. godine osigurati nešto 11,72 milijarde </w:t>
      </w:r>
      <w:r w:rsidR="0063313B">
        <w:rPr>
          <w:rFonts w:ascii="Tahoma" w:hAnsi="Tahoma" w:cs="Tahoma"/>
          <w:b/>
          <w:bCs/>
          <w:sz w:val="20"/>
          <w:szCs w:val="20"/>
        </w:rPr>
        <w:t>kuna</w:t>
      </w:r>
      <w:r w:rsidRPr="00EE1B6E">
        <w:rPr>
          <w:rFonts w:ascii="Tahoma" w:hAnsi="Tahoma" w:cs="Tahoma"/>
          <w:b/>
          <w:bCs/>
          <w:sz w:val="20"/>
          <w:szCs w:val="20"/>
        </w:rPr>
        <w:t xml:space="preserve"> za bespovratna sredstva iz javnih izvora. Tijekom prvog trogodišnjeg razdoblja nužno je raditi na pronalaženju novih izvora financiranja, što je primarni zadatak MPGI-a i HBOR-a. Posebno je potrebno istražiti mogućnosti ostvarivanja suradnje s domaćim i međunarodnim financijskim institucijama, kako bi se uz raspoloživa javna osigurala i dodatna sredstva.</w:t>
      </w:r>
    </w:p>
    <w:p w14:paraId="57FBDD3B" w14:textId="02F2387B" w:rsidR="004949CA" w:rsidRPr="00586018" w:rsidRDefault="004949CA" w:rsidP="004949CA">
      <w:pPr>
        <w:pStyle w:val="Naslov10"/>
        <w:ind w:left="709" w:hanging="709"/>
      </w:pPr>
      <w:bookmarkStart w:id="213" w:name="_Toc81836301"/>
      <w:bookmarkStart w:id="214" w:name="_Toc83912074"/>
      <w:r>
        <w:lastRenderedPageBreak/>
        <w:t>T</w:t>
      </w:r>
      <w:r w:rsidR="00586018" w:rsidRPr="00586018">
        <w:t>erminski plan provedbe projekata od strateškog značaja s naznačenim ključnim koracima i rokovima u provedbi</w:t>
      </w:r>
      <w:bookmarkEnd w:id="213"/>
      <w:bookmarkEnd w:id="214"/>
    </w:p>
    <w:p w14:paraId="74630343"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Model provedbe ovog Programa s ključnim koracima detaljno je raspisan u poglavlju 9. U sklopu ovog Programa ne definiraju se posebni projekti od strateškog značaja, ali se takvim projektima mogu smatrati pojedini dijelovi ovog Programa i to:</w:t>
      </w:r>
    </w:p>
    <w:p w14:paraId="15812897" w14:textId="77777777" w:rsidR="004949CA" w:rsidRPr="00EE1B6E" w:rsidRDefault="004949CA" w:rsidP="00EE1B6E">
      <w:pPr>
        <w:pStyle w:val="Odlomakpopisa"/>
        <w:numPr>
          <w:ilvl w:val="0"/>
          <w:numId w:val="46"/>
        </w:numPr>
        <w:spacing w:before="120" w:after="120"/>
        <w:rPr>
          <w:rFonts w:cs="Tahoma"/>
          <w:szCs w:val="20"/>
        </w:rPr>
      </w:pPr>
      <w:r w:rsidRPr="00EE1B6E">
        <w:rPr>
          <w:rFonts w:cs="Tahoma"/>
          <w:szCs w:val="20"/>
        </w:rPr>
        <w:t>obnova VSZ neoštećenih u potresu</w:t>
      </w:r>
    </w:p>
    <w:p w14:paraId="16FED717" w14:textId="77777777" w:rsidR="004949CA" w:rsidRPr="00EE1B6E" w:rsidRDefault="004949CA" w:rsidP="00EE1B6E">
      <w:pPr>
        <w:pStyle w:val="Odlomakpopisa"/>
        <w:numPr>
          <w:ilvl w:val="0"/>
          <w:numId w:val="46"/>
        </w:numPr>
        <w:spacing w:before="120" w:after="120"/>
        <w:rPr>
          <w:rFonts w:cs="Tahoma"/>
          <w:szCs w:val="20"/>
        </w:rPr>
      </w:pPr>
      <w:r w:rsidRPr="00EE1B6E">
        <w:rPr>
          <w:rFonts w:cs="Tahoma"/>
          <w:szCs w:val="20"/>
        </w:rPr>
        <w:t>obnova VSZ oštećenih u potresu i</w:t>
      </w:r>
    </w:p>
    <w:p w14:paraId="498E439A" w14:textId="384E09FC" w:rsidR="004949CA" w:rsidRPr="00EE1B6E" w:rsidRDefault="004949CA" w:rsidP="00EE1B6E">
      <w:pPr>
        <w:spacing w:before="120" w:after="120" w:line="240" w:lineRule="auto"/>
        <w:jc w:val="both"/>
        <w:rPr>
          <w:rFonts w:ascii="Tahoma" w:hAnsi="Tahoma" w:cs="Tahoma"/>
          <w:sz w:val="20"/>
          <w:szCs w:val="20"/>
        </w:rPr>
      </w:pPr>
      <w:r w:rsidRPr="00EE1B6E">
        <w:rPr>
          <w:rFonts w:ascii="Tahoma" w:hAnsi="Tahoma" w:cs="Tahoma"/>
          <w:sz w:val="20"/>
          <w:szCs w:val="20"/>
        </w:rPr>
        <w:t xml:space="preserve">Treća komponenta ovoga Programa, a to je osiguravanje financijske potpore građanima u riziku od energetskog siromaštva, koji su suvlasnici zgrada koje se obnavljaju, ne smatra se posebnim projektom odnosno modelom, već nadogradnjom ovih modela s ciljem suzbijanja </w:t>
      </w:r>
      <w:r w:rsidR="00490F0E" w:rsidRPr="00EE1B6E">
        <w:rPr>
          <w:rFonts w:ascii="Tahoma" w:hAnsi="Tahoma" w:cs="Tahoma"/>
          <w:sz w:val="20"/>
          <w:szCs w:val="20"/>
        </w:rPr>
        <w:t>energetskog</w:t>
      </w:r>
      <w:r w:rsidRPr="00EE1B6E">
        <w:rPr>
          <w:rFonts w:ascii="Tahoma" w:hAnsi="Tahoma" w:cs="Tahoma"/>
          <w:sz w:val="20"/>
          <w:szCs w:val="20"/>
        </w:rPr>
        <w:t xml:space="preserve"> siromaštva. Provedba te komponente započet će se provoditi tek u drugom trogodišnjem razdoblju provedbe ovoga Programa.    </w:t>
      </w:r>
    </w:p>
    <w:p w14:paraId="71C45843" w14:textId="00D6BD3D" w:rsidR="004949CA" w:rsidRPr="00EE1B6E" w:rsidRDefault="0C3F4C7D" w:rsidP="00EE1B6E">
      <w:pPr>
        <w:spacing w:before="120" w:after="120" w:line="240" w:lineRule="auto"/>
        <w:jc w:val="both"/>
        <w:rPr>
          <w:rFonts w:ascii="Tahoma" w:hAnsi="Tahoma" w:cs="Tahoma"/>
          <w:noProof/>
          <w:sz w:val="20"/>
          <w:szCs w:val="20"/>
          <w:lang w:eastAsia="hr-HR"/>
        </w:rPr>
      </w:pPr>
      <w:r w:rsidRPr="638C4C38">
        <w:rPr>
          <w:rFonts w:ascii="Tahoma" w:hAnsi="Tahoma" w:cs="Tahoma"/>
          <w:noProof/>
          <w:sz w:val="20"/>
          <w:szCs w:val="20"/>
          <w:lang w:eastAsia="hr-HR"/>
        </w:rPr>
        <w:t xml:space="preserve">Terminski plan provedbe svih ovih dijelova Programa uključuje cijelo desetogodišnje razdoblje od 2021. do 2030. godine, a efektivno provedba konkretnih aktivnosti započet će nakon usvajanja Programa, dakle 2022. godine. Pri tome je izuzetno bitno još jednom istaknuti da se mora osigurati kontinuirana provedba Programa, što znači da se mora osigurati da se javni pozivi za sufinaciranje otvaraju redovno svake godine i to poželjno na početku godine, kako bi se omogućilo što brže izvođenje radova.  </w:t>
      </w:r>
    </w:p>
    <w:tbl>
      <w:tblPr>
        <w:tblStyle w:val="Svijetlatablicareetke110"/>
        <w:tblW w:w="5000" w:type="pct"/>
        <w:tblLook w:val="04A0" w:firstRow="1" w:lastRow="0" w:firstColumn="1" w:lastColumn="0" w:noHBand="0" w:noVBand="1"/>
      </w:tblPr>
      <w:tblGrid>
        <w:gridCol w:w="4531"/>
        <w:gridCol w:w="4531"/>
      </w:tblGrid>
      <w:tr w:rsidR="004949CA" w:rsidRPr="00EE1B6E" w14:paraId="66C4E583"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tcPr>
          <w:p w14:paraId="147B0312"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sz w:val="18"/>
                <w:szCs w:val="18"/>
                <w:lang w:eastAsia="hr-HR"/>
              </w:rPr>
              <w:t>Posebni cilj 1:</w:t>
            </w:r>
          </w:p>
          <w:p w14:paraId="5BF1CFFC" w14:textId="103950FD" w:rsidR="004949CA" w:rsidRPr="00EE1B6E" w:rsidRDefault="004949CA" w:rsidP="00331A63">
            <w:pPr>
              <w:spacing w:after="60"/>
              <w:rPr>
                <w:rFonts w:ascii="Tahoma" w:hAnsi="Tahoma" w:cs="Tahoma"/>
                <w:sz w:val="18"/>
                <w:szCs w:val="18"/>
                <w:lang w:eastAsia="hr-HR"/>
              </w:rPr>
            </w:pPr>
            <w:r w:rsidRPr="00EE1B6E">
              <w:rPr>
                <w:rFonts w:ascii="Tahoma" w:hAnsi="Tahoma" w:cs="Tahoma"/>
                <w:b w:val="0"/>
                <w:bCs w:val="0"/>
                <w:sz w:val="18"/>
                <w:szCs w:val="18"/>
                <w:lang w:eastAsia="hr-HR"/>
              </w:rPr>
              <w:t xml:space="preserve">Energetska i sveobuhvatna obnova VSZ u razdoblju 2021. do 2030. </w:t>
            </w:r>
          </w:p>
        </w:tc>
      </w:tr>
      <w:tr w:rsidR="004949CA" w:rsidRPr="00EE1B6E" w14:paraId="36A2E6C6"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2AA5D32B" w14:textId="77777777" w:rsidR="004949CA" w:rsidRPr="00EE1B6E" w:rsidRDefault="004949CA" w:rsidP="00331A63">
            <w:pPr>
              <w:spacing w:after="60"/>
              <w:rPr>
                <w:rFonts w:ascii="Tahoma" w:hAnsi="Tahoma" w:cs="Tahoma"/>
                <w:sz w:val="18"/>
                <w:szCs w:val="18"/>
                <w:lang w:eastAsia="hr-HR"/>
              </w:rPr>
            </w:pPr>
            <w:r w:rsidRPr="00EE1B6E">
              <w:rPr>
                <w:rFonts w:ascii="Tahoma" w:hAnsi="Tahoma" w:cs="Tahoma"/>
                <w:sz w:val="18"/>
                <w:szCs w:val="18"/>
                <w:lang w:eastAsia="hr-HR"/>
              </w:rPr>
              <w:t xml:space="preserve">Projekt od strateškog značaja 1: </w:t>
            </w:r>
            <w:r w:rsidRPr="00EE1B6E">
              <w:rPr>
                <w:rFonts w:ascii="Tahoma" w:hAnsi="Tahoma" w:cs="Tahoma"/>
                <w:b w:val="0"/>
                <w:bCs w:val="0"/>
                <w:sz w:val="18"/>
                <w:szCs w:val="18"/>
                <w:lang w:eastAsia="hr-HR"/>
              </w:rPr>
              <w:t>Energetska i sveobuhvatna obnova VSZ neoštećenih u potresu</w:t>
            </w:r>
          </w:p>
        </w:tc>
      </w:tr>
      <w:tr w:rsidR="004949CA" w:rsidRPr="00EE1B6E" w14:paraId="09E78295"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227BFEB7"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 xml:space="preserve">Kratki opis projekta: Sufinanciranje obnove bespovratnim sredstvima od 60 do 85% </w:t>
            </w:r>
          </w:p>
        </w:tc>
      </w:tr>
      <w:tr w:rsidR="004949CA" w:rsidRPr="00EE1B6E" w14:paraId="40284ED8" w14:textId="77777777" w:rsidTr="00331A63">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11894847"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Datum početka provedbe: 2022.</w:t>
            </w:r>
          </w:p>
        </w:tc>
        <w:tc>
          <w:tcPr>
            <w:tcW w:w="2500" w:type="pct"/>
            <w:shd w:val="clear" w:color="auto" w:fill="auto"/>
          </w:tcPr>
          <w:p w14:paraId="5AA67D78" w14:textId="77777777" w:rsidR="004949CA" w:rsidRPr="00EE1B6E" w:rsidRDefault="004949CA" w:rsidP="00331A63">
            <w:pPr>
              <w:spacing w:after="6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E1B6E">
              <w:rPr>
                <w:rFonts w:ascii="Tahoma" w:hAnsi="Tahoma" w:cs="Tahoma"/>
                <w:sz w:val="18"/>
                <w:szCs w:val="18"/>
                <w:lang w:eastAsia="hr-HR"/>
              </w:rPr>
              <w:t>Datum završetka provedbe: 2030.</w:t>
            </w:r>
          </w:p>
        </w:tc>
      </w:tr>
      <w:tr w:rsidR="004949CA" w:rsidRPr="00EE1B6E" w14:paraId="0382C82E" w14:textId="77777777" w:rsidTr="00331A63">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65657DAC"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Ključna točka ostvarenja 2024.: 1,57 milijuna m</w:t>
            </w:r>
            <w:r w:rsidRPr="00EE1B6E">
              <w:rPr>
                <w:rFonts w:ascii="Tahoma" w:hAnsi="Tahoma" w:cs="Tahoma"/>
                <w:b w:val="0"/>
                <w:bCs w:val="0"/>
                <w:sz w:val="18"/>
                <w:szCs w:val="18"/>
                <w:vertAlign w:val="superscript"/>
                <w:lang w:eastAsia="hr-HR"/>
              </w:rPr>
              <w:t>2</w:t>
            </w:r>
          </w:p>
        </w:tc>
        <w:tc>
          <w:tcPr>
            <w:tcW w:w="2500" w:type="pct"/>
            <w:shd w:val="clear" w:color="auto" w:fill="auto"/>
          </w:tcPr>
          <w:p w14:paraId="01931B16" w14:textId="77777777" w:rsidR="004949CA" w:rsidRPr="00EE1B6E" w:rsidRDefault="004949CA" w:rsidP="00331A63">
            <w:pPr>
              <w:spacing w:after="6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eastAsia="hr-HR"/>
              </w:rPr>
            </w:pPr>
            <w:r w:rsidRPr="00EE1B6E">
              <w:rPr>
                <w:rFonts w:ascii="Tahoma" w:hAnsi="Tahoma" w:cs="Tahoma"/>
                <w:sz w:val="18"/>
                <w:szCs w:val="18"/>
                <w:lang w:eastAsia="hr-HR"/>
              </w:rPr>
              <w:t>Ključna točka ostvarenja 2030.: 6,27 milijuna m</w:t>
            </w:r>
            <w:r w:rsidRPr="00EE1B6E">
              <w:rPr>
                <w:rFonts w:ascii="Tahoma" w:hAnsi="Tahoma" w:cs="Tahoma"/>
                <w:sz w:val="18"/>
                <w:szCs w:val="18"/>
                <w:vertAlign w:val="superscript"/>
                <w:lang w:eastAsia="hr-HR"/>
              </w:rPr>
              <w:t>2</w:t>
            </w:r>
          </w:p>
        </w:tc>
      </w:tr>
      <w:tr w:rsidR="004949CA" w:rsidRPr="00EE1B6E" w14:paraId="5E648DC6"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4B462E21" w14:textId="1801FB58"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 xml:space="preserve">Ukupna procijenjena vrijednost projekta: (s PDV-om): 17,2 milijardi </w:t>
            </w:r>
            <w:r w:rsidR="0063313B">
              <w:rPr>
                <w:rFonts w:ascii="Tahoma" w:hAnsi="Tahoma" w:cs="Tahoma"/>
                <w:b w:val="0"/>
                <w:bCs w:val="0"/>
                <w:sz w:val="18"/>
                <w:szCs w:val="18"/>
                <w:lang w:eastAsia="hr-HR"/>
              </w:rPr>
              <w:t>kuna</w:t>
            </w:r>
          </w:p>
        </w:tc>
      </w:tr>
      <w:tr w:rsidR="004949CA" w:rsidRPr="00EE1B6E" w14:paraId="55BF793A"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12" w:space="0" w:color="999999" w:themeColor="text1" w:themeTint="66"/>
            </w:tcBorders>
            <w:shd w:val="clear" w:color="auto" w:fill="auto"/>
          </w:tcPr>
          <w:p w14:paraId="529FC117"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 xml:space="preserve">Planirani izvori financiranja: Mehanizam za oporavak i otpornost - NPOO i novi OPKK (ESI fondovi) za razdoblje od 2021. do 2027. </w:t>
            </w:r>
          </w:p>
        </w:tc>
      </w:tr>
      <w:tr w:rsidR="004949CA" w:rsidRPr="00EE1B6E" w14:paraId="1EF293BC"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999999" w:themeColor="text1" w:themeTint="66"/>
            </w:tcBorders>
            <w:shd w:val="clear" w:color="auto" w:fill="auto"/>
          </w:tcPr>
          <w:p w14:paraId="2D9A9929"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sz w:val="18"/>
                <w:szCs w:val="18"/>
                <w:lang w:eastAsia="hr-HR"/>
              </w:rPr>
              <w:t xml:space="preserve">Projekt od strateškog značaja 2: </w:t>
            </w:r>
            <w:r w:rsidRPr="00EE1B6E">
              <w:rPr>
                <w:rFonts w:ascii="Tahoma" w:hAnsi="Tahoma" w:cs="Tahoma"/>
                <w:b w:val="0"/>
                <w:bCs w:val="0"/>
                <w:sz w:val="18"/>
                <w:szCs w:val="18"/>
                <w:lang w:eastAsia="hr-HR"/>
              </w:rPr>
              <w:t>Energetska obnova VSZ oštećenih u potresu</w:t>
            </w:r>
          </w:p>
        </w:tc>
      </w:tr>
      <w:tr w:rsidR="004949CA" w:rsidRPr="00EE1B6E" w14:paraId="1EA0577C"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5B1A64F8"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 xml:space="preserve">Kratki opis projekta: Integracija energetske obnove uz konstrukcijsku poslije potresnu obnovu </w:t>
            </w:r>
          </w:p>
        </w:tc>
      </w:tr>
      <w:tr w:rsidR="004949CA" w:rsidRPr="00EE1B6E" w14:paraId="4E34CA0D" w14:textId="77777777" w:rsidTr="00331A63">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0848FE47" w14:textId="77777777" w:rsidR="004949CA" w:rsidRPr="00EE1B6E" w:rsidRDefault="004949CA" w:rsidP="00331A63">
            <w:pPr>
              <w:spacing w:after="60"/>
              <w:rPr>
                <w:rFonts w:ascii="Tahoma" w:hAnsi="Tahoma" w:cs="Tahoma"/>
                <w:sz w:val="18"/>
                <w:szCs w:val="18"/>
                <w:lang w:eastAsia="hr-HR"/>
              </w:rPr>
            </w:pPr>
            <w:r w:rsidRPr="00EE1B6E">
              <w:rPr>
                <w:rFonts w:ascii="Tahoma" w:hAnsi="Tahoma" w:cs="Tahoma"/>
                <w:b w:val="0"/>
                <w:bCs w:val="0"/>
                <w:sz w:val="18"/>
                <w:szCs w:val="18"/>
                <w:lang w:eastAsia="hr-HR"/>
              </w:rPr>
              <w:t>Datum početka provedbe: 2022.</w:t>
            </w:r>
          </w:p>
        </w:tc>
        <w:tc>
          <w:tcPr>
            <w:tcW w:w="2500" w:type="pct"/>
            <w:shd w:val="clear" w:color="auto" w:fill="auto"/>
          </w:tcPr>
          <w:p w14:paraId="734F8F2E" w14:textId="77777777" w:rsidR="004949CA" w:rsidRPr="00EE1B6E" w:rsidRDefault="004949CA" w:rsidP="00331A63">
            <w:pPr>
              <w:spacing w:after="60"/>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EE1B6E">
              <w:rPr>
                <w:rFonts w:ascii="Tahoma" w:hAnsi="Tahoma" w:cs="Tahoma"/>
                <w:sz w:val="18"/>
                <w:szCs w:val="18"/>
                <w:lang w:eastAsia="hr-HR"/>
              </w:rPr>
              <w:t>Datum završetka provedbe: 2030.</w:t>
            </w:r>
          </w:p>
        </w:tc>
      </w:tr>
      <w:tr w:rsidR="004949CA" w:rsidRPr="00EE1B6E" w14:paraId="0E292171" w14:textId="77777777" w:rsidTr="00331A63">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5A3835C1" w14:textId="77777777" w:rsidR="004949CA" w:rsidRPr="00EE1B6E" w:rsidRDefault="004949CA" w:rsidP="00331A63">
            <w:pPr>
              <w:spacing w:after="60"/>
              <w:rPr>
                <w:rFonts w:ascii="Tahoma" w:hAnsi="Tahoma" w:cs="Tahoma"/>
                <w:sz w:val="18"/>
                <w:szCs w:val="18"/>
                <w:lang w:eastAsia="hr-HR"/>
              </w:rPr>
            </w:pPr>
            <w:r w:rsidRPr="00EE1B6E">
              <w:rPr>
                <w:rFonts w:ascii="Tahoma" w:hAnsi="Tahoma" w:cs="Tahoma"/>
                <w:b w:val="0"/>
                <w:bCs w:val="0"/>
                <w:sz w:val="18"/>
                <w:szCs w:val="18"/>
                <w:lang w:eastAsia="hr-HR"/>
              </w:rPr>
              <w:t xml:space="preserve">Ključna točke ostvarenja 2024.: </w:t>
            </w:r>
            <w:proofErr w:type="spellStart"/>
            <w:r w:rsidRPr="00EE1B6E">
              <w:rPr>
                <w:rFonts w:ascii="Tahoma" w:hAnsi="Tahoma" w:cs="Tahoma"/>
                <w:b w:val="0"/>
                <w:bCs w:val="0"/>
                <w:sz w:val="18"/>
                <w:szCs w:val="18"/>
                <w:lang w:eastAsia="hr-HR"/>
              </w:rPr>
              <w:t>n.d</w:t>
            </w:r>
            <w:proofErr w:type="spellEnd"/>
            <w:r w:rsidRPr="00EE1B6E">
              <w:rPr>
                <w:rFonts w:ascii="Tahoma" w:hAnsi="Tahoma" w:cs="Tahoma"/>
                <w:b w:val="0"/>
                <w:bCs w:val="0"/>
                <w:sz w:val="18"/>
                <w:szCs w:val="18"/>
                <w:lang w:eastAsia="hr-HR"/>
              </w:rPr>
              <w:t>.</w:t>
            </w:r>
          </w:p>
        </w:tc>
        <w:tc>
          <w:tcPr>
            <w:tcW w:w="2500" w:type="pct"/>
            <w:shd w:val="clear" w:color="auto" w:fill="auto"/>
          </w:tcPr>
          <w:p w14:paraId="39730F92" w14:textId="77777777" w:rsidR="004949CA" w:rsidRPr="00EE1B6E" w:rsidRDefault="004949CA" w:rsidP="00331A63">
            <w:pPr>
              <w:spacing w:after="60"/>
              <w:cnfStyle w:val="000000000000" w:firstRow="0" w:lastRow="0" w:firstColumn="0" w:lastColumn="0" w:oddVBand="0" w:evenVBand="0" w:oddHBand="0" w:evenHBand="0" w:firstRowFirstColumn="0" w:firstRowLastColumn="0" w:lastRowFirstColumn="0" w:lastRowLastColumn="0"/>
              <w:rPr>
                <w:rFonts w:ascii="Tahoma" w:hAnsi="Tahoma" w:cs="Tahoma"/>
                <w:b/>
                <w:bCs/>
                <w:sz w:val="18"/>
                <w:szCs w:val="18"/>
                <w:lang w:eastAsia="hr-HR"/>
              </w:rPr>
            </w:pPr>
            <w:r w:rsidRPr="00EE1B6E">
              <w:rPr>
                <w:rFonts w:ascii="Tahoma" w:hAnsi="Tahoma" w:cs="Tahoma"/>
                <w:sz w:val="18"/>
                <w:szCs w:val="18"/>
                <w:lang w:eastAsia="hr-HR"/>
              </w:rPr>
              <w:t xml:space="preserve">Ključna točke ostvarenja 2030.: </w:t>
            </w:r>
            <w:proofErr w:type="spellStart"/>
            <w:r w:rsidRPr="00EE1B6E">
              <w:rPr>
                <w:rFonts w:ascii="Tahoma" w:hAnsi="Tahoma" w:cs="Tahoma"/>
                <w:sz w:val="18"/>
                <w:szCs w:val="18"/>
                <w:lang w:eastAsia="hr-HR"/>
              </w:rPr>
              <w:t>n.d</w:t>
            </w:r>
            <w:proofErr w:type="spellEnd"/>
            <w:r w:rsidRPr="00EE1B6E">
              <w:rPr>
                <w:rFonts w:ascii="Tahoma" w:hAnsi="Tahoma" w:cs="Tahoma"/>
                <w:sz w:val="18"/>
                <w:szCs w:val="18"/>
                <w:lang w:eastAsia="hr-HR"/>
              </w:rPr>
              <w:t>.</w:t>
            </w:r>
          </w:p>
        </w:tc>
      </w:tr>
      <w:tr w:rsidR="004949CA" w:rsidRPr="00EE1B6E" w14:paraId="793F05AE"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5AF4B7E0"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Ukupna procijenjena vrijednost projekta: (s PDV-om): nije moguće procijeniti (obuhvaćeno kroz strateški projekt 1)</w:t>
            </w:r>
          </w:p>
        </w:tc>
      </w:tr>
      <w:tr w:rsidR="004949CA" w:rsidRPr="00EE1B6E" w14:paraId="39BCA349" w14:textId="77777777" w:rsidTr="00331A63">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12" w:space="0" w:color="999999" w:themeColor="text1" w:themeTint="66"/>
            </w:tcBorders>
            <w:shd w:val="clear" w:color="auto" w:fill="auto"/>
          </w:tcPr>
          <w:p w14:paraId="01C9E757" w14:textId="77777777" w:rsidR="004949CA" w:rsidRPr="00EE1B6E" w:rsidRDefault="004949CA" w:rsidP="00331A63">
            <w:pPr>
              <w:spacing w:after="60"/>
              <w:rPr>
                <w:rFonts w:ascii="Tahoma" w:hAnsi="Tahoma" w:cs="Tahoma"/>
                <w:b w:val="0"/>
                <w:bCs w:val="0"/>
                <w:sz w:val="18"/>
                <w:szCs w:val="18"/>
                <w:lang w:eastAsia="hr-HR"/>
              </w:rPr>
            </w:pPr>
            <w:r w:rsidRPr="00EE1B6E">
              <w:rPr>
                <w:rFonts w:ascii="Tahoma" w:hAnsi="Tahoma" w:cs="Tahoma"/>
                <w:b w:val="0"/>
                <w:bCs w:val="0"/>
                <w:sz w:val="18"/>
                <w:szCs w:val="18"/>
                <w:lang w:eastAsia="hr-HR"/>
              </w:rPr>
              <w:t>Planirani izvori financiranja: Mehanizam za oporavak i otpornost - NPOO</w:t>
            </w:r>
          </w:p>
        </w:tc>
      </w:tr>
    </w:tbl>
    <w:p w14:paraId="14D10795" w14:textId="159F3F92" w:rsidR="004949CA" w:rsidRPr="00586018" w:rsidRDefault="004949CA" w:rsidP="004949CA">
      <w:pPr>
        <w:pStyle w:val="Naslov10"/>
        <w:ind w:left="709" w:hanging="709"/>
      </w:pPr>
      <w:bookmarkStart w:id="215" w:name="_Toc81836302"/>
      <w:bookmarkStart w:id="216" w:name="_Toc83912075"/>
      <w:r>
        <w:lastRenderedPageBreak/>
        <w:t>P</w:t>
      </w:r>
      <w:r w:rsidR="00586018" w:rsidRPr="00586018">
        <w:t>rocjena očekivane uštede energije i širih koristi u skladu s dugoročnom strategijom</w:t>
      </w:r>
      <w:bookmarkEnd w:id="215"/>
      <w:bookmarkEnd w:id="216"/>
    </w:p>
    <w:p w14:paraId="321CA45D" w14:textId="77777777" w:rsidR="004949CA" w:rsidRDefault="004949CA" w:rsidP="004949CA">
      <w:pPr>
        <w:pStyle w:val="Naslov20"/>
      </w:pPr>
      <w:bookmarkStart w:id="217" w:name="_Toc72156291"/>
      <w:bookmarkStart w:id="218" w:name="_Toc81836303"/>
      <w:bookmarkStart w:id="219" w:name="_Toc83912076"/>
      <w:r>
        <w:t>Očekivane uštede energije, smanjenje emisija CO</w:t>
      </w:r>
      <w:r w:rsidRPr="00BF0B2D">
        <w:rPr>
          <w:vertAlign w:val="subscript"/>
        </w:rPr>
        <w:t>2</w:t>
      </w:r>
      <w:r>
        <w:t xml:space="preserve"> i doprinos nacionalnim energetskim i klimatskim ciljevima do 2030. godine</w:t>
      </w:r>
      <w:bookmarkEnd w:id="217"/>
      <w:bookmarkEnd w:id="218"/>
      <w:bookmarkEnd w:id="219"/>
    </w:p>
    <w:p w14:paraId="0FDA5755" w14:textId="1E0F994E"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U poglavlju 3.2. utvrđeno je da se provedbom ovog Programa na način da se ostvare ciljane površine obnovljenih VSZ prema Dugoročnoj strategiji mogu ostvariti uštede u neposrednoj potrošnji energije u 2030. godine u iznosu od 518,16 GWh, a primarne energije u iznosu 658,66 (</w:t>
      </w:r>
      <w:r w:rsidR="00BA7AA5">
        <w:rPr>
          <w:rFonts w:ascii="Tahoma" w:hAnsi="Tahoma" w:cs="Tahoma"/>
          <w:sz w:val="20"/>
          <w:szCs w:val="20"/>
          <w:lang w:eastAsia="hr-HR"/>
        </w:rPr>
        <w:fldChar w:fldCharType="begin"/>
      </w:r>
      <w:r w:rsidR="00BA7AA5">
        <w:rPr>
          <w:rFonts w:ascii="Tahoma" w:hAnsi="Tahoma" w:cs="Tahoma"/>
          <w:sz w:val="20"/>
          <w:szCs w:val="20"/>
          <w:lang w:eastAsia="hr-HR"/>
        </w:rPr>
        <w:instrText xml:space="preserve"> REF _Ref83115503 \h </w:instrText>
      </w:r>
      <w:r w:rsidR="00BA7AA5">
        <w:rPr>
          <w:rFonts w:ascii="Tahoma" w:hAnsi="Tahoma" w:cs="Tahoma"/>
          <w:sz w:val="20"/>
          <w:szCs w:val="20"/>
          <w:lang w:eastAsia="hr-HR"/>
        </w:rPr>
      </w:r>
      <w:r w:rsidR="00BA7AA5">
        <w:rPr>
          <w:rFonts w:ascii="Tahoma" w:hAnsi="Tahoma" w:cs="Tahoma"/>
          <w:sz w:val="20"/>
          <w:szCs w:val="20"/>
          <w:lang w:eastAsia="hr-HR"/>
        </w:rPr>
        <w:fldChar w:fldCharType="separate"/>
      </w:r>
      <w:r w:rsidR="00575AF9" w:rsidRPr="00DE7F43">
        <w:t xml:space="preserve">Tablica </w:t>
      </w:r>
      <w:r w:rsidR="00575AF9">
        <w:rPr>
          <w:noProof/>
        </w:rPr>
        <w:t>3</w:t>
      </w:r>
      <w:r w:rsidR="00575AF9">
        <w:noBreakHyphen/>
      </w:r>
      <w:r w:rsidR="00575AF9">
        <w:rPr>
          <w:noProof/>
        </w:rPr>
        <w:t>16</w:t>
      </w:r>
      <w:r w:rsidR="00BA7AA5">
        <w:rPr>
          <w:rFonts w:ascii="Tahoma" w:hAnsi="Tahoma" w:cs="Tahoma"/>
          <w:sz w:val="20"/>
          <w:szCs w:val="20"/>
          <w:lang w:eastAsia="hr-HR"/>
        </w:rPr>
        <w:fldChar w:fldCharType="end"/>
      </w:r>
      <w:r w:rsidRPr="00EE1B6E">
        <w:rPr>
          <w:rFonts w:ascii="Tahoma" w:hAnsi="Tahoma" w:cs="Tahoma"/>
          <w:sz w:val="20"/>
          <w:szCs w:val="20"/>
          <w:lang w:eastAsia="hr-HR"/>
        </w:rPr>
        <w:t>).</w:t>
      </w:r>
    </w:p>
    <w:p w14:paraId="46551FA9" w14:textId="12030679"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Također je utvrđeno da bi kumulativne uštede energije u razdoblju od 2021. do 2030. godine u tom slučaju mogle iznositi 2.348,0 GWh, što predstavlja oko 22,5% nacionalnog cilja kumulativnih ušteda energije iz alternativnih mjera politike odnosno 6,8% ukupnog nacionalnog cilja, prema članku 7. Direktive o energetskoj učinkovitosti (</w:t>
      </w:r>
      <w:r w:rsidR="00BA7AA5">
        <w:rPr>
          <w:rFonts w:ascii="Tahoma" w:hAnsi="Tahoma" w:cs="Tahoma"/>
          <w:sz w:val="20"/>
          <w:szCs w:val="20"/>
          <w:lang w:eastAsia="hr-HR"/>
        </w:rPr>
        <w:fldChar w:fldCharType="begin"/>
      </w:r>
      <w:r w:rsidR="00BA7AA5">
        <w:rPr>
          <w:rFonts w:ascii="Tahoma" w:hAnsi="Tahoma" w:cs="Tahoma"/>
          <w:sz w:val="20"/>
          <w:szCs w:val="20"/>
          <w:lang w:eastAsia="hr-HR"/>
        </w:rPr>
        <w:instrText xml:space="preserve"> REF _Ref83115033 \h </w:instrText>
      </w:r>
      <w:r w:rsidR="00BA7AA5">
        <w:rPr>
          <w:rFonts w:ascii="Tahoma" w:hAnsi="Tahoma" w:cs="Tahoma"/>
          <w:sz w:val="20"/>
          <w:szCs w:val="20"/>
          <w:lang w:eastAsia="hr-HR"/>
        </w:rPr>
      </w:r>
      <w:r w:rsidR="00BA7AA5">
        <w:rPr>
          <w:rFonts w:ascii="Tahoma" w:hAnsi="Tahoma" w:cs="Tahoma"/>
          <w:sz w:val="20"/>
          <w:szCs w:val="20"/>
          <w:lang w:eastAsia="hr-HR"/>
        </w:rPr>
        <w:fldChar w:fldCharType="separate"/>
      </w:r>
      <w:r w:rsidR="00575AF9" w:rsidRPr="00DE7F43">
        <w:t xml:space="preserve">Tablica </w:t>
      </w:r>
      <w:r w:rsidR="00575AF9">
        <w:rPr>
          <w:noProof/>
        </w:rPr>
        <w:t>3</w:t>
      </w:r>
      <w:r w:rsidR="00575AF9">
        <w:noBreakHyphen/>
      </w:r>
      <w:r w:rsidR="00575AF9">
        <w:rPr>
          <w:noProof/>
        </w:rPr>
        <w:t>17</w:t>
      </w:r>
      <w:r w:rsidR="00BA7AA5">
        <w:rPr>
          <w:rFonts w:ascii="Tahoma" w:hAnsi="Tahoma" w:cs="Tahoma"/>
          <w:sz w:val="20"/>
          <w:szCs w:val="20"/>
          <w:lang w:eastAsia="hr-HR"/>
        </w:rPr>
        <w:fldChar w:fldCharType="end"/>
      </w:r>
      <w:r w:rsidRPr="00EE1B6E">
        <w:rPr>
          <w:rFonts w:ascii="Tahoma" w:hAnsi="Tahoma" w:cs="Tahoma"/>
          <w:sz w:val="20"/>
          <w:szCs w:val="20"/>
          <w:lang w:eastAsia="hr-HR"/>
        </w:rPr>
        <w:t xml:space="preserve">). </w:t>
      </w:r>
    </w:p>
    <w:p w14:paraId="4AAC70AF"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No, temeljna pretpostavka za dobivanje ovih rezultata bila je da će se ostvarivati stope obnove predviđene Dugoročnom strategijom. </w:t>
      </w:r>
    </w:p>
    <w:p w14:paraId="546BBEB1" w14:textId="126E038F" w:rsidR="004949CA" w:rsidRPr="00EE1B6E" w:rsidRDefault="004949CA" w:rsidP="00EE1B6E">
      <w:pPr>
        <w:spacing w:before="120" w:after="120" w:line="240" w:lineRule="auto"/>
        <w:jc w:val="both"/>
        <w:rPr>
          <w:rFonts w:ascii="Tahoma" w:hAnsi="Tahoma" w:cs="Tahoma"/>
          <w:color w:val="FF0000"/>
          <w:sz w:val="20"/>
          <w:szCs w:val="20"/>
          <w:lang w:eastAsia="hr-HR"/>
        </w:rPr>
      </w:pPr>
      <w:r w:rsidRPr="00EE1B6E">
        <w:rPr>
          <w:rFonts w:ascii="Tahoma" w:hAnsi="Tahoma" w:cs="Tahoma"/>
          <w:sz w:val="20"/>
          <w:szCs w:val="20"/>
          <w:lang w:eastAsia="hr-HR"/>
        </w:rPr>
        <w:t>Analiza dostupnih financijskih sredstva za osiguranje bespovratnih sredstava suvlasnicima VSZ dana u poglavlju 11</w:t>
      </w:r>
      <w:r w:rsidR="00EE3B66">
        <w:rPr>
          <w:rFonts w:ascii="Tahoma" w:hAnsi="Tahoma" w:cs="Tahoma"/>
          <w:sz w:val="20"/>
          <w:szCs w:val="20"/>
          <w:lang w:eastAsia="hr-HR"/>
        </w:rPr>
        <w:t>.</w:t>
      </w:r>
      <w:r w:rsidRPr="00EE1B6E">
        <w:rPr>
          <w:rFonts w:ascii="Tahoma" w:hAnsi="Tahoma" w:cs="Tahoma"/>
          <w:sz w:val="20"/>
          <w:szCs w:val="20"/>
          <w:lang w:eastAsia="hr-HR"/>
        </w:rPr>
        <w:t>, pokazala je da su ona, prema trenutno raspoloživim podatcima, znatno manja od potrebnih</w:t>
      </w:r>
      <w:r w:rsidRPr="00D30240">
        <w:rPr>
          <w:rFonts w:ascii="Tahoma" w:hAnsi="Tahoma" w:cs="Tahoma"/>
          <w:sz w:val="20"/>
          <w:szCs w:val="20"/>
          <w:lang w:eastAsia="hr-HR"/>
        </w:rPr>
        <w:t>.</w:t>
      </w:r>
      <w:r w:rsidRPr="00EE1B6E">
        <w:rPr>
          <w:rFonts w:ascii="Tahoma" w:hAnsi="Tahoma" w:cs="Tahoma"/>
          <w:color w:val="FF0000"/>
          <w:sz w:val="20"/>
          <w:szCs w:val="20"/>
          <w:lang w:eastAsia="hr-HR"/>
        </w:rPr>
        <w:t xml:space="preserve"> </w:t>
      </w:r>
    </w:p>
    <w:p w14:paraId="447F7354" w14:textId="190E2101"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Zbog toga će se izračun ušteda ponoviti uz pretpostavljene obnovljene površine koje odgovaraju trenutno raspoloživim sredstvima (1,75 milijardi </w:t>
      </w:r>
      <w:r w:rsidR="0063313B">
        <w:rPr>
          <w:rFonts w:ascii="Tahoma" w:hAnsi="Tahoma" w:cs="Tahoma"/>
          <w:sz w:val="20"/>
          <w:szCs w:val="20"/>
          <w:lang w:eastAsia="hr-HR"/>
        </w:rPr>
        <w:t>kuna</w:t>
      </w:r>
      <w:r w:rsidRPr="00EE1B6E">
        <w:rPr>
          <w:rFonts w:ascii="Tahoma" w:hAnsi="Tahoma" w:cs="Tahoma"/>
          <w:sz w:val="20"/>
          <w:szCs w:val="20"/>
          <w:lang w:eastAsia="hr-HR"/>
        </w:rPr>
        <w:t xml:space="preserve"> iz NPOO). Izračun se radi samo za prve tri godine provedbe (do kraja 2024.), s pretpostavljenim ovim raspoloživim iznosom te se uspoređuje s ciljanim vrijednostima za tu godinu. </w:t>
      </w:r>
    </w:p>
    <w:p w14:paraId="68782DFD"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Rezultati izračuna dani su u sljedećim tablicama. </w:t>
      </w:r>
    </w:p>
    <w:p w14:paraId="65891FE5" w14:textId="2CB21A53" w:rsidR="004949CA" w:rsidRDefault="004949CA" w:rsidP="004949CA">
      <w:pPr>
        <w:pStyle w:val="Opisslike"/>
      </w:pPr>
      <w:bookmarkStart w:id="220" w:name="_Toc72081565"/>
      <w:bookmarkStart w:id="221" w:name="_Toc84240513"/>
      <w:bookmarkStart w:id="222" w:name="_Hlk82595229"/>
      <w:r>
        <w:t xml:space="preserve">Tablica </w:t>
      </w:r>
      <w:r>
        <w:fldChar w:fldCharType="begin"/>
      </w:r>
      <w:r>
        <w:instrText>STYLEREF 1 \s</w:instrText>
      </w:r>
      <w:r>
        <w:fldChar w:fldCharType="separate"/>
      </w:r>
      <w:r w:rsidR="00575AF9">
        <w:rPr>
          <w:noProof/>
        </w:rPr>
        <w:t>13</w:t>
      </w:r>
      <w:r>
        <w:fldChar w:fldCharType="end"/>
      </w:r>
      <w:r w:rsidR="00931EC7">
        <w:noBreakHyphen/>
      </w:r>
      <w:r>
        <w:fldChar w:fldCharType="begin"/>
      </w:r>
      <w:r>
        <w:instrText>SEQ Tablica \* ARABIC \s 1</w:instrText>
      </w:r>
      <w:r>
        <w:fldChar w:fldCharType="separate"/>
      </w:r>
      <w:r w:rsidR="00575AF9">
        <w:rPr>
          <w:noProof/>
        </w:rPr>
        <w:t>1</w:t>
      </w:r>
      <w:r>
        <w:fldChar w:fldCharType="end"/>
      </w:r>
      <w:r>
        <w:rPr>
          <w:noProof/>
        </w:rPr>
        <w:t>:</w:t>
      </w:r>
      <w:r>
        <w:t xml:space="preserve"> Izračun ušteda energije u neposrednoj potrošnji (isporučena energija) i ušteda primarne energije za obnovu VSZ u prvom trogodišnjem razdoblju (do kraja 2024.) uz raspoloživa sredstva </w:t>
      </w:r>
      <w:bookmarkEnd w:id="220"/>
      <w:r>
        <w:t>prema NPOO (pretpostavljena alokacija za VSZ)</w:t>
      </w:r>
      <w:bookmarkEnd w:id="221"/>
    </w:p>
    <w:tbl>
      <w:tblPr>
        <w:tblStyle w:val="Svijetlatablicareetke110"/>
        <w:tblW w:w="9321" w:type="dxa"/>
        <w:tblLook w:val="04A0" w:firstRow="1" w:lastRow="0" w:firstColumn="1" w:lastColumn="0" w:noHBand="0" w:noVBand="1"/>
      </w:tblPr>
      <w:tblGrid>
        <w:gridCol w:w="4492"/>
        <w:gridCol w:w="825"/>
        <w:gridCol w:w="900"/>
        <w:gridCol w:w="735"/>
        <w:gridCol w:w="800"/>
        <w:gridCol w:w="819"/>
        <w:gridCol w:w="750"/>
      </w:tblGrid>
      <w:tr w:rsidR="004949CA" w:rsidRPr="00EE1B6E" w14:paraId="3E395CF2" w14:textId="77777777" w:rsidTr="004941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92" w:type="dxa"/>
            <w:hideMark/>
          </w:tcPr>
          <w:p w14:paraId="58997DFD"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w:t>
            </w:r>
          </w:p>
        </w:tc>
        <w:tc>
          <w:tcPr>
            <w:tcW w:w="2460" w:type="dxa"/>
            <w:gridSpan w:val="3"/>
            <w:hideMark/>
          </w:tcPr>
          <w:p w14:paraId="13833F09"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8"/>
                <w:szCs w:val="18"/>
                <w:lang w:eastAsia="hr-HR"/>
              </w:rPr>
            </w:pPr>
            <w:r w:rsidRPr="00EE1B6E">
              <w:rPr>
                <w:rFonts w:ascii="Tahoma" w:hAnsi="Tahoma" w:cs="Tahoma"/>
                <w:color w:val="000000"/>
                <w:sz w:val="18"/>
                <w:szCs w:val="18"/>
                <w:lang w:eastAsia="hr-HR"/>
              </w:rPr>
              <w:t>Kontinentalna</w:t>
            </w:r>
          </w:p>
        </w:tc>
        <w:tc>
          <w:tcPr>
            <w:tcW w:w="2369" w:type="dxa"/>
            <w:gridSpan w:val="3"/>
            <w:hideMark/>
          </w:tcPr>
          <w:p w14:paraId="2D15F3DE"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8"/>
                <w:szCs w:val="18"/>
                <w:lang w:eastAsia="hr-HR"/>
              </w:rPr>
            </w:pPr>
            <w:r w:rsidRPr="00EE1B6E">
              <w:rPr>
                <w:rFonts w:ascii="Tahoma" w:hAnsi="Tahoma" w:cs="Tahoma"/>
                <w:color w:val="000000"/>
                <w:sz w:val="18"/>
                <w:szCs w:val="18"/>
                <w:lang w:eastAsia="hr-HR"/>
              </w:rPr>
              <w:t>Primorska</w:t>
            </w:r>
          </w:p>
        </w:tc>
      </w:tr>
      <w:tr w:rsidR="004949CA" w:rsidRPr="00EE1B6E" w14:paraId="13280B4A" w14:textId="77777777" w:rsidTr="0049413C">
        <w:trPr>
          <w:trHeight w:val="148"/>
        </w:trPr>
        <w:tc>
          <w:tcPr>
            <w:cnfStyle w:val="001000000000" w:firstRow="0" w:lastRow="0" w:firstColumn="1" w:lastColumn="0" w:oddVBand="0" w:evenVBand="0" w:oddHBand="0" w:evenHBand="0" w:firstRowFirstColumn="0" w:firstRowLastColumn="0" w:lastRowFirstColumn="0" w:lastRowLastColumn="0"/>
            <w:tcW w:w="4492" w:type="dxa"/>
            <w:hideMark/>
          </w:tcPr>
          <w:p w14:paraId="39AF8CD3"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Razdoblje izgradnje</w:t>
            </w:r>
          </w:p>
        </w:tc>
        <w:tc>
          <w:tcPr>
            <w:tcW w:w="825" w:type="dxa"/>
            <w:hideMark/>
          </w:tcPr>
          <w:p w14:paraId="1EBA5D7C" w14:textId="77777777" w:rsidR="004949CA" w:rsidRPr="00EE1B6E"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Prije 1970.</w:t>
            </w:r>
          </w:p>
        </w:tc>
        <w:tc>
          <w:tcPr>
            <w:tcW w:w="900" w:type="dxa"/>
            <w:hideMark/>
          </w:tcPr>
          <w:p w14:paraId="6EA127EC" w14:textId="7F00A4B9" w:rsidR="004949CA" w:rsidRPr="00EE1B6E" w:rsidRDefault="0C3F4C7D"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638C4C38">
              <w:rPr>
                <w:rFonts w:ascii="Tahoma" w:hAnsi="Tahoma" w:cs="Tahoma"/>
                <w:color w:val="000000" w:themeColor="text1"/>
                <w:sz w:val="18"/>
                <w:szCs w:val="18"/>
                <w:lang w:eastAsia="hr-HR"/>
              </w:rPr>
              <w:t>1971.</w:t>
            </w:r>
            <w:r w:rsidR="58515EF5" w:rsidRPr="638C4C38">
              <w:rPr>
                <w:rFonts w:ascii="Tahoma" w:hAnsi="Tahoma" w:cs="Tahoma"/>
                <w:color w:val="000000" w:themeColor="text1"/>
                <w:sz w:val="18"/>
                <w:szCs w:val="18"/>
                <w:lang w:eastAsia="hr-HR"/>
              </w:rPr>
              <w:t xml:space="preserve"> </w:t>
            </w:r>
            <w:r w:rsidRPr="638C4C38">
              <w:rPr>
                <w:rFonts w:ascii="Tahoma" w:hAnsi="Tahoma" w:cs="Tahoma"/>
                <w:color w:val="000000" w:themeColor="text1"/>
                <w:sz w:val="18"/>
                <w:szCs w:val="18"/>
                <w:lang w:eastAsia="hr-HR"/>
              </w:rPr>
              <w:t>-</w:t>
            </w:r>
            <w:r w:rsidR="51EAC891" w:rsidRPr="638C4C38">
              <w:rPr>
                <w:rFonts w:ascii="Tahoma" w:hAnsi="Tahoma" w:cs="Tahoma"/>
                <w:color w:val="000000" w:themeColor="text1"/>
                <w:sz w:val="18"/>
                <w:szCs w:val="18"/>
                <w:lang w:eastAsia="hr-HR"/>
              </w:rPr>
              <w:t xml:space="preserve"> </w:t>
            </w:r>
            <w:r w:rsidRPr="638C4C38">
              <w:rPr>
                <w:rFonts w:ascii="Tahoma" w:hAnsi="Tahoma" w:cs="Tahoma"/>
                <w:color w:val="000000" w:themeColor="text1"/>
                <w:sz w:val="18"/>
                <w:szCs w:val="18"/>
                <w:lang w:eastAsia="hr-HR"/>
              </w:rPr>
              <w:t>2005.</w:t>
            </w:r>
          </w:p>
        </w:tc>
        <w:tc>
          <w:tcPr>
            <w:tcW w:w="735" w:type="dxa"/>
            <w:shd w:val="clear" w:color="auto" w:fill="D0CECE" w:themeFill="background2" w:themeFillShade="E6"/>
            <w:hideMark/>
          </w:tcPr>
          <w:p w14:paraId="37858CAF" w14:textId="77777777" w:rsidR="004949CA" w:rsidRPr="00EE1B6E"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Nakon 2006.</w:t>
            </w:r>
          </w:p>
        </w:tc>
        <w:tc>
          <w:tcPr>
            <w:tcW w:w="800" w:type="dxa"/>
            <w:hideMark/>
          </w:tcPr>
          <w:p w14:paraId="1972EA78" w14:textId="77777777" w:rsidR="004949CA" w:rsidRPr="00EE1B6E"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Prije 1970.</w:t>
            </w:r>
          </w:p>
        </w:tc>
        <w:tc>
          <w:tcPr>
            <w:tcW w:w="819" w:type="dxa"/>
            <w:hideMark/>
          </w:tcPr>
          <w:p w14:paraId="6899CFB7" w14:textId="61A9CC05" w:rsidR="004949CA" w:rsidRPr="00EE1B6E" w:rsidRDefault="0C3F4C7D"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638C4C38">
              <w:rPr>
                <w:rFonts w:ascii="Tahoma" w:hAnsi="Tahoma" w:cs="Tahoma"/>
                <w:color w:val="000000" w:themeColor="text1"/>
                <w:sz w:val="18"/>
                <w:szCs w:val="18"/>
                <w:lang w:eastAsia="hr-HR"/>
              </w:rPr>
              <w:t>1971.</w:t>
            </w:r>
            <w:r w:rsidR="463E4088" w:rsidRPr="638C4C38">
              <w:rPr>
                <w:rFonts w:ascii="Tahoma" w:hAnsi="Tahoma" w:cs="Tahoma"/>
                <w:color w:val="000000" w:themeColor="text1"/>
                <w:sz w:val="18"/>
                <w:szCs w:val="18"/>
                <w:lang w:eastAsia="hr-HR"/>
              </w:rPr>
              <w:t xml:space="preserve"> </w:t>
            </w:r>
            <w:r w:rsidRPr="638C4C38">
              <w:rPr>
                <w:rFonts w:ascii="Tahoma" w:hAnsi="Tahoma" w:cs="Tahoma"/>
                <w:color w:val="000000" w:themeColor="text1"/>
                <w:sz w:val="18"/>
                <w:szCs w:val="18"/>
                <w:lang w:eastAsia="hr-HR"/>
              </w:rPr>
              <w:t>-</w:t>
            </w:r>
            <w:r w:rsidR="2BBB4C94" w:rsidRPr="638C4C38">
              <w:rPr>
                <w:rFonts w:ascii="Tahoma" w:hAnsi="Tahoma" w:cs="Tahoma"/>
                <w:color w:val="000000" w:themeColor="text1"/>
                <w:sz w:val="18"/>
                <w:szCs w:val="18"/>
                <w:lang w:eastAsia="hr-HR"/>
              </w:rPr>
              <w:t xml:space="preserve"> </w:t>
            </w:r>
            <w:r w:rsidRPr="638C4C38">
              <w:rPr>
                <w:rFonts w:ascii="Tahoma" w:hAnsi="Tahoma" w:cs="Tahoma"/>
                <w:color w:val="000000" w:themeColor="text1"/>
                <w:sz w:val="18"/>
                <w:szCs w:val="18"/>
                <w:lang w:eastAsia="hr-HR"/>
              </w:rPr>
              <w:t>2005.</w:t>
            </w:r>
          </w:p>
        </w:tc>
        <w:tc>
          <w:tcPr>
            <w:tcW w:w="750" w:type="dxa"/>
            <w:shd w:val="clear" w:color="auto" w:fill="D0CECE" w:themeFill="background2" w:themeFillShade="E6"/>
            <w:hideMark/>
          </w:tcPr>
          <w:p w14:paraId="6FC27C50" w14:textId="77777777" w:rsidR="004949CA" w:rsidRPr="00EE1B6E"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Nakon 2006.</w:t>
            </w:r>
          </w:p>
        </w:tc>
      </w:tr>
      <w:tr w:rsidR="004949CA" w:rsidRPr="00EE1B6E" w14:paraId="517BD4DC"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hideMark/>
          </w:tcPr>
          <w:p w14:paraId="0245E40A"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xml:space="preserve">Obnovljena površina </w:t>
            </w:r>
            <w:proofErr w:type="spellStart"/>
            <w:r w:rsidRPr="00EE1B6E">
              <w:rPr>
                <w:rFonts w:ascii="Tahoma" w:hAnsi="Tahoma" w:cs="Tahoma"/>
                <w:color w:val="000000"/>
                <w:sz w:val="18"/>
                <w:szCs w:val="18"/>
                <w:lang w:eastAsia="hr-HR"/>
              </w:rPr>
              <w:t>A</w:t>
            </w:r>
            <w:r w:rsidRPr="00EE1B6E">
              <w:rPr>
                <w:rFonts w:ascii="Tahoma" w:hAnsi="Tahoma" w:cs="Tahoma"/>
                <w:color w:val="000000"/>
                <w:sz w:val="18"/>
                <w:szCs w:val="18"/>
                <w:vertAlign w:val="subscript"/>
                <w:lang w:eastAsia="hr-HR"/>
              </w:rPr>
              <w:t>i</w:t>
            </w:r>
            <w:proofErr w:type="spellEnd"/>
            <w:r w:rsidRPr="00EE1B6E">
              <w:rPr>
                <w:rFonts w:ascii="Tahoma" w:hAnsi="Tahoma" w:cs="Tahoma"/>
                <w:color w:val="000000"/>
                <w:sz w:val="18"/>
                <w:szCs w:val="18"/>
                <w:vertAlign w:val="subscript"/>
                <w:lang w:eastAsia="hr-HR"/>
              </w:rPr>
              <w:t xml:space="preserve"> </w:t>
            </w:r>
            <w:r w:rsidRPr="00EE1B6E">
              <w:rPr>
                <w:rFonts w:ascii="Tahoma" w:hAnsi="Tahoma" w:cs="Tahoma"/>
                <w:color w:val="000000"/>
                <w:sz w:val="18"/>
                <w:szCs w:val="18"/>
                <w:lang w:eastAsia="hr-HR"/>
              </w:rPr>
              <w:t>[10</w:t>
            </w:r>
            <w:r w:rsidRPr="00EE1B6E">
              <w:rPr>
                <w:rFonts w:ascii="Tahoma" w:hAnsi="Tahoma" w:cs="Tahoma"/>
                <w:color w:val="000000"/>
                <w:sz w:val="18"/>
                <w:szCs w:val="18"/>
                <w:vertAlign w:val="superscript"/>
                <w:lang w:eastAsia="hr-HR"/>
              </w:rPr>
              <w:t>6</w:t>
            </w:r>
            <w:r w:rsidRPr="00EE1B6E">
              <w:rPr>
                <w:rFonts w:ascii="Tahoma" w:hAnsi="Tahoma" w:cs="Tahoma"/>
                <w:color w:val="000000"/>
                <w:sz w:val="18"/>
                <w:szCs w:val="18"/>
                <w:lang w:eastAsia="hr-HR"/>
              </w:rPr>
              <w:t xml:space="preserve"> 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w:t>
            </w:r>
          </w:p>
        </w:tc>
        <w:tc>
          <w:tcPr>
            <w:tcW w:w="825" w:type="dxa"/>
            <w:hideMark/>
          </w:tcPr>
          <w:p w14:paraId="4E49F20E"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0,08</w:t>
            </w:r>
          </w:p>
        </w:tc>
        <w:tc>
          <w:tcPr>
            <w:tcW w:w="900" w:type="dxa"/>
            <w:hideMark/>
          </w:tcPr>
          <w:p w14:paraId="05D7D331"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0,10</w:t>
            </w:r>
          </w:p>
        </w:tc>
        <w:tc>
          <w:tcPr>
            <w:tcW w:w="735" w:type="dxa"/>
            <w:shd w:val="clear" w:color="auto" w:fill="D0CECE" w:themeFill="background2" w:themeFillShade="E6"/>
          </w:tcPr>
          <w:p w14:paraId="43CDA996"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
        </w:tc>
        <w:tc>
          <w:tcPr>
            <w:tcW w:w="800" w:type="dxa"/>
            <w:hideMark/>
          </w:tcPr>
          <w:p w14:paraId="43EFAE77"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0,06</w:t>
            </w:r>
          </w:p>
        </w:tc>
        <w:tc>
          <w:tcPr>
            <w:tcW w:w="819" w:type="dxa"/>
            <w:hideMark/>
          </w:tcPr>
          <w:p w14:paraId="5D04F64D"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0,07</w:t>
            </w:r>
          </w:p>
        </w:tc>
        <w:tc>
          <w:tcPr>
            <w:tcW w:w="750" w:type="dxa"/>
            <w:shd w:val="clear" w:color="auto" w:fill="D0CECE" w:themeFill="background2" w:themeFillShade="E6"/>
          </w:tcPr>
          <w:p w14:paraId="2269D77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
        </w:tc>
      </w:tr>
      <w:tr w:rsidR="004949CA" w:rsidRPr="00EE1B6E" w14:paraId="41E74CA2"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hideMark/>
          </w:tcPr>
          <w:p w14:paraId="16A1D397"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Prije rekonstrukcije Q’’</w:t>
            </w:r>
            <w:proofErr w:type="spellStart"/>
            <w:r w:rsidRPr="0049413C">
              <w:rPr>
                <w:rFonts w:ascii="Tahoma" w:hAnsi="Tahoma" w:cs="Tahoma"/>
                <w:color w:val="000000"/>
                <w:sz w:val="18"/>
                <w:szCs w:val="18"/>
                <w:vertAlign w:val="subscript"/>
                <w:lang w:eastAsia="hr-HR"/>
              </w:rPr>
              <w:t>H,nd</w:t>
            </w:r>
            <w:proofErr w:type="spellEnd"/>
            <w:r w:rsidRPr="0049413C">
              <w:rPr>
                <w:rFonts w:ascii="Tahoma" w:hAnsi="Tahoma" w:cs="Tahoma"/>
                <w:color w:val="000000"/>
                <w:sz w:val="18"/>
                <w:szCs w:val="18"/>
                <w:vertAlign w:val="subscript"/>
                <w:lang w:eastAsia="hr-HR"/>
              </w:rPr>
              <w:t xml:space="preserve"> </w:t>
            </w:r>
            <w:r w:rsidRPr="00EE1B6E">
              <w:rPr>
                <w:rFonts w:ascii="Tahoma" w:hAnsi="Tahoma" w:cs="Tahoma"/>
                <w:color w:val="000000"/>
                <w:sz w:val="18"/>
                <w:szCs w:val="18"/>
                <w:lang w:eastAsia="hr-HR"/>
              </w:rPr>
              <w:t>[kWh/(m</w:t>
            </w:r>
            <w:r w:rsidRPr="0049413C">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·a)]</w:t>
            </w:r>
          </w:p>
        </w:tc>
        <w:tc>
          <w:tcPr>
            <w:tcW w:w="825" w:type="dxa"/>
            <w:vAlign w:val="center"/>
            <w:hideMark/>
          </w:tcPr>
          <w:p w14:paraId="593F0F43"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147,99</w:t>
            </w:r>
          </w:p>
        </w:tc>
        <w:tc>
          <w:tcPr>
            <w:tcW w:w="900" w:type="dxa"/>
            <w:vAlign w:val="center"/>
            <w:hideMark/>
          </w:tcPr>
          <w:p w14:paraId="63395B26"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107,91</w:t>
            </w:r>
          </w:p>
        </w:tc>
        <w:tc>
          <w:tcPr>
            <w:tcW w:w="735" w:type="dxa"/>
            <w:shd w:val="clear" w:color="auto" w:fill="D0CECE" w:themeFill="background2" w:themeFillShade="E6"/>
            <w:vAlign w:val="center"/>
          </w:tcPr>
          <w:p w14:paraId="2A6AAA8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c>
          <w:tcPr>
            <w:tcW w:w="800" w:type="dxa"/>
            <w:vAlign w:val="center"/>
          </w:tcPr>
          <w:p w14:paraId="591CE232"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96,88</w:t>
            </w:r>
          </w:p>
        </w:tc>
        <w:tc>
          <w:tcPr>
            <w:tcW w:w="819" w:type="dxa"/>
            <w:vAlign w:val="center"/>
          </w:tcPr>
          <w:p w14:paraId="441E7A3F"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82,58</w:t>
            </w:r>
          </w:p>
        </w:tc>
        <w:tc>
          <w:tcPr>
            <w:tcW w:w="750" w:type="dxa"/>
            <w:shd w:val="clear" w:color="auto" w:fill="D0CECE" w:themeFill="background2" w:themeFillShade="E6"/>
            <w:vAlign w:val="center"/>
          </w:tcPr>
          <w:p w14:paraId="604493CF"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r>
      <w:tr w:rsidR="004949CA" w:rsidRPr="00EE1B6E" w14:paraId="4F8C12B4" w14:textId="77777777" w:rsidTr="0049413C">
        <w:trPr>
          <w:trHeight w:val="87"/>
        </w:trPr>
        <w:tc>
          <w:tcPr>
            <w:cnfStyle w:val="001000000000" w:firstRow="0" w:lastRow="0" w:firstColumn="1" w:lastColumn="0" w:oddVBand="0" w:evenVBand="0" w:oddHBand="0" w:evenHBand="0" w:firstRowFirstColumn="0" w:firstRowLastColumn="0" w:lastRowFirstColumn="0" w:lastRowLastColumn="0"/>
            <w:tcW w:w="4492" w:type="dxa"/>
            <w:hideMark/>
          </w:tcPr>
          <w:p w14:paraId="6173B3EC"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Nakon rekonstrukcije Q’’</w:t>
            </w:r>
            <w:proofErr w:type="spellStart"/>
            <w:r w:rsidRPr="00EE1B6E">
              <w:rPr>
                <w:rFonts w:ascii="Tahoma" w:hAnsi="Tahoma" w:cs="Tahoma"/>
                <w:color w:val="000000"/>
                <w:sz w:val="18"/>
                <w:szCs w:val="18"/>
                <w:vertAlign w:val="subscript"/>
                <w:lang w:eastAsia="hr-HR"/>
              </w:rPr>
              <w:t>H,nd</w:t>
            </w:r>
            <w:proofErr w:type="spellEnd"/>
            <w:r w:rsidRPr="00EE1B6E">
              <w:rPr>
                <w:rFonts w:ascii="Tahoma" w:hAnsi="Tahoma" w:cs="Tahoma"/>
                <w:color w:val="000000"/>
                <w:sz w:val="18"/>
                <w:szCs w:val="18"/>
                <w:vertAlign w:val="subscript"/>
                <w:lang w:eastAsia="hr-HR"/>
              </w:rPr>
              <w:t xml:space="preserve"> </w:t>
            </w:r>
            <w:r w:rsidRPr="00EE1B6E">
              <w:rPr>
                <w:rFonts w:ascii="Tahoma" w:hAnsi="Tahoma" w:cs="Tahoma"/>
                <w:color w:val="000000"/>
                <w:sz w:val="18"/>
                <w:szCs w:val="18"/>
                <w:lang w:eastAsia="hr-HR"/>
              </w:rPr>
              <w:t>[kWh/(m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·a)]</w:t>
            </w:r>
          </w:p>
        </w:tc>
        <w:tc>
          <w:tcPr>
            <w:tcW w:w="825" w:type="dxa"/>
            <w:vAlign w:val="center"/>
            <w:hideMark/>
          </w:tcPr>
          <w:p w14:paraId="2ECA531B"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65,86</w:t>
            </w:r>
          </w:p>
        </w:tc>
        <w:tc>
          <w:tcPr>
            <w:tcW w:w="900" w:type="dxa"/>
            <w:vAlign w:val="center"/>
            <w:hideMark/>
          </w:tcPr>
          <w:p w14:paraId="22E2FBA4"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64,33</w:t>
            </w:r>
          </w:p>
        </w:tc>
        <w:tc>
          <w:tcPr>
            <w:tcW w:w="735" w:type="dxa"/>
            <w:shd w:val="clear" w:color="auto" w:fill="D0CECE" w:themeFill="background2" w:themeFillShade="E6"/>
            <w:vAlign w:val="center"/>
          </w:tcPr>
          <w:p w14:paraId="78DC8B55"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c>
          <w:tcPr>
            <w:tcW w:w="800" w:type="dxa"/>
            <w:vAlign w:val="center"/>
            <w:hideMark/>
          </w:tcPr>
          <w:p w14:paraId="3FDA240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36,47</w:t>
            </w:r>
          </w:p>
        </w:tc>
        <w:tc>
          <w:tcPr>
            <w:tcW w:w="819" w:type="dxa"/>
            <w:vAlign w:val="center"/>
            <w:hideMark/>
          </w:tcPr>
          <w:p w14:paraId="2EA50CF7"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34,85</w:t>
            </w:r>
          </w:p>
        </w:tc>
        <w:tc>
          <w:tcPr>
            <w:tcW w:w="750" w:type="dxa"/>
            <w:shd w:val="clear" w:color="auto" w:fill="D0CECE" w:themeFill="background2" w:themeFillShade="E6"/>
            <w:vAlign w:val="center"/>
          </w:tcPr>
          <w:p w14:paraId="0CEF3334"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r>
      <w:tr w:rsidR="004949CA" w:rsidRPr="00EE1B6E" w14:paraId="49E73CB4"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hideMark/>
          </w:tcPr>
          <w:p w14:paraId="4BB661CD"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 xml:space="preserve">Efikasnost sustava </w:t>
            </w:r>
            <w:proofErr w:type="spellStart"/>
            <w:r w:rsidRPr="00EE1B6E">
              <w:rPr>
                <w:rFonts w:ascii="Tahoma" w:hAnsi="Tahoma" w:cs="Tahoma"/>
                <w:sz w:val="18"/>
                <w:szCs w:val="18"/>
              </w:rPr>
              <w:t>η</w:t>
            </w:r>
            <w:r w:rsidRPr="00EE1B6E">
              <w:rPr>
                <w:rFonts w:ascii="Tahoma" w:hAnsi="Tahoma" w:cs="Tahoma"/>
                <w:sz w:val="18"/>
                <w:szCs w:val="18"/>
                <w:vertAlign w:val="subscript"/>
              </w:rPr>
              <w:t>init</w:t>
            </w:r>
            <w:proofErr w:type="spellEnd"/>
            <w:r w:rsidRPr="00EE1B6E">
              <w:rPr>
                <w:rFonts w:ascii="Tahoma" w:hAnsi="Tahoma" w:cs="Tahoma"/>
                <w:sz w:val="18"/>
                <w:szCs w:val="18"/>
              </w:rPr>
              <w:t>=</w:t>
            </w:r>
            <w:proofErr w:type="spellStart"/>
            <w:r w:rsidRPr="00EE1B6E">
              <w:rPr>
                <w:rFonts w:ascii="Tahoma" w:hAnsi="Tahoma" w:cs="Tahoma"/>
                <w:sz w:val="18"/>
                <w:szCs w:val="18"/>
              </w:rPr>
              <w:t>η</w:t>
            </w:r>
            <w:r w:rsidRPr="00EE1B6E">
              <w:rPr>
                <w:rFonts w:ascii="Tahoma" w:hAnsi="Tahoma" w:cs="Tahoma"/>
                <w:sz w:val="18"/>
                <w:szCs w:val="18"/>
                <w:vertAlign w:val="subscript"/>
              </w:rPr>
              <w:t>new</w:t>
            </w:r>
            <w:proofErr w:type="spellEnd"/>
          </w:p>
        </w:tc>
        <w:tc>
          <w:tcPr>
            <w:tcW w:w="825" w:type="dxa"/>
            <w:vAlign w:val="center"/>
            <w:hideMark/>
          </w:tcPr>
          <w:p w14:paraId="2ED2CA3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0,6348</w:t>
            </w:r>
          </w:p>
        </w:tc>
        <w:tc>
          <w:tcPr>
            <w:tcW w:w="900" w:type="dxa"/>
            <w:vAlign w:val="center"/>
            <w:hideMark/>
          </w:tcPr>
          <w:p w14:paraId="67A48A87"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0,6405</w:t>
            </w:r>
          </w:p>
        </w:tc>
        <w:tc>
          <w:tcPr>
            <w:tcW w:w="735" w:type="dxa"/>
            <w:shd w:val="clear" w:color="auto" w:fill="D0CECE" w:themeFill="background2" w:themeFillShade="E6"/>
            <w:vAlign w:val="bottom"/>
          </w:tcPr>
          <w:p w14:paraId="2E63421F"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c>
          <w:tcPr>
            <w:tcW w:w="800" w:type="dxa"/>
            <w:vAlign w:val="center"/>
            <w:hideMark/>
          </w:tcPr>
          <w:p w14:paraId="30EC7A60"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0,8</w:t>
            </w:r>
          </w:p>
        </w:tc>
        <w:tc>
          <w:tcPr>
            <w:tcW w:w="819" w:type="dxa"/>
            <w:vAlign w:val="center"/>
            <w:hideMark/>
          </w:tcPr>
          <w:p w14:paraId="7B1F89EA"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0,8</w:t>
            </w:r>
          </w:p>
        </w:tc>
        <w:tc>
          <w:tcPr>
            <w:tcW w:w="750" w:type="dxa"/>
            <w:shd w:val="clear" w:color="auto" w:fill="D0CECE" w:themeFill="background2" w:themeFillShade="E6"/>
            <w:vAlign w:val="bottom"/>
          </w:tcPr>
          <w:p w14:paraId="03FADC6F"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r>
      <w:tr w:rsidR="004949CA" w:rsidRPr="00EE1B6E" w14:paraId="663A6F44"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9321" w:type="dxa"/>
            <w:gridSpan w:val="7"/>
          </w:tcPr>
          <w:p w14:paraId="4710AFF0" w14:textId="77777777" w:rsidR="004949CA" w:rsidRPr="00EE1B6E" w:rsidRDefault="004949CA" w:rsidP="00331A63">
            <w:pPr>
              <w:rPr>
                <w:rFonts w:ascii="Tahoma" w:hAnsi="Tahoma" w:cs="Tahoma"/>
                <w:b w:val="0"/>
                <w:color w:val="000000"/>
                <w:sz w:val="18"/>
                <w:szCs w:val="18"/>
                <w:lang w:eastAsia="hr-HR"/>
              </w:rPr>
            </w:pPr>
            <w:r w:rsidRPr="00EE1B6E">
              <w:rPr>
                <w:rFonts w:ascii="Tahoma" w:hAnsi="Tahoma" w:cs="Tahoma"/>
                <w:color w:val="000000"/>
                <w:sz w:val="18"/>
                <w:szCs w:val="18"/>
                <w:lang w:eastAsia="hr-HR"/>
              </w:rPr>
              <w:t xml:space="preserve">Rezultati izračuna uz </w:t>
            </w:r>
            <w:r w:rsidRPr="00EE1B6E">
              <w:rPr>
                <w:rFonts w:ascii="Tahoma" w:hAnsi="Tahoma" w:cs="Tahoma"/>
                <w:sz w:val="18"/>
                <w:szCs w:val="18"/>
              </w:rPr>
              <w:t xml:space="preserve">vrijednost </w:t>
            </w:r>
            <w:r w:rsidRPr="00EE1B6E">
              <w:rPr>
                <w:rFonts w:ascii="Tahoma" w:hAnsi="Tahoma" w:cs="Tahoma"/>
                <w:color w:val="000000"/>
                <w:sz w:val="18"/>
                <w:szCs w:val="18"/>
                <w:lang w:eastAsia="hr-HR"/>
              </w:rPr>
              <w:t>Q’’</w:t>
            </w:r>
            <w:proofErr w:type="spellStart"/>
            <w:r w:rsidRPr="00EE1B6E">
              <w:rPr>
                <w:rFonts w:ascii="Tahoma" w:hAnsi="Tahoma" w:cs="Tahoma"/>
                <w:color w:val="000000"/>
                <w:sz w:val="18"/>
                <w:szCs w:val="18"/>
                <w:vertAlign w:val="subscript"/>
                <w:lang w:eastAsia="hr-HR"/>
              </w:rPr>
              <w:t>H,nd</w:t>
            </w:r>
            <w:proofErr w:type="spellEnd"/>
            <w:r w:rsidRPr="00EE1B6E">
              <w:rPr>
                <w:rFonts w:ascii="Tahoma" w:hAnsi="Tahoma" w:cs="Tahoma"/>
                <w:color w:val="000000"/>
                <w:sz w:val="18"/>
                <w:szCs w:val="18"/>
                <w:vertAlign w:val="subscript"/>
                <w:lang w:eastAsia="hr-HR"/>
              </w:rPr>
              <w:t xml:space="preserve"> </w:t>
            </w:r>
            <w:r w:rsidRPr="00EE1B6E">
              <w:rPr>
                <w:rFonts w:ascii="Tahoma" w:hAnsi="Tahoma" w:cs="Tahoma"/>
                <w:color w:val="000000"/>
                <w:sz w:val="18"/>
                <w:szCs w:val="18"/>
              </w:rPr>
              <w:t>nakon</w:t>
            </w:r>
            <w:r w:rsidRPr="00EE1B6E">
              <w:rPr>
                <w:rFonts w:ascii="Tahoma" w:hAnsi="Tahoma" w:cs="Tahoma"/>
                <w:color w:val="000000"/>
                <w:sz w:val="18"/>
                <w:szCs w:val="18"/>
                <w:lang w:eastAsia="hr-HR"/>
              </w:rPr>
              <w:t xml:space="preserve"> rekonstrukcije</w:t>
            </w:r>
            <w:r w:rsidRPr="00EE1B6E">
              <w:rPr>
                <w:rFonts w:ascii="Tahoma" w:hAnsi="Tahoma" w:cs="Tahoma"/>
                <w:color w:val="000000"/>
                <w:sz w:val="18"/>
                <w:szCs w:val="18"/>
              </w:rPr>
              <w:t xml:space="preserve"> prema Tehničkom propisu</w:t>
            </w:r>
          </w:p>
        </w:tc>
      </w:tr>
      <w:tr w:rsidR="004949CA" w:rsidRPr="00EE1B6E" w14:paraId="2B6D88DF"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hideMark/>
          </w:tcPr>
          <w:p w14:paraId="6ACB5ED0"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UFES [kWh/(m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w:t>
            </w:r>
          </w:p>
        </w:tc>
        <w:tc>
          <w:tcPr>
            <w:tcW w:w="825" w:type="dxa"/>
            <w:vAlign w:val="center"/>
          </w:tcPr>
          <w:p w14:paraId="17014CF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129,38</w:t>
            </w:r>
          </w:p>
        </w:tc>
        <w:tc>
          <w:tcPr>
            <w:tcW w:w="900" w:type="dxa"/>
            <w:vAlign w:val="center"/>
          </w:tcPr>
          <w:p w14:paraId="27F2A63B"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68,05</w:t>
            </w:r>
          </w:p>
        </w:tc>
        <w:tc>
          <w:tcPr>
            <w:tcW w:w="735" w:type="dxa"/>
            <w:shd w:val="clear" w:color="auto" w:fill="D0CECE" w:themeFill="background2" w:themeFillShade="E6"/>
            <w:vAlign w:val="bottom"/>
          </w:tcPr>
          <w:p w14:paraId="22DFDAA3"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 </w:t>
            </w:r>
          </w:p>
        </w:tc>
        <w:tc>
          <w:tcPr>
            <w:tcW w:w="800" w:type="dxa"/>
            <w:vAlign w:val="center"/>
          </w:tcPr>
          <w:p w14:paraId="00D3515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75,52</w:t>
            </w:r>
          </w:p>
        </w:tc>
        <w:tc>
          <w:tcPr>
            <w:tcW w:w="819" w:type="dxa"/>
            <w:vAlign w:val="center"/>
          </w:tcPr>
          <w:p w14:paraId="45E4644D"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59,67</w:t>
            </w:r>
          </w:p>
        </w:tc>
        <w:tc>
          <w:tcPr>
            <w:tcW w:w="750" w:type="dxa"/>
            <w:shd w:val="clear" w:color="auto" w:fill="D0CECE" w:themeFill="background2" w:themeFillShade="E6"/>
            <w:vAlign w:val="bottom"/>
          </w:tcPr>
          <w:p w14:paraId="65E8B4D0"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rPr>
            </w:pPr>
            <w:r w:rsidRPr="00EE1B6E">
              <w:rPr>
                <w:rFonts w:ascii="Tahoma" w:hAnsi="Tahoma" w:cs="Tahoma"/>
                <w:color w:val="000000"/>
                <w:sz w:val="18"/>
                <w:szCs w:val="18"/>
              </w:rPr>
              <w:t> </w:t>
            </w:r>
          </w:p>
        </w:tc>
      </w:tr>
      <w:tr w:rsidR="004949CA" w:rsidRPr="00EE1B6E" w14:paraId="28737197"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hideMark/>
          </w:tcPr>
          <w:p w14:paraId="2428AFC6"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FES [GWh]</w:t>
            </w:r>
          </w:p>
        </w:tc>
        <w:tc>
          <w:tcPr>
            <w:tcW w:w="825" w:type="dxa"/>
            <w:vAlign w:val="center"/>
          </w:tcPr>
          <w:p w14:paraId="47EC13D3"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10,10</w:t>
            </w:r>
          </w:p>
        </w:tc>
        <w:tc>
          <w:tcPr>
            <w:tcW w:w="900" w:type="dxa"/>
            <w:vAlign w:val="center"/>
          </w:tcPr>
          <w:p w14:paraId="46C157C6"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7,01</w:t>
            </w:r>
          </w:p>
        </w:tc>
        <w:tc>
          <w:tcPr>
            <w:tcW w:w="735" w:type="dxa"/>
            <w:shd w:val="clear" w:color="auto" w:fill="D0CECE" w:themeFill="background2" w:themeFillShade="E6"/>
            <w:vAlign w:val="bottom"/>
          </w:tcPr>
          <w:p w14:paraId="025123C5"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c>
          <w:tcPr>
            <w:tcW w:w="800" w:type="dxa"/>
            <w:vAlign w:val="center"/>
          </w:tcPr>
          <w:p w14:paraId="7DD5F210"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4,48</w:t>
            </w:r>
          </w:p>
        </w:tc>
        <w:tc>
          <w:tcPr>
            <w:tcW w:w="819" w:type="dxa"/>
            <w:vAlign w:val="center"/>
          </w:tcPr>
          <w:p w14:paraId="13B4442E"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4,45</w:t>
            </w:r>
          </w:p>
        </w:tc>
        <w:tc>
          <w:tcPr>
            <w:tcW w:w="750" w:type="dxa"/>
            <w:shd w:val="clear" w:color="auto" w:fill="D0CECE" w:themeFill="background2" w:themeFillShade="E6"/>
            <w:vAlign w:val="bottom"/>
          </w:tcPr>
          <w:p w14:paraId="05A86691"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rPr>
              <w:t> </w:t>
            </w:r>
          </w:p>
        </w:tc>
      </w:tr>
      <w:tr w:rsidR="004949CA" w:rsidRPr="00EE1B6E" w14:paraId="08A1C64F"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vMerge w:val="restart"/>
          </w:tcPr>
          <w:p w14:paraId="6FD96812" w14:textId="77777777" w:rsidR="004949CA" w:rsidRPr="00EE1B6E" w:rsidRDefault="004949CA" w:rsidP="00331A63">
            <w:pPr>
              <w:rPr>
                <w:rFonts w:ascii="Tahoma" w:hAnsi="Tahoma" w:cs="Tahoma"/>
                <w:b w:val="0"/>
                <w:color w:val="000000"/>
                <w:sz w:val="18"/>
                <w:szCs w:val="18"/>
                <w:lang w:eastAsia="hr-HR"/>
              </w:rPr>
            </w:pPr>
            <w:r w:rsidRPr="00EE1B6E">
              <w:rPr>
                <w:rFonts w:ascii="Tahoma" w:hAnsi="Tahoma" w:cs="Tahoma"/>
                <w:color w:val="000000"/>
                <w:sz w:val="18"/>
                <w:szCs w:val="18"/>
                <w:lang w:eastAsia="hr-HR"/>
              </w:rPr>
              <w:t>Total FES [GWh]</w:t>
            </w:r>
          </w:p>
          <w:p w14:paraId="027A7FEA" w14:textId="77777777" w:rsidR="004949CA" w:rsidRPr="00EE1B6E" w:rsidRDefault="004949CA" w:rsidP="00331A63">
            <w:pPr>
              <w:rPr>
                <w:rFonts w:ascii="Tahoma" w:hAnsi="Tahoma" w:cs="Tahoma"/>
                <w:b w:val="0"/>
                <w:color w:val="000000"/>
                <w:sz w:val="18"/>
                <w:szCs w:val="18"/>
                <w:lang w:eastAsia="hr-HR"/>
              </w:rPr>
            </w:pPr>
          </w:p>
        </w:tc>
        <w:tc>
          <w:tcPr>
            <w:tcW w:w="2460" w:type="dxa"/>
            <w:gridSpan w:val="3"/>
          </w:tcPr>
          <w:p w14:paraId="3089F3C6" w14:textId="77777777" w:rsidR="004949CA" w:rsidRPr="00EE1B6E"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8"/>
                <w:szCs w:val="18"/>
                <w:lang w:eastAsia="hr-HR"/>
              </w:rPr>
            </w:pPr>
            <w:r w:rsidRPr="00EE1B6E">
              <w:rPr>
                <w:rFonts w:ascii="Tahoma" w:hAnsi="Tahoma" w:cs="Tahoma"/>
                <w:b/>
                <w:color w:val="000000"/>
                <w:sz w:val="18"/>
                <w:szCs w:val="18"/>
                <w:lang w:eastAsia="hr-HR"/>
              </w:rPr>
              <w:t>17,11</w:t>
            </w:r>
          </w:p>
        </w:tc>
        <w:tc>
          <w:tcPr>
            <w:tcW w:w="2369" w:type="dxa"/>
            <w:gridSpan w:val="3"/>
          </w:tcPr>
          <w:p w14:paraId="3759BC83" w14:textId="77777777" w:rsidR="004949CA" w:rsidRPr="00EE1B6E"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00000"/>
                <w:sz w:val="18"/>
                <w:szCs w:val="18"/>
                <w:lang w:eastAsia="hr-HR"/>
              </w:rPr>
            </w:pPr>
            <w:r w:rsidRPr="00EE1B6E">
              <w:rPr>
                <w:rFonts w:ascii="Tahoma" w:hAnsi="Tahoma" w:cs="Tahoma"/>
                <w:b/>
                <w:color w:val="000000"/>
                <w:sz w:val="18"/>
                <w:szCs w:val="18"/>
                <w:lang w:eastAsia="hr-HR"/>
              </w:rPr>
              <w:t>8,93</w:t>
            </w:r>
          </w:p>
        </w:tc>
      </w:tr>
      <w:tr w:rsidR="004949CA" w:rsidRPr="00EE1B6E" w14:paraId="3B555DB5" w14:textId="77777777" w:rsidTr="0049413C">
        <w:trPr>
          <w:trHeight w:val="69"/>
        </w:trPr>
        <w:tc>
          <w:tcPr>
            <w:cnfStyle w:val="001000000000" w:firstRow="0" w:lastRow="0" w:firstColumn="1" w:lastColumn="0" w:oddVBand="0" w:evenVBand="0" w:oddHBand="0" w:evenHBand="0" w:firstRowFirstColumn="0" w:firstRowLastColumn="0" w:lastRowFirstColumn="0" w:lastRowLastColumn="0"/>
            <w:tcW w:w="4492" w:type="dxa"/>
            <w:vMerge/>
          </w:tcPr>
          <w:p w14:paraId="41417A93" w14:textId="77777777" w:rsidR="004949CA" w:rsidRPr="00EE1B6E" w:rsidRDefault="004949CA" w:rsidP="00331A63">
            <w:pPr>
              <w:rPr>
                <w:rFonts w:ascii="Tahoma" w:hAnsi="Tahoma" w:cs="Tahoma"/>
                <w:b w:val="0"/>
                <w:color w:val="000000"/>
                <w:sz w:val="18"/>
                <w:szCs w:val="18"/>
                <w:lang w:eastAsia="hr-HR"/>
              </w:rPr>
            </w:pPr>
          </w:p>
        </w:tc>
        <w:tc>
          <w:tcPr>
            <w:tcW w:w="4829" w:type="dxa"/>
            <w:gridSpan w:val="6"/>
          </w:tcPr>
          <w:p w14:paraId="080823E3" w14:textId="77777777" w:rsidR="004949CA" w:rsidRPr="00EE3B66"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20"/>
                <w:szCs w:val="18"/>
                <w:lang w:eastAsia="hr-HR"/>
              </w:rPr>
            </w:pPr>
            <w:r w:rsidRPr="00EE3B66">
              <w:rPr>
                <w:rFonts w:ascii="Tahoma" w:hAnsi="Tahoma" w:cs="Tahoma"/>
                <w:b/>
                <w:bCs/>
                <w:color w:val="000000"/>
                <w:sz w:val="20"/>
                <w:szCs w:val="18"/>
              </w:rPr>
              <w:t>26,04</w:t>
            </w:r>
          </w:p>
        </w:tc>
      </w:tr>
      <w:tr w:rsidR="004949CA" w:rsidRPr="00EE1B6E" w14:paraId="03979FAD" w14:textId="77777777" w:rsidTr="0049413C">
        <w:trPr>
          <w:trHeight w:val="70"/>
        </w:trPr>
        <w:tc>
          <w:tcPr>
            <w:cnfStyle w:val="001000000000" w:firstRow="0" w:lastRow="0" w:firstColumn="1" w:lastColumn="0" w:oddVBand="0" w:evenVBand="0" w:oddHBand="0" w:evenHBand="0" w:firstRowFirstColumn="0" w:firstRowLastColumn="0" w:lastRowFirstColumn="0" w:lastRowLastColumn="0"/>
            <w:tcW w:w="4492" w:type="dxa"/>
          </w:tcPr>
          <w:p w14:paraId="54F8C2F7" w14:textId="77777777" w:rsidR="004949CA" w:rsidRPr="00EE1B6E" w:rsidRDefault="004949CA" w:rsidP="00331A63">
            <w:pPr>
              <w:rPr>
                <w:rFonts w:ascii="Tahoma" w:hAnsi="Tahoma" w:cs="Tahoma"/>
                <w:bCs w:val="0"/>
                <w:color w:val="000000"/>
                <w:sz w:val="18"/>
                <w:szCs w:val="18"/>
                <w:lang w:eastAsia="hr-HR"/>
              </w:rPr>
            </w:pPr>
            <w:r w:rsidRPr="00EE1B6E">
              <w:rPr>
                <w:rFonts w:ascii="Tahoma" w:hAnsi="Tahoma" w:cs="Tahoma"/>
                <w:bCs w:val="0"/>
                <w:color w:val="000000"/>
                <w:sz w:val="18"/>
                <w:szCs w:val="18"/>
                <w:lang w:eastAsia="hr-HR"/>
              </w:rPr>
              <w:t>Ušteda primarne energije [GWh]</w:t>
            </w:r>
          </w:p>
        </w:tc>
        <w:tc>
          <w:tcPr>
            <w:tcW w:w="4829" w:type="dxa"/>
            <w:gridSpan w:val="6"/>
          </w:tcPr>
          <w:p w14:paraId="665C723E" w14:textId="77777777" w:rsidR="004949CA" w:rsidRPr="00EE3B66" w:rsidRDefault="004949CA" w:rsidP="00331A63">
            <w:pPr>
              <w:jc w:val="cente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20"/>
                <w:szCs w:val="18"/>
                <w:lang w:eastAsia="hr-HR"/>
              </w:rPr>
            </w:pPr>
            <w:r w:rsidRPr="00EE3B66">
              <w:rPr>
                <w:rFonts w:ascii="Tahoma" w:hAnsi="Tahoma" w:cs="Tahoma"/>
                <w:b/>
                <w:bCs/>
                <w:color w:val="000000"/>
                <w:sz w:val="20"/>
                <w:szCs w:val="18"/>
              </w:rPr>
              <w:t>33,10</w:t>
            </w:r>
          </w:p>
        </w:tc>
      </w:tr>
    </w:tbl>
    <w:bookmarkEnd w:id="222"/>
    <w:p w14:paraId="15DA89A4" w14:textId="77777777" w:rsidR="004949CA" w:rsidRPr="00EE1B6E" w:rsidRDefault="004949CA" w:rsidP="00EE1B6E">
      <w:pPr>
        <w:spacing w:before="120" w:after="120" w:line="240" w:lineRule="auto"/>
        <w:jc w:val="both"/>
        <w:rPr>
          <w:rFonts w:ascii="Tahoma" w:hAnsi="Tahoma" w:cs="Tahoma"/>
          <w:color w:val="000000"/>
          <w:sz w:val="20"/>
          <w:szCs w:val="20"/>
        </w:rPr>
      </w:pPr>
      <w:r w:rsidRPr="00EE1B6E">
        <w:rPr>
          <w:rFonts w:ascii="Tahoma" w:hAnsi="Tahoma" w:cs="Tahoma"/>
          <w:color w:val="000000"/>
          <w:sz w:val="20"/>
          <w:szCs w:val="20"/>
        </w:rPr>
        <w:t>Uštede energije u neposrednoj potrošnji uz raspoloživa sredstva iz NPOO prema trenutnim saznanjima i pretpostavljenoj alokaciji na VSZ iznosit će oko 26 GWh u 2024. godini, što predstavlja oko 5% vrijednosti ušteda u 2030. godini koja bi se ostvarila praćenjem dinamike obnove iz Dugoročne strategije.</w:t>
      </w:r>
    </w:p>
    <w:p w14:paraId="369949DD" w14:textId="56A67F29" w:rsidR="004949CA" w:rsidRDefault="004949CA" w:rsidP="004949CA">
      <w:pPr>
        <w:pStyle w:val="Opisslike"/>
      </w:pPr>
      <w:bookmarkStart w:id="223" w:name="_Toc72081566"/>
      <w:bookmarkStart w:id="224" w:name="_Toc84240514"/>
      <w:r>
        <w:lastRenderedPageBreak/>
        <w:t xml:space="preserve">Tablica </w:t>
      </w:r>
      <w:r>
        <w:fldChar w:fldCharType="begin"/>
      </w:r>
      <w:r>
        <w:instrText>STYLEREF 1 \s</w:instrText>
      </w:r>
      <w:r>
        <w:fldChar w:fldCharType="separate"/>
      </w:r>
      <w:r w:rsidR="00575AF9">
        <w:rPr>
          <w:noProof/>
        </w:rPr>
        <w:t>13</w:t>
      </w:r>
      <w:r>
        <w:fldChar w:fldCharType="end"/>
      </w:r>
      <w:r w:rsidR="00931EC7">
        <w:noBreakHyphen/>
      </w:r>
      <w:r>
        <w:fldChar w:fldCharType="begin"/>
      </w:r>
      <w:r>
        <w:instrText>SEQ Tablica \* ARABIC \s 1</w:instrText>
      </w:r>
      <w:r>
        <w:fldChar w:fldCharType="separate"/>
      </w:r>
      <w:r w:rsidR="00575AF9">
        <w:rPr>
          <w:noProof/>
        </w:rPr>
        <w:t>2</w:t>
      </w:r>
      <w:r>
        <w:fldChar w:fldCharType="end"/>
      </w:r>
      <w:r>
        <w:rPr>
          <w:noProof/>
        </w:rPr>
        <w:t>:</w:t>
      </w:r>
      <w:r>
        <w:t xml:space="preserve"> Izračun kumulativnih ušteda energije u neposrednoj potrošnji (isporučena energija) za obnovu VSZ u prvom trogodišnjem razdoblju (do kraja 2024.) uz raspoloživa sredstva iz NPOO</w:t>
      </w:r>
      <w:bookmarkEnd w:id="223"/>
      <w:bookmarkEnd w:id="224"/>
    </w:p>
    <w:tbl>
      <w:tblPr>
        <w:tblStyle w:val="Svijetlatablicareetke110"/>
        <w:tblW w:w="5000" w:type="pct"/>
        <w:tblLook w:val="04A0" w:firstRow="1" w:lastRow="0" w:firstColumn="1" w:lastColumn="0" w:noHBand="0" w:noVBand="1"/>
      </w:tblPr>
      <w:tblGrid>
        <w:gridCol w:w="1257"/>
        <w:gridCol w:w="1028"/>
        <w:gridCol w:w="832"/>
        <w:gridCol w:w="832"/>
        <w:gridCol w:w="832"/>
        <w:gridCol w:w="547"/>
        <w:gridCol w:w="547"/>
        <w:gridCol w:w="547"/>
        <w:gridCol w:w="547"/>
        <w:gridCol w:w="547"/>
        <w:gridCol w:w="560"/>
        <w:gridCol w:w="986"/>
      </w:tblGrid>
      <w:tr w:rsidR="004949CA" w:rsidRPr="00491890" w14:paraId="03D145FC" w14:textId="77777777" w:rsidTr="00331A63">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31B36CA4" w14:textId="77777777" w:rsidR="004949CA" w:rsidRPr="00491890" w:rsidRDefault="004949CA" w:rsidP="00331A63">
            <w:pPr>
              <w:rPr>
                <w:rFonts w:cs="Tahoma"/>
                <w:color w:val="000000"/>
                <w:sz w:val="18"/>
                <w:szCs w:val="18"/>
                <w:lang w:eastAsia="hr-HR"/>
              </w:rPr>
            </w:pPr>
            <w:r w:rsidRPr="00491890">
              <w:rPr>
                <w:rFonts w:cs="Tahoma"/>
                <w:color w:val="000000"/>
                <w:sz w:val="18"/>
                <w:szCs w:val="18"/>
                <w:lang w:eastAsia="hr-HR"/>
              </w:rPr>
              <w:t>Godišnje uštede [</w:t>
            </w:r>
            <w:r>
              <w:rPr>
                <w:rFonts w:cs="Tahoma"/>
                <w:color w:val="000000"/>
                <w:sz w:val="18"/>
                <w:szCs w:val="18"/>
                <w:lang w:eastAsia="hr-HR"/>
              </w:rPr>
              <w:t>GWh</w:t>
            </w:r>
            <w:r w:rsidRPr="00491890">
              <w:rPr>
                <w:rFonts w:cs="Tahoma"/>
                <w:color w:val="000000"/>
                <w:sz w:val="18"/>
                <w:szCs w:val="18"/>
                <w:lang w:eastAsia="hr-HR"/>
              </w:rPr>
              <w:t>]</w:t>
            </w:r>
          </w:p>
        </w:tc>
        <w:tc>
          <w:tcPr>
            <w:tcW w:w="567" w:type="pct"/>
            <w:hideMark/>
          </w:tcPr>
          <w:p w14:paraId="4B5BA2C0"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157F6B0E"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543AC09E"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459" w:type="pct"/>
            <w:hideMark/>
          </w:tcPr>
          <w:p w14:paraId="6CFC40A4"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2448CC37"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17CF1E8B"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7FD375B0"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6E56CDCE"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13225532"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8" w:type="pct"/>
            <w:hideMark/>
          </w:tcPr>
          <w:p w14:paraId="272B0E4C"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hideMark/>
          </w:tcPr>
          <w:p w14:paraId="39D036C0" w14:textId="77777777" w:rsidR="004949CA" w:rsidRPr="00491890" w:rsidRDefault="004949CA" w:rsidP="00331A63">
            <w:pPr>
              <w:cnfStyle w:val="100000000000" w:firstRow="1"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r>
      <w:tr w:rsidR="004949CA" w:rsidRPr="00491890" w14:paraId="7296A94C" w14:textId="77777777" w:rsidTr="00331A63">
        <w:trPr>
          <w:trHeight w:val="40"/>
        </w:trPr>
        <w:tc>
          <w:tcPr>
            <w:cnfStyle w:val="001000000000" w:firstRow="0" w:lastRow="0" w:firstColumn="1" w:lastColumn="0" w:oddVBand="0" w:evenVBand="0" w:oddHBand="0" w:evenHBand="0" w:firstRowFirstColumn="0" w:firstRowLastColumn="0" w:lastRowFirstColumn="0" w:lastRowLastColumn="0"/>
            <w:tcW w:w="693" w:type="pct"/>
            <w:hideMark/>
          </w:tcPr>
          <w:p w14:paraId="0E768D0C" w14:textId="77777777" w:rsidR="004949CA" w:rsidRPr="00491890" w:rsidRDefault="004949CA" w:rsidP="00331A63">
            <w:pPr>
              <w:jc w:val="right"/>
              <w:rPr>
                <w:rFonts w:cs="Tahoma"/>
                <w:color w:val="000000"/>
                <w:sz w:val="18"/>
                <w:szCs w:val="18"/>
                <w:lang w:eastAsia="hr-HR"/>
              </w:rPr>
            </w:pPr>
            <w:r w:rsidRPr="00491890">
              <w:rPr>
                <w:rFonts w:cs="Tahoma"/>
                <w:color w:val="000000"/>
                <w:sz w:val="18"/>
                <w:szCs w:val="18"/>
                <w:lang w:eastAsia="hr-HR"/>
              </w:rPr>
              <w:t>2021</w:t>
            </w:r>
          </w:p>
        </w:tc>
        <w:tc>
          <w:tcPr>
            <w:tcW w:w="0" w:type="pct"/>
          </w:tcPr>
          <w:p w14:paraId="750DB72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0</w:t>
            </w:r>
            <w:r w:rsidRPr="007D636C">
              <w:rPr>
                <w:rFonts w:cs="Tahoma"/>
                <w:color w:val="000000"/>
                <w:sz w:val="18"/>
                <w:szCs w:val="18"/>
                <w:lang w:eastAsia="hr-HR"/>
              </w:rPr>
              <w:t>,</w:t>
            </w:r>
            <w:r>
              <w:rPr>
                <w:rFonts w:cs="Tahoma"/>
                <w:color w:val="000000"/>
                <w:sz w:val="18"/>
                <w:szCs w:val="18"/>
                <w:lang w:eastAsia="hr-HR"/>
              </w:rPr>
              <w:t>0</w:t>
            </w:r>
          </w:p>
        </w:tc>
        <w:tc>
          <w:tcPr>
            <w:tcW w:w="0" w:type="pct"/>
          </w:tcPr>
          <w:p w14:paraId="2A397E43"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7AAD914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6FAC2351"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39D3CD71"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0D7D3B0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184D2567"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62A08EF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tcPr>
          <w:p w14:paraId="4498D266"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35CC6FE4"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0" w:type="pct"/>
            <w:vAlign w:val="center"/>
          </w:tcPr>
          <w:p w14:paraId="7EED59B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0,0</w:t>
            </w:r>
          </w:p>
        </w:tc>
      </w:tr>
      <w:tr w:rsidR="004949CA" w:rsidRPr="00491890" w14:paraId="51A6C309"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18E9CC43" w14:textId="77777777" w:rsidR="004949CA" w:rsidRPr="00491890" w:rsidRDefault="004949CA" w:rsidP="00331A63">
            <w:pPr>
              <w:jc w:val="right"/>
              <w:rPr>
                <w:rFonts w:cs="Tahoma"/>
                <w:color w:val="000000"/>
                <w:sz w:val="18"/>
                <w:szCs w:val="18"/>
                <w:lang w:eastAsia="hr-HR"/>
              </w:rPr>
            </w:pPr>
            <w:r w:rsidRPr="00491890">
              <w:rPr>
                <w:rFonts w:cs="Tahoma"/>
                <w:color w:val="000000"/>
                <w:sz w:val="18"/>
                <w:szCs w:val="18"/>
                <w:lang w:eastAsia="hr-HR"/>
              </w:rPr>
              <w:t>2022</w:t>
            </w:r>
          </w:p>
        </w:tc>
        <w:tc>
          <w:tcPr>
            <w:tcW w:w="567" w:type="pct"/>
            <w:hideMark/>
          </w:tcPr>
          <w:p w14:paraId="5C4DDF5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0</w:t>
            </w:r>
            <w:r w:rsidRPr="007D636C">
              <w:rPr>
                <w:rFonts w:cs="Tahoma"/>
                <w:color w:val="000000"/>
                <w:sz w:val="18"/>
                <w:szCs w:val="18"/>
                <w:lang w:eastAsia="hr-HR"/>
              </w:rPr>
              <w:t>,</w:t>
            </w:r>
            <w:r>
              <w:rPr>
                <w:rFonts w:cs="Tahoma"/>
                <w:color w:val="000000"/>
                <w:sz w:val="18"/>
                <w:szCs w:val="18"/>
                <w:lang w:eastAsia="hr-HR"/>
              </w:rPr>
              <w:t>0</w:t>
            </w:r>
          </w:p>
        </w:tc>
        <w:tc>
          <w:tcPr>
            <w:tcW w:w="459" w:type="pct"/>
          </w:tcPr>
          <w:p w14:paraId="327EAF07"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cs="Tahoma"/>
                <w:color w:val="000000"/>
                <w:sz w:val="18"/>
                <w:szCs w:val="18"/>
                <w:lang w:eastAsia="hr-HR"/>
              </w:rPr>
              <w:t>8,7</w:t>
            </w:r>
          </w:p>
        </w:tc>
        <w:tc>
          <w:tcPr>
            <w:tcW w:w="459" w:type="pct"/>
          </w:tcPr>
          <w:p w14:paraId="410D7AE1"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459" w:type="pct"/>
          </w:tcPr>
          <w:p w14:paraId="3D2FF3B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hideMark/>
          </w:tcPr>
          <w:p w14:paraId="73A47AA1"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08016E93"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9FBA916"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069286D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E4C85E8"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8" w:type="pct"/>
            <w:hideMark/>
          </w:tcPr>
          <w:p w14:paraId="18B9E2E9"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vAlign w:val="center"/>
          </w:tcPr>
          <w:p w14:paraId="2E42BF04"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8,7</w:t>
            </w:r>
          </w:p>
        </w:tc>
      </w:tr>
      <w:tr w:rsidR="004949CA" w:rsidRPr="00491890" w14:paraId="7C49E367"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hideMark/>
          </w:tcPr>
          <w:p w14:paraId="05950E29" w14:textId="77777777" w:rsidR="004949CA" w:rsidRPr="00491890" w:rsidRDefault="004949CA" w:rsidP="00331A63">
            <w:pPr>
              <w:jc w:val="right"/>
              <w:rPr>
                <w:rFonts w:cs="Tahoma"/>
                <w:color w:val="000000"/>
                <w:sz w:val="18"/>
                <w:szCs w:val="18"/>
                <w:lang w:eastAsia="hr-HR"/>
              </w:rPr>
            </w:pPr>
            <w:r w:rsidRPr="00491890">
              <w:rPr>
                <w:rFonts w:cs="Tahoma"/>
                <w:color w:val="000000"/>
                <w:sz w:val="18"/>
                <w:szCs w:val="18"/>
                <w:lang w:eastAsia="hr-HR"/>
              </w:rPr>
              <w:t>2023</w:t>
            </w:r>
          </w:p>
        </w:tc>
        <w:tc>
          <w:tcPr>
            <w:tcW w:w="567" w:type="pct"/>
          </w:tcPr>
          <w:p w14:paraId="424CDED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1A0E7EF5"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39293919"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7D80417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hideMark/>
          </w:tcPr>
          <w:p w14:paraId="3C5CFDE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56844D5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2C971F8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CA2391E"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6760605"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8" w:type="pct"/>
            <w:hideMark/>
          </w:tcPr>
          <w:p w14:paraId="68D1CAA7"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vAlign w:val="center"/>
          </w:tcPr>
          <w:p w14:paraId="53584487"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17,4</w:t>
            </w:r>
          </w:p>
        </w:tc>
      </w:tr>
      <w:tr w:rsidR="004949CA" w:rsidRPr="00491890" w14:paraId="7D1D7F45"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39A5E9FE" w14:textId="77777777" w:rsidR="004949CA" w:rsidRPr="00491890" w:rsidRDefault="004949CA" w:rsidP="00331A63">
            <w:pPr>
              <w:jc w:val="right"/>
              <w:rPr>
                <w:rFonts w:cs="Tahoma"/>
                <w:b w:val="0"/>
                <w:bCs w:val="0"/>
                <w:color w:val="000000"/>
                <w:sz w:val="18"/>
                <w:szCs w:val="18"/>
                <w:lang w:eastAsia="hr-HR"/>
              </w:rPr>
            </w:pPr>
            <w:r w:rsidRPr="00491890">
              <w:rPr>
                <w:rFonts w:cs="Tahoma"/>
                <w:color w:val="000000"/>
                <w:sz w:val="18"/>
                <w:szCs w:val="18"/>
                <w:lang w:eastAsia="hr-HR"/>
              </w:rPr>
              <w:t>2024</w:t>
            </w:r>
          </w:p>
        </w:tc>
        <w:tc>
          <w:tcPr>
            <w:tcW w:w="567" w:type="pct"/>
          </w:tcPr>
          <w:p w14:paraId="2D0E8D9E"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225B9FCC"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300E0DD5"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26356B1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6A5AFCFE"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FA884B9"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EF88EF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0925B5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9C649B4"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77067453"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4DA9909C"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5E23C484"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6FA868A8" w14:textId="77777777" w:rsidR="004949CA" w:rsidRPr="00E43959" w:rsidRDefault="004949CA" w:rsidP="00331A63">
            <w:pPr>
              <w:jc w:val="right"/>
              <w:rPr>
                <w:rFonts w:cs="Tahoma"/>
                <w:color w:val="000000"/>
                <w:sz w:val="18"/>
                <w:szCs w:val="18"/>
                <w:lang w:eastAsia="hr-HR"/>
              </w:rPr>
            </w:pPr>
            <w:r w:rsidRPr="00E43959">
              <w:rPr>
                <w:rFonts w:cs="Tahoma"/>
                <w:color w:val="000000"/>
                <w:sz w:val="18"/>
                <w:szCs w:val="18"/>
                <w:lang w:eastAsia="hr-HR"/>
              </w:rPr>
              <w:t>2025</w:t>
            </w:r>
          </w:p>
        </w:tc>
        <w:tc>
          <w:tcPr>
            <w:tcW w:w="567" w:type="pct"/>
          </w:tcPr>
          <w:p w14:paraId="2AC3F922"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3B3949D2"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1FD1C72C"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4DD29A35"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2372B813"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30C7C0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1100060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48F4AF7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DFD109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207199C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4125B1D3"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3D4ACC41"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1D36E621" w14:textId="77777777" w:rsidR="004949CA" w:rsidRPr="00E43959" w:rsidRDefault="004949CA" w:rsidP="00331A63">
            <w:pPr>
              <w:jc w:val="right"/>
              <w:rPr>
                <w:rFonts w:cs="Tahoma"/>
                <w:color w:val="000000"/>
                <w:sz w:val="18"/>
                <w:szCs w:val="18"/>
                <w:lang w:eastAsia="hr-HR"/>
              </w:rPr>
            </w:pPr>
            <w:r w:rsidRPr="00E43959">
              <w:rPr>
                <w:rFonts w:cs="Tahoma"/>
                <w:color w:val="000000"/>
                <w:sz w:val="18"/>
                <w:szCs w:val="18"/>
                <w:lang w:eastAsia="hr-HR"/>
              </w:rPr>
              <w:t>2026</w:t>
            </w:r>
          </w:p>
        </w:tc>
        <w:tc>
          <w:tcPr>
            <w:tcW w:w="567" w:type="pct"/>
          </w:tcPr>
          <w:p w14:paraId="5E274239"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2324746D"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48934CC5"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55F4ECDE"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302FEF8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A057ABE"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7F429D4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9993105"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44FA6083"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5455574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690343BE"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335EB92B"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798AB998" w14:textId="77777777" w:rsidR="004949CA" w:rsidRPr="00E43959" w:rsidRDefault="004949CA" w:rsidP="00331A63">
            <w:pPr>
              <w:jc w:val="right"/>
              <w:rPr>
                <w:rFonts w:cs="Tahoma"/>
                <w:color w:val="000000"/>
                <w:sz w:val="18"/>
                <w:szCs w:val="18"/>
                <w:lang w:eastAsia="hr-HR"/>
              </w:rPr>
            </w:pPr>
            <w:r w:rsidRPr="00E43959">
              <w:rPr>
                <w:rFonts w:cs="Tahoma"/>
                <w:color w:val="000000"/>
                <w:sz w:val="18"/>
                <w:szCs w:val="18"/>
                <w:lang w:eastAsia="hr-HR"/>
              </w:rPr>
              <w:t>2027</w:t>
            </w:r>
          </w:p>
        </w:tc>
        <w:tc>
          <w:tcPr>
            <w:tcW w:w="567" w:type="pct"/>
          </w:tcPr>
          <w:p w14:paraId="59FEF035"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245201FD"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79230D7D"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50C978A8"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5C26B5C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54193B1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6FD7F81"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6116C01"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5692AAC"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2E96C6D3"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69566B49"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2EA658A7"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53F284CE" w14:textId="77777777" w:rsidR="004949CA" w:rsidRPr="00E43959" w:rsidRDefault="004949CA" w:rsidP="00331A63">
            <w:pPr>
              <w:jc w:val="right"/>
              <w:rPr>
                <w:rFonts w:cs="Tahoma"/>
                <w:color w:val="000000"/>
                <w:sz w:val="18"/>
                <w:szCs w:val="18"/>
                <w:lang w:eastAsia="hr-HR"/>
              </w:rPr>
            </w:pPr>
            <w:r w:rsidRPr="00E43959">
              <w:rPr>
                <w:rFonts w:cs="Tahoma"/>
                <w:color w:val="000000"/>
                <w:sz w:val="18"/>
                <w:szCs w:val="18"/>
                <w:lang w:eastAsia="hr-HR"/>
              </w:rPr>
              <w:t>2028</w:t>
            </w:r>
          </w:p>
        </w:tc>
        <w:tc>
          <w:tcPr>
            <w:tcW w:w="567" w:type="pct"/>
          </w:tcPr>
          <w:p w14:paraId="19DDB90A"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6A10852E"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16D219AB" w14:textId="77777777" w:rsidR="004949CA" w:rsidRPr="00D82E72"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152F747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5892B2D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0EE2FCB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35064EA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4E032EE9"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B2B71D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7CBC2796"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5947B2E1"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766221D6"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3EA3BC42" w14:textId="77777777" w:rsidR="004949CA" w:rsidRPr="00491890" w:rsidRDefault="004949CA" w:rsidP="00331A63">
            <w:pPr>
              <w:jc w:val="right"/>
              <w:rPr>
                <w:rFonts w:cs="Tahoma"/>
                <w:color w:val="000000"/>
                <w:sz w:val="18"/>
                <w:szCs w:val="18"/>
                <w:lang w:eastAsia="hr-HR"/>
              </w:rPr>
            </w:pPr>
            <w:r>
              <w:rPr>
                <w:rFonts w:cs="Tahoma"/>
                <w:color w:val="000000"/>
                <w:sz w:val="18"/>
                <w:szCs w:val="18"/>
                <w:lang w:eastAsia="hr-HR"/>
              </w:rPr>
              <w:t>2029</w:t>
            </w:r>
          </w:p>
        </w:tc>
        <w:tc>
          <w:tcPr>
            <w:tcW w:w="567" w:type="pct"/>
          </w:tcPr>
          <w:p w14:paraId="2A7A15A8"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289D942A"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4049E9B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6E9734B7"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hideMark/>
          </w:tcPr>
          <w:p w14:paraId="39CE55A1"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3BB7D2C9"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161E45E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226D9E4B"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2" w:type="pct"/>
            <w:hideMark/>
          </w:tcPr>
          <w:p w14:paraId="625E6D2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308" w:type="pct"/>
            <w:hideMark/>
          </w:tcPr>
          <w:p w14:paraId="5B8D4236"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491890">
              <w:rPr>
                <w:rFonts w:cs="Tahoma"/>
                <w:color w:val="000000"/>
                <w:sz w:val="18"/>
                <w:szCs w:val="18"/>
                <w:lang w:eastAsia="hr-HR"/>
              </w:rPr>
              <w:t> </w:t>
            </w:r>
          </w:p>
        </w:tc>
        <w:tc>
          <w:tcPr>
            <w:tcW w:w="544" w:type="pct"/>
            <w:vAlign w:val="center"/>
          </w:tcPr>
          <w:p w14:paraId="5531E66F"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Pr>
                <w:rFonts w:ascii="Arial" w:hAnsi="Arial" w:cs="Arial"/>
                <w:color w:val="000000"/>
                <w:sz w:val="18"/>
                <w:szCs w:val="18"/>
              </w:rPr>
              <w:t>26,0</w:t>
            </w:r>
          </w:p>
        </w:tc>
      </w:tr>
      <w:tr w:rsidR="004949CA" w:rsidRPr="00491890" w14:paraId="4D051168"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693" w:type="pct"/>
          </w:tcPr>
          <w:p w14:paraId="2DB91610" w14:textId="77777777" w:rsidR="004949CA" w:rsidRDefault="004949CA" w:rsidP="00331A63">
            <w:pPr>
              <w:jc w:val="right"/>
              <w:rPr>
                <w:rFonts w:cs="Tahoma"/>
                <w:color w:val="000000"/>
                <w:sz w:val="18"/>
                <w:szCs w:val="18"/>
                <w:lang w:eastAsia="hr-HR"/>
              </w:rPr>
            </w:pPr>
            <w:r>
              <w:rPr>
                <w:rFonts w:cs="Tahoma"/>
                <w:color w:val="000000"/>
                <w:sz w:val="18"/>
                <w:szCs w:val="18"/>
                <w:lang w:eastAsia="hr-HR"/>
              </w:rPr>
              <w:t>2030</w:t>
            </w:r>
          </w:p>
        </w:tc>
        <w:tc>
          <w:tcPr>
            <w:tcW w:w="567" w:type="pct"/>
          </w:tcPr>
          <w:p w14:paraId="30903F73"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D10095">
              <w:rPr>
                <w:rFonts w:cs="Tahoma"/>
                <w:color w:val="000000"/>
                <w:sz w:val="18"/>
                <w:szCs w:val="18"/>
                <w:lang w:eastAsia="hr-HR"/>
              </w:rPr>
              <w:t>0,0</w:t>
            </w:r>
          </w:p>
        </w:tc>
        <w:tc>
          <w:tcPr>
            <w:tcW w:w="459" w:type="pct"/>
          </w:tcPr>
          <w:p w14:paraId="28DEFE3D"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0074AD">
              <w:rPr>
                <w:rFonts w:cs="Tahoma"/>
                <w:color w:val="000000"/>
                <w:sz w:val="18"/>
                <w:szCs w:val="18"/>
                <w:lang w:eastAsia="hr-HR"/>
              </w:rPr>
              <w:t>8,7</w:t>
            </w:r>
          </w:p>
        </w:tc>
        <w:tc>
          <w:tcPr>
            <w:tcW w:w="459" w:type="pct"/>
          </w:tcPr>
          <w:p w14:paraId="0DCC2D6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E479A4">
              <w:rPr>
                <w:rFonts w:cs="Tahoma"/>
                <w:color w:val="000000"/>
                <w:sz w:val="18"/>
                <w:szCs w:val="18"/>
                <w:lang w:eastAsia="hr-HR"/>
              </w:rPr>
              <w:t>8,7</w:t>
            </w:r>
          </w:p>
        </w:tc>
        <w:tc>
          <w:tcPr>
            <w:tcW w:w="459" w:type="pct"/>
          </w:tcPr>
          <w:p w14:paraId="6CF56CBA"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r w:rsidRPr="00834D10">
              <w:rPr>
                <w:rFonts w:cs="Tahoma"/>
                <w:color w:val="000000"/>
                <w:sz w:val="18"/>
                <w:szCs w:val="18"/>
                <w:lang w:eastAsia="hr-HR"/>
              </w:rPr>
              <w:t>8,7</w:t>
            </w:r>
          </w:p>
        </w:tc>
        <w:tc>
          <w:tcPr>
            <w:tcW w:w="302" w:type="pct"/>
          </w:tcPr>
          <w:p w14:paraId="1E5905E5"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5843F270"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41B8A122"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630A6526"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2" w:type="pct"/>
          </w:tcPr>
          <w:p w14:paraId="20D74DCE"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308" w:type="pct"/>
          </w:tcPr>
          <w:p w14:paraId="7ED099FE" w14:textId="77777777" w:rsidR="004949CA" w:rsidRPr="00491890"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color w:val="000000"/>
                <w:sz w:val="18"/>
                <w:szCs w:val="18"/>
                <w:lang w:eastAsia="hr-HR"/>
              </w:rPr>
            </w:pPr>
          </w:p>
        </w:tc>
        <w:tc>
          <w:tcPr>
            <w:tcW w:w="544" w:type="pct"/>
            <w:vAlign w:val="center"/>
          </w:tcPr>
          <w:p w14:paraId="23B0B463"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26,0</w:t>
            </w:r>
          </w:p>
        </w:tc>
      </w:tr>
      <w:tr w:rsidR="004949CA" w:rsidRPr="00491890" w14:paraId="5FFF8822"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4456" w:type="pct"/>
            <w:gridSpan w:val="11"/>
          </w:tcPr>
          <w:p w14:paraId="56799BA5" w14:textId="77777777" w:rsidR="004949CA" w:rsidRPr="00491890" w:rsidRDefault="004949CA" w:rsidP="00331A63">
            <w:pPr>
              <w:jc w:val="right"/>
              <w:rPr>
                <w:rFonts w:cs="Tahoma"/>
                <w:color w:val="000000"/>
                <w:sz w:val="18"/>
                <w:szCs w:val="18"/>
                <w:lang w:eastAsia="hr-HR"/>
              </w:rPr>
            </w:pPr>
            <w:r w:rsidRPr="00491890">
              <w:rPr>
                <w:rFonts w:cs="Tahoma"/>
                <w:color w:val="000000"/>
                <w:sz w:val="18"/>
                <w:szCs w:val="18"/>
                <w:lang w:eastAsia="hr-HR"/>
              </w:rPr>
              <w:t xml:space="preserve">UKUPNE KUMULATIVNE UŠTEDE ZA RAZDOBLJE 2021. – </w:t>
            </w:r>
            <w:r>
              <w:rPr>
                <w:rFonts w:cs="Tahoma"/>
                <w:color w:val="000000"/>
                <w:sz w:val="18"/>
                <w:szCs w:val="18"/>
                <w:lang w:eastAsia="hr-HR"/>
              </w:rPr>
              <w:t>2024</w:t>
            </w:r>
            <w:r w:rsidRPr="00491890">
              <w:rPr>
                <w:rFonts w:cs="Tahoma"/>
                <w:color w:val="000000"/>
                <w:sz w:val="18"/>
                <w:szCs w:val="18"/>
                <w:lang w:eastAsia="hr-HR"/>
              </w:rPr>
              <w:t>. [GWh] </w:t>
            </w:r>
          </w:p>
        </w:tc>
        <w:tc>
          <w:tcPr>
            <w:tcW w:w="544" w:type="pct"/>
          </w:tcPr>
          <w:p w14:paraId="1254F31E" w14:textId="77777777" w:rsidR="004949CA" w:rsidRPr="009F463A"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b/>
                <w:bCs/>
                <w:color w:val="000000"/>
                <w:sz w:val="18"/>
                <w:szCs w:val="18"/>
                <w:lang w:eastAsia="hr-HR"/>
              </w:rPr>
            </w:pPr>
            <w:r w:rsidRPr="009F463A">
              <w:rPr>
                <w:rFonts w:cs="Tahoma"/>
                <w:b/>
                <w:bCs/>
                <w:color w:val="000000"/>
                <w:sz w:val="18"/>
                <w:szCs w:val="18"/>
                <w:lang w:eastAsia="hr-HR"/>
              </w:rPr>
              <w:t>52,1</w:t>
            </w:r>
          </w:p>
        </w:tc>
      </w:tr>
      <w:tr w:rsidR="004949CA" w:rsidRPr="00491890" w14:paraId="60D7526B"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4456" w:type="pct"/>
            <w:gridSpan w:val="11"/>
          </w:tcPr>
          <w:p w14:paraId="69167011" w14:textId="77777777" w:rsidR="004949CA" w:rsidRPr="00491890" w:rsidRDefault="004949CA" w:rsidP="00331A63">
            <w:pPr>
              <w:jc w:val="right"/>
              <w:rPr>
                <w:rFonts w:cs="Tahoma"/>
                <w:b w:val="0"/>
                <w:bCs w:val="0"/>
                <w:color w:val="000000"/>
                <w:sz w:val="18"/>
                <w:szCs w:val="18"/>
                <w:lang w:eastAsia="hr-HR"/>
              </w:rPr>
            </w:pPr>
            <w:r w:rsidRPr="00491890">
              <w:rPr>
                <w:rFonts w:cs="Tahoma"/>
                <w:color w:val="000000"/>
                <w:sz w:val="18"/>
                <w:szCs w:val="18"/>
                <w:lang w:eastAsia="hr-HR"/>
              </w:rPr>
              <w:t xml:space="preserve">UKUPNE KUMULATIVNE UŠTEDE ZA RAZDOBLJE 2021. – </w:t>
            </w:r>
            <w:r>
              <w:rPr>
                <w:rFonts w:cs="Tahoma"/>
                <w:color w:val="000000"/>
                <w:sz w:val="18"/>
                <w:szCs w:val="18"/>
                <w:lang w:eastAsia="hr-HR"/>
              </w:rPr>
              <w:t>2030</w:t>
            </w:r>
            <w:r w:rsidRPr="00491890">
              <w:rPr>
                <w:rFonts w:cs="Tahoma"/>
                <w:color w:val="000000"/>
                <w:sz w:val="18"/>
                <w:szCs w:val="18"/>
                <w:lang w:eastAsia="hr-HR"/>
              </w:rPr>
              <w:t>. [GWh] </w:t>
            </w:r>
          </w:p>
        </w:tc>
        <w:tc>
          <w:tcPr>
            <w:tcW w:w="544" w:type="pct"/>
          </w:tcPr>
          <w:p w14:paraId="1CD635B6" w14:textId="77777777" w:rsidR="004949CA" w:rsidRDefault="004949CA" w:rsidP="00331A63">
            <w:pPr>
              <w:jc w:val="right"/>
              <w:cnfStyle w:val="000000000000" w:firstRow="0" w:lastRow="0" w:firstColumn="0" w:lastColumn="0" w:oddVBand="0" w:evenVBand="0" w:oddHBand="0" w:evenHBand="0" w:firstRowFirstColumn="0" w:firstRowLastColumn="0" w:lastRowFirstColumn="0" w:lastRowLastColumn="0"/>
              <w:rPr>
                <w:rFonts w:cs="Tahoma"/>
                <w:b/>
                <w:bCs/>
                <w:sz w:val="18"/>
                <w:szCs w:val="18"/>
                <w:lang w:eastAsia="hr-HR"/>
              </w:rPr>
            </w:pPr>
            <w:r>
              <w:rPr>
                <w:rFonts w:cs="Tahoma"/>
                <w:b/>
                <w:bCs/>
                <w:sz w:val="18"/>
                <w:szCs w:val="18"/>
                <w:lang w:eastAsia="hr-HR"/>
              </w:rPr>
              <w:t>208,3</w:t>
            </w:r>
          </w:p>
        </w:tc>
      </w:tr>
    </w:tbl>
    <w:p w14:paraId="6FF34F72" w14:textId="77777777" w:rsidR="004949CA" w:rsidRPr="00EE1B6E" w:rsidRDefault="004949CA" w:rsidP="00EE1B6E">
      <w:pPr>
        <w:spacing w:before="120" w:after="120" w:line="240" w:lineRule="auto"/>
        <w:jc w:val="both"/>
        <w:rPr>
          <w:rFonts w:ascii="Tahoma" w:hAnsi="Tahoma" w:cs="Tahoma"/>
          <w:color w:val="000000"/>
          <w:sz w:val="20"/>
          <w:szCs w:val="20"/>
        </w:rPr>
      </w:pPr>
      <w:r w:rsidRPr="00EE1B6E">
        <w:rPr>
          <w:rFonts w:ascii="Tahoma" w:hAnsi="Tahoma" w:cs="Tahoma"/>
          <w:color w:val="000000"/>
          <w:sz w:val="20"/>
          <w:szCs w:val="20"/>
        </w:rPr>
        <w:t>Kumulativne uštede uz raspoloživa sredstva u razdoblju do 2024. godine iznosit će nešto više od 52 GWh, što je nešto manje od 17% vrijednosti koja bi se ostvarila u tom razdoblju uz praćenje stopa obnove prema Dugoročnoj strategiji (294,63 GWh) odnosno to predstavlja svega 0,6% ukupnog kumulativnog cilja za razdoblje do 2030. godine (34.805,56 GWh).</w:t>
      </w:r>
    </w:p>
    <w:p w14:paraId="6369D448" w14:textId="77777777" w:rsidR="004949CA" w:rsidRPr="00EE1B6E" w:rsidRDefault="004949CA" w:rsidP="00EE1B6E">
      <w:pPr>
        <w:spacing w:before="120" w:after="120" w:line="240" w:lineRule="auto"/>
        <w:jc w:val="both"/>
        <w:rPr>
          <w:rFonts w:ascii="Tahoma" w:hAnsi="Tahoma" w:cs="Tahoma"/>
          <w:color w:val="000000"/>
          <w:sz w:val="20"/>
          <w:szCs w:val="20"/>
        </w:rPr>
      </w:pPr>
      <w:r w:rsidRPr="00EE1B6E">
        <w:rPr>
          <w:rFonts w:ascii="Tahoma" w:hAnsi="Tahoma" w:cs="Tahoma"/>
          <w:color w:val="000000"/>
          <w:sz w:val="20"/>
          <w:szCs w:val="20"/>
        </w:rPr>
        <w:t xml:space="preserve">Ova analiza još jednom pokazuje koliki je značaj Programa i koliko je važno pronaći dodatna sredstva za njegovu provedbu. </w:t>
      </w:r>
    </w:p>
    <w:p w14:paraId="6E01AFB6"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Uštede emisija CO</w:t>
      </w:r>
      <w:r w:rsidRPr="00EE1B6E">
        <w:rPr>
          <w:rFonts w:ascii="Tahoma" w:hAnsi="Tahoma" w:cs="Tahoma"/>
          <w:sz w:val="20"/>
          <w:szCs w:val="20"/>
          <w:vertAlign w:val="subscript"/>
          <w:lang w:eastAsia="hr-HR"/>
        </w:rPr>
        <w:t>2</w:t>
      </w:r>
      <w:r w:rsidRPr="00EE1B6E">
        <w:rPr>
          <w:rFonts w:ascii="Tahoma" w:hAnsi="Tahoma" w:cs="Tahoma"/>
          <w:sz w:val="20"/>
          <w:szCs w:val="20"/>
          <w:lang w:eastAsia="hr-HR"/>
        </w:rPr>
        <w:t xml:space="preserve"> koje će se ostvariti ovise o tome koliko će snažno doći do zamjene energenata, poglavito fosilnih električnom energijom uz vlastitu proizvodnju ili nekim drugim OIE. Konzervativna procjena, korištenjem postojeće strukture energenata i emisijske faktore iz nacrta Pravilnika o sustavu za praćenje mjerenje i verifikaciju ušteda energije pokazuje da će Program obnove VSZ, ukoliko se provede na način predviđen Dugoročnom strategijom, ostvariti smanjenje emisija CO</w:t>
      </w:r>
      <w:r w:rsidRPr="00EE1B6E">
        <w:rPr>
          <w:rFonts w:ascii="Tahoma" w:hAnsi="Tahoma" w:cs="Tahoma"/>
          <w:sz w:val="20"/>
          <w:szCs w:val="20"/>
          <w:vertAlign w:val="subscript"/>
          <w:lang w:eastAsia="hr-HR"/>
        </w:rPr>
        <w:t>2</w:t>
      </w:r>
      <w:r w:rsidRPr="00EE1B6E">
        <w:rPr>
          <w:rFonts w:ascii="Tahoma" w:hAnsi="Tahoma" w:cs="Tahoma"/>
          <w:sz w:val="20"/>
          <w:szCs w:val="20"/>
          <w:lang w:eastAsia="hr-HR"/>
        </w:rPr>
        <w:t xml:space="preserve"> od </w:t>
      </w:r>
      <w:r w:rsidRPr="00EE1B6E">
        <w:rPr>
          <w:rFonts w:ascii="Tahoma" w:hAnsi="Tahoma" w:cs="Tahoma"/>
          <w:b/>
          <w:bCs/>
          <w:sz w:val="20"/>
          <w:szCs w:val="20"/>
          <w:lang w:eastAsia="hr-HR"/>
        </w:rPr>
        <w:t>74.981,32 tona</w:t>
      </w:r>
      <w:r w:rsidRPr="00EE1B6E">
        <w:rPr>
          <w:rFonts w:ascii="Tahoma" w:hAnsi="Tahoma" w:cs="Tahoma"/>
          <w:sz w:val="20"/>
          <w:szCs w:val="20"/>
          <w:lang w:eastAsia="hr-HR"/>
        </w:rPr>
        <w:t>.</w:t>
      </w:r>
    </w:p>
    <w:p w14:paraId="51BEC5FD" w14:textId="77777777"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Usporedbe radi, u Dugoročnoj strategiji je utvrđeno da je očekivano smanjenje emisija CO</w:t>
      </w:r>
      <w:r w:rsidRPr="00EE1B6E">
        <w:rPr>
          <w:rFonts w:ascii="Tahoma" w:hAnsi="Tahoma" w:cs="Tahoma"/>
          <w:sz w:val="20"/>
          <w:szCs w:val="20"/>
          <w:vertAlign w:val="subscript"/>
          <w:lang w:eastAsia="hr-HR"/>
        </w:rPr>
        <w:t>2</w:t>
      </w:r>
      <w:r w:rsidRPr="00EE1B6E">
        <w:rPr>
          <w:rFonts w:ascii="Tahoma" w:hAnsi="Tahoma" w:cs="Tahoma"/>
          <w:sz w:val="20"/>
          <w:szCs w:val="20"/>
          <w:lang w:eastAsia="hr-HR"/>
        </w:rPr>
        <w:t xml:space="preserve"> zbog njezine provedbe 317,4 tisuća tona u 2030. godini, što znači da VSZ ovome cilju doprinose s oko </w:t>
      </w:r>
      <w:r w:rsidRPr="00EE1B6E">
        <w:rPr>
          <w:rFonts w:ascii="Tahoma" w:hAnsi="Tahoma" w:cs="Tahoma"/>
          <w:b/>
          <w:bCs/>
          <w:sz w:val="20"/>
          <w:szCs w:val="20"/>
          <w:lang w:eastAsia="hr-HR"/>
        </w:rPr>
        <w:t>24%</w:t>
      </w:r>
      <w:r w:rsidRPr="00EE1B6E">
        <w:rPr>
          <w:rFonts w:ascii="Tahoma" w:hAnsi="Tahoma" w:cs="Tahoma"/>
          <w:sz w:val="20"/>
          <w:szCs w:val="20"/>
          <w:lang w:eastAsia="hr-HR"/>
        </w:rPr>
        <w:t xml:space="preserve">. </w:t>
      </w:r>
    </w:p>
    <w:p w14:paraId="1EBE51E7" w14:textId="77777777" w:rsidR="004949CA" w:rsidRDefault="004949CA" w:rsidP="004949CA">
      <w:pPr>
        <w:pStyle w:val="Naslov20"/>
      </w:pPr>
      <w:bookmarkStart w:id="225" w:name="_Toc72156292"/>
      <w:bookmarkStart w:id="226" w:name="_Toc81836304"/>
      <w:bookmarkStart w:id="227" w:name="_Toc83912077"/>
      <w:r>
        <w:t>Analiza utjecaja na proizvodnju toplinsko-izolacijskih materijala i učinkovitih sustava</w:t>
      </w:r>
      <w:bookmarkEnd w:id="225"/>
      <w:bookmarkEnd w:id="226"/>
      <w:bookmarkEnd w:id="227"/>
    </w:p>
    <w:p w14:paraId="0658E057" w14:textId="77777777" w:rsidR="004949CA" w:rsidRPr="005D4FFF" w:rsidRDefault="004949CA" w:rsidP="005D4FFF">
      <w:pPr>
        <w:spacing w:before="120" w:after="120" w:line="240" w:lineRule="auto"/>
        <w:jc w:val="both"/>
        <w:rPr>
          <w:rFonts w:ascii="Tahoma" w:hAnsi="Tahoma" w:cs="Tahoma"/>
          <w:color w:val="000000"/>
          <w:sz w:val="20"/>
          <w:szCs w:val="20"/>
        </w:rPr>
      </w:pPr>
      <w:r w:rsidRPr="005D4FFF">
        <w:rPr>
          <w:rFonts w:ascii="Tahoma" w:hAnsi="Tahoma" w:cs="Tahoma"/>
          <w:color w:val="000000"/>
          <w:sz w:val="20"/>
          <w:szCs w:val="20"/>
        </w:rPr>
        <w:t xml:space="preserve">Provedba ovog Programa poticajna je za razvoj domaće proizvodne industrije. Hrvatska već sada ima industriju toplinskih izolacijskih materijala, a provedba ovog Programa će povećati potražnju za tim materijalima. </w:t>
      </w:r>
    </w:p>
    <w:p w14:paraId="1AA31FC8" w14:textId="6C47E70E" w:rsidR="004949CA" w:rsidRPr="005D4FFF" w:rsidRDefault="0C3F4C7D" w:rsidP="005D4FFF">
      <w:pPr>
        <w:spacing w:before="120" w:after="120" w:line="240" w:lineRule="auto"/>
        <w:jc w:val="both"/>
        <w:rPr>
          <w:rFonts w:ascii="Tahoma" w:hAnsi="Tahoma" w:cs="Tahoma"/>
          <w:color w:val="000000"/>
          <w:sz w:val="20"/>
          <w:szCs w:val="20"/>
        </w:rPr>
      </w:pPr>
      <w:r w:rsidRPr="638C4C38">
        <w:rPr>
          <w:rFonts w:ascii="Tahoma" w:hAnsi="Tahoma" w:cs="Tahoma"/>
          <w:color w:val="000000" w:themeColor="text1"/>
          <w:sz w:val="20"/>
          <w:szCs w:val="20"/>
        </w:rPr>
        <w:t>Također, natječajnim postupcima koji će se provoditi kroz ovaj Program, tj. kriterijima prihvatljivosti i odabira, moguće je dodatno potaknuti i strateške proizvodne  grane, kao primjerice drvnu industriju i to favoriziranjem drvne stolarije, koja ujedno može osigurati i bolju toplinsku ugodnost u prostoru izbjegavanjem tzv. ‘sindroma bolesne zgrade’, koji se često javlja kao posljedica uporabe  umjetnih materijala i inovativna rješenja u vidu ekoloških i održivih materijala za obnovu  zgrada  (s  najmanjim ugljičnim otiskom i štetnim djelovanjem na okoliš i korisnike objekta).</w:t>
      </w:r>
    </w:p>
    <w:p w14:paraId="7F06FBA4" w14:textId="0637B03C" w:rsidR="004949CA" w:rsidRPr="005D4FFF" w:rsidRDefault="0C3F4C7D" w:rsidP="005D4FFF">
      <w:pPr>
        <w:spacing w:before="120" w:after="120" w:line="240" w:lineRule="auto"/>
        <w:jc w:val="both"/>
        <w:rPr>
          <w:rFonts w:ascii="Tahoma" w:hAnsi="Tahoma" w:cs="Tahoma"/>
          <w:color w:val="000000"/>
          <w:sz w:val="20"/>
          <w:szCs w:val="20"/>
        </w:rPr>
      </w:pPr>
      <w:r w:rsidRPr="638C4C38">
        <w:rPr>
          <w:rFonts w:ascii="Tahoma" w:hAnsi="Tahoma" w:cs="Tahoma"/>
          <w:color w:val="000000" w:themeColor="text1"/>
          <w:sz w:val="20"/>
          <w:szCs w:val="20"/>
        </w:rPr>
        <w:t xml:space="preserve">Prema karakteristikama referentnih zgrada, utvrđeni su karakteristični omjeri površina </w:t>
      </w:r>
      <w:r w:rsidR="5BB22053" w:rsidRPr="638C4C38">
        <w:rPr>
          <w:rFonts w:ascii="Tahoma" w:hAnsi="Tahoma" w:cs="Tahoma"/>
          <w:color w:val="000000" w:themeColor="text1"/>
          <w:sz w:val="20"/>
          <w:szCs w:val="20"/>
        </w:rPr>
        <w:t>građevnih dijelova</w:t>
      </w:r>
      <w:r w:rsidRPr="638C4C38">
        <w:rPr>
          <w:rFonts w:ascii="Tahoma" w:hAnsi="Tahoma" w:cs="Tahoma"/>
          <w:color w:val="000000" w:themeColor="text1"/>
          <w:sz w:val="20"/>
          <w:szCs w:val="20"/>
        </w:rPr>
        <w:t xml:space="preserve"> vanjske ovojnice i korisne  površine </w:t>
      </w:r>
      <w:r w:rsidR="65F5C1DF" w:rsidRPr="638C4C38">
        <w:rPr>
          <w:rFonts w:ascii="Tahoma" w:hAnsi="Tahoma" w:cs="Tahoma"/>
          <w:color w:val="000000" w:themeColor="text1"/>
          <w:sz w:val="20"/>
          <w:szCs w:val="20"/>
        </w:rPr>
        <w:t xml:space="preserve">grijanog dijela </w:t>
      </w:r>
      <w:r w:rsidRPr="638C4C38">
        <w:rPr>
          <w:rFonts w:ascii="Tahoma" w:hAnsi="Tahoma" w:cs="Tahoma"/>
          <w:color w:val="000000" w:themeColor="text1"/>
          <w:sz w:val="20"/>
          <w:szCs w:val="20"/>
        </w:rPr>
        <w:t xml:space="preserve">zgrada, iz kojih se može procijeniti ukupni obuhvat ulaganja i potreba za materijalima prema planiranom intenzitetu obnove zgrada. </w:t>
      </w:r>
    </w:p>
    <w:p w14:paraId="49F0C76D" w14:textId="7E46ED4D" w:rsidR="004949CA" w:rsidRDefault="004949CA" w:rsidP="004949CA">
      <w:pPr>
        <w:pStyle w:val="Opisslike"/>
        <w:keepNext/>
      </w:pPr>
      <w:bookmarkStart w:id="228" w:name="_Toc84240515"/>
      <w:r>
        <w:t xml:space="preserve">Tablica </w:t>
      </w:r>
      <w:r>
        <w:fldChar w:fldCharType="begin"/>
      </w:r>
      <w:r>
        <w:instrText>STYLEREF 1 \s</w:instrText>
      </w:r>
      <w:r>
        <w:fldChar w:fldCharType="separate"/>
      </w:r>
      <w:r w:rsidR="00575AF9">
        <w:rPr>
          <w:noProof/>
        </w:rPr>
        <w:t>13</w:t>
      </w:r>
      <w:r>
        <w:fldChar w:fldCharType="end"/>
      </w:r>
      <w:r w:rsidR="00931EC7">
        <w:noBreakHyphen/>
      </w:r>
      <w:r>
        <w:fldChar w:fldCharType="begin"/>
      </w:r>
      <w:r>
        <w:instrText>SEQ Tablica \* ARABIC \s 1</w:instrText>
      </w:r>
      <w:r>
        <w:fldChar w:fldCharType="separate"/>
      </w:r>
      <w:r w:rsidR="00575AF9">
        <w:rPr>
          <w:noProof/>
        </w:rPr>
        <w:t>3</w:t>
      </w:r>
      <w:r>
        <w:fldChar w:fldCharType="end"/>
      </w:r>
      <w:r>
        <w:t xml:space="preserve"> Specifične vrijednosti površina i ulaganja u građevne dijelove ovojnice za VSZ</w:t>
      </w:r>
      <w:bookmarkEnd w:id="228"/>
    </w:p>
    <w:tbl>
      <w:tblPr>
        <w:tblStyle w:val="Svijetlatablicareetke110"/>
        <w:tblW w:w="9120" w:type="dxa"/>
        <w:tblLayout w:type="fixed"/>
        <w:tblLook w:val="04A0" w:firstRow="1" w:lastRow="0" w:firstColumn="1" w:lastColumn="0" w:noHBand="0" w:noVBand="1"/>
      </w:tblPr>
      <w:tblGrid>
        <w:gridCol w:w="2280"/>
        <w:gridCol w:w="2280"/>
        <w:gridCol w:w="2280"/>
        <w:gridCol w:w="2280"/>
      </w:tblGrid>
      <w:tr w:rsidR="004949CA" w:rsidRPr="00EE1B6E" w14:paraId="2BED5A56" w14:textId="77777777" w:rsidTr="005D4FFF">
        <w:trPr>
          <w:cnfStyle w:val="100000000000" w:firstRow="1" w:lastRow="0" w:firstColumn="0" w:lastColumn="0" w:oddVBand="0" w:evenVBand="0" w:oddHBand="0" w:evenHBand="0" w:firstRowFirstColumn="0" w:firstRowLastColumn="0" w:lastRowFirstColumn="0" w:lastRowLastColumn="0"/>
          <w:trHeight w:val="871"/>
          <w:tblHeader/>
        </w:trPr>
        <w:tc>
          <w:tcPr>
            <w:cnfStyle w:val="001000000000" w:firstRow="0" w:lastRow="0" w:firstColumn="1" w:lastColumn="0" w:oddVBand="0" w:evenVBand="0" w:oddHBand="0" w:evenHBand="0" w:firstRowFirstColumn="0" w:firstRowLastColumn="0" w:lastRowFirstColumn="0" w:lastRowLastColumn="0"/>
            <w:tcW w:w="0" w:type="dxa"/>
            <w:hideMark/>
          </w:tcPr>
          <w:p w14:paraId="351F7C63" w14:textId="77777777" w:rsidR="004949CA" w:rsidRPr="00EE1B6E" w:rsidRDefault="004949CA" w:rsidP="00331A63">
            <w:pPr>
              <w:rPr>
                <w:rFonts w:ascii="Tahoma" w:hAnsi="Tahoma" w:cs="Tahoma"/>
                <w:sz w:val="18"/>
                <w:szCs w:val="18"/>
                <w:lang w:eastAsia="hr-HR"/>
              </w:rPr>
            </w:pPr>
            <w:bookmarkStart w:id="229" w:name="_Hlk82787925"/>
          </w:p>
        </w:tc>
        <w:tc>
          <w:tcPr>
            <w:tcW w:w="0" w:type="dxa"/>
            <w:hideMark/>
          </w:tcPr>
          <w:p w14:paraId="13F3A900"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eastAsia="Calibri" w:hAnsi="Tahoma" w:cs="Tahoma"/>
                <w:sz w:val="24"/>
                <w:lang w:eastAsia="hr-HR"/>
              </w:rPr>
            </w:pPr>
            <w:r w:rsidRPr="00EE1B6E">
              <w:rPr>
                <w:rFonts w:ascii="Tahoma" w:hAnsi="Tahoma" w:cs="Tahoma"/>
                <w:color w:val="000000"/>
                <w:sz w:val="18"/>
                <w:szCs w:val="18"/>
                <w:lang w:eastAsia="hr-HR"/>
              </w:rPr>
              <w:t xml:space="preserve">specifična površina građevnih dijelova po korisnoj površini grijanog dijela zgrade  </w:t>
            </w:r>
            <w:r w:rsidRPr="00EE1B6E">
              <w:rPr>
                <w:rFonts w:ascii="Tahoma" w:eastAsia="Calibri" w:hAnsi="Tahoma" w:cs="Tahoma"/>
                <w:sz w:val="24"/>
                <w:lang w:eastAsia="hr-HR"/>
              </w:rPr>
              <w:t xml:space="preserve"> </w:t>
            </w:r>
          </w:p>
          <w:p w14:paraId="05A71FF9" w14:textId="77777777"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8"/>
                <w:szCs w:val="18"/>
                <w:lang w:eastAsia="hr-HR"/>
              </w:rPr>
            </w:pPr>
            <w:r w:rsidRPr="00EE1B6E">
              <w:rPr>
                <w:rFonts w:ascii="Tahoma" w:hAnsi="Tahoma" w:cs="Tahoma"/>
                <w:color w:val="000000"/>
                <w:sz w:val="18"/>
                <w:szCs w:val="18"/>
                <w:lang w:eastAsia="hr-HR"/>
              </w:rPr>
              <w:t xml:space="preserve"> [m</w:t>
            </w:r>
            <w:r w:rsidRPr="00EE1B6E">
              <w:rPr>
                <w:rFonts w:ascii="Tahoma" w:hAnsi="Tahoma" w:cs="Tahoma"/>
                <w:color w:val="000000"/>
                <w:sz w:val="18"/>
                <w:szCs w:val="18"/>
                <w:vertAlign w:val="superscript"/>
                <w:lang w:eastAsia="hr-HR"/>
              </w:rPr>
              <w:t>2</w:t>
            </w:r>
            <w:r w:rsidRPr="00EE1B6E">
              <w:rPr>
                <w:rFonts w:ascii="Tahoma" w:hAnsi="Tahoma" w:cs="Tahoma"/>
                <w:color w:val="000000"/>
                <w:sz w:val="18"/>
                <w:szCs w:val="18"/>
                <w:lang w:eastAsia="hr-HR"/>
              </w:rPr>
              <w:t>/m²A</w:t>
            </w:r>
            <w:r w:rsidRPr="00EE1B6E">
              <w:rPr>
                <w:rFonts w:ascii="Tahoma" w:hAnsi="Tahoma" w:cs="Tahoma"/>
                <w:color w:val="000000"/>
                <w:sz w:val="18"/>
                <w:szCs w:val="18"/>
                <w:vertAlign w:val="subscript"/>
                <w:lang w:eastAsia="hr-HR"/>
              </w:rPr>
              <w:t>k</w:t>
            </w:r>
            <w:r w:rsidRPr="00EE1B6E">
              <w:rPr>
                <w:rFonts w:ascii="Tahoma" w:hAnsi="Tahoma" w:cs="Tahoma"/>
                <w:color w:val="000000"/>
                <w:sz w:val="18"/>
                <w:szCs w:val="18"/>
                <w:lang w:eastAsia="hr-HR"/>
              </w:rPr>
              <w:t>]</w:t>
            </w:r>
          </w:p>
        </w:tc>
        <w:tc>
          <w:tcPr>
            <w:tcW w:w="0" w:type="dxa"/>
            <w:hideMark/>
          </w:tcPr>
          <w:p w14:paraId="7782450E" w14:textId="4E14D9C3"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prosječna tržišna cijena obnove građevnog dijela [</w:t>
            </w:r>
            <w:r w:rsidR="0063313B">
              <w:rPr>
                <w:rFonts w:ascii="Tahoma" w:hAnsi="Tahoma" w:cs="Tahoma"/>
                <w:color w:val="000000"/>
                <w:sz w:val="18"/>
                <w:szCs w:val="18"/>
                <w:lang w:eastAsia="hr-HR"/>
              </w:rPr>
              <w:t>kuna</w:t>
            </w:r>
            <w:r w:rsidRPr="00EE1B6E">
              <w:rPr>
                <w:rFonts w:ascii="Tahoma" w:hAnsi="Tahoma" w:cs="Tahoma"/>
                <w:color w:val="000000"/>
                <w:sz w:val="18"/>
                <w:szCs w:val="18"/>
                <w:lang w:eastAsia="hr-HR"/>
              </w:rPr>
              <w:t>/m²]</w:t>
            </w:r>
          </w:p>
        </w:tc>
        <w:tc>
          <w:tcPr>
            <w:tcW w:w="0" w:type="dxa"/>
            <w:hideMark/>
          </w:tcPr>
          <w:p w14:paraId="5BA033BA" w14:textId="10F2E2BD" w:rsidR="004949CA" w:rsidRPr="00EE1B6E"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specifično ulaganje po obnovljenoj površini [</w:t>
            </w:r>
            <w:r w:rsidR="0063313B">
              <w:rPr>
                <w:rFonts w:ascii="Tahoma" w:hAnsi="Tahoma" w:cs="Tahoma"/>
                <w:color w:val="000000"/>
                <w:sz w:val="18"/>
                <w:szCs w:val="18"/>
                <w:lang w:eastAsia="hr-HR"/>
              </w:rPr>
              <w:t>kuna</w:t>
            </w:r>
            <w:r w:rsidRPr="00EE1B6E">
              <w:rPr>
                <w:rFonts w:ascii="Tahoma" w:hAnsi="Tahoma" w:cs="Tahoma"/>
                <w:color w:val="000000"/>
                <w:sz w:val="18"/>
                <w:szCs w:val="18"/>
                <w:lang w:eastAsia="hr-HR"/>
              </w:rPr>
              <w:t>/m²]</w:t>
            </w:r>
          </w:p>
        </w:tc>
      </w:tr>
      <w:tr w:rsidR="004949CA" w:rsidRPr="00EE1B6E" w14:paraId="0DE21FD8" w14:textId="77777777" w:rsidTr="00331A63">
        <w:trPr>
          <w:trHeight w:val="40"/>
        </w:trPr>
        <w:tc>
          <w:tcPr>
            <w:cnfStyle w:val="001000000000" w:firstRow="0" w:lastRow="0" w:firstColumn="1" w:lastColumn="0" w:oddVBand="0" w:evenVBand="0" w:oddHBand="0" w:evenHBand="0" w:firstRowFirstColumn="0" w:firstRowLastColumn="0" w:lastRowFirstColumn="0" w:lastRowLastColumn="0"/>
            <w:tcW w:w="0" w:type="dxa"/>
            <w:hideMark/>
          </w:tcPr>
          <w:p w14:paraId="4BAF6112"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vanjski zid</w:t>
            </w:r>
          </w:p>
        </w:tc>
        <w:tc>
          <w:tcPr>
            <w:tcW w:w="0" w:type="dxa"/>
            <w:noWrap/>
            <w:hideMark/>
          </w:tcPr>
          <w:p w14:paraId="222BC27D"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1,15</w:t>
            </w:r>
          </w:p>
        </w:tc>
        <w:tc>
          <w:tcPr>
            <w:tcW w:w="0" w:type="dxa"/>
            <w:noWrap/>
            <w:hideMark/>
          </w:tcPr>
          <w:p w14:paraId="03D0EBD0"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475</w:t>
            </w:r>
          </w:p>
        </w:tc>
        <w:tc>
          <w:tcPr>
            <w:tcW w:w="0" w:type="dxa"/>
            <w:noWrap/>
            <w:hideMark/>
          </w:tcPr>
          <w:p w14:paraId="00F3391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527,39</w:t>
            </w:r>
          </w:p>
        </w:tc>
      </w:tr>
      <w:tr w:rsidR="004949CA" w:rsidRPr="00EE1B6E" w14:paraId="60F38F35"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hideMark/>
          </w:tcPr>
          <w:p w14:paraId="36EC57F2"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strop prema negrijanom tavanu</w:t>
            </w:r>
          </w:p>
        </w:tc>
        <w:tc>
          <w:tcPr>
            <w:tcW w:w="0" w:type="dxa"/>
            <w:noWrap/>
            <w:hideMark/>
          </w:tcPr>
          <w:p w14:paraId="23F69FEB"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0,26</w:t>
            </w:r>
          </w:p>
        </w:tc>
        <w:tc>
          <w:tcPr>
            <w:tcW w:w="0" w:type="dxa"/>
            <w:noWrap/>
            <w:hideMark/>
          </w:tcPr>
          <w:p w14:paraId="4761B09E"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340</w:t>
            </w:r>
          </w:p>
        </w:tc>
        <w:tc>
          <w:tcPr>
            <w:tcW w:w="0" w:type="dxa"/>
            <w:noWrap/>
            <w:hideMark/>
          </w:tcPr>
          <w:p w14:paraId="09C18AB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405,38</w:t>
            </w:r>
          </w:p>
        </w:tc>
      </w:tr>
      <w:tr w:rsidR="004949CA" w:rsidRPr="00EE1B6E" w14:paraId="605D655C"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hideMark/>
          </w:tcPr>
          <w:p w14:paraId="7AC9C056"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lastRenderedPageBreak/>
              <w:t>pod iznad negrijanog prostora</w:t>
            </w:r>
          </w:p>
        </w:tc>
        <w:tc>
          <w:tcPr>
            <w:tcW w:w="0" w:type="dxa"/>
            <w:noWrap/>
            <w:hideMark/>
          </w:tcPr>
          <w:p w14:paraId="28E4AC83"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0,31</w:t>
            </w:r>
          </w:p>
        </w:tc>
        <w:tc>
          <w:tcPr>
            <w:tcW w:w="0" w:type="dxa"/>
            <w:noWrap/>
            <w:hideMark/>
          </w:tcPr>
          <w:p w14:paraId="67BAEE6F"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350</w:t>
            </w:r>
          </w:p>
        </w:tc>
        <w:tc>
          <w:tcPr>
            <w:tcW w:w="0" w:type="dxa"/>
            <w:noWrap/>
            <w:hideMark/>
          </w:tcPr>
          <w:p w14:paraId="095A1828"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369,98</w:t>
            </w:r>
          </w:p>
        </w:tc>
      </w:tr>
      <w:tr w:rsidR="004949CA" w:rsidRPr="00EE1B6E" w14:paraId="228EC68D"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hideMark/>
          </w:tcPr>
          <w:p w14:paraId="7A06686A"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ravni krov</w:t>
            </w:r>
          </w:p>
        </w:tc>
        <w:tc>
          <w:tcPr>
            <w:tcW w:w="0" w:type="dxa"/>
            <w:noWrap/>
            <w:hideMark/>
          </w:tcPr>
          <w:p w14:paraId="62E09D39"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0,26</w:t>
            </w:r>
          </w:p>
        </w:tc>
        <w:tc>
          <w:tcPr>
            <w:tcW w:w="0" w:type="dxa"/>
            <w:noWrap/>
            <w:hideMark/>
          </w:tcPr>
          <w:p w14:paraId="5DFC7124"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625</w:t>
            </w:r>
          </w:p>
        </w:tc>
        <w:tc>
          <w:tcPr>
            <w:tcW w:w="0" w:type="dxa"/>
            <w:noWrap/>
            <w:hideMark/>
          </w:tcPr>
          <w:p w14:paraId="388D5F53"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745,19</w:t>
            </w:r>
          </w:p>
        </w:tc>
      </w:tr>
      <w:tr w:rsidR="004949CA" w:rsidRPr="00EE1B6E" w14:paraId="3A63CA33"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hideMark/>
          </w:tcPr>
          <w:p w14:paraId="5A63C911"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kosi krov</w:t>
            </w:r>
          </w:p>
        </w:tc>
        <w:tc>
          <w:tcPr>
            <w:tcW w:w="0" w:type="dxa"/>
            <w:noWrap/>
            <w:hideMark/>
          </w:tcPr>
          <w:p w14:paraId="412573B5"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0,30</w:t>
            </w:r>
          </w:p>
        </w:tc>
        <w:tc>
          <w:tcPr>
            <w:tcW w:w="0" w:type="dxa"/>
            <w:noWrap/>
            <w:hideMark/>
          </w:tcPr>
          <w:p w14:paraId="54D4BB1F"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625</w:t>
            </w:r>
          </w:p>
        </w:tc>
        <w:tc>
          <w:tcPr>
            <w:tcW w:w="0" w:type="dxa"/>
            <w:noWrap/>
            <w:hideMark/>
          </w:tcPr>
          <w:p w14:paraId="001B8256"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860,47</w:t>
            </w:r>
          </w:p>
        </w:tc>
      </w:tr>
      <w:tr w:rsidR="004949CA" w:rsidRPr="00EE1B6E" w14:paraId="2C96B96C"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tcPr>
          <w:p w14:paraId="2150DFC5"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zid prema negrijanom prostoru</w:t>
            </w:r>
          </w:p>
        </w:tc>
        <w:tc>
          <w:tcPr>
            <w:tcW w:w="0" w:type="dxa"/>
            <w:noWrap/>
          </w:tcPr>
          <w:p w14:paraId="36A5573E"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0,70</w:t>
            </w:r>
          </w:p>
        </w:tc>
        <w:tc>
          <w:tcPr>
            <w:tcW w:w="0" w:type="dxa"/>
            <w:noWrap/>
          </w:tcPr>
          <w:p w14:paraId="0010B4BA"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400</w:t>
            </w:r>
          </w:p>
        </w:tc>
        <w:tc>
          <w:tcPr>
            <w:tcW w:w="0" w:type="dxa"/>
            <w:noWrap/>
          </w:tcPr>
          <w:p w14:paraId="1BF1F6D3"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350,00</w:t>
            </w:r>
          </w:p>
        </w:tc>
      </w:tr>
      <w:tr w:rsidR="004949CA" w:rsidRPr="00EE1B6E" w14:paraId="2D84C51D" w14:textId="77777777" w:rsidTr="00331A63">
        <w:trPr>
          <w:trHeight w:val="60"/>
        </w:trPr>
        <w:tc>
          <w:tcPr>
            <w:cnfStyle w:val="001000000000" w:firstRow="0" w:lastRow="0" w:firstColumn="1" w:lastColumn="0" w:oddVBand="0" w:evenVBand="0" w:oddHBand="0" w:evenHBand="0" w:firstRowFirstColumn="0" w:firstRowLastColumn="0" w:lastRowFirstColumn="0" w:lastRowLastColumn="0"/>
            <w:tcW w:w="0" w:type="dxa"/>
            <w:hideMark/>
          </w:tcPr>
          <w:p w14:paraId="2D543143" w14:textId="77777777" w:rsidR="004949CA" w:rsidRPr="00EE1B6E" w:rsidRDefault="004949CA" w:rsidP="00331A63">
            <w:pPr>
              <w:rPr>
                <w:rFonts w:ascii="Tahoma" w:hAnsi="Tahoma" w:cs="Tahoma"/>
                <w:color w:val="000000"/>
                <w:sz w:val="18"/>
                <w:szCs w:val="18"/>
                <w:lang w:eastAsia="hr-HR"/>
              </w:rPr>
            </w:pPr>
            <w:r w:rsidRPr="00EE1B6E">
              <w:rPr>
                <w:rFonts w:ascii="Tahoma" w:hAnsi="Tahoma" w:cs="Tahoma"/>
                <w:color w:val="000000"/>
                <w:sz w:val="18"/>
                <w:szCs w:val="18"/>
                <w:lang w:eastAsia="hr-HR"/>
              </w:rPr>
              <w:t>prozori i ostakljene konstrukcije</w:t>
            </w:r>
          </w:p>
        </w:tc>
        <w:tc>
          <w:tcPr>
            <w:tcW w:w="0" w:type="dxa"/>
            <w:noWrap/>
            <w:hideMark/>
          </w:tcPr>
          <w:p w14:paraId="11F2A6B1"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0,20</w:t>
            </w:r>
          </w:p>
        </w:tc>
        <w:tc>
          <w:tcPr>
            <w:tcW w:w="0" w:type="dxa"/>
            <w:noWrap/>
            <w:hideMark/>
          </w:tcPr>
          <w:p w14:paraId="24F1957E"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2.600</w:t>
            </w:r>
          </w:p>
        </w:tc>
        <w:tc>
          <w:tcPr>
            <w:tcW w:w="0" w:type="dxa"/>
            <w:noWrap/>
            <w:hideMark/>
          </w:tcPr>
          <w:p w14:paraId="6300B74C" w14:textId="77777777" w:rsidR="004949CA" w:rsidRPr="00EE1B6E"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8"/>
                <w:szCs w:val="18"/>
                <w:lang w:eastAsia="hr-HR"/>
              </w:rPr>
            </w:pPr>
            <w:r w:rsidRPr="00EE1B6E">
              <w:rPr>
                <w:rFonts w:ascii="Tahoma" w:hAnsi="Tahoma" w:cs="Tahoma"/>
                <w:color w:val="000000"/>
                <w:sz w:val="18"/>
                <w:szCs w:val="18"/>
                <w:lang w:eastAsia="hr-HR"/>
              </w:rPr>
              <w:t>401,85</w:t>
            </w:r>
          </w:p>
        </w:tc>
      </w:tr>
    </w:tbl>
    <w:bookmarkEnd w:id="229"/>
    <w:p w14:paraId="598AAF98" w14:textId="4C429DB5"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Dodatno, poticanjem uporabe visokoučinkovitih sustava za grijanje, pogotovo onih koji koriste OIE, otvara se  mogućnost za daljnji razvoj proizvodnje ovih sustava u </w:t>
      </w:r>
      <w:r w:rsidR="0009249B">
        <w:rPr>
          <w:rFonts w:ascii="Tahoma" w:hAnsi="Tahoma" w:cs="Tahoma"/>
          <w:sz w:val="20"/>
          <w:szCs w:val="20"/>
          <w:lang w:eastAsia="hr-HR"/>
        </w:rPr>
        <w:t xml:space="preserve">Hrvatskoj </w:t>
      </w:r>
      <w:r w:rsidRPr="00EE1B6E">
        <w:rPr>
          <w:rFonts w:ascii="Tahoma" w:hAnsi="Tahoma" w:cs="Tahoma"/>
          <w:sz w:val="20"/>
          <w:szCs w:val="20"/>
          <w:lang w:eastAsia="hr-HR"/>
        </w:rPr>
        <w:t>(već postoji proizvodnja peći na biomasu, sunčanih toplinskih sustava, fotonaponskih sustava).</w:t>
      </w:r>
    </w:p>
    <w:p w14:paraId="387F2DB1" w14:textId="77777777" w:rsidR="004949CA" w:rsidRDefault="004949CA" w:rsidP="004949CA">
      <w:pPr>
        <w:pStyle w:val="Naslov20"/>
      </w:pPr>
      <w:bookmarkStart w:id="230" w:name="_Toc72156293"/>
      <w:bookmarkStart w:id="231" w:name="_Toc81836305"/>
      <w:bookmarkStart w:id="232" w:name="_Toc83912078"/>
      <w:r>
        <w:t>Procjena učinka na državni proračun</w:t>
      </w:r>
      <w:bookmarkEnd w:id="230"/>
      <w:bookmarkEnd w:id="231"/>
      <w:bookmarkEnd w:id="232"/>
    </w:p>
    <w:p w14:paraId="0208A01E" w14:textId="01D5EBFF" w:rsidR="004949CA" w:rsidRPr="00EE1B6E" w:rsidRDefault="004949CA" w:rsidP="00EE1B6E">
      <w:pPr>
        <w:spacing w:before="120" w:after="120" w:line="240" w:lineRule="auto"/>
        <w:jc w:val="both"/>
        <w:rPr>
          <w:rFonts w:ascii="Tahoma" w:hAnsi="Tahoma" w:cs="Tahoma"/>
          <w:sz w:val="20"/>
          <w:szCs w:val="20"/>
          <w:lang w:eastAsia="hr-HR"/>
        </w:rPr>
      </w:pPr>
      <w:r w:rsidRPr="00EE1B6E">
        <w:rPr>
          <w:rFonts w:ascii="Tahoma" w:hAnsi="Tahoma" w:cs="Tahoma"/>
          <w:sz w:val="20"/>
          <w:szCs w:val="20"/>
          <w:lang w:eastAsia="hr-HR"/>
        </w:rPr>
        <w:t xml:space="preserve">Poticanje energetske obnove  VSZ ne predstavlja doista izdatak države u iznosima navedenim u poglavlju 11. Naime, samo preko PDV-a i raznih doprinosa na plaće zaposlenika, određena količina novca vratit će se u državni proračun. </w:t>
      </w:r>
      <w:r w:rsidRPr="00EE1B6E">
        <w:rPr>
          <w:rFonts w:ascii="Tahoma" w:hAnsi="Tahoma" w:cs="Tahoma"/>
          <w:sz w:val="20"/>
          <w:szCs w:val="20"/>
          <w:lang w:eastAsia="hr-HR"/>
        </w:rPr>
        <w:fldChar w:fldCharType="begin"/>
      </w:r>
      <w:r w:rsidRPr="00EE1B6E">
        <w:rPr>
          <w:rFonts w:ascii="Tahoma" w:hAnsi="Tahoma" w:cs="Tahoma"/>
          <w:sz w:val="20"/>
          <w:szCs w:val="20"/>
          <w:lang w:eastAsia="hr-HR"/>
        </w:rPr>
        <w:instrText xml:space="preserve"> REF _Ref72160127 \h </w:instrText>
      </w:r>
      <w:r w:rsidR="00EE1B6E" w:rsidRPr="00EE1B6E">
        <w:rPr>
          <w:rFonts w:ascii="Tahoma" w:hAnsi="Tahoma" w:cs="Tahoma"/>
          <w:sz w:val="20"/>
          <w:szCs w:val="20"/>
          <w:lang w:eastAsia="hr-HR"/>
        </w:rPr>
        <w:instrText xml:space="preserve"> \* MERGEFORMAT </w:instrText>
      </w:r>
      <w:r w:rsidRPr="00EE1B6E">
        <w:rPr>
          <w:rFonts w:ascii="Tahoma" w:hAnsi="Tahoma" w:cs="Tahoma"/>
          <w:sz w:val="20"/>
          <w:szCs w:val="20"/>
          <w:lang w:eastAsia="hr-HR"/>
        </w:rPr>
      </w:r>
      <w:r w:rsidRPr="00EE1B6E">
        <w:rPr>
          <w:rFonts w:ascii="Tahoma" w:hAnsi="Tahoma" w:cs="Tahoma"/>
          <w:sz w:val="20"/>
          <w:szCs w:val="20"/>
          <w:lang w:eastAsia="hr-HR"/>
        </w:rPr>
        <w:fldChar w:fldCharType="separate"/>
      </w:r>
      <w:r w:rsidR="00575AF9" w:rsidRPr="00575AF9">
        <w:rPr>
          <w:rFonts w:ascii="Tahoma" w:hAnsi="Tahoma" w:cs="Tahoma"/>
          <w:sz w:val="20"/>
          <w:szCs w:val="20"/>
        </w:rPr>
        <w:t xml:space="preserve">Tablica </w:t>
      </w:r>
      <w:r w:rsidR="00575AF9" w:rsidRPr="00575AF9">
        <w:rPr>
          <w:rFonts w:ascii="Tahoma" w:hAnsi="Tahoma" w:cs="Tahoma"/>
          <w:noProof/>
          <w:sz w:val="20"/>
          <w:szCs w:val="20"/>
        </w:rPr>
        <w:t>13</w:t>
      </w:r>
      <w:r w:rsidR="00575AF9" w:rsidRPr="00575AF9">
        <w:rPr>
          <w:rFonts w:ascii="Tahoma" w:hAnsi="Tahoma" w:cs="Tahoma"/>
          <w:noProof/>
          <w:sz w:val="20"/>
          <w:szCs w:val="20"/>
        </w:rPr>
        <w:noBreakHyphen/>
        <w:t>4</w:t>
      </w:r>
      <w:r w:rsidRPr="00EE1B6E">
        <w:rPr>
          <w:rFonts w:ascii="Tahoma" w:hAnsi="Tahoma" w:cs="Tahoma"/>
          <w:sz w:val="20"/>
          <w:szCs w:val="20"/>
          <w:lang w:eastAsia="hr-HR"/>
        </w:rPr>
        <w:fldChar w:fldCharType="end"/>
      </w:r>
      <w:r w:rsidRPr="00EE1B6E">
        <w:rPr>
          <w:rFonts w:ascii="Tahoma" w:hAnsi="Tahoma" w:cs="Tahoma"/>
          <w:sz w:val="20"/>
          <w:szCs w:val="20"/>
          <w:lang w:eastAsia="hr-HR"/>
        </w:rPr>
        <w:t xml:space="preserve"> prikazuje pojednostavljen, okvirni proračun povrata novca u državni proračun, metodološki izrađen na isti način kao u Programu energetske obnove VSZ za razdoblje 2014. do 2020. (na razini jedne godine).</w:t>
      </w:r>
    </w:p>
    <w:p w14:paraId="1FF356F2" w14:textId="3B35970F" w:rsidR="004949CA" w:rsidRDefault="004949CA" w:rsidP="004949CA">
      <w:pPr>
        <w:pStyle w:val="Opisslike"/>
      </w:pPr>
      <w:bookmarkStart w:id="233" w:name="_Ref72160127"/>
      <w:bookmarkStart w:id="234" w:name="_Toc72081567"/>
      <w:bookmarkStart w:id="235" w:name="_Toc84240516"/>
      <w:r w:rsidRPr="00F34A88">
        <w:t xml:space="preserve">Tablica </w:t>
      </w:r>
      <w:r>
        <w:rPr>
          <w:noProof/>
        </w:rPr>
        <w:fldChar w:fldCharType="begin"/>
      </w:r>
      <w:r>
        <w:rPr>
          <w:noProof/>
        </w:rPr>
        <w:instrText xml:space="preserve"> STYLEREF 1 \s </w:instrText>
      </w:r>
      <w:r>
        <w:rPr>
          <w:noProof/>
        </w:rPr>
        <w:fldChar w:fldCharType="separate"/>
      </w:r>
      <w:r w:rsidR="00575AF9">
        <w:rPr>
          <w:noProof/>
        </w:rPr>
        <w:t>13</w:t>
      </w:r>
      <w:r>
        <w:rPr>
          <w:noProof/>
        </w:rPr>
        <w:fldChar w:fldCharType="end"/>
      </w:r>
      <w:r>
        <w:noBreakHyphen/>
      </w:r>
      <w:r>
        <w:fldChar w:fldCharType="begin"/>
      </w:r>
      <w:r>
        <w:instrText>SEQ Tablica \* ARABIC \s 1</w:instrText>
      </w:r>
      <w:r>
        <w:fldChar w:fldCharType="separate"/>
      </w:r>
      <w:r w:rsidR="00575AF9">
        <w:rPr>
          <w:noProof/>
        </w:rPr>
        <w:t>4</w:t>
      </w:r>
      <w:r>
        <w:fldChar w:fldCharType="end"/>
      </w:r>
      <w:bookmarkEnd w:id="233"/>
      <w:r w:rsidRPr="00F34A88">
        <w:t xml:space="preserve">: </w:t>
      </w:r>
      <w:r w:rsidRPr="008545E2">
        <w:t xml:space="preserve">Pojednostavljeni proračun povrata uloženih </w:t>
      </w:r>
      <w:r>
        <w:t>javnih</w:t>
      </w:r>
      <w:r w:rsidRPr="008545E2">
        <w:t xml:space="preserve"> sredstava u državni  proračun</w:t>
      </w:r>
      <w:r>
        <w:t xml:space="preserve"> (na godišnjoj razini) u slučaju obnove VSZ prema ciljevima Dugoročne strategije</w:t>
      </w:r>
      <w:bookmarkEnd w:id="234"/>
      <w:bookmarkEnd w:id="235"/>
    </w:p>
    <w:tbl>
      <w:tblPr>
        <w:tblStyle w:val="Svijetlatablicareetke110"/>
        <w:tblW w:w="5000" w:type="pct"/>
        <w:tblLook w:val="04A0" w:firstRow="1" w:lastRow="0" w:firstColumn="1" w:lastColumn="0" w:noHBand="0" w:noVBand="1"/>
      </w:tblPr>
      <w:tblGrid>
        <w:gridCol w:w="674"/>
        <w:gridCol w:w="7335"/>
        <w:gridCol w:w="1053"/>
      </w:tblGrid>
      <w:tr w:rsidR="004949CA" w:rsidRPr="001D3619" w14:paraId="343FD76C" w14:textId="77777777" w:rsidTr="001D3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 w:type="pct"/>
          </w:tcPr>
          <w:p w14:paraId="555B56A9" w14:textId="77777777" w:rsidR="004949CA" w:rsidRPr="001D3619" w:rsidRDefault="004949CA" w:rsidP="00331A63">
            <w:pPr>
              <w:rPr>
                <w:rFonts w:ascii="Tahoma" w:hAnsi="Tahoma" w:cs="Tahoma"/>
                <w:sz w:val="20"/>
                <w:szCs w:val="20"/>
              </w:rPr>
            </w:pPr>
            <w:r w:rsidRPr="001D3619">
              <w:rPr>
                <w:rFonts w:ascii="Tahoma" w:hAnsi="Tahoma" w:cs="Tahoma"/>
                <w:sz w:val="20"/>
                <w:szCs w:val="20"/>
              </w:rPr>
              <w:t>A.</w:t>
            </w:r>
          </w:p>
        </w:tc>
        <w:tc>
          <w:tcPr>
            <w:tcW w:w="4047" w:type="pct"/>
          </w:tcPr>
          <w:p w14:paraId="2C186C95" w14:textId="32A9049E" w:rsidR="004949CA" w:rsidRPr="001D3619" w:rsidRDefault="004949CA" w:rsidP="00331A63">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Godišnje sufinanciranje javnim sredstvima s PDV-om [10</w:t>
            </w:r>
            <w:r w:rsidRPr="001D3619">
              <w:rPr>
                <w:rFonts w:ascii="Tahoma" w:hAnsi="Tahoma" w:cs="Tahoma"/>
                <w:sz w:val="20"/>
                <w:szCs w:val="20"/>
                <w:vertAlign w:val="superscript"/>
              </w:rPr>
              <w:t>6</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 xml:space="preserve">] </w:t>
            </w:r>
          </w:p>
        </w:tc>
        <w:tc>
          <w:tcPr>
            <w:tcW w:w="581" w:type="pct"/>
          </w:tcPr>
          <w:p w14:paraId="6AE37D03" w14:textId="591E5098" w:rsidR="004949CA" w:rsidRPr="001D3619" w:rsidRDefault="004949CA" w:rsidP="00107E0C">
            <w:pPr>
              <w:jc w:val="right"/>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highlight w:val="yellow"/>
              </w:rPr>
            </w:pPr>
            <w:r w:rsidRPr="001D3619">
              <w:rPr>
                <w:rFonts w:ascii="Tahoma" w:hAnsi="Tahoma" w:cs="Tahoma"/>
                <w:color w:val="000000"/>
                <w:sz w:val="20"/>
                <w:szCs w:val="20"/>
              </w:rPr>
              <w:t>1.172</w:t>
            </w:r>
          </w:p>
        </w:tc>
      </w:tr>
      <w:tr w:rsidR="00107E0C" w:rsidRPr="001D3619" w14:paraId="308B3758" w14:textId="77777777" w:rsidTr="00107E0C">
        <w:trPr>
          <w:trHeight w:val="50"/>
        </w:trPr>
        <w:tc>
          <w:tcPr>
            <w:cnfStyle w:val="001000000000" w:firstRow="0" w:lastRow="0" w:firstColumn="1" w:lastColumn="0" w:oddVBand="0" w:evenVBand="0" w:oddHBand="0" w:evenHBand="0" w:firstRowFirstColumn="0" w:firstRowLastColumn="0" w:lastRowFirstColumn="0" w:lastRowLastColumn="0"/>
            <w:tcW w:w="372" w:type="pct"/>
          </w:tcPr>
          <w:p w14:paraId="1038237A" w14:textId="77777777" w:rsidR="004949CA" w:rsidRPr="001D3619" w:rsidRDefault="004949CA" w:rsidP="00331A63">
            <w:pPr>
              <w:rPr>
                <w:rFonts w:ascii="Tahoma" w:hAnsi="Tahoma" w:cs="Tahoma"/>
                <w:sz w:val="20"/>
                <w:szCs w:val="20"/>
              </w:rPr>
            </w:pPr>
            <w:r w:rsidRPr="001D3619">
              <w:rPr>
                <w:rFonts w:ascii="Tahoma" w:hAnsi="Tahoma" w:cs="Tahoma"/>
                <w:sz w:val="20"/>
                <w:szCs w:val="20"/>
              </w:rPr>
              <w:t>B</w:t>
            </w:r>
          </w:p>
        </w:tc>
        <w:tc>
          <w:tcPr>
            <w:tcW w:w="4047" w:type="pct"/>
          </w:tcPr>
          <w:p w14:paraId="54B5BF9C" w14:textId="1922EF6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Ukupna investicija  s  PDV-om [10</w:t>
            </w:r>
            <w:r w:rsidRPr="001D3619">
              <w:rPr>
                <w:rFonts w:ascii="Tahoma" w:hAnsi="Tahoma" w:cs="Tahoma"/>
                <w:sz w:val="20"/>
                <w:szCs w:val="20"/>
                <w:vertAlign w:val="superscript"/>
              </w:rPr>
              <w:t>6</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w:t>
            </w:r>
          </w:p>
        </w:tc>
        <w:tc>
          <w:tcPr>
            <w:tcW w:w="581" w:type="pct"/>
          </w:tcPr>
          <w:p w14:paraId="1386AC43" w14:textId="58059361" w:rsidR="004949CA" w:rsidRPr="001D3619" w:rsidRDefault="004949CA" w:rsidP="00107E0C">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highlight w:val="yellow"/>
              </w:rPr>
            </w:pPr>
            <w:r w:rsidRPr="001D3619">
              <w:rPr>
                <w:rFonts w:ascii="Tahoma" w:hAnsi="Tahoma" w:cs="Tahoma"/>
                <w:sz w:val="20"/>
                <w:szCs w:val="20"/>
              </w:rPr>
              <w:t>1.723</w:t>
            </w:r>
          </w:p>
        </w:tc>
      </w:tr>
      <w:tr w:rsidR="004949CA" w:rsidRPr="001D3619" w14:paraId="2625D627"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67D6FCDD" w14:textId="77777777" w:rsidR="004949CA" w:rsidRPr="001D3619" w:rsidRDefault="004949CA" w:rsidP="00331A63">
            <w:pPr>
              <w:rPr>
                <w:rFonts w:ascii="Tahoma" w:hAnsi="Tahoma" w:cs="Tahoma"/>
                <w:sz w:val="20"/>
                <w:szCs w:val="20"/>
              </w:rPr>
            </w:pPr>
            <w:r w:rsidRPr="001D3619">
              <w:rPr>
                <w:rFonts w:ascii="Tahoma" w:hAnsi="Tahoma" w:cs="Tahoma"/>
                <w:sz w:val="20"/>
                <w:szCs w:val="20"/>
              </w:rPr>
              <w:t>C</w:t>
            </w:r>
          </w:p>
        </w:tc>
        <w:tc>
          <w:tcPr>
            <w:tcW w:w="4047" w:type="pct"/>
          </w:tcPr>
          <w:p w14:paraId="3DAF9894" w14:textId="6C46F943"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Iznos  PDV-a  iz  ukupnog  ulaganja [10</w:t>
            </w:r>
            <w:r w:rsidRPr="001D3619">
              <w:rPr>
                <w:rFonts w:ascii="Tahoma" w:hAnsi="Tahoma" w:cs="Tahoma"/>
                <w:sz w:val="20"/>
                <w:szCs w:val="20"/>
                <w:vertAlign w:val="superscript"/>
              </w:rPr>
              <w:t>6</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  (0,25*B)</w:t>
            </w:r>
          </w:p>
        </w:tc>
        <w:tc>
          <w:tcPr>
            <w:tcW w:w="581" w:type="pct"/>
          </w:tcPr>
          <w:p w14:paraId="147D4DFE"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highlight w:val="yellow"/>
              </w:rPr>
            </w:pPr>
            <w:r w:rsidRPr="001D3619">
              <w:rPr>
                <w:rFonts w:ascii="Tahoma" w:hAnsi="Tahoma" w:cs="Tahoma"/>
                <w:sz w:val="20"/>
                <w:szCs w:val="20"/>
              </w:rPr>
              <w:t>431</w:t>
            </w:r>
          </w:p>
        </w:tc>
      </w:tr>
      <w:tr w:rsidR="004949CA" w:rsidRPr="001D3619" w14:paraId="3311D98A"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14955795" w14:textId="77777777" w:rsidR="004949CA" w:rsidRPr="001D3619" w:rsidRDefault="004949CA" w:rsidP="00331A63">
            <w:pPr>
              <w:rPr>
                <w:rFonts w:ascii="Tahoma" w:hAnsi="Tahoma" w:cs="Tahoma"/>
                <w:sz w:val="20"/>
                <w:szCs w:val="20"/>
              </w:rPr>
            </w:pPr>
            <w:r w:rsidRPr="001D3619">
              <w:rPr>
                <w:rFonts w:ascii="Tahoma" w:hAnsi="Tahoma" w:cs="Tahoma"/>
                <w:sz w:val="20"/>
                <w:szCs w:val="20"/>
              </w:rPr>
              <w:t>D</w:t>
            </w:r>
          </w:p>
        </w:tc>
        <w:tc>
          <w:tcPr>
            <w:tcW w:w="4047" w:type="pct"/>
          </w:tcPr>
          <w:p w14:paraId="404DB88F" w14:textId="7777777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Godišnje zapošljavanje  (broj  direktnih  i  indirektnih  zaposlenja)</w:t>
            </w:r>
            <w:r w:rsidRPr="001D3619">
              <w:rPr>
                <w:rStyle w:val="Referencafusnote"/>
                <w:rFonts w:cs="Tahoma"/>
                <w:sz w:val="20"/>
                <w:szCs w:val="20"/>
              </w:rPr>
              <w:footnoteReference w:id="33"/>
            </w:r>
          </w:p>
        </w:tc>
        <w:tc>
          <w:tcPr>
            <w:tcW w:w="581" w:type="pct"/>
          </w:tcPr>
          <w:p w14:paraId="00AE2018"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6.662</w:t>
            </w:r>
          </w:p>
        </w:tc>
      </w:tr>
      <w:tr w:rsidR="004949CA" w:rsidRPr="001D3619" w14:paraId="0403D4EC"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4ED34C0A" w14:textId="77777777" w:rsidR="004949CA" w:rsidRPr="001D3619" w:rsidRDefault="004949CA" w:rsidP="00331A63">
            <w:pPr>
              <w:rPr>
                <w:rFonts w:ascii="Tahoma" w:hAnsi="Tahoma" w:cs="Tahoma"/>
                <w:sz w:val="20"/>
                <w:szCs w:val="20"/>
              </w:rPr>
            </w:pPr>
            <w:r w:rsidRPr="001D3619">
              <w:rPr>
                <w:rFonts w:ascii="Tahoma" w:hAnsi="Tahoma" w:cs="Tahoma"/>
                <w:sz w:val="20"/>
                <w:szCs w:val="20"/>
              </w:rPr>
              <w:t>E</w:t>
            </w:r>
          </w:p>
        </w:tc>
        <w:tc>
          <w:tcPr>
            <w:tcW w:w="4047" w:type="pct"/>
          </w:tcPr>
          <w:p w14:paraId="1B18F6DC" w14:textId="0E514BD5"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 xml:space="preserve">Prosječna  mjesečna  neto  plaća  u  </w:t>
            </w:r>
            <w:r w:rsidR="001D3619" w:rsidRPr="001D3619">
              <w:rPr>
                <w:rFonts w:ascii="Tahoma" w:hAnsi="Tahoma" w:cs="Tahoma"/>
                <w:sz w:val="20"/>
                <w:szCs w:val="20"/>
              </w:rPr>
              <w:t>Hrvatskoj</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w:t>
            </w:r>
            <w:r w:rsidRPr="001D3619">
              <w:rPr>
                <w:rStyle w:val="Referencafusnote"/>
                <w:rFonts w:cs="Tahoma"/>
                <w:sz w:val="20"/>
                <w:szCs w:val="20"/>
              </w:rPr>
              <w:footnoteReference w:id="34"/>
            </w:r>
          </w:p>
        </w:tc>
        <w:tc>
          <w:tcPr>
            <w:tcW w:w="581" w:type="pct"/>
          </w:tcPr>
          <w:p w14:paraId="27C32233"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6.763</w:t>
            </w:r>
          </w:p>
        </w:tc>
      </w:tr>
      <w:tr w:rsidR="004949CA" w:rsidRPr="001D3619" w14:paraId="4D5F1277"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220C25C5" w14:textId="77777777" w:rsidR="004949CA" w:rsidRPr="001D3619" w:rsidRDefault="004949CA" w:rsidP="00331A63">
            <w:pPr>
              <w:rPr>
                <w:rFonts w:ascii="Tahoma" w:hAnsi="Tahoma" w:cs="Tahoma"/>
                <w:sz w:val="20"/>
                <w:szCs w:val="20"/>
              </w:rPr>
            </w:pPr>
            <w:r w:rsidRPr="001D3619">
              <w:rPr>
                <w:rFonts w:ascii="Tahoma" w:hAnsi="Tahoma" w:cs="Tahoma"/>
                <w:sz w:val="20"/>
                <w:szCs w:val="20"/>
              </w:rPr>
              <w:t>F</w:t>
            </w:r>
          </w:p>
        </w:tc>
        <w:tc>
          <w:tcPr>
            <w:tcW w:w="4047" w:type="pct"/>
          </w:tcPr>
          <w:p w14:paraId="4711CDB5" w14:textId="29D442E5"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Prosječna  mjesečna  bruto  plaća  u</w:t>
            </w:r>
            <w:r w:rsidR="001D3619" w:rsidRPr="001D3619">
              <w:rPr>
                <w:rFonts w:ascii="Tahoma" w:hAnsi="Tahoma" w:cs="Tahoma"/>
                <w:sz w:val="20"/>
                <w:szCs w:val="20"/>
              </w:rPr>
              <w:t xml:space="preserve"> Hrvatskoj</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w:t>
            </w:r>
            <w:r w:rsidRPr="001D3619">
              <w:rPr>
                <w:rFonts w:ascii="Tahoma" w:hAnsi="Tahoma" w:cs="Tahoma"/>
                <w:sz w:val="20"/>
                <w:szCs w:val="20"/>
                <w:vertAlign w:val="superscript"/>
              </w:rPr>
              <w:t>16</w:t>
            </w:r>
          </w:p>
        </w:tc>
        <w:tc>
          <w:tcPr>
            <w:tcW w:w="581" w:type="pct"/>
          </w:tcPr>
          <w:p w14:paraId="110D7C1D"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9.216</w:t>
            </w:r>
          </w:p>
        </w:tc>
      </w:tr>
      <w:tr w:rsidR="004949CA" w:rsidRPr="001D3619" w14:paraId="6D01DCD7"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53544655" w14:textId="77777777" w:rsidR="004949CA" w:rsidRPr="001D3619" w:rsidRDefault="004949CA" w:rsidP="00331A63">
            <w:pPr>
              <w:rPr>
                <w:rFonts w:ascii="Tahoma" w:hAnsi="Tahoma" w:cs="Tahoma"/>
                <w:sz w:val="20"/>
                <w:szCs w:val="20"/>
              </w:rPr>
            </w:pPr>
            <w:r w:rsidRPr="001D3619">
              <w:rPr>
                <w:rFonts w:ascii="Tahoma" w:hAnsi="Tahoma" w:cs="Tahoma"/>
                <w:sz w:val="20"/>
                <w:szCs w:val="20"/>
              </w:rPr>
              <w:t>G</w:t>
            </w:r>
          </w:p>
        </w:tc>
        <w:tc>
          <w:tcPr>
            <w:tcW w:w="4047" w:type="pct"/>
          </w:tcPr>
          <w:p w14:paraId="631B0252" w14:textId="4F170A21"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Davanja  po  jednoj  plaći  radnika  [</w:t>
            </w:r>
            <w:r w:rsidR="0063313B" w:rsidRPr="001D3619">
              <w:rPr>
                <w:rFonts w:ascii="Tahoma" w:hAnsi="Tahoma" w:cs="Tahoma"/>
                <w:sz w:val="20"/>
                <w:szCs w:val="20"/>
              </w:rPr>
              <w:t>kuna</w:t>
            </w:r>
            <w:r w:rsidRPr="001D3619">
              <w:rPr>
                <w:rFonts w:ascii="Tahoma" w:hAnsi="Tahoma" w:cs="Tahoma"/>
                <w:sz w:val="20"/>
                <w:szCs w:val="20"/>
              </w:rPr>
              <w:t>] ((F-E)*12)</w:t>
            </w:r>
          </w:p>
        </w:tc>
        <w:tc>
          <w:tcPr>
            <w:tcW w:w="581" w:type="pct"/>
          </w:tcPr>
          <w:p w14:paraId="1E34DCA8"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29.436</w:t>
            </w:r>
          </w:p>
        </w:tc>
      </w:tr>
      <w:tr w:rsidR="004949CA" w:rsidRPr="001D3619" w14:paraId="7E4ED924" w14:textId="77777777" w:rsidTr="001D3619">
        <w:tc>
          <w:tcPr>
            <w:cnfStyle w:val="001000000000" w:firstRow="0" w:lastRow="0" w:firstColumn="1" w:lastColumn="0" w:oddVBand="0" w:evenVBand="0" w:oddHBand="0" w:evenHBand="0" w:firstRowFirstColumn="0" w:firstRowLastColumn="0" w:lastRowFirstColumn="0" w:lastRowLastColumn="0"/>
            <w:tcW w:w="372" w:type="pct"/>
          </w:tcPr>
          <w:p w14:paraId="7B820CB4" w14:textId="77777777" w:rsidR="004949CA" w:rsidRPr="001D3619" w:rsidRDefault="004949CA" w:rsidP="00331A63">
            <w:pPr>
              <w:rPr>
                <w:rFonts w:ascii="Tahoma" w:hAnsi="Tahoma" w:cs="Tahoma"/>
                <w:sz w:val="20"/>
                <w:szCs w:val="20"/>
              </w:rPr>
            </w:pPr>
            <w:r w:rsidRPr="001D3619">
              <w:rPr>
                <w:rFonts w:ascii="Tahoma" w:hAnsi="Tahoma" w:cs="Tahoma"/>
                <w:sz w:val="20"/>
                <w:szCs w:val="20"/>
              </w:rPr>
              <w:t>H</w:t>
            </w:r>
          </w:p>
        </w:tc>
        <w:tc>
          <w:tcPr>
            <w:tcW w:w="4047" w:type="pct"/>
          </w:tcPr>
          <w:p w14:paraId="472E451C" w14:textId="41EC8402"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Ukupna  godišnja  davanja  temeljem  plaća  [10</w:t>
            </w:r>
            <w:r w:rsidRPr="001D3619">
              <w:rPr>
                <w:rFonts w:ascii="Tahoma" w:hAnsi="Tahoma" w:cs="Tahoma"/>
                <w:sz w:val="20"/>
                <w:szCs w:val="20"/>
                <w:vertAlign w:val="superscript"/>
              </w:rPr>
              <w:t>6</w:t>
            </w:r>
            <w:r w:rsidRPr="001D3619">
              <w:rPr>
                <w:rFonts w:ascii="Tahoma" w:hAnsi="Tahoma" w:cs="Tahoma"/>
                <w:sz w:val="20"/>
                <w:szCs w:val="20"/>
              </w:rPr>
              <w:t xml:space="preserve"> </w:t>
            </w:r>
            <w:r w:rsidR="0063313B" w:rsidRPr="001D3619">
              <w:rPr>
                <w:rFonts w:ascii="Tahoma" w:hAnsi="Tahoma" w:cs="Tahoma"/>
                <w:sz w:val="20"/>
                <w:szCs w:val="20"/>
              </w:rPr>
              <w:t>kuna</w:t>
            </w:r>
            <w:r w:rsidRPr="001D3619">
              <w:rPr>
                <w:rFonts w:ascii="Tahoma" w:hAnsi="Tahoma" w:cs="Tahoma"/>
                <w:sz w:val="20"/>
                <w:szCs w:val="20"/>
              </w:rPr>
              <w:t>]  (D*G)</w:t>
            </w:r>
          </w:p>
        </w:tc>
        <w:tc>
          <w:tcPr>
            <w:tcW w:w="581" w:type="pct"/>
          </w:tcPr>
          <w:p w14:paraId="551E166B"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196</w:t>
            </w:r>
          </w:p>
        </w:tc>
      </w:tr>
      <w:tr w:rsidR="001D3619" w:rsidRPr="001D3619" w14:paraId="4DB46EE8" w14:textId="77777777" w:rsidTr="001D3619">
        <w:tc>
          <w:tcPr>
            <w:cnfStyle w:val="001000000000" w:firstRow="0" w:lastRow="0" w:firstColumn="1" w:lastColumn="0" w:oddVBand="0" w:evenVBand="0" w:oddHBand="0" w:evenHBand="0" w:firstRowFirstColumn="0" w:firstRowLastColumn="0" w:lastRowFirstColumn="0" w:lastRowLastColumn="0"/>
            <w:tcW w:w="372" w:type="pct"/>
            <w:tcBorders>
              <w:bottom w:val="single" w:sz="12" w:space="0" w:color="7F7F7F" w:themeColor="text1" w:themeTint="80"/>
            </w:tcBorders>
          </w:tcPr>
          <w:p w14:paraId="31ED24DA" w14:textId="77777777" w:rsidR="004949CA" w:rsidRPr="001D3619" w:rsidRDefault="004949CA" w:rsidP="00331A63">
            <w:pPr>
              <w:rPr>
                <w:rFonts w:ascii="Tahoma" w:hAnsi="Tahoma" w:cs="Tahoma"/>
                <w:sz w:val="20"/>
                <w:szCs w:val="20"/>
              </w:rPr>
            </w:pPr>
            <w:r w:rsidRPr="001D3619">
              <w:rPr>
                <w:rFonts w:ascii="Tahoma" w:hAnsi="Tahoma" w:cs="Tahoma"/>
                <w:sz w:val="20"/>
                <w:szCs w:val="20"/>
              </w:rPr>
              <w:t>I</w:t>
            </w:r>
          </w:p>
        </w:tc>
        <w:tc>
          <w:tcPr>
            <w:tcW w:w="4047" w:type="pct"/>
            <w:tcBorders>
              <w:bottom w:val="single" w:sz="12" w:space="0" w:color="7F7F7F" w:themeColor="text1" w:themeTint="80"/>
            </w:tcBorders>
          </w:tcPr>
          <w:p w14:paraId="71AB92E3" w14:textId="29910969"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Ukupan povrat u državni proračun [10</w:t>
            </w:r>
            <w:r w:rsidRPr="001D3619">
              <w:rPr>
                <w:rFonts w:ascii="Tahoma" w:hAnsi="Tahoma" w:cs="Tahoma"/>
                <w:sz w:val="20"/>
                <w:szCs w:val="20"/>
                <w:vertAlign w:val="superscript"/>
              </w:rPr>
              <w:t xml:space="preserve">6 </w:t>
            </w:r>
            <w:r w:rsidR="0063313B" w:rsidRPr="001D3619">
              <w:rPr>
                <w:rFonts w:ascii="Tahoma" w:hAnsi="Tahoma" w:cs="Tahoma"/>
                <w:sz w:val="20"/>
                <w:szCs w:val="20"/>
              </w:rPr>
              <w:t>kuna</w:t>
            </w:r>
            <w:r w:rsidRPr="001D3619">
              <w:rPr>
                <w:rFonts w:ascii="Tahoma" w:hAnsi="Tahoma" w:cs="Tahoma"/>
                <w:sz w:val="20"/>
                <w:szCs w:val="20"/>
              </w:rPr>
              <w:t>] (C+H)</w:t>
            </w:r>
          </w:p>
        </w:tc>
        <w:tc>
          <w:tcPr>
            <w:tcW w:w="581" w:type="pct"/>
            <w:tcBorders>
              <w:bottom w:val="single" w:sz="12" w:space="0" w:color="7F7F7F" w:themeColor="text1" w:themeTint="80"/>
            </w:tcBorders>
          </w:tcPr>
          <w:p w14:paraId="5E2F0A8B"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sidRPr="001D3619">
              <w:rPr>
                <w:rFonts w:ascii="Tahoma" w:hAnsi="Tahoma" w:cs="Tahoma"/>
                <w:sz w:val="20"/>
                <w:szCs w:val="20"/>
              </w:rPr>
              <w:t>627</w:t>
            </w:r>
          </w:p>
        </w:tc>
      </w:tr>
      <w:tr w:rsidR="001D3619" w:rsidRPr="001D3619" w14:paraId="72F3BD75" w14:textId="77777777" w:rsidTr="001D3619">
        <w:tc>
          <w:tcPr>
            <w:cnfStyle w:val="001000000000" w:firstRow="0" w:lastRow="0" w:firstColumn="1" w:lastColumn="0" w:oddVBand="0" w:evenVBand="0" w:oddHBand="0" w:evenHBand="0" w:firstRowFirstColumn="0" w:firstRowLastColumn="0" w:lastRowFirstColumn="0" w:lastRowLastColumn="0"/>
            <w:tcW w:w="372" w:type="pct"/>
            <w:tcBorders>
              <w:top w:val="single" w:sz="12" w:space="0" w:color="7F7F7F" w:themeColor="text1" w:themeTint="80"/>
            </w:tcBorders>
          </w:tcPr>
          <w:p w14:paraId="1E0F9027" w14:textId="77777777" w:rsidR="004949CA" w:rsidRPr="001D3619" w:rsidRDefault="004949CA" w:rsidP="00331A63">
            <w:pPr>
              <w:rPr>
                <w:rFonts w:ascii="Tahoma" w:hAnsi="Tahoma" w:cs="Tahoma"/>
                <w:sz w:val="20"/>
                <w:szCs w:val="20"/>
              </w:rPr>
            </w:pPr>
            <w:r w:rsidRPr="001D3619">
              <w:rPr>
                <w:rFonts w:ascii="Tahoma" w:hAnsi="Tahoma" w:cs="Tahoma"/>
                <w:sz w:val="20"/>
                <w:szCs w:val="20"/>
              </w:rPr>
              <w:t>J</w:t>
            </w:r>
          </w:p>
        </w:tc>
        <w:tc>
          <w:tcPr>
            <w:tcW w:w="4047" w:type="pct"/>
            <w:tcBorders>
              <w:top w:val="single" w:sz="12" w:space="0" w:color="7F7F7F" w:themeColor="text1" w:themeTint="80"/>
            </w:tcBorders>
          </w:tcPr>
          <w:p w14:paraId="5619E1C9" w14:textId="3C22BBF7" w:rsidR="004949CA" w:rsidRPr="001D3619" w:rsidRDefault="004949CA" w:rsidP="00331A63">
            <w:pPr>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1D3619">
              <w:rPr>
                <w:rFonts w:ascii="Tahoma" w:hAnsi="Tahoma" w:cs="Tahoma"/>
                <w:b/>
                <w:bCs/>
                <w:sz w:val="20"/>
                <w:szCs w:val="20"/>
              </w:rPr>
              <w:t>Stvarni  iznos  državnih  potpora  [</w:t>
            </w:r>
            <w:r w:rsidR="0063313B" w:rsidRPr="001D3619">
              <w:rPr>
                <w:rFonts w:ascii="Tahoma" w:hAnsi="Tahoma" w:cs="Tahoma"/>
                <w:b/>
                <w:bCs/>
                <w:sz w:val="20"/>
                <w:szCs w:val="20"/>
              </w:rPr>
              <w:t>kuna</w:t>
            </w:r>
            <w:r w:rsidRPr="001D3619">
              <w:rPr>
                <w:rFonts w:ascii="Tahoma" w:hAnsi="Tahoma" w:cs="Tahoma"/>
                <w:b/>
                <w:bCs/>
                <w:sz w:val="20"/>
                <w:szCs w:val="20"/>
              </w:rPr>
              <w:t xml:space="preserve">]  </w:t>
            </w:r>
            <w:r w:rsidRPr="001D3619">
              <w:rPr>
                <w:rFonts w:ascii="Tahoma" w:hAnsi="Tahoma" w:cs="Tahoma"/>
                <w:sz w:val="20"/>
                <w:szCs w:val="20"/>
              </w:rPr>
              <w:t>(A-I)</w:t>
            </w:r>
          </w:p>
        </w:tc>
        <w:tc>
          <w:tcPr>
            <w:tcW w:w="581" w:type="pct"/>
            <w:tcBorders>
              <w:top w:val="single" w:sz="12" w:space="0" w:color="7F7F7F" w:themeColor="text1" w:themeTint="80"/>
            </w:tcBorders>
          </w:tcPr>
          <w:p w14:paraId="39F7D002" w14:textId="77777777" w:rsidR="004949CA" w:rsidRPr="001D3619" w:rsidRDefault="004949CA" w:rsidP="00331A63">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rPr>
            </w:pPr>
            <w:r w:rsidRPr="001D3619">
              <w:rPr>
                <w:rFonts w:ascii="Tahoma" w:hAnsi="Tahoma" w:cs="Tahoma"/>
                <w:b/>
                <w:bCs/>
                <w:sz w:val="20"/>
                <w:szCs w:val="20"/>
              </w:rPr>
              <w:t>545</w:t>
            </w:r>
          </w:p>
        </w:tc>
      </w:tr>
    </w:tbl>
    <w:p w14:paraId="0BB81E74" w14:textId="1B91BCC3"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Iz gornje je tablice vidljivo da se od ukupnog iznosa bespovratnih sredstava koje inicijalno osigurava  država  više od polovice (53,5%) vrati  u  državni  proračun  te  da  je  stvarni  doprinos  države  nešto više od  30%  ukupne  investicije (31,6%), a ne 60% ili 80% koliko iznosi stopa sufinanciranja. Učinak na državni proračun je time veći, što se sredstva osiguravaju iz EU izvora, a kako gornja tablica pokazuje, povrat u državni proračun samo iz PDV-a i doprinosa na plaće zaposlenih na poslovima obnove je oko 627 milijuna </w:t>
      </w:r>
      <w:r w:rsidR="0063313B">
        <w:rPr>
          <w:rFonts w:ascii="Tahoma" w:hAnsi="Tahoma" w:cs="Tahoma"/>
          <w:sz w:val="20"/>
          <w:szCs w:val="20"/>
          <w:lang w:eastAsia="hr-HR"/>
        </w:rPr>
        <w:t>kuna</w:t>
      </w:r>
      <w:r w:rsidRPr="00EB30FE">
        <w:rPr>
          <w:rFonts w:ascii="Tahoma" w:hAnsi="Tahoma" w:cs="Tahoma"/>
          <w:sz w:val="20"/>
          <w:szCs w:val="20"/>
          <w:lang w:eastAsia="hr-HR"/>
        </w:rPr>
        <w:t xml:space="preserve"> na godišnjoj razini. </w:t>
      </w:r>
    </w:p>
    <w:p w14:paraId="3174FFD0" w14:textId="5C490350" w:rsidR="004949CA" w:rsidRDefault="004949CA" w:rsidP="004949CA">
      <w:pPr>
        <w:pStyle w:val="Naslov20"/>
      </w:pPr>
      <w:bookmarkStart w:id="236" w:name="_Toc72156294"/>
      <w:bookmarkStart w:id="237" w:name="_Toc81836306"/>
      <w:bookmarkStart w:id="238" w:name="_Toc83912079"/>
      <w:r>
        <w:t xml:space="preserve">Pregled ostalih širih koristi energetske obnove </w:t>
      </w:r>
      <w:bookmarkEnd w:id="236"/>
      <w:bookmarkEnd w:id="237"/>
      <w:r w:rsidR="005D4FFF">
        <w:t>višestambenih zgrada</w:t>
      </w:r>
      <w:bookmarkEnd w:id="238"/>
    </w:p>
    <w:p w14:paraId="7086A6D3"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Osim gore navedenih izravnih energetskih (smanjenje potrošnje energije, smanjenje uvoza energije), klimatskih (smanjenje emisija CO</w:t>
      </w:r>
      <w:r w:rsidRPr="00EB30FE">
        <w:rPr>
          <w:rFonts w:ascii="Tahoma" w:hAnsi="Tahoma" w:cs="Tahoma"/>
          <w:sz w:val="20"/>
          <w:szCs w:val="20"/>
          <w:vertAlign w:val="subscript"/>
          <w:lang w:eastAsia="hr-HR"/>
        </w:rPr>
        <w:t>2</w:t>
      </w:r>
      <w:r w:rsidRPr="00EB30FE">
        <w:rPr>
          <w:rFonts w:ascii="Tahoma" w:hAnsi="Tahoma" w:cs="Tahoma"/>
          <w:sz w:val="20"/>
          <w:szCs w:val="20"/>
          <w:lang w:eastAsia="hr-HR"/>
        </w:rPr>
        <w:t xml:space="preserve">), gospodarskih (građevinska i proizvodna aktivnost, zapošljavanje) i proračunskih učinaka, a u skladu s analizom danom u Dugoročnoj strategiji, u izravne koristi energetske obnove ubrajaju se još smanjenje rizika zdravlja i siromaštva te povećanje vrijednosti nekretnina. </w:t>
      </w:r>
    </w:p>
    <w:p w14:paraId="78BAEBCD" w14:textId="4BA30A3C" w:rsidR="004949CA" w:rsidRPr="00EB30FE" w:rsidRDefault="0C3F4C7D" w:rsidP="00EB30FE">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lastRenderedPageBreak/>
        <w:t xml:space="preserve">Vrijednosni učinci poboljšanja zdravlja ljudi trenutno se ne prate u </w:t>
      </w:r>
      <w:r w:rsidR="3C89BD57" w:rsidRPr="638C4C38">
        <w:rPr>
          <w:rFonts w:ascii="Tahoma" w:hAnsi="Tahoma" w:cs="Tahoma"/>
          <w:sz w:val="20"/>
          <w:szCs w:val="20"/>
          <w:lang w:eastAsia="hr-HR"/>
        </w:rPr>
        <w:t>Hrvatskoj</w:t>
      </w:r>
      <w:r w:rsidRPr="638C4C38">
        <w:rPr>
          <w:rFonts w:ascii="Tahoma" w:hAnsi="Tahoma" w:cs="Tahoma"/>
          <w:sz w:val="20"/>
          <w:szCs w:val="20"/>
          <w:lang w:eastAsia="hr-HR"/>
        </w:rPr>
        <w:t xml:space="preserve">, no svakako ih vrijedi spomenuti. Najznačajniji zdravstveni rizici vezani su uz neizolirane zgrade, koje su zimi prehladne </w:t>
      </w:r>
      <w:r w:rsidR="1BDC2FF0" w:rsidRPr="638C4C38">
        <w:rPr>
          <w:rFonts w:ascii="Tahoma" w:hAnsi="Tahoma" w:cs="Tahoma"/>
          <w:sz w:val="20"/>
          <w:szCs w:val="20"/>
          <w:lang w:eastAsia="hr-HR"/>
        </w:rPr>
        <w:t xml:space="preserve">i </w:t>
      </w:r>
      <w:r w:rsidRPr="638C4C38">
        <w:rPr>
          <w:rFonts w:ascii="Tahoma" w:hAnsi="Tahoma" w:cs="Tahoma"/>
          <w:sz w:val="20"/>
          <w:szCs w:val="20"/>
          <w:lang w:eastAsia="hr-HR"/>
        </w:rPr>
        <w:t xml:space="preserve">u takvim slučajevima,  dva  puta  je  vjerojatnije  da  će stanari prijaviti  loše  zdravstveno  stanje, izazvano  upravo hladnoćom, vlagom, propuhom, plijesni i dr. Energetskom obnovom eliminiraju se ovi faktori rizika i poboljšava zdravstveno stanje populacije, a time se utječe i na smanjenje broja bolovanja te troškova sustava javnog zdravstva. </w:t>
      </w:r>
    </w:p>
    <w:p w14:paraId="35F5211E" w14:textId="043250E8" w:rsidR="004949CA" w:rsidRPr="00EB30FE" w:rsidRDefault="0C3F4C7D" w:rsidP="00EB30FE">
      <w:pPr>
        <w:spacing w:before="120" w:after="120" w:line="240" w:lineRule="auto"/>
        <w:jc w:val="both"/>
        <w:rPr>
          <w:rFonts w:ascii="Tahoma" w:hAnsi="Tahoma" w:cs="Tahoma"/>
          <w:sz w:val="20"/>
          <w:szCs w:val="20"/>
          <w:lang w:eastAsia="hr-HR"/>
        </w:rPr>
      </w:pPr>
      <w:r w:rsidRPr="638C4C38">
        <w:rPr>
          <w:rFonts w:ascii="Tahoma" w:hAnsi="Tahoma" w:cs="Tahoma"/>
          <w:sz w:val="20"/>
          <w:szCs w:val="20"/>
          <w:lang w:eastAsia="hr-HR"/>
        </w:rPr>
        <w:t xml:space="preserve">S  druge  strane, potrebno je voditi računa da energetska  obnova  ne  dovede  do  tzv.  sindroma  bolesne zgrade,  tj.  potrebno  je  osigurati  kvalitetu  unutarnjeg  zraka nakon energetske obnove. To  se  osigurava primjenom tehničkih propisa i kvalitetnom izvedbom radova, ali i kriterijima prihvatljivosti aktivnosti i mjera koje se sufinanciranju, kojima se mogu izbori vlasnika VSZ usmjeriti prema korištenju ekoloških i održivih građevnim materijala te visokoučinkovitih sustava te provedbom mjera za osiguranje zdravih unutarnjih klimatskih uvjeta, utvrđenih u poglavlju 8.  </w:t>
      </w:r>
    </w:p>
    <w:p w14:paraId="1804494D" w14:textId="10CD5557" w:rsidR="004949CA" w:rsidRPr="00EB30FE" w:rsidRDefault="0C3F4C7D" w:rsidP="00EB30FE">
      <w:pPr>
        <w:spacing w:before="120" w:after="120" w:line="240" w:lineRule="auto"/>
        <w:jc w:val="both"/>
        <w:rPr>
          <w:rFonts w:ascii="Tahoma" w:hAnsi="Tahoma" w:cs="Tahoma"/>
          <w:sz w:val="20"/>
          <w:szCs w:val="20"/>
          <w:lang w:eastAsia="hr-HR"/>
        </w:rPr>
      </w:pPr>
      <w:r w:rsidRPr="76C5F75F">
        <w:rPr>
          <w:rFonts w:ascii="Tahoma" w:hAnsi="Tahoma" w:cs="Tahoma"/>
          <w:sz w:val="20"/>
          <w:szCs w:val="20"/>
          <w:lang w:eastAsia="hr-HR"/>
        </w:rPr>
        <w:t xml:space="preserve">Osim  toga,  smanjena potrošnja energije u zgradama, osim doprinosa borbi protiv klimatskih promjena, smanjuje i emisije drugih onečišćujućih </w:t>
      </w:r>
      <w:r w:rsidR="0F841C88" w:rsidRPr="76C5F75F">
        <w:rPr>
          <w:rFonts w:ascii="Tahoma" w:hAnsi="Tahoma" w:cs="Tahoma"/>
          <w:sz w:val="20"/>
          <w:szCs w:val="20"/>
          <w:lang w:eastAsia="hr-HR"/>
        </w:rPr>
        <w:t>tvari u zrak</w:t>
      </w:r>
      <w:r w:rsidRPr="76C5F75F">
        <w:rPr>
          <w:rFonts w:ascii="Tahoma" w:hAnsi="Tahoma" w:cs="Tahoma"/>
          <w:sz w:val="20"/>
          <w:szCs w:val="20"/>
          <w:lang w:eastAsia="hr-HR"/>
        </w:rPr>
        <w:t xml:space="preserve">, </w:t>
      </w:r>
      <w:r w:rsidR="00BE0052">
        <w:rPr>
          <w:rFonts w:ascii="Tahoma" w:hAnsi="Tahoma" w:cs="Tahoma"/>
          <w:sz w:val="20"/>
          <w:szCs w:val="20"/>
          <w:lang w:eastAsia="hr-HR"/>
        </w:rPr>
        <w:t xml:space="preserve">plinova </w:t>
      </w:r>
      <w:r w:rsidRPr="76C5F75F">
        <w:rPr>
          <w:rFonts w:ascii="Tahoma" w:hAnsi="Tahoma" w:cs="Tahoma"/>
          <w:sz w:val="20"/>
          <w:szCs w:val="20"/>
          <w:lang w:eastAsia="hr-HR"/>
        </w:rPr>
        <w:t>poput SO</w:t>
      </w:r>
      <w:r w:rsidRPr="76C5F75F">
        <w:rPr>
          <w:rFonts w:ascii="Tahoma" w:hAnsi="Tahoma" w:cs="Tahoma"/>
          <w:sz w:val="20"/>
          <w:szCs w:val="20"/>
          <w:vertAlign w:val="subscript"/>
          <w:lang w:eastAsia="hr-HR"/>
        </w:rPr>
        <w:t>2</w:t>
      </w:r>
      <w:r w:rsidRPr="76C5F75F">
        <w:rPr>
          <w:rFonts w:ascii="Tahoma" w:hAnsi="Tahoma" w:cs="Tahoma"/>
          <w:sz w:val="20"/>
          <w:szCs w:val="20"/>
          <w:lang w:eastAsia="hr-HR"/>
        </w:rPr>
        <w:t>, NO</w:t>
      </w:r>
      <w:r w:rsidRPr="76C5F75F">
        <w:rPr>
          <w:rFonts w:ascii="Tahoma" w:hAnsi="Tahoma" w:cs="Tahoma"/>
          <w:sz w:val="20"/>
          <w:szCs w:val="20"/>
          <w:vertAlign w:val="subscript"/>
          <w:lang w:eastAsia="hr-HR"/>
        </w:rPr>
        <w:t>x</w:t>
      </w:r>
      <w:r w:rsidR="00BE0052">
        <w:rPr>
          <w:rFonts w:ascii="Tahoma" w:hAnsi="Tahoma" w:cs="Tahoma"/>
          <w:sz w:val="20"/>
          <w:szCs w:val="20"/>
          <w:lang w:eastAsia="hr-HR"/>
        </w:rPr>
        <w:t>,</w:t>
      </w:r>
      <w:r w:rsidRPr="76C5F75F">
        <w:rPr>
          <w:rFonts w:ascii="Tahoma" w:hAnsi="Tahoma" w:cs="Tahoma"/>
          <w:sz w:val="20"/>
          <w:szCs w:val="20"/>
          <w:lang w:eastAsia="hr-HR"/>
        </w:rPr>
        <w:t xml:space="preserve"> </w:t>
      </w:r>
      <w:r w:rsidR="00BE0052">
        <w:rPr>
          <w:rFonts w:ascii="Tahoma" w:hAnsi="Tahoma" w:cs="Tahoma"/>
          <w:sz w:val="20"/>
          <w:szCs w:val="20"/>
          <w:lang w:eastAsia="hr-HR"/>
        </w:rPr>
        <w:t>lebdećih</w:t>
      </w:r>
      <w:r w:rsidR="00BE0052" w:rsidRPr="76C5F75F">
        <w:rPr>
          <w:rFonts w:ascii="Tahoma" w:hAnsi="Tahoma" w:cs="Tahoma"/>
          <w:sz w:val="20"/>
          <w:szCs w:val="20"/>
          <w:lang w:eastAsia="hr-HR"/>
        </w:rPr>
        <w:t xml:space="preserve"> </w:t>
      </w:r>
      <w:r w:rsidRPr="76C5F75F">
        <w:rPr>
          <w:rFonts w:ascii="Tahoma" w:hAnsi="Tahoma" w:cs="Tahoma"/>
          <w:sz w:val="20"/>
          <w:szCs w:val="20"/>
          <w:lang w:eastAsia="hr-HR"/>
        </w:rPr>
        <w:t xml:space="preserve">čestica koje proizvode elektrane i sustavi grijanja. Te emisije negativno utječu na okoliš i zdravlje. Prema podacima Europske  agencije  za okoliš, u Hrvatskoj je u 2016. godini bilo 5.750 preranih smrti uzrokovanih emisijama ovih onečišćujućih </w:t>
      </w:r>
      <w:r w:rsidR="12B98312" w:rsidRPr="76C5F75F">
        <w:rPr>
          <w:rFonts w:ascii="Tahoma" w:hAnsi="Tahoma" w:cs="Tahoma"/>
          <w:sz w:val="20"/>
          <w:szCs w:val="20"/>
          <w:lang w:eastAsia="hr-HR"/>
        </w:rPr>
        <w:t>tvari u zrak</w:t>
      </w:r>
      <w:r w:rsidR="4EF78623" w:rsidRPr="76C5F75F">
        <w:rPr>
          <w:rFonts w:ascii="Tahoma" w:hAnsi="Tahoma" w:cs="Tahoma"/>
          <w:sz w:val="20"/>
          <w:szCs w:val="20"/>
          <w:lang w:eastAsia="hr-HR"/>
        </w:rPr>
        <w:t>u</w:t>
      </w:r>
      <w:r w:rsidR="00CE191E">
        <w:rPr>
          <w:rStyle w:val="Referencafusnote"/>
          <w:rFonts w:cs="Tahoma"/>
          <w:sz w:val="20"/>
          <w:szCs w:val="20"/>
          <w:lang w:eastAsia="hr-HR"/>
        </w:rPr>
        <w:footnoteReference w:id="35"/>
      </w:r>
      <w:r w:rsidRPr="76C5F75F">
        <w:rPr>
          <w:rFonts w:ascii="Tahoma" w:hAnsi="Tahoma" w:cs="Tahoma"/>
          <w:sz w:val="20"/>
          <w:szCs w:val="20"/>
          <w:lang w:eastAsia="hr-HR"/>
        </w:rPr>
        <w:t xml:space="preserve">. Dodatno,  energetska  obnova  također  može pridonijeti  i  rješavanju  problema azbesta  u postojećim VSZ, a njegovim uklanjanjem se eliminira značajan zdravstveni rizik koji postoji u takvim VSZ. </w:t>
      </w:r>
    </w:p>
    <w:p w14:paraId="777CDACC"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Kada je riječ o energetskom siromaštvu, obnova zgrada ima veliki potencijal ušteda koje su relativno veće za  siromašnija  kućanstva.  Prema  pokazateljima  siromaštva  2015.,  9,9%  osoba  u  Hrvatskoj  živi  u kućanstvima koja imaju problem s adekvatnim grijanjem, a 28,7% osoba živi u kućanstvima koja kasne s plaćanjem računa za režije. Energenti imaju važnu ulogu u tome, jer je prosječni godišnji izdatak kućanstva za električnu energiju, plin i ostala goriva prema Anketi o potrošnji kućanstava 2014. iznosio 8.569 kuna, što je činilo oko 10,5% godišnjih novčanih izdataka. Pritom treba imati u vidu da je taj udjel 2-3 puta veći u kućanstvima smještenima u donjem dijelu distribucije dohotka spram udjela u kućanstvima koja su smještena u gornjim dijelovima distribucije dohotka, stoga ovaj Program odnosno njegov potprogram usmjeren na VSZ na potpomognutim područjima i područjima posebne državne skrbi ima velik potencijal smanjenja energetskog siromaštva, kao što je i prikazano u poglavlju 10.</w:t>
      </w:r>
    </w:p>
    <w:p w14:paraId="0BE2BD6C"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Jedan od izravnih učinaka Programa jest i povećanje vrijednosti nekretnine. Za očekivati je da na vrijednost nekretnine utječu njezini smanjeni operativni troškovi, povećanje estetske vrijednosti i općenitog zadovoljstva stanovanjem i kvalitetom života. Ipak, tržište nekretnina još uvijek nije dovoljno prepoznalo ove koristi pa je jedan od zadataka ovog Programa i promovirati šire koristi energetske i sveobuhvatne obnove. Estetski učinci mogu se prelijevati na širu društvenu zajednicu, osobito u krajevima koji žive od turizma, gdje opći dojam o izgrađenom prostoru također može funkcionirati kao faktor atrakcije.  </w:t>
      </w:r>
    </w:p>
    <w:p w14:paraId="14898EB6"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U kategoriju neizravnih učinaka, koje imaju kompleksne poveznice s energetskom obnovom, ali ih svakako treba spomenuti, ulaze smanjenje siromaštva zbog povećanog raspoloživog dohotka te suzbijanje sive ekonomije. </w:t>
      </w:r>
    </w:p>
    <w:p w14:paraId="7C34919D" w14:textId="1E52B469" w:rsidR="004949CA" w:rsidRPr="00EB30FE" w:rsidRDefault="0C3F4C7D"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Naime, smanjenim izdatcima za energiju oslobađa se dio dohotka kućanstva koji se može upotrijebiti u druge svrhe. U </w:t>
      </w:r>
      <w:r w:rsidR="4E427920">
        <w:rPr>
          <w:rFonts w:ascii="Tahoma" w:hAnsi="Tahoma" w:cs="Tahoma"/>
          <w:sz w:val="20"/>
          <w:szCs w:val="20"/>
          <w:lang w:eastAsia="hr-HR"/>
        </w:rPr>
        <w:t>Hrvatskoj</w:t>
      </w:r>
      <w:r w:rsidRPr="00EB30FE">
        <w:rPr>
          <w:rFonts w:ascii="Tahoma" w:hAnsi="Tahoma" w:cs="Tahoma"/>
          <w:sz w:val="20"/>
          <w:szCs w:val="20"/>
          <w:lang w:eastAsia="hr-HR"/>
        </w:rPr>
        <w:t xml:space="preserve"> kućanstvo troši gotovo 10% svog dohotka na troškove za energiju</w:t>
      </w:r>
      <w:r w:rsidR="004949CA" w:rsidRPr="00EB30FE">
        <w:rPr>
          <w:rStyle w:val="Referencafusnote"/>
          <w:rFonts w:cs="Tahoma"/>
          <w:sz w:val="20"/>
          <w:szCs w:val="20"/>
        </w:rPr>
        <w:footnoteReference w:id="36"/>
      </w:r>
      <w:r w:rsidRPr="00EB30FE">
        <w:rPr>
          <w:rFonts w:ascii="Tahoma" w:hAnsi="Tahoma" w:cs="Tahoma"/>
          <w:sz w:val="20"/>
          <w:szCs w:val="20"/>
          <w:lang w:eastAsia="hr-HR"/>
        </w:rPr>
        <w:t xml:space="preserve">, a rezultat ovog Programa bit će smanjenje tog izdatka te, nakon otplate dijela investicije koji nije pokriven bespovratnim sredstvima, pozitivan učinak na raspoloživi dohodak. </w:t>
      </w:r>
    </w:p>
    <w:p w14:paraId="07C32867" w14:textId="2237865A"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Iako se </w:t>
      </w:r>
      <w:r w:rsidR="00107E0C">
        <w:rPr>
          <w:rFonts w:ascii="Tahoma" w:hAnsi="Tahoma" w:cs="Tahoma"/>
          <w:sz w:val="20"/>
          <w:szCs w:val="20"/>
          <w:lang w:eastAsia="hr-HR"/>
        </w:rPr>
        <w:t>Hrvatska</w:t>
      </w:r>
      <w:r w:rsidRPr="00EB30FE">
        <w:rPr>
          <w:rFonts w:ascii="Tahoma" w:hAnsi="Tahoma" w:cs="Tahoma"/>
          <w:sz w:val="20"/>
          <w:szCs w:val="20"/>
          <w:lang w:eastAsia="hr-HR"/>
        </w:rPr>
        <w:t xml:space="preserve"> nakon fiskalizacije uspješno bori protiv sive ekonomije, ipak i ovaj segment treba spomenuti, jer Program osigurava da se za usluge, opremu i radove energetske obnove izdaju računi u skladu sa svim zakonskim obvezama glede poreznih davanja. </w:t>
      </w:r>
    </w:p>
    <w:p w14:paraId="64F1AE57" w14:textId="77777777" w:rsidR="004949CA" w:rsidRPr="008E7FB7" w:rsidRDefault="004949CA" w:rsidP="004949CA">
      <w:pPr>
        <w:rPr>
          <w:lang w:eastAsia="hr-HR"/>
        </w:rPr>
      </w:pPr>
    </w:p>
    <w:p w14:paraId="26BA1EEB" w14:textId="64DEAFD0" w:rsidR="004949CA" w:rsidRPr="005D4FFF" w:rsidRDefault="004949CA" w:rsidP="004949CA">
      <w:pPr>
        <w:pStyle w:val="Naslov10"/>
        <w:ind w:left="709" w:hanging="709"/>
      </w:pPr>
      <w:bookmarkStart w:id="239" w:name="_Toc81836307"/>
      <w:bookmarkStart w:id="240" w:name="_Toc83912080"/>
      <w:r>
        <w:lastRenderedPageBreak/>
        <w:t>O</w:t>
      </w:r>
      <w:r w:rsidR="005D4FFF" w:rsidRPr="005D4FFF">
        <w:t>kvir za praćenje i vrednovanje</w:t>
      </w:r>
      <w:bookmarkEnd w:id="239"/>
      <w:bookmarkEnd w:id="240"/>
    </w:p>
    <w:p w14:paraId="4D40D2A5"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Okvir za praćenje i vrednovanje akata strateškog planiranja definiran je Pravilnikom o rokovima i postupcima praćenja i izvještavanja o provedbi akata strateškog planiranja od nacionalnog značaja i od značaja za jedinice lokalne i područne (regionalne) samouprave (</w:t>
      </w:r>
      <w:r w:rsidRPr="00EB30FE">
        <w:rPr>
          <w:rFonts w:ascii="Tahoma" w:hAnsi="Tahoma" w:cs="Tahoma"/>
          <w:sz w:val="20"/>
          <w:szCs w:val="20"/>
        </w:rPr>
        <w:t xml:space="preserve">Narodne novine, </w:t>
      </w:r>
      <w:r w:rsidRPr="00EB30FE">
        <w:rPr>
          <w:rFonts w:ascii="Tahoma" w:hAnsi="Tahoma" w:cs="Tahoma"/>
          <w:sz w:val="20"/>
          <w:szCs w:val="20"/>
          <w:lang w:eastAsia="hr-HR"/>
        </w:rPr>
        <w:t>broj 6/19) te Pravilnikom o provedbi postupka vrednovanja (Narodne novine, broj 66/19). Tri su ključna elementa ovog okvira:</w:t>
      </w:r>
    </w:p>
    <w:p w14:paraId="4ADDE366" w14:textId="77777777" w:rsidR="004949CA" w:rsidRPr="00EB30FE" w:rsidRDefault="137C0FFA" w:rsidP="2617B706">
      <w:pPr>
        <w:pStyle w:val="Odlomakpopisa"/>
        <w:numPr>
          <w:ilvl w:val="0"/>
          <w:numId w:val="34"/>
        </w:numPr>
        <w:spacing w:before="120" w:after="120"/>
        <w:rPr>
          <w:rFonts w:cs="Tahoma"/>
        </w:rPr>
      </w:pPr>
      <w:r w:rsidRPr="2617B706">
        <w:rPr>
          <w:rFonts w:cs="Tahoma"/>
        </w:rPr>
        <w:t xml:space="preserve">Praćenje provedbe akata strateškog planiranja - proces prikupljanja, analize i usporedbe pokazatelja kojima se sustavno prati uspješnost provedbe ciljeva i mjera akata strateškog planiranja; </w:t>
      </w:r>
    </w:p>
    <w:p w14:paraId="3D69A9A1" w14:textId="77777777" w:rsidR="004949CA" w:rsidRPr="00EB30FE" w:rsidRDefault="137C0FFA" w:rsidP="2617B706">
      <w:pPr>
        <w:pStyle w:val="Odlomakpopisa"/>
        <w:numPr>
          <w:ilvl w:val="0"/>
          <w:numId w:val="34"/>
        </w:numPr>
        <w:spacing w:before="120" w:after="120"/>
        <w:rPr>
          <w:rFonts w:cs="Tahoma"/>
        </w:rPr>
      </w:pPr>
      <w:r w:rsidRPr="2617B706">
        <w:rPr>
          <w:rFonts w:cs="Tahoma"/>
        </w:rPr>
        <w:t>Izvještavanje o provedbi akata strateškog planiranja -  proces pružanja pravovremenih i relevantnih informacija ključnim nositeljima strateškog planiranja na nacionalnoj razini i razini lokalne i područne (regionalne) samouprave te široj javnosti o statusu provedbe akata strateškog planiranja;</w:t>
      </w:r>
    </w:p>
    <w:p w14:paraId="199D5CB5" w14:textId="77777777" w:rsidR="004949CA" w:rsidRPr="00EB30FE" w:rsidRDefault="137C0FFA" w:rsidP="2617B706">
      <w:pPr>
        <w:pStyle w:val="Odlomakpopisa"/>
        <w:numPr>
          <w:ilvl w:val="0"/>
          <w:numId w:val="34"/>
        </w:numPr>
        <w:spacing w:before="120" w:after="120"/>
        <w:rPr>
          <w:rFonts w:cs="Tahoma"/>
        </w:rPr>
      </w:pPr>
      <w:r w:rsidRPr="2617B706">
        <w:rPr>
          <w:rFonts w:cs="Tahoma"/>
        </w:rPr>
        <w:t>Vrednovanje akata strateškog planiranja - neovisna usporedba i ocjena očekivanih i ostvarenih rezultata, ishoda i učinaka provedbe akata strateškog planiranja.</w:t>
      </w:r>
    </w:p>
    <w:p w14:paraId="44FA4FB7" w14:textId="2C2050F3"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Ovaj Program predstavlja detaljniju razradu mjere politike definirane u strateškim dokumentima višeg reda, misleći pri tome primarno na Dugoročnu strategiju obnove </w:t>
      </w:r>
      <w:r w:rsidR="00D87E33">
        <w:rPr>
          <w:rFonts w:ascii="Tahoma" w:hAnsi="Tahoma" w:cs="Tahoma"/>
          <w:sz w:val="20"/>
          <w:szCs w:val="20"/>
          <w:lang w:eastAsia="hr-HR"/>
        </w:rPr>
        <w:t xml:space="preserve">nacionalnog </w:t>
      </w:r>
      <w:r w:rsidRPr="00EB30FE">
        <w:rPr>
          <w:rFonts w:ascii="Tahoma" w:hAnsi="Tahoma" w:cs="Tahoma"/>
          <w:sz w:val="20"/>
          <w:szCs w:val="20"/>
          <w:lang w:eastAsia="hr-HR"/>
        </w:rPr>
        <w:t>fonda zgrada do 2050. godine kao Integriranog nacionalnog energetskog i klimatskog plana, u kojemu je izrijekom definiran kao alternativna mjera politike u skladu s člankom 12.a, stavkom 4. Zakona o energetskoj učinkovitosti (</w:t>
      </w:r>
      <w:r w:rsidRPr="00EB30FE">
        <w:rPr>
          <w:rFonts w:ascii="Tahoma" w:hAnsi="Tahoma" w:cs="Tahoma"/>
          <w:sz w:val="20"/>
          <w:szCs w:val="20"/>
        </w:rPr>
        <w:t xml:space="preserve">Narodne novine, </w:t>
      </w:r>
      <w:r w:rsidRPr="00EB30FE">
        <w:rPr>
          <w:rFonts w:ascii="Tahoma" w:hAnsi="Tahoma" w:cs="Tahoma"/>
          <w:sz w:val="20"/>
          <w:szCs w:val="20"/>
          <w:lang w:eastAsia="hr-HR"/>
        </w:rPr>
        <w:t xml:space="preserve"> br. 127/14, 116/18, 25/20, 32/21 i 41/21). Stoga, osim gore navedenih pravilnika iz domene strateškog planiranja, okvir za praćenje, izvještavanje i vrednovanje ovog Programa utemeljen je i u Zakonu o energetskoj učinkovitosti kao i Pravilniku o sustavu za praćenje, mjerenje i verifikaciju ušteda energije koji proizlazi iz ovoga Zakona. </w:t>
      </w:r>
    </w:p>
    <w:p w14:paraId="51D0EFA7" w14:textId="686BF668" w:rsidR="004949CA" w:rsidRPr="00EB30FE" w:rsidRDefault="004949CA" w:rsidP="00EB30FE">
      <w:pPr>
        <w:spacing w:before="120" w:after="120" w:line="240" w:lineRule="auto"/>
        <w:jc w:val="both"/>
        <w:rPr>
          <w:rFonts w:ascii="Tahoma" w:hAnsi="Tahoma" w:cs="Tahoma"/>
          <w:sz w:val="20"/>
          <w:szCs w:val="20"/>
        </w:rPr>
      </w:pPr>
      <w:r w:rsidRPr="00EB30FE">
        <w:rPr>
          <w:rFonts w:ascii="Tahoma" w:hAnsi="Tahoma" w:cs="Tahoma"/>
          <w:sz w:val="20"/>
          <w:szCs w:val="20"/>
        </w:rPr>
        <w:t>Zakonom i Pravilnikom uspostavljena je internetska platforma (</w:t>
      </w:r>
      <w:proofErr w:type="spellStart"/>
      <w:r w:rsidRPr="00EB30FE">
        <w:rPr>
          <w:rFonts w:ascii="Tahoma" w:hAnsi="Tahoma" w:cs="Tahoma"/>
          <w:sz w:val="20"/>
          <w:szCs w:val="20"/>
        </w:rPr>
        <w:t>SMiV</w:t>
      </w:r>
      <w:proofErr w:type="spellEnd"/>
      <w:r w:rsidRPr="00EB30FE">
        <w:rPr>
          <w:rFonts w:ascii="Tahoma" w:hAnsi="Tahoma" w:cs="Tahoma"/>
          <w:sz w:val="20"/>
          <w:szCs w:val="20"/>
        </w:rPr>
        <w:t xml:space="preserve"> – Sustav za mjerenje i ver</w:t>
      </w:r>
      <w:r w:rsidR="005315C7">
        <w:rPr>
          <w:rFonts w:ascii="Tahoma" w:hAnsi="Tahoma" w:cs="Tahoma"/>
          <w:sz w:val="20"/>
          <w:szCs w:val="20"/>
        </w:rPr>
        <w:t>i</w:t>
      </w:r>
      <w:r w:rsidRPr="00EB30FE">
        <w:rPr>
          <w:rFonts w:ascii="Tahoma" w:hAnsi="Tahoma" w:cs="Tahoma"/>
          <w:sz w:val="20"/>
          <w:szCs w:val="20"/>
        </w:rPr>
        <w:t xml:space="preserve">fikaciju ušteda energije) predstavlja bazu provedenih projekata energetske učinkovitosti te omogućava izračun ušteda energije na temelju propisane metodologije odozdo-prema-gore. Vođenje </w:t>
      </w:r>
      <w:proofErr w:type="spellStart"/>
      <w:r w:rsidRPr="00EB30FE">
        <w:rPr>
          <w:rFonts w:ascii="Tahoma" w:hAnsi="Tahoma" w:cs="Tahoma"/>
          <w:sz w:val="20"/>
          <w:szCs w:val="20"/>
        </w:rPr>
        <w:t>SMiV</w:t>
      </w:r>
      <w:proofErr w:type="spellEnd"/>
      <w:r w:rsidRPr="00EB30FE">
        <w:rPr>
          <w:rFonts w:ascii="Tahoma" w:hAnsi="Tahoma" w:cs="Tahoma"/>
          <w:sz w:val="20"/>
          <w:szCs w:val="20"/>
        </w:rPr>
        <w:t>-a u nadležnosti je Nacionalnog koordinacijskog tijela(NKT) za energetsku učinkovitosti, koje je ustrojeno u sklopu Ministarstva gospodarstva i održivoga razvoja (MINGOR).</w:t>
      </w:r>
    </w:p>
    <w:p w14:paraId="5786C125" w14:textId="77777777" w:rsidR="004949CA" w:rsidRPr="00EB30FE" w:rsidRDefault="004949CA" w:rsidP="00EB30FE">
      <w:pPr>
        <w:spacing w:before="120" w:after="120" w:line="240" w:lineRule="auto"/>
        <w:jc w:val="both"/>
        <w:rPr>
          <w:rFonts w:ascii="Tahoma" w:hAnsi="Tahoma" w:cs="Tahoma"/>
          <w:sz w:val="20"/>
          <w:szCs w:val="20"/>
        </w:rPr>
      </w:pPr>
      <w:r w:rsidRPr="00EB30FE">
        <w:rPr>
          <w:rFonts w:ascii="Tahoma" w:hAnsi="Tahoma" w:cs="Tahoma"/>
          <w:sz w:val="20"/>
          <w:szCs w:val="20"/>
        </w:rPr>
        <w:t xml:space="preserve">Za unos podataka o provedenim projektima energetske obnove u sklopu ovog Programa u </w:t>
      </w:r>
      <w:proofErr w:type="spellStart"/>
      <w:r w:rsidRPr="00EB30FE">
        <w:rPr>
          <w:rFonts w:ascii="Tahoma" w:hAnsi="Tahoma" w:cs="Tahoma"/>
          <w:sz w:val="20"/>
          <w:szCs w:val="20"/>
        </w:rPr>
        <w:t>SMiV</w:t>
      </w:r>
      <w:proofErr w:type="spellEnd"/>
      <w:r w:rsidRPr="00EB30FE">
        <w:rPr>
          <w:rFonts w:ascii="Tahoma" w:hAnsi="Tahoma" w:cs="Tahoma"/>
          <w:sz w:val="20"/>
          <w:szCs w:val="20"/>
        </w:rPr>
        <w:t xml:space="preserve">, a u skladu sa Zakonom, odgovoran je davatelj subvencije (u širokom smislu te riječi, tj. ne radi se isključivo o davanju bespovratnih sredstava, već i o primjeni financijskog instrumenta), bilo FZOEU bilo drugo tijelo koje osigurava financijska sredstva. Zaposlenici FZOEU-a obučeni su za rad u </w:t>
      </w:r>
      <w:proofErr w:type="spellStart"/>
      <w:r w:rsidRPr="00EB30FE">
        <w:rPr>
          <w:rFonts w:ascii="Tahoma" w:hAnsi="Tahoma" w:cs="Tahoma"/>
          <w:sz w:val="20"/>
          <w:szCs w:val="20"/>
        </w:rPr>
        <w:t>SMiV</w:t>
      </w:r>
      <w:proofErr w:type="spellEnd"/>
      <w:r w:rsidRPr="00EB30FE">
        <w:rPr>
          <w:rFonts w:ascii="Tahoma" w:hAnsi="Tahoma" w:cs="Tahoma"/>
          <w:sz w:val="20"/>
          <w:szCs w:val="20"/>
        </w:rPr>
        <w:t xml:space="preserve">-u i od 2015. godine aktivno unose podatke o projektima koje je FZOEU sufinancirao. Kroz ugovore s korisnicima subvencije potrebno je osigurati raspoloživost svih podataka i dokumenata nužnih za unos u </w:t>
      </w:r>
      <w:proofErr w:type="spellStart"/>
      <w:r w:rsidRPr="00EB30FE">
        <w:rPr>
          <w:rFonts w:ascii="Tahoma" w:hAnsi="Tahoma" w:cs="Tahoma"/>
          <w:sz w:val="20"/>
          <w:szCs w:val="20"/>
        </w:rPr>
        <w:t>SMiV</w:t>
      </w:r>
      <w:proofErr w:type="spellEnd"/>
      <w:r w:rsidRPr="00EB30FE">
        <w:rPr>
          <w:rFonts w:ascii="Tahoma" w:hAnsi="Tahoma" w:cs="Tahoma"/>
          <w:sz w:val="20"/>
          <w:szCs w:val="20"/>
        </w:rPr>
        <w:t>, što posebice uključuje:</w:t>
      </w:r>
    </w:p>
    <w:p w14:paraId="67AC7C5C" w14:textId="77777777" w:rsidR="004949CA" w:rsidRPr="00EB30FE" w:rsidRDefault="137C0FFA" w:rsidP="2617B706">
      <w:pPr>
        <w:pStyle w:val="Odlomakpopisa"/>
        <w:numPr>
          <w:ilvl w:val="0"/>
          <w:numId w:val="33"/>
        </w:numPr>
        <w:tabs>
          <w:tab w:val="left" w:pos="431"/>
        </w:tabs>
        <w:spacing w:before="120" w:after="120"/>
        <w:rPr>
          <w:rFonts w:cs="Tahoma"/>
        </w:rPr>
      </w:pPr>
      <w:r w:rsidRPr="2617B706">
        <w:rPr>
          <w:rFonts w:cs="Tahoma"/>
        </w:rPr>
        <w:t>Energetski certifikat zgrade prije i nakon obnove;</w:t>
      </w:r>
    </w:p>
    <w:p w14:paraId="5F2BC00B" w14:textId="77777777" w:rsidR="004949CA" w:rsidRPr="00EB30FE" w:rsidRDefault="137C0FFA" w:rsidP="2617B706">
      <w:pPr>
        <w:pStyle w:val="Odlomakpopisa"/>
        <w:numPr>
          <w:ilvl w:val="0"/>
          <w:numId w:val="33"/>
        </w:numPr>
        <w:tabs>
          <w:tab w:val="left" w:pos="431"/>
        </w:tabs>
        <w:spacing w:before="120" w:after="120"/>
        <w:rPr>
          <w:rFonts w:cs="Tahoma"/>
        </w:rPr>
      </w:pPr>
      <w:r w:rsidRPr="2617B706">
        <w:rPr>
          <w:rFonts w:cs="Tahoma"/>
        </w:rPr>
        <w:t>Projektnu dokumentaciju (glavni projekt);</w:t>
      </w:r>
    </w:p>
    <w:p w14:paraId="2C73520B" w14:textId="77777777" w:rsidR="004949CA" w:rsidRPr="00EB30FE" w:rsidRDefault="137C0FFA" w:rsidP="2617B706">
      <w:pPr>
        <w:pStyle w:val="Odlomakpopisa"/>
        <w:numPr>
          <w:ilvl w:val="0"/>
          <w:numId w:val="33"/>
        </w:numPr>
        <w:tabs>
          <w:tab w:val="left" w:pos="431"/>
        </w:tabs>
        <w:spacing w:before="120" w:after="120"/>
        <w:rPr>
          <w:rFonts w:cs="Tahoma"/>
        </w:rPr>
      </w:pPr>
      <w:r w:rsidRPr="2617B706">
        <w:rPr>
          <w:rFonts w:cs="Tahoma"/>
        </w:rPr>
        <w:t xml:space="preserve">Ispunjena izvješća o ostvarenim učincima projekta (priprema ih davatelj subvencije, a korisnici subvencije su ih obavezni ispuniti i dostaviti davatelju subvencije prije završne isplate sredstava). </w:t>
      </w:r>
    </w:p>
    <w:p w14:paraId="5F1F46FC" w14:textId="77777777" w:rsidR="004949CA" w:rsidRPr="00EB30FE" w:rsidRDefault="004949CA" w:rsidP="00EB30FE">
      <w:pPr>
        <w:spacing w:before="120" w:after="120" w:line="240" w:lineRule="auto"/>
        <w:jc w:val="both"/>
        <w:rPr>
          <w:rFonts w:ascii="Tahoma" w:hAnsi="Tahoma" w:cs="Tahoma"/>
          <w:sz w:val="20"/>
          <w:szCs w:val="20"/>
        </w:rPr>
      </w:pPr>
      <w:r w:rsidRPr="00EB30FE">
        <w:rPr>
          <w:rFonts w:ascii="Tahoma" w:hAnsi="Tahoma" w:cs="Tahoma"/>
          <w:sz w:val="20"/>
          <w:szCs w:val="20"/>
        </w:rPr>
        <w:t>Ovim se Programom omogućava provedba:</w:t>
      </w:r>
    </w:p>
    <w:p w14:paraId="4DF32D54" w14:textId="77777777" w:rsidR="004949CA" w:rsidRPr="00EB30FE" w:rsidRDefault="004949CA" w:rsidP="00EB30FE">
      <w:pPr>
        <w:pStyle w:val="Odlomakpopisa"/>
        <w:numPr>
          <w:ilvl w:val="0"/>
          <w:numId w:val="35"/>
        </w:numPr>
        <w:spacing w:before="120" w:after="120"/>
        <w:rPr>
          <w:rFonts w:cs="Tahoma"/>
          <w:szCs w:val="20"/>
        </w:rPr>
      </w:pPr>
      <w:r w:rsidRPr="00EB30FE">
        <w:rPr>
          <w:rFonts w:cs="Tahoma"/>
          <w:szCs w:val="20"/>
        </w:rPr>
        <w:t>integralne energetske obnove;</w:t>
      </w:r>
    </w:p>
    <w:p w14:paraId="051ECC0E" w14:textId="77777777" w:rsidR="004949CA" w:rsidRPr="00EB30FE" w:rsidRDefault="004949CA" w:rsidP="00EB30FE">
      <w:pPr>
        <w:pStyle w:val="Odlomakpopisa"/>
        <w:numPr>
          <w:ilvl w:val="0"/>
          <w:numId w:val="35"/>
        </w:numPr>
        <w:spacing w:before="120" w:after="120"/>
        <w:rPr>
          <w:rFonts w:cs="Tahoma"/>
          <w:szCs w:val="20"/>
        </w:rPr>
      </w:pPr>
      <w:r w:rsidRPr="00EB30FE">
        <w:rPr>
          <w:rFonts w:cs="Tahoma"/>
          <w:szCs w:val="20"/>
        </w:rPr>
        <w:t xml:space="preserve">dubinske obnove (uključivo do </w:t>
      </w:r>
      <w:proofErr w:type="spellStart"/>
      <w:r w:rsidRPr="00EB30FE">
        <w:rPr>
          <w:rFonts w:cs="Tahoma"/>
          <w:szCs w:val="20"/>
        </w:rPr>
        <w:t>nZEB</w:t>
      </w:r>
      <w:proofErr w:type="spellEnd"/>
      <w:r w:rsidRPr="00EB30FE">
        <w:rPr>
          <w:rFonts w:cs="Tahoma"/>
          <w:szCs w:val="20"/>
        </w:rPr>
        <w:t xml:space="preserve"> standarda za rekonstrukciju) i</w:t>
      </w:r>
    </w:p>
    <w:p w14:paraId="0986F514" w14:textId="77777777" w:rsidR="004949CA" w:rsidRPr="00EB30FE" w:rsidRDefault="004949CA" w:rsidP="00EB30FE">
      <w:pPr>
        <w:pStyle w:val="Odlomakpopisa"/>
        <w:numPr>
          <w:ilvl w:val="0"/>
          <w:numId w:val="35"/>
        </w:numPr>
        <w:spacing w:before="120" w:after="120"/>
        <w:rPr>
          <w:rFonts w:cs="Tahoma"/>
          <w:szCs w:val="20"/>
        </w:rPr>
      </w:pPr>
      <w:r w:rsidRPr="00EB30FE">
        <w:rPr>
          <w:rFonts w:cs="Tahoma"/>
          <w:szCs w:val="20"/>
        </w:rPr>
        <w:t xml:space="preserve">sveobuhvatne obnove uključivo do </w:t>
      </w:r>
      <w:proofErr w:type="spellStart"/>
      <w:r w:rsidRPr="00EB30FE">
        <w:rPr>
          <w:rFonts w:cs="Tahoma"/>
          <w:szCs w:val="20"/>
        </w:rPr>
        <w:t>nZEB</w:t>
      </w:r>
      <w:proofErr w:type="spellEnd"/>
      <w:r w:rsidRPr="00EB30FE">
        <w:rPr>
          <w:rFonts w:cs="Tahoma"/>
          <w:szCs w:val="20"/>
        </w:rPr>
        <w:t xml:space="preserve"> standarda za rekonstrukciju).</w:t>
      </w:r>
    </w:p>
    <w:p w14:paraId="1974B864" w14:textId="41BB84CA" w:rsidR="004949CA" w:rsidRPr="00EB30FE" w:rsidRDefault="004949CA" w:rsidP="00EB30FE">
      <w:pPr>
        <w:spacing w:before="120" w:after="120" w:line="240" w:lineRule="auto"/>
        <w:jc w:val="both"/>
        <w:rPr>
          <w:rFonts w:ascii="Tahoma" w:hAnsi="Tahoma" w:cs="Tahoma"/>
          <w:sz w:val="20"/>
          <w:szCs w:val="20"/>
        </w:rPr>
      </w:pPr>
      <w:r w:rsidRPr="00EB30FE">
        <w:rPr>
          <w:rFonts w:ascii="Tahoma" w:hAnsi="Tahoma" w:cs="Tahoma"/>
          <w:sz w:val="20"/>
          <w:szCs w:val="20"/>
          <w:lang w:eastAsia="hr-HR"/>
        </w:rPr>
        <w:lastRenderedPageBreak/>
        <w:t xml:space="preserve">U svim ovim slučajevima potrebno je odabrati </w:t>
      </w:r>
      <w:r w:rsidRPr="00EB30FE">
        <w:rPr>
          <w:rFonts w:ascii="Tahoma" w:hAnsi="Tahoma" w:cs="Tahoma"/>
          <w:sz w:val="20"/>
          <w:szCs w:val="20"/>
        </w:rPr>
        <w:t xml:space="preserve">metodu  „Integralna  obnova  postojećih  stambenih  zgrada  i  zgrada uslužnog  sektora“ iz predmetnog Pravilnika koja se temelji na formuli za izračun i vrijednostima, koje prikazuje </w:t>
      </w:r>
      <w:r w:rsidR="00BA7AA5">
        <w:rPr>
          <w:rFonts w:ascii="Tahoma" w:hAnsi="Tahoma" w:cs="Tahoma"/>
          <w:sz w:val="20"/>
          <w:szCs w:val="20"/>
        </w:rPr>
        <w:fldChar w:fldCharType="begin"/>
      </w:r>
      <w:r w:rsidR="00BA7AA5">
        <w:rPr>
          <w:rFonts w:ascii="Tahoma" w:hAnsi="Tahoma" w:cs="Tahoma"/>
          <w:sz w:val="20"/>
          <w:szCs w:val="20"/>
        </w:rPr>
        <w:instrText xml:space="preserve"> REF _Ref83115531 \h </w:instrText>
      </w:r>
      <w:r w:rsidR="00BA7AA5">
        <w:rPr>
          <w:rFonts w:ascii="Tahoma" w:hAnsi="Tahoma" w:cs="Tahoma"/>
          <w:sz w:val="20"/>
          <w:szCs w:val="20"/>
        </w:rPr>
      </w:r>
      <w:r w:rsidR="00BA7AA5">
        <w:rPr>
          <w:rFonts w:ascii="Tahoma" w:hAnsi="Tahoma" w:cs="Tahoma"/>
          <w:sz w:val="20"/>
          <w:szCs w:val="20"/>
        </w:rPr>
        <w:fldChar w:fldCharType="separate"/>
      </w:r>
      <w:r w:rsidR="00575AF9" w:rsidRPr="001C701B">
        <w:t xml:space="preserve">Tablica </w:t>
      </w:r>
      <w:r w:rsidR="00575AF9">
        <w:rPr>
          <w:noProof/>
        </w:rPr>
        <w:t>14</w:t>
      </w:r>
      <w:r w:rsidR="00575AF9">
        <w:noBreakHyphen/>
      </w:r>
      <w:r w:rsidR="00575AF9">
        <w:rPr>
          <w:noProof/>
        </w:rPr>
        <w:t>1</w:t>
      </w:r>
      <w:r w:rsidR="00BA7AA5">
        <w:rPr>
          <w:rFonts w:ascii="Tahoma" w:hAnsi="Tahoma" w:cs="Tahoma"/>
          <w:sz w:val="20"/>
          <w:szCs w:val="20"/>
        </w:rPr>
        <w:fldChar w:fldCharType="end"/>
      </w:r>
      <w:r w:rsidRPr="00EB30FE">
        <w:rPr>
          <w:rFonts w:ascii="Tahoma" w:hAnsi="Tahoma" w:cs="Tahoma"/>
          <w:sz w:val="20"/>
          <w:szCs w:val="20"/>
        </w:rPr>
        <w:t xml:space="preserve">. </w:t>
      </w:r>
    </w:p>
    <w:p w14:paraId="2DD289AE" w14:textId="15AC44DC" w:rsidR="004949CA" w:rsidRPr="001C701B" w:rsidRDefault="004949CA" w:rsidP="004949CA">
      <w:pPr>
        <w:pStyle w:val="Opisslike"/>
      </w:pPr>
      <w:bookmarkStart w:id="241" w:name="_Ref83115531"/>
      <w:bookmarkStart w:id="242" w:name="_Toc72081568"/>
      <w:bookmarkStart w:id="243" w:name="_Toc84240517"/>
      <w:r w:rsidRPr="001C701B">
        <w:t xml:space="preserve">Tablica </w:t>
      </w:r>
      <w:r>
        <w:rPr>
          <w:noProof/>
        </w:rPr>
        <w:fldChar w:fldCharType="begin"/>
      </w:r>
      <w:r>
        <w:rPr>
          <w:noProof/>
        </w:rPr>
        <w:instrText xml:space="preserve"> STYLEREF 1 \s </w:instrText>
      </w:r>
      <w:r>
        <w:rPr>
          <w:noProof/>
        </w:rPr>
        <w:fldChar w:fldCharType="separate"/>
      </w:r>
      <w:r w:rsidR="00575AF9">
        <w:rPr>
          <w:noProof/>
        </w:rPr>
        <w:t>14</w:t>
      </w:r>
      <w:r>
        <w:rPr>
          <w:noProof/>
        </w:rPr>
        <w:fldChar w:fldCharType="end"/>
      </w:r>
      <w:r>
        <w:noBreakHyphen/>
      </w:r>
      <w:r>
        <w:rPr>
          <w:noProof/>
        </w:rPr>
        <w:fldChar w:fldCharType="begin"/>
      </w:r>
      <w:r>
        <w:rPr>
          <w:noProof/>
        </w:rPr>
        <w:instrText xml:space="preserve"> SEQ Tablica \* ARABIC \s 1 </w:instrText>
      </w:r>
      <w:r>
        <w:rPr>
          <w:noProof/>
        </w:rPr>
        <w:fldChar w:fldCharType="separate"/>
      </w:r>
      <w:r w:rsidR="00575AF9">
        <w:rPr>
          <w:noProof/>
        </w:rPr>
        <w:t>1</w:t>
      </w:r>
      <w:r>
        <w:rPr>
          <w:noProof/>
        </w:rPr>
        <w:fldChar w:fldCharType="end"/>
      </w:r>
      <w:bookmarkEnd w:id="241"/>
      <w:r w:rsidRPr="001C701B">
        <w:t xml:space="preserve">: Metoda za izračun ušteda energije </w:t>
      </w:r>
      <w:r>
        <w:t>projekata</w:t>
      </w:r>
      <w:r w:rsidRPr="001C701B">
        <w:t xml:space="preserve"> energetske obnove zgrada</w:t>
      </w:r>
      <w:bookmarkEnd w:id="242"/>
      <w:bookmarkEnd w:id="243"/>
    </w:p>
    <w:tbl>
      <w:tblPr>
        <w:tblStyle w:val="Svijetlatablicareetke110"/>
        <w:tblW w:w="5000" w:type="pct"/>
        <w:tblLook w:val="00A0" w:firstRow="1" w:lastRow="0" w:firstColumn="1" w:lastColumn="0" w:noHBand="0" w:noVBand="0"/>
      </w:tblPr>
      <w:tblGrid>
        <w:gridCol w:w="3485"/>
        <w:gridCol w:w="1899"/>
        <w:gridCol w:w="2012"/>
        <w:gridCol w:w="1666"/>
      </w:tblGrid>
      <w:tr w:rsidR="004949CA" w:rsidRPr="00EB30FE" w14:paraId="14B74B98" w14:textId="77777777" w:rsidTr="638C4C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00F89847" w14:textId="77777777" w:rsidR="004949CA" w:rsidRPr="00EB30FE" w:rsidRDefault="004949CA" w:rsidP="00331A63">
            <w:pPr>
              <w:ind w:left="360"/>
              <w:rPr>
                <w:rFonts w:ascii="Tahoma" w:hAnsi="Tahoma" w:cs="Tahoma"/>
                <w:b w:val="0"/>
                <w:bCs w:val="0"/>
                <w:sz w:val="18"/>
                <w:szCs w:val="18"/>
              </w:rPr>
            </w:pPr>
            <w:r w:rsidRPr="00EB30FE">
              <w:rPr>
                <w:rFonts w:ascii="Tahoma" w:hAnsi="Tahoma" w:cs="Tahoma"/>
                <w:sz w:val="18"/>
                <w:szCs w:val="18"/>
              </w:rPr>
              <w:t>UFES / FES</w:t>
            </w:r>
          </w:p>
        </w:tc>
        <w:tc>
          <w:tcPr>
            <w:tcW w:w="0" w:type="pct"/>
          </w:tcPr>
          <w:p w14:paraId="5BF69AE2" w14:textId="77777777" w:rsidR="004949CA" w:rsidRPr="00EB30FE" w:rsidRDefault="004949CA" w:rsidP="00331A63">
            <w:pPr>
              <w:ind w:left="360"/>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EB30FE">
              <w:rPr>
                <w:rFonts w:ascii="Tahoma" w:hAnsi="Tahoma" w:cs="Tahoma"/>
                <w:sz w:val="18"/>
                <w:szCs w:val="18"/>
              </w:rPr>
              <w:t xml:space="preserve">Definicije </w:t>
            </w:r>
          </w:p>
        </w:tc>
        <w:tc>
          <w:tcPr>
            <w:tcW w:w="0" w:type="pct"/>
          </w:tcPr>
          <w:p w14:paraId="1EA0A7B2" w14:textId="77777777" w:rsidR="004949CA" w:rsidRPr="00EB30FE" w:rsidRDefault="004949CA" w:rsidP="00331A63">
            <w:pPr>
              <w:ind w:left="360"/>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EB30FE">
              <w:rPr>
                <w:rFonts w:ascii="Tahoma" w:hAnsi="Tahoma" w:cs="Tahoma"/>
                <w:sz w:val="18"/>
                <w:szCs w:val="18"/>
              </w:rPr>
              <w:t>Stvarne vrijednosti</w:t>
            </w:r>
          </w:p>
        </w:tc>
        <w:tc>
          <w:tcPr>
            <w:tcW w:w="0" w:type="pct"/>
          </w:tcPr>
          <w:p w14:paraId="144E2392" w14:textId="77777777" w:rsidR="004949CA" w:rsidRPr="00EB30FE" w:rsidRDefault="004949CA" w:rsidP="00331A63">
            <w:pPr>
              <w:ind w:left="360"/>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EB30FE">
              <w:rPr>
                <w:rFonts w:ascii="Tahoma" w:hAnsi="Tahoma" w:cs="Tahoma"/>
                <w:sz w:val="18"/>
                <w:szCs w:val="18"/>
              </w:rPr>
              <w:t xml:space="preserve">Životni vijek </w:t>
            </w:r>
          </w:p>
        </w:tc>
      </w:tr>
      <w:tr w:rsidR="004949CA" w:rsidRPr="00EB30FE" w14:paraId="60E93608" w14:textId="77777777" w:rsidTr="638C4C38">
        <w:trPr>
          <w:trHeight w:val="1320"/>
        </w:trPr>
        <w:tc>
          <w:tcPr>
            <w:cnfStyle w:val="001000000000" w:firstRow="0" w:lastRow="0" w:firstColumn="1" w:lastColumn="0" w:oddVBand="0" w:evenVBand="0" w:oddHBand="0" w:evenHBand="0" w:firstRowFirstColumn="0" w:firstRowLastColumn="0" w:lastRowFirstColumn="0" w:lastRowLastColumn="0"/>
            <w:tcW w:w="0" w:type="pct"/>
            <w:vMerge w:val="restart"/>
          </w:tcPr>
          <w:p w14:paraId="56DBB87F" w14:textId="77777777" w:rsidR="004949CA" w:rsidRPr="00EB30FE" w:rsidRDefault="004949CA" w:rsidP="00331A63">
            <w:pPr>
              <w:ind w:left="360"/>
              <w:rPr>
                <w:rFonts w:ascii="Tahoma" w:hAnsi="Tahoma" w:cs="Tahoma"/>
                <w:sz w:val="18"/>
                <w:szCs w:val="18"/>
              </w:rPr>
            </w:pPr>
            <w:r w:rsidRPr="00EB30FE">
              <w:rPr>
                <w:rFonts w:ascii="Tahoma" w:hAnsi="Tahoma" w:cs="Tahoma"/>
                <w:b w:val="0"/>
                <w:bCs w:val="0"/>
                <w:sz w:val="18"/>
                <w:szCs w:val="18"/>
              </w:rPr>
              <w:object w:dxaOrig="2600" w:dyaOrig="680" w14:anchorId="2BEE8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pt;height:28.5pt" o:ole="">
                  <v:imagedata r:id="rId24" o:title=""/>
                </v:shape>
                <o:OLEObject Type="Embed" ProgID="Equation.3" ShapeID="_x0000_i1025" DrawAspect="Content" ObjectID="_1698477400" r:id="rId25"/>
              </w:object>
            </w:r>
          </w:p>
          <w:p w14:paraId="4641B568" w14:textId="77777777" w:rsidR="004949CA" w:rsidRPr="00EB30FE" w:rsidRDefault="004949CA" w:rsidP="00331A63">
            <w:pPr>
              <w:ind w:left="360"/>
              <w:rPr>
                <w:rFonts w:ascii="Tahoma" w:hAnsi="Tahoma" w:cs="Tahoma"/>
                <w:sz w:val="18"/>
                <w:szCs w:val="18"/>
              </w:rPr>
            </w:pPr>
            <w:r w:rsidRPr="00EB30FE">
              <w:rPr>
                <w:rFonts w:ascii="Tahoma" w:hAnsi="Tahoma" w:cs="Tahoma"/>
                <w:sz w:val="18"/>
                <w:szCs w:val="18"/>
              </w:rPr>
              <w:t>[kWh/m</w:t>
            </w:r>
            <w:r w:rsidRPr="00EB30FE">
              <w:rPr>
                <w:rFonts w:ascii="Tahoma" w:hAnsi="Tahoma" w:cs="Tahoma"/>
                <w:sz w:val="18"/>
                <w:szCs w:val="18"/>
                <w:vertAlign w:val="superscript"/>
              </w:rPr>
              <w:t>2</w:t>
            </w:r>
            <w:r w:rsidRPr="00EB30FE">
              <w:rPr>
                <w:rFonts w:ascii="Tahoma" w:hAnsi="Tahoma" w:cs="Tahoma"/>
                <w:sz w:val="18"/>
                <w:szCs w:val="18"/>
              </w:rPr>
              <w:t>/god]</w:t>
            </w:r>
          </w:p>
          <w:p w14:paraId="61D92561" w14:textId="77777777" w:rsidR="004949CA" w:rsidRPr="00EB30FE" w:rsidRDefault="004949CA" w:rsidP="00331A63">
            <w:pPr>
              <w:rPr>
                <w:rFonts w:ascii="Tahoma" w:hAnsi="Tahoma" w:cs="Tahoma"/>
                <w:sz w:val="18"/>
                <w:szCs w:val="18"/>
              </w:rPr>
            </w:pPr>
          </w:p>
          <w:p w14:paraId="627BE8D5" w14:textId="77777777" w:rsidR="004949CA" w:rsidRPr="00EB30FE" w:rsidRDefault="004949CA" w:rsidP="00331A63">
            <w:pPr>
              <w:rPr>
                <w:rFonts w:ascii="Tahoma" w:hAnsi="Tahoma" w:cs="Tahoma"/>
                <w:sz w:val="18"/>
                <w:szCs w:val="18"/>
              </w:rPr>
            </w:pPr>
          </w:p>
          <w:p w14:paraId="46A0111D" w14:textId="77777777" w:rsidR="004949CA" w:rsidRPr="00EB30FE" w:rsidRDefault="004949CA" w:rsidP="00331A63">
            <w:pPr>
              <w:ind w:left="360"/>
              <w:rPr>
                <w:rFonts w:ascii="Tahoma" w:hAnsi="Tahoma" w:cs="Tahoma"/>
                <w:sz w:val="18"/>
                <w:szCs w:val="18"/>
              </w:rPr>
            </w:pPr>
            <w:r w:rsidRPr="00EB30FE">
              <w:rPr>
                <w:rFonts w:ascii="Tahoma" w:hAnsi="Tahoma" w:cs="Tahoma"/>
                <w:b w:val="0"/>
                <w:bCs w:val="0"/>
                <w:sz w:val="18"/>
                <w:szCs w:val="18"/>
              </w:rPr>
              <w:object w:dxaOrig="1700" w:dyaOrig="279" w14:anchorId="7850F4FA">
                <v:shape id="_x0000_i1026" type="#_x0000_t75" style="width:84.75pt;height:12.75pt" o:ole="">
                  <v:imagedata r:id="rId26" o:title=""/>
                </v:shape>
                <o:OLEObject Type="Embed" ProgID="Equation.3" ShapeID="_x0000_i1026" DrawAspect="Content" ObjectID="_1698477401" r:id="rId27"/>
              </w:object>
            </w:r>
          </w:p>
          <w:p w14:paraId="05BD684B" w14:textId="77777777" w:rsidR="004949CA" w:rsidRPr="00EB30FE" w:rsidRDefault="004949CA" w:rsidP="00331A63">
            <w:pPr>
              <w:ind w:left="360"/>
              <w:rPr>
                <w:rFonts w:ascii="Tahoma" w:hAnsi="Tahoma" w:cs="Tahoma"/>
                <w:b w:val="0"/>
                <w:sz w:val="18"/>
                <w:szCs w:val="18"/>
              </w:rPr>
            </w:pPr>
            <w:r w:rsidRPr="00EB30FE">
              <w:rPr>
                <w:rFonts w:ascii="Tahoma" w:hAnsi="Tahoma" w:cs="Tahoma"/>
                <w:sz w:val="18"/>
                <w:szCs w:val="18"/>
              </w:rPr>
              <w:t>[kWh/god]</w:t>
            </w:r>
          </w:p>
          <w:p w14:paraId="4E56C828" w14:textId="77777777" w:rsidR="004949CA" w:rsidRPr="00EB30FE" w:rsidRDefault="004949CA" w:rsidP="00331A63">
            <w:pPr>
              <w:rPr>
                <w:rFonts w:ascii="Tahoma" w:hAnsi="Tahoma" w:cs="Tahoma"/>
                <w:sz w:val="18"/>
                <w:szCs w:val="18"/>
              </w:rPr>
            </w:pPr>
          </w:p>
        </w:tc>
        <w:tc>
          <w:tcPr>
            <w:tcW w:w="0" w:type="pct"/>
          </w:tcPr>
          <w:p w14:paraId="7249883C" w14:textId="77777777" w:rsidR="004949CA" w:rsidRPr="00EB30FE" w:rsidRDefault="004949CA" w:rsidP="00331A63">
            <w:pPr>
              <w:tabs>
                <w:tab w:val="left" w:pos="0"/>
              </w:tabs>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roofErr w:type="spellStart"/>
            <w:r w:rsidRPr="00EB30FE">
              <w:rPr>
                <w:rStyle w:val="hps"/>
                <w:rFonts w:ascii="Tahoma" w:hAnsi="Tahoma" w:cs="Tahoma"/>
                <w:sz w:val="18"/>
                <w:szCs w:val="18"/>
              </w:rPr>
              <w:t>η</w:t>
            </w:r>
            <w:r w:rsidRPr="00EB30FE">
              <w:rPr>
                <w:rFonts w:ascii="Tahoma" w:hAnsi="Tahoma" w:cs="Tahoma"/>
                <w:sz w:val="18"/>
                <w:szCs w:val="18"/>
                <w:vertAlign w:val="subscript"/>
              </w:rPr>
              <w:t>init</w:t>
            </w:r>
            <w:proofErr w:type="spellEnd"/>
            <w:r w:rsidRPr="00EB30FE">
              <w:rPr>
                <w:rFonts w:ascii="Tahoma" w:hAnsi="Tahoma" w:cs="Tahoma"/>
                <w:sz w:val="18"/>
                <w:szCs w:val="18"/>
              </w:rPr>
              <w:t xml:space="preserve"> =</w:t>
            </w:r>
          </w:p>
          <w:p w14:paraId="09FC609C" w14:textId="77777777" w:rsidR="004949CA" w:rsidRPr="00EB30FE" w:rsidRDefault="004949CA" w:rsidP="00331A63">
            <w:pPr>
              <w:tabs>
                <w:tab w:val="left" w:pos="0"/>
              </w:tabs>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učinkovitost starog sustava grijanja prije obnove</w:t>
            </w:r>
          </w:p>
          <w:p w14:paraId="3212E90F" w14:textId="77777777" w:rsidR="004949CA" w:rsidRPr="00EB30FE" w:rsidRDefault="004949CA" w:rsidP="00331A63">
            <w:pPr>
              <w:tabs>
                <w:tab w:val="left" w:pos="0"/>
              </w:tabs>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roofErr w:type="spellStart"/>
            <w:r w:rsidRPr="00EB30FE">
              <w:rPr>
                <w:rStyle w:val="hps"/>
                <w:rFonts w:ascii="Tahoma" w:hAnsi="Tahoma" w:cs="Tahoma"/>
                <w:sz w:val="18"/>
                <w:szCs w:val="18"/>
              </w:rPr>
              <w:t>η</w:t>
            </w:r>
            <w:r w:rsidRPr="00EB30FE">
              <w:rPr>
                <w:rFonts w:ascii="Tahoma" w:hAnsi="Tahoma" w:cs="Tahoma"/>
                <w:sz w:val="18"/>
                <w:szCs w:val="18"/>
                <w:vertAlign w:val="subscript"/>
              </w:rPr>
              <w:t>new</w:t>
            </w:r>
            <w:proofErr w:type="spellEnd"/>
            <w:r w:rsidRPr="00EB30FE">
              <w:rPr>
                <w:rFonts w:ascii="Tahoma" w:hAnsi="Tahoma" w:cs="Tahoma"/>
                <w:sz w:val="18"/>
                <w:szCs w:val="18"/>
              </w:rPr>
              <w:t>=</w:t>
            </w:r>
          </w:p>
          <w:p w14:paraId="1A83BA9F" w14:textId="77777777" w:rsidR="004949CA" w:rsidRPr="00EB30FE" w:rsidRDefault="004949CA" w:rsidP="00331A63">
            <w:pPr>
              <w:tabs>
                <w:tab w:val="left" w:pos="0"/>
              </w:tabs>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učinkovitost novog sustava grijanja nakon obnove</w:t>
            </w:r>
          </w:p>
        </w:tc>
        <w:tc>
          <w:tcPr>
            <w:tcW w:w="0" w:type="pct"/>
          </w:tcPr>
          <w:p w14:paraId="4A9B14E4" w14:textId="77777777" w:rsidR="004949CA" w:rsidRPr="00EB30FE" w:rsidRDefault="004949CA" w:rsidP="00331A63">
            <w:pPr>
              <w:tabs>
                <w:tab w:val="left" w:pos="33"/>
              </w:tabs>
              <w:ind w:left="33"/>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Prosječna učinkovitost sustava grijanja prije i nakon obnove (stvarna vrijednost iz projektne dokumentacije) – ukoliko se sustav grijanja ne mijenja, ove dvije vrijednosti ostaju iste</w:t>
            </w:r>
          </w:p>
        </w:tc>
        <w:tc>
          <w:tcPr>
            <w:tcW w:w="0" w:type="pct"/>
            <w:vMerge w:val="restart"/>
          </w:tcPr>
          <w:p w14:paraId="3A7D5255" w14:textId="77777777" w:rsidR="004949CA" w:rsidRPr="00EB30FE" w:rsidRDefault="004949CA" w:rsidP="00331A63">
            <w:pPr>
              <w:ind w:left="36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
          <w:p w14:paraId="74CC691B" w14:textId="77777777" w:rsidR="004949CA" w:rsidRPr="00EB30FE" w:rsidRDefault="004949CA" w:rsidP="00331A63">
            <w:pPr>
              <w:tabs>
                <w:tab w:val="left" w:pos="33"/>
              </w:tabs>
              <w:ind w:left="33"/>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 xml:space="preserve">20 godina </w:t>
            </w:r>
          </w:p>
        </w:tc>
      </w:tr>
      <w:tr w:rsidR="004949CA" w:rsidRPr="00EB30FE" w14:paraId="42CDB21B" w14:textId="77777777" w:rsidTr="638C4C38">
        <w:trPr>
          <w:trHeight w:val="1280"/>
        </w:trPr>
        <w:tc>
          <w:tcPr>
            <w:cnfStyle w:val="001000000000" w:firstRow="0" w:lastRow="0" w:firstColumn="1" w:lastColumn="0" w:oddVBand="0" w:evenVBand="0" w:oddHBand="0" w:evenHBand="0" w:firstRowFirstColumn="0" w:firstRowLastColumn="0" w:lastRowFirstColumn="0" w:lastRowLastColumn="0"/>
            <w:tcW w:w="0" w:type="pct"/>
            <w:vMerge/>
          </w:tcPr>
          <w:p w14:paraId="6DCAA93F" w14:textId="77777777" w:rsidR="004949CA" w:rsidRPr="00EB30FE" w:rsidRDefault="004949CA" w:rsidP="00331A63">
            <w:pPr>
              <w:ind w:left="360"/>
              <w:rPr>
                <w:rFonts w:ascii="Tahoma" w:hAnsi="Tahoma" w:cs="Tahoma"/>
                <w:sz w:val="24"/>
              </w:rPr>
            </w:pPr>
          </w:p>
        </w:tc>
        <w:tc>
          <w:tcPr>
            <w:tcW w:w="0" w:type="pct"/>
          </w:tcPr>
          <w:p w14:paraId="12CBB5A6" w14:textId="7EC4AF60" w:rsidR="004949CA" w:rsidRPr="00EB30FE" w:rsidRDefault="0C3F4C7D" w:rsidP="638C4C38">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roofErr w:type="spellStart"/>
            <w:r w:rsidRPr="638C4C38">
              <w:rPr>
                <w:rFonts w:ascii="Tahoma" w:hAnsi="Tahoma" w:cs="Tahoma"/>
                <w:sz w:val="18"/>
                <w:szCs w:val="18"/>
              </w:rPr>
              <w:t>SHD</w:t>
            </w:r>
            <w:r w:rsidRPr="638C4C38">
              <w:rPr>
                <w:rFonts w:ascii="Tahoma" w:hAnsi="Tahoma" w:cs="Tahoma"/>
                <w:sz w:val="18"/>
                <w:szCs w:val="18"/>
                <w:vertAlign w:val="subscript"/>
              </w:rPr>
              <w:t>init</w:t>
            </w:r>
            <w:proofErr w:type="spellEnd"/>
            <w:r w:rsidRPr="638C4C38">
              <w:rPr>
                <w:rFonts w:ascii="Tahoma" w:hAnsi="Tahoma" w:cs="Tahoma"/>
                <w:sz w:val="18"/>
                <w:szCs w:val="18"/>
              </w:rPr>
              <w:t xml:space="preserve"> = specifične toplinske potrebe građevine prije obnove [kWh/m</w:t>
            </w:r>
            <w:r w:rsidRPr="638C4C38">
              <w:rPr>
                <w:rFonts w:ascii="Tahoma" w:hAnsi="Tahoma" w:cs="Tahoma"/>
                <w:sz w:val="18"/>
                <w:szCs w:val="18"/>
                <w:vertAlign w:val="superscript"/>
              </w:rPr>
              <w:t>2</w:t>
            </w:r>
            <w:r w:rsidRPr="638C4C38">
              <w:rPr>
                <w:rStyle w:val="hps"/>
                <w:rFonts w:ascii="Tahoma" w:hAnsi="Tahoma" w:cs="Tahoma"/>
                <w:sz w:val="18"/>
                <w:szCs w:val="18"/>
              </w:rPr>
              <w:t>god</w:t>
            </w:r>
            <w:r w:rsidRPr="638C4C38">
              <w:rPr>
                <w:rFonts w:ascii="Tahoma" w:hAnsi="Tahoma" w:cs="Tahoma"/>
                <w:sz w:val="18"/>
                <w:szCs w:val="18"/>
              </w:rPr>
              <w:t>]</w:t>
            </w:r>
          </w:p>
          <w:p w14:paraId="2C045A2D" w14:textId="518663E8" w:rsidR="004949CA" w:rsidRPr="00EB30FE" w:rsidRDefault="0C3F4C7D" w:rsidP="638C4C38">
            <w:pPr>
              <w:cnfStyle w:val="000000000000" w:firstRow="0" w:lastRow="0" w:firstColumn="0" w:lastColumn="0" w:oddVBand="0" w:evenVBand="0" w:oddHBand="0" w:evenHBand="0" w:firstRowFirstColumn="0" w:firstRowLastColumn="0" w:lastRowFirstColumn="0" w:lastRowLastColumn="0"/>
              <w:rPr>
                <w:rStyle w:val="hps"/>
                <w:rFonts w:ascii="Tahoma" w:hAnsi="Tahoma" w:cs="Tahoma"/>
                <w:sz w:val="18"/>
                <w:szCs w:val="18"/>
              </w:rPr>
            </w:pPr>
            <w:proofErr w:type="spellStart"/>
            <w:r w:rsidRPr="638C4C38">
              <w:rPr>
                <w:rFonts w:ascii="Tahoma" w:hAnsi="Tahoma" w:cs="Tahoma"/>
                <w:sz w:val="18"/>
                <w:szCs w:val="18"/>
              </w:rPr>
              <w:t>SHD</w:t>
            </w:r>
            <w:r w:rsidRPr="638C4C38">
              <w:rPr>
                <w:rFonts w:ascii="Tahoma" w:hAnsi="Tahoma" w:cs="Tahoma"/>
                <w:sz w:val="18"/>
                <w:szCs w:val="18"/>
                <w:vertAlign w:val="subscript"/>
              </w:rPr>
              <w:t>new</w:t>
            </w:r>
            <w:proofErr w:type="spellEnd"/>
            <w:r w:rsidRPr="638C4C38">
              <w:rPr>
                <w:rFonts w:ascii="Tahoma" w:hAnsi="Tahoma" w:cs="Tahoma"/>
                <w:sz w:val="18"/>
                <w:szCs w:val="18"/>
              </w:rPr>
              <w:t xml:space="preserve"> = specifične toplinske potrebe građevine nakon </w:t>
            </w:r>
            <w:r w:rsidRPr="638C4C38">
              <w:rPr>
                <w:rStyle w:val="hps"/>
                <w:rFonts w:ascii="Tahoma" w:hAnsi="Tahoma" w:cs="Tahoma"/>
                <w:sz w:val="18"/>
                <w:szCs w:val="18"/>
              </w:rPr>
              <w:t>obnove</w:t>
            </w:r>
            <w:r w:rsidRPr="638C4C38">
              <w:rPr>
                <w:rFonts w:ascii="Tahoma" w:hAnsi="Tahoma" w:cs="Tahoma"/>
                <w:sz w:val="18"/>
                <w:szCs w:val="18"/>
              </w:rPr>
              <w:t xml:space="preserve"> [kWh/m</w:t>
            </w:r>
            <w:r w:rsidRPr="638C4C38">
              <w:rPr>
                <w:rFonts w:ascii="Tahoma" w:hAnsi="Tahoma" w:cs="Tahoma"/>
                <w:sz w:val="18"/>
                <w:szCs w:val="18"/>
                <w:vertAlign w:val="superscript"/>
              </w:rPr>
              <w:t>2</w:t>
            </w:r>
            <w:r w:rsidRPr="638C4C38">
              <w:rPr>
                <w:rFonts w:ascii="Tahoma" w:hAnsi="Tahoma" w:cs="Tahoma"/>
                <w:sz w:val="18"/>
                <w:szCs w:val="18"/>
              </w:rPr>
              <w:t>god]</w:t>
            </w:r>
          </w:p>
        </w:tc>
        <w:tc>
          <w:tcPr>
            <w:tcW w:w="0" w:type="pct"/>
          </w:tcPr>
          <w:p w14:paraId="3E044504" w14:textId="77777777" w:rsidR="004949CA" w:rsidRPr="00EB30FE" w:rsidRDefault="004949CA" w:rsidP="00331A63">
            <w:pPr>
              <w:tabs>
                <w:tab w:val="left" w:pos="33"/>
              </w:tabs>
              <w:ind w:left="33"/>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Specifične   godišnje   toplinske  potrebe za grijanje - stvarne vrijednosti iz energetskog certifikata ili projektne dokumentacije</w:t>
            </w:r>
          </w:p>
        </w:tc>
        <w:tc>
          <w:tcPr>
            <w:tcW w:w="0" w:type="pct"/>
            <w:vMerge/>
          </w:tcPr>
          <w:p w14:paraId="44D88E08" w14:textId="77777777" w:rsidR="004949CA" w:rsidRPr="00EB30FE" w:rsidRDefault="004949CA" w:rsidP="00331A63">
            <w:pPr>
              <w:ind w:left="36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p>
        </w:tc>
      </w:tr>
      <w:tr w:rsidR="004949CA" w:rsidRPr="00EB30FE" w14:paraId="16FBFC90" w14:textId="77777777" w:rsidTr="638C4C38">
        <w:trPr>
          <w:trHeight w:val="344"/>
        </w:trPr>
        <w:tc>
          <w:tcPr>
            <w:cnfStyle w:val="001000000000" w:firstRow="0" w:lastRow="0" w:firstColumn="1" w:lastColumn="0" w:oddVBand="0" w:evenVBand="0" w:oddHBand="0" w:evenHBand="0" w:firstRowFirstColumn="0" w:firstRowLastColumn="0" w:lastRowFirstColumn="0" w:lastRowLastColumn="0"/>
            <w:tcW w:w="0" w:type="pct"/>
            <w:vMerge/>
          </w:tcPr>
          <w:p w14:paraId="6836908B" w14:textId="77777777" w:rsidR="004949CA" w:rsidRPr="00EB30FE" w:rsidRDefault="004949CA" w:rsidP="00331A63">
            <w:pPr>
              <w:ind w:left="360"/>
              <w:rPr>
                <w:rFonts w:ascii="Tahoma" w:hAnsi="Tahoma" w:cs="Tahoma"/>
                <w:sz w:val="24"/>
              </w:rPr>
            </w:pPr>
          </w:p>
        </w:tc>
        <w:tc>
          <w:tcPr>
            <w:tcW w:w="0" w:type="pct"/>
          </w:tcPr>
          <w:p w14:paraId="1054236E" w14:textId="77777777" w:rsidR="004949CA" w:rsidRPr="00EB30FE" w:rsidRDefault="004949CA" w:rsidP="00331A63">
            <w:pPr>
              <w:tabs>
                <w:tab w:val="left" w:pos="0"/>
              </w:tabs>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A = korisna (grijana) površina zgrade [m</w:t>
            </w:r>
            <w:r w:rsidRPr="00EB30FE">
              <w:rPr>
                <w:rFonts w:ascii="Tahoma" w:hAnsi="Tahoma" w:cs="Tahoma"/>
                <w:sz w:val="18"/>
                <w:szCs w:val="18"/>
                <w:vertAlign w:val="superscript"/>
              </w:rPr>
              <w:t>2</w:t>
            </w:r>
            <w:r w:rsidRPr="00EB30FE">
              <w:rPr>
                <w:rFonts w:ascii="Tahoma" w:hAnsi="Tahoma" w:cs="Tahoma"/>
                <w:sz w:val="18"/>
                <w:szCs w:val="18"/>
              </w:rPr>
              <w:t>]</w:t>
            </w:r>
          </w:p>
          <w:p w14:paraId="06DFDAE7" w14:textId="77777777" w:rsidR="004949CA" w:rsidRPr="00EB30FE" w:rsidRDefault="004949CA" w:rsidP="00331A63">
            <w:pPr>
              <w:ind w:left="360"/>
              <w:cnfStyle w:val="000000000000" w:firstRow="0" w:lastRow="0" w:firstColumn="0" w:lastColumn="0" w:oddVBand="0" w:evenVBand="0" w:oddHBand="0" w:evenHBand="0" w:firstRowFirstColumn="0" w:firstRowLastColumn="0" w:lastRowFirstColumn="0" w:lastRowLastColumn="0"/>
              <w:rPr>
                <w:rStyle w:val="hps"/>
                <w:rFonts w:ascii="Tahoma" w:hAnsi="Tahoma" w:cs="Tahoma"/>
                <w:sz w:val="18"/>
                <w:szCs w:val="18"/>
              </w:rPr>
            </w:pPr>
          </w:p>
        </w:tc>
        <w:tc>
          <w:tcPr>
            <w:tcW w:w="0" w:type="pct"/>
          </w:tcPr>
          <w:p w14:paraId="54DD7C46" w14:textId="77777777" w:rsidR="004949CA" w:rsidRPr="00EB30FE" w:rsidRDefault="004949CA" w:rsidP="00331A63">
            <w:pPr>
              <w:tabs>
                <w:tab w:val="left" w:pos="33"/>
              </w:tabs>
              <w:ind w:left="33"/>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EB30FE">
              <w:rPr>
                <w:rFonts w:ascii="Tahoma" w:hAnsi="Tahoma" w:cs="Tahoma"/>
                <w:sz w:val="18"/>
                <w:szCs w:val="18"/>
              </w:rPr>
              <w:t>Stvarni podatak iz energetskog certifikata ili projektne dokumentacije</w:t>
            </w:r>
          </w:p>
        </w:tc>
        <w:tc>
          <w:tcPr>
            <w:tcW w:w="0" w:type="pct"/>
            <w:vMerge/>
          </w:tcPr>
          <w:p w14:paraId="4FF577A6" w14:textId="77777777" w:rsidR="004949CA" w:rsidRPr="00EB30FE" w:rsidRDefault="004949CA" w:rsidP="00331A63">
            <w:pPr>
              <w:ind w:left="360"/>
              <w:cnfStyle w:val="000000000000" w:firstRow="0" w:lastRow="0" w:firstColumn="0" w:lastColumn="0" w:oddVBand="0" w:evenVBand="0" w:oddHBand="0" w:evenHBand="0" w:firstRowFirstColumn="0" w:firstRowLastColumn="0" w:lastRowFirstColumn="0" w:lastRowLastColumn="0"/>
              <w:rPr>
                <w:rFonts w:ascii="Tahoma" w:hAnsi="Tahoma" w:cs="Tahoma"/>
                <w:sz w:val="24"/>
              </w:rPr>
            </w:pPr>
          </w:p>
        </w:tc>
      </w:tr>
    </w:tbl>
    <w:p w14:paraId="5C14F14F" w14:textId="77777777" w:rsidR="004949CA" w:rsidRPr="00EB30FE" w:rsidRDefault="004949CA" w:rsidP="00EB30FE">
      <w:pPr>
        <w:spacing w:before="120" w:after="120" w:line="240" w:lineRule="auto"/>
        <w:jc w:val="both"/>
        <w:rPr>
          <w:rFonts w:ascii="Tahoma" w:hAnsi="Tahoma" w:cs="Tahoma"/>
          <w:sz w:val="20"/>
          <w:szCs w:val="20"/>
        </w:rPr>
      </w:pPr>
      <w:r w:rsidRPr="00EB30FE">
        <w:rPr>
          <w:rFonts w:ascii="Tahoma" w:hAnsi="Tahoma" w:cs="Tahoma"/>
          <w:sz w:val="20"/>
          <w:szCs w:val="20"/>
        </w:rPr>
        <w:t xml:space="preserve">Potrebno je istaknuti da je ovu metodu potrebno odabrati uvijek kada se projekt sastoji od više mjera, čak i u slučaju kada se provode dvije ili više mjera na ovojnici VSZ ili u slučaju kada se uz neke druge mjere uvodi i sustav automatizacije i upravljanja za kojega postoji zasebna metoda. Ovakav pristup je nužan radi izbjegavanja dvostrukog i nerealnog izračunavanja ušteda energije. Osnovno načelo za unos projekata energetske obnove u SMIV je da jedan projekt treba biti jedan zapis u SMIV-u. Iznimka je jedino slučaj kada se uz mjere koje se odnose na ovojnicu i/ili termotehnički sustav u VSZ instalira i fotonaponski sustav za vlastitu proizvodnju električne energije, pa je u tom slučaju moguće da jedan projekt, </w:t>
      </w:r>
      <w:proofErr w:type="spellStart"/>
      <w:r w:rsidRPr="00EB30FE">
        <w:rPr>
          <w:rFonts w:ascii="Tahoma" w:hAnsi="Tahoma" w:cs="Tahoma"/>
          <w:sz w:val="20"/>
          <w:szCs w:val="20"/>
        </w:rPr>
        <w:t>tj</w:t>
      </w:r>
      <w:proofErr w:type="spellEnd"/>
      <w:r w:rsidRPr="00EB30FE">
        <w:rPr>
          <w:rFonts w:ascii="Tahoma" w:hAnsi="Tahoma" w:cs="Tahoma"/>
          <w:sz w:val="20"/>
          <w:szCs w:val="20"/>
        </w:rPr>
        <w:t>, jedna obnovljena VSZ ima dva zapisa u SMIV-u. Za izračun se uvijek koriste stvarne vrijednosti ulaznih podataka iz izvora (dokaza) navedenih u gornjoj tablici, a ne referentne vrijednosti navedene u Pravilniku i SMIV-u.</w:t>
      </w:r>
    </w:p>
    <w:p w14:paraId="2A7A4B1A"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Prema tome, </w:t>
      </w:r>
      <w:proofErr w:type="spellStart"/>
      <w:r w:rsidRPr="00EB30FE">
        <w:rPr>
          <w:rFonts w:ascii="Tahoma" w:hAnsi="Tahoma" w:cs="Tahoma"/>
          <w:sz w:val="20"/>
          <w:szCs w:val="20"/>
          <w:lang w:eastAsia="hr-HR"/>
        </w:rPr>
        <w:t>SMiV</w:t>
      </w:r>
      <w:proofErr w:type="spellEnd"/>
      <w:r w:rsidRPr="00EB30FE">
        <w:rPr>
          <w:rFonts w:ascii="Tahoma" w:hAnsi="Tahoma" w:cs="Tahoma"/>
          <w:sz w:val="20"/>
          <w:szCs w:val="20"/>
          <w:lang w:eastAsia="hr-HR"/>
        </w:rPr>
        <w:t xml:space="preserve"> je alat kojim će se pratiti provedba ovog Programa. U njemu će biti raspoloživi svi podatci za utvrđivanje pokazatelja ishoda utvrđenih u poglavlju 7. ovog Programa. U prvom redu se to odnosi na površinu obnovljenih zgrada te godišnje uštede energije koje su rezultat provedenog pojedinog projekta obnove VSZ. Na temelju ovih podataka, NKT će utvrđivati ostvarenu stopu obnove te kumulativne uštede energije u razmatranom razdoblju, uzimajući u obzir životni vijek mjere definiran u Pravilniku o sustavu za praćenje, mjerenje i verifikaciju ušteda energije. </w:t>
      </w:r>
    </w:p>
    <w:p w14:paraId="309FF166"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Ovakvo praćenje u potpunosti je sukladno ciljevima definiranima u članku 6. Pravilnika o rokovima i postupcima praćenja i izvještavanja o provedbi akata strateškog planiranja od nacionalnog značaja i od značaja za jedinice lokalne i područne (regionalne) samouprave, jer osigurava sustavno praćenje te podlogu za kontinuirano unaprjeđenje Programa, u slučaju uočenih odstupanja od putanje ostvarivanja cilja. </w:t>
      </w:r>
    </w:p>
    <w:p w14:paraId="02FC9E71"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Izvještavanje je također uređeno Zakonom o energetskoj učinkovitosti, čiji članak 9. utvrđuje obvezu izrade godišnjeg izvješća o napretku postignutom u ostvarenju nacionalnih ciljeva energetske učinkovitosti do 15. ožujka tekuće godine za prethodnu godinu. U točki 4. stavka 2. toga članka utvrđuje se da ovo godišnje izvješće mora sadržavati analizu ušteda energije ostvarenih provedbom alternativnih </w:t>
      </w:r>
      <w:r w:rsidRPr="00EB30FE">
        <w:rPr>
          <w:rFonts w:ascii="Tahoma" w:hAnsi="Tahoma" w:cs="Tahoma"/>
          <w:sz w:val="20"/>
          <w:szCs w:val="20"/>
          <w:lang w:eastAsia="hr-HR"/>
        </w:rPr>
        <w:lastRenderedPageBreak/>
        <w:t xml:space="preserve">mjera politike, što ovaj Program jest, te doprinos ostvarenju ukupnog nacionalnog kumulativnog cilja uštede u neposrednoj potrošnji energije. Ovo izvješće se prema Zakonu objavljuje na nacionalnom portalu energetske </w:t>
      </w:r>
      <w:r w:rsidRPr="005315C7">
        <w:rPr>
          <w:rFonts w:ascii="Tahoma" w:hAnsi="Tahoma" w:cs="Tahoma"/>
          <w:color w:val="000000" w:themeColor="text1"/>
          <w:sz w:val="20"/>
          <w:szCs w:val="20"/>
          <w:lang w:eastAsia="hr-HR"/>
        </w:rPr>
        <w:t>učinkovitosti (</w:t>
      </w:r>
      <w:hyperlink r:id="rId28" w:history="1">
        <w:r w:rsidRPr="005315C7">
          <w:rPr>
            <w:rStyle w:val="Hiperveza"/>
            <w:rFonts w:ascii="Tahoma" w:hAnsi="Tahoma" w:cs="Tahoma"/>
            <w:color w:val="000000" w:themeColor="text1"/>
            <w:sz w:val="20"/>
            <w:szCs w:val="20"/>
            <w:lang w:eastAsia="hr-HR"/>
          </w:rPr>
          <w:t>www.enu.hr</w:t>
        </w:r>
      </w:hyperlink>
      <w:r w:rsidRPr="005315C7">
        <w:rPr>
          <w:rFonts w:ascii="Tahoma" w:hAnsi="Tahoma" w:cs="Tahoma"/>
          <w:color w:val="000000" w:themeColor="text1"/>
          <w:sz w:val="20"/>
          <w:szCs w:val="20"/>
          <w:lang w:eastAsia="hr-HR"/>
        </w:rPr>
        <w:t xml:space="preserve">), </w:t>
      </w:r>
      <w:r w:rsidRPr="00EB30FE">
        <w:rPr>
          <w:rFonts w:ascii="Tahoma" w:hAnsi="Tahoma" w:cs="Tahoma"/>
          <w:sz w:val="20"/>
          <w:szCs w:val="20"/>
          <w:lang w:eastAsia="hr-HR"/>
        </w:rPr>
        <w:t>čime je zadovoljen i cilj obavješćivanja šire javnosti o učincima potrošnje javnih sredstava iz članka 6. Pravilnika o rokovima i postupcima praćenja i izvještavanja o provedbi akata strateškog planiranja od nacionalnog značaja i od značaja za jedinice lokalne i područne (regionalne) samouprave.</w:t>
      </w:r>
    </w:p>
    <w:p w14:paraId="3056F3FF" w14:textId="77777777" w:rsidR="004949CA" w:rsidRPr="00EB30FE" w:rsidRDefault="004949CA" w:rsidP="00EB30FE">
      <w:pPr>
        <w:spacing w:before="120" w:after="120" w:line="240" w:lineRule="auto"/>
        <w:jc w:val="both"/>
        <w:rPr>
          <w:rFonts w:ascii="Tahoma" w:hAnsi="Tahoma" w:cs="Tahoma"/>
          <w:sz w:val="20"/>
          <w:szCs w:val="20"/>
          <w:lang w:eastAsia="hr-HR"/>
        </w:rPr>
      </w:pPr>
      <w:r w:rsidRPr="00EB30FE">
        <w:rPr>
          <w:rFonts w:ascii="Tahoma" w:hAnsi="Tahoma" w:cs="Tahoma"/>
          <w:sz w:val="20"/>
          <w:szCs w:val="20"/>
          <w:lang w:eastAsia="hr-HR"/>
        </w:rPr>
        <w:t xml:space="preserve">Ovako organiziran sustav praćenja i izvještavanja omogućava vrednovanje provedbe Programa u skladu s Pravilnikom o provedbi postupka vrednovanja (Narodne novine, broj 66/19). S obzirom da je praćenje i izvještavanje, koji su temelj za vrednovanje, u nadležnosti NKT-MINGOR, zadovoljen je uvjet neovisnosti vrednovanja iz članka 7. Pravilnika, a MPGI može dodatno angažirati vanjskog vrednovatelja. </w:t>
      </w:r>
      <w:r w:rsidRPr="00EB30FE">
        <w:rPr>
          <w:rFonts w:ascii="Tahoma" w:hAnsi="Tahoma" w:cs="Tahoma"/>
          <w:sz w:val="20"/>
          <w:szCs w:val="20"/>
        </w:rPr>
        <w:t xml:space="preserve">Izvješće o vrednovanju s preporukama mora biti sastavni dio revidiranog Programa odnosno temelj za svaki sljedeći trogodišnji akcijski plan ovoga Programa. </w:t>
      </w:r>
    </w:p>
    <w:p w14:paraId="12DB5828" w14:textId="45BCB8AC" w:rsidR="004949CA" w:rsidRPr="005D4FFF" w:rsidRDefault="004949CA" w:rsidP="004949CA">
      <w:pPr>
        <w:pStyle w:val="Naslov10"/>
        <w:ind w:left="709" w:hanging="709"/>
      </w:pPr>
      <w:bookmarkStart w:id="244" w:name="_Toc81836308"/>
      <w:bookmarkStart w:id="245" w:name="_Toc83912081"/>
      <w:r>
        <w:lastRenderedPageBreak/>
        <w:t>Z</w:t>
      </w:r>
      <w:r w:rsidR="005D4FFF" w:rsidRPr="005D4FFF">
        <w:t>aključci i preporuke</w:t>
      </w:r>
      <w:bookmarkEnd w:id="244"/>
      <w:bookmarkEnd w:id="245"/>
    </w:p>
    <w:p w14:paraId="4AA099DC" w14:textId="513847C4" w:rsidR="00241A1F" w:rsidRDefault="004949CA" w:rsidP="00226C00">
      <w:pPr>
        <w:spacing w:before="120" w:after="120"/>
        <w:jc w:val="both"/>
        <w:rPr>
          <w:rFonts w:ascii="Tahoma" w:hAnsi="Tahoma" w:cs="Tahoma"/>
          <w:sz w:val="20"/>
          <w:szCs w:val="20"/>
          <w:lang w:eastAsia="hr-HR"/>
        </w:rPr>
      </w:pPr>
      <w:r w:rsidRPr="00226C00">
        <w:rPr>
          <w:rFonts w:ascii="Tahoma" w:hAnsi="Tahoma" w:cs="Tahoma"/>
          <w:sz w:val="20"/>
          <w:szCs w:val="20"/>
          <w:lang w:eastAsia="hr-HR"/>
        </w:rPr>
        <w:t>Iz svih prethodno provedenih analiza, razvidno je koliki značaj</w:t>
      </w:r>
      <w:r w:rsidRPr="00226C00" w:rsidDel="00040033">
        <w:rPr>
          <w:rFonts w:ascii="Tahoma" w:hAnsi="Tahoma" w:cs="Tahoma"/>
          <w:sz w:val="20"/>
          <w:szCs w:val="20"/>
          <w:lang w:eastAsia="hr-HR"/>
        </w:rPr>
        <w:t xml:space="preserve"> </w:t>
      </w:r>
      <w:r w:rsidR="00040033">
        <w:rPr>
          <w:rFonts w:ascii="Tahoma" w:hAnsi="Tahoma" w:cs="Tahoma"/>
          <w:sz w:val="20"/>
          <w:szCs w:val="20"/>
          <w:lang w:eastAsia="hr-HR"/>
        </w:rPr>
        <w:t>višestambene zgrade</w:t>
      </w:r>
      <w:r w:rsidR="00040033" w:rsidRPr="00226C00">
        <w:rPr>
          <w:rFonts w:ascii="Tahoma" w:hAnsi="Tahoma" w:cs="Tahoma"/>
          <w:sz w:val="20"/>
          <w:szCs w:val="20"/>
          <w:lang w:eastAsia="hr-HR"/>
        </w:rPr>
        <w:t xml:space="preserve"> </w:t>
      </w:r>
      <w:r w:rsidRPr="00226C00">
        <w:rPr>
          <w:rFonts w:ascii="Tahoma" w:hAnsi="Tahoma" w:cs="Tahoma"/>
          <w:sz w:val="20"/>
          <w:szCs w:val="20"/>
          <w:lang w:eastAsia="hr-HR"/>
        </w:rPr>
        <w:t xml:space="preserve">imaju u postizanju ciljeva zelene tranzicije i </w:t>
      </w:r>
      <w:proofErr w:type="spellStart"/>
      <w:r w:rsidRPr="00226C00">
        <w:rPr>
          <w:rFonts w:ascii="Tahoma" w:hAnsi="Tahoma" w:cs="Tahoma"/>
          <w:sz w:val="20"/>
          <w:szCs w:val="20"/>
          <w:lang w:eastAsia="hr-HR"/>
        </w:rPr>
        <w:t>dekarbonizacije</w:t>
      </w:r>
      <w:proofErr w:type="spellEnd"/>
      <w:r w:rsidRPr="00226C00">
        <w:rPr>
          <w:rFonts w:ascii="Tahoma" w:hAnsi="Tahoma" w:cs="Tahoma"/>
          <w:sz w:val="20"/>
          <w:szCs w:val="20"/>
          <w:lang w:eastAsia="hr-HR"/>
        </w:rPr>
        <w:t xml:space="preserve"> zgrada. </w:t>
      </w:r>
      <w:r w:rsidR="00CF22E3">
        <w:rPr>
          <w:rFonts w:ascii="Tahoma" w:hAnsi="Tahoma" w:cs="Tahoma"/>
          <w:sz w:val="20"/>
          <w:szCs w:val="20"/>
          <w:lang w:eastAsia="hr-HR"/>
        </w:rPr>
        <w:t>Posebno je potrebno istaknuti važnost sveobuhvatne obnove</w:t>
      </w:r>
      <w:r w:rsidR="00090734">
        <w:rPr>
          <w:rFonts w:ascii="Tahoma" w:hAnsi="Tahoma" w:cs="Tahoma"/>
          <w:sz w:val="20"/>
          <w:szCs w:val="20"/>
          <w:lang w:eastAsia="hr-HR"/>
        </w:rPr>
        <w:t>,</w:t>
      </w:r>
      <w:r w:rsidR="004E55DA">
        <w:rPr>
          <w:rFonts w:ascii="Tahoma" w:hAnsi="Tahoma" w:cs="Tahoma"/>
          <w:sz w:val="20"/>
          <w:szCs w:val="20"/>
          <w:lang w:eastAsia="hr-HR"/>
        </w:rPr>
        <w:t xml:space="preserve"> i to </w:t>
      </w:r>
      <w:r w:rsidR="00221BB7">
        <w:rPr>
          <w:rFonts w:ascii="Tahoma" w:hAnsi="Tahoma" w:cs="Tahoma"/>
          <w:sz w:val="20"/>
          <w:szCs w:val="20"/>
          <w:lang w:eastAsia="hr-HR"/>
        </w:rPr>
        <w:t xml:space="preserve">ne samo već </w:t>
      </w:r>
      <w:r w:rsidR="00647107">
        <w:rPr>
          <w:rFonts w:ascii="Tahoma" w:hAnsi="Tahoma" w:cs="Tahoma"/>
          <w:sz w:val="20"/>
          <w:szCs w:val="20"/>
          <w:lang w:eastAsia="hr-HR"/>
        </w:rPr>
        <w:t xml:space="preserve">potresom </w:t>
      </w:r>
      <w:r w:rsidR="00221BB7">
        <w:rPr>
          <w:rFonts w:ascii="Tahoma" w:hAnsi="Tahoma" w:cs="Tahoma"/>
          <w:sz w:val="20"/>
          <w:szCs w:val="20"/>
          <w:lang w:eastAsia="hr-HR"/>
        </w:rPr>
        <w:t>oštećenih</w:t>
      </w:r>
      <w:r w:rsidR="00BF3888">
        <w:rPr>
          <w:rFonts w:ascii="Tahoma" w:hAnsi="Tahoma" w:cs="Tahoma"/>
          <w:sz w:val="20"/>
          <w:szCs w:val="20"/>
          <w:lang w:eastAsia="hr-HR"/>
        </w:rPr>
        <w:t xml:space="preserve"> zgrada</w:t>
      </w:r>
      <w:r w:rsidR="00647107">
        <w:rPr>
          <w:rFonts w:ascii="Tahoma" w:hAnsi="Tahoma" w:cs="Tahoma"/>
          <w:sz w:val="20"/>
          <w:szCs w:val="20"/>
          <w:lang w:eastAsia="hr-HR"/>
        </w:rPr>
        <w:t xml:space="preserve">, nego i neoštećenih zgrada. </w:t>
      </w:r>
      <w:r w:rsidR="00FB7D14">
        <w:rPr>
          <w:rFonts w:ascii="Tahoma" w:hAnsi="Tahoma" w:cs="Tahoma"/>
          <w:sz w:val="20"/>
          <w:szCs w:val="20"/>
          <w:lang w:eastAsia="hr-HR"/>
        </w:rPr>
        <w:t xml:space="preserve">Hrvatska se nalazi na seizmički </w:t>
      </w:r>
      <w:r w:rsidR="00526B86">
        <w:rPr>
          <w:rFonts w:ascii="Tahoma" w:hAnsi="Tahoma" w:cs="Tahoma"/>
          <w:sz w:val="20"/>
          <w:szCs w:val="20"/>
          <w:lang w:eastAsia="hr-HR"/>
        </w:rPr>
        <w:t xml:space="preserve">vrlo </w:t>
      </w:r>
      <w:r w:rsidR="00FB7D14">
        <w:rPr>
          <w:rFonts w:ascii="Tahoma" w:hAnsi="Tahoma" w:cs="Tahoma"/>
          <w:sz w:val="20"/>
          <w:szCs w:val="20"/>
          <w:lang w:eastAsia="hr-HR"/>
        </w:rPr>
        <w:t xml:space="preserve">aktivnom području na kojem se tek </w:t>
      </w:r>
      <w:r w:rsidR="000C6417">
        <w:rPr>
          <w:rFonts w:ascii="Tahoma" w:hAnsi="Tahoma" w:cs="Tahoma"/>
          <w:sz w:val="20"/>
          <w:szCs w:val="20"/>
          <w:lang w:eastAsia="hr-HR"/>
        </w:rPr>
        <w:t>od 1965. godine (</w:t>
      </w:r>
      <w:r w:rsidR="00FB7D14">
        <w:rPr>
          <w:rFonts w:ascii="Tahoma" w:hAnsi="Tahoma" w:cs="Tahoma"/>
          <w:sz w:val="20"/>
          <w:szCs w:val="20"/>
          <w:lang w:eastAsia="hr-HR"/>
        </w:rPr>
        <w:t>nakon potresa u Skopju</w:t>
      </w:r>
      <w:r w:rsidR="000C6417">
        <w:rPr>
          <w:rFonts w:ascii="Tahoma" w:hAnsi="Tahoma" w:cs="Tahoma"/>
          <w:sz w:val="20"/>
          <w:szCs w:val="20"/>
          <w:lang w:eastAsia="hr-HR"/>
        </w:rPr>
        <w:t>)</w:t>
      </w:r>
      <w:r w:rsidR="00FB7D14">
        <w:rPr>
          <w:rFonts w:ascii="Tahoma" w:hAnsi="Tahoma" w:cs="Tahoma"/>
          <w:sz w:val="20"/>
          <w:szCs w:val="20"/>
          <w:lang w:eastAsia="hr-HR"/>
        </w:rPr>
        <w:t xml:space="preserve"> primjenjuju principi gradnje</w:t>
      </w:r>
      <w:r w:rsidR="00526B86">
        <w:rPr>
          <w:rFonts w:ascii="Tahoma" w:hAnsi="Tahoma" w:cs="Tahoma"/>
          <w:sz w:val="20"/>
          <w:szCs w:val="20"/>
          <w:lang w:eastAsia="hr-HR"/>
        </w:rPr>
        <w:t xml:space="preserve"> otporne na potres. </w:t>
      </w:r>
      <w:r w:rsidR="00DA099E">
        <w:rPr>
          <w:rFonts w:ascii="Tahoma" w:hAnsi="Tahoma" w:cs="Tahoma"/>
          <w:sz w:val="20"/>
          <w:szCs w:val="20"/>
          <w:lang w:eastAsia="hr-HR"/>
        </w:rPr>
        <w:t xml:space="preserve">Naime, </w:t>
      </w:r>
      <w:r w:rsidR="00E10BE9">
        <w:rPr>
          <w:rFonts w:ascii="Tahoma" w:hAnsi="Tahoma" w:cs="Tahoma"/>
          <w:sz w:val="20"/>
          <w:szCs w:val="20"/>
          <w:lang w:eastAsia="hr-HR"/>
        </w:rPr>
        <w:t xml:space="preserve">potresom oštećene zgrade treba </w:t>
      </w:r>
      <w:r w:rsidR="00696242">
        <w:rPr>
          <w:rFonts w:ascii="Tahoma" w:hAnsi="Tahoma" w:cs="Tahoma"/>
          <w:sz w:val="20"/>
          <w:szCs w:val="20"/>
          <w:lang w:eastAsia="hr-HR"/>
        </w:rPr>
        <w:t xml:space="preserve">obnoviti </w:t>
      </w:r>
      <w:r w:rsidR="00496E91">
        <w:rPr>
          <w:rFonts w:ascii="Tahoma" w:hAnsi="Tahoma" w:cs="Tahoma"/>
          <w:sz w:val="20"/>
          <w:szCs w:val="20"/>
          <w:lang w:eastAsia="hr-HR"/>
        </w:rPr>
        <w:t xml:space="preserve">po BBB načelu </w:t>
      </w:r>
      <w:r w:rsidR="001C65DC">
        <w:rPr>
          <w:rFonts w:ascii="Tahoma" w:hAnsi="Tahoma" w:cs="Tahoma"/>
          <w:sz w:val="20"/>
          <w:szCs w:val="20"/>
          <w:lang w:eastAsia="hr-HR"/>
        </w:rPr>
        <w:t xml:space="preserve">koje podrazumijeva kako konstrukcijska tako i energetska </w:t>
      </w:r>
      <w:r w:rsidR="004641D5">
        <w:rPr>
          <w:rFonts w:ascii="Tahoma" w:hAnsi="Tahoma" w:cs="Tahoma"/>
          <w:sz w:val="20"/>
          <w:szCs w:val="20"/>
          <w:lang w:eastAsia="hr-HR"/>
        </w:rPr>
        <w:t>unaprjeđenja</w:t>
      </w:r>
      <w:r w:rsidR="001C65DC">
        <w:rPr>
          <w:rFonts w:ascii="Tahoma" w:hAnsi="Tahoma" w:cs="Tahoma"/>
          <w:sz w:val="20"/>
          <w:szCs w:val="20"/>
          <w:lang w:eastAsia="hr-HR"/>
        </w:rPr>
        <w:t>. Za</w:t>
      </w:r>
      <w:r w:rsidR="00E82495">
        <w:rPr>
          <w:rFonts w:ascii="Tahoma" w:hAnsi="Tahoma" w:cs="Tahoma"/>
          <w:sz w:val="20"/>
          <w:szCs w:val="20"/>
          <w:lang w:eastAsia="hr-HR"/>
        </w:rPr>
        <w:t xml:space="preserve"> neoštećene zgrade, </w:t>
      </w:r>
      <w:r w:rsidR="00AF1402">
        <w:rPr>
          <w:rFonts w:ascii="Tahoma" w:hAnsi="Tahoma" w:cs="Tahoma"/>
          <w:sz w:val="20"/>
          <w:szCs w:val="20"/>
          <w:lang w:eastAsia="hr-HR"/>
        </w:rPr>
        <w:t>sveobuhvatnom obnovom će se osigurati njihova otpornost na eventualne buduće potrese</w:t>
      </w:r>
      <w:r w:rsidR="000C6417">
        <w:rPr>
          <w:rFonts w:ascii="Tahoma" w:hAnsi="Tahoma" w:cs="Tahoma"/>
          <w:sz w:val="20"/>
          <w:szCs w:val="20"/>
          <w:lang w:eastAsia="hr-HR"/>
        </w:rPr>
        <w:t xml:space="preserve"> čime se štiti investicija u </w:t>
      </w:r>
      <w:r w:rsidR="00D94EE7">
        <w:rPr>
          <w:rFonts w:ascii="Tahoma" w:hAnsi="Tahoma" w:cs="Tahoma"/>
          <w:sz w:val="20"/>
          <w:szCs w:val="20"/>
          <w:lang w:eastAsia="hr-HR"/>
        </w:rPr>
        <w:t>povećanje energetske učinkovitosti</w:t>
      </w:r>
      <w:r w:rsidR="00987E4F">
        <w:rPr>
          <w:rFonts w:ascii="Tahoma" w:hAnsi="Tahoma" w:cs="Tahoma"/>
          <w:sz w:val="20"/>
          <w:szCs w:val="20"/>
          <w:lang w:eastAsia="hr-HR"/>
        </w:rPr>
        <w:t xml:space="preserve"> i ostale mjere obuhvaćene sveobuhvatnom obnovom (poboljšanje zdravlja, zaštita od požara)</w:t>
      </w:r>
      <w:r w:rsidR="0053011F">
        <w:rPr>
          <w:rFonts w:ascii="Tahoma" w:hAnsi="Tahoma" w:cs="Tahoma"/>
          <w:sz w:val="20"/>
          <w:szCs w:val="20"/>
          <w:lang w:eastAsia="hr-HR"/>
        </w:rPr>
        <w:t xml:space="preserve">. </w:t>
      </w:r>
      <w:r w:rsidR="00AF1402">
        <w:rPr>
          <w:rFonts w:ascii="Tahoma" w:hAnsi="Tahoma" w:cs="Tahoma"/>
          <w:sz w:val="20"/>
          <w:szCs w:val="20"/>
          <w:lang w:eastAsia="hr-HR"/>
        </w:rPr>
        <w:t xml:space="preserve"> </w:t>
      </w:r>
      <w:r w:rsidR="00E10BE9">
        <w:rPr>
          <w:rFonts w:ascii="Tahoma" w:hAnsi="Tahoma" w:cs="Tahoma"/>
          <w:sz w:val="20"/>
          <w:szCs w:val="20"/>
          <w:lang w:eastAsia="hr-HR"/>
        </w:rPr>
        <w:t xml:space="preserve"> </w:t>
      </w:r>
      <w:r w:rsidR="00CB1405">
        <w:rPr>
          <w:rFonts w:ascii="Tahoma" w:hAnsi="Tahoma" w:cs="Tahoma"/>
          <w:sz w:val="20"/>
          <w:szCs w:val="20"/>
          <w:lang w:eastAsia="hr-HR"/>
        </w:rPr>
        <w:t xml:space="preserve"> </w:t>
      </w:r>
    </w:p>
    <w:p w14:paraId="03D1AAD6" w14:textId="61CB0BA4" w:rsidR="004949CA" w:rsidRPr="00226C00" w:rsidRDefault="004949CA" w:rsidP="00226C00">
      <w:pPr>
        <w:spacing w:before="120" w:after="120"/>
        <w:jc w:val="both"/>
        <w:rPr>
          <w:rFonts w:ascii="Tahoma" w:hAnsi="Tahoma" w:cs="Tahoma"/>
          <w:sz w:val="20"/>
          <w:szCs w:val="20"/>
          <w:lang w:eastAsia="hr-HR"/>
        </w:rPr>
      </w:pPr>
      <w:r w:rsidRPr="00226C00">
        <w:rPr>
          <w:rFonts w:ascii="Tahoma" w:hAnsi="Tahoma" w:cs="Tahoma"/>
          <w:sz w:val="20"/>
          <w:szCs w:val="20"/>
          <w:lang w:eastAsia="hr-HR"/>
        </w:rPr>
        <w:t xml:space="preserve">U donjoj tablici se prikazuju nacionalni ciljevi i doprinos ovoga Programa tim ciljevima, ukoliko se provode na način </w:t>
      </w:r>
      <w:r w:rsidR="00C172E7">
        <w:rPr>
          <w:rFonts w:ascii="Tahoma" w:hAnsi="Tahoma" w:cs="Tahoma"/>
          <w:sz w:val="20"/>
          <w:szCs w:val="20"/>
          <w:lang w:eastAsia="hr-HR"/>
        </w:rPr>
        <w:t xml:space="preserve">i intenzitetom </w:t>
      </w:r>
      <w:r w:rsidRPr="00226C00">
        <w:rPr>
          <w:rFonts w:ascii="Tahoma" w:hAnsi="Tahoma" w:cs="Tahoma"/>
          <w:sz w:val="20"/>
          <w:szCs w:val="20"/>
          <w:lang w:eastAsia="hr-HR"/>
        </w:rPr>
        <w:t>predviđen</w:t>
      </w:r>
      <w:r w:rsidR="00C172E7">
        <w:rPr>
          <w:rFonts w:ascii="Tahoma" w:hAnsi="Tahoma" w:cs="Tahoma"/>
          <w:sz w:val="20"/>
          <w:szCs w:val="20"/>
          <w:lang w:eastAsia="hr-HR"/>
        </w:rPr>
        <w:t>im</w:t>
      </w:r>
      <w:r w:rsidRPr="00226C00">
        <w:rPr>
          <w:rFonts w:ascii="Tahoma" w:hAnsi="Tahoma" w:cs="Tahoma"/>
          <w:sz w:val="20"/>
          <w:szCs w:val="20"/>
          <w:lang w:eastAsia="hr-HR"/>
        </w:rPr>
        <w:t xml:space="preserve"> Dugoročnom strategijom.</w:t>
      </w:r>
    </w:p>
    <w:tbl>
      <w:tblPr>
        <w:tblStyle w:val="Svijetlatablicareetke110"/>
        <w:tblW w:w="5000" w:type="pct"/>
        <w:tblLook w:val="04A0" w:firstRow="1" w:lastRow="0" w:firstColumn="1" w:lastColumn="0" w:noHBand="0" w:noVBand="1"/>
      </w:tblPr>
      <w:tblGrid>
        <w:gridCol w:w="7788"/>
        <w:gridCol w:w="1274"/>
      </w:tblGrid>
      <w:tr w:rsidR="004949CA" w:rsidRPr="00226C00" w14:paraId="12048FDF" w14:textId="77777777" w:rsidTr="00331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pct"/>
          </w:tcPr>
          <w:p w14:paraId="1D937EFA" w14:textId="77777777" w:rsidR="004949CA" w:rsidRPr="00226C00" w:rsidRDefault="004949CA" w:rsidP="00226C00">
            <w:pPr>
              <w:jc w:val="both"/>
              <w:rPr>
                <w:rFonts w:ascii="Tahoma" w:hAnsi="Tahoma" w:cs="Tahoma"/>
                <w:sz w:val="20"/>
                <w:szCs w:val="20"/>
                <w:lang w:eastAsia="hr-HR"/>
              </w:rPr>
            </w:pPr>
            <w:r w:rsidRPr="00226C00">
              <w:rPr>
                <w:rFonts w:ascii="Tahoma" w:hAnsi="Tahoma" w:cs="Tahoma"/>
                <w:sz w:val="20"/>
                <w:szCs w:val="20"/>
                <w:lang w:eastAsia="hr-HR"/>
              </w:rPr>
              <w:t>Nacionalni kumulativni cilj ušteda energije za razdoblje 2021. - 2030. [GWh]</w:t>
            </w:r>
          </w:p>
        </w:tc>
        <w:tc>
          <w:tcPr>
            <w:tcW w:w="703" w:type="pct"/>
          </w:tcPr>
          <w:p w14:paraId="3E7B0F3E"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color w:val="000000"/>
                <w:sz w:val="20"/>
                <w:szCs w:val="20"/>
              </w:rPr>
              <w:t>34.805,6</w:t>
            </w:r>
          </w:p>
        </w:tc>
      </w:tr>
      <w:tr w:rsidR="004949CA" w:rsidRPr="00226C00" w14:paraId="1A5C8424" w14:textId="77777777" w:rsidTr="00331A63">
        <w:tc>
          <w:tcPr>
            <w:cnfStyle w:val="001000000000" w:firstRow="0" w:lastRow="0" w:firstColumn="1" w:lastColumn="0" w:oddVBand="0" w:evenVBand="0" w:oddHBand="0" w:evenHBand="0" w:firstRowFirstColumn="0" w:firstRowLastColumn="0" w:lastRowFirstColumn="0" w:lastRowLastColumn="0"/>
            <w:tcW w:w="4297" w:type="pct"/>
          </w:tcPr>
          <w:p w14:paraId="54102964" w14:textId="77777777" w:rsidR="004949CA" w:rsidRPr="00226C00" w:rsidRDefault="004949CA" w:rsidP="00226C00">
            <w:pPr>
              <w:jc w:val="both"/>
              <w:rPr>
                <w:rFonts w:ascii="Tahoma" w:hAnsi="Tahoma" w:cs="Tahoma"/>
                <w:sz w:val="20"/>
                <w:szCs w:val="20"/>
                <w:lang w:eastAsia="hr-HR"/>
              </w:rPr>
            </w:pPr>
            <w:r w:rsidRPr="00226C00">
              <w:rPr>
                <w:rFonts w:ascii="Tahoma" w:hAnsi="Tahoma" w:cs="Tahoma"/>
                <w:b w:val="0"/>
                <w:bCs w:val="0"/>
                <w:sz w:val="20"/>
                <w:szCs w:val="20"/>
                <w:lang w:eastAsia="hr-HR"/>
              </w:rPr>
              <w:t>Kumulativni cilj za alternativne mjere politike za razdoblje 2021. -2030. [GWh]</w:t>
            </w:r>
          </w:p>
        </w:tc>
        <w:tc>
          <w:tcPr>
            <w:tcW w:w="703" w:type="pct"/>
          </w:tcPr>
          <w:p w14:paraId="0B10B0D5" w14:textId="77777777" w:rsidR="004949CA" w:rsidRPr="00226C00" w:rsidRDefault="004949CA" w:rsidP="00226C00">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color w:val="000000"/>
                <w:sz w:val="20"/>
                <w:szCs w:val="20"/>
              </w:rPr>
              <w:t>10.441,7</w:t>
            </w:r>
          </w:p>
        </w:tc>
      </w:tr>
      <w:tr w:rsidR="004949CA" w:rsidRPr="00226C00" w14:paraId="547750E2" w14:textId="77777777" w:rsidTr="00331A63">
        <w:tc>
          <w:tcPr>
            <w:cnfStyle w:val="001000000000" w:firstRow="0" w:lastRow="0" w:firstColumn="1" w:lastColumn="0" w:oddVBand="0" w:evenVBand="0" w:oddHBand="0" w:evenHBand="0" w:firstRowFirstColumn="0" w:firstRowLastColumn="0" w:lastRowFirstColumn="0" w:lastRowLastColumn="0"/>
            <w:tcW w:w="4297" w:type="pct"/>
          </w:tcPr>
          <w:p w14:paraId="6A462BB9" w14:textId="77777777" w:rsidR="004949CA" w:rsidRPr="00226C00" w:rsidRDefault="004949CA" w:rsidP="00226C00">
            <w:pPr>
              <w:jc w:val="both"/>
              <w:rPr>
                <w:rFonts w:ascii="Tahoma" w:hAnsi="Tahoma" w:cs="Tahoma"/>
                <w:sz w:val="20"/>
                <w:szCs w:val="20"/>
                <w:lang w:eastAsia="hr-HR"/>
              </w:rPr>
            </w:pPr>
            <w:r w:rsidRPr="00226C00">
              <w:rPr>
                <w:rFonts w:ascii="Tahoma" w:hAnsi="Tahoma" w:cs="Tahoma"/>
                <w:b w:val="0"/>
                <w:bCs w:val="0"/>
                <w:sz w:val="20"/>
                <w:szCs w:val="20"/>
                <w:lang w:eastAsia="hr-HR"/>
              </w:rPr>
              <w:t>Kumulativne uštede energije iz Programa za razdoblje 2021. -2030. [GWh]</w:t>
            </w:r>
          </w:p>
        </w:tc>
        <w:tc>
          <w:tcPr>
            <w:tcW w:w="703" w:type="pct"/>
          </w:tcPr>
          <w:p w14:paraId="21083F76" w14:textId="77777777" w:rsidR="004949CA" w:rsidRPr="00226C00" w:rsidRDefault="004949CA" w:rsidP="00226C00">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2.348,8</w:t>
            </w:r>
          </w:p>
        </w:tc>
      </w:tr>
      <w:tr w:rsidR="004949CA" w:rsidRPr="00226C00" w14:paraId="6E1E958B" w14:textId="77777777" w:rsidTr="00331A63">
        <w:tc>
          <w:tcPr>
            <w:cnfStyle w:val="001000000000" w:firstRow="0" w:lastRow="0" w:firstColumn="1" w:lastColumn="0" w:oddVBand="0" w:evenVBand="0" w:oddHBand="0" w:evenHBand="0" w:firstRowFirstColumn="0" w:firstRowLastColumn="0" w:lastRowFirstColumn="0" w:lastRowLastColumn="0"/>
            <w:tcW w:w="4297" w:type="pct"/>
          </w:tcPr>
          <w:p w14:paraId="0066BEBB" w14:textId="77777777" w:rsidR="004949CA" w:rsidRPr="00226C00" w:rsidRDefault="004949CA" w:rsidP="00226C00">
            <w:pPr>
              <w:jc w:val="both"/>
              <w:rPr>
                <w:rFonts w:ascii="Tahoma" w:hAnsi="Tahoma" w:cs="Tahoma"/>
                <w:sz w:val="20"/>
                <w:szCs w:val="20"/>
                <w:lang w:eastAsia="hr-HR"/>
              </w:rPr>
            </w:pPr>
            <w:r w:rsidRPr="00226C00">
              <w:rPr>
                <w:rFonts w:ascii="Tahoma" w:hAnsi="Tahoma" w:cs="Tahoma"/>
                <w:b w:val="0"/>
                <w:bCs w:val="0"/>
                <w:sz w:val="20"/>
                <w:szCs w:val="20"/>
                <w:lang w:eastAsia="hr-HR"/>
              </w:rPr>
              <w:t xml:space="preserve">Udio Programa </w:t>
            </w:r>
            <w:r w:rsidRPr="00226C00">
              <w:rPr>
                <w:rFonts w:ascii="Tahoma" w:hAnsi="Tahoma" w:cs="Tahoma"/>
                <w:sz w:val="20"/>
                <w:szCs w:val="20"/>
                <w:lang w:eastAsia="hr-HR"/>
              </w:rPr>
              <w:t xml:space="preserve">VSZ </w:t>
            </w:r>
            <w:r w:rsidRPr="00226C00">
              <w:rPr>
                <w:rFonts w:ascii="Tahoma" w:hAnsi="Tahoma" w:cs="Tahoma"/>
                <w:b w:val="0"/>
                <w:bCs w:val="0"/>
                <w:sz w:val="20"/>
                <w:szCs w:val="20"/>
                <w:lang w:eastAsia="hr-HR"/>
              </w:rPr>
              <w:t xml:space="preserve"> u ostvarenju ukupnog nacionalnog cilja [%]</w:t>
            </w:r>
          </w:p>
        </w:tc>
        <w:tc>
          <w:tcPr>
            <w:tcW w:w="703" w:type="pct"/>
          </w:tcPr>
          <w:p w14:paraId="00AFAA22" w14:textId="77777777" w:rsidR="004949CA" w:rsidRPr="00226C00" w:rsidRDefault="004949CA" w:rsidP="00226C00">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ab/>
              <w:t>6,7</w:t>
            </w:r>
          </w:p>
        </w:tc>
      </w:tr>
      <w:tr w:rsidR="004949CA" w:rsidRPr="00226C00" w14:paraId="48C5652A" w14:textId="77777777" w:rsidTr="00331A63">
        <w:tc>
          <w:tcPr>
            <w:cnfStyle w:val="001000000000" w:firstRow="0" w:lastRow="0" w:firstColumn="1" w:lastColumn="0" w:oddVBand="0" w:evenVBand="0" w:oddHBand="0" w:evenHBand="0" w:firstRowFirstColumn="0" w:firstRowLastColumn="0" w:lastRowFirstColumn="0" w:lastRowLastColumn="0"/>
            <w:tcW w:w="4297" w:type="pct"/>
          </w:tcPr>
          <w:p w14:paraId="265BF0BE" w14:textId="77777777" w:rsidR="004949CA" w:rsidRPr="00226C00" w:rsidRDefault="004949CA" w:rsidP="00226C00">
            <w:pPr>
              <w:jc w:val="both"/>
              <w:rPr>
                <w:rFonts w:ascii="Tahoma" w:hAnsi="Tahoma" w:cs="Tahoma"/>
                <w:sz w:val="20"/>
                <w:szCs w:val="20"/>
                <w:lang w:eastAsia="hr-HR"/>
              </w:rPr>
            </w:pPr>
            <w:r w:rsidRPr="00226C00">
              <w:rPr>
                <w:rFonts w:ascii="Tahoma" w:hAnsi="Tahoma" w:cs="Tahoma"/>
                <w:sz w:val="20"/>
                <w:szCs w:val="20"/>
                <w:lang w:eastAsia="hr-HR"/>
              </w:rPr>
              <w:t xml:space="preserve">Udio Programa VSZ u ostvarenju cilja za alternativne mjere politike[%] </w:t>
            </w:r>
          </w:p>
          <w:p w14:paraId="302F6FD5" w14:textId="77777777" w:rsidR="004949CA" w:rsidRPr="00226C00" w:rsidRDefault="004949CA" w:rsidP="00226C00">
            <w:pPr>
              <w:jc w:val="both"/>
              <w:rPr>
                <w:rFonts w:ascii="Tahoma" w:hAnsi="Tahoma" w:cs="Tahoma"/>
                <w:sz w:val="20"/>
                <w:szCs w:val="20"/>
                <w:lang w:eastAsia="hr-HR"/>
              </w:rPr>
            </w:pPr>
          </w:p>
        </w:tc>
        <w:tc>
          <w:tcPr>
            <w:tcW w:w="703" w:type="pct"/>
          </w:tcPr>
          <w:p w14:paraId="26E20ACF" w14:textId="77777777" w:rsidR="004949CA" w:rsidRPr="00226C00" w:rsidRDefault="004949CA" w:rsidP="00226C00">
            <w:pPr>
              <w:jc w:val="right"/>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22,5</w:t>
            </w:r>
          </w:p>
        </w:tc>
      </w:tr>
    </w:tbl>
    <w:p w14:paraId="57C6DE6A" w14:textId="77777777" w:rsidR="004949CA" w:rsidRPr="00226C00" w:rsidRDefault="004949CA" w:rsidP="00226C00">
      <w:pPr>
        <w:spacing w:before="120" w:after="120" w:line="240" w:lineRule="auto"/>
        <w:jc w:val="both"/>
        <w:rPr>
          <w:rFonts w:ascii="Tahoma" w:hAnsi="Tahoma" w:cs="Tahoma"/>
          <w:sz w:val="20"/>
          <w:szCs w:val="20"/>
          <w:lang w:eastAsia="hr-HR"/>
        </w:rPr>
      </w:pPr>
      <w:r w:rsidRPr="00226C00">
        <w:rPr>
          <w:rFonts w:ascii="Tahoma" w:hAnsi="Tahoma" w:cs="Tahoma"/>
          <w:sz w:val="20"/>
          <w:szCs w:val="20"/>
          <w:lang w:eastAsia="hr-HR"/>
        </w:rPr>
        <w:t xml:space="preserve">Provedba Programa i ostvarenje ovih ciljeva zahtijeva velike investicije, koje ovise o udjelu pojedinih kategorija obnove. U donjoj tablici prikazani su rezultati gornje i donje granice potrebnih investicija, kako bi se obnovile ciljane površine VSZ u skladu s Dugoročnom strategijom. </w:t>
      </w:r>
    </w:p>
    <w:tbl>
      <w:tblPr>
        <w:tblStyle w:val="Svijetlatablicareetke110"/>
        <w:tblW w:w="5000" w:type="pct"/>
        <w:tblLook w:val="04A0" w:firstRow="1" w:lastRow="0" w:firstColumn="1" w:lastColumn="0" w:noHBand="0" w:noVBand="1"/>
      </w:tblPr>
      <w:tblGrid>
        <w:gridCol w:w="1182"/>
        <w:gridCol w:w="788"/>
        <w:gridCol w:w="788"/>
        <w:gridCol w:w="788"/>
        <w:gridCol w:w="788"/>
        <w:gridCol w:w="788"/>
        <w:gridCol w:w="788"/>
        <w:gridCol w:w="788"/>
        <w:gridCol w:w="788"/>
        <w:gridCol w:w="788"/>
        <w:gridCol w:w="788"/>
      </w:tblGrid>
      <w:tr w:rsidR="004949CA" w:rsidRPr="00226C00" w14:paraId="53F393E5" w14:textId="77777777" w:rsidTr="00331A6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11" w:type="pct"/>
            <w:hideMark/>
          </w:tcPr>
          <w:p w14:paraId="034F6067" w14:textId="77777777" w:rsidR="004949CA" w:rsidRPr="00226C00" w:rsidRDefault="004949CA" w:rsidP="00226C00">
            <w:pPr>
              <w:jc w:val="both"/>
              <w:rPr>
                <w:rFonts w:ascii="Tahoma" w:hAnsi="Tahoma" w:cs="Tahoma"/>
                <w:color w:val="000000"/>
                <w:sz w:val="20"/>
                <w:szCs w:val="20"/>
                <w:lang w:eastAsia="hr-HR"/>
              </w:rPr>
            </w:pPr>
            <w:r w:rsidRPr="00226C00">
              <w:rPr>
                <w:rFonts w:ascii="Tahoma" w:hAnsi="Tahoma" w:cs="Tahoma"/>
                <w:color w:val="000000"/>
                <w:sz w:val="20"/>
                <w:szCs w:val="20"/>
                <w:lang w:eastAsia="hr-HR"/>
              </w:rPr>
              <w:t> </w:t>
            </w:r>
          </w:p>
        </w:tc>
        <w:tc>
          <w:tcPr>
            <w:tcW w:w="269" w:type="pct"/>
            <w:hideMark/>
          </w:tcPr>
          <w:p w14:paraId="1732055F"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2021.</w:t>
            </w:r>
          </w:p>
        </w:tc>
        <w:tc>
          <w:tcPr>
            <w:tcW w:w="391" w:type="pct"/>
            <w:hideMark/>
          </w:tcPr>
          <w:p w14:paraId="7504B898"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2022.</w:t>
            </w:r>
          </w:p>
        </w:tc>
        <w:tc>
          <w:tcPr>
            <w:tcW w:w="391" w:type="pct"/>
            <w:hideMark/>
          </w:tcPr>
          <w:p w14:paraId="512AA112"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2023.</w:t>
            </w:r>
          </w:p>
        </w:tc>
        <w:tc>
          <w:tcPr>
            <w:tcW w:w="391" w:type="pct"/>
            <w:hideMark/>
          </w:tcPr>
          <w:p w14:paraId="6B720122"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2024.</w:t>
            </w:r>
          </w:p>
        </w:tc>
        <w:tc>
          <w:tcPr>
            <w:tcW w:w="391" w:type="pct"/>
            <w:hideMark/>
          </w:tcPr>
          <w:p w14:paraId="0FA26E24"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2025.</w:t>
            </w:r>
          </w:p>
        </w:tc>
        <w:tc>
          <w:tcPr>
            <w:tcW w:w="391" w:type="pct"/>
            <w:hideMark/>
          </w:tcPr>
          <w:p w14:paraId="6568070F"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2026.</w:t>
            </w:r>
          </w:p>
        </w:tc>
        <w:tc>
          <w:tcPr>
            <w:tcW w:w="391" w:type="pct"/>
            <w:hideMark/>
          </w:tcPr>
          <w:p w14:paraId="62E3BC30"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2027.</w:t>
            </w:r>
          </w:p>
        </w:tc>
        <w:tc>
          <w:tcPr>
            <w:tcW w:w="391" w:type="pct"/>
            <w:hideMark/>
          </w:tcPr>
          <w:p w14:paraId="55B7734C"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2028.</w:t>
            </w:r>
          </w:p>
        </w:tc>
        <w:tc>
          <w:tcPr>
            <w:tcW w:w="391" w:type="pct"/>
            <w:hideMark/>
          </w:tcPr>
          <w:p w14:paraId="79CF2018"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2029.</w:t>
            </w:r>
          </w:p>
        </w:tc>
        <w:tc>
          <w:tcPr>
            <w:tcW w:w="391" w:type="pct"/>
            <w:hideMark/>
          </w:tcPr>
          <w:p w14:paraId="1A0F31BB"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lang w:eastAsia="hr-HR"/>
              </w:rPr>
              <w:t>2030.</w:t>
            </w:r>
          </w:p>
        </w:tc>
      </w:tr>
      <w:tr w:rsidR="004949CA" w:rsidRPr="00226C00" w14:paraId="67B11BBE" w14:textId="77777777" w:rsidTr="00331A63">
        <w:trPr>
          <w:trHeight w:val="315"/>
        </w:trPr>
        <w:tc>
          <w:tcPr>
            <w:cnfStyle w:val="001000000000" w:firstRow="0" w:lastRow="0" w:firstColumn="1" w:lastColumn="0" w:oddVBand="0" w:evenVBand="0" w:oddHBand="0" w:evenHBand="0" w:firstRowFirstColumn="0" w:firstRowLastColumn="0" w:lastRowFirstColumn="0" w:lastRowLastColumn="0"/>
            <w:tcW w:w="1211" w:type="pct"/>
          </w:tcPr>
          <w:p w14:paraId="427DA48A" w14:textId="77777777" w:rsidR="004949CA" w:rsidRPr="00226C00" w:rsidRDefault="004949CA" w:rsidP="00226C00">
            <w:pPr>
              <w:jc w:val="both"/>
              <w:rPr>
                <w:rFonts w:ascii="Tahoma" w:hAnsi="Tahoma" w:cs="Tahoma"/>
                <w:color w:val="000000"/>
                <w:sz w:val="20"/>
                <w:szCs w:val="20"/>
                <w:lang w:eastAsia="hr-HR"/>
              </w:rPr>
            </w:pPr>
            <w:r w:rsidRPr="00226C00">
              <w:rPr>
                <w:rFonts w:ascii="Tahoma" w:hAnsi="Tahoma" w:cs="Tahoma"/>
                <w:color w:val="000000"/>
                <w:sz w:val="20"/>
                <w:szCs w:val="20"/>
              </w:rPr>
              <w:t>Ciljana površina [milijuna m</w:t>
            </w:r>
            <w:r w:rsidRPr="00226C00">
              <w:rPr>
                <w:rFonts w:ascii="Tahoma" w:hAnsi="Tahoma" w:cs="Tahoma"/>
                <w:color w:val="000000"/>
                <w:sz w:val="20"/>
                <w:szCs w:val="20"/>
                <w:vertAlign w:val="superscript"/>
              </w:rPr>
              <w:t>2</w:t>
            </w:r>
            <w:r w:rsidRPr="00226C00">
              <w:rPr>
                <w:rFonts w:ascii="Tahoma" w:hAnsi="Tahoma" w:cs="Tahoma"/>
                <w:color w:val="000000"/>
                <w:sz w:val="20"/>
                <w:szCs w:val="20"/>
              </w:rPr>
              <w:t>]</w:t>
            </w:r>
          </w:p>
        </w:tc>
        <w:tc>
          <w:tcPr>
            <w:tcW w:w="269" w:type="pct"/>
            <w:vAlign w:val="center"/>
          </w:tcPr>
          <w:p w14:paraId="691E0EA2"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0,30</w:t>
            </w:r>
          </w:p>
        </w:tc>
        <w:tc>
          <w:tcPr>
            <w:tcW w:w="391" w:type="pct"/>
            <w:vAlign w:val="center"/>
          </w:tcPr>
          <w:p w14:paraId="41244826"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0,30</w:t>
            </w:r>
          </w:p>
        </w:tc>
        <w:tc>
          <w:tcPr>
            <w:tcW w:w="391" w:type="pct"/>
            <w:vAlign w:val="center"/>
          </w:tcPr>
          <w:p w14:paraId="27F0B7D7"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0,49</w:t>
            </w:r>
          </w:p>
        </w:tc>
        <w:tc>
          <w:tcPr>
            <w:tcW w:w="391" w:type="pct"/>
            <w:vAlign w:val="center"/>
          </w:tcPr>
          <w:p w14:paraId="58C98B5F"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0,48</w:t>
            </w:r>
          </w:p>
        </w:tc>
        <w:tc>
          <w:tcPr>
            <w:tcW w:w="391" w:type="pct"/>
            <w:vAlign w:val="center"/>
          </w:tcPr>
          <w:p w14:paraId="46F4944D"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0,66</w:t>
            </w:r>
          </w:p>
        </w:tc>
        <w:tc>
          <w:tcPr>
            <w:tcW w:w="391" w:type="pct"/>
            <w:vAlign w:val="center"/>
          </w:tcPr>
          <w:p w14:paraId="2FEA312E"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0,64</w:t>
            </w:r>
          </w:p>
        </w:tc>
        <w:tc>
          <w:tcPr>
            <w:tcW w:w="391" w:type="pct"/>
            <w:vAlign w:val="center"/>
          </w:tcPr>
          <w:p w14:paraId="466D7812"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0,80</w:t>
            </w:r>
          </w:p>
        </w:tc>
        <w:tc>
          <w:tcPr>
            <w:tcW w:w="391" w:type="pct"/>
            <w:vAlign w:val="center"/>
          </w:tcPr>
          <w:p w14:paraId="70A41384"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0,78</w:t>
            </w:r>
          </w:p>
        </w:tc>
        <w:tc>
          <w:tcPr>
            <w:tcW w:w="391" w:type="pct"/>
            <w:vAlign w:val="center"/>
          </w:tcPr>
          <w:p w14:paraId="618DAC02"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0,93</w:t>
            </w:r>
          </w:p>
        </w:tc>
        <w:tc>
          <w:tcPr>
            <w:tcW w:w="391" w:type="pct"/>
            <w:vAlign w:val="center"/>
          </w:tcPr>
          <w:p w14:paraId="130CA8B6"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20"/>
                <w:szCs w:val="20"/>
                <w:lang w:eastAsia="hr-HR"/>
              </w:rPr>
            </w:pPr>
            <w:r w:rsidRPr="00226C00">
              <w:rPr>
                <w:rFonts w:ascii="Tahoma" w:hAnsi="Tahoma" w:cs="Tahoma"/>
                <w:color w:val="000000"/>
                <w:sz w:val="20"/>
                <w:szCs w:val="20"/>
              </w:rPr>
              <w:t>0,90</w:t>
            </w:r>
          </w:p>
        </w:tc>
      </w:tr>
      <w:tr w:rsidR="004949CA" w:rsidRPr="00226C00" w14:paraId="15325A56" w14:textId="77777777" w:rsidTr="00331A63">
        <w:trPr>
          <w:trHeight w:val="206"/>
        </w:trPr>
        <w:tc>
          <w:tcPr>
            <w:cnfStyle w:val="001000000000" w:firstRow="0" w:lastRow="0" w:firstColumn="1" w:lastColumn="0" w:oddVBand="0" w:evenVBand="0" w:oddHBand="0" w:evenHBand="0" w:firstRowFirstColumn="0" w:firstRowLastColumn="0" w:lastRowFirstColumn="0" w:lastRowLastColumn="0"/>
            <w:tcW w:w="2653" w:type="pct"/>
            <w:gridSpan w:val="5"/>
          </w:tcPr>
          <w:p w14:paraId="108228C2" w14:textId="6ECE5683" w:rsidR="004949CA" w:rsidRPr="00226C00" w:rsidRDefault="004949CA" w:rsidP="00226C00">
            <w:pPr>
              <w:jc w:val="both"/>
              <w:rPr>
                <w:rFonts w:ascii="Tahoma" w:hAnsi="Tahoma" w:cs="Tahoma"/>
                <w:b w:val="0"/>
                <w:bCs w:val="0"/>
                <w:color w:val="000000"/>
                <w:sz w:val="20"/>
                <w:szCs w:val="20"/>
                <w:lang w:eastAsia="hr-HR"/>
              </w:rPr>
            </w:pPr>
            <w:r w:rsidRPr="00226C00">
              <w:rPr>
                <w:rFonts w:ascii="Tahoma" w:hAnsi="Tahoma" w:cs="Tahoma"/>
                <w:color w:val="000000"/>
                <w:sz w:val="20"/>
                <w:szCs w:val="20"/>
                <w:lang w:eastAsia="hr-HR"/>
              </w:rPr>
              <w:t xml:space="preserve">Ukupna investicija 2021. -2030. – MAX [milijardi </w:t>
            </w:r>
            <w:r w:rsidR="0063313B">
              <w:rPr>
                <w:rFonts w:ascii="Tahoma" w:hAnsi="Tahoma" w:cs="Tahoma"/>
                <w:color w:val="000000"/>
                <w:sz w:val="20"/>
                <w:szCs w:val="20"/>
                <w:lang w:eastAsia="hr-HR"/>
              </w:rPr>
              <w:t>kuna</w:t>
            </w:r>
            <w:r w:rsidRPr="00226C00">
              <w:rPr>
                <w:rFonts w:ascii="Tahoma" w:hAnsi="Tahoma" w:cs="Tahoma"/>
                <w:color w:val="000000"/>
                <w:sz w:val="20"/>
                <w:szCs w:val="20"/>
                <w:lang w:eastAsia="hr-HR"/>
              </w:rPr>
              <w:t>]</w:t>
            </w:r>
          </w:p>
        </w:tc>
        <w:tc>
          <w:tcPr>
            <w:tcW w:w="2347" w:type="pct"/>
            <w:gridSpan w:val="6"/>
          </w:tcPr>
          <w:p w14:paraId="6C62610E"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20"/>
                <w:szCs w:val="20"/>
                <w:lang w:eastAsia="hr-HR"/>
              </w:rPr>
            </w:pPr>
            <w:r w:rsidRPr="00226C00">
              <w:rPr>
                <w:rFonts w:ascii="Tahoma" w:hAnsi="Tahoma" w:cs="Tahoma"/>
                <w:b/>
                <w:bCs/>
                <w:color w:val="000000"/>
                <w:sz w:val="20"/>
                <w:szCs w:val="20"/>
                <w:lang w:eastAsia="hr-HR"/>
              </w:rPr>
              <w:t>17,23</w:t>
            </w:r>
          </w:p>
        </w:tc>
      </w:tr>
      <w:tr w:rsidR="004949CA" w:rsidRPr="00226C00" w14:paraId="4AF00FE3" w14:textId="77777777" w:rsidTr="00331A63">
        <w:trPr>
          <w:trHeight w:val="124"/>
        </w:trPr>
        <w:tc>
          <w:tcPr>
            <w:cnfStyle w:val="001000000000" w:firstRow="0" w:lastRow="0" w:firstColumn="1" w:lastColumn="0" w:oddVBand="0" w:evenVBand="0" w:oddHBand="0" w:evenHBand="0" w:firstRowFirstColumn="0" w:firstRowLastColumn="0" w:lastRowFirstColumn="0" w:lastRowLastColumn="0"/>
            <w:tcW w:w="2653" w:type="pct"/>
            <w:gridSpan w:val="5"/>
          </w:tcPr>
          <w:p w14:paraId="47C05FA5" w14:textId="7CD9D06E" w:rsidR="004949CA" w:rsidRPr="00226C00" w:rsidRDefault="004949CA" w:rsidP="00226C00">
            <w:pPr>
              <w:jc w:val="both"/>
              <w:rPr>
                <w:rFonts w:ascii="Tahoma" w:hAnsi="Tahoma" w:cs="Tahoma"/>
                <w:color w:val="000000"/>
                <w:sz w:val="20"/>
                <w:szCs w:val="20"/>
                <w:lang w:eastAsia="hr-HR"/>
              </w:rPr>
            </w:pPr>
            <w:r w:rsidRPr="00226C00">
              <w:rPr>
                <w:rFonts w:ascii="Tahoma" w:hAnsi="Tahoma" w:cs="Tahoma"/>
                <w:color w:val="000000"/>
                <w:sz w:val="20"/>
                <w:szCs w:val="20"/>
                <w:lang w:eastAsia="hr-HR"/>
              </w:rPr>
              <w:t xml:space="preserve">Ukupna investicija 2021. -2030. – MIN [milijardi </w:t>
            </w:r>
            <w:r w:rsidR="0063313B">
              <w:rPr>
                <w:rFonts w:ascii="Tahoma" w:hAnsi="Tahoma" w:cs="Tahoma"/>
                <w:color w:val="000000"/>
                <w:sz w:val="20"/>
                <w:szCs w:val="20"/>
                <w:lang w:eastAsia="hr-HR"/>
              </w:rPr>
              <w:t>kuna</w:t>
            </w:r>
            <w:r w:rsidRPr="00226C00">
              <w:rPr>
                <w:rFonts w:ascii="Tahoma" w:hAnsi="Tahoma" w:cs="Tahoma"/>
                <w:color w:val="000000"/>
                <w:sz w:val="20"/>
                <w:szCs w:val="20"/>
                <w:lang w:eastAsia="hr-HR"/>
              </w:rPr>
              <w:t>]</w:t>
            </w:r>
          </w:p>
        </w:tc>
        <w:tc>
          <w:tcPr>
            <w:tcW w:w="2347" w:type="pct"/>
            <w:gridSpan w:val="6"/>
          </w:tcPr>
          <w:p w14:paraId="3A2224F1"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20"/>
                <w:szCs w:val="20"/>
                <w:lang w:eastAsia="hr-HR"/>
              </w:rPr>
            </w:pPr>
            <w:r w:rsidRPr="00226C00">
              <w:rPr>
                <w:rFonts w:ascii="Tahoma" w:hAnsi="Tahoma" w:cs="Tahoma"/>
                <w:b/>
                <w:bCs/>
                <w:color w:val="000000"/>
                <w:sz w:val="20"/>
                <w:szCs w:val="20"/>
                <w:lang w:eastAsia="hr-HR"/>
              </w:rPr>
              <w:t>13,16</w:t>
            </w:r>
          </w:p>
        </w:tc>
      </w:tr>
    </w:tbl>
    <w:p w14:paraId="20C575D8" w14:textId="77777777" w:rsidR="00567092" w:rsidRDefault="004949CA" w:rsidP="00226C00">
      <w:pPr>
        <w:spacing w:before="120" w:after="120" w:line="240" w:lineRule="auto"/>
        <w:jc w:val="both"/>
        <w:rPr>
          <w:rFonts w:ascii="Tahoma" w:hAnsi="Tahoma" w:cs="Tahoma"/>
          <w:sz w:val="20"/>
          <w:szCs w:val="20"/>
          <w:lang w:eastAsia="hr-HR"/>
        </w:rPr>
      </w:pPr>
      <w:r w:rsidRPr="00226C00">
        <w:rPr>
          <w:rFonts w:ascii="Tahoma" w:hAnsi="Tahoma" w:cs="Tahoma"/>
          <w:sz w:val="20"/>
          <w:szCs w:val="20"/>
          <w:lang w:eastAsia="hr-HR"/>
        </w:rPr>
        <w:t xml:space="preserve">Ključna institucija za provedbu programa je u prvom trogodišnjem razdoblju MPGI, koji ima potrebno iskustvo i kapacitete za provedbu Programa prema predloženim modelima. U prvom trogodišnjem razdoblju od 2022. do 2024. godine Program će se provoditi korištenjem raspoloživih bespovratnih sredstava prema NPOO. U ovom razdoblju na raspolaganju je </w:t>
      </w:r>
      <w:r w:rsidRPr="00226C00">
        <w:rPr>
          <w:rFonts w:ascii="Tahoma" w:hAnsi="Tahoma" w:cs="Tahoma"/>
          <w:b/>
          <w:bCs/>
          <w:sz w:val="20"/>
          <w:szCs w:val="20"/>
          <w:lang w:eastAsia="hr-HR"/>
        </w:rPr>
        <w:t xml:space="preserve">300 milijuna </w:t>
      </w:r>
      <w:r w:rsidR="0063313B">
        <w:rPr>
          <w:rFonts w:ascii="Tahoma" w:hAnsi="Tahoma" w:cs="Tahoma"/>
          <w:b/>
          <w:bCs/>
          <w:sz w:val="20"/>
          <w:szCs w:val="20"/>
          <w:lang w:eastAsia="hr-HR"/>
        </w:rPr>
        <w:t>kuna</w:t>
      </w:r>
      <w:r w:rsidRPr="00226C00">
        <w:rPr>
          <w:rFonts w:ascii="Tahoma" w:hAnsi="Tahoma" w:cs="Tahoma"/>
          <w:sz w:val="20"/>
          <w:szCs w:val="20"/>
          <w:lang w:eastAsia="hr-HR"/>
        </w:rPr>
        <w:t xml:space="preserve"> za obnovu VSZ koje nisu oštećene u potresu te, konzervativno procijenjeno </w:t>
      </w:r>
      <w:r w:rsidRPr="00226C00">
        <w:rPr>
          <w:rFonts w:ascii="Tahoma" w:hAnsi="Tahoma" w:cs="Tahoma"/>
          <w:b/>
          <w:bCs/>
          <w:sz w:val="20"/>
          <w:szCs w:val="20"/>
          <w:lang w:eastAsia="hr-HR"/>
        </w:rPr>
        <w:t xml:space="preserve">172,5 milijuna </w:t>
      </w:r>
      <w:r w:rsidR="0063313B">
        <w:rPr>
          <w:rFonts w:ascii="Tahoma" w:hAnsi="Tahoma" w:cs="Tahoma"/>
          <w:b/>
          <w:bCs/>
          <w:sz w:val="20"/>
          <w:szCs w:val="20"/>
          <w:lang w:eastAsia="hr-HR"/>
        </w:rPr>
        <w:t>kuna</w:t>
      </w:r>
      <w:r w:rsidRPr="00226C00">
        <w:rPr>
          <w:rFonts w:ascii="Tahoma" w:hAnsi="Tahoma" w:cs="Tahoma"/>
          <w:sz w:val="20"/>
          <w:szCs w:val="20"/>
          <w:lang w:eastAsia="hr-HR"/>
        </w:rPr>
        <w:t xml:space="preserve"> za obnovu potresom oštećenih VSZ (barem 45.000 m</w:t>
      </w:r>
      <w:r w:rsidRPr="00226C00">
        <w:rPr>
          <w:rFonts w:ascii="Tahoma" w:hAnsi="Tahoma" w:cs="Tahoma"/>
          <w:sz w:val="20"/>
          <w:szCs w:val="20"/>
          <w:vertAlign w:val="superscript"/>
          <w:lang w:eastAsia="hr-HR"/>
        </w:rPr>
        <w:t>2</w:t>
      </w:r>
      <w:r w:rsidR="00567092">
        <w:rPr>
          <w:rFonts w:ascii="Tahoma" w:hAnsi="Tahoma" w:cs="Tahoma"/>
          <w:sz w:val="20"/>
          <w:szCs w:val="20"/>
          <w:lang w:eastAsia="hr-HR"/>
        </w:rPr>
        <w:t xml:space="preserve">). </w:t>
      </w:r>
    </w:p>
    <w:p w14:paraId="30D323D5" w14:textId="5246933E" w:rsidR="004949CA" w:rsidRPr="00226C00" w:rsidRDefault="004949CA" w:rsidP="00226C00">
      <w:pPr>
        <w:spacing w:before="120" w:after="120" w:line="240" w:lineRule="auto"/>
        <w:jc w:val="both"/>
        <w:rPr>
          <w:rFonts w:ascii="Tahoma" w:hAnsi="Tahoma" w:cs="Tahoma"/>
          <w:sz w:val="20"/>
          <w:szCs w:val="20"/>
          <w:lang w:eastAsia="hr-HR"/>
        </w:rPr>
      </w:pPr>
      <w:r w:rsidRPr="00226C00">
        <w:rPr>
          <w:rFonts w:ascii="Tahoma" w:hAnsi="Tahoma" w:cs="Tahoma"/>
          <w:sz w:val="20"/>
          <w:szCs w:val="20"/>
          <w:lang w:eastAsia="hr-HR"/>
        </w:rPr>
        <w:t xml:space="preserve">U donjoj tablici prikazani su očekivani učinci ovoga Programa u tom razdoblju u odnosu na one planirane Dugoročnom strategijom. </w:t>
      </w:r>
    </w:p>
    <w:tbl>
      <w:tblPr>
        <w:tblStyle w:val="Svijetlatablicareetke111"/>
        <w:tblW w:w="9288" w:type="dxa"/>
        <w:tblLook w:val="04A0" w:firstRow="1" w:lastRow="0" w:firstColumn="1" w:lastColumn="0" w:noHBand="0" w:noVBand="1"/>
      </w:tblPr>
      <w:tblGrid>
        <w:gridCol w:w="3518"/>
        <w:gridCol w:w="2175"/>
        <w:gridCol w:w="1912"/>
        <w:gridCol w:w="1683"/>
      </w:tblGrid>
      <w:tr w:rsidR="004949CA" w:rsidRPr="00226C00" w14:paraId="6775373C" w14:textId="77777777" w:rsidTr="00567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8" w:type="dxa"/>
          </w:tcPr>
          <w:p w14:paraId="2F1260CC" w14:textId="77777777" w:rsidR="004949CA" w:rsidRPr="00226C00" w:rsidRDefault="004949CA" w:rsidP="00226C00">
            <w:pPr>
              <w:jc w:val="both"/>
              <w:rPr>
                <w:rFonts w:ascii="Tahoma" w:hAnsi="Tahoma" w:cs="Tahoma"/>
                <w:sz w:val="20"/>
                <w:szCs w:val="20"/>
                <w:lang w:eastAsia="hr-HR"/>
              </w:rPr>
            </w:pPr>
            <w:r w:rsidRPr="00226C00">
              <w:rPr>
                <w:rFonts w:ascii="Tahoma" w:hAnsi="Tahoma" w:cs="Tahoma"/>
                <w:sz w:val="20"/>
                <w:szCs w:val="20"/>
                <w:lang w:eastAsia="hr-HR"/>
              </w:rPr>
              <w:t>Učinak</w:t>
            </w:r>
          </w:p>
        </w:tc>
        <w:tc>
          <w:tcPr>
            <w:tcW w:w="2175" w:type="dxa"/>
          </w:tcPr>
          <w:p w14:paraId="6F183159" w14:textId="77777777" w:rsidR="004949CA" w:rsidRPr="00226C00" w:rsidRDefault="0C3F4C7D" w:rsidP="00567092">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638C4C38">
              <w:rPr>
                <w:rFonts w:ascii="Tahoma" w:hAnsi="Tahoma" w:cs="Tahoma"/>
                <w:sz w:val="20"/>
                <w:szCs w:val="20"/>
                <w:lang w:eastAsia="hr-HR"/>
              </w:rPr>
              <w:t>Očekivana vrijednost s obzirom na raspoloživa sredstva 2022.-24.</w:t>
            </w:r>
          </w:p>
        </w:tc>
        <w:tc>
          <w:tcPr>
            <w:tcW w:w="1912" w:type="dxa"/>
          </w:tcPr>
          <w:p w14:paraId="0E2A08DD"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Planirana vrijednost prema Dugoročnoj strategiji 2022.-24.</w:t>
            </w:r>
          </w:p>
        </w:tc>
        <w:tc>
          <w:tcPr>
            <w:tcW w:w="1683" w:type="dxa"/>
          </w:tcPr>
          <w:p w14:paraId="7DA2BE8E" w14:textId="77777777" w:rsidR="004949CA" w:rsidRPr="00226C00" w:rsidRDefault="004949CA" w:rsidP="00226C00">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Udio očekivane u planiranoj vrijednosti [%]</w:t>
            </w:r>
          </w:p>
        </w:tc>
      </w:tr>
      <w:tr w:rsidR="004949CA" w:rsidRPr="00226C00" w14:paraId="3F1AC22F" w14:textId="77777777" w:rsidTr="00567092">
        <w:tc>
          <w:tcPr>
            <w:cnfStyle w:val="001000000000" w:firstRow="0" w:lastRow="0" w:firstColumn="1" w:lastColumn="0" w:oddVBand="0" w:evenVBand="0" w:oddHBand="0" w:evenHBand="0" w:firstRowFirstColumn="0" w:firstRowLastColumn="0" w:lastRowFirstColumn="0" w:lastRowLastColumn="0"/>
            <w:tcW w:w="3518" w:type="dxa"/>
          </w:tcPr>
          <w:p w14:paraId="16D4D722" w14:textId="77777777" w:rsidR="004949CA" w:rsidRPr="00226C00" w:rsidRDefault="004949CA" w:rsidP="00226C00">
            <w:pPr>
              <w:jc w:val="both"/>
              <w:rPr>
                <w:rFonts w:ascii="Tahoma" w:hAnsi="Tahoma" w:cs="Tahoma"/>
                <w:b w:val="0"/>
                <w:bCs w:val="0"/>
                <w:sz w:val="20"/>
                <w:szCs w:val="20"/>
                <w:lang w:eastAsia="hr-HR"/>
              </w:rPr>
            </w:pPr>
            <w:r w:rsidRPr="00226C00">
              <w:rPr>
                <w:rFonts w:ascii="Tahoma" w:hAnsi="Tahoma" w:cs="Tahoma"/>
                <w:sz w:val="20"/>
                <w:szCs w:val="20"/>
                <w:lang w:eastAsia="hr-HR"/>
              </w:rPr>
              <w:t xml:space="preserve">Obnovljena površina VSZ </w:t>
            </w:r>
          </w:p>
          <w:p w14:paraId="7E4E0120" w14:textId="77777777" w:rsidR="004949CA" w:rsidRPr="00226C00" w:rsidRDefault="004949CA" w:rsidP="00226C00">
            <w:pPr>
              <w:jc w:val="both"/>
              <w:rPr>
                <w:rFonts w:ascii="Tahoma" w:hAnsi="Tahoma" w:cs="Tahoma"/>
                <w:sz w:val="20"/>
                <w:szCs w:val="20"/>
                <w:lang w:eastAsia="hr-HR"/>
              </w:rPr>
            </w:pPr>
            <w:r w:rsidRPr="00226C00">
              <w:rPr>
                <w:rFonts w:ascii="Tahoma" w:hAnsi="Tahoma" w:cs="Tahoma"/>
                <w:sz w:val="20"/>
                <w:szCs w:val="20"/>
                <w:lang w:eastAsia="hr-HR"/>
              </w:rPr>
              <w:t>[milijuna m</w:t>
            </w:r>
            <w:r w:rsidRPr="00226C00">
              <w:rPr>
                <w:rFonts w:ascii="Tahoma" w:hAnsi="Tahoma" w:cs="Tahoma"/>
                <w:sz w:val="20"/>
                <w:szCs w:val="20"/>
                <w:vertAlign w:val="superscript"/>
                <w:lang w:eastAsia="hr-HR"/>
              </w:rPr>
              <w:t>2</w:t>
            </w:r>
            <w:r w:rsidRPr="00226C00">
              <w:rPr>
                <w:rFonts w:ascii="Tahoma" w:hAnsi="Tahoma" w:cs="Tahoma"/>
                <w:sz w:val="20"/>
                <w:szCs w:val="20"/>
                <w:lang w:eastAsia="hr-HR"/>
              </w:rPr>
              <w:t>]</w:t>
            </w:r>
          </w:p>
        </w:tc>
        <w:tc>
          <w:tcPr>
            <w:tcW w:w="2175" w:type="dxa"/>
            <w:vAlign w:val="center"/>
          </w:tcPr>
          <w:p w14:paraId="118E174C"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0,315</w:t>
            </w:r>
          </w:p>
        </w:tc>
        <w:tc>
          <w:tcPr>
            <w:tcW w:w="1912" w:type="dxa"/>
            <w:vAlign w:val="center"/>
          </w:tcPr>
          <w:p w14:paraId="13207D07"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1,57</w:t>
            </w:r>
          </w:p>
        </w:tc>
        <w:tc>
          <w:tcPr>
            <w:tcW w:w="1683" w:type="dxa"/>
            <w:vAlign w:val="center"/>
          </w:tcPr>
          <w:p w14:paraId="606934C8"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lang w:eastAsia="hr-HR"/>
              </w:rPr>
            </w:pPr>
            <w:r w:rsidRPr="00226C00">
              <w:rPr>
                <w:rFonts w:ascii="Tahoma" w:hAnsi="Tahoma" w:cs="Tahoma"/>
                <w:b/>
                <w:bCs/>
                <w:sz w:val="20"/>
                <w:szCs w:val="20"/>
                <w:lang w:eastAsia="hr-HR"/>
              </w:rPr>
              <w:t>20,06</w:t>
            </w:r>
          </w:p>
        </w:tc>
      </w:tr>
      <w:tr w:rsidR="004949CA" w:rsidRPr="00226C00" w14:paraId="50799E11" w14:textId="77777777" w:rsidTr="00567092">
        <w:tc>
          <w:tcPr>
            <w:cnfStyle w:val="001000000000" w:firstRow="0" w:lastRow="0" w:firstColumn="1" w:lastColumn="0" w:oddVBand="0" w:evenVBand="0" w:oddHBand="0" w:evenHBand="0" w:firstRowFirstColumn="0" w:firstRowLastColumn="0" w:lastRowFirstColumn="0" w:lastRowLastColumn="0"/>
            <w:tcW w:w="3518" w:type="dxa"/>
          </w:tcPr>
          <w:p w14:paraId="009863A3" w14:textId="77777777" w:rsidR="004949CA" w:rsidRPr="00226C00" w:rsidRDefault="004949CA" w:rsidP="00226C00">
            <w:pPr>
              <w:jc w:val="both"/>
              <w:rPr>
                <w:rFonts w:ascii="Tahoma" w:hAnsi="Tahoma" w:cs="Tahoma"/>
                <w:sz w:val="20"/>
                <w:szCs w:val="20"/>
                <w:lang w:eastAsia="hr-HR"/>
              </w:rPr>
            </w:pPr>
            <w:r w:rsidRPr="00226C00">
              <w:rPr>
                <w:rFonts w:ascii="Tahoma" w:hAnsi="Tahoma" w:cs="Tahoma"/>
                <w:sz w:val="20"/>
                <w:szCs w:val="20"/>
                <w:lang w:eastAsia="hr-HR"/>
              </w:rPr>
              <w:lastRenderedPageBreak/>
              <w:t>Kumulativna ušteda energije [GWh]</w:t>
            </w:r>
          </w:p>
        </w:tc>
        <w:tc>
          <w:tcPr>
            <w:tcW w:w="2175" w:type="dxa"/>
            <w:vAlign w:val="center"/>
          </w:tcPr>
          <w:p w14:paraId="71332088"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52,09</w:t>
            </w:r>
          </w:p>
        </w:tc>
        <w:tc>
          <w:tcPr>
            <w:tcW w:w="1912" w:type="dxa"/>
            <w:vAlign w:val="center"/>
          </w:tcPr>
          <w:p w14:paraId="5173E3B6"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eastAsia="hr-HR"/>
              </w:rPr>
            </w:pPr>
            <w:r w:rsidRPr="00226C00">
              <w:rPr>
                <w:rFonts w:ascii="Tahoma" w:hAnsi="Tahoma" w:cs="Tahoma"/>
                <w:sz w:val="20"/>
                <w:szCs w:val="20"/>
                <w:lang w:eastAsia="hr-HR"/>
              </w:rPr>
              <w:t>294,63</w:t>
            </w:r>
          </w:p>
        </w:tc>
        <w:tc>
          <w:tcPr>
            <w:tcW w:w="1683" w:type="dxa"/>
            <w:vAlign w:val="center"/>
          </w:tcPr>
          <w:p w14:paraId="65F3AE7B" w14:textId="77777777" w:rsidR="004949CA" w:rsidRPr="00226C00" w:rsidRDefault="004949CA" w:rsidP="00226C00">
            <w:pPr>
              <w:jc w:val="both"/>
              <w:cnfStyle w:val="000000000000" w:firstRow="0" w:lastRow="0" w:firstColumn="0" w:lastColumn="0" w:oddVBand="0" w:evenVBand="0" w:oddHBand="0" w:evenHBand="0" w:firstRowFirstColumn="0" w:firstRowLastColumn="0" w:lastRowFirstColumn="0" w:lastRowLastColumn="0"/>
              <w:rPr>
                <w:rFonts w:ascii="Tahoma" w:hAnsi="Tahoma" w:cs="Tahoma"/>
                <w:b/>
                <w:bCs/>
                <w:sz w:val="20"/>
                <w:szCs w:val="20"/>
                <w:lang w:eastAsia="hr-HR"/>
              </w:rPr>
            </w:pPr>
            <w:r w:rsidRPr="00226C00">
              <w:rPr>
                <w:rFonts w:ascii="Tahoma" w:hAnsi="Tahoma" w:cs="Tahoma"/>
                <w:b/>
                <w:bCs/>
                <w:sz w:val="20"/>
                <w:szCs w:val="20"/>
                <w:lang w:eastAsia="hr-HR"/>
              </w:rPr>
              <w:t>17,68</w:t>
            </w:r>
          </w:p>
        </w:tc>
      </w:tr>
    </w:tbl>
    <w:p w14:paraId="64B1D5E7" w14:textId="77777777" w:rsidR="004949CA" w:rsidRPr="00226C00" w:rsidRDefault="004949CA" w:rsidP="00226C00">
      <w:pPr>
        <w:spacing w:before="120" w:after="120" w:line="240" w:lineRule="auto"/>
        <w:jc w:val="both"/>
        <w:rPr>
          <w:rFonts w:ascii="Tahoma" w:hAnsi="Tahoma" w:cs="Tahoma"/>
          <w:sz w:val="20"/>
          <w:szCs w:val="20"/>
          <w:lang w:eastAsia="hr-HR"/>
        </w:rPr>
      </w:pPr>
      <w:r w:rsidRPr="00226C00">
        <w:rPr>
          <w:rFonts w:ascii="Tahoma" w:hAnsi="Tahoma" w:cs="Tahoma"/>
          <w:sz w:val="20"/>
          <w:szCs w:val="20"/>
          <w:lang w:eastAsia="hr-HR"/>
        </w:rPr>
        <w:t xml:space="preserve">Iz gornje je tablice razvidno da će se </w:t>
      </w:r>
      <w:r w:rsidRPr="00226C00">
        <w:rPr>
          <w:rFonts w:ascii="Tahoma" w:hAnsi="Tahoma" w:cs="Tahoma"/>
          <w:b/>
          <w:bCs/>
          <w:sz w:val="20"/>
          <w:szCs w:val="20"/>
          <w:lang w:eastAsia="hr-HR"/>
        </w:rPr>
        <w:t>uz raspoloživa sredstva za provedbu ovoga Programa u razdoblju od 2022. do 2024. godine ostvariti oko 1/5 ciljeva planiranih Dugoročnom strategijom u istom tom razdoblju</w:t>
      </w:r>
      <w:r w:rsidRPr="00226C00">
        <w:rPr>
          <w:rFonts w:ascii="Tahoma" w:hAnsi="Tahoma" w:cs="Tahoma"/>
          <w:sz w:val="20"/>
          <w:szCs w:val="20"/>
          <w:lang w:eastAsia="hr-HR"/>
        </w:rPr>
        <w:t xml:space="preserve">. </w:t>
      </w:r>
    </w:p>
    <w:p w14:paraId="1567F60F" w14:textId="0A1F5C56" w:rsidR="004949CA" w:rsidRPr="00226C00" w:rsidRDefault="004949CA" w:rsidP="00226C00">
      <w:pPr>
        <w:spacing w:before="120" w:after="120" w:line="240" w:lineRule="auto"/>
        <w:jc w:val="both"/>
        <w:rPr>
          <w:rFonts w:ascii="Tahoma" w:hAnsi="Tahoma" w:cs="Tahoma"/>
          <w:b/>
          <w:bCs/>
          <w:sz w:val="20"/>
          <w:szCs w:val="20"/>
          <w:lang w:eastAsia="hr-HR"/>
        </w:rPr>
      </w:pPr>
      <w:r w:rsidRPr="00226C00">
        <w:rPr>
          <w:rFonts w:ascii="Tahoma" w:hAnsi="Tahoma" w:cs="Tahoma"/>
          <w:sz w:val="20"/>
          <w:szCs w:val="20"/>
          <w:lang w:eastAsia="hr-HR"/>
        </w:rPr>
        <w:t xml:space="preserve">Za drugo trogodišnje razdoblje provedbe predviđa se uspostava financijskog </w:t>
      </w:r>
      <w:r w:rsidR="00805ED8" w:rsidRPr="00226C00">
        <w:rPr>
          <w:rFonts w:ascii="Tahoma" w:hAnsi="Tahoma" w:cs="Tahoma"/>
          <w:sz w:val="20"/>
          <w:szCs w:val="20"/>
          <w:lang w:eastAsia="hr-HR"/>
        </w:rPr>
        <w:t>instrumenta</w:t>
      </w:r>
      <w:r w:rsidRPr="00226C00">
        <w:rPr>
          <w:rFonts w:ascii="Tahoma" w:hAnsi="Tahoma" w:cs="Tahoma"/>
          <w:sz w:val="20"/>
          <w:szCs w:val="20"/>
          <w:lang w:eastAsia="hr-HR"/>
        </w:rPr>
        <w:t xml:space="preserve"> korištenjem raspoloživih sredstava prema OPKK za razdoblje od 2021. do 2027. godine. MRRFEU, MPGI i HBOR zadužuju se za uspostavu tog financijskog </w:t>
      </w:r>
      <w:r w:rsidR="00805ED8" w:rsidRPr="00226C00">
        <w:rPr>
          <w:rFonts w:ascii="Tahoma" w:hAnsi="Tahoma" w:cs="Tahoma"/>
          <w:sz w:val="20"/>
          <w:szCs w:val="20"/>
          <w:lang w:eastAsia="hr-HR"/>
        </w:rPr>
        <w:t>instrumenta</w:t>
      </w:r>
      <w:r w:rsidRPr="00226C00">
        <w:rPr>
          <w:rFonts w:ascii="Tahoma" w:hAnsi="Tahoma" w:cs="Tahoma"/>
          <w:sz w:val="20"/>
          <w:szCs w:val="20"/>
          <w:lang w:eastAsia="hr-HR"/>
        </w:rPr>
        <w:t xml:space="preserve">. Pri tome je potrebno istražiti i mogućnost kombiniranja javnih sredstava sa sredstvima domaćih i međunarodnih financijskih institucija, kako bi se ukupna količina sredstava povećala te kako bi se osigurao što veći obuhvat provedbe ovoga Programa s ciljem postizanja ciljeva definiranih Dugoročnom strategijom. Uz to, potrebno je osigurati i sredstva za kompenzaciju troškova obnove  suvlasnicima u riziku od energetskog siromaštva, za što se mogu koristiti i raspoloživa nacionalna sredstva. </w:t>
      </w:r>
      <w:r w:rsidRPr="00226C00">
        <w:rPr>
          <w:rFonts w:ascii="Tahoma" w:hAnsi="Tahoma" w:cs="Tahoma"/>
          <w:b/>
          <w:bCs/>
          <w:sz w:val="20"/>
          <w:szCs w:val="20"/>
          <w:lang w:eastAsia="hr-HR"/>
        </w:rPr>
        <w:t xml:space="preserve">MPGI će kontinuirano pratiti razvoj novih izvora financiranja energetske obnove zgrada na razini EU te će kao izvore za sufinanciranje provedbe ovoga Programa uključivati sve raspoložive izvore u narednom razdoblju (poput Socijalnog fonda za </w:t>
      </w:r>
      <w:r w:rsidR="005D3F5A" w:rsidRPr="00226C00">
        <w:rPr>
          <w:rFonts w:ascii="Tahoma" w:hAnsi="Tahoma" w:cs="Tahoma"/>
          <w:b/>
          <w:bCs/>
          <w:sz w:val="20"/>
          <w:szCs w:val="20"/>
          <w:lang w:eastAsia="hr-HR"/>
        </w:rPr>
        <w:t>klim</w:t>
      </w:r>
      <w:r w:rsidR="005D3F5A">
        <w:rPr>
          <w:rFonts w:ascii="Tahoma" w:hAnsi="Tahoma" w:cs="Tahoma"/>
          <w:b/>
          <w:bCs/>
          <w:sz w:val="20"/>
          <w:szCs w:val="20"/>
          <w:lang w:eastAsia="hr-HR"/>
        </w:rPr>
        <w:t>atsku politiku</w:t>
      </w:r>
      <w:r w:rsidRPr="00226C00">
        <w:rPr>
          <w:rFonts w:ascii="Tahoma" w:hAnsi="Tahoma" w:cs="Tahoma"/>
          <w:b/>
          <w:bCs/>
          <w:sz w:val="20"/>
          <w:szCs w:val="20"/>
          <w:lang w:eastAsia="hr-HR"/>
        </w:rPr>
        <w:t xml:space="preserve">). </w:t>
      </w:r>
    </w:p>
    <w:p w14:paraId="50574995" w14:textId="7DE2CFD3" w:rsidR="004949CA" w:rsidRPr="00226C00" w:rsidRDefault="004949CA" w:rsidP="00226C00">
      <w:pPr>
        <w:spacing w:before="120" w:after="120" w:line="240" w:lineRule="auto"/>
        <w:jc w:val="both"/>
        <w:rPr>
          <w:rFonts w:ascii="Tahoma" w:hAnsi="Tahoma" w:cs="Tahoma"/>
          <w:sz w:val="20"/>
          <w:szCs w:val="20"/>
          <w:lang w:eastAsia="hr-HR"/>
        </w:rPr>
      </w:pPr>
      <w:r w:rsidRPr="00226C00">
        <w:rPr>
          <w:rFonts w:ascii="Tahoma" w:hAnsi="Tahoma" w:cs="Tahoma"/>
          <w:sz w:val="20"/>
          <w:szCs w:val="20"/>
          <w:lang w:eastAsia="hr-HR"/>
        </w:rPr>
        <w:t xml:space="preserve">Osim toga, a kako se ne bi gubilo povjerenje građana te kako se ne bi izazivale distorzije na tržištu, osigurat će se kontinuirana provedbu Programa, što podrazumijeva u prvom trogodišnjem razdoblju objavljivanje javnih poziva za sufinanciranje barem jednom godišnje, i to početkom godine, kako bi se omogućila izvedba radova u istoj godini. Kontinuiranost će smanjiti i pritisak na javne pozive, a time i administrativno opterećenje, jer se očekuje da će se zbog rasta povjerenja u sustav, prijave rasporediti tijekom godina. </w:t>
      </w:r>
    </w:p>
    <w:p w14:paraId="3FAEB272" w14:textId="77777777" w:rsidR="004949CA" w:rsidRPr="00226C00" w:rsidRDefault="004949CA" w:rsidP="00226C00">
      <w:pPr>
        <w:spacing w:before="120" w:after="120" w:line="240" w:lineRule="auto"/>
        <w:jc w:val="both"/>
        <w:rPr>
          <w:rFonts w:ascii="Tahoma" w:hAnsi="Tahoma" w:cs="Tahoma"/>
          <w:sz w:val="20"/>
          <w:szCs w:val="20"/>
          <w:lang w:eastAsia="hr-HR"/>
        </w:rPr>
      </w:pPr>
      <w:r w:rsidRPr="00226C00">
        <w:rPr>
          <w:rFonts w:ascii="Tahoma" w:hAnsi="Tahoma" w:cs="Tahoma"/>
          <w:sz w:val="20"/>
          <w:szCs w:val="20"/>
          <w:lang w:eastAsia="hr-HR"/>
        </w:rPr>
        <w:t xml:space="preserve">Provedba ovog Programa kontinuirano će se pratiti. Sve provedene projekte nužno je bez odgode upisivati u </w:t>
      </w:r>
      <w:proofErr w:type="spellStart"/>
      <w:r w:rsidRPr="00226C00">
        <w:rPr>
          <w:rFonts w:ascii="Tahoma" w:hAnsi="Tahoma" w:cs="Tahoma"/>
          <w:sz w:val="20"/>
          <w:szCs w:val="20"/>
          <w:lang w:eastAsia="hr-HR"/>
        </w:rPr>
        <w:t>SMiV</w:t>
      </w:r>
      <w:proofErr w:type="spellEnd"/>
      <w:r w:rsidRPr="00226C00">
        <w:rPr>
          <w:rFonts w:ascii="Tahoma" w:hAnsi="Tahoma" w:cs="Tahoma"/>
          <w:sz w:val="20"/>
          <w:szCs w:val="20"/>
          <w:lang w:eastAsia="hr-HR"/>
        </w:rPr>
        <w:t xml:space="preserve">, a rezultate provedbe analizirati i objavljivati u godišnjim izvješćima o napretku u ostvarenju ciljeva energetske učinkovitosti. Ovo će omogućiti redovnu ocjenu postignuća, identifikaciju problema u provedbi i predlaganje rješenja te u konačnici, prema potrebi, i izmjene i dopune ovoga Programa te izrade novih trogodišnjih akcijskih planova.   </w:t>
      </w:r>
    </w:p>
    <w:p w14:paraId="2C0086AC" w14:textId="77777777" w:rsidR="004949CA" w:rsidRPr="00FD0D5F" w:rsidRDefault="004949CA" w:rsidP="004949CA">
      <w:pPr>
        <w:rPr>
          <w:rFonts w:cs="Tahoma"/>
          <w:szCs w:val="20"/>
          <w:lang w:eastAsia="hr-HR"/>
        </w:rPr>
      </w:pPr>
    </w:p>
    <w:p w14:paraId="2B3B445C" w14:textId="77777777" w:rsidR="004949CA" w:rsidRPr="007C724A" w:rsidRDefault="004949CA" w:rsidP="004949CA">
      <w:pPr>
        <w:rPr>
          <w:lang w:eastAsia="hr-HR"/>
        </w:rPr>
      </w:pPr>
    </w:p>
    <w:p w14:paraId="1BBA4907" w14:textId="77777777" w:rsidR="004949CA" w:rsidRPr="007C724A" w:rsidRDefault="004949CA" w:rsidP="004949CA">
      <w:pPr>
        <w:rPr>
          <w:lang w:eastAsia="hr-HR"/>
        </w:rPr>
      </w:pPr>
    </w:p>
    <w:p w14:paraId="54904F95" w14:textId="77777777" w:rsidR="004949CA" w:rsidRDefault="004949CA" w:rsidP="004949CA">
      <w:pPr>
        <w:pStyle w:val="Naslov10"/>
      </w:pPr>
      <w:bookmarkStart w:id="246" w:name="_Toc81836309"/>
      <w:bookmarkStart w:id="247" w:name="_Toc83912082"/>
      <w:r w:rsidRPr="00EC457F">
        <w:lastRenderedPageBreak/>
        <w:t xml:space="preserve">Popis </w:t>
      </w:r>
      <w:r>
        <w:t xml:space="preserve">slika i </w:t>
      </w:r>
      <w:r w:rsidRPr="00EC457F">
        <w:t>tablica</w:t>
      </w:r>
      <w:bookmarkEnd w:id="246"/>
      <w:bookmarkEnd w:id="247"/>
    </w:p>
    <w:p w14:paraId="193223AB" w14:textId="07135FA3" w:rsidR="0092795C" w:rsidRDefault="004949CA">
      <w:pPr>
        <w:pStyle w:val="Tablicaslika"/>
        <w:tabs>
          <w:tab w:val="right" w:leader="dot" w:pos="9062"/>
        </w:tabs>
        <w:rPr>
          <w:rFonts w:asciiTheme="minorHAnsi" w:eastAsiaTheme="minorEastAsia" w:hAnsiTheme="minorHAnsi" w:cstheme="minorBidi"/>
          <w:noProof/>
          <w:sz w:val="22"/>
          <w:szCs w:val="22"/>
          <w:lang w:eastAsia="hr-HR"/>
        </w:rPr>
      </w:pPr>
      <w:r>
        <w:fldChar w:fldCharType="begin"/>
      </w:r>
      <w:r>
        <w:instrText xml:space="preserve"> TOC \h \z \c "Slika" </w:instrText>
      </w:r>
      <w:r>
        <w:fldChar w:fldCharType="separate"/>
      </w:r>
      <w:hyperlink w:anchor="_Toc83106949" w:history="1">
        <w:r w:rsidR="0092795C" w:rsidRPr="008E5B14">
          <w:rPr>
            <w:rStyle w:val="Hiperveza"/>
            <w:noProof/>
          </w:rPr>
          <w:t>Slika 10</w:t>
        </w:r>
        <w:r w:rsidR="0092795C" w:rsidRPr="008E5B14">
          <w:rPr>
            <w:rStyle w:val="Hiperveza"/>
            <w:noProof/>
          </w:rPr>
          <w:noBreakHyphen/>
          <w:t>1: Nemogućnost održavanja doma adekvatno toplim [EUROSTAT]</w:t>
        </w:r>
        <w:r w:rsidR="0092795C">
          <w:rPr>
            <w:noProof/>
            <w:webHidden/>
          </w:rPr>
          <w:tab/>
        </w:r>
        <w:r w:rsidR="0092795C">
          <w:rPr>
            <w:noProof/>
            <w:webHidden/>
          </w:rPr>
          <w:fldChar w:fldCharType="begin"/>
        </w:r>
        <w:r w:rsidR="0092795C">
          <w:rPr>
            <w:noProof/>
            <w:webHidden/>
          </w:rPr>
          <w:instrText xml:space="preserve"> PAGEREF _Toc83106949 \h </w:instrText>
        </w:r>
        <w:r w:rsidR="0092795C">
          <w:rPr>
            <w:noProof/>
            <w:webHidden/>
          </w:rPr>
        </w:r>
        <w:r w:rsidR="0092795C">
          <w:rPr>
            <w:noProof/>
            <w:webHidden/>
          </w:rPr>
          <w:fldChar w:fldCharType="separate"/>
        </w:r>
        <w:r w:rsidR="00575AF9">
          <w:rPr>
            <w:noProof/>
            <w:webHidden/>
          </w:rPr>
          <w:t>51</w:t>
        </w:r>
        <w:r w:rsidR="0092795C">
          <w:rPr>
            <w:noProof/>
            <w:webHidden/>
          </w:rPr>
          <w:fldChar w:fldCharType="end"/>
        </w:r>
      </w:hyperlink>
    </w:p>
    <w:p w14:paraId="1292C163" w14:textId="338F219A" w:rsidR="004949CA" w:rsidRDefault="004949CA" w:rsidP="004949CA">
      <w:pPr>
        <w:pStyle w:val="Tablicaslika"/>
        <w:tabs>
          <w:tab w:val="right" w:leader="dot" w:pos="9344"/>
        </w:tabs>
      </w:pPr>
      <w:r>
        <w:fldChar w:fldCharType="end"/>
      </w:r>
    </w:p>
    <w:p w14:paraId="235EDF6A" w14:textId="0B53F7AA" w:rsidR="00AA4068" w:rsidRDefault="004949CA">
      <w:pPr>
        <w:pStyle w:val="Tablicaslika"/>
        <w:tabs>
          <w:tab w:val="right" w:leader="dot" w:pos="9062"/>
        </w:tabs>
        <w:rPr>
          <w:rFonts w:asciiTheme="minorHAnsi" w:eastAsiaTheme="minorEastAsia" w:hAnsiTheme="minorHAnsi" w:cstheme="minorBidi"/>
          <w:noProof/>
          <w:sz w:val="22"/>
          <w:szCs w:val="22"/>
          <w:lang w:eastAsia="hr-HR"/>
        </w:rPr>
      </w:pPr>
      <w:r>
        <w:fldChar w:fldCharType="begin"/>
      </w:r>
      <w:r>
        <w:instrText xml:space="preserve"> TOC \h \z \c "Tablica" </w:instrText>
      </w:r>
      <w:r>
        <w:fldChar w:fldCharType="separate"/>
      </w:r>
      <w:hyperlink w:anchor="_Toc84240482" w:history="1">
        <w:r w:rsidR="00AA4068" w:rsidRPr="00BB4E07">
          <w:rPr>
            <w:rStyle w:val="Hiperveza"/>
            <w:noProof/>
          </w:rPr>
          <w:t>Tablica 2</w:t>
        </w:r>
        <w:r w:rsidR="00AA4068" w:rsidRPr="00BB4E07">
          <w:rPr>
            <w:rStyle w:val="Hiperveza"/>
            <w:noProof/>
          </w:rPr>
          <w:noBreakHyphen/>
          <w:t>1: Pregled zakonskih odredbi i podzakonskih akata energetske učinkovitosti u Hrvatskoj</w:t>
        </w:r>
        <w:r w:rsidR="00AA4068">
          <w:rPr>
            <w:noProof/>
            <w:webHidden/>
          </w:rPr>
          <w:tab/>
        </w:r>
        <w:r w:rsidR="00AA4068">
          <w:rPr>
            <w:noProof/>
            <w:webHidden/>
          </w:rPr>
          <w:fldChar w:fldCharType="begin"/>
        </w:r>
        <w:r w:rsidR="00AA4068">
          <w:rPr>
            <w:noProof/>
            <w:webHidden/>
          </w:rPr>
          <w:instrText xml:space="preserve"> PAGEREF _Toc84240482 \h </w:instrText>
        </w:r>
        <w:r w:rsidR="00AA4068">
          <w:rPr>
            <w:noProof/>
            <w:webHidden/>
          </w:rPr>
        </w:r>
        <w:r w:rsidR="00AA4068">
          <w:rPr>
            <w:noProof/>
            <w:webHidden/>
          </w:rPr>
          <w:fldChar w:fldCharType="separate"/>
        </w:r>
        <w:r w:rsidR="00AA4068">
          <w:rPr>
            <w:noProof/>
            <w:webHidden/>
          </w:rPr>
          <w:t>13</w:t>
        </w:r>
        <w:r w:rsidR="00AA4068">
          <w:rPr>
            <w:noProof/>
            <w:webHidden/>
          </w:rPr>
          <w:fldChar w:fldCharType="end"/>
        </w:r>
      </w:hyperlink>
    </w:p>
    <w:p w14:paraId="09ADADAB" w14:textId="2752FB10"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83" w:history="1">
        <w:r w:rsidR="00AA4068" w:rsidRPr="00BB4E07">
          <w:rPr>
            <w:rStyle w:val="Hiperveza"/>
            <w:noProof/>
          </w:rPr>
          <w:t>Tablica 2</w:t>
        </w:r>
        <w:r w:rsidR="00AA4068" w:rsidRPr="00BB4E07">
          <w:rPr>
            <w:rStyle w:val="Hiperveza"/>
            <w:noProof/>
          </w:rPr>
          <w:noBreakHyphen/>
          <w:t>2: Pregled odredbi strateških dokumenata Republike Hrvatske</w:t>
        </w:r>
        <w:r w:rsidR="00AA4068">
          <w:rPr>
            <w:noProof/>
            <w:webHidden/>
          </w:rPr>
          <w:tab/>
        </w:r>
        <w:r w:rsidR="00AA4068">
          <w:rPr>
            <w:noProof/>
            <w:webHidden/>
          </w:rPr>
          <w:fldChar w:fldCharType="begin"/>
        </w:r>
        <w:r w:rsidR="00AA4068">
          <w:rPr>
            <w:noProof/>
            <w:webHidden/>
          </w:rPr>
          <w:instrText xml:space="preserve"> PAGEREF _Toc84240483 \h </w:instrText>
        </w:r>
        <w:r w:rsidR="00AA4068">
          <w:rPr>
            <w:noProof/>
            <w:webHidden/>
          </w:rPr>
        </w:r>
        <w:r w:rsidR="00AA4068">
          <w:rPr>
            <w:noProof/>
            <w:webHidden/>
          </w:rPr>
          <w:fldChar w:fldCharType="separate"/>
        </w:r>
        <w:r w:rsidR="00AA4068">
          <w:rPr>
            <w:noProof/>
            <w:webHidden/>
          </w:rPr>
          <w:t>16</w:t>
        </w:r>
        <w:r w:rsidR="00AA4068">
          <w:rPr>
            <w:noProof/>
            <w:webHidden/>
          </w:rPr>
          <w:fldChar w:fldCharType="end"/>
        </w:r>
      </w:hyperlink>
    </w:p>
    <w:p w14:paraId="66EC2986" w14:textId="4A785B28"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84" w:history="1">
        <w:r w:rsidR="00AA4068" w:rsidRPr="00BB4E07">
          <w:rPr>
            <w:rStyle w:val="Hiperveza"/>
            <w:noProof/>
          </w:rPr>
          <w:t>Tablica 3</w:t>
        </w:r>
        <w:r w:rsidR="00AA4068" w:rsidRPr="00BB4E07">
          <w:rPr>
            <w:rStyle w:val="Hiperveza"/>
            <w:noProof/>
          </w:rPr>
          <w:noBreakHyphen/>
          <w:t>1: Stambeni fond Hrvatske po županijama u 2019. godini</w:t>
        </w:r>
        <w:r w:rsidR="00AA4068">
          <w:rPr>
            <w:noProof/>
            <w:webHidden/>
          </w:rPr>
          <w:tab/>
        </w:r>
        <w:r w:rsidR="00AA4068">
          <w:rPr>
            <w:noProof/>
            <w:webHidden/>
          </w:rPr>
          <w:fldChar w:fldCharType="begin"/>
        </w:r>
        <w:r w:rsidR="00AA4068">
          <w:rPr>
            <w:noProof/>
            <w:webHidden/>
          </w:rPr>
          <w:instrText xml:space="preserve"> PAGEREF _Toc84240484 \h </w:instrText>
        </w:r>
        <w:r w:rsidR="00AA4068">
          <w:rPr>
            <w:noProof/>
            <w:webHidden/>
          </w:rPr>
        </w:r>
        <w:r w:rsidR="00AA4068">
          <w:rPr>
            <w:noProof/>
            <w:webHidden/>
          </w:rPr>
          <w:fldChar w:fldCharType="separate"/>
        </w:r>
        <w:r w:rsidR="00AA4068">
          <w:rPr>
            <w:noProof/>
            <w:webHidden/>
          </w:rPr>
          <w:t>19</w:t>
        </w:r>
        <w:r w:rsidR="00AA4068">
          <w:rPr>
            <w:noProof/>
            <w:webHidden/>
          </w:rPr>
          <w:fldChar w:fldCharType="end"/>
        </w:r>
      </w:hyperlink>
    </w:p>
    <w:p w14:paraId="0D01E08F" w14:textId="274B81B7"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85" w:history="1">
        <w:r w:rsidR="00AA4068" w:rsidRPr="00BB4E07">
          <w:rPr>
            <w:rStyle w:val="Hiperveza"/>
            <w:noProof/>
          </w:rPr>
          <w:t>Tablica 3</w:t>
        </w:r>
        <w:r w:rsidR="00AA4068" w:rsidRPr="00BB4E07">
          <w:rPr>
            <w:rStyle w:val="Hiperveza"/>
            <w:noProof/>
          </w:rPr>
          <w:noBreakHyphen/>
          <w:t>2: Ukupan fond zgrada u Hrvatskoj po županijama</w:t>
        </w:r>
        <w:r w:rsidR="00AA4068">
          <w:rPr>
            <w:noProof/>
            <w:webHidden/>
          </w:rPr>
          <w:tab/>
        </w:r>
        <w:r w:rsidR="00AA4068">
          <w:rPr>
            <w:noProof/>
            <w:webHidden/>
          </w:rPr>
          <w:fldChar w:fldCharType="begin"/>
        </w:r>
        <w:r w:rsidR="00AA4068">
          <w:rPr>
            <w:noProof/>
            <w:webHidden/>
          </w:rPr>
          <w:instrText xml:space="preserve"> PAGEREF _Toc84240485 \h </w:instrText>
        </w:r>
        <w:r w:rsidR="00AA4068">
          <w:rPr>
            <w:noProof/>
            <w:webHidden/>
          </w:rPr>
        </w:r>
        <w:r w:rsidR="00AA4068">
          <w:rPr>
            <w:noProof/>
            <w:webHidden/>
          </w:rPr>
          <w:fldChar w:fldCharType="separate"/>
        </w:r>
        <w:r w:rsidR="00AA4068">
          <w:rPr>
            <w:noProof/>
            <w:webHidden/>
          </w:rPr>
          <w:t>20</w:t>
        </w:r>
        <w:r w:rsidR="00AA4068">
          <w:rPr>
            <w:noProof/>
            <w:webHidden/>
          </w:rPr>
          <w:fldChar w:fldCharType="end"/>
        </w:r>
      </w:hyperlink>
    </w:p>
    <w:p w14:paraId="1C10907D" w14:textId="57C5192F"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86" w:history="1">
        <w:r w:rsidR="00AA4068" w:rsidRPr="00BB4E07">
          <w:rPr>
            <w:rStyle w:val="Hiperveza"/>
            <w:noProof/>
          </w:rPr>
          <w:t>Tablica 3</w:t>
        </w:r>
        <w:r w:rsidR="00AA4068" w:rsidRPr="00BB4E07">
          <w:rPr>
            <w:rStyle w:val="Hiperveza"/>
            <w:noProof/>
          </w:rPr>
          <w:noBreakHyphen/>
          <w:t>3: Udio višestambenih zgrada u stambenom fondu i u ukupnom fondu zgrada u Hrvatskoj</w:t>
        </w:r>
        <w:r w:rsidR="00AA4068">
          <w:rPr>
            <w:noProof/>
            <w:webHidden/>
          </w:rPr>
          <w:tab/>
        </w:r>
        <w:r w:rsidR="00AA4068">
          <w:rPr>
            <w:noProof/>
            <w:webHidden/>
          </w:rPr>
          <w:fldChar w:fldCharType="begin"/>
        </w:r>
        <w:r w:rsidR="00AA4068">
          <w:rPr>
            <w:noProof/>
            <w:webHidden/>
          </w:rPr>
          <w:instrText xml:space="preserve"> PAGEREF _Toc84240486 \h </w:instrText>
        </w:r>
        <w:r w:rsidR="00AA4068">
          <w:rPr>
            <w:noProof/>
            <w:webHidden/>
          </w:rPr>
        </w:r>
        <w:r w:rsidR="00AA4068">
          <w:rPr>
            <w:noProof/>
            <w:webHidden/>
          </w:rPr>
          <w:fldChar w:fldCharType="separate"/>
        </w:r>
        <w:r w:rsidR="00AA4068">
          <w:rPr>
            <w:noProof/>
            <w:webHidden/>
          </w:rPr>
          <w:t>20</w:t>
        </w:r>
        <w:r w:rsidR="00AA4068">
          <w:rPr>
            <w:noProof/>
            <w:webHidden/>
          </w:rPr>
          <w:fldChar w:fldCharType="end"/>
        </w:r>
      </w:hyperlink>
    </w:p>
    <w:p w14:paraId="4283CA46" w14:textId="210EB214"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87" w:history="1">
        <w:r w:rsidR="00AA4068" w:rsidRPr="00BB4E07">
          <w:rPr>
            <w:rStyle w:val="Hiperveza"/>
            <w:noProof/>
          </w:rPr>
          <w:t>Tablica 3</w:t>
        </w:r>
        <w:r w:rsidR="00AA4068" w:rsidRPr="00BB4E07">
          <w:rPr>
            <w:rStyle w:val="Hiperveza"/>
            <w:noProof/>
          </w:rPr>
          <w:noBreakHyphen/>
          <w:t>4: Stambeni fond u Hrvatskoj prema godini izgradnje i klimatskoj zoni</w:t>
        </w:r>
        <w:r w:rsidR="00AA4068">
          <w:rPr>
            <w:noProof/>
            <w:webHidden/>
          </w:rPr>
          <w:tab/>
        </w:r>
        <w:r w:rsidR="00AA4068">
          <w:rPr>
            <w:noProof/>
            <w:webHidden/>
          </w:rPr>
          <w:fldChar w:fldCharType="begin"/>
        </w:r>
        <w:r w:rsidR="00AA4068">
          <w:rPr>
            <w:noProof/>
            <w:webHidden/>
          </w:rPr>
          <w:instrText xml:space="preserve"> PAGEREF _Toc84240487 \h </w:instrText>
        </w:r>
        <w:r w:rsidR="00AA4068">
          <w:rPr>
            <w:noProof/>
            <w:webHidden/>
          </w:rPr>
        </w:r>
        <w:r w:rsidR="00AA4068">
          <w:rPr>
            <w:noProof/>
            <w:webHidden/>
          </w:rPr>
          <w:fldChar w:fldCharType="separate"/>
        </w:r>
        <w:r w:rsidR="00AA4068">
          <w:rPr>
            <w:noProof/>
            <w:webHidden/>
          </w:rPr>
          <w:t>21</w:t>
        </w:r>
        <w:r w:rsidR="00AA4068">
          <w:rPr>
            <w:noProof/>
            <w:webHidden/>
          </w:rPr>
          <w:fldChar w:fldCharType="end"/>
        </w:r>
      </w:hyperlink>
    </w:p>
    <w:p w14:paraId="54F3C87A" w14:textId="1E59EE37"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88" w:history="1">
        <w:r w:rsidR="00AA4068" w:rsidRPr="00BB4E07">
          <w:rPr>
            <w:rStyle w:val="Hiperveza"/>
            <w:noProof/>
          </w:rPr>
          <w:t>Tablica 3</w:t>
        </w:r>
        <w:r w:rsidR="00AA4068" w:rsidRPr="00BB4E07">
          <w:rPr>
            <w:rStyle w:val="Hiperveza"/>
            <w:noProof/>
          </w:rPr>
          <w:noBreakHyphen/>
          <w:t>5: Raspodjela isporučene energije sektoru kućanstava u 2019. godini (s obnovljivom energijom preuzetom iz okoliša pomoću dizalica topline za grijanje prostora)</w:t>
        </w:r>
        <w:r w:rsidR="00AA4068">
          <w:rPr>
            <w:noProof/>
            <w:webHidden/>
          </w:rPr>
          <w:tab/>
        </w:r>
        <w:r w:rsidR="00AA4068">
          <w:rPr>
            <w:noProof/>
            <w:webHidden/>
          </w:rPr>
          <w:fldChar w:fldCharType="begin"/>
        </w:r>
        <w:r w:rsidR="00AA4068">
          <w:rPr>
            <w:noProof/>
            <w:webHidden/>
          </w:rPr>
          <w:instrText xml:space="preserve"> PAGEREF _Toc84240488 \h </w:instrText>
        </w:r>
        <w:r w:rsidR="00AA4068">
          <w:rPr>
            <w:noProof/>
            <w:webHidden/>
          </w:rPr>
        </w:r>
        <w:r w:rsidR="00AA4068">
          <w:rPr>
            <w:noProof/>
            <w:webHidden/>
          </w:rPr>
          <w:fldChar w:fldCharType="separate"/>
        </w:r>
        <w:r w:rsidR="00AA4068">
          <w:rPr>
            <w:noProof/>
            <w:webHidden/>
          </w:rPr>
          <w:t>21</w:t>
        </w:r>
        <w:r w:rsidR="00AA4068">
          <w:rPr>
            <w:noProof/>
            <w:webHidden/>
          </w:rPr>
          <w:fldChar w:fldCharType="end"/>
        </w:r>
      </w:hyperlink>
    </w:p>
    <w:p w14:paraId="275EE37D" w14:textId="45C242FF"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89" w:history="1">
        <w:r w:rsidR="00AA4068" w:rsidRPr="00BB4E07">
          <w:rPr>
            <w:rStyle w:val="Hiperveza"/>
            <w:noProof/>
          </w:rPr>
          <w:t>Tablica 3</w:t>
        </w:r>
        <w:r w:rsidR="00AA4068" w:rsidRPr="00BB4E07">
          <w:rPr>
            <w:rStyle w:val="Hiperveza"/>
            <w:noProof/>
          </w:rPr>
          <w:noBreakHyphen/>
          <w:t>6: Korišteni energenti za grijanje/hlađenje prostora i pripreme PTV-a u sektoru kućanstava u 2019. godini</w:t>
        </w:r>
        <w:r w:rsidR="00AA4068">
          <w:rPr>
            <w:noProof/>
            <w:webHidden/>
          </w:rPr>
          <w:tab/>
        </w:r>
        <w:r w:rsidR="00AA4068">
          <w:rPr>
            <w:noProof/>
            <w:webHidden/>
          </w:rPr>
          <w:fldChar w:fldCharType="begin"/>
        </w:r>
        <w:r w:rsidR="00AA4068">
          <w:rPr>
            <w:noProof/>
            <w:webHidden/>
          </w:rPr>
          <w:instrText xml:space="preserve"> PAGEREF _Toc84240489 \h </w:instrText>
        </w:r>
        <w:r w:rsidR="00AA4068">
          <w:rPr>
            <w:noProof/>
            <w:webHidden/>
          </w:rPr>
        </w:r>
        <w:r w:rsidR="00AA4068">
          <w:rPr>
            <w:noProof/>
            <w:webHidden/>
          </w:rPr>
          <w:fldChar w:fldCharType="separate"/>
        </w:r>
        <w:r w:rsidR="00AA4068">
          <w:rPr>
            <w:noProof/>
            <w:webHidden/>
          </w:rPr>
          <w:t>21</w:t>
        </w:r>
        <w:r w:rsidR="00AA4068">
          <w:rPr>
            <w:noProof/>
            <w:webHidden/>
          </w:rPr>
          <w:fldChar w:fldCharType="end"/>
        </w:r>
      </w:hyperlink>
    </w:p>
    <w:p w14:paraId="7E49ECDA" w14:textId="506B9065"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90" w:history="1">
        <w:r w:rsidR="00AA4068" w:rsidRPr="00BB4E07">
          <w:rPr>
            <w:rStyle w:val="Hiperveza"/>
            <w:noProof/>
          </w:rPr>
          <w:t>Tablica 3</w:t>
        </w:r>
        <w:r w:rsidR="00AA4068" w:rsidRPr="00BB4E07">
          <w:rPr>
            <w:rStyle w:val="Hiperveza"/>
            <w:noProof/>
          </w:rPr>
          <w:noBreakHyphen/>
          <w:t>7: Raspodjela primarne energije sektoru kućanstava za potrebe grijanja/hlađenja prostora i pripreme PTV-a u 2019. godini</w:t>
        </w:r>
        <w:r w:rsidR="00AA4068">
          <w:rPr>
            <w:noProof/>
            <w:webHidden/>
          </w:rPr>
          <w:tab/>
        </w:r>
        <w:r w:rsidR="00AA4068">
          <w:rPr>
            <w:noProof/>
            <w:webHidden/>
          </w:rPr>
          <w:fldChar w:fldCharType="begin"/>
        </w:r>
        <w:r w:rsidR="00AA4068">
          <w:rPr>
            <w:noProof/>
            <w:webHidden/>
          </w:rPr>
          <w:instrText xml:space="preserve"> PAGEREF _Toc84240490 \h </w:instrText>
        </w:r>
        <w:r w:rsidR="00AA4068">
          <w:rPr>
            <w:noProof/>
            <w:webHidden/>
          </w:rPr>
        </w:r>
        <w:r w:rsidR="00AA4068">
          <w:rPr>
            <w:noProof/>
            <w:webHidden/>
          </w:rPr>
          <w:fldChar w:fldCharType="separate"/>
        </w:r>
        <w:r w:rsidR="00AA4068">
          <w:rPr>
            <w:noProof/>
            <w:webHidden/>
          </w:rPr>
          <w:t>22</w:t>
        </w:r>
        <w:r w:rsidR="00AA4068">
          <w:rPr>
            <w:noProof/>
            <w:webHidden/>
          </w:rPr>
          <w:fldChar w:fldCharType="end"/>
        </w:r>
      </w:hyperlink>
    </w:p>
    <w:p w14:paraId="75105B1B" w14:textId="3E79CBC1"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91" w:history="1">
        <w:r w:rsidR="00AA4068" w:rsidRPr="00BB4E07">
          <w:rPr>
            <w:rStyle w:val="Hiperveza"/>
            <w:noProof/>
          </w:rPr>
          <w:t>Tablica 3</w:t>
        </w:r>
        <w:r w:rsidR="00AA4068" w:rsidRPr="00BB4E07">
          <w:rPr>
            <w:rStyle w:val="Hiperveza"/>
            <w:noProof/>
          </w:rPr>
          <w:noBreakHyphen/>
          <w:t>8: Specifična potrebna energija za grijanje prostora QH,nd u stambenim zgradama prema razdoblju izgradnje i klimatskoj zoni</w:t>
        </w:r>
        <w:r w:rsidR="00AA4068">
          <w:rPr>
            <w:noProof/>
            <w:webHidden/>
          </w:rPr>
          <w:tab/>
        </w:r>
        <w:r w:rsidR="00AA4068">
          <w:rPr>
            <w:noProof/>
            <w:webHidden/>
          </w:rPr>
          <w:fldChar w:fldCharType="begin"/>
        </w:r>
        <w:r w:rsidR="00AA4068">
          <w:rPr>
            <w:noProof/>
            <w:webHidden/>
          </w:rPr>
          <w:instrText xml:space="preserve"> PAGEREF _Toc84240491 \h </w:instrText>
        </w:r>
        <w:r w:rsidR="00AA4068">
          <w:rPr>
            <w:noProof/>
            <w:webHidden/>
          </w:rPr>
        </w:r>
        <w:r w:rsidR="00AA4068">
          <w:rPr>
            <w:noProof/>
            <w:webHidden/>
          </w:rPr>
          <w:fldChar w:fldCharType="separate"/>
        </w:r>
        <w:r w:rsidR="00AA4068">
          <w:rPr>
            <w:noProof/>
            <w:webHidden/>
          </w:rPr>
          <w:t>22</w:t>
        </w:r>
        <w:r w:rsidR="00AA4068">
          <w:rPr>
            <w:noProof/>
            <w:webHidden/>
          </w:rPr>
          <w:fldChar w:fldCharType="end"/>
        </w:r>
      </w:hyperlink>
    </w:p>
    <w:p w14:paraId="0F841B04" w14:textId="2A8E2A0D"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92" w:history="1">
        <w:r w:rsidR="00AA4068" w:rsidRPr="00BB4E07">
          <w:rPr>
            <w:rStyle w:val="Hiperveza"/>
            <w:noProof/>
          </w:rPr>
          <w:t>Tablica 3</w:t>
        </w:r>
        <w:r w:rsidR="00AA4068" w:rsidRPr="00BB4E07">
          <w:rPr>
            <w:rStyle w:val="Hiperveza"/>
            <w:noProof/>
          </w:rPr>
          <w:noBreakHyphen/>
          <w:t>9: Udio VSZ s najlošijim energetskim svojstvima u ukupnom fondu VSZ</w:t>
        </w:r>
        <w:r w:rsidR="00AA4068">
          <w:rPr>
            <w:noProof/>
            <w:webHidden/>
          </w:rPr>
          <w:tab/>
        </w:r>
        <w:r w:rsidR="00AA4068">
          <w:rPr>
            <w:noProof/>
            <w:webHidden/>
          </w:rPr>
          <w:fldChar w:fldCharType="begin"/>
        </w:r>
        <w:r w:rsidR="00AA4068">
          <w:rPr>
            <w:noProof/>
            <w:webHidden/>
          </w:rPr>
          <w:instrText xml:space="preserve"> PAGEREF _Toc84240492 \h </w:instrText>
        </w:r>
        <w:r w:rsidR="00AA4068">
          <w:rPr>
            <w:noProof/>
            <w:webHidden/>
          </w:rPr>
        </w:r>
        <w:r w:rsidR="00AA4068">
          <w:rPr>
            <w:noProof/>
            <w:webHidden/>
          </w:rPr>
          <w:fldChar w:fldCharType="separate"/>
        </w:r>
        <w:r w:rsidR="00AA4068">
          <w:rPr>
            <w:noProof/>
            <w:webHidden/>
          </w:rPr>
          <w:t>23</w:t>
        </w:r>
        <w:r w:rsidR="00AA4068">
          <w:rPr>
            <w:noProof/>
            <w:webHidden/>
          </w:rPr>
          <w:fldChar w:fldCharType="end"/>
        </w:r>
      </w:hyperlink>
    </w:p>
    <w:p w14:paraId="5A0D13D6" w14:textId="2E73DC8C"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93" w:history="1">
        <w:r w:rsidR="00AA4068" w:rsidRPr="00BB4E07">
          <w:rPr>
            <w:rStyle w:val="Hiperveza"/>
            <w:noProof/>
          </w:rPr>
          <w:t>Tablica 3</w:t>
        </w:r>
        <w:r w:rsidR="00AA4068" w:rsidRPr="00BB4E07">
          <w:rPr>
            <w:rStyle w:val="Hiperveza"/>
            <w:noProof/>
          </w:rPr>
          <w:noBreakHyphen/>
          <w:t>10: Ciljane površine i stope obnove stambenih zgrada do 2030. godine prema Dugoročnoj strategiji</w:t>
        </w:r>
        <w:r w:rsidR="00AA4068">
          <w:rPr>
            <w:noProof/>
            <w:webHidden/>
          </w:rPr>
          <w:tab/>
        </w:r>
        <w:r w:rsidR="00AA4068">
          <w:rPr>
            <w:noProof/>
            <w:webHidden/>
          </w:rPr>
          <w:fldChar w:fldCharType="begin"/>
        </w:r>
        <w:r w:rsidR="00AA4068">
          <w:rPr>
            <w:noProof/>
            <w:webHidden/>
          </w:rPr>
          <w:instrText xml:space="preserve"> PAGEREF _Toc84240493 \h </w:instrText>
        </w:r>
        <w:r w:rsidR="00AA4068">
          <w:rPr>
            <w:noProof/>
            <w:webHidden/>
          </w:rPr>
        </w:r>
        <w:r w:rsidR="00AA4068">
          <w:rPr>
            <w:noProof/>
            <w:webHidden/>
          </w:rPr>
          <w:fldChar w:fldCharType="separate"/>
        </w:r>
        <w:r w:rsidR="00AA4068">
          <w:rPr>
            <w:noProof/>
            <w:webHidden/>
          </w:rPr>
          <w:t>23</w:t>
        </w:r>
        <w:r w:rsidR="00AA4068">
          <w:rPr>
            <w:noProof/>
            <w:webHidden/>
          </w:rPr>
          <w:fldChar w:fldCharType="end"/>
        </w:r>
      </w:hyperlink>
    </w:p>
    <w:p w14:paraId="42BED91A" w14:textId="3829A1D9"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94" w:history="1">
        <w:r w:rsidR="00AA4068" w:rsidRPr="00BB4E07">
          <w:rPr>
            <w:rStyle w:val="Hiperveza"/>
            <w:noProof/>
          </w:rPr>
          <w:t>Tablica 3</w:t>
        </w:r>
        <w:r w:rsidR="00AA4068" w:rsidRPr="00BB4E07">
          <w:rPr>
            <w:rStyle w:val="Hiperveza"/>
            <w:noProof/>
          </w:rPr>
          <w:noBreakHyphen/>
          <w:t>11: Ciljane površine i stope obnove VSZ do 2030. godine u skladu s Dugoročnom strategijom</w:t>
        </w:r>
        <w:r w:rsidR="00AA4068">
          <w:rPr>
            <w:noProof/>
            <w:webHidden/>
          </w:rPr>
          <w:tab/>
        </w:r>
        <w:r w:rsidR="00AA4068">
          <w:rPr>
            <w:noProof/>
            <w:webHidden/>
          </w:rPr>
          <w:fldChar w:fldCharType="begin"/>
        </w:r>
        <w:r w:rsidR="00AA4068">
          <w:rPr>
            <w:noProof/>
            <w:webHidden/>
          </w:rPr>
          <w:instrText xml:space="preserve"> PAGEREF _Toc84240494 \h </w:instrText>
        </w:r>
        <w:r w:rsidR="00AA4068">
          <w:rPr>
            <w:noProof/>
            <w:webHidden/>
          </w:rPr>
        </w:r>
        <w:r w:rsidR="00AA4068">
          <w:rPr>
            <w:noProof/>
            <w:webHidden/>
          </w:rPr>
          <w:fldChar w:fldCharType="separate"/>
        </w:r>
        <w:r w:rsidR="00AA4068">
          <w:rPr>
            <w:noProof/>
            <w:webHidden/>
          </w:rPr>
          <w:t>23</w:t>
        </w:r>
        <w:r w:rsidR="00AA4068">
          <w:rPr>
            <w:noProof/>
            <w:webHidden/>
          </w:rPr>
          <w:fldChar w:fldCharType="end"/>
        </w:r>
      </w:hyperlink>
    </w:p>
    <w:p w14:paraId="2E9B848D" w14:textId="5987E11C"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95" w:history="1">
        <w:r w:rsidR="00AA4068" w:rsidRPr="00BB4E07">
          <w:rPr>
            <w:rStyle w:val="Hiperveza"/>
            <w:noProof/>
          </w:rPr>
          <w:t>Tablica 3</w:t>
        </w:r>
        <w:r w:rsidR="00AA4068" w:rsidRPr="00BB4E07">
          <w:rPr>
            <w:rStyle w:val="Hiperveza"/>
            <w:noProof/>
          </w:rPr>
          <w:noBreakHyphen/>
          <w:t xml:space="preserve">12: Najveće dopuštene vrijednosti </w:t>
        </w:r>
        <w:r w:rsidR="00AA4068" w:rsidRPr="00BB4E07">
          <w:rPr>
            <w:rStyle w:val="Hiperveza"/>
            <w:noProof/>
            <w:lang w:eastAsia="hr-HR"/>
          </w:rPr>
          <w:t>Q’’</w:t>
        </w:r>
        <w:r w:rsidR="00AA4068" w:rsidRPr="00BB4E07">
          <w:rPr>
            <w:rStyle w:val="Hiperveza"/>
            <w:noProof/>
            <w:vertAlign w:val="subscript"/>
            <w:lang w:eastAsia="hr-HR"/>
          </w:rPr>
          <w:t xml:space="preserve">H,nd   </w:t>
        </w:r>
        <w:r w:rsidR="00AA4068" w:rsidRPr="00BB4E07">
          <w:rPr>
            <w:rStyle w:val="Hiperveza"/>
            <w:noProof/>
            <w:lang w:eastAsia="hr-HR"/>
          </w:rPr>
          <w:t xml:space="preserve">za postojeće stambene zgrade grijane i/ili hlađene </w:t>
        </w:r>
        <w:r w:rsidR="00AA4068" w:rsidRPr="00BB4E07">
          <w:rPr>
            <w:rStyle w:val="Hiperveza"/>
            <w:noProof/>
          </w:rPr>
          <w:t xml:space="preserve">na temperaturu 18 °C ili višu prilikom rekonstrukcije prema članku 45. stavku 7. </w:t>
        </w:r>
        <w:r w:rsidR="00AA4068" w:rsidRPr="00BB4E07">
          <w:rPr>
            <w:rStyle w:val="Hiperveza"/>
            <w:noProof/>
            <w:lang w:eastAsia="hr-HR"/>
          </w:rPr>
          <w:t>TPRUETZZ</w:t>
        </w:r>
        <w:r w:rsidR="00AA4068">
          <w:rPr>
            <w:noProof/>
            <w:webHidden/>
          </w:rPr>
          <w:tab/>
        </w:r>
        <w:r w:rsidR="00AA4068">
          <w:rPr>
            <w:noProof/>
            <w:webHidden/>
          </w:rPr>
          <w:fldChar w:fldCharType="begin"/>
        </w:r>
        <w:r w:rsidR="00AA4068">
          <w:rPr>
            <w:noProof/>
            <w:webHidden/>
          </w:rPr>
          <w:instrText xml:space="preserve"> PAGEREF _Toc84240495 \h </w:instrText>
        </w:r>
        <w:r w:rsidR="00AA4068">
          <w:rPr>
            <w:noProof/>
            <w:webHidden/>
          </w:rPr>
        </w:r>
        <w:r w:rsidR="00AA4068">
          <w:rPr>
            <w:noProof/>
            <w:webHidden/>
          </w:rPr>
          <w:fldChar w:fldCharType="separate"/>
        </w:r>
        <w:r w:rsidR="00AA4068">
          <w:rPr>
            <w:noProof/>
            <w:webHidden/>
          </w:rPr>
          <w:t>24</w:t>
        </w:r>
        <w:r w:rsidR="00AA4068">
          <w:rPr>
            <w:noProof/>
            <w:webHidden/>
          </w:rPr>
          <w:fldChar w:fldCharType="end"/>
        </w:r>
      </w:hyperlink>
    </w:p>
    <w:p w14:paraId="1F38E15A" w14:textId="47CDD588"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96" w:history="1">
        <w:r w:rsidR="00AA4068" w:rsidRPr="00BB4E07">
          <w:rPr>
            <w:rStyle w:val="Hiperveza"/>
            <w:noProof/>
          </w:rPr>
          <w:t>Tablica 3</w:t>
        </w:r>
        <w:r w:rsidR="00AA4068" w:rsidRPr="00BB4E07">
          <w:rPr>
            <w:rStyle w:val="Hiperveza"/>
            <w:noProof/>
          </w:rPr>
          <w:noBreakHyphen/>
          <w:t>13: Propisane vrijednosti Q’’</w:t>
        </w:r>
        <w:r w:rsidR="00AA4068" w:rsidRPr="00BB4E07">
          <w:rPr>
            <w:rStyle w:val="Hiperveza"/>
            <w:noProof/>
            <w:vertAlign w:val="subscript"/>
          </w:rPr>
          <w:t>H,nd</w:t>
        </w:r>
        <w:r w:rsidR="00AA4068" w:rsidRPr="00BB4E07">
          <w:rPr>
            <w:rStyle w:val="Hiperveza"/>
            <w:noProof/>
          </w:rPr>
          <w:t xml:space="preserve"> nakon rekonstrukcije prema Tehničkom propisu za referentne VSZ</w:t>
        </w:r>
        <w:r w:rsidR="00AA4068">
          <w:rPr>
            <w:noProof/>
            <w:webHidden/>
          </w:rPr>
          <w:tab/>
        </w:r>
        <w:r w:rsidR="00AA4068">
          <w:rPr>
            <w:noProof/>
            <w:webHidden/>
          </w:rPr>
          <w:fldChar w:fldCharType="begin"/>
        </w:r>
        <w:r w:rsidR="00AA4068">
          <w:rPr>
            <w:noProof/>
            <w:webHidden/>
          </w:rPr>
          <w:instrText xml:space="preserve"> PAGEREF _Toc84240496 \h </w:instrText>
        </w:r>
        <w:r w:rsidR="00AA4068">
          <w:rPr>
            <w:noProof/>
            <w:webHidden/>
          </w:rPr>
        </w:r>
        <w:r w:rsidR="00AA4068">
          <w:rPr>
            <w:noProof/>
            <w:webHidden/>
          </w:rPr>
          <w:fldChar w:fldCharType="separate"/>
        </w:r>
        <w:r w:rsidR="00AA4068">
          <w:rPr>
            <w:noProof/>
            <w:webHidden/>
          </w:rPr>
          <w:t>24</w:t>
        </w:r>
        <w:r w:rsidR="00AA4068">
          <w:rPr>
            <w:noProof/>
            <w:webHidden/>
          </w:rPr>
          <w:fldChar w:fldCharType="end"/>
        </w:r>
      </w:hyperlink>
    </w:p>
    <w:p w14:paraId="642A0226" w14:textId="2E6E80E9"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97" w:history="1">
        <w:r w:rsidR="00AA4068" w:rsidRPr="00BB4E07">
          <w:rPr>
            <w:rStyle w:val="Hiperveza"/>
            <w:noProof/>
          </w:rPr>
          <w:t>Tablica 3</w:t>
        </w:r>
        <w:r w:rsidR="00AA4068" w:rsidRPr="00BB4E07">
          <w:rPr>
            <w:rStyle w:val="Hiperveza"/>
            <w:noProof/>
          </w:rPr>
          <w:noBreakHyphen/>
          <w:t>14: Prosječne vrijednosti Q’’</w:t>
        </w:r>
        <w:r w:rsidR="00AA4068" w:rsidRPr="00BB4E07">
          <w:rPr>
            <w:rStyle w:val="Hiperveza"/>
            <w:noProof/>
            <w:vertAlign w:val="subscript"/>
          </w:rPr>
          <w:t>H,nd</w:t>
        </w:r>
        <w:r w:rsidR="00AA4068" w:rsidRPr="00BB4E07">
          <w:rPr>
            <w:rStyle w:val="Hiperveza"/>
            <w:noProof/>
          </w:rPr>
          <w:t xml:space="preserve"> prije rekonstrukcije za VSZ prema godini izgradnje i klimatskoj zoni</w:t>
        </w:r>
        <w:r w:rsidR="00AA4068">
          <w:rPr>
            <w:noProof/>
            <w:webHidden/>
          </w:rPr>
          <w:tab/>
        </w:r>
        <w:r w:rsidR="00AA4068">
          <w:rPr>
            <w:noProof/>
            <w:webHidden/>
          </w:rPr>
          <w:fldChar w:fldCharType="begin"/>
        </w:r>
        <w:r w:rsidR="00AA4068">
          <w:rPr>
            <w:noProof/>
            <w:webHidden/>
          </w:rPr>
          <w:instrText xml:space="preserve"> PAGEREF _Toc84240497 \h </w:instrText>
        </w:r>
        <w:r w:rsidR="00AA4068">
          <w:rPr>
            <w:noProof/>
            <w:webHidden/>
          </w:rPr>
        </w:r>
        <w:r w:rsidR="00AA4068">
          <w:rPr>
            <w:noProof/>
            <w:webHidden/>
          </w:rPr>
          <w:fldChar w:fldCharType="separate"/>
        </w:r>
        <w:r w:rsidR="00AA4068">
          <w:rPr>
            <w:noProof/>
            <w:webHidden/>
          </w:rPr>
          <w:t>24</w:t>
        </w:r>
        <w:r w:rsidR="00AA4068">
          <w:rPr>
            <w:noProof/>
            <w:webHidden/>
          </w:rPr>
          <w:fldChar w:fldCharType="end"/>
        </w:r>
      </w:hyperlink>
    </w:p>
    <w:p w14:paraId="3AA15E72" w14:textId="282D6C88"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98" w:history="1">
        <w:r w:rsidR="00AA4068" w:rsidRPr="00BB4E07">
          <w:rPr>
            <w:rStyle w:val="Hiperveza"/>
            <w:noProof/>
          </w:rPr>
          <w:t>Tablica 3</w:t>
        </w:r>
        <w:r w:rsidR="00AA4068" w:rsidRPr="00BB4E07">
          <w:rPr>
            <w:rStyle w:val="Hiperveza"/>
            <w:noProof/>
          </w:rPr>
          <w:noBreakHyphen/>
          <w:t>15: Pregled ulaznih podataka i izvora tih podataka za izračun ušteda energije u neposrednoj potrošnji</w:t>
        </w:r>
        <w:r w:rsidR="00AA4068">
          <w:rPr>
            <w:noProof/>
            <w:webHidden/>
          </w:rPr>
          <w:tab/>
        </w:r>
        <w:r w:rsidR="00AA4068">
          <w:rPr>
            <w:noProof/>
            <w:webHidden/>
          </w:rPr>
          <w:fldChar w:fldCharType="begin"/>
        </w:r>
        <w:r w:rsidR="00AA4068">
          <w:rPr>
            <w:noProof/>
            <w:webHidden/>
          </w:rPr>
          <w:instrText xml:space="preserve"> PAGEREF _Toc84240498 \h </w:instrText>
        </w:r>
        <w:r w:rsidR="00AA4068">
          <w:rPr>
            <w:noProof/>
            <w:webHidden/>
          </w:rPr>
        </w:r>
        <w:r w:rsidR="00AA4068">
          <w:rPr>
            <w:noProof/>
            <w:webHidden/>
          </w:rPr>
          <w:fldChar w:fldCharType="separate"/>
        </w:r>
        <w:r w:rsidR="00AA4068">
          <w:rPr>
            <w:noProof/>
            <w:webHidden/>
          </w:rPr>
          <w:t>25</w:t>
        </w:r>
        <w:r w:rsidR="00AA4068">
          <w:rPr>
            <w:noProof/>
            <w:webHidden/>
          </w:rPr>
          <w:fldChar w:fldCharType="end"/>
        </w:r>
      </w:hyperlink>
    </w:p>
    <w:p w14:paraId="5BB111CE" w14:textId="1FF08338"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499" w:history="1">
        <w:r w:rsidR="00AA4068" w:rsidRPr="00BB4E07">
          <w:rPr>
            <w:rStyle w:val="Hiperveza"/>
            <w:noProof/>
          </w:rPr>
          <w:t>Tablica 3</w:t>
        </w:r>
        <w:r w:rsidR="00AA4068" w:rsidRPr="00BB4E07">
          <w:rPr>
            <w:rStyle w:val="Hiperveza"/>
            <w:noProof/>
          </w:rPr>
          <w:noBreakHyphen/>
          <w:t>16: Izračun ušteda energije u neposrednoj potrošnji (isporučena energija) i ušteda primarne energije za ostvarene ciljeve obnove VSZ prema Dugoročnoj strategiji</w:t>
        </w:r>
        <w:r w:rsidR="00AA4068">
          <w:rPr>
            <w:noProof/>
            <w:webHidden/>
          </w:rPr>
          <w:tab/>
        </w:r>
        <w:r w:rsidR="00AA4068">
          <w:rPr>
            <w:noProof/>
            <w:webHidden/>
          </w:rPr>
          <w:fldChar w:fldCharType="begin"/>
        </w:r>
        <w:r w:rsidR="00AA4068">
          <w:rPr>
            <w:noProof/>
            <w:webHidden/>
          </w:rPr>
          <w:instrText xml:space="preserve"> PAGEREF _Toc84240499 \h </w:instrText>
        </w:r>
        <w:r w:rsidR="00AA4068">
          <w:rPr>
            <w:noProof/>
            <w:webHidden/>
          </w:rPr>
        </w:r>
        <w:r w:rsidR="00AA4068">
          <w:rPr>
            <w:noProof/>
            <w:webHidden/>
          </w:rPr>
          <w:fldChar w:fldCharType="separate"/>
        </w:r>
        <w:r w:rsidR="00AA4068">
          <w:rPr>
            <w:noProof/>
            <w:webHidden/>
          </w:rPr>
          <w:t>25</w:t>
        </w:r>
        <w:r w:rsidR="00AA4068">
          <w:rPr>
            <w:noProof/>
            <w:webHidden/>
          </w:rPr>
          <w:fldChar w:fldCharType="end"/>
        </w:r>
      </w:hyperlink>
    </w:p>
    <w:p w14:paraId="3304F63C" w14:textId="3C8E5F0E"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00" w:history="1">
        <w:r w:rsidR="00AA4068" w:rsidRPr="00BB4E07">
          <w:rPr>
            <w:rStyle w:val="Hiperveza"/>
            <w:noProof/>
          </w:rPr>
          <w:t>Tablica 3</w:t>
        </w:r>
        <w:r w:rsidR="00AA4068" w:rsidRPr="00BB4E07">
          <w:rPr>
            <w:rStyle w:val="Hiperveza"/>
            <w:noProof/>
          </w:rPr>
          <w:noBreakHyphen/>
          <w:t>17: Izračun kumulativnih ušteda energije u neposrednoj potrošnji (isporučena energija) za ostvarene ciljeve obnove VSZ prema Dugoročnoj strategiji</w:t>
        </w:r>
        <w:r w:rsidR="00AA4068">
          <w:rPr>
            <w:noProof/>
            <w:webHidden/>
          </w:rPr>
          <w:tab/>
        </w:r>
        <w:r w:rsidR="00AA4068">
          <w:rPr>
            <w:noProof/>
            <w:webHidden/>
          </w:rPr>
          <w:fldChar w:fldCharType="begin"/>
        </w:r>
        <w:r w:rsidR="00AA4068">
          <w:rPr>
            <w:noProof/>
            <w:webHidden/>
          </w:rPr>
          <w:instrText xml:space="preserve"> PAGEREF _Toc84240500 \h </w:instrText>
        </w:r>
        <w:r w:rsidR="00AA4068">
          <w:rPr>
            <w:noProof/>
            <w:webHidden/>
          </w:rPr>
        </w:r>
        <w:r w:rsidR="00AA4068">
          <w:rPr>
            <w:noProof/>
            <w:webHidden/>
          </w:rPr>
          <w:fldChar w:fldCharType="separate"/>
        </w:r>
        <w:r w:rsidR="00AA4068">
          <w:rPr>
            <w:noProof/>
            <w:webHidden/>
          </w:rPr>
          <w:t>26</w:t>
        </w:r>
        <w:r w:rsidR="00AA4068">
          <w:rPr>
            <w:noProof/>
            <w:webHidden/>
          </w:rPr>
          <w:fldChar w:fldCharType="end"/>
        </w:r>
      </w:hyperlink>
    </w:p>
    <w:p w14:paraId="606732F0" w14:textId="5ED16D14"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01" w:history="1">
        <w:r w:rsidR="00AA4068" w:rsidRPr="00BB4E07">
          <w:rPr>
            <w:rStyle w:val="Hiperveza"/>
            <w:noProof/>
          </w:rPr>
          <w:t>Tablica 3</w:t>
        </w:r>
        <w:r w:rsidR="00AA4068" w:rsidRPr="00BB4E07">
          <w:rPr>
            <w:rStyle w:val="Hiperveza"/>
            <w:noProof/>
          </w:rPr>
          <w:noBreakHyphen/>
          <w:t>18: Intenziteti potpore po Javnom pozivu MPGI za energetsku obnovu VSZ iz 2016. godine</w:t>
        </w:r>
        <w:r w:rsidR="00AA4068">
          <w:rPr>
            <w:noProof/>
            <w:webHidden/>
          </w:rPr>
          <w:tab/>
        </w:r>
        <w:r w:rsidR="00AA4068">
          <w:rPr>
            <w:noProof/>
            <w:webHidden/>
          </w:rPr>
          <w:fldChar w:fldCharType="begin"/>
        </w:r>
        <w:r w:rsidR="00AA4068">
          <w:rPr>
            <w:noProof/>
            <w:webHidden/>
          </w:rPr>
          <w:instrText xml:space="preserve"> PAGEREF _Toc84240501 \h </w:instrText>
        </w:r>
        <w:r w:rsidR="00AA4068">
          <w:rPr>
            <w:noProof/>
            <w:webHidden/>
          </w:rPr>
        </w:r>
        <w:r w:rsidR="00AA4068">
          <w:rPr>
            <w:noProof/>
            <w:webHidden/>
          </w:rPr>
          <w:fldChar w:fldCharType="separate"/>
        </w:r>
        <w:r w:rsidR="00AA4068">
          <w:rPr>
            <w:noProof/>
            <w:webHidden/>
          </w:rPr>
          <w:t>27</w:t>
        </w:r>
        <w:r w:rsidR="00AA4068">
          <w:rPr>
            <w:noProof/>
            <w:webHidden/>
          </w:rPr>
          <w:fldChar w:fldCharType="end"/>
        </w:r>
      </w:hyperlink>
    </w:p>
    <w:p w14:paraId="721A048A" w14:textId="33889EA8"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02" w:history="1">
        <w:r w:rsidR="00AA4068" w:rsidRPr="00BB4E07">
          <w:rPr>
            <w:rStyle w:val="Hiperveza"/>
            <w:noProof/>
          </w:rPr>
          <w:t>Tablica 3</w:t>
        </w:r>
        <w:r w:rsidR="00AA4068" w:rsidRPr="00BB4E07">
          <w:rPr>
            <w:rStyle w:val="Hiperveza"/>
            <w:noProof/>
          </w:rPr>
          <w:noBreakHyphen/>
          <w:t>19: Učinci Programa energetske obnove VSZ za razdoblje od 2014. do 2020. godine</w:t>
        </w:r>
        <w:r w:rsidR="00AA4068">
          <w:rPr>
            <w:noProof/>
            <w:webHidden/>
          </w:rPr>
          <w:tab/>
        </w:r>
        <w:r w:rsidR="00AA4068">
          <w:rPr>
            <w:noProof/>
            <w:webHidden/>
          </w:rPr>
          <w:fldChar w:fldCharType="begin"/>
        </w:r>
        <w:r w:rsidR="00AA4068">
          <w:rPr>
            <w:noProof/>
            <w:webHidden/>
          </w:rPr>
          <w:instrText xml:space="preserve"> PAGEREF _Toc84240502 \h </w:instrText>
        </w:r>
        <w:r w:rsidR="00AA4068">
          <w:rPr>
            <w:noProof/>
            <w:webHidden/>
          </w:rPr>
        </w:r>
        <w:r w:rsidR="00AA4068">
          <w:rPr>
            <w:noProof/>
            <w:webHidden/>
          </w:rPr>
          <w:fldChar w:fldCharType="separate"/>
        </w:r>
        <w:r w:rsidR="00AA4068">
          <w:rPr>
            <w:noProof/>
            <w:webHidden/>
          </w:rPr>
          <w:t>28</w:t>
        </w:r>
        <w:r w:rsidR="00AA4068">
          <w:rPr>
            <w:noProof/>
            <w:webHidden/>
          </w:rPr>
          <w:fldChar w:fldCharType="end"/>
        </w:r>
      </w:hyperlink>
    </w:p>
    <w:p w14:paraId="6B2D1CCA" w14:textId="6DCA4691"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03" w:history="1">
        <w:r w:rsidR="00AA4068" w:rsidRPr="00BB4E07">
          <w:rPr>
            <w:rStyle w:val="Hiperveza"/>
            <w:noProof/>
          </w:rPr>
          <w:t>Tablica 8</w:t>
        </w:r>
        <w:r w:rsidR="00AA4068" w:rsidRPr="00BB4E07">
          <w:rPr>
            <w:rStyle w:val="Hiperveza"/>
            <w:noProof/>
          </w:rPr>
          <w:noBreakHyphen/>
          <w:t>1: Okvirne mjere energetske obnove koje se provode u sklopu Programa</w:t>
        </w:r>
        <w:r w:rsidR="00AA4068">
          <w:rPr>
            <w:noProof/>
            <w:webHidden/>
          </w:rPr>
          <w:tab/>
        </w:r>
        <w:r w:rsidR="00AA4068">
          <w:rPr>
            <w:noProof/>
            <w:webHidden/>
          </w:rPr>
          <w:fldChar w:fldCharType="begin"/>
        </w:r>
        <w:r w:rsidR="00AA4068">
          <w:rPr>
            <w:noProof/>
            <w:webHidden/>
          </w:rPr>
          <w:instrText xml:space="preserve"> PAGEREF _Toc84240503 \h </w:instrText>
        </w:r>
        <w:r w:rsidR="00AA4068">
          <w:rPr>
            <w:noProof/>
            <w:webHidden/>
          </w:rPr>
        </w:r>
        <w:r w:rsidR="00AA4068">
          <w:rPr>
            <w:noProof/>
            <w:webHidden/>
          </w:rPr>
          <w:fldChar w:fldCharType="separate"/>
        </w:r>
        <w:r w:rsidR="00AA4068">
          <w:rPr>
            <w:noProof/>
            <w:webHidden/>
          </w:rPr>
          <w:t>35</w:t>
        </w:r>
        <w:r w:rsidR="00AA4068">
          <w:rPr>
            <w:noProof/>
            <w:webHidden/>
          </w:rPr>
          <w:fldChar w:fldCharType="end"/>
        </w:r>
      </w:hyperlink>
    </w:p>
    <w:p w14:paraId="3CB6588F" w14:textId="23C404ED"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04" w:history="1">
        <w:r w:rsidR="00AA4068" w:rsidRPr="00BB4E07">
          <w:rPr>
            <w:rStyle w:val="Hiperveza"/>
            <w:noProof/>
          </w:rPr>
          <w:t>Tablica 8</w:t>
        </w:r>
        <w:r w:rsidR="00AA4068" w:rsidRPr="00BB4E07">
          <w:rPr>
            <w:rStyle w:val="Hiperveza"/>
            <w:noProof/>
          </w:rPr>
          <w:noBreakHyphen/>
          <w:t>2: Okvirne mjere sveobuhvatne obnove koje se provode u sklopu Programa</w:t>
        </w:r>
        <w:r w:rsidR="00AA4068">
          <w:rPr>
            <w:noProof/>
            <w:webHidden/>
          </w:rPr>
          <w:tab/>
        </w:r>
        <w:r w:rsidR="00AA4068">
          <w:rPr>
            <w:noProof/>
            <w:webHidden/>
          </w:rPr>
          <w:fldChar w:fldCharType="begin"/>
        </w:r>
        <w:r w:rsidR="00AA4068">
          <w:rPr>
            <w:noProof/>
            <w:webHidden/>
          </w:rPr>
          <w:instrText xml:space="preserve"> PAGEREF _Toc84240504 \h </w:instrText>
        </w:r>
        <w:r w:rsidR="00AA4068">
          <w:rPr>
            <w:noProof/>
            <w:webHidden/>
          </w:rPr>
        </w:r>
        <w:r w:rsidR="00AA4068">
          <w:rPr>
            <w:noProof/>
            <w:webHidden/>
          </w:rPr>
          <w:fldChar w:fldCharType="separate"/>
        </w:r>
        <w:r w:rsidR="00AA4068">
          <w:rPr>
            <w:noProof/>
            <w:webHidden/>
          </w:rPr>
          <w:t>40</w:t>
        </w:r>
        <w:r w:rsidR="00AA4068">
          <w:rPr>
            <w:noProof/>
            <w:webHidden/>
          </w:rPr>
          <w:fldChar w:fldCharType="end"/>
        </w:r>
      </w:hyperlink>
    </w:p>
    <w:p w14:paraId="3A70446F" w14:textId="36917BC3"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05" w:history="1">
        <w:r w:rsidR="00AA4068" w:rsidRPr="00BB4E07">
          <w:rPr>
            <w:rStyle w:val="Hiperveza"/>
            <w:noProof/>
          </w:rPr>
          <w:t>Tablica 8</w:t>
        </w:r>
        <w:r w:rsidR="00AA4068" w:rsidRPr="00BB4E07">
          <w:rPr>
            <w:rStyle w:val="Hiperveza"/>
            <w:noProof/>
          </w:rPr>
          <w:noBreakHyphen/>
          <w:t>3: Ostale prihvatljive aktivnosti u sklopu Programa</w:t>
        </w:r>
        <w:r w:rsidR="00AA4068">
          <w:rPr>
            <w:noProof/>
            <w:webHidden/>
          </w:rPr>
          <w:tab/>
        </w:r>
        <w:r w:rsidR="00AA4068">
          <w:rPr>
            <w:noProof/>
            <w:webHidden/>
          </w:rPr>
          <w:fldChar w:fldCharType="begin"/>
        </w:r>
        <w:r w:rsidR="00AA4068">
          <w:rPr>
            <w:noProof/>
            <w:webHidden/>
          </w:rPr>
          <w:instrText xml:space="preserve"> PAGEREF _Toc84240505 \h </w:instrText>
        </w:r>
        <w:r w:rsidR="00AA4068">
          <w:rPr>
            <w:noProof/>
            <w:webHidden/>
          </w:rPr>
        </w:r>
        <w:r w:rsidR="00AA4068">
          <w:rPr>
            <w:noProof/>
            <w:webHidden/>
          </w:rPr>
          <w:fldChar w:fldCharType="separate"/>
        </w:r>
        <w:r w:rsidR="00AA4068">
          <w:rPr>
            <w:noProof/>
            <w:webHidden/>
          </w:rPr>
          <w:t>42</w:t>
        </w:r>
        <w:r w:rsidR="00AA4068">
          <w:rPr>
            <w:noProof/>
            <w:webHidden/>
          </w:rPr>
          <w:fldChar w:fldCharType="end"/>
        </w:r>
      </w:hyperlink>
    </w:p>
    <w:p w14:paraId="7FFE3208" w14:textId="4963DC33"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06" w:history="1">
        <w:r w:rsidR="00AA4068" w:rsidRPr="00BB4E07">
          <w:rPr>
            <w:rStyle w:val="Hiperveza"/>
            <w:noProof/>
          </w:rPr>
          <w:t>Tablica 8</w:t>
        </w:r>
        <w:r w:rsidR="00AA4068" w:rsidRPr="00BB4E07">
          <w:rPr>
            <w:rStyle w:val="Hiperveza"/>
            <w:noProof/>
          </w:rPr>
          <w:noBreakHyphen/>
          <w:t>4: Okvirne mjere osiguravanja pristupačnosti i zelene infrastrukture koje se provode u sklopu Programa</w:t>
        </w:r>
        <w:r w:rsidR="00AA4068">
          <w:rPr>
            <w:noProof/>
            <w:webHidden/>
          </w:rPr>
          <w:tab/>
        </w:r>
        <w:r w:rsidR="00AA4068">
          <w:rPr>
            <w:noProof/>
            <w:webHidden/>
          </w:rPr>
          <w:fldChar w:fldCharType="begin"/>
        </w:r>
        <w:r w:rsidR="00AA4068">
          <w:rPr>
            <w:noProof/>
            <w:webHidden/>
          </w:rPr>
          <w:instrText xml:space="preserve"> PAGEREF _Toc84240506 \h </w:instrText>
        </w:r>
        <w:r w:rsidR="00AA4068">
          <w:rPr>
            <w:noProof/>
            <w:webHidden/>
          </w:rPr>
        </w:r>
        <w:r w:rsidR="00AA4068">
          <w:rPr>
            <w:noProof/>
            <w:webHidden/>
          </w:rPr>
          <w:fldChar w:fldCharType="separate"/>
        </w:r>
        <w:r w:rsidR="00AA4068">
          <w:rPr>
            <w:noProof/>
            <w:webHidden/>
          </w:rPr>
          <w:t>43</w:t>
        </w:r>
        <w:r w:rsidR="00AA4068">
          <w:rPr>
            <w:noProof/>
            <w:webHidden/>
          </w:rPr>
          <w:fldChar w:fldCharType="end"/>
        </w:r>
      </w:hyperlink>
    </w:p>
    <w:p w14:paraId="55D269B2" w14:textId="19F86C9B"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07" w:history="1">
        <w:r w:rsidR="00AA4068" w:rsidRPr="00BB4E07">
          <w:rPr>
            <w:rStyle w:val="Hiperveza"/>
            <w:noProof/>
          </w:rPr>
          <w:t>Tablica 8</w:t>
        </w:r>
        <w:r w:rsidR="00AA4068" w:rsidRPr="00BB4E07">
          <w:rPr>
            <w:rStyle w:val="Hiperveza"/>
            <w:noProof/>
          </w:rPr>
          <w:noBreakHyphen/>
          <w:t>5: Pregled stopa sufinanciranja, maksimalnih prihvatljivih troškova te ostalih uvjeta sudjelovanja VSZ neoštećenih u potresu u Programu</w:t>
        </w:r>
        <w:r w:rsidR="00AA4068">
          <w:rPr>
            <w:noProof/>
            <w:webHidden/>
          </w:rPr>
          <w:tab/>
        </w:r>
        <w:r w:rsidR="00AA4068">
          <w:rPr>
            <w:noProof/>
            <w:webHidden/>
          </w:rPr>
          <w:fldChar w:fldCharType="begin"/>
        </w:r>
        <w:r w:rsidR="00AA4068">
          <w:rPr>
            <w:noProof/>
            <w:webHidden/>
          </w:rPr>
          <w:instrText xml:space="preserve"> PAGEREF _Toc84240507 \h </w:instrText>
        </w:r>
        <w:r w:rsidR="00AA4068">
          <w:rPr>
            <w:noProof/>
            <w:webHidden/>
          </w:rPr>
        </w:r>
        <w:r w:rsidR="00AA4068">
          <w:rPr>
            <w:noProof/>
            <w:webHidden/>
          </w:rPr>
          <w:fldChar w:fldCharType="separate"/>
        </w:r>
        <w:r w:rsidR="00AA4068">
          <w:rPr>
            <w:noProof/>
            <w:webHidden/>
          </w:rPr>
          <w:t>44</w:t>
        </w:r>
        <w:r w:rsidR="00AA4068">
          <w:rPr>
            <w:noProof/>
            <w:webHidden/>
          </w:rPr>
          <w:fldChar w:fldCharType="end"/>
        </w:r>
      </w:hyperlink>
    </w:p>
    <w:p w14:paraId="042DB732" w14:textId="7CF1E653"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08" w:history="1">
        <w:r w:rsidR="00AA4068" w:rsidRPr="00BB4E07">
          <w:rPr>
            <w:rStyle w:val="Hiperveza"/>
            <w:noProof/>
          </w:rPr>
          <w:t>Tablica 10</w:t>
        </w:r>
        <w:r w:rsidR="00AA4068" w:rsidRPr="00BB4E07">
          <w:rPr>
            <w:rStyle w:val="Hiperveza"/>
            <w:noProof/>
          </w:rPr>
          <w:noBreakHyphen/>
          <w:t xml:space="preserve">2: </w:t>
        </w:r>
        <w:r w:rsidR="00AA4068" w:rsidRPr="00BB4E07">
          <w:rPr>
            <w:rStyle w:val="Hiperveza"/>
            <w:rFonts w:cs="Tahoma"/>
            <w:noProof/>
          </w:rPr>
          <w:t>Primjeri kriterija energetskog siromaštva u EU</w:t>
        </w:r>
        <w:r w:rsidR="00AA4068">
          <w:rPr>
            <w:noProof/>
            <w:webHidden/>
          </w:rPr>
          <w:tab/>
        </w:r>
        <w:r w:rsidR="00AA4068">
          <w:rPr>
            <w:noProof/>
            <w:webHidden/>
          </w:rPr>
          <w:fldChar w:fldCharType="begin"/>
        </w:r>
        <w:r w:rsidR="00AA4068">
          <w:rPr>
            <w:noProof/>
            <w:webHidden/>
          </w:rPr>
          <w:instrText xml:space="preserve"> PAGEREF _Toc84240508 \h </w:instrText>
        </w:r>
        <w:r w:rsidR="00AA4068">
          <w:rPr>
            <w:noProof/>
            <w:webHidden/>
          </w:rPr>
        </w:r>
        <w:r w:rsidR="00AA4068">
          <w:rPr>
            <w:noProof/>
            <w:webHidden/>
          </w:rPr>
          <w:fldChar w:fldCharType="separate"/>
        </w:r>
        <w:r w:rsidR="00AA4068">
          <w:rPr>
            <w:noProof/>
            <w:webHidden/>
          </w:rPr>
          <w:t>52</w:t>
        </w:r>
        <w:r w:rsidR="00AA4068">
          <w:rPr>
            <w:noProof/>
            <w:webHidden/>
          </w:rPr>
          <w:fldChar w:fldCharType="end"/>
        </w:r>
      </w:hyperlink>
    </w:p>
    <w:p w14:paraId="68D9B15C" w14:textId="383283CA"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09" w:history="1">
        <w:r w:rsidR="00AA4068" w:rsidRPr="00BB4E07">
          <w:rPr>
            <w:rStyle w:val="Hiperveza"/>
            <w:noProof/>
          </w:rPr>
          <w:t>Tablica 11</w:t>
        </w:r>
        <w:r w:rsidR="00AA4068" w:rsidRPr="00BB4E07">
          <w:rPr>
            <w:rStyle w:val="Hiperveza"/>
            <w:noProof/>
          </w:rPr>
          <w:noBreakHyphen/>
          <w:t xml:space="preserve">1: </w:t>
        </w:r>
        <w:r w:rsidR="00AA4068" w:rsidRPr="00BB4E07">
          <w:rPr>
            <w:rStyle w:val="Hiperveza"/>
            <w:rFonts w:cs="Tahoma"/>
            <w:noProof/>
          </w:rPr>
          <w:t>Procjena investicijskog troška obnove VSZ za razdoblje od 2021. do 2030 prema Dugoročnoj strategiji</w:t>
        </w:r>
        <w:r w:rsidR="00AA4068">
          <w:rPr>
            <w:noProof/>
            <w:webHidden/>
          </w:rPr>
          <w:tab/>
        </w:r>
        <w:r w:rsidR="00AA4068">
          <w:rPr>
            <w:noProof/>
            <w:webHidden/>
          </w:rPr>
          <w:fldChar w:fldCharType="begin"/>
        </w:r>
        <w:r w:rsidR="00AA4068">
          <w:rPr>
            <w:noProof/>
            <w:webHidden/>
          </w:rPr>
          <w:instrText xml:space="preserve"> PAGEREF _Toc84240509 \h </w:instrText>
        </w:r>
        <w:r w:rsidR="00AA4068">
          <w:rPr>
            <w:noProof/>
            <w:webHidden/>
          </w:rPr>
        </w:r>
        <w:r w:rsidR="00AA4068">
          <w:rPr>
            <w:noProof/>
            <w:webHidden/>
          </w:rPr>
          <w:fldChar w:fldCharType="separate"/>
        </w:r>
        <w:r w:rsidR="00AA4068">
          <w:rPr>
            <w:noProof/>
            <w:webHidden/>
          </w:rPr>
          <w:t>54</w:t>
        </w:r>
        <w:r w:rsidR="00AA4068">
          <w:rPr>
            <w:noProof/>
            <w:webHidden/>
          </w:rPr>
          <w:fldChar w:fldCharType="end"/>
        </w:r>
      </w:hyperlink>
    </w:p>
    <w:p w14:paraId="0275F91B" w14:textId="1E1BF14B"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10" w:history="1">
        <w:r w:rsidR="00AA4068" w:rsidRPr="00BB4E07">
          <w:rPr>
            <w:rStyle w:val="Hiperveza"/>
            <w:noProof/>
          </w:rPr>
          <w:t>Tablica 11</w:t>
        </w:r>
        <w:r w:rsidR="00AA4068" w:rsidRPr="00BB4E07">
          <w:rPr>
            <w:rStyle w:val="Hiperveza"/>
            <w:noProof/>
          </w:rPr>
          <w:noBreakHyphen/>
          <w:t xml:space="preserve">2: </w:t>
        </w:r>
        <w:r w:rsidR="00AA4068" w:rsidRPr="00BB4E07">
          <w:rPr>
            <w:rStyle w:val="Hiperveza"/>
            <w:rFonts w:cs="Tahoma"/>
            <w:noProof/>
          </w:rPr>
          <w:t>Procjena investicijskog troška obnove VSZ za razdoblje od 2021. do 2030. uz pretpostavljene kategorije obnova prema NPOO</w:t>
        </w:r>
        <w:r w:rsidR="00AA4068">
          <w:rPr>
            <w:noProof/>
            <w:webHidden/>
          </w:rPr>
          <w:tab/>
        </w:r>
        <w:r w:rsidR="00AA4068">
          <w:rPr>
            <w:noProof/>
            <w:webHidden/>
          </w:rPr>
          <w:fldChar w:fldCharType="begin"/>
        </w:r>
        <w:r w:rsidR="00AA4068">
          <w:rPr>
            <w:noProof/>
            <w:webHidden/>
          </w:rPr>
          <w:instrText xml:space="preserve"> PAGEREF _Toc84240510 \h </w:instrText>
        </w:r>
        <w:r w:rsidR="00AA4068">
          <w:rPr>
            <w:noProof/>
            <w:webHidden/>
          </w:rPr>
        </w:r>
        <w:r w:rsidR="00AA4068">
          <w:rPr>
            <w:noProof/>
            <w:webHidden/>
          </w:rPr>
          <w:fldChar w:fldCharType="separate"/>
        </w:r>
        <w:r w:rsidR="00AA4068">
          <w:rPr>
            <w:noProof/>
            <w:webHidden/>
          </w:rPr>
          <w:t>55</w:t>
        </w:r>
        <w:r w:rsidR="00AA4068">
          <w:rPr>
            <w:noProof/>
            <w:webHidden/>
          </w:rPr>
          <w:fldChar w:fldCharType="end"/>
        </w:r>
      </w:hyperlink>
    </w:p>
    <w:p w14:paraId="02E23CC1" w14:textId="1FDD92D6"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11" w:history="1">
        <w:r w:rsidR="00AA4068" w:rsidRPr="00BB4E07">
          <w:rPr>
            <w:rStyle w:val="Hiperveza"/>
            <w:noProof/>
          </w:rPr>
          <w:t>Tablica 11</w:t>
        </w:r>
        <w:r w:rsidR="00AA4068" w:rsidRPr="00BB4E07">
          <w:rPr>
            <w:rStyle w:val="Hiperveza"/>
            <w:noProof/>
          </w:rPr>
          <w:noBreakHyphen/>
          <w:t>3: Indikativna sredstva Socijalnog fonda za klimatsku politiku</w:t>
        </w:r>
        <w:r w:rsidR="00AA4068">
          <w:rPr>
            <w:noProof/>
            <w:webHidden/>
          </w:rPr>
          <w:tab/>
        </w:r>
        <w:r w:rsidR="00AA4068">
          <w:rPr>
            <w:noProof/>
            <w:webHidden/>
          </w:rPr>
          <w:fldChar w:fldCharType="begin"/>
        </w:r>
        <w:r w:rsidR="00AA4068">
          <w:rPr>
            <w:noProof/>
            <w:webHidden/>
          </w:rPr>
          <w:instrText xml:space="preserve"> PAGEREF _Toc84240511 \h </w:instrText>
        </w:r>
        <w:r w:rsidR="00AA4068">
          <w:rPr>
            <w:noProof/>
            <w:webHidden/>
          </w:rPr>
        </w:r>
        <w:r w:rsidR="00AA4068">
          <w:rPr>
            <w:noProof/>
            <w:webHidden/>
          </w:rPr>
          <w:fldChar w:fldCharType="separate"/>
        </w:r>
        <w:r w:rsidR="00AA4068">
          <w:rPr>
            <w:noProof/>
            <w:webHidden/>
          </w:rPr>
          <w:t>57</w:t>
        </w:r>
        <w:r w:rsidR="00AA4068">
          <w:rPr>
            <w:noProof/>
            <w:webHidden/>
          </w:rPr>
          <w:fldChar w:fldCharType="end"/>
        </w:r>
      </w:hyperlink>
    </w:p>
    <w:p w14:paraId="3C417795" w14:textId="5A5B0D5E"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12" w:history="1">
        <w:r w:rsidR="00AA4068" w:rsidRPr="00BB4E07">
          <w:rPr>
            <w:rStyle w:val="Hiperveza"/>
            <w:noProof/>
          </w:rPr>
          <w:t>Tablica 11</w:t>
        </w:r>
        <w:r w:rsidR="00AA4068" w:rsidRPr="00BB4E07">
          <w:rPr>
            <w:rStyle w:val="Hiperveza"/>
            <w:noProof/>
          </w:rPr>
          <w:noBreakHyphen/>
          <w:t xml:space="preserve">4: </w:t>
        </w:r>
        <w:r w:rsidR="00AA4068" w:rsidRPr="00BB4E07">
          <w:rPr>
            <w:rStyle w:val="Hiperveza"/>
            <w:rFonts w:cs="Tahoma"/>
            <w:noProof/>
          </w:rPr>
          <w:t>Indikativni financijski plan i procjena obnovljene površine VSZ u razdoblju od 2022. do 2024.</w:t>
        </w:r>
        <w:r w:rsidR="00AA4068">
          <w:rPr>
            <w:noProof/>
            <w:webHidden/>
          </w:rPr>
          <w:tab/>
        </w:r>
        <w:r w:rsidR="00AA4068">
          <w:rPr>
            <w:noProof/>
            <w:webHidden/>
          </w:rPr>
          <w:fldChar w:fldCharType="begin"/>
        </w:r>
        <w:r w:rsidR="00AA4068">
          <w:rPr>
            <w:noProof/>
            <w:webHidden/>
          </w:rPr>
          <w:instrText xml:space="preserve"> PAGEREF _Toc84240512 \h </w:instrText>
        </w:r>
        <w:r w:rsidR="00AA4068">
          <w:rPr>
            <w:noProof/>
            <w:webHidden/>
          </w:rPr>
        </w:r>
        <w:r w:rsidR="00AA4068">
          <w:rPr>
            <w:noProof/>
            <w:webHidden/>
          </w:rPr>
          <w:fldChar w:fldCharType="separate"/>
        </w:r>
        <w:r w:rsidR="00AA4068">
          <w:rPr>
            <w:noProof/>
            <w:webHidden/>
          </w:rPr>
          <w:t>58</w:t>
        </w:r>
        <w:r w:rsidR="00AA4068">
          <w:rPr>
            <w:noProof/>
            <w:webHidden/>
          </w:rPr>
          <w:fldChar w:fldCharType="end"/>
        </w:r>
      </w:hyperlink>
    </w:p>
    <w:p w14:paraId="369553D6" w14:textId="43ADCFEE"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13" w:history="1">
        <w:r w:rsidR="00AA4068" w:rsidRPr="00BB4E07">
          <w:rPr>
            <w:rStyle w:val="Hiperveza"/>
            <w:noProof/>
          </w:rPr>
          <w:t>Tablica 13</w:t>
        </w:r>
        <w:r w:rsidR="00AA4068" w:rsidRPr="00BB4E07">
          <w:rPr>
            <w:rStyle w:val="Hiperveza"/>
            <w:noProof/>
          </w:rPr>
          <w:noBreakHyphen/>
          <w:t>1: Izračun ušteda energije u neposrednoj potrošnji (isporučena energija) i ušteda primarne energije za obnovu VSZ u prvom trogodišnjem razdoblju (do kraja 2024.) uz raspoloživa sredstva prema NPOO (pretpostavljena alokacija za VSZ)</w:t>
        </w:r>
        <w:r w:rsidR="00AA4068">
          <w:rPr>
            <w:noProof/>
            <w:webHidden/>
          </w:rPr>
          <w:tab/>
        </w:r>
        <w:r w:rsidR="00AA4068">
          <w:rPr>
            <w:noProof/>
            <w:webHidden/>
          </w:rPr>
          <w:fldChar w:fldCharType="begin"/>
        </w:r>
        <w:r w:rsidR="00AA4068">
          <w:rPr>
            <w:noProof/>
            <w:webHidden/>
          </w:rPr>
          <w:instrText xml:space="preserve"> PAGEREF _Toc84240513 \h </w:instrText>
        </w:r>
        <w:r w:rsidR="00AA4068">
          <w:rPr>
            <w:noProof/>
            <w:webHidden/>
          </w:rPr>
        </w:r>
        <w:r w:rsidR="00AA4068">
          <w:rPr>
            <w:noProof/>
            <w:webHidden/>
          </w:rPr>
          <w:fldChar w:fldCharType="separate"/>
        </w:r>
        <w:r w:rsidR="00AA4068">
          <w:rPr>
            <w:noProof/>
            <w:webHidden/>
          </w:rPr>
          <w:t>60</w:t>
        </w:r>
        <w:r w:rsidR="00AA4068">
          <w:rPr>
            <w:noProof/>
            <w:webHidden/>
          </w:rPr>
          <w:fldChar w:fldCharType="end"/>
        </w:r>
      </w:hyperlink>
    </w:p>
    <w:p w14:paraId="19BDFA3B" w14:textId="1D2CA6BA"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14" w:history="1">
        <w:r w:rsidR="00AA4068" w:rsidRPr="00BB4E07">
          <w:rPr>
            <w:rStyle w:val="Hiperveza"/>
            <w:noProof/>
          </w:rPr>
          <w:t>Tablica 13</w:t>
        </w:r>
        <w:r w:rsidR="00AA4068" w:rsidRPr="00BB4E07">
          <w:rPr>
            <w:rStyle w:val="Hiperveza"/>
            <w:noProof/>
          </w:rPr>
          <w:noBreakHyphen/>
          <w:t>2: Izračun kumulativnih ušteda energije u neposrednoj potrošnji (isporučena energija) za obnovu VSZ u prvom trogodišnjem razdoblju (do kraja 2024.) uz raspoloživa sredstva iz NPOO</w:t>
        </w:r>
        <w:r w:rsidR="00AA4068">
          <w:rPr>
            <w:noProof/>
            <w:webHidden/>
          </w:rPr>
          <w:tab/>
        </w:r>
        <w:r w:rsidR="00AA4068">
          <w:rPr>
            <w:noProof/>
            <w:webHidden/>
          </w:rPr>
          <w:fldChar w:fldCharType="begin"/>
        </w:r>
        <w:r w:rsidR="00AA4068">
          <w:rPr>
            <w:noProof/>
            <w:webHidden/>
          </w:rPr>
          <w:instrText xml:space="preserve"> PAGEREF _Toc84240514 \h </w:instrText>
        </w:r>
        <w:r w:rsidR="00AA4068">
          <w:rPr>
            <w:noProof/>
            <w:webHidden/>
          </w:rPr>
        </w:r>
        <w:r w:rsidR="00AA4068">
          <w:rPr>
            <w:noProof/>
            <w:webHidden/>
          </w:rPr>
          <w:fldChar w:fldCharType="separate"/>
        </w:r>
        <w:r w:rsidR="00AA4068">
          <w:rPr>
            <w:noProof/>
            <w:webHidden/>
          </w:rPr>
          <w:t>61</w:t>
        </w:r>
        <w:r w:rsidR="00AA4068">
          <w:rPr>
            <w:noProof/>
            <w:webHidden/>
          </w:rPr>
          <w:fldChar w:fldCharType="end"/>
        </w:r>
      </w:hyperlink>
    </w:p>
    <w:p w14:paraId="283579D5" w14:textId="23DACE5B"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15" w:history="1">
        <w:r w:rsidR="00AA4068" w:rsidRPr="00BB4E07">
          <w:rPr>
            <w:rStyle w:val="Hiperveza"/>
            <w:noProof/>
          </w:rPr>
          <w:t>Tablica 13</w:t>
        </w:r>
        <w:r w:rsidR="00AA4068" w:rsidRPr="00BB4E07">
          <w:rPr>
            <w:rStyle w:val="Hiperveza"/>
            <w:noProof/>
          </w:rPr>
          <w:noBreakHyphen/>
          <w:t>3 Specifične vrijednosti površina i ulaganja u građevne dijelove ovojnice za VSZ</w:t>
        </w:r>
        <w:r w:rsidR="00AA4068">
          <w:rPr>
            <w:noProof/>
            <w:webHidden/>
          </w:rPr>
          <w:tab/>
        </w:r>
        <w:r w:rsidR="00AA4068">
          <w:rPr>
            <w:noProof/>
            <w:webHidden/>
          </w:rPr>
          <w:fldChar w:fldCharType="begin"/>
        </w:r>
        <w:r w:rsidR="00AA4068">
          <w:rPr>
            <w:noProof/>
            <w:webHidden/>
          </w:rPr>
          <w:instrText xml:space="preserve"> PAGEREF _Toc84240515 \h </w:instrText>
        </w:r>
        <w:r w:rsidR="00AA4068">
          <w:rPr>
            <w:noProof/>
            <w:webHidden/>
          </w:rPr>
        </w:r>
        <w:r w:rsidR="00AA4068">
          <w:rPr>
            <w:noProof/>
            <w:webHidden/>
          </w:rPr>
          <w:fldChar w:fldCharType="separate"/>
        </w:r>
        <w:r w:rsidR="00AA4068">
          <w:rPr>
            <w:noProof/>
            <w:webHidden/>
          </w:rPr>
          <w:t>61</w:t>
        </w:r>
        <w:r w:rsidR="00AA4068">
          <w:rPr>
            <w:noProof/>
            <w:webHidden/>
          </w:rPr>
          <w:fldChar w:fldCharType="end"/>
        </w:r>
      </w:hyperlink>
    </w:p>
    <w:p w14:paraId="268FB666" w14:textId="1E904481"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16" w:history="1">
        <w:r w:rsidR="00AA4068" w:rsidRPr="00BB4E07">
          <w:rPr>
            <w:rStyle w:val="Hiperveza"/>
            <w:noProof/>
          </w:rPr>
          <w:t>Tablica 13</w:t>
        </w:r>
        <w:r w:rsidR="00AA4068" w:rsidRPr="00BB4E07">
          <w:rPr>
            <w:rStyle w:val="Hiperveza"/>
            <w:noProof/>
          </w:rPr>
          <w:noBreakHyphen/>
          <w:t>4: Pojednostavljeni proračun povrata uloženih javnih sredstava u državni  proračun (na godišnjoj razini) u slučaju obnove VSZ prema ciljevima Dugoročne strategije</w:t>
        </w:r>
        <w:r w:rsidR="00AA4068">
          <w:rPr>
            <w:noProof/>
            <w:webHidden/>
          </w:rPr>
          <w:tab/>
        </w:r>
        <w:r w:rsidR="00AA4068">
          <w:rPr>
            <w:noProof/>
            <w:webHidden/>
          </w:rPr>
          <w:fldChar w:fldCharType="begin"/>
        </w:r>
        <w:r w:rsidR="00AA4068">
          <w:rPr>
            <w:noProof/>
            <w:webHidden/>
          </w:rPr>
          <w:instrText xml:space="preserve"> PAGEREF _Toc84240516 \h </w:instrText>
        </w:r>
        <w:r w:rsidR="00AA4068">
          <w:rPr>
            <w:noProof/>
            <w:webHidden/>
          </w:rPr>
        </w:r>
        <w:r w:rsidR="00AA4068">
          <w:rPr>
            <w:noProof/>
            <w:webHidden/>
          </w:rPr>
          <w:fldChar w:fldCharType="separate"/>
        </w:r>
        <w:r w:rsidR="00AA4068">
          <w:rPr>
            <w:noProof/>
            <w:webHidden/>
          </w:rPr>
          <w:t>62</w:t>
        </w:r>
        <w:r w:rsidR="00AA4068">
          <w:rPr>
            <w:noProof/>
            <w:webHidden/>
          </w:rPr>
          <w:fldChar w:fldCharType="end"/>
        </w:r>
      </w:hyperlink>
    </w:p>
    <w:p w14:paraId="72552E9C" w14:textId="131B4819" w:rsidR="00AA4068" w:rsidRDefault="009F20D0">
      <w:pPr>
        <w:pStyle w:val="Tablicaslika"/>
        <w:tabs>
          <w:tab w:val="right" w:leader="dot" w:pos="9062"/>
        </w:tabs>
        <w:rPr>
          <w:rFonts w:asciiTheme="minorHAnsi" w:eastAsiaTheme="minorEastAsia" w:hAnsiTheme="minorHAnsi" w:cstheme="minorBidi"/>
          <w:noProof/>
          <w:sz w:val="22"/>
          <w:szCs w:val="22"/>
          <w:lang w:eastAsia="hr-HR"/>
        </w:rPr>
      </w:pPr>
      <w:hyperlink w:anchor="_Toc84240517" w:history="1">
        <w:r w:rsidR="00AA4068" w:rsidRPr="00BB4E07">
          <w:rPr>
            <w:rStyle w:val="Hiperveza"/>
            <w:noProof/>
          </w:rPr>
          <w:t>Tablica 14</w:t>
        </w:r>
        <w:r w:rsidR="00AA4068" w:rsidRPr="00BB4E07">
          <w:rPr>
            <w:rStyle w:val="Hiperveza"/>
            <w:noProof/>
          </w:rPr>
          <w:noBreakHyphen/>
          <w:t>1: Metoda za izračun ušteda energije projekata energetske obnove zgrada</w:t>
        </w:r>
        <w:r w:rsidR="00AA4068">
          <w:rPr>
            <w:noProof/>
            <w:webHidden/>
          </w:rPr>
          <w:tab/>
        </w:r>
        <w:r w:rsidR="00AA4068">
          <w:rPr>
            <w:noProof/>
            <w:webHidden/>
          </w:rPr>
          <w:fldChar w:fldCharType="begin"/>
        </w:r>
        <w:r w:rsidR="00AA4068">
          <w:rPr>
            <w:noProof/>
            <w:webHidden/>
          </w:rPr>
          <w:instrText xml:space="preserve"> PAGEREF _Toc84240517 \h </w:instrText>
        </w:r>
        <w:r w:rsidR="00AA4068">
          <w:rPr>
            <w:noProof/>
            <w:webHidden/>
          </w:rPr>
        </w:r>
        <w:r w:rsidR="00AA4068">
          <w:rPr>
            <w:noProof/>
            <w:webHidden/>
          </w:rPr>
          <w:fldChar w:fldCharType="separate"/>
        </w:r>
        <w:r w:rsidR="00AA4068">
          <w:rPr>
            <w:noProof/>
            <w:webHidden/>
          </w:rPr>
          <w:t>65</w:t>
        </w:r>
        <w:r w:rsidR="00AA4068">
          <w:rPr>
            <w:noProof/>
            <w:webHidden/>
          </w:rPr>
          <w:fldChar w:fldCharType="end"/>
        </w:r>
      </w:hyperlink>
    </w:p>
    <w:p w14:paraId="4105DF6B" w14:textId="48EA026B" w:rsidR="004949CA" w:rsidRDefault="004949CA" w:rsidP="004949CA">
      <w:pPr>
        <w:pStyle w:val="Tablicaslika"/>
        <w:tabs>
          <w:tab w:val="right" w:leader="dot" w:pos="9344"/>
        </w:tabs>
      </w:pPr>
      <w:r>
        <w:rPr>
          <w:b/>
          <w:bCs/>
          <w:noProof/>
          <w:lang w:val="en-US"/>
        </w:rPr>
        <w:fldChar w:fldCharType="end"/>
      </w:r>
    </w:p>
    <w:p w14:paraId="1958D2FB" w14:textId="77777777" w:rsidR="004949CA" w:rsidRPr="00FF759E" w:rsidRDefault="004949CA" w:rsidP="004949CA"/>
    <w:p w14:paraId="7FA2A91E" w14:textId="51B2C731" w:rsidR="004949CA" w:rsidRPr="00B03FFD" w:rsidRDefault="00B03FFD" w:rsidP="00B03FFD">
      <w:pPr>
        <w:pStyle w:val="Naslov10"/>
      </w:pPr>
      <w:bookmarkStart w:id="248" w:name="_Toc81836310"/>
      <w:bookmarkStart w:id="249" w:name="_Toc83912083"/>
      <w:r w:rsidRPr="00B03FFD">
        <w:lastRenderedPageBreak/>
        <w:t>Popis literature i izvora podataka</w:t>
      </w:r>
      <w:bookmarkEnd w:id="248"/>
      <w:bookmarkEnd w:id="249"/>
    </w:p>
    <w:p w14:paraId="1E3EDE1C" w14:textId="77777777" w:rsidR="004949CA" w:rsidRPr="00A602B0" w:rsidRDefault="004949CA" w:rsidP="004949CA">
      <w:pPr>
        <w:pStyle w:val="Odlomakpopisa"/>
        <w:numPr>
          <w:ilvl w:val="0"/>
          <w:numId w:val="17"/>
        </w:numPr>
        <w:rPr>
          <w:szCs w:val="20"/>
        </w:rPr>
      </w:pPr>
      <w:r w:rsidRPr="00A602B0">
        <w:rPr>
          <w:szCs w:val="20"/>
        </w:rPr>
        <w:t>Dugoročna strategija obnove nacionalnog fonda zgrada do 2050. godine (</w:t>
      </w:r>
      <w:r>
        <w:rPr>
          <w:szCs w:val="20"/>
        </w:rPr>
        <w:t>Narodne novine,</w:t>
      </w:r>
      <w:r w:rsidRPr="00A602B0">
        <w:rPr>
          <w:szCs w:val="20"/>
        </w:rPr>
        <w:t xml:space="preserve"> br</w:t>
      </w:r>
      <w:r>
        <w:rPr>
          <w:szCs w:val="20"/>
        </w:rPr>
        <w:t>oj</w:t>
      </w:r>
      <w:r w:rsidRPr="00A602B0">
        <w:rPr>
          <w:szCs w:val="20"/>
        </w:rPr>
        <w:t xml:space="preserve"> 140/20)</w:t>
      </w:r>
    </w:p>
    <w:p w14:paraId="6CDB9589" w14:textId="77777777" w:rsidR="004949CA" w:rsidRPr="00A602B0" w:rsidRDefault="004949CA" w:rsidP="004949CA">
      <w:pPr>
        <w:pStyle w:val="Odlomakpopisa"/>
        <w:numPr>
          <w:ilvl w:val="0"/>
          <w:numId w:val="17"/>
        </w:numPr>
        <w:rPr>
          <w:szCs w:val="20"/>
        </w:rPr>
      </w:pPr>
      <w:r w:rsidRPr="00A602B0">
        <w:rPr>
          <w:szCs w:val="20"/>
        </w:rPr>
        <w:t xml:space="preserve">Program energetske obnove </w:t>
      </w:r>
      <w:r>
        <w:rPr>
          <w:szCs w:val="20"/>
        </w:rPr>
        <w:t>višestambenih zgrada</w:t>
      </w:r>
      <w:r w:rsidRPr="00A602B0">
        <w:rPr>
          <w:szCs w:val="20"/>
        </w:rPr>
        <w:t xml:space="preserve"> za razdoblje od 2014. do 2020. godine (</w:t>
      </w:r>
      <w:r>
        <w:rPr>
          <w:szCs w:val="20"/>
        </w:rPr>
        <w:t>Narodne novine,</w:t>
      </w:r>
      <w:r w:rsidRPr="00A602B0">
        <w:rPr>
          <w:szCs w:val="20"/>
        </w:rPr>
        <w:t xml:space="preserve"> br</w:t>
      </w:r>
      <w:r>
        <w:rPr>
          <w:szCs w:val="20"/>
        </w:rPr>
        <w:t>oj</w:t>
      </w:r>
      <w:r w:rsidRPr="00A602B0">
        <w:rPr>
          <w:szCs w:val="20"/>
        </w:rPr>
        <w:t xml:space="preserve"> </w:t>
      </w:r>
      <w:r>
        <w:rPr>
          <w:szCs w:val="20"/>
        </w:rPr>
        <w:t>78</w:t>
      </w:r>
      <w:r w:rsidRPr="00A602B0">
        <w:rPr>
          <w:szCs w:val="20"/>
        </w:rPr>
        <w:t>/</w:t>
      </w:r>
      <w:r>
        <w:rPr>
          <w:szCs w:val="20"/>
        </w:rPr>
        <w:t>14</w:t>
      </w:r>
      <w:r w:rsidRPr="00A602B0">
        <w:rPr>
          <w:szCs w:val="20"/>
        </w:rPr>
        <w:t xml:space="preserve">) </w:t>
      </w:r>
    </w:p>
    <w:p w14:paraId="3F049FE8" w14:textId="77777777" w:rsidR="004949CA" w:rsidRPr="005315C7" w:rsidRDefault="004949CA" w:rsidP="004949CA">
      <w:pPr>
        <w:pStyle w:val="Odlomakpopisa"/>
        <w:numPr>
          <w:ilvl w:val="0"/>
          <w:numId w:val="17"/>
        </w:numPr>
        <w:rPr>
          <w:rStyle w:val="Hiperveza"/>
          <w:rFonts w:eastAsiaTheme="majorEastAsia" w:cs="Myriad Pro"/>
          <w:color w:val="000000" w:themeColor="text1"/>
        </w:rPr>
      </w:pPr>
      <w:r w:rsidRPr="005315C7">
        <w:rPr>
          <w:color w:val="000000" w:themeColor="text1"/>
        </w:rPr>
        <w:t xml:space="preserve">Nacionalni akcijski plan energetske učinkovitosti, dostupan na: </w:t>
      </w:r>
      <w:hyperlink r:id="rId29" w:history="1">
        <w:r w:rsidRPr="005315C7">
          <w:rPr>
            <w:rStyle w:val="Hiperveza"/>
            <w:rFonts w:eastAsiaTheme="majorEastAsia" w:cs="Myriad Pro"/>
            <w:color w:val="000000" w:themeColor="text1"/>
          </w:rPr>
          <w:t>https://mgipu.gov.hr/UserDocsImages/dokumenti/EnergetskaUcinkovitost/IV_NAPEU_2019.pdf</w:t>
        </w:r>
      </w:hyperlink>
    </w:p>
    <w:p w14:paraId="2F7759EE" w14:textId="77777777" w:rsidR="004949CA" w:rsidRPr="005315C7" w:rsidRDefault="004949CA" w:rsidP="004949CA">
      <w:pPr>
        <w:pStyle w:val="Odlomakpopisa"/>
        <w:numPr>
          <w:ilvl w:val="0"/>
          <w:numId w:val="17"/>
        </w:numPr>
        <w:rPr>
          <w:rStyle w:val="Hiperveza"/>
          <w:rFonts w:eastAsiaTheme="majorEastAsia" w:cs="Myriad Pro"/>
          <w:color w:val="000000" w:themeColor="text1"/>
        </w:rPr>
      </w:pPr>
      <w:r w:rsidRPr="005315C7">
        <w:rPr>
          <w:color w:val="000000" w:themeColor="text1"/>
          <w:szCs w:val="20"/>
        </w:rPr>
        <w:t>Integrirani nacionalni energetsko-klimatski plan Republike Hrvatske</w:t>
      </w:r>
      <w:r w:rsidRPr="005315C7">
        <w:rPr>
          <w:b/>
          <w:bCs/>
          <w:color w:val="000000" w:themeColor="text1"/>
          <w:szCs w:val="20"/>
        </w:rPr>
        <w:t xml:space="preserve">, </w:t>
      </w:r>
      <w:r w:rsidRPr="005315C7">
        <w:rPr>
          <w:color w:val="000000" w:themeColor="text1"/>
          <w:szCs w:val="20"/>
        </w:rPr>
        <w:t xml:space="preserve">dostupan na: </w:t>
      </w:r>
      <w:hyperlink r:id="rId30" w:history="1">
        <w:r w:rsidRPr="005315C7">
          <w:rPr>
            <w:rStyle w:val="Hiperveza"/>
            <w:rFonts w:eastAsiaTheme="majorEastAsia" w:cs="Myriad Pro"/>
            <w:color w:val="000000" w:themeColor="text1"/>
            <w:szCs w:val="20"/>
          </w:rPr>
          <w:t>https://mingor.gov.hr/o-ministarstvu-1065/djelokrug/uprava-za-energetiku-1999/strategije-planovi-i-programi-2009/2009</w:t>
        </w:r>
      </w:hyperlink>
    </w:p>
    <w:p w14:paraId="10C1C05A" w14:textId="77777777" w:rsidR="004949CA" w:rsidRPr="005315C7" w:rsidRDefault="004949CA" w:rsidP="004949CA">
      <w:pPr>
        <w:pStyle w:val="Odlomakpopisa"/>
        <w:numPr>
          <w:ilvl w:val="0"/>
          <w:numId w:val="17"/>
        </w:numPr>
        <w:rPr>
          <w:color w:val="000000" w:themeColor="text1"/>
          <w:szCs w:val="20"/>
        </w:rPr>
      </w:pPr>
      <w:r w:rsidRPr="005315C7">
        <w:rPr>
          <w:color w:val="000000" w:themeColor="text1"/>
          <w:szCs w:val="20"/>
        </w:rPr>
        <w:t>Zakon o energetskoj učinkovitosti (Narodne novine, br.127/14, 116/18, 25/20 i 41/21)</w:t>
      </w:r>
    </w:p>
    <w:p w14:paraId="73FCFBB5" w14:textId="77777777" w:rsidR="004949CA" w:rsidRPr="005315C7" w:rsidRDefault="004949CA" w:rsidP="004949CA">
      <w:pPr>
        <w:pStyle w:val="Odlomakpopisa"/>
        <w:numPr>
          <w:ilvl w:val="0"/>
          <w:numId w:val="17"/>
        </w:numPr>
        <w:rPr>
          <w:color w:val="000000" w:themeColor="text1"/>
          <w:szCs w:val="20"/>
        </w:rPr>
      </w:pPr>
      <w:r w:rsidRPr="005315C7">
        <w:rPr>
          <w:color w:val="000000" w:themeColor="text1"/>
          <w:szCs w:val="20"/>
        </w:rPr>
        <w:t>Zakon o gradnji ( Narodne novine br. 153/13, 20/17, 39/19 i 125/19)</w:t>
      </w:r>
    </w:p>
    <w:p w14:paraId="4B5145BD" w14:textId="44314415" w:rsidR="004949CA" w:rsidRPr="005315C7" w:rsidRDefault="004949CA" w:rsidP="004949CA">
      <w:pPr>
        <w:pStyle w:val="Odlomakpopisa"/>
        <w:numPr>
          <w:ilvl w:val="0"/>
          <w:numId w:val="17"/>
        </w:numPr>
        <w:rPr>
          <w:color w:val="000000" w:themeColor="text1"/>
          <w:szCs w:val="20"/>
        </w:rPr>
      </w:pPr>
      <w:r w:rsidRPr="005315C7">
        <w:rPr>
          <w:color w:val="000000" w:themeColor="text1"/>
        </w:rPr>
        <w:t xml:space="preserve">Zakon o sustavu strateškog planiranja i upravljanja razvojem </w:t>
      </w:r>
      <w:r w:rsidR="000C2E0D">
        <w:rPr>
          <w:color w:val="000000" w:themeColor="text1"/>
        </w:rPr>
        <w:t>Republike Hrvatske</w:t>
      </w:r>
      <w:r w:rsidRPr="005315C7">
        <w:rPr>
          <w:color w:val="000000" w:themeColor="text1"/>
        </w:rPr>
        <w:t xml:space="preserve">  (</w:t>
      </w:r>
      <w:r w:rsidRPr="005315C7">
        <w:rPr>
          <w:color w:val="000000" w:themeColor="text1"/>
          <w:szCs w:val="20"/>
        </w:rPr>
        <w:t>Narodne novine,</w:t>
      </w:r>
      <w:r w:rsidRPr="005315C7">
        <w:rPr>
          <w:color w:val="000000" w:themeColor="text1"/>
        </w:rPr>
        <w:t xml:space="preserve"> broj 123/17)</w:t>
      </w:r>
      <w:r w:rsidRPr="005315C7">
        <w:rPr>
          <w:color w:val="000000" w:themeColor="text1"/>
          <w:szCs w:val="20"/>
        </w:rPr>
        <w:t xml:space="preserve">  </w:t>
      </w:r>
    </w:p>
    <w:p w14:paraId="07ED4E96" w14:textId="77777777" w:rsidR="004949CA" w:rsidRPr="005315C7" w:rsidRDefault="004949CA" w:rsidP="004949CA">
      <w:pPr>
        <w:pStyle w:val="Odlomakpopisa"/>
        <w:numPr>
          <w:ilvl w:val="0"/>
          <w:numId w:val="17"/>
        </w:numPr>
        <w:rPr>
          <w:color w:val="000000" w:themeColor="text1"/>
          <w:szCs w:val="20"/>
        </w:rPr>
      </w:pPr>
      <w:r w:rsidRPr="005315C7">
        <w:rPr>
          <w:color w:val="000000" w:themeColor="text1"/>
        </w:rPr>
        <w:t>Uredba o smjernicama za izradu akata strateškog planiranja od nacionalnog značaja i od značaja za jedinice lokalne i područne (regionalne) samouprave (</w:t>
      </w:r>
      <w:r w:rsidRPr="005315C7">
        <w:rPr>
          <w:color w:val="000000" w:themeColor="text1"/>
          <w:szCs w:val="20"/>
        </w:rPr>
        <w:t>Narodne novine,</w:t>
      </w:r>
      <w:r w:rsidRPr="005315C7">
        <w:rPr>
          <w:color w:val="000000" w:themeColor="text1"/>
        </w:rPr>
        <w:t xml:space="preserve"> broj 89/18)</w:t>
      </w:r>
    </w:p>
    <w:p w14:paraId="35EC8BB0" w14:textId="77777777" w:rsidR="004949CA" w:rsidRPr="005315C7" w:rsidRDefault="004949CA" w:rsidP="004949CA">
      <w:pPr>
        <w:pStyle w:val="Odlomakpopisa"/>
        <w:numPr>
          <w:ilvl w:val="0"/>
          <w:numId w:val="17"/>
        </w:numPr>
        <w:rPr>
          <w:color w:val="000000" w:themeColor="text1"/>
          <w:szCs w:val="20"/>
        </w:rPr>
      </w:pPr>
      <w:r w:rsidRPr="005315C7">
        <w:rPr>
          <w:color w:val="000000" w:themeColor="text1"/>
          <w:szCs w:val="20"/>
        </w:rPr>
        <w:t>Pravilnik o sustavu za praćenje, mjerenje i verifikaciju ušteda energije (Narodne novine, broj 33/20)</w:t>
      </w:r>
    </w:p>
    <w:p w14:paraId="4EB7A572" w14:textId="77777777" w:rsidR="004949CA" w:rsidRPr="005315C7" w:rsidRDefault="004949CA" w:rsidP="004949CA">
      <w:pPr>
        <w:pStyle w:val="Odlomakpopisa"/>
        <w:numPr>
          <w:ilvl w:val="0"/>
          <w:numId w:val="17"/>
        </w:numPr>
        <w:rPr>
          <w:color w:val="000000" w:themeColor="text1"/>
          <w:szCs w:val="20"/>
        </w:rPr>
      </w:pPr>
      <w:r w:rsidRPr="005315C7">
        <w:rPr>
          <w:color w:val="000000" w:themeColor="text1"/>
        </w:rPr>
        <w:t>Pravilnik o rokovima i postupcima praćenja i izvještavanja o provedbi akata strateškog planiranja od nacionalnog značaja i od značaja za jedinice lokalne i područne (regionalne) samouprave (</w:t>
      </w:r>
      <w:r w:rsidRPr="005315C7">
        <w:rPr>
          <w:color w:val="000000" w:themeColor="text1"/>
          <w:szCs w:val="20"/>
        </w:rPr>
        <w:t>Narodne novine,</w:t>
      </w:r>
      <w:r w:rsidRPr="005315C7">
        <w:rPr>
          <w:color w:val="000000" w:themeColor="text1"/>
        </w:rPr>
        <w:t xml:space="preserve"> broj 6/19) </w:t>
      </w:r>
    </w:p>
    <w:p w14:paraId="7652DD54" w14:textId="77777777" w:rsidR="004949CA" w:rsidRPr="005315C7" w:rsidRDefault="004949CA" w:rsidP="004949CA">
      <w:pPr>
        <w:pStyle w:val="Odlomakpopisa"/>
        <w:numPr>
          <w:ilvl w:val="0"/>
          <w:numId w:val="17"/>
        </w:numPr>
        <w:rPr>
          <w:color w:val="000000" w:themeColor="text1"/>
          <w:szCs w:val="20"/>
        </w:rPr>
      </w:pPr>
      <w:r w:rsidRPr="005315C7">
        <w:rPr>
          <w:color w:val="000000" w:themeColor="text1"/>
        </w:rPr>
        <w:t>Pravilnik o provedbi postupka vrednovanja (</w:t>
      </w:r>
      <w:r w:rsidRPr="005315C7">
        <w:rPr>
          <w:color w:val="000000" w:themeColor="text1"/>
          <w:szCs w:val="20"/>
        </w:rPr>
        <w:t>Narodne novine,</w:t>
      </w:r>
      <w:r w:rsidRPr="005315C7">
        <w:rPr>
          <w:color w:val="000000" w:themeColor="text1"/>
        </w:rPr>
        <w:t xml:space="preserve"> broj 66/19)</w:t>
      </w:r>
    </w:p>
    <w:p w14:paraId="6401D454" w14:textId="77777777" w:rsidR="004949CA" w:rsidRPr="005315C7" w:rsidRDefault="004949CA" w:rsidP="004949CA">
      <w:pPr>
        <w:pStyle w:val="Odlomakpopisa"/>
        <w:numPr>
          <w:ilvl w:val="0"/>
          <w:numId w:val="17"/>
        </w:numPr>
        <w:rPr>
          <w:color w:val="000000" w:themeColor="text1"/>
          <w:szCs w:val="20"/>
        </w:rPr>
      </w:pPr>
      <w:r w:rsidRPr="005315C7">
        <w:rPr>
          <w:color w:val="000000" w:themeColor="text1"/>
          <w:szCs w:val="20"/>
        </w:rPr>
        <w:t>Tehnički propis o racionalnoj uporabi energije i toplinskoj zaštiti u zgradama (Narodne novine, br. 128/15, 70/18, 73/18, 86/18 i 102/20)</w:t>
      </w:r>
    </w:p>
    <w:p w14:paraId="353B7B40" w14:textId="77777777" w:rsidR="004949CA" w:rsidRPr="005315C7" w:rsidRDefault="004949CA" w:rsidP="004949CA">
      <w:pPr>
        <w:pStyle w:val="Odlomakpopisa"/>
        <w:numPr>
          <w:ilvl w:val="0"/>
          <w:numId w:val="17"/>
        </w:numPr>
        <w:rPr>
          <w:color w:val="000000" w:themeColor="text1"/>
        </w:rPr>
      </w:pPr>
      <w:r w:rsidRPr="005315C7">
        <w:rPr>
          <w:color w:val="000000" w:themeColor="text1"/>
        </w:rPr>
        <w:t xml:space="preserve">Rezultati troškovno optimalnih analiza za utvrđivanje minimalnih zahtjeva na energetsko svojstvo zgrada za višestambene zgrade, dostupno na: </w:t>
      </w:r>
      <w:hyperlink r:id="rId31" w:history="1">
        <w:r w:rsidRPr="005315C7">
          <w:rPr>
            <w:rStyle w:val="Hiperveza"/>
            <w:rFonts w:eastAsiaTheme="majorEastAsia" w:cs="Myriad Pro"/>
            <w:color w:val="000000" w:themeColor="text1"/>
          </w:rPr>
          <w:t>https://mgipu.gov.hr/UserDocsImages//dokumenti/Propisi//EIHP-014-0185-01-06_vi%C5%A1estamb.pdf</w:t>
        </w:r>
      </w:hyperlink>
      <w:r w:rsidRPr="005315C7">
        <w:rPr>
          <w:color w:val="000000" w:themeColor="text1"/>
        </w:rPr>
        <w:t xml:space="preserve"> </w:t>
      </w:r>
    </w:p>
    <w:p w14:paraId="45F40CD5" w14:textId="77777777" w:rsidR="004949CA" w:rsidRDefault="004949CA" w:rsidP="004949CA">
      <w:pPr>
        <w:pStyle w:val="Odlomakpopisa"/>
        <w:numPr>
          <w:ilvl w:val="0"/>
          <w:numId w:val="17"/>
        </w:numPr>
      </w:pPr>
      <w:r w:rsidRPr="005315C7">
        <w:rPr>
          <w:color w:val="000000" w:themeColor="text1"/>
        </w:rPr>
        <w:t xml:space="preserve">Studija „Revizija izračuna specifičnog </w:t>
      </w:r>
      <w:r>
        <w:t>pokazatelja rezultata 4c21 Prosječna potražnja energije za grijanje/hlađenje u obnovljenim stambenim zgradama te zajedničkih pokazatelja neposrednih rezultata CO 31 Energetska učinkovitost: broj kućanstva s poboljšanom klasifikacijom potrošnje energije i 4c22 Smanjenje potrošnje primarne energije u zgradama stambenog sektora“, Energetski institut Hrvoje Požar, 2017.</w:t>
      </w:r>
    </w:p>
    <w:p w14:paraId="3E9D2544" w14:textId="77777777" w:rsidR="004949CA" w:rsidRDefault="004949CA" w:rsidP="004949CA">
      <w:pPr>
        <w:pStyle w:val="Odlomakpopisa"/>
        <w:numPr>
          <w:ilvl w:val="0"/>
          <w:numId w:val="17"/>
        </w:numPr>
      </w:pPr>
      <w:r>
        <w:t xml:space="preserve">Studija „Analiza preporučene stope sufinanciranja energetske obnove stambenih zgrada“, Energetski institut Hrvoje Požar, 2017. </w:t>
      </w:r>
    </w:p>
    <w:p w14:paraId="2DAB6C09" w14:textId="77777777" w:rsidR="004949CA" w:rsidRDefault="004949CA" w:rsidP="004949CA">
      <w:pPr>
        <w:pStyle w:val="Odlomakpopisa"/>
        <w:numPr>
          <w:ilvl w:val="0"/>
          <w:numId w:val="17"/>
        </w:numPr>
      </w:pPr>
      <w:r w:rsidRPr="00053EE3">
        <w:t>Program mjera obnove zgrada oštećenih potresom na području Grada Zagreba, Krapinsko-zagorske županije, Zagrebačke županije, Sisačko-moslavačke županije i Karlovačke županije (</w:t>
      </w:r>
      <w:r>
        <w:rPr>
          <w:szCs w:val="20"/>
        </w:rPr>
        <w:t>Narodne novine,</w:t>
      </w:r>
      <w:r w:rsidRPr="00053EE3">
        <w:t xml:space="preserve"> </w:t>
      </w:r>
      <w:r>
        <w:t xml:space="preserve">broj </w:t>
      </w:r>
      <w:r w:rsidRPr="00053EE3">
        <w:t>17/2021)</w:t>
      </w:r>
    </w:p>
    <w:p w14:paraId="05BF23F4" w14:textId="21BD1208" w:rsidR="00B610AE" w:rsidRPr="00490154" w:rsidRDefault="00B610AE" w:rsidP="00490154">
      <w:pPr>
        <w:spacing w:after="0"/>
        <w:ind w:left="360"/>
        <w:rPr>
          <w:rFonts w:cs="Tahoma"/>
          <w:b/>
          <w:bCs/>
          <w:color w:val="A6A6A6" w:themeColor="background1" w:themeShade="A6"/>
          <w:szCs w:val="20"/>
        </w:rPr>
      </w:pPr>
    </w:p>
    <w:p w14:paraId="4C059D8F" w14:textId="77777777" w:rsidR="00B610AE" w:rsidRPr="00B610AE" w:rsidRDefault="00B610AE" w:rsidP="00B610AE">
      <w:pPr>
        <w:jc w:val="center"/>
        <w:rPr>
          <w:rFonts w:ascii="Tahoma" w:hAnsi="Tahoma" w:cs="Tahoma"/>
          <w:b/>
          <w:bCs/>
          <w:color w:val="A6A6A6" w:themeColor="background1" w:themeShade="A6"/>
          <w:sz w:val="20"/>
          <w:szCs w:val="20"/>
        </w:rPr>
      </w:pPr>
    </w:p>
    <w:sectPr w:rsidR="00B610AE" w:rsidRPr="00B610AE" w:rsidSect="008E4DAB">
      <w:headerReference w:type="even" r:id="rId32"/>
      <w:headerReference w:type="default" r:id="rId33"/>
      <w:headerReference w:type="first" r:id="rId34"/>
      <w:foot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93771" w14:textId="77777777" w:rsidR="00C24699" w:rsidRDefault="00C24699" w:rsidP="00B610AE">
      <w:pPr>
        <w:spacing w:after="0" w:line="240" w:lineRule="auto"/>
      </w:pPr>
      <w:r>
        <w:separator/>
      </w:r>
    </w:p>
  </w:endnote>
  <w:endnote w:type="continuationSeparator" w:id="0">
    <w:p w14:paraId="1045A5ED" w14:textId="77777777" w:rsidR="00C24699" w:rsidRDefault="00C24699" w:rsidP="00B610AE">
      <w:pPr>
        <w:spacing w:after="0" w:line="240" w:lineRule="auto"/>
      </w:pPr>
      <w:r>
        <w:continuationSeparator/>
      </w:r>
    </w:p>
  </w:endnote>
  <w:endnote w:type="continuationNotice" w:id="1">
    <w:p w14:paraId="6EA41457" w14:textId="77777777" w:rsidR="00C24699" w:rsidRDefault="00C24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626925"/>
      <w:docPartObj>
        <w:docPartGallery w:val="Page Numbers (Bottom of Page)"/>
        <w:docPartUnique/>
      </w:docPartObj>
    </w:sdtPr>
    <w:sdtEndPr/>
    <w:sdtContent>
      <w:p w14:paraId="1D374A5E" w14:textId="0E868491" w:rsidR="00B16443" w:rsidRDefault="00B16443">
        <w:pPr>
          <w:pStyle w:val="Podnoje"/>
          <w:jc w:val="right"/>
        </w:pPr>
        <w:r>
          <w:fldChar w:fldCharType="begin"/>
        </w:r>
        <w:r>
          <w:instrText>PAGE   \* MERGEFORMAT</w:instrText>
        </w:r>
        <w:r>
          <w:fldChar w:fldCharType="separate"/>
        </w:r>
        <w:r>
          <w:rPr>
            <w:noProof/>
          </w:rPr>
          <w:t>43</w:t>
        </w:r>
        <w:r>
          <w:fldChar w:fldCharType="end"/>
        </w:r>
      </w:p>
    </w:sdtContent>
  </w:sdt>
  <w:p w14:paraId="7926CBF3" w14:textId="77777777" w:rsidR="00B16443" w:rsidRDefault="00B1644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B16443" w14:paraId="1A15BC97" w14:textId="77777777" w:rsidTr="00C20E8A">
      <w:tc>
        <w:tcPr>
          <w:tcW w:w="3020" w:type="dxa"/>
        </w:tcPr>
        <w:p w14:paraId="01010419" w14:textId="17A9A115" w:rsidR="00B16443" w:rsidRDefault="00B16443" w:rsidP="00C20E8A">
          <w:pPr>
            <w:pStyle w:val="Zaglavlje"/>
            <w:ind w:left="-115"/>
          </w:pPr>
        </w:p>
      </w:tc>
      <w:tc>
        <w:tcPr>
          <w:tcW w:w="3020" w:type="dxa"/>
        </w:tcPr>
        <w:p w14:paraId="7CE90784" w14:textId="5EC0B989" w:rsidR="00B16443" w:rsidRDefault="00B16443" w:rsidP="00C20E8A">
          <w:pPr>
            <w:pStyle w:val="Zaglavlje"/>
            <w:jc w:val="center"/>
          </w:pPr>
        </w:p>
      </w:tc>
      <w:tc>
        <w:tcPr>
          <w:tcW w:w="3020" w:type="dxa"/>
        </w:tcPr>
        <w:p w14:paraId="79A27B4B" w14:textId="1FA892E2" w:rsidR="00B16443" w:rsidRDefault="00B16443" w:rsidP="00C20E8A">
          <w:pPr>
            <w:pStyle w:val="Zaglavlje"/>
            <w:ind w:right="-115"/>
            <w:jc w:val="right"/>
          </w:pPr>
        </w:p>
      </w:tc>
    </w:tr>
  </w:tbl>
  <w:p w14:paraId="2E30BA8B" w14:textId="00F39041" w:rsidR="00B16443" w:rsidRDefault="00B16443" w:rsidP="00C20E8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00B16443" w14:paraId="2D4EBC23" w14:textId="77777777" w:rsidTr="00C20E8A">
      <w:tc>
        <w:tcPr>
          <w:tcW w:w="3115" w:type="dxa"/>
        </w:tcPr>
        <w:p w14:paraId="055071B5" w14:textId="68C24409" w:rsidR="00B16443" w:rsidRDefault="00B16443" w:rsidP="00C20E8A">
          <w:pPr>
            <w:pStyle w:val="Zaglavlje"/>
            <w:ind w:left="-115"/>
          </w:pPr>
        </w:p>
      </w:tc>
      <w:tc>
        <w:tcPr>
          <w:tcW w:w="3115" w:type="dxa"/>
        </w:tcPr>
        <w:p w14:paraId="0D6FACE1" w14:textId="45405342" w:rsidR="00B16443" w:rsidRDefault="00B16443" w:rsidP="00C20E8A">
          <w:pPr>
            <w:pStyle w:val="Zaglavlje"/>
            <w:jc w:val="center"/>
          </w:pPr>
        </w:p>
      </w:tc>
      <w:tc>
        <w:tcPr>
          <w:tcW w:w="3115" w:type="dxa"/>
        </w:tcPr>
        <w:p w14:paraId="608FAB24" w14:textId="3905BB5A" w:rsidR="00B16443" w:rsidRDefault="00B16443" w:rsidP="00C20E8A">
          <w:pPr>
            <w:pStyle w:val="Zaglavlje"/>
            <w:ind w:right="-115"/>
            <w:jc w:val="right"/>
          </w:pPr>
        </w:p>
      </w:tc>
    </w:tr>
  </w:tbl>
  <w:p w14:paraId="339D5B11" w14:textId="3091D498" w:rsidR="00B16443" w:rsidRDefault="00B16443" w:rsidP="00C20E8A">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B16443" w14:paraId="52CAFAAD" w14:textId="77777777" w:rsidTr="0068468B">
      <w:tc>
        <w:tcPr>
          <w:tcW w:w="3020" w:type="dxa"/>
        </w:tcPr>
        <w:p w14:paraId="7A3EB0E0" w14:textId="466E827B" w:rsidR="00B16443" w:rsidRDefault="00B16443" w:rsidP="0068468B">
          <w:pPr>
            <w:pStyle w:val="Zaglavlje"/>
            <w:ind w:left="-115"/>
          </w:pPr>
        </w:p>
      </w:tc>
      <w:tc>
        <w:tcPr>
          <w:tcW w:w="3020" w:type="dxa"/>
        </w:tcPr>
        <w:p w14:paraId="31A2D680" w14:textId="36EED167" w:rsidR="00B16443" w:rsidRDefault="00B16443" w:rsidP="0068468B">
          <w:pPr>
            <w:pStyle w:val="Zaglavlje"/>
            <w:jc w:val="center"/>
          </w:pPr>
        </w:p>
      </w:tc>
      <w:tc>
        <w:tcPr>
          <w:tcW w:w="3020" w:type="dxa"/>
        </w:tcPr>
        <w:p w14:paraId="5F28F0D2" w14:textId="0D003E6B" w:rsidR="00B16443" w:rsidRDefault="00B16443" w:rsidP="0068468B">
          <w:pPr>
            <w:pStyle w:val="Zaglavlje"/>
            <w:ind w:right="-115"/>
            <w:jc w:val="right"/>
          </w:pPr>
        </w:p>
      </w:tc>
    </w:tr>
  </w:tbl>
  <w:p w14:paraId="5331E419" w14:textId="08B8FA87" w:rsidR="00B16443" w:rsidRDefault="00B16443" w:rsidP="006846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454A7" w14:textId="77777777" w:rsidR="00C24699" w:rsidRDefault="00C24699" w:rsidP="00B610AE">
      <w:pPr>
        <w:spacing w:after="0" w:line="240" w:lineRule="auto"/>
      </w:pPr>
      <w:r>
        <w:separator/>
      </w:r>
    </w:p>
  </w:footnote>
  <w:footnote w:type="continuationSeparator" w:id="0">
    <w:p w14:paraId="15A1FAF8" w14:textId="77777777" w:rsidR="00C24699" w:rsidRDefault="00C24699" w:rsidP="00B610AE">
      <w:pPr>
        <w:spacing w:after="0" w:line="240" w:lineRule="auto"/>
      </w:pPr>
      <w:r>
        <w:continuationSeparator/>
      </w:r>
    </w:p>
  </w:footnote>
  <w:footnote w:type="continuationNotice" w:id="1">
    <w:p w14:paraId="7C121718" w14:textId="77777777" w:rsidR="00C24699" w:rsidRDefault="00C24699">
      <w:pPr>
        <w:spacing w:after="0" w:line="240" w:lineRule="auto"/>
      </w:pPr>
    </w:p>
  </w:footnote>
  <w:footnote w:id="2">
    <w:p w14:paraId="6340EFA6" w14:textId="09752584" w:rsidR="00B16443" w:rsidRDefault="00B16443" w:rsidP="004949CA">
      <w:pPr>
        <w:pStyle w:val="Tekstfusnote"/>
      </w:pPr>
      <w:r>
        <w:rPr>
          <w:rStyle w:val="Referencafusnote"/>
        </w:rPr>
        <w:footnoteRef/>
      </w:r>
      <w:r>
        <w:t xml:space="preserve">Europska komisija. </w:t>
      </w:r>
      <w:r w:rsidRPr="00B5652D">
        <w:t xml:space="preserve">Europski zeleni </w:t>
      </w:r>
      <w:r>
        <w:t xml:space="preserve">plan- </w:t>
      </w:r>
      <w:hyperlink r:id="rId1" w:history="1">
        <w:r w:rsidRPr="00C67C92">
          <w:rPr>
            <w:rStyle w:val="Hiperveza"/>
            <w:rFonts w:eastAsiaTheme="majorEastAsia"/>
          </w:rPr>
          <w:t>Green Deal</w:t>
        </w:r>
      </w:hyperlink>
      <w:r>
        <w:t>, prosinac 2019.</w:t>
      </w:r>
    </w:p>
  </w:footnote>
  <w:footnote w:id="3">
    <w:p w14:paraId="4D36AEA3" w14:textId="77777777" w:rsidR="00B16443" w:rsidRDefault="00B16443" w:rsidP="004949CA">
      <w:pPr>
        <w:pStyle w:val="Tekstfusnote"/>
      </w:pPr>
      <w:r>
        <w:rPr>
          <w:rStyle w:val="Referencafusnote"/>
        </w:rPr>
        <w:footnoteRef/>
      </w:r>
      <w:r>
        <w:t xml:space="preserve"> Europska komisija, Inicijativa valova obnove - </w:t>
      </w:r>
      <w:hyperlink r:id="rId2" w:history="1">
        <w:r w:rsidRPr="00D747AA">
          <w:rPr>
            <w:rStyle w:val="Hiperveza"/>
            <w:rFonts w:eastAsiaTheme="majorEastAsia"/>
          </w:rPr>
          <w:t>Renovation wave</w:t>
        </w:r>
      </w:hyperlink>
      <w:r>
        <w:t>, listopad 2020.</w:t>
      </w:r>
    </w:p>
  </w:footnote>
  <w:footnote w:id="4">
    <w:p w14:paraId="45D67C4E" w14:textId="77777777" w:rsidR="00B16443" w:rsidRPr="00DC5B7B" w:rsidRDefault="00B16443" w:rsidP="004949CA">
      <w:pPr>
        <w:pStyle w:val="Tekstfusnote"/>
      </w:pPr>
      <w:r w:rsidRPr="00DC5B7B">
        <w:rPr>
          <w:rStyle w:val="Referencafusnote"/>
        </w:rPr>
        <w:footnoteRef/>
      </w:r>
      <w:r w:rsidRPr="00DC5B7B">
        <w:t xml:space="preserve"> Na temelju izmjena </w:t>
      </w:r>
      <w:r>
        <w:t>i</w:t>
      </w:r>
      <w:r w:rsidRPr="00DC5B7B">
        <w:t xml:space="preserve"> dopuna Zakona o energetskoj učinkovitosti (</w:t>
      </w:r>
      <w:r>
        <w:t>Narodne novine,</w:t>
      </w:r>
      <w:r w:rsidRPr="00DC5B7B">
        <w:t xml:space="preserve"> br</w:t>
      </w:r>
      <w:r>
        <w:t>oj</w:t>
      </w:r>
      <w:r w:rsidRPr="00DC5B7B">
        <w:t xml:space="preserve"> 41/21) potrebno je usvojiti novi Pravilnik o sustavu za praćenje, mjerenje I verifikaciju ušteda energije. U trenutku pisanja ovog dokumenta novi Pravilnik još nije usvojen. </w:t>
      </w:r>
    </w:p>
  </w:footnote>
  <w:footnote w:id="5">
    <w:p w14:paraId="506B950D" w14:textId="77777777" w:rsidR="00B16443" w:rsidRPr="000024F8" w:rsidRDefault="00B16443" w:rsidP="004949CA">
      <w:pPr>
        <w:pStyle w:val="Tekstfusnote"/>
        <w:rPr>
          <w:lang w:val="de-DE"/>
        </w:rPr>
      </w:pPr>
      <w:r>
        <w:rPr>
          <w:rStyle w:val="Referencafusnote"/>
        </w:rPr>
        <w:footnoteRef/>
      </w:r>
      <w:r>
        <w:t xml:space="preserve"> </w:t>
      </w:r>
      <w:r w:rsidRPr="000024F8">
        <w:rPr>
          <w:lang w:val="de-DE"/>
        </w:rPr>
        <w:t xml:space="preserve">NECP je dostupan na: </w:t>
      </w:r>
      <w:hyperlink r:id="rId3" w:history="1">
        <w:r w:rsidRPr="000024F8">
          <w:rPr>
            <w:rStyle w:val="Hiperveza"/>
            <w:rFonts w:eastAsiaTheme="majorEastAsia" w:cs="Myriad Pro"/>
            <w:lang w:val="de-DE"/>
          </w:rPr>
          <w:t>https://mingor.gov.hr/o-ministarstvu-1065/djelokrug-4925/energetika/energetska-politika-i-planiranje/strategije-planovi-i-programi-2009/2009</w:t>
        </w:r>
      </w:hyperlink>
      <w:r w:rsidRPr="000024F8">
        <w:rPr>
          <w:lang w:val="de-DE"/>
        </w:rPr>
        <w:t xml:space="preserve"> (datum pristupa: 28.04.2021.)</w:t>
      </w:r>
    </w:p>
  </w:footnote>
  <w:footnote w:id="6">
    <w:p w14:paraId="4A41EFF6" w14:textId="77777777" w:rsidR="00B16443" w:rsidRPr="000024F8" w:rsidRDefault="00B16443" w:rsidP="004949CA">
      <w:pPr>
        <w:pStyle w:val="Tekstfusnote"/>
        <w:rPr>
          <w:lang w:val="de-DE"/>
        </w:rPr>
      </w:pPr>
      <w:r>
        <w:rPr>
          <w:rStyle w:val="Referencafusnote"/>
        </w:rPr>
        <w:footnoteRef/>
      </w:r>
      <w:r>
        <w:t xml:space="preserve"> </w:t>
      </w:r>
      <w:r w:rsidRPr="00A700F9">
        <w:t xml:space="preserve">Podatci iz popisa stanovništva i statističkih izvještaja mogu se naći na internetskim stranicama Državnog zavoda za statistiku: </w:t>
      </w:r>
      <w:hyperlink r:id="rId4" w:history="1">
        <w:r w:rsidRPr="00A700F9">
          <w:rPr>
            <w:rStyle w:val="Hiperveza"/>
            <w:rFonts w:eastAsiaTheme="majorEastAsia" w:cs="Myriad Pro"/>
          </w:rPr>
          <w:t>https://www.dzs.hr/Hrv/publication/FirstRelease/results.asp?pString=Gra%C4%91evins&amp;pSearchString=%Gra%C4%91evins%</w:t>
        </w:r>
      </w:hyperlink>
      <w:r w:rsidRPr="00A700F9">
        <w:t xml:space="preserve"> </w:t>
      </w:r>
    </w:p>
  </w:footnote>
  <w:footnote w:id="7">
    <w:p w14:paraId="5E9F7AD8" w14:textId="77777777" w:rsidR="00B16443" w:rsidRPr="000024F8" w:rsidRDefault="00B16443" w:rsidP="004949CA">
      <w:pPr>
        <w:pStyle w:val="Tekstfusnote"/>
        <w:rPr>
          <w:lang w:val="de-DE"/>
        </w:rPr>
      </w:pPr>
      <w:r>
        <w:rPr>
          <w:rStyle w:val="Referencafusnote"/>
        </w:rPr>
        <w:footnoteRef/>
      </w:r>
      <w:r>
        <w:t xml:space="preserve"> </w:t>
      </w:r>
      <w:r w:rsidRPr="00041FC6">
        <w:t>Modeliranje je provedeno za potrebe izrade Sveobuhvatne analize Sveobuhvatna procjena potencijala za učinkovito grijanje i hlađenje u Hrvatskoj prema Prilogu VIII. Direktive 2012/27/EU</w:t>
      </w:r>
      <w:r>
        <w:t xml:space="preserve">. Model je temeljen na podatcima za 2019. godinu. </w:t>
      </w:r>
    </w:p>
  </w:footnote>
  <w:footnote w:id="8">
    <w:p w14:paraId="27389F70" w14:textId="77777777" w:rsidR="00B16443" w:rsidRPr="000024F8" w:rsidRDefault="00B16443" w:rsidP="004949CA">
      <w:pPr>
        <w:pStyle w:val="Tekstfusnote"/>
        <w:rPr>
          <w:lang w:val="de-DE"/>
        </w:rPr>
      </w:pPr>
      <w:r>
        <w:rPr>
          <w:rStyle w:val="Referencafusnote"/>
        </w:rPr>
        <w:footnoteRef/>
      </w:r>
      <w:r>
        <w:t xml:space="preserve"> </w:t>
      </w:r>
      <w:r w:rsidRPr="000024F8">
        <w:rPr>
          <w:lang w:val="de-DE"/>
        </w:rPr>
        <w:t xml:space="preserve">Ibid. </w:t>
      </w:r>
    </w:p>
  </w:footnote>
  <w:footnote w:id="9">
    <w:p w14:paraId="424965E7" w14:textId="77777777" w:rsidR="00B16443" w:rsidRPr="000024F8" w:rsidRDefault="00B16443" w:rsidP="004949CA">
      <w:pPr>
        <w:pStyle w:val="Tekstfusnote"/>
        <w:rPr>
          <w:lang w:val="de-DE"/>
        </w:rPr>
      </w:pPr>
      <w:r>
        <w:rPr>
          <w:rStyle w:val="Referencafusnote"/>
        </w:rPr>
        <w:footnoteRef/>
      </w:r>
      <w:r>
        <w:t xml:space="preserve"> </w:t>
      </w:r>
      <w:r w:rsidRPr="000024F8">
        <w:rPr>
          <w:lang w:val="de-DE"/>
        </w:rPr>
        <w:t xml:space="preserve">Nacrt Pravilnika dostupan je na eSavjetovanju: </w:t>
      </w:r>
      <w:hyperlink r:id="rId5" w:history="1">
        <w:r w:rsidRPr="000024F8">
          <w:rPr>
            <w:rStyle w:val="Hiperveza"/>
            <w:rFonts w:eastAsiaTheme="majorEastAsia" w:cs="Myriad Pro"/>
            <w:lang w:val="de-DE"/>
          </w:rPr>
          <w:t>https://esavjetovanja.gov.hr/ECon/MainScreen?entityId=16464</w:t>
        </w:r>
      </w:hyperlink>
      <w:r w:rsidRPr="000024F8">
        <w:rPr>
          <w:lang w:val="de-DE"/>
        </w:rPr>
        <w:t xml:space="preserve"> (datum pristupa 16.05.2021.)</w:t>
      </w:r>
    </w:p>
  </w:footnote>
  <w:footnote w:id="10">
    <w:p w14:paraId="14D71D12" w14:textId="77777777" w:rsidR="00B16443" w:rsidRPr="000024F8" w:rsidRDefault="00B16443" w:rsidP="004949CA">
      <w:pPr>
        <w:pStyle w:val="Tekstfusnote"/>
        <w:rPr>
          <w:lang w:val="de-DE"/>
        </w:rPr>
      </w:pPr>
      <w:r>
        <w:rPr>
          <w:rStyle w:val="Referencafusnote"/>
        </w:rPr>
        <w:footnoteRef/>
      </w:r>
      <w:r>
        <w:t xml:space="preserve"> Prema podacima iz izvatka registra energetskih certifikata izdanih u razdoblju 2010. – 2016. godine (od 22.4.2016.)</w:t>
      </w:r>
    </w:p>
  </w:footnote>
  <w:footnote w:id="11">
    <w:p w14:paraId="1B830053" w14:textId="73355096" w:rsidR="00B16443" w:rsidRPr="000024F8" w:rsidRDefault="00B16443" w:rsidP="004949CA">
      <w:pPr>
        <w:pStyle w:val="Tekstfusnote"/>
        <w:rPr>
          <w:lang w:val="de-DE"/>
        </w:rPr>
      </w:pPr>
      <w:r>
        <w:rPr>
          <w:rStyle w:val="Referencafusnote"/>
        </w:rPr>
        <w:footnoteRef/>
      </w:r>
      <w:r>
        <w:t xml:space="preserve"> </w:t>
      </w:r>
      <w:r w:rsidRPr="006142CF">
        <w:t xml:space="preserve">Podatci preuzeti iz Dugoročne strategija obnove </w:t>
      </w:r>
      <w:r>
        <w:t xml:space="preserve">nacionalnog </w:t>
      </w:r>
      <w:r w:rsidRPr="006142CF">
        <w:t xml:space="preserve">fonda zgrada </w:t>
      </w:r>
      <w:r>
        <w:t>do</w:t>
      </w:r>
      <w:r w:rsidRPr="006142CF">
        <w:t xml:space="preserve"> 2050. godine; dostupna na: </w:t>
      </w:r>
      <w:hyperlink r:id="rId6" w:history="1">
        <w:r w:rsidRPr="006142CF">
          <w:rPr>
            <w:rStyle w:val="Hiperveza"/>
            <w:rFonts w:eastAsiaTheme="majorEastAsia" w:cs="Myriad Pro"/>
          </w:rPr>
          <w:t>https://mgipu.gov.hr/UserDocsImages/dokumenti/EnergetskaUcinkovitost/DSO_14.12.2020.pdf</w:t>
        </w:r>
      </w:hyperlink>
      <w:r w:rsidRPr="006142CF">
        <w:t xml:space="preserve"> (datum pristupa 03.05.2021.)</w:t>
      </w:r>
    </w:p>
  </w:footnote>
  <w:footnote w:id="12">
    <w:p w14:paraId="0BB04041" w14:textId="6F269D98" w:rsidR="00B16443" w:rsidRPr="000024F8" w:rsidRDefault="00B16443" w:rsidP="004949CA">
      <w:pPr>
        <w:pStyle w:val="Tekstfusnote"/>
        <w:rPr>
          <w:lang w:val="de-DE"/>
        </w:rPr>
      </w:pPr>
      <w:r>
        <w:rPr>
          <w:rStyle w:val="Referencafusnote"/>
        </w:rPr>
        <w:footnoteRef/>
      </w:r>
      <w:r>
        <w:t xml:space="preserve"> </w:t>
      </w:r>
      <w:r w:rsidRPr="000024F8">
        <w:rPr>
          <w:lang w:val="de-DE"/>
        </w:rPr>
        <w:t xml:space="preserve">Prema Tablici 8-2 </w:t>
      </w:r>
      <w:r w:rsidRPr="00B15094">
        <w:t xml:space="preserve">iz Dugoročne strategije obnove </w:t>
      </w:r>
      <w:r>
        <w:t xml:space="preserve">nacionalnog </w:t>
      </w:r>
      <w:r w:rsidRPr="00B15094">
        <w:t xml:space="preserve">fonda zgrada do 2050. godine; dostupna na: </w:t>
      </w:r>
      <w:hyperlink r:id="rId7" w:history="1">
        <w:r w:rsidRPr="00B15094">
          <w:rPr>
            <w:rStyle w:val="Hiperveza"/>
            <w:rFonts w:eastAsiaTheme="majorEastAsia" w:cs="Myriad Pro"/>
          </w:rPr>
          <w:t>https://mgipu.gov.hr/UserDocsImages/dokumenti/EnergetskaUcinkovitost/DSO_14.12.2020.pdf</w:t>
        </w:r>
      </w:hyperlink>
      <w:r w:rsidRPr="00B15094">
        <w:t xml:space="preserve"> (datum pristupa: 03.05.2021.) </w:t>
      </w:r>
    </w:p>
  </w:footnote>
  <w:footnote w:id="13">
    <w:p w14:paraId="039DB7C3" w14:textId="77777777" w:rsidR="00B16443" w:rsidRPr="000024F8" w:rsidRDefault="00B16443" w:rsidP="004949CA">
      <w:pPr>
        <w:pStyle w:val="Tekstfusnote"/>
        <w:rPr>
          <w:lang w:val="de-DE"/>
        </w:rPr>
      </w:pPr>
      <w:r>
        <w:rPr>
          <w:rStyle w:val="Referencafusnote"/>
        </w:rPr>
        <w:footnoteRef/>
      </w:r>
      <w:r>
        <w:t xml:space="preserve"> </w:t>
      </w:r>
      <w:r w:rsidRPr="009F79EE">
        <w:t>Izvještaj prema članku 5(2) Direktive 2010/31/EU i članku 6 Uredbe (EU) 244/2012 od 16.1.2012.: Minimalni zahtjevi na energetsko svojstvo jednoobiteljske zgrade za kontinentalnu i primorsku Hrvatsku, za razdoblje do 1970., 1970. - 1987., iza 1987., i gotovo nula energetske zgrade</w:t>
      </w:r>
      <w:r>
        <w:t xml:space="preserve">, dostupan na: </w:t>
      </w:r>
      <w:hyperlink r:id="rId8" w:history="1">
        <w:r w:rsidRPr="00A16F5F">
          <w:rPr>
            <w:rStyle w:val="Hiperveza"/>
            <w:rFonts w:eastAsiaTheme="majorEastAsia" w:cs="Myriad Pro"/>
          </w:rPr>
          <w:t>http://www.mgipu.hr/doc/Propisi/EIHP-029-13-02-05_jednoobit.pdf</w:t>
        </w:r>
      </w:hyperlink>
      <w:r>
        <w:rPr>
          <w:rStyle w:val="Hiperveza"/>
          <w:rFonts w:eastAsiaTheme="majorEastAsia" w:cs="Myriad Pro"/>
        </w:rPr>
        <w:t xml:space="preserve"> </w:t>
      </w:r>
      <w:r w:rsidRPr="00B15094">
        <w:t xml:space="preserve">(datum pristupa: </w:t>
      </w:r>
      <w:r>
        <w:t>16</w:t>
      </w:r>
      <w:r w:rsidRPr="00B15094">
        <w:t>.05.2021.)</w:t>
      </w:r>
    </w:p>
  </w:footnote>
  <w:footnote w:id="14">
    <w:p w14:paraId="549F6584" w14:textId="77777777" w:rsidR="00B16443" w:rsidRPr="000024F8" w:rsidRDefault="00B16443" w:rsidP="004949CA">
      <w:pPr>
        <w:pStyle w:val="Tekstfusnote"/>
        <w:rPr>
          <w:lang w:val="de-DE"/>
        </w:rPr>
      </w:pPr>
      <w:r>
        <w:rPr>
          <w:rStyle w:val="Referencafusnote"/>
        </w:rPr>
        <w:footnoteRef/>
      </w:r>
      <w:r>
        <w:t xml:space="preserve"> Izvještaj prema čl. 5(2) Direktive 2010/31/EU i čl. 6 uredbe </w:t>
      </w:r>
      <w:r w:rsidRPr="00C02BC4">
        <w:t>(EU) 244/2012 od 16.1.2012.</w:t>
      </w:r>
      <w:r>
        <w:t xml:space="preserve">: </w:t>
      </w:r>
      <w:r>
        <w:br/>
        <w:t xml:space="preserve">- </w:t>
      </w:r>
      <w:r w:rsidRPr="00C02BC4">
        <w:t>Minimalni zahtjevi na energetsko svojstvo jednoobiteljske zgrade za kontinentalnu i primorsku Hrvatsku, za razdoblje do 1970., 1970. - 1987., iza 1987., i gotovo nula energetske zgrade</w:t>
      </w:r>
      <w:r>
        <w:t xml:space="preserve">, dostupno na: </w:t>
      </w:r>
      <w:hyperlink r:id="rId9" w:history="1">
        <w:r w:rsidRPr="00A16F5F">
          <w:rPr>
            <w:rStyle w:val="Hiperveza"/>
            <w:rFonts w:eastAsiaTheme="majorEastAsia" w:cs="Myriad Pro"/>
          </w:rPr>
          <w:t>http://www.mgipu.hr/doc/Propisi/EIHP-029-13-02-05_jednoobit.pdf</w:t>
        </w:r>
      </w:hyperlink>
    </w:p>
  </w:footnote>
  <w:footnote w:id="15">
    <w:p w14:paraId="4A188B18" w14:textId="2A61B567" w:rsidR="00B16443" w:rsidRPr="00823CD5" w:rsidRDefault="00B16443" w:rsidP="004949CA">
      <w:pPr>
        <w:pStyle w:val="Tekstfusnote"/>
        <w:rPr>
          <w:lang w:val="en-GB"/>
        </w:rPr>
      </w:pPr>
      <w:r>
        <w:rPr>
          <w:rStyle w:val="Referencafusnote"/>
        </w:rPr>
        <w:footnoteRef/>
      </w:r>
      <w:r>
        <w:t xml:space="preserve"> </w:t>
      </w:r>
      <w:r>
        <w:rPr>
          <w:lang w:val="en-GB"/>
        </w:rPr>
        <w:t xml:space="preserve">Izvor: </w:t>
      </w:r>
      <w:r>
        <w:t>“</w:t>
      </w:r>
      <w:r w:rsidRPr="00E74692">
        <w:rPr>
          <w:lang w:val="en-GB"/>
        </w:rPr>
        <w:t>Residential energy efficiency financial instruments in Lithuania”, European Investment Bank Advisory Services - fi</w:t>
      </w:r>
      <w:r w:rsidRPr="00E74692">
        <w:rPr>
          <w:rFonts w:ascii="Cambria Math" w:hAnsi="Cambria Math" w:cs="Cambria Math"/>
          <w:lang w:val="en-GB"/>
        </w:rPr>
        <w:t>‑</w:t>
      </w:r>
      <w:r w:rsidRPr="00E74692">
        <w:rPr>
          <w:lang w:val="en-GB"/>
        </w:rPr>
        <w:t>compass</w:t>
      </w:r>
      <w:r>
        <w:t>, 2020</w:t>
      </w:r>
    </w:p>
  </w:footnote>
  <w:footnote w:id="16">
    <w:p w14:paraId="2A9D0352" w14:textId="3778D25F" w:rsidR="00B16443" w:rsidRPr="00A335EC" w:rsidRDefault="00B16443" w:rsidP="004949CA">
      <w:pPr>
        <w:pStyle w:val="Tekstfusnote"/>
        <w:rPr>
          <w:lang w:val="en-GB"/>
        </w:rPr>
      </w:pPr>
      <w:r>
        <w:rPr>
          <w:rStyle w:val="Referencafusnote"/>
        </w:rPr>
        <w:footnoteRef/>
      </w:r>
      <w:r>
        <w:t xml:space="preserve"> </w:t>
      </w:r>
      <w:r w:rsidRPr="006142CF">
        <w:t xml:space="preserve">Podatci preuzeti iz Dugoročne strategija obnove </w:t>
      </w:r>
      <w:r>
        <w:t xml:space="preserve">nacionalnog </w:t>
      </w:r>
      <w:r w:rsidRPr="006142CF">
        <w:t xml:space="preserve">fonda zgrada </w:t>
      </w:r>
      <w:r>
        <w:t>Republike Hrvatske</w:t>
      </w:r>
      <w:r w:rsidRPr="006142CF">
        <w:t xml:space="preserve"> od 2050. godine; dostupna na: </w:t>
      </w:r>
      <w:hyperlink r:id="rId10" w:history="1">
        <w:r w:rsidRPr="006142CF">
          <w:rPr>
            <w:rStyle w:val="Hiperveza"/>
            <w:rFonts w:eastAsiaTheme="majorEastAsia" w:cs="Myriad Pro"/>
          </w:rPr>
          <w:t>https://mgipu.gov.hr/UserDocsImages/dokumenti/EnergetskaUcinkovitost/DSO_14.12.2020.pdf</w:t>
        </w:r>
      </w:hyperlink>
      <w:r w:rsidRPr="006142CF">
        <w:t xml:space="preserve"> (datum pristupa 03.05.2021.)</w:t>
      </w:r>
    </w:p>
  </w:footnote>
  <w:footnote w:id="17">
    <w:p w14:paraId="649524F9" w14:textId="4E5EA6E6" w:rsidR="00B16443" w:rsidRPr="00B15094" w:rsidRDefault="00B16443" w:rsidP="004949CA">
      <w:pPr>
        <w:pStyle w:val="Tekstfusnote"/>
      </w:pPr>
      <w:r w:rsidRPr="00B15094">
        <w:rPr>
          <w:rStyle w:val="Referencafusnote"/>
        </w:rPr>
        <w:footnoteRef/>
      </w:r>
      <w:r w:rsidRPr="00B15094">
        <w:t xml:space="preserve"> Prema Tablici 2-8 i Tablici 5-1 iz Dugoročne strategije obnove </w:t>
      </w:r>
      <w:r>
        <w:t xml:space="preserve">nacionalnog </w:t>
      </w:r>
      <w:r w:rsidRPr="00B15094">
        <w:t xml:space="preserve">fonda zgrada do 2050. godine; dostupna na: </w:t>
      </w:r>
      <w:hyperlink r:id="rId11" w:history="1">
        <w:r w:rsidRPr="00B15094">
          <w:rPr>
            <w:rStyle w:val="Hiperveza"/>
            <w:rFonts w:eastAsiaTheme="majorEastAsia" w:cs="Myriad Pro"/>
          </w:rPr>
          <w:t>https://mgipu.gov.hr/UserDocsImages/dokumenti/EnergetskaUcinkovitost/DSO_14.12.2020.pdf</w:t>
        </w:r>
      </w:hyperlink>
      <w:r w:rsidRPr="00B15094">
        <w:t xml:space="preserve"> (datum pristupa: 03.05.2021.) </w:t>
      </w:r>
    </w:p>
  </w:footnote>
  <w:footnote w:id="18">
    <w:p w14:paraId="48B84989" w14:textId="569A787B" w:rsidR="00B16443" w:rsidRPr="000024F8" w:rsidRDefault="00B16443" w:rsidP="004949CA">
      <w:pPr>
        <w:pStyle w:val="Tekstfusnote"/>
      </w:pPr>
      <w:r>
        <w:rPr>
          <w:rStyle w:val="Referencafusnote"/>
        </w:rPr>
        <w:footnoteRef/>
      </w:r>
      <w:r>
        <w:t xml:space="preserve"> </w:t>
      </w:r>
      <w:r w:rsidRPr="000024F8">
        <w:t xml:space="preserve">Prema Tablici 8-2 iz </w:t>
      </w:r>
      <w:r w:rsidRPr="00B15094">
        <w:t xml:space="preserve">Dugoročne strategije obnove </w:t>
      </w:r>
      <w:r>
        <w:t xml:space="preserve">nacionalnog </w:t>
      </w:r>
      <w:r w:rsidRPr="00B15094">
        <w:t xml:space="preserve">fonda zgrada do 2050. godine; dostupna na: </w:t>
      </w:r>
      <w:hyperlink r:id="rId12" w:history="1">
        <w:r w:rsidRPr="00B15094">
          <w:rPr>
            <w:rStyle w:val="Hiperveza"/>
            <w:rFonts w:eastAsiaTheme="majorEastAsia" w:cs="Myriad Pro"/>
          </w:rPr>
          <w:t>https://mgipu.gov.hr/UserDocsImages/dokumenti/EnergetskaUcinkovitost/DSO_14.12.2020.pdf</w:t>
        </w:r>
      </w:hyperlink>
      <w:r w:rsidRPr="00B15094">
        <w:t xml:space="preserve"> (datum pristupa: 03.05.2021.) </w:t>
      </w:r>
    </w:p>
  </w:footnote>
  <w:footnote w:id="19">
    <w:p w14:paraId="4499728A" w14:textId="77777777" w:rsidR="00707EDF" w:rsidRPr="009A1CC4" w:rsidRDefault="00707EDF" w:rsidP="00707EDF">
      <w:pPr>
        <w:pStyle w:val="Tekstfusnote"/>
        <w:rPr>
          <w:lang w:val="en-GB"/>
        </w:rPr>
      </w:pPr>
      <w:r>
        <w:rPr>
          <w:rStyle w:val="Referencafusnote"/>
        </w:rPr>
        <w:footnoteRef/>
      </w:r>
      <w:r>
        <w:t xml:space="preserve"> </w:t>
      </w:r>
      <w:r>
        <w:rPr>
          <w:lang w:val="en-GB"/>
        </w:rPr>
        <w:t>Nacionalnu razvojnu strategija usovjio je Hrvatski sabor u skladu sa Zakonom o sustavu strateškog planiranja i upravljanja razvojem Republike Hrvatke (</w:t>
      </w:r>
      <w:r w:rsidRPr="0070412E">
        <w:rPr>
          <w:lang w:val="en-GB"/>
        </w:rPr>
        <w:t>Narodne novine, br.</w:t>
      </w:r>
      <w:r>
        <w:rPr>
          <w:lang w:val="en-GB"/>
        </w:rPr>
        <w:t xml:space="preserve"> 123/17).</w:t>
      </w:r>
    </w:p>
  </w:footnote>
  <w:footnote w:id="20">
    <w:p w14:paraId="60E9E7E1" w14:textId="77777777" w:rsidR="00B16443" w:rsidRPr="00147D5A" w:rsidRDefault="00B16443" w:rsidP="004949CA">
      <w:pPr>
        <w:pStyle w:val="Tekstfusnote"/>
      </w:pPr>
      <w:r>
        <w:rPr>
          <w:rStyle w:val="Referencafusnote"/>
        </w:rPr>
        <w:footnoteRef/>
      </w:r>
      <w:r>
        <w:t xml:space="preserve"> Direktiva (EU) 2018/844 Europskog parlamenta i Vijeća od 30. svibnja 2018. o izmjeni Direktive 2010/31/EU o energetskim svojstvima zgrada i Direktive 2012/27/EU o energetskoj učinkovitosti dostupna je na: </w:t>
      </w:r>
      <w:hyperlink r:id="rId13" w:history="1">
        <w:r w:rsidRPr="00BF5D3A">
          <w:rPr>
            <w:rStyle w:val="Hiperveza"/>
            <w:rFonts w:eastAsiaTheme="majorEastAsia" w:cs="Myriad Pro"/>
          </w:rPr>
          <w:t>https://eur-lex.europa.eu/legal-content/HR/TXT/HTML/?uri=CELEX:32018L0844&amp;from=EN</w:t>
        </w:r>
      </w:hyperlink>
      <w:r>
        <w:t xml:space="preserve"> (datum pristupa 15.04.2021.)</w:t>
      </w:r>
    </w:p>
  </w:footnote>
  <w:footnote w:id="21">
    <w:p w14:paraId="08719E26" w14:textId="77777777" w:rsidR="00B16443" w:rsidRPr="005A3710" w:rsidRDefault="00B16443" w:rsidP="004949CA">
      <w:pPr>
        <w:pStyle w:val="Tekstfusnote"/>
      </w:pPr>
      <w:r>
        <w:rPr>
          <w:rStyle w:val="Referencafusnote"/>
        </w:rPr>
        <w:footnoteRef/>
      </w:r>
      <w:r>
        <w:t xml:space="preserve"> St</w:t>
      </w:r>
      <w:r w:rsidRPr="000B1C7E">
        <w:t>udij</w:t>
      </w:r>
      <w:r>
        <w:t>a</w:t>
      </w:r>
      <w:r w:rsidRPr="000B1C7E">
        <w:t xml:space="preserve"> „</w:t>
      </w:r>
      <w:r w:rsidRPr="005A3710">
        <w:t>Analiza stanja i smjernice za pripremu PDP-a za energetsku obnovu stambenih zgrada – 2. faza za PDP stambene 2</w:t>
      </w:r>
      <w:r>
        <w:t>“</w:t>
      </w:r>
    </w:p>
  </w:footnote>
  <w:footnote w:id="22">
    <w:p w14:paraId="09CCD181" w14:textId="60BEF6F4" w:rsidR="00B16443" w:rsidRDefault="00B16443" w:rsidP="004949CA">
      <w:pPr>
        <w:pStyle w:val="Tekstfusnote"/>
      </w:pPr>
      <w:r>
        <w:rPr>
          <w:rStyle w:val="Referencafusnote"/>
        </w:rPr>
        <w:footnoteRef/>
      </w:r>
      <w:r>
        <w:t xml:space="preserve"> Tehnički uvjeti prihvatljivosti za mjere vanjske ovojnice izjednačeni su s minimalnim zahtjevima TPRUETZZ budući da nisu jedini kriterij, već se podupiru obaveznom uštedom potrebne toplinske energije za grijanje od 50%</w:t>
      </w:r>
    </w:p>
    <w:p w14:paraId="118DF019" w14:textId="77777777" w:rsidR="00B16443" w:rsidRDefault="00B16443" w:rsidP="004949CA">
      <w:pPr>
        <w:pStyle w:val="Tekstfusnote"/>
      </w:pPr>
      <w:r>
        <w:t xml:space="preserve"> </w:t>
      </w:r>
    </w:p>
  </w:footnote>
  <w:footnote w:id="23">
    <w:p w14:paraId="0D40A555" w14:textId="1C0B4526" w:rsidR="00B16443" w:rsidRPr="009153BF" w:rsidRDefault="00B16443" w:rsidP="004949CA">
      <w:pPr>
        <w:pStyle w:val="Tekstfusnote"/>
      </w:pPr>
      <w:r>
        <w:rPr>
          <w:rStyle w:val="Referencafusnote"/>
        </w:rPr>
        <w:footnoteRef/>
      </w:r>
      <w:r>
        <w:t xml:space="preserve"> Potpora će biti za mjere koje se odnose na kotlove i sustave grijanja na prirodni plin (i pripadajuću infrastrukturu za distribuciju) te će biti u skladu s člankom 7. stavkom 2. Uredbe (EU) 2017/1369 o okviru za označivanje energetske učinkovitosti, a ugrađuju se u zgrade koje su uključene u ovaj Program. U slučaju zamjene postojećih neučinkovitih sustava grijanja i kotlova (npr. na bazi ugljena ili loživog ulja ili standardnih postojećih plinskih kotlova/ bojlera) s visokoučinkovitim kondenzacijskim kotlovima na plin  biti će zadovoljen  uvjet  da zamjena dovodi do znatnog smanjenja emisija stakleničkih plinova, i znatnog unapređenja okoliša (osobito zbog smanjenja onečišćenja) i javnog zdravlja, posebno na područjima na kojima su EU-ovi pragovi za kvalitetu zraka utvrđeni Direktivom 2008/50/EU premašeni ili bi mogli biti premašeni, npr. pri zamjeni sustava grijanja i kotlova na bazi ugljena ili loživog ulja, obzirom da su kondenzacijski bojleri barem 30% energetski učinkovitiji te generiraju 30% manje emisija od postojećih neučinkovitih sustava grijanja i kotlova koji će biti zamijenjeni u sklopu sveobuhvatne ili energetske obnove. Potpora takvim bojlerima neće predstavljati više od 20% bilo koje investicije.</w:t>
      </w:r>
    </w:p>
  </w:footnote>
  <w:footnote w:id="24">
    <w:p w14:paraId="041374D7" w14:textId="77777777" w:rsidR="00B16443" w:rsidRPr="00147D5A" w:rsidRDefault="00B16443" w:rsidP="004949CA">
      <w:pPr>
        <w:pStyle w:val="Tekstfusnote"/>
      </w:pPr>
      <w:r>
        <w:rPr>
          <w:rStyle w:val="Referencafusnote"/>
        </w:rPr>
        <w:footnoteRef/>
      </w:r>
      <w:r>
        <w:t xml:space="preserve"> Ova stopa je utvrđena u s</w:t>
      </w:r>
      <w:r w:rsidRPr="00871C76">
        <w:t>tudij</w:t>
      </w:r>
      <w:r>
        <w:t>i</w:t>
      </w:r>
      <w:r w:rsidRPr="00871C76">
        <w:t xml:space="preserve"> „Analiza preporučene stope sufinanciranja energetske obnove stambenih zgrada“, Energetski institut Hrvoje Požar, lipanj 2017.</w:t>
      </w:r>
      <w:r>
        <w:t xml:space="preserve"> Analiza se upravo temeljila na smanjenju potrebne energije za grijanje od 50%, ali bez uvjeta za smanjenje potrošnje primarne energije. Analiza je utvrdila potrebnu stopu sufinanciranja na temelju troškova obnove iz razdoblja 2014. -2016. i tadašnjih cijena energenata i energije. Pri tome treba istaknuti da je u razdoblju od 2014. do 2019. ostvaren porast cijena radova i opreme od 50%, ali nije došlo do značajnije korekcije cijena energije. To znači da su financijski pokazatelji integralne energetske obnove još gori nego kada je navedena analiza rađena te da je opravdano zadržati ovako visoku stopu sufinanciranja. </w:t>
      </w:r>
    </w:p>
  </w:footnote>
  <w:footnote w:id="25">
    <w:p w14:paraId="5899607C" w14:textId="30912F95" w:rsidR="00B16443" w:rsidRPr="00F7592C" w:rsidRDefault="00B16443">
      <w:pPr>
        <w:pStyle w:val="Tekstfusnote"/>
        <w:rPr>
          <w:lang w:val="en-GB"/>
        </w:rPr>
      </w:pPr>
      <w:bookmarkStart w:id="150" w:name="_Hlk86416741"/>
      <w:r>
        <w:rPr>
          <w:rStyle w:val="Referencafusnote"/>
        </w:rPr>
        <w:footnoteRef/>
      </w:r>
      <w:r>
        <w:t xml:space="preserve"> </w:t>
      </w:r>
      <w:r w:rsidRPr="00F7592C">
        <w:t>nZEB standard za rekonstrukciju u Hrvatskoj trenutno nije propisa</w:t>
      </w:r>
      <w:r>
        <w:t>n</w:t>
      </w:r>
      <w:r w:rsidRPr="00F7592C">
        <w:t>. Zbog toga, a kako bi se ostvarila poticajna stopa sufinanciranja</w:t>
      </w:r>
      <w:r>
        <w:t xml:space="preserve"> od 85%, zgrada nakon obnove mora zadovoljiti nZEB standard propisan za novogradnju. </w:t>
      </w:r>
      <w:r>
        <w:rPr>
          <w:lang w:val="en-GB"/>
        </w:rPr>
        <w:t xml:space="preserve"> </w:t>
      </w:r>
      <w:bookmarkEnd w:id="150"/>
    </w:p>
  </w:footnote>
  <w:footnote w:id="26">
    <w:p w14:paraId="7976101A" w14:textId="77777777" w:rsidR="00B16443" w:rsidRPr="009153BF" w:rsidRDefault="00B16443" w:rsidP="004949CA">
      <w:pPr>
        <w:pStyle w:val="Tekstfusnote"/>
      </w:pPr>
      <w:r>
        <w:rPr>
          <w:rStyle w:val="Referencafusnote"/>
        </w:rPr>
        <w:footnoteRef/>
      </w:r>
      <w:r>
        <w:t xml:space="preserve"> </w:t>
      </w:r>
      <w:r w:rsidRPr="00DC3E43">
        <w:t>MPGI je izradilo i objavilo Smjernice za izradu analize postojećeg stanja zgrade</w:t>
      </w:r>
      <w:r>
        <w:t>, koje</w:t>
      </w:r>
      <w:r w:rsidRPr="009153BF">
        <w:t xml:space="preserve"> su dostupne na: </w:t>
      </w:r>
      <w:hyperlink r:id="rId14" w:history="1">
        <w:r w:rsidRPr="009153BF">
          <w:rPr>
            <w:rStyle w:val="Hiperveza"/>
            <w:rFonts w:eastAsiaTheme="majorEastAsia" w:cs="Myriad Pro"/>
          </w:rPr>
          <w:t>https://mpgi.gov.hr/pristup-informacijama-16/zakoni-i-ostali-propisi/podrucje-energetske-ucinkovitosti/13808</w:t>
        </w:r>
      </w:hyperlink>
      <w:r w:rsidRPr="009153BF">
        <w:t xml:space="preserve"> </w:t>
      </w:r>
    </w:p>
  </w:footnote>
  <w:footnote w:id="27">
    <w:p w14:paraId="4154B7E5" w14:textId="77777777" w:rsidR="00B16443" w:rsidRPr="00147D5A" w:rsidRDefault="00B16443" w:rsidP="004949CA">
      <w:pPr>
        <w:pStyle w:val="Tekstfusnote"/>
      </w:pPr>
      <w:r>
        <w:rPr>
          <w:rStyle w:val="Referencafusnote"/>
        </w:rPr>
        <w:footnoteRef/>
      </w:r>
      <w:r>
        <w:t xml:space="preserve"> Navedeni iznos maksimalnog opravdanog troška temelji se na cijenama konstrukcijske obnove iz „P</w:t>
      </w:r>
      <w:r w:rsidRPr="00CC3ECE">
        <w:t>rogram</w:t>
      </w:r>
      <w:r>
        <w:t xml:space="preserve">a </w:t>
      </w:r>
      <w:r w:rsidRPr="00AF169C">
        <w:t xml:space="preserve">mjera obnove zgrada oštećenih </w:t>
      </w:r>
      <w:r w:rsidRPr="00547CAA">
        <w:t>potresom</w:t>
      </w:r>
      <w:r>
        <w:t xml:space="preserve"> </w:t>
      </w:r>
      <w:r w:rsidRPr="00CC3ECE">
        <w:t>na području Grada Zagreba,  Krapinsko-zagorske županije, Zagrebačke županije, Sisačko-moslavačke županije i Karlovačke županije</w:t>
      </w:r>
      <w:r>
        <w:t>“</w:t>
      </w:r>
      <w:r w:rsidRPr="00B0706A">
        <w:t xml:space="preserve"> </w:t>
      </w:r>
      <w:r>
        <w:t xml:space="preserve">(Narodne novine, broj 17/2021) koji je izrađen u veljači 2021. godine i dostupan na: </w:t>
      </w:r>
      <w:hyperlink r:id="rId15" w:history="1">
        <w:r w:rsidRPr="009122A4">
          <w:rPr>
            <w:rStyle w:val="Hiperveza"/>
            <w:rFonts w:eastAsiaTheme="majorEastAsia" w:cs="Myriad Pro"/>
          </w:rPr>
          <w:t>https://vlada.gov.hr/UserDocsImages/Vijesti/2021/velja%C4%8Da/19%20velja%C4%8De/Bro%C5%A1ura%20-%20Program%20mjera%20obnove%20o%C5%A1te%C4%87enih%20zgrada.pdf</w:t>
        </w:r>
      </w:hyperlink>
      <w:r w:rsidRPr="009122A4">
        <w:t xml:space="preserve"> (datum pristupa: 15.04.2021.)</w:t>
      </w:r>
      <w:r>
        <w:t xml:space="preserve"> </w:t>
      </w:r>
    </w:p>
  </w:footnote>
  <w:footnote w:id="28">
    <w:p w14:paraId="26DB86FA" w14:textId="72EE9D81" w:rsidR="00B16443" w:rsidRPr="00E05416" w:rsidRDefault="00B16443">
      <w:pPr>
        <w:pStyle w:val="Tekstfusnote"/>
        <w:rPr>
          <w:lang w:val="de-DE"/>
        </w:rPr>
      </w:pPr>
      <w:r>
        <w:rPr>
          <w:rStyle w:val="Referencafusnote"/>
        </w:rPr>
        <w:footnoteRef/>
      </w:r>
      <w:r>
        <w:t xml:space="preserve"> Izvor: </w:t>
      </w:r>
      <w:hyperlink r:id="rId16" w:history="1">
        <w:r w:rsidRPr="008E1E01">
          <w:rPr>
            <w:rStyle w:val="Hiperveza"/>
            <w:rFonts w:cs="Myriad Pro"/>
          </w:rPr>
          <w:t>https://mgipu.gov.hr/UserDocsImages/dokumenti/Potres/RDNA_web_04082020.pdf</w:t>
        </w:r>
      </w:hyperlink>
      <w:r>
        <w:t xml:space="preserve"> </w:t>
      </w:r>
    </w:p>
  </w:footnote>
  <w:footnote w:id="29">
    <w:p w14:paraId="6A1FAF2B" w14:textId="77777777" w:rsidR="00B16443" w:rsidRPr="00E85587" w:rsidRDefault="00B16443" w:rsidP="004949CA">
      <w:pPr>
        <w:pStyle w:val="Tekstfusnote"/>
      </w:pPr>
      <w:r w:rsidRPr="00E85587">
        <w:rPr>
          <w:rStyle w:val="Referencafusnote"/>
        </w:rPr>
        <w:footnoteRef/>
      </w:r>
      <w:r w:rsidRPr="00E85587">
        <w:t xml:space="preserve"> Više informacija dostupno je na: </w:t>
      </w:r>
      <w:hyperlink r:id="rId17" w:history="1">
        <w:r w:rsidRPr="00E85587">
          <w:rPr>
            <w:rStyle w:val="Hiperveza"/>
            <w:rFonts w:eastAsiaTheme="majorEastAsia" w:cs="Myriad Pro"/>
          </w:rPr>
          <w:t>https://www.fzo.hr/</w:t>
        </w:r>
      </w:hyperlink>
      <w:r w:rsidRPr="00E85587">
        <w:t xml:space="preserve"> (datum pristupa: 11.05.2021.)</w:t>
      </w:r>
    </w:p>
  </w:footnote>
  <w:footnote w:id="30">
    <w:p w14:paraId="5B2FD995" w14:textId="77777777" w:rsidR="007D16F4" w:rsidRPr="009A1CC4" w:rsidRDefault="007D16F4" w:rsidP="007D16F4">
      <w:pPr>
        <w:pStyle w:val="Tekstfusnote"/>
        <w:rPr>
          <w:lang w:val="en-GB"/>
        </w:rPr>
      </w:pPr>
      <w:r>
        <w:rPr>
          <w:rStyle w:val="Referencafusnote"/>
        </w:rPr>
        <w:footnoteRef/>
      </w:r>
      <w:r>
        <w:t xml:space="preserve"> </w:t>
      </w:r>
      <w:r w:rsidRPr="00424944">
        <w:t xml:space="preserve">U </w:t>
      </w:r>
      <w:r>
        <w:t>Hrvatskoj</w:t>
      </w:r>
      <w:r w:rsidRPr="00424944">
        <w:t xml:space="preserve"> ne postoji definicija energetskog siromaštva niti su do sada utvrđeni opći kriteriji odnosno metodologija za utvrđivanje energetskog siromaštva</w:t>
      </w:r>
      <w:r>
        <w:t>.</w:t>
      </w:r>
    </w:p>
  </w:footnote>
  <w:footnote w:id="31">
    <w:p w14:paraId="5C9002CD" w14:textId="77777777" w:rsidR="00B16443" w:rsidRPr="00532ED6" w:rsidRDefault="00B16443" w:rsidP="004949CA">
      <w:pPr>
        <w:pStyle w:val="Tekstfusnote"/>
        <w:rPr>
          <w:lang w:val="en-GB"/>
        </w:rPr>
      </w:pPr>
      <w:r>
        <w:rPr>
          <w:rStyle w:val="Referencafusnote"/>
        </w:rPr>
        <w:footnoteRef/>
      </w:r>
      <w:r>
        <w:t xml:space="preserve"> EU </w:t>
      </w:r>
      <w:r>
        <w:t xml:space="preserve">Statistics on Income and Living Condition, EUROSTAT: </w:t>
      </w:r>
      <w:hyperlink r:id="rId18" w:history="1">
        <w:r w:rsidRPr="00D81B6A">
          <w:rPr>
            <w:rStyle w:val="Hiperveza"/>
            <w:rFonts w:eastAsiaTheme="majorEastAsia" w:cs="Myriad Pro"/>
          </w:rPr>
          <w:t>https://ec.europa.eu/eurostat/web/microdata/european-union-statistics-on-income-and-living-conditions</w:t>
        </w:r>
      </w:hyperlink>
      <w:r>
        <w:t xml:space="preserve"> </w:t>
      </w:r>
    </w:p>
  </w:footnote>
  <w:footnote w:id="32">
    <w:p w14:paraId="1BC847D2" w14:textId="77777777" w:rsidR="00B16443" w:rsidRPr="00FF3AED" w:rsidRDefault="00B16443" w:rsidP="004949CA">
      <w:pPr>
        <w:pStyle w:val="Tekstfusnote"/>
      </w:pPr>
      <w:r w:rsidRPr="00FF3AED">
        <w:rPr>
          <w:rStyle w:val="Referencafusnote"/>
        </w:rPr>
        <w:footnoteRef/>
      </w:r>
      <w:r w:rsidRPr="00FF3AED">
        <w:t xml:space="preserve"> NPOO</w:t>
      </w:r>
      <w:r>
        <w:t xml:space="preserve"> (nacrt od 29. travnja 2021.)</w:t>
      </w:r>
      <w:r w:rsidRPr="00FF3AED">
        <w:t xml:space="preserve"> je dostupan na: </w:t>
      </w:r>
      <w:hyperlink r:id="rId19" w:history="1">
        <w:r w:rsidRPr="00C019A2">
          <w:rPr>
            <w:rStyle w:val="Hiperveza"/>
            <w:rFonts w:eastAsiaTheme="majorEastAsia" w:cs="Myriad Pro"/>
          </w:rPr>
          <w:t>https://planoporavka.gov.hr/UserDocsImages/dokumenti/55%20-%201%20NPOO.pdf?vel=12358896</w:t>
        </w:r>
      </w:hyperlink>
      <w:r>
        <w:t xml:space="preserve"> </w:t>
      </w:r>
      <w:r w:rsidRPr="00932C7E">
        <w:t xml:space="preserve"> </w:t>
      </w:r>
      <w:r>
        <w:t xml:space="preserve">  </w:t>
      </w:r>
      <w:r w:rsidRPr="00FF3AED">
        <w:t>(datum pristupa 18.05.2021.)</w:t>
      </w:r>
    </w:p>
  </w:footnote>
  <w:footnote w:id="33">
    <w:p w14:paraId="6D77F27E" w14:textId="77777777" w:rsidR="00B16443" w:rsidRPr="00795912" w:rsidRDefault="00B16443" w:rsidP="004949CA">
      <w:pPr>
        <w:pStyle w:val="Tekstfusnote"/>
      </w:pPr>
      <w:r w:rsidRPr="00795912">
        <w:rPr>
          <w:vertAlign w:val="superscript"/>
        </w:rPr>
        <w:footnoteRef/>
      </w:r>
      <w:r w:rsidRPr="00795912">
        <w:rPr>
          <w:vertAlign w:val="superscript"/>
        </w:rPr>
        <w:t xml:space="preserve"> </w:t>
      </w:r>
      <w:r w:rsidRPr="00795912">
        <w:t>Podatak je izračunat na temelju procijenjenog broja od 29 zaposlenja po uloženom milijunu € u energetsku obnovu zgrada, kojega je u svom istraživanju utvrdio Europski  institut  za  zgrade (Buildings Performance Institute Europe -BPIE):  Building Renovation: A kick-starter for the EU recovery, BPIE za Renovate Europe, 2020.</w:t>
      </w:r>
    </w:p>
  </w:footnote>
  <w:footnote w:id="34">
    <w:p w14:paraId="2D9EB63F" w14:textId="77777777" w:rsidR="00B16443" w:rsidRPr="000024F8" w:rsidRDefault="00B16443" w:rsidP="004949CA">
      <w:pPr>
        <w:pStyle w:val="Tekstfusnote"/>
      </w:pPr>
      <w:r w:rsidRPr="00795912">
        <w:rPr>
          <w:vertAlign w:val="superscript"/>
        </w:rPr>
        <w:footnoteRef/>
      </w:r>
      <w:r w:rsidRPr="00795912">
        <w:rPr>
          <w:vertAlign w:val="superscript"/>
        </w:rPr>
        <w:t xml:space="preserve"> </w:t>
      </w:r>
      <w:r w:rsidRPr="00795912">
        <w:t xml:space="preserve">Državni zavod za statistiku, podatci za 2018. godinu, dostupno na: </w:t>
      </w:r>
      <w:hyperlink r:id="rId20" w:history="1">
        <w:r w:rsidRPr="00437A80">
          <w:rPr>
            <w:rStyle w:val="Hiperveza"/>
            <w:rFonts w:eastAsiaTheme="majorEastAsia" w:cs="Myriad Pro"/>
          </w:rPr>
          <w:t>https://www.dzs.hr/Hrv_Eng/publication/2020/09-01-01_12_2020.htm</w:t>
        </w:r>
      </w:hyperlink>
      <w:r>
        <w:t xml:space="preserve"> </w:t>
      </w:r>
      <w:r w:rsidRPr="00795912">
        <w:t xml:space="preserve">(datum pristupa </w:t>
      </w:r>
      <w:r>
        <w:t>05</w:t>
      </w:r>
      <w:r w:rsidRPr="00795912">
        <w:t>.0</w:t>
      </w:r>
      <w:r>
        <w:t>05</w:t>
      </w:r>
      <w:r w:rsidRPr="00795912">
        <w:t>9.</w:t>
      </w:r>
      <w:r>
        <w:t>2021</w:t>
      </w:r>
      <w:r w:rsidRPr="00795912">
        <w:t>.)</w:t>
      </w:r>
    </w:p>
  </w:footnote>
  <w:footnote w:id="35">
    <w:p w14:paraId="304FAE0B" w14:textId="77777777" w:rsidR="00CE191E" w:rsidRPr="009A1CC4" w:rsidRDefault="00CE191E" w:rsidP="00CE191E">
      <w:pPr>
        <w:pStyle w:val="Tekstfusnote"/>
        <w:rPr>
          <w:lang w:val="en-GB"/>
        </w:rPr>
      </w:pPr>
      <w:r>
        <w:rPr>
          <w:rStyle w:val="Referencafusnote"/>
        </w:rPr>
        <w:footnoteRef/>
      </w:r>
      <w:r>
        <w:t xml:space="preserve"> </w:t>
      </w:r>
      <w:r w:rsidRPr="007E18E7">
        <w:t>Izvor: Dugoročna strategija obnove nacionalnog fonda zgrada do 2050. godine</w:t>
      </w:r>
      <w:r>
        <w:rPr>
          <w:lang w:val="en-GB"/>
        </w:rPr>
        <w:t xml:space="preserve">, </w:t>
      </w:r>
      <w:r>
        <w:rPr>
          <w:lang w:val="en-GB"/>
        </w:rPr>
        <w:t xml:space="preserve">prema podacima Europske agencije za okoliš dostupnima na </w:t>
      </w:r>
      <w:hyperlink r:id="rId21" w:history="1">
        <w:r w:rsidRPr="00214A95">
          <w:rPr>
            <w:rStyle w:val="Hiperveza"/>
            <w:rFonts w:cs="Myriad Pro"/>
            <w:lang w:val="en-GB"/>
          </w:rPr>
          <w:t>https://www.eea.europa.eu/themes/air/health-impacts-of-air-pollution</w:t>
        </w:r>
      </w:hyperlink>
      <w:r>
        <w:rPr>
          <w:lang w:val="en-GB"/>
        </w:rPr>
        <w:t xml:space="preserve"> </w:t>
      </w:r>
    </w:p>
  </w:footnote>
  <w:footnote w:id="36">
    <w:p w14:paraId="3CC26D12" w14:textId="77777777" w:rsidR="00B16443" w:rsidRPr="009569B8" w:rsidRDefault="00B16443" w:rsidP="004949CA">
      <w:pPr>
        <w:pStyle w:val="Tekstfusnote"/>
      </w:pPr>
      <w:r w:rsidRPr="009569B8">
        <w:rPr>
          <w:rStyle w:val="Referencafusnote"/>
        </w:rPr>
        <w:footnoteRef/>
      </w:r>
      <w:r w:rsidRPr="009569B8">
        <w:t xml:space="preserve"> Izvor: </w:t>
      </w:r>
      <w:r>
        <w:t>O</w:t>
      </w:r>
      <w:r w:rsidRPr="009569B8">
        <w:t xml:space="preserve">snovne karakteristike potrošnje kućanstava u 2019., Državni zavod za statistiku; dostupno na: </w:t>
      </w:r>
      <w:hyperlink r:id="rId22" w:history="1">
        <w:r w:rsidRPr="009569B8">
          <w:rPr>
            <w:rStyle w:val="Hiperveza"/>
            <w:rFonts w:eastAsiaTheme="majorEastAsia" w:cs="Myriad Pro"/>
          </w:rPr>
          <w:t>https://www.dzs.hr/Hrv_Eng/publication/2020/14-01-02_01_2020.htm</w:t>
        </w:r>
      </w:hyperlink>
      <w:r w:rsidRPr="009569B8">
        <w:t xml:space="preserve"> (datum pristupa: 05.05.2021.)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C277" w14:textId="443F466D" w:rsidR="00B16443" w:rsidRDefault="00B16443">
    <w:pPr>
      <w:pStyle w:val="Zaglavlje"/>
    </w:pPr>
    <w:r>
      <w:rPr>
        <w:noProof/>
        <w:lang w:eastAsia="hr-HR"/>
      </w:rPr>
      <mc:AlternateContent>
        <mc:Choice Requires="wps">
          <w:drawing>
            <wp:anchor distT="0" distB="0" distL="114300" distR="114300" simplePos="0" relativeHeight="251656192" behindDoc="1" locked="0" layoutInCell="0" allowOverlap="1" wp14:anchorId="78E6E566" wp14:editId="4BE5A6DD">
              <wp:simplePos x="0" y="0"/>
              <wp:positionH relativeFrom="margin">
                <wp:align>center</wp:align>
              </wp:positionH>
              <wp:positionV relativeFrom="margin">
                <wp:align>center</wp:align>
              </wp:positionV>
              <wp:extent cx="5233670" cy="3140075"/>
              <wp:effectExtent l="0" t="1152525" r="0" b="679450"/>
              <wp:wrapNone/>
              <wp:docPr id="14"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14E383"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E6E566" id="_x0000_t202" coordsize="21600,21600" o:spt="202" path="m,l,21600r21600,l21600,xe">
              <v:stroke joinstyle="miter"/>
              <v:path gradientshapeok="t" o:connecttype="rect"/>
            </v:shapetype>
            <v:shape id="WordArt 30" o:spid="_x0000_s1026" type="#_x0000_t202" style="position:absolute;margin-left:0;margin-top:0;width:412.1pt;height:247.2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" o:allowincell="f" filled="f" stroked="f">
              <v:stroke joinstyle="round"/>
              <o:lock v:ext="edit" shapetype="t"/>
              <v:textbox style="mso-fit-shape-to-text:t">
                <w:txbxContent>
                  <w:p w14:paraId="2114E383"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r>
      <w:rPr>
        <w:noProof/>
        <w:lang w:eastAsia="hr-HR"/>
      </w:rPr>
      <mc:AlternateContent>
        <mc:Choice Requires="wps">
          <w:drawing>
            <wp:anchor distT="0" distB="0" distL="114300" distR="114300" simplePos="0" relativeHeight="251651072" behindDoc="1" locked="0" layoutInCell="0" allowOverlap="1" wp14:anchorId="63A5B68A" wp14:editId="77D2BCB2">
              <wp:simplePos x="0" y="0"/>
              <wp:positionH relativeFrom="margin">
                <wp:align>center</wp:align>
              </wp:positionH>
              <wp:positionV relativeFrom="margin">
                <wp:align>center</wp:align>
              </wp:positionV>
              <wp:extent cx="5233670" cy="3140075"/>
              <wp:effectExtent l="0" t="1152525" r="0" b="679450"/>
              <wp:wrapNone/>
              <wp:docPr id="1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DDB588"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A5B68A" id="WordArt 12" o:spid="_x0000_s1027" type="#_x0000_t202" style="position:absolute;margin-left:0;margin-top:0;width:412.1pt;height:247.2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" o:allowincell="f" filled="f" stroked="f">
              <v:stroke joinstyle="round"/>
              <o:lock v:ext="edit" shapetype="t"/>
              <v:textbox style="mso-fit-shape-to-text:t">
                <w:txbxContent>
                  <w:p w14:paraId="27DDB588"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DD60" w14:textId="6D59527E" w:rsidR="00B16443" w:rsidRDefault="00B16443">
    <w:pPr>
      <w:pStyle w:val="Zaglavlje"/>
    </w:pPr>
    <w:r>
      <w:rPr>
        <w:noProof/>
        <w:lang w:eastAsia="hr-HR"/>
      </w:rPr>
      <mc:AlternateContent>
        <mc:Choice Requires="wps">
          <w:drawing>
            <wp:anchor distT="0" distB="0" distL="114300" distR="114300" simplePos="0" relativeHeight="251657216" behindDoc="1" locked="0" layoutInCell="0" allowOverlap="1" wp14:anchorId="5EE2B920" wp14:editId="5D71AF27">
              <wp:simplePos x="0" y="0"/>
              <wp:positionH relativeFrom="margin">
                <wp:align>center</wp:align>
              </wp:positionH>
              <wp:positionV relativeFrom="margin">
                <wp:align>center</wp:align>
              </wp:positionV>
              <wp:extent cx="5233670" cy="3140075"/>
              <wp:effectExtent l="0" t="1152525" r="0" b="679450"/>
              <wp:wrapNone/>
              <wp:docPr id="12"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B90795"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E2B920" id="_x0000_t202" coordsize="21600,21600" o:spt="202" path="m,l,21600r21600,l21600,xe">
              <v:stroke joinstyle="miter"/>
              <v:path gradientshapeok="t" o:connecttype="rect"/>
            </v:shapetype>
            <v:shape id="WordArt 31" o:spid="_x0000_s1028" type="#_x0000_t202" style="position:absolute;margin-left:0;margin-top:0;width:412.1pt;height:247.2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" o:allowincell="f" filled="f" stroked="f">
              <v:stroke joinstyle="round"/>
              <o:lock v:ext="edit" shapetype="t"/>
              <v:textbox style="mso-fit-shape-to-text:t">
                <w:txbxContent>
                  <w:p w14:paraId="46B90795"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r>
      <w:rPr>
        <w:noProof/>
        <w:lang w:eastAsia="hr-HR"/>
      </w:rPr>
      <mc:AlternateContent>
        <mc:Choice Requires="wps">
          <w:drawing>
            <wp:anchor distT="0" distB="0" distL="114300" distR="114300" simplePos="0" relativeHeight="251652096" behindDoc="1" locked="0" layoutInCell="0" allowOverlap="1" wp14:anchorId="0360D939" wp14:editId="351C9B6C">
              <wp:simplePos x="0" y="0"/>
              <wp:positionH relativeFrom="margin">
                <wp:align>center</wp:align>
              </wp:positionH>
              <wp:positionV relativeFrom="margin">
                <wp:align>center</wp:align>
              </wp:positionV>
              <wp:extent cx="5233670" cy="3140075"/>
              <wp:effectExtent l="0" t="1152525" r="0" b="679450"/>
              <wp:wrapNone/>
              <wp:docPr id="11"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FBE196"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60D939" id="WordArt 13" o:spid="_x0000_s1029" type="#_x0000_t202" style="position:absolute;margin-left:0;margin-top:0;width:412.1pt;height:247.2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" o:allowincell="f" filled="f" stroked="f">
              <v:stroke joinstyle="round"/>
              <o:lock v:ext="edit" shapetype="t"/>
              <v:textbox style="mso-fit-shape-to-text:t">
                <w:txbxContent>
                  <w:p w14:paraId="34FBE196"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16D1" w14:textId="734D243D" w:rsidR="00B16443" w:rsidRDefault="009F20D0">
    <w:pPr>
      <w:pStyle w:val="Zaglavlje"/>
    </w:pPr>
    <w:r>
      <w:rPr>
        <w:noProof/>
      </w:rPr>
      <w:pict w14:anchorId="6F037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77" type="#_x0000_t136" style="position:absolute;margin-left:0;margin-top:0;width:412.1pt;height:247.25pt;rotation:315;z-index:-251652096;mso-position-horizontal:center;mso-position-horizontal-relative:margin;mso-position-vertical:center;mso-position-vertical-relative:margin" o:allowincell="f" fillcolor="silver" stroked="f">
          <v:fill opacity=".5"/>
          <v:textpath style="font-family:&quot;Calibri&quot;;font-size:1pt" string="NACR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5682" w14:textId="18308346" w:rsidR="00B16443" w:rsidRDefault="00B16443">
    <w:pPr>
      <w:pStyle w:val="Zaglavlje"/>
    </w:pPr>
    <w:r>
      <w:rPr>
        <w:noProof/>
        <w:lang w:eastAsia="hr-HR"/>
      </w:rPr>
      <mc:AlternateContent>
        <mc:Choice Requires="wps">
          <w:drawing>
            <wp:anchor distT="0" distB="0" distL="114300" distR="114300" simplePos="0" relativeHeight="251659264" behindDoc="1" locked="0" layoutInCell="0" allowOverlap="1" wp14:anchorId="736D9571" wp14:editId="7F9F2A8E">
              <wp:simplePos x="0" y="0"/>
              <wp:positionH relativeFrom="margin">
                <wp:align>center</wp:align>
              </wp:positionH>
              <wp:positionV relativeFrom="margin">
                <wp:align>center</wp:align>
              </wp:positionV>
              <wp:extent cx="5233670" cy="3140075"/>
              <wp:effectExtent l="0" t="1152525" r="0" b="679450"/>
              <wp:wrapNone/>
              <wp:docPr id="10"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AA53A6"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6D9571" id="_x0000_t202" coordsize="21600,21600" o:spt="202" path="m,l,21600r21600,l21600,xe">
              <v:stroke joinstyle="miter"/>
              <v:path gradientshapeok="t" o:connecttype="rect"/>
            </v:shapetype>
            <v:shape id="WordArt 33" o:spid="_x0000_s1030" type="#_x0000_t202" style="position:absolute;margin-left:0;margin-top:0;width:412.1pt;height:247.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" o:allowincell="f" filled="f" stroked="f">
              <v:stroke joinstyle="round"/>
              <o:lock v:ext="edit" shapetype="t"/>
              <v:textbox style="mso-fit-shape-to-text:t">
                <w:txbxContent>
                  <w:p w14:paraId="65AA53A6"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31BF" w14:textId="6E699553" w:rsidR="00B16443" w:rsidRDefault="00B16443" w:rsidP="00331A63">
    <w:pPr>
      <w:pStyle w:val="Zaglavlje"/>
    </w:pPr>
    <w:r>
      <w:rPr>
        <w:noProof/>
        <w:lang w:eastAsia="hr-HR"/>
      </w:rPr>
      <mc:AlternateContent>
        <mc:Choice Requires="wps">
          <w:drawing>
            <wp:anchor distT="0" distB="0" distL="114300" distR="114300" simplePos="0" relativeHeight="251660288" behindDoc="1" locked="0" layoutInCell="0" allowOverlap="1" wp14:anchorId="5CCEE609" wp14:editId="62082B14">
              <wp:simplePos x="0" y="0"/>
              <wp:positionH relativeFrom="margin">
                <wp:align>center</wp:align>
              </wp:positionH>
              <wp:positionV relativeFrom="margin">
                <wp:align>center</wp:align>
              </wp:positionV>
              <wp:extent cx="5233670" cy="3140075"/>
              <wp:effectExtent l="0" t="1152525" r="0" b="679450"/>
              <wp:wrapNone/>
              <wp:docPr id="9"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609ADA"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CEE609" id="_x0000_t202" coordsize="21600,21600" o:spt="202" path="m,l,21600r21600,l21600,xe">
              <v:stroke joinstyle="miter"/>
              <v:path gradientshapeok="t" o:connecttype="rect"/>
            </v:shapetype>
            <v:shape id="WordArt 34" o:spid="_x0000_s1031" type="#_x0000_t202" style="position:absolute;margin-left:0;margin-top:0;width:412.1pt;height:247.2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" o:allowincell="f" filled="f" stroked="f">
              <v:stroke joinstyle="round"/>
              <o:lock v:ext="edit" shapetype="t"/>
              <v:textbox style="mso-fit-shape-to-text:t">
                <w:txbxContent>
                  <w:p w14:paraId="6B609ADA"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4FDB" w14:textId="3FDFF38C" w:rsidR="00B16443" w:rsidRDefault="00B16443">
    <w:pPr>
      <w:pStyle w:val="Zaglavlje"/>
    </w:pPr>
    <w:r>
      <w:rPr>
        <w:noProof/>
        <w:lang w:eastAsia="hr-HR"/>
      </w:rPr>
      <mc:AlternateContent>
        <mc:Choice Requires="wps">
          <w:drawing>
            <wp:anchor distT="0" distB="0" distL="114300" distR="114300" simplePos="0" relativeHeight="251658240" behindDoc="1" locked="0" layoutInCell="0" allowOverlap="1" wp14:anchorId="5E70C989" wp14:editId="088A620B">
              <wp:simplePos x="0" y="0"/>
              <wp:positionH relativeFrom="margin">
                <wp:align>center</wp:align>
              </wp:positionH>
              <wp:positionV relativeFrom="margin">
                <wp:align>center</wp:align>
              </wp:positionV>
              <wp:extent cx="5233670" cy="3140075"/>
              <wp:effectExtent l="0" t="1152525" r="0" b="679450"/>
              <wp:wrapNone/>
              <wp:docPr id="8"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5C6481"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70C989" id="_x0000_t202" coordsize="21600,21600" o:spt="202" path="m,l,21600r21600,l21600,xe">
              <v:stroke joinstyle="miter"/>
              <v:path gradientshapeok="t" o:connecttype="rect"/>
            </v:shapetype>
            <v:shape id="WordArt 32" o:spid="_x0000_s1032" type="#_x0000_t202" style="position:absolute;margin-left:0;margin-top:0;width:412.1pt;height:247.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" o:allowincell="f" filled="f" stroked="f">
              <v:stroke joinstyle="round"/>
              <o:lock v:ext="edit" shapetype="t"/>
              <v:textbox style="mso-fit-shape-to-text:t">
                <w:txbxContent>
                  <w:p w14:paraId="3E5C6481"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6C80" w14:textId="6AB0CBCA" w:rsidR="00B16443" w:rsidRDefault="00B16443">
    <w:pPr>
      <w:pStyle w:val="Zaglavlje"/>
    </w:pPr>
    <w:r>
      <w:rPr>
        <w:noProof/>
        <w:lang w:eastAsia="hr-HR"/>
      </w:rPr>
      <mc:AlternateContent>
        <mc:Choice Requires="wps">
          <w:drawing>
            <wp:anchor distT="0" distB="0" distL="114300" distR="114300" simplePos="0" relativeHeight="251662336" behindDoc="1" locked="0" layoutInCell="0" allowOverlap="1" wp14:anchorId="465FDB06" wp14:editId="4DE5245C">
              <wp:simplePos x="0" y="0"/>
              <wp:positionH relativeFrom="margin">
                <wp:align>center</wp:align>
              </wp:positionH>
              <wp:positionV relativeFrom="margin">
                <wp:align>center</wp:align>
              </wp:positionV>
              <wp:extent cx="5233670" cy="3140075"/>
              <wp:effectExtent l="0" t="1152525" r="0" b="679450"/>
              <wp:wrapNone/>
              <wp:docPr id="7"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EFBCB7"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5FDB06" id="_x0000_t202" coordsize="21600,21600" o:spt="202" path="m,l,21600r21600,l21600,xe">
              <v:stroke joinstyle="miter"/>
              <v:path gradientshapeok="t" o:connecttype="rect"/>
            </v:shapetype>
            <v:shape id="WordArt 36" o:spid="_x0000_s1033" type="#_x0000_t202" style="position:absolute;margin-left:0;margin-top:0;width:412.1pt;height:247.2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" o:allowincell="f" filled="f" stroked="f">
              <v:stroke joinstyle="round"/>
              <o:lock v:ext="edit" shapetype="t"/>
              <v:textbox style="mso-fit-shape-to-text:t">
                <w:txbxContent>
                  <w:p w14:paraId="0FEFBCB7"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r>
      <w:rPr>
        <w:noProof/>
        <w:lang w:eastAsia="hr-HR"/>
      </w:rPr>
      <mc:AlternateContent>
        <mc:Choice Requires="wps">
          <w:drawing>
            <wp:anchor distT="0" distB="0" distL="114300" distR="114300" simplePos="0" relativeHeight="251654144" behindDoc="1" locked="0" layoutInCell="0" allowOverlap="1" wp14:anchorId="76F4898A" wp14:editId="4CA831D3">
              <wp:simplePos x="0" y="0"/>
              <wp:positionH relativeFrom="margin">
                <wp:align>center</wp:align>
              </wp:positionH>
              <wp:positionV relativeFrom="margin">
                <wp:align>center</wp:align>
              </wp:positionV>
              <wp:extent cx="5233670" cy="3140075"/>
              <wp:effectExtent l="0" t="1152525" r="0" b="679450"/>
              <wp:wrapNone/>
              <wp:docPr id="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5BF1D2"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F4898A" id="WordArt 18" o:spid="_x0000_s1034" type="#_x0000_t202" style="position:absolute;margin-left:0;margin-top:0;width:412.1pt;height:247.2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" o:allowincell="f" filled="f" stroked="f">
              <v:stroke joinstyle="round"/>
              <o:lock v:ext="edit" shapetype="t"/>
              <v:textbox style="mso-fit-shape-to-text:t">
                <w:txbxContent>
                  <w:p w14:paraId="1B5BF1D2"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CBE4" w14:textId="1EDB43EF" w:rsidR="00B16443" w:rsidRDefault="00B16443">
    <w:pPr>
      <w:pStyle w:val="Zaglavlje"/>
    </w:pPr>
    <w:r>
      <w:rPr>
        <w:noProof/>
        <w:lang w:eastAsia="hr-HR"/>
      </w:rPr>
      <mc:AlternateContent>
        <mc:Choice Requires="wps">
          <w:drawing>
            <wp:anchor distT="0" distB="0" distL="114300" distR="114300" simplePos="0" relativeHeight="251663360" behindDoc="1" locked="0" layoutInCell="0" allowOverlap="1" wp14:anchorId="03ED9648" wp14:editId="0EAD0667">
              <wp:simplePos x="0" y="0"/>
              <wp:positionH relativeFrom="margin">
                <wp:align>center</wp:align>
              </wp:positionH>
              <wp:positionV relativeFrom="margin">
                <wp:align>center</wp:align>
              </wp:positionV>
              <wp:extent cx="5233670" cy="3140075"/>
              <wp:effectExtent l="0" t="1152525" r="0" b="679450"/>
              <wp:wrapNone/>
              <wp:docPr id="5"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0FEF3A"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ED9648" id="_x0000_t202" coordsize="21600,21600" o:spt="202" path="m,l,21600r21600,l21600,xe">
              <v:stroke joinstyle="miter"/>
              <v:path gradientshapeok="t" o:connecttype="rect"/>
            </v:shapetype>
            <v:shape id="WordArt 37" o:spid="_x0000_s1035" type="#_x0000_t202" style="position:absolute;margin-left:0;margin-top:0;width:412.1pt;height:247.2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" o:allowincell="f" filled="f" stroked="f">
              <v:stroke joinstyle="round"/>
              <o:lock v:ext="edit" shapetype="t"/>
              <v:textbox style="mso-fit-shape-to-text:t">
                <w:txbxContent>
                  <w:p w14:paraId="7E0FEF3A"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r>
      <w:rPr>
        <w:noProof/>
        <w:lang w:eastAsia="hr-HR"/>
      </w:rPr>
      <mc:AlternateContent>
        <mc:Choice Requires="wps">
          <w:drawing>
            <wp:anchor distT="0" distB="0" distL="114300" distR="114300" simplePos="0" relativeHeight="251655168" behindDoc="1" locked="0" layoutInCell="0" allowOverlap="1" wp14:anchorId="40A37500" wp14:editId="744705A6">
              <wp:simplePos x="0" y="0"/>
              <wp:positionH relativeFrom="margin">
                <wp:align>center</wp:align>
              </wp:positionH>
              <wp:positionV relativeFrom="margin">
                <wp:align>center</wp:align>
              </wp:positionV>
              <wp:extent cx="5233670" cy="3140075"/>
              <wp:effectExtent l="0" t="1152525" r="0" b="679450"/>
              <wp:wrapNone/>
              <wp:docPr id="4"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791A45"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A37500" id="WordArt 19" o:spid="_x0000_s1036" type="#_x0000_t202" style="position:absolute;margin-left:0;margin-top:0;width:412.1pt;height:247.2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" o:allowincell="f" filled="f" stroked="f">
              <v:stroke joinstyle="round"/>
              <o:lock v:ext="edit" shapetype="t"/>
              <v:textbox style="mso-fit-shape-to-text:t">
                <w:txbxContent>
                  <w:p w14:paraId="1A791A45"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6FE2" w14:textId="1454B445" w:rsidR="00B16443" w:rsidRDefault="00B16443">
    <w:pPr>
      <w:pStyle w:val="Zaglavlje"/>
    </w:pPr>
    <w:r>
      <w:rPr>
        <w:noProof/>
        <w:lang w:eastAsia="hr-HR"/>
      </w:rPr>
      <mc:AlternateContent>
        <mc:Choice Requires="wps">
          <w:drawing>
            <wp:anchor distT="0" distB="0" distL="114300" distR="114300" simplePos="0" relativeHeight="251661312" behindDoc="1" locked="0" layoutInCell="0" allowOverlap="1" wp14:anchorId="2A3915A3" wp14:editId="2967F5FD">
              <wp:simplePos x="0" y="0"/>
              <wp:positionH relativeFrom="margin">
                <wp:align>center</wp:align>
              </wp:positionH>
              <wp:positionV relativeFrom="margin">
                <wp:align>center</wp:align>
              </wp:positionV>
              <wp:extent cx="5233670" cy="3140075"/>
              <wp:effectExtent l="0" t="1152525" r="0" b="679450"/>
              <wp:wrapNone/>
              <wp:docPr id="3"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CB1CD"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3915A3" id="_x0000_t202" coordsize="21600,21600" o:spt="202" path="m,l,21600r21600,l21600,xe">
              <v:stroke joinstyle="miter"/>
              <v:path gradientshapeok="t" o:connecttype="rect"/>
            </v:shapetype>
            <v:shape id="WordArt 35" o:spid="_x0000_s1037" type="#_x0000_t202" style="position:absolute;margin-left:0;margin-top:0;width:412.1pt;height:247.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" o:allowincell="f" filled="f" stroked="f">
              <v:stroke joinstyle="round"/>
              <o:lock v:ext="edit" shapetype="t"/>
              <v:textbox style="mso-fit-shape-to-text:t">
                <w:txbxContent>
                  <w:p w14:paraId="05FCB1CD"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r>
      <w:rPr>
        <w:noProof/>
        <w:lang w:eastAsia="hr-HR"/>
      </w:rPr>
      <mc:AlternateContent>
        <mc:Choice Requires="wps">
          <w:drawing>
            <wp:anchor distT="0" distB="0" distL="114300" distR="114300" simplePos="0" relativeHeight="251653120" behindDoc="1" locked="0" layoutInCell="0" allowOverlap="1" wp14:anchorId="0891BC89" wp14:editId="3B957564">
              <wp:simplePos x="0" y="0"/>
              <wp:positionH relativeFrom="margin">
                <wp:align>center</wp:align>
              </wp:positionH>
              <wp:positionV relativeFrom="margin">
                <wp:align>center</wp:align>
              </wp:positionV>
              <wp:extent cx="5233670" cy="3140075"/>
              <wp:effectExtent l="0" t="1152525" r="0" b="679450"/>
              <wp:wrapNone/>
              <wp:docPr id="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3670"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603384"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91BC89" id="WordArt 17" o:spid="_x0000_s1038" type="#_x0000_t202" style="position:absolute;margin-left:0;margin-top:0;width:412.1pt;height:247.2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" o:allowincell="f" filled="f" stroked="f">
              <v:stroke joinstyle="round"/>
              <o:lock v:ext="edit" shapetype="t"/>
              <v:textbox style="mso-fit-shape-to-text:t">
                <w:txbxContent>
                  <w:p w14:paraId="0C603384" w14:textId="77777777" w:rsidR="00B16443" w:rsidRDefault="00B16443" w:rsidP="007D524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NACRT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FAC"/>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0F527D"/>
    <w:multiLevelType w:val="hybridMultilevel"/>
    <w:tmpl w:val="B4AE1B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353DD9"/>
    <w:multiLevelType w:val="hybridMultilevel"/>
    <w:tmpl w:val="BA7E2D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6313C0"/>
    <w:multiLevelType w:val="hybridMultilevel"/>
    <w:tmpl w:val="ADB46C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93761F"/>
    <w:multiLevelType w:val="hybridMultilevel"/>
    <w:tmpl w:val="D08C419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0F72FC"/>
    <w:multiLevelType w:val="hybridMultilevel"/>
    <w:tmpl w:val="193462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5F280C"/>
    <w:multiLevelType w:val="hybridMultilevel"/>
    <w:tmpl w:val="1F00A754"/>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426CF9"/>
    <w:multiLevelType w:val="multilevel"/>
    <w:tmpl w:val="835C0540"/>
    <w:styleLink w:val="StyleBulletedBol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b/>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1073F"/>
    <w:multiLevelType w:val="hybridMultilevel"/>
    <w:tmpl w:val="40961C60"/>
    <w:lvl w:ilvl="0" w:tplc="FFFFFFFF">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59596A"/>
    <w:multiLevelType w:val="hybridMultilevel"/>
    <w:tmpl w:val="270C78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CC7A75"/>
    <w:multiLevelType w:val="hybridMultilevel"/>
    <w:tmpl w:val="6BA89FB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97F42FC"/>
    <w:multiLevelType w:val="hybridMultilevel"/>
    <w:tmpl w:val="024A3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B857F7"/>
    <w:multiLevelType w:val="hybridMultilevel"/>
    <w:tmpl w:val="40C08D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AD766A8"/>
    <w:multiLevelType w:val="hybridMultilevel"/>
    <w:tmpl w:val="ED64C8D4"/>
    <w:lvl w:ilvl="0" w:tplc="AE7E9674">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1ECA57C2"/>
    <w:multiLevelType w:val="hybridMultilevel"/>
    <w:tmpl w:val="C8284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F9E2387"/>
    <w:multiLevelType w:val="hybridMultilevel"/>
    <w:tmpl w:val="31F268F4"/>
    <w:lvl w:ilvl="0" w:tplc="C0E0D510">
      <w:start w:val="1"/>
      <w:numFmt w:val="bullet"/>
      <w:pStyle w:val="Uvlaka2"/>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6" w15:restartNumberingAfterBreak="0">
    <w:nsid w:val="20C019FB"/>
    <w:multiLevelType w:val="multilevel"/>
    <w:tmpl w:val="DED88280"/>
    <w:styleLink w:val="StyleBulletedWingdingssymbol12ptGray-50Left15cm"/>
    <w:lvl w:ilvl="0">
      <w:start w:val="1"/>
      <w:numFmt w:val="bullet"/>
      <w:lvlText w:val=""/>
      <w:lvlJc w:val="left"/>
      <w:pPr>
        <w:tabs>
          <w:tab w:val="num" w:pos="2138"/>
        </w:tabs>
        <w:ind w:left="2138" w:hanging="360"/>
      </w:pPr>
      <w:rPr>
        <w:rFonts w:ascii="Tahoma" w:hAnsi="Tahoma"/>
        <w:color w:val="80808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849A6"/>
    <w:multiLevelType w:val="multilevel"/>
    <w:tmpl w:val="21A8AD5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92" w:hanging="432"/>
      </w:pPr>
      <w:rPr>
        <w:rFonts w:hint="default"/>
      </w:rPr>
    </w:lvl>
    <w:lvl w:ilvl="2">
      <w:start w:val="1"/>
      <w:numFmt w:val="decimal"/>
      <w:pStyle w:val="Naslov3"/>
      <w:lvlText w:val="%1.%2.%3."/>
      <w:lvlJc w:val="left"/>
      <w:pPr>
        <w:ind w:left="1224" w:hanging="504"/>
      </w:pPr>
      <w:rPr>
        <w:rFonts w:hint="default"/>
      </w:rPr>
    </w:lvl>
    <w:lvl w:ilvl="3">
      <w:start w:val="1"/>
      <w:numFmt w:val="decimal"/>
      <w:pStyle w:val="Naslov4"/>
      <w:suff w:val="space"/>
      <w:lvlText w:val="%1.%2.%3.%4."/>
      <w:lvlJc w:val="left"/>
      <w:pPr>
        <w:ind w:left="1728" w:hanging="648"/>
      </w:pPr>
      <w:rPr>
        <w:rFonts w:hint="default"/>
      </w:rPr>
    </w:lvl>
    <w:lvl w:ilvl="4">
      <w:start w:val="1"/>
      <w:numFmt w:val="decimal"/>
      <w:pStyle w:val="Naslov5"/>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EA0D69"/>
    <w:multiLevelType w:val="hybridMultilevel"/>
    <w:tmpl w:val="3C387B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E7B69F2"/>
    <w:multiLevelType w:val="singleLevel"/>
    <w:tmpl w:val="BCF81EAA"/>
    <w:lvl w:ilvl="0">
      <w:start w:val="1"/>
      <w:numFmt w:val="bullet"/>
      <w:pStyle w:val="Spiegelstrich3"/>
      <w:lvlText w:val=""/>
      <w:lvlJc w:val="left"/>
      <w:pPr>
        <w:tabs>
          <w:tab w:val="num" w:pos="851"/>
        </w:tabs>
        <w:ind w:left="851" w:hanging="284"/>
      </w:pPr>
      <w:rPr>
        <w:rFonts w:ascii="Symbol" w:hAnsi="Symbol" w:hint="default"/>
        <w:sz w:val="16"/>
      </w:rPr>
    </w:lvl>
  </w:abstractNum>
  <w:abstractNum w:abstractNumId="20" w15:restartNumberingAfterBreak="0">
    <w:nsid w:val="2EC5793D"/>
    <w:multiLevelType w:val="hybridMultilevel"/>
    <w:tmpl w:val="6360E5C8"/>
    <w:lvl w:ilvl="0" w:tplc="041A0001">
      <w:start w:val="1"/>
      <w:numFmt w:val="bullet"/>
      <w:lvlText w:val=""/>
      <w:lvlJc w:val="left"/>
      <w:pPr>
        <w:ind w:left="720" w:hanging="360"/>
      </w:pPr>
      <w:rPr>
        <w:rFonts w:ascii="Symbol" w:hAnsi="Symbol" w:hint="default"/>
      </w:rPr>
    </w:lvl>
    <w:lvl w:ilvl="1" w:tplc="CBD65950">
      <w:start w:val="3"/>
      <w:numFmt w:val="bullet"/>
      <w:lvlText w:val="–"/>
      <w:lvlJc w:val="left"/>
      <w:pPr>
        <w:ind w:left="1440" w:hanging="360"/>
      </w:pPr>
      <w:rPr>
        <w:rFonts w:ascii="Tahoma" w:eastAsia="Times New Roman" w:hAnsi="Tahoma" w:cs="Tahoma"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FD447E"/>
    <w:multiLevelType w:val="hybridMultilevel"/>
    <w:tmpl w:val="CCC642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3335E39"/>
    <w:multiLevelType w:val="hybridMultilevel"/>
    <w:tmpl w:val="E8D612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7A442AF"/>
    <w:multiLevelType w:val="hybridMultilevel"/>
    <w:tmpl w:val="03B228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8CD60C4"/>
    <w:multiLevelType w:val="multilevel"/>
    <w:tmpl w:val="C8840F10"/>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5372F3"/>
    <w:multiLevelType w:val="hybridMultilevel"/>
    <w:tmpl w:val="64709B8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3A687011"/>
    <w:multiLevelType w:val="hybridMultilevel"/>
    <w:tmpl w:val="F57C5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E557142"/>
    <w:multiLevelType w:val="multilevel"/>
    <w:tmpl w:val="318C4004"/>
    <w:lvl w:ilvl="0">
      <w:start w:val="1"/>
      <w:numFmt w:val="decimal"/>
      <w:pStyle w:val="Naslov10"/>
      <w:lvlText w:val="%1"/>
      <w:lvlJc w:val="left"/>
      <w:pPr>
        <w:ind w:left="432" w:hanging="432"/>
      </w:pPr>
      <w:rPr>
        <w:rFonts w:hint="default"/>
      </w:rPr>
    </w:lvl>
    <w:lvl w:ilvl="1">
      <w:start w:val="1"/>
      <w:numFmt w:val="decimal"/>
      <w:pStyle w:val="Naslov20"/>
      <w:lvlText w:val="%1.%2"/>
      <w:lvlJc w:val="left"/>
      <w:pPr>
        <w:ind w:left="576" w:hanging="576"/>
      </w:pPr>
      <w:rPr>
        <w:rFonts w:hint="default"/>
      </w:rPr>
    </w:lvl>
    <w:lvl w:ilvl="2">
      <w:start w:val="1"/>
      <w:numFmt w:val="decimal"/>
      <w:pStyle w:val="Naslov30"/>
      <w:lvlText w:val="%1.%2.%3"/>
      <w:lvlJc w:val="left"/>
      <w:pPr>
        <w:ind w:left="720" w:hanging="720"/>
      </w:pPr>
      <w:rPr>
        <w:rFonts w:hint="default"/>
      </w:rPr>
    </w:lvl>
    <w:lvl w:ilvl="3">
      <w:start w:val="1"/>
      <w:numFmt w:val="decimal"/>
      <w:pStyle w:val="Naslov40"/>
      <w:lvlText w:val="%1.%2.%3.%4"/>
      <w:lvlJc w:val="left"/>
      <w:pPr>
        <w:ind w:left="864" w:hanging="864"/>
      </w:pPr>
      <w:rPr>
        <w:rFonts w:hint="default"/>
      </w:rPr>
    </w:lvl>
    <w:lvl w:ilvl="4">
      <w:start w:val="1"/>
      <w:numFmt w:val="decimal"/>
      <w:pStyle w:val="Naslov50"/>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8" w15:restartNumberingAfterBreak="0">
    <w:nsid w:val="43BC3C9E"/>
    <w:multiLevelType w:val="hybridMultilevel"/>
    <w:tmpl w:val="67A48C88"/>
    <w:lvl w:ilvl="0" w:tplc="AD401928">
      <w:start w:val="1"/>
      <w:numFmt w:val="decimal"/>
      <w:pStyle w:val="Izvor"/>
      <w:lvlText w:val="[%1]"/>
      <w:lvlJc w:val="left"/>
      <w:pPr>
        <w:ind w:left="2215" w:hanging="360"/>
      </w:pPr>
      <w:rPr>
        <w:rFonts w:hint="default"/>
      </w:rPr>
    </w:lvl>
    <w:lvl w:ilvl="1" w:tplc="041A0019" w:tentative="1">
      <w:start w:val="1"/>
      <w:numFmt w:val="lowerLetter"/>
      <w:lvlText w:val="%2."/>
      <w:lvlJc w:val="left"/>
      <w:pPr>
        <w:ind w:left="2935" w:hanging="360"/>
      </w:pPr>
    </w:lvl>
    <w:lvl w:ilvl="2" w:tplc="041A001B" w:tentative="1">
      <w:start w:val="1"/>
      <w:numFmt w:val="lowerRoman"/>
      <w:lvlText w:val="%3."/>
      <w:lvlJc w:val="right"/>
      <w:pPr>
        <w:ind w:left="3655" w:hanging="180"/>
      </w:pPr>
    </w:lvl>
    <w:lvl w:ilvl="3" w:tplc="041A000F" w:tentative="1">
      <w:start w:val="1"/>
      <w:numFmt w:val="decimal"/>
      <w:lvlText w:val="%4."/>
      <w:lvlJc w:val="left"/>
      <w:pPr>
        <w:ind w:left="4375" w:hanging="360"/>
      </w:pPr>
    </w:lvl>
    <w:lvl w:ilvl="4" w:tplc="041A0019" w:tentative="1">
      <w:start w:val="1"/>
      <w:numFmt w:val="lowerLetter"/>
      <w:lvlText w:val="%5."/>
      <w:lvlJc w:val="left"/>
      <w:pPr>
        <w:ind w:left="5095" w:hanging="360"/>
      </w:pPr>
    </w:lvl>
    <w:lvl w:ilvl="5" w:tplc="041A001B" w:tentative="1">
      <w:start w:val="1"/>
      <w:numFmt w:val="lowerRoman"/>
      <w:lvlText w:val="%6."/>
      <w:lvlJc w:val="right"/>
      <w:pPr>
        <w:ind w:left="5815" w:hanging="180"/>
      </w:pPr>
    </w:lvl>
    <w:lvl w:ilvl="6" w:tplc="041A000F" w:tentative="1">
      <w:start w:val="1"/>
      <w:numFmt w:val="decimal"/>
      <w:lvlText w:val="%7."/>
      <w:lvlJc w:val="left"/>
      <w:pPr>
        <w:ind w:left="6535" w:hanging="360"/>
      </w:pPr>
    </w:lvl>
    <w:lvl w:ilvl="7" w:tplc="041A0019" w:tentative="1">
      <w:start w:val="1"/>
      <w:numFmt w:val="lowerLetter"/>
      <w:lvlText w:val="%8."/>
      <w:lvlJc w:val="left"/>
      <w:pPr>
        <w:ind w:left="7255" w:hanging="360"/>
      </w:pPr>
    </w:lvl>
    <w:lvl w:ilvl="8" w:tplc="041A001B" w:tentative="1">
      <w:start w:val="1"/>
      <w:numFmt w:val="lowerRoman"/>
      <w:lvlText w:val="%9."/>
      <w:lvlJc w:val="right"/>
      <w:pPr>
        <w:ind w:left="7975" w:hanging="180"/>
      </w:pPr>
    </w:lvl>
  </w:abstractNum>
  <w:abstractNum w:abstractNumId="29" w15:restartNumberingAfterBreak="0">
    <w:nsid w:val="44CC1250"/>
    <w:multiLevelType w:val="multilevel"/>
    <w:tmpl w:val="FE78CD6A"/>
    <w:styleLink w:val="bulleti"/>
    <w:lvl w:ilvl="0">
      <w:numFmt w:val="bullet"/>
      <w:lvlText w:val="o"/>
      <w:lvlJc w:val="left"/>
      <w:pPr>
        <w:tabs>
          <w:tab w:val="num" w:pos="567"/>
        </w:tabs>
        <w:ind w:left="567" w:hanging="207"/>
      </w:pPr>
      <w:rPr>
        <w:rFonts w:ascii="Courier New" w:hAnsi="Courier New" w:cs="Times New Roman" w:hint="default"/>
        <w:sz w:val="22"/>
      </w:rPr>
    </w:lvl>
    <w:lvl w:ilvl="1">
      <w:start w:val="1"/>
      <w:numFmt w:val="bullet"/>
      <w:lvlText w:val="-"/>
      <w:lvlJc w:val="left"/>
      <w:pPr>
        <w:tabs>
          <w:tab w:val="num" w:pos="1440"/>
        </w:tabs>
        <w:ind w:left="1440" w:hanging="360"/>
      </w:pPr>
      <w:rPr>
        <w:rFonts w:ascii="Tahoma" w:hAnsi="Tahom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BC49CC"/>
    <w:multiLevelType w:val="hybridMultilevel"/>
    <w:tmpl w:val="BBEE20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D17335F"/>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4E874AD7"/>
    <w:multiLevelType w:val="multilevel"/>
    <w:tmpl w:val="5BB6DB4E"/>
    <w:styleLink w:val="toc20"/>
    <w:lvl w:ilvl="0">
      <w:start w:val="1"/>
      <w:numFmt w:val="upperRoman"/>
      <w:lvlText w:val="PART %1:"/>
      <w:lvlJc w:val="left"/>
      <w:pPr>
        <w:tabs>
          <w:tab w:val="num" w:pos="1134"/>
        </w:tabs>
        <w:ind w:left="1134" w:hanging="1134"/>
      </w:pPr>
      <w:rPr>
        <w:rFonts w:ascii="Arial" w:hAnsi="Arial" w:cs="Times New Roman"/>
        <w:b/>
        <w:caps/>
        <w:color w:val="333399"/>
        <w:sz w:val="24"/>
      </w:rPr>
    </w:lvl>
    <w:lvl w:ilvl="1">
      <w:start w:val="1"/>
      <w:numFmt w:val="decimal"/>
      <w:lvlRestart w:val="0"/>
      <w:lvlText w:val="Chapter %2:"/>
      <w:lvlJc w:val="left"/>
      <w:pPr>
        <w:tabs>
          <w:tab w:val="num" w:pos="1304"/>
        </w:tabs>
        <w:ind w:left="1304" w:hanging="1304"/>
      </w:pPr>
      <w:rPr>
        <w:rFonts w:ascii="Arial" w:hAnsi="Arial" w:cs="Times New Roman" w:hint="default"/>
        <w:b/>
        <w:i w:val="0"/>
        <w:color w:val="333399"/>
        <w:sz w:val="24"/>
      </w:rPr>
    </w:lvl>
    <w:lvl w:ilvl="2">
      <w:start w:val="1"/>
      <w:numFmt w:val="decimal"/>
      <w:lvlText w:val="%2.%3."/>
      <w:lvlJc w:val="left"/>
      <w:pPr>
        <w:tabs>
          <w:tab w:val="num" w:pos="794"/>
        </w:tabs>
        <w:ind w:left="794" w:hanging="737"/>
      </w:pPr>
      <w:rPr>
        <w:rFonts w:ascii="Arial" w:hAnsi="Arial" w:cs="Times New Roman" w:hint="default"/>
        <w:b/>
        <w:i/>
        <w:color w:val="333399"/>
        <w:sz w:val="24"/>
      </w:rPr>
    </w:lvl>
    <w:lvl w:ilvl="3">
      <w:start w:val="1"/>
      <w:numFmt w:val="decimal"/>
      <w:lvlText w:val="%2.%3.%4."/>
      <w:lvlJc w:val="left"/>
      <w:pPr>
        <w:tabs>
          <w:tab w:val="num" w:pos="902"/>
        </w:tabs>
        <w:ind w:left="902" w:hanging="562"/>
      </w:pPr>
      <w:rPr>
        <w:rFonts w:ascii="Arial" w:hAnsi="Arial" w:cs="Times New Roman" w:hint="default"/>
        <w:b/>
        <w:i w:val="0"/>
        <w:color w:val="auto"/>
        <w:sz w:val="20"/>
      </w:rPr>
    </w:lvl>
    <w:lvl w:ilvl="4">
      <w:start w:val="1"/>
      <w:numFmt w:val="decimal"/>
      <w:lvlRestart w:val="0"/>
      <w:lvlText w:val="Figure %2.%5:"/>
      <w:lvlJc w:val="left"/>
      <w:pPr>
        <w:tabs>
          <w:tab w:val="num" w:pos="1077"/>
        </w:tabs>
        <w:ind w:left="1077" w:hanging="175"/>
      </w:pPr>
      <w:rPr>
        <w:rFonts w:ascii="Arial" w:hAnsi="Arial" w:cs="Times New Roman" w:hint="default"/>
        <w:b w:val="0"/>
        <w:i/>
        <w:color w:val="auto"/>
        <w:sz w:val="20"/>
        <w:u w:val="singl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4F694650"/>
    <w:multiLevelType w:val="hybridMultilevel"/>
    <w:tmpl w:val="DBACE368"/>
    <w:lvl w:ilvl="0" w:tplc="9698F380">
      <w:start w:val="1"/>
      <w:numFmt w:val="bullet"/>
      <w:pStyle w:val="Uvlaka1"/>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00A596E"/>
    <w:multiLevelType w:val="hybridMultilevel"/>
    <w:tmpl w:val="4A6C71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8417F50"/>
    <w:multiLevelType w:val="hybridMultilevel"/>
    <w:tmpl w:val="E6C222EE"/>
    <w:lvl w:ilvl="0" w:tplc="041A0001">
      <w:start w:val="1"/>
      <w:numFmt w:val="bullet"/>
      <w:lvlText w:val=""/>
      <w:lvlJc w:val="left"/>
      <w:pPr>
        <w:ind w:left="930" w:hanging="57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9F71661"/>
    <w:multiLevelType w:val="hybridMultilevel"/>
    <w:tmpl w:val="8DCAFD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A94218E"/>
    <w:multiLevelType w:val="hybridMultilevel"/>
    <w:tmpl w:val="056C83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5B116145"/>
    <w:multiLevelType w:val="multilevel"/>
    <w:tmpl w:val="27BA83EC"/>
    <w:styleLink w:val="lanaksekcija"/>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39" w15:restartNumberingAfterBreak="0">
    <w:nsid w:val="5D682812"/>
    <w:multiLevelType w:val="hybridMultilevel"/>
    <w:tmpl w:val="F76A4B0A"/>
    <w:styleLink w:val="toc20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EDE3FAC"/>
    <w:multiLevelType w:val="hybridMultilevel"/>
    <w:tmpl w:val="A52AD1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52B63C4"/>
    <w:multiLevelType w:val="hybridMultilevel"/>
    <w:tmpl w:val="92E01218"/>
    <w:lvl w:ilvl="0" w:tplc="79E0F8D8">
      <w:start w:val="1"/>
      <w:numFmt w:val="bullet"/>
      <w:pStyle w:val="Uvlaka3"/>
      <w:lvlText w:val="o"/>
      <w:lvlJc w:val="left"/>
      <w:pPr>
        <w:ind w:left="1854" w:hanging="360"/>
      </w:pPr>
      <w:rPr>
        <w:rFonts w:ascii="Courier New" w:hAnsi="Courier New" w:cs="Courier New"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42" w15:restartNumberingAfterBreak="0">
    <w:nsid w:val="65DB59CD"/>
    <w:multiLevelType w:val="hybridMultilevel"/>
    <w:tmpl w:val="C90C58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5EE1ECD"/>
    <w:multiLevelType w:val="hybridMultilevel"/>
    <w:tmpl w:val="6AAE2050"/>
    <w:lvl w:ilvl="0" w:tplc="26BA1D0A">
      <w:start w:val="1"/>
      <w:numFmt w:val="decimal"/>
      <w:lvlText w:val="%1."/>
      <w:lvlJc w:val="left"/>
      <w:pPr>
        <w:ind w:left="720" w:hanging="360"/>
      </w:pPr>
    </w:lvl>
    <w:lvl w:ilvl="1" w:tplc="6D7E0A00">
      <w:start w:val="1"/>
      <w:numFmt w:val="decimal"/>
      <w:lvlText w:val="%2."/>
      <w:lvlJc w:val="left"/>
      <w:pPr>
        <w:ind w:left="1440" w:hanging="360"/>
      </w:pPr>
    </w:lvl>
    <w:lvl w:ilvl="2" w:tplc="F2EE1C96">
      <w:start w:val="1"/>
      <w:numFmt w:val="lowerRoman"/>
      <w:pStyle w:val="Broj3"/>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83F0A79"/>
    <w:multiLevelType w:val="hybridMultilevel"/>
    <w:tmpl w:val="FB80DF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B057A03"/>
    <w:multiLevelType w:val="hybridMultilevel"/>
    <w:tmpl w:val="1640FA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D0B1FCA"/>
    <w:multiLevelType w:val="hybridMultilevel"/>
    <w:tmpl w:val="A544D0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DDD7420"/>
    <w:multiLevelType w:val="hybridMultilevel"/>
    <w:tmpl w:val="BACE039A"/>
    <w:lvl w:ilvl="0" w:tplc="7D72067E">
      <w:start w:val="1"/>
      <w:numFmt w:val="decimal"/>
      <w:pStyle w:val="Odlomakpopisa"/>
      <w:lvlText w:val="%1."/>
      <w:lvlJc w:val="left"/>
      <w:pPr>
        <w:ind w:left="720" w:hanging="360"/>
      </w:pPr>
    </w:lvl>
    <w:lvl w:ilvl="1" w:tplc="6D7E0A00">
      <w:start w:val="1"/>
      <w:numFmt w:val="decimal"/>
      <w:pStyle w:val="Broj2"/>
      <w:lvlText w:val="%2."/>
      <w:lvlJc w:val="left"/>
      <w:pPr>
        <w:ind w:left="1440" w:hanging="360"/>
      </w:pPr>
    </w:lvl>
    <w:lvl w:ilvl="2" w:tplc="7B281908">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DE3699F"/>
    <w:multiLevelType w:val="hybridMultilevel"/>
    <w:tmpl w:val="7AC074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FB552D8"/>
    <w:multiLevelType w:val="multilevel"/>
    <w:tmpl w:val="A5C02844"/>
    <w:styleLink w:val="StyleBulletedWingdingssymbol12ptBoldGray-50Left1"/>
    <w:lvl w:ilvl="0">
      <w:start w:val="1"/>
      <w:numFmt w:val="bullet"/>
      <w:lvlText w:val=""/>
      <w:lvlJc w:val="left"/>
      <w:pPr>
        <w:tabs>
          <w:tab w:val="num" w:pos="1040"/>
        </w:tabs>
        <w:ind w:left="1040" w:hanging="360"/>
      </w:pPr>
      <w:rPr>
        <w:rFonts w:ascii="Tahoma" w:hAnsi="Tahoma" w:hint="default"/>
        <w:color w:val="808080"/>
      </w:rPr>
    </w:lvl>
    <w:lvl w:ilvl="1">
      <w:start w:val="1"/>
      <w:numFmt w:val="bullet"/>
      <w:lvlText w:val=""/>
      <w:lvlJc w:val="left"/>
      <w:pPr>
        <w:ind w:left="342" w:hanging="360"/>
      </w:pPr>
      <w:rPr>
        <w:rFonts w:ascii="Wingdings" w:hAnsi="Wingdings" w:hint="default"/>
        <w:color w:val="808080"/>
      </w:rPr>
    </w:lvl>
    <w:lvl w:ilvl="2">
      <w:start w:val="1"/>
      <w:numFmt w:val="bullet"/>
      <w:lvlText w:val=""/>
      <w:lvlJc w:val="left"/>
      <w:pPr>
        <w:ind w:left="1062" w:hanging="360"/>
      </w:pPr>
      <w:rPr>
        <w:rFonts w:ascii="Wingdings" w:hAnsi="Wingdings"/>
        <w:b/>
        <w:color w:val="808080"/>
        <w:sz w:val="24"/>
      </w:rPr>
    </w:lvl>
    <w:lvl w:ilvl="3">
      <w:start w:val="1"/>
      <w:numFmt w:val="bullet"/>
      <w:lvlText w:val=""/>
      <w:lvlJc w:val="left"/>
      <w:pPr>
        <w:ind w:left="1782" w:hanging="360"/>
      </w:pPr>
      <w:rPr>
        <w:rFonts w:ascii="Symbol" w:hAnsi="Symbol" w:hint="default"/>
      </w:rPr>
    </w:lvl>
    <w:lvl w:ilvl="4">
      <w:start w:val="1"/>
      <w:numFmt w:val="bullet"/>
      <w:lvlText w:val="o"/>
      <w:lvlJc w:val="left"/>
      <w:pPr>
        <w:ind w:left="2502" w:hanging="360"/>
      </w:pPr>
      <w:rPr>
        <w:rFonts w:ascii="Courier New" w:hAnsi="Courier New" w:hint="default"/>
      </w:rPr>
    </w:lvl>
    <w:lvl w:ilvl="5">
      <w:start w:val="1"/>
      <w:numFmt w:val="bullet"/>
      <w:lvlText w:val=""/>
      <w:lvlJc w:val="left"/>
      <w:pPr>
        <w:ind w:left="3222" w:hanging="360"/>
      </w:pPr>
      <w:rPr>
        <w:rFonts w:ascii="Wingdings" w:hAnsi="Wingdings" w:hint="default"/>
      </w:rPr>
    </w:lvl>
    <w:lvl w:ilvl="6">
      <w:start w:val="1"/>
      <w:numFmt w:val="bullet"/>
      <w:lvlText w:val=""/>
      <w:lvlJc w:val="left"/>
      <w:pPr>
        <w:ind w:left="3942" w:hanging="360"/>
      </w:pPr>
      <w:rPr>
        <w:rFonts w:ascii="Symbol" w:hAnsi="Symbol" w:hint="default"/>
      </w:rPr>
    </w:lvl>
    <w:lvl w:ilvl="7">
      <w:start w:val="1"/>
      <w:numFmt w:val="bullet"/>
      <w:lvlText w:val="o"/>
      <w:lvlJc w:val="left"/>
      <w:pPr>
        <w:ind w:left="4662" w:hanging="360"/>
      </w:pPr>
      <w:rPr>
        <w:rFonts w:ascii="Courier New" w:hAnsi="Courier New" w:hint="default"/>
      </w:rPr>
    </w:lvl>
    <w:lvl w:ilvl="8">
      <w:start w:val="1"/>
      <w:numFmt w:val="bullet"/>
      <w:lvlText w:val=""/>
      <w:lvlJc w:val="left"/>
      <w:pPr>
        <w:ind w:left="5382" w:hanging="360"/>
      </w:pPr>
      <w:rPr>
        <w:rFonts w:ascii="Wingdings" w:hAnsi="Wingdings" w:hint="default"/>
      </w:rPr>
    </w:lvl>
  </w:abstractNum>
  <w:abstractNum w:abstractNumId="50" w15:restartNumberingAfterBreak="0">
    <w:nsid w:val="71471369"/>
    <w:multiLevelType w:val="hybridMultilevel"/>
    <w:tmpl w:val="8D8831B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576106D"/>
    <w:multiLevelType w:val="hybridMultilevel"/>
    <w:tmpl w:val="D58C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83C7027"/>
    <w:multiLevelType w:val="hybridMultilevel"/>
    <w:tmpl w:val="9966455E"/>
    <w:lvl w:ilvl="0" w:tplc="041A0001">
      <w:start w:val="1"/>
      <w:numFmt w:val="bullet"/>
      <w:lvlText w:val=""/>
      <w:lvlJc w:val="left"/>
      <w:pPr>
        <w:ind w:left="720" w:hanging="360"/>
      </w:pPr>
      <w:rPr>
        <w:rFonts w:ascii="Symbol" w:hAnsi="Symbol" w:hint="default"/>
      </w:rPr>
    </w:lvl>
    <w:lvl w:ilvl="1" w:tplc="AE7E9674">
      <w:start w:val="1"/>
      <w:numFmt w:val="bullet"/>
      <w:lvlText w:val="-"/>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FED08F8"/>
    <w:multiLevelType w:val="hybridMultilevel"/>
    <w:tmpl w:val="6BF655D4"/>
    <w:lvl w:ilvl="0" w:tplc="041A0001">
      <w:start w:val="1"/>
      <w:numFmt w:val="bullet"/>
      <w:lvlText w:val=""/>
      <w:lvlJc w:val="left"/>
      <w:pPr>
        <w:ind w:left="720" w:hanging="360"/>
      </w:pPr>
      <w:rPr>
        <w:rFonts w:ascii="Symbol" w:hAnsi="Symbol" w:hint="default"/>
      </w:rPr>
    </w:lvl>
    <w:lvl w:ilvl="1" w:tplc="C3F64D48">
      <w:numFmt w:val="bullet"/>
      <w:lvlText w:val="•"/>
      <w:lvlJc w:val="left"/>
      <w:pPr>
        <w:ind w:left="1440" w:hanging="360"/>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1"/>
  </w:num>
  <w:num w:numId="2">
    <w:abstractNumId w:val="15"/>
  </w:num>
  <w:num w:numId="3">
    <w:abstractNumId w:val="47"/>
  </w:num>
  <w:num w:numId="4">
    <w:abstractNumId w:val="43"/>
  </w:num>
  <w:num w:numId="5">
    <w:abstractNumId w:val="24"/>
  </w:num>
  <w:num w:numId="6">
    <w:abstractNumId w:val="7"/>
  </w:num>
  <w:num w:numId="7">
    <w:abstractNumId w:val="16"/>
  </w:num>
  <w:num w:numId="8">
    <w:abstractNumId w:val="49"/>
  </w:num>
  <w:num w:numId="9">
    <w:abstractNumId w:val="31"/>
  </w:num>
  <w:num w:numId="10">
    <w:abstractNumId w:val="0"/>
  </w:num>
  <w:num w:numId="11">
    <w:abstractNumId w:val="38"/>
  </w:num>
  <w:num w:numId="12">
    <w:abstractNumId w:val="29"/>
  </w:num>
  <w:num w:numId="13">
    <w:abstractNumId w:val="17"/>
  </w:num>
  <w:num w:numId="14">
    <w:abstractNumId w:val="33"/>
  </w:num>
  <w:num w:numId="15">
    <w:abstractNumId w:val="28"/>
  </w:num>
  <w:num w:numId="16">
    <w:abstractNumId w:val="19"/>
  </w:num>
  <w:num w:numId="17">
    <w:abstractNumId w:val="45"/>
  </w:num>
  <w:num w:numId="18">
    <w:abstractNumId w:val="27"/>
  </w:num>
  <w:num w:numId="19">
    <w:abstractNumId w:val="53"/>
  </w:num>
  <w:num w:numId="20">
    <w:abstractNumId w:val="21"/>
  </w:num>
  <w:num w:numId="21">
    <w:abstractNumId w:val="20"/>
  </w:num>
  <w:num w:numId="22">
    <w:abstractNumId w:val="34"/>
  </w:num>
  <w:num w:numId="23">
    <w:abstractNumId w:val="11"/>
  </w:num>
  <w:num w:numId="24">
    <w:abstractNumId w:val="39"/>
  </w:num>
  <w:num w:numId="25">
    <w:abstractNumId w:val="40"/>
  </w:num>
  <w:num w:numId="26">
    <w:abstractNumId w:val="36"/>
  </w:num>
  <w:num w:numId="27">
    <w:abstractNumId w:val="10"/>
  </w:num>
  <w:num w:numId="28">
    <w:abstractNumId w:val="5"/>
  </w:num>
  <w:num w:numId="29">
    <w:abstractNumId w:val="12"/>
  </w:num>
  <w:num w:numId="30">
    <w:abstractNumId w:val="26"/>
  </w:num>
  <w:num w:numId="31">
    <w:abstractNumId w:val="25"/>
  </w:num>
  <w:num w:numId="32">
    <w:abstractNumId w:val="4"/>
  </w:num>
  <w:num w:numId="33">
    <w:abstractNumId w:val="46"/>
  </w:num>
  <w:num w:numId="34">
    <w:abstractNumId w:val="18"/>
  </w:num>
  <w:num w:numId="35">
    <w:abstractNumId w:val="6"/>
  </w:num>
  <w:num w:numId="36">
    <w:abstractNumId w:val="52"/>
  </w:num>
  <w:num w:numId="37">
    <w:abstractNumId w:val="32"/>
  </w:num>
  <w:num w:numId="38">
    <w:abstractNumId w:val="1"/>
  </w:num>
  <w:num w:numId="39">
    <w:abstractNumId w:val="35"/>
  </w:num>
  <w:num w:numId="40">
    <w:abstractNumId w:val="51"/>
  </w:num>
  <w:num w:numId="41">
    <w:abstractNumId w:val="9"/>
  </w:num>
  <w:num w:numId="42">
    <w:abstractNumId w:val="42"/>
  </w:num>
  <w:num w:numId="43">
    <w:abstractNumId w:val="50"/>
  </w:num>
  <w:num w:numId="44">
    <w:abstractNumId w:val="48"/>
  </w:num>
  <w:num w:numId="45">
    <w:abstractNumId w:val="44"/>
  </w:num>
  <w:num w:numId="46">
    <w:abstractNumId w:val="3"/>
  </w:num>
  <w:num w:numId="47">
    <w:abstractNumId w:val="37"/>
  </w:num>
  <w:num w:numId="48">
    <w:abstractNumId w:val="13"/>
  </w:num>
  <w:num w:numId="49">
    <w:abstractNumId w:val="23"/>
  </w:num>
  <w:num w:numId="50">
    <w:abstractNumId w:val="2"/>
  </w:num>
  <w:num w:numId="51">
    <w:abstractNumId w:val="22"/>
  </w:num>
  <w:num w:numId="52">
    <w:abstractNumId w:val="14"/>
  </w:num>
  <w:num w:numId="53">
    <w:abstractNumId w:val="8"/>
  </w:num>
  <w:num w:numId="54">
    <w:abstractNumId w:val="30"/>
  </w:num>
  <w:num w:numId="55">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trackRevisions/>
  <w:defaultTabStop w:val="708"/>
  <w:hyphenationZone w:val="425"/>
  <w:characterSpacingControl w:val="doNotCompress"/>
  <w:hdrShapeDefaults>
    <o:shapedefaults v:ext="edit" spidmax="207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AE"/>
    <w:rsid w:val="000023E4"/>
    <w:rsid w:val="00002E6F"/>
    <w:rsid w:val="00004E4A"/>
    <w:rsid w:val="00005835"/>
    <w:rsid w:val="00014317"/>
    <w:rsid w:val="00021F85"/>
    <w:rsid w:val="000255DE"/>
    <w:rsid w:val="000260E8"/>
    <w:rsid w:val="000305AA"/>
    <w:rsid w:val="00030DE4"/>
    <w:rsid w:val="00040033"/>
    <w:rsid w:val="00040A22"/>
    <w:rsid w:val="000459F2"/>
    <w:rsid w:val="000467C5"/>
    <w:rsid w:val="00047F38"/>
    <w:rsid w:val="000514CF"/>
    <w:rsid w:val="00052C9A"/>
    <w:rsid w:val="00055704"/>
    <w:rsid w:val="000574EF"/>
    <w:rsid w:val="00060264"/>
    <w:rsid w:val="000632FD"/>
    <w:rsid w:val="0006532F"/>
    <w:rsid w:val="00066023"/>
    <w:rsid w:val="00070E81"/>
    <w:rsid w:val="0007116F"/>
    <w:rsid w:val="000718D6"/>
    <w:rsid w:val="00072718"/>
    <w:rsid w:val="000734EB"/>
    <w:rsid w:val="00085D21"/>
    <w:rsid w:val="00086B1D"/>
    <w:rsid w:val="00090734"/>
    <w:rsid w:val="000907FD"/>
    <w:rsid w:val="000919CF"/>
    <w:rsid w:val="0009249B"/>
    <w:rsid w:val="00094E02"/>
    <w:rsid w:val="00095C7F"/>
    <w:rsid w:val="000A1CE2"/>
    <w:rsid w:val="000A1CF0"/>
    <w:rsid w:val="000A2A5E"/>
    <w:rsid w:val="000A3418"/>
    <w:rsid w:val="000B0417"/>
    <w:rsid w:val="000B24EC"/>
    <w:rsid w:val="000B7EDB"/>
    <w:rsid w:val="000C2444"/>
    <w:rsid w:val="000C2E0D"/>
    <w:rsid w:val="000C5BB7"/>
    <w:rsid w:val="000C63E5"/>
    <w:rsid w:val="000C6417"/>
    <w:rsid w:val="000D08D3"/>
    <w:rsid w:val="000D50E4"/>
    <w:rsid w:val="000E02B5"/>
    <w:rsid w:val="000E66CF"/>
    <w:rsid w:val="000F59E4"/>
    <w:rsid w:val="000F7CF8"/>
    <w:rsid w:val="00107285"/>
    <w:rsid w:val="00107E0C"/>
    <w:rsid w:val="0011220A"/>
    <w:rsid w:val="0011569B"/>
    <w:rsid w:val="0012187F"/>
    <w:rsid w:val="001226F3"/>
    <w:rsid w:val="00122D8B"/>
    <w:rsid w:val="00124CB1"/>
    <w:rsid w:val="00127981"/>
    <w:rsid w:val="00134504"/>
    <w:rsid w:val="00137FF6"/>
    <w:rsid w:val="00143654"/>
    <w:rsid w:val="00144E37"/>
    <w:rsid w:val="001461F4"/>
    <w:rsid w:val="00150237"/>
    <w:rsid w:val="0015239D"/>
    <w:rsid w:val="0015239E"/>
    <w:rsid w:val="001663B5"/>
    <w:rsid w:val="0017005F"/>
    <w:rsid w:val="00172C18"/>
    <w:rsid w:val="00175DB8"/>
    <w:rsid w:val="00177EC5"/>
    <w:rsid w:val="00180E37"/>
    <w:rsid w:val="0018356E"/>
    <w:rsid w:val="00183C0F"/>
    <w:rsid w:val="00192CCE"/>
    <w:rsid w:val="00193203"/>
    <w:rsid w:val="00193631"/>
    <w:rsid w:val="0019717B"/>
    <w:rsid w:val="001A02CA"/>
    <w:rsid w:val="001A3195"/>
    <w:rsid w:val="001A3295"/>
    <w:rsid w:val="001A53C2"/>
    <w:rsid w:val="001A5CDE"/>
    <w:rsid w:val="001B7672"/>
    <w:rsid w:val="001B7BF0"/>
    <w:rsid w:val="001B7C8E"/>
    <w:rsid w:val="001C4B73"/>
    <w:rsid w:val="001C5FEC"/>
    <w:rsid w:val="001C65DC"/>
    <w:rsid w:val="001D0688"/>
    <w:rsid w:val="001D10B2"/>
    <w:rsid w:val="001D3619"/>
    <w:rsid w:val="001E0B35"/>
    <w:rsid w:val="001E13C4"/>
    <w:rsid w:val="001F19B1"/>
    <w:rsid w:val="001F3E7A"/>
    <w:rsid w:val="00204AC4"/>
    <w:rsid w:val="0020782B"/>
    <w:rsid w:val="00207928"/>
    <w:rsid w:val="002093FF"/>
    <w:rsid w:val="002101DE"/>
    <w:rsid w:val="00211C52"/>
    <w:rsid w:val="00213EAD"/>
    <w:rsid w:val="002161BC"/>
    <w:rsid w:val="00221BB7"/>
    <w:rsid w:val="00223AAD"/>
    <w:rsid w:val="00226C00"/>
    <w:rsid w:val="0022746F"/>
    <w:rsid w:val="0022748B"/>
    <w:rsid w:val="0022782F"/>
    <w:rsid w:val="002313BD"/>
    <w:rsid w:val="0023378A"/>
    <w:rsid w:val="002352F8"/>
    <w:rsid w:val="00235EFA"/>
    <w:rsid w:val="002373C2"/>
    <w:rsid w:val="00240C68"/>
    <w:rsid w:val="002412B5"/>
    <w:rsid w:val="002419B6"/>
    <w:rsid w:val="00241A1F"/>
    <w:rsid w:val="00242501"/>
    <w:rsid w:val="00245E8A"/>
    <w:rsid w:val="00246CE0"/>
    <w:rsid w:val="00252221"/>
    <w:rsid w:val="00265A22"/>
    <w:rsid w:val="00266EB5"/>
    <w:rsid w:val="00271EE1"/>
    <w:rsid w:val="00276891"/>
    <w:rsid w:val="00282037"/>
    <w:rsid w:val="00282441"/>
    <w:rsid w:val="002879D6"/>
    <w:rsid w:val="00291B00"/>
    <w:rsid w:val="00294816"/>
    <w:rsid w:val="00294A7E"/>
    <w:rsid w:val="00296442"/>
    <w:rsid w:val="002966DD"/>
    <w:rsid w:val="002A2970"/>
    <w:rsid w:val="002A330A"/>
    <w:rsid w:val="002A43A5"/>
    <w:rsid w:val="002A52BD"/>
    <w:rsid w:val="002A7687"/>
    <w:rsid w:val="002B2089"/>
    <w:rsid w:val="002B3817"/>
    <w:rsid w:val="002B46F2"/>
    <w:rsid w:val="002B71FC"/>
    <w:rsid w:val="002C3FED"/>
    <w:rsid w:val="002C5ABC"/>
    <w:rsid w:val="002D674E"/>
    <w:rsid w:val="002D755D"/>
    <w:rsid w:val="002E2677"/>
    <w:rsid w:val="002E4FF2"/>
    <w:rsid w:val="002F041F"/>
    <w:rsid w:val="002F3929"/>
    <w:rsid w:val="002F4405"/>
    <w:rsid w:val="002F6734"/>
    <w:rsid w:val="002F6C5E"/>
    <w:rsid w:val="002F7013"/>
    <w:rsid w:val="003061B7"/>
    <w:rsid w:val="003070AF"/>
    <w:rsid w:val="003145B2"/>
    <w:rsid w:val="00315DD6"/>
    <w:rsid w:val="0031733E"/>
    <w:rsid w:val="00317382"/>
    <w:rsid w:val="003219E7"/>
    <w:rsid w:val="003235F9"/>
    <w:rsid w:val="00325CFE"/>
    <w:rsid w:val="00331A63"/>
    <w:rsid w:val="003320E7"/>
    <w:rsid w:val="00334140"/>
    <w:rsid w:val="00334FBB"/>
    <w:rsid w:val="00336A22"/>
    <w:rsid w:val="00343781"/>
    <w:rsid w:val="003440C8"/>
    <w:rsid w:val="00350155"/>
    <w:rsid w:val="00353CB2"/>
    <w:rsid w:val="00356E40"/>
    <w:rsid w:val="00357135"/>
    <w:rsid w:val="0036063E"/>
    <w:rsid w:val="00364E83"/>
    <w:rsid w:val="00365058"/>
    <w:rsid w:val="00367566"/>
    <w:rsid w:val="003714F1"/>
    <w:rsid w:val="003727E7"/>
    <w:rsid w:val="003768FA"/>
    <w:rsid w:val="003857B0"/>
    <w:rsid w:val="00385F23"/>
    <w:rsid w:val="00394393"/>
    <w:rsid w:val="003A0734"/>
    <w:rsid w:val="003A1CED"/>
    <w:rsid w:val="003A44FB"/>
    <w:rsid w:val="003A64F9"/>
    <w:rsid w:val="003B3D85"/>
    <w:rsid w:val="003B52B9"/>
    <w:rsid w:val="003C09E6"/>
    <w:rsid w:val="003C5685"/>
    <w:rsid w:val="003C5F70"/>
    <w:rsid w:val="003D07AD"/>
    <w:rsid w:val="003D3044"/>
    <w:rsid w:val="003D6A90"/>
    <w:rsid w:val="003E02CE"/>
    <w:rsid w:val="003E1388"/>
    <w:rsid w:val="003E2023"/>
    <w:rsid w:val="003E5AB3"/>
    <w:rsid w:val="003F251F"/>
    <w:rsid w:val="003F7030"/>
    <w:rsid w:val="003F7E98"/>
    <w:rsid w:val="00401F22"/>
    <w:rsid w:val="00405115"/>
    <w:rsid w:val="00405DF0"/>
    <w:rsid w:val="004078C1"/>
    <w:rsid w:val="00413A57"/>
    <w:rsid w:val="00416B63"/>
    <w:rsid w:val="00416E8D"/>
    <w:rsid w:val="00420916"/>
    <w:rsid w:val="00420A39"/>
    <w:rsid w:val="00422D8A"/>
    <w:rsid w:val="00424BB1"/>
    <w:rsid w:val="00430C01"/>
    <w:rsid w:val="00436116"/>
    <w:rsid w:val="00437EB1"/>
    <w:rsid w:val="00441B62"/>
    <w:rsid w:val="00442333"/>
    <w:rsid w:val="00442377"/>
    <w:rsid w:val="004437AB"/>
    <w:rsid w:val="00444D96"/>
    <w:rsid w:val="00444EAF"/>
    <w:rsid w:val="0044698B"/>
    <w:rsid w:val="004512B1"/>
    <w:rsid w:val="00451422"/>
    <w:rsid w:val="00451B46"/>
    <w:rsid w:val="00452C96"/>
    <w:rsid w:val="004530E3"/>
    <w:rsid w:val="004547B0"/>
    <w:rsid w:val="004572BA"/>
    <w:rsid w:val="00460A2C"/>
    <w:rsid w:val="00461E03"/>
    <w:rsid w:val="004641D5"/>
    <w:rsid w:val="00464C58"/>
    <w:rsid w:val="004707C4"/>
    <w:rsid w:val="00477BA3"/>
    <w:rsid w:val="0048131A"/>
    <w:rsid w:val="004840A0"/>
    <w:rsid w:val="0048562B"/>
    <w:rsid w:val="004858AF"/>
    <w:rsid w:val="00490154"/>
    <w:rsid w:val="00490F0E"/>
    <w:rsid w:val="0049413C"/>
    <w:rsid w:val="004949CA"/>
    <w:rsid w:val="00496E91"/>
    <w:rsid w:val="004B6AEC"/>
    <w:rsid w:val="004B6B27"/>
    <w:rsid w:val="004B7C1D"/>
    <w:rsid w:val="004C1BFE"/>
    <w:rsid w:val="004C5933"/>
    <w:rsid w:val="004C7024"/>
    <w:rsid w:val="004C77B9"/>
    <w:rsid w:val="004D0663"/>
    <w:rsid w:val="004D2487"/>
    <w:rsid w:val="004D26BA"/>
    <w:rsid w:val="004D2E1E"/>
    <w:rsid w:val="004D64D4"/>
    <w:rsid w:val="004E3C36"/>
    <w:rsid w:val="004E45CF"/>
    <w:rsid w:val="004E55DA"/>
    <w:rsid w:val="004F4CDA"/>
    <w:rsid w:val="004F6B64"/>
    <w:rsid w:val="00500A58"/>
    <w:rsid w:val="005025E5"/>
    <w:rsid w:val="00505014"/>
    <w:rsid w:val="00505DD2"/>
    <w:rsid w:val="0050627D"/>
    <w:rsid w:val="00515227"/>
    <w:rsid w:val="005169B2"/>
    <w:rsid w:val="005218E9"/>
    <w:rsid w:val="00522589"/>
    <w:rsid w:val="00523A8C"/>
    <w:rsid w:val="005258CA"/>
    <w:rsid w:val="00526B86"/>
    <w:rsid w:val="005272FA"/>
    <w:rsid w:val="0053011F"/>
    <w:rsid w:val="005315C7"/>
    <w:rsid w:val="005318F9"/>
    <w:rsid w:val="00532B88"/>
    <w:rsid w:val="00533338"/>
    <w:rsid w:val="00537DD9"/>
    <w:rsid w:val="005401B0"/>
    <w:rsid w:val="0054150C"/>
    <w:rsid w:val="00542A80"/>
    <w:rsid w:val="00542C00"/>
    <w:rsid w:val="00543BA7"/>
    <w:rsid w:val="005445A8"/>
    <w:rsid w:val="005474BC"/>
    <w:rsid w:val="00552857"/>
    <w:rsid w:val="00552AC6"/>
    <w:rsid w:val="0055310E"/>
    <w:rsid w:val="0055354C"/>
    <w:rsid w:val="00553C25"/>
    <w:rsid w:val="00554171"/>
    <w:rsid w:val="005542C4"/>
    <w:rsid w:val="00555373"/>
    <w:rsid w:val="005567EB"/>
    <w:rsid w:val="00556C06"/>
    <w:rsid w:val="00564D57"/>
    <w:rsid w:val="00566D36"/>
    <w:rsid w:val="00567092"/>
    <w:rsid w:val="00570A52"/>
    <w:rsid w:val="005713D1"/>
    <w:rsid w:val="0057313E"/>
    <w:rsid w:val="00575AF9"/>
    <w:rsid w:val="005762AF"/>
    <w:rsid w:val="00577DA7"/>
    <w:rsid w:val="00581D3A"/>
    <w:rsid w:val="00584DE4"/>
    <w:rsid w:val="00586018"/>
    <w:rsid w:val="00590247"/>
    <w:rsid w:val="00593424"/>
    <w:rsid w:val="00595295"/>
    <w:rsid w:val="005959CB"/>
    <w:rsid w:val="00595DC6"/>
    <w:rsid w:val="005A01F1"/>
    <w:rsid w:val="005A2949"/>
    <w:rsid w:val="005A31B1"/>
    <w:rsid w:val="005A60FE"/>
    <w:rsid w:val="005B253C"/>
    <w:rsid w:val="005B2D8F"/>
    <w:rsid w:val="005B5E14"/>
    <w:rsid w:val="005B7971"/>
    <w:rsid w:val="005C0336"/>
    <w:rsid w:val="005C50EA"/>
    <w:rsid w:val="005C724A"/>
    <w:rsid w:val="005C7F4B"/>
    <w:rsid w:val="005C7FF8"/>
    <w:rsid w:val="005D0420"/>
    <w:rsid w:val="005D3F5A"/>
    <w:rsid w:val="005D4FFF"/>
    <w:rsid w:val="005D5680"/>
    <w:rsid w:val="005D77D8"/>
    <w:rsid w:val="005E4D97"/>
    <w:rsid w:val="005F1D22"/>
    <w:rsid w:val="005F4E24"/>
    <w:rsid w:val="005F7112"/>
    <w:rsid w:val="005F790F"/>
    <w:rsid w:val="0060366C"/>
    <w:rsid w:val="00604320"/>
    <w:rsid w:val="0061698E"/>
    <w:rsid w:val="00621231"/>
    <w:rsid w:val="00621FC9"/>
    <w:rsid w:val="006247CF"/>
    <w:rsid w:val="0062523D"/>
    <w:rsid w:val="006269E7"/>
    <w:rsid w:val="006317E8"/>
    <w:rsid w:val="00631B46"/>
    <w:rsid w:val="0063313B"/>
    <w:rsid w:val="00633F29"/>
    <w:rsid w:val="006347BC"/>
    <w:rsid w:val="00634F93"/>
    <w:rsid w:val="00640B28"/>
    <w:rsid w:val="00641B1D"/>
    <w:rsid w:val="00647107"/>
    <w:rsid w:val="00650299"/>
    <w:rsid w:val="00654118"/>
    <w:rsid w:val="006573E4"/>
    <w:rsid w:val="00657EA5"/>
    <w:rsid w:val="00663303"/>
    <w:rsid w:val="00671C9B"/>
    <w:rsid w:val="00681E67"/>
    <w:rsid w:val="006826A1"/>
    <w:rsid w:val="00684283"/>
    <w:rsid w:val="006843FA"/>
    <w:rsid w:val="0068468B"/>
    <w:rsid w:val="0068494F"/>
    <w:rsid w:val="00687B91"/>
    <w:rsid w:val="00693C98"/>
    <w:rsid w:val="00695EC1"/>
    <w:rsid w:val="00696242"/>
    <w:rsid w:val="0069672A"/>
    <w:rsid w:val="006A2228"/>
    <w:rsid w:val="006A5127"/>
    <w:rsid w:val="006A59C5"/>
    <w:rsid w:val="006A72D7"/>
    <w:rsid w:val="006B5D47"/>
    <w:rsid w:val="006C16DD"/>
    <w:rsid w:val="006C1824"/>
    <w:rsid w:val="006C2807"/>
    <w:rsid w:val="006D0F99"/>
    <w:rsid w:val="006D6A4A"/>
    <w:rsid w:val="006E12EC"/>
    <w:rsid w:val="006E155E"/>
    <w:rsid w:val="006E2060"/>
    <w:rsid w:val="006E3EDC"/>
    <w:rsid w:val="006F3760"/>
    <w:rsid w:val="006F4210"/>
    <w:rsid w:val="006F5296"/>
    <w:rsid w:val="00702281"/>
    <w:rsid w:val="00703BB4"/>
    <w:rsid w:val="00705CA9"/>
    <w:rsid w:val="00707EDF"/>
    <w:rsid w:val="00717941"/>
    <w:rsid w:val="00720CD5"/>
    <w:rsid w:val="00730989"/>
    <w:rsid w:val="007334B3"/>
    <w:rsid w:val="00740E73"/>
    <w:rsid w:val="00745697"/>
    <w:rsid w:val="00746112"/>
    <w:rsid w:val="0074724E"/>
    <w:rsid w:val="00751EAE"/>
    <w:rsid w:val="00757BCA"/>
    <w:rsid w:val="00757F8D"/>
    <w:rsid w:val="00763159"/>
    <w:rsid w:val="00763E96"/>
    <w:rsid w:val="00765520"/>
    <w:rsid w:val="007711B9"/>
    <w:rsid w:val="00774ECA"/>
    <w:rsid w:val="00775125"/>
    <w:rsid w:val="00775245"/>
    <w:rsid w:val="00775DA5"/>
    <w:rsid w:val="00775F97"/>
    <w:rsid w:val="007810E9"/>
    <w:rsid w:val="00783D0B"/>
    <w:rsid w:val="007852E0"/>
    <w:rsid w:val="00790893"/>
    <w:rsid w:val="0079153A"/>
    <w:rsid w:val="007919F6"/>
    <w:rsid w:val="00793AC9"/>
    <w:rsid w:val="007965CA"/>
    <w:rsid w:val="00797195"/>
    <w:rsid w:val="007A51C4"/>
    <w:rsid w:val="007A5AE1"/>
    <w:rsid w:val="007A6664"/>
    <w:rsid w:val="007A72FE"/>
    <w:rsid w:val="007A7AFB"/>
    <w:rsid w:val="007B2BA1"/>
    <w:rsid w:val="007C064D"/>
    <w:rsid w:val="007C3DDA"/>
    <w:rsid w:val="007C404C"/>
    <w:rsid w:val="007C6F1A"/>
    <w:rsid w:val="007C7C8A"/>
    <w:rsid w:val="007D0265"/>
    <w:rsid w:val="007D16F4"/>
    <w:rsid w:val="007D42CE"/>
    <w:rsid w:val="007D46A6"/>
    <w:rsid w:val="007D4C31"/>
    <w:rsid w:val="007D5244"/>
    <w:rsid w:val="007D5EF3"/>
    <w:rsid w:val="007D7985"/>
    <w:rsid w:val="007E0A79"/>
    <w:rsid w:val="007E18E7"/>
    <w:rsid w:val="007E256F"/>
    <w:rsid w:val="007E3CCC"/>
    <w:rsid w:val="007E6F12"/>
    <w:rsid w:val="007E6FE0"/>
    <w:rsid w:val="007F3836"/>
    <w:rsid w:val="007F3E62"/>
    <w:rsid w:val="007F3F25"/>
    <w:rsid w:val="007F5842"/>
    <w:rsid w:val="0080051B"/>
    <w:rsid w:val="00802741"/>
    <w:rsid w:val="00805ED8"/>
    <w:rsid w:val="00806E72"/>
    <w:rsid w:val="008104C7"/>
    <w:rsid w:val="008108EA"/>
    <w:rsid w:val="00811425"/>
    <w:rsid w:val="00811B37"/>
    <w:rsid w:val="00816E53"/>
    <w:rsid w:val="008249C5"/>
    <w:rsid w:val="00831CF4"/>
    <w:rsid w:val="0083253B"/>
    <w:rsid w:val="00834ADC"/>
    <w:rsid w:val="0083523F"/>
    <w:rsid w:val="00837744"/>
    <w:rsid w:val="0084331A"/>
    <w:rsid w:val="0084554F"/>
    <w:rsid w:val="0084604A"/>
    <w:rsid w:val="00846F70"/>
    <w:rsid w:val="008552B1"/>
    <w:rsid w:val="00857390"/>
    <w:rsid w:val="00857975"/>
    <w:rsid w:val="00860D08"/>
    <w:rsid w:val="00862AFF"/>
    <w:rsid w:val="0086582E"/>
    <w:rsid w:val="0086639F"/>
    <w:rsid w:val="00867701"/>
    <w:rsid w:val="008756AE"/>
    <w:rsid w:val="008769DC"/>
    <w:rsid w:val="00881134"/>
    <w:rsid w:val="00885283"/>
    <w:rsid w:val="00886122"/>
    <w:rsid w:val="0088680E"/>
    <w:rsid w:val="00886932"/>
    <w:rsid w:val="00891023"/>
    <w:rsid w:val="008912F7"/>
    <w:rsid w:val="008A1ACD"/>
    <w:rsid w:val="008A4B92"/>
    <w:rsid w:val="008A5658"/>
    <w:rsid w:val="008A5A3A"/>
    <w:rsid w:val="008A66F4"/>
    <w:rsid w:val="008A6D46"/>
    <w:rsid w:val="008B1C9E"/>
    <w:rsid w:val="008B40E7"/>
    <w:rsid w:val="008B7E38"/>
    <w:rsid w:val="008C52A0"/>
    <w:rsid w:val="008D23A6"/>
    <w:rsid w:val="008D7AA0"/>
    <w:rsid w:val="008E1C8A"/>
    <w:rsid w:val="008E1E01"/>
    <w:rsid w:val="008E4DAB"/>
    <w:rsid w:val="008F2141"/>
    <w:rsid w:val="008F218C"/>
    <w:rsid w:val="008F5E5E"/>
    <w:rsid w:val="008F6C16"/>
    <w:rsid w:val="008F7B22"/>
    <w:rsid w:val="00900D04"/>
    <w:rsid w:val="00901CBF"/>
    <w:rsid w:val="00904436"/>
    <w:rsid w:val="00906F13"/>
    <w:rsid w:val="00910E18"/>
    <w:rsid w:val="00911F2D"/>
    <w:rsid w:val="009153BF"/>
    <w:rsid w:val="00916A52"/>
    <w:rsid w:val="00917D15"/>
    <w:rsid w:val="00920129"/>
    <w:rsid w:val="009202AE"/>
    <w:rsid w:val="0092462A"/>
    <w:rsid w:val="00927186"/>
    <w:rsid w:val="0092795C"/>
    <w:rsid w:val="00927D3A"/>
    <w:rsid w:val="0093019E"/>
    <w:rsid w:val="0093119B"/>
    <w:rsid w:val="00931232"/>
    <w:rsid w:val="00931587"/>
    <w:rsid w:val="00931BBF"/>
    <w:rsid w:val="00931EC7"/>
    <w:rsid w:val="00935E59"/>
    <w:rsid w:val="0093677E"/>
    <w:rsid w:val="00940B78"/>
    <w:rsid w:val="00941593"/>
    <w:rsid w:val="00941F94"/>
    <w:rsid w:val="00950F96"/>
    <w:rsid w:val="00954CE0"/>
    <w:rsid w:val="00956032"/>
    <w:rsid w:val="009636B4"/>
    <w:rsid w:val="00963A7B"/>
    <w:rsid w:val="00966494"/>
    <w:rsid w:val="0097318D"/>
    <w:rsid w:val="00974C8A"/>
    <w:rsid w:val="00975578"/>
    <w:rsid w:val="009828D0"/>
    <w:rsid w:val="00985236"/>
    <w:rsid w:val="00985DB5"/>
    <w:rsid w:val="009861F2"/>
    <w:rsid w:val="009864CD"/>
    <w:rsid w:val="00987DB9"/>
    <w:rsid w:val="00987E4F"/>
    <w:rsid w:val="0099004D"/>
    <w:rsid w:val="00992E4C"/>
    <w:rsid w:val="00994EBC"/>
    <w:rsid w:val="00996617"/>
    <w:rsid w:val="009A5C97"/>
    <w:rsid w:val="009A6DC6"/>
    <w:rsid w:val="009A7FD6"/>
    <w:rsid w:val="009B09FE"/>
    <w:rsid w:val="009B49F1"/>
    <w:rsid w:val="009B4FFF"/>
    <w:rsid w:val="009C4C1C"/>
    <w:rsid w:val="009C4FE9"/>
    <w:rsid w:val="009C5973"/>
    <w:rsid w:val="009D0E1D"/>
    <w:rsid w:val="009D2295"/>
    <w:rsid w:val="009D2A7F"/>
    <w:rsid w:val="009D3D2C"/>
    <w:rsid w:val="009D4183"/>
    <w:rsid w:val="009D48AD"/>
    <w:rsid w:val="009D4F44"/>
    <w:rsid w:val="009D7D16"/>
    <w:rsid w:val="009E0A1B"/>
    <w:rsid w:val="009E2592"/>
    <w:rsid w:val="009E34F7"/>
    <w:rsid w:val="009E5F08"/>
    <w:rsid w:val="009F20D0"/>
    <w:rsid w:val="009F2156"/>
    <w:rsid w:val="009F3297"/>
    <w:rsid w:val="00A00C34"/>
    <w:rsid w:val="00A01092"/>
    <w:rsid w:val="00A01801"/>
    <w:rsid w:val="00A052DF"/>
    <w:rsid w:val="00A064D6"/>
    <w:rsid w:val="00A11D45"/>
    <w:rsid w:val="00A134A3"/>
    <w:rsid w:val="00A149F3"/>
    <w:rsid w:val="00A16F24"/>
    <w:rsid w:val="00A277B8"/>
    <w:rsid w:val="00A34731"/>
    <w:rsid w:val="00A34AF4"/>
    <w:rsid w:val="00A36203"/>
    <w:rsid w:val="00A37B90"/>
    <w:rsid w:val="00A40882"/>
    <w:rsid w:val="00A4154F"/>
    <w:rsid w:val="00A43F21"/>
    <w:rsid w:val="00A44C02"/>
    <w:rsid w:val="00A4562B"/>
    <w:rsid w:val="00A5041A"/>
    <w:rsid w:val="00A50FEC"/>
    <w:rsid w:val="00A52277"/>
    <w:rsid w:val="00A561C9"/>
    <w:rsid w:val="00A5633A"/>
    <w:rsid w:val="00A5731C"/>
    <w:rsid w:val="00A60105"/>
    <w:rsid w:val="00A61F9E"/>
    <w:rsid w:val="00A622A5"/>
    <w:rsid w:val="00A711BC"/>
    <w:rsid w:val="00A71EDA"/>
    <w:rsid w:val="00A7372F"/>
    <w:rsid w:val="00A74300"/>
    <w:rsid w:val="00A749F2"/>
    <w:rsid w:val="00A74D5C"/>
    <w:rsid w:val="00A8085E"/>
    <w:rsid w:val="00A92ECD"/>
    <w:rsid w:val="00A95B17"/>
    <w:rsid w:val="00AA2C7A"/>
    <w:rsid w:val="00AA35C1"/>
    <w:rsid w:val="00AA4068"/>
    <w:rsid w:val="00AA4D95"/>
    <w:rsid w:val="00AA520D"/>
    <w:rsid w:val="00AA60D6"/>
    <w:rsid w:val="00AA6CD3"/>
    <w:rsid w:val="00AA7496"/>
    <w:rsid w:val="00AA7673"/>
    <w:rsid w:val="00AB0845"/>
    <w:rsid w:val="00AB1734"/>
    <w:rsid w:val="00AB223F"/>
    <w:rsid w:val="00AC39FE"/>
    <w:rsid w:val="00AC3EF5"/>
    <w:rsid w:val="00AD18A2"/>
    <w:rsid w:val="00AD29E7"/>
    <w:rsid w:val="00AD44BF"/>
    <w:rsid w:val="00AD7888"/>
    <w:rsid w:val="00AE08A6"/>
    <w:rsid w:val="00AE1439"/>
    <w:rsid w:val="00AE4861"/>
    <w:rsid w:val="00AF1402"/>
    <w:rsid w:val="00AF7B9D"/>
    <w:rsid w:val="00B001A2"/>
    <w:rsid w:val="00B0038A"/>
    <w:rsid w:val="00B03A68"/>
    <w:rsid w:val="00B03FFD"/>
    <w:rsid w:val="00B05107"/>
    <w:rsid w:val="00B056B6"/>
    <w:rsid w:val="00B12ADF"/>
    <w:rsid w:val="00B133D0"/>
    <w:rsid w:val="00B1439A"/>
    <w:rsid w:val="00B15A1F"/>
    <w:rsid w:val="00B16443"/>
    <w:rsid w:val="00B17E21"/>
    <w:rsid w:val="00B226F7"/>
    <w:rsid w:val="00B23C0C"/>
    <w:rsid w:val="00B25495"/>
    <w:rsid w:val="00B26C05"/>
    <w:rsid w:val="00B27504"/>
    <w:rsid w:val="00B31263"/>
    <w:rsid w:val="00B31BE7"/>
    <w:rsid w:val="00B34A34"/>
    <w:rsid w:val="00B3519B"/>
    <w:rsid w:val="00B36770"/>
    <w:rsid w:val="00B41520"/>
    <w:rsid w:val="00B50EE9"/>
    <w:rsid w:val="00B51387"/>
    <w:rsid w:val="00B57074"/>
    <w:rsid w:val="00B604F8"/>
    <w:rsid w:val="00B610AE"/>
    <w:rsid w:val="00B62AC0"/>
    <w:rsid w:val="00B70135"/>
    <w:rsid w:val="00B722F5"/>
    <w:rsid w:val="00B72BA4"/>
    <w:rsid w:val="00B76405"/>
    <w:rsid w:val="00B76F0A"/>
    <w:rsid w:val="00B77889"/>
    <w:rsid w:val="00B8008B"/>
    <w:rsid w:val="00B81197"/>
    <w:rsid w:val="00B83F62"/>
    <w:rsid w:val="00B8421C"/>
    <w:rsid w:val="00B858BF"/>
    <w:rsid w:val="00B92E7D"/>
    <w:rsid w:val="00B94671"/>
    <w:rsid w:val="00B971F8"/>
    <w:rsid w:val="00B9F942"/>
    <w:rsid w:val="00BA06E3"/>
    <w:rsid w:val="00BA2EAC"/>
    <w:rsid w:val="00BA3B60"/>
    <w:rsid w:val="00BA510D"/>
    <w:rsid w:val="00BA5A67"/>
    <w:rsid w:val="00BA7AA5"/>
    <w:rsid w:val="00BB2DE0"/>
    <w:rsid w:val="00BB6B06"/>
    <w:rsid w:val="00BB7F99"/>
    <w:rsid w:val="00BC019C"/>
    <w:rsid w:val="00BC05C9"/>
    <w:rsid w:val="00BC0A18"/>
    <w:rsid w:val="00BC3353"/>
    <w:rsid w:val="00BC5F80"/>
    <w:rsid w:val="00BC648C"/>
    <w:rsid w:val="00BC7265"/>
    <w:rsid w:val="00BD167D"/>
    <w:rsid w:val="00BD1DC1"/>
    <w:rsid w:val="00BD5346"/>
    <w:rsid w:val="00BD572A"/>
    <w:rsid w:val="00BD612B"/>
    <w:rsid w:val="00BD64C1"/>
    <w:rsid w:val="00BE0052"/>
    <w:rsid w:val="00BE65F8"/>
    <w:rsid w:val="00BE6C34"/>
    <w:rsid w:val="00BF2EE5"/>
    <w:rsid w:val="00BF3888"/>
    <w:rsid w:val="00BF50FB"/>
    <w:rsid w:val="00C036EE"/>
    <w:rsid w:val="00C0494B"/>
    <w:rsid w:val="00C05C84"/>
    <w:rsid w:val="00C06989"/>
    <w:rsid w:val="00C06994"/>
    <w:rsid w:val="00C06BC8"/>
    <w:rsid w:val="00C07707"/>
    <w:rsid w:val="00C1680E"/>
    <w:rsid w:val="00C172E7"/>
    <w:rsid w:val="00C20E8A"/>
    <w:rsid w:val="00C2178F"/>
    <w:rsid w:val="00C24699"/>
    <w:rsid w:val="00C320F4"/>
    <w:rsid w:val="00C40C92"/>
    <w:rsid w:val="00C45FA7"/>
    <w:rsid w:val="00C46BDC"/>
    <w:rsid w:val="00C51D76"/>
    <w:rsid w:val="00C52671"/>
    <w:rsid w:val="00C54B0C"/>
    <w:rsid w:val="00C5603F"/>
    <w:rsid w:val="00C5723C"/>
    <w:rsid w:val="00C6072B"/>
    <w:rsid w:val="00C61217"/>
    <w:rsid w:val="00C61D86"/>
    <w:rsid w:val="00C630B7"/>
    <w:rsid w:val="00C6322F"/>
    <w:rsid w:val="00C6327C"/>
    <w:rsid w:val="00C64276"/>
    <w:rsid w:val="00C668E3"/>
    <w:rsid w:val="00C67A23"/>
    <w:rsid w:val="00C7028C"/>
    <w:rsid w:val="00C72321"/>
    <w:rsid w:val="00C73605"/>
    <w:rsid w:val="00C758D1"/>
    <w:rsid w:val="00C76550"/>
    <w:rsid w:val="00C76613"/>
    <w:rsid w:val="00C76CA8"/>
    <w:rsid w:val="00C772A7"/>
    <w:rsid w:val="00C8032E"/>
    <w:rsid w:val="00C85449"/>
    <w:rsid w:val="00C8652C"/>
    <w:rsid w:val="00C91555"/>
    <w:rsid w:val="00C92B51"/>
    <w:rsid w:val="00C96E32"/>
    <w:rsid w:val="00CA02C8"/>
    <w:rsid w:val="00CA0F44"/>
    <w:rsid w:val="00CA44D2"/>
    <w:rsid w:val="00CA4D87"/>
    <w:rsid w:val="00CB1405"/>
    <w:rsid w:val="00CB30D3"/>
    <w:rsid w:val="00CC02F9"/>
    <w:rsid w:val="00CC1A2E"/>
    <w:rsid w:val="00CC2071"/>
    <w:rsid w:val="00CC21B4"/>
    <w:rsid w:val="00CC2FDB"/>
    <w:rsid w:val="00CD01B2"/>
    <w:rsid w:val="00CD3B04"/>
    <w:rsid w:val="00CD414C"/>
    <w:rsid w:val="00CD5969"/>
    <w:rsid w:val="00CD59A9"/>
    <w:rsid w:val="00CD61F1"/>
    <w:rsid w:val="00CD6584"/>
    <w:rsid w:val="00CD6AC0"/>
    <w:rsid w:val="00CD6F9B"/>
    <w:rsid w:val="00CD7CD2"/>
    <w:rsid w:val="00CE0F15"/>
    <w:rsid w:val="00CE191E"/>
    <w:rsid w:val="00CE6A4D"/>
    <w:rsid w:val="00CE7654"/>
    <w:rsid w:val="00CF1FFC"/>
    <w:rsid w:val="00CF22E3"/>
    <w:rsid w:val="00CF31CE"/>
    <w:rsid w:val="00CF36B5"/>
    <w:rsid w:val="00CF58EB"/>
    <w:rsid w:val="00CF65C6"/>
    <w:rsid w:val="00D01D90"/>
    <w:rsid w:val="00D04577"/>
    <w:rsid w:val="00D06A08"/>
    <w:rsid w:val="00D1112F"/>
    <w:rsid w:val="00D1429F"/>
    <w:rsid w:val="00D1572D"/>
    <w:rsid w:val="00D15B2C"/>
    <w:rsid w:val="00D16AED"/>
    <w:rsid w:val="00D17754"/>
    <w:rsid w:val="00D209F1"/>
    <w:rsid w:val="00D30240"/>
    <w:rsid w:val="00D331A9"/>
    <w:rsid w:val="00D343F8"/>
    <w:rsid w:val="00D3524D"/>
    <w:rsid w:val="00D36100"/>
    <w:rsid w:val="00D43FA4"/>
    <w:rsid w:val="00D450BE"/>
    <w:rsid w:val="00D45240"/>
    <w:rsid w:val="00D47B0D"/>
    <w:rsid w:val="00D5534B"/>
    <w:rsid w:val="00D55FD6"/>
    <w:rsid w:val="00D57BFF"/>
    <w:rsid w:val="00D605E0"/>
    <w:rsid w:val="00D61F3B"/>
    <w:rsid w:val="00D61FAF"/>
    <w:rsid w:val="00D626C4"/>
    <w:rsid w:val="00D65A94"/>
    <w:rsid w:val="00D67A40"/>
    <w:rsid w:val="00D7058F"/>
    <w:rsid w:val="00D71FCA"/>
    <w:rsid w:val="00D743CB"/>
    <w:rsid w:val="00D7445C"/>
    <w:rsid w:val="00D74DDC"/>
    <w:rsid w:val="00D80144"/>
    <w:rsid w:val="00D81951"/>
    <w:rsid w:val="00D82EE4"/>
    <w:rsid w:val="00D864CE"/>
    <w:rsid w:val="00D87E33"/>
    <w:rsid w:val="00D87FD7"/>
    <w:rsid w:val="00D91FAA"/>
    <w:rsid w:val="00D94EE7"/>
    <w:rsid w:val="00DA099E"/>
    <w:rsid w:val="00DA0DBC"/>
    <w:rsid w:val="00DA1085"/>
    <w:rsid w:val="00DA6696"/>
    <w:rsid w:val="00DA6AAF"/>
    <w:rsid w:val="00DB4B41"/>
    <w:rsid w:val="00DB6436"/>
    <w:rsid w:val="00DB64DA"/>
    <w:rsid w:val="00DB6A13"/>
    <w:rsid w:val="00DC4D7E"/>
    <w:rsid w:val="00DC6A25"/>
    <w:rsid w:val="00DD2D6E"/>
    <w:rsid w:val="00DD3297"/>
    <w:rsid w:val="00DD7BC5"/>
    <w:rsid w:val="00DE0BFB"/>
    <w:rsid w:val="00DE1D1B"/>
    <w:rsid w:val="00DE4360"/>
    <w:rsid w:val="00DE4CC6"/>
    <w:rsid w:val="00DE6023"/>
    <w:rsid w:val="00DE61E9"/>
    <w:rsid w:val="00DF151E"/>
    <w:rsid w:val="00DF2383"/>
    <w:rsid w:val="00DF3E65"/>
    <w:rsid w:val="00E015CC"/>
    <w:rsid w:val="00E04457"/>
    <w:rsid w:val="00E044EC"/>
    <w:rsid w:val="00E05416"/>
    <w:rsid w:val="00E10257"/>
    <w:rsid w:val="00E10BE9"/>
    <w:rsid w:val="00E10D19"/>
    <w:rsid w:val="00E15988"/>
    <w:rsid w:val="00E20CC9"/>
    <w:rsid w:val="00E213CA"/>
    <w:rsid w:val="00E24B2B"/>
    <w:rsid w:val="00E2600D"/>
    <w:rsid w:val="00E2642B"/>
    <w:rsid w:val="00E26C36"/>
    <w:rsid w:val="00E26D7C"/>
    <w:rsid w:val="00E302E1"/>
    <w:rsid w:val="00E334DF"/>
    <w:rsid w:val="00E35C38"/>
    <w:rsid w:val="00E36FF5"/>
    <w:rsid w:val="00E44937"/>
    <w:rsid w:val="00E451A6"/>
    <w:rsid w:val="00E45AA4"/>
    <w:rsid w:val="00E61DB6"/>
    <w:rsid w:val="00E63128"/>
    <w:rsid w:val="00E64616"/>
    <w:rsid w:val="00E662B1"/>
    <w:rsid w:val="00E66F65"/>
    <w:rsid w:val="00E7069F"/>
    <w:rsid w:val="00E77D41"/>
    <w:rsid w:val="00E82495"/>
    <w:rsid w:val="00E84DAB"/>
    <w:rsid w:val="00E8625D"/>
    <w:rsid w:val="00E9588A"/>
    <w:rsid w:val="00E96347"/>
    <w:rsid w:val="00E971EF"/>
    <w:rsid w:val="00EA0928"/>
    <w:rsid w:val="00EA1F46"/>
    <w:rsid w:val="00EA73ED"/>
    <w:rsid w:val="00EB02DB"/>
    <w:rsid w:val="00EB06D6"/>
    <w:rsid w:val="00EB235D"/>
    <w:rsid w:val="00EB30FE"/>
    <w:rsid w:val="00EB39A0"/>
    <w:rsid w:val="00EB55E1"/>
    <w:rsid w:val="00EB63A7"/>
    <w:rsid w:val="00EC143A"/>
    <w:rsid w:val="00EC16C0"/>
    <w:rsid w:val="00EC1F14"/>
    <w:rsid w:val="00EC5552"/>
    <w:rsid w:val="00EC5EBA"/>
    <w:rsid w:val="00EC6B5A"/>
    <w:rsid w:val="00EC707B"/>
    <w:rsid w:val="00ED02BE"/>
    <w:rsid w:val="00ED1525"/>
    <w:rsid w:val="00ED2F27"/>
    <w:rsid w:val="00ED5349"/>
    <w:rsid w:val="00ED7581"/>
    <w:rsid w:val="00EE0399"/>
    <w:rsid w:val="00EE1B6E"/>
    <w:rsid w:val="00EE25D5"/>
    <w:rsid w:val="00EE3B66"/>
    <w:rsid w:val="00EE5AC3"/>
    <w:rsid w:val="00EF3B78"/>
    <w:rsid w:val="00EF4C9C"/>
    <w:rsid w:val="00F01893"/>
    <w:rsid w:val="00F03B48"/>
    <w:rsid w:val="00F119CA"/>
    <w:rsid w:val="00F135F8"/>
    <w:rsid w:val="00F13FA7"/>
    <w:rsid w:val="00F165E2"/>
    <w:rsid w:val="00F25A87"/>
    <w:rsid w:val="00F25C5F"/>
    <w:rsid w:val="00F25F93"/>
    <w:rsid w:val="00F328D4"/>
    <w:rsid w:val="00F33566"/>
    <w:rsid w:val="00F3686E"/>
    <w:rsid w:val="00F36BB1"/>
    <w:rsid w:val="00F36F13"/>
    <w:rsid w:val="00F4139D"/>
    <w:rsid w:val="00F41594"/>
    <w:rsid w:val="00F42A41"/>
    <w:rsid w:val="00F42B03"/>
    <w:rsid w:val="00F42DB4"/>
    <w:rsid w:val="00F45D61"/>
    <w:rsid w:val="00F5170A"/>
    <w:rsid w:val="00F566D1"/>
    <w:rsid w:val="00F57879"/>
    <w:rsid w:val="00F64131"/>
    <w:rsid w:val="00F710A0"/>
    <w:rsid w:val="00F75870"/>
    <w:rsid w:val="00F7592C"/>
    <w:rsid w:val="00F766E9"/>
    <w:rsid w:val="00F83F06"/>
    <w:rsid w:val="00F85762"/>
    <w:rsid w:val="00F87B0E"/>
    <w:rsid w:val="00F94546"/>
    <w:rsid w:val="00F97D94"/>
    <w:rsid w:val="00FA03E5"/>
    <w:rsid w:val="00FA2C35"/>
    <w:rsid w:val="00FA62FF"/>
    <w:rsid w:val="00FA6707"/>
    <w:rsid w:val="00FA77EA"/>
    <w:rsid w:val="00FB0965"/>
    <w:rsid w:val="00FB7D14"/>
    <w:rsid w:val="00FC2610"/>
    <w:rsid w:val="00FC40BD"/>
    <w:rsid w:val="00FC6241"/>
    <w:rsid w:val="00FD0D5F"/>
    <w:rsid w:val="00FD5586"/>
    <w:rsid w:val="00FD74F3"/>
    <w:rsid w:val="00FE15DC"/>
    <w:rsid w:val="00FE2D3C"/>
    <w:rsid w:val="00FE3D49"/>
    <w:rsid w:val="00FE41DF"/>
    <w:rsid w:val="00FE4B88"/>
    <w:rsid w:val="00FE6ED8"/>
    <w:rsid w:val="00FE7A61"/>
    <w:rsid w:val="00FE7E66"/>
    <w:rsid w:val="00FF43FB"/>
    <w:rsid w:val="00FF49C9"/>
    <w:rsid w:val="00FF5C67"/>
    <w:rsid w:val="014B4F87"/>
    <w:rsid w:val="01566D5B"/>
    <w:rsid w:val="01CF53FF"/>
    <w:rsid w:val="01E621AC"/>
    <w:rsid w:val="021A844D"/>
    <w:rsid w:val="029640AA"/>
    <w:rsid w:val="02B40151"/>
    <w:rsid w:val="02DA7E8F"/>
    <w:rsid w:val="02E54A90"/>
    <w:rsid w:val="0302EA8B"/>
    <w:rsid w:val="032E9F74"/>
    <w:rsid w:val="033AD2DB"/>
    <w:rsid w:val="03851847"/>
    <w:rsid w:val="038FB0DD"/>
    <w:rsid w:val="03BD1344"/>
    <w:rsid w:val="03D81DCF"/>
    <w:rsid w:val="03FC8801"/>
    <w:rsid w:val="0404413F"/>
    <w:rsid w:val="046DAC16"/>
    <w:rsid w:val="048777EA"/>
    <w:rsid w:val="0492139C"/>
    <w:rsid w:val="0496E1EC"/>
    <w:rsid w:val="04CC60AF"/>
    <w:rsid w:val="04FC0865"/>
    <w:rsid w:val="051DC26E"/>
    <w:rsid w:val="05782025"/>
    <w:rsid w:val="05C3FBC9"/>
    <w:rsid w:val="05C62216"/>
    <w:rsid w:val="064A7D8B"/>
    <w:rsid w:val="0655B0AD"/>
    <w:rsid w:val="06608952"/>
    <w:rsid w:val="06756637"/>
    <w:rsid w:val="06C255C1"/>
    <w:rsid w:val="06FD305F"/>
    <w:rsid w:val="07145E88"/>
    <w:rsid w:val="0756FC3D"/>
    <w:rsid w:val="07C9B45E"/>
    <w:rsid w:val="07CA5F85"/>
    <w:rsid w:val="07CBF003"/>
    <w:rsid w:val="07EE0E6D"/>
    <w:rsid w:val="0812B820"/>
    <w:rsid w:val="083D6EBF"/>
    <w:rsid w:val="08435169"/>
    <w:rsid w:val="08BE34F4"/>
    <w:rsid w:val="090A47B5"/>
    <w:rsid w:val="098B4B2C"/>
    <w:rsid w:val="0A2B1CBB"/>
    <w:rsid w:val="0A3228F5"/>
    <w:rsid w:val="0A833376"/>
    <w:rsid w:val="0B432AFC"/>
    <w:rsid w:val="0B9677FD"/>
    <w:rsid w:val="0BA44FBC"/>
    <w:rsid w:val="0C0360FE"/>
    <w:rsid w:val="0C0B8A7C"/>
    <w:rsid w:val="0C3E386E"/>
    <w:rsid w:val="0C3F4C7D"/>
    <w:rsid w:val="0C904B74"/>
    <w:rsid w:val="0CB9E257"/>
    <w:rsid w:val="0D3CFD80"/>
    <w:rsid w:val="0D7BD305"/>
    <w:rsid w:val="0D989920"/>
    <w:rsid w:val="0DBD92A1"/>
    <w:rsid w:val="0DC1974A"/>
    <w:rsid w:val="0DDA08CF"/>
    <w:rsid w:val="0DEE79E5"/>
    <w:rsid w:val="0E4DD4BB"/>
    <w:rsid w:val="0E7A9BA4"/>
    <w:rsid w:val="0EAA58FA"/>
    <w:rsid w:val="0EB541F7"/>
    <w:rsid w:val="0EC562C1"/>
    <w:rsid w:val="0EEF25C8"/>
    <w:rsid w:val="0EFEB413"/>
    <w:rsid w:val="0F35B43B"/>
    <w:rsid w:val="0F56BC86"/>
    <w:rsid w:val="0F841C88"/>
    <w:rsid w:val="0FF55EAD"/>
    <w:rsid w:val="0FFBA3C1"/>
    <w:rsid w:val="101C0B76"/>
    <w:rsid w:val="1097105A"/>
    <w:rsid w:val="10B3962A"/>
    <w:rsid w:val="11735B2D"/>
    <w:rsid w:val="11D60F09"/>
    <w:rsid w:val="11E6319E"/>
    <w:rsid w:val="11FF1295"/>
    <w:rsid w:val="121BEDAD"/>
    <w:rsid w:val="12218025"/>
    <w:rsid w:val="1259DEA5"/>
    <w:rsid w:val="129D7DCA"/>
    <w:rsid w:val="12ACD513"/>
    <w:rsid w:val="12B3F525"/>
    <w:rsid w:val="12B98312"/>
    <w:rsid w:val="12CB14B6"/>
    <w:rsid w:val="12D0416E"/>
    <w:rsid w:val="12EA7591"/>
    <w:rsid w:val="1309D974"/>
    <w:rsid w:val="130F2B8E"/>
    <w:rsid w:val="133AD0E0"/>
    <w:rsid w:val="137C0FFA"/>
    <w:rsid w:val="13AB821D"/>
    <w:rsid w:val="13B342BF"/>
    <w:rsid w:val="13D1242C"/>
    <w:rsid w:val="13D39BB5"/>
    <w:rsid w:val="13F6950F"/>
    <w:rsid w:val="15CD616A"/>
    <w:rsid w:val="15D1C420"/>
    <w:rsid w:val="16BEEBFC"/>
    <w:rsid w:val="170B3C77"/>
    <w:rsid w:val="1723F49A"/>
    <w:rsid w:val="174F5133"/>
    <w:rsid w:val="17E27CC6"/>
    <w:rsid w:val="17ED8D49"/>
    <w:rsid w:val="17F11777"/>
    <w:rsid w:val="17F775C2"/>
    <w:rsid w:val="1809AA03"/>
    <w:rsid w:val="1821D5E2"/>
    <w:rsid w:val="1842FCDD"/>
    <w:rsid w:val="188517B7"/>
    <w:rsid w:val="18E8BE5C"/>
    <w:rsid w:val="190826A0"/>
    <w:rsid w:val="1919EE1A"/>
    <w:rsid w:val="19290C86"/>
    <w:rsid w:val="19329AE7"/>
    <w:rsid w:val="194944DB"/>
    <w:rsid w:val="1988DC54"/>
    <w:rsid w:val="198C96E6"/>
    <w:rsid w:val="199BA144"/>
    <w:rsid w:val="19D717D1"/>
    <w:rsid w:val="1A56431F"/>
    <w:rsid w:val="1A95AFF4"/>
    <w:rsid w:val="1AAFB5B7"/>
    <w:rsid w:val="1AB88BD7"/>
    <w:rsid w:val="1AE51A5D"/>
    <w:rsid w:val="1AE8A7AE"/>
    <w:rsid w:val="1B0C34F7"/>
    <w:rsid w:val="1B8A7EB8"/>
    <w:rsid w:val="1BC1E951"/>
    <w:rsid w:val="1BDC2FF0"/>
    <w:rsid w:val="1C53FD2F"/>
    <w:rsid w:val="1CB386B4"/>
    <w:rsid w:val="1D4EAAF0"/>
    <w:rsid w:val="1DA1A565"/>
    <w:rsid w:val="1DE5448A"/>
    <w:rsid w:val="1E104142"/>
    <w:rsid w:val="1E2AC96D"/>
    <w:rsid w:val="1E6ABD4E"/>
    <w:rsid w:val="1EA8CC4A"/>
    <w:rsid w:val="1EAA20BC"/>
    <w:rsid w:val="1EDCE474"/>
    <w:rsid w:val="1F8551F7"/>
    <w:rsid w:val="1F96E72F"/>
    <w:rsid w:val="1F9A1DE6"/>
    <w:rsid w:val="1F9B1566"/>
    <w:rsid w:val="1FAD62BA"/>
    <w:rsid w:val="1FD48639"/>
    <w:rsid w:val="1FF021A6"/>
    <w:rsid w:val="2034E481"/>
    <w:rsid w:val="206EDF68"/>
    <w:rsid w:val="2073451A"/>
    <w:rsid w:val="20A1E295"/>
    <w:rsid w:val="20B28605"/>
    <w:rsid w:val="2152F839"/>
    <w:rsid w:val="219D6C07"/>
    <w:rsid w:val="21CEAF97"/>
    <w:rsid w:val="2211C0BA"/>
    <w:rsid w:val="224E5666"/>
    <w:rsid w:val="228B577D"/>
    <w:rsid w:val="2303C675"/>
    <w:rsid w:val="2313A447"/>
    <w:rsid w:val="23482790"/>
    <w:rsid w:val="241749E1"/>
    <w:rsid w:val="2421651F"/>
    <w:rsid w:val="2441621B"/>
    <w:rsid w:val="2458F480"/>
    <w:rsid w:val="24CE8338"/>
    <w:rsid w:val="25409478"/>
    <w:rsid w:val="254D4E2B"/>
    <w:rsid w:val="2552EA3B"/>
    <w:rsid w:val="256B30F8"/>
    <w:rsid w:val="257CF272"/>
    <w:rsid w:val="259358CE"/>
    <w:rsid w:val="25E57FE5"/>
    <w:rsid w:val="2617B706"/>
    <w:rsid w:val="26301437"/>
    <w:rsid w:val="263C06D0"/>
    <w:rsid w:val="2679EDA5"/>
    <w:rsid w:val="2697BE8A"/>
    <w:rsid w:val="27020B2E"/>
    <w:rsid w:val="272D4E43"/>
    <w:rsid w:val="277F06BD"/>
    <w:rsid w:val="278ADC12"/>
    <w:rsid w:val="278ED974"/>
    <w:rsid w:val="27C5E1CA"/>
    <w:rsid w:val="288B3A25"/>
    <w:rsid w:val="2899184C"/>
    <w:rsid w:val="28AA15A1"/>
    <w:rsid w:val="28FA54F2"/>
    <w:rsid w:val="29169268"/>
    <w:rsid w:val="29948CC9"/>
    <w:rsid w:val="299B01FB"/>
    <w:rsid w:val="29B15ADD"/>
    <w:rsid w:val="29C17E0D"/>
    <w:rsid w:val="29C4597B"/>
    <w:rsid w:val="2A319613"/>
    <w:rsid w:val="2A32D701"/>
    <w:rsid w:val="2A4B42F0"/>
    <w:rsid w:val="2A7CB34C"/>
    <w:rsid w:val="2A9671EB"/>
    <w:rsid w:val="2AA45748"/>
    <w:rsid w:val="2ABD3870"/>
    <w:rsid w:val="2B0CF4DF"/>
    <w:rsid w:val="2B128DA9"/>
    <w:rsid w:val="2B30B849"/>
    <w:rsid w:val="2B4C2805"/>
    <w:rsid w:val="2BB92FCF"/>
    <w:rsid w:val="2BBB4C94"/>
    <w:rsid w:val="2BCFCF23"/>
    <w:rsid w:val="2C3070D1"/>
    <w:rsid w:val="2C912598"/>
    <w:rsid w:val="2C9BD3A2"/>
    <w:rsid w:val="2CDAA3D0"/>
    <w:rsid w:val="2CF7EDE0"/>
    <w:rsid w:val="2D299556"/>
    <w:rsid w:val="2D452D4F"/>
    <w:rsid w:val="2D8649DD"/>
    <w:rsid w:val="2DB89C81"/>
    <w:rsid w:val="2DF14C49"/>
    <w:rsid w:val="2E1509B3"/>
    <w:rsid w:val="2E374057"/>
    <w:rsid w:val="2E6B3C5B"/>
    <w:rsid w:val="2EE9F7BF"/>
    <w:rsid w:val="2F03C080"/>
    <w:rsid w:val="2F4A6F00"/>
    <w:rsid w:val="2F787468"/>
    <w:rsid w:val="2FDB06E0"/>
    <w:rsid w:val="3010A372"/>
    <w:rsid w:val="303BC0FC"/>
    <w:rsid w:val="306E22E6"/>
    <w:rsid w:val="30934D67"/>
    <w:rsid w:val="30B9182B"/>
    <w:rsid w:val="30CF941C"/>
    <w:rsid w:val="310C6BAF"/>
    <w:rsid w:val="316F44C5"/>
    <w:rsid w:val="31740414"/>
    <w:rsid w:val="31B2B668"/>
    <w:rsid w:val="31B5A80D"/>
    <w:rsid w:val="31FC5B53"/>
    <w:rsid w:val="3207EF76"/>
    <w:rsid w:val="3239E149"/>
    <w:rsid w:val="325E78D3"/>
    <w:rsid w:val="32CA983F"/>
    <w:rsid w:val="33279191"/>
    <w:rsid w:val="333FF659"/>
    <w:rsid w:val="33760641"/>
    <w:rsid w:val="338A6F9D"/>
    <w:rsid w:val="33B257E6"/>
    <w:rsid w:val="33C0B08D"/>
    <w:rsid w:val="33F1DC61"/>
    <w:rsid w:val="33FD6128"/>
    <w:rsid w:val="342F5F45"/>
    <w:rsid w:val="344B2894"/>
    <w:rsid w:val="3468F3E1"/>
    <w:rsid w:val="34A6E587"/>
    <w:rsid w:val="351367F5"/>
    <w:rsid w:val="352A3EC7"/>
    <w:rsid w:val="358DA001"/>
    <w:rsid w:val="35923C39"/>
    <w:rsid w:val="35998B3C"/>
    <w:rsid w:val="35AE10B1"/>
    <w:rsid w:val="35C45B0E"/>
    <w:rsid w:val="35D074BF"/>
    <w:rsid w:val="35E5AC19"/>
    <w:rsid w:val="36257F10"/>
    <w:rsid w:val="3637970A"/>
    <w:rsid w:val="363D9CEA"/>
    <w:rsid w:val="3642B5E8"/>
    <w:rsid w:val="367C354F"/>
    <w:rsid w:val="368657D8"/>
    <w:rsid w:val="36C0996E"/>
    <w:rsid w:val="36C15AF3"/>
    <w:rsid w:val="3705AACA"/>
    <w:rsid w:val="378D75B3"/>
    <w:rsid w:val="378FAE0F"/>
    <w:rsid w:val="382F1AFA"/>
    <w:rsid w:val="384D944A"/>
    <w:rsid w:val="385202E7"/>
    <w:rsid w:val="38620508"/>
    <w:rsid w:val="38B33E44"/>
    <w:rsid w:val="38FBFBD0"/>
    <w:rsid w:val="39CE5944"/>
    <w:rsid w:val="3A04DADF"/>
    <w:rsid w:val="3A18EE4A"/>
    <w:rsid w:val="3A2FA2E0"/>
    <w:rsid w:val="3A59EE42"/>
    <w:rsid w:val="3A8019A5"/>
    <w:rsid w:val="3A9C1B76"/>
    <w:rsid w:val="3AAC600A"/>
    <w:rsid w:val="3AE1F1D3"/>
    <w:rsid w:val="3AF0E481"/>
    <w:rsid w:val="3AF2D416"/>
    <w:rsid w:val="3B29BE1D"/>
    <w:rsid w:val="3B903205"/>
    <w:rsid w:val="3BB465FD"/>
    <w:rsid w:val="3C162114"/>
    <w:rsid w:val="3C367746"/>
    <w:rsid w:val="3C522AF7"/>
    <w:rsid w:val="3C89BD57"/>
    <w:rsid w:val="3CB86ED6"/>
    <w:rsid w:val="3CEDCA07"/>
    <w:rsid w:val="3D09BC5B"/>
    <w:rsid w:val="3D18CBD7"/>
    <w:rsid w:val="3D27653C"/>
    <w:rsid w:val="3D60DF64"/>
    <w:rsid w:val="3D730029"/>
    <w:rsid w:val="3D81DEAE"/>
    <w:rsid w:val="3DA738C6"/>
    <w:rsid w:val="3DC6F1B8"/>
    <w:rsid w:val="3DD5E547"/>
    <w:rsid w:val="3E347213"/>
    <w:rsid w:val="3E9AB311"/>
    <w:rsid w:val="3E9BF88B"/>
    <w:rsid w:val="3F55F1CD"/>
    <w:rsid w:val="3F59A47E"/>
    <w:rsid w:val="40207B0B"/>
    <w:rsid w:val="4057A805"/>
    <w:rsid w:val="407FDE69"/>
    <w:rsid w:val="416AA5C4"/>
    <w:rsid w:val="41CC1A53"/>
    <w:rsid w:val="42466622"/>
    <w:rsid w:val="425C2905"/>
    <w:rsid w:val="4281A924"/>
    <w:rsid w:val="428DA28A"/>
    <w:rsid w:val="428EDA36"/>
    <w:rsid w:val="429D6C8A"/>
    <w:rsid w:val="42DC1298"/>
    <w:rsid w:val="42DE4541"/>
    <w:rsid w:val="435B95D1"/>
    <w:rsid w:val="437071F5"/>
    <w:rsid w:val="43D48509"/>
    <w:rsid w:val="43D82033"/>
    <w:rsid w:val="44588590"/>
    <w:rsid w:val="446272B8"/>
    <w:rsid w:val="4496D976"/>
    <w:rsid w:val="44FC0A5A"/>
    <w:rsid w:val="45114D71"/>
    <w:rsid w:val="4520E4B1"/>
    <w:rsid w:val="4569CC1F"/>
    <w:rsid w:val="45A05A30"/>
    <w:rsid w:val="45D6B4E5"/>
    <w:rsid w:val="45D929AE"/>
    <w:rsid w:val="45DC52D5"/>
    <w:rsid w:val="45FE4319"/>
    <w:rsid w:val="461D3B49"/>
    <w:rsid w:val="463E4088"/>
    <w:rsid w:val="465D7F88"/>
    <w:rsid w:val="466859B4"/>
    <w:rsid w:val="46BC1973"/>
    <w:rsid w:val="471BF923"/>
    <w:rsid w:val="472CD532"/>
    <w:rsid w:val="473CD446"/>
    <w:rsid w:val="4763FEDD"/>
    <w:rsid w:val="479139E7"/>
    <w:rsid w:val="479BEE2E"/>
    <w:rsid w:val="482F32D7"/>
    <w:rsid w:val="4833C183"/>
    <w:rsid w:val="4897BB36"/>
    <w:rsid w:val="489CE315"/>
    <w:rsid w:val="48B11669"/>
    <w:rsid w:val="48FD6CFE"/>
    <w:rsid w:val="4A0591F6"/>
    <w:rsid w:val="4A12E317"/>
    <w:rsid w:val="4A55CC2F"/>
    <w:rsid w:val="4A86DF16"/>
    <w:rsid w:val="4A982D72"/>
    <w:rsid w:val="4AB9FA28"/>
    <w:rsid w:val="4ABC70E3"/>
    <w:rsid w:val="4AE9E0B3"/>
    <w:rsid w:val="4B1B0FFE"/>
    <w:rsid w:val="4B7044E2"/>
    <w:rsid w:val="4B712441"/>
    <w:rsid w:val="4B9214AD"/>
    <w:rsid w:val="4BD5E516"/>
    <w:rsid w:val="4BF8561C"/>
    <w:rsid w:val="4C0D99C9"/>
    <w:rsid w:val="4C8F2CB7"/>
    <w:rsid w:val="4CC97164"/>
    <w:rsid w:val="4D1B561A"/>
    <w:rsid w:val="4D3ED217"/>
    <w:rsid w:val="4DCD34E7"/>
    <w:rsid w:val="4DE0244A"/>
    <w:rsid w:val="4DF32378"/>
    <w:rsid w:val="4E33E487"/>
    <w:rsid w:val="4E427920"/>
    <w:rsid w:val="4E5A433C"/>
    <w:rsid w:val="4E6C5C39"/>
    <w:rsid w:val="4E858AF6"/>
    <w:rsid w:val="4E90B502"/>
    <w:rsid w:val="4EE09CBB"/>
    <w:rsid w:val="4EEA0DB0"/>
    <w:rsid w:val="4EF78623"/>
    <w:rsid w:val="4F1209F8"/>
    <w:rsid w:val="4F5DA952"/>
    <w:rsid w:val="501A61C1"/>
    <w:rsid w:val="502C6801"/>
    <w:rsid w:val="5044259C"/>
    <w:rsid w:val="509C6829"/>
    <w:rsid w:val="50F979B3"/>
    <w:rsid w:val="5137FD96"/>
    <w:rsid w:val="516BF1B4"/>
    <w:rsid w:val="51EAC891"/>
    <w:rsid w:val="51FFB315"/>
    <w:rsid w:val="523E28F1"/>
    <w:rsid w:val="5286D5AD"/>
    <w:rsid w:val="5291282D"/>
    <w:rsid w:val="52BCBC0D"/>
    <w:rsid w:val="52CC3A3C"/>
    <w:rsid w:val="52F37FDB"/>
    <w:rsid w:val="5340D07F"/>
    <w:rsid w:val="534D20F7"/>
    <w:rsid w:val="536684C3"/>
    <w:rsid w:val="537349E0"/>
    <w:rsid w:val="53DA1E03"/>
    <w:rsid w:val="549179A4"/>
    <w:rsid w:val="550822BB"/>
    <w:rsid w:val="55540979"/>
    <w:rsid w:val="555602F2"/>
    <w:rsid w:val="557B473F"/>
    <w:rsid w:val="55814B7C"/>
    <w:rsid w:val="55B016BC"/>
    <w:rsid w:val="55B6E9F9"/>
    <w:rsid w:val="55D772C9"/>
    <w:rsid w:val="561AAFD6"/>
    <w:rsid w:val="56D76638"/>
    <w:rsid w:val="573D9AA4"/>
    <w:rsid w:val="57A9C555"/>
    <w:rsid w:val="58409144"/>
    <w:rsid w:val="58515EF5"/>
    <w:rsid w:val="58BE9CA7"/>
    <w:rsid w:val="58E9F50F"/>
    <w:rsid w:val="590A4A0F"/>
    <w:rsid w:val="595B5630"/>
    <w:rsid w:val="59A81BAA"/>
    <w:rsid w:val="59E16548"/>
    <w:rsid w:val="5A06BBC8"/>
    <w:rsid w:val="5A130560"/>
    <w:rsid w:val="5A443FAF"/>
    <w:rsid w:val="5AD54B1E"/>
    <w:rsid w:val="5B43ABEA"/>
    <w:rsid w:val="5B783206"/>
    <w:rsid w:val="5B9B0004"/>
    <w:rsid w:val="5BB22053"/>
    <w:rsid w:val="5C8CCBC0"/>
    <w:rsid w:val="5CA0FD4C"/>
    <w:rsid w:val="5CEF099D"/>
    <w:rsid w:val="5D140267"/>
    <w:rsid w:val="5D30BA38"/>
    <w:rsid w:val="5DA1E255"/>
    <w:rsid w:val="5DE42D9B"/>
    <w:rsid w:val="5E00994B"/>
    <w:rsid w:val="5E03D501"/>
    <w:rsid w:val="5E2A505C"/>
    <w:rsid w:val="5E43F25F"/>
    <w:rsid w:val="5E631507"/>
    <w:rsid w:val="5E8735FC"/>
    <w:rsid w:val="5EBC85AB"/>
    <w:rsid w:val="5F8FDE40"/>
    <w:rsid w:val="5FF341DB"/>
    <w:rsid w:val="604E67B2"/>
    <w:rsid w:val="60554141"/>
    <w:rsid w:val="607280A7"/>
    <w:rsid w:val="608E9D61"/>
    <w:rsid w:val="60E11AFF"/>
    <w:rsid w:val="6112A301"/>
    <w:rsid w:val="612C677E"/>
    <w:rsid w:val="614C0D6C"/>
    <w:rsid w:val="614C4BF7"/>
    <w:rsid w:val="616E1056"/>
    <w:rsid w:val="619BC281"/>
    <w:rsid w:val="61A57352"/>
    <w:rsid w:val="61AC39D3"/>
    <w:rsid w:val="61AEF95A"/>
    <w:rsid w:val="61B7C116"/>
    <w:rsid w:val="61F60A72"/>
    <w:rsid w:val="62FDDAC6"/>
    <w:rsid w:val="6330D2CA"/>
    <w:rsid w:val="633645CD"/>
    <w:rsid w:val="6339F360"/>
    <w:rsid w:val="634EB13D"/>
    <w:rsid w:val="638C4C38"/>
    <w:rsid w:val="639AA773"/>
    <w:rsid w:val="642DFA88"/>
    <w:rsid w:val="6447484A"/>
    <w:rsid w:val="647C4CBA"/>
    <w:rsid w:val="64853FC0"/>
    <w:rsid w:val="64AF6317"/>
    <w:rsid w:val="64DE6D3B"/>
    <w:rsid w:val="659F9DC7"/>
    <w:rsid w:val="65A997C1"/>
    <w:rsid w:val="65D2B9F9"/>
    <w:rsid w:val="65F5C1DF"/>
    <w:rsid w:val="65FFD8A1"/>
    <w:rsid w:val="663D087C"/>
    <w:rsid w:val="6678A8D7"/>
    <w:rsid w:val="667BDADF"/>
    <w:rsid w:val="6692CB6F"/>
    <w:rsid w:val="6694BA28"/>
    <w:rsid w:val="66C5CC90"/>
    <w:rsid w:val="66E9305D"/>
    <w:rsid w:val="67058C66"/>
    <w:rsid w:val="67845C99"/>
    <w:rsid w:val="678E014B"/>
    <w:rsid w:val="679E76F3"/>
    <w:rsid w:val="67CFC2A7"/>
    <w:rsid w:val="682D4EF4"/>
    <w:rsid w:val="68895D1D"/>
    <w:rsid w:val="68DCD2AD"/>
    <w:rsid w:val="6930B44B"/>
    <w:rsid w:val="69445C28"/>
    <w:rsid w:val="69C63ED2"/>
    <w:rsid w:val="69FB5148"/>
    <w:rsid w:val="6A13F4A7"/>
    <w:rsid w:val="6A3600F4"/>
    <w:rsid w:val="6A580466"/>
    <w:rsid w:val="6A6471EE"/>
    <w:rsid w:val="6A72E84C"/>
    <w:rsid w:val="6A963A6B"/>
    <w:rsid w:val="6B4CB4AA"/>
    <w:rsid w:val="6B60BC34"/>
    <w:rsid w:val="6B7AC21A"/>
    <w:rsid w:val="6B89E3FC"/>
    <w:rsid w:val="6C1D7556"/>
    <w:rsid w:val="6C272645"/>
    <w:rsid w:val="6C4F884E"/>
    <w:rsid w:val="6CEF1B7E"/>
    <w:rsid w:val="6DBB6E4E"/>
    <w:rsid w:val="6DEC5F7E"/>
    <w:rsid w:val="6E0C7D7E"/>
    <w:rsid w:val="6E22E609"/>
    <w:rsid w:val="6E6656ED"/>
    <w:rsid w:val="6EBE190C"/>
    <w:rsid w:val="6EC368FA"/>
    <w:rsid w:val="6F00896D"/>
    <w:rsid w:val="6F6CBB67"/>
    <w:rsid w:val="6F8469F7"/>
    <w:rsid w:val="6F9485C0"/>
    <w:rsid w:val="6FC0AE01"/>
    <w:rsid w:val="6FD42970"/>
    <w:rsid w:val="703ECD71"/>
    <w:rsid w:val="70589C19"/>
    <w:rsid w:val="70639431"/>
    <w:rsid w:val="7076B0AE"/>
    <w:rsid w:val="708326BB"/>
    <w:rsid w:val="70C8E716"/>
    <w:rsid w:val="70E21C7D"/>
    <w:rsid w:val="71857BC5"/>
    <w:rsid w:val="71C9618A"/>
    <w:rsid w:val="71D13EDF"/>
    <w:rsid w:val="71F86849"/>
    <w:rsid w:val="7207EA85"/>
    <w:rsid w:val="7250F3CD"/>
    <w:rsid w:val="7282CFD9"/>
    <w:rsid w:val="728A104E"/>
    <w:rsid w:val="73516F14"/>
    <w:rsid w:val="73645C05"/>
    <w:rsid w:val="73883776"/>
    <w:rsid w:val="73924002"/>
    <w:rsid w:val="73943EBE"/>
    <w:rsid w:val="7414ECF6"/>
    <w:rsid w:val="746C06AF"/>
    <w:rsid w:val="749F08C4"/>
    <w:rsid w:val="74A0392F"/>
    <w:rsid w:val="74A63A1B"/>
    <w:rsid w:val="74D6BAA9"/>
    <w:rsid w:val="7520C700"/>
    <w:rsid w:val="75BC45F1"/>
    <w:rsid w:val="75C15560"/>
    <w:rsid w:val="75CBAE28"/>
    <w:rsid w:val="75D70669"/>
    <w:rsid w:val="75FCD40E"/>
    <w:rsid w:val="761B333C"/>
    <w:rsid w:val="767EB447"/>
    <w:rsid w:val="76C221EF"/>
    <w:rsid w:val="76C5F75F"/>
    <w:rsid w:val="76C604C3"/>
    <w:rsid w:val="77092B7F"/>
    <w:rsid w:val="77117115"/>
    <w:rsid w:val="771FECD5"/>
    <w:rsid w:val="776E7F70"/>
    <w:rsid w:val="77AA0BF8"/>
    <w:rsid w:val="77C3AA5E"/>
    <w:rsid w:val="7899C2E3"/>
    <w:rsid w:val="78BDD37B"/>
    <w:rsid w:val="78C3773F"/>
    <w:rsid w:val="78FF7B12"/>
    <w:rsid w:val="790BD08A"/>
    <w:rsid w:val="790F479C"/>
    <w:rsid w:val="790FF532"/>
    <w:rsid w:val="7917C0FA"/>
    <w:rsid w:val="79319027"/>
    <w:rsid w:val="796197EA"/>
    <w:rsid w:val="796C0F8A"/>
    <w:rsid w:val="797530A1"/>
    <w:rsid w:val="79C398A1"/>
    <w:rsid w:val="7A60EB6A"/>
    <w:rsid w:val="7B0905A4"/>
    <w:rsid w:val="7B638C4F"/>
    <w:rsid w:val="7BC5E418"/>
    <w:rsid w:val="7BF16B6A"/>
    <w:rsid w:val="7C1D84A8"/>
    <w:rsid w:val="7CB14933"/>
    <w:rsid w:val="7CFA6260"/>
    <w:rsid w:val="7D70EB4C"/>
    <w:rsid w:val="7D8EC409"/>
    <w:rsid w:val="7DC75162"/>
    <w:rsid w:val="7DF9C098"/>
    <w:rsid w:val="7EA9B04C"/>
    <w:rsid w:val="7F122702"/>
    <w:rsid w:val="7F428B12"/>
    <w:rsid w:val="7F47FF49"/>
    <w:rsid w:val="7F4B5692"/>
    <w:rsid w:val="7F4CFF7E"/>
    <w:rsid w:val="7F60D4A5"/>
    <w:rsid w:val="7FD220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4:docId w14:val="71B76535"/>
  <w15:docId w15:val="{DF69C4DC-EAEA-4921-8F0E-5DDFB59C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0">
    <w:name w:val="heading 1"/>
    <w:basedOn w:val="Normal"/>
    <w:next w:val="Normal"/>
    <w:link w:val="Naslov1Char"/>
    <w:uiPriority w:val="9"/>
    <w:qFormat/>
    <w:rsid w:val="008552B1"/>
    <w:pPr>
      <w:keepNext/>
      <w:keepLines/>
      <w:pageBreakBefore/>
      <w:numPr>
        <w:numId w:val="18"/>
      </w:numPr>
      <w:pBdr>
        <w:top w:val="single" w:sz="48" w:space="0" w:color="F5C1C6"/>
      </w:pBdr>
      <w:suppressAutoHyphens/>
      <w:autoSpaceDE w:val="0"/>
      <w:autoSpaceDN w:val="0"/>
      <w:adjustRightInd w:val="0"/>
      <w:spacing w:before="120" w:after="600" w:line="720" w:lineRule="exact"/>
      <w:jc w:val="both"/>
      <w:textAlignment w:val="center"/>
      <w:outlineLvl w:val="0"/>
    </w:pPr>
    <w:rPr>
      <w:rFonts w:ascii="Tahoma" w:eastAsia="Times New Roman" w:hAnsi="Tahoma" w:cs="Myriad Pro"/>
      <w:iCs/>
      <w:caps/>
      <w:color w:val="BE1D2D"/>
      <w:position w:val="24"/>
      <w:sz w:val="48"/>
      <w:szCs w:val="48"/>
      <w:lang w:eastAsia="hr-HR"/>
    </w:rPr>
  </w:style>
  <w:style w:type="paragraph" w:styleId="Naslov20">
    <w:name w:val="heading 2"/>
    <w:basedOn w:val="Normal"/>
    <w:next w:val="Normal"/>
    <w:link w:val="Naslov2Char"/>
    <w:uiPriority w:val="9"/>
    <w:unhideWhenUsed/>
    <w:qFormat/>
    <w:rsid w:val="008552B1"/>
    <w:pPr>
      <w:keepNext/>
      <w:keepLines/>
      <w:numPr>
        <w:ilvl w:val="1"/>
        <w:numId w:val="18"/>
      </w:numPr>
      <w:suppressAutoHyphens/>
      <w:autoSpaceDE w:val="0"/>
      <w:autoSpaceDN w:val="0"/>
      <w:adjustRightInd w:val="0"/>
      <w:spacing w:before="240" w:after="120" w:line="360" w:lineRule="atLeast"/>
      <w:jc w:val="both"/>
      <w:textAlignment w:val="center"/>
      <w:outlineLvl w:val="1"/>
    </w:pPr>
    <w:rPr>
      <w:rFonts w:ascii="Tahoma" w:eastAsia="Times New Roman" w:hAnsi="Tahoma" w:cs="Myriad Pro Cond"/>
      <w:b/>
      <w:bCs/>
      <w:smallCaps/>
      <w:color w:val="BE1D2D"/>
      <w:sz w:val="32"/>
      <w:szCs w:val="36"/>
      <w:lang w:eastAsia="hr-HR"/>
    </w:rPr>
  </w:style>
  <w:style w:type="paragraph" w:styleId="Naslov30">
    <w:name w:val="heading 3"/>
    <w:basedOn w:val="Normal"/>
    <w:next w:val="Normal"/>
    <w:link w:val="Naslov3Char"/>
    <w:uiPriority w:val="9"/>
    <w:unhideWhenUsed/>
    <w:qFormat/>
    <w:rsid w:val="008552B1"/>
    <w:pPr>
      <w:keepNext/>
      <w:keepLines/>
      <w:numPr>
        <w:ilvl w:val="2"/>
        <w:numId w:val="18"/>
      </w:numPr>
      <w:autoSpaceDE w:val="0"/>
      <w:autoSpaceDN w:val="0"/>
      <w:adjustRightInd w:val="0"/>
      <w:spacing w:before="240" w:after="120" w:line="288" w:lineRule="auto"/>
      <w:jc w:val="both"/>
      <w:textAlignment w:val="center"/>
      <w:outlineLvl w:val="2"/>
    </w:pPr>
    <w:rPr>
      <w:rFonts w:ascii="Tahoma" w:eastAsia="Times New Roman" w:hAnsi="Tahoma" w:cs="Myriad Pro"/>
      <w:b/>
      <w:bCs/>
      <w:iCs/>
      <w:color w:val="BE1D2D"/>
      <w:sz w:val="24"/>
      <w:szCs w:val="24"/>
      <w:lang w:eastAsia="hr-HR"/>
    </w:rPr>
  </w:style>
  <w:style w:type="paragraph" w:styleId="Naslov40">
    <w:name w:val="heading 4"/>
    <w:basedOn w:val="Normal"/>
    <w:next w:val="Normal"/>
    <w:link w:val="Naslov4Char"/>
    <w:uiPriority w:val="9"/>
    <w:unhideWhenUsed/>
    <w:qFormat/>
    <w:rsid w:val="008552B1"/>
    <w:pPr>
      <w:keepNext/>
      <w:keepLines/>
      <w:numPr>
        <w:ilvl w:val="3"/>
        <w:numId w:val="18"/>
      </w:numPr>
      <w:tabs>
        <w:tab w:val="left" w:pos="-284"/>
      </w:tabs>
      <w:suppressAutoHyphens/>
      <w:spacing w:before="360" w:after="240" w:line="240" w:lineRule="auto"/>
      <w:jc w:val="both"/>
      <w:outlineLvl w:val="3"/>
    </w:pPr>
    <w:rPr>
      <w:rFonts w:ascii="Tahoma" w:eastAsia="Times New Roman" w:hAnsi="Tahoma" w:cs="Times New Roman"/>
      <w:i/>
      <w:color w:val="BE1D2D"/>
      <w:kern w:val="28"/>
      <w:szCs w:val="20"/>
      <w:lang w:eastAsia="de-DE"/>
    </w:rPr>
  </w:style>
  <w:style w:type="paragraph" w:styleId="Naslov50">
    <w:name w:val="heading 5"/>
    <w:basedOn w:val="Normal"/>
    <w:next w:val="Normal"/>
    <w:link w:val="Naslov5Char"/>
    <w:uiPriority w:val="9"/>
    <w:unhideWhenUsed/>
    <w:qFormat/>
    <w:rsid w:val="008552B1"/>
    <w:pPr>
      <w:keepNext/>
      <w:keepLines/>
      <w:numPr>
        <w:ilvl w:val="4"/>
        <w:numId w:val="18"/>
      </w:numPr>
      <w:suppressAutoHyphens/>
      <w:spacing w:before="120" w:after="120" w:line="240" w:lineRule="auto"/>
      <w:jc w:val="center"/>
      <w:outlineLvl w:val="4"/>
    </w:pPr>
    <w:rPr>
      <w:rFonts w:ascii="Tahoma" w:eastAsiaTheme="majorEastAsia" w:hAnsi="Tahoma" w:cs="Tahoma"/>
      <w:color w:val="BE1D2D"/>
      <w:sz w:val="20"/>
      <w:szCs w:val="24"/>
      <w:lang w:eastAsia="de-DE"/>
    </w:rPr>
  </w:style>
  <w:style w:type="paragraph" w:styleId="Naslov6">
    <w:name w:val="heading 6"/>
    <w:basedOn w:val="Naslov50"/>
    <w:next w:val="Normal"/>
    <w:link w:val="Naslov6Char"/>
    <w:uiPriority w:val="9"/>
    <w:qFormat/>
    <w:rsid w:val="008552B1"/>
    <w:pPr>
      <w:numPr>
        <w:ilvl w:val="5"/>
      </w:numPr>
      <w:tabs>
        <w:tab w:val="left" w:pos="-284"/>
      </w:tabs>
      <w:spacing w:before="360" w:after="240"/>
      <w:outlineLvl w:val="5"/>
    </w:pPr>
    <w:rPr>
      <w:rFonts w:cs="Times New Roman"/>
      <w:b/>
      <w:bCs/>
      <w:i/>
      <w:iCs/>
      <w:kern w:val="28"/>
      <w:sz w:val="26"/>
      <w:szCs w:val="20"/>
    </w:rPr>
  </w:style>
  <w:style w:type="paragraph" w:styleId="Naslov7">
    <w:name w:val="heading 7"/>
    <w:basedOn w:val="Naslov6"/>
    <w:next w:val="Normal"/>
    <w:link w:val="Naslov7Char"/>
    <w:uiPriority w:val="9"/>
    <w:qFormat/>
    <w:rsid w:val="008552B1"/>
    <w:pPr>
      <w:numPr>
        <w:ilvl w:val="6"/>
      </w:numPr>
      <w:spacing w:before="240"/>
      <w:outlineLvl w:val="6"/>
    </w:pPr>
    <w:rPr>
      <w:szCs w:val="26"/>
    </w:rPr>
  </w:style>
  <w:style w:type="paragraph" w:styleId="Naslov8">
    <w:name w:val="heading 8"/>
    <w:basedOn w:val="Naslov7"/>
    <w:next w:val="Normal"/>
    <w:link w:val="Naslov8Char"/>
    <w:uiPriority w:val="9"/>
    <w:qFormat/>
    <w:rsid w:val="008552B1"/>
    <w:pPr>
      <w:numPr>
        <w:ilvl w:val="7"/>
      </w:numPr>
      <w:outlineLvl w:val="7"/>
    </w:pPr>
  </w:style>
  <w:style w:type="paragraph" w:styleId="Naslov9">
    <w:name w:val="heading 9"/>
    <w:basedOn w:val="Naslov8"/>
    <w:next w:val="Normal"/>
    <w:link w:val="Naslov9Char"/>
    <w:uiPriority w:val="9"/>
    <w:qFormat/>
    <w:rsid w:val="008552B1"/>
    <w:pPr>
      <w:numPr>
        <w:ilvl w:val="8"/>
      </w:numPr>
      <w:spacing w:after="60"/>
      <w:outlineLvl w:val="8"/>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qFormat/>
    <w:rsid w:val="00B610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610AE"/>
  </w:style>
  <w:style w:type="paragraph" w:styleId="Podnoje">
    <w:name w:val="footer"/>
    <w:basedOn w:val="Normal"/>
    <w:link w:val="PodnojeChar"/>
    <w:uiPriority w:val="99"/>
    <w:unhideWhenUsed/>
    <w:qFormat/>
    <w:rsid w:val="00B610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610AE"/>
  </w:style>
  <w:style w:type="character" w:customStyle="1" w:styleId="Naslov1Char">
    <w:name w:val="Naslov 1 Char"/>
    <w:basedOn w:val="Zadanifontodlomka"/>
    <w:link w:val="Naslov10"/>
    <w:uiPriority w:val="9"/>
    <w:rsid w:val="008552B1"/>
    <w:rPr>
      <w:rFonts w:ascii="Tahoma" w:eastAsia="Times New Roman" w:hAnsi="Tahoma" w:cs="Myriad Pro"/>
      <w:iCs/>
      <w:caps/>
      <w:color w:val="BE1D2D"/>
      <w:position w:val="24"/>
      <w:sz w:val="48"/>
      <w:szCs w:val="48"/>
      <w:lang w:eastAsia="hr-HR"/>
    </w:rPr>
  </w:style>
  <w:style w:type="character" w:customStyle="1" w:styleId="Naslov2Char">
    <w:name w:val="Naslov 2 Char"/>
    <w:basedOn w:val="Zadanifontodlomka"/>
    <w:link w:val="Naslov20"/>
    <w:uiPriority w:val="9"/>
    <w:rsid w:val="008552B1"/>
    <w:rPr>
      <w:rFonts w:ascii="Tahoma" w:eastAsia="Times New Roman" w:hAnsi="Tahoma" w:cs="Myriad Pro Cond"/>
      <w:b/>
      <w:bCs/>
      <w:smallCaps/>
      <w:color w:val="BE1D2D"/>
      <w:sz w:val="32"/>
      <w:szCs w:val="36"/>
      <w:lang w:eastAsia="hr-HR"/>
    </w:rPr>
  </w:style>
  <w:style w:type="character" w:customStyle="1" w:styleId="Naslov3Char">
    <w:name w:val="Naslov 3 Char"/>
    <w:basedOn w:val="Zadanifontodlomka"/>
    <w:link w:val="Naslov30"/>
    <w:uiPriority w:val="9"/>
    <w:rsid w:val="008552B1"/>
    <w:rPr>
      <w:rFonts w:ascii="Tahoma" w:eastAsia="Times New Roman" w:hAnsi="Tahoma" w:cs="Myriad Pro"/>
      <w:b/>
      <w:bCs/>
      <w:iCs/>
      <w:color w:val="BE1D2D"/>
      <w:sz w:val="24"/>
      <w:szCs w:val="24"/>
      <w:lang w:eastAsia="hr-HR"/>
    </w:rPr>
  </w:style>
  <w:style w:type="character" w:customStyle="1" w:styleId="Naslov4Char">
    <w:name w:val="Naslov 4 Char"/>
    <w:basedOn w:val="Zadanifontodlomka"/>
    <w:link w:val="Naslov40"/>
    <w:uiPriority w:val="9"/>
    <w:rsid w:val="008552B1"/>
    <w:rPr>
      <w:rFonts w:ascii="Tahoma" w:eastAsia="Times New Roman" w:hAnsi="Tahoma" w:cs="Times New Roman"/>
      <w:i/>
      <w:color w:val="BE1D2D"/>
      <w:kern w:val="28"/>
      <w:szCs w:val="20"/>
      <w:lang w:eastAsia="de-DE"/>
    </w:rPr>
  </w:style>
  <w:style w:type="character" w:customStyle="1" w:styleId="Naslov5Char">
    <w:name w:val="Naslov 5 Char"/>
    <w:basedOn w:val="Zadanifontodlomka"/>
    <w:link w:val="Naslov50"/>
    <w:uiPriority w:val="9"/>
    <w:rsid w:val="008552B1"/>
    <w:rPr>
      <w:rFonts w:ascii="Tahoma" w:eastAsiaTheme="majorEastAsia" w:hAnsi="Tahoma" w:cs="Tahoma"/>
      <w:color w:val="BE1D2D"/>
      <w:sz w:val="20"/>
      <w:szCs w:val="24"/>
      <w:lang w:eastAsia="de-DE"/>
    </w:rPr>
  </w:style>
  <w:style w:type="character" w:customStyle="1" w:styleId="Naslov6Char">
    <w:name w:val="Naslov 6 Char"/>
    <w:basedOn w:val="Zadanifontodlomka"/>
    <w:link w:val="Naslov6"/>
    <w:uiPriority w:val="9"/>
    <w:rsid w:val="008552B1"/>
    <w:rPr>
      <w:rFonts w:ascii="Tahoma" w:eastAsiaTheme="majorEastAsia" w:hAnsi="Tahoma" w:cs="Times New Roman"/>
      <w:b/>
      <w:bCs/>
      <w:i/>
      <w:iCs/>
      <w:color w:val="BE1D2D"/>
      <w:kern w:val="28"/>
      <w:sz w:val="26"/>
      <w:szCs w:val="20"/>
      <w:lang w:eastAsia="de-DE"/>
    </w:rPr>
  </w:style>
  <w:style w:type="character" w:customStyle="1" w:styleId="Naslov7Char">
    <w:name w:val="Naslov 7 Char"/>
    <w:basedOn w:val="Zadanifontodlomka"/>
    <w:link w:val="Naslov7"/>
    <w:uiPriority w:val="9"/>
    <w:rsid w:val="008552B1"/>
    <w:rPr>
      <w:rFonts w:ascii="Tahoma" w:eastAsiaTheme="majorEastAsia" w:hAnsi="Tahoma" w:cs="Times New Roman"/>
      <w:b/>
      <w:bCs/>
      <w:i/>
      <w:iCs/>
      <w:color w:val="BE1D2D"/>
      <w:kern w:val="28"/>
      <w:sz w:val="26"/>
      <w:szCs w:val="26"/>
      <w:lang w:eastAsia="de-DE"/>
    </w:rPr>
  </w:style>
  <w:style w:type="character" w:customStyle="1" w:styleId="Naslov8Char">
    <w:name w:val="Naslov 8 Char"/>
    <w:basedOn w:val="Zadanifontodlomka"/>
    <w:link w:val="Naslov8"/>
    <w:uiPriority w:val="9"/>
    <w:rsid w:val="008552B1"/>
    <w:rPr>
      <w:rFonts w:ascii="Tahoma" w:eastAsiaTheme="majorEastAsia" w:hAnsi="Tahoma" w:cs="Times New Roman"/>
      <w:b/>
      <w:bCs/>
      <w:i/>
      <w:iCs/>
      <w:color w:val="BE1D2D"/>
      <w:kern w:val="28"/>
      <w:sz w:val="26"/>
      <w:szCs w:val="26"/>
      <w:lang w:eastAsia="de-DE"/>
    </w:rPr>
  </w:style>
  <w:style w:type="character" w:customStyle="1" w:styleId="Naslov9Char">
    <w:name w:val="Naslov 9 Char"/>
    <w:basedOn w:val="Zadanifontodlomka"/>
    <w:link w:val="Naslov9"/>
    <w:uiPriority w:val="9"/>
    <w:rsid w:val="008552B1"/>
    <w:rPr>
      <w:rFonts w:ascii="Tahoma" w:eastAsiaTheme="majorEastAsia" w:hAnsi="Tahoma" w:cs="Times New Roman"/>
      <w:b/>
      <w:bCs/>
      <w:i/>
      <w:iCs/>
      <w:color w:val="BE1D2D"/>
      <w:kern w:val="28"/>
      <w:sz w:val="26"/>
      <w:szCs w:val="26"/>
      <w:lang w:eastAsia="de-DE"/>
    </w:rPr>
  </w:style>
  <w:style w:type="paragraph" w:styleId="Sadraj2">
    <w:name w:val="toc 2"/>
    <w:basedOn w:val="Normal"/>
    <w:next w:val="Normal"/>
    <w:autoRedefine/>
    <w:uiPriority w:val="39"/>
    <w:qFormat/>
    <w:rsid w:val="008552B1"/>
    <w:pPr>
      <w:tabs>
        <w:tab w:val="left" w:pos="709"/>
        <w:tab w:val="right" w:leader="dot" w:pos="9356"/>
      </w:tabs>
      <w:spacing w:before="120" w:after="60" w:line="240" w:lineRule="auto"/>
      <w:ind w:left="709" w:hanging="709"/>
      <w:jc w:val="both"/>
    </w:pPr>
    <w:rPr>
      <w:rFonts w:ascii="Tahoma" w:eastAsia="Times New Roman" w:hAnsi="Tahoma" w:cs="Tahoma"/>
      <w:b/>
      <w:smallCaps/>
      <w:lang w:eastAsia="de-DE"/>
    </w:rPr>
  </w:style>
  <w:style w:type="paragraph" w:styleId="Sadraj3">
    <w:name w:val="toc 3"/>
    <w:basedOn w:val="Normal"/>
    <w:next w:val="Normal"/>
    <w:autoRedefine/>
    <w:uiPriority w:val="39"/>
    <w:qFormat/>
    <w:rsid w:val="008552B1"/>
    <w:pPr>
      <w:tabs>
        <w:tab w:val="left" w:pos="1418"/>
        <w:tab w:val="right" w:leader="dot" w:pos="9356"/>
      </w:tabs>
      <w:spacing w:before="60" w:after="60" w:line="240" w:lineRule="auto"/>
      <w:ind w:left="1418" w:hanging="709"/>
      <w:jc w:val="both"/>
    </w:pPr>
    <w:rPr>
      <w:rFonts w:ascii="Tahoma" w:eastAsia="Times New Roman" w:hAnsi="Tahoma" w:cs="Myriad Pro"/>
      <w:sz w:val="20"/>
      <w:szCs w:val="24"/>
      <w:lang w:eastAsia="de-DE"/>
    </w:rPr>
  </w:style>
  <w:style w:type="paragraph" w:styleId="Sadraj1">
    <w:name w:val="toc 1"/>
    <w:basedOn w:val="Normal"/>
    <w:next w:val="Normal"/>
    <w:autoRedefine/>
    <w:uiPriority w:val="39"/>
    <w:qFormat/>
    <w:rsid w:val="002161BC"/>
    <w:pPr>
      <w:tabs>
        <w:tab w:val="right" w:leader="underscore" w:pos="9354"/>
      </w:tabs>
      <w:spacing w:before="240" w:after="120" w:line="240" w:lineRule="auto"/>
      <w:ind w:left="709" w:hanging="709"/>
    </w:pPr>
    <w:rPr>
      <w:rFonts w:ascii="Tahoma" w:eastAsia="Times New Roman" w:hAnsi="Tahoma" w:cs="Myriad Pro"/>
      <w:b/>
      <w:i/>
      <w:caps/>
      <w:color w:val="BE1D2D"/>
      <w:sz w:val="28"/>
      <w:szCs w:val="28"/>
      <w:lang w:eastAsia="de-DE"/>
    </w:rPr>
  </w:style>
  <w:style w:type="paragraph" w:styleId="Podnaslov">
    <w:name w:val="Subtitle"/>
    <w:basedOn w:val="Normal"/>
    <w:next w:val="Normal"/>
    <w:link w:val="PodnaslovChar"/>
    <w:uiPriority w:val="99"/>
    <w:rsid w:val="008552B1"/>
    <w:pPr>
      <w:numPr>
        <w:ilvl w:val="1"/>
      </w:numPr>
      <w:spacing w:before="120" w:after="120" w:line="240" w:lineRule="auto"/>
      <w:jc w:val="both"/>
    </w:pPr>
    <w:rPr>
      <w:rFonts w:ascii="Tahoma" w:eastAsiaTheme="minorEastAsia" w:hAnsi="Tahoma"/>
      <w:sz w:val="20"/>
      <w:lang w:eastAsia="de-DE"/>
    </w:rPr>
  </w:style>
  <w:style w:type="character" w:customStyle="1" w:styleId="PodnaslovChar">
    <w:name w:val="Podnaslov Char"/>
    <w:basedOn w:val="Zadanifontodlomka"/>
    <w:link w:val="Podnaslov"/>
    <w:uiPriority w:val="99"/>
    <w:rsid w:val="008552B1"/>
    <w:rPr>
      <w:rFonts w:ascii="Tahoma" w:eastAsiaTheme="minorEastAsia" w:hAnsi="Tahoma"/>
      <w:sz w:val="20"/>
      <w:lang w:eastAsia="de-DE"/>
    </w:rPr>
  </w:style>
  <w:style w:type="character" w:styleId="Hiperveza">
    <w:name w:val="Hyperlink"/>
    <w:basedOn w:val="Zadanifontodlomka"/>
    <w:uiPriority w:val="99"/>
    <w:qFormat/>
    <w:rsid w:val="008552B1"/>
    <w:rPr>
      <w:rFonts w:cs="Times New Roman"/>
      <w:b w:val="0"/>
      <w:color w:val="0000FF"/>
      <w:u w:val="single"/>
    </w:rPr>
  </w:style>
  <w:style w:type="character" w:styleId="Brojstranice">
    <w:name w:val="page number"/>
    <w:basedOn w:val="Zadanifontodlomka"/>
    <w:rsid w:val="008552B1"/>
    <w:rPr>
      <w:rFonts w:ascii="Tahoma" w:hAnsi="Tahoma" w:cs="Times New Roman"/>
      <w:b/>
      <w:noProof w:val="0"/>
      <w:color w:val="999999"/>
      <w:sz w:val="14"/>
      <w:lang w:val="hr-HR"/>
    </w:rPr>
  </w:style>
  <w:style w:type="paragraph" w:customStyle="1" w:styleId="Autori">
    <w:name w:val="Autori"/>
    <w:basedOn w:val="Normal"/>
    <w:uiPriority w:val="99"/>
    <w:rsid w:val="008552B1"/>
    <w:pPr>
      <w:spacing w:after="0" w:line="240" w:lineRule="auto"/>
      <w:ind w:left="4820"/>
    </w:pPr>
    <w:rPr>
      <w:rFonts w:ascii="Tahoma" w:eastAsia="Times New Roman" w:hAnsi="Tahoma" w:cs="Tahoma"/>
      <w:color w:val="999999"/>
      <w:sz w:val="20"/>
      <w:szCs w:val="24"/>
      <w:lang w:eastAsia="hr-HR"/>
    </w:rPr>
  </w:style>
  <w:style w:type="paragraph" w:styleId="Opisslike">
    <w:name w:val="caption"/>
    <w:basedOn w:val="Normal"/>
    <w:next w:val="Normal"/>
    <w:link w:val="OpisslikeChar"/>
    <w:uiPriority w:val="35"/>
    <w:unhideWhenUsed/>
    <w:qFormat/>
    <w:rsid w:val="008552B1"/>
    <w:pPr>
      <w:spacing w:before="120" w:after="60" w:line="240" w:lineRule="auto"/>
      <w:jc w:val="both"/>
    </w:pPr>
    <w:rPr>
      <w:rFonts w:ascii="Tahoma" w:eastAsia="Times New Roman" w:hAnsi="Tahoma" w:cs="Myriad Pro"/>
      <w:i/>
      <w:iCs/>
      <w:sz w:val="16"/>
      <w:szCs w:val="18"/>
      <w:lang w:eastAsia="de-DE"/>
    </w:rPr>
  </w:style>
  <w:style w:type="paragraph" w:customStyle="1" w:styleId="Uvlaka2">
    <w:name w:val="Uvlaka 2"/>
    <w:basedOn w:val="Normal"/>
    <w:link w:val="Uvlaka2Char"/>
    <w:qFormat/>
    <w:rsid w:val="008552B1"/>
    <w:pPr>
      <w:numPr>
        <w:numId w:val="2"/>
      </w:numPr>
      <w:spacing w:before="60" w:after="60" w:line="240" w:lineRule="auto"/>
      <w:ind w:left="1134" w:hanging="283"/>
      <w:jc w:val="both"/>
    </w:pPr>
    <w:rPr>
      <w:rFonts w:ascii="Tahoma" w:eastAsia="Times New Roman" w:hAnsi="Tahoma" w:cs="Times New Roman"/>
      <w:color w:val="000000"/>
      <w:sz w:val="20"/>
      <w:lang w:eastAsia="hr-HR"/>
    </w:rPr>
  </w:style>
  <w:style w:type="character" w:customStyle="1" w:styleId="Uvlaka2Char">
    <w:name w:val="Uvlaka 2 Char"/>
    <w:basedOn w:val="Zadanifontodlomka"/>
    <w:link w:val="Uvlaka2"/>
    <w:rsid w:val="008552B1"/>
    <w:rPr>
      <w:rFonts w:ascii="Tahoma" w:eastAsia="Times New Roman" w:hAnsi="Tahoma" w:cs="Times New Roman"/>
      <w:color w:val="000000"/>
      <w:sz w:val="20"/>
      <w:lang w:eastAsia="hr-HR"/>
    </w:rPr>
  </w:style>
  <w:style w:type="character" w:customStyle="1" w:styleId="Tbl1redChar">
    <w:name w:val="Tbl 1. red Char"/>
    <w:basedOn w:val="Zadanifontodlomka"/>
    <w:link w:val="Tbl1red"/>
    <w:uiPriority w:val="99"/>
    <w:rsid w:val="008552B1"/>
    <w:rPr>
      <w:rFonts w:ascii="Tahoma" w:eastAsia="Times New Roman" w:hAnsi="Tahoma" w:cs="Tahoma"/>
      <w:b/>
      <w:bCs/>
      <w:sz w:val="16"/>
      <w:szCs w:val="16"/>
      <w:shd w:val="clear" w:color="auto" w:fill="FFA7A7"/>
      <w:lang w:eastAsia="hr-HR"/>
    </w:rPr>
  </w:style>
  <w:style w:type="paragraph" w:customStyle="1" w:styleId="Naslov1">
    <w:name w:val="Naslov 1+"/>
    <w:basedOn w:val="Naslov10"/>
    <w:next w:val="Normal"/>
    <w:link w:val="Naslov1Char0"/>
    <w:autoRedefine/>
    <w:rsid w:val="008552B1"/>
    <w:pPr>
      <w:numPr>
        <w:numId w:val="13"/>
      </w:numPr>
      <w:spacing w:line="240" w:lineRule="auto"/>
      <w:textAlignment w:val="auto"/>
    </w:pPr>
    <w:rPr>
      <w:rFonts w:cs="Tahoma"/>
      <w:position w:val="0"/>
    </w:rPr>
  </w:style>
  <w:style w:type="character" w:customStyle="1" w:styleId="Naslov1Char0">
    <w:name w:val="Naslov 1+ Char"/>
    <w:basedOn w:val="Zadanifontodlomka"/>
    <w:link w:val="Naslov1"/>
    <w:rsid w:val="008552B1"/>
    <w:rPr>
      <w:rFonts w:ascii="Tahoma" w:eastAsia="Times New Roman" w:hAnsi="Tahoma" w:cs="Tahoma"/>
      <w:iCs/>
      <w:caps/>
      <w:color w:val="BE1D2D"/>
      <w:sz w:val="48"/>
      <w:szCs w:val="48"/>
      <w:lang w:eastAsia="hr-HR"/>
    </w:rPr>
  </w:style>
  <w:style w:type="paragraph" w:customStyle="1" w:styleId="Naslov1-">
    <w:name w:val="Naslov 1-"/>
    <w:basedOn w:val="Naslov10"/>
    <w:next w:val="Normal"/>
    <w:link w:val="Naslov1-Char"/>
    <w:autoRedefine/>
    <w:rsid w:val="008552B1"/>
    <w:pPr>
      <w:spacing w:line="240" w:lineRule="auto"/>
    </w:pPr>
  </w:style>
  <w:style w:type="paragraph" w:customStyle="1" w:styleId="Uvlaka3">
    <w:name w:val="Uvlaka 3"/>
    <w:basedOn w:val="Normal"/>
    <w:link w:val="Uvlaka3Char"/>
    <w:qFormat/>
    <w:rsid w:val="008552B1"/>
    <w:pPr>
      <w:numPr>
        <w:numId w:val="1"/>
      </w:numPr>
      <w:spacing w:before="60" w:after="60" w:line="240" w:lineRule="auto"/>
      <w:ind w:left="1701" w:hanging="283"/>
      <w:jc w:val="both"/>
    </w:pPr>
    <w:rPr>
      <w:rFonts w:ascii="Tahoma" w:eastAsia="Times New Roman" w:hAnsi="Tahoma" w:cs="Myriad Pro"/>
      <w:sz w:val="20"/>
      <w:szCs w:val="24"/>
      <w:lang w:eastAsia="de-DE"/>
    </w:rPr>
  </w:style>
  <w:style w:type="character" w:customStyle="1" w:styleId="Naslov1-Char">
    <w:name w:val="Naslov 1- Char"/>
    <w:basedOn w:val="Naslov1Char0"/>
    <w:link w:val="Naslov1-"/>
    <w:rsid w:val="008552B1"/>
    <w:rPr>
      <w:rFonts w:ascii="Tahoma" w:eastAsia="Times New Roman" w:hAnsi="Tahoma" w:cs="Myriad Pro"/>
      <w:iCs/>
      <w:caps/>
      <w:color w:val="BE1D2D"/>
      <w:position w:val="24"/>
      <w:sz w:val="48"/>
      <w:szCs w:val="48"/>
      <w:lang w:eastAsia="hr-HR"/>
    </w:rPr>
  </w:style>
  <w:style w:type="character" w:customStyle="1" w:styleId="Uvlaka3Char">
    <w:name w:val="Uvlaka 3 Char"/>
    <w:basedOn w:val="Zadanifontodlomka"/>
    <w:link w:val="Uvlaka3"/>
    <w:rsid w:val="008552B1"/>
    <w:rPr>
      <w:rFonts w:ascii="Tahoma" w:eastAsia="Times New Roman" w:hAnsi="Tahoma" w:cs="Myriad Pro"/>
      <w:sz w:val="20"/>
      <w:szCs w:val="24"/>
      <w:lang w:eastAsia="de-DE"/>
    </w:r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8552B1"/>
    <w:pPr>
      <w:keepLines/>
      <w:numPr>
        <w:numId w:val="3"/>
      </w:numPr>
      <w:suppressAutoHyphens/>
      <w:spacing w:before="60" w:after="60" w:line="240" w:lineRule="auto"/>
      <w:jc w:val="both"/>
    </w:pPr>
    <w:rPr>
      <w:rFonts w:ascii="Tahoma" w:eastAsia="Times New Roman" w:hAnsi="Tahoma" w:cs="Myriad Pro"/>
      <w:sz w:val="20"/>
      <w:szCs w:val="24"/>
      <w:lang w:eastAsia="hr-HR"/>
    </w:rPr>
  </w:style>
  <w:style w:type="paragraph" w:customStyle="1" w:styleId="Naslov4">
    <w:name w:val="Naslov 4+"/>
    <w:basedOn w:val="Naslov40"/>
    <w:next w:val="Normal"/>
    <w:link w:val="Naslov4Char0"/>
    <w:autoRedefine/>
    <w:qFormat/>
    <w:rsid w:val="008552B1"/>
    <w:pPr>
      <w:numPr>
        <w:numId w:val="13"/>
      </w:numPr>
      <w:tabs>
        <w:tab w:val="clear" w:pos="-284"/>
      </w:tabs>
      <w:spacing w:before="240" w:after="120"/>
      <w:ind w:left="992" w:hanging="992"/>
      <w:jc w:val="left"/>
    </w:pPr>
    <w:rPr>
      <w:i w:val="0"/>
    </w:rPr>
  </w:style>
  <w:style w:type="character" w:customStyle="1" w:styleId="Naslov4Char0">
    <w:name w:val="Naslov 4+ Char"/>
    <w:basedOn w:val="Zadanifontodlomka"/>
    <w:link w:val="Naslov4"/>
    <w:rsid w:val="008552B1"/>
    <w:rPr>
      <w:rFonts w:ascii="Tahoma" w:eastAsia="Times New Roman" w:hAnsi="Tahoma" w:cs="Times New Roman"/>
      <w:color w:val="BE1D2D"/>
      <w:kern w:val="28"/>
      <w:szCs w:val="20"/>
      <w:lang w:eastAsia="de-DE"/>
    </w:rPr>
  </w:style>
  <w:style w:type="paragraph" w:customStyle="1" w:styleId="Naslov2">
    <w:name w:val="Naslov 2+"/>
    <w:basedOn w:val="Naslov20"/>
    <w:next w:val="Normal"/>
    <w:link w:val="Naslov2Char0"/>
    <w:autoRedefine/>
    <w:qFormat/>
    <w:rsid w:val="008552B1"/>
    <w:pPr>
      <w:numPr>
        <w:numId w:val="13"/>
      </w:numPr>
      <w:spacing w:before="360" w:line="240" w:lineRule="auto"/>
      <w:textAlignment w:val="auto"/>
    </w:pPr>
    <w:rPr>
      <w:rFonts w:cs="Tahoma"/>
      <w:bCs w:val="0"/>
      <w:caps/>
      <w:smallCaps w:val="0"/>
    </w:rPr>
  </w:style>
  <w:style w:type="paragraph" w:customStyle="1" w:styleId="Naslov3">
    <w:name w:val="Naslov 3+"/>
    <w:basedOn w:val="Naslov30"/>
    <w:next w:val="Normal"/>
    <w:link w:val="Naslov3Char0"/>
    <w:autoRedefine/>
    <w:qFormat/>
    <w:rsid w:val="008552B1"/>
    <w:pPr>
      <w:numPr>
        <w:numId w:val="13"/>
      </w:numPr>
      <w:ind w:left="993" w:hanging="993"/>
      <w:textAlignment w:val="auto"/>
    </w:pPr>
  </w:style>
  <w:style w:type="character" w:customStyle="1" w:styleId="Naslov2Char0">
    <w:name w:val="Naslov 2+ Char"/>
    <w:basedOn w:val="Zadanifontodlomka"/>
    <w:link w:val="Naslov2"/>
    <w:rsid w:val="008552B1"/>
    <w:rPr>
      <w:rFonts w:ascii="Tahoma" w:eastAsia="Times New Roman" w:hAnsi="Tahoma" w:cs="Tahoma"/>
      <w:b/>
      <w:caps/>
      <w:color w:val="BE1D2D"/>
      <w:sz w:val="32"/>
      <w:szCs w:val="36"/>
      <w:lang w:eastAsia="hr-HR"/>
    </w:rPr>
  </w:style>
  <w:style w:type="character" w:customStyle="1" w:styleId="Naslov3Char0">
    <w:name w:val="Naslov 3+ Char"/>
    <w:basedOn w:val="Zadanifontodlomka"/>
    <w:link w:val="Naslov3"/>
    <w:rsid w:val="008552B1"/>
    <w:rPr>
      <w:rFonts w:ascii="Tahoma" w:eastAsia="Times New Roman" w:hAnsi="Tahoma" w:cs="Myriad Pro"/>
      <w:b/>
      <w:bCs/>
      <w:iCs/>
      <w:color w:val="BE1D2D"/>
      <w:sz w:val="24"/>
      <w:szCs w:val="24"/>
      <w:lang w:eastAsia="hr-HR"/>
    </w:rPr>
  </w:style>
  <w:style w:type="paragraph" w:customStyle="1" w:styleId="Slikanaslov">
    <w:name w:val="Slika naslov"/>
    <w:basedOn w:val="Normal"/>
    <w:next w:val="Normal"/>
    <w:link w:val="SlikanaslovChar"/>
    <w:autoRedefine/>
    <w:uiPriority w:val="99"/>
    <w:qFormat/>
    <w:rsid w:val="008552B1"/>
    <w:pPr>
      <w:keepLines/>
      <w:suppressAutoHyphens/>
      <w:spacing w:before="60" w:after="120" w:line="240" w:lineRule="auto"/>
      <w:jc w:val="center"/>
    </w:pPr>
    <w:rPr>
      <w:rFonts w:ascii="Tahoma" w:eastAsia="Times New Roman" w:hAnsi="Tahoma" w:cs="Tahoma"/>
      <w:bCs/>
      <w:i/>
      <w:noProof/>
      <w:sz w:val="18"/>
      <w:szCs w:val="28"/>
      <w:lang w:eastAsia="hr-HR"/>
    </w:rPr>
  </w:style>
  <w:style w:type="paragraph" w:customStyle="1" w:styleId="Slika">
    <w:name w:val="Slika"/>
    <w:basedOn w:val="Normal"/>
    <w:next w:val="Normal"/>
    <w:link w:val="SlikaChar"/>
    <w:autoRedefine/>
    <w:qFormat/>
    <w:rsid w:val="008552B1"/>
    <w:pPr>
      <w:keepNext/>
      <w:spacing w:before="240" w:after="120" w:line="240" w:lineRule="auto"/>
      <w:jc w:val="center"/>
    </w:pPr>
    <w:rPr>
      <w:rFonts w:ascii="Tahoma" w:eastAsia="Times New Roman" w:hAnsi="Tahoma" w:cs="Myriad Pro"/>
      <w:sz w:val="20"/>
      <w:szCs w:val="24"/>
      <w:lang w:eastAsia="hr-HR"/>
    </w:rPr>
  </w:style>
  <w:style w:type="character" w:customStyle="1" w:styleId="SlikaChar">
    <w:name w:val="Slika Char"/>
    <w:basedOn w:val="Zadanifontodlomka"/>
    <w:link w:val="Slika"/>
    <w:rsid w:val="008552B1"/>
    <w:rPr>
      <w:rFonts w:ascii="Tahoma" w:eastAsia="Times New Roman" w:hAnsi="Tahoma" w:cs="Myriad Pro"/>
      <w:sz w:val="20"/>
      <w:szCs w:val="24"/>
      <w:lang w:eastAsia="hr-HR"/>
    </w:rPr>
  </w:style>
  <w:style w:type="character" w:styleId="Neupadljivareferenca">
    <w:name w:val="Subtle Reference"/>
    <w:basedOn w:val="Zadanifontodlomka"/>
    <w:uiPriority w:val="31"/>
    <w:rsid w:val="008552B1"/>
    <w:rPr>
      <w:rFonts w:ascii="Tahoma" w:hAnsi="Tahoma"/>
      <w:smallCaps/>
      <w:color w:val="auto"/>
    </w:rPr>
  </w:style>
  <w:style w:type="paragraph" w:customStyle="1" w:styleId="Tblnaslov">
    <w:name w:val="Tbl naslov"/>
    <w:basedOn w:val="Normal"/>
    <w:next w:val="Normal"/>
    <w:link w:val="TblnaslovChar"/>
    <w:qFormat/>
    <w:rsid w:val="008552B1"/>
    <w:pPr>
      <w:keepNext/>
      <w:keepLines/>
      <w:suppressAutoHyphens/>
      <w:spacing w:before="120" w:after="60" w:line="240" w:lineRule="auto"/>
    </w:pPr>
    <w:rPr>
      <w:rFonts w:ascii="Tahoma" w:eastAsia="Times New Roman" w:hAnsi="Tahoma" w:cs="Myriad Pro"/>
      <w:i/>
      <w:sz w:val="18"/>
      <w:szCs w:val="24"/>
      <w:lang w:eastAsia="de-DE"/>
    </w:rPr>
  </w:style>
  <w:style w:type="table" w:styleId="Reetkatablice">
    <w:name w:val="Table Grid"/>
    <w:basedOn w:val="Obinatablica"/>
    <w:uiPriority w:val="39"/>
    <w:rsid w:val="0085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Sprotna opomba-besedilo,Char Char Char Char,Char Char Char,Sprotna opomba - besedilo Znak1,Sprotna opomba - besedilo Znak Znak2,Sprotna opomba - besedilo Znak1 Znak Znak1,Sprotna opomba - besedilo Znak1 Znak Znak Znak,Footnote1"/>
    <w:basedOn w:val="Normal"/>
    <w:link w:val="TekstfusnoteChar"/>
    <w:uiPriority w:val="99"/>
    <w:unhideWhenUsed/>
    <w:qFormat/>
    <w:rsid w:val="008552B1"/>
    <w:pPr>
      <w:spacing w:before="60" w:after="60" w:line="240" w:lineRule="auto"/>
      <w:jc w:val="both"/>
    </w:pPr>
    <w:rPr>
      <w:rFonts w:ascii="Tahoma" w:eastAsia="Times New Roman" w:hAnsi="Tahoma" w:cs="Myriad Pro"/>
      <w:i/>
      <w:sz w:val="16"/>
      <w:szCs w:val="20"/>
      <w:lang w:eastAsia="de-DE"/>
    </w:rPr>
  </w:style>
  <w:style w:type="character" w:customStyle="1" w:styleId="TekstfusnoteChar">
    <w:name w:val="Tekst fusnote Char"/>
    <w:aliases w:val="Sprotna opomba-besedilo Char,Char Char Char Char Char,Char Char Char Char1,Sprotna opomba - besedilo Znak1 Char,Sprotna opomba - besedilo Znak Znak2 Char,Sprotna opomba - besedilo Znak1 Znak Znak1 Char,Footnote1 Char"/>
    <w:basedOn w:val="Zadanifontodlomka"/>
    <w:link w:val="Tekstfusnote"/>
    <w:uiPriority w:val="99"/>
    <w:rsid w:val="008552B1"/>
    <w:rPr>
      <w:rFonts w:ascii="Tahoma" w:eastAsia="Times New Roman" w:hAnsi="Tahoma" w:cs="Myriad Pro"/>
      <w:i/>
      <w:sz w:val="16"/>
      <w:szCs w:val="20"/>
      <w:lang w:eastAsia="de-DE"/>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BVI fnr"/>
    <w:basedOn w:val="Zadanifontodlomka"/>
    <w:uiPriority w:val="99"/>
    <w:unhideWhenUsed/>
    <w:rsid w:val="008552B1"/>
    <w:rPr>
      <w:rFonts w:ascii="Tahoma" w:hAnsi="Tahoma"/>
      <w:vertAlign w:val="superscript"/>
    </w:rPr>
  </w:style>
  <w:style w:type="paragraph" w:styleId="Sadraj4">
    <w:name w:val="toc 4"/>
    <w:basedOn w:val="Normal"/>
    <w:next w:val="Normal"/>
    <w:autoRedefine/>
    <w:uiPriority w:val="39"/>
    <w:unhideWhenUsed/>
    <w:qFormat/>
    <w:rsid w:val="008552B1"/>
    <w:pPr>
      <w:tabs>
        <w:tab w:val="right" w:leader="dot" w:pos="9354"/>
      </w:tabs>
      <w:spacing w:before="60" w:after="60" w:line="240" w:lineRule="auto"/>
      <w:ind w:left="2410" w:hanging="992"/>
      <w:jc w:val="both"/>
    </w:pPr>
    <w:rPr>
      <w:rFonts w:ascii="Tahoma" w:eastAsia="Times New Roman" w:hAnsi="Tahoma" w:cs="Myriad Pro"/>
      <w:sz w:val="20"/>
      <w:szCs w:val="24"/>
      <w:lang w:eastAsia="de-DE"/>
    </w:rPr>
  </w:style>
  <w:style w:type="character" w:customStyle="1" w:styleId="TbltextChar">
    <w:name w:val="Tbl text Char"/>
    <w:basedOn w:val="Zadanifontodlomka"/>
    <w:link w:val="Tbltext"/>
    <w:uiPriority w:val="99"/>
    <w:rsid w:val="008552B1"/>
    <w:rPr>
      <w:rFonts w:ascii="Tahoma" w:eastAsia="Times New Roman" w:hAnsi="Tahoma" w:cs="Times New Roman"/>
      <w:sz w:val="16"/>
      <w:szCs w:val="20"/>
      <w:lang w:eastAsia="de-DE"/>
    </w:rPr>
  </w:style>
  <w:style w:type="paragraph" w:customStyle="1" w:styleId="Naslov5">
    <w:name w:val="Naslov 5+"/>
    <w:basedOn w:val="Naslov50"/>
    <w:next w:val="Normal"/>
    <w:link w:val="Naslov5Char0"/>
    <w:autoRedefine/>
    <w:qFormat/>
    <w:rsid w:val="008552B1"/>
    <w:pPr>
      <w:numPr>
        <w:numId w:val="13"/>
      </w:numPr>
      <w:spacing w:before="240"/>
      <w:ind w:left="1701" w:hanging="567"/>
      <w:jc w:val="left"/>
    </w:pPr>
    <w:rPr>
      <w:i/>
    </w:rPr>
  </w:style>
  <w:style w:type="paragraph" w:customStyle="1" w:styleId="Meunaslov">
    <w:name w:val="Međunaslov"/>
    <w:basedOn w:val="Normal"/>
    <w:next w:val="Normal"/>
    <w:link w:val="MeunaslovChar"/>
    <w:autoRedefine/>
    <w:qFormat/>
    <w:rsid w:val="008552B1"/>
    <w:pPr>
      <w:keepNext/>
      <w:keepLines/>
      <w:suppressAutoHyphens/>
      <w:spacing w:before="120" w:after="120" w:line="240" w:lineRule="auto"/>
      <w:jc w:val="both"/>
    </w:pPr>
    <w:rPr>
      <w:rFonts w:ascii="Tahoma" w:eastAsia="Times New Roman" w:hAnsi="Tahoma" w:cs="Myriad Pro"/>
      <w:b/>
      <w:sz w:val="20"/>
      <w:szCs w:val="24"/>
      <w:u w:val="single"/>
      <w:lang w:eastAsia="hr-HR"/>
    </w:rPr>
  </w:style>
  <w:style w:type="character" w:customStyle="1" w:styleId="Naslov5Char0">
    <w:name w:val="Naslov 5+ Char"/>
    <w:basedOn w:val="Naslov5Char"/>
    <w:link w:val="Naslov5"/>
    <w:rsid w:val="008552B1"/>
    <w:rPr>
      <w:rFonts w:ascii="Tahoma" w:eastAsiaTheme="majorEastAsia" w:hAnsi="Tahoma" w:cs="Tahoma"/>
      <w:i/>
      <w:color w:val="BE1D2D"/>
      <w:sz w:val="20"/>
      <w:szCs w:val="24"/>
      <w:lang w:eastAsia="de-DE"/>
    </w:rPr>
  </w:style>
  <w:style w:type="character" w:customStyle="1" w:styleId="SlikanaslovChar">
    <w:name w:val="Slika naslov Char"/>
    <w:basedOn w:val="Zadanifontodlomka"/>
    <w:link w:val="Slikanaslov"/>
    <w:uiPriority w:val="99"/>
    <w:rsid w:val="008552B1"/>
    <w:rPr>
      <w:rFonts w:ascii="Tahoma" w:eastAsia="Times New Roman" w:hAnsi="Tahoma" w:cs="Tahoma"/>
      <w:bCs/>
      <w:i/>
      <w:noProof/>
      <w:sz w:val="18"/>
      <w:szCs w:val="28"/>
      <w:lang w:eastAsia="hr-HR"/>
    </w:rPr>
  </w:style>
  <w:style w:type="character" w:customStyle="1" w:styleId="MeunaslovChar">
    <w:name w:val="Međunaslov Char"/>
    <w:basedOn w:val="Zadanifontodlomka"/>
    <w:link w:val="Meunaslov"/>
    <w:rsid w:val="008552B1"/>
    <w:rPr>
      <w:rFonts w:ascii="Tahoma" w:eastAsia="Times New Roman" w:hAnsi="Tahoma" w:cs="Myriad Pro"/>
      <w:b/>
      <w:sz w:val="20"/>
      <w:szCs w:val="24"/>
      <w:u w:val="single"/>
      <w:lang w:eastAsia="hr-HR"/>
    </w:rPr>
  </w:style>
  <w:style w:type="paragraph" w:styleId="Tekstbalonia">
    <w:name w:val="Balloon Text"/>
    <w:basedOn w:val="Normal"/>
    <w:link w:val="TekstbaloniaChar"/>
    <w:uiPriority w:val="99"/>
    <w:semiHidden/>
    <w:unhideWhenUsed/>
    <w:rsid w:val="008552B1"/>
    <w:pPr>
      <w:spacing w:after="0" w:line="240" w:lineRule="auto"/>
      <w:jc w:val="both"/>
    </w:pPr>
    <w:rPr>
      <w:rFonts w:ascii="Tahoma" w:eastAsia="Times New Roman" w:hAnsi="Tahoma" w:cs="Segoe UI"/>
      <w:sz w:val="18"/>
      <w:szCs w:val="18"/>
      <w:lang w:eastAsia="de-DE"/>
    </w:rPr>
  </w:style>
  <w:style w:type="character" w:customStyle="1" w:styleId="TekstbaloniaChar">
    <w:name w:val="Tekst balončića Char"/>
    <w:basedOn w:val="Zadanifontodlomka"/>
    <w:link w:val="Tekstbalonia"/>
    <w:uiPriority w:val="99"/>
    <w:semiHidden/>
    <w:rsid w:val="008552B1"/>
    <w:rPr>
      <w:rFonts w:ascii="Tahoma" w:eastAsia="Times New Roman" w:hAnsi="Tahoma" w:cs="Segoe UI"/>
      <w:sz w:val="18"/>
      <w:szCs w:val="18"/>
      <w:lang w:eastAsia="de-DE"/>
    </w:rPr>
  </w:style>
  <w:style w:type="character" w:styleId="Referencakomentara">
    <w:name w:val="annotation reference"/>
    <w:basedOn w:val="Zadanifontodlomka"/>
    <w:uiPriority w:val="99"/>
    <w:unhideWhenUsed/>
    <w:rsid w:val="008552B1"/>
    <w:rPr>
      <w:sz w:val="16"/>
      <w:szCs w:val="16"/>
    </w:rPr>
  </w:style>
  <w:style w:type="paragraph" w:customStyle="1" w:styleId="Citat1">
    <w:name w:val="Citat1"/>
    <w:basedOn w:val="Normal"/>
    <w:next w:val="Normal"/>
    <w:link w:val="CitatChar"/>
    <w:autoRedefine/>
    <w:qFormat/>
    <w:rsid w:val="008552B1"/>
    <w:pPr>
      <w:keepLines/>
      <w:suppressAutoHyphens/>
      <w:spacing w:before="120" w:after="120" w:line="240" w:lineRule="auto"/>
      <w:ind w:left="851" w:right="851"/>
      <w:jc w:val="center"/>
    </w:pPr>
    <w:rPr>
      <w:rFonts w:ascii="Tahoma" w:eastAsia="Times New Roman" w:hAnsi="Tahoma" w:cs="Myriad Pro"/>
      <w:i/>
      <w:iCs/>
      <w:sz w:val="20"/>
      <w:szCs w:val="24"/>
      <w:lang w:eastAsia="hr-HR"/>
    </w:rPr>
  </w:style>
  <w:style w:type="paragraph" w:customStyle="1" w:styleId="Izvor">
    <w:name w:val="Izvor"/>
    <w:basedOn w:val="Odlomakpopisa"/>
    <w:link w:val="IzvorChar"/>
    <w:autoRedefine/>
    <w:uiPriority w:val="99"/>
    <w:qFormat/>
    <w:rsid w:val="008552B1"/>
    <w:pPr>
      <w:numPr>
        <w:numId w:val="15"/>
      </w:numPr>
      <w:tabs>
        <w:tab w:val="num" w:pos="360"/>
      </w:tabs>
      <w:ind w:left="567" w:hanging="567"/>
    </w:pPr>
  </w:style>
  <w:style w:type="character" w:customStyle="1" w:styleId="CitatChar">
    <w:name w:val="Citat Char"/>
    <w:basedOn w:val="Zadanifontodlomka"/>
    <w:link w:val="Citat1"/>
    <w:rsid w:val="008552B1"/>
    <w:rPr>
      <w:rFonts w:ascii="Tahoma" w:eastAsia="Times New Roman" w:hAnsi="Tahoma" w:cs="Myriad Pro"/>
      <w:i/>
      <w:iCs/>
      <w:sz w:val="20"/>
      <w:szCs w:val="24"/>
      <w:lang w:eastAsia="hr-HR"/>
    </w:rPr>
  </w:style>
  <w:style w:type="paragraph" w:customStyle="1" w:styleId="Broj1">
    <w:name w:val="Broj 1"/>
    <w:basedOn w:val="Odlomakpopisa"/>
    <w:link w:val="Broj1Char"/>
    <w:qFormat/>
    <w:rsid w:val="008552B1"/>
  </w:style>
  <w:style w:type="character" w:customStyle="1" w:styleId="IzvorChar">
    <w:name w:val="Izvor Char"/>
    <w:basedOn w:val="Zadanifontodlomka"/>
    <w:link w:val="Izvor"/>
    <w:uiPriority w:val="99"/>
    <w:rsid w:val="008552B1"/>
    <w:rPr>
      <w:rFonts w:ascii="Tahoma" w:eastAsia="Times New Roman" w:hAnsi="Tahoma" w:cs="Myriad Pro"/>
      <w:sz w:val="20"/>
      <w:szCs w:val="24"/>
      <w:lang w:eastAsia="hr-HR"/>
    </w:rPr>
  </w:style>
  <w:style w:type="paragraph" w:customStyle="1" w:styleId="Broj2">
    <w:name w:val="Broj 2"/>
    <w:basedOn w:val="Odlomakpopisa"/>
    <w:link w:val="Broj2Char"/>
    <w:qFormat/>
    <w:rsid w:val="008552B1"/>
    <w:pPr>
      <w:numPr>
        <w:ilvl w:val="1"/>
      </w:numPr>
      <w:ind w:left="1276" w:hanging="425"/>
    </w:p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basedOn w:val="Zadanifontodlomka"/>
    <w:link w:val="Odlomakpopisa"/>
    <w:uiPriority w:val="34"/>
    <w:qFormat/>
    <w:rsid w:val="008552B1"/>
    <w:rPr>
      <w:rFonts w:ascii="Tahoma" w:eastAsia="Times New Roman" w:hAnsi="Tahoma" w:cs="Myriad Pro"/>
      <w:sz w:val="20"/>
      <w:szCs w:val="24"/>
      <w:lang w:eastAsia="hr-HR"/>
    </w:rPr>
  </w:style>
  <w:style w:type="character" w:customStyle="1" w:styleId="Broj1Char">
    <w:name w:val="Broj 1 Char"/>
    <w:basedOn w:val="OdlomakpopisaChar"/>
    <w:link w:val="Broj1"/>
    <w:rsid w:val="008552B1"/>
    <w:rPr>
      <w:rFonts w:ascii="Tahoma" w:eastAsia="Times New Roman" w:hAnsi="Tahoma" w:cs="Myriad Pro"/>
      <w:sz w:val="20"/>
      <w:szCs w:val="24"/>
      <w:lang w:eastAsia="hr-HR"/>
    </w:rPr>
  </w:style>
  <w:style w:type="paragraph" w:customStyle="1" w:styleId="Broj3">
    <w:name w:val="Broj 3"/>
    <w:basedOn w:val="Odlomakpopisa"/>
    <w:link w:val="Broj3Char"/>
    <w:qFormat/>
    <w:rsid w:val="008552B1"/>
    <w:pPr>
      <w:numPr>
        <w:ilvl w:val="2"/>
        <w:numId w:val="4"/>
      </w:numPr>
      <w:ind w:left="1701" w:hanging="283"/>
    </w:pPr>
  </w:style>
  <w:style w:type="character" w:customStyle="1" w:styleId="Broj2Char">
    <w:name w:val="Broj 2 Char"/>
    <w:basedOn w:val="OdlomakpopisaChar"/>
    <w:link w:val="Broj2"/>
    <w:rsid w:val="008552B1"/>
    <w:rPr>
      <w:rFonts w:ascii="Tahoma" w:eastAsia="Times New Roman" w:hAnsi="Tahoma" w:cs="Myriad Pro"/>
      <w:sz w:val="20"/>
      <w:szCs w:val="24"/>
      <w:lang w:eastAsia="hr-HR"/>
    </w:rPr>
  </w:style>
  <w:style w:type="character" w:customStyle="1" w:styleId="Broj3Char">
    <w:name w:val="Broj 3 Char"/>
    <w:basedOn w:val="OdlomakpopisaChar"/>
    <w:link w:val="Broj3"/>
    <w:rsid w:val="008552B1"/>
    <w:rPr>
      <w:rFonts w:ascii="Tahoma" w:eastAsia="Times New Roman" w:hAnsi="Tahoma" w:cs="Myriad Pro"/>
      <w:sz w:val="20"/>
      <w:szCs w:val="24"/>
      <w:lang w:eastAsia="hr-HR"/>
    </w:rPr>
  </w:style>
  <w:style w:type="paragraph" w:customStyle="1" w:styleId="Naslov2-">
    <w:name w:val="Naslov 2-"/>
    <w:basedOn w:val="Naslov20"/>
    <w:next w:val="Normal"/>
    <w:link w:val="Naslov2-Char"/>
    <w:autoRedefine/>
    <w:qFormat/>
    <w:rsid w:val="008552B1"/>
    <w:pPr>
      <w:numPr>
        <w:ilvl w:val="0"/>
        <w:numId w:val="0"/>
      </w:numPr>
      <w:spacing w:before="360" w:line="240" w:lineRule="auto"/>
    </w:pPr>
    <w:rPr>
      <w:caps/>
      <w:smallCaps w:val="0"/>
    </w:rPr>
  </w:style>
  <w:style w:type="paragraph" w:customStyle="1" w:styleId="Naslov3-">
    <w:name w:val="Naslov 3-"/>
    <w:basedOn w:val="Naslov30"/>
    <w:next w:val="Normal"/>
    <w:link w:val="Naslov3-Char"/>
    <w:autoRedefine/>
    <w:qFormat/>
    <w:rsid w:val="008552B1"/>
    <w:pPr>
      <w:numPr>
        <w:ilvl w:val="0"/>
        <w:numId w:val="0"/>
      </w:numPr>
      <w:spacing w:line="240" w:lineRule="auto"/>
    </w:pPr>
  </w:style>
  <w:style w:type="character" w:customStyle="1" w:styleId="Naslov2-Char">
    <w:name w:val="Naslov 2- Char"/>
    <w:basedOn w:val="Naslov2Char"/>
    <w:link w:val="Naslov2-"/>
    <w:rsid w:val="008552B1"/>
    <w:rPr>
      <w:rFonts w:ascii="Tahoma" w:eastAsia="Times New Roman" w:hAnsi="Tahoma" w:cs="Myriad Pro Cond"/>
      <w:b/>
      <w:bCs/>
      <w:caps/>
      <w:smallCaps w:val="0"/>
      <w:color w:val="BE1D2D"/>
      <w:sz w:val="32"/>
      <w:szCs w:val="36"/>
      <w:lang w:eastAsia="hr-HR"/>
    </w:rPr>
  </w:style>
  <w:style w:type="paragraph" w:customStyle="1" w:styleId="Naslov4-">
    <w:name w:val="Naslov 4-"/>
    <w:basedOn w:val="Naslov40"/>
    <w:next w:val="Normal"/>
    <w:link w:val="Naslov4-Char"/>
    <w:autoRedefine/>
    <w:qFormat/>
    <w:rsid w:val="008552B1"/>
    <w:pPr>
      <w:numPr>
        <w:ilvl w:val="0"/>
        <w:numId w:val="0"/>
      </w:numPr>
      <w:tabs>
        <w:tab w:val="clear" w:pos="-284"/>
      </w:tabs>
      <w:spacing w:before="240" w:after="120"/>
    </w:pPr>
    <w:rPr>
      <w:i w:val="0"/>
      <w:lang w:eastAsia="hr-HR"/>
    </w:rPr>
  </w:style>
  <w:style w:type="character" w:customStyle="1" w:styleId="Naslov3-Char">
    <w:name w:val="Naslov 3- Char"/>
    <w:basedOn w:val="Naslov3Char"/>
    <w:link w:val="Naslov3-"/>
    <w:rsid w:val="008552B1"/>
    <w:rPr>
      <w:rFonts w:ascii="Tahoma" w:eastAsia="Times New Roman" w:hAnsi="Tahoma" w:cs="Myriad Pro"/>
      <w:b/>
      <w:bCs/>
      <w:iCs/>
      <w:color w:val="BE1D2D"/>
      <w:sz w:val="24"/>
      <w:szCs w:val="24"/>
      <w:lang w:eastAsia="hr-HR"/>
    </w:rPr>
  </w:style>
  <w:style w:type="paragraph" w:customStyle="1" w:styleId="Naslov5-">
    <w:name w:val="Naslov 5-"/>
    <w:basedOn w:val="Naslov50"/>
    <w:next w:val="Normal"/>
    <w:link w:val="Naslov5-Char"/>
    <w:autoRedefine/>
    <w:qFormat/>
    <w:rsid w:val="008552B1"/>
    <w:pPr>
      <w:numPr>
        <w:ilvl w:val="0"/>
        <w:numId w:val="0"/>
      </w:numPr>
      <w:spacing w:before="240"/>
      <w:ind w:left="567" w:right="567"/>
    </w:pPr>
    <w:rPr>
      <w:i/>
      <w:lang w:eastAsia="hr-HR"/>
    </w:rPr>
  </w:style>
  <w:style w:type="character" w:customStyle="1" w:styleId="Naslov4-Char">
    <w:name w:val="Naslov 4- Char"/>
    <w:basedOn w:val="Naslov4Char"/>
    <w:link w:val="Naslov4-"/>
    <w:rsid w:val="008552B1"/>
    <w:rPr>
      <w:rFonts w:ascii="Tahoma" w:eastAsia="Times New Roman" w:hAnsi="Tahoma" w:cs="Times New Roman"/>
      <w:i w:val="0"/>
      <w:color w:val="BE1D2D"/>
      <w:kern w:val="28"/>
      <w:szCs w:val="20"/>
      <w:lang w:eastAsia="hr-HR"/>
    </w:rPr>
  </w:style>
  <w:style w:type="character" w:customStyle="1" w:styleId="Naslov5-Char">
    <w:name w:val="Naslov 5- Char"/>
    <w:basedOn w:val="Naslov5Char"/>
    <w:link w:val="Naslov5-"/>
    <w:rsid w:val="008552B1"/>
    <w:rPr>
      <w:rFonts w:ascii="Tahoma" w:eastAsiaTheme="majorEastAsia" w:hAnsi="Tahoma" w:cs="Tahoma"/>
      <w:i/>
      <w:color w:val="BE1D2D"/>
      <w:sz w:val="20"/>
      <w:szCs w:val="24"/>
      <w:lang w:eastAsia="hr-HR"/>
    </w:rPr>
  </w:style>
  <w:style w:type="paragraph" w:styleId="Sadraj5">
    <w:name w:val="toc 5"/>
    <w:basedOn w:val="Normal"/>
    <w:next w:val="Normal"/>
    <w:autoRedefine/>
    <w:uiPriority w:val="39"/>
    <w:unhideWhenUsed/>
    <w:rsid w:val="008552B1"/>
    <w:pPr>
      <w:spacing w:before="60" w:after="60" w:line="240" w:lineRule="auto"/>
      <w:ind w:left="2268"/>
      <w:jc w:val="both"/>
    </w:pPr>
    <w:rPr>
      <w:rFonts w:ascii="Tahoma" w:eastAsia="Times New Roman" w:hAnsi="Tahoma" w:cs="Myriad Pro"/>
      <w:sz w:val="20"/>
      <w:szCs w:val="24"/>
      <w:lang w:eastAsia="de-DE"/>
    </w:rPr>
  </w:style>
  <w:style w:type="paragraph" w:styleId="Tablicaslika">
    <w:name w:val="table of figures"/>
    <w:basedOn w:val="Normal"/>
    <w:next w:val="Normal"/>
    <w:uiPriority w:val="99"/>
    <w:unhideWhenUsed/>
    <w:rsid w:val="008552B1"/>
    <w:pPr>
      <w:spacing w:before="120" w:after="120" w:line="240" w:lineRule="auto"/>
      <w:jc w:val="both"/>
    </w:pPr>
    <w:rPr>
      <w:rFonts w:ascii="Tahoma" w:eastAsia="Times New Roman" w:hAnsi="Tahoma" w:cs="Myriad Pro"/>
      <w:sz w:val="20"/>
      <w:szCs w:val="24"/>
      <w:lang w:eastAsia="de-DE"/>
    </w:rPr>
  </w:style>
  <w:style w:type="table" w:customStyle="1" w:styleId="GridTable4-Accent21">
    <w:name w:val="Grid Table 4 - Accent 21"/>
    <w:basedOn w:val="Obinatablica"/>
    <w:uiPriority w:val="49"/>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Obinatablica"/>
    <w:uiPriority w:val="49"/>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kstkomentara">
    <w:name w:val="annotation text"/>
    <w:basedOn w:val="Normal"/>
    <w:link w:val="TekstkomentaraChar"/>
    <w:uiPriority w:val="99"/>
    <w:unhideWhenUsed/>
    <w:rsid w:val="008552B1"/>
    <w:pPr>
      <w:spacing w:before="120" w:after="120" w:line="240" w:lineRule="auto"/>
      <w:jc w:val="both"/>
    </w:pPr>
    <w:rPr>
      <w:rFonts w:ascii="Tahoma" w:eastAsia="Times New Roman" w:hAnsi="Tahoma" w:cs="Myriad Pro"/>
      <w:sz w:val="20"/>
      <w:szCs w:val="20"/>
      <w:lang w:eastAsia="de-DE"/>
    </w:rPr>
  </w:style>
  <w:style w:type="character" w:customStyle="1" w:styleId="TekstkomentaraChar">
    <w:name w:val="Tekst komentara Char"/>
    <w:basedOn w:val="Zadanifontodlomka"/>
    <w:link w:val="Tekstkomentara"/>
    <w:uiPriority w:val="99"/>
    <w:rsid w:val="008552B1"/>
    <w:rPr>
      <w:rFonts w:ascii="Tahoma" w:eastAsia="Times New Roman" w:hAnsi="Tahoma" w:cs="Myriad Pro"/>
      <w:sz w:val="20"/>
      <w:szCs w:val="20"/>
      <w:lang w:eastAsia="de-DE"/>
    </w:rPr>
  </w:style>
  <w:style w:type="paragraph" w:styleId="Predmetkomentara">
    <w:name w:val="annotation subject"/>
    <w:basedOn w:val="Tekstkomentara"/>
    <w:next w:val="Tekstkomentara"/>
    <w:link w:val="PredmetkomentaraChar"/>
    <w:uiPriority w:val="99"/>
    <w:semiHidden/>
    <w:unhideWhenUsed/>
    <w:rsid w:val="008552B1"/>
    <w:rPr>
      <w:b/>
      <w:bCs/>
    </w:rPr>
  </w:style>
  <w:style w:type="character" w:customStyle="1" w:styleId="PredmetkomentaraChar">
    <w:name w:val="Predmet komentara Char"/>
    <w:basedOn w:val="TekstkomentaraChar"/>
    <w:link w:val="Predmetkomentara"/>
    <w:uiPriority w:val="99"/>
    <w:semiHidden/>
    <w:rsid w:val="008552B1"/>
    <w:rPr>
      <w:rFonts w:ascii="Tahoma" w:eastAsia="Times New Roman" w:hAnsi="Tahoma" w:cs="Myriad Pro"/>
      <w:b/>
      <w:bCs/>
      <w:sz w:val="20"/>
      <w:szCs w:val="20"/>
      <w:lang w:eastAsia="de-DE"/>
    </w:rPr>
  </w:style>
  <w:style w:type="paragraph" w:styleId="Kartadokumenta">
    <w:name w:val="Document Map"/>
    <w:basedOn w:val="Normal"/>
    <w:link w:val="KartadokumentaChar"/>
    <w:uiPriority w:val="99"/>
    <w:semiHidden/>
    <w:rsid w:val="008552B1"/>
    <w:pPr>
      <w:shd w:val="clear" w:color="auto" w:fill="000080"/>
      <w:spacing w:before="120" w:after="120" w:line="240" w:lineRule="auto"/>
      <w:jc w:val="both"/>
    </w:pPr>
    <w:rPr>
      <w:rFonts w:ascii="Tahoma" w:eastAsia="Times New Roman" w:hAnsi="Tahoma" w:cs="Tahoma"/>
      <w:sz w:val="20"/>
      <w:szCs w:val="20"/>
      <w:lang w:eastAsia="de-DE"/>
    </w:rPr>
  </w:style>
  <w:style w:type="character" w:customStyle="1" w:styleId="KartadokumentaChar">
    <w:name w:val="Karta dokumenta Char"/>
    <w:basedOn w:val="Zadanifontodlomka"/>
    <w:link w:val="Kartadokumenta"/>
    <w:uiPriority w:val="99"/>
    <w:semiHidden/>
    <w:rsid w:val="008552B1"/>
    <w:rPr>
      <w:rFonts w:ascii="Tahoma" w:eastAsia="Times New Roman" w:hAnsi="Tahoma" w:cs="Tahoma"/>
      <w:sz w:val="20"/>
      <w:szCs w:val="20"/>
      <w:shd w:val="clear" w:color="auto" w:fill="000080"/>
      <w:lang w:eastAsia="de-DE"/>
    </w:rPr>
  </w:style>
  <w:style w:type="paragraph" w:styleId="Naslov">
    <w:name w:val="Title"/>
    <w:basedOn w:val="Normal"/>
    <w:next w:val="Normal"/>
    <w:link w:val="NaslovChar"/>
    <w:uiPriority w:val="99"/>
    <w:rsid w:val="008552B1"/>
    <w:pPr>
      <w:spacing w:after="0" w:line="240" w:lineRule="auto"/>
      <w:contextualSpacing/>
      <w:jc w:val="both"/>
    </w:pPr>
    <w:rPr>
      <w:rFonts w:ascii="Tahoma" w:eastAsiaTheme="majorEastAsia" w:hAnsi="Tahoma" w:cstheme="majorBidi"/>
      <w:spacing w:val="-10"/>
      <w:kern w:val="28"/>
      <w:sz w:val="56"/>
      <w:szCs w:val="56"/>
      <w:lang w:eastAsia="de-DE"/>
    </w:rPr>
  </w:style>
  <w:style w:type="character" w:customStyle="1" w:styleId="NaslovChar">
    <w:name w:val="Naslov Char"/>
    <w:basedOn w:val="Zadanifontodlomka"/>
    <w:link w:val="Naslov"/>
    <w:uiPriority w:val="99"/>
    <w:rsid w:val="008552B1"/>
    <w:rPr>
      <w:rFonts w:ascii="Tahoma" w:eastAsiaTheme="majorEastAsia" w:hAnsi="Tahoma" w:cstheme="majorBidi"/>
      <w:spacing w:val="-10"/>
      <w:kern w:val="28"/>
      <w:sz w:val="56"/>
      <w:szCs w:val="56"/>
      <w:lang w:eastAsia="de-DE"/>
    </w:rPr>
  </w:style>
  <w:style w:type="character" w:styleId="Referencakrajnjebiljeke">
    <w:name w:val="endnote reference"/>
    <w:basedOn w:val="Zadanifontodlomka"/>
    <w:uiPriority w:val="99"/>
    <w:semiHidden/>
    <w:rsid w:val="008552B1"/>
    <w:rPr>
      <w:rFonts w:cs="Times New Roman"/>
      <w:vertAlign w:val="superscript"/>
    </w:rPr>
  </w:style>
  <w:style w:type="paragraph" w:styleId="Tekstkrajnjebiljeke">
    <w:name w:val="endnote text"/>
    <w:basedOn w:val="Normal"/>
    <w:link w:val="TekstkrajnjebiljekeChar"/>
    <w:uiPriority w:val="99"/>
    <w:semiHidden/>
    <w:rsid w:val="008552B1"/>
    <w:pPr>
      <w:spacing w:after="120" w:line="240" w:lineRule="auto"/>
      <w:jc w:val="both"/>
    </w:pPr>
    <w:rPr>
      <w:rFonts w:ascii="Tahoma" w:eastAsia="Times New Roman" w:hAnsi="Tahoma" w:cs="Times New Roman"/>
      <w:sz w:val="20"/>
      <w:szCs w:val="20"/>
      <w:lang w:val="de-DE" w:eastAsia="zh-CN"/>
    </w:rPr>
  </w:style>
  <w:style w:type="character" w:customStyle="1" w:styleId="TekstkrajnjebiljekeChar">
    <w:name w:val="Tekst krajnje bilješke Char"/>
    <w:basedOn w:val="Zadanifontodlomka"/>
    <w:link w:val="Tekstkrajnjebiljeke"/>
    <w:uiPriority w:val="99"/>
    <w:semiHidden/>
    <w:rsid w:val="008552B1"/>
    <w:rPr>
      <w:rFonts w:ascii="Tahoma" w:eastAsia="Times New Roman" w:hAnsi="Tahoma" w:cs="Times New Roman"/>
      <w:sz w:val="20"/>
      <w:szCs w:val="20"/>
      <w:lang w:val="de-DE" w:eastAsia="zh-CN"/>
    </w:rPr>
  </w:style>
  <w:style w:type="paragraph" w:styleId="Tijeloteksta">
    <w:name w:val="Body Text"/>
    <w:basedOn w:val="Normal"/>
    <w:link w:val="TijelotekstaChar"/>
    <w:uiPriority w:val="99"/>
    <w:rsid w:val="008552B1"/>
    <w:pPr>
      <w:spacing w:before="120" w:after="120" w:line="240" w:lineRule="auto"/>
      <w:jc w:val="both"/>
    </w:pPr>
    <w:rPr>
      <w:rFonts w:ascii="Tahoma" w:eastAsia="Times New Roman" w:hAnsi="Tahoma" w:cs="Myriad Pro"/>
      <w:sz w:val="20"/>
      <w:szCs w:val="24"/>
      <w:lang w:eastAsia="de-DE"/>
    </w:rPr>
  </w:style>
  <w:style w:type="character" w:customStyle="1" w:styleId="TijelotekstaChar">
    <w:name w:val="Tijelo teksta Char"/>
    <w:basedOn w:val="Zadanifontodlomka"/>
    <w:link w:val="Tijeloteksta"/>
    <w:uiPriority w:val="99"/>
    <w:rsid w:val="008552B1"/>
    <w:rPr>
      <w:rFonts w:ascii="Tahoma" w:eastAsia="Times New Roman" w:hAnsi="Tahoma" w:cs="Myriad Pro"/>
      <w:sz w:val="20"/>
      <w:szCs w:val="24"/>
      <w:lang w:eastAsia="de-DE"/>
    </w:rPr>
  </w:style>
  <w:style w:type="paragraph" w:styleId="TOCNaslov">
    <w:name w:val="TOC Heading"/>
    <w:basedOn w:val="Naslov10"/>
    <w:next w:val="Normal"/>
    <w:uiPriority w:val="39"/>
    <w:semiHidden/>
    <w:unhideWhenUsed/>
    <w:rsid w:val="008552B1"/>
    <w:pPr>
      <w:pageBreakBefore w:val="0"/>
      <w:pBdr>
        <w:top w:val="none" w:sz="0" w:space="0" w:color="auto"/>
      </w:pBdr>
      <w:suppressAutoHyphens w:val="0"/>
      <w:autoSpaceDE/>
      <w:autoSpaceDN/>
      <w:adjustRightInd/>
      <w:spacing w:before="0"/>
      <w:textAlignment w:val="auto"/>
      <w:outlineLvl w:val="9"/>
    </w:pPr>
    <w:rPr>
      <w:rFonts w:eastAsiaTheme="majorEastAsia" w:cstheme="majorBidi"/>
      <w:iCs w:val="0"/>
      <w:position w:val="0"/>
      <w:szCs w:val="32"/>
      <w:lang w:eastAsia="de-DE"/>
    </w:rPr>
  </w:style>
  <w:style w:type="paragraph" w:customStyle="1" w:styleId="Tbltext">
    <w:name w:val="Tbl text"/>
    <w:basedOn w:val="Normal"/>
    <w:link w:val="TbltextChar"/>
    <w:uiPriority w:val="99"/>
    <w:qFormat/>
    <w:rsid w:val="008552B1"/>
    <w:pPr>
      <w:suppressAutoHyphens/>
      <w:spacing w:before="40" w:after="40" w:line="240" w:lineRule="auto"/>
    </w:pPr>
    <w:rPr>
      <w:rFonts w:ascii="Tahoma" w:eastAsia="Times New Roman" w:hAnsi="Tahoma" w:cs="Times New Roman"/>
      <w:sz w:val="16"/>
      <w:szCs w:val="20"/>
      <w:lang w:eastAsia="de-DE"/>
    </w:rPr>
  </w:style>
  <w:style w:type="paragraph" w:styleId="Sadraj6">
    <w:name w:val="toc 6"/>
    <w:basedOn w:val="Normal"/>
    <w:next w:val="Normal"/>
    <w:autoRedefine/>
    <w:uiPriority w:val="39"/>
    <w:rsid w:val="008552B1"/>
    <w:pPr>
      <w:spacing w:before="60" w:after="60" w:line="240" w:lineRule="auto"/>
      <w:ind w:left="2268"/>
      <w:jc w:val="both"/>
    </w:pPr>
    <w:rPr>
      <w:rFonts w:ascii="Tahoma" w:eastAsia="Times New Roman" w:hAnsi="Tahoma" w:cs="Times New Roman"/>
      <w:sz w:val="20"/>
      <w:szCs w:val="20"/>
      <w:lang w:eastAsia="de-DE"/>
    </w:rPr>
  </w:style>
  <w:style w:type="paragraph" w:styleId="Sadraj7">
    <w:name w:val="toc 7"/>
    <w:basedOn w:val="Normal"/>
    <w:next w:val="Normal"/>
    <w:autoRedefine/>
    <w:uiPriority w:val="39"/>
    <w:rsid w:val="008552B1"/>
    <w:pPr>
      <w:spacing w:before="60" w:after="60" w:line="240" w:lineRule="auto"/>
      <w:ind w:left="2268"/>
      <w:jc w:val="both"/>
    </w:pPr>
    <w:rPr>
      <w:rFonts w:ascii="Tahoma" w:eastAsia="Times New Roman" w:hAnsi="Tahoma" w:cs="Times New Roman"/>
      <w:sz w:val="20"/>
      <w:szCs w:val="20"/>
      <w:lang w:eastAsia="de-DE"/>
    </w:rPr>
  </w:style>
  <w:style w:type="paragraph" w:styleId="Sadraj8">
    <w:name w:val="toc 8"/>
    <w:basedOn w:val="Normal"/>
    <w:next w:val="Normal"/>
    <w:autoRedefine/>
    <w:uiPriority w:val="39"/>
    <w:rsid w:val="008552B1"/>
    <w:pPr>
      <w:spacing w:before="60" w:after="60" w:line="240" w:lineRule="auto"/>
      <w:ind w:left="2268"/>
      <w:jc w:val="both"/>
    </w:pPr>
    <w:rPr>
      <w:rFonts w:ascii="Tahoma" w:eastAsia="Times New Roman" w:hAnsi="Tahoma" w:cs="Times New Roman"/>
      <w:sz w:val="20"/>
      <w:szCs w:val="20"/>
      <w:lang w:eastAsia="de-DE"/>
    </w:rPr>
  </w:style>
  <w:style w:type="paragraph" w:styleId="Sadraj9">
    <w:name w:val="toc 9"/>
    <w:basedOn w:val="Normal"/>
    <w:next w:val="Normal"/>
    <w:autoRedefine/>
    <w:uiPriority w:val="39"/>
    <w:rsid w:val="008552B1"/>
    <w:pPr>
      <w:spacing w:before="60" w:after="60" w:line="240" w:lineRule="auto"/>
      <w:ind w:left="2268"/>
      <w:jc w:val="both"/>
    </w:pPr>
    <w:rPr>
      <w:rFonts w:ascii="Tahoma" w:eastAsia="Times New Roman" w:hAnsi="Tahoma" w:cs="Times New Roman"/>
      <w:sz w:val="20"/>
      <w:szCs w:val="20"/>
      <w:lang w:eastAsia="de-DE"/>
    </w:rPr>
  </w:style>
  <w:style w:type="table" w:customStyle="1" w:styleId="Tablemjera">
    <w:name w:val="Table mjera"/>
    <w:uiPriority w:val="99"/>
    <w:rsid w:val="008552B1"/>
    <w:pPr>
      <w:spacing w:after="0" w:line="240" w:lineRule="auto"/>
    </w:pPr>
    <w:rPr>
      <w:rFonts w:ascii="Verdana" w:eastAsia="Times New Roman" w:hAnsi="Verdana" w:cs="Times New Roman"/>
      <w:sz w:val="16"/>
      <w:szCs w:val="20"/>
      <w:lang w:eastAsia="hr-HR"/>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style>
  <w:style w:type="paragraph" w:customStyle="1" w:styleId="Tblkomentar">
    <w:name w:val="Tbl komentar"/>
    <w:basedOn w:val="Normal"/>
    <w:uiPriority w:val="99"/>
    <w:qFormat/>
    <w:rsid w:val="008552B1"/>
    <w:pPr>
      <w:spacing w:after="0" w:line="240" w:lineRule="auto"/>
    </w:pPr>
    <w:rPr>
      <w:rFonts w:ascii="Tahoma" w:eastAsia="Times New Roman" w:hAnsi="Tahoma" w:cs="Tahoma"/>
      <w:i/>
      <w:color w:val="000000"/>
      <w:sz w:val="16"/>
      <w:szCs w:val="16"/>
      <w:lang w:eastAsia="hr-HR"/>
    </w:rPr>
  </w:style>
  <w:style w:type="paragraph" w:customStyle="1" w:styleId="Tbl1red">
    <w:name w:val="Tbl 1. red"/>
    <w:basedOn w:val="Normal"/>
    <w:link w:val="Tbl1redChar"/>
    <w:uiPriority w:val="99"/>
    <w:qFormat/>
    <w:rsid w:val="008552B1"/>
    <w:pPr>
      <w:keepNext/>
      <w:shd w:val="clear" w:color="auto" w:fill="FFA7A7"/>
      <w:spacing w:before="80" w:after="80" w:line="240" w:lineRule="auto"/>
      <w:jc w:val="center"/>
    </w:pPr>
    <w:rPr>
      <w:rFonts w:ascii="Tahoma" w:eastAsia="Times New Roman" w:hAnsi="Tahoma" w:cs="Tahoma"/>
      <w:b/>
      <w:bCs/>
      <w:sz w:val="16"/>
      <w:szCs w:val="16"/>
      <w:lang w:eastAsia="hr-HR"/>
    </w:rPr>
  </w:style>
  <w:style w:type="paragraph" w:customStyle="1" w:styleId="Tbl1stupac">
    <w:name w:val="Tbl 1. stupac"/>
    <w:basedOn w:val="Normal"/>
    <w:link w:val="Tbl1stupacChar"/>
    <w:uiPriority w:val="99"/>
    <w:qFormat/>
    <w:rsid w:val="008552B1"/>
    <w:pPr>
      <w:spacing w:before="40" w:after="40" w:line="240" w:lineRule="auto"/>
    </w:pPr>
    <w:rPr>
      <w:rFonts w:ascii="Tahoma" w:eastAsia="Times New Roman" w:hAnsi="Tahoma" w:cs="Times New Roman"/>
      <w:b/>
      <w:bCs/>
      <w:sz w:val="16"/>
      <w:szCs w:val="20"/>
    </w:rPr>
  </w:style>
  <w:style w:type="table" w:customStyle="1" w:styleId="Tablicamjeresumarno">
    <w:name w:val="Tablica mjere sumarno"/>
    <w:uiPriority w:val="99"/>
    <w:rsid w:val="008552B1"/>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mjeresumarno0">
    <w:name w:val="tablica mjere sumarno"/>
    <w:uiPriority w:val="99"/>
    <w:rsid w:val="008552B1"/>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prvistupacprvired">
    <w:name w:val="tablica prvi stupac prvi red"/>
    <w:uiPriority w:val="99"/>
    <w:rsid w:val="008552B1"/>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stupacred">
    <w:name w:val="tablica stupac/red"/>
    <w:uiPriority w:val="99"/>
    <w:rsid w:val="008552B1"/>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ojevi5">
    <w:name w:val="List Number 5"/>
    <w:basedOn w:val="Normal"/>
    <w:semiHidden/>
    <w:rsid w:val="008552B1"/>
    <w:pPr>
      <w:tabs>
        <w:tab w:val="num" w:pos="567"/>
        <w:tab w:val="num" w:pos="1492"/>
      </w:tabs>
      <w:spacing w:after="120" w:line="240" w:lineRule="auto"/>
      <w:ind w:left="1492" w:hanging="360"/>
    </w:pPr>
    <w:rPr>
      <w:rFonts w:ascii="Tahoma" w:eastAsia="Times New Roman" w:hAnsi="Tahoma" w:cs="Times New Roman"/>
      <w:sz w:val="20"/>
      <w:szCs w:val="24"/>
      <w:lang w:eastAsia="hr-HR"/>
    </w:rPr>
  </w:style>
  <w:style w:type="paragraph" w:styleId="Grafikeoznake">
    <w:name w:val="List Bullet"/>
    <w:basedOn w:val="Normal"/>
    <w:autoRedefine/>
    <w:uiPriority w:val="99"/>
    <w:semiHidden/>
    <w:rsid w:val="008552B1"/>
    <w:pPr>
      <w:tabs>
        <w:tab w:val="num" w:pos="720"/>
      </w:tabs>
      <w:spacing w:before="60" w:after="60" w:line="240" w:lineRule="auto"/>
      <w:ind w:left="284" w:hanging="284"/>
    </w:pPr>
    <w:rPr>
      <w:rFonts w:ascii="Tahoma" w:eastAsia="Times New Roman" w:hAnsi="Tahoma" w:cs="Times New Roman"/>
      <w:sz w:val="20"/>
      <w:szCs w:val="24"/>
      <w:lang w:eastAsia="hr-HR"/>
    </w:rPr>
  </w:style>
  <w:style w:type="paragraph" w:styleId="Revizija">
    <w:name w:val="Revision"/>
    <w:hidden/>
    <w:uiPriority w:val="99"/>
    <w:semiHidden/>
    <w:rsid w:val="008552B1"/>
    <w:pPr>
      <w:spacing w:after="0" w:line="240" w:lineRule="auto"/>
    </w:pPr>
    <w:rPr>
      <w:rFonts w:ascii="Myriad Pro" w:eastAsia="Times New Roman" w:hAnsi="Myriad Pro" w:cs="Myriad Pro"/>
      <w:szCs w:val="24"/>
      <w:lang w:val="en-GB" w:eastAsia="de-DE"/>
    </w:rPr>
  </w:style>
  <w:style w:type="table" w:customStyle="1" w:styleId="REPORTTablica">
    <w:name w:val="REPORT Tablica"/>
    <w:uiPriority w:val="99"/>
    <w:rsid w:val="008552B1"/>
    <w:pPr>
      <w:spacing w:after="0" w:line="240" w:lineRule="auto"/>
    </w:pPr>
    <w:rPr>
      <w:rFonts w:ascii="Tahoma" w:eastAsia="Times New Roman" w:hAnsi="Tahoma" w:cs="Times New Roman"/>
      <w:sz w:val="20"/>
      <w:szCs w:val="20"/>
      <w:lang w:eastAsia="hr-HR"/>
    </w:rPr>
    <w:tblPr>
      <w:tblStyleRowBandSize w:val="1"/>
      <w:tblInd w:w="0" w:type="dxa"/>
      <w:tblCellMar>
        <w:top w:w="0" w:type="dxa"/>
        <w:left w:w="108" w:type="dxa"/>
        <w:bottom w:w="0" w:type="dxa"/>
        <w:right w:w="108" w:type="dxa"/>
      </w:tblCellMar>
    </w:tblPr>
  </w:style>
  <w:style w:type="numbering" w:customStyle="1" w:styleId="StyleBulletedBold">
    <w:name w:val="Style Bulleted Bold"/>
    <w:rsid w:val="008552B1"/>
    <w:pPr>
      <w:numPr>
        <w:numId w:val="6"/>
      </w:numPr>
    </w:pPr>
  </w:style>
  <w:style w:type="numbering" w:customStyle="1" w:styleId="StyleBulletedWingdingssymbol12ptGray-50Left15cm">
    <w:name w:val="Style Bulleted Wingdings (symbol) 12 pt Gray-50% Left:  15 cm..."/>
    <w:rsid w:val="008552B1"/>
    <w:pPr>
      <w:numPr>
        <w:numId w:val="7"/>
      </w:numPr>
    </w:pPr>
  </w:style>
  <w:style w:type="numbering" w:customStyle="1" w:styleId="StyleBulleted">
    <w:name w:val="Style Bulleted"/>
    <w:rsid w:val="008552B1"/>
    <w:pPr>
      <w:numPr>
        <w:numId w:val="5"/>
      </w:numPr>
    </w:pPr>
  </w:style>
  <w:style w:type="numbering" w:customStyle="1" w:styleId="StyleBulletedWingdingssymbol12ptBoldGray-50Left1">
    <w:name w:val="Style Bulleted Wingdings (symbol) 12 pt Bold Gray-50% Left:  1..."/>
    <w:rsid w:val="008552B1"/>
    <w:pPr>
      <w:numPr>
        <w:numId w:val="8"/>
      </w:numPr>
    </w:pPr>
  </w:style>
  <w:style w:type="table" w:customStyle="1" w:styleId="ColorfulList1">
    <w:name w:val="Colorful List1"/>
    <w:basedOn w:val="Obinatablica"/>
    <w:uiPriority w:val="72"/>
    <w:rsid w:val="008552B1"/>
    <w:pPr>
      <w:spacing w:after="0" w:line="240" w:lineRule="auto"/>
    </w:pPr>
    <w:rPr>
      <w:rFonts w:ascii="Times New Roman" w:eastAsia="Times New Roman" w:hAnsi="Times New Roman" w:cs="Times New Roman"/>
      <w:color w:val="000000" w:themeColor="text1"/>
      <w:sz w:val="20"/>
      <w:szCs w:val="20"/>
      <w:lang w:eastAsia="hr-H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atum">
    <w:name w:val="Date"/>
    <w:basedOn w:val="Normal"/>
    <w:next w:val="Normal"/>
    <w:link w:val="DatumChar"/>
    <w:uiPriority w:val="99"/>
    <w:semiHidden/>
    <w:rsid w:val="008552B1"/>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DatumChar">
    <w:name w:val="Datum Char"/>
    <w:basedOn w:val="Zadanifontodlomka"/>
    <w:link w:val="Datum"/>
    <w:uiPriority w:val="99"/>
    <w:semiHidden/>
    <w:rsid w:val="008552B1"/>
    <w:rPr>
      <w:rFonts w:ascii="Tahoma" w:eastAsia="Times New Roman" w:hAnsi="Tahoma" w:cs="Times New Roman"/>
      <w:sz w:val="20"/>
      <w:szCs w:val="24"/>
      <w:lang w:eastAsia="hr-HR"/>
    </w:rPr>
  </w:style>
  <w:style w:type="table" w:customStyle="1" w:styleId="Obinatablica51">
    <w:name w:val="Obična tablica 51"/>
    <w:basedOn w:val="Obinatablica"/>
    <w:uiPriority w:val="45"/>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4-isticanje21">
    <w:name w:val="Tablica rešetke 4 - isticanje 21"/>
    <w:basedOn w:val="Obinatablica"/>
    <w:uiPriority w:val="49"/>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Brojretka">
    <w:name w:val="line number"/>
    <w:basedOn w:val="Zadanifontodlomka"/>
    <w:semiHidden/>
    <w:rsid w:val="008552B1"/>
  </w:style>
  <w:style w:type="numbering" w:styleId="111111">
    <w:name w:val="Outline List 2"/>
    <w:basedOn w:val="Bezpopisa"/>
    <w:semiHidden/>
    <w:rsid w:val="008552B1"/>
    <w:pPr>
      <w:numPr>
        <w:numId w:val="9"/>
      </w:numPr>
    </w:pPr>
  </w:style>
  <w:style w:type="numbering" w:styleId="1ai">
    <w:name w:val="Outline List 1"/>
    <w:basedOn w:val="Bezpopisa"/>
    <w:semiHidden/>
    <w:rsid w:val="008552B1"/>
    <w:pPr>
      <w:numPr>
        <w:numId w:val="10"/>
      </w:numPr>
    </w:pPr>
  </w:style>
  <w:style w:type="numbering" w:styleId="lanaksekcija">
    <w:name w:val="Outline List 3"/>
    <w:basedOn w:val="Bezpopisa"/>
    <w:semiHidden/>
    <w:rsid w:val="008552B1"/>
    <w:pPr>
      <w:numPr>
        <w:numId w:val="11"/>
      </w:numPr>
    </w:pPr>
  </w:style>
  <w:style w:type="paragraph" w:styleId="Blokteksta">
    <w:name w:val="Block Text"/>
    <w:basedOn w:val="Normal"/>
    <w:uiPriority w:val="99"/>
    <w:semiHidden/>
    <w:rsid w:val="008552B1"/>
    <w:pPr>
      <w:spacing w:before="100" w:beforeAutospacing="1" w:after="120" w:afterAutospacing="1" w:line="240" w:lineRule="auto"/>
      <w:ind w:left="1440" w:right="1440"/>
      <w:jc w:val="both"/>
    </w:pPr>
    <w:rPr>
      <w:rFonts w:ascii="Tahoma" w:eastAsia="Times New Roman" w:hAnsi="Tahoma" w:cs="Times New Roman"/>
      <w:szCs w:val="24"/>
      <w:lang w:eastAsia="hr-HR"/>
    </w:rPr>
  </w:style>
  <w:style w:type="paragraph" w:styleId="Zavretak">
    <w:name w:val="Closing"/>
    <w:basedOn w:val="Normal"/>
    <w:link w:val="ZavretakChar"/>
    <w:uiPriority w:val="99"/>
    <w:semiHidden/>
    <w:rsid w:val="008552B1"/>
    <w:pPr>
      <w:spacing w:before="100" w:beforeAutospacing="1" w:after="100" w:afterAutospacing="1" w:line="240" w:lineRule="auto"/>
      <w:ind w:left="4252"/>
      <w:jc w:val="both"/>
    </w:pPr>
    <w:rPr>
      <w:rFonts w:ascii="Tahoma" w:eastAsia="Times New Roman" w:hAnsi="Tahoma" w:cs="Times New Roman"/>
      <w:sz w:val="20"/>
      <w:szCs w:val="24"/>
      <w:lang w:eastAsia="hr-HR"/>
    </w:rPr>
  </w:style>
  <w:style w:type="character" w:customStyle="1" w:styleId="ZavretakChar">
    <w:name w:val="Završetak Char"/>
    <w:basedOn w:val="Zadanifontodlomka"/>
    <w:link w:val="Zavretak"/>
    <w:uiPriority w:val="99"/>
    <w:semiHidden/>
    <w:rsid w:val="008552B1"/>
    <w:rPr>
      <w:rFonts w:ascii="Tahoma" w:eastAsia="Times New Roman" w:hAnsi="Tahoma" w:cs="Times New Roman"/>
      <w:sz w:val="20"/>
      <w:szCs w:val="24"/>
      <w:lang w:eastAsia="hr-HR"/>
    </w:rPr>
  </w:style>
  <w:style w:type="paragraph" w:styleId="Potpise-pote">
    <w:name w:val="E-mail Signature"/>
    <w:basedOn w:val="Normal"/>
    <w:link w:val="Potpise-poteChar"/>
    <w:uiPriority w:val="99"/>
    <w:semiHidden/>
    <w:rsid w:val="008552B1"/>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Potpise-poteChar">
    <w:name w:val="Potpis e-pošte Char"/>
    <w:basedOn w:val="Zadanifontodlomka"/>
    <w:link w:val="Potpise-pote"/>
    <w:uiPriority w:val="99"/>
    <w:semiHidden/>
    <w:rsid w:val="008552B1"/>
    <w:rPr>
      <w:rFonts w:ascii="Tahoma" w:eastAsia="Times New Roman" w:hAnsi="Tahoma" w:cs="Times New Roman"/>
      <w:sz w:val="20"/>
      <w:szCs w:val="24"/>
      <w:lang w:eastAsia="hr-HR"/>
    </w:rPr>
  </w:style>
  <w:style w:type="character" w:styleId="SlijeenaHiperveza">
    <w:name w:val="FollowedHyperlink"/>
    <w:basedOn w:val="Zadanifontodlomka"/>
    <w:uiPriority w:val="99"/>
    <w:semiHidden/>
    <w:rsid w:val="008552B1"/>
    <w:rPr>
      <w:color w:val="800080"/>
      <w:u w:val="single"/>
    </w:rPr>
  </w:style>
  <w:style w:type="character" w:styleId="HTML-akronim">
    <w:name w:val="HTML Acronym"/>
    <w:basedOn w:val="Zadanifontodlomka"/>
    <w:semiHidden/>
    <w:rsid w:val="008552B1"/>
  </w:style>
  <w:style w:type="paragraph" w:styleId="HTML-adresa">
    <w:name w:val="HTML Address"/>
    <w:basedOn w:val="Normal"/>
    <w:link w:val="HTML-adresaChar"/>
    <w:semiHidden/>
    <w:rsid w:val="008552B1"/>
    <w:pPr>
      <w:spacing w:before="100" w:beforeAutospacing="1" w:after="100" w:afterAutospacing="1" w:line="240" w:lineRule="auto"/>
      <w:jc w:val="both"/>
    </w:pPr>
    <w:rPr>
      <w:rFonts w:ascii="Tahoma" w:eastAsia="Times New Roman" w:hAnsi="Tahoma" w:cs="Times New Roman"/>
      <w:i/>
      <w:iCs/>
      <w:sz w:val="20"/>
      <w:szCs w:val="24"/>
      <w:lang w:eastAsia="hr-HR"/>
    </w:rPr>
  </w:style>
  <w:style w:type="character" w:customStyle="1" w:styleId="HTML-adresaChar">
    <w:name w:val="HTML-adresa Char"/>
    <w:basedOn w:val="Zadanifontodlomka"/>
    <w:link w:val="HTML-adresa"/>
    <w:semiHidden/>
    <w:rsid w:val="008552B1"/>
    <w:rPr>
      <w:rFonts w:ascii="Tahoma" w:eastAsia="Times New Roman" w:hAnsi="Tahoma" w:cs="Times New Roman"/>
      <w:i/>
      <w:iCs/>
      <w:sz w:val="20"/>
      <w:szCs w:val="24"/>
      <w:lang w:eastAsia="hr-HR"/>
    </w:rPr>
  </w:style>
  <w:style w:type="character" w:styleId="HTML-navod">
    <w:name w:val="HTML Cite"/>
    <w:basedOn w:val="Zadanifontodlomka"/>
    <w:semiHidden/>
    <w:rsid w:val="008552B1"/>
    <w:rPr>
      <w:i/>
      <w:iCs/>
    </w:rPr>
  </w:style>
  <w:style w:type="character" w:styleId="HTML-kod">
    <w:name w:val="HTML Code"/>
    <w:basedOn w:val="Zadanifontodlomka"/>
    <w:semiHidden/>
    <w:rsid w:val="008552B1"/>
    <w:rPr>
      <w:rFonts w:ascii="Tahoma" w:hAnsi="Tahoma" w:cs="Courier New"/>
      <w:sz w:val="20"/>
      <w:szCs w:val="20"/>
    </w:rPr>
  </w:style>
  <w:style w:type="character" w:styleId="HTML-definicija">
    <w:name w:val="HTML Definition"/>
    <w:basedOn w:val="Zadanifontodlomka"/>
    <w:semiHidden/>
    <w:rsid w:val="008552B1"/>
    <w:rPr>
      <w:i/>
      <w:iCs/>
    </w:rPr>
  </w:style>
  <w:style w:type="character" w:styleId="HTML-tipkovnica">
    <w:name w:val="HTML Keyboard"/>
    <w:basedOn w:val="Zadanifontodlomka"/>
    <w:semiHidden/>
    <w:rsid w:val="008552B1"/>
    <w:rPr>
      <w:rFonts w:ascii="Tahoma" w:hAnsi="Tahoma" w:cs="Courier New"/>
      <w:sz w:val="20"/>
      <w:szCs w:val="20"/>
    </w:rPr>
  </w:style>
  <w:style w:type="paragraph" w:styleId="HTMLunaprijedoblikovano">
    <w:name w:val="HTML Preformatted"/>
    <w:basedOn w:val="Normal"/>
    <w:link w:val="HTMLunaprijedoblikovanoChar"/>
    <w:rsid w:val="008552B1"/>
    <w:pPr>
      <w:spacing w:before="100" w:beforeAutospacing="1" w:after="100" w:afterAutospacing="1" w:line="240" w:lineRule="auto"/>
      <w:jc w:val="both"/>
    </w:pPr>
    <w:rPr>
      <w:rFonts w:ascii="Tahoma" w:eastAsia="Times New Roman" w:hAnsi="Tahoma" w:cs="Courier New"/>
      <w:sz w:val="20"/>
      <w:szCs w:val="20"/>
      <w:lang w:eastAsia="hr-HR"/>
    </w:rPr>
  </w:style>
  <w:style w:type="character" w:customStyle="1" w:styleId="HTMLunaprijedoblikovanoChar">
    <w:name w:val="HTML unaprijed oblikovano Char"/>
    <w:basedOn w:val="Zadanifontodlomka"/>
    <w:link w:val="HTMLunaprijedoblikovano"/>
    <w:rsid w:val="008552B1"/>
    <w:rPr>
      <w:rFonts w:ascii="Tahoma" w:eastAsia="Times New Roman" w:hAnsi="Tahoma" w:cs="Courier New"/>
      <w:sz w:val="20"/>
      <w:szCs w:val="20"/>
      <w:lang w:eastAsia="hr-HR"/>
    </w:rPr>
  </w:style>
  <w:style w:type="character" w:styleId="HTML-primjer">
    <w:name w:val="HTML Sample"/>
    <w:basedOn w:val="Zadanifontodlomka"/>
    <w:semiHidden/>
    <w:rsid w:val="008552B1"/>
    <w:rPr>
      <w:rFonts w:ascii="Courier New" w:hAnsi="Courier New" w:cs="Courier New"/>
    </w:rPr>
  </w:style>
  <w:style w:type="character" w:styleId="HTMLpisaistroj">
    <w:name w:val="HTML Typewriter"/>
    <w:basedOn w:val="Zadanifontodlomka"/>
    <w:semiHidden/>
    <w:rsid w:val="008552B1"/>
    <w:rPr>
      <w:rFonts w:ascii="Courier New" w:hAnsi="Courier New" w:cs="Courier New"/>
      <w:sz w:val="20"/>
      <w:szCs w:val="20"/>
    </w:rPr>
  </w:style>
  <w:style w:type="character" w:styleId="HTML-varijabla">
    <w:name w:val="HTML Variable"/>
    <w:basedOn w:val="Zadanifontodlomka"/>
    <w:semiHidden/>
    <w:rsid w:val="008552B1"/>
    <w:rPr>
      <w:i/>
      <w:iCs/>
    </w:rPr>
  </w:style>
  <w:style w:type="paragraph" w:styleId="Popis2">
    <w:name w:val="List 2"/>
    <w:basedOn w:val="Normal"/>
    <w:uiPriority w:val="99"/>
    <w:semiHidden/>
    <w:rsid w:val="008552B1"/>
    <w:pPr>
      <w:spacing w:before="100" w:beforeAutospacing="1" w:after="100" w:afterAutospacing="1" w:line="240" w:lineRule="auto"/>
      <w:ind w:left="566" w:hanging="283"/>
      <w:jc w:val="both"/>
    </w:pPr>
    <w:rPr>
      <w:rFonts w:ascii="Tahoma" w:eastAsia="Times New Roman" w:hAnsi="Tahoma" w:cs="Times New Roman"/>
      <w:sz w:val="20"/>
      <w:szCs w:val="24"/>
      <w:lang w:eastAsia="hr-HR"/>
    </w:rPr>
  </w:style>
  <w:style w:type="paragraph" w:styleId="Popis3">
    <w:name w:val="List 3"/>
    <w:basedOn w:val="Normal"/>
    <w:uiPriority w:val="99"/>
    <w:semiHidden/>
    <w:rsid w:val="008552B1"/>
    <w:pPr>
      <w:spacing w:before="100" w:beforeAutospacing="1" w:after="100" w:afterAutospacing="1" w:line="240" w:lineRule="auto"/>
      <w:ind w:left="849" w:hanging="283"/>
      <w:jc w:val="both"/>
    </w:pPr>
    <w:rPr>
      <w:rFonts w:ascii="Tahoma" w:eastAsia="Times New Roman" w:hAnsi="Tahoma" w:cs="Times New Roman"/>
      <w:sz w:val="20"/>
      <w:szCs w:val="24"/>
      <w:lang w:eastAsia="hr-HR"/>
    </w:rPr>
  </w:style>
  <w:style w:type="paragraph" w:styleId="Popis4">
    <w:name w:val="List 4"/>
    <w:basedOn w:val="Normal"/>
    <w:uiPriority w:val="99"/>
    <w:semiHidden/>
    <w:rsid w:val="008552B1"/>
    <w:pPr>
      <w:spacing w:before="100" w:beforeAutospacing="1" w:after="100" w:afterAutospacing="1" w:line="240" w:lineRule="auto"/>
      <w:ind w:left="1132" w:hanging="283"/>
      <w:jc w:val="both"/>
    </w:pPr>
    <w:rPr>
      <w:rFonts w:ascii="Tahoma" w:eastAsia="Times New Roman" w:hAnsi="Tahoma" w:cs="Times New Roman"/>
      <w:sz w:val="20"/>
      <w:szCs w:val="24"/>
      <w:lang w:eastAsia="hr-HR"/>
    </w:rPr>
  </w:style>
  <w:style w:type="paragraph" w:styleId="Popis5">
    <w:name w:val="List 5"/>
    <w:basedOn w:val="Normal"/>
    <w:uiPriority w:val="99"/>
    <w:semiHidden/>
    <w:rsid w:val="008552B1"/>
    <w:pPr>
      <w:spacing w:before="100" w:beforeAutospacing="1" w:after="100" w:afterAutospacing="1" w:line="240" w:lineRule="auto"/>
      <w:ind w:left="1415" w:hanging="283"/>
      <w:jc w:val="both"/>
    </w:pPr>
    <w:rPr>
      <w:rFonts w:ascii="Tahoma" w:eastAsia="Times New Roman" w:hAnsi="Tahoma" w:cs="Times New Roman"/>
      <w:sz w:val="20"/>
      <w:szCs w:val="24"/>
      <w:lang w:eastAsia="hr-HR"/>
    </w:rPr>
  </w:style>
  <w:style w:type="paragraph" w:styleId="Grafikeoznake3">
    <w:name w:val="List Bullet 3"/>
    <w:basedOn w:val="Normal"/>
    <w:autoRedefine/>
    <w:uiPriority w:val="99"/>
    <w:semiHidden/>
    <w:rsid w:val="008552B1"/>
    <w:pPr>
      <w:tabs>
        <w:tab w:val="num" w:pos="926"/>
      </w:tabs>
      <w:spacing w:before="100" w:beforeAutospacing="1" w:after="100" w:afterAutospacing="1" w:line="240" w:lineRule="auto"/>
      <w:ind w:left="926" w:hanging="360"/>
      <w:jc w:val="both"/>
    </w:pPr>
    <w:rPr>
      <w:rFonts w:ascii="Tahoma" w:eastAsia="Times New Roman" w:hAnsi="Tahoma" w:cs="Times New Roman"/>
      <w:sz w:val="20"/>
      <w:szCs w:val="24"/>
      <w:lang w:eastAsia="hr-HR"/>
    </w:rPr>
  </w:style>
  <w:style w:type="paragraph" w:styleId="Grafikeoznake4">
    <w:name w:val="List Bullet 4"/>
    <w:basedOn w:val="Normal"/>
    <w:autoRedefine/>
    <w:semiHidden/>
    <w:rsid w:val="008552B1"/>
    <w:pPr>
      <w:tabs>
        <w:tab w:val="num" w:pos="1209"/>
      </w:tabs>
      <w:spacing w:before="100" w:beforeAutospacing="1" w:after="100" w:afterAutospacing="1" w:line="240" w:lineRule="auto"/>
      <w:ind w:left="1209" w:hanging="360"/>
      <w:jc w:val="both"/>
    </w:pPr>
    <w:rPr>
      <w:rFonts w:ascii="Tahoma" w:eastAsia="Times New Roman" w:hAnsi="Tahoma" w:cs="Times New Roman"/>
      <w:sz w:val="20"/>
      <w:szCs w:val="24"/>
      <w:lang w:eastAsia="hr-HR"/>
    </w:rPr>
  </w:style>
  <w:style w:type="paragraph" w:styleId="Grafikeoznake5">
    <w:name w:val="List Bullet 5"/>
    <w:basedOn w:val="Normal"/>
    <w:autoRedefine/>
    <w:uiPriority w:val="99"/>
    <w:semiHidden/>
    <w:rsid w:val="008552B1"/>
    <w:pPr>
      <w:tabs>
        <w:tab w:val="num" w:pos="1492"/>
      </w:tabs>
      <w:spacing w:before="100" w:beforeAutospacing="1" w:after="100" w:afterAutospacing="1" w:line="240" w:lineRule="auto"/>
      <w:ind w:left="1492" w:hanging="360"/>
      <w:jc w:val="both"/>
    </w:pPr>
    <w:rPr>
      <w:rFonts w:ascii="Tahoma" w:eastAsia="Times New Roman" w:hAnsi="Tahoma" w:cs="Times New Roman"/>
      <w:sz w:val="20"/>
      <w:szCs w:val="24"/>
      <w:lang w:eastAsia="hr-HR"/>
    </w:rPr>
  </w:style>
  <w:style w:type="paragraph" w:styleId="Nastavakpopisa">
    <w:name w:val="List Continue"/>
    <w:basedOn w:val="Normal"/>
    <w:uiPriority w:val="99"/>
    <w:semiHidden/>
    <w:rsid w:val="008552B1"/>
    <w:pPr>
      <w:spacing w:before="100" w:beforeAutospacing="1" w:after="120" w:afterAutospacing="1" w:line="240" w:lineRule="auto"/>
      <w:ind w:left="283"/>
      <w:jc w:val="both"/>
    </w:pPr>
    <w:rPr>
      <w:rFonts w:ascii="Tahoma" w:eastAsia="Times New Roman" w:hAnsi="Tahoma" w:cs="Times New Roman"/>
      <w:sz w:val="20"/>
      <w:szCs w:val="24"/>
      <w:lang w:eastAsia="hr-HR"/>
    </w:rPr>
  </w:style>
  <w:style w:type="paragraph" w:styleId="Nastavakpopisa2">
    <w:name w:val="List Continue 2"/>
    <w:basedOn w:val="Normal"/>
    <w:uiPriority w:val="99"/>
    <w:semiHidden/>
    <w:rsid w:val="008552B1"/>
    <w:pPr>
      <w:spacing w:before="100" w:beforeAutospacing="1" w:after="120" w:afterAutospacing="1" w:line="240" w:lineRule="auto"/>
      <w:ind w:left="566"/>
      <w:jc w:val="both"/>
    </w:pPr>
    <w:rPr>
      <w:rFonts w:ascii="Tahoma" w:eastAsia="Times New Roman" w:hAnsi="Tahoma" w:cs="Times New Roman"/>
      <w:sz w:val="20"/>
      <w:szCs w:val="24"/>
      <w:lang w:eastAsia="hr-HR"/>
    </w:rPr>
  </w:style>
  <w:style w:type="paragraph" w:styleId="Nastavakpopisa3">
    <w:name w:val="List Continue 3"/>
    <w:basedOn w:val="Normal"/>
    <w:uiPriority w:val="99"/>
    <w:semiHidden/>
    <w:rsid w:val="008552B1"/>
    <w:pPr>
      <w:spacing w:before="100" w:beforeAutospacing="1" w:after="120" w:afterAutospacing="1" w:line="240" w:lineRule="auto"/>
      <w:ind w:left="849"/>
      <w:jc w:val="both"/>
    </w:pPr>
    <w:rPr>
      <w:rFonts w:ascii="Tahoma" w:eastAsia="Times New Roman" w:hAnsi="Tahoma" w:cs="Times New Roman"/>
      <w:sz w:val="20"/>
      <w:szCs w:val="24"/>
      <w:lang w:eastAsia="hr-HR"/>
    </w:rPr>
  </w:style>
  <w:style w:type="paragraph" w:styleId="Nastavakpopisa4">
    <w:name w:val="List Continue 4"/>
    <w:basedOn w:val="Normal"/>
    <w:uiPriority w:val="99"/>
    <w:semiHidden/>
    <w:rsid w:val="008552B1"/>
    <w:pPr>
      <w:spacing w:before="100" w:beforeAutospacing="1" w:after="120" w:afterAutospacing="1" w:line="240" w:lineRule="auto"/>
      <w:ind w:left="1132"/>
      <w:jc w:val="both"/>
    </w:pPr>
    <w:rPr>
      <w:rFonts w:ascii="Tahoma" w:eastAsia="Times New Roman" w:hAnsi="Tahoma" w:cs="Times New Roman"/>
      <w:sz w:val="20"/>
      <w:szCs w:val="24"/>
      <w:lang w:eastAsia="hr-HR"/>
    </w:rPr>
  </w:style>
  <w:style w:type="paragraph" w:styleId="Nastavakpopisa5">
    <w:name w:val="List Continue 5"/>
    <w:basedOn w:val="Normal"/>
    <w:uiPriority w:val="99"/>
    <w:semiHidden/>
    <w:rsid w:val="008552B1"/>
    <w:pPr>
      <w:spacing w:before="100" w:beforeAutospacing="1" w:after="120" w:afterAutospacing="1" w:line="240" w:lineRule="auto"/>
      <w:ind w:left="1415"/>
      <w:jc w:val="both"/>
    </w:pPr>
    <w:rPr>
      <w:rFonts w:ascii="Tahoma" w:eastAsia="Times New Roman" w:hAnsi="Tahoma" w:cs="Times New Roman"/>
      <w:sz w:val="20"/>
      <w:szCs w:val="24"/>
      <w:lang w:eastAsia="hr-HR"/>
    </w:rPr>
  </w:style>
  <w:style w:type="paragraph" w:styleId="Brojevi">
    <w:name w:val="List Number"/>
    <w:basedOn w:val="Normal"/>
    <w:uiPriority w:val="99"/>
    <w:semiHidden/>
    <w:rsid w:val="008552B1"/>
    <w:pPr>
      <w:tabs>
        <w:tab w:val="num" w:pos="360"/>
      </w:tabs>
      <w:spacing w:before="100" w:beforeAutospacing="1" w:after="100" w:afterAutospacing="1" w:line="240" w:lineRule="auto"/>
      <w:ind w:left="360" w:hanging="360"/>
      <w:jc w:val="both"/>
    </w:pPr>
    <w:rPr>
      <w:rFonts w:ascii="Tahoma" w:eastAsia="Times New Roman" w:hAnsi="Tahoma" w:cs="Times New Roman"/>
      <w:sz w:val="20"/>
      <w:szCs w:val="24"/>
      <w:lang w:eastAsia="hr-HR"/>
    </w:rPr>
  </w:style>
  <w:style w:type="paragraph" w:styleId="Brojevi2">
    <w:name w:val="List Number 2"/>
    <w:basedOn w:val="Normal"/>
    <w:uiPriority w:val="99"/>
    <w:semiHidden/>
    <w:rsid w:val="008552B1"/>
    <w:pPr>
      <w:tabs>
        <w:tab w:val="num" w:pos="643"/>
      </w:tabs>
      <w:spacing w:before="100" w:beforeAutospacing="1" w:after="100" w:afterAutospacing="1" w:line="240" w:lineRule="auto"/>
      <w:ind w:left="643" w:hanging="360"/>
      <w:jc w:val="both"/>
    </w:pPr>
    <w:rPr>
      <w:rFonts w:ascii="Tahoma" w:eastAsia="Times New Roman" w:hAnsi="Tahoma" w:cs="Times New Roman"/>
      <w:sz w:val="20"/>
      <w:szCs w:val="24"/>
      <w:lang w:eastAsia="hr-HR"/>
    </w:rPr>
  </w:style>
  <w:style w:type="paragraph" w:styleId="Brojevi3">
    <w:name w:val="List Number 3"/>
    <w:basedOn w:val="Normal"/>
    <w:uiPriority w:val="99"/>
    <w:semiHidden/>
    <w:rsid w:val="008552B1"/>
    <w:pPr>
      <w:tabs>
        <w:tab w:val="num" w:pos="926"/>
      </w:tabs>
      <w:spacing w:before="100" w:beforeAutospacing="1" w:after="100" w:afterAutospacing="1" w:line="240" w:lineRule="auto"/>
      <w:ind w:left="926" w:hanging="360"/>
      <w:jc w:val="both"/>
    </w:pPr>
    <w:rPr>
      <w:rFonts w:ascii="Tahoma" w:eastAsia="Times New Roman" w:hAnsi="Tahoma" w:cs="Times New Roman"/>
      <w:sz w:val="20"/>
      <w:szCs w:val="24"/>
      <w:lang w:eastAsia="hr-HR"/>
    </w:rPr>
  </w:style>
  <w:style w:type="paragraph" w:styleId="Brojevi4">
    <w:name w:val="List Number 4"/>
    <w:basedOn w:val="Normal"/>
    <w:uiPriority w:val="99"/>
    <w:semiHidden/>
    <w:rsid w:val="008552B1"/>
    <w:pPr>
      <w:tabs>
        <w:tab w:val="num" w:pos="1209"/>
      </w:tabs>
      <w:spacing w:before="100" w:beforeAutospacing="1" w:after="100" w:afterAutospacing="1" w:line="240" w:lineRule="auto"/>
      <w:ind w:left="1209" w:hanging="360"/>
      <w:jc w:val="both"/>
    </w:pPr>
    <w:rPr>
      <w:rFonts w:ascii="Tahoma" w:eastAsia="Times New Roman" w:hAnsi="Tahoma" w:cs="Times New Roman"/>
      <w:sz w:val="20"/>
      <w:szCs w:val="24"/>
      <w:lang w:eastAsia="hr-HR"/>
    </w:rPr>
  </w:style>
  <w:style w:type="paragraph" w:styleId="Zaglavljeporuke">
    <w:name w:val="Message Header"/>
    <w:basedOn w:val="Normal"/>
    <w:link w:val="ZaglavljeporukeChar"/>
    <w:uiPriority w:val="99"/>
    <w:semiHidden/>
    <w:rsid w:val="008552B1"/>
    <w:pPr>
      <w:pBdr>
        <w:top w:val="single" w:sz="6" w:space="1" w:color="auto"/>
        <w:left w:val="single" w:sz="6" w:space="1" w:color="auto"/>
        <w:bottom w:val="single" w:sz="6" w:space="1" w:color="auto"/>
        <w:right w:val="single" w:sz="6" w:space="1" w:color="auto"/>
      </w:pBdr>
      <w:shd w:val="pct20" w:color="auto" w:fill="auto"/>
      <w:spacing w:before="100" w:beforeAutospacing="1" w:after="100" w:afterAutospacing="1" w:line="240" w:lineRule="auto"/>
      <w:ind w:left="1134" w:hanging="1134"/>
      <w:jc w:val="both"/>
    </w:pPr>
    <w:rPr>
      <w:rFonts w:ascii="Tahoma" w:eastAsia="Times New Roman" w:hAnsi="Tahoma" w:cs="Arial"/>
      <w:sz w:val="20"/>
      <w:szCs w:val="24"/>
      <w:lang w:eastAsia="hr-HR"/>
    </w:rPr>
  </w:style>
  <w:style w:type="character" w:customStyle="1" w:styleId="ZaglavljeporukeChar">
    <w:name w:val="Zaglavlje poruke Char"/>
    <w:basedOn w:val="Zadanifontodlomka"/>
    <w:link w:val="Zaglavljeporuke"/>
    <w:uiPriority w:val="99"/>
    <w:semiHidden/>
    <w:rsid w:val="008552B1"/>
    <w:rPr>
      <w:rFonts w:ascii="Tahoma" w:eastAsia="Times New Roman" w:hAnsi="Tahoma" w:cs="Arial"/>
      <w:sz w:val="20"/>
      <w:szCs w:val="24"/>
      <w:shd w:val="pct20" w:color="auto" w:fill="auto"/>
      <w:lang w:eastAsia="hr-HR"/>
    </w:rPr>
  </w:style>
  <w:style w:type="paragraph" w:styleId="Naslovbiljeke">
    <w:name w:val="Note Heading"/>
    <w:basedOn w:val="Normal"/>
    <w:next w:val="Normal"/>
    <w:link w:val="NaslovbiljekeChar"/>
    <w:uiPriority w:val="99"/>
    <w:semiHidden/>
    <w:rsid w:val="008552B1"/>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NaslovbiljekeChar">
    <w:name w:val="Naslov bilješke Char"/>
    <w:basedOn w:val="Zadanifontodlomka"/>
    <w:link w:val="Naslovbiljeke"/>
    <w:uiPriority w:val="99"/>
    <w:semiHidden/>
    <w:rsid w:val="008552B1"/>
    <w:rPr>
      <w:rFonts w:ascii="Tahoma" w:eastAsia="Times New Roman" w:hAnsi="Tahoma" w:cs="Times New Roman"/>
      <w:sz w:val="20"/>
      <w:szCs w:val="24"/>
      <w:lang w:eastAsia="hr-HR"/>
    </w:rPr>
  </w:style>
  <w:style w:type="paragraph" w:styleId="Obinitekst">
    <w:name w:val="Plain Text"/>
    <w:basedOn w:val="Normal"/>
    <w:link w:val="ObinitekstChar"/>
    <w:uiPriority w:val="99"/>
    <w:semiHidden/>
    <w:rsid w:val="008552B1"/>
    <w:pPr>
      <w:spacing w:before="100" w:beforeAutospacing="1" w:after="100" w:afterAutospacing="1" w:line="240" w:lineRule="auto"/>
      <w:jc w:val="both"/>
    </w:pPr>
    <w:rPr>
      <w:rFonts w:ascii="Tahoma" w:eastAsia="Times New Roman" w:hAnsi="Tahoma" w:cs="Courier New"/>
      <w:sz w:val="20"/>
      <w:szCs w:val="20"/>
      <w:lang w:eastAsia="hr-HR"/>
    </w:rPr>
  </w:style>
  <w:style w:type="character" w:customStyle="1" w:styleId="ObinitekstChar">
    <w:name w:val="Obični tekst Char"/>
    <w:basedOn w:val="Zadanifontodlomka"/>
    <w:link w:val="Obinitekst"/>
    <w:uiPriority w:val="99"/>
    <w:semiHidden/>
    <w:rsid w:val="008552B1"/>
    <w:rPr>
      <w:rFonts w:ascii="Tahoma" w:eastAsia="Times New Roman" w:hAnsi="Tahoma" w:cs="Courier New"/>
      <w:sz w:val="20"/>
      <w:szCs w:val="20"/>
      <w:lang w:eastAsia="hr-HR"/>
    </w:rPr>
  </w:style>
  <w:style w:type="paragraph" w:styleId="Pozdrav">
    <w:name w:val="Salutation"/>
    <w:basedOn w:val="Normal"/>
    <w:next w:val="Normal"/>
    <w:link w:val="PozdravChar"/>
    <w:uiPriority w:val="99"/>
    <w:semiHidden/>
    <w:rsid w:val="008552B1"/>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PozdravChar">
    <w:name w:val="Pozdrav Char"/>
    <w:basedOn w:val="Zadanifontodlomka"/>
    <w:link w:val="Pozdrav"/>
    <w:uiPriority w:val="99"/>
    <w:semiHidden/>
    <w:rsid w:val="008552B1"/>
    <w:rPr>
      <w:rFonts w:ascii="Tahoma" w:eastAsia="Times New Roman" w:hAnsi="Tahoma" w:cs="Times New Roman"/>
      <w:sz w:val="20"/>
      <w:szCs w:val="24"/>
      <w:lang w:eastAsia="hr-HR"/>
    </w:rPr>
  </w:style>
  <w:style w:type="paragraph" w:styleId="Potpis">
    <w:name w:val="Signature"/>
    <w:basedOn w:val="Normal"/>
    <w:link w:val="PotpisChar"/>
    <w:uiPriority w:val="99"/>
    <w:semiHidden/>
    <w:rsid w:val="008552B1"/>
    <w:pPr>
      <w:spacing w:before="100" w:beforeAutospacing="1" w:after="100" w:afterAutospacing="1" w:line="240" w:lineRule="auto"/>
      <w:ind w:left="4252"/>
      <w:jc w:val="both"/>
    </w:pPr>
    <w:rPr>
      <w:rFonts w:ascii="Tahoma" w:eastAsia="Times New Roman" w:hAnsi="Tahoma" w:cs="Times New Roman"/>
      <w:sz w:val="20"/>
      <w:szCs w:val="24"/>
      <w:lang w:eastAsia="hr-HR"/>
    </w:rPr>
  </w:style>
  <w:style w:type="character" w:customStyle="1" w:styleId="PotpisChar">
    <w:name w:val="Potpis Char"/>
    <w:basedOn w:val="Zadanifontodlomka"/>
    <w:link w:val="Potpis"/>
    <w:uiPriority w:val="99"/>
    <w:semiHidden/>
    <w:rsid w:val="008552B1"/>
    <w:rPr>
      <w:rFonts w:ascii="Tahoma" w:eastAsia="Times New Roman" w:hAnsi="Tahoma" w:cs="Times New Roman"/>
      <w:sz w:val="20"/>
      <w:szCs w:val="24"/>
      <w:lang w:eastAsia="hr-HR"/>
    </w:rPr>
  </w:style>
  <w:style w:type="table" w:styleId="Tablicas3Defektima1">
    <w:name w:val="Table 3D effects 1"/>
    <w:basedOn w:val="Obinatablica"/>
    <w:semiHidden/>
    <w:rsid w:val="008552B1"/>
    <w:pPr>
      <w:spacing w:after="0" w:line="240" w:lineRule="auto"/>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8552B1"/>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8552B1"/>
    <w:pPr>
      <w:spacing w:after="0" w:line="240" w:lineRule="auto"/>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8552B1"/>
    <w:pPr>
      <w:spacing w:after="0" w:line="240" w:lineRule="auto"/>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rsid w:val="008552B1"/>
    <w:pPr>
      <w:spacing w:after="0" w:line="240" w:lineRule="auto"/>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8552B1"/>
    <w:pPr>
      <w:spacing w:after="0" w:line="240" w:lineRule="auto"/>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8552B1"/>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8552B1"/>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8552B1"/>
    <w:pPr>
      <w:spacing w:after="0" w:line="240" w:lineRule="auto"/>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8552B1"/>
    <w:pPr>
      <w:spacing w:after="0" w:line="240" w:lineRule="auto"/>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rsid w:val="008552B1"/>
    <w:pPr>
      <w:spacing w:after="0" w:line="240" w:lineRule="auto"/>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8552B1"/>
    <w:pPr>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8552B1"/>
    <w:pPr>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8552B1"/>
    <w:pPr>
      <w:spacing w:after="0" w:line="240" w:lineRule="auto"/>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8552B1"/>
    <w:pPr>
      <w:spacing w:after="0" w:line="240" w:lineRule="auto"/>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8552B1"/>
    <w:pPr>
      <w:spacing w:after="0" w:line="240" w:lineRule="auto"/>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8552B1"/>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8552B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8552B1"/>
    <w:pPr>
      <w:spacing w:after="0" w:line="240"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8552B1"/>
    <w:pPr>
      <w:spacing w:after="0" w:line="240" w:lineRule="auto"/>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8552B1"/>
    <w:pPr>
      <w:spacing w:after="0" w:line="240" w:lineRule="auto"/>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bl1stupacChar">
    <w:name w:val="Tbl 1. stupac Char"/>
    <w:basedOn w:val="Zadanifontodlomka"/>
    <w:link w:val="Tbl1stupac"/>
    <w:uiPriority w:val="99"/>
    <w:rsid w:val="008552B1"/>
    <w:rPr>
      <w:rFonts w:ascii="Tahoma" w:eastAsia="Times New Roman" w:hAnsi="Tahoma" w:cs="Times New Roman"/>
      <w:b/>
      <w:bCs/>
      <w:sz w:val="16"/>
      <w:szCs w:val="20"/>
    </w:rPr>
  </w:style>
  <w:style w:type="character" w:styleId="Tekstrezerviranogmjesta">
    <w:name w:val="Placeholder Text"/>
    <w:basedOn w:val="Zadanifontodlomka"/>
    <w:uiPriority w:val="99"/>
    <w:semiHidden/>
    <w:rsid w:val="008552B1"/>
    <w:rPr>
      <w:color w:val="808080"/>
    </w:rPr>
  </w:style>
  <w:style w:type="table" w:customStyle="1" w:styleId="TableGrid1">
    <w:name w:val="Table Grid1"/>
    <w:basedOn w:val="Obinatablica"/>
    <w:uiPriority w:val="39"/>
    <w:rsid w:val="008552B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99"/>
    <w:rsid w:val="008552B1"/>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8552B1"/>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552B1"/>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i">
    <w:name w:val="bulletić"/>
    <w:rsid w:val="008552B1"/>
    <w:pPr>
      <w:numPr>
        <w:numId w:val="12"/>
      </w:numPr>
    </w:pPr>
  </w:style>
  <w:style w:type="table" w:customStyle="1" w:styleId="Svijetlareetkatablice1">
    <w:name w:val="Svijetla rešetka tablice1"/>
    <w:basedOn w:val="Obinatablica"/>
    <w:uiPriority w:val="40"/>
    <w:rsid w:val="008552B1"/>
    <w:pPr>
      <w:spacing w:after="0"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21">
    <w:name w:val="Obična tablica 21"/>
    <w:basedOn w:val="Obinatablica"/>
    <w:uiPriority w:val="42"/>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Obinatablica"/>
    <w:uiPriority w:val="45"/>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
    <w:name w:val="Grid Table 4 - Accent 31"/>
    <w:basedOn w:val="Obinatablica"/>
    <w:uiPriority w:val="49"/>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1">
    <w:name w:val="Grid Table 2 - Accent 21"/>
    <w:basedOn w:val="Obinatablica"/>
    <w:uiPriority w:val="47"/>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aslovstr1">
    <w:name w:val="Naslov str.1"/>
    <w:basedOn w:val="Normal"/>
    <w:uiPriority w:val="99"/>
    <w:rsid w:val="008552B1"/>
    <w:pPr>
      <w:spacing w:after="0" w:line="240" w:lineRule="auto"/>
    </w:pPr>
    <w:rPr>
      <w:rFonts w:ascii="Tahoma" w:eastAsia="Times New Roman" w:hAnsi="Tahoma" w:cs="Tahoma"/>
      <w:b/>
      <w:color w:val="CC0000"/>
      <w:sz w:val="28"/>
      <w:szCs w:val="28"/>
      <w:lang w:eastAsia="hr-HR"/>
    </w:rPr>
  </w:style>
  <w:style w:type="paragraph" w:customStyle="1" w:styleId="Naslovstudije">
    <w:name w:val="Naslov studije"/>
    <w:basedOn w:val="Zaglavlje"/>
    <w:next w:val="Normal"/>
    <w:uiPriority w:val="99"/>
    <w:rsid w:val="008552B1"/>
    <w:pPr>
      <w:tabs>
        <w:tab w:val="clear" w:pos="4536"/>
        <w:tab w:val="clear" w:pos="9072"/>
      </w:tabs>
      <w:spacing w:before="120"/>
      <w:jc w:val="right"/>
    </w:pPr>
    <w:rPr>
      <w:rFonts w:ascii="Tahoma" w:eastAsia="Times New Roman" w:hAnsi="Tahoma" w:cs="Tahoma"/>
      <w:b/>
      <w:i/>
      <w:color w:val="BE1D2D"/>
      <w:sz w:val="36"/>
      <w:szCs w:val="36"/>
      <w:lang w:eastAsia="hr-HR"/>
    </w:rPr>
  </w:style>
  <w:style w:type="paragraph" w:customStyle="1" w:styleId="Uvlaka1">
    <w:name w:val="Uvlaka 1"/>
    <w:basedOn w:val="Normal"/>
    <w:link w:val="Uvlaka1Char"/>
    <w:qFormat/>
    <w:rsid w:val="008552B1"/>
    <w:pPr>
      <w:numPr>
        <w:numId w:val="14"/>
      </w:numPr>
      <w:spacing w:before="60" w:after="60" w:line="240" w:lineRule="auto"/>
      <w:jc w:val="both"/>
    </w:pPr>
    <w:rPr>
      <w:rFonts w:ascii="Tahoma" w:eastAsia="Times New Roman" w:hAnsi="Tahoma" w:cs="Myriad Pro"/>
      <w:sz w:val="20"/>
      <w:szCs w:val="24"/>
      <w:lang w:eastAsia="de-DE"/>
    </w:rPr>
  </w:style>
  <w:style w:type="character" w:customStyle="1" w:styleId="Uvlaka1Char">
    <w:name w:val="Uvlaka 1 Char"/>
    <w:basedOn w:val="Zadanifontodlomka"/>
    <w:link w:val="Uvlaka1"/>
    <w:rsid w:val="008552B1"/>
    <w:rPr>
      <w:rFonts w:ascii="Tahoma" w:eastAsia="Times New Roman" w:hAnsi="Tahoma" w:cs="Myriad Pro"/>
      <w:sz w:val="20"/>
      <w:szCs w:val="24"/>
      <w:lang w:eastAsia="de-DE"/>
    </w:rPr>
  </w:style>
  <w:style w:type="table" w:styleId="Svijetlipopis-Isticanje3">
    <w:name w:val="Light List Accent 3"/>
    <w:basedOn w:val="Obinatablica"/>
    <w:uiPriority w:val="61"/>
    <w:rsid w:val="008552B1"/>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itat">
    <w:name w:val="Quote"/>
    <w:basedOn w:val="Normal"/>
    <w:next w:val="Normal"/>
    <w:link w:val="CitatChar1"/>
    <w:uiPriority w:val="29"/>
    <w:rsid w:val="008552B1"/>
    <w:pPr>
      <w:spacing w:before="120" w:after="120" w:line="240" w:lineRule="auto"/>
      <w:ind w:left="851" w:right="851"/>
      <w:jc w:val="center"/>
    </w:pPr>
    <w:rPr>
      <w:rFonts w:ascii="Tahoma" w:eastAsia="Times New Roman" w:hAnsi="Tahoma" w:cs="Myriad Pro"/>
      <w:i/>
      <w:iCs/>
      <w:sz w:val="20"/>
      <w:szCs w:val="24"/>
      <w:lang w:eastAsia="de-DE"/>
    </w:rPr>
  </w:style>
  <w:style w:type="character" w:customStyle="1" w:styleId="CitatChar1">
    <w:name w:val="Citat Char1"/>
    <w:basedOn w:val="Zadanifontodlomka"/>
    <w:link w:val="Citat"/>
    <w:uiPriority w:val="29"/>
    <w:rsid w:val="008552B1"/>
    <w:rPr>
      <w:rFonts w:ascii="Tahoma" w:eastAsia="Times New Roman" w:hAnsi="Tahoma" w:cs="Myriad Pro"/>
      <w:i/>
      <w:iCs/>
      <w:sz w:val="20"/>
      <w:szCs w:val="24"/>
      <w:lang w:eastAsia="de-DE"/>
    </w:rPr>
  </w:style>
  <w:style w:type="character" w:styleId="Neupadljivoisticanje">
    <w:name w:val="Subtle Emphasis"/>
    <w:basedOn w:val="Zadanifontodlomka"/>
    <w:uiPriority w:val="19"/>
    <w:qFormat/>
    <w:rsid w:val="008552B1"/>
    <w:rPr>
      <w:i/>
      <w:iCs/>
      <w:color w:val="auto"/>
    </w:rPr>
  </w:style>
  <w:style w:type="paragraph" w:styleId="Adresaomotnice">
    <w:name w:val="envelope address"/>
    <w:basedOn w:val="Normal"/>
    <w:uiPriority w:val="99"/>
    <w:semiHidden/>
    <w:unhideWhenUsed/>
    <w:rsid w:val="008552B1"/>
    <w:pPr>
      <w:framePr w:w="7920" w:h="1980" w:hRule="exact" w:hSpace="180" w:wrap="auto" w:hAnchor="page" w:xAlign="center" w:yAlign="bottom"/>
      <w:spacing w:after="0" w:line="240" w:lineRule="auto"/>
      <w:ind w:left="2880"/>
      <w:jc w:val="both"/>
    </w:pPr>
    <w:rPr>
      <w:rFonts w:ascii="Tahoma" w:eastAsiaTheme="majorEastAsia" w:hAnsi="Tahoma" w:cstheme="majorBidi"/>
      <w:sz w:val="24"/>
      <w:szCs w:val="24"/>
      <w:lang w:eastAsia="de-DE"/>
    </w:rPr>
  </w:style>
  <w:style w:type="paragraph" w:styleId="Povratnaomotnica">
    <w:name w:val="envelope return"/>
    <w:basedOn w:val="Normal"/>
    <w:uiPriority w:val="99"/>
    <w:semiHidden/>
    <w:unhideWhenUsed/>
    <w:rsid w:val="008552B1"/>
    <w:pPr>
      <w:spacing w:after="0" w:line="240" w:lineRule="auto"/>
      <w:jc w:val="both"/>
    </w:pPr>
    <w:rPr>
      <w:rFonts w:ascii="Tahoma" w:eastAsiaTheme="majorEastAsia" w:hAnsi="Tahoma" w:cstheme="majorBidi"/>
      <w:sz w:val="20"/>
      <w:szCs w:val="20"/>
      <w:lang w:eastAsia="de-DE"/>
    </w:rPr>
  </w:style>
  <w:style w:type="paragraph" w:styleId="Indeks1">
    <w:name w:val="index 1"/>
    <w:basedOn w:val="Normal"/>
    <w:next w:val="Normal"/>
    <w:autoRedefine/>
    <w:uiPriority w:val="99"/>
    <w:semiHidden/>
    <w:unhideWhenUsed/>
    <w:rsid w:val="008552B1"/>
    <w:pPr>
      <w:spacing w:after="0" w:line="240" w:lineRule="auto"/>
      <w:ind w:left="200" w:hanging="200"/>
      <w:jc w:val="both"/>
    </w:pPr>
    <w:rPr>
      <w:rFonts w:ascii="Tahoma" w:eastAsia="Times New Roman" w:hAnsi="Tahoma" w:cs="Myriad Pro"/>
      <w:sz w:val="20"/>
      <w:szCs w:val="24"/>
      <w:lang w:eastAsia="de-DE"/>
    </w:rPr>
  </w:style>
  <w:style w:type="paragraph" w:styleId="Naslovindeksa">
    <w:name w:val="index heading"/>
    <w:basedOn w:val="Normal"/>
    <w:next w:val="Indeks1"/>
    <w:uiPriority w:val="99"/>
    <w:semiHidden/>
    <w:unhideWhenUsed/>
    <w:rsid w:val="008552B1"/>
    <w:pPr>
      <w:spacing w:before="120" w:after="120" w:line="240" w:lineRule="auto"/>
      <w:jc w:val="both"/>
    </w:pPr>
    <w:rPr>
      <w:rFonts w:ascii="Tahoma" w:eastAsiaTheme="majorEastAsia" w:hAnsi="Tahoma" w:cstheme="majorBidi"/>
      <w:b/>
      <w:bCs/>
      <w:sz w:val="20"/>
      <w:szCs w:val="24"/>
      <w:lang w:eastAsia="de-DE"/>
    </w:rPr>
  </w:style>
  <w:style w:type="character" w:styleId="Jakoisticanje">
    <w:name w:val="Intense Emphasis"/>
    <w:basedOn w:val="Zadanifontodlomka"/>
    <w:uiPriority w:val="21"/>
    <w:rsid w:val="008552B1"/>
    <w:rPr>
      <w:rFonts w:ascii="Tahoma" w:hAnsi="Tahoma"/>
      <w:i/>
      <w:iCs/>
      <w:color w:val="4472C4" w:themeColor="accent1"/>
    </w:rPr>
  </w:style>
  <w:style w:type="paragraph" w:styleId="Tekstmakronaredbe">
    <w:name w:val="macro"/>
    <w:link w:val="TekstmakronaredbeChar"/>
    <w:uiPriority w:val="99"/>
    <w:semiHidden/>
    <w:unhideWhenUsed/>
    <w:rsid w:val="008552B1"/>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Tahoma" w:eastAsia="Times New Roman" w:hAnsi="Tahoma" w:cs="Myriad Pro"/>
      <w:sz w:val="20"/>
      <w:szCs w:val="20"/>
      <w:lang w:eastAsia="de-DE"/>
    </w:rPr>
  </w:style>
  <w:style w:type="character" w:customStyle="1" w:styleId="TekstmakronaredbeChar">
    <w:name w:val="Tekst makronaredbe Char"/>
    <w:basedOn w:val="Zadanifontodlomka"/>
    <w:link w:val="Tekstmakronaredbe"/>
    <w:uiPriority w:val="99"/>
    <w:semiHidden/>
    <w:rsid w:val="008552B1"/>
    <w:rPr>
      <w:rFonts w:ascii="Tahoma" w:eastAsia="Times New Roman" w:hAnsi="Tahoma" w:cs="Myriad Pro"/>
      <w:sz w:val="20"/>
      <w:szCs w:val="20"/>
      <w:lang w:eastAsia="de-DE"/>
    </w:rPr>
  </w:style>
  <w:style w:type="paragraph" w:styleId="StandardWeb">
    <w:name w:val="Normal (Web)"/>
    <w:basedOn w:val="Normal"/>
    <w:uiPriority w:val="99"/>
    <w:unhideWhenUsed/>
    <w:rsid w:val="008552B1"/>
    <w:pPr>
      <w:spacing w:before="120" w:after="120" w:line="240" w:lineRule="auto"/>
      <w:jc w:val="both"/>
    </w:pPr>
    <w:rPr>
      <w:rFonts w:ascii="Tahoma" w:eastAsia="Times New Roman" w:hAnsi="Tahoma" w:cs="Times New Roman"/>
      <w:sz w:val="20"/>
      <w:szCs w:val="24"/>
      <w:lang w:eastAsia="de-DE"/>
    </w:rPr>
  </w:style>
  <w:style w:type="paragraph" w:styleId="Naslovtabliceizvora">
    <w:name w:val="toa heading"/>
    <w:basedOn w:val="Normal"/>
    <w:next w:val="Normal"/>
    <w:uiPriority w:val="99"/>
    <w:semiHidden/>
    <w:unhideWhenUsed/>
    <w:rsid w:val="008552B1"/>
    <w:pPr>
      <w:spacing w:before="120" w:after="120" w:line="240" w:lineRule="auto"/>
      <w:jc w:val="both"/>
    </w:pPr>
    <w:rPr>
      <w:rFonts w:ascii="Tahoma" w:eastAsiaTheme="majorEastAsia" w:hAnsi="Tahoma" w:cstheme="majorBidi"/>
      <w:b/>
      <w:bCs/>
      <w:color w:val="BE1D2D"/>
      <w:sz w:val="24"/>
      <w:szCs w:val="24"/>
      <w:lang w:eastAsia="de-DE"/>
    </w:rPr>
  </w:style>
  <w:style w:type="character" w:customStyle="1" w:styleId="TblnaslovChar">
    <w:name w:val="Tbl naslov Char"/>
    <w:basedOn w:val="Zadanifontodlomka"/>
    <w:link w:val="Tblnaslov"/>
    <w:rsid w:val="008552B1"/>
    <w:rPr>
      <w:rFonts w:ascii="Tahoma" w:eastAsia="Times New Roman" w:hAnsi="Tahoma" w:cs="Myriad Pro"/>
      <w:i/>
      <w:sz w:val="18"/>
      <w:szCs w:val="24"/>
      <w:lang w:eastAsia="de-DE"/>
    </w:rPr>
  </w:style>
  <w:style w:type="paragraph" w:customStyle="1" w:styleId="Naslovtablice">
    <w:name w:val="Naslov tablice"/>
    <w:basedOn w:val="Opisslike"/>
    <w:next w:val="Normal"/>
    <w:link w:val="NaslovtabliceChar"/>
    <w:autoRedefine/>
    <w:qFormat/>
    <w:rsid w:val="008552B1"/>
    <w:pPr>
      <w:keepNext/>
      <w:keepLines/>
      <w:suppressAutoHyphens/>
      <w:jc w:val="right"/>
    </w:pPr>
    <w:rPr>
      <w:rFonts w:cs="Tahoma"/>
      <w:szCs w:val="20"/>
      <w:lang w:eastAsia="hr-HR"/>
    </w:rPr>
  </w:style>
  <w:style w:type="character" w:customStyle="1" w:styleId="NaslovtabliceChar">
    <w:name w:val="Naslov tablice Char"/>
    <w:basedOn w:val="Zadanifontodlomka"/>
    <w:link w:val="Naslovtablice"/>
    <w:rsid w:val="008552B1"/>
    <w:rPr>
      <w:rFonts w:ascii="Tahoma" w:eastAsia="Times New Roman" w:hAnsi="Tahoma" w:cs="Tahoma"/>
      <w:i/>
      <w:iCs/>
      <w:sz w:val="16"/>
      <w:szCs w:val="20"/>
      <w:lang w:eastAsia="hr-HR"/>
    </w:rPr>
  </w:style>
  <w:style w:type="character" w:styleId="Naglaeno">
    <w:name w:val="Strong"/>
    <w:basedOn w:val="Zadanifontodlomka"/>
    <w:uiPriority w:val="22"/>
    <w:qFormat/>
    <w:rsid w:val="008552B1"/>
    <w:rPr>
      <w:b/>
      <w:bCs/>
    </w:rPr>
  </w:style>
  <w:style w:type="character" w:customStyle="1" w:styleId="fontstyle01">
    <w:name w:val="fontstyle01"/>
    <w:basedOn w:val="Zadanifontodlomka"/>
    <w:rsid w:val="008552B1"/>
    <w:rPr>
      <w:rFonts w:ascii="Calibri" w:hAnsi="Calibri" w:hint="default"/>
      <w:b w:val="0"/>
      <w:bCs w:val="0"/>
      <w:i w:val="0"/>
      <w:iCs w:val="0"/>
      <w:color w:val="000000"/>
      <w:sz w:val="22"/>
      <w:szCs w:val="22"/>
    </w:rPr>
  </w:style>
  <w:style w:type="numbering" w:customStyle="1" w:styleId="NoList1">
    <w:name w:val="No List1"/>
    <w:next w:val="Bezpopisa"/>
    <w:uiPriority w:val="99"/>
    <w:semiHidden/>
    <w:unhideWhenUsed/>
    <w:rsid w:val="008552B1"/>
  </w:style>
  <w:style w:type="paragraph" w:customStyle="1" w:styleId="lanak">
    <w:name w:val="Članak"/>
    <w:basedOn w:val="Normal"/>
    <w:link w:val="lanakChar"/>
    <w:qFormat/>
    <w:rsid w:val="008552B1"/>
    <w:pPr>
      <w:jc w:val="center"/>
    </w:pPr>
    <w:rPr>
      <w:rFonts w:ascii="Times New Roman" w:hAnsi="Times New Roman" w:cs="Times New Roman"/>
      <w:b/>
    </w:rPr>
  </w:style>
  <w:style w:type="character" w:customStyle="1" w:styleId="lanakChar">
    <w:name w:val="Članak Char"/>
    <w:basedOn w:val="Zadanifontodlomka"/>
    <w:link w:val="lanak"/>
    <w:rsid w:val="008552B1"/>
    <w:rPr>
      <w:rFonts w:ascii="Times New Roman" w:hAnsi="Times New Roman" w:cs="Times New Roman"/>
      <w:b/>
    </w:rPr>
  </w:style>
  <w:style w:type="paragraph" w:styleId="Bibliografija">
    <w:name w:val="Bibliography"/>
    <w:basedOn w:val="Normal"/>
    <w:next w:val="Normal"/>
    <w:uiPriority w:val="37"/>
    <w:unhideWhenUsed/>
    <w:rsid w:val="008552B1"/>
    <w:pPr>
      <w:jc w:val="both"/>
    </w:pPr>
    <w:rPr>
      <w:rFonts w:ascii="Times New Roman" w:hAnsi="Times New Roman"/>
    </w:rPr>
  </w:style>
  <w:style w:type="paragraph" w:customStyle="1" w:styleId="Default">
    <w:name w:val="Default"/>
    <w:rsid w:val="008552B1"/>
    <w:pPr>
      <w:autoSpaceDE w:val="0"/>
      <w:autoSpaceDN w:val="0"/>
      <w:adjustRightInd w:val="0"/>
      <w:spacing w:after="0" w:line="240" w:lineRule="auto"/>
    </w:pPr>
    <w:rPr>
      <w:rFonts w:ascii="Arial" w:hAnsi="Arial" w:cs="Arial"/>
      <w:color w:val="000000"/>
      <w:sz w:val="24"/>
      <w:szCs w:val="24"/>
    </w:rPr>
  </w:style>
  <w:style w:type="paragraph" w:customStyle="1" w:styleId="Spiegelstrich3">
    <w:name w:val="Spiegelstrich3"/>
    <w:basedOn w:val="Normal"/>
    <w:uiPriority w:val="99"/>
    <w:rsid w:val="008552B1"/>
    <w:pPr>
      <w:numPr>
        <w:numId w:val="16"/>
      </w:numPr>
      <w:spacing w:after="240" w:line="240" w:lineRule="auto"/>
      <w:jc w:val="both"/>
    </w:pPr>
    <w:rPr>
      <w:rFonts w:ascii="Arial" w:eastAsia="Times New Roman" w:hAnsi="Arial" w:cs="Times New Roman"/>
      <w:szCs w:val="20"/>
      <w:lang w:eastAsia="de-DE"/>
    </w:rPr>
  </w:style>
  <w:style w:type="paragraph" w:customStyle="1" w:styleId="doc-ti">
    <w:name w:val="doc-ti"/>
    <w:basedOn w:val="Normal"/>
    <w:rsid w:val="008552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8552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tion1">
    <w:name w:val="Mention1"/>
    <w:basedOn w:val="Zadanifontodlomka"/>
    <w:uiPriority w:val="99"/>
    <w:semiHidden/>
    <w:unhideWhenUsed/>
    <w:rsid w:val="008552B1"/>
    <w:rPr>
      <w:color w:val="2B579A"/>
      <w:shd w:val="clear" w:color="auto" w:fill="E6E6E6"/>
    </w:rPr>
  </w:style>
  <w:style w:type="character" w:customStyle="1" w:styleId="Spominjanje1">
    <w:name w:val="Spominjanje1"/>
    <w:basedOn w:val="Zadanifontodlomka"/>
    <w:uiPriority w:val="99"/>
    <w:semiHidden/>
    <w:unhideWhenUsed/>
    <w:rsid w:val="008552B1"/>
    <w:rPr>
      <w:color w:val="2B579A"/>
      <w:shd w:val="clear" w:color="auto" w:fill="E6E6E6"/>
    </w:rPr>
  </w:style>
  <w:style w:type="paragraph" w:customStyle="1" w:styleId="Compact">
    <w:name w:val="Compact"/>
    <w:basedOn w:val="Tijeloteksta"/>
    <w:qFormat/>
    <w:rsid w:val="008552B1"/>
    <w:pPr>
      <w:spacing w:before="36" w:after="36"/>
    </w:pPr>
    <w:rPr>
      <w:rFonts w:asciiTheme="minorHAnsi" w:eastAsiaTheme="minorHAnsi" w:hAnsiTheme="minorHAnsi" w:cstheme="minorBidi"/>
      <w:sz w:val="24"/>
      <w:lang w:val="en-US" w:eastAsia="en-US"/>
    </w:rPr>
  </w:style>
  <w:style w:type="table" w:customStyle="1" w:styleId="ivopisnatablicareetke61">
    <w:name w:val="Živopisna tablica rešetke 61"/>
    <w:basedOn w:val="Obinatablica"/>
    <w:uiPriority w:val="51"/>
    <w:rsid w:val="008552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staknuto">
    <w:name w:val="Emphasis"/>
    <w:basedOn w:val="Zadanifontodlomka"/>
    <w:uiPriority w:val="20"/>
    <w:qFormat/>
    <w:rsid w:val="008552B1"/>
    <w:rPr>
      <w:i/>
      <w:iCs/>
    </w:rPr>
  </w:style>
  <w:style w:type="character" w:customStyle="1" w:styleId="UnresolvedMention1">
    <w:name w:val="Unresolved Mention1"/>
    <w:basedOn w:val="Zadanifontodlomka"/>
    <w:uiPriority w:val="99"/>
    <w:semiHidden/>
    <w:unhideWhenUsed/>
    <w:rsid w:val="008552B1"/>
    <w:rPr>
      <w:color w:val="808080"/>
      <w:shd w:val="clear" w:color="auto" w:fill="E6E6E6"/>
    </w:rPr>
  </w:style>
  <w:style w:type="table" w:customStyle="1" w:styleId="Svijetlatablicareetke11">
    <w:name w:val="Svijetla tablica rešetke 11"/>
    <w:basedOn w:val="Obinatablica"/>
    <w:uiPriority w:val="46"/>
    <w:rsid w:val="008552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341">
    <w:name w:val="font34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font301">
    <w:name w:val="font30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font321">
    <w:name w:val="font32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font131">
    <w:name w:val="font13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font91">
    <w:name w:val="font9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font111">
    <w:name w:val="font111"/>
    <w:basedOn w:val="Zadanifontodlomka"/>
    <w:rsid w:val="008552B1"/>
    <w:rPr>
      <w:rFonts w:ascii="Calibri" w:hAnsi="Calibri" w:cs="Calibri" w:hint="default"/>
      <w:b w:val="0"/>
      <w:bCs w:val="0"/>
      <w:i w:val="0"/>
      <w:iCs w:val="0"/>
      <w:strike w:val="0"/>
      <w:dstrike w:val="0"/>
      <w:color w:val="000000"/>
      <w:sz w:val="20"/>
      <w:szCs w:val="20"/>
      <w:u w:val="none"/>
      <w:effect w:val="none"/>
    </w:rPr>
  </w:style>
  <w:style w:type="character" w:customStyle="1" w:styleId="Nerijeenospominjanje1">
    <w:name w:val="Neriješeno spominjanje1"/>
    <w:basedOn w:val="Zadanifontodlomka"/>
    <w:uiPriority w:val="99"/>
    <w:unhideWhenUsed/>
    <w:rsid w:val="008552B1"/>
    <w:rPr>
      <w:color w:val="605E5C"/>
      <w:shd w:val="clear" w:color="auto" w:fill="E1DFDD"/>
    </w:rPr>
  </w:style>
  <w:style w:type="character" w:customStyle="1" w:styleId="Bodytext2">
    <w:name w:val="Body text (2)_"/>
    <w:basedOn w:val="Zadanifontodlomka"/>
    <w:link w:val="Bodytext20"/>
    <w:rsid w:val="008552B1"/>
    <w:rPr>
      <w:rFonts w:ascii="Calibri" w:eastAsia="Calibri" w:hAnsi="Calibri" w:cs="Calibri"/>
      <w:sz w:val="20"/>
      <w:szCs w:val="20"/>
      <w:shd w:val="clear" w:color="auto" w:fill="FFFFFF"/>
    </w:rPr>
  </w:style>
  <w:style w:type="paragraph" w:customStyle="1" w:styleId="Bodytext20">
    <w:name w:val="Body text (2)"/>
    <w:basedOn w:val="Normal"/>
    <w:link w:val="Bodytext2"/>
    <w:rsid w:val="008552B1"/>
    <w:pPr>
      <w:widowControl w:val="0"/>
      <w:shd w:val="clear" w:color="auto" w:fill="FFFFFF"/>
      <w:spacing w:before="480" w:after="0" w:line="278" w:lineRule="exact"/>
      <w:ind w:hanging="380"/>
    </w:pPr>
    <w:rPr>
      <w:rFonts w:ascii="Calibri" w:eastAsia="Calibri" w:hAnsi="Calibri" w:cs="Calibri"/>
      <w:sz w:val="20"/>
      <w:szCs w:val="20"/>
    </w:rPr>
  </w:style>
  <w:style w:type="character" w:customStyle="1" w:styleId="tlid-translation">
    <w:name w:val="tlid-translation"/>
    <w:basedOn w:val="Zadanifontodlomka"/>
    <w:rsid w:val="008552B1"/>
  </w:style>
  <w:style w:type="character" w:customStyle="1" w:styleId="OpisslikeChar">
    <w:name w:val="Opis slike Char"/>
    <w:link w:val="Opisslike"/>
    <w:uiPriority w:val="99"/>
    <w:locked/>
    <w:rsid w:val="008552B1"/>
    <w:rPr>
      <w:rFonts w:ascii="Tahoma" w:eastAsia="Times New Roman" w:hAnsi="Tahoma" w:cs="Myriad Pro"/>
      <w:i/>
      <w:iCs/>
      <w:sz w:val="16"/>
      <w:szCs w:val="18"/>
      <w:lang w:eastAsia="de-DE"/>
    </w:rPr>
  </w:style>
  <w:style w:type="table" w:customStyle="1" w:styleId="Tablicareetke21">
    <w:name w:val="Tablica rešetke 21"/>
    <w:basedOn w:val="Obinatablica"/>
    <w:uiPriority w:val="47"/>
    <w:rsid w:val="008552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basedOn w:val="Zadanifontodlomka"/>
    <w:rsid w:val="008552B1"/>
  </w:style>
  <w:style w:type="character" w:customStyle="1" w:styleId="hps">
    <w:name w:val="hps"/>
    <w:rsid w:val="008552B1"/>
    <w:rPr>
      <w:rFonts w:cs="Times New Roman"/>
    </w:rPr>
  </w:style>
  <w:style w:type="character" w:customStyle="1" w:styleId="Spominjanje2">
    <w:name w:val="Spominjanje2"/>
    <w:basedOn w:val="Zadanifontodlomka"/>
    <w:uiPriority w:val="99"/>
    <w:unhideWhenUsed/>
    <w:rsid w:val="008552B1"/>
    <w:rPr>
      <w:color w:val="2B579A"/>
      <w:shd w:val="clear" w:color="auto" w:fill="E1DFDD"/>
    </w:rPr>
  </w:style>
  <w:style w:type="numbering" w:customStyle="1" w:styleId="toc20">
    <w:name w:val="toc 20"/>
    <w:rsid w:val="008552B1"/>
    <w:pPr>
      <w:numPr>
        <w:numId w:val="37"/>
      </w:numPr>
    </w:pPr>
  </w:style>
  <w:style w:type="table" w:customStyle="1" w:styleId="Obinatablica510">
    <w:name w:val="Obična tablica 510"/>
    <w:basedOn w:val="Obinatablica"/>
    <w:uiPriority w:val="45"/>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4-isticanje210">
    <w:name w:val="Tablica rešetke 4 - isticanje 210"/>
    <w:basedOn w:val="Obinatablica"/>
    <w:uiPriority w:val="49"/>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vijetlareetkatablice10">
    <w:name w:val="Svijetla rešetka tablice10"/>
    <w:basedOn w:val="Obinatablica"/>
    <w:uiPriority w:val="40"/>
    <w:rsid w:val="008552B1"/>
    <w:pPr>
      <w:spacing w:after="0"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210">
    <w:name w:val="Obična tablica 210"/>
    <w:basedOn w:val="Obinatablica"/>
    <w:uiPriority w:val="42"/>
    <w:rsid w:val="008552B1"/>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ivopisnatablicareetke610">
    <w:name w:val="Živopisna tablica rešetke 610"/>
    <w:basedOn w:val="Obinatablica"/>
    <w:uiPriority w:val="51"/>
    <w:rsid w:val="008552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ijetlatablicareetke110">
    <w:name w:val="Svijetla tablica rešetke 110"/>
    <w:basedOn w:val="Obinatablica"/>
    <w:uiPriority w:val="46"/>
    <w:rsid w:val="008552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icareetke210">
    <w:name w:val="Tablica rešetke 210"/>
    <w:basedOn w:val="Obinatablica"/>
    <w:uiPriority w:val="47"/>
    <w:rsid w:val="008552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urziv">
    <w:name w:val="kurziv"/>
    <w:basedOn w:val="Zadanifontodlomka"/>
    <w:rsid w:val="008552B1"/>
  </w:style>
  <w:style w:type="paragraph" w:customStyle="1" w:styleId="box456369">
    <w:name w:val="box_456369"/>
    <w:basedOn w:val="Normal"/>
    <w:rsid w:val="008552B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unhideWhenUsed/>
    <w:rsid w:val="008552B1"/>
    <w:rPr>
      <w:color w:val="605E5C"/>
      <w:shd w:val="clear" w:color="auto" w:fill="E1DFDD"/>
    </w:rPr>
  </w:style>
  <w:style w:type="character" w:customStyle="1" w:styleId="Mention2">
    <w:name w:val="Mention2"/>
    <w:basedOn w:val="Zadanifontodlomka"/>
    <w:uiPriority w:val="99"/>
    <w:unhideWhenUsed/>
    <w:rsid w:val="008552B1"/>
    <w:rPr>
      <w:color w:val="2B579A"/>
      <w:shd w:val="clear" w:color="auto" w:fill="E1DFDD"/>
    </w:rPr>
  </w:style>
  <w:style w:type="character" w:customStyle="1" w:styleId="cf01">
    <w:name w:val="cf01"/>
    <w:basedOn w:val="Zadanifontodlomka"/>
    <w:rsid w:val="008552B1"/>
    <w:rPr>
      <w:rFonts w:ascii="Segoe UI" w:hAnsi="Segoe UI" w:cs="Segoe UI" w:hint="default"/>
      <w:sz w:val="18"/>
      <w:szCs w:val="18"/>
    </w:rPr>
  </w:style>
  <w:style w:type="paragraph" w:customStyle="1" w:styleId="pf0">
    <w:name w:val="pf0"/>
    <w:basedOn w:val="Normal"/>
    <w:rsid w:val="008552B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msonormal">
    <w:name w:val="x_msonormal"/>
    <w:basedOn w:val="Normal"/>
    <w:rsid w:val="008552B1"/>
    <w:pPr>
      <w:spacing w:after="0" w:line="240" w:lineRule="auto"/>
    </w:pPr>
    <w:rPr>
      <w:rFonts w:ascii="Calibri" w:hAnsi="Calibri" w:cs="Calibri"/>
      <w:lang w:eastAsia="hr-HR"/>
    </w:rPr>
  </w:style>
  <w:style w:type="character" w:customStyle="1" w:styleId="cf21">
    <w:name w:val="cf21"/>
    <w:basedOn w:val="Zadanifontodlomka"/>
    <w:rsid w:val="008552B1"/>
    <w:rPr>
      <w:rFonts w:ascii="Segoe UI" w:hAnsi="Segoe UI" w:cs="Segoe UI" w:hint="default"/>
      <w:sz w:val="18"/>
      <w:szCs w:val="18"/>
      <w:u w:val="single"/>
    </w:rPr>
  </w:style>
  <w:style w:type="table" w:customStyle="1" w:styleId="Svijetlatablicareetke111">
    <w:name w:val="Svijetla tablica rešetke 111"/>
    <w:basedOn w:val="Obinatablica"/>
    <w:uiPriority w:val="46"/>
    <w:rsid w:val="00B351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toc200">
    <w:name w:val="toc 200"/>
    <w:rsid w:val="004949CA"/>
    <w:pPr>
      <w:numPr>
        <w:numId w:val="24"/>
      </w:numPr>
    </w:pPr>
  </w:style>
  <w:style w:type="character" w:customStyle="1" w:styleId="jlqj4b">
    <w:name w:val="jlqj4b"/>
    <w:basedOn w:val="Zadanifontodlomka"/>
    <w:rsid w:val="004949CA"/>
  </w:style>
  <w:style w:type="character" w:customStyle="1" w:styleId="Nerijeenospominjanje2">
    <w:name w:val="Neriješeno spominjanje2"/>
    <w:basedOn w:val="Zadanifontodlomka"/>
    <w:uiPriority w:val="99"/>
    <w:unhideWhenUsed/>
    <w:rsid w:val="004949CA"/>
    <w:rPr>
      <w:color w:val="605E5C"/>
      <w:shd w:val="clear" w:color="auto" w:fill="E1DFDD"/>
    </w:rPr>
  </w:style>
  <w:style w:type="character" w:customStyle="1" w:styleId="Spominjanje3">
    <w:name w:val="Spominjanje3"/>
    <w:basedOn w:val="Zadanifontodlomka"/>
    <w:uiPriority w:val="99"/>
    <w:unhideWhenUsed/>
    <w:rsid w:val="004949CA"/>
    <w:rPr>
      <w:color w:val="2B579A"/>
      <w:shd w:val="clear" w:color="auto" w:fill="E1DFDD"/>
    </w:rPr>
  </w:style>
  <w:style w:type="table" w:customStyle="1" w:styleId="Svijetlatablicareetke12">
    <w:name w:val="Svijetla tablica rešetke 12"/>
    <w:basedOn w:val="Obinatablica"/>
    <w:uiPriority w:val="46"/>
    <w:rsid w:val="004949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erijeenospominjanje3">
    <w:name w:val="Neriješeno spominjanje3"/>
    <w:basedOn w:val="Zadanifontodlomka"/>
    <w:uiPriority w:val="99"/>
    <w:semiHidden/>
    <w:unhideWhenUsed/>
    <w:rsid w:val="004949CA"/>
    <w:rPr>
      <w:color w:val="605E5C"/>
      <w:shd w:val="clear" w:color="auto" w:fill="E1DFDD"/>
    </w:rPr>
  </w:style>
  <w:style w:type="paragraph" w:customStyle="1" w:styleId="Point1">
    <w:name w:val="Point 1"/>
    <w:basedOn w:val="Normal"/>
    <w:rsid w:val="004949CA"/>
    <w:pPr>
      <w:spacing w:before="120" w:after="120" w:line="240" w:lineRule="auto"/>
      <w:ind w:left="1417" w:hanging="567"/>
      <w:jc w:val="both"/>
    </w:pPr>
    <w:rPr>
      <w:rFonts w:ascii="Times New Roman" w:hAnsi="Times New Roman" w:cs="Times New Roman"/>
      <w:sz w:val="24"/>
    </w:rPr>
  </w:style>
  <w:style w:type="paragraph" w:customStyle="1" w:styleId="ManualNumPar1">
    <w:name w:val="Manual NumPar 1"/>
    <w:basedOn w:val="Normal"/>
    <w:next w:val="Normal"/>
    <w:rsid w:val="004949CA"/>
    <w:pPr>
      <w:spacing w:before="120" w:after="120" w:line="240" w:lineRule="auto"/>
      <w:ind w:left="850" w:hanging="850"/>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image" Target="media/image3.wmf"/><Relationship Id="rId21" Type="http://schemas.openxmlformats.org/officeDocument/2006/relationships/hyperlink" Target="http://narodne-novine.nn.hr/clanci/sluzbeni/2015_02_18_389.html"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oleObject" Target="embeddings/oleObject1.bin"/><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s://mgipu.gov.hr/UserDocsImages/dokumenti/EnergetskaUcinkovitost/IV_NAPEU_20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wmf"/><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hart" Target="charts/chart1.xml"/><Relationship Id="rId28" Type="http://schemas.openxmlformats.org/officeDocument/2006/relationships/hyperlink" Target="http://www.enu.h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s://mgipu.gov.hr/UserDocsImages//dokumenti/Propisi//EIHP-014-0185-01-06_vi%C5%A1estam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nu.hr/" TargetMode="External"/><Relationship Id="rId27" Type="http://schemas.openxmlformats.org/officeDocument/2006/relationships/oleObject" Target="embeddings/oleObject2.bin"/><Relationship Id="rId30" Type="http://schemas.openxmlformats.org/officeDocument/2006/relationships/hyperlink" Target="https://mingor.gov.hr/o-ministarstvu-1065/djelokrug/uprava-za-energetiku-1999/strategije-planovi-i-programi-2009/2009"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www.mgipu.hr/doc/Propisi/EIHP-029-13-02-05_jednoobit.pdf" TargetMode="External"/><Relationship Id="rId13" Type="http://schemas.openxmlformats.org/officeDocument/2006/relationships/hyperlink" Target="https://eur-lex.europa.eu/legal-content/HR/TXT/HTML/?uri=CELEX:32018L0844&amp;from=EN" TargetMode="External"/><Relationship Id="rId18" Type="http://schemas.openxmlformats.org/officeDocument/2006/relationships/hyperlink" Target="https://ec.europa.eu/eurostat/web/microdata/european-union-statistics-on-income-and-living-conditions" TargetMode="External"/><Relationship Id="rId3" Type="http://schemas.openxmlformats.org/officeDocument/2006/relationships/hyperlink" Target="https://mingor.gov.hr/o-ministarstvu-1065/djelokrug-4925/energetika/energetska-politika-i-planiranje/strategije-planovi-i-programi-2009/2009" TargetMode="External"/><Relationship Id="rId21" Type="http://schemas.openxmlformats.org/officeDocument/2006/relationships/hyperlink" Target="https://www.eea.europa.eu/themes/air/health-impacts-of-air-pollution" TargetMode="External"/><Relationship Id="rId7" Type="http://schemas.openxmlformats.org/officeDocument/2006/relationships/hyperlink" Target="https://mgipu.gov.hr/UserDocsImages/dokumenti/EnergetskaUcinkovitost/DSO_14.12.2020.pdf" TargetMode="External"/><Relationship Id="rId12" Type="http://schemas.openxmlformats.org/officeDocument/2006/relationships/hyperlink" Target="https://mgipu.gov.hr/UserDocsImages/dokumenti/EnergetskaUcinkovitost/DSO_14.12.2020.pdf" TargetMode="External"/><Relationship Id="rId17" Type="http://schemas.openxmlformats.org/officeDocument/2006/relationships/hyperlink" Target="https://www.fzo.hr/" TargetMode="External"/><Relationship Id="rId2" Type="http://schemas.openxmlformats.org/officeDocument/2006/relationships/hyperlink" Target="https://ec.europa.eu/energy/topics/energy-efficiency/energy-efficient-buildings/renovation-wave_en" TargetMode="External"/><Relationship Id="rId16" Type="http://schemas.openxmlformats.org/officeDocument/2006/relationships/hyperlink" Target="https://mgipu.gov.hr/UserDocsImages/dokumenti/Potres/RDNA_web_04082020.pdf" TargetMode="External"/><Relationship Id="rId20" Type="http://schemas.openxmlformats.org/officeDocument/2006/relationships/hyperlink" Target="https://www.dzs.hr/Hrv_Eng/publication/2020/09-01-01_12_2020.htm" TargetMode="External"/><Relationship Id="rId1" Type="http://schemas.openxmlformats.org/officeDocument/2006/relationships/hyperlink" Target="https://ec.europa.eu/info/strategy/priorities-2019-2024/european-green-deal_en" TargetMode="External"/><Relationship Id="rId6" Type="http://schemas.openxmlformats.org/officeDocument/2006/relationships/hyperlink" Target="https://mgipu.gov.hr/UserDocsImages/dokumenti/EnergetskaUcinkovitost/DSO_14.12.2020.pdf" TargetMode="External"/><Relationship Id="rId11" Type="http://schemas.openxmlformats.org/officeDocument/2006/relationships/hyperlink" Target="https://mgipu.gov.hr/UserDocsImages/dokumenti/EnergetskaUcinkovitost/DSO_14.12.2020.pdf" TargetMode="External"/><Relationship Id="rId5" Type="http://schemas.openxmlformats.org/officeDocument/2006/relationships/hyperlink" Target="https://esavjetovanja.gov.hr/ECon/MainScreen?entityId=16464" TargetMode="External"/><Relationship Id="rId15" Type="http://schemas.openxmlformats.org/officeDocument/2006/relationships/hyperlink" Target="https://vlada.gov.hr/UserDocsImages/Vijesti/2021/velja%C4%8Da/19%20velja%C4%8De/Bro%C5%A1ura%20-%20Program%20mjera%20obnove%20o%C5%A1te%C4%87enih%20zgrada.pdf" TargetMode="External"/><Relationship Id="rId10" Type="http://schemas.openxmlformats.org/officeDocument/2006/relationships/hyperlink" Target="https://mgipu.gov.hr/UserDocsImages/dokumenti/EnergetskaUcinkovitost/DSO_14.12.2020.pdf" TargetMode="External"/><Relationship Id="rId19" Type="http://schemas.openxmlformats.org/officeDocument/2006/relationships/hyperlink" Target="https://planoporavka.gov.hr/UserDocsImages/dokumenti/55%20-%201%20NPOO.pdf?vel=12358896" TargetMode="External"/><Relationship Id="rId4" Type="http://schemas.openxmlformats.org/officeDocument/2006/relationships/hyperlink" Target="https://www.dzs.hr/Hrv/publication/FirstRelease/results.asp?pString=Gra%C4%91evins&amp;pSearchString=%25Gra%C4%91evins%25" TargetMode="External"/><Relationship Id="rId9" Type="http://schemas.openxmlformats.org/officeDocument/2006/relationships/hyperlink" Target="http://www.mgipu.hr/doc/Propisi/EIHP-029-13-02-05_jednoobit.pdf" TargetMode="External"/><Relationship Id="rId14" Type="http://schemas.openxmlformats.org/officeDocument/2006/relationships/hyperlink" Target="https://mpgi.gov.hr/pristup-informacijama-16/zakoni-i-ostali-propisi/podrucje-energetske-ucinkovitosti/13808" TargetMode="External"/><Relationship Id="rId22" Type="http://schemas.openxmlformats.org/officeDocument/2006/relationships/hyperlink" Target="https://www.dzs.hr/Hrv_Eng/publication/2020/14-01-02_01_2020.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energetskiinstituth.sharepoint.com/sites/PSES-PDS-2019-2021/Zajednicki%20dokumenti/Program-tekst/ilc_mdes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hr-HR"/>
              <a:t>Nemogućnost održavanja doma adekvatno toplim </a:t>
            </a:r>
          </a:p>
        </c:rich>
      </c:tx>
      <c:overlay val="0"/>
      <c:spPr>
        <a:noFill/>
        <a:ln>
          <a:noFill/>
        </a:ln>
        <a:effectLst/>
      </c:spPr>
    </c:title>
    <c:autoTitleDeleted val="0"/>
    <c:plotArea>
      <c:layout/>
      <c:barChart>
        <c:barDir val="bar"/>
        <c:grouping val="clustered"/>
        <c:varyColors val="0"/>
        <c:ser>
          <c:idx val="0"/>
          <c:order val="0"/>
          <c:spPr>
            <a:solidFill>
              <a:schemeClr val="bg1">
                <a:lumMod val="65000"/>
              </a:schemeClr>
            </a:solidFill>
            <a:ln>
              <a:noFill/>
            </a:ln>
            <a:effectLst/>
          </c:spPr>
          <c:invertIfNegative val="0"/>
          <c:dPt>
            <c:idx val="10"/>
            <c:invertIfNegative val="0"/>
            <c:bubble3D val="0"/>
            <c:spPr>
              <a:solidFill>
                <a:srgbClr val="C00000"/>
              </a:solidFill>
              <a:ln>
                <a:noFill/>
              </a:ln>
              <a:effectLst/>
            </c:spPr>
            <c:extLst>
              <c:ext xmlns:c16="http://schemas.microsoft.com/office/drawing/2014/chart" uri="{C3380CC4-5D6E-409C-BE32-E72D297353CC}">
                <c16:uniqueId val="{00000001-AB6D-4ED7-BAF7-A6CDB6057C01}"/>
              </c:ext>
            </c:extLst>
          </c:dPt>
          <c:dLbls>
            <c:spPr>
              <a:noFill/>
              <a:ln>
                <a:noFill/>
              </a:ln>
              <a:effectLst/>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Data!$A$18:$A$45</c:f>
              <c:strCache>
                <c:ptCount val="28"/>
                <c:pt idx="0">
                  <c:v>Belgija</c:v>
                </c:pt>
                <c:pt idx="1">
                  <c:v>Bugarska</c:v>
                </c:pt>
                <c:pt idx="2">
                  <c:v>Češka</c:v>
                </c:pt>
                <c:pt idx="3">
                  <c:v>Danska</c:v>
                </c:pt>
                <c:pt idx="4">
                  <c:v>Njemačka</c:v>
                </c:pt>
                <c:pt idx="5">
                  <c:v>Estonija</c:v>
                </c:pt>
                <c:pt idx="6">
                  <c:v>Irska</c:v>
                </c:pt>
                <c:pt idx="7">
                  <c:v>Grčka</c:v>
                </c:pt>
                <c:pt idx="8">
                  <c:v>Španjolska</c:v>
                </c:pt>
                <c:pt idx="9">
                  <c:v>Francuska</c:v>
                </c:pt>
                <c:pt idx="10">
                  <c:v>Hrvatska</c:v>
                </c:pt>
                <c:pt idx="11">
                  <c:v>Italija</c:v>
                </c:pt>
                <c:pt idx="12">
                  <c:v>Cipar</c:v>
                </c:pt>
                <c:pt idx="13">
                  <c:v>Latvija</c:v>
                </c:pt>
                <c:pt idx="14">
                  <c:v>Litva</c:v>
                </c:pt>
                <c:pt idx="15">
                  <c:v>Luksemburg</c:v>
                </c:pt>
                <c:pt idx="16">
                  <c:v>Mađarska</c:v>
                </c:pt>
                <c:pt idx="17">
                  <c:v>Malta</c:v>
                </c:pt>
                <c:pt idx="18">
                  <c:v>Nizozemska</c:v>
                </c:pt>
                <c:pt idx="19">
                  <c:v>Austrija</c:v>
                </c:pt>
                <c:pt idx="20">
                  <c:v>Poljska</c:v>
                </c:pt>
                <c:pt idx="21">
                  <c:v>Portugal</c:v>
                </c:pt>
                <c:pt idx="22">
                  <c:v>Rumunjska</c:v>
                </c:pt>
                <c:pt idx="23">
                  <c:v>Slovenija</c:v>
                </c:pt>
                <c:pt idx="24">
                  <c:v>Slovačka</c:v>
                </c:pt>
                <c:pt idx="25">
                  <c:v>Finska</c:v>
                </c:pt>
                <c:pt idx="26">
                  <c:v>Švedska</c:v>
                </c:pt>
                <c:pt idx="27">
                  <c:v>Ujedinjeno Kraljevstvo</c:v>
                </c:pt>
              </c:strCache>
            </c:strRef>
          </c:cat>
          <c:val>
            <c:numRef>
              <c:f>Data!$J$18:$J$45</c:f>
              <c:numCache>
                <c:formatCode>#,##0.0</c:formatCode>
                <c:ptCount val="28"/>
                <c:pt idx="0">
                  <c:v>5.7</c:v>
                </c:pt>
                <c:pt idx="1">
                  <c:v>36.5</c:v>
                </c:pt>
                <c:pt idx="2">
                  <c:v>3.1</c:v>
                </c:pt>
                <c:pt idx="3">
                  <c:v>2.7</c:v>
                </c:pt>
                <c:pt idx="4">
                  <c:v>3.3</c:v>
                </c:pt>
                <c:pt idx="5">
                  <c:v>2.9</c:v>
                </c:pt>
                <c:pt idx="6">
                  <c:v>4.4000000000000004</c:v>
                </c:pt>
                <c:pt idx="7">
                  <c:v>25.7</c:v>
                </c:pt>
                <c:pt idx="8">
                  <c:v>8</c:v>
                </c:pt>
                <c:pt idx="9">
                  <c:v>4.9000000000000004</c:v>
                </c:pt>
                <c:pt idx="10">
                  <c:v>7.4</c:v>
                </c:pt>
                <c:pt idx="11">
                  <c:v>15.2</c:v>
                </c:pt>
                <c:pt idx="12">
                  <c:v>22.9</c:v>
                </c:pt>
                <c:pt idx="13">
                  <c:v>9.6999999999999993</c:v>
                </c:pt>
                <c:pt idx="14">
                  <c:v>28.9</c:v>
                </c:pt>
                <c:pt idx="15">
                  <c:v>1.9</c:v>
                </c:pt>
                <c:pt idx="16">
                  <c:v>6.8</c:v>
                </c:pt>
                <c:pt idx="17">
                  <c:v>6.3</c:v>
                </c:pt>
                <c:pt idx="18">
                  <c:v>2.4</c:v>
                </c:pt>
                <c:pt idx="19">
                  <c:v>2.4</c:v>
                </c:pt>
                <c:pt idx="20">
                  <c:v>6</c:v>
                </c:pt>
                <c:pt idx="21">
                  <c:v>20.399999999999999</c:v>
                </c:pt>
                <c:pt idx="22">
                  <c:v>11.3</c:v>
                </c:pt>
                <c:pt idx="23">
                  <c:v>3.9</c:v>
                </c:pt>
                <c:pt idx="24">
                  <c:v>4.3</c:v>
                </c:pt>
                <c:pt idx="25">
                  <c:v>2</c:v>
                </c:pt>
                <c:pt idx="26">
                  <c:v>2.1</c:v>
                </c:pt>
                <c:pt idx="27">
                  <c:v>5.9</c:v>
                </c:pt>
              </c:numCache>
            </c:numRef>
          </c:val>
          <c:extLst>
            <c:ext xmlns:c16="http://schemas.microsoft.com/office/drawing/2014/chart" uri="{C3380CC4-5D6E-409C-BE32-E72D297353CC}">
              <c16:uniqueId val="{00000002-AB6D-4ED7-BAF7-A6CDB6057C01}"/>
            </c:ext>
          </c:extLst>
        </c:ser>
        <c:dLbls>
          <c:showLegendKey val="0"/>
          <c:showVal val="0"/>
          <c:showCatName val="0"/>
          <c:showSerName val="0"/>
          <c:showPercent val="0"/>
          <c:showBubbleSize val="0"/>
        </c:dLbls>
        <c:gapWidth val="150"/>
        <c:overlap val="-25"/>
        <c:axId val="95832320"/>
        <c:axId val="95846400"/>
      </c:barChart>
      <c:catAx>
        <c:axId val="95832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95846400"/>
        <c:crosses val="autoZero"/>
        <c:auto val="1"/>
        <c:lblAlgn val="ctr"/>
        <c:lblOffset val="100"/>
        <c:noMultiLvlLbl val="0"/>
      </c:catAx>
      <c:valAx>
        <c:axId val="95846400"/>
        <c:scaling>
          <c:orientation val="minMax"/>
        </c:scaling>
        <c:delete val="0"/>
        <c:axPos val="b"/>
        <c:majorGridlines/>
        <c:title>
          <c:tx>
            <c:rich>
              <a:bodyPr/>
              <a:lstStyle/>
              <a:p>
                <a:pPr>
                  <a:defRPr sz="1000" b="0" i="0" u="none" strike="noStrike" baseline="0">
                    <a:solidFill>
                      <a:srgbClr val="333333"/>
                    </a:solidFill>
                    <a:latin typeface="Calibri"/>
                    <a:ea typeface="Calibri"/>
                    <a:cs typeface="Calibri"/>
                  </a:defRPr>
                </a:pPr>
                <a:r>
                  <a:rPr lang="hr-HR"/>
                  <a:t>% stanovništva</a:t>
                </a:r>
              </a:p>
            </c:rich>
          </c:tx>
          <c:overlay val="0"/>
          <c:spPr>
            <a:noFill/>
            <a:ln>
              <a:noFill/>
            </a:ln>
            <a:effectLst/>
          </c:spPr>
        </c:title>
        <c:numFmt formatCode="#,##0.0" sourceLinked="1"/>
        <c:majorTickMark val="out"/>
        <c:minorTickMark val="none"/>
        <c:tickLblPos val="nextTo"/>
        <c:spPr>
          <a:noFill/>
          <a:ln>
            <a:noFill/>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9583232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6ED08B0B460F43A7C3EED10C3F136D" ma:contentTypeVersion="2" ma:contentTypeDescription="Create a new document." ma:contentTypeScope="" ma:versionID="9e8f730b6e7be9cb468bda99e6a79279">
  <xsd:schema xmlns:xsd="http://www.w3.org/2001/XMLSchema" xmlns:xs="http://www.w3.org/2001/XMLSchema" xmlns:p="http://schemas.microsoft.com/office/2006/metadata/properties" xmlns:ns2="e573b0e5-2346-4ce1-b536-9edb871f2142" targetNamespace="http://schemas.microsoft.com/office/2006/metadata/properties" ma:root="true" ma:fieldsID="60aba5785b6a5eb8d7bc962264c6eb72" ns2:_="">
    <xsd:import namespace="e573b0e5-2346-4ce1-b536-9edb871f21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3b0e5-2346-4ce1-b536-9edb871f2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9958A-665E-4A7B-85E3-08C409974C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EACF66-1276-42B0-83F9-E8F34CC27DE8}">
  <ds:schemaRefs>
    <ds:schemaRef ds:uri="http://schemas.microsoft.com/sharepoint/v3/contenttype/forms"/>
  </ds:schemaRefs>
</ds:datastoreItem>
</file>

<file path=customXml/itemProps3.xml><?xml version="1.0" encoding="utf-8"?>
<ds:datastoreItem xmlns:ds="http://schemas.openxmlformats.org/officeDocument/2006/customXml" ds:itemID="{E2EC3E47-A0B3-4E7E-AEC3-6CBBA62B2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3b0e5-2346-4ce1-b536-9edb871f2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C6A31-3563-4FDE-8694-B4F02125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31783</Words>
  <Characters>181167</Characters>
  <Application>Microsoft Office Word</Application>
  <DocSecurity>4</DocSecurity>
  <Lines>1509</Lines>
  <Paragraphs>425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Bukarica</dc:creator>
  <cp:keywords/>
  <cp:lastModifiedBy>Daliborka Nović</cp:lastModifiedBy>
  <cp:revision>2</cp:revision>
  <cp:lastPrinted>2021-09-21T10:08:00Z</cp:lastPrinted>
  <dcterms:created xsi:type="dcterms:W3CDTF">2021-11-15T09:30:00Z</dcterms:created>
  <dcterms:modified xsi:type="dcterms:W3CDTF">2021-11-15T09:30:00Z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0x010100486ED08B0B460F43A7C3EED10C3F136D</vt:lpwstr>
  </property>
</Properties>
</file>