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3736E5" w14:textId="77777777" w:rsidR="002B7685" w:rsidRPr="002B7685" w:rsidRDefault="002B7685" w:rsidP="002B7685">
      <w:pPr>
        <w:spacing w:before="100" w:beforeAutospacing="1" w:after="100" w:afterAutospacing="1" w:line="240" w:lineRule="auto"/>
        <w:jc w:val="center"/>
        <w:rPr>
          <w:rFonts w:ascii="Tahoma" w:eastAsia="Calibri" w:hAnsi="Tahoma" w:cs="Tahoma"/>
          <w:color w:val="000000"/>
          <w:sz w:val="20"/>
          <w:szCs w:val="20"/>
          <w:lang w:eastAsia="hr-HR"/>
        </w:rPr>
      </w:pPr>
      <w:r w:rsidRPr="002B7685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OBRAZLOŽENJE</w:t>
      </w:r>
    </w:p>
    <w:p w14:paraId="2BE67CBB" w14:textId="495009A5" w:rsidR="002B7685" w:rsidRPr="002B7685" w:rsidRDefault="002B7685" w:rsidP="002B7685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2B7685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Uz </w:t>
      </w:r>
      <w:bookmarkStart w:id="0" w:name="_Hlk58237322"/>
      <w:r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Obrazac </w:t>
      </w:r>
      <w:r w:rsidRPr="002B7685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prethodne procjene za Zakon o izmjenama i dopuni Zakona o porezu na dodanu vrijednost</w:t>
      </w:r>
    </w:p>
    <w:bookmarkEnd w:id="0"/>
    <w:p w14:paraId="444BDBD0" w14:textId="1B508329" w:rsidR="002B7685" w:rsidRPr="002B7685" w:rsidRDefault="002B7685" w:rsidP="002B768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Obrazac </w:t>
      </w:r>
      <w:r w:rsidRPr="002B7685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prethodne procjene za Zakon o izmjenama i dopuni Zakona o porezu na dodanu vrijednost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2B7685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objavljen je na stranicama portala e-savjetovanje u razdoblju od 2</w:t>
      </w:r>
      <w:r w:rsidR="008E6748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8</w:t>
      </w:r>
      <w:r w:rsidRPr="002B7685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. veljače do </w:t>
      </w:r>
      <w:r w:rsidR="008B1046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4</w:t>
      </w:r>
      <w:r w:rsidRPr="002B7685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. ožujka 2022. godine. Rok se skraćuje iz razloga što je </w:t>
      </w:r>
      <w:r w:rsidRPr="002B76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donošenje </w:t>
      </w:r>
      <w:r w:rsidRPr="002B7685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Zakon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a</w:t>
      </w:r>
      <w:r w:rsidRPr="002B7685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o izmjenama i dopuni Zakona o porezu na dodanu vrijednost</w:t>
      </w:r>
      <w:r w:rsidRPr="002B76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dio paketa mjera Vlade Republike Hrvatske koje se donose zbog globalnog porasta cijena energenata, </w:t>
      </w:r>
      <w:bookmarkStart w:id="1" w:name="_Hlk93482412"/>
      <w:r w:rsidRPr="002B7685">
        <w:rPr>
          <w:rFonts w:ascii="Times New Roman" w:eastAsia="Times New Roman" w:hAnsi="Times New Roman" w:cs="Times New Roman"/>
          <w:sz w:val="24"/>
          <w:szCs w:val="24"/>
          <w:lang w:eastAsia="hr-HR"/>
        </w:rPr>
        <w:t>u cilju ublažavanja poskupljenja prirodnog plina i očuvanja standarda građana</w:t>
      </w:r>
      <w:bookmarkEnd w:id="1"/>
      <w:r w:rsidRPr="002B7685">
        <w:rPr>
          <w:rFonts w:ascii="Times New Roman" w:eastAsia="Times New Roman" w:hAnsi="Times New Roman" w:cs="Times New Roman"/>
          <w:sz w:val="24"/>
          <w:szCs w:val="24"/>
          <w:lang w:eastAsia="hr-HR"/>
        </w:rPr>
        <w:t>, a koji bi trebao stupiti na snagu 1. travnja 2022. godine.</w:t>
      </w:r>
    </w:p>
    <w:p w14:paraId="2D3C9826" w14:textId="77777777" w:rsidR="002B7685" w:rsidRPr="002B7685" w:rsidRDefault="002B7685" w:rsidP="002B7685">
      <w:pPr>
        <w:spacing w:before="100" w:beforeAutospacing="1" w:after="100" w:afterAutospacing="1" w:line="240" w:lineRule="auto"/>
        <w:ind w:firstLine="708"/>
        <w:jc w:val="both"/>
      </w:pPr>
    </w:p>
    <w:p w14:paraId="3217F36F" w14:textId="77777777" w:rsidR="00F262E4" w:rsidRDefault="00F262E4"/>
    <w:sectPr w:rsidR="00F262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685"/>
    <w:rsid w:val="002B7685"/>
    <w:rsid w:val="008B1046"/>
    <w:rsid w:val="008E6748"/>
    <w:rsid w:val="00F2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3B7FF"/>
  <w15:chartTrackingRefBased/>
  <w15:docId w15:val="{841CB809-AB12-4280-A112-0AD4D33E6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Štefica Oštrec Čunčić</dc:creator>
  <cp:keywords/>
  <dc:description/>
  <cp:lastModifiedBy>Štefica Oštrec Čunčić</cp:lastModifiedBy>
  <cp:revision>3</cp:revision>
  <dcterms:created xsi:type="dcterms:W3CDTF">2022-02-25T08:43:00Z</dcterms:created>
  <dcterms:modified xsi:type="dcterms:W3CDTF">2022-02-28T08:10:00Z</dcterms:modified>
</cp:coreProperties>
</file>