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5B15" w14:textId="3D9F4722" w:rsidR="00BD2E66" w:rsidRPr="00B03C9B" w:rsidRDefault="00BD2E66" w:rsidP="00BB25E0">
      <w:pPr>
        <w:rPr>
          <w:sz w:val="36"/>
          <w:szCs w:val="36"/>
        </w:rPr>
      </w:pPr>
    </w:p>
    <w:p w14:paraId="6AB6FD3B" w14:textId="710E18BF" w:rsidR="00BD2E66" w:rsidRPr="009F67F3" w:rsidRDefault="00BD2E66" w:rsidP="00BB25E0">
      <w:pPr>
        <w:rPr>
          <w:sz w:val="36"/>
          <w:szCs w:val="36"/>
          <w:lang w:eastAsia="hr-HR"/>
        </w:rPr>
      </w:pPr>
    </w:p>
    <w:p w14:paraId="44D841B6" w14:textId="7C5C46A3" w:rsidR="0094510D" w:rsidRDefault="009944F1" w:rsidP="009944F1">
      <w:pPr>
        <w:jc w:val="center"/>
        <w:rPr>
          <w:sz w:val="36"/>
          <w:szCs w:val="36"/>
          <w:lang w:eastAsia="hr-HR"/>
        </w:rPr>
      </w:pPr>
      <w:r>
        <w:rPr>
          <w:b/>
          <w:noProof/>
          <w:sz w:val="36"/>
          <w:szCs w:val="36"/>
          <w:lang w:eastAsia="hr-HR"/>
        </w:rPr>
        <w:drawing>
          <wp:inline distT="0" distB="0" distL="0" distR="0" wp14:anchorId="5EBC7660" wp14:editId="2CDC7970">
            <wp:extent cx="2840990" cy="817245"/>
            <wp:effectExtent l="0" t="0" r="0" b="1905"/>
            <wp:docPr id="18" name="Slika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990" cy="817245"/>
                    </a:xfrm>
                    <a:prstGeom prst="rect">
                      <a:avLst/>
                    </a:prstGeom>
                    <a:noFill/>
                  </pic:spPr>
                </pic:pic>
              </a:graphicData>
            </a:graphic>
          </wp:inline>
        </w:drawing>
      </w:r>
    </w:p>
    <w:p w14:paraId="7B0ED186" w14:textId="77777777" w:rsidR="009944F1" w:rsidRPr="009F67F3" w:rsidRDefault="009944F1" w:rsidP="003448C8">
      <w:pPr>
        <w:jc w:val="center"/>
        <w:rPr>
          <w:sz w:val="36"/>
          <w:szCs w:val="36"/>
          <w:lang w:eastAsia="hr-HR"/>
        </w:rPr>
      </w:pPr>
    </w:p>
    <w:p w14:paraId="4B96767C" w14:textId="664C5BCB" w:rsidR="0094510D" w:rsidRPr="009F67F3" w:rsidRDefault="0094510D" w:rsidP="00BB25E0">
      <w:pPr>
        <w:rPr>
          <w:sz w:val="36"/>
          <w:szCs w:val="36"/>
          <w:lang w:eastAsia="hr-HR"/>
        </w:rPr>
      </w:pPr>
    </w:p>
    <w:p w14:paraId="1A6A7867" w14:textId="56AF0F1B" w:rsidR="0094510D" w:rsidRPr="009F67F3" w:rsidRDefault="0094510D" w:rsidP="00BB25E0">
      <w:pPr>
        <w:rPr>
          <w:sz w:val="36"/>
          <w:szCs w:val="36"/>
          <w:lang w:eastAsia="hr-HR"/>
        </w:rPr>
      </w:pPr>
    </w:p>
    <w:p w14:paraId="05276C63" w14:textId="5475D374" w:rsidR="0094510D" w:rsidRPr="009F67F3" w:rsidRDefault="0094510D" w:rsidP="00BB25E0">
      <w:pPr>
        <w:rPr>
          <w:sz w:val="36"/>
          <w:szCs w:val="36"/>
          <w:lang w:eastAsia="hr-HR"/>
        </w:rPr>
      </w:pPr>
    </w:p>
    <w:p w14:paraId="473DE509" w14:textId="2C886755" w:rsidR="0094510D" w:rsidRPr="009F67F3" w:rsidRDefault="0094510D" w:rsidP="00BB25E0">
      <w:pPr>
        <w:rPr>
          <w:sz w:val="36"/>
          <w:szCs w:val="36"/>
          <w:lang w:eastAsia="hr-HR"/>
        </w:rPr>
      </w:pPr>
    </w:p>
    <w:p w14:paraId="07F0F249" w14:textId="418B9C28" w:rsidR="0094510D" w:rsidRPr="009F67F3" w:rsidRDefault="0094510D" w:rsidP="00BB25E0">
      <w:pPr>
        <w:rPr>
          <w:sz w:val="36"/>
          <w:szCs w:val="36"/>
          <w:lang w:eastAsia="hr-HR"/>
        </w:rPr>
      </w:pPr>
    </w:p>
    <w:p w14:paraId="23F288DE" w14:textId="2A797A6D" w:rsidR="0094510D" w:rsidRPr="009F67F3" w:rsidRDefault="0094510D" w:rsidP="00BB25E0">
      <w:pPr>
        <w:rPr>
          <w:sz w:val="36"/>
          <w:szCs w:val="36"/>
          <w:lang w:eastAsia="hr-HR"/>
        </w:rPr>
      </w:pPr>
    </w:p>
    <w:p w14:paraId="0C472ECB" w14:textId="39D12A82" w:rsidR="0094510D" w:rsidRPr="009F67F3" w:rsidRDefault="0094510D" w:rsidP="00BB25E0">
      <w:pPr>
        <w:rPr>
          <w:sz w:val="36"/>
          <w:szCs w:val="36"/>
          <w:lang w:eastAsia="hr-HR"/>
        </w:rPr>
      </w:pPr>
    </w:p>
    <w:p w14:paraId="650D080A" w14:textId="3FFA4B96" w:rsidR="0094510D" w:rsidRPr="009F67F3" w:rsidRDefault="0094510D" w:rsidP="00111E45">
      <w:pPr>
        <w:jc w:val="center"/>
        <w:rPr>
          <w:sz w:val="36"/>
          <w:szCs w:val="36"/>
          <w:lang w:eastAsia="hr-HR"/>
        </w:rPr>
      </w:pPr>
    </w:p>
    <w:p w14:paraId="00329F2D" w14:textId="38F92A6E" w:rsidR="0094510D" w:rsidRPr="009F67F3" w:rsidRDefault="00E95B58" w:rsidP="00111E45">
      <w:pPr>
        <w:jc w:val="center"/>
        <w:rPr>
          <w:sz w:val="36"/>
          <w:szCs w:val="36"/>
          <w:lang w:eastAsia="hr-HR"/>
        </w:rPr>
      </w:pPr>
      <w:r>
        <w:rPr>
          <w:sz w:val="36"/>
          <w:szCs w:val="36"/>
          <w:lang w:eastAsia="hr-HR"/>
        </w:rPr>
        <w:t xml:space="preserve">Nacrt </w:t>
      </w:r>
      <w:r w:rsidR="00711483">
        <w:rPr>
          <w:sz w:val="36"/>
          <w:szCs w:val="36"/>
          <w:lang w:eastAsia="hr-HR"/>
        </w:rPr>
        <w:t>P</w:t>
      </w:r>
      <w:r>
        <w:rPr>
          <w:sz w:val="36"/>
          <w:szCs w:val="36"/>
          <w:lang w:eastAsia="hr-HR"/>
        </w:rPr>
        <w:t>rograma energetske obnove zgrada javnog sektora za razdoblje do 2030. godine</w:t>
      </w:r>
    </w:p>
    <w:p w14:paraId="79305656" w14:textId="4E6D12AF" w:rsidR="0094510D" w:rsidRPr="009F67F3" w:rsidRDefault="0094510D" w:rsidP="00BB25E0">
      <w:pPr>
        <w:rPr>
          <w:sz w:val="36"/>
          <w:szCs w:val="36"/>
          <w:lang w:eastAsia="hr-HR"/>
        </w:rPr>
      </w:pPr>
    </w:p>
    <w:p w14:paraId="49729DB6" w14:textId="77777777" w:rsidR="0094510D" w:rsidRPr="00B357F4" w:rsidRDefault="0094510D" w:rsidP="00BB25E0">
      <w:pPr>
        <w:rPr>
          <w:sz w:val="36"/>
          <w:szCs w:val="36"/>
        </w:rPr>
      </w:pPr>
    </w:p>
    <w:p w14:paraId="091DC104" w14:textId="77777777" w:rsidR="00BD2E66" w:rsidRPr="00B357F4" w:rsidRDefault="00BD2E66" w:rsidP="00BB25E0">
      <w:pPr>
        <w:rPr>
          <w:sz w:val="36"/>
          <w:szCs w:val="36"/>
        </w:rPr>
      </w:pPr>
    </w:p>
    <w:p w14:paraId="55825E3D" w14:textId="0710727C" w:rsidR="00C84421" w:rsidRPr="00EC457F" w:rsidRDefault="00C84421" w:rsidP="00C84421">
      <w:pPr>
        <w:jc w:val="right"/>
        <w:rPr>
          <w:b/>
          <w:i/>
          <w:color w:val="BE1D2D"/>
          <w:sz w:val="36"/>
          <w:szCs w:val="36"/>
        </w:rPr>
      </w:pPr>
    </w:p>
    <w:p w14:paraId="3D17E7CC" w14:textId="77777777" w:rsidR="00916D2B" w:rsidRPr="00B357F4" w:rsidRDefault="00916D2B" w:rsidP="00D552B6">
      <w:pPr>
        <w:jc w:val="right"/>
        <w:rPr>
          <w:b/>
          <w:color w:val="999999"/>
        </w:rPr>
      </w:pPr>
    </w:p>
    <w:p w14:paraId="59245D9E" w14:textId="5CB33E56" w:rsidR="00916D2B" w:rsidRPr="00EC457F" w:rsidRDefault="00916D2B" w:rsidP="00D552B6">
      <w:pPr>
        <w:jc w:val="right"/>
        <w:rPr>
          <w:b/>
          <w:color w:val="999999"/>
        </w:rPr>
      </w:pPr>
    </w:p>
    <w:p w14:paraId="63284E70" w14:textId="77777777" w:rsidR="00916D2B" w:rsidRPr="00B03C9B" w:rsidRDefault="00916D2B" w:rsidP="00D552B6">
      <w:pPr>
        <w:jc w:val="right"/>
        <w:rPr>
          <w:b/>
          <w:color w:val="999999"/>
        </w:rPr>
      </w:pPr>
    </w:p>
    <w:bookmarkStart w:id="0" w:name="Datum_isporuke"/>
    <w:p w14:paraId="0B922AA5" w14:textId="1C8B58D8" w:rsidR="00916D2B" w:rsidRPr="00EC457F" w:rsidRDefault="00711483" w:rsidP="003448C8">
      <w:pPr>
        <w:jc w:val="center"/>
        <w:rPr>
          <w:b/>
          <w:bCs/>
          <w:color w:val="999999"/>
        </w:rPr>
      </w:pPr>
      <w:sdt>
        <w:sdtPr>
          <w:rPr>
            <w:b/>
            <w:bCs/>
            <w:color w:val="999999"/>
          </w:rPr>
          <w:alias w:val="Datum isporuke"/>
          <w:tag w:val="Rok za isporuku"/>
          <w:id w:val="-726612074"/>
          <w:lock w:val="sdtLocked"/>
          <w:placeholder>
            <w:docPart w:val="CF6BDB43F0B4423C8864AA11E102F824"/>
          </w:placeholder>
          <w:dataBinding w:prefixMappings="xmlns:ns0='http://schemas.microsoft.com/office/2006/coverPageProps' " w:xpath="/ns0:CoverPageProperties[1]/ns0:PublishDate[1]" w:storeItemID="{55AF091B-3C7A-41E3-B477-F2FDAA23CFDA}"/>
          <w:date w:fullDate="2022-03-01T00:00:00Z">
            <w:dateFormat w:val="dd.MM.yyyy"/>
            <w:lid w:val="hr-HR"/>
            <w:storeMappedDataAs w:val="text"/>
            <w:calendar w:val="gregorian"/>
          </w:date>
        </w:sdtPr>
        <w:sdtEndPr/>
        <w:sdtContent>
          <w:r w:rsidR="00786828">
            <w:rPr>
              <w:b/>
              <w:bCs/>
              <w:color w:val="999999"/>
            </w:rPr>
            <w:t>Ožujak,</w:t>
          </w:r>
          <w:r w:rsidR="00D25591">
            <w:rPr>
              <w:b/>
              <w:bCs/>
              <w:color w:val="999999"/>
            </w:rPr>
            <w:t xml:space="preserve"> 202</w:t>
          </w:r>
          <w:r w:rsidR="00482E08">
            <w:rPr>
              <w:b/>
              <w:bCs/>
              <w:color w:val="999999"/>
            </w:rPr>
            <w:t>2</w:t>
          </w:r>
          <w:r w:rsidR="00786828">
            <w:rPr>
              <w:b/>
              <w:bCs/>
              <w:color w:val="999999"/>
            </w:rPr>
            <w:t>.</w:t>
          </w:r>
        </w:sdtContent>
      </w:sdt>
      <w:bookmarkEnd w:id="0"/>
    </w:p>
    <w:bookmarkStart w:id="1" w:name="Naručitelj"/>
    <w:p w14:paraId="017AC3CD" w14:textId="17E92AF2" w:rsidR="00EF1777" w:rsidRPr="00EC457F" w:rsidRDefault="00711483" w:rsidP="003448C8">
      <w:pPr>
        <w:jc w:val="center"/>
        <w:rPr>
          <w:b/>
          <w:color w:val="999999"/>
          <w:szCs w:val="20"/>
        </w:rPr>
      </w:pPr>
      <w:sdt>
        <w:sdtPr>
          <w:rPr>
            <w:b/>
            <w:color w:val="999999"/>
            <w:szCs w:val="20"/>
          </w:rPr>
          <w:alias w:val="Naručitelj"/>
          <w:tag w:val="Ima naručitelja"/>
          <w:id w:val="-1773004515"/>
          <w:lock w:val="sdtLocked"/>
          <w:placeholder>
            <w:docPart w:val="E6652B8FEBF6404F907F0AE3864F656B"/>
          </w:placeholder>
          <w:dataBinding w:prefixMappings="xmlns:ns0='http://schemas.openxmlformats.org/officeDocument/2006/extended-properties' " w:xpath="/ns0:Properties[1]/ns0:Company[1]" w:storeItemID="{6668398D-A668-4E3E-A5EB-62B293D839F1}"/>
          <w:text/>
        </w:sdtPr>
        <w:sdtEndPr/>
        <w:sdtContent>
          <w:r w:rsidR="0042293A">
            <w:rPr>
              <w:b/>
              <w:color w:val="999999"/>
              <w:szCs w:val="20"/>
            </w:rPr>
            <w:t>Ministarstvo prostornoga uređenja, graditeljstva i državne imovine</w:t>
          </w:r>
        </w:sdtContent>
      </w:sdt>
      <w:bookmarkEnd w:id="1"/>
    </w:p>
    <w:p w14:paraId="5DB64A5D" w14:textId="77777777" w:rsidR="00916D2B" w:rsidRPr="00B03C9B" w:rsidRDefault="00916D2B" w:rsidP="00EF1777">
      <w:pPr>
        <w:jc w:val="right"/>
        <w:rPr>
          <w:b/>
          <w:color w:val="999999"/>
        </w:rPr>
      </w:pPr>
    </w:p>
    <w:p w14:paraId="354FC926" w14:textId="77777777" w:rsidR="00916D2B" w:rsidRPr="00B357F4" w:rsidRDefault="00916D2B" w:rsidP="00D552B6">
      <w:pPr>
        <w:jc w:val="right"/>
        <w:rPr>
          <w:b/>
          <w:color w:val="999999"/>
        </w:rPr>
        <w:sectPr w:rsidR="00916D2B" w:rsidRPr="00B357F4" w:rsidSect="00EF1777">
          <w:headerReference w:type="default" r:id="rId13"/>
          <w:footerReference w:type="default" r:id="rId14"/>
          <w:pgSz w:w="11906" w:h="16838" w:code="9"/>
          <w:pgMar w:top="709" w:right="1418" w:bottom="1418" w:left="1418" w:header="567" w:footer="567" w:gutter="0"/>
          <w:pgNumType w:start="1"/>
          <w:cols w:space="708"/>
          <w:titlePg/>
          <w:docGrid w:linePitch="360"/>
        </w:sectPr>
      </w:pPr>
    </w:p>
    <w:p w14:paraId="583349B5" w14:textId="54269BFF" w:rsidR="00A83DF3" w:rsidRDefault="00A83DF3" w:rsidP="00833000">
      <w:pPr>
        <w:rPr>
          <w:color w:val="999999"/>
        </w:rPr>
      </w:pPr>
    </w:p>
    <w:p w14:paraId="683B5CC7" w14:textId="34C021AF" w:rsidR="00250660" w:rsidRPr="00111E45" w:rsidRDefault="00250660" w:rsidP="00250660"/>
    <w:p w14:paraId="49D90E04" w14:textId="26FB8852" w:rsidR="00250660" w:rsidRPr="00111E45" w:rsidRDefault="00250660" w:rsidP="00250660"/>
    <w:p w14:paraId="1AA9759A" w14:textId="7211572E" w:rsidR="00250660" w:rsidRDefault="00250660" w:rsidP="00250660">
      <w:pPr>
        <w:rPr>
          <w:color w:val="999999"/>
        </w:rPr>
      </w:pPr>
    </w:p>
    <w:p w14:paraId="1E4A6F6E" w14:textId="77777777" w:rsidR="00250660" w:rsidRPr="00111E45" w:rsidRDefault="00250660" w:rsidP="00111E45">
      <w:pPr>
        <w:jc w:val="center"/>
      </w:pPr>
    </w:p>
    <w:p w14:paraId="2C4856BB" w14:textId="42F0B83D" w:rsidR="00916D2B" w:rsidRPr="003020E6" w:rsidRDefault="00916D2B" w:rsidP="002C0A66">
      <w:pPr>
        <w:pStyle w:val="Naslov10"/>
        <w:numPr>
          <w:ilvl w:val="0"/>
          <w:numId w:val="0"/>
        </w:numPr>
        <w:ind w:left="432" w:hanging="432"/>
      </w:pPr>
      <w:bookmarkStart w:id="2" w:name="_Toc330545427"/>
      <w:bookmarkStart w:id="3" w:name="_Toc420488804"/>
      <w:bookmarkStart w:id="4" w:name="_Toc424736338"/>
      <w:bookmarkStart w:id="5" w:name="_Toc435172714"/>
      <w:bookmarkStart w:id="6" w:name="_Toc19446354"/>
      <w:bookmarkStart w:id="7" w:name="_Toc72156318"/>
      <w:bookmarkStart w:id="8" w:name="_Toc72492394"/>
      <w:bookmarkStart w:id="9" w:name="_Toc72495742"/>
      <w:bookmarkStart w:id="10" w:name="_Toc94769960"/>
      <w:r w:rsidRPr="00EC457F">
        <w:lastRenderedPageBreak/>
        <w:t>S</w:t>
      </w:r>
      <w:bookmarkEnd w:id="2"/>
      <w:r w:rsidRPr="00EC457F">
        <w:t>adržaj</w:t>
      </w:r>
      <w:bookmarkEnd w:id="3"/>
      <w:bookmarkEnd w:id="4"/>
      <w:bookmarkEnd w:id="5"/>
      <w:bookmarkEnd w:id="6"/>
      <w:bookmarkEnd w:id="7"/>
      <w:bookmarkEnd w:id="8"/>
      <w:bookmarkEnd w:id="9"/>
      <w:bookmarkEnd w:id="10"/>
    </w:p>
    <w:p w14:paraId="4ABF0C36" w14:textId="497D3800" w:rsidR="003448C8" w:rsidRDefault="00916D2B" w:rsidP="00B34789">
      <w:pPr>
        <w:pStyle w:val="Sadraj1"/>
        <w:rPr>
          <w:rFonts w:asciiTheme="minorHAnsi" w:eastAsiaTheme="minorEastAsia" w:hAnsiTheme="minorHAnsi" w:cstheme="minorBidi"/>
          <w:noProof/>
          <w:color w:val="auto"/>
          <w:sz w:val="22"/>
          <w:szCs w:val="22"/>
          <w:lang w:eastAsia="hr-HR"/>
        </w:rPr>
      </w:pPr>
      <w:r w:rsidRPr="00EC457F">
        <w:fldChar w:fldCharType="begin"/>
      </w:r>
      <w:r w:rsidRPr="00B357F4">
        <w:instrText xml:space="preserve"> TOC \o "1-4" \h \z \u </w:instrText>
      </w:r>
      <w:r w:rsidRPr="00EC457F">
        <w:fldChar w:fldCharType="separate"/>
      </w:r>
      <w:hyperlink w:anchor="_Toc94769960" w:history="1">
        <w:r w:rsidR="003448C8" w:rsidRPr="00F57D55">
          <w:rPr>
            <w:rStyle w:val="Hiperveza"/>
            <w:noProof/>
          </w:rPr>
          <w:t>Sadržaj</w:t>
        </w:r>
        <w:r w:rsidR="003448C8">
          <w:rPr>
            <w:noProof/>
            <w:webHidden/>
          </w:rPr>
          <w:tab/>
        </w:r>
        <w:r w:rsidR="003448C8">
          <w:rPr>
            <w:noProof/>
            <w:webHidden/>
          </w:rPr>
          <w:fldChar w:fldCharType="begin"/>
        </w:r>
        <w:r w:rsidR="003448C8">
          <w:rPr>
            <w:noProof/>
            <w:webHidden/>
          </w:rPr>
          <w:instrText xml:space="preserve"> PAGEREF _Toc94769960 \h </w:instrText>
        </w:r>
        <w:r w:rsidR="003448C8">
          <w:rPr>
            <w:noProof/>
            <w:webHidden/>
          </w:rPr>
        </w:r>
        <w:r w:rsidR="003448C8">
          <w:rPr>
            <w:noProof/>
            <w:webHidden/>
          </w:rPr>
          <w:fldChar w:fldCharType="separate"/>
        </w:r>
        <w:r w:rsidR="0023635D">
          <w:rPr>
            <w:noProof/>
            <w:webHidden/>
          </w:rPr>
          <w:t>3</w:t>
        </w:r>
        <w:r w:rsidR="003448C8">
          <w:rPr>
            <w:noProof/>
            <w:webHidden/>
          </w:rPr>
          <w:fldChar w:fldCharType="end"/>
        </w:r>
      </w:hyperlink>
    </w:p>
    <w:p w14:paraId="1E445148" w14:textId="0ABE712C"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61" w:history="1">
        <w:r w:rsidR="003448C8" w:rsidRPr="00F57D55">
          <w:rPr>
            <w:rStyle w:val="Hiperveza"/>
            <w:noProof/>
          </w:rPr>
          <w:t>Popis kratica</w:t>
        </w:r>
        <w:r w:rsidR="003448C8">
          <w:rPr>
            <w:noProof/>
            <w:webHidden/>
          </w:rPr>
          <w:tab/>
        </w:r>
        <w:r w:rsidR="003448C8">
          <w:rPr>
            <w:noProof/>
            <w:webHidden/>
          </w:rPr>
          <w:fldChar w:fldCharType="begin"/>
        </w:r>
        <w:r w:rsidR="003448C8">
          <w:rPr>
            <w:noProof/>
            <w:webHidden/>
          </w:rPr>
          <w:instrText xml:space="preserve"> PAGEREF _Toc94769961 \h </w:instrText>
        </w:r>
        <w:r w:rsidR="003448C8">
          <w:rPr>
            <w:noProof/>
            <w:webHidden/>
          </w:rPr>
        </w:r>
        <w:r w:rsidR="003448C8">
          <w:rPr>
            <w:noProof/>
            <w:webHidden/>
          </w:rPr>
          <w:fldChar w:fldCharType="separate"/>
        </w:r>
        <w:r w:rsidR="0023635D">
          <w:rPr>
            <w:noProof/>
            <w:webHidden/>
          </w:rPr>
          <w:t>7</w:t>
        </w:r>
        <w:r w:rsidR="003448C8">
          <w:rPr>
            <w:noProof/>
            <w:webHidden/>
          </w:rPr>
          <w:fldChar w:fldCharType="end"/>
        </w:r>
      </w:hyperlink>
    </w:p>
    <w:p w14:paraId="3DEEEC95" w14:textId="28C5DB0E"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62" w:history="1">
        <w:r w:rsidR="003448C8" w:rsidRPr="00F57D55">
          <w:rPr>
            <w:rStyle w:val="Hiperveza"/>
            <w:noProof/>
          </w:rPr>
          <w:t>Sažetak</w:t>
        </w:r>
        <w:r w:rsidR="003448C8">
          <w:rPr>
            <w:noProof/>
            <w:webHidden/>
          </w:rPr>
          <w:tab/>
        </w:r>
        <w:r w:rsidR="003448C8">
          <w:rPr>
            <w:noProof/>
            <w:webHidden/>
          </w:rPr>
          <w:fldChar w:fldCharType="begin"/>
        </w:r>
        <w:r w:rsidR="003448C8">
          <w:rPr>
            <w:noProof/>
            <w:webHidden/>
          </w:rPr>
          <w:instrText xml:space="preserve"> PAGEREF _Toc94769962 \h </w:instrText>
        </w:r>
        <w:r w:rsidR="003448C8">
          <w:rPr>
            <w:noProof/>
            <w:webHidden/>
          </w:rPr>
        </w:r>
        <w:r w:rsidR="003448C8">
          <w:rPr>
            <w:noProof/>
            <w:webHidden/>
          </w:rPr>
          <w:fldChar w:fldCharType="separate"/>
        </w:r>
        <w:r w:rsidR="0023635D">
          <w:rPr>
            <w:noProof/>
            <w:webHidden/>
          </w:rPr>
          <w:t>9</w:t>
        </w:r>
        <w:r w:rsidR="003448C8">
          <w:rPr>
            <w:noProof/>
            <w:webHidden/>
          </w:rPr>
          <w:fldChar w:fldCharType="end"/>
        </w:r>
      </w:hyperlink>
    </w:p>
    <w:p w14:paraId="11F6D72A" w14:textId="1FAC9423"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63" w:history="1">
        <w:r w:rsidR="003448C8" w:rsidRPr="00F57D55">
          <w:rPr>
            <w:rStyle w:val="Hiperveza"/>
            <w:noProof/>
          </w:rPr>
          <w:t>1</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Uvod</w:t>
        </w:r>
        <w:r w:rsidR="003448C8">
          <w:rPr>
            <w:noProof/>
            <w:webHidden/>
          </w:rPr>
          <w:tab/>
        </w:r>
        <w:r w:rsidR="003448C8">
          <w:rPr>
            <w:noProof/>
            <w:webHidden/>
          </w:rPr>
          <w:fldChar w:fldCharType="begin"/>
        </w:r>
        <w:r w:rsidR="003448C8">
          <w:rPr>
            <w:noProof/>
            <w:webHidden/>
          </w:rPr>
          <w:instrText xml:space="preserve"> PAGEREF _Toc94769963 \h </w:instrText>
        </w:r>
        <w:r w:rsidR="003448C8">
          <w:rPr>
            <w:noProof/>
            <w:webHidden/>
          </w:rPr>
        </w:r>
        <w:r w:rsidR="003448C8">
          <w:rPr>
            <w:noProof/>
            <w:webHidden/>
          </w:rPr>
          <w:fldChar w:fldCharType="separate"/>
        </w:r>
        <w:r w:rsidR="0023635D">
          <w:rPr>
            <w:noProof/>
            <w:webHidden/>
          </w:rPr>
          <w:t>11</w:t>
        </w:r>
        <w:r w:rsidR="003448C8">
          <w:rPr>
            <w:noProof/>
            <w:webHidden/>
          </w:rPr>
          <w:fldChar w:fldCharType="end"/>
        </w:r>
      </w:hyperlink>
    </w:p>
    <w:p w14:paraId="45A9213A" w14:textId="525418EA"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64" w:history="1">
        <w:r w:rsidR="003448C8" w:rsidRPr="00F57D55">
          <w:rPr>
            <w:rStyle w:val="Hiperveza"/>
            <w:noProof/>
          </w:rPr>
          <w:t>2</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Okvir izrade programa</w:t>
        </w:r>
        <w:r w:rsidR="003448C8">
          <w:rPr>
            <w:noProof/>
            <w:webHidden/>
          </w:rPr>
          <w:tab/>
        </w:r>
        <w:r w:rsidR="003448C8">
          <w:rPr>
            <w:noProof/>
            <w:webHidden/>
          </w:rPr>
          <w:fldChar w:fldCharType="begin"/>
        </w:r>
        <w:r w:rsidR="003448C8">
          <w:rPr>
            <w:noProof/>
            <w:webHidden/>
          </w:rPr>
          <w:instrText xml:space="preserve"> PAGEREF _Toc94769964 \h </w:instrText>
        </w:r>
        <w:r w:rsidR="003448C8">
          <w:rPr>
            <w:noProof/>
            <w:webHidden/>
          </w:rPr>
        </w:r>
        <w:r w:rsidR="003448C8">
          <w:rPr>
            <w:noProof/>
            <w:webHidden/>
          </w:rPr>
          <w:fldChar w:fldCharType="separate"/>
        </w:r>
        <w:r w:rsidR="0023635D">
          <w:rPr>
            <w:noProof/>
            <w:webHidden/>
          </w:rPr>
          <w:t>13</w:t>
        </w:r>
        <w:r w:rsidR="003448C8">
          <w:rPr>
            <w:noProof/>
            <w:webHidden/>
          </w:rPr>
          <w:fldChar w:fldCharType="end"/>
        </w:r>
      </w:hyperlink>
    </w:p>
    <w:p w14:paraId="046C860A" w14:textId="3BE1DB8E" w:rsidR="003448C8" w:rsidRDefault="00711483">
      <w:pPr>
        <w:pStyle w:val="Sadraj2"/>
        <w:rPr>
          <w:rFonts w:asciiTheme="minorHAnsi" w:eastAsiaTheme="minorEastAsia" w:hAnsiTheme="minorHAnsi" w:cstheme="minorBidi"/>
          <w:b w:val="0"/>
          <w:smallCaps w:val="0"/>
          <w:noProof/>
          <w:lang w:eastAsia="hr-HR"/>
        </w:rPr>
      </w:pPr>
      <w:hyperlink w:anchor="_Toc94769965" w:history="1">
        <w:r w:rsidR="003448C8" w:rsidRPr="00F57D55">
          <w:rPr>
            <w:rStyle w:val="Hiperveza"/>
            <w:noProof/>
          </w:rPr>
          <w:t>2.1</w:t>
        </w:r>
        <w:r w:rsidR="003448C8">
          <w:rPr>
            <w:rFonts w:asciiTheme="minorHAnsi" w:eastAsiaTheme="minorEastAsia" w:hAnsiTheme="minorHAnsi" w:cstheme="minorBidi"/>
            <w:b w:val="0"/>
            <w:smallCaps w:val="0"/>
            <w:noProof/>
            <w:lang w:eastAsia="hr-HR"/>
          </w:rPr>
          <w:tab/>
        </w:r>
        <w:r w:rsidR="003448C8" w:rsidRPr="00F57D55">
          <w:rPr>
            <w:rStyle w:val="Hiperveza"/>
            <w:noProof/>
          </w:rPr>
          <w:t>Pregled zakonodavstva u kontekstu energetske učinkovitosti na nacionalnoj i eu razini</w:t>
        </w:r>
        <w:r w:rsidR="003448C8">
          <w:rPr>
            <w:noProof/>
            <w:webHidden/>
          </w:rPr>
          <w:tab/>
        </w:r>
        <w:r w:rsidR="003448C8">
          <w:rPr>
            <w:noProof/>
            <w:webHidden/>
          </w:rPr>
          <w:fldChar w:fldCharType="begin"/>
        </w:r>
        <w:r w:rsidR="003448C8">
          <w:rPr>
            <w:noProof/>
            <w:webHidden/>
          </w:rPr>
          <w:instrText xml:space="preserve"> PAGEREF _Toc94769965 \h </w:instrText>
        </w:r>
        <w:r w:rsidR="003448C8">
          <w:rPr>
            <w:noProof/>
            <w:webHidden/>
          </w:rPr>
        </w:r>
        <w:r w:rsidR="003448C8">
          <w:rPr>
            <w:noProof/>
            <w:webHidden/>
          </w:rPr>
          <w:fldChar w:fldCharType="separate"/>
        </w:r>
        <w:r w:rsidR="0023635D">
          <w:rPr>
            <w:noProof/>
            <w:webHidden/>
          </w:rPr>
          <w:t>13</w:t>
        </w:r>
        <w:r w:rsidR="003448C8">
          <w:rPr>
            <w:noProof/>
            <w:webHidden/>
          </w:rPr>
          <w:fldChar w:fldCharType="end"/>
        </w:r>
      </w:hyperlink>
    </w:p>
    <w:p w14:paraId="525EEA8C" w14:textId="2D0BB2B0" w:rsidR="003448C8" w:rsidRDefault="00711483">
      <w:pPr>
        <w:pStyle w:val="Sadraj3"/>
        <w:rPr>
          <w:rFonts w:asciiTheme="minorHAnsi" w:eastAsiaTheme="minorEastAsia" w:hAnsiTheme="minorHAnsi" w:cstheme="minorBidi"/>
          <w:noProof/>
          <w:sz w:val="22"/>
          <w:szCs w:val="22"/>
          <w:lang w:eastAsia="hr-HR"/>
        </w:rPr>
      </w:pPr>
      <w:hyperlink w:anchor="_Toc94769966" w:history="1">
        <w:r w:rsidR="003448C8" w:rsidRPr="00F57D55">
          <w:rPr>
            <w:rStyle w:val="Hiperveza"/>
            <w:noProof/>
          </w:rPr>
          <w:t>2.1.1</w:t>
        </w:r>
        <w:r w:rsidR="003448C8">
          <w:rPr>
            <w:rFonts w:asciiTheme="minorHAnsi" w:eastAsiaTheme="minorEastAsia" w:hAnsiTheme="minorHAnsi" w:cstheme="minorBidi"/>
            <w:noProof/>
            <w:sz w:val="22"/>
            <w:szCs w:val="22"/>
            <w:lang w:eastAsia="hr-HR"/>
          </w:rPr>
          <w:tab/>
        </w:r>
        <w:r w:rsidR="003448C8" w:rsidRPr="00F57D55">
          <w:rPr>
            <w:rStyle w:val="Hiperveza"/>
            <w:noProof/>
          </w:rPr>
          <w:t>EU zakonodavstvo iz područja energetske učinkovitosti</w:t>
        </w:r>
        <w:r w:rsidR="003448C8">
          <w:rPr>
            <w:noProof/>
            <w:webHidden/>
          </w:rPr>
          <w:tab/>
        </w:r>
        <w:r w:rsidR="003448C8">
          <w:rPr>
            <w:noProof/>
            <w:webHidden/>
          </w:rPr>
          <w:fldChar w:fldCharType="begin"/>
        </w:r>
        <w:r w:rsidR="003448C8">
          <w:rPr>
            <w:noProof/>
            <w:webHidden/>
          </w:rPr>
          <w:instrText xml:space="preserve"> PAGEREF _Toc94769966 \h </w:instrText>
        </w:r>
        <w:r w:rsidR="003448C8">
          <w:rPr>
            <w:noProof/>
            <w:webHidden/>
          </w:rPr>
        </w:r>
        <w:r w:rsidR="003448C8">
          <w:rPr>
            <w:noProof/>
            <w:webHidden/>
          </w:rPr>
          <w:fldChar w:fldCharType="separate"/>
        </w:r>
        <w:r w:rsidR="0023635D">
          <w:rPr>
            <w:noProof/>
            <w:webHidden/>
          </w:rPr>
          <w:t>13</w:t>
        </w:r>
        <w:r w:rsidR="003448C8">
          <w:rPr>
            <w:noProof/>
            <w:webHidden/>
          </w:rPr>
          <w:fldChar w:fldCharType="end"/>
        </w:r>
      </w:hyperlink>
    </w:p>
    <w:p w14:paraId="1E58F08D" w14:textId="181A6ABF" w:rsidR="003448C8" w:rsidRDefault="00711483">
      <w:pPr>
        <w:pStyle w:val="Sadraj3"/>
        <w:rPr>
          <w:rFonts w:asciiTheme="minorHAnsi" w:eastAsiaTheme="minorEastAsia" w:hAnsiTheme="minorHAnsi" w:cstheme="minorBidi"/>
          <w:noProof/>
          <w:sz w:val="22"/>
          <w:szCs w:val="22"/>
          <w:lang w:eastAsia="hr-HR"/>
        </w:rPr>
      </w:pPr>
      <w:hyperlink w:anchor="_Toc94769967" w:history="1">
        <w:r w:rsidR="003448C8" w:rsidRPr="00F57D55">
          <w:rPr>
            <w:rStyle w:val="Hiperveza"/>
            <w:noProof/>
          </w:rPr>
          <w:t>2.1.2</w:t>
        </w:r>
        <w:r w:rsidR="003448C8">
          <w:rPr>
            <w:rFonts w:asciiTheme="minorHAnsi" w:eastAsiaTheme="minorEastAsia" w:hAnsiTheme="minorHAnsi" w:cstheme="minorBidi"/>
            <w:noProof/>
            <w:sz w:val="22"/>
            <w:szCs w:val="22"/>
            <w:lang w:eastAsia="hr-HR"/>
          </w:rPr>
          <w:tab/>
        </w:r>
        <w:r w:rsidR="003448C8" w:rsidRPr="00F57D55">
          <w:rPr>
            <w:rStyle w:val="Hiperveza"/>
            <w:noProof/>
          </w:rPr>
          <w:t>Nacionalno zakonodavstvo iz područja energetske učinkovitosti</w:t>
        </w:r>
        <w:r w:rsidR="003448C8">
          <w:rPr>
            <w:noProof/>
            <w:webHidden/>
          </w:rPr>
          <w:tab/>
        </w:r>
        <w:r w:rsidR="003448C8">
          <w:rPr>
            <w:noProof/>
            <w:webHidden/>
          </w:rPr>
          <w:fldChar w:fldCharType="begin"/>
        </w:r>
        <w:r w:rsidR="003448C8">
          <w:rPr>
            <w:noProof/>
            <w:webHidden/>
          </w:rPr>
          <w:instrText xml:space="preserve"> PAGEREF _Toc94769967 \h </w:instrText>
        </w:r>
        <w:r w:rsidR="003448C8">
          <w:rPr>
            <w:noProof/>
            <w:webHidden/>
          </w:rPr>
        </w:r>
        <w:r w:rsidR="003448C8">
          <w:rPr>
            <w:noProof/>
            <w:webHidden/>
          </w:rPr>
          <w:fldChar w:fldCharType="separate"/>
        </w:r>
        <w:r w:rsidR="0023635D">
          <w:rPr>
            <w:noProof/>
            <w:webHidden/>
          </w:rPr>
          <w:t>15</w:t>
        </w:r>
        <w:r w:rsidR="003448C8">
          <w:rPr>
            <w:noProof/>
            <w:webHidden/>
          </w:rPr>
          <w:fldChar w:fldCharType="end"/>
        </w:r>
      </w:hyperlink>
    </w:p>
    <w:p w14:paraId="55111615" w14:textId="1EE5EDC0" w:rsidR="003448C8" w:rsidRDefault="00711483">
      <w:pPr>
        <w:pStyle w:val="Sadraj2"/>
        <w:rPr>
          <w:rFonts w:asciiTheme="minorHAnsi" w:eastAsiaTheme="minorEastAsia" w:hAnsiTheme="minorHAnsi" w:cstheme="minorBidi"/>
          <w:b w:val="0"/>
          <w:smallCaps w:val="0"/>
          <w:noProof/>
          <w:lang w:eastAsia="hr-HR"/>
        </w:rPr>
      </w:pPr>
      <w:hyperlink w:anchor="_Toc94769968" w:history="1">
        <w:r w:rsidR="003448C8" w:rsidRPr="00F57D55">
          <w:rPr>
            <w:rStyle w:val="Hiperveza"/>
            <w:noProof/>
          </w:rPr>
          <w:t>2.2</w:t>
        </w:r>
        <w:r w:rsidR="003448C8">
          <w:rPr>
            <w:rFonts w:asciiTheme="minorHAnsi" w:eastAsiaTheme="minorEastAsia" w:hAnsiTheme="minorHAnsi" w:cstheme="minorBidi"/>
            <w:b w:val="0"/>
            <w:smallCaps w:val="0"/>
            <w:noProof/>
            <w:lang w:eastAsia="hr-HR"/>
          </w:rPr>
          <w:tab/>
        </w:r>
        <w:r w:rsidR="003448C8" w:rsidRPr="00F57D55">
          <w:rPr>
            <w:rStyle w:val="Hiperveza"/>
            <w:noProof/>
          </w:rPr>
          <w:t>Usklađenost Programa s Nacionalnom razvojnom strategijom, sektorskim i višesektorskim strategijama te dokumentima prostornoga uređenja</w:t>
        </w:r>
        <w:r w:rsidR="003448C8">
          <w:rPr>
            <w:noProof/>
            <w:webHidden/>
          </w:rPr>
          <w:tab/>
        </w:r>
        <w:r w:rsidR="003448C8">
          <w:rPr>
            <w:noProof/>
            <w:webHidden/>
          </w:rPr>
          <w:fldChar w:fldCharType="begin"/>
        </w:r>
        <w:r w:rsidR="003448C8">
          <w:rPr>
            <w:noProof/>
            <w:webHidden/>
          </w:rPr>
          <w:instrText xml:space="preserve"> PAGEREF _Toc94769968 \h </w:instrText>
        </w:r>
        <w:r w:rsidR="003448C8">
          <w:rPr>
            <w:noProof/>
            <w:webHidden/>
          </w:rPr>
        </w:r>
        <w:r w:rsidR="003448C8">
          <w:rPr>
            <w:noProof/>
            <w:webHidden/>
          </w:rPr>
          <w:fldChar w:fldCharType="separate"/>
        </w:r>
        <w:r w:rsidR="0023635D">
          <w:rPr>
            <w:noProof/>
            <w:webHidden/>
          </w:rPr>
          <w:t>17</w:t>
        </w:r>
        <w:r w:rsidR="003448C8">
          <w:rPr>
            <w:noProof/>
            <w:webHidden/>
          </w:rPr>
          <w:fldChar w:fldCharType="end"/>
        </w:r>
      </w:hyperlink>
    </w:p>
    <w:p w14:paraId="0B88FAB3" w14:textId="7B6515A5"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69" w:history="1">
        <w:r w:rsidR="003448C8" w:rsidRPr="00F57D55">
          <w:rPr>
            <w:rStyle w:val="Hiperveza"/>
            <w:noProof/>
          </w:rPr>
          <w:t>3</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Pregled nacionalnog fonda zgrada javnog sektora</w:t>
        </w:r>
        <w:r w:rsidR="003448C8">
          <w:rPr>
            <w:noProof/>
            <w:webHidden/>
          </w:rPr>
          <w:tab/>
        </w:r>
        <w:r w:rsidR="003448C8">
          <w:rPr>
            <w:noProof/>
            <w:webHidden/>
          </w:rPr>
          <w:fldChar w:fldCharType="begin"/>
        </w:r>
        <w:r w:rsidR="003448C8">
          <w:rPr>
            <w:noProof/>
            <w:webHidden/>
          </w:rPr>
          <w:instrText xml:space="preserve"> PAGEREF _Toc94769969 \h </w:instrText>
        </w:r>
        <w:r w:rsidR="003448C8">
          <w:rPr>
            <w:noProof/>
            <w:webHidden/>
          </w:rPr>
        </w:r>
        <w:r w:rsidR="003448C8">
          <w:rPr>
            <w:noProof/>
            <w:webHidden/>
          </w:rPr>
          <w:fldChar w:fldCharType="separate"/>
        </w:r>
        <w:r w:rsidR="0023635D">
          <w:rPr>
            <w:noProof/>
            <w:webHidden/>
          </w:rPr>
          <w:t>20</w:t>
        </w:r>
        <w:r w:rsidR="003448C8">
          <w:rPr>
            <w:noProof/>
            <w:webHidden/>
          </w:rPr>
          <w:fldChar w:fldCharType="end"/>
        </w:r>
      </w:hyperlink>
    </w:p>
    <w:p w14:paraId="21065B0E" w14:textId="408EDD30" w:rsidR="003448C8" w:rsidRDefault="00711483">
      <w:pPr>
        <w:pStyle w:val="Sadraj2"/>
        <w:rPr>
          <w:rFonts w:asciiTheme="minorHAnsi" w:eastAsiaTheme="minorEastAsia" w:hAnsiTheme="minorHAnsi" w:cstheme="minorBidi"/>
          <w:b w:val="0"/>
          <w:smallCaps w:val="0"/>
          <w:noProof/>
          <w:lang w:eastAsia="hr-HR"/>
        </w:rPr>
      </w:pPr>
      <w:hyperlink w:anchor="_Toc94769970" w:history="1">
        <w:r w:rsidR="003448C8" w:rsidRPr="00F57D55">
          <w:rPr>
            <w:rStyle w:val="Hiperveza"/>
            <w:noProof/>
          </w:rPr>
          <w:t>3.1</w:t>
        </w:r>
        <w:r w:rsidR="003448C8">
          <w:rPr>
            <w:rFonts w:asciiTheme="minorHAnsi" w:eastAsiaTheme="minorEastAsia" w:hAnsiTheme="minorHAnsi" w:cstheme="minorBidi"/>
            <w:b w:val="0"/>
            <w:smallCaps w:val="0"/>
            <w:noProof/>
            <w:lang w:eastAsia="hr-HR"/>
          </w:rPr>
          <w:tab/>
        </w:r>
        <w:r w:rsidR="003448C8" w:rsidRPr="00F57D55">
          <w:rPr>
            <w:rStyle w:val="Hiperveza"/>
            <w:noProof/>
          </w:rPr>
          <w:t>Broj i tipologija zgrada javnog sektora</w:t>
        </w:r>
        <w:r w:rsidR="003448C8">
          <w:rPr>
            <w:noProof/>
            <w:webHidden/>
          </w:rPr>
          <w:tab/>
        </w:r>
        <w:r w:rsidR="003448C8">
          <w:rPr>
            <w:noProof/>
            <w:webHidden/>
          </w:rPr>
          <w:fldChar w:fldCharType="begin"/>
        </w:r>
        <w:r w:rsidR="003448C8">
          <w:rPr>
            <w:noProof/>
            <w:webHidden/>
          </w:rPr>
          <w:instrText xml:space="preserve"> PAGEREF _Toc94769970 \h </w:instrText>
        </w:r>
        <w:r w:rsidR="003448C8">
          <w:rPr>
            <w:noProof/>
            <w:webHidden/>
          </w:rPr>
        </w:r>
        <w:r w:rsidR="003448C8">
          <w:rPr>
            <w:noProof/>
            <w:webHidden/>
          </w:rPr>
          <w:fldChar w:fldCharType="separate"/>
        </w:r>
        <w:r w:rsidR="0023635D">
          <w:rPr>
            <w:noProof/>
            <w:webHidden/>
          </w:rPr>
          <w:t>20</w:t>
        </w:r>
        <w:r w:rsidR="003448C8">
          <w:rPr>
            <w:noProof/>
            <w:webHidden/>
          </w:rPr>
          <w:fldChar w:fldCharType="end"/>
        </w:r>
      </w:hyperlink>
    </w:p>
    <w:p w14:paraId="0BDFDA24" w14:textId="75AC8C9A" w:rsidR="003448C8" w:rsidRDefault="00711483">
      <w:pPr>
        <w:pStyle w:val="Sadraj2"/>
        <w:rPr>
          <w:rFonts w:asciiTheme="minorHAnsi" w:eastAsiaTheme="minorEastAsia" w:hAnsiTheme="minorHAnsi" w:cstheme="minorBidi"/>
          <w:b w:val="0"/>
          <w:smallCaps w:val="0"/>
          <w:noProof/>
          <w:lang w:eastAsia="hr-HR"/>
        </w:rPr>
      </w:pPr>
      <w:hyperlink w:anchor="_Toc94769971" w:history="1">
        <w:r w:rsidR="003448C8" w:rsidRPr="00F57D55">
          <w:rPr>
            <w:rStyle w:val="Hiperveza"/>
            <w:noProof/>
          </w:rPr>
          <w:t>3.2</w:t>
        </w:r>
        <w:r w:rsidR="003448C8">
          <w:rPr>
            <w:rFonts w:asciiTheme="minorHAnsi" w:eastAsiaTheme="minorEastAsia" w:hAnsiTheme="minorHAnsi" w:cstheme="minorBidi"/>
            <w:b w:val="0"/>
            <w:smallCaps w:val="0"/>
            <w:noProof/>
            <w:lang w:eastAsia="hr-HR"/>
          </w:rPr>
          <w:tab/>
        </w:r>
        <w:r w:rsidR="003448C8" w:rsidRPr="00F57D55">
          <w:rPr>
            <w:rStyle w:val="Hiperveza"/>
            <w:noProof/>
          </w:rPr>
          <w:t>Podjela zgrada na zgrade središnje državne uprave, jedinice lokalne (regionalne) samouprave i zgrade tvrtki u javnom vlasništvu, prema namjeni i razdoblju gradnje</w:t>
        </w:r>
        <w:r w:rsidR="003448C8">
          <w:rPr>
            <w:noProof/>
            <w:webHidden/>
          </w:rPr>
          <w:tab/>
        </w:r>
        <w:r w:rsidR="003448C8">
          <w:rPr>
            <w:noProof/>
            <w:webHidden/>
          </w:rPr>
          <w:fldChar w:fldCharType="begin"/>
        </w:r>
        <w:r w:rsidR="003448C8">
          <w:rPr>
            <w:noProof/>
            <w:webHidden/>
          </w:rPr>
          <w:instrText xml:space="preserve"> PAGEREF _Toc94769971 \h </w:instrText>
        </w:r>
        <w:r w:rsidR="003448C8">
          <w:rPr>
            <w:noProof/>
            <w:webHidden/>
          </w:rPr>
        </w:r>
        <w:r w:rsidR="003448C8">
          <w:rPr>
            <w:noProof/>
            <w:webHidden/>
          </w:rPr>
          <w:fldChar w:fldCharType="separate"/>
        </w:r>
        <w:r w:rsidR="0023635D">
          <w:rPr>
            <w:noProof/>
            <w:webHidden/>
          </w:rPr>
          <w:t>20</w:t>
        </w:r>
        <w:r w:rsidR="003448C8">
          <w:rPr>
            <w:noProof/>
            <w:webHidden/>
          </w:rPr>
          <w:fldChar w:fldCharType="end"/>
        </w:r>
      </w:hyperlink>
    </w:p>
    <w:p w14:paraId="25C05772" w14:textId="0D54FB0E" w:rsidR="003448C8" w:rsidRDefault="00711483">
      <w:pPr>
        <w:pStyle w:val="Sadraj2"/>
        <w:rPr>
          <w:rFonts w:asciiTheme="minorHAnsi" w:eastAsiaTheme="minorEastAsia" w:hAnsiTheme="minorHAnsi" w:cstheme="minorBidi"/>
          <w:b w:val="0"/>
          <w:smallCaps w:val="0"/>
          <w:noProof/>
          <w:lang w:eastAsia="hr-HR"/>
        </w:rPr>
      </w:pPr>
      <w:hyperlink w:anchor="_Toc94769972" w:history="1">
        <w:r w:rsidR="003448C8" w:rsidRPr="00F57D55">
          <w:rPr>
            <w:rStyle w:val="Hiperveza"/>
            <w:noProof/>
          </w:rPr>
          <w:t>3.3</w:t>
        </w:r>
        <w:r w:rsidR="003448C8">
          <w:rPr>
            <w:rFonts w:asciiTheme="minorHAnsi" w:eastAsiaTheme="minorEastAsia" w:hAnsiTheme="minorHAnsi" w:cstheme="minorBidi"/>
            <w:b w:val="0"/>
            <w:smallCaps w:val="0"/>
            <w:noProof/>
            <w:lang w:eastAsia="hr-HR"/>
          </w:rPr>
          <w:tab/>
        </w:r>
        <w:r w:rsidR="003448C8" w:rsidRPr="00F57D55">
          <w:rPr>
            <w:rStyle w:val="Hiperveza"/>
            <w:noProof/>
          </w:rPr>
          <w:t>Udio zgrada sa statusom kulturnog dobra</w:t>
        </w:r>
        <w:r w:rsidR="003448C8">
          <w:rPr>
            <w:noProof/>
            <w:webHidden/>
          </w:rPr>
          <w:tab/>
        </w:r>
        <w:r w:rsidR="003448C8">
          <w:rPr>
            <w:noProof/>
            <w:webHidden/>
          </w:rPr>
          <w:fldChar w:fldCharType="begin"/>
        </w:r>
        <w:r w:rsidR="003448C8">
          <w:rPr>
            <w:noProof/>
            <w:webHidden/>
          </w:rPr>
          <w:instrText xml:space="preserve"> PAGEREF _Toc94769972 \h </w:instrText>
        </w:r>
        <w:r w:rsidR="003448C8">
          <w:rPr>
            <w:noProof/>
            <w:webHidden/>
          </w:rPr>
        </w:r>
        <w:r w:rsidR="003448C8">
          <w:rPr>
            <w:noProof/>
            <w:webHidden/>
          </w:rPr>
          <w:fldChar w:fldCharType="separate"/>
        </w:r>
        <w:r w:rsidR="0023635D">
          <w:rPr>
            <w:noProof/>
            <w:webHidden/>
          </w:rPr>
          <w:t>22</w:t>
        </w:r>
        <w:r w:rsidR="003448C8">
          <w:rPr>
            <w:noProof/>
            <w:webHidden/>
          </w:rPr>
          <w:fldChar w:fldCharType="end"/>
        </w:r>
      </w:hyperlink>
    </w:p>
    <w:p w14:paraId="5EE76503" w14:textId="1E22BA58" w:rsidR="003448C8" w:rsidRDefault="00711483">
      <w:pPr>
        <w:pStyle w:val="Sadraj2"/>
        <w:rPr>
          <w:rFonts w:asciiTheme="minorHAnsi" w:eastAsiaTheme="minorEastAsia" w:hAnsiTheme="minorHAnsi" w:cstheme="minorBidi"/>
          <w:b w:val="0"/>
          <w:smallCaps w:val="0"/>
          <w:noProof/>
          <w:lang w:eastAsia="hr-HR"/>
        </w:rPr>
      </w:pPr>
      <w:hyperlink w:anchor="_Toc94769973" w:history="1">
        <w:r w:rsidR="003448C8" w:rsidRPr="00F57D55">
          <w:rPr>
            <w:rStyle w:val="Hiperveza"/>
            <w:noProof/>
          </w:rPr>
          <w:t>3.4</w:t>
        </w:r>
        <w:r w:rsidR="003448C8">
          <w:rPr>
            <w:rFonts w:asciiTheme="minorHAnsi" w:eastAsiaTheme="minorEastAsia" w:hAnsiTheme="minorHAnsi" w:cstheme="minorBidi"/>
            <w:b w:val="0"/>
            <w:smallCaps w:val="0"/>
            <w:noProof/>
            <w:lang w:eastAsia="hr-HR"/>
          </w:rPr>
          <w:tab/>
        </w:r>
        <w:r w:rsidR="003448C8" w:rsidRPr="00F57D55">
          <w:rPr>
            <w:rStyle w:val="Hiperveza"/>
            <w:noProof/>
          </w:rPr>
          <w:t>Pokazatelji specifične godišnje potrebne toplinske energije za grijanje prema namjeni, razdoblju gradnje i klimatskim karakteristikama</w:t>
        </w:r>
        <w:r w:rsidR="003448C8">
          <w:rPr>
            <w:noProof/>
            <w:webHidden/>
          </w:rPr>
          <w:tab/>
        </w:r>
        <w:r w:rsidR="003448C8">
          <w:rPr>
            <w:noProof/>
            <w:webHidden/>
          </w:rPr>
          <w:fldChar w:fldCharType="begin"/>
        </w:r>
        <w:r w:rsidR="003448C8">
          <w:rPr>
            <w:noProof/>
            <w:webHidden/>
          </w:rPr>
          <w:instrText xml:space="preserve"> PAGEREF _Toc94769973 \h </w:instrText>
        </w:r>
        <w:r w:rsidR="003448C8">
          <w:rPr>
            <w:noProof/>
            <w:webHidden/>
          </w:rPr>
        </w:r>
        <w:r w:rsidR="003448C8">
          <w:rPr>
            <w:noProof/>
            <w:webHidden/>
          </w:rPr>
          <w:fldChar w:fldCharType="separate"/>
        </w:r>
        <w:r w:rsidR="0023635D">
          <w:rPr>
            <w:noProof/>
            <w:webHidden/>
          </w:rPr>
          <w:t>22</w:t>
        </w:r>
        <w:r w:rsidR="003448C8">
          <w:rPr>
            <w:noProof/>
            <w:webHidden/>
          </w:rPr>
          <w:fldChar w:fldCharType="end"/>
        </w:r>
      </w:hyperlink>
    </w:p>
    <w:p w14:paraId="6E1B118F" w14:textId="62BE2F2E" w:rsidR="003448C8" w:rsidRDefault="00711483">
      <w:pPr>
        <w:pStyle w:val="Sadraj2"/>
        <w:rPr>
          <w:rFonts w:asciiTheme="minorHAnsi" w:eastAsiaTheme="minorEastAsia" w:hAnsiTheme="minorHAnsi" w:cstheme="minorBidi"/>
          <w:b w:val="0"/>
          <w:smallCaps w:val="0"/>
          <w:noProof/>
          <w:lang w:eastAsia="hr-HR"/>
        </w:rPr>
      </w:pPr>
      <w:hyperlink w:anchor="_Toc94769974" w:history="1">
        <w:r w:rsidR="003448C8" w:rsidRPr="00F57D55">
          <w:rPr>
            <w:rStyle w:val="Hiperveza"/>
            <w:noProof/>
          </w:rPr>
          <w:t>3.5</w:t>
        </w:r>
        <w:r w:rsidR="003448C8">
          <w:rPr>
            <w:rFonts w:asciiTheme="minorHAnsi" w:eastAsiaTheme="minorEastAsia" w:hAnsiTheme="minorHAnsi" w:cstheme="minorBidi"/>
            <w:b w:val="0"/>
            <w:smallCaps w:val="0"/>
            <w:noProof/>
            <w:lang w:eastAsia="hr-HR"/>
          </w:rPr>
          <w:tab/>
        </w:r>
        <w:r w:rsidR="003448C8" w:rsidRPr="00F57D55">
          <w:rPr>
            <w:rStyle w:val="Hiperveza"/>
            <w:noProof/>
          </w:rPr>
          <w:t>Procjena godišnje isporučene energije i primarne energije</w:t>
        </w:r>
        <w:r w:rsidR="003448C8">
          <w:rPr>
            <w:noProof/>
            <w:webHidden/>
          </w:rPr>
          <w:tab/>
        </w:r>
        <w:r w:rsidR="003448C8">
          <w:rPr>
            <w:noProof/>
            <w:webHidden/>
          </w:rPr>
          <w:fldChar w:fldCharType="begin"/>
        </w:r>
        <w:r w:rsidR="003448C8">
          <w:rPr>
            <w:noProof/>
            <w:webHidden/>
          </w:rPr>
          <w:instrText xml:space="preserve"> PAGEREF _Toc94769974 \h </w:instrText>
        </w:r>
        <w:r w:rsidR="003448C8">
          <w:rPr>
            <w:noProof/>
            <w:webHidden/>
          </w:rPr>
        </w:r>
        <w:r w:rsidR="003448C8">
          <w:rPr>
            <w:noProof/>
            <w:webHidden/>
          </w:rPr>
          <w:fldChar w:fldCharType="separate"/>
        </w:r>
        <w:r w:rsidR="0023635D">
          <w:rPr>
            <w:noProof/>
            <w:webHidden/>
          </w:rPr>
          <w:t>23</w:t>
        </w:r>
        <w:r w:rsidR="003448C8">
          <w:rPr>
            <w:noProof/>
            <w:webHidden/>
          </w:rPr>
          <w:fldChar w:fldCharType="end"/>
        </w:r>
      </w:hyperlink>
    </w:p>
    <w:p w14:paraId="1F7D8340" w14:textId="64AF700B" w:rsidR="003448C8" w:rsidRDefault="00711483">
      <w:pPr>
        <w:pStyle w:val="Sadraj2"/>
        <w:rPr>
          <w:rFonts w:asciiTheme="minorHAnsi" w:eastAsiaTheme="minorEastAsia" w:hAnsiTheme="minorHAnsi" w:cstheme="minorBidi"/>
          <w:b w:val="0"/>
          <w:smallCaps w:val="0"/>
          <w:noProof/>
          <w:lang w:eastAsia="hr-HR"/>
        </w:rPr>
      </w:pPr>
      <w:hyperlink w:anchor="_Toc94769975" w:history="1">
        <w:r w:rsidR="003448C8" w:rsidRPr="00F57D55">
          <w:rPr>
            <w:rStyle w:val="Hiperveza"/>
            <w:noProof/>
          </w:rPr>
          <w:t>3.6</w:t>
        </w:r>
        <w:r w:rsidR="003448C8">
          <w:rPr>
            <w:rFonts w:asciiTheme="minorHAnsi" w:eastAsiaTheme="minorEastAsia" w:hAnsiTheme="minorHAnsi" w:cstheme="minorBidi"/>
            <w:b w:val="0"/>
            <w:smallCaps w:val="0"/>
            <w:noProof/>
            <w:lang w:eastAsia="hr-HR"/>
          </w:rPr>
          <w:tab/>
        </w:r>
        <w:r w:rsidR="003448C8" w:rsidRPr="00F57D55">
          <w:rPr>
            <w:rStyle w:val="Hiperveza"/>
            <w:noProof/>
          </w:rPr>
          <w:t>Analiza i evidencija dosadašnjih energetski obnovljenih zgrada, uključujući i zgrade nZEB</w:t>
        </w:r>
        <w:r w:rsidR="003448C8">
          <w:rPr>
            <w:noProof/>
            <w:webHidden/>
          </w:rPr>
          <w:tab/>
        </w:r>
        <w:r w:rsidR="003448C8">
          <w:rPr>
            <w:noProof/>
            <w:webHidden/>
          </w:rPr>
          <w:fldChar w:fldCharType="begin"/>
        </w:r>
        <w:r w:rsidR="003448C8">
          <w:rPr>
            <w:noProof/>
            <w:webHidden/>
          </w:rPr>
          <w:instrText xml:space="preserve"> PAGEREF _Toc94769975 \h </w:instrText>
        </w:r>
        <w:r w:rsidR="003448C8">
          <w:rPr>
            <w:noProof/>
            <w:webHidden/>
          </w:rPr>
        </w:r>
        <w:r w:rsidR="003448C8">
          <w:rPr>
            <w:noProof/>
            <w:webHidden/>
          </w:rPr>
          <w:fldChar w:fldCharType="separate"/>
        </w:r>
        <w:r w:rsidR="0023635D">
          <w:rPr>
            <w:noProof/>
            <w:webHidden/>
          </w:rPr>
          <w:t>23</w:t>
        </w:r>
        <w:r w:rsidR="003448C8">
          <w:rPr>
            <w:noProof/>
            <w:webHidden/>
          </w:rPr>
          <w:fldChar w:fldCharType="end"/>
        </w:r>
      </w:hyperlink>
    </w:p>
    <w:p w14:paraId="2D210219" w14:textId="3B1E6661" w:rsidR="003448C8" w:rsidRDefault="00711483">
      <w:pPr>
        <w:pStyle w:val="Sadraj2"/>
        <w:rPr>
          <w:rFonts w:asciiTheme="minorHAnsi" w:eastAsiaTheme="minorEastAsia" w:hAnsiTheme="minorHAnsi" w:cstheme="minorBidi"/>
          <w:b w:val="0"/>
          <w:smallCaps w:val="0"/>
          <w:noProof/>
          <w:lang w:eastAsia="hr-HR"/>
        </w:rPr>
      </w:pPr>
      <w:hyperlink w:anchor="_Toc94769976" w:history="1">
        <w:r w:rsidR="003448C8" w:rsidRPr="00F57D55">
          <w:rPr>
            <w:rStyle w:val="Hiperveza"/>
            <w:noProof/>
          </w:rPr>
          <w:t>3.7</w:t>
        </w:r>
        <w:r w:rsidR="003448C8">
          <w:rPr>
            <w:rFonts w:asciiTheme="minorHAnsi" w:eastAsiaTheme="minorEastAsia" w:hAnsiTheme="minorHAnsi" w:cstheme="minorBidi"/>
            <w:b w:val="0"/>
            <w:smallCaps w:val="0"/>
            <w:noProof/>
            <w:lang w:eastAsia="hr-HR"/>
          </w:rPr>
          <w:tab/>
        </w:r>
        <w:r w:rsidR="003448C8" w:rsidRPr="00F57D55">
          <w:rPr>
            <w:rStyle w:val="Hiperveza"/>
            <w:noProof/>
          </w:rPr>
          <w:t>Procjena ušteda potrebne toplinske energije i primarne energije nakon primjene mjera energetske obnove u odnosu na stanje prije obnove</w:t>
        </w:r>
        <w:r w:rsidR="003448C8">
          <w:rPr>
            <w:noProof/>
            <w:webHidden/>
          </w:rPr>
          <w:tab/>
        </w:r>
        <w:r w:rsidR="003448C8">
          <w:rPr>
            <w:noProof/>
            <w:webHidden/>
          </w:rPr>
          <w:fldChar w:fldCharType="begin"/>
        </w:r>
        <w:r w:rsidR="003448C8">
          <w:rPr>
            <w:noProof/>
            <w:webHidden/>
          </w:rPr>
          <w:instrText xml:space="preserve"> PAGEREF _Toc94769976 \h </w:instrText>
        </w:r>
        <w:r w:rsidR="003448C8">
          <w:rPr>
            <w:noProof/>
            <w:webHidden/>
          </w:rPr>
        </w:r>
        <w:r w:rsidR="003448C8">
          <w:rPr>
            <w:noProof/>
            <w:webHidden/>
          </w:rPr>
          <w:fldChar w:fldCharType="separate"/>
        </w:r>
        <w:r w:rsidR="0023635D">
          <w:rPr>
            <w:noProof/>
            <w:webHidden/>
          </w:rPr>
          <w:t>24</w:t>
        </w:r>
        <w:r w:rsidR="003448C8">
          <w:rPr>
            <w:noProof/>
            <w:webHidden/>
          </w:rPr>
          <w:fldChar w:fldCharType="end"/>
        </w:r>
      </w:hyperlink>
    </w:p>
    <w:p w14:paraId="665A365F" w14:textId="78F833EB" w:rsidR="003448C8" w:rsidRDefault="00711483">
      <w:pPr>
        <w:pStyle w:val="Sadraj2"/>
        <w:rPr>
          <w:rFonts w:asciiTheme="minorHAnsi" w:eastAsiaTheme="minorEastAsia" w:hAnsiTheme="minorHAnsi" w:cstheme="minorBidi"/>
          <w:b w:val="0"/>
          <w:smallCaps w:val="0"/>
          <w:noProof/>
          <w:lang w:eastAsia="hr-HR"/>
        </w:rPr>
      </w:pPr>
      <w:hyperlink w:anchor="_Toc94769977" w:history="1">
        <w:r w:rsidR="003448C8" w:rsidRPr="00F57D55">
          <w:rPr>
            <w:rStyle w:val="Hiperveza"/>
            <w:noProof/>
          </w:rPr>
          <w:t>3.8</w:t>
        </w:r>
        <w:r w:rsidR="003448C8">
          <w:rPr>
            <w:rFonts w:asciiTheme="minorHAnsi" w:eastAsiaTheme="minorEastAsia" w:hAnsiTheme="minorHAnsi" w:cstheme="minorBidi"/>
            <w:b w:val="0"/>
            <w:smallCaps w:val="0"/>
            <w:noProof/>
            <w:lang w:eastAsia="hr-HR"/>
          </w:rPr>
          <w:tab/>
        </w:r>
        <w:r w:rsidR="003448C8" w:rsidRPr="00F57D55">
          <w:rPr>
            <w:rStyle w:val="Hiperveza"/>
            <w:noProof/>
          </w:rPr>
          <w:t>Doprinos nacionalnim ciljevima nakon primjene mjera energetske obnove do 2030.</w:t>
        </w:r>
        <w:r w:rsidR="003448C8">
          <w:rPr>
            <w:noProof/>
            <w:webHidden/>
          </w:rPr>
          <w:tab/>
        </w:r>
        <w:r w:rsidR="003448C8">
          <w:rPr>
            <w:noProof/>
            <w:webHidden/>
          </w:rPr>
          <w:fldChar w:fldCharType="begin"/>
        </w:r>
        <w:r w:rsidR="003448C8">
          <w:rPr>
            <w:noProof/>
            <w:webHidden/>
          </w:rPr>
          <w:instrText xml:space="preserve"> PAGEREF _Toc94769977 \h </w:instrText>
        </w:r>
        <w:r w:rsidR="003448C8">
          <w:rPr>
            <w:noProof/>
            <w:webHidden/>
          </w:rPr>
        </w:r>
        <w:r w:rsidR="003448C8">
          <w:rPr>
            <w:noProof/>
            <w:webHidden/>
          </w:rPr>
          <w:fldChar w:fldCharType="separate"/>
        </w:r>
        <w:r w:rsidR="0023635D">
          <w:rPr>
            <w:noProof/>
            <w:webHidden/>
          </w:rPr>
          <w:t>25</w:t>
        </w:r>
        <w:r w:rsidR="003448C8">
          <w:rPr>
            <w:noProof/>
            <w:webHidden/>
          </w:rPr>
          <w:fldChar w:fldCharType="end"/>
        </w:r>
      </w:hyperlink>
    </w:p>
    <w:p w14:paraId="2DE4CAAE" w14:textId="6AC7CE98"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78" w:history="1">
        <w:r w:rsidR="003448C8" w:rsidRPr="00F57D55">
          <w:rPr>
            <w:rStyle w:val="Hiperveza"/>
            <w:noProof/>
          </w:rPr>
          <w:t>4</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Analiza provedenih programa za zgrade javnog sektora</w:t>
        </w:r>
        <w:r w:rsidR="003448C8">
          <w:rPr>
            <w:noProof/>
            <w:webHidden/>
          </w:rPr>
          <w:tab/>
        </w:r>
        <w:r w:rsidR="003448C8">
          <w:rPr>
            <w:noProof/>
            <w:webHidden/>
          </w:rPr>
          <w:fldChar w:fldCharType="begin"/>
        </w:r>
        <w:r w:rsidR="003448C8">
          <w:rPr>
            <w:noProof/>
            <w:webHidden/>
          </w:rPr>
          <w:instrText xml:space="preserve"> PAGEREF _Toc94769978 \h </w:instrText>
        </w:r>
        <w:r w:rsidR="003448C8">
          <w:rPr>
            <w:noProof/>
            <w:webHidden/>
          </w:rPr>
        </w:r>
        <w:r w:rsidR="003448C8">
          <w:rPr>
            <w:noProof/>
            <w:webHidden/>
          </w:rPr>
          <w:fldChar w:fldCharType="separate"/>
        </w:r>
        <w:r w:rsidR="0023635D">
          <w:rPr>
            <w:noProof/>
            <w:webHidden/>
          </w:rPr>
          <w:t>27</w:t>
        </w:r>
        <w:r w:rsidR="003448C8">
          <w:rPr>
            <w:noProof/>
            <w:webHidden/>
          </w:rPr>
          <w:fldChar w:fldCharType="end"/>
        </w:r>
      </w:hyperlink>
    </w:p>
    <w:p w14:paraId="3D404BD4" w14:textId="4F475077"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79" w:history="1">
        <w:r w:rsidR="003448C8" w:rsidRPr="00F57D55">
          <w:rPr>
            <w:rStyle w:val="Hiperveza"/>
            <w:noProof/>
          </w:rPr>
          <w:t>5</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Usklađivanje sa strateškim planovima</w:t>
        </w:r>
        <w:r w:rsidR="003448C8">
          <w:rPr>
            <w:noProof/>
            <w:webHidden/>
          </w:rPr>
          <w:tab/>
        </w:r>
        <w:r w:rsidR="003448C8">
          <w:rPr>
            <w:noProof/>
            <w:webHidden/>
          </w:rPr>
          <w:fldChar w:fldCharType="begin"/>
        </w:r>
        <w:r w:rsidR="003448C8">
          <w:rPr>
            <w:noProof/>
            <w:webHidden/>
          </w:rPr>
          <w:instrText xml:space="preserve"> PAGEREF _Toc94769979 \h </w:instrText>
        </w:r>
        <w:r w:rsidR="003448C8">
          <w:rPr>
            <w:noProof/>
            <w:webHidden/>
          </w:rPr>
        </w:r>
        <w:r w:rsidR="003448C8">
          <w:rPr>
            <w:noProof/>
            <w:webHidden/>
          </w:rPr>
          <w:fldChar w:fldCharType="separate"/>
        </w:r>
        <w:r w:rsidR="0023635D">
          <w:rPr>
            <w:noProof/>
            <w:webHidden/>
          </w:rPr>
          <w:t>30</w:t>
        </w:r>
        <w:r w:rsidR="003448C8">
          <w:rPr>
            <w:noProof/>
            <w:webHidden/>
          </w:rPr>
          <w:fldChar w:fldCharType="end"/>
        </w:r>
      </w:hyperlink>
    </w:p>
    <w:p w14:paraId="66A9DCF4" w14:textId="19B57646" w:rsidR="003448C8" w:rsidRDefault="00711483">
      <w:pPr>
        <w:pStyle w:val="Sadraj2"/>
        <w:rPr>
          <w:rFonts w:asciiTheme="minorHAnsi" w:eastAsiaTheme="minorEastAsia" w:hAnsiTheme="minorHAnsi" w:cstheme="minorBidi"/>
          <w:b w:val="0"/>
          <w:smallCaps w:val="0"/>
          <w:noProof/>
          <w:lang w:eastAsia="hr-HR"/>
        </w:rPr>
      </w:pPr>
      <w:hyperlink w:anchor="_Toc94769980" w:history="1">
        <w:r w:rsidR="003448C8" w:rsidRPr="00F57D55">
          <w:rPr>
            <w:rStyle w:val="Hiperveza"/>
            <w:noProof/>
          </w:rPr>
          <w:t>5.1</w:t>
        </w:r>
        <w:r w:rsidR="003448C8">
          <w:rPr>
            <w:rFonts w:asciiTheme="minorHAnsi" w:eastAsiaTheme="minorEastAsia" w:hAnsiTheme="minorHAnsi" w:cstheme="minorBidi"/>
            <w:b w:val="0"/>
            <w:smallCaps w:val="0"/>
            <w:noProof/>
            <w:lang w:eastAsia="hr-HR"/>
          </w:rPr>
          <w:tab/>
        </w:r>
        <w:r w:rsidR="003448C8" w:rsidRPr="00F57D55">
          <w:rPr>
            <w:rStyle w:val="Hiperveza"/>
            <w:noProof/>
          </w:rPr>
          <w:t>Opis srednjoročnih razvojnih potreba i razvojnih potencijala</w:t>
        </w:r>
        <w:r w:rsidR="003448C8">
          <w:rPr>
            <w:noProof/>
            <w:webHidden/>
          </w:rPr>
          <w:tab/>
        </w:r>
        <w:r w:rsidR="003448C8">
          <w:rPr>
            <w:noProof/>
            <w:webHidden/>
          </w:rPr>
          <w:fldChar w:fldCharType="begin"/>
        </w:r>
        <w:r w:rsidR="003448C8">
          <w:rPr>
            <w:noProof/>
            <w:webHidden/>
          </w:rPr>
          <w:instrText xml:space="preserve"> PAGEREF _Toc94769980 \h </w:instrText>
        </w:r>
        <w:r w:rsidR="003448C8">
          <w:rPr>
            <w:noProof/>
            <w:webHidden/>
          </w:rPr>
        </w:r>
        <w:r w:rsidR="003448C8">
          <w:rPr>
            <w:noProof/>
            <w:webHidden/>
          </w:rPr>
          <w:fldChar w:fldCharType="separate"/>
        </w:r>
        <w:r w:rsidR="0023635D">
          <w:rPr>
            <w:noProof/>
            <w:webHidden/>
          </w:rPr>
          <w:t>30</w:t>
        </w:r>
        <w:r w:rsidR="003448C8">
          <w:rPr>
            <w:noProof/>
            <w:webHidden/>
          </w:rPr>
          <w:fldChar w:fldCharType="end"/>
        </w:r>
      </w:hyperlink>
    </w:p>
    <w:p w14:paraId="1D8E6DC9" w14:textId="14DAF163" w:rsidR="003448C8" w:rsidRDefault="00711483">
      <w:pPr>
        <w:pStyle w:val="Sadraj2"/>
        <w:rPr>
          <w:rFonts w:asciiTheme="minorHAnsi" w:eastAsiaTheme="minorEastAsia" w:hAnsiTheme="minorHAnsi" w:cstheme="minorBidi"/>
          <w:b w:val="0"/>
          <w:smallCaps w:val="0"/>
          <w:noProof/>
          <w:lang w:eastAsia="hr-HR"/>
        </w:rPr>
      </w:pPr>
      <w:hyperlink w:anchor="_Toc94769981" w:history="1">
        <w:r w:rsidR="003448C8" w:rsidRPr="00F57D55">
          <w:rPr>
            <w:rStyle w:val="Hiperveza"/>
            <w:noProof/>
          </w:rPr>
          <w:t>5.2</w:t>
        </w:r>
        <w:r w:rsidR="003448C8">
          <w:rPr>
            <w:rFonts w:asciiTheme="minorHAnsi" w:eastAsiaTheme="minorEastAsia" w:hAnsiTheme="minorHAnsi" w:cstheme="minorBidi"/>
            <w:b w:val="0"/>
            <w:smallCaps w:val="0"/>
            <w:noProof/>
            <w:lang w:eastAsia="hr-HR"/>
          </w:rPr>
          <w:tab/>
        </w:r>
        <w:r w:rsidR="003448C8" w:rsidRPr="00F57D55">
          <w:rPr>
            <w:rStyle w:val="Hiperveza"/>
            <w:noProof/>
          </w:rPr>
          <w:t>Opis prioriteta javne politike u srednjoročnom razdoblju</w:t>
        </w:r>
        <w:r w:rsidR="003448C8">
          <w:rPr>
            <w:noProof/>
            <w:webHidden/>
          </w:rPr>
          <w:tab/>
        </w:r>
        <w:r w:rsidR="003448C8">
          <w:rPr>
            <w:noProof/>
            <w:webHidden/>
          </w:rPr>
          <w:fldChar w:fldCharType="begin"/>
        </w:r>
        <w:r w:rsidR="003448C8">
          <w:rPr>
            <w:noProof/>
            <w:webHidden/>
          </w:rPr>
          <w:instrText xml:space="preserve"> PAGEREF _Toc94769981 \h </w:instrText>
        </w:r>
        <w:r w:rsidR="003448C8">
          <w:rPr>
            <w:noProof/>
            <w:webHidden/>
          </w:rPr>
        </w:r>
        <w:r w:rsidR="003448C8">
          <w:rPr>
            <w:noProof/>
            <w:webHidden/>
          </w:rPr>
          <w:fldChar w:fldCharType="separate"/>
        </w:r>
        <w:r w:rsidR="0023635D">
          <w:rPr>
            <w:noProof/>
            <w:webHidden/>
          </w:rPr>
          <w:t>31</w:t>
        </w:r>
        <w:r w:rsidR="003448C8">
          <w:rPr>
            <w:noProof/>
            <w:webHidden/>
          </w:rPr>
          <w:fldChar w:fldCharType="end"/>
        </w:r>
      </w:hyperlink>
    </w:p>
    <w:p w14:paraId="7C167622" w14:textId="60289D9D" w:rsidR="003448C8" w:rsidRDefault="00711483">
      <w:pPr>
        <w:pStyle w:val="Sadraj2"/>
        <w:rPr>
          <w:rFonts w:asciiTheme="minorHAnsi" w:eastAsiaTheme="minorEastAsia" w:hAnsiTheme="minorHAnsi" w:cstheme="minorBidi"/>
          <w:b w:val="0"/>
          <w:smallCaps w:val="0"/>
          <w:noProof/>
          <w:lang w:eastAsia="hr-HR"/>
        </w:rPr>
      </w:pPr>
      <w:hyperlink w:anchor="_Toc94769982" w:history="1">
        <w:r w:rsidR="003448C8" w:rsidRPr="00F57D55">
          <w:rPr>
            <w:rStyle w:val="Hiperveza"/>
            <w:noProof/>
          </w:rPr>
          <w:t>5.3</w:t>
        </w:r>
        <w:r w:rsidR="003448C8">
          <w:rPr>
            <w:rFonts w:asciiTheme="minorHAnsi" w:eastAsiaTheme="minorEastAsia" w:hAnsiTheme="minorHAnsi" w:cstheme="minorBidi"/>
            <w:b w:val="0"/>
            <w:smallCaps w:val="0"/>
            <w:noProof/>
            <w:lang w:eastAsia="hr-HR"/>
          </w:rPr>
          <w:tab/>
        </w:r>
        <w:r w:rsidR="003448C8" w:rsidRPr="00F57D55">
          <w:rPr>
            <w:rStyle w:val="Hiperveza"/>
            <w:noProof/>
          </w:rPr>
          <w:t>Srednjoročna vizija razvoja</w:t>
        </w:r>
        <w:r w:rsidR="003448C8">
          <w:rPr>
            <w:noProof/>
            <w:webHidden/>
          </w:rPr>
          <w:tab/>
        </w:r>
        <w:r w:rsidR="003448C8">
          <w:rPr>
            <w:noProof/>
            <w:webHidden/>
          </w:rPr>
          <w:fldChar w:fldCharType="begin"/>
        </w:r>
        <w:r w:rsidR="003448C8">
          <w:rPr>
            <w:noProof/>
            <w:webHidden/>
          </w:rPr>
          <w:instrText xml:space="preserve"> PAGEREF _Toc94769982 \h </w:instrText>
        </w:r>
        <w:r w:rsidR="003448C8">
          <w:rPr>
            <w:noProof/>
            <w:webHidden/>
          </w:rPr>
        </w:r>
        <w:r w:rsidR="003448C8">
          <w:rPr>
            <w:noProof/>
            <w:webHidden/>
          </w:rPr>
          <w:fldChar w:fldCharType="separate"/>
        </w:r>
        <w:r w:rsidR="0023635D">
          <w:rPr>
            <w:noProof/>
            <w:webHidden/>
          </w:rPr>
          <w:t>32</w:t>
        </w:r>
        <w:r w:rsidR="003448C8">
          <w:rPr>
            <w:noProof/>
            <w:webHidden/>
          </w:rPr>
          <w:fldChar w:fldCharType="end"/>
        </w:r>
      </w:hyperlink>
    </w:p>
    <w:p w14:paraId="04BEE673" w14:textId="7F4027B6" w:rsidR="003448C8" w:rsidRDefault="00711483">
      <w:pPr>
        <w:pStyle w:val="Sadraj2"/>
        <w:rPr>
          <w:rFonts w:asciiTheme="minorHAnsi" w:eastAsiaTheme="minorEastAsia" w:hAnsiTheme="minorHAnsi" w:cstheme="minorBidi"/>
          <w:b w:val="0"/>
          <w:smallCaps w:val="0"/>
          <w:noProof/>
          <w:lang w:eastAsia="hr-HR"/>
        </w:rPr>
      </w:pPr>
      <w:hyperlink w:anchor="_Toc94769983" w:history="1">
        <w:r w:rsidR="003448C8" w:rsidRPr="00F57D55">
          <w:rPr>
            <w:rStyle w:val="Hiperveza"/>
            <w:noProof/>
          </w:rPr>
          <w:t>5.4</w:t>
        </w:r>
        <w:r w:rsidR="003448C8">
          <w:rPr>
            <w:rFonts w:asciiTheme="minorHAnsi" w:eastAsiaTheme="minorEastAsia" w:hAnsiTheme="minorHAnsi" w:cstheme="minorBidi"/>
            <w:b w:val="0"/>
            <w:smallCaps w:val="0"/>
            <w:noProof/>
            <w:lang w:eastAsia="hr-HR"/>
          </w:rPr>
          <w:tab/>
        </w:r>
        <w:r w:rsidR="003448C8" w:rsidRPr="00F57D55">
          <w:rPr>
            <w:rStyle w:val="Hiperveza"/>
            <w:noProof/>
          </w:rPr>
          <w:t>Posebni ciljevi i ključni pokazatelji ishoda</w:t>
        </w:r>
        <w:r w:rsidR="003448C8">
          <w:rPr>
            <w:noProof/>
            <w:webHidden/>
          </w:rPr>
          <w:tab/>
        </w:r>
        <w:r w:rsidR="003448C8">
          <w:rPr>
            <w:noProof/>
            <w:webHidden/>
          </w:rPr>
          <w:fldChar w:fldCharType="begin"/>
        </w:r>
        <w:r w:rsidR="003448C8">
          <w:rPr>
            <w:noProof/>
            <w:webHidden/>
          </w:rPr>
          <w:instrText xml:space="preserve"> PAGEREF _Toc94769983 \h </w:instrText>
        </w:r>
        <w:r w:rsidR="003448C8">
          <w:rPr>
            <w:noProof/>
            <w:webHidden/>
          </w:rPr>
        </w:r>
        <w:r w:rsidR="003448C8">
          <w:rPr>
            <w:noProof/>
            <w:webHidden/>
          </w:rPr>
          <w:fldChar w:fldCharType="separate"/>
        </w:r>
        <w:r w:rsidR="0023635D">
          <w:rPr>
            <w:noProof/>
            <w:webHidden/>
          </w:rPr>
          <w:t>33</w:t>
        </w:r>
        <w:r w:rsidR="003448C8">
          <w:rPr>
            <w:noProof/>
            <w:webHidden/>
          </w:rPr>
          <w:fldChar w:fldCharType="end"/>
        </w:r>
      </w:hyperlink>
    </w:p>
    <w:p w14:paraId="2A9B7311" w14:textId="530B9FBE" w:rsidR="003448C8" w:rsidRDefault="00711483">
      <w:pPr>
        <w:pStyle w:val="Sadraj2"/>
        <w:rPr>
          <w:rFonts w:asciiTheme="minorHAnsi" w:eastAsiaTheme="minorEastAsia" w:hAnsiTheme="minorHAnsi" w:cstheme="minorBidi"/>
          <w:b w:val="0"/>
          <w:smallCaps w:val="0"/>
          <w:noProof/>
          <w:lang w:eastAsia="hr-HR"/>
        </w:rPr>
      </w:pPr>
      <w:hyperlink w:anchor="_Toc94769984" w:history="1">
        <w:r w:rsidR="003448C8" w:rsidRPr="00F57D55">
          <w:rPr>
            <w:rStyle w:val="Hiperveza"/>
            <w:noProof/>
          </w:rPr>
          <w:t>5.5</w:t>
        </w:r>
        <w:r w:rsidR="003448C8">
          <w:rPr>
            <w:rFonts w:asciiTheme="minorHAnsi" w:eastAsiaTheme="minorEastAsia" w:hAnsiTheme="minorHAnsi" w:cstheme="minorBidi"/>
            <w:b w:val="0"/>
            <w:smallCaps w:val="0"/>
            <w:noProof/>
            <w:lang w:eastAsia="hr-HR"/>
          </w:rPr>
          <w:tab/>
        </w:r>
        <w:r w:rsidR="003448C8" w:rsidRPr="00F57D55">
          <w:rPr>
            <w:rStyle w:val="Hiperveza"/>
            <w:noProof/>
          </w:rPr>
          <w:t>Indikativni financijski plan s prikazom financijskih pretpostavki za provedbu posebnih ciljeva i projekata od strateškog značaja</w:t>
        </w:r>
        <w:r w:rsidR="003448C8">
          <w:rPr>
            <w:noProof/>
            <w:webHidden/>
          </w:rPr>
          <w:tab/>
        </w:r>
        <w:r w:rsidR="003448C8">
          <w:rPr>
            <w:noProof/>
            <w:webHidden/>
          </w:rPr>
          <w:fldChar w:fldCharType="begin"/>
        </w:r>
        <w:r w:rsidR="003448C8">
          <w:rPr>
            <w:noProof/>
            <w:webHidden/>
          </w:rPr>
          <w:instrText xml:space="preserve"> PAGEREF _Toc94769984 \h </w:instrText>
        </w:r>
        <w:r w:rsidR="003448C8">
          <w:rPr>
            <w:noProof/>
            <w:webHidden/>
          </w:rPr>
        </w:r>
        <w:r w:rsidR="003448C8">
          <w:rPr>
            <w:noProof/>
            <w:webHidden/>
          </w:rPr>
          <w:fldChar w:fldCharType="separate"/>
        </w:r>
        <w:r w:rsidR="0023635D">
          <w:rPr>
            <w:noProof/>
            <w:webHidden/>
          </w:rPr>
          <w:t>34</w:t>
        </w:r>
        <w:r w:rsidR="003448C8">
          <w:rPr>
            <w:noProof/>
            <w:webHidden/>
          </w:rPr>
          <w:fldChar w:fldCharType="end"/>
        </w:r>
      </w:hyperlink>
    </w:p>
    <w:p w14:paraId="289A09E0" w14:textId="041939E2" w:rsidR="003448C8" w:rsidRDefault="00711483">
      <w:pPr>
        <w:pStyle w:val="Sadraj3"/>
        <w:rPr>
          <w:rFonts w:asciiTheme="minorHAnsi" w:eastAsiaTheme="minorEastAsia" w:hAnsiTheme="minorHAnsi" w:cstheme="minorBidi"/>
          <w:noProof/>
          <w:sz w:val="22"/>
          <w:szCs w:val="22"/>
          <w:lang w:eastAsia="hr-HR"/>
        </w:rPr>
      </w:pPr>
      <w:hyperlink w:anchor="_Toc94769985" w:history="1">
        <w:r w:rsidR="003448C8" w:rsidRPr="00F57D55">
          <w:rPr>
            <w:rStyle w:val="Hiperveza"/>
            <w:noProof/>
          </w:rPr>
          <w:t>5.5.1</w:t>
        </w:r>
        <w:r w:rsidR="003448C8">
          <w:rPr>
            <w:rFonts w:asciiTheme="minorHAnsi" w:eastAsiaTheme="minorEastAsia" w:hAnsiTheme="minorHAnsi" w:cstheme="minorBidi"/>
            <w:noProof/>
            <w:sz w:val="22"/>
            <w:szCs w:val="22"/>
            <w:lang w:eastAsia="hr-HR"/>
          </w:rPr>
          <w:tab/>
        </w:r>
        <w:r w:rsidR="003448C8" w:rsidRPr="00F57D55">
          <w:rPr>
            <w:rStyle w:val="Hiperveza"/>
            <w:noProof/>
          </w:rPr>
          <w:t>Indikativni financijski plan za razdoblje do 2030. godine</w:t>
        </w:r>
        <w:r w:rsidR="003448C8">
          <w:rPr>
            <w:noProof/>
            <w:webHidden/>
          </w:rPr>
          <w:tab/>
        </w:r>
        <w:r w:rsidR="003448C8">
          <w:rPr>
            <w:noProof/>
            <w:webHidden/>
          </w:rPr>
          <w:fldChar w:fldCharType="begin"/>
        </w:r>
        <w:r w:rsidR="003448C8">
          <w:rPr>
            <w:noProof/>
            <w:webHidden/>
          </w:rPr>
          <w:instrText xml:space="preserve"> PAGEREF _Toc94769985 \h </w:instrText>
        </w:r>
        <w:r w:rsidR="003448C8">
          <w:rPr>
            <w:noProof/>
            <w:webHidden/>
          </w:rPr>
        </w:r>
        <w:r w:rsidR="003448C8">
          <w:rPr>
            <w:noProof/>
            <w:webHidden/>
          </w:rPr>
          <w:fldChar w:fldCharType="separate"/>
        </w:r>
        <w:r w:rsidR="0023635D">
          <w:rPr>
            <w:noProof/>
            <w:webHidden/>
          </w:rPr>
          <w:t>34</w:t>
        </w:r>
        <w:r w:rsidR="003448C8">
          <w:rPr>
            <w:noProof/>
            <w:webHidden/>
          </w:rPr>
          <w:fldChar w:fldCharType="end"/>
        </w:r>
      </w:hyperlink>
    </w:p>
    <w:p w14:paraId="3879A0C8" w14:textId="44C692CC" w:rsidR="003448C8" w:rsidRDefault="00711483">
      <w:pPr>
        <w:pStyle w:val="Sadraj3"/>
        <w:rPr>
          <w:rFonts w:asciiTheme="minorHAnsi" w:eastAsiaTheme="minorEastAsia" w:hAnsiTheme="minorHAnsi" w:cstheme="minorBidi"/>
          <w:noProof/>
          <w:sz w:val="22"/>
          <w:szCs w:val="22"/>
          <w:lang w:eastAsia="hr-HR"/>
        </w:rPr>
      </w:pPr>
      <w:hyperlink w:anchor="_Toc94769986" w:history="1">
        <w:r w:rsidR="003448C8" w:rsidRPr="00F57D55">
          <w:rPr>
            <w:rStyle w:val="Hiperveza"/>
            <w:noProof/>
          </w:rPr>
          <w:t>5.5.2</w:t>
        </w:r>
        <w:r w:rsidR="003448C8">
          <w:rPr>
            <w:rFonts w:asciiTheme="minorHAnsi" w:eastAsiaTheme="minorEastAsia" w:hAnsiTheme="minorHAnsi" w:cstheme="minorBidi"/>
            <w:noProof/>
            <w:sz w:val="22"/>
            <w:szCs w:val="22"/>
            <w:lang w:eastAsia="hr-HR"/>
          </w:rPr>
          <w:tab/>
        </w:r>
        <w:r w:rsidR="003448C8" w:rsidRPr="00F57D55">
          <w:rPr>
            <w:rStyle w:val="Hiperveza"/>
            <w:noProof/>
          </w:rPr>
          <w:t>Indikativni financijski plan za razdoblje od 2022. do 2024. godine</w:t>
        </w:r>
        <w:r w:rsidR="003448C8">
          <w:rPr>
            <w:noProof/>
            <w:webHidden/>
          </w:rPr>
          <w:tab/>
        </w:r>
        <w:r w:rsidR="003448C8">
          <w:rPr>
            <w:noProof/>
            <w:webHidden/>
          </w:rPr>
          <w:fldChar w:fldCharType="begin"/>
        </w:r>
        <w:r w:rsidR="003448C8">
          <w:rPr>
            <w:noProof/>
            <w:webHidden/>
          </w:rPr>
          <w:instrText xml:space="preserve"> PAGEREF _Toc94769986 \h </w:instrText>
        </w:r>
        <w:r w:rsidR="003448C8">
          <w:rPr>
            <w:noProof/>
            <w:webHidden/>
          </w:rPr>
        </w:r>
        <w:r w:rsidR="003448C8">
          <w:rPr>
            <w:noProof/>
            <w:webHidden/>
          </w:rPr>
          <w:fldChar w:fldCharType="separate"/>
        </w:r>
        <w:r w:rsidR="0023635D">
          <w:rPr>
            <w:noProof/>
            <w:webHidden/>
          </w:rPr>
          <w:t>35</w:t>
        </w:r>
        <w:r w:rsidR="003448C8">
          <w:rPr>
            <w:noProof/>
            <w:webHidden/>
          </w:rPr>
          <w:fldChar w:fldCharType="end"/>
        </w:r>
      </w:hyperlink>
    </w:p>
    <w:p w14:paraId="2D19DA4B" w14:textId="72BCC642" w:rsidR="003448C8" w:rsidRDefault="00711483">
      <w:pPr>
        <w:pStyle w:val="Sadraj2"/>
        <w:rPr>
          <w:rFonts w:asciiTheme="minorHAnsi" w:eastAsiaTheme="minorEastAsia" w:hAnsiTheme="minorHAnsi" w:cstheme="minorBidi"/>
          <w:b w:val="0"/>
          <w:smallCaps w:val="0"/>
          <w:noProof/>
          <w:lang w:eastAsia="hr-HR"/>
        </w:rPr>
      </w:pPr>
      <w:hyperlink w:anchor="_Toc94769988" w:history="1">
        <w:r w:rsidR="003448C8" w:rsidRPr="00F57D55">
          <w:rPr>
            <w:rStyle w:val="Hiperveza"/>
            <w:noProof/>
          </w:rPr>
          <w:t>5.6</w:t>
        </w:r>
        <w:r w:rsidR="003448C8">
          <w:rPr>
            <w:rFonts w:asciiTheme="minorHAnsi" w:eastAsiaTheme="minorEastAsia" w:hAnsiTheme="minorHAnsi" w:cstheme="minorBidi"/>
            <w:b w:val="0"/>
            <w:smallCaps w:val="0"/>
            <w:noProof/>
            <w:lang w:eastAsia="hr-HR"/>
          </w:rPr>
          <w:tab/>
        </w:r>
        <w:r w:rsidR="003448C8" w:rsidRPr="00F57D55">
          <w:rPr>
            <w:rStyle w:val="Hiperveza"/>
            <w:noProof/>
          </w:rPr>
          <w:t>Terminski plan provedbe projekata od strateškog značaja s naznačenim ključnim koracima i rokovima u provedbi</w:t>
        </w:r>
        <w:r w:rsidR="003448C8">
          <w:rPr>
            <w:noProof/>
            <w:webHidden/>
          </w:rPr>
          <w:tab/>
        </w:r>
        <w:r w:rsidR="003448C8">
          <w:rPr>
            <w:noProof/>
            <w:webHidden/>
          </w:rPr>
          <w:fldChar w:fldCharType="begin"/>
        </w:r>
        <w:r w:rsidR="003448C8">
          <w:rPr>
            <w:noProof/>
            <w:webHidden/>
          </w:rPr>
          <w:instrText xml:space="preserve"> PAGEREF _Toc94769988 \h </w:instrText>
        </w:r>
        <w:r w:rsidR="003448C8">
          <w:rPr>
            <w:noProof/>
            <w:webHidden/>
          </w:rPr>
        </w:r>
        <w:r w:rsidR="003448C8">
          <w:rPr>
            <w:noProof/>
            <w:webHidden/>
          </w:rPr>
          <w:fldChar w:fldCharType="separate"/>
        </w:r>
        <w:r w:rsidR="0023635D">
          <w:rPr>
            <w:noProof/>
            <w:webHidden/>
          </w:rPr>
          <w:t>37</w:t>
        </w:r>
        <w:r w:rsidR="003448C8">
          <w:rPr>
            <w:noProof/>
            <w:webHidden/>
          </w:rPr>
          <w:fldChar w:fldCharType="end"/>
        </w:r>
      </w:hyperlink>
    </w:p>
    <w:p w14:paraId="53D84D94" w14:textId="0509D2D3"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89" w:history="1">
        <w:r w:rsidR="003448C8" w:rsidRPr="00F57D55">
          <w:rPr>
            <w:rStyle w:val="Hiperveza"/>
            <w:noProof/>
          </w:rPr>
          <w:t>6</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Scenariji provedbe energetske obnove zgrada javnog sektora</w:t>
        </w:r>
        <w:r w:rsidR="003448C8">
          <w:rPr>
            <w:noProof/>
            <w:webHidden/>
          </w:rPr>
          <w:tab/>
        </w:r>
        <w:r w:rsidR="003448C8">
          <w:rPr>
            <w:noProof/>
            <w:webHidden/>
          </w:rPr>
          <w:fldChar w:fldCharType="begin"/>
        </w:r>
        <w:r w:rsidR="003448C8">
          <w:rPr>
            <w:noProof/>
            <w:webHidden/>
          </w:rPr>
          <w:instrText xml:space="preserve"> PAGEREF _Toc94769989 \h </w:instrText>
        </w:r>
        <w:r w:rsidR="003448C8">
          <w:rPr>
            <w:noProof/>
            <w:webHidden/>
          </w:rPr>
        </w:r>
        <w:r w:rsidR="003448C8">
          <w:rPr>
            <w:noProof/>
            <w:webHidden/>
          </w:rPr>
          <w:fldChar w:fldCharType="separate"/>
        </w:r>
        <w:r w:rsidR="0023635D">
          <w:rPr>
            <w:noProof/>
            <w:webHidden/>
          </w:rPr>
          <w:t>38</w:t>
        </w:r>
        <w:r w:rsidR="003448C8">
          <w:rPr>
            <w:noProof/>
            <w:webHidden/>
          </w:rPr>
          <w:fldChar w:fldCharType="end"/>
        </w:r>
      </w:hyperlink>
    </w:p>
    <w:p w14:paraId="2C251AE8" w14:textId="73873398" w:rsidR="003448C8" w:rsidRDefault="00711483">
      <w:pPr>
        <w:pStyle w:val="Sadraj2"/>
        <w:rPr>
          <w:rFonts w:asciiTheme="minorHAnsi" w:eastAsiaTheme="minorEastAsia" w:hAnsiTheme="minorHAnsi" w:cstheme="minorBidi"/>
          <w:b w:val="0"/>
          <w:smallCaps w:val="0"/>
          <w:noProof/>
          <w:lang w:eastAsia="hr-HR"/>
        </w:rPr>
      </w:pPr>
      <w:hyperlink w:anchor="_Toc94769990" w:history="1">
        <w:r w:rsidR="003448C8" w:rsidRPr="00F57D55">
          <w:rPr>
            <w:rStyle w:val="Hiperveza"/>
            <w:noProof/>
          </w:rPr>
          <w:t>6.1</w:t>
        </w:r>
        <w:r w:rsidR="003448C8">
          <w:rPr>
            <w:rFonts w:asciiTheme="minorHAnsi" w:eastAsiaTheme="minorEastAsia" w:hAnsiTheme="minorHAnsi" w:cstheme="minorBidi"/>
            <w:b w:val="0"/>
            <w:smallCaps w:val="0"/>
            <w:noProof/>
            <w:lang w:eastAsia="hr-HR"/>
          </w:rPr>
          <w:tab/>
        </w:r>
        <w:r w:rsidR="003448C8" w:rsidRPr="00F57D55">
          <w:rPr>
            <w:rStyle w:val="Hiperveza"/>
            <w:noProof/>
          </w:rPr>
          <w:t>Određivanje prioriteta energetske i sveobuhvatne  obnove zgrada javnog sektora</w:t>
        </w:r>
        <w:r w:rsidR="003448C8">
          <w:rPr>
            <w:noProof/>
            <w:webHidden/>
          </w:rPr>
          <w:tab/>
        </w:r>
        <w:r w:rsidR="003448C8">
          <w:rPr>
            <w:noProof/>
            <w:webHidden/>
          </w:rPr>
          <w:fldChar w:fldCharType="begin"/>
        </w:r>
        <w:r w:rsidR="003448C8">
          <w:rPr>
            <w:noProof/>
            <w:webHidden/>
          </w:rPr>
          <w:instrText xml:space="preserve"> PAGEREF _Toc94769990 \h </w:instrText>
        </w:r>
        <w:r w:rsidR="003448C8">
          <w:rPr>
            <w:noProof/>
            <w:webHidden/>
          </w:rPr>
        </w:r>
        <w:r w:rsidR="003448C8">
          <w:rPr>
            <w:noProof/>
            <w:webHidden/>
          </w:rPr>
          <w:fldChar w:fldCharType="separate"/>
        </w:r>
        <w:r w:rsidR="0023635D">
          <w:rPr>
            <w:noProof/>
            <w:webHidden/>
          </w:rPr>
          <w:t>38</w:t>
        </w:r>
        <w:r w:rsidR="003448C8">
          <w:rPr>
            <w:noProof/>
            <w:webHidden/>
          </w:rPr>
          <w:fldChar w:fldCharType="end"/>
        </w:r>
      </w:hyperlink>
    </w:p>
    <w:p w14:paraId="2685FE97" w14:textId="579A0C65" w:rsidR="003448C8" w:rsidRDefault="00711483">
      <w:pPr>
        <w:pStyle w:val="Sadraj2"/>
        <w:rPr>
          <w:rFonts w:asciiTheme="minorHAnsi" w:eastAsiaTheme="minorEastAsia" w:hAnsiTheme="minorHAnsi" w:cstheme="minorBidi"/>
          <w:b w:val="0"/>
          <w:smallCaps w:val="0"/>
          <w:noProof/>
          <w:lang w:eastAsia="hr-HR"/>
        </w:rPr>
      </w:pPr>
      <w:hyperlink w:anchor="_Toc94769991" w:history="1">
        <w:r w:rsidR="003448C8" w:rsidRPr="00F57D55">
          <w:rPr>
            <w:rStyle w:val="Hiperveza"/>
            <w:noProof/>
          </w:rPr>
          <w:t>6.2</w:t>
        </w:r>
        <w:r w:rsidR="003448C8">
          <w:rPr>
            <w:rFonts w:asciiTheme="minorHAnsi" w:eastAsiaTheme="minorEastAsia" w:hAnsiTheme="minorHAnsi" w:cstheme="minorBidi"/>
            <w:b w:val="0"/>
            <w:smallCaps w:val="0"/>
            <w:noProof/>
            <w:lang w:eastAsia="hr-HR"/>
          </w:rPr>
          <w:tab/>
        </w:r>
        <w:r w:rsidR="003448C8" w:rsidRPr="00F57D55">
          <w:rPr>
            <w:rStyle w:val="Hiperveza"/>
            <w:noProof/>
          </w:rPr>
          <w:t>Obuhvat aktivnosti energetske i sveobuhvatne obnove zgrada javnog sektora</w:t>
        </w:r>
        <w:r w:rsidR="003448C8">
          <w:rPr>
            <w:noProof/>
            <w:webHidden/>
          </w:rPr>
          <w:tab/>
        </w:r>
        <w:r w:rsidR="003448C8">
          <w:rPr>
            <w:noProof/>
            <w:webHidden/>
          </w:rPr>
          <w:fldChar w:fldCharType="begin"/>
        </w:r>
        <w:r w:rsidR="003448C8">
          <w:rPr>
            <w:noProof/>
            <w:webHidden/>
          </w:rPr>
          <w:instrText xml:space="preserve"> PAGEREF _Toc94769991 \h </w:instrText>
        </w:r>
        <w:r w:rsidR="003448C8">
          <w:rPr>
            <w:noProof/>
            <w:webHidden/>
          </w:rPr>
        </w:r>
        <w:r w:rsidR="003448C8">
          <w:rPr>
            <w:noProof/>
            <w:webHidden/>
          </w:rPr>
          <w:fldChar w:fldCharType="separate"/>
        </w:r>
        <w:r w:rsidR="0023635D">
          <w:rPr>
            <w:noProof/>
            <w:webHidden/>
          </w:rPr>
          <w:t>40</w:t>
        </w:r>
        <w:r w:rsidR="003448C8">
          <w:rPr>
            <w:noProof/>
            <w:webHidden/>
          </w:rPr>
          <w:fldChar w:fldCharType="end"/>
        </w:r>
      </w:hyperlink>
    </w:p>
    <w:p w14:paraId="7D84A531" w14:textId="12F3460A" w:rsidR="003448C8" w:rsidRDefault="00711483">
      <w:pPr>
        <w:pStyle w:val="Sadraj2"/>
        <w:rPr>
          <w:rFonts w:asciiTheme="minorHAnsi" w:eastAsiaTheme="minorEastAsia" w:hAnsiTheme="minorHAnsi" w:cstheme="minorBidi"/>
          <w:b w:val="0"/>
          <w:smallCaps w:val="0"/>
          <w:noProof/>
          <w:lang w:eastAsia="hr-HR"/>
        </w:rPr>
      </w:pPr>
      <w:hyperlink w:anchor="_Toc94769992" w:history="1">
        <w:r w:rsidR="003448C8" w:rsidRPr="00F57D55">
          <w:rPr>
            <w:rStyle w:val="Hiperveza"/>
            <w:noProof/>
          </w:rPr>
          <w:t>6.3</w:t>
        </w:r>
        <w:r w:rsidR="003448C8">
          <w:rPr>
            <w:rFonts w:asciiTheme="minorHAnsi" w:eastAsiaTheme="minorEastAsia" w:hAnsiTheme="minorHAnsi" w:cstheme="minorBidi"/>
            <w:b w:val="0"/>
            <w:smallCaps w:val="0"/>
            <w:noProof/>
            <w:lang w:eastAsia="hr-HR"/>
          </w:rPr>
          <w:tab/>
        </w:r>
        <w:r w:rsidR="003448C8" w:rsidRPr="00F57D55">
          <w:rPr>
            <w:rStyle w:val="Hiperveza"/>
            <w:noProof/>
          </w:rPr>
          <w:t>Scenariji provedbe energetske i sveobuhvatne obnove zgrada</w:t>
        </w:r>
        <w:r w:rsidR="003448C8">
          <w:rPr>
            <w:noProof/>
            <w:webHidden/>
          </w:rPr>
          <w:tab/>
        </w:r>
        <w:r w:rsidR="003448C8">
          <w:rPr>
            <w:noProof/>
            <w:webHidden/>
          </w:rPr>
          <w:fldChar w:fldCharType="begin"/>
        </w:r>
        <w:r w:rsidR="003448C8">
          <w:rPr>
            <w:noProof/>
            <w:webHidden/>
          </w:rPr>
          <w:instrText xml:space="preserve"> PAGEREF _Toc94769992 \h </w:instrText>
        </w:r>
        <w:r w:rsidR="003448C8">
          <w:rPr>
            <w:noProof/>
            <w:webHidden/>
          </w:rPr>
        </w:r>
        <w:r w:rsidR="003448C8">
          <w:rPr>
            <w:noProof/>
            <w:webHidden/>
          </w:rPr>
          <w:fldChar w:fldCharType="separate"/>
        </w:r>
        <w:r w:rsidR="0023635D">
          <w:rPr>
            <w:noProof/>
            <w:webHidden/>
          </w:rPr>
          <w:t>43</w:t>
        </w:r>
        <w:r w:rsidR="003448C8">
          <w:rPr>
            <w:noProof/>
            <w:webHidden/>
          </w:rPr>
          <w:fldChar w:fldCharType="end"/>
        </w:r>
      </w:hyperlink>
    </w:p>
    <w:p w14:paraId="64C24DCC" w14:textId="3F536E2A"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69993" w:history="1">
        <w:r w:rsidR="003448C8" w:rsidRPr="00F57D55">
          <w:rPr>
            <w:rStyle w:val="Hiperveza"/>
            <w:noProof/>
          </w:rPr>
          <w:t>7</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Opis modela i financiranje</w:t>
        </w:r>
        <w:r w:rsidR="003448C8">
          <w:rPr>
            <w:noProof/>
            <w:webHidden/>
          </w:rPr>
          <w:tab/>
        </w:r>
        <w:r w:rsidR="003448C8">
          <w:rPr>
            <w:noProof/>
            <w:webHidden/>
          </w:rPr>
          <w:fldChar w:fldCharType="begin"/>
        </w:r>
        <w:r w:rsidR="003448C8">
          <w:rPr>
            <w:noProof/>
            <w:webHidden/>
          </w:rPr>
          <w:instrText xml:space="preserve"> PAGEREF _Toc94769993 \h </w:instrText>
        </w:r>
        <w:r w:rsidR="003448C8">
          <w:rPr>
            <w:noProof/>
            <w:webHidden/>
          </w:rPr>
        </w:r>
        <w:r w:rsidR="003448C8">
          <w:rPr>
            <w:noProof/>
            <w:webHidden/>
          </w:rPr>
          <w:fldChar w:fldCharType="separate"/>
        </w:r>
        <w:r w:rsidR="0023635D">
          <w:rPr>
            <w:noProof/>
            <w:webHidden/>
          </w:rPr>
          <w:t>46</w:t>
        </w:r>
        <w:r w:rsidR="003448C8">
          <w:rPr>
            <w:noProof/>
            <w:webHidden/>
          </w:rPr>
          <w:fldChar w:fldCharType="end"/>
        </w:r>
      </w:hyperlink>
    </w:p>
    <w:p w14:paraId="0D2F74D6" w14:textId="2B87FC43" w:rsidR="003448C8" w:rsidRDefault="00711483">
      <w:pPr>
        <w:pStyle w:val="Sadraj2"/>
        <w:rPr>
          <w:rFonts w:asciiTheme="minorHAnsi" w:eastAsiaTheme="minorEastAsia" w:hAnsiTheme="minorHAnsi" w:cstheme="minorBidi"/>
          <w:b w:val="0"/>
          <w:smallCaps w:val="0"/>
          <w:noProof/>
          <w:lang w:eastAsia="hr-HR"/>
        </w:rPr>
      </w:pPr>
      <w:hyperlink w:anchor="_Toc94769994" w:history="1">
        <w:r w:rsidR="003448C8" w:rsidRPr="00F57D55">
          <w:rPr>
            <w:rStyle w:val="Hiperveza"/>
            <w:noProof/>
          </w:rPr>
          <w:t>7.1</w:t>
        </w:r>
        <w:r w:rsidR="003448C8">
          <w:rPr>
            <w:rFonts w:asciiTheme="minorHAnsi" w:eastAsiaTheme="minorEastAsia" w:hAnsiTheme="minorHAnsi" w:cstheme="minorBidi"/>
            <w:b w:val="0"/>
            <w:smallCaps w:val="0"/>
            <w:noProof/>
            <w:lang w:eastAsia="hr-HR"/>
          </w:rPr>
          <w:tab/>
        </w:r>
        <w:r w:rsidR="003448C8" w:rsidRPr="00F57D55">
          <w:rPr>
            <w:rStyle w:val="Hiperveza"/>
            <w:noProof/>
          </w:rPr>
          <w:t>Prijedlozi modela ovisno o načinu financiranja provedbe energetske obnove zgrada</w:t>
        </w:r>
        <w:r w:rsidR="003448C8">
          <w:rPr>
            <w:noProof/>
            <w:webHidden/>
          </w:rPr>
          <w:tab/>
        </w:r>
        <w:r w:rsidR="003448C8">
          <w:rPr>
            <w:noProof/>
            <w:webHidden/>
          </w:rPr>
          <w:fldChar w:fldCharType="begin"/>
        </w:r>
        <w:r w:rsidR="003448C8">
          <w:rPr>
            <w:noProof/>
            <w:webHidden/>
          </w:rPr>
          <w:instrText xml:space="preserve"> PAGEREF _Toc94769994 \h </w:instrText>
        </w:r>
        <w:r w:rsidR="003448C8">
          <w:rPr>
            <w:noProof/>
            <w:webHidden/>
          </w:rPr>
        </w:r>
        <w:r w:rsidR="003448C8">
          <w:rPr>
            <w:noProof/>
            <w:webHidden/>
          </w:rPr>
          <w:fldChar w:fldCharType="separate"/>
        </w:r>
        <w:r w:rsidR="0023635D">
          <w:rPr>
            <w:noProof/>
            <w:webHidden/>
          </w:rPr>
          <w:t>46</w:t>
        </w:r>
        <w:r w:rsidR="003448C8">
          <w:rPr>
            <w:noProof/>
            <w:webHidden/>
          </w:rPr>
          <w:fldChar w:fldCharType="end"/>
        </w:r>
      </w:hyperlink>
    </w:p>
    <w:p w14:paraId="70A1F488" w14:textId="6F91A06E" w:rsidR="003448C8" w:rsidRDefault="00711483">
      <w:pPr>
        <w:pStyle w:val="Sadraj3"/>
        <w:rPr>
          <w:rFonts w:asciiTheme="minorHAnsi" w:eastAsiaTheme="minorEastAsia" w:hAnsiTheme="minorHAnsi" w:cstheme="minorBidi"/>
          <w:noProof/>
          <w:sz w:val="22"/>
          <w:szCs w:val="22"/>
          <w:lang w:eastAsia="hr-HR"/>
        </w:rPr>
      </w:pPr>
      <w:hyperlink w:anchor="_Toc94769995" w:history="1">
        <w:r w:rsidR="003448C8" w:rsidRPr="00F57D55">
          <w:rPr>
            <w:rStyle w:val="Hiperveza"/>
            <w:noProof/>
          </w:rPr>
          <w:t>7.1.1</w:t>
        </w:r>
        <w:r w:rsidR="003448C8">
          <w:rPr>
            <w:rFonts w:asciiTheme="minorHAnsi" w:eastAsiaTheme="minorEastAsia" w:hAnsiTheme="minorHAnsi" w:cstheme="minorBidi"/>
            <w:noProof/>
            <w:sz w:val="22"/>
            <w:szCs w:val="22"/>
            <w:lang w:eastAsia="hr-HR"/>
          </w:rPr>
          <w:tab/>
        </w:r>
        <w:r w:rsidR="003448C8" w:rsidRPr="00F57D55">
          <w:rPr>
            <w:rStyle w:val="Hiperveza"/>
            <w:noProof/>
          </w:rPr>
          <w:t>Tradicionalni oblici financiranja</w:t>
        </w:r>
        <w:r w:rsidR="003448C8">
          <w:rPr>
            <w:noProof/>
            <w:webHidden/>
          </w:rPr>
          <w:tab/>
        </w:r>
        <w:r w:rsidR="003448C8">
          <w:rPr>
            <w:noProof/>
            <w:webHidden/>
          </w:rPr>
          <w:fldChar w:fldCharType="begin"/>
        </w:r>
        <w:r w:rsidR="003448C8">
          <w:rPr>
            <w:noProof/>
            <w:webHidden/>
          </w:rPr>
          <w:instrText xml:space="preserve"> PAGEREF _Toc94769995 \h </w:instrText>
        </w:r>
        <w:r w:rsidR="003448C8">
          <w:rPr>
            <w:noProof/>
            <w:webHidden/>
          </w:rPr>
        </w:r>
        <w:r w:rsidR="003448C8">
          <w:rPr>
            <w:noProof/>
            <w:webHidden/>
          </w:rPr>
          <w:fldChar w:fldCharType="separate"/>
        </w:r>
        <w:r w:rsidR="0023635D">
          <w:rPr>
            <w:noProof/>
            <w:webHidden/>
          </w:rPr>
          <w:t>49</w:t>
        </w:r>
        <w:r w:rsidR="003448C8">
          <w:rPr>
            <w:noProof/>
            <w:webHidden/>
          </w:rPr>
          <w:fldChar w:fldCharType="end"/>
        </w:r>
      </w:hyperlink>
    </w:p>
    <w:p w14:paraId="102EE77E" w14:textId="51ECC5E6" w:rsidR="003448C8" w:rsidRDefault="00711483">
      <w:pPr>
        <w:pStyle w:val="Sadraj3"/>
        <w:rPr>
          <w:rFonts w:asciiTheme="minorHAnsi" w:eastAsiaTheme="minorEastAsia" w:hAnsiTheme="minorHAnsi" w:cstheme="minorBidi"/>
          <w:noProof/>
          <w:sz w:val="22"/>
          <w:szCs w:val="22"/>
          <w:lang w:eastAsia="hr-HR"/>
        </w:rPr>
      </w:pPr>
      <w:hyperlink w:anchor="_Toc94769996" w:history="1">
        <w:r w:rsidR="003448C8" w:rsidRPr="00F57D55">
          <w:rPr>
            <w:rStyle w:val="Hiperveza"/>
            <w:noProof/>
          </w:rPr>
          <w:t>7.1.2</w:t>
        </w:r>
        <w:r w:rsidR="003448C8">
          <w:rPr>
            <w:rFonts w:asciiTheme="minorHAnsi" w:eastAsiaTheme="minorEastAsia" w:hAnsiTheme="minorHAnsi" w:cstheme="minorBidi"/>
            <w:noProof/>
            <w:sz w:val="22"/>
            <w:szCs w:val="22"/>
            <w:lang w:eastAsia="hr-HR"/>
          </w:rPr>
          <w:tab/>
        </w:r>
        <w:r w:rsidR="003448C8" w:rsidRPr="00F57D55">
          <w:rPr>
            <w:rStyle w:val="Hiperveza"/>
            <w:noProof/>
          </w:rPr>
          <w:t>Financiranje putem ESCO modela</w:t>
        </w:r>
        <w:r w:rsidR="003448C8">
          <w:rPr>
            <w:noProof/>
            <w:webHidden/>
          </w:rPr>
          <w:tab/>
        </w:r>
        <w:r w:rsidR="003448C8">
          <w:rPr>
            <w:noProof/>
            <w:webHidden/>
          </w:rPr>
          <w:fldChar w:fldCharType="begin"/>
        </w:r>
        <w:r w:rsidR="003448C8">
          <w:rPr>
            <w:noProof/>
            <w:webHidden/>
          </w:rPr>
          <w:instrText xml:space="preserve"> PAGEREF _Toc94769996 \h </w:instrText>
        </w:r>
        <w:r w:rsidR="003448C8">
          <w:rPr>
            <w:noProof/>
            <w:webHidden/>
          </w:rPr>
        </w:r>
        <w:r w:rsidR="003448C8">
          <w:rPr>
            <w:noProof/>
            <w:webHidden/>
          </w:rPr>
          <w:fldChar w:fldCharType="separate"/>
        </w:r>
        <w:r w:rsidR="0023635D">
          <w:rPr>
            <w:noProof/>
            <w:webHidden/>
          </w:rPr>
          <w:t>49</w:t>
        </w:r>
        <w:r w:rsidR="003448C8">
          <w:rPr>
            <w:noProof/>
            <w:webHidden/>
          </w:rPr>
          <w:fldChar w:fldCharType="end"/>
        </w:r>
      </w:hyperlink>
    </w:p>
    <w:p w14:paraId="72737768" w14:textId="2011072E" w:rsidR="003448C8" w:rsidRDefault="00711483">
      <w:pPr>
        <w:pStyle w:val="Sadraj3"/>
        <w:rPr>
          <w:rFonts w:asciiTheme="minorHAnsi" w:eastAsiaTheme="minorEastAsia" w:hAnsiTheme="minorHAnsi" w:cstheme="minorBidi"/>
          <w:noProof/>
          <w:sz w:val="22"/>
          <w:szCs w:val="22"/>
          <w:lang w:eastAsia="hr-HR"/>
        </w:rPr>
      </w:pPr>
      <w:hyperlink w:anchor="_Toc94769997" w:history="1">
        <w:r w:rsidR="003448C8" w:rsidRPr="00F57D55">
          <w:rPr>
            <w:rStyle w:val="Hiperveza"/>
            <w:noProof/>
          </w:rPr>
          <w:t>7.1.3</w:t>
        </w:r>
        <w:r w:rsidR="003448C8">
          <w:rPr>
            <w:rFonts w:asciiTheme="minorHAnsi" w:eastAsiaTheme="minorEastAsia" w:hAnsiTheme="minorHAnsi" w:cstheme="minorBidi"/>
            <w:noProof/>
            <w:sz w:val="22"/>
            <w:szCs w:val="22"/>
            <w:lang w:eastAsia="hr-HR"/>
          </w:rPr>
          <w:tab/>
        </w:r>
        <w:r w:rsidR="003448C8" w:rsidRPr="00F57D55">
          <w:rPr>
            <w:rStyle w:val="Hiperveza"/>
            <w:noProof/>
          </w:rPr>
          <w:t>Subvencioniranje prema mjerama energetske učinkovitosti</w:t>
        </w:r>
        <w:r w:rsidR="003448C8">
          <w:rPr>
            <w:noProof/>
            <w:webHidden/>
          </w:rPr>
          <w:tab/>
        </w:r>
        <w:r w:rsidR="003448C8">
          <w:rPr>
            <w:noProof/>
            <w:webHidden/>
          </w:rPr>
          <w:fldChar w:fldCharType="begin"/>
        </w:r>
        <w:r w:rsidR="003448C8">
          <w:rPr>
            <w:noProof/>
            <w:webHidden/>
          </w:rPr>
          <w:instrText xml:space="preserve"> PAGEREF _Toc94769997 \h </w:instrText>
        </w:r>
        <w:r w:rsidR="003448C8">
          <w:rPr>
            <w:noProof/>
            <w:webHidden/>
          </w:rPr>
        </w:r>
        <w:r w:rsidR="003448C8">
          <w:rPr>
            <w:noProof/>
            <w:webHidden/>
          </w:rPr>
          <w:fldChar w:fldCharType="separate"/>
        </w:r>
        <w:r w:rsidR="0023635D">
          <w:rPr>
            <w:noProof/>
            <w:webHidden/>
          </w:rPr>
          <w:t>50</w:t>
        </w:r>
        <w:r w:rsidR="003448C8">
          <w:rPr>
            <w:noProof/>
            <w:webHidden/>
          </w:rPr>
          <w:fldChar w:fldCharType="end"/>
        </w:r>
      </w:hyperlink>
    </w:p>
    <w:p w14:paraId="52B8B82E" w14:textId="54D27D03" w:rsidR="003448C8" w:rsidRDefault="00711483">
      <w:pPr>
        <w:pStyle w:val="Sadraj3"/>
        <w:rPr>
          <w:rFonts w:asciiTheme="minorHAnsi" w:eastAsiaTheme="minorEastAsia" w:hAnsiTheme="minorHAnsi" w:cstheme="minorBidi"/>
          <w:noProof/>
          <w:sz w:val="22"/>
          <w:szCs w:val="22"/>
          <w:lang w:eastAsia="hr-HR"/>
        </w:rPr>
      </w:pPr>
      <w:hyperlink w:anchor="_Toc94769998" w:history="1">
        <w:r w:rsidR="003448C8" w:rsidRPr="00F57D55">
          <w:rPr>
            <w:rStyle w:val="Hiperveza"/>
            <w:noProof/>
          </w:rPr>
          <w:t>7.1.4</w:t>
        </w:r>
        <w:r w:rsidR="003448C8">
          <w:rPr>
            <w:rFonts w:asciiTheme="minorHAnsi" w:eastAsiaTheme="minorEastAsia" w:hAnsiTheme="minorHAnsi" w:cstheme="minorBidi"/>
            <w:noProof/>
            <w:sz w:val="22"/>
            <w:szCs w:val="22"/>
            <w:lang w:eastAsia="hr-HR"/>
          </w:rPr>
          <w:tab/>
        </w:r>
        <w:r w:rsidR="003448C8" w:rsidRPr="00F57D55">
          <w:rPr>
            <w:rStyle w:val="Hiperveza"/>
            <w:noProof/>
          </w:rPr>
          <w:t>Subvencioniranje prema ukupno prihvatljivim opravdanim troškovima po flat rate modelu</w:t>
        </w:r>
        <w:r w:rsidR="003448C8">
          <w:rPr>
            <w:noProof/>
            <w:webHidden/>
          </w:rPr>
          <w:tab/>
        </w:r>
        <w:r w:rsidR="003448C8">
          <w:rPr>
            <w:noProof/>
            <w:webHidden/>
          </w:rPr>
          <w:fldChar w:fldCharType="begin"/>
        </w:r>
        <w:r w:rsidR="003448C8">
          <w:rPr>
            <w:noProof/>
            <w:webHidden/>
          </w:rPr>
          <w:instrText xml:space="preserve"> PAGEREF _Toc94769998 \h </w:instrText>
        </w:r>
        <w:r w:rsidR="003448C8">
          <w:rPr>
            <w:noProof/>
            <w:webHidden/>
          </w:rPr>
        </w:r>
        <w:r w:rsidR="003448C8">
          <w:rPr>
            <w:noProof/>
            <w:webHidden/>
          </w:rPr>
          <w:fldChar w:fldCharType="separate"/>
        </w:r>
        <w:r w:rsidR="0023635D">
          <w:rPr>
            <w:noProof/>
            <w:webHidden/>
          </w:rPr>
          <w:t>51</w:t>
        </w:r>
        <w:r w:rsidR="003448C8">
          <w:rPr>
            <w:noProof/>
            <w:webHidden/>
          </w:rPr>
          <w:fldChar w:fldCharType="end"/>
        </w:r>
      </w:hyperlink>
    </w:p>
    <w:p w14:paraId="137EB007" w14:textId="29CEE929" w:rsidR="003448C8" w:rsidRDefault="00711483">
      <w:pPr>
        <w:pStyle w:val="Sadraj3"/>
        <w:rPr>
          <w:rFonts w:asciiTheme="minorHAnsi" w:eastAsiaTheme="minorEastAsia" w:hAnsiTheme="minorHAnsi" w:cstheme="minorBidi"/>
          <w:noProof/>
          <w:sz w:val="22"/>
          <w:szCs w:val="22"/>
          <w:lang w:eastAsia="hr-HR"/>
        </w:rPr>
      </w:pPr>
      <w:hyperlink w:anchor="_Toc94769999" w:history="1">
        <w:r w:rsidR="003448C8" w:rsidRPr="00F57D55">
          <w:rPr>
            <w:rStyle w:val="Hiperveza"/>
            <w:noProof/>
          </w:rPr>
          <w:t>7.1.5</w:t>
        </w:r>
        <w:r w:rsidR="003448C8">
          <w:rPr>
            <w:rFonts w:asciiTheme="minorHAnsi" w:eastAsiaTheme="minorEastAsia" w:hAnsiTheme="minorHAnsi" w:cstheme="minorBidi"/>
            <w:noProof/>
            <w:sz w:val="22"/>
            <w:szCs w:val="22"/>
            <w:lang w:eastAsia="hr-HR"/>
          </w:rPr>
          <w:tab/>
        </w:r>
        <w:r w:rsidR="003448C8" w:rsidRPr="00F57D55">
          <w:rPr>
            <w:rStyle w:val="Hiperveza"/>
            <w:noProof/>
          </w:rPr>
          <w:t>Sufinanciranje prema ukupno prihvatljivim opravdanim troškovima na osnovi projekta i cost-benefit analize</w:t>
        </w:r>
        <w:r w:rsidR="003448C8">
          <w:rPr>
            <w:noProof/>
            <w:webHidden/>
          </w:rPr>
          <w:tab/>
        </w:r>
        <w:r w:rsidR="003448C8">
          <w:rPr>
            <w:noProof/>
            <w:webHidden/>
          </w:rPr>
          <w:fldChar w:fldCharType="begin"/>
        </w:r>
        <w:r w:rsidR="003448C8">
          <w:rPr>
            <w:noProof/>
            <w:webHidden/>
          </w:rPr>
          <w:instrText xml:space="preserve"> PAGEREF _Toc94769999 \h </w:instrText>
        </w:r>
        <w:r w:rsidR="003448C8">
          <w:rPr>
            <w:noProof/>
            <w:webHidden/>
          </w:rPr>
        </w:r>
        <w:r w:rsidR="003448C8">
          <w:rPr>
            <w:noProof/>
            <w:webHidden/>
          </w:rPr>
          <w:fldChar w:fldCharType="separate"/>
        </w:r>
        <w:r w:rsidR="0023635D">
          <w:rPr>
            <w:noProof/>
            <w:webHidden/>
          </w:rPr>
          <w:t>51</w:t>
        </w:r>
        <w:r w:rsidR="003448C8">
          <w:rPr>
            <w:noProof/>
            <w:webHidden/>
          </w:rPr>
          <w:fldChar w:fldCharType="end"/>
        </w:r>
      </w:hyperlink>
    </w:p>
    <w:p w14:paraId="7E33C4EC" w14:textId="2F1D9665" w:rsidR="003448C8" w:rsidRDefault="00711483">
      <w:pPr>
        <w:pStyle w:val="Sadraj3"/>
        <w:rPr>
          <w:rFonts w:asciiTheme="minorHAnsi" w:eastAsiaTheme="minorEastAsia" w:hAnsiTheme="minorHAnsi" w:cstheme="minorBidi"/>
          <w:noProof/>
          <w:sz w:val="22"/>
          <w:szCs w:val="22"/>
          <w:lang w:eastAsia="hr-HR"/>
        </w:rPr>
      </w:pPr>
      <w:hyperlink w:anchor="_Toc94770000" w:history="1">
        <w:r w:rsidR="003448C8" w:rsidRPr="00F57D55">
          <w:rPr>
            <w:rStyle w:val="Hiperveza"/>
            <w:noProof/>
          </w:rPr>
          <w:t>7.1.6</w:t>
        </w:r>
        <w:r w:rsidR="003448C8">
          <w:rPr>
            <w:rFonts w:asciiTheme="minorHAnsi" w:eastAsiaTheme="minorEastAsia" w:hAnsiTheme="minorHAnsi" w:cstheme="minorBidi"/>
            <w:noProof/>
            <w:sz w:val="22"/>
            <w:szCs w:val="22"/>
            <w:lang w:eastAsia="hr-HR"/>
          </w:rPr>
          <w:tab/>
        </w:r>
        <w:r w:rsidR="003448C8" w:rsidRPr="00F57D55">
          <w:rPr>
            <w:rStyle w:val="Hiperveza"/>
            <w:noProof/>
          </w:rPr>
          <w:t>Subvencioniranje u konkurentnom natječajnom postupku</w:t>
        </w:r>
        <w:r w:rsidR="003448C8">
          <w:rPr>
            <w:noProof/>
            <w:webHidden/>
          </w:rPr>
          <w:tab/>
        </w:r>
        <w:r w:rsidR="003448C8">
          <w:rPr>
            <w:noProof/>
            <w:webHidden/>
          </w:rPr>
          <w:fldChar w:fldCharType="begin"/>
        </w:r>
        <w:r w:rsidR="003448C8">
          <w:rPr>
            <w:noProof/>
            <w:webHidden/>
          </w:rPr>
          <w:instrText xml:space="preserve"> PAGEREF _Toc94770000 \h </w:instrText>
        </w:r>
        <w:r w:rsidR="003448C8">
          <w:rPr>
            <w:noProof/>
            <w:webHidden/>
          </w:rPr>
        </w:r>
        <w:r w:rsidR="003448C8">
          <w:rPr>
            <w:noProof/>
            <w:webHidden/>
          </w:rPr>
          <w:fldChar w:fldCharType="separate"/>
        </w:r>
        <w:r w:rsidR="0023635D">
          <w:rPr>
            <w:noProof/>
            <w:webHidden/>
          </w:rPr>
          <w:t>51</w:t>
        </w:r>
        <w:r w:rsidR="003448C8">
          <w:rPr>
            <w:noProof/>
            <w:webHidden/>
          </w:rPr>
          <w:fldChar w:fldCharType="end"/>
        </w:r>
      </w:hyperlink>
    </w:p>
    <w:p w14:paraId="23167D69" w14:textId="56E6F30B" w:rsidR="003448C8" w:rsidRDefault="00711483">
      <w:pPr>
        <w:pStyle w:val="Sadraj2"/>
        <w:rPr>
          <w:rFonts w:asciiTheme="minorHAnsi" w:eastAsiaTheme="minorEastAsia" w:hAnsiTheme="minorHAnsi" w:cstheme="minorBidi"/>
          <w:b w:val="0"/>
          <w:smallCaps w:val="0"/>
          <w:noProof/>
          <w:lang w:eastAsia="hr-HR"/>
        </w:rPr>
      </w:pPr>
      <w:hyperlink w:anchor="_Toc94770001" w:history="1">
        <w:r w:rsidR="003448C8" w:rsidRPr="00F57D55">
          <w:rPr>
            <w:rStyle w:val="Hiperveza"/>
            <w:noProof/>
          </w:rPr>
          <w:t>7.2</w:t>
        </w:r>
        <w:r w:rsidR="003448C8">
          <w:rPr>
            <w:rFonts w:asciiTheme="minorHAnsi" w:eastAsiaTheme="minorEastAsia" w:hAnsiTheme="minorHAnsi" w:cstheme="minorBidi"/>
            <w:b w:val="0"/>
            <w:smallCaps w:val="0"/>
            <w:noProof/>
            <w:lang w:eastAsia="hr-HR"/>
          </w:rPr>
          <w:tab/>
        </w:r>
        <w:r w:rsidR="003448C8" w:rsidRPr="00F57D55">
          <w:rPr>
            <w:rStyle w:val="Hiperveza"/>
            <w:noProof/>
          </w:rPr>
          <w:t>Kratki osvrt na pitanje državnih potpora ovisno o korisniku sufinanciranja</w:t>
        </w:r>
        <w:r w:rsidR="003448C8">
          <w:rPr>
            <w:noProof/>
            <w:webHidden/>
          </w:rPr>
          <w:tab/>
        </w:r>
        <w:r w:rsidR="003448C8">
          <w:rPr>
            <w:noProof/>
            <w:webHidden/>
          </w:rPr>
          <w:fldChar w:fldCharType="begin"/>
        </w:r>
        <w:r w:rsidR="003448C8">
          <w:rPr>
            <w:noProof/>
            <w:webHidden/>
          </w:rPr>
          <w:instrText xml:space="preserve"> PAGEREF _Toc94770001 \h </w:instrText>
        </w:r>
        <w:r w:rsidR="003448C8">
          <w:rPr>
            <w:noProof/>
            <w:webHidden/>
          </w:rPr>
        </w:r>
        <w:r w:rsidR="003448C8">
          <w:rPr>
            <w:noProof/>
            <w:webHidden/>
          </w:rPr>
          <w:fldChar w:fldCharType="separate"/>
        </w:r>
        <w:r w:rsidR="0023635D">
          <w:rPr>
            <w:noProof/>
            <w:webHidden/>
          </w:rPr>
          <w:t>54</w:t>
        </w:r>
        <w:r w:rsidR="003448C8">
          <w:rPr>
            <w:noProof/>
            <w:webHidden/>
          </w:rPr>
          <w:fldChar w:fldCharType="end"/>
        </w:r>
      </w:hyperlink>
    </w:p>
    <w:p w14:paraId="30D5D95F" w14:textId="225CB684" w:rsidR="003448C8" w:rsidRDefault="00711483">
      <w:pPr>
        <w:pStyle w:val="Sadraj3"/>
        <w:rPr>
          <w:rFonts w:asciiTheme="minorHAnsi" w:eastAsiaTheme="minorEastAsia" w:hAnsiTheme="minorHAnsi" w:cstheme="minorBidi"/>
          <w:noProof/>
          <w:sz w:val="22"/>
          <w:szCs w:val="22"/>
          <w:lang w:eastAsia="hr-HR"/>
        </w:rPr>
      </w:pPr>
      <w:hyperlink w:anchor="_Toc94770002" w:history="1">
        <w:r w:rsidR="003448C8" w:rsidRPr="00F57D55">
          <w:rPr>
            <w:rStyle w:val="Hiperveza"/>
            <w:noProof/>
          </w:rPr>
          <w:t>7.2.1</w:t>
        </w:r>
        <w:r w:rsidR="003448C8">
          <w:rPr>
            <w:rFonts w:asciiTheme="minorHAnsi" w:eastAsiaTheme="minorEastAsia" w:hAnsiTheme="minorHAnsi" w:cstheme="minorBidi"/>
            <w:noProof/>
            <w:sz w:val="22"/>
            <w:szCs w:val="22"/>
            <w:lang w:eastAsia="hr-HR"/>
          </w:rPr>
          <w:tab/>
        </w:r>
        <w:r w:rsidR="003448C8" w:rsidRPr="00F57D55">
          <w:rPr>
            <w:rStyle w:val="Hiperveza"/>
            <w:noProof/>
          </w:rPr>
          <w:t>Financiranje putem modela javno-privatnog partnerstva (JPP modela)</w:t>
        </w:r>
        <w:r w:rsidR="003448C8">
          <w:rPr>
            <w:noProof/>
            <w:webHidden/>
          </w:rPr>
          <w:tab/>
        </w:r>
        <w:r w:rsidR="003448C8">
          <w:rPr>
            <w:noProof/>
            <w:webHidden/>
          </w:rPr>
          <w:fldChar w:fldCharType="begin"/>
        </w:r>
        <w:r w:rsidR="003448C8">
          <w:rPr>
            <w:noProof/>
            <w:webHidden/>
          </w:rPr>
          <w:instrText xml:space="preserve"> PAGEREF _Toc94770002 \h </w:instrText>
        </w:r>
        <w:r w:rsidR="003448C8">
          <w:rPr>
            <w:noProof/>
            <w:webHidden/>
          </w:rPr>
        </w:r>
        <w:r w:rsidR="003448C8">
          <w:rPr>
            <w:noProof/>
            <w:webHidden/>
          </w:rPr>
          <w:fldChar w:fldCharType="separate"/>
        </w:r>
        <w:r w:rsidR="0023635D">
          <w:rPr>
            <w:noProof/>
            <w:webHidden/>
          </w:rPr>
          <w:t>54</w:t>
        </w:r>
        <w:r w:rsidR="003448C8">
          <w:rPr>
            <w:noProof/>
            <w:webHidden/>
          </w:rPr>
          <w:fldChar w:fldCharType="end"/>
        </w:r>
      </w:hyperlink>
    </w:p>
    <w:p w14:paraId="1700DC25" w14:textId="030F37B3" w:rsidR="003448C8" w:rsidRDefault="00711483">
      <w:pPr>
        <w:pStyle w:val="Sadraj2"/>
        <w:rPr>
          <w:rFonts w:asciiTheme="minorHAnsi" w:eastAsiaTheme="minorEastAsia" w:hAnsiTheme="minorHAnsi" w:cstheme="minorBidi"/>
          <w:b w:val="0"/>
          <w:smallCaps w:val="0"/>
          <w:noProof/>
          <w:lang w:eastAsia="hr-HR"/>
        </w:rPr>
      </w:pPr>
      <w:hyperlink w:anchor="_Toc94770003" w:history="1">
        <w:r w:rsidR="003448C8" w:rsidRPr="00F57D55">
          <w:rPr>
            <w:rStyle w:val="Hiperveza"/>
            <w:noProof/>
          </w:rPr>
          <w:t>7.3</w:t>
        </w:r>
        <w:r w:rsidR="003448C8">
          <w:rPr>
            <w:rFonts w:asciiTheme="minorHAnsi" w:eastAsiaTheme="minorEastAsia" w:hAnsiTheme="minorHAnsi" w:cstheme="minorBidi"/>
            <w:b w:val="0"/>
            <w:smallCaps w:val="0"/>
            <w:noProof/>
            <w:lang w:eastAsia="hr-HR"/>
          </w:rPr>
          <w:tab/>
        </w:r>
        <w:r w:rsidR="003448C8" w:rsidRPr="00F57D55">
          <w:rPr>
            <w:rStyle w:val="Hiperveza"/>
            <w:noProof/>
          </w:rPr>
          <w:t>Mogućnosti sveobuhvatne obnove u skladu s važećim propisima</w:t>
        </w:r>
        <w:r w:rsidR="003448C8">
          <w:rPr>
            <w:noProof/>
            <w:webHidden/>
          </w:rPr>
          <w:tab/>
        </w:r>
        <w:r w:rsidR="003448C8">
          <w:rPr>
            <w:noProof/>
            <w:webHidden/>
          </w:rPr>
          <w:fldChar w:fldCharType="begin"/>
        </w:r>
        <w:r w:rsidR="003448C8">
          <w:rPr>
            <w:noProof/>
            <w:webHidden/>
          </w:rPr>
          <w:instrText xml:space="preserve"> PAGEREF _Toc94770003 \h </w:instrText>
        </w:r>
        <w:r w:rsidR="003448C8">
          <w:rPr>
            <w:noProof/>
            <w:webHidden/>
          </w:rPr>
        </w:r>
        <w:r w:rsidR="003448C8">
          <w:rPr>
            <w:noProof/>
            <w:webHidden/>
          </w:rPr>
          <w:fldChar w:fldCharType="separate"/>
        </w:r>
        <w:r w:rsidR="0023635D">
          <w:rPr>
            <w:noProof/>
            <w:webHidden/>
          </w:rPr>
          <w:t>55</w:t>
        </w:r>
        <w:r w:rsidR="003448C8">
          <w:rPr>
            <w:noProof/>
            <w:webHidden/>
          </w:rPr>
          <w:fldChar w:fldCharType="end"/>
        </w:r>
      </w:hyperlink>
    </w:p>
    <w:p w14:paraId="170A27A0" w14:textId="03CA2E13" w:rsidR="003448C8" w:rsidRDefault="00711483">
      <w:pPr>
        <w:pStyle w:val="Sadraj2"/>
        <w:rPr>
          <w:rFonts w:asciiTheme="minorHAnsi" w:eastAsiaTheme="minorEastAsia" w:hAnsiTheme="minorHAnsi" w:cstheme="minorBidi"/>
          <w:b w:val="0"/>
          <w:smallCaps w:val="0"/>
          <w:noProof/>
          <w:lang w:eastAsia="hr-HR"/>
        </w:rPr>
      </w:pPr>
      <w:hyperlink w:anchor="_Toc94770004" w:history="1">
        <w:r w:rsidR="003448C8" w:rsidRPr="00F57D55">
          <w:rPr>
            <w:rStyle w:val="Hiperveza"/>
            <w:noProof/>
          </w:rPr>
          <w:t>7.4</w:t>
        </w:r>
        <w:r w:rsidR="003448C8">
          <w:rPr>
            <w:rFonts w:asciiTheme="minorHAnsi" w:eastAsiaTheme="minorEastAsia" w:hAnsiTheme="minorHAnsi" w:cstheme="minorBidi"/>
            <w:b w:val="0"/>
            <w:smallCaps w:val="0"/>
            <w:noProof/>
            <w:lang w:eastAsia="hr-HR"/>
          </w:rPr>
          <w:tab/>
        </w:r>
        <w:r w:rsidR="003448C8" w:rsidRPr="00F57D55">
          <w:rPr>
            <w:rStyle w:val="Hiperveza"/>
            <w:noProof/>
          </w:rPr>
          <w:t>Definiranje ključnih institucija, zaduženja, financijskih i pravnih aspekata</w:t>
        </w:r>
        <w:r w:rsidR="003448C8">
          <w:rPr>
            <w:noProof/>
            <w:webHidden/>
          </w:rPr>
          <w:tab/>
        </w:r>
        <w:r w:rsidR="003448C8">
          <w:rPr>
            <w:noProof/>
            <w:webHidden/>
          </w:rPr>
          <w:fldChar w:fldCharType="begin"/>
        </w:r>
        <w:r w:rsidR="003448C8">
          <w:rPr>
            <w:noProof/>
            <w:webHidden/>
          </w:rPr>
          <w:instrText xml:space="preserve"> PAGEREF _Toc94770004 \h </w:instrText>
        </w:r>
        <w:r w:rsidR="003448C8">
          <w:rPr>
            <w:noProof/>
            <w:webHidden/>
          </w:rPr>
        </w:r>
        <w:r w:rsidR="003448C8">
          <w:rPr>
            <w:noProof/>
            <w:webHidden/>
          </w:rPr>
          <w:fldChar w:fldCharType="separate"/>
        </w:r>
        <w:r w:rsidR="0023635D">
          <w:rPr>
            <w:noProof/>
            <w:webHidden/>
          </w:rPr>
          <w:t>56</w:t>
        </w:r>
        <w:r w:rsidR="003448C8">
          <w:rPr>
            <w:noProof/>
            <w:webHidden/>
          </w:rPr>
          <w:fldChar w:fldCharType="end"/>
        </w:r>
      </w:hyperlink>
    </w:p>
    <w:p w14:paraId="7B9ED0BB" w14:textId="4CD8E4F2" w:rsidR="003448C8" w:rsidRDefault="00711483">
      <w:pPr>
        <w:pStyle w:val="Sadraj2"/>
        <w:rPr>
          <w:rFonts w:asciiTheme="minorHAnsi" w:eastAsiaTheme="minorEastAsia" w:hAnsiTheme="minorHAnsi" w:cstheme="minorBidi"/>
          <w:b w:val="0"/>
          <w:smallCaps w:val="0"/>
          <w:noProof/>
          <w:lang w:eastAsia="hr-HR"/>
        </w:rPr>
      </w:pPr>
      <w:hyperlink w:anchor="_Toc94770005" w:history="1">
        <w:r w:rsidR="003448C8" w:rsidRPr="00F57D55">
          <w:rPr>
            <w:rStyle w:val="Hiperveza"/>
            <w:noProof/>
          </w:rPr>
          <w:t>7.5</w:t>
        </w:r>
        <w:r w:rsidR="003448C8">
          <w:rPr>
            <w:rFonts w:asciiTheme="minorHAnsi" w:eastAsiaTheme="minorEastAsia" w:hAnsiTheme="minorHAnsi" w:cstheme="minorBidi"/>
            <w:b w:val="0"/>
            <w:smallCaps w:val="0"/>
            <w:noProof/>
            <w:lang w:eastAsia="hr-HR"/>
          </w:rPr>
          <w:tab/>
        </w:r>
        <w:r w:rsidR="003448C8" w:rsidRPr="00F57D55">
          <w:rPr>
            <w:rStyle w:val="Hiperveza"/>
            <w:noProof/>
          </w:rPr>
          <w:t>Dijagram toka sa ključnim koracima</w:t>
        </w:r>
        <w:r w:rsidR="003448C8">
          <w:rPr>
            <w:noProof/>
            <w:webHidden/>
          </w:rPr>
          <w:tab/>
        </w:r>
        <w:r w:rsidR="003448C8">
          <w:rPr>
            <w:noProof/>
            <w:webHidden/>
          </w:rPr>
          <w:fldChar w:fldCharType="begin"/>
        </w:r>
        <w:r w:rsidR="003448C8">
          <w:rPr>
            <w:noProof/>
            <w:webHidden/>
          </w:rPr>
          <w:instrText xml:space="preserve"> PAGEREF _Toc94770005 \h </w:instrText>
        </w:r>
        <w:r w:rsidR="003448C8">
          <w:rPr>
            <w:noProof/>
            <w:webHidden/>
          </w:rPr>
        </w:r>
        <w:r w:rsidR="003448C8">
          <w:rPr>
            <w:noProof/>
            <w:webHidden/>
          </w:rPr>
          <w:fldChar w:fldCharType="separate"/>
        </w:r>
        <w:r w:rsidR="0023635D">
          <w:rPr>
            <w:noProof/>
            <w:webHidden/>
          </w:rPr>
          <w:t>58</w:t>
        </w:r>
        <w:r w:rsidR="003448C8">
          <w:rPr>
            <w:noProof/>
            <w:webHidden/>
          </w:rPr>
          <w:fldChar w:fldCharType="end"/>
        </w:r>
      </w:hyperlink>
    </w:p>
    <w:p w14:paraId="16BA8B33" w14:textId="5ABA3617" w:rsidR="003448C8" w:rsidRDefault="00711483">
      <w:pPr>
        <w:pStyle w:val="Sadraj2"/>
        <w:rPr>
          <w:rFonts w:asciiTheme="minorHAnsi" w:eastAsiaTheme="minorEastAsia" w:hAnsiTheme="minorHAnsi" w:cstheme="minorBidi"/>
          <w:b w:val="0"/>
          <w:smallCaps w:val="0"/>
          <w:noProof/>
          <w:lang w:eastAsia="hr-HR"/>
        </w:rPr>
      </w:pPr>
      <w:hyperlink w:anchor="_Toc94770006" w:history="1">
        <w:r w:rsidR="003448C8" w:rsidRPr="00F57D55">
          <w:rPr>
            <w:rStyle w:val="Hiperveza"/>
            <w:noProof/>
          </w:rPr>
          <w:t>7.6</w:t>
        </w:r>
        <w:r w:rsidR="003448C8">
          <w:rPr>
            <w:rFonts w:asciiTheme="minorHAnsi" w:eastAsiaTheme="minorEastAsia" w:hAnsiTheme="minorHAnsi" w:cstheme="minorBidi"/>
            <w:b w:val="0"/>
            <w:smallCaps w:val="0"/>
            <w:noProof/>
            <w:lang w:eastAsia="hr-HR"/>
          </w:rPr>
          <w:tab/>
        </w:r>
        <w:r w:rsidR="003448C8" w:rsidRPr="00F57D55">
          <w:rPr>
            <w:rStyle w:val="Hiperveza"/>
            <w:noProof/>
          </w:rPr>
          <w:t>Tehnička pomoć prijaviteljima (One-Stop-Shops)</w:t>
        </w:r>
        <w:r w:rsidR="003448C8">
          <w:rPr>
            <w:noProof/>
            <w:webHidden/>
          </w:rPr>
          <w:tab/>
        </w:r>
        <w:r w:rsidR="003448C8">
          <w:rPr>
            <w:noProof/>
            <w:webHidden/>
          </w:rPr>
          <w:fldChar w:fldCharType="begin"/>
        </w:r>
        <w:r w:rsidR="003448C8">
          <w:rPr>
            <w:noProof/>
            <w:webHidden/>
          </w:rPr>
          <w:instrText xml:space="preserve"> PAGEREF _Toc94770006 \h </w:instrText>
        </w:r>
        <w:r w:rsidR="003448C8">
          <w:rPr>
            <w:noProof/>
            <w:webHidden/>
          </w:rPr>
        </w:r>
        <w:r w:rsidR="003448C8">
          <w:rPr>
            <w:noProof/>
            <w:webHidden/>
          </w:rPr>
          <w:fldChar w:fldCharType="separate"/>
        </w:r>
        <w:r w:rsidR="0023635D">
          <w:rPr>
            <w:noProof/>
            <w:webHidden/>
          </w:rPr>
          <w:t>61</w:t>
        </w:r>
        <w:r w:rsidR="003448C8">
          <w:rPr>
            <w:noProof/>
            <w:webHidden/>
          </w:rPr>
          <w:fldChar w:fldCharType="end"/>
        </w:r>
      </w:hyperlink>
    </w:p>
    <w:p w14:paraId="0D7AE159" w14:textId="5FF4DCD0" w:rsidR="003448C8" w:rsidRDefault="00711483">
      <w:pPr>
        <w:pStyle w:val="Sadraj3"/>
        <w:rPr>
          <w:rFonts w:asciiTheme="minorHAnsi" w:eastAsiaTheme="minorEastAsia" w:hAnsiTheme="minorHAnsi" w:cstheme="minorBidi"/>
          <w:noProof/>
          <w:sz w:val="22"/>
          <w:szCs w:val="22"/>
          <w:lang w:eastAsia="hr-HR"/>
        </w:rPr>
      </w:pPr>
      <w:hyperlink w:anchor="_Toc94770007" w:history="1">
        <w:r w:rsidR="003448C8" w:rsidRPr="00F57D55">
          <w:rPr>
            <w:rStyle w:val="Hiperveza"/>
            <w:noProof/>
          </w:rPr>
          <w:t>7.6.1</w:t>
        </w:r>
        <w:r w:rsidR="003448C8">
          <w:rPr>
            <w:rFonts w:asciiTheme="minorHAnsi" w:eastAsiaTheme="minorEastAsia" w:hAnsiTheme="minorHAnsi" w:cstheme="minorBidi"/>
            <w:noProof/>
            <w:sz w:val="22"/>
            <w:szCs w:val="22"/>
            <w:lang w:eastAsia="hr-HR"/>
          </w:rPr>
          <w:tab/>
        </w:r>
        <w:r w:rsidR="003448C8" w:rsidRPr="00F57D55">
          <w:rPr>
            <w:rStyle w:val="Hiperveza"/>
            <w:noProof/>
          </w:rPr>
          <w:t>One-Stop-Shop kao Integrirana usluga energetske obnove za javne zgrade</w:t>
        </w:r>
        <w:r w:rsidR="003448C8">
          <w:rPr>
            <w:noProof/>
            <w:webHidden/>
          </w:rPr>
          <w:tab/>
        </w:r>
        <w:r w:rsidR="003448C8">
          <w:rPr>
            <w:noProof/>
            <w:webHidden/>
          </w:rPr>
          <w:fldChar w:fldCharType="begin"/>
        </w:r>
        <w:r w:rsidR="003448C8">
          <w:rPr>
            <w:noProof/>
            <w:webHidden/>
          </w:rPr>
          <w:instrText xml:space="preserve"> PAGEREF _Toc94770007 \h </w:instrText>
        </w:r>
        <w:r w:rsidR="003448C8">
          <w:rPr>
            <w:noProof/>
            <w:webHidden/>
          </w:rPr>
        </w:r>
        <w:r w:rsidR="003448C8">
          <w:rPr>
            <w:noProof/>
            <w:webHidden/>
          </w:rPr>
          <w:fldChar w:fldCharType="separate"/>
        </w:r>
        <w:r w:rsidR="0023635D">
          <w:rPr>
            <w:noProof/>
            <w:webHidden/>
          </w:rPr>
          <w:t>62</w:t>
        </w:r>
        <w:r w:rsidR="003448C8">
          <w:rPr>
            <w:noProof/>
            <w:webHidden/>
          </w:rPr>
          <w:fldChar w:fldCharType="end"/>
        </w:r>
      </w:hyperlink>
    </w:p>
    <w:p w14:paraId="3E23C130" w14:textId="443451B6"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70026" w:history="1">
        <w:r w:rsidR="003448C8" w:rsidRPr="00F57D55">
          <w:rPr>
            <w:rStyle w:val="Hiperveza"/>
            <w:noProof/>
          </w:rPr>
          <w:t>8</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Financijska analiza</w:t>
        </w:r>
        <w:r w:rsidR="003448C8">
          <w:rPr>
            <w:noProof/>
            <w:webHidden/>
          </w:rPr>
          <w:tab/>
        </w:r>
        <w:r w:rsidR="003448C8">
          <w:rPr>
            <w:noProof/>
            <w:webHidden/>
          </w:rPr>
          <w:fldChar w:fldCharType="begin"/>
        </w:r>
        <w:r w:rsidR="003448C8">
          <w:rPr>
            <w:noProof/>
            <w:webHidden/>
          </w:rPr>
          <w:instrText xml:space="preserve"> PAGEREF _Toc94770026 \h </w:instrText>
        </w:r>
        <w:r w:rsidR="003448C8">
          <w:rPr>
            <w:noProof/>
            <w:webHidden/>
          </w:rPr>
        </w:r>
        <w:r w:rsidR="003448C8">
          <w:rPr>
            <w:noProof/>
            <w:webHidden/>
          </w:rPr>
          <w:fldChar w:fldCharType="separate"/>
        </w:r>
        <w:r w:rsidR="0023635D">
          <w:rPr>
            <w:noProof/>
            <w:webHidden/>
          </w:rPr>
          <w:t>64</w:t>
        </w:r>
        <w:r w:rsidR="003448C8">
          <w:rPr>
            <w:noProof/>
            <w:webHidden/>
          </w:rPr>
          <w:fldChar w:fldCharType="end"/>
        </w:r>
      </w:hyperlink>
    </w:p>
    <w:p w14:paraId="7CB72E91" w14:textId="0939A4F0" w:rsidR="003448C8" w:rsidRDefault="00711483">
      <w:pPr>
        <w:pStyle w:val="Sadraj2"/>
        <w:rPr>
          <w:rFonts w:asciiTheme="minorHAnsi" w:eastAsiaTheme="minorEastAsia" w:hAnsiTheme="minorHAnsi" w:cstheme="minorBidi"/>
          <w:b w:val="0"/>
          <w:smallCaps w:val="0"/>
          <w:noProof/>
          <w:lang w:eastAsia="hr-HR"/>
        </w:rPr>
      </w:pPr>
      <w:hyperlink w:anchor="_Toc94770027" w:history="1">
        <w:r w:rsidR="003448C8" w:rsidRPr="00F57D55">
          <w:rPr>
            <w:rStyle w:val="Hiperveza"/>
            <w:noProof/>
          </w:rPr>
          <w:t>8.1</w:t>
        </w:r>
        <w:r w:rsidR="003448C8">
          <w:rPr>
            <w:rFonts w:asciiTheme="minorHAnsi" w:eastAsiaTheme="minorEastAsia" w:hAnsiTheme="minorHAnsi" w:cstheme="minorBidi"/>
            <w:b w:val="0"/>
            <w:smallCaps w:val="0"/>
            <w:noProof/>
            <w:lang w:eastAsia="hr-HR"/>
          </w:rPr>
          <w:tab/>
        </w:r>
        <w:r w:rsidR="003448C8" w:rsidRPr="00F57D55">
          <w:rPr>
            <w:rStyle w:val="Hiperveza"/>
            <w:noProof/>
          </w:rPr>
          <w:t>Analiza potrebnih investicija i utvrđivanje financijskog jaza</w:t>
        </w:r>
        <w:r w:rsidR="003448C8">
          <w:rPr>
            <w:noProof/>
            <w:webHidden/>
          </w:rPr>
          <w:tab/>
        </w:r>
        <w:r w:rsidR="003448C8">
          <w:rPr>
            <w:noProof/>
            <w:webHidden/>
          </w:rPr>
          <w:fldChar w:fldCharType="begin"/>
        </w:r>
        <w:r w:rsidR="003448C8">
          <w:rPr>
            <w:noProof/>
            <w:webHidden/>
          </w:rPr>
          <w:instrText xml:space="preserve"> PAGEREF _Toc94770027 \h </w:instrText>
        </w:r>
        <w:r w:rsidR="003448C8">
          <w:rPr>
            <w:noProof/>
            <w:webHidden/>
          </w:rPr>
        </w:r>
        <w:r w:rsidR="003448C8">
          <w:rPr>
            <w:noProof/>
            <w:webHidden/>
          </w:rPr>
          <w:fldChar w:fldCharType="separate"/>
        </w:r>
        <w:r w:rsidR="0023635D">
          <w:rPr>
            <w:noProof/>
            <w:webHidden/>
          </w:rPr>
          <w:t>64</w:t>
        </w:r>
        <w:r w:rsidR="003448C8">
          <w:rPr>
            <w:noProof/>
            <w:webHidden/>
          </w:rPr>
          <w:fldChar w:fldCharType="end"/>
        </w:r>
      </w:hyperlink>
    </w:p>
    <w:p w14:paraId="1A82729B" w14:textId="5E90C3FA" w:rsidR="003448C8" w:rsidRDefault="00711483">
      <w:pPr>
        <w:pStyle w:val="Sadraj2"/>
        <w:rPr>
          <w:rFonts w:asciiTheme="minorHAnsi" w:eastAsiaTheme="minorEastAsia" w:hAnsiTheme="minorHAnsi" w:cstheme="minorBidi"/>
          <w:b w:val="0"/>
          <w:smallCaps w:val="0"/>
          <w:noProof/>
          <w:lang w:eastAsia="hr-HR"/>
        </w:rPr>
      </w:pPr>
      <w:hyperlink w:anchor="_Toc94770028" w:history="1">
        <w:r w:rsidR="003448C8" w:rsidRPr="00F57D55">
          <w:rPr>
            <w:rStyle w:val="Hiperveza"/>
            <w:noProof/>
          </w:rPr>
          <w:t>8.2</w:t>
        </w:r>
        <w:r w:rsidR="003448C8">
          <w:rPr>
            <w:rFonts w:asciiTheme="minorHAnsi" w:eastAsiaTheme="minorEastAsia" w:hAnsiTheme="minorHAnsi" w:cstheme="minorBidi"/>
            <w:b w:val="0"/>
            <w:smallCaps w:val="0"/>
            <w:noProof/>
            <w:lang w:eastAsia="hr-HR"/>
          </w:rPr>
          <w:tab/>
        </w:r>
        <w:r w:rsidR="003448C8" w:rsidRPr="00F57D55">
          <w:rPr>
            <w:rStyle w:val="Hiperveza"/>
            <w:noProof/>
          </w:rPr>
          <w:t>Mogućnosti financiranja iz dostupnih sredstava</w:t>
        </w:r>
        <w:r w:rsidR="003448C8">
          <w:rPr>
            <w:noProof/>
            <w:webHidden/>
          </w:rPr>
          <w:tab/>
        </w:r>
        <w:r w:rsidR="003448C8">
          <w:rPr>
            <w:noProof/>
            <w:webHidden/>
          </w:rPr>
          <w:fldChar w:fldCharType="begin"/>
        </w:r>
        <w:r w:rsidR="003448C8">
          <w:rPr>
            <w:noProof/>
            <w:webHidden/>
          </w:rPr>
          <w:instrText xml:space="preserve"> PAGEREF _Toc94770028 \h </w:instrText>
        </w:r>
        <w:r w:rsidR="003448C8">
          <w:rPr>
            <w:noProof/>
            <w:webHidden/>
          </w:rPr>
        </w:r>
        <w:r w:rsidR="003448C8">
          <w:rPr>
            <w:noProof/>
            <w:webHidden/>
          </w:rPr>
          <w:fldChar w:fldCharType="separate"/>
        </w:r>
        <w:r w:rsidR="0023635D">
          <w:rPr>
            <w:noProof/>
            <w:webHidden/>
          </w:rPr>
          <w:t>65</w:t>
        </w:r>
        <w:r w:rsidR="003448C8">
          <w:rPr>
            <w:noProof/>
            <w:webHidden/>
          </w:rPr>
          <w:fldChar w:fldCharType="end"/>
        </w:r>
      </w:hyperlink>
    </w:p>
    <w:p w14:paraId="19735697" w14:textId="159EDA03" w:rsidR="003448C8" w:rsidRDefault="00711483">
      <w:pPr>
        <w:pStyle w:val="Sadraj2"/>
        <w:rPr>
          <w:rFonts w:asciiTheme="minorHAnsi" w:eastAsiaTheme="minorEastAsia" w:hAnsiTheme="minorHAnsi" w:cstheme="minorBidi"/>
          <w:b w:val="0"/>
          <w:smallCaps w:val="0"/>
          <w:noProof/>
          <w:lang w:eastAsia="hr-HR"/>
        </w:rPr>
      </w:pPr>
      <w:hyperlink w:anchor="_Toc94770029" w:history="1">
        <w:r w:rsidR="003448C8" w:rsidRPr="00F57D55">
          <w:rPr>
            <w:rStyle w:val="Hiperveza"/>
            <w:noProof/>
          </w:rPr>
          <w:t>8.3</w:t>
        </w:r>
        <w:r w:rsidR="003448C8">
          <w:rPr>
            <w:rFonts w:asciiTheme="minorHAnsi" w:eastAsiaTheme="minorEastAsia" w:hAnsiTheme="minorHAnsi" w:cstheme="minorBidi"/>
            <w:b w:val="0"/>
            <w:smallCaps w:val="0"/>
            <w:noProof/>
            <w:lang w:eastAsia="hr-HR"/>
          </w:rPr>
          <w:tab/>
        </w:r>
        <w:r w:rsidR="003448C8" w:rsidRPr="00F57D55">
          <w:rPr>
            <w:rStyle w:val="Hiperveza"/>
            <w:noProof/>
          </w:rPr>
          <w:t>Dugoročni planovi financiranja</w:t>
        </w:r>
        <w:r w:rsidR="003448C8">
          <w:rPr>
            <w:noProof/>
            <w:webHidden/>
          </w:rPr>
          <w:tab/>
        </w:r>
        <w:r w:rsidR="003448C8">
          <w:rPr>
            <w:noProof/>
            <w:webHidden/>
          </w:rPr>
          <w:fldChar w:fldCharType="begin"/>
        </w:r>
        <w:r w:rsidR="003448C8">
          <w:rPr>
            <w:noProof/>
            <w:webHidden/>
          </w:rPr>
          <w:instrText xml:space="preserve"> PAGEREF _Toc94770029 \h </w:instrText>
        </w:r>
        <w:r w:rsidR="003448C8">
          <w:rPr>
            <w:noProof/>
            <w:webHidden/>
          </w:rPr>
        </w:r>
        <w:r w:rsidR="003448C8">
          <w:rPr>
            <w:noProof/>
            <w:webHidden/>
          </w:rPr>
          <w:fldChar w:fldCharType="separate"/>
        </w:r>
        <w:r w:rsidR="0023635D">
          <w:rPr>
            <w:noProof/>
            <w:webHidden/>
          </w:rPr>
          <w:t>66</w:t>
        </w:r>
        <w:r w:rsidR="003448C8">
          <w:rPr>
            <w:noProof/>
            <w:webHidden/>
          </w:rPr>
          <w:fldChar w:fldCharType="end"/>
        </w:r>
      </w:hyperlink>
    </w:p>
    <w:p w14:paraId="78CD8DC2" w14:textId="49B6FEA8" w:rsidR="003448C8" w:rsidRDefault="00711483">
      <w:pPr>
        <w:pStyle w:val="Sadraj3"/>
        <w:rPr>
          <w:rFonts w:asciiTheme="minorHAnsi" w:eastAsiaTheme="minorEastAsia" w:hAnsiTheme="minorHAnsi" w:cstheme="minorBidi"/>
          <w:noProof/>
          <w:sz w:val="22"/>
          <w:szCs w:val="22"/>
          <w:lang w:eastAsia="hr-HR"/>
        </w:rPr>
      </w:pPr>
      <w:hyperlink w:anchor="_Toc94770030" w:history="1">
        <w:r w:rsidR="003448C8" w:rsidRPr="00F57D55">
          <w:rPr>
            <w:rStyle w:val="Hiperveza"/>
            <w:noProof/>
          </w:rPr>
          <w:t>8.3.1</w:t>
        </w:r>
        <w:r w:rsidR="003448C8">
          <w:rPr>
            <w:rFonts w:asciiTheme="minorHAnsi" w:eastAsiaTheme="minorEastAsia" w:hAnsiTheme="minorHAnsi" w:cstheme="minorBidi"/>
            <w:noProof/>
            <w:sz w:val="22"/>
            <w:szCs w:val="22"/>
            <w:lang w:eastAsia="hr-HR"/>
          </w:rPr>
          <w:tab/>
        </w:r>
        <w:r w:rsidR="003448C8" w:rsidRPr="00F57D55">
          <w:rPr>
            <w:rStyle w:val="Hiperveza"/>
            <w:noProof/>
          </w:rPr>
          <w:t>Dugoročni planovi financiranja</w:t>
        </w:r>
        <w:r w:rsidR="003448C8">
          <w:rPr>
            <w:noProof/>
            <w:webHidden/>
          </w:rPr>
          <w:tab/>
        </w:r>
        <w:r w:rsidR="003448C8">
          <w:rPr>
            <w:noProof/>
            <w:webHidden/>
          </w:rPr>
          <w:fldChar w:fldCharType="begin"/>
        </w:r>
        <w:r w:rsidR="003448C8">
          <w:rPr>
            <w:noProof/>
            <w:webHidden/>
          </w:rPr>
          <w:instrText xml:space="preserve"> PAGEREF _Toc94770030 \h </w:instrText>
        </w:r>
        <w:r w:rsidR="003448C8">
          <w:rPr>
            <w:noProof/>
            <w:webHidden/>
          </w:rPr>
        </w:r>
        <w:r w:rsidR="003448C8">
          <w:rPr>
            <w:noProof/>
            <w:webHidden/>
          </w:rPr>
          <w:fldChar w:fldCharType="separate"/>
        </w:r>
        <w:r w:rsidR="0023635D">
          <w:rPr>
            <w:noProof/>
            <w:webHidden/>
          </w:rPr>
          <w:t>66</w:t>
        </w:r>
        <w:r w:rsidR="003448C8">
          <w:rPr>
            <w:noProof/>
            <w:webHidden/>
          </w:rPr>
          <w:fldChar w:fldCharType="end"/>
        </w:r>
      </w:hyperlink>
    </w:p>
    <w:p w14:paraId="00C44072" w14:textId="1A97075B" w:rsidR="003448C8" w:rsidRDefault="00711483">
      <w:pPr>
        <w:pStyle w:val="Sadraj3"/>
        <w:rPr>
          <w:rFonts w:asciiTheme="minorHAnsi" w:eastAsiaTheme="minorEastAsia" w:hAnsiTheme="minorHAnsi" w:cstheme="minorBidi"/>
          <w:noProof/>
          <w:sz w:val="22"/>
          <w:szCs w:val="22"/>
          <w:lang w:eastAsia="hr-HR"/>
        </w:rPr>
      </w:pPr>
      <w:hyperlink w:anchor="_Toc94770031" w:history="1">
        <w:r w:rsidR="003448C8" w:rsidRPr="00F57D55">
          <w:rPr>
            <w:rStyle w:val="Hiperveza"/>
            <w:noProof/>
          </w:rPr>
          <w:t>8.3.2</w:t>
        </w:r>
        <w:r w:rsidR="003448C8">
          <w:rPr>
            <w:rFonts w:asciiTheme="minorHAnsi" w:eastAsiaTheme="minorEastAsia" w:hAnsiTheme="minorHAnsi" w:cstheme="minorBidi"/>
            <w:noProof/>
            <w:sz w:val="22"/>
            <w:szCs w:val="22"/>
            <w:lang w:eastAsia="hr-HR"/>
          </w:rPr>
          <w:tab/>
        </w:r>
        <w:r w:rsidR="003448C8" w:rsidRPr="00F57D55">
          <w:rPr>
            <w:rStyle w:val="Hiperveza"/>
            <w:noProof/>
          </w:rPr>
          <w:t>Financijska održivost</w:t>
        </w:r>
        <w:r w:rsidR="003448C8">
          <w:rPr>
            <w:noProof/>
            <w:webHidden/>
          </w:rPr>
          <w:tab/>
        </w:r>
        <w:r w:rsidR="003448C8">
          <w:rPr>
            <w:noProof/>
            <w:webHidden/>
          </w:rPr>
          <w:fldChar w:fldCharType="begin"/>
        </w:r>
        <w:r w:rsidR="003448C8">
          <w:rPr>
            <w:noProof/>
            <w:webHidden/>
          </w:rPr>
          <w:instrText xml:space="preserve"> PAGEREF _Toc94770031 \h </w:instrText>
        </w:r>
        <w:r w:rsidR="003448C8">
          <w:rPr>
            <w:noProof/>
            <w:webHidden/>
          </w:rPr>
        </w:r>
        <w:r w:rsidR="003448C8">
          <w:rPr>
            <w:noProof/>
            <w:webHidden/>
          </w:rPr>
          <w:fldChar w:fldCharType="separate"/>
        </w:r>
        <w:r w:rsidR="0023635D">
          <w:rPr>
            <w:noProof/>
            <w:webHidden/>
          </w:rPr>
          <w:t>67</w:t>
        </w:r>
        <w:r w:rsidR="003448C8">
          <w:rPr>
            <w:noProof/>
            <w:webHidden/>
          </w:rPr>
          <w:fldChar w:fldCharType="end"/>
        </w:r>
      </w:hyperlink>
    </w:p>
    <w:p w14:paraId="03E8F75C" w14:textId="799FEF20" w:rsidR="003448C8" w:rsidRDefault="00711483">
      <w:pPr>
        <w:pStyle w:val="Sadraj3"/>
        <w:rPr>
          <w:rFonts w:asciiTheme="minorHAnsi" w:eastAsiaTheme="minorEastAsia" w:hAnsiTheme="minorHAnsi" w:cstheme="minorBidi"/>
          <w:noProof/>
          <w:sz w:val="22"/>
          <w:szCs w:val="22"/>
          <w:lang w:eastAsia="hr-HR"/>
        </w:rPr>
      </w:pPr>
      <w:hyperlink w:anchor="_Toc94770032" w:history="1">
        <w:r w:rsidR="003448C8" w:rsidRPr="00F57D55">
          <w:rPr>
            <w:rStyle w:val="Hiperveza"/>
            <w:noProof/>
          </w:rPr>
          <w:t>8.3.3</w:t>
        </w:r>
        <w:r w:rsidR="003448C8">
          <w:rPr>
            <w:rFonts w:asciiTheme="minorHAnsi" w:eastAsiaTheme="minorEastAsia" w:hAnsiTheme="minorHAnsi" w:cstheme="minorBidi"/>
            <w:noProof/>
            <w:sz w:val="22"/>
            <w:szCs w:val="22"/>
            <w:lang w:eastAsia="hr-HR"/>
          </w:rPr>
          <w:tab/>
        </w:r>
        <w:r w:rsidR="003448C8" w:rsidRPr="00F57D55">
          <w:rPr>
            <w:rStyle w:val="Hiperveza"/>
            <w:noProof/>
          </w:rPr>
          <w:t>Racionalnost pri dodjeli bespovratnih sredstava</w:t>
        </w:r>
        <w:r w:rsidR="003448C8">
          <w:rPr>
            <w:noProof/>
            <w:webHidden/>
          </w:rPr>
          <w:tab/>
        </w:r>
        <w:r w:rsidR="003448C8">
          <w:rPr>
            <w:noProof/>
            <w:webHidden/>
          </w:rPr>
          <w:fldChar w:fldCharType="begin"/>
        </w:r>
        <w:r w:rsidR="003448C8">
          <w:rPr>
            <w:noProof/>
            <w:webHidden/>
          </w:rPr>
          <w:instrText xml:space="preserve"> PAGEREF _Toc94770032 \h </w:instrText>
        </w:r>
        <w:r w:rsidR="003448C8">
          <w:rPr>
            <w:noProof/>
            <w:webHidden/>
          </w:rPr>
        </w:r>
        <w:r w:rsidR="003448C8">
          <w:rPr>
            <w:noProof/>
            <w:webHidden/>
          </w:rPr>
          <w:fldChar w:fldCharType="separate"/>
        </w:r>
        <w:r w:rsidR="0023635D">
          <w:rPr>
            <w:noProof/>
            <w:webHidden/>
          </w:rPr>
          <w:t>68</w:t>
        </w:r>
        <w:r w:rsidR="003448C8">
          <w:rPr>
            <w:noProof/>
            <w:webHidden/>
          </w:rPr>
          <w:fldChar w:fldCharType="end"/>
        </w:r>
      </w:hyperlink>
    </w:p>
    <w:p w14:paraId="1B6642C4" w14:textId="73F3E8FD" w:rsidR="003448C8" w:rsidRDefault="00711483">
      <w:pPr>
        <w:pStyle w:val="Sadraj3"/>
        <w:rPr>
          <w:rFonts w:asciiTheme="minorHAnsi" w:eastAsiaTheme="minorEastAsia" w:hAnsiTheme="minorHAnsi" w:cstheme="minorBidi"/>
          <w:noProof/>
          <w:sz w:val="22"/>
          <w:szCs w:val="22"/>
          <w:lang w:eastAsia="hr-HR"/>
        </w:rPr>
      </w:pPr>
      <w:hyperlink w:anchor="_Toc94770033" w:history="1">
        <w:r w:rsidR="003448C8" w:rsidRPr="00F57D55">
          <w:rPr>
            <w:rStyle w:val="Hiperveza"/>
            <w:noProof/>
          </w:rPr>
          <w:t>8.3.4</w:t>
        </w:r>
        <w:r w:rsidR="003448C8">
          <w:rPr>
            <w:rFonts w:asciiTheme="minorHAnsi" w:eastAsiaTheme="minorEastAsia" w:hAnsiTheme="minorHAnsi" w:cstheme="minorBidi"/>
            <w:noProof/>
            <w:sz w:val="22"/>
            <w:szCs w:val="22"/>
            <w:lang w:eastAsia="hr-HR"/>
          </w:rPr>
          <w:tab/>
        </w:r>
        <w:r w:rsidR="003448C8" w:rsidRPr="00F57D55">
          <w:rPr>
            <w:rStyle w:val="Hiperveza"/>
            <w:noProof/>
          </w:rPr>
          <w:t>Uključenost privatnog sektora i tržišnih mehanizama</w:t>
        </w:r>
        <w:r w:rsidR="003448C8">
          <w:rPr>
            <w:noProof/>
            <w:webHidden/>
          </w:rPr>
          <w:tab/>
        </w:r>
        <w:r w:rsidR="003448C8">
          <w:rPr>
            <w:noProof/>
            <w:webHidden/>
          </w:rPr>
          <w:fldChar w:fldCharType="begin"/>
        </w:r>
        <w:r w:rsidR="003448C8">
          <w:rPr>
            <w:noProof/>
            <w:webHidden/>
          </w:rPr>
          <w:instrText xml:space="preserve"> PAGEREF _Toc94770033 \h </w:instrText>
        </w:r>
        <w:r w:rsidR="003448C8">
          <w:rPr>
            <w:noProof/>
            <w:webHidden/>
          </w:rPr>
        </w:r>
        <w:r w:rsidR="003448C8">
          <w:rPr>
            <w:noProof/>
            <w:webHidden/>
          </w:rPr>
          <w:fldChar w:fldCharType="separate"/>
        </w:r>
        <w:r w:rsidR="0023635D">
          <w:rPr>
            <w:noProof/>
            <w:webHidden/>
          </w:rPr>
          <w:t>68</w:t>
        </w:r>
        <w:r w:rsidR="003448C8">
          <w:rPr>
            <w:noProof/>
            <w:webHidden/>
          </w:rPr>
          <w:fldChar w:fldCharType="end"/>
        </w:r>
      </w:hyperlink>
    </w:p>
    <w:p w14:paraId="3D1C1CF9" w14:textId="3F8E3A49" w:rsidR="003448C8" w:rsidRDefault="00711483">
      <w:pPr>
        <w:pStyle w:val="Sadraj2"/>
        <w:rPr>
          <w:rFonts w:asciiTheme="minorHAnsi" w:eastAsiaTheme="minorEastAsia" w:hAnsiTheme="minorHAnsi" w:cstheme="minorBidi"/>
          <w:b w:val="0"/>
          <w:smallCaps w:val="0"/>
          <w:noProof/>
          <w:lang w:eastAsia="hr-HR"/>
        </w:rPr>
      </w:pPr>
      <w:hyperlink w:anchor="_Toc94770034" w:history="1">
        <w:r w:rsidR="003448C8" w:rsidRPr="00F57D55">
          <w:rPr>
            <w:rStyle w:val="Hiperveza"/>
            <w:noProof/>
          </w:rPr>
          <w:t>8.4</w:t>
        </w:r>
        <w:r w:rsidR="003448C8">
          <w:rPr>
            <w:rFonts w:asciiTheme="minorHAnsi" w:eastAsiaTheme="minorEastAsia" w:hAnsiTheme="minorHAnsi" w:cstheme="minorBidi"/>
            <w:b w:val="0"/>
            <w:smallCaps w:val="0"/>
            <w:noProof/>
            <w:lang w:eastAsia="hr-HR"/>
          </w:rPr>
          <w:tab/>
        </w:r>
        <w:r w:rsidR="003448C8" w:rsidRPr="00F57D55">
          <w:rPr>
            <w:rStyle w:val="Hiperveza"/>
            <w:noProof/>
          </w:rPr>
          <w:t>Postojanje državne potpore</w:t>
        </w:r>
        <w:r w:rsidR="003448C8">
          <w:rPr>
            <w:noProof/>
            <w:webHidden/>
          </w:rPr>
          <w:tab/>
        </w:r>
        <w:r w:rsidR="003448C8">
          <w:rPr>
            <w:noProof/>
            <w:webHidden/>
          </w:rPr>
          <w:fldChar w:fldCharType="begin"/>
        </w:r>
        <w:r w:rsidR="003448C8">
          <w:rPr>
            <w:noProof/>
            <w:webHidden/>
          </w:rPr>
          <w:instrText xml:space="preserve"> PAGEREF _Toc94770034 \h </w:instrText>
        </w:r>
        <w:r w:rsidR="003448C8">
          <w:rPr>
            <w:noProof/>
            <w:webHidden/>
          </w:rPr>
        </w:r>
        <w:r w:rsidR="003448C8">
          <w:rPr>
            <w:noProof/>
            <w:webHidden/>
          </w:rPr>
          <w:fldChar w:fldCharType="separate"/>
        </w:r>
        <w:r w:rsidR="0023635D">
          <w:rPr>
            <w:noProof/>
            <w:webHidden/>
          </w:rPr>
          <w:t>68</w:t>
        </w:r>
        <w:r w:rsidR="003448C8">
          <w:rPr>
            <w:noProof/>
            <w:webHidden/>
          </w:rPr>
          <w:fldChar w:fldCharType="end"/>
        </w:r>
      </w:hyperlink>
    </w:p>
    <w:p w14:paraId="7A9046BF" w14:textId="28720482" w:rsidR="003448C8" w:rsidRDefault="00711483">
      <w:pPr>
        <w:pStyle w:val="Sadraj2"/>
        <w:rPr>
          <w:rFonts w:asciiTheme="minorHAnsi" w:eastAsiaTheme="minorEastAsia" w:hAnsiTheme="minorHAnsi" w:cstheme="minorBidi"/>
          <w:b w:val="0"/>
          <w:smallCaps w:val="0"/>
          <w:noProof/>
          <w:lang w:eastAsia="hr-HR"/>
        </w:rPr>
      </w:pPr>
      <w:hyperlink w:anchor="_Toc94770035" w:history="1">
        <w:r w:rsidR="003448C8" w:rsidRPr="00F57D55">
          <w:rPr>
            <w:rStyle w:val="Hiperveza"/>
            <w:noProof/>
          </w:rPr>
          <w:t>8.5</w:t>
        </w:r>
        <w:r w:rsidR="003448C8">
          <w:rPr>
            <w:rFonts w:asciiTheme="minorHAnsi" w:eastAsiaTheme="minorEastAsia" w:hAnsiTheme="minorHAnsi" w:cstheme="minorBidi"/>
            <w:b w:val="0"/>
            <w:smallCaps w:val="0"/>
            <w:noProof/>
            <w:lang w:eastAsia="hr-HR"/>
          </w:rPr>
          <w:tab/>
        </w:r>
        <w:r w:rsidR="003448C8" w:rsidRPr="00F57D55">
          <w:rPr>
            <w:rStyle w:val="Hiperveza"/>
            <w:noProof/>
          </w:rPr>
          <w:t>Konkretne preporuke za primjenu financijskih instrumenata primjenjivih u Republici Hrvatskoj</w:t>
        </w:r>
        <w:r w:rsidR="003448C8">
          <w:rPr>
            <w:noProof/>
            <w:webHidden/>
          </w:rPr>
          <w:tab/>
        </w:r>
        <w:r w:rsidR="003448C8">
          <w:rPr>
            <w:noProof/>
            <w:webHidden/>
          </w:rPr>
          <w:fldChar w:fldCharType="begin"/>
        </w:r>
        <w:r w:rsidR="003448C8">
          <w:rPr>
            <w:noProof/>
            <w:webHidden/>
          </w:rPr>
          <w:instrText xml:space="preserve"> PAGEREF _Toc94770035 \h </w:instrText>
        </w:r>
        <w:r w:rsidR="003448C8">
          <w:rPr>
            <w:noProof/>
            <w:webHidden/>
          </w:rPr>
        </w:r>
        <w:r w:rsidR="003448C8">
          <w:rPr>
            <w:noProof/>
            <w:webHidden/>
          </w:rPr>
          <w:fldChar w:fldCharType="separate"/>
        </w:r>
        <w:r w:rsidR="0023635D">
          <w:rPr>
            <w:noProof/>
            <w:webHidden/>
          </w:rPr>
          <w:t>74</w:t>
        </w:r>
        <w:r w:rsidR="003448C8">
          <w:rPr>
            <w:noProof/>
            <w:webHidden/>
          </w:rPr>
          <w:fldChar w:fldCharType="end"/>
        </w:r>
      </w:hyperlink>
    </w:p>
    <w:p w14:paraId="0BF6FE15" w14:textId="2BF9AD74" w:rsidR="003448C8" w:rsidRDefault="00711483">
      <w:pPr>
        <w:pStyle w:val="Sadraj3"/>
        <w:rPr>
          <w:rFonts w:asciiTheme="minorHAnsi" w:eastAsiaTheme="minorEastAsia" w:hAnsiTheme="minorHAnsi" w:cstheme="minorBidi"/>
          <w:noProof/>
          <w:sz w:val="22"/>
          <w:szCs w:val="22"/>
          <w:lang w:eastAsia="hr-HR"/>
        </w:rPr>
      </w:pPr>
      <w:hyperlink w:anchor="_Toc94770036" w:history="1">
        <w:r w:rsidR="003448C8" w:rsidRPr="00F57D55">
          <w:rPr>
            <w:rStyle w:val="Hiperveza"/>
            <w:noProof/>
          </w:rPr>
          <w:t>8.5.1</w:t>
        </w:r>
        <w:r w:rsidR="003448C8">
          <w:rPr>
            <w:rFonts w:asciiTheme="minorHAnsi" w:eastAsiaTheme="minorEastAsia" w:hAnsiTheme="minorHAnsi" w:cstheme="minorBidi"/>
            <w:noProof/>
            <w:sz w:val="22"/>
            <w:szCs w:val="22"/>
            <w:lang w:eastAsia="hr-HR"/>
          </w:rPr>
          <w:tab/>
        </w:r>
        <w:r w:rsidR="003448C8" w:rsidRPr="00F57D55">
          <w:rPr>
            <w:rStyle w:val="Hiperveza"/>
            <w:noProof/>
          </w:rPr>
          <w:t>Equity fond</w:t>
        </w:r>
        <w:r w:rsidR="003448C8">
          <w:rPr>
            <w:noProof/>
            <w:webHidden/>
          </w:rPr>
          <w:tab/>
        </w:r>
        <w:r w:rsidR="003448C8">
          <w:rPr>
            <w:noProof/>
            <w:webHidden/>
          </w:rPr>
          <w:fldChar w:fldCharType="begin"/>
        </w:r>
        <w:r w:rsidR="003448C8">
          <w:rPr>
            <w:noProof/>
            <w:webHidden/>
          </w:rPr>
          <w:instrText xml:space="preserve"> PAGEREF _Toc94770036 \h </w:instrText>
        </w:r>
        <w:r w:rsidR="003448C8">
          <w:rPr>
            <w:noProof/>
            <w:webHidden/>
          </w:rPr>
        </w:r>
        <w:r w:rsidR="003448C8">
          <w:rPr>
            <w:noProof/>
            <w:webHidden/>
          </w:rPr>
          <w:fldChar w:fldCharType="separate"/>
        </w:r>
        <w:r w:rsidR="0023635D">
          <w:rPr>
            <w:noProof/>
            <w:webHidden/>
          </w:rPr>
          <w:t>77</w:t>
        </w:r>
        <w:r w:rsidR="003448C8">
          <w:rPr>
            <w:noProof/>
            <w:webHidden/>
          </w:rPr>
          <w:fldChar w:fldCharType="end"/>
        </w:r>
      </w:hyperlink>
    </w:p>
    <w:p w14:paraId="1D7E264D" w14:textId="5F86C04E" w:rsidR="003448C8" w:rsidRDefault="00711483">
      <w:pPr>
        <w:pStyle w:val="Sadraj3"/>
        <w:rPr>
          <w:rFonts w:asciiTheme="minorHAnsi" w:eastAsiaTheme="minorEastAsia" w:hAnsiTheme="minorHAnsi" w:cstheme="minorBidi"/>
          <w:noProof/>
          <w:sz w:val="22"/>
          <w:szCs w:val="22"/>
          <w:lang w:eastAsia="hr-HR"/>
        </w:rPr>
      </w:pPr>
      <w:hyperlink w:anchor="_Toc94770037" w:history="1">
        <w:r w:rsidR="003448C8" w:rsidRPr="00F57D55">
          <w:rPr>
            <w:rStyle w:val="Hiperveza"/>
            <w:rFonts w:cs="Tahoma"/>
            <w:noProof/>
          </w:rPr>
          <w:t>8.5.2</w:t>
        </w:r>
        <w:r w:rsidR="003448C8">
          <w:rPr>
            <w:rFonts w:asciiTheme="minorHAnsi" w:eastAsiaTheme="minorEastAsia" w:hAnsiTheme="minorHAnsi" w:cstheme="minorBidi"/>
            <w:noProof/>
            <w:sz w:val="22"/>
            <w:szCs w:val="22"/>
            <w:lang w:eastAsia="hr-HR"/>
          </w:rPr>
          <w:tab/>
        </w:r>
        <w:r w:rsidR="003448C8" w:rsidRPr="00F57D55">
          <w:rPr>
            <w:rStyle w:val="Hiperveza"/>
            <w:noProof/>
          </w:rPr>
          <w:t>Kombiniranje financijskih instrumenata i bespovratnih sredstava</w:t>
        </w:r>
        <w:r w:rsidR="003448C8">
          <w:rPr>
            <w:noProof/>
            <w:webHidden/>
          </w:rPr>
          <w:tab/>
        </w:r>
        <w:r w:rsidR="003448C8">
          <w:rPr>
            <w:noProof/>
            <w:webHidden/>
          </w:rPr>
          <w:fldChar w:fldCharType="begin"/>
        </w:r>
        <w:r w:rsidR="003448C8">
          <w:rPr>
            <w:noProof/>
            <w:webHidden/>
          </w:rPr>
          <w:instrText xml:space="preserve"> PAGEREF _Toc94770037 \h </w:instrText>
        </w:r>
        <w:r w:rsidR="003448C8">
          <w:rPr>
            <w:noProof/>
            <w:webHidden/>
          </w:rPr>
        </w:r>
        <w:r w:rsidR="003448C8">
          <w:rPr>
            <w:noProof/>
            <w:webHidden/>
          </w:rPr>
          <w:fldChar w:fldCharType="separate"/>
        </w:r>
        <w:r w:rsidR="0023635D">
          <w:rPr>
            <w:noProof/>
            <w:webHidden/>
          </w:rPr>
          <w:t>77</w:t>
        </w:r>
        <w:r w:rsidR="003448C8">
          <w:rPr>
            <w:noProof/>
            <w:webHidden/>
          </w:rPr>
          <w:fldChar w:fldCharType="end"/>
        </w:r>
      </w:hyperlink>
    </w:p>
    <w:p w14:paraId="0B901412" w14:textId="54F2276A" w:rsidR="003448C8" w:rsidRDefault="00711483">
      <w:pPr>
        <w:pStyle w:val="Sadraj3"/>
        <w:rPr>
          <w:rFonts w:asciiTheme="minorHAnsi" w:eastAsiaTheme="minorEastAsia" w:hAnsiTheme="minorHAnsi" w:cstheme="minorBidi"/>
          <w:noProof/>
          <w:sz w:val="22"/>
          <w:szCs w:val="22"/>
          <w:lang w:eastAsia="hr-HR"/>
        </w:rPr>
      </w:pPr>
      <w:hyperlink w:anchor="_Toc94770038" w:history="1">
        <w:r w:rsidR="003448C8" w:rsidRPr="00F57D55">
          <w:rPr>
            <w:rStyle w:val="Hiperveza"/>
            <w:noProof/>
          </w:rPr>
          <w:t>8.5.3</w:t>
        </w:r>
        <w:r w:rsidR="003448C8">
          <w:rPr>
            <w:rFonts w:asciiTheme="minorHAnsi" w:eastAsiaTheme="minorEastAsia" w:hAnsiTheme="minorHAnsi" w:cstheme="minorBidi"/>
            <w:noProof/>
            <w:sz w:val="22"/>
            <w:szCs w:val="22"/>
            <w:lang w:eastAsia="hr-HR"/>
          </w:rPr>
          <w:tab/>
        </w:r>
        <w:r w:rsidR="003448C8" w:rsidRPr="00F57D55">
          <w:rPr>
            <w:rStyle w:val="Hiperveza"/>
            <w:noProof/>
          </w:rPr>
          <w:t>Prateće aktivnosti</w:t>
        </w:r>
        <w:r w:rsidR="003448C8">
          <w:rPr>
            <w:noProof/>
            <w:webHidden/>
          </w:rPr>
          <w:tab/>
        </w:r>
        <w:r w:rsidR="003448C8">
          <w:rPr>
            <w:noProof/>
            <w:webHidden/>
          </w:rPr>
          <w:fldChar w:fldCharType="begin"/>
        </w:r>
        <w:r w:rsidR="003448C8">
          <w:rPr>
            <w:noProof/>
            <w:webHidden/>
          </w:rPr>
          <w:instrText xml:space="preserve"> PAGEREF _Toc94770038 \h </w:instrText>
        </w:r>
        <w:r w:rsidR="003448C8">
          <w:rPr>
            <w:noProof/>
            <w:webHidden/>
          </w:rPr>
        </w:r>
        <w:r w:rsidR="003448C8">
          <w:rPr>
            <w:noProof/>
            <w:webHidden/>
          </w:rPr>
          <w:fldChar w:fldCharType="separate"/>
        </w:r>
        <w:r w:rsidR="0023635D">
          <w:rPr>
            <w:noProof/>
            <w:webHidden/>
          </w:rPr>
          <w:t>77</w:t>
        </w:r>
        <w:r w:rsidR="003448C8">
          <w:rPr>
            <w:noProof/>
            <w:webHidden/>
          </w:rPr>
          <w:fldChar w:fldCharType="end"/>
        </w:r>
      </w:hyperlink>
    </w:p>
    <w:p w14:paraId="315E9D94" w14:textId="4B66871B" w:rsidR="003448C8" w:rsidRDefault="00711483">
      <w:pPr>
        <w:pStyle w:val="Sadraj3"/>
        <w:rPr>
          <w:rFonts w:asciiTheme="minorHAnsi" w:eastAsiaTheme="minorEastAsia" w:hAnsiTheme="minorHAnsi" w:cstheme="minorBidi"/>
          <w:noProof/>
          <w:sz w:val="22"/>
          <w:szCs w:val="22"/>
          <w:lang w:eastAsia="hr-HR"/>
        </w:rPr>
      </w:pPr>
      <w:hyperlink w:anchor="_Toc94770039" w:history="1">
        <w:r w:rsidR="003448C8" w:rsidRPr="00F57D55">
          <w:rPr>
            <w:rStyle w:val="Hiperveza"/>
            <w:noProof/>
          </w:rPr>
          <w:t>8.5.4</w:t>
        </w:r>
        <w:r w:rsidR="003448C8">
          <w:rPr>
            <w:rFonts w:asciiTheme="minorHAnsi" w:eastAsiaTheme="minorEastAsia" w:hAnsiTheme="minorHAnsi" w:cstheme="minorBidi"/>
            <w:noProof/>
            <w:sz w:val="22"/>
            <w:szCs w:val="22"/>
            <w:lang w:eastAsia="hr-HR"/>
          </w:rPr>
          <w:tab/>
        </w:r>
        <w:r w:rsidR="003448C8" w:rsidRPr="00F57D55">
          <w:rPr>
            <w:rStyle w:val="Hiperveza"/>
            <w:noProof/>
          </w:rPr>
          <w:t>Pomoć u pripremi projekata</w:t>
        </w:r>
        <w:r w:rsidR="003448C8">
          <w:rPr>
            <w:noProof/>
            <w:webHidden/>
          </w:rPr>
          <w:tab/>
        </w:r>
        <w:r w:rsidR="003448C8">
          <w:rPr>
            <w:noProof/>
            <w:webHidden/>
          </w:rPr>
          <w:fldChar w:fldCharType="begin"/>
        </w:r>
        <w:r w:rsidR="003448C8">
          <w:rPr>
            <w:noProof/>
            <w:webHidden/>
          </w:rPr>
          <w:instrText xml:space="preserve"> PAGEREF _Toc94770039 \h </w:instrText>
        </w:r>
        <w:r w:rsidR="003448C8">
          <w:rPr>
            <w:noProof/>
            <w:webHidden/>
          </w:rPr>
        </w:r>
        <w:r w:rsidR="003448C8">
          <w:rPr>
            <w:noProof/>
            <w:webHidden/>
          </w:rPr>
          <w:fldChar w:fldCharType="separate"/>
        </w:r>
        <w:r w:rsidR="0023635D">
          <w:rPr>
            <w:noProof/>
            <w:webHidden/>
          </w:rPr>
          <w:t>77</w:t>
        </w:r>
        <w:r w:rsidR="003448C8">
          <w:rPr>
            <w:noProof/>
            <w:webHidden/>
          </w:rPr>
          <w:fldChar w:fldCharType="end"/>
        </w:r>
      </w:hyperlink>
    </w:p>
    <w:p w14:paraId="15D00299" w14:textId="110D1AFF"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70040" w:history="1">
        <w:r w:rsidR="003448C8" w:rsidRPr="00F57D55">
          <w:rPr>
            <w:rStyle w:val="Hiperveza"/>
            <w:noProof/>
          </w:rPr>
          <w:t>9</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Procjena očekivane uštede energije i širih koristi</w:t>
        </w:r>
        <w:r w:rsidR="003448C8">
          <w:rPr>
            <w:noProof/>
            <w:webHidden/>
          </w:rPr>
          <w:tab/>
        </w:r>
        <w:r w:rsidR="003448C8">
          <w:rPr>
            <w:noProof/>
            <w:webHidden/>
          </w:rPr>
          <w:fldChar w:fldCharType="begin"/>
        </w:r>
        <w:r w:rsidR="003448C8">
          <w:rPr>
            <w:noProof/>
            <w:webHidden/>
          </w:rPr>
          <w:instrText xml:space="preserve"> PAGEREF _Toc94770040 \h </w:instrText>
        </w:r>
        <w:r w:rsidR="003448C8">
          <w:rPr>
            <w:noProof/>
            <w:webHidden/>
          </w:rPr>
        </w:r>
        <w:r w:rsidR="003448C8">
          <w:rPr>
            <w:noProof/>
            <w:webHidden/>
          </w:rPr>
          <w:fldChar w:fldCharType="separate"/>
        </w:r>
        <w:r w:rsidR="0023635D">
          <w:rPr>
            <w:noProof/>
            <w:webHidden/>
          </w:rPr>
          <w:t>79</w:t>
        </w:r>
        <w:r w:rsidR="003448C8">
          <w:rPr>
            <w:noProof/>
            <w:webHidden/>
          </w:rPr>
          <w:fldChar w:fldCharType="end"/>
        </w:r>
      </w:hyperlink>
    </w:p>
    <w:p w14:paraId="6800542A" w14:textId="01DB89CC" w:rsidR="003448C8" w:rsidRDefault="00711483">
      <w:pPr>
        <w:pStyle w:val="Sadraj2"/>
        <w:rPr>
          <w:rFonts w:asciiTheme="minorHAnsi" w:eastAsiaTheme="minorEastAsia" w:hAnsiTheme="minorHAnsi" w:cstheme="minorBidi"/>
          <w:b w:val="0"/>
          <w:smallCaps w:val="0"/>
          <w:noProof/>
          <w:lang w:eastAsia="hr-HR"/>
        </w:rPr>
      </w:pPr>
      <w:hyperlink w:anchor="_Toc94770041" w:history="1">
        <w:r w:rsidR="003448C8" w:rsidRPr="00F57D55">
          <w:rPr>
            <w:rStyle w:val="Hiperveza"/>
            <w:noProof/>
          </w:rPr>
          <w:t>9.1</w:t>
        </w:r>
        <w:r w:rsidR="003448C8">
          <w:rPr>
            <w:rFonts w:asciiTheme="minorHAnsi" w:eastAsiaTheme="minorEastAsia" w:hAnsiTheme="minorHAnsi" w:cstheme="minorBidi"/>
            <w:b w:val="0"/>
            <w:smallCaps w:val="0"/>
            <w:noProof/>
            <w:lang w:eastAsia="hr-HR"/>
          </w:rPr>
          <w:tab/>
        </w:r>
        <w:r w:rsidR="003448C8" w:rsidRPr="00F57D55">
          <w:rPr>
            <w:rStyle w:val="Hiperveza"/>
            <w:noProof/>
          </w:rPr>
          <w:t>Očekivane uštede energije, smanjenje emisija CO</w:t>
        </w:r>
        <w:r w:rsidR="003448C8" w:rsidRPr="00F57D55">
          <w:rPr>
            <w:rStyle w:val="Hiperveza"/>
            <w:noProof/>
            <w:vertAlign w:val="subscript"/>
          </w:rPr>
          <w:t>2</w:t>
        </w:r>
        <w:r w:rsidR="003448C8" w:rsidRPr="00F57D55">
          <w:rPr>
            <w:rStyle w:val="Hiperveza"/>
            <w:noProof/>
          </w:rPr>
          <w:t xml:space="preserve"> i doprinos nacionalnim energetskim i klimatskim ciljevima do 2030. godine</w:t>
        </w:r>
        <w:r w:rsidR="003448C8">
          <w:rPr>
            <w:noProof/>
            <w:webHidden/>
          </w:rPr>
          <w:tab/>
        </w:r>
        <w:r w:rsidR="003448C8">
          <w:rPr>
            <w:noProof/>
            <w:webHidden/>
          </w:rPr>
          <w:fldChar w:fldCharType="begin"/>
        </w:r>
        <w:r w:rsidR="003448C8">
          <w:rPr>
            <w:noProof/>
            <w:webHidden/>
          </w:rPr>
          <w:instrText xml:space="preserve"> PAGEREF _Toc94770041 \h </w:instrText>
        </w:r>
        <w:r w:rsidR="003448C8">
          <w:rPr>
            <w:noProof/>
            <w:webHidden/>
          </w:rPr>
        </w:r>
        <w:r w:rsidR="003448C8">
          <w:rPr>
            <w:noProof/>
            <w:webHidden/>
          </w:rPr>
          <w:fldChar w:fldCharType="separate"/>
        </w:r>
        <w:r w:rsidR="0023635D">
          <w:rPr>
            <w:noProof/>
            <w:webHidden/>
          </w:rPr>
          <w:t>79</w:t>
        </w:r>
        <w:r w:rsidR="003448C8">
          <w:rPr>
            <w:noProof/>
            <w:webHidden/>
          </w:rPr>
          <w:fldChar w:fldCharType="end"/>
        </w:r>
      </w:hyperlink>
    </w:p>
    <w:p w14:paraId="6FA9AC04" w14:textId="24BFC3A3" w:rsidR="003448C8" w:rsidRDefault="00711483">
      <w:pPr>
        <w:pStyle w:val="Sadraj2"/>
        <w:rPr>
          <w:rFonts w:asciiTheme="minorHAnsi" w:eastAsiaTheme="minorEastAsia" w:hAnsiTheme="minorHAnsi" w:cstheme="minorBidi"/>
          <w:b w:val="0"/>
          <w:smallCaps w:val="0"/>
          <w:noProof/>
          <w:lang w:eastAsia="hr-HR"/>
        </w:rPr>
      </w:pPr>
      <w:hyperlink w:anchor="_Toc94770042" w:history="1">
        <w:r w:rsidR="003448C8" w:rsidRPr="00F57D55">
          <w:rPr>
            <w:rStyle w:val="Hiperveza"/>
            <w:noProof/>
          </w:rPr>
          <w:t>9.2</w:t>
        </w:r>
        <w:r w:rsidR="003448C8">
          <w:rPr>
            <w:rFonts w:asciiTheme="minorHAnsi" w:eastAsiaTheme="minorEastAsia" w:hAnsiTheme="minorHAnsi" w:cstheme="minorBidi"/>
            <w:b w:val="0"/>
            <w:smallCaps w:val="0"/>
            <w:noProof/>
            <w:lang w:eastAsia="hr-HR"/>
          </w:rPr>
          <w:tab/>
        </w:r>
        <w:r w:rsidR="003448C8" w:rsidRPr="00F57D55">
          <w:rPr>
            <w:rStyle w:val="Hiperveza"/>
            <w:noProof/>
          </w:rPr>
          <w:t>Analiza utjecaja na proizvodnju toplinsko-izolacijskih materijala i učinkovitih sustava</w:t>
        </w:r>
        <w:r w:rsidR="003448C8">
          <w:rPr>
            <w:noProof/>
            <w:webHidden/>
          </w:rPr>
          <w:tab/>
        </w:r>
        <w:r w:rsidR="003448C8">
          <w:rPr>
            <w:noProof/>
            <w:webHidden/>
          </w:rPr>
          <w:fldChar w:fldCharType="begin"/>
        </w:r>
        <w:r w:rsidR="003448C8">
          <w:rPr>
            <w:noProof/>
            <w:webHidden/>
          </w:rPr>
          <w:instrText xml:space="preserve"> PAGEREF _Toc94770042 \h </w:instrText>
        </w:r>
        <w:r w:rsidR="003448C8">
          <w:rPr>
            <w:noProof/>
            <w:webHidden/>
          </w:rPr>
        </w:r>
        <w:r w:rsidR="003448C8">
          <w:rPr>
            <w:noProof/>
            <w:webHidden/>
          </w:rPr>
          <w:fldChar w:fldCharType="separate"/>
        </w:r>
        <w:r w:rsidR="0023635D">
          <w:rPr>
            <w:noProof/>
            <w:webHidden/>
          </w:rPr>
          <w:t>80</w:t>
        </w:r>
        <w:r w:rsidR="003448C8">
          <w:rPr>
            <w:noProof/>
            <w:webHidden/>
          </w:rPr>
          <w:fldChar w:fldCharType="end"/>
        </w:r>
      </w:hyperlink>
    </w:p>
    <w:p w14:paraId="5B3910B5" w14:textId="6755172A" w:rsidR="003448C8" w:rsidRDefault="00711483">
      <w:pPr>
        <w:pStyle w:val="Sadraj2"/>
        <w:rPr>
          <w:rFonts w:asciiTheme="minorHAnsi" w:eastAsiaTheme="minorEastAsia" w:hAnsiTheme="minorHAnsi" w:cstheme="minorBidi"/>
          <w:b w:val="0"/>
          <w:smallCaps w:val="0"/>
          <w:noProof/>
          <w:lang w:eastAsia="hr-HR"/>
        </w:rPr>
      </w:pPr>
      <w:hyperlink w:anchor="_Toc94770043" w:history="1">
        <w:r w:rsidR="003448C8" w:rsidRPr="00F57D55">
          <w:rPr>
            <w:rStyle w:val="Hiperveza"/>
            <w:noProof/>
          </w:rPr>
          <w:t>9.3</w:t>
        </w:r>
        <w:r w:rsidR="003448C8">
          <w:rPr>
            <w:rFonts w:asciiTheme="minorHAnsi" w:eastAsiaTheme="minorEastAsia" w:hAnsiTheme="minorHAnsi" w:cstheme="minorBidi"/>
            <w:b w:val="0"/>
            <w:smallCaps w:val="0"/>
            <w:noProof/>
            <w:lang w:eastAsia="hr-HR"/>
          </w:rPr>
          <w:tab/>
        </w:r>
        <w:r w:rsidR="003448C8" w:rsidRPr="00F57D55">
          <w:rPr>
            <w:rStyle w:val="Hiperveza"/>
            <w:noProof/>
          </w:rPr>
          <w:t>Procjena učinka na državni proračun</w:t>
        </w:r>
        <w:r w:rsidR="003448C8">
          <w:rPr>
            <w:noProof/>
            <w:webHidden/>
          </w:rPr>
          <w:tab/>
        </w:r>
        <w:r w:rsidR="003448C8">
          <w:rPr>
            <w:noProof/>
            <w:webHidden/>
          </w:rPr>
          <w:fldChar w:fldCharType="begin"/>
        </w:r>
        <w:r w:rsidR="003448C8">
          <w:rPr>
            <w:noProof/>
            <w:webHidden/>
          </w:rPr>
          <w:instrText xml:space="preserve"> PAGEREF _Toc94770043 \h </w:instrText>
        </w:r>
        <w:r w:rsidR="003448C8">
          <w:rPr>
            <w:noProof/>
            <w:webHidden/>
          </w:rPr>
        </w:r>
        <w:r w:rsidR="003448C8">
          <w:rPr>
            <w:noProof/>
            <w:webHidden/>
          </w:rPr>
          <w:fldChar w:fldCharType="separate"/>
        </w:r>
        <w:r w:rsidR="0023635D">
          <w:rPr>
            <w:noProof/>
            <w:webHidden/>
          </w:rPr>
          <w:t>81</w:t>
        </w:r>
        <w:r w:rsidR="003448C8">
          <w:rPr>
            <w:noProof/>
            <w:webHidden/>
          </w:rPr>
          <w:fldChar w:fldCharType="end"/>
        </w:r>
      </w:hyperlink>
    </w:p>
    <w:p w14:paraId="3742E850" w14:textId="6A719585"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70044" w:history="1">
        <w:r w:rsidR="003448C8" w:rsidRPr="00F57D55">
          <w:rPr>
            <w:rStyle w:val="Hiperveza"/>
            <w:noProof/>
          </w:rPr>
          <w:t>10</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Praćenje, mjerenje i verifikacija</w:t>
        </w:r>
        <w:r w:rsidR="003448C8">
          <w:rPr>
            <w:noProof/>
            <w:webHidden/>
          </w:rPr>
          <w:tab/>
        </w:r>
        <w:r w:rsidR="003448C8">
          <w:rPr>
            <w:noProof/>
            <w:webHidden/>
          </w:rPr>
          <w:fldChar w:fldCharType="begin"/>
        </w:r>
        <w:r w:rsidR="003448C8">
          <w:rPr>
            <w:noProof/>
            <w:webHidden/>
          </w:rPr>
          <w:instrText xml:space="preserve"> PAGEREF _Toc94770044 \h </w:instrText>
        </w:r>
        <w:r w:rsidR="003448C8">
          <w:rPr>
            <w:noProof/>
            <w:webHidden/>
          </w:rPr>
        </w:r>
        <w:r w:rsidR="003448C8">
          <w:rPr>
            <w:noProof/>
            <w:webHidden/>
          </w:rPr>
          <w:fldChar w:fldCharType="separate"/>
        </w:r>
        <w:r w:rsidR="0023635D">
          <w:rPr>
            <w:noProof/>
            <w:webHidden/>
          </w:rPr>
          <w:t>83</w:t>
        </w:r>
        <w:r w:rsidR="003448C8">
          <w:rPr>
            <w:noProof/>
            <w:webHidden/>
          </w:rPr>
          <w:fldChar w:fldCharType="end"/>
        </w:r>
      </w:hyperlink>
    </w:p>
    <w:p w14:paraId="1CD728DF" w14:textId="7163C0F4"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70045" w:history="1">
        <w:r w:rsidR="003448C8" w:rsidRPr="00F57D55">
          <w:rPr>
            <w:rStyle w:val="Hiperveza"/>
            <w:noProof/>
          </w:rPr>
          <w:t>11</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Zaključak</w:t>
        </w:r>
        <w:r w:rsidR="003448C8">
          <w:rPr>
            <w:noProof/>
            <w:webHidden/>
          </w:rPr>
          <w:tab/>
        </w:r>
        <w:r w:rsidR="003448C8">
          <w:rPr>
            <w:noProof/>
            <w:webHidden/>
          </w:rPr>
          <w:fldChar w:fldCharType="begin"/>
        </w:r>
        <w:r w:rsidR="003448C8">
          <w:rPr>
            <w:noProof/>
            <w:webHidden/>
          </w:rPr>
          <w:instrText xml:space="preserve"> PAGEREF _Toc94770045 \h </w:instrText>
        </w:r>
        <w:r w:rsidR="003448C8">
          <w:rPr>
            <w:noProof/>
            <w:webHidden/>
          </w:rPr>
        </w:r>
        <w:r w:rsidR="003448C8">
          <w:rPr>
            <w:noProof/>
            <w:webHidden/>
          </w:rPr>
          <w:fldChar w:fldCharType="separate"/>
        </w:r>
        <w:r w:rsidR="0023635D">
          <w:rPr>
            <w:noProof/>
            <w:webHidden/>
          </w:rPr>
          <w:t>86</w:t>
        </w:r>
        <w:r w:rsidR="003448C8">
          <w:rPr>
            <w:noProof/>
            <w:webHidden/>
          </w:rPr>
          <w:fldChar w:fldCharType="end"/>
        </w:r>
      </w:hyperlink>
    </w:p>
    <w:p w14:paraId="0547A465" w14:textId="41449B60"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70046" w:history="1">
        <w:r w:rsidR="003448C8" w:rsidRPr="00F57D55">
          <w:rPr>
            <w:rStyle w:val="Hiperveza"/>
            <w:noProof/>
          </w:rPr>
          <w:t>12</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Popis slika i tablica</w:t>
        </w:r>
        <w:r w:rsidR="003448C8">
          <w:rPr>
            <w:noProof/>
            <w:webHidden/>
          </w:rPr>
          <w:tab/>
        </w:r>
        <w:r w:rsidR="003448C8">
          <w:rPr>
            <w:noProof/>
            <w:webHidden/>
          </w:rPr>
          <w:fldChar w:fldCharType="begin"/>
        </w:r>
        <w:r w:rsidR="003448C8">
          <w:rPr>
            <w:noProof/>
            <w:webHidden/>
          </w:rPr>
          <w:instrText xml:space="preserve"> PAGEREF _Toc94770046 \h </w:instrText>
        </w:r>
        <w:r w:rsidR="003448C8">
          <w:rPr>
            <w:noProof/>
            <w:webHidden/>
          </w:rPr>
        </w:r>
        <w:r w:rsidR="003448C8">
          <w:rPr>
            <w:noProof/>
            <w:webHidden/>
          </w:rPr>
          <w:fldChar w:fldCharType="separate"/>
        </w:r>
        <w:r w:rsidR="0023635D">
          <w:rPr>
            <w:noProof/>
            <w:webHidden/>
          </w:rPr>
          <w:t>87</w:t>
        </w:r>
        <w:r w:rsidR="003448C8">
          <w:rPr>
            <w:noProof/>
            <w:webHidden/>
          </w:rPr>
          <w:fldChar w:fldCharType="end"/>
        </w:r>
      </w:hyperlink>
    </w:p>
    <w:p w14:paraId="287A5EB4" w14:textId="07B22F22"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70047" w:history="1">
        <w:r w:rsidR="003448C8" w:rsidRPr="00F57D55">
          <w:rPr>
            <w:rStyle w:val="Hiperveza"/>
            <w:noProof/>
          </w:rPr>
          <w:t>13</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Popis literature i izvora podataka</w:t>
        </w:r>
        <w:r w:rsidR="003448C8">
          <w:rPr>
            <w:noProof/>
            <w:webHidden/>
          </w:rPr>
          <w:tab/>
        </w:r>
        <w:r w:rsidR="003448C8">
          <w:rPr>
            <w:noProof/>
            <w:webHidden/>
          </w:rPr>
          <w:fldChar w:fldCharType="begin"/>
        </w:r>
        <w:r w:rsidR="003448C8">
          <w:rPr>
            <w:noProof/>
            <w:webHidden/>
          </w:rPr>
          <w:instrText xml:space="preserve"> PAGEREF _Toc94770047 \h </w:instrText>
        </w:r>
        <w:r w:rsidR="003448C8">
          <w:rPr>
            <w:noProof/>
            <w:webHidden/>
          </w:rPr>
        </w:r>
        <w:r w:rsidR="003448C8">
          <w:rPr>
            <w:noProof/>
            <w:webHidden/>
          </w:rPr>
          <w:fldChar w:fldCharType="separate"/>
        </w:r>
        <w:r w:rsidR="0023635D">
          <w:rPr>
            <w:noProof/>
            <w:webHidden/>
          </w:rPr>
          <w:t>89</w:t>
        </w:r>
        <w:r w:rsidR="003448C8">
          <w:rPr>
            <w:noProof/>
            <w:webHidden/>
          </w:rPr>
          <w:fldChar w:fldCharType="end"/>
        </w:r>
      </w:hyperlink>
    </w:p>
    <w:p w14:paraId="798FF914" w14:textId="3CE96FA5" w:rsidR="003448C8" w:rsidRDefault="00711483" w:rsidP="00B34789">
      <w:pPr>
        <w:pStyle w:val="Sadraj1"/>
        <w:rPr>
          <w:rFonts w:asciiTheme="minorHAnsi" w:eastAsiaTheme="minorEastAsia" w:hAnsiTheme="minorHAnsi" w:cstheme="minorBidi"/>
          <w:noProof/>
          <w:color w:val="auto"/>
          <w:sz w:val="22"/>
          <w:szCs w:val="22"/>
          <w:lang w:eastAsia="hr-HR"/>
        </w:rPr>
      </w:pPr>
      <w:hyperlink w:anchor="_Toc94770048" w:history="1">
        <w:r w:rsidR="003448C8" w:rsidRPr="00F57D55">
          <w:rPr>
            <w:rStyle w:val="Hiperveza"/>
            <w:noProof/>
          </w:rPr>
          <w:t>14</w:t>
        </w:r>
        <w:r w:rsidR="003448C8">
          <w:rPr>
            <w:rFonts w:asciiTheme="minorHAnsi" w:eastAsiaTheme="minorEastAsia" w:hAnsiTheme="minorHAnsi" w:cstheme="minorBidi"/>
            <w:noProof/>
            <w:color w:val="auto"/>
            <w:sz w:val="22"/>
            <w:szCs w:val="22"/>
            <w:lang w:eastAsia="hr-HR"/>
          </w:rPr>
          <w:tab/>
        </w:r>
        <w:r w:rsidR="003448C8" w:rsidRPr="00F57D55">
          <w:rPr>
            <w:rStyle w:val="Hiperveza"/>
            <w:noProof/>
          </w:rPr>
          <w:t>Prilozi</w:t>
        </w:r>
        <w:r w:rsidR="003448C8">
          <w:rPr>
            <w:noProof/>
            <w:webHidden/>
          </w:rPr>
          <w:tab/>
        </w:r>
        <w:r w:rsidR="003448C8">
          <w:rPr>
            <w:noProof/>
            <w:webHidden/>
          </w:rPr>
          <w:fldChar w:fldCharType="begin"/>
        </w:r>
        <w:r w:rsidR="003448C8">
          <w:rPr>
            <w:noProof/>
            <w:webHidden/>
          </w:rPr>
          <w:instrText xml:space="preserve"> PAGEREF _Toc94770048 \h </w:instrText>
        </w:r>
        <w:r w:rsidR="003448C8">
          <w:rPr>
            <w:noProof/>
            <w:webHidden/>
          </w:rPr>
        </w:r>
        <w:r w:rsidR="003448C8">
          <w:rPr>
            <w:noProof/>
            <w:webHidden/>
          </w:rPr>
          <w:fldChar w:fldCharType="separate"/>
        </w:r>
        <w:r w:rsidR="0023635D">
          <w:rPr>
            <w:noProof/>
            <w:webHidden/>
          </w:rPr>
          <w:t>91</w:t>
        </w:r>
        <w:r w:rsidR="003448C8">
          <w:rPr>
            <w:noProof/>
            <w:webHidden/>
          </w:rPr>
          <w:fldChar w:fldCharType="end"/>
        </w:r>
      </w:hyperlink>
    </w:p>
    <w:p w14:paraId="04BC3678" w14:textId="77777777" w:rsidR="00717AE8" w:rsidRDefault="00916D2B" w:rsidP="00916D2B">
      <w:pPr>
        <w:sectPr w:rsidR="00717AE8" w:rsidSect="00CF048E">
          <w:headerReference w:type="default" r:id="rId15"/>
          <w:footerReference w:type="default" r:id="rId16"/>
          <w:pgSz w:w="11906" w:h="16838" w:code="9"/>
          <w:pgMar w:top="1247" w:right="1134" w:bottom="1247" w:left="1418" w:header="567" w:footer="567" w:gutter="0"/>
          <w:cols w:space="708"/>
          <w:docGrid w:linePitch="360"/>
        </w:sectPr>
      </w:pPr>
      <w:r w:rsidRPr="00EC457F">
        <w:fldChar w:fldCharType="end"/>
      </w:r>
    </w:p>
    <w:p w14:paraId="24C89957" w14:textId="01506841" w:rsidR="00916D2B" w:rsidRPr="00EC457F" w:rsidRDefault="00916D2B" w:rsidP="00916D2B"/>
    <w:p w14:paraId="3EAF633D" w14:textId="77777777" w:rsidR="00FC6F80" w:rsidRPr="00EC457F" w:rsidRDefault="00FC6F80" w:rsidP="002C0A66">
      <w:pPr>
        <w:pStyle w:val="Naslov1-"/>
      </w:pPr>
      <w:bookmarkStart w:id="11" w:name="_Toc94769961"/>
      <w:r w:rsidRPr="00EC457F">
        <w:t>Popis kratica</w:t>
      </w:r>
      <w:bookmarkEnd w:id="11"/>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7827"/>
      </w:tblGrid>
      <w:tr w:rsidR="00DF280E" w:rsidRPr="00B357F4" w14:paraId="4E3D160A" w14:textId="77777777" w:rsidTr="00D95720">
        <w:trPr>
          <w:cantSplit/>
        </w:trPr>
        <w:tc>
          <w:tcPr>
            <w:tcW w:w="1527" w:type="dxa"/>
            <w:vAlign w:val="center"/>
          </w:tcPr>
          <w:p w14:paraId="407BB2C2" w14:textId="77777777" w:rsidR="00DF280E" w:rsidRDefault="00DF280E" w:rsidP="00A85F83">
            <w:pPr>
              <w:spacing w:before="60" w:after="60"/>
              <w:rPr>
                <w:vertAlign w:val="subscript"/>
                <w:lang w:eastAsia="hr-HR"/>
              </w:rPr>
            </w:pPr>
            <w:r w:rsidRPr="00B03C9B">
              <w:rPr>
                <w:lang w:eastAsia="hr-HR"/>
              </w:rPr>
              <w:t>A</w:t>
            </w:r>
            <w:r w:rsidRPr="00B357F4">
              <w:rPr>
                <w:vertAlign w:val="subscript"/>
                <w:lang w:eastAsia="hr-HR"/>
              </w:rPr>
              <w:t>k</w:t>
            </w:r>
          </w:p>
          <w:p w14:paraId="6BBBF73A" w14:textId="52EFCA7A" w:rsidR="00CF2EFB" w:rsidRPr="00B357F4" w:rsidRDefault="00CF2EFB" w:rsidP="00A85F83">
            <w:pPr>
              <w:spacing w:before="60" w:after="60"/>
              <w:rPr>
                <w:lang w:eastAsia="hr-HR"/>
              </w:rPr>
            </w:pPr>
            <w:r w:rsidRPr="00D71B65">
              <w:rPr>
                <w:lang w:eastAsia="hr-HR"/>
              </w:rPr>
              <w:t>BBB</w:t>
            </w:r>
          </w:p>
        </w:tc>
        <w:tc>
          <w:tcPr>
            <w:tcW w:w="7827" w:type="dxa"/>
            <w:vAlign w:val="center"/>
          </w:tcPr>
          <w:p w14:paraId="6A86107F" w14:textId="77777777" w:rsidR="00DF280E" w:rsidRDefault="00836385" w:rsidP="00A85F83">
            <w:pPr>
              <w:spacing w:before="60" w:after="60"/>
              <w:rPr>
                <w:lang w:eastAsia="hr-HR"/>
              </w:rPr>
            </w:pPr>
            <w:r>
              <w:rPr>
                <w:lang w:eastAsia="hr-HR"/>
              </w:rPr>
              <w:t>p</w:t>
            </w:r>
            <w:r w:rsidRPr="00B357F4">
              <w:rPr>
                <w:lang w:eastAsia="hr-HR"/>
              </w:rPr>
              <w:t xml:space="preserve">loština </w:t>
            </w:r>
            <w:r w:rsidR="00DF280E" w:rsidRPr="00B357F4">
              <w:rPr>
                <w:lang w:eastAsia="hr-HR"/>
              </w:rPr>
              <w:t>korisne površine grijanog dijela zgrade</w:t>
            </w:r>
          </w:p>
          <w:p w14:paraId="250865FB" w14:textId="5C3CD1E2" w:rsidR="00CF2EFB" w:rsidRPr="00B357F4" w:rsidRDefault="00D71B65" w:rsidP="00A85F83">
            <w:pPr>
              <w:spacing w:before="60" w:after="60"/>
              <w:rPr>
                <w:lang w:eastAsia="hr-HR"/>
              </w:rPr>
            </w:pPr>
            <w:r w:rsidRPr="00D71B65">
              <w:rPr>
                <w:lang w:eastAsia="hr-HR"/>
              </w:rPr>
              <w:t xml:space="preserve">vraćanje u bolje stanje (eng. </w:t>
            </w:r>
            <w:r w:rsidRPr="00D71B65">
              <w:rPr>
                <w:i/>
                <w:lang w:eastAsia="hr-HR"/>
              </w:rPr>
              <w:t>build back better</w:t>
            </w:r>
            <w:r w:rsidRPr="00D71B65">
              <w:rPr>
                <w:lang w:eastAsia="hr-HR"/>
              </w:rPr>
              <w:t>)</w:t>
            </w:r>
          </w:p>
        </w:tc>
      </w:tr>
      <w:tr w:rsidR="00DF280E" w:rsidRPr="00B357F4" w14:paraId="520A830D" w14:textId="77777777" w:rsidTr="00D95720">
        <w:trPr>
          <w:cantSplit/>
        </w:trPr>
        <w:tc>
          <w:tcPr>
            <w:tcW w:w="1527" w:type="dxa"/>
            <w:vAlign w:val="center"/>
          </w:tcPr>
          <w:p w14:paraId="18835EE4" w14:textId="77777777" w:rsidR="00DF280E" w:rsidRPr="00B357F4" w:rsidRDefault="00DF280E" w:rsidP="00A85F83">
            <w:pPr>
              <w:spacing w:before="60" w:after="60"/>
              <w:rPr>
                <w:lang w:eastAsia="hr-HR"/>
              </w:rPr>
            </w:pPr>
            <w:r w:rsidRPr="00B357F4">
              <w:rPr>
                <w:lang w:eastAsia="hr-HR"/>
              </w:rPr>
              <w:t>EFRR</w:t>
            </w:r>
          </w:p>
        </w:tc>
        <w:tc>
          <w:tcPr>
            <w:tcW w:w="7827" w:type="dxa"/>
            <w:vAlign w:val="center"/>
          </w:tcPr>
          <w:p w14:paraId="02DC21D4" w14:textId="77777777" w:rsidR="00DF280E" w:rsidRPr="00B357F4" w:rsidRDefault="00DF280E" w:rsidP="00A85F83">
            <w:pPr>
              <w:spacing w:before="60" w:after="60"/>
              <w:rPr>
                <w:lang w:eastAsia="hr-HR"/>
              </w:rPr>
            </w:pPr>
            <w:r w:rsidRPr="00B357F4">
              <w:rPr>
                <w:lang w:eastAsia="hr-HR"/>
              </w:rPr>
              <w:t>Europski fond za regionalni razvoj</w:t>
            </w:r>
          </w:p>
        </w:tc>
      </w:tr>
      <w:tr w:rsidR="00DF280E" w:rsidRPr="00B357F4" w14:paraId="336D2423" w14:textId="77777777" w:rsidTr="00D95720">
        <w:trPr>
          <w:cantSplit/>
        </w:trPr>
        <w:tc>
          <w:tcPr>
            <w:tcW w:w="1527" w:type="dxa"/>
          </w:tcPr>
          <w:p w14:paraId="78527D09" w14:textId="77777777" w:rsidR="00DF280E" w:rsidRPr="00B357F4" w:rsidRDefault="00DF280E" w:rsidP="00A85F83">
            <w:pPr>
              <w:spacing w:before="60" w:after="60"/>
              <w:rPr>
                <w:highlight w:val="yellow"/>
                <w:lang w:eastAsia="hr-HR"/>
              </w:rPr>
            </w:pPr>
            <w:r w:rsidRPr="00B357F4">
              <w:t>EIHP</w:t>
            </w:r>
          </w:p>
        </w:tc>
        <w:tc>
          <w:tcPr>
            <w:tcW w:w="7827" w:type="dxa"/>
          </w:tcPr>
          <w:p w14:paraId="0F93C805" w14:textId="77777777" w:rsidR="00DF280E" w:rsidRPr="00B357F4" w:rsidRDefault="00DF280E" w:rsidP="00A85F83">
            <w:pPr>
              <w:spacing w:before="60" w:after="60"/>
              <w:rPr>
                <w:highlight w:val="yellow"/>
                <w:lang w:eastAsia="hr-HR"/>
              </w:rPr>
            </w:pPr>
            <w:r w:rsidRPr="00B357F4">
              <w:rPr>
                <w:lang w:eastAsia="hr-HR"/>
              </w:rPr>
              <w:t>Energetski institut Hrvoje Požar</w:t>
            </w:r>
          </w:p>
        </w:tc>
      </w:tr>
      <w:tr w:rsidR="00DF280E" w:rsidRPr="00B357F4" w14:paraId="1C9F5412" w14:textId="77777777" w:rsidTr="00D95720">
        <w:trPr>
          <w:cantSplit/>
        </w:trPr>
        <w:tc>
          <w:tcPr>
            <w:tcW w:w="1527" w:type="dxa"/>
          </w:tcPr>
          <w:p w14:paraId="7D100EA7" w14:textId="77777777" w:rsidR="00DF280E" w:rsidRPr="00B357F4" w:rsidRDefault="00DF280E" w:rsidP="00A85F83">
            <w:pPr>
              <w:spacing w:before="60" w:after="60"/>
            </w:pPr>
            <w:r w:rsidRPr="00B357F4">
              <w:t>EK</w:t>
            </w:r>
          </w:p>
        </w:tc>
        <w:tc>
          <w:tcPr>
            <w:tcW w:w="7827" w:type="dxa"/>
          </w:tcPr>
          <w:p w14:paraId="6C0F28DB" w14:textId="77777777" w:rsidR="00DF280E" w:rsidRPr="00B357F4" w:rsidRDefault="00DF280E" w:rsidP="00A85F83">
            <w:pPr>
              <w:spacing w:before="60" w:after="60"/>
              <w:rPr>
                <w:lang w:eastAsia="hr-HR"/>
              </w:rPr>
            </w:pPr>
            <w:r w:rsidRPr="00B357F4">
              <w:rPr>
                <w:lang w:eastAsia="hr-HR"/>
              </w:rPr>
              <w:t>Europska komisija</w:t>
            </w:r>
          </w:p>
        </w:tc>
      </w:tr>
      <w:tr w:rsidR="00DF280E" w:rsidRPr="00B357F4" w14:paraId="76C1EEE3" w14:textId="77777777" w:rsidTr="00D95720">
        <w:trPr>
          <w:cantSplit/>
        </w:trPr>
        <w:tc>
          <w:tcPr>
            <w:tcW w:w="1527" w:type="dxa"/>
          </w:tcPr>
          <w:p w14:paraId="2768E96B" w14:textId="77777777" w:rsidR="00DF280E" w:rsidRPr="00B357F4" w:rsidRDefault="00DF280E" w:rsidP="00A85F83">
            <w:pPr>
              <w:spacing w:before="60" w:after="60"/>
            </w:pPr>
            <w:r w:rsidRPr="00B357F4">
              <w:t>EnU</w:t>
            </w:r>
          </w:p>
        </w:tc>
        <w:tc>
          <w:tcPr>
            <w:tcW w:w="7827" w:type="dxa"/>
          </w:tcPr>
          <w:p w14:paraId="7ECF6E28" w14:textId="77777777" w:rsidR="00DF280E" w:rsidRPr="00B357F4" w:rsidRDefault="00DF280E" w:rsidP="00A85F83">
            <w:pPr>
              <w:spacing w:before="60" w:after="60"/>
              <w:rPr>
                <w:lang w:eastAsia="hr-HR"/>
              </w:rPr>
            </w:pPr>
            <w:r w:rsidRPr="00B357F4">
              <w:rPr>
                <w:lang w:eastAsia="hr-HR"/>
              </w:rPr>
              <w:t>energetska učinkovitost</w:t>
            </w:r>
          </w:p>
        </w:tc>
      </w:tr>
      <w:tr w:rsidR="00252BCC" w:rsidRPr="00B357F4" w14:paraId="43AACBB7" w14:textId="77777777" w:rsidTr="00D95720">
        <w:trPr>
          <w:cantSplit/>
        </w:trPr>
        <w:tc>
          <w:tcPr>
            <w:tcW w:w="1527" w:type="dxa"/>
          </w:tcPr>
          <w:p w14:paraId="53021BE3" w14:textId="430452B4" w:rsidR="00EA08D6" w:rsidRPr="00B357F4" w:rsidRDefault="00EA08D6" w:rsidP="00A85F83">
            <w:pPr>
              <w:spacing w:before="60" w:after="60"/>
            </w:pPr>
            <w:r>
              <w:t>E</w:t>
            </w:r>
            <w:r w:rsidRPr="000066F0">
              <w:rPr>
                <w:vertAlign w:val="subscript"/>
              </w:rPr>
              <w:t>del</w:t>
            </w:r>
          </w:p>
        </w:tc>
        <w:tc>
          <w:tcPr>
            <w:tcW w:w="7827" w:type="dxa"/>
          </w:tcPr>
          <w:p w14:paraId="12F4C6DC" w14:textId="1EB07687" w:rsidR="00EA08D6" w:rsidRPr="00B357F4" w:rsidRDefault="00EA08D6" w:rsidP="00A85F83">
            <w:pPr>
              <w:spacing w:before="60" w:after="60"/>
              <w:rPr>
                <w:lang w:eastAsia="hr-HR"/>
              </w:rPr>
            </w:pPr>
            <w:r>
              <w:rPr>
                <w:lang w:eastAsia="hr-HR"/>
              </w:rPr>
              <w:t>isporučena energija</w:t>
            </w:r>
          </w:p>
        </w:tc>
      </w:tr>
      <w:tr w:rsidR="00DF280E" w:rsidRPr="00B357F4" w14:paraId="2326BD38" w14:textId="77777777" w:rsidTr="00D95720">
        <w:trPr>
          <w:cantSplit/>
        </w:trPr>
        <w:tc>
          <w:tcPr>
            <w:tcW w:w="1527" w:type="dxa"/>
          </w:tcPr>
          <w:p w14:paraId="08F66C22" w14:textId="77777777" w:rsidR="00DF280E" w:rsidRPr="00B357F4" w:rsidRDefault="00DF280E" w:rsidP="00A85F83">
            <w:pPr>
              <w:spacing w:before="60" w:after="60"/>
            </w:pPr>
            <w:r w:rsidRPr="00B357F4">
              <w:t>E</w:t>
            </w:r>
            <w:r w:rsidRPr="00B357F4">
              <w:rPr>
                <w:vertAlign w:val="subscript"/>
              </w:rPr>
              <w:t>prim</w:t>
            </w:r>
          </w:p>
        </w:tc>
        <w:tc>
          <w:tcPr>
            <w:tcW w:w="7827" w:type="dxa"/>
          </w:tcPr>
          <w:p w14:paraId="709F1CF4" w14:textId="77777777" w:rsidR="00DF280E" w:rsidRPr="00B357F4" w:rsidRDefault="00DF280E" w:rsidP="00A85F83">
            <w:pPr>
              <w:spacing w:before="60" w:after="60"/>
              <w:rPr>
                <w:lang w:eastAsia="hr-HR"/>
              </w:rPr>
            </w:pPr>
            <w:r w:rsidRPr="00B357F4">
              <w:rPr>
                <w:lang w:eastAsia="hr-HR"/>
              </w:rPr>
              <w:t>primarna energija</w:t>
            </w:r>
          </w:p>
        </w:tc>
      </w:tr>
      <w:tr w:rsidR="00DF280E" w:rsidRPr="00B357F4" w14:paraId="1FFD3CD6" w14:textId="77777777" w:rsidTr="00D95720">
        <w:trPr>
          <w:cantSplit/>
        </w:trPr>
        <w:tc>
          <w:tcPr>
            <w:tcW w:w="1527" w:type="dxa"/>
            <w:vAlign w:val="center"/>
          </w:tcPr>
          <w:p w14:paraId="2035DB7F" w14:textId="77777777" w:rsidR="00DF280E" w:rsidRPr="00B357F4" w:rsidRDefault="00DF280E" w:rsidP="00A85F83">
            <w:pPr>
              <w:spacing w:before="60" w:after="60"/>
            </w:pPr>
            <w:r w:rsidRPr="00B357F4">
              <w:rPr>
                <w:lang w:eastAsia="hr-HR"/>
              </w:rPr>
              <w:t>ESI</w:t>
            </w:r>
          </w:p>
        </w:tc>
        <w:tc>
          <w:tcPr>
            <w:tcW w:w="7827" w:type="dxa"/>
            <w:vAlign w:val="center"/>
          </w:tcPr>
          <w:p w14:paraId="4D325BEC" w14:textId="77777777" w:rsidR="00DF280E" w:rsidRPr="00B357F4" w:rsidRDefault="00DF280E" w:rsidP="00A85F83">
            <w:pPr>
              <w:spacing w:before="60" w:after="60"/>
              <w:rPr>
                <w:lang w:eastAsia="hr-HR"/>
              </w:rPr>
            </w:pPr>
            <w:r w:rsidRPr="00B357F4">
              <w:rPr>
                <w:lang w:eastAsia="hr-HR"/>
              </w:rPr>
              <w:t>Europski strukturni i investicijski fondovi</w:t>
            </w:r>
          </w:p>
        </w:tc>
      </w:tr>
      <w:tr w:rsidR="00DF280E" w:rsidRPr="00B357F4" w14:paraId="37AABA1D" w14:textId="77777777" w:rsidTr="00D95720">
        <w:trPr>
          <w:cantSplit/>
        </w:trPr>
        <w:tc>
          <w:tcPr>
            <w:tcW w:w="1527" w:type="dxa"/>
            <w:vAlign w:val="center"/>
          </w:tcPr>
          <w:p w14:paraId="511397E3" w14:textId="77777777" w:rsidR="00DF280E" w:rsidRPr="00B357F4" w:rsidRDefault="00DF280E" w:rsidP="00A85F83">
            <w:pPr>
              <w:spacing w:before="60" w:after="60"/>
              <w:rPr>
                <w:lang w:eastAsia="hr-HR"/>
              </w:rPr>
            </w:pPr>
            <w:r w:rsidRPr="00B357F4">
              <w:rPr>
                <w:lang w:eastAsia="hr-HR"/>
              </w:rPr>
              <w:t>EU</w:t>
            </w:r>
          </w:p>
        </w:tc>
        <w:tc>
          <w:tcPr>
            <w:tcW w:w="7827" w:type="dxa"/>
            <w:vAlign w:val="center"/>
          </w:tcPr>
          <w:p w14:paraId="77B6B781" w14:textId="77777777" w:rsidR="00DF280E" w:rsidRPr="00B357F4" w:rsidRDefault="00DF280E" w:rsidP="00A85F83">
            <w:pPr>
              <w:spacing w:before="60" w:after="60"/>
              <w:rPr>
                <w:lang w:eastAsia="hr-HR"/>
              </w:rPr>
            </w:pPr>
            <w:r w:rsidRPr="00B357F4">
              <w:rPr>
                <w:lang w:eastAsia="hr-HR"/>
              </w:rPr>
              <w:t>Europska unija</w:t>
            </w:r>
          </w:p>
        </w:tc>
      </w:tr>
      <w:tr w:rsidR="00252BCC" w:rsidRPr="00B357F4" w14:paraId="4619754A" w14:textId="77777777" w:rsidTr="00D95720">
        <w:trPr>
          <w:cantSplit/>
        </w:trPr>
        <w:tc>
          <w:tcPr>
            <w:tcW w:w="1527" w:type="dxa"/>
            <w:vAlign w:val="center"/>
          </w:tcPr>
          <w:p w14:paraId="63B774E8" w14:textId="645AD6F1" w:rsidR="00575542" w:rsidRPr="00B357F4" w:rsidRDefault="00AA10BF" w:rsidP="00A85F83">
            <w:pPr>
              <w:spacing w:before="60" w:after="60"/>
              <w:rPr>
                <w:lang w:eastAsia="hr-HR"/>
              </w:rPr>
            </w:pPr>
            <w:r w:rsidRPr="00B357F4">
              <w:rPr>
                <w:lang w:eastAsia="hr-HR"/>
              </w:rPr>
              <w:t>FES</w:t>
            </w:r>
          </w:p>
        </w:tc>
        <w:tc>
          <w:tcPr>
            <w:tcW w:w="7827" w:type="dxa"/>
            <w:vAlign w:val="center"/>
          </w:tcPr>
          <w:p w14:paraId="100CC8B8" w14:textId="5D32DCB4" w:rsidR="00575542" w:rsidRPr="00B357F4" w:rsidRDefault="00C334E3" w:rsidP="00A85F83">
            <w:pPr>
              <w:spacing w:before="60" w:after="60"/>
              <w:rPr>
                <w:lang w:eastAsia="hr-HR"/>
              </w:rPr>
            </w:pPr>
            <w:r>
              <w:rPr>
                <w:lang w:eastAsia="hr-HR"/>
              </w:rPr>
              <w:t>u</w:t>
            </w:r>
            <w:r w:rsidR="00AA10BF" w:rsidRPr="00B357F4">
              <w:rPr>
                <w:lang w:eastAsia="hr-HR"/>
              </w:rPr>
              <w:t xml:space="preserve">štede energije u neposrednoj potrošnji (engl. </w:t>
            </w:r>
            <w:r w:rsidR="00AA10BF" w:rsidRPr="00CA2327">
              <w:rPr>
                <w:i/>
                <w:iCs/>
                <w:lang w:eastAsia="hr-HR"/>
              </w:rPr>
              <w:t>final energy savings</w:t>
            </w:r>
            <w:r w:rsidR="00AA10BF" w:rsidRPr="00B357F4">
              <w:rPr>
                <w:lang w:eastAsia="hr-HR"/>
              </w:rPr>
              <w:t>)</w:t>
            </w:r>
          </w:p>
        </w:tc>
      </w:tr>
      <w:tr w:rsidR="00CB4405" w:rsidRPr="00B357F4" w14:paraId="10E0D78E" w14:textId="77777777" w:rsidTr="00D95720">
        <w:trPr>
          <w:cantSplit/>
        </w:trPr>
        <w:tc>
          <w:tcPr>
            <w:tcW w:w="1527" w:type="dxa"/>
            <w:vAlign w:val="center"/>
          </w:tcPr>
          <w:p w14:paraId="6461FE9E" w14:textId="03CCCDA4" w:rsidR="00CB4405" w:rsidRPr="00B357F4" w:rsidRDefault="00CB4405" w:rsidP="00A85F83">
            <w:pPr>
              <w:spacing w:before="60" w:after="60"/>
              <w:rPr>
                <w:lang w:eastAsia="hr-HR"/>
              </w:rPr>
            </w:pPr>
            <w:r w:rsidRPr="00B357F4">
              <w:rPr>
                <w:lang w:eastAsia="hr-HR"/>
              </w:rPr>
              <w:t>FSEU</w:t>
            </w:r>
          </w:p>
        </w:tc>
        <w:tc>
          <w:tcPr>
            <w:tcW w:w="7827" w:type="dxa"/>
            <w:vAlign w:val="center"/>
          </w:tcPr>
          <w:p w14:paraId="1E71DABA" w14:textId="7E1332FC" w:rsidR="00CB4405" w:rsidRPr="00B357F4" w:rsidRDefault="00CB4405" w:rsidP="00A85F83">
            <w:pPr>
              <w:spacing w:before="60" w:after="60"/>
              <w:rPr>
                <w:lang w:eastAsia="hr-HR"/>
              </w:rPr>
            </w:pPr>
            <w:r w:rsidRPr="00B357F4">
              <w:rPr>
                <w:lang w:eastAsia="hr-HR"/>
              </w:rPr>
              <w:t>Fond solidarnosti EU</w:t>
            </w:r>
          </w:p>
        </w:tc>
      </w:tr>
      <w:tr w:rsidR="00DF280E" w:rsidRPr="00B357F4" w14:paraId="3F489C4E" w14:textId="77777777" w:rsidTr="00D95720">
        <w:trPr>
          <w:cantSplit/>
        </w:trPr>
        <w:tc>
          <w:tcPr>
            <w:tcW w:w="1527" w:type="dxa"/>
            <w:vAlign w:val="center"/>
          </w:tcPr>
          <w:p w14:paraId="2BB2B3E4" w14:textId="77777777" w:rsidR="00DF280E" w:rsidRPr="00B357F4" w:rsidRDefault="00DF280E" w:rsidP="00A85F83">
            <w:pPr>
              <w:spacing w:before="60" w:after="60"/>
              <w:rPr>
                <w:lang w:eastAsia="hr-HR"/>
              </w:rPr>
            </w:pPr>
            <w:r w:rsidRPr="00B357F4">
              <w:rPr>
                <w:lang w:eastAsia="hr-HR"/>
              </w:rPr>
              <w:t>FZO</w:t>
            </w:r>
          </w:p>
        </w:tc>
        <w:tc>
          <w:tcPr>
            <w:tcW w:w="7827" w:type="dxa"/>
            <w:vAlign w:val="center"/>
          </w:tcPr>
          <w:p w14:paraId="01AC0501" w14:textId="77777777" w:rsidR="00DF280E" w:rsidRPr="00B357F4" w:rsidRDefault="00DF280E" w:rsidP="00A85F83">
            <w:pPr>
              <w:spacing w:before="60" w:after="60"/>
              <w:rPr>
                <w:lang w:eastAsia="hr-HR"/>
              </w:rPr>
            </w:pPr>
            <w:r w:rsidRPr="00B357F4">
              <w:rPr>
                <w:lang w:eastAsia="hr-HR"/>
              </w:rPr>
              <w:t>Fond za obnovu Grada Zagreba, Krapinsko-zagorske, Zagrebačke županije, Sisačko-moslavačke županije i Karlovačke županije</w:t>
            </w:r>
          </w:p>
        </w:tc>
      </w:tr>
      <w:tr w:rsidR="00DF280E" w:rsidRPr="00B357F4" w14:paraId="3EE33AC3" w14:textId="77777777" w:rsidTr="00D95720">
        <w:trPr>
          <w:cantSplit/>
        </w:trPr>
        <w:tc>
          <w:tcPr>
            <w:tcW w:w="1527" w:type="dxa"/>
            <w:vAlign w:val="center"/>
          </w:tcPr>
          <w:p w14:paraId="5FA124DE" w14:textId="77777777" w:rsidR="00DF280E" w:rsidRPr="00B357F4" w:rsidRDefault="00DF280E" w:rsidP="00A85F83">
            <w:pPr>
              <w:spacing w:before="60" w:after="60"/>
            </w:pPr>
            <w:r w:rsidRPr="00B357F4">
              <w:rPr>
                <w:lang w:eastAsia="hr-HR"/>
              </w:rPr>
              <w:t>FZOEU</w:t>
            </w:r>
          </w:p>
        </w:tc>
        <w:tc>
          <w:tcPr>
            <w:tcW w:w="7827" w:type="dxa"/>
            <w:vAlign w:val="center"/>
          </w:tcPr>
          <w:p w14:paraId="441042E6" w14:textId="77777777" w:rsidR="00DF280E" w:rsidRPr="00B357F4" w:rsidRDefault="00DF280E" w:rsidP="00A85F83">
            <w:pPr>
              <w:spacing w:before="60" w:after="60"/>
              <w:rPr>
                <w:rFonts w:ascii="Calibri" w:hAnsi="Calibri" w:cs="Times New Roman"/>
              </w:rPr>
            </w:pPr>
            <w:r w:rsidRPr="00B357F4">
              <w:rPr>
                <w:lang w:eastAsia="hr-HR"/>
              </w:rPr>
              <w:t>Fond za zaštitu okoliša i energetsku učinkovitost</w:t>
            </w:r>
          </w:p>
        </w:tc>
      </w:tr>
      <w:tr w:rsidR="00DF280E" w:rsidRPr="00B357F4" w14:paraId="27960F8F" w14:textId="77777777" w:rsidTr="00D95720">
        <w:trPr>
          <w:cantSplit/>
        </w:trPr>
        <w:tc>
          <w:tcPr>
            <w:tcW w:w="1527" w:type="dxa"/>
            <w:vAlign w:val="center"/>
          </w:tcPr>
          <w:p w14:paraId="2E521013" w14:textId="77777777" w:rsidR="00DF280E" w:rsidRPr="00B357F4" w:rsidRDefault="00DF280E" w:rsidP="00A85F83">
            <w:pPr>
              <w:spacing w:before="60" w:after="60"/>
              <w:rPr>
                <w:lang w:eastAsia="hr-HR"/>
              </w:rPr>
            </w:pPr>
            <w:r w:rsidRPr="00B357F4">
              <w:rPr>
                <w:lang w:eastAsia="hr-HR"/>
              </w:rPr>
              <w:t>HBOR</w:t>
            </w:r>
          </w:p>
        </w:tc>
        <w:tc>
          <w:tcPr>
            <w:tcW w:w="7827" w:type="dxa"/>
            <w:vAlign w:val="center"/>
          </w:tcPr>
          <w:p w14:paraId="1D3F7C73" w14:textId="77777777" w:rsidR="00DF280E" w:rsidRPr="00B357F4" w:rsidRDefault="00DF280E" w:rsidP="00A85F83">
            <w:pPr>
              <w:spacing w:before="60" w:after="60"/>
              <w:rPr>
                <w:lang w:eastAsia="hr-HR"/>
              </w:rPr>
            </w:pPr>
            <w:r w:rsidRPr="00B357F4">
              <w:rPr>
                <w:lang w:eastAsia="hr-HR"/>
              </w:rPr>
              <w:t>Hrvatska banka za obnovu i razvitak</w:t>
            </w:r>
          </w:p>
        </w:tc>
      </w:tr>
      <w:tr w:rsidR="008B23BE" w:rsidRPr="00B357F4" w14:paraId="43B5AA06" w14:textId="77777777" w:rsidTr="00D95720">
        <w:trPr>
          <w:cantSplit/>
        </w:trPr>
        <w:tc>
          <w:tcPr>
            <w:tcW w:w="1527" w:type="dxa"/>
            <w:vAlign w:val="center"/>
          </w:tcPr>
          <w:p w14:paraId="6DDA7BF9" w14:textId="50956E8C" w:rsidR="008B23BE" w:rsidRPr="00B357F4" w:rsidRDefault="008B23BE" w:rsidP="00DF45C6">
            <w:pPr>
              <w:spacing w:before="60" w:after="60"/>
            </w:pPr>
            <w:r w:rsidRPr="00B357F4">
              <w:t>ISGE</w:t>
            </w:r>
          </w:p>
        </w:tc>
        <w:tc>
          <w:tcPr>
            <w:tcW w:w="7827" w:type="dxa"/>
            <w:vAlign w:val="center"/>
          </w:tcPr>
          <w:p w14:paraId="71D2EC07" w14:textId="03C3BE91" w:rsidR="008B23BE" w:rsidRPr="00B357F4" w:rsidRDefault="002F6AF1" w:rsidP="00DF45C6">
            <w:pPr>
              <w:spacing w:before="60" w:after="60"/>
              <w:rPr>
                <w:lang w:eastAsia="hr-HR"/>
              </w:rPr>
            </w:pPr>
            <w:r w:rsidRPr="00B357F4">
              <w:rPr>
                <w:lang w:eastAsia="hr-HR"/>
              </w:rPr>
              <w:t>Informacijski sustav gospodarenja energijom</w:t>
            </w:r>
          </w:p>
        </w:tc>
      </w:tr>
      <w:tr w:rsidR="00DF280E" w:rsidRPr="00B357F4" w14:paraId="68C1D2D1" w14:textId="77777777" w:rsidTr="00D95720">
        <w:trPr>
          <w:cantSplit/>
        </w:trPr>
        <w:tc>
          <w:tcPr>
            <w:tcW w:w="1527" w:type="dxa"/>
            <w:vAlign w:val="center"/>
          </w:tcPr>
          <w:p w14:paraId="42DFBB3D" w14:textId="77777777" w:rsidR="00DF280E" w:rsidRPr="00B357F4" w:rsidRDefault="00DF280E" w:rsidP="00A85F83">
            <w:pPr>
              <w:spacing w:before="60" w:after="60"/>
              <w:rPr>
                <w:lang w:eastAsia="hr-HR"/>
              </w:rPr>
            </w:pPr>
            <w:r w:rsidRPr="00B357F4">
              <w:t>JLP(R)S</w:t>
            </w:r>
          </w:p>
        </w:tc>
        <w:tc>
          <w:tcPr>
            <w:tcW w:w="7827" w:type="dxa"/>
            <w:vAlign w:val="center"/>
          </w:tcPr>
          <w:p w14:paraId="1C1EE848" w14:textId="77777777" w:rsidR="00DF280E" w:rsidRPr="00B357F4" w:rsidRDefault="00DF280E" w:rsidP="00A85F83">
            <w:pPr>
              <w:spacing w:before="60" w:after="60"/>
              <w:rPr>
                <w:lang w:eastAsia="hr-HR"/>
              </w:rPr>
            </w:pPr>
            <w:r w:rsidRPr="00B357F4">
              <w:rPr>
                <w:lang w:eastAsia="hr-HR"/>
              </w:rPr>
              <w:t>jedinice lokalne i područne (regionalne) samouprave</w:t>
            </w:r>
          </w:p>
        </w:tc>
      </w:tr>
      <w:tr w:rsidR="00252BCC" w:rsidRPr="00B357F4" w14:paraId="6E8E087A" w14:textId="77777777" w:rsidTr="00D95720">
        <w:trPr>
          <w:cantSplit/>
        </w:trPr>
        <w:tc>
          <w:tcPr>
            <w:tcW w:w="1527" w:type="dxa"/>
            <w:vAlign w:val="center"/>
          </w:tcPr>
          <w:p w14:paraId="71B338FE" w14:textId="4EC5D75D" w:rsidR="0075233D" w:rsidRPr="00B357F4" w:rsidRDefault="0075233D" w:rsidP="00A85F83">
            <w:pPr>
              <w:spacing w:before="60" w:after="60"/>
            </w:pPr>
            <w:r>
              <w:t>JPP</w:t>
            </w:r>
          </w:p>
        </w:tc>
        <w:tc>
          <w:tcPr>
            <w:tcW w:w="7827" w:type="dxa"/>
            <w:vAlign w:val="center"/>
          </w:tcPr>
          <w:p w14:paraId="039E64CF" w14:textId="2C63A3A8" w:rsidR="0075233D" w:rsidRPr="00B357F4" w:rsidRDefault="00836385" w:rsidP="00A85F83">
            <w:pPr>
              <w:spacing w:before="60" w:after="60"/>
              <w:rPr>
                <w:lang w:eastAsia="hr-HR"/>
              </w:rPr>
            </w:pPr>
            <w:r>
              <w:rPr>
                <w:lang w:eastAsia="hr-HR"/>
              </w:rPr>
              <w:t>j</w:t>
            </w:r>
            <w:r w:rsidR="0075233D">
              <w:rPr>
                <w:lang w:eastAsia="hr-HR"/>
              </w:rPr>
              <w:t>avno-privatno partnerstvo</w:t>
            </w:r>
          </w:p>
        </w:tc>
      </w:tr>
      <w:tr w:rsidR="000D6559" w:rsidRPr="00B357F4" w14:paraId="0FBBD4CD" w14:textId="77777777" w:rsidTr="00D95720">
        <w:trPr>
          <w:cantSplit/>
        </w:trPr>
        <w:tc>
          <w:tcPr>
            <w:tcW w:w="1527" w:type="dxa"/>
            <w:vAlign w:val="center"/>
          </w:tcPr>
          <w:p w14:paraId="42E7047B" w14:textId="3DDAE4A0" w:rsidR="00E92C70" w:rsidRPr="00B357F4" w:rsidRDefault="00E92C70" w:rsidP="00A85F83">
            <w:pPr>
              <w:spacing w:before="60" w:after="60"/>
              <w:rPr>
                <w:lang w:eastAsia="hr-HR"/>
              </w:rPr>
            </w:pPr>
            <w:r w:rsidRPr="00B357F4">
              <w:rPr>
                <w:lang w:eastAsia="hr-HR"/>
              </w:rPr>
              <w:t>LTRS</w:t>
            </w:r>
          </w:p>
        </w:tc>
        <w:tc>
          <w:tcPr>
            <w:tcW w:w="7827" w:type="dxa"/>
            <w:vAlign w:val="center"/>
          </w:tcPr>
          <w:p w14:paraId="33A3C178" w14:textId="31587081" w:rsidR="00E92C70" w:rsidRPr="00B357F4" w:rsidRDefault="00E92C70" w:rsidP="00A85F83">
            <w:pPr>
              <w:spacing w:before="60" w:after="60"/>
              <w:rPr>
                <w:lang w:eastAsia="hr-HR"/>
              </w:rPr>
            </w:pPr>
            <w:r w:rsidRPr="00B357F4">
              <w:rPr>
                <w:lang w:eastAsia="hr-HR"/>
              </w:rPr>
              <w:t xml:space="preserve">Dugoročna strategija za poticanje </w:t>
            </w:r>
            <w:r w:rsidR="000D53FD" w:rsidRPr="00B357F4">
              <w:rPr>
                <w:lang w:eastAsia="hr-HR"/>
              </w:rPr>
              <w:t xml:space="preserve">ulaganja </w:t>
            </w:r>
            <w:r w:rsidRPr="00B357F4">
              <w:rPr>
                <w:lang w:eastAsia="hr-HR"/>
              </w:rPr>
              <w:t>u obnovu nacionalnog fonda zgrada Republike Hrvatske</w:t>
            </w:r>
            <w:r w:rsidR="00151C85" w:rsidRPr="00B357F4">
              <w:rPr>
                <w:lang w:eastAsia="hr-HR"/>
              </w:rPr>
              <w:t xml:space="preserve"> </w:t>
            </w:r>
          </w:p>
        </w:tc>
      </w:tr>
      <w:tr w:rsidR="00DF280E" w:rsidRPr="00B357F4" w14:paraId="0559CB88" w14:textId="77777777" w:rsidTr="00D95720">
        <w:trPr>
          <w:cantSplit/>
        </w:trPr>
        <w:tc>
          <w:tcPr>
            <w:tcW w:w="1527" w:type="dxa"/>
            <w:vAlign w:val="center"/>
          </w:tcPr>
          <w:p w14:paraId="6EC192C2" w14:textId="672C0C33" w:rsidR="00DF280E" w:rsidRPr="00B357F4" w:rsidRDefault="00DD5783" w:rsidP="00A85F83">
            <w:pPr>
              <w:spacing w:before="60" w:after="60"/>
              <w:rPr>
                <w:lang w:eastAsia="hr-HR"/>
              </w:rPr>
            </w:pPr>
            <w:r w:rsidRPr="00B357F4">
              <w:rPr>
                <w:lang w:eastAsia="hr-HR"/>
              </w:rPr>
              <w:t>MINGOR</w:t>
            </w:r>
          </w:p>
        </w:tc>
        <w:tc>
          <w:tcPr>
            <w:tcW w:w="7827" w:type="dxa"/>
            <w:vAlign w:val="center"/>
          </w:tcPr>
          <w:p w14:paraId="13281FD4" w14:textId="77777777" w:rsidR="00DF280E" w:rsidRPr="00B357F4" w:rsidRDefault="00DF280E" w:rsidP="00A85F83">
            <w:pPr>
              <w:spacing w:before="60" w:after="60"/>
              <w:rPr>
                <w:lang w:eastAsia="hr-HR"/>
              </w:rPr>
            </w:pPr>
            <w:r w:rsidRPr="00B357F4">
              <w:rPr>
                <w:lang w:eastAsia="hr-HR"/>
              </w:rPr>
              <w:t>Ministarstvo gospodarstva i održivog razvoja</w:t>
            </w:r>
          </w:p>
        </w:tc>
      </w:tr>
      <w:tr w:rsidR="003829B6" w:rsidRPr="00B357F4" w14:paraId="39459372" w14:textId="77777777" w:rsidTr="00D95720">
        <w:trPr>
          <w:cantSplit/>
        </w:trPr>
        <w:tc>
          <w:tcPr>
            <w:tcW w:w="1527" w:type="dxa"/>
            <w:vAlign w:val="center"/>
          </w:tcPr>
          <w:p w14:paraId="7E02216F" w14:textId="6C344D5F" w:rsidR="00914958" w:rsidRPr="002A6D45" w:rsidRDefault="00914958" w:rsidP="00A85F83">
            <w:pPr>
              <w:spacing w:before="60" w:after="60"/>
              <w:rPr>
                <w:lang w:eastAsia="hr-HR"/>
              </w:rPr>
            </w:pPr>
            <w:r w:rsidRPr="002A6D45">
              <w:rPr>
                <w:lang w:eastAsia="hr-HR"/>
              </w:rPr>
              <w:t>MKM</w:t>
            </w:r>
          </w:p>
        </w:tc>
        <w:tc>
          <w:tcPr>
            <w:tcW w:w="7827" w:type="dxa"/>
            <w:vAlign w:val="center"/>
          </w:tcPr>
          <w:p w14:paraId="32C98E25" w14:textId="1EFD9499" w:rsidR="00914958" w:rsidRPr="002A6D45" w:rsidRDefault="00914958" w:rsidP="00A85F83">
            <w:pPr>
              <w:spacing w:before="60" w:after="60"/>
              <w:rPr>
                <w:lang w:eastAsia="hr-HR"/>
              </w:rPr>
            </w:pPr>
            <w:r w:rsidRPr="002A6D45">
              <w:rPr>
                <w:lang w:eastAsia="hr-HR"/>
              </w:rPr>
              <w:t>Ministarstvo kulture i medija</w:t>
            </w:r>
          </w:p>
        </w:tc>
      </w:tr>
      <w:tr w:rsidR="00DF280E" w:rsidRPr="00B357F4" w14:paraId="3E0D6074" w14:textId="77777777" w:rsidTr="00D95720">
        <w:trPr>
          <w:cantSplit/>
        </w:trPr>
        <w:tc>
          <w:tcPr>
            <w:tcW w:w="1527" w:type="dxa"/>
            <w:vAlign w:val="center"/>
          </w:tcPr>
          <w:p w14:paraId="60E1C6C5" w14:textId="77777777" w:rsidR="00DF280E" w:rsidRPr="00B357F4" w:rsidRDefault="00DF280E" w:rsidP="00A85F83">
            <w:pPr>
              <w:spacing w:before="60" w:after="60"/>
              <w:rPr>
                <w:lang w:eastAsia="hr-HR"/>
              </w:rPr>
            </w:pPr>
            <w:r w:rsidRPr="00B357F4">
              <w:rPr>
                <w:lang w:eastAsia="hr-HR"/>
              </w:rPr>
              <w:t>MPGI</w:t>
            </w:r>
          </w:p>
        </w:tc>
        <w:tc>
          <w:tcPr>
            <w:tcW w:w="7827" w:type="dxa"/>
            <w:vAlign w:val="center"/>
          </w:tcPr>
          <w:p w14:paraId="50934D68" w14:textId="77777777" w:rsidR="00DF280E" w:rsidRPr="00B357F4" w:rsidRDefault="00DF280E" w:rsidP="00A85F83">
            <w:pPr>
              <w:spacing w:before="60" w:after="60"/>
              <w:rPr>
                <w:lang w:eastAsia="hr-HR"/>
              </w:rPr>
            </w:pPr>
            <w:r w:rsidRPr="00B357F4">
              <w:rPr>
                <w:lang w:eastAsia="hr-HR"/>
              </w:rPr>
              <w:t>Ministarstvo prostornoga uređenja, graditeljstva i državne imovine</w:t>
            </w:r>
          </w:p>
        </w:tc>
      </w:tr>
      <w:tr w:rsidR="00DF280E" w:rsidRPr="00B357F4" w14:paraId="4DBB589B" w14:textId="77777777" w:rsidTr="00D95720">
        <w:trPr>
          <w:cantSplit/>
        </w:trPr>
        <w:tc>
          <w:tcPr>
            <w:tcW w:w="1527" w:type="dxa"/>
            <w:vAlign w:val="center"/>
          </w:tcPr>
          <w:p w14:paraId="223A1B88" w14:textId="77777777" w:rsidR="00DF280E" w:rsidRPr="00B357F4" w:rsidRDefault="00DF280E" w:rsidP="00A85F83">
            <w:pPr>
              <w:spacing w:before="60" w:after="60"/>
              <w:rPr>
                <w:lang w:eastAsia="hr-HR"/>
              </w:rPr>
            </w:pPr>
            <w:r w:rsidRPr="00B357F4">
              <w:rPr>
                <w:lang w:eastAsia="hr-HR"/>
              </w:rPr>
              <w:t>MROSP</w:t>
            </w:r>
          </w:p>
        </w:tc>
        <w:tc>
          <w:tcPr>
            <w:tcW w:w="7827" w:type="dxa"/>
            <w:vAlign w:val="center"/>
          </w:tcPr>
          <w:p w14:paraId="2A3EFEA2" w14:textId="77777777" w:rsidR="00DF280E" w:rsidRPr="00B357F4" w:rsidRDefault="00DF280E" w:rsidP="00A85F83">
            <w:pPr>
              <w:spacing w:before="60" w:after="60"/>
              <w:rPr>
                <w:lang w:eastAsia="hr-HR"/>
              </w:rPr>
            </w:pPr>
            <w:r w:rsidRPr="00B357F4">
              <w:t>Ministarstvo rada, mirovinskoga sustava, obitelji i socijalne politike</w:t>
            </w:r>
          </w:p>
        </w:tc>
      </w:tr>
      <w:tr w:rsidR="00DF280E" w:rsidRPr="00B357F4" w14:paraId="46E89EF0" w14:textId="77777777" w:rsidTr="00D95720">
        <w:trPr>
          <w:cantSplit/>
        </w:trPr>
        <w:tc>
          <w:tcPr>
            <w:tcW w:w="1527" w:type="dxa"/>
            <w:vAlign w:val="center"/>
          </w:tcPr>
          <w:p w14:paraId="2742FE4A" w14:textId="77777777" w:rsidR="00DF280E" w:rsidRPr="00B357F4" w:rsidRDefault="00DF280E" w:rsidP="00A85F83">
            <w:pPr>
              <w:spacing w:before="60" w:after="60"/>
              <w:rPr>
                <w:lang w:eastAsia="hr-HR"/>
              </w:rPr>
            </w:pPr>
            <w:r w:rsidRPr="00B357F4">
              <w:rPr>
                <w:lang w:eastAsia="hr-HR"/>
              </w:rPr>
              <w:t>MRRFEU</w:t>
            </w:r>
          </w:p>
        </w:tc>
        <w:tc>
          <w:tcPr>
            <w:tcW w:w="7827" w:type="dxa"/>
            <w:vAlign w:val="center"/>
          </w:tcPr>
          <w:p w14:paraId="50221767" w14:textId="77777777" w:rsidR="00DF280E" w:rsidRPr="00B357F4" w:rsidRDefault="00DF280E" w:rsidP="00A85F83">
            <w:pPr>
              <w:spacing w:before="60" w:after="60"/>
            </w:pPr>
            <w:r w:rsidRPr="00B357F4">
              <w:t>Ministarstvo regionalnog razvoja i fondova Europske unije</w:t>
            </w:r>
          </w:p>
        </w:tc>
      </w:tr>
      <w:tr w:rsidR="00DF280E" w:rsidRPr="00B357F4" w14:paraId="0947C27F" w14:textId="77777777" w:rsidTr="00D95720">
        <w:trPr>
          <w:cantSplit/>
        </w:trPr>
        <w:tc>
          <w:tcPr>
            <w:tcW w:w="1527" w:type="dxa"/>
            <w:vAlign w:val="center"/>
          </w:tcPr>
          <w:p w14:paraId="652632D4" w14:textId="77777777" w:rsidR="00DF280E" w:rsidRPr="00B357F4" w:rsidRDefault="00DF280E" w:rsidP="00A85F83">
            <w:pPr>
              <w:spacing w:before="60" w:after="60"/>
              <w:rPr>
                <w:lang w:eastAsia="hr-HR"/>
              </w:rPr>
            </w:pPr>
            <w:r w:rsidRPr="00B357F4">
              <w:t>NAPEnU</w:t>
            </w:r>
          </w:p>
        </w:tc>
        <w:tc>
          <w:tcPr>
            <w:tcW w:w="7827" w:type="dxa"/>
            <w:vAlign w:val="center"/>
          </w:tcPr>
          <w:p w14:paraId="0578E076" w14:textId="77777777" w:rsidR="00DF280E" w:rsidRPr="00B357F4" w:rsidRDefault="00DF280E" w:rsidP="00A85F83">
            <w:pPr>
              <w:spacing w:before="60" w:after="60"/>
              <w:rPr>
                <w:lang w:eastAsia="hr-HR"/>
              </w:rPr>
            </w:pPr>
            <w:r w:rsidRPr="00B357F4">
              <w:rPr>
                <w:lang w:eastAsia="hr-HR"/>
              </w:rPr>
              <w:t>Nacionalni akcijski plan energetske učinkovitosti</w:t>
            </w:r>
          </w:p>
        </w:tc>
      </w:tr>
      <w:tr w:rsidR="00DF280E" w:rsidRPr="00B357F4" w14:paraId="698967B9" w14:textId="77777777" w:rsidTr="00D95720">
        <w:trPr>
          <w:cantSplit/>
        </w:trPr>
        <w:tc>
          <w:tcPr>
            <w:tcW w:w="1527" w:type="dxa"/>
            <w:vAlign w:val="center"/>
          </w:tcPr>
          <w:p w14:paraId="20FD3B62" w14:textId="77777777" w:rsidR="00DF280E" w:rsidRPr="00B357F4" w:rsidRDefault="00DF280E" w:rsidP="00A85F83">
            <w:pPr>
              <w:spacing w:before="60" w:after="60"/>
              <w:rPr>
                <w:lang w:eastAsia="hr-HR"/>
              </w:rPr>
            </w:pPr>
            <w:r w:rsidRPr="00B357F4">
              <w:rPr>
                <w:lang w:eastAsia="hr-HR"/>
              </w:rPr>
              <w:t>NEKP</w:t>
            </w:r>
          </w:p>
        </w:tc>
        <w:tc>
          <w:tcPr>
            <w:tcW w:w="7827" w:type="dxa"/>
            <w:vAlign w:val="center"/>
          </w:tcPr>
          <w:p w14:paraId="2DDBEFC0" w14:textId="77777777" w:rsidR="00DF280E" w:rsidRPr="00B357F4" w:rsidRDefault="00DF280E" w:rsidP="00A85F83">
            <w:pPr>
              <w:spacing w:before="60" w:after="60"/>
              <w:rPr>
                <w:lang w:eastAsia="hr-HR"/>
              </w:rPr>
            </w:pPr>
            <w:r w:rsidRPr="00B357F4">
              <w:rPr>
                <w:lang w:eastAsia="hr-HR"/>
              </w:rPr>
              <w:t>Integrirani nacionalni energetski i klimatski plan</w:t>
            </w:r>
          </w:p>
        </w:tc>
      </w:tr>
      <w:tr w:rsidR="00DF280E" w:rsidRPr="00B357F4" w14:paraId="6F9E0325" w14:textId="77777777" w:rsidTr="00D95720">
        <w:trPr>
          <w:cantSplit/>
        </w:trPr>
        <w:tc>
          <w:tcPr>
            <w:tcW w:w="1527" w:type="dxa"/>
            <w:vAlign w:val="center"/>
          </w:tcPr>
          <w:p w14:paraId="575D0F47" w14:textId="77777777" w:rsidR="00DF280E" w:rsidRPr="00B357F4" w:rsidRDefault="00DF280E" w:rsidP="00A85F83">
            <w:pPr>
              <w:spacing w:before="60" w:after="60"/>
              <w:rPr>
                <w:lang w:eastAsia="hr-HR"/>
              </w:rPr>
            </w:pPr>
            <w:r w:rsidRPr="00B357F4">
              <w:rPr>
                <w:lang w:eastAsia="hr-HR"/>
              </w:rPr>
              <w:t>NKT</w:t>
            </w:r>
          </w:p>
        </w:tc>
        <w:tc>
          <w:tcPr>
            <w:tcW w:w="7827" w:type="dxa"/>
            <w:vAlign w:val="center"/>
          </w:tcPr>
          <w:p w14:paraId="2820064A" w14:textId="77777777" w:rsidR="00DF280E" w:rsidRPr="00B357F4" w:rsidRDefault="00DF280E" w:rsidP="00A85F83">
            <w:pPr>
              <w:spacing w:before="60" w:after="60"/>
              <w:rPr>
                <w:lang w:eastAsia="hr-HR"/>
              </w:rPr>
            </w:pPr>
            <w:r w:rsidRPr="00B357F4">
              <w:rPr>
                <w:lang w:eastAsia="hr-HR"/>
              </w:rPr>
              <w:t>Nacionalno koordinacijsko tijelo za energetsku učinkovitost</w:t>
            </w:r>
          </w:p>
        </w:tc>
      </w:tr>
      <w:tr w:rsidR="00DF280E" w:rsidRPr="00B357F4" w14:paraId="4D11D256" w14:textId="77777777" w:rsidTr="00D95720">
        <w:trPr>
          <w:cantSplit/>
        </w:trPr>
        <w:tc>
          <w:tcPr>
            <w:tcW w:w="1527" w:type="dxa"/>
            <w:vAlign w:val="center"/>
          </w:tcPr>
          <w:p w14:paraId="1BEBA079" w14:textId="77777777" w:rsidR="00DF280E" w:rsidRPr="00B357F4" w:rsidRDefault="00DF280E" w:rsidP="00A85F83">
            <w:pPr>
              <w:spacing w:before="60" w:after="60"/>
              <w:rPr>
                <w:lang w:eastAsia="hr-HR"/>
              </w:rPr>
            </w:pPr>
            <w:r w:rsidRPr="00B357F4">
              <w:rPr>
                <w:lang w:eastAsia="hr-HR"/>
              </w:rPr>
              <w:t>NN</w:t>
            </w:r>
          </w:p>
        </w:tc>
        <w:tc>
          <w:tcPr>
            <w:tcW w:w="7827" w:type="dxa"/>
            <w:vAlign w:val="center"/>
          </w:tcPr>
          <w:p w14:paraId="39780984" w14:textId="77777777" w:rsidR="00DF280E" w:rsidRPr="00B357F4" w:rsidRDefault="00DF280E" w:rsidP="00A85F83">
            <w:pPr>
              <w:spacing w:before="60" w:after="60"/>
              <w:rPr>
                <w:lang w:eastAsia="hr-HR"/>
              </w:rPr>
            </w:pPr>
            <w:r w:rsidRPr="00B357F4">
              <w:rPr>
                <w:lang w:eastAsia="hr-HR"/>
              </w:rPr>
              <w:t>Narodne novine</w:t>
            </w:r>
          </w:p>
        </w:tc>
      </w:tr>
      <w:tr w:rsidR="00DF280E" w:rsidRPr="00B357F4" w14:paraId="0CC4CE37" w14:textId="77777777" w:rsidTr="00D95720">
        <w:trPr>
          <w:cantSplit/>
        </w:trPr>
        <w:tc>
          <w:tcPr>
            <w:tcW w:w="1527" w:type="dxa"/>
            <w:vAlign w:val="center"/>
          </w:tcPr>
          <w:p w14:paraId="3FBF0EB9" w14:textId="77777777" w:rsidR="00DF280E" w:rsidRPr="00B357F4" w:rsidRDefault="00DF280E" w:rsidP="00A85F83">
            <w:pPr>
              <w:spacing w:before="60" w:after="60"/>
              <w:rPr>
                <w:lang w:eastAsia="hr-HR"/>
              </w:rPr>
            </w:pPr>
            <w:r w:rsidRPr="00B357F4">
              <w:rPr>
                <w:lang w:eastAsia="hr-HR"/>
              </w:rPr>
              <w:t>NPOO</w:t>
            </w:r>
          </w:p>
        </w:tc>
        <w:tc>
          <w:tcPr>
            <w:tcW w:w="7827" w:type="dxa"/>
            <w:vAlign w:val="center"/>
          </w:tcPr>
          <w:p w14:paraId="1FA4B51D" w14:textId="77777777" w:rsidR="00DF280E" w:rsidRPr="00B357F4" w:rsidRDefault="00DF280E" w:rsidP="00A85F83">
            <w:pPr>
              <w:spacing w:before="60" w:after="60"/>
              <w:rPr>
                <w:lang w:eastAsia="hr-HR"/>
              </w:rPr>
            </w:pPr>
            <w:r w:rsidRPr="00B357F4">
              <w:rPr>
                <w:lang w:eastAsia="hr-HR"/>
              </w:rPr>
              <w:t>Nacionalni plan oporavka i otpornosti</w:t>
            </w:r>
          </w:p>
        </w:tc>
      </w:tr>
      <w:tr w:rsidR="00DF280E" w:rsidRPr="00B357F4" w14:paraId="286D97FB" w14:textId="77777777" w:rsidTr="00D95720">
        <w:trPr>
          <w:cantSplit/>
        </w:trPr>
        <w:tc>
          <w:tcPr>
            <w:tcW w:w="1527" w:type="dxa"/>
            <w:vAlign w:val="center"/>
          </w:tcPr>
          <w:p w14:paraId="7527BBB1" w14:textId="77777777" w:rsidR="00DF280E" w:rsidRPr="00B357F4" w:rsidRDefault="00DF280E" w:rsidP="00A85F83">
            <w:pPr>
              <w:spacing w:before="60" w:after="60"/>
              <w:rPr>
                <w:lang w:eastAsia="hr-HR"/>
              </w:rPr>
            </w:pPr>
            <w:r w:rsidRPr="00B357F4">
              <w:rPr>
                <w:lang w:eastAsia="hr-HR"/>
              </w:rPr>
              <w:t>nZEB</w:t>
            </w:r>
          </w:p>
        </w:tc>
        <w:tc>
          <w:tcPr>
            <w:tcW w:w="7827" w:type="dxa"/>
            <w:vAlign w:val="center"/>
          </w:tcPr>
          <w:p w14:paraId="1058597C" w14:textId="7A47D66B" w:rsidR="00DF280E" w:rsidRPr="00B357F4" w:rsidRDefault="00836385" w:rsidP="00A85F83">
            <w:pPr>
              <w:spacing w:before="60" w:after="60"/>
              <w:rPr>
                <w:lang w:eastAsia="hr-HR"/>
              </w:rPr>
            </w:pPr>
            <w:r>
              <w:rPr>
                <w:lang w:eastAsia="hr-HR"/>
              </w:rPr>
              <w:t>z</w:t>
            </w:r>
            <w:r w:rsidRPr="00B357F4">
              <w:rPr>
                <w:lang w:eastAsia="hr-HR"/>
              </w:rPr>
              <w:t xml:space="preserve">grade </w:t>
            </w:r>
            <w:r w:rsidR="00DF280E" w:rsidRPr="00B357F4">
              <w:rPr>
                <w:lang w:eastAsia="hr-HR"/>
              </w:rPr>
              <w:t xml:space="preserve">gotovo nulte energije (eng. </w:t>
            </w:r>
            <w:r w:rsidR="00DF280E" w:rsidRPr="00B357F4">
              <w:rPr>
                <w:i/>
                <w:lang w:eastAsia="hr-HR"/>
              </w:rPr>
              <w:t>nearly zero energy buildings</w:t>
            </w:r>
            <w:r w:rsidR="00DF280E" w:rsidRPr="00B357F4">
              <w:rPr>
                <w:lang w:eastAsia="hr-HR"/>
              </w:rPr>
              <w:t>)</w:t>
            </w:r>
          </w:p>
        </w:tc>
      </w:tr>
      <w:tr w:rsidR="00DF280E" w:rsidRPr="00B357F4" w14:paraId="6CC4D036" w14:textId="77777777" w:rsidTr="00D95720">
        <w:trPr>
          <w:cantSplit/>
        </w:trPr>
        <w:tc>
          <w:tcPr>
            <w:tcW w:w="1527" w:type="dxa"/>
            <w:vAlign w:val="center"/>
          </w:tcPr>
          <w:p w14:paraId="0F6C38ED" w14:textId="77777777" w:rsidR="00DF280E" w:rsidRPr="00B357F4" w:rsidRDefault="00DF280E" w:rsidP="00A85F83">
            <w:pPr>
              <w:spacing w:before="60" w:after="60"/>
              <w:rPr>
                <w:lang w:eastAsia="hr-HR"/>
              </w:rPr>
            </w:pPr>
            <w:r w:rsidRPr="00B357F4">
              <w:rPr>
                <w:lang w:eastAsia="hr-HR"/>
              </w:rPr>
              <w:t>OIE</w:t>
            </w:r>
          </w:p>
        </w:tc>
        <w:tc>
          <w:tcPr>
            <w:tcW w:w="7827" w:type="dxa"/>
            <w:vAlign w:val="center"/>
          </w:tcPr>
          <w:p w14:paraId="45D08D2D" w14:textId="77777777" w:rsidR="00DF280E" w:rsidRPr="00B357F4" w:rsidRDefault="00DF280E" w:rsidP="00A85F83">
            <w:pPr>
              <w:spacing w:before="60" w:after="60"/>
              <w:rPr>
                <w:lang w:eastAsia="hr-HR"/>
              </w:rPr>
            </w:pPr>
            <w:r w:rsidRPr="00B357F4">
              <w:rPr>
                <w:lang w:eastAsia="hr-HR"/>
              </w:rPr>
              <w:t>obnovljivi izvori energije</w:t>
            </w:r>
          </w:p>
        </w:tc>
      </w:tr>
      <w:tr w:rsidR="00DF280E" w:rsidRPr="00B357F4" w14:paraId="69858B71" w14:textId="77777777" w:rsidTr="00D95720">
        <w:trPr>
          <w:cantSplit/>
        </w:trPr>
        <w:tc>
          <w:tcPr>
            <w:tcW w:w="1527" w:type="dxa"/>
            <w:vAlign w:val="center"/>
          </w:tcPr>
          <w:p w14:paraId="7348E0FA" w14:textId="77777777" w:rsidR="00DF280E" w:rsidRPr="00B357F4" w:rsidRDefault="00DF280E" w:rsidP="00A85F83">
            <w:pPr>
              <w:spacing w:before="60" w:after="60"/>
              <w:rPr>
                <w:lang w:eastAsia="hr-HR"/>
              </w:rPr>
            </w:pPr>
            <w:r w:rsidRPr="00B357F4">
              <w:rPr>
                <w:lang w:eastAsia="hr-HR"/>
              </w:rPr>
              <w:t>OPKK</w:t>
            </w:r>
          </w:p>
        </w:tc>
        <w:tc>
          <w:tcPr>
            <w:tcW w:w="7827" w:type="dxa"/>
            <w:vAlign w:val="center"/>
          </w:tcPr>
          <w:p w14:paraId="4DEBC8DC" w14:textId="77777777" w:rsidR="00DF280E" w:rsidRPr="00B357F4" w:rsidRDefault="00DF280E" w:rsidP="00A85F83">
            <w:pPr>
              <w:spacing w:before="60" w:after="60"/>
              <w:rPr>
                <w:lang w:eastAsia="hr-HR"/>
              </w:rPr>
            </w:pPr>
            <w:r w:rsidRPr="00B357F4">
              <w:rPr>
                <w:lang w:eastAsia="hr-HR"/>
              </w:rPr>
              <w:t>Operativni program „Konkurentnost i kohezija 2014.-2020.“</w:t>
            </w:r>
          </w:p>
        </w:tc>
      </w:tr>
      <w:tr w:rsidR="00D95720" w:rsidRPr="00B357F4" w14:paraId="3356E9CA" w14:textId="77777777" w:rsidTr="00D95720">
        <w:trPr>
          <w:cantSplit/>
        </w:trPr>
        <w:tc>
          <w:tcPr>
            <w:tcW w:w="1527" w:type="dxa"/>
            <w:vAlign w:val="center"/>
          </w:tcPr>
          <w:p w14:paraId="68A56336" w14:textId="7472F619" w:rsidR="0075233D" w:rsidRPr="00B357F4" w:rsidRDefault="0075233D" w:rsidP="00A85F83">
            <w:pPr>
              <w:spacing w:before="60" w:after="60"/>
              <w:rPr>
                <w:lang w:eastAsia="hr-HR"/>
              </w:rPr>
            </w:pPr>
            <w:r>
              <w:rPr>
                <w:lang w:eastAsia="hr-HR"/>
              </w:rPr>
              <w:t>OSS</w:t>
            </w:r>
          </w:p>
        </w:tc>
        <w:tc>
          <w:tcPr>
            <w:tcW w:w="7827" w:type="dxa"/>
            <w:vAlign w:val="center"/>
          </w:tcPr>
          <w:p w14:paraId="2BDC0920" w14:textId="31D5A9E4" w:rsidR="0075233D" w:rsidRPr="00B357F4" w:rsidRDefault="00836385" w:rsidP="00A85F83">
            <w:pPr>
              <w:spacing w:before="60" w:after="60"/>
              <w:rPr>
                <w:lang w:eastAsia="hr-HR"/>
              </w:rPr>
            </w:pPr>
            <w:r>
              <w:rPr>
                <w:lang w:eastAsia="hr-HR"/>
              </w:rPr>
              <w:t>j</w:t>
            </w:r>
            <w:r w:rsidR="0075233D">
              <w:rPr>
                <w:lang w:eastAsia="hr-HR"/>
              </w:rPr>
              <w:t>edinstvena kontaktna točka (</w:t>
            </w:r>
            <w:r w:rsidR="0075233D">
              <w:rPr>
                <w:i/>
                <w:iCs/>
                <w:lang w:eastAsia="hr-HR"/>
              </w:rPr>
              <w:t>eng.</w:t>
            </w:r>
            <w:r w:rsidR="00375575">
              <w:rPr>
                <w:i/>
                <w:iCs/>
                <w:lang w:eastAsia="hr-HR"/>
              </w:rPr>
              <w:t xml:space="preserve"> </w:t>
            </w:r>
            <w:r w:rsidR="0075233D" w:rsidRPr="008B208A">
              <w:rPr>
                <w:i/>
                <w:iCs/>
                <w:lang w:eastAsia="hr-HR"/>
              </w:rPr>
              <w:t>One-stop-shop</w:t>
            </w:r>
            <w:r w:rsidR="00375575">
              <w:rPr>
                <w:lang w:eastAsia="hr-HR"/>
              </w:rPr>
              <w:t>)</w:t>
            </w:r>
            <w:r w:rsidR="0075233D">
              <w:rPr>
                <w:lang w:eastAsia="hr-HR"/>
              </w:rPr>
              <w:t xml:space="preserve"> </w:t>
            </w:r>
          </w:p>
        </w:tc>
      </w:tr>
      <w:tr w:rsidR="00D95720" w:rsidRPr="00B357F4" w14:paraId="357174E7" w14:textId="77777777" w:rsidTr="00D95720">
        <w:trPr>
          <w:cantSplit/>
        </w:trPr>
        <w:tc>
          <w:tcPr>
            <w:tcW w:w="1527" w:type="dxa"/>
            <w:vAlign w:val="center"/>
          </w:tcPr>
          <w:p w14:paraId="44455773" w14:textId="71CCD92D" w:rsidR="005E47C8" w:rsidRPr="00B357F4" w:rsidRDefault="005E47C8" w:rsidP="00A85F83">
            <w:pPr>
              <w:spacing w:before="60" w:after="60"/>
              <w:rPr>
                <w:lang w:eastAsia="hr-HR"/>
              </w:rPr>
            </w:pPr>
            <w:r w:rsidRPr="00B357F4">
              <w:rPr>
                <w:lang w:eastAsia="hr-HR"/>
              </w:rPr>
              <w:lastRenderedPageBreak/>
              <w:t>PDP</w:t>
            </w:r>
          </w:p>
        </w:tc>
        <w:tc>
          <w:tcPr>
            <w:tcW w:w="7827" w:type="dxa"/>
            <w:vAlign w:val="center"/>
          </w:tcPr>
          <w:p w14:paraId="3338B663" w14:textId="0237EFE5" w:rsidR="005E47C8" w:rsidRPr="00B357F4" w:rsidRDefault="00836385" w:rsidP="00A85F83">
            <w:pPr>
              <w:spacing w:before="60" w:after="60"/>
              <w:rPr>
                <w:lang w:eastAsia="hr-HR"/>
              </w:rPr>
            </w:pPr>
            <w:r>
              <w:rPr>
                <w:lang w:eastAsia="hr-HR"/>
              </w:rPr>
              <w:t>p</w:t>
            </w:r>
            <w:r w:rsidR="00575542" w:rsidRPr="00B357F4">
              <w:rPr>
                <w:lang w:eastAsia="hr-HR"/>
              </w:rPr>
              <w:t>oziv na dostavu projektnih prijedloga</w:t>
            </w:r>
          </w:p>
        </w:tc>
      </w:tr>
      <w:tr w:rsidR="00D95720" w:rsidRPr="00B357F4" w14:paraId="46803C12" w14:textId="77777777" w:rsidTr="00D95720">
        <w:trPr>
          <w:cantSplit/>
        </w:trPr>
        <w:tc>
          <w:tcPr>
            <w:tcW w:w="1527" w:type="dxa"/>
            <w:vAlign w:val="center"/>
          </w:tcPr>
          <w:p w14:paraId="0057F58F" w14:textId="7CD21468" w:rsidR="00A60EC2" w:rsidRPr="00B357F4" w:rsidRDefault="00A60EC2" w:rsidP="00A85F83">
            <w:pPr>
              <w:spacing w:before="60" w:after="60"/>
              <w:rPr>
                <w:lang w:eastAsia="hr-HR"/>
              </w:rPr>
            </w:pPr>
            <w:r w:rsidRPr="00B357F4">
              <w:rPr>
                <w:lang w:eastAsia="hr-HR"/>
              </w:rPr>
              <w:t>PTV</w:t>
            </w:r>
          </w:p>
        </w:tc>
        <w:tc>
          <w:tcPr>
            <w:tcW w:w="7827" w:type="dxa"/>
            <w:vAlign w:val="center"/>
          </w:tcPr>
          <w:p w14:paraId="497411B7" w14:textId="3FCF8561" w:rsidR="00A60EC2" w:rsidRPr="00B357F4" w:rsidRDefault="00C334E3" w:rsidP="00A85F83">
            <w:pPr>
              <w:spacing w:before="60" w:after="60"/>
              <w:rPr>
                <w:lang w:eastAsia="hr-HR"/>
              </w:rPr>
            </w:pPr>
            <w:r>
              <w:rPr>
                <w:lang w:eastAsia="hr-HR"/>
              </w:rPr>
              <w:t>p</w:t>
            </w:r>
            <w:r w:rsidR="00A60EC2" w:rsidRPr="00B357F4">
              <w:rPr>
                <w:lang w:eastAsia="hr-HR"/>
              </w:rPr>
              <w:t>otrošna topla voda</w:t>
            </w:r>
          </w:p>
        </w:tc>
      </w:tr>
      <w:tr w:rsidR="005C25ED" w:rsidRPr="00B357F4" w14:paraId="36FBE443" w14:textId="77777777" w:rsidTr="00D95720">
        <w:trPr>
          <w:cantSplit/>
        </w:trPr>
        <w:tc>
          <w:tcPr>
            <w:tcW w:w="1527" w:type="dxa"/>
            <w:vAlign w:val="center"/>
          </w:tcPr>
          <w:p w14:paraId="434360FE" w14:textId="02C4DD71" w:rsidR="005C25ED" w:rsidRPr="002A6D45" w:rsidRDefault="005C25ED" w:rsidP="005C25ED">
            <w:pPr>
              <w:spacing w:before="60" w:after="60"/>
              <w:rPr>
                <w:lang w:eastAsia="hr-HR"/>
              </w:rPr>
            </w:pPr>
            <w:r w:rsidRPr="002A6D45" w:rsidDel="00791993">
              <w:rPr>
                <w:lang w:eastAsia="hr-HR"/>
              </w:rPr>
              <w:t>Q</w:t>
            </w:r>
            <w:r w:rsidRPr="002A6D45" w:rsidDel="00791993">
              <w:rPr>
                <w:vertAlign w:val="subscript"/>
                <w:lang w:eastAsia="hr-HR"/>
              </w:rPr>
              <w:t>H,nd</w:t>
            </w:r>
          </w:p>
        </w:tc>
        <w:tc>
          <w:tcPr>
            <w:tcW w:w="7827" w:type="dxa"/>
            <w:vAlign w:val="center"/>
          </w:tcPr>
          <w:p w14:paraId="0AECBC2E" w14:textId="646B04BA" w:rsidR="005C25ED" w:rsidRPr="002A6D45" w:rsidRDefault="00935F74" w:rsidP="005C25ED">
            <w:pPr>
              <w:spacing w:before="60" w:after="60"/>
              <w:rPr>
                <w:lang w:eastAsia="hr-HR"/>
              </w:rPr>
            </w:pPr>
            <w:r w:rsidRPr="002A6D45">
              <w:rPr>
                <w:lang w:eastAsia="hr-HR"/>
              </w:rPr>
              <w:t xml:space="preserve">godišnja </w:t>
            </w:r>
            <w:r w:rsidR="005C25ED" w:rsidRPr="002A6D45">
              <w:rPr>
                <w:lang w:eastAsia="hr-HR"/>
              </w:rPr>
              <w:t>potrebna toplinska energija za grijanje</w:t>
            </w:r>
          </w:p>
        </w:tc>
      </w:tr>
      <w:tr w:rsidR="00DF280E" w:rsidRPr="00B357F4" w14:paraId="0A3A80E5" w14:textId="77777777" w:rsidTr="00D95720">
        <w:trPr>
          <w:cantSplit/>
        </w:trPr>
        <w:tc>
          <w:tcPr>
            <w:tcW w:w="1527" w:type="dxa"/>
            <w:vAlign w:val="center"/>
          </w:tcPr>
          <w:p w14:paraId="7870B6FA" w14:textId="77777777" w:rsidR="00DF280E" w:rsidRPr="00B357F4" w:rsidRDefault="00DF280E" w:rsidP="00A85F83">
            <w:pPr>
              <w:spacing w:before="60" w:after="60"/>
              <w:rPr>
                <w:lang w:eastAsia="hr-HR"/>
              </w:rPr>
            </w:pPr>
            <w:r w:rsidRPr="00B357F4">
              <w:rPr>
                <w:lang w:eastAsia="hr-HR"/>
              </w:rPr>
              <w:t>RH</w:t>
            </w:r>
          </w:p>
        </w:tc>
        <w:tc>
          <w:tcPr>
            <w:tcW w:w="7827" w:type="dxa"/>
            <w:vAlign w:val="center"/>
          </w:tcPr>
          <w:p w14:paraId="17289074" w14:textId="77777777" w:rsidR="00DF280E" w:rsidRPr="00B357F4" w:rsidRDefault="00DF280E" w:rsidP="00A85F83">
            <w:pPr>
              <w:spacing w:before="60" w:after="60"/>
              <w:rPr>
                <w:lang w:eastAsia="hr-HR"/>
              </w:rPr>
            </w:pPr>
            <w:r w:rsidRPr="00B357F4">
              <w:rPr>
                <w:lang w:eastAsia="hr-HR"/>
              </w:rPr>
              <w:t>Republika Hrvatska</w:t>
            </w:r>
          </w:p>
        </w:tc>
      </w:tr>
      <w:tr w:rsidR="00DF280E" w:rsidRPr="00B357F4" w14:paraId="0270B180" w14:textId="77777777" w:rsidTr="00D95720">
        <w:trPr>
          <w:cantSplit/>
        </w:trPr>
        <w:tc>
          <w:tcPr>
            <w:tcW w:w="1527" w:type="dxa"/>
            <w:vAlign w:val="center"/>
          </w:tcPr>
          <w:p w14:paraId="016F8100" w14:textId="77777777" w:rsidR="00DF280E" w:rsidRPr="00B357F4" w:rsidRDefault="00DF280E" w:rsidP="00A85F83">
            <w:pPr>
              <w:spacing w:before="60" w:after="60"/>
              <w:rPr>
                <w:lang w:eastAsia="hr-HR"/>
              </w:rPr>
            </w:pPr>
            <w:r w:rsidRPr="00B357F4">
              <w:rPr>
                <w:lang w:eastAsia="hr-HR"/>
              </w:rPr>
              <w:t>SC</w:t>
            </w:r>
          </w:p>
        </w:tc>
        <w:tc>
          <w:tcPr>
            <w:tcW w:w="7827" w:type="dxa"/>
            <w:vAlign w:val="center"/>
          </w:tcPr>
          <w:p w14:paraId="2DB48C22" w14:textId="77777777" w:rsidR="00DF280E" w:rsidRPr="00B357F4" w:rsidRDefault="00DF280E" w:rsidP="00A85F83">
            <w:pPr>
              <w:spacing w:before="60" w:after="60"/>
              <w:rPr>
                <w:lang w:eastAsia="hr-HR"/>
              </w:rPr>
            </w:pPr>
            <w:r w:rsidRPr="00B357F4">
              <w:rPr>
                <w:lang w:eastAsia="hr-HR"/>
              </w:rPr>
              <w:t>specifični cilj</w:t>
            </w:r>
          </w:p>
        </w:tc>
      </w:tr>
      <w:tr w:rsidR="00DF280E" w:rsidRPr="00B357F4" w14:paraId="71E72214" w14:textId="77777777" w:rsidTr="00D95720">
        <w:trPr>
          <w:cantSplit/>
        </w:trPr>
        <w:tc>
          <w:tcPr>
            <w:tcW w:w="1527" w:type="dxa"/>
            <w:vAlign w:val="center"/>
          </w:tcPr>
          <w:p w14:paraId="38561C82" w14:textId="77777777" w:rsidR="00DF280E" w:rsidRPr="00B357F4" w:rsidRDefault="00DF280E" w:rsidP="00A85F83">
            <w:pPr>
              <w:spacing w:before="60" w:after="60"/>
              <w:rPr>
                <w:lang w:eastAsia="hr-HR"/>
              </w:rPr>
            </w:pPr>
            <w:r w:rsidRPr="00B357F4">
              <w:rPr>
                <w:lang w:eastAsia="hr-HR"/>
              </w:rPr>
              <w:t>SMiV</w:t>
            </w:r>
          </w:p>
        </w:tc>
        <w:tc>
          <w:tcPr>
            <w:tcW w:w="7827" w:type="dxa"/>
            <w:vAlign w:val="center"/>
          </w:tcPr>
          <w:p w14:paraId="5A906E5F" w14:textId="77777777" w:rsidR="00DF280E" w:rsidRPr="00B357F4" w:rsidRDefault="00DF280E" w:rsidP="00A85F83">
            <w:pPr>
              <w:spacing w:before="60" w:after="60"/>
              <w:rPr>
                <w:lang w:eastAsia="hr-HR"/>
              </w:rPr>
            </w:pPr>
            <w:r w:rsidRPr="00B357F4">
              <w:rPr>
                <w:lang w:eastAsia="hr-HR"/>
              </w:rPr>
              <w:t>Sustav za mjerenje i verifikaciju ušteda energije</w:t>
            </w:r>
          </w:p>
        </w:tc>
      </w:tr>
      <w:tr w:rsidR="00DF280E" w:rsidRPr="00B357F4" w14:paraId="33F7A429" w14:textId="77777777" w:rsidTr="00D95720">
        <w:trPr>
          <w:cantSplit/>
        </w:trPr>
        <w:tc>
          <w:tcPr>
            <w:tcW w:w="1527" w:type="dxa"/>
            <w:vAlign w:val="center"/>
          </w:tcPr>
          <w:p w14:paraId="4B1344DD" w14:textId="77777777" w:rsidR="00DF280E" w:rsidRPr="00B357F4" w:rsidRDefault="00DF280E" w:rsidP="00A85F83">
            <w:pPr>
              <w:spacing w:before="60" w:after="60"/>
              <w:rPr>
                <w:lang w:eastAsia="hr-HR"/>
              </w:rPr>
            </w:pPr>
            <w:r w:rsidRPr="00B357F4">
              <w:rPr>
                <w:lang w:eastAsia="hr-HR"/>
              </w:rPr>
              <w:t>SWOT</w:t>
            </w:r>
          </w:p>
        </w:tc>
        <w:tc>
          <w:tcPr>
            <w:tcW w:w="7827" w:type="dxa"/>
            <w:vAlign w:val="center"/>
          </w:tcPr>
          <w:p w14:paraId="3D45A5D5" w14:textId="77777777" w:rsidR="00DF280E" w:rsidRDefault="00DF280E" w:rsidP="00A85F83">
            <w:pPr>
              <w:spacing w:before="60" w:after="60"/>
              <w:jc w:val="left"/>
              <w:rPr>
                <w:lang w:eastAsia="hr-HR"/>
              </w:rPr>
            </w:pPr>
            <w:r w:rsidRPr="00B357F4">
              <w:rPr>
                <w:lang w:eastAsia="hr-HR"/>
              </w:rPr>
              <w:t xml:space="preserve">analiza snaga-slabosti-prilika-prijetnji (eng. </w:t>
            </w:r>
            <w:r w:rsidRPr="000066F0">
              <w:rPr>
                <w:i/>
                <w:lang w:eastAsia="hr-HR"/>
              </w:rPr>
              <w:t>strengths-weaknesses-opportunities-threats</w:t>
            </w:r>
            <w:r>
              <w:rPr>
                <w:lang w:eastAsia="hr-HR"/>
              </w:rPr>
              <w:t>)</w:t>
            </w:r>
          </w:p>
        </w:tc>
      </w:tr>
      <w:tr w:rsidR="00DF280E" w:rsidRPr="00B357F4" w14:paraId="15B009D5" w14:textId="77777777" w:rsidTr="00D95720">
        <w:trPr>
          <w:cantSplit/>
        </w:trPr>
        <w:tc>
          <w:tcPr>
            <w:tcW w:w="1527" w:type="dxa"/>
            <w:vAlign w:val="center"/>
          </w:tcPr>
          <w:p w14:paraId="3E61932F" w14:textId="77777777" w:rsidR="00DF280E" w:rsidRPr="00B357F4" w:rsidRDefault="00DF280E" w:rsidP="00A85F83">
            <w:pPr>
              <w:spacing w:before="60" w:after="60"/>
              <w:rPr>
                <w:lang w:eastAsia="hr-HR"/>
              </w:rPr>
            </w:pPr>
            <w:r w:rsidRPr="00B357F4">
              <w:rPr>
                <w:lang w:eastAsia="hr-HR"/>
              </w:rPr>
              <w:t>TPRUETZZ</w:t>
            </w:r>
          </w:p>
        </w:tc>
        <w:tc>
          <w:tcPr>
            <w:tcW w:w="7827" w:type="dxa"/>
            <w:vAlign w:val="center"/>
          </w:tcPr>
          <w:p w14:paraId="40584731" w14:textId="77777777" w:rsidR="00DF280E" w:rsidRPr="00B357F4" w:rsidRDefault="00DF280E" w:rsidP="00A85F83">
            <w:pPr>
              <w:spacing w:before="60" w:after="60"/>
              <w:jc w:val="left"/>
              <w:rPr>
                <w:lang w:eastAsia="hr-HR"/>
              </w:rPr>
            </w:pPr>
            <w:r w:rsidRPr="00B357F4">
              <w:rPr>
                <w:lang w:eastAsia="hr-HR"/>
              </w:rPr>
              <w:t>Tehnički propis o racionalnoj uporabi energije i toplinskoj zaštiti u zgradama</w:t>
            </w:r>
          </w:p>
        </w:tc>
      </w:tr>
      <w:tr w:rsidR="00252BCC" w:rsidRPr="00B357F4" w14:paraId="65241D68" w14:textId="77777777" w:rsidTr="00D95720">
        <w:trPr>
          <w:cantSplit/>
        </w:trPr>
        <w:tc>
          <w:tcPr>
            <w:tcW w:w="1527" w:type="dxa"/>
            <w:vAlign w:val="center"/>
          </w:tcPr>
          <w:p w14:paraId="18981356" w14:textId="453C4DDD" w:rsidR="00AA10BF" w:rsidRPr="00B357F4" w:rsidRDefault="00AA10BF" w:rsidP="00A85F83">
            <w:pPr>
              <w:spacing w:before="60" w:after="60"/>
              <w:rPr>
                <w:lang w:eastAsia="hr-HR"/>
              </w:rPr>
            </w:pPr>
            <w:r w:rsidRPr="00B357F4">
              <w:rPr>
                <w:lang w:eastAsia="hr-HR"/>
              </w:rPr>
              <w:t>UFES</w:t>
            </w:r>
          </w:p>
        </w:tc>
        <w:tc>
          <w:tcPr>
            <w:tcW w:w="7827" w:type="dxa"/>
            <w:vAlign w:val="center"/>
          </w:tcPr>
          <w:p w14:paraId="1D2A8AFC" w14:textId="173CC385" w:rsidR="00AA10BF" w:rsidRPr="00B357F4" w:rsidRDefault="00743D36" w:rsidP="00A85F83">
            <w:pPr>
              <w:spacing w:before="60" w:after="60"/>
              <w:jc w:val="left"/>
              <w:rPr>
                <w:lang w:eastAsia="hr-HR"/>
              </w:rPr>
            </w:pPr>
            <w:r>
              <w:rPr>
                <w:lang w:eastAsia="hr-HR"/>
              </w:rPr>
              <w:t>j</w:t>
            </w:r>
            <w:r w:rsidR="00074E50" w:rsidRPr="00B357F4">
              <w:rPr>
                <w:lang w:eastAsia="hr-HR"/>
              </w:rPr>
              <w:t xml:space="preserve">edinične uštede energije u neposrednoj potrošnji (engl. </w:t>
            </w:r>
            <w:r w:rsidR="00074E50" w:rsidRPr="00CA2327">
              <w:rPr>
                <w:i/>
                <w:iCs/>
                <w:lang w:eastAsia="hr-HR"/>
              </w:rPr>
              <w:t>unit final energy savings</w:t>
            </w:r>
            <w:r w:rsidR="00074E50" w:rsidRPr="00B357F4">
              <w:rPr>
                <w:lang w:eastAsia="hr-HR"/>
              </w:rPr>
              <w:t>)</w:t>
            </w:r>
          </w:p>
        </w:tc>
      </w:tr>
      <w:tr w:rsidR="000E6859" w:rsidRPr="00B357F4" w14:paraId="529620C2" w14:textId="77777777" w:rsidTr="00D95720">
        <w:trPr>
          <w:cantSplit/>
        </w:trPr>
        <w:tc>
          <w:tcPr>
            <w:tcW w:w="1527" w:type="dxa"/>
            <w:vAlign w:val="center"/>
          </w:tcPr>
          <w:p w14:paraId="561C6588" w14:textId="227F3D8F" w:rsidR="000E6859" w:rsidRPr="00B357F4" w:rsidRDefault="000E6859" w:rsidP="001827BE">
            <w:pPr>
              <w:spacing w:before="60" w:after="60"/>
              <w:rPr>
                <w:lang w:eastAsia="hr-HR"/>
              </w:rPr>
            </w:pPr>
            <w:r w:rsidRPr="00B357F4">
              <w:rPr>
                <w:lang w:eastAsia="hr-HR"/>
              </w:rPr>
              <w:t>VFO</w:t>
            </w:r>
          </w:p>
        </w:tc>
        <w:tc>
          <w:tcPr>
            <w:tcW w:w="7827" w:type="dxa"/>
            <w:vAlign w:val="center"/>
          </w:tcPr>
          <w:p w14:paraId="1A6FEAF9" w14:textId="46C96CB6" w:rsidR="000E6859" w:rsidRPr="00B357F4" w:rsidRDefault="000E6859" w:rsidP="001827BE">
            <w:pPr>
              <w:spacing w:before="60" w:after="60"/>
              <w:rPr>
                <w:lang w:eastAsia="hr-HR"/>
              </w:rPr>
            </w:pPr>
            <w:r w:rsidRPr="00B357F4">
              <w:rPr>
                <w:lang w:eastAsia="hr-HR"/>
              </w:rPr>
              <w:t>Višegodišnji financijski okvir</w:t>
            </w:r>
          </w:p>
        </w:tc>
      </w:tr>
      <w:tr w:rsidR="00252BCC" w:rsidRPr="00B357F4" w14:paraId="4607E670" w14:textId="77777777" w:rsidTr="00D95720">
        <w:trPr>
          <w:cantSplit/>
        </w:trPr>
        <w:tc>
          <w:tcPr>
            <w:tcW w:w="1527" w:type="dxa"/>
            <w:vAlign w:val="center"/>
          </w:tcPr>
          <w:p w14:paraId="32F5333C" w14:textId="2DB60E58" w:rsidR="0015721A" w:rsidRPr="00B357F4" w:rsidRDefault="0015721A" w:rsidP="001827BE">
            <w:pPr>
              <w:spacing w:before="60" w:after="60"/>
              <w:rPr>
                <w:lang w:eastAsia="hr-HR"/>
              </w:rPr>
            </w:pPr>
            <w:r>
              <w:rPr>
                <w:lang w:eastAsia="hr-HR"/>
              </w:rPr>
              <w:t>ZDP</w:t>
            </w:r>
          </w:p>
        </w:tc>
        <w:tc>
          <w:tcPr>
            <w:tcW w:w="7827" w:type="dxa"/>
            <w:vAlign w:val="center"/>
          </w:tcPr>
          <w:p w14:paraId="03BB5DBE" w14:textId="3BE93CA1" w:rsidR="0015721A" w:rsidRPr="00B357F4" w:rsidRDefault="00F37A40" w:rsidP="001827BE">
            <w:pPr>
              <w:spacing w:before="60" w:after="60"/>
              <w:rPr>
                <w:lang w:eastAsia="hr-HR"/>
              </w:rPr>
            </w:pPr>
            <w:r>
              <w:rPr>
                <w:lang w:eastAsia="hr-HR"/>
              </w:rPr>
              <w:t>Zakon o državnim potporama</w:t>
            </w:r>
          </w:p>
        </w:tc>
      </w:tr>
      <w:tr w:rsidR="0091753F" w:rsidRPr="00B357F4" w14:paraId="1E001912" w14:textId="77777777" w:rsidTr="00D95720">
        <w:trPr>
          <w:cantSplit/>
        </w:trPr>
        <w:tc>
          <w:tcPr>
            <w:tcW w:w="1527" w:type="dxa"/>
            <w:vAlign w:val="center"/>
          </w:tcPr>
          <w:p w14:paraId="4FA0A75B" w14:textId="723D8522" w:rsidR="0091753F" w:rsidRPr="00B357F4" w:rsidRDefault="000E3886" w:rsidP="001827BE">
            <w:pPr>
              <w:spacing w:before="60" w:after="60"/>
              <w:rPr>
                <w:lang w:eastAsia="hr-HR"/>
              </w:rPr>
            </w:pPr>
            <w:r w:rsidRPr="00B357F4">
              <w:rPr>
                <w:lang w:eastAsia="hr-HR"/>
              </w:rPr>
              <w:t>ZJS</w:t>
            </w:r>
          </w:p>
        </w:tc>
        <w:tc>
          <w:tcPr>
            <w:tcW w:w="7827" w:type="dxa"/>
            <w:vAlign w:val="center"/>
          </w:tcPr>
          <w:p w14:paraId="614137A1" w14:textId="22A2B8FA" w:rsidR="0091753F" w:rsidRPr="00B357F4" w:rsidRDefault="000E3886" w:rsidP="001827BE">
            <w:pPr>
              <w:spacing w:before="60" w:after="60"/>
              <w:rPr>
                <w:lang w:eastAsia="hr-HR"/>
              </w:rPr>
            </w:pPr>
            <w:r w:rsidRPr="00B357F4">
              <w:rPr>
                <w:lang w:eastAsia="hr-HR"/>
              </w:rPr>
              <w:t>z</w:t>
            </w:r>
            <w:r w:rsidR="0091753F" w:rsidRPr="00B357F4">
              <w:rPr>
                <w:lang w:eastAsia="hr-HR"/>
              </w:rPr>
              <w:t>grade</w:t>
            </w:r>
            <w:r w:rsidRPr="00B357F4">
              <w:rPr>
                <w:lang w:eastAsia="hr-HR"/>
              </w:rPr>
              <w:t xml:space="preserve"> javnog sektora</w:t>
            </w:r>
          </w:p>
        </w:tc>
      </w:tr>
    </w:tbl>
    <w:p w14:paraId="69456451" w14:textId="77777777" w:rsidR="00717AE8" w:rsidRDefault="00717AE8" w:rsidP="000D1E94">
      <w:pPr>
        <w:rPr>
          <w:lang w:eastAsia="hr-HR"/>
        </w:rPr>
        <w:sectPr w:rsidR="00717AE8" w:rsidSect="00717AE8">
          <w:type w:val="oddPage"/>
          <w:pgSz w:w="11906" w:h="16838" w:code="9"/>
          <w:pgMar w:top="1247" w:right="1134" w:bottom="1247" w:left="1418" w:header="567" w:footer="567" w:gutter="0"/>
          <w:cols w:space="708"/>
          <w:docGrid w:linePitch="360"/>
        </w:sectPr>
      </w:pPr>
    </w:p>
    <w:p w14:paraId="51D4D87C" w14:textId="0F0C4F64" w:rsidR="00291AD5" w:rsidRPr="00B357F4" w:rsidRDefault="001414FF" w:rsidP="00717AE8">
      <w:pPr>
        <w:pStyle w:val="Naslov10"/>
        <w:pageBreakBefore w:val="0"/>
        <w:numPr>
          <w:ilvl w:val="0"/>
          <w:numId w:val="0"/>
        </w:numPr>
        <w:ind w:left="431"/>
      </w:pPr>
      <w:bookmarkStart w:id="12" w:name="_Toc94769962"/>
      <w:r w:rsidRPr="00B357F4">
        <w:lastRenderedPageBreak/>
        <w:t>Sažetak</w:t>
      </w:r>
      <w:bookmarkEnd w:id="12"/>
    </w:p>
    <w:p w14:paraId="745A5E45" w14:textId="70E32268" w:rsidR="0005487B" w:rsidRPr="00B357F4" w:rsidRDefault="22F43656" w:rsidP="3E326D79">
      <w:r w:rsidRPr="00D7774F">
        <w:rPr>
          <w:lang w:eastAsia="hr-HR"/>
        </w:rPr>
        <w:t xml:space="preserve">Program energetske obnove donosi se temeljem Zakona o gradnji </w:t>
      </w:r>
      <w:r w:rsidRPr="00D7774F">
        <w:t>(</w:t>
      </w:r>
      <w:r w:rsidR="6EAD255A" w:rsidRPr="00D7774F">
        <w:t>Narodne novine</w:t>
      </w:r>
      <w:r w:rsidRPr="00D7774F">
        <w:t xml:space="preserve"> br. 153/</w:t>
      </w:r>
      <w:r w:rsidR="3BC15355" w:rsidRPr="00B03C9B">
        <w:t>20</w:t>
      </w:r>
      <w:r w:rsidRPr="00B357F4">
        <w:t>13, 20/</w:t>
      </w:r>
      <w:r w:rsidR="386371F7" w:rsidRPr="00B357F4">
        <w:t>20</w:t>
      </w:r>
      <w:r w:rsidRPr="00B357F4">
        <w:t>17, 39/</w:t>
      </w:r>
      <w:r w:rsidR="70E775C6" w:rsidRPr="00B357F4">
        <w:t>20</w:t>
      </w:r>
      <w:r w:rsidRPr="00B357F4">
        <w:t>19, 125/</w:t>
      </w:r>
      <w:r w:rsidR="56120A51" w:rsidRPr="00B357F4">
        <w:t>20</w:t>
      </w:r>
      <w:r w:rsidRPr="00B357F4">
        <w:t>19), a usklađen je s  Nacionalnom razvojnom strategijom</w:t>
      </w:r>
      <w:r w:rsidR="5760DF15" w:rsidRPr="00B357F4">
        <w:t xml:space="preserve"> </w:t>
      </w:r>
      <w:r w:rsidR="5760DF15" w:rsidRPr="00D95720">
        <w:t>Republike Hrvatske do 2030. godine, Strategijom niskougljičnog razvoja Republike Hrvatske do 2030. s pogledom do 2050. godine</w:t>
      </w:r>
      <w:r w:rsidRPr="00B357F4">
        <w:t>, Integriranim nacionalnim energetskim i klimatskim planom</w:t>
      </w:r>
      <w:r w:rsidR="062104C2" w:rsidRPr="00B357F4">
        <w:t xml:space="preserve"> </w:t>
      </w:r>
      <w:r w:rsidR="062104C2" w:rsidRPr="00D95720">
        <w:t>za Republiku Hrvatsku za razdoblje od 2021. do 2030. godine</w:t>
      </w:r>
      <w:r w:rsidRPr="00B357F4">
        <w:t xml:space="preserve"> i Dugoročnom strategijom obnove </w:t>
      </w:r>
      <w:r w:rsidR="6C37FB4D" w:rsidRPr="00D95720">
        <w:t>nacionalnog</w:t>
      </w:r>
      <w:r w:rsidR="6C37FB4D" w:rsidRPr="00B357F4">
        <w:t xml:space="preserve"> </w:t>
      </w:r>
      <w:r w:rsidRPr="00B357F4">
        <w:t xml:space="preserve">fonda zgrada Republike Hrvatske do 2050. godine. U tom smislu, ovaj Program doprinosi strateškom cilju da sve zgrade u </w:t>
      </w:r>
      <w:r w:rsidR="5CC412A7" w:rsidRPr="00B357F4">
        <w:t xml:space="preserve">Hrvatskoj </w:t>
      </w:r>
      <w:r w:rsidRPr="00B357F4">
        <w:t xml:space="preserve"> 2050. godine budu gotovo nula energetske ili s visokom razinom energetske učinkovitosti. </w:t>
      </w:r>
    </w:p>
    <w:p w14:paraId="49DF6691" w14:textId="1EA2C713" w:rsidR="0005487B" w:rsidRPr="00B357F4" w:rsidRDefault="0005487B" w:rsidP="0005487B">
      <w:r w:rsidRPr="00B357F4">
        <w:t xml:space="preserve">Program se odnosi na segment </w:t>
      </w:r>
      <w:r w:rsidR="00D10CEC" w:rsidRPr="00B357F4">
        <w:t>zgrada</w:t>
      </w:r>
      <w:r w:rsidR="003633E8" w:rsidRPr="00B357F4">
        <w:t xml:space="preserve"> javnog sektora</w:t>
      </w:r>
      <w:r w:rsidR="00D10CEC" w:rsidRPr="00B357F4">
        <w:t xml:space="preserve"> (</w:t>
      </w:r>
      <w:r w:rsidR="003633E8" w:rsidRPr="00B357F4">
        <w:t>ZJS</w:t>
      </w:r>
      <w:r w:rsidR="00D10CEC" w:rsidRPr="00B357F4">
        <w:t>)</w:t>
      </w:r>
      <w:r w:rsidRPr="00B357F4">
        <w:t>, koje predstavlja</w:t>
      </w:r>
      <w:r w:rsidR="00450486" w:rsidRPr="00B357F4">
        <w:t>ju</w:t>
      </w:r>
      <w:r w:rsidRPr="00B357F4">
        <w:t xml:space="preserve"> </w:t>
      </w:r>
      <w:r w:rsidR="00724A2F" w:rsidRPr="00B357F4">
        <w:t>27,4</w:t>
      </w:r>
      <w:r w:rsidRPr="00B357F4">
        <w:t xml:space="preserve">% ukupnog </w:t>
      </w:r>
      <w:r w:rsidR="003633E8" w:rsidRPr="00B357F4">
        <w:t>ne</w:t>
      </w:r>
      <w:r w:rsidRPr="00B357F4">
        <w:t xml:space="preserve">stambenog fonda odnosno </w:t>
      </w:r>
      <w:r w:rsidR="005E1D85" w:rsidRPr="00B357F4">
        <w:t>9,</w:t>
      </w:r>
      <w:r w:rsidR="0071035E" w:rsidRPr="00B357F4">
        <w:t>5</w:t>
      </w:r>
      <w:r w:rsidRPr="00B357F4">
        <w:t xml:space="preserve">% ukupnog fonda zgrada u RH. </w:t>
      </w:r>
    </w:p>
    <w:p w14:paraId="1A6E98ED" w14:textId="728D06C1" w:rsidR="0005487B" w:rsidRPr="00B357F4" w:rsidRDefault="0005487B" w:rsidP="0005487B">
      <w:pPr>
        <w:rPr>
          <w:lang w:eastAsia="hr-HR"/>
        </w:rPr>
      </w:pPr>
      <w:r w:rsidRPr="00B357F4">
        <w:t xml:space="preserve">Fokus Programa je na zgradama s najlošijim energetskim svojstvima (energetskog razreda </w:t>
      </w:r>
      <w:r w:rsidRPr="00A7752C">
        <w:rPr>
          <w:i/>
          <w:iCs/>
        </w:rPr>
        <w:t>po Q</w:t>
      </w:r>
      <w:r w:rsidR="00A7752C" w:rsidRPr="00A7752C">
        <w:rPr>
          <w:i/>
          <w:iCs/>
        </w:rPr>
        <w:t>“</w:t>
      </w:r>
      <w:r w:rsidRPr="00B357F4">
        <w:rPr>
          <w:vertAlign w:val="subscript"/>
        </w:rPr>
        <w:t>H,nd</w:t>
      </w:r>
      <w:r w:rsidRPr="00B357F4">
        <w:t xml:space="preserve"> D ili lošijeg u kontinentalnoj te C ili lošijeg u primorskoj Hrvatskoj). </w:t>
      </w:r>
      <w:r w:rsidRPr="00B357F4">
        <w:rPr>
          <w:lang w:eastAsia="hr-HR"/>
        </w:rPr>
        <w:t>Zbog toga se ovim Programom predviđa nekoliko kategorija obnove:</w:t>
      </w:r>
    </w:p>
    <w:p w14:paraId="6341A7F3" w14:textId="03CFAA97" w:rsidR="004671D8" w:rsidRPr="00B357F4" w:rsidRDefault="00FE066F" w:rsidP="78FCA290">
      <w:pPr>
        <w:pStyle w:val="Odlomakpopisa"/>
        <w:numPr>
          <w:ilvl w:val="0"/>
          <w:numId w:val="23"/>
        </w:numPr>
        <w:rPr>
          <w:rFonts w:asciiTheme="minorHAnsi" w:eastAsiaTheme="minorEastAsia" w:hAnsiTheme="minorHAnsi" w:cstheme="minorBidi"/>
        </w:rPr>
      </w:pPr>
      <w:r w:rsidRPr="00B357F4">
        <w:rPr>
          <w:b/>
        </w:rPr>
        <w:t>Integralna energetska obnova</w:t>
      </w:r>
      <w:r w:rsidR="48E615BC" w:rsidRPr="00B357F4">
        <w:t>- obuhvaća kombinaciju više mjera energetske obnove, a</w:t>
      </w:r>
      <w:r w:rsidR="48E615BC" w:rsidRPr="00B357F4">
        <w:rPr>
          <w:rFonts w:ascii="Times New Roman" w:eastAsiaTheme="minorEastAsia" w:hAnsi="Times New Roman" w:cs="Times New Roman"/>
          <w:sz w:val="24"/>
        </w:rPr>
        <w:t xml:space="preserve"> </w:t>
      </w:r>
      <w:r w:rsidR="48E615BC" w:rsidRPr="00B357F4">
        <w:t xml:space="preserve">obavezno uključuje jednu ili više mjera na ovojnici zgrade kojima se </w:t>
      </w:r>
      <w:r w:rsidR="55654424" w:rsidRPr="007E5F0F">
        <w:rPr>
          <w:rFonts w:eastAsia="Calibri"/>
        </w:rPr>
        <w:t xml:space="preserve">postiže ušteda u godišnjoj potrebnoj toplinskoj </w:t>
      </w:r>
      <w:r w:rsidR="48E615BC" w:rsidRPr="00B357F4">
        <w:t>energij</w:t>
      </w:r>
      <w:r w:rsidR="6FEC5827" w:rsidRPr="00B357F4">
        <w:t>i</w:t>
      </w:r>
      <w:r w:rsidR="48E615BC" w:rsidRPr="00B357F4">
        <w:t xml:space="preserve"> za grijanje (Q</w:t>
      </w:r>
      <w:r w:rsidR="48E615BC" w:rsidRPr="00B357F4">
        <w:rPr>
          <w:vertAlign w:val="subscript"/>
        </w:rPr>
        <w:t>H,nd</w:t>
      </w:r>
      <w:r w:rsidR="48E615BC" w:rsidRPr="00B357F4">
        <w:t xml:space="preserve">) od najmanje 50% u odnosu na </w:t>
      </w:r>
      <w:r w:rsidR="5C8D142C" w:rsidRPr="00B357F4">
        <w:t>stanje</w:t>
      </w:r>
      <w:r w:rsidR="48E615BC" w:rsidRPr="00B357F4">
        <w:t xml:space="preserve"> prije obnove;</w:t>
      </w:r>
    </w:p>
    <w:p w14:paraId="5634CF9C" w14:textId="166D4B6D" w:rsidR="004671D8" w:rsidRPr="00D95720" w:rsidRDefault="09FD28A5" w:rsidP="000066F0">
      <w:pPr>
        <w:pStyle w:val="Odlomakpopisa"/>
        <w:numPr>
          <w:ilvl w:val="1"/>
          <w:numId w:val="23"/>
        </w:numPr>
        <w:rPr>
          <w:rFonts w:asciiTheme="minorHAnsi" w:eastAsiaTheme="minorEastAsia" w:hAnsiTheme="minorHAnsi" w:cstheme="minorBidi"/>
          <w:color w:val="008080"/>
        </w:rPr>
      </w:pPr>
      <w:r w:rsidRPr="00D95720">
        <w:t xml:space="preserve">Integralna energetska obnova iznimno može obuhvaćati samo jednu mjeru na ovojnici ako ona rezultira uštedom </w:t>
      </w:r>
      <w:r w:rsidR="00BC7EC4">
        <w:t xml:space="preserve">godišnje </w:t>
      </w:r>
      <w:r w:rsidRPr="00D95720">
        <w:t xml:space="preserve">potrebne </w:t>
      </w:r>
      <w:r w:rsidR="00241517" w:rsidRPr="00D95720">
        <w:t>topli</w:t>
      </w:r>
      <w:r w:rsidR="00F84E38" w:rsidRPr="00D95720">
        <w:t>ns</w:t>
      </w:r>
      <w:r w:rsidR="00241517" w:rsidRPr="00D95720">
        <w:t xml:space="preserve">ke </w:t>
      </w:r>
      <w:r w:rsidRPr="00D95720">
        <w:t>energije za grijanje (Q</w:t>
      </w:r>
      <w:r w:rsidRPr="00D95720">
        <w:rPr>
          <w:vertAlign w:val="subscript"/>
        </w:rPr>
        <w:t>H,nd</w:t>
      </w:r>
      <w:r w:rsidRPr="00D95720">
        <w:t>) na godišnjoj razini od najmanje 50% u odnosu na stanje prije obnove</w:t>
      </w:r>
    </w:p>
    <w:p w14:paraId="1728BD14" w14:textId="23AAE2A9" w:rsidR="00B74E76" w:rsidRPr="00B357F4" w:rsidRDefault="530D76B8" w:rsidP="00F44A61">
      <w:pPr>
        <w:pStyle w:val="Odlomakpopisa"/>
        <w:numPr>
          <w:ilvl w:val="0"/>
          <w:numId w:val="23"/>
        </w:numPr>
      </w:pPr>
      <w:r w:rsidRPr="00F44A61">
        <w:rPr>
          <w:b/>
        </w:rPr>
        <w:t>Dubinska obnova</w:t>
      </w:r>
      <w:r w:rsidRPr="00B357F4">
        <w:t xml:space="preserve"> - obuhvaća mjere energetske učinkovitosti na ovojnici i tehničkim sustavima te rezultira </w:t>
      </w:r>
      <w:r w:rsidR="400DFF31" w:rsidRPr="00B357F4">
        <w:t xml:space="preserve">uštedom </w:t>
      </w:r>
      <w:r w:rsidR="00094F52">
        <w:t xml:space="preserve">godišnje </w:t>
      </w:r>
      <w:r w:rsidR="400DFF31" w:rsidRPr="00B357F4">
        <w:t>potrebne toplinske energije za</w:t>
      </w:r>
      <w:r w:rsidRPr="00B357F4">
        <w:t xml:space="preserve"> grijanje (Q</w:t>
      </w:r>
      <w:r w:rsidRPr="00F44A61">
        <w:rPr>
          <w:vertAlign w:val="subscript"/>
        </w:rPr>
        <w:t>H,nd</w:t>
      </w:r>
      <w:r w:rsidRPr="00B357F4">
        <w:t xml:space="preserve">) i primarne energije </w:t>
      </w:r>
      <w:r w:rsidR="00B74E76" w:rsidRPr="00B357F4">
        <w:t xml:space="preserve"> (E</w:t>
      </w:r>
      <w:r w:rsidR="00B74E76" w:rsidRPr="00F44A61">
        <w:rPr>
          <w:vertAlign w:val="subscript"/>
        </w:rPr>
        <w:t>prim</w:t>
      </w:r>
      <w:r w:rsidR="00B74E76" w:rsidRPr="00B357F4">
        <w:t xml:space="preserve">) na godišnjoj razini od najmanje 50% u odnosu na stanje prije obnove. </w:t>
      </w:r>
    </w:p>
    <w:p w14:paraId="5EAA1ECA" w14:textId="2BC90CA2" w:rsidR="0005487B" w:rsidRPr="00B357F4" w:rsidRDefault="530D76B8" w:rsidP="000275E0">
      <w:pPr>
        <w:pStyle w:val="Odlomakpopisa"/>
        <w:numPr>
          <w:ilvl w:val="0"/>
          <w:numId w:val="23"/>
        </w:numPr>
      </w:pPr>
      <w:r w:rsidRPr="00B74E76">
        <w:rPr>
          <w:b/>
        </w:rPr>
        <w:t>Sveobuhvatna obnova</w:t>
      </w:r>
      <w:r w:rsidRPr="00B357F4">
        <w:t xml:space="preserve"> obuhvaća optimalne mjere </w:t>
      </w:r>
      <w:r w:rsidR="1E0EC58A" w:rsidRPr="00B357F4">
        <w:t>unapređenja</w:t>
      </w:r>
      <w:r w:rsidRPr="00B357F4">
        <w:t xml:space="preserve"> postojećeg stanja zgrade te osim energetske obnove zgrade uključuje mjere poput:</w:t>
      </w:r>
    </w:p>
    <w:p w14:paraId="3F6C1734" w14:textId="77777777" w:rsidR="0005487B" w:rsidRPr="00B357F4" w:rsidRDefault="530D76B8" w:rsidP="00725AB0">
      <w:pPr>
        <w:pStyle w:val="Odlomakpopisa"/>
        <w:numPr>
          <w:ilvl w:val="0"/>
          <w:numId w:val="39"/>
        </w:numPr>
      </w:pPr>
      <w:r w:rsidRPr="00B357F4">
        <w:t xml:space="preserve">povećanja sigurnosti u slučaju požara, </w:t>
      </w:r>
    </w:p>
    <w:p w14:paraId="30C30E58" w14:textId="77777777" w:rsidR="0005487B" w:rsidRPr="00B357F4" w:rsidRDefault="530D76B8" w:rsidP="00725AB0">
      <w:pPr>
        <w:pStyle w:val="Odlomakpopisa"/>
        <w:numPr>
          <w:ilvl w:val="0"/>
          <w:numId w:val="39"/>
        </w:numPr>
      </w:pPr>
      <w:r w:rsidRPr="00B357F4">
        <w:t>mjere za osiguravanje zdravih unutarnjih klimatskih uvjeta te</w:t>
      </w:r>
    </w:p>
    <w:p w14:paraId="460A0163" w14:textId="77777777" w:rsidR="004671D8" w:rsidRPr="00B357F4" w:rsidRDefault="48E615BC" w:rsidP="004671D8">
      <w:pPr>
        <w:pStyle w:val="Odlomakpopisa"/>
        <w:numPr>
          <w:ilvl w:val="0"/>
          <w:numId w:val="39"/>
        </w:numPr>
      </w:pPr>
      <w:r w:rsidRPr="00B357F4">
        <w:t>mjere za unaprjeđenje ispunjavanja temeljnog zahtjeva mehaničke otpornosti i stabilnosti  zgrade, posebice radi povećanja potresne otpornosti zgrade, a može uključivati i druge mjere kojima se unaprjeđuje ispunjavanje temeljnih zahtjeva za građevinu</w:t>
      </w:r>
      <w:r w:rsidRPr="00B357F4">
        <w:rPr>
          <w:rFonts w:eastAsiaTheme="minorEastAsia" w:cs="Tahoma"/>
          <w:lang w:eastAsia="en-US"/>
        </w:rPr>
        <w:t xml:space="preserve">. </w:t>
      </w:r>
    </w:p>
    <w:p w14:paraId="08E40E62" w14:textId="5EF15CBE" w:rsidR="004671D8" w:rsidRPr="00B357F4" w:rsidRDefault="004671D8" w:rsidP="00760C3F">
      <w:pPr>
        <w:pStyle w:val="Odlomakpopisa"/>
        <w:numPr>
          <w:ilvl w:val="0"/>
          <w:numId w:val="0"/>
        </w:numPr>
        <w:ind w:left="1800"/>
      </w:pPr>
    </w:p>
    <w:p w14:paraId="3A4C108D" w14:textId="38AC7F24" w:rsidR="00257D99" w:rsidRPr="00DB5557" w:rsidRDefault="00257D99" w:rsidP="000066F0">
      <w:pPr>
        <w:pStyle w:val="Odlomakpopisa"/>
        <w:numPr>
          <w:ilvl w:val="0"/>
          <w:numId w:val="0"/>
        </w:num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bCs/>
        </w:rPr>
      </w:pPr>
      <w:r w:rsidRPr="00B357F4">
        <w:rPr>
          <w:b/>
        </w:rPr>
        <w:t xml:space="preserve">Osnovni uvjet za sudjelovanje ZJS u ovom Programu jest postizanje </w:t>
      </w:r>
      <w:r w:rsidR="00F53EF6" w:rsidRPr="00B357F4">
        <w:rPr>
          <w:b/>
          <w:bCs/>
        </w:rPr>
        <w:t>ušteda</w:t>
      </w:r>
      <w:r w:rsidRPr="00B357F4">
        <w:rPr>
          <w:b/>
        </w:rPr>
        <w:t xml:space="preserve"> </w:t>
      </w:r>
      <w:r w:rsidR="00094F52">
        <w:rPr>
          <w:b/>
        </w:rPr>
        <w:t xml:space="preserve">godišnje </w:t>
      </w:r>
      <w:r w:rsidRPr="00B357F4">
        <w:rPr>
          <w:b/>
        </w:rPr>
        <w:t>potrebne toplinske energije za grijanje (Q</w:t>
      </w:r>
      <w:r w:rsidRPr="00B357F4">
        <w:rPr>
          <w:b/>
          <w:vertAlign w:val="subscript"/>
        </w:rPr>
        <w:t>H,nd</w:t>
      </w:r>
      <w:r w:rsidRPr="00B357F4">
        <w:rPr>
          <w:b/>
        </w:rPr>
        <w:t xml:space="preserve">) na godišnjoj razini od najmanje 50% u odnosu na godišnju potrebnu toplinsku energiju za grijanje prije obnove, bez obzira o kojoj kategoriji obnove se radi. </w:t>
      </w:r>
    </w:p>
    <w:p w14:paraId="48C427A1" w14:textId="77777777" w:rsidR="00A46C5F" w:rsidRDefault="00A46C5F" w:rsidP="0005487B">
      <w:pPr>
        <w:rPr>
          <w:rFonts w:cs="Tahoma"/>
          <w:szCs w:val="20"/>
        </w:rPr>
      </w:pPr>
      <w:r w:rsidRPr="00386E9F">
        <w:rPr>
          <w:rFonts w:cs="Tahoma"/>
          <w:szCs w:val="20"/>
        </w:rPr>
        <w:t>Prema Nacionalnom planu za oporavak i otpornost (NPOO)</w:t>
      </w:r>
      <w:r w:rsidRPr="00386E9F">
        <w:rPr>
          <w:rFonts w:cs="Tahoma"/>
          <w:b/>
          <w:bCs/>
          <w:szCs w:val="20"/>
        </w:rPr>
        <w:t xml:space="preserve"> na razini investicije </w:t>
      </w:r>
      <w:r w:rsidRPr="00386E9F">
        <w:rPr>
          <w:rFonts w:cs="Tahoma"/>
          <w:b/>
          <w:bCs/>
          <w:i/>
          <w:iCs/>
          <w:szCs w:val="20"/>
        </w:rPr>
        <w:t xml:space="preserve">C6.1. R1-I1 </w:t>
      </w:r>
      <w:r w:rsidRPr="00386E9F">
        <w:rPr>
          <w:rFonts w:cs="Tahoma"/>
          <w:i/>
          <w:iCs/>
          <w:szCs w:val="20"/>
        </w:rPr>
        <w:t>Energetska obnova zgrada</w:t>
      </w:r>
      <w:r w:rsidRPr="00386E9F">
        <w:rPr>
          <w:rFonts w:cs="Tahoma"/>
          <w:b/>
          <w:bCs/>
          <w:szCs w:val="20"/>
        </w:rPr>
        <w:t xml:space="preserve"> </w:t>
      </w:r>
      <w:r w:rsidRPr="00386E9F">
        <w:rPr>
          <w:rFonts w:cs="Tahoma"/>
          <w:b/>
          <w:bCs/>
          <w:i/>
          <w:iCs/>
          <w:szCs w:val="20"/>
        </w:rPr>
        <w:t xml:space="preserve">i C6.1. R1-I2 </w:t>
      </w:r>
      <w:r w:rsidRPr="00386E9F">
        <w:rPr>
          <w:rFonts w:cs="Tahoma"/>
          <w:i/>
          <w:iCs/>
          <w:szCs w:val="20"/>
        </w:rPr>
        <w:t>Obnova zgrada oštećenih u potresu s energetskom obnovom</w:t>
      </w:r>
      <w:r w:rsidRPr="00386E9F">
        <w:rPr>
          <w:rFonts w:cs="Tahoma"/>
          <w:b/>
          <w:bCs/>
          <w:szCs w:val="20"/>
        </w:rPr>
        <w:t xml:space="preserve"> potrebno je ostvariti uštedu od najmanje 30% primarne energije </w:t>
      </w:r>
      <w:r w:rsidRPr="00386E9F">
        <w:rPr>
          <w:rFonts w:cs="Tahoma"/>
          <w:szCs w:val="20"/>
        </w:rPr>
        <w:t>(prosjek svih obnovljenih zgrada na razini investicije).</w:t>
      </w:r>
    </w:p>
    <w:p w14:paraId="342F7352" w14:textId="7A25EB0B" w:rsidR="0005487B" w:rsidRPr="00B357F4" w:rsidRDefault="22F43656" w:rsidP="0005487B">
      <w:r w:rsidRPr="00B357F4">
        <w:t>Prema analizama koje su napravljene u Dugoročnoj strategiji obnove</w:t>
      </w:r>
      <w:r w:rsidR="00EA155D">
        <w:t xml:space="preserve"> nacionalnog</w:t>
      </w:r>
      <w:r w:rsidRPr="00B357F4">
        <w:t xml:space="preserve"> fonda zgrada </w:t>
      </w:r>
      <w:r w:rsidR="0C740D34" w:rsidRPr="00B357F4">
        <w:t>Republike Hrvatske</w:t>
      </w:r>
      <w:r w:rsidRPr="00B357F4">
        <w:t xml:space="preserve"> </w:t>
      </w:r>
      <w:r w:rsidR="00101EFD">
        <w:t>do</w:t>
      </w:r>
      <w:r w:rsidR="00101EFD" w:rsidRPr="00B357F4">
        <w:t xml:space="preserve"> </w:t>
      </w:r>
      <w:r w:rsidRPr="00B357F4">
        <w:t xml:space="preserve">2050. godine, predviđa se da će 50% </w:t>
      </w:r>
      <w:r w:rsidR="149D56E2" w:rsidRPr="00B357F4">
        <w:t xml:space="preserve">zgrada </w:t>
      </w:r>
      <w:r w:rsidRPr="00B357F4">
        <w:t xml:space="preserve">morati ići na sveobuhvatnu obnovu (koja uključuje mjere </w:t>
      </w:r>
      <w:r w:rsidR="4CEC2CA8" w:rsidRPr="00B357F4">
        <w:t>povećanja potresne otpornosti zgrade</w:t>
      </w:r>
      <w:r w:rsidRPr="00B357F4">
        <w:t>), a da će ostalih 50% provesti samo neku od razina energetske obnove.</w:t>
      </w:r>
    </w:p>
    <w:p w14:paraId="69A97860" w14:textId="369AAD35" w:rsidR="0005487B" w:rsidRPr="0026170B" w:rsidRDefault="22F43656" w:rsidP="3E326D79">
      <w:pPr>
        <w:spacing w:line="257" w:lineRule="auto"/>
        <w:rPr>
          <w:rFonts w:eastAsia="Tahoma" w:cs="Tahoma"/>
          <w:szCs w:val="20"/>
        </w:rPr>
      </w:pPr>
      <w:r w:rsidRPr="0026170B">
        <w:rPr>
          <w:b/>
        </w:rPr>
        <w:t xml:space="preserve">Ukupno bi u razdoblju do 2030. godine trebalo obnoviti preko </w:t>
      </w:r>
      <w:r w:rsidR="0314582D" w:rsidRPr="0026170B">
        <w:rPr>
          <w:b/>
        </w:rPr>
        <w:t xml:space="preserve">2,9 </w:t>
      </w:r>
      <w:r w:rsidRPr="00732089">
        <w:rPr>
          <w:b/>
        </w:rPr>
        <w:t>milijuna m</w:t>
      </w:r>
      <w:r w:rsidRPr="00732089">
        <w:rPr>
          <w:b/>
          <w:vertAlign w:val="superscript"/>
        </w:rPr>
        <w:t>2</w:t>
      </w:r>
      <w:r w:rsidRPr="00D137D9">
        <w:rPr>
          <w:b/>
        </w:rPr>
        <w:t xml:space="preserve"> u </w:t>
      </w:r>
      <w:r w:rsidR="48218D19" w:rsidRPr="00D137D9">
        <w:rPr>
          <w:b/>
        </w:rPr>
        <w:t>ZJS</w:t>
      </w:r>
      <w:r w:rsidRPr="004B09BD">
        <w:t>. To bi na godišnjoj r</w:t>
      </w:r>
      <w:r w:rsidRPr="00252BCC">
        <w:t xml:space="preserve">azini značilo obnovu prosječno </w:t>
      </w:r>
      <w:r w:rsidR="73FAEC84" w:rsidRPr="00252BCC">
        <w:t xml:space="preserve">oko </w:t>
      </w:r>
      <w:r w:rsidR="0314582D" w:rsidRPr="00252BCC">
        <w:t xml:space="preserve">325.000 </w:t>
      </w:r>
      <w:r w:rsidRPr="00252BCC">
        <w:t>m</w:t>
      </w:r>
      <w:r w:rsidRPr="00252BCC">
        <w:rPr>
          <w:vertAlign w:val="superscript"/>
        </w:rPr>
        <w:t>2</w:t>
      </w:r>
      <w:r w:rsidRPr="00252BCC">
        <w:t xml:space="preserve"> u razdoblju od 2022. do 2030. godine, čime bi se ostvarili ciljevi Dugoročne strategije</w:t>
      </w:r>
      <w:r w:rsidR="2AFF641A" w:rsidRPr="00252BCC">
        <w:t xml:space="preserve"> </w:t>
      </w:r>
      <w:r w:rsidR="2AFF641A" w:rsidRPr="00D95720">
        <w:rPr>
          <w:rFonts w:eastAsia="Tahoma" w:cs="Tahoma"/>
          <w:szCs w:val="20"/>
        </w:rPr>
        <w:t>obnove nacionalnog fonda zgrada Republike Hrvatske do 2050. godine</w:t>
      </w:r>
      <w:r w:rsidR="2AFF641A" w:rsidRPr="0026170B">
        <w:rPr>
          <w:rFonts w:eastAsia="Tahoma" w:cs="Tahoma"/>
          <w:szCs w:val="20"/>
        </w:rPr>
        <w:t>.</w:t>
      </w:r>
    </w:p>
    <w:p w14:paraId="78FABE30" w14:textId="44C48D25" w:rsidR="0005487B" w:rsidRPr="00B357F4" w:rsidRDefault="002DE290" w:rsidP="3E326D79">
      <w:pPr>
        <w:rPr>
          <w:lang w:eastAsia="hr-HR"/>
        </w:rPr>
      </w:pPr>
      <w:r w:rsidRPr="004B09BD">
        <w:t xml:space="preserve">Provedbom </w:t>
      </w:r>
      <w:r w:rsidR="001638B1" w:rsidRPr="004B09BD">
        <w:t xml:space="preserve">Programa </w:t>
      </w:r>
      <w:r w:rsidR="22F43656" w:rsidRPr="004B09BD">
        <w:t xml:space="preserve">energetske obnove </w:t>
      </w:r>
      <w:r w:rsidR="44570D70" w:rsidRPr="004B09BD">
        <w:t>zgrada</w:t>
      </w:r>
      <w:r w:rsidR="537E8A5D" w:rsidRPr="004B09BD">
        <w:t xml:space="preserve"> javnog sektora</w:t>
      </w:r>
      <w:r w:rsidR="22F43656" w:rsidRPr="00252BCC">
        <w:t>, na način da ostvari ciljane obnovljene površine u skladu s Dugoročnom strategijom</w:t>
      </w:r>
      <w:r w:rsidR="64DA7C16" w:rsidRPr="00D95720">
        <w:rPr>
          <w:rFonts w:eastAsia="Tahoma" w:cs="Tahoma"/>
          <w:szCs w:val="20"/>
        </w:rPr>
        <w:t xml:space="preserve"> obnove nacionalnog fonda zgrada Republike Hrvatske do </w:t>
      </w:r>
      <w:r w:rsidR="64DA7C16" w:rsidRPr="00D95720">
        <w:rPr>
          <w:rFonts w:eastAsia="Tahoma" w:cs="Tahoma"/>
          <w:szCs w:val="20"/>
        </w:rPr>
        <w:lastRenderedPageBreak/>
        <w:t>2050. godine, ostvarile bi se</w:t>
      </w:r>
      <w:r w:rsidR="22F43656" w:rsidRPr="0026170B">
        <w:rPr>
          <w:lang w:eastAsia="hr-HR"/>
        </w:rPr>
        <w:t xml:space="preserve"> uštede u neposrednoj  potrošnji energije u 2030. godine u iznosu od </w:t>
      </w:r>
      <w:r w:rsidR="351E5272" w:rsidRPr="0026170B">
        <w:rPr>
          <w:lang w:eastAsia="hr-HR"/>
        </w:rPr>
        <w:t>35</w:t>
      </w:r>
      <w:r w:rsidR="20FA7999" w:rsidRPr="00732089">
        <w:rPr>
          <w:lang w:eastAsia="hr-HR"/>
        </w:rPr>
        <w:t>8,7</w:t>
      </w:r>
      <w:r w:rsidR="351E5272" w:rsidRPr="00732089">
        <w:rPr>
          <w:lang w:eastAsia="hr-HR"/>
        </w:rPr>
        <w:t xml:space="preserve"> </w:t>
      </w:r>
      <w:r w:rsidR="22F43656" w:rsidRPr="004B09BD">
        <w:rPr>
          <w:lang w:eastAsia="hr-HR"/>
        </w:rPr>
        <w:t xml:space="preserve">GWh, a primarne energije u iznosu </w:t>
      </w:r>
      <w:r w:rsidR="20FA7999" w:rsidRPr="004B09BD">
        <w:rPr>
          <w:lang w:eastAsia="hr-HR"/>
        </w:rPr>
        <w:t xml:space="preserve">427,3 </w:t>
      </w:r>
      <w:r w:rsidR="22F43656" w:rsidRPr="004B09BD">
        <w:rPr>
          <w:lang w:eastAsia="hr-HR"/>
        </w:rPr>
        <w:t xml:space="preserve">GWh. Kumulativne uštede </w:t>
      </w:r>
      <w:r w:rsidR="198A31A9" w:rsidRPr="004B09BD">
        <w:rPr>
          <w:lang w:eastAsia="hr-HR"/>
        </w:rPr>
        <w:t xml:space="preserve">u neposrednoj potrošnji </w:t>
      </w:r>
      <w:r w:rsidR="22F43656" w:rsidRPr="004B09BD">
        <w:rPr>
          <w:lang w:eastAsia="hr-HR"/>
        </w:rPr>
        <w:t xml:space="preserve">energije u razdoblju od 2021. do 2030. godine u tom slučaju bi iznosile </w:t>
      </w:r>
      <w:r w:rsidR="51D4EA05" w:rsidRPr="00252BCC">
        <w:rPr>
          <w:lang w:eastAsia="hr-HR"/>
        </w:rPr>
        <w:t>1.671,4</w:t>
      </w:r>
      <w:r w:rsidR="22F43656" w:rsidRPr="00252BCC">
        <w:rPr>
          <w:lang w:eastAsia="hr-HR"/>
        </w:rPr>
        <w:t xml:space="preserve"> GWh, što predstavlja</w:t>
      </w:r>
      <w:r w:rsidR="78E66615" w:rsidRPr="00252BCC">
        <w:rPr>
          <w:lang w:eastAsia="hr-HR"/>
        </w:rPr>
        <w:t xml:space="preserve"> nešto više od</w:t>
      </w:r>
      <w:r w:rsidR="22F43656" w:rsidRPr="00252BCC">
        <w:rPr>
          <w:lang w:eastAsia="hr-HR"/>
        </w:rPr>
        <w:t xml:space="preserve"> </w:t>
      </w:r>
      <w:r w:rsidR="042AC14A" w:rsidRPr="00F13AB8">
        <w:rPr>
          <w:b/>
          <w:bCs/>
          <w:lang w:eastAsia="hr-HR"/>
        </w:rPr>
        <w:t>16</w:t>
      </w:r>
      <w:r w:rsidR="22F43656" w:rsidRPr="00B357F4">
        <w:rPr>
          <w:b/>
          <w:lang w:eastAsia="hr-HR"/>
        </w:rPr>
        <w:t>% nacionalnog cilja kumulativnih ušteda energije iz alternativnih mjera politike</w:t>
      </w:r>
      <w:r w:rsidR="22F43656" w:rsidRPr="00B357F4">
        <w:rPr>
          <w:lang w:eastAsia="hr-HR"/>
        </w:rPr>
        <w:t xml:space="preserve"> odnosno</w:t>
      </w:r>
      <w:r w:rsidR="5C229EF4" w:rsidRPr="00B357F4">
        <w:rPr>
          <w:lang w:eastAsia="hr-HR"/>
        </w:rPr>
        <w:t xml:space="preserve"> nešto manje od</w:t>
      </w:r>
      <w:r w:rsidR="22F43656" w:rsidRPr="00B357F4">
        <w:rPr>
          <w:lang w:eastAsia="hr-HR"/>
        </w:rPr>
        <w:t xml:space="preserve"> </w:t>
      </w:r>
      <w:r w:rsidR="042AC14A" w:rsidRPr="00B357F4">
        <w:rPr>
          <w:lang w:eastAsia="hr-HR"/>
        </w:rPr>
        <w:t>4,8</w:t>
      </w:r>
      <w:r w:rsidR="22F43656" w:rsidRPr="00B357F4">
        <w:rPr>
          <w:lang w:eastAsia="hr-HR"/>
        </w:rPr>
        <w:t>% ukupnog nacionalnog cilja. Očekivano smanjenje emisija CO</w:t>
      </w:r>
      <w:r w:rsidR="22F43656" w:rsidRPr="00B357F4">
        <w:rPr>
          <w:vertAlign w:val="subscript"/>
          <w:lang w:eastAsia="hr-HR"/>
        </w:rPr>
        <w:t>2</w:t>
      </w:r>
      <w:r w:rsidR="22F43656" w:rsidRPr="00B357F4">
        <w:rPr>
          <w:lang w:eastAsia="hr-HR"/>
        </w:rPr>
        <w:t xml:space="preserve"> u promatranom razdoblju je  </w:t>
      </w:r>
      <w:r w:rsidR="04A99678" w:rsidRPr="00B357F4">
        <w:rPr>
          <w:b/>
          <w:lang w:eastAsia="hr-HR"/>
        </w:rPr>
        <w:t>384,</w:t>
      </w:r>
      <w:r w:rsidR="67AD9BB3" w:rsidRPr="00B357F4">
        <w:rPr>
          <w:b/>
          <w:lang w:eastAsia="hr-HR"/>
        </w:rPr>
        <w:t xml:space="preserve">4 </w:t>
      </w:r>
      <w:r w:rsidR="01954168" w:rsidRPr="00B357F4">
        <w:rPr>
          <w:b/>
          <w:lang w:eastAsia="hr-HR"/>
        </w:rPr>
        <w:t>tona</w:t>
      </w:r>
      <w:r w:rsidR="22F43656" w:rsidRPr="00B357F4">
        <w:rPr>
          <w:lang w:eastAsia="hr-HR"/>
        </w:rPr>
        <w:t>. Usporedbe radi, u Dugoročnoj strategiji je utvrđeno da je očekivano smanjenje emisija CO</w:t>
      </w:r>
      <w:r w:rsidR="22F43656" w:rsidRPr="00B357F4">
        <w:rPr>
          <w:vertAlign w:val="subscript"/>
          <w:lang w:eastAsia="hr-HR"/>
        </w:rPr>
        <w:t>2</w:t>
      </w:r>
      <w:r w:rsidR="22F43656" w:rsidRPr="00B357F4">
        <w:rPr>
          <w:lang w:eastAsia="hr-HR"/>
        </w:rPr>
        <w:t xml:space="preserve"> zbog njezine provedbe 317,4 tisuća tona u 2030. godini, što znači da </w:t>
      </w:r>
      <w:r w:rsidR="12F3CBF3" w:rsidRPr="00B357F4">
        <w:rPr>
          <w:lang w:eastAsia="hr-HR"/>
        </w:rPr>
        <w:t>zgrade</w:t>
      </w:r>
      <w:r w:rsidR="22F43656" w:rsidRPr="00B357F4">
        <w:rPr>
          <w:lang w:eastAsia="hr-HR"/>
        </w:rPr>
        <w:t xml:space="preserve"> </w:t>
      </w:r>
      <w:r w:rsidR="537E8A5D" w:rsidRPr="00B357F4">
        <w:rPr>
          <w:lang w:eastAsia="hr-HR"/>
        </w:rPr>
        <w:t>javnoga sektora</w:t>
      </w:r>
      <w:r w:rsidR="3787C91B" w:rsidRPr="00B357F4">
        <w:rPr>
          <w:lang w:eastAsia="hr-HR"/>
        </w:rPr>
        <w:t xml:space="preserve"> provedbom ovoga Programa tom</w:t>
      </w:r>
      <w:r w:rsidR="537E8A5D" w:rsidRPr="00B357F4">
        <w:rPr>
          <w:lang w:eastAsia="hr-HR"/>
        </w:rPr>
        <w:t xml:space="preserve"> </w:t>
      </w:r>
      <w:r w:rsidR="22F43656" w:rsidRPr="00B357F4">
        <w:rPr>
          <w:lang w:eastAsia="hr-HR"/>
        </w:rPr>
        <w:t>cilju doprinose s</w:t>
      </w:r>
      <w:r w:rsidR="01954168" w:rsidRPr="00B357F4">
        <w:rPr>
          <w:lang w:eastAsia="hr-HR"/>
        </w:rPr>
        <w:t xml:space="preserve"> oko</w:t>
      </w:r>
      <w:r w:rsidR="22F43656" w:rsidRPr="00B357F4">
        <w:rPr>
          <w:lang w:eastAsia="hr-HR"/>
        </w:rPr>
        <w:t xml:space="preserve"> </w:t>
      </w:r>
      <w:r w:rsidR="67AD9BB3" w:rsidRPr="00B357F4">
        <w:rPr>
          <w:b/>
          <w:lang w:eastAsia="hr-HR"/>
        </w:rPr>
        <w:t>1</w:t>
      </w:r>
      <w:r w:rsidR="0C65A062" w:rsidRPr="00B357F4">
        <w:rPr>
          <w:b/>
          <w:lang w:eastAsia="hr-HR"/>
        </w:rPr>
        <w:t xml:space="preserve">,2 </w:t>
      </w:r>
      <w:r w:rsidR="22F43656" w:rsidRPr="00B357F4">
        <w:rPr>
          <w:b/>
          <w:lang w:eastAsia="hr-HR"/>
        </w:rPr>
        <w:t>%</w:t>
      </w:r>
      <w:r w:rsidR="22F43656" w:rsidRPr="00B357F4">
        <w:rPr>
          <w:lang w:eastAsia="hr-HR"/>
        </w:rPr>
        <w:t xml:space="preserve">. </w:t>
      </w:r>
    </w:p>
    <w:p w14:paraId="4D53C6D8" w14:textId="37C312F1" w:rsidR="00F03B07" w:rsidRDefault="22F43656" w:rsidP="00F03B07">
      <w:r w:rsidRPr="00B357F4">
        <w:t xml:space="preserve">Procijenjene investicije za obnovu </w:t>
      </w:r>
      <w:r w:rsidR="537E8A5D" w:rsidRPr="00B357F4">
        <w:t>ZJS</w:t>
      </w:r>
      <w:r w:rsidRPr="00B357F4">
        <w:t xml:space="preserve"> prema ciljevima Dugoročne strategije</w:t>
      </w:r>
      <w:r w:rsidR="11A9F108" w:rsidRPr="00B357F4">
        <w:t xml:space="preserve"> obnove nacionalnog fonda zgrada</w:t>
      </w:r>
      <w:r w:rsidRPr="00B357F4">
        <w:t xml:space="preserve"> iznose </w:t>
      </w:r>
      <w:r w:rsidRPr="00B357F4">
        <w:rPr>
          <w:b/>
        </w:rPr>
        <w:t xml:space="preserve">gotovo </w:t>
      </w:r>
      <w:r w:rsidR="244B4DA4" w:rsidRPr="00B357F4">
        <w:rPr>
          <w:b/>
        </w:rPr>
        <w:t xml:space="preserve">11 </w:t>
      </w:r>
      <w:r w:rsidRPr="00B357F4">
        <w:rPr>
          <w:b/>
        </w:rPr>
        <w:t xml:space="preserve">milijardi </w:t>
      </w:r>
      <w:r w:rsidR="7B353030" w:rsidRPr="00B357F4">
        <w:rPr>
          <w:b/>
          <w:bCs/>
        </w:rPr>
        <w:t>kuna</w:t>
      </w:r>
      <w:r w:rsidRPr="00B357F4">
        <w:t xml:space="preserve"> u razmatranom desetogodišnjem razdoblju. Do kraja 2024. godine, dakle u prvom trogodišnjem razdoblju, a kako bi se postigli ciljevi iz Dugoročne strategije, bit će potrebne investicije od </w:t>
      </w:r>
      <w:r w:rsidR="011D75A2" w:rsidRPr="00B357F4">
        <w:t xml:space="preserve">gotovo </w:t>
      </w:r>
      <w:r w:rsidR="011D75A2" w:rsidRPr="00B357F4">
        <w:rPr>
          <w:b/>
        </w:rPr>
        <w:t xml:space="preserve">3 milijarde </w:t>
      </w:r>
      <w:r w:rsidR="0F88DF23" w:rsidRPr="00B357F4">
        <w:rPr>
          <w:b/>
          <w:bCs/>
        </w:rPr>
        <w:t>kuna</w:t>
      </w:r>
      <w:r w:rsidRPr="00B357F4">
        <w:t xml:space="preserve">. </w:t>
      </w:r>
    </w:p>
    <w:p w14:paraId="7FDF0E92" w14:textId="77777777" w:rsidR="00B92DDD" w:rsidRPr="00DB4B41" w:rsidRDefault="00B92DDD" w:rsidP="00B92DDD">
      <w:pPr>
        <w:rPr>
          <w:rFonts w:cs="Tahoma"/>
          <w:szCs w:val="20"/>
        </w:rPr>
      </w:pPr>
      <w:r w:rsidRPr="797530A1">
        <w:rPr>
          <w:rFonts w:cs="Tahoma"/>
          <w:szCs w:val="20"/>
        </w:rPr>
        <w:t xml:space="preserve">U ovu procjenu uključena su oba dijela ovoga Programa odnosno modela provedbe i to: </w:t>
      </w:r>
    </w:p>
    <w:p w14:paraId="2B3EFDC3" w14:textId="7A024873" w:rsidR="00B92DDD" w:rsidRPr="00DB4B41" w:rsidRDefault="00B92DDD" w:rsidP="00B92DDD">
      <w:pPr>
        <w:pStyle w:val="Odlomakpopisa"/>
        <w:numPr>
          <w:ilvl w:val="0"/>
          <w:numId w:val="126"/>
        </w:numPr>
        <w:spacing w:before="120" w:after="120"/>
        <w:rPr>
          <w:rFonts w:cs="Tahoma"/>
          <w:szCs w:val="20"/>
        </w:rPr>
      </w:pPr>
      <w:r w:rsidRPr="00DB4B41">
        <w:rPr>
          <w:rFonts w:cs="Tahoma"/>
          <w:szCs w:val="20"/>
        </w:rPr>
        <w:t xml:space="preserve">obnova zgrada </w:t>
      </w:r>
      <w:r>
        <w:rPr>
          <w:rFonts w:cs="Tahoma"/>
          <w:szCs w:val="20"/>
        </w:rPr>
        <w:t xml:space="preserve">javnog sektora </w:t>
      </w:r>
      <w:r w:rsidRPr="00DB4B41">
        <w:rPr>
          <w:rFonts w:cs="Tahoma"/>
          <w:szCs w:val="20"/>
        </w:rPr>
        <w:t xml:space="preserve">neoštećenih u potresu </w:t>
      </w:r>
    </w:p>
    <w:p w14:paraId="2A99EC18" w14:textId="33E2F986" w:rsidR="00B92DDD" w:rsidRPr="00DB4B41" w:rsidRDefault="00B92DDD" w:rsidP="00B92DDD">
      <w:pPr>
        <w:pStyle w:val="Odlomakpopisa"/>
        <w:numPr>
          <w:ilvl w:val="0"/>
          <w:numId w:val="126"/>
        </w:numPr>
        <w:spacing w:before="120" w:after="120"/>
        <w:rPr>
          <w:rFonts w:cs="Tahoma"/>
          <w:szCs w:val="20"/>
        </w:rPr>
      </w:pPr>
      <w:r w:rsidRPr="00DB4B41">
        <w:rPr>
          <w:rFonts w:cs="Tahoma"/>
          <w:szCs w:val="20"/>
        </w:rPr>
        <w:t xml:space="preserve">obnova </w:t>
      </w:r>
      <w:r>
        <w:rPr>
          <w:rFonts w:cs="Tahoma"/>
          <w:szCs w:val="20"/>
        </w:rPr>
        <w:t>zgrada javnog sektora</w:t>
      </w:r>
      <w:r w:rsidRPr="00DB4B41">
        <w:rPr>
          <w:rFonts w:cs="Tahoma"/>
          <w:szCs w:val="20"/>
        </w:rPr>
        <w:t xml:space="preserve"> oštećenih u potresu. </w:t>
      </w:r>
    </w:p>
    <w:p w14:paraId="51BA795F" w14:textId="4AD27975" w:rsidR="00B92DDD" w:rsidRDefault="00E131A1" w:rsidP="00F03B07">
      <w:pPr>
        <w:rPr>
          <w:rFonts w:cs="Tahoma"/>
          <w:szCs w:val="20"/>
        </w:rPr>
      </w:pPr>
      <w:r w:rsidRPr="00DB4B41">
        <w:rPr>
          <w:rFonts w:cs="Tahoma"/>
          <w:szCs w:val="20"/>
        </w:rPr>
        <w:t>Prvi model koncipiran je kao nastavak postojećeg modela iz razdoblja 201</w:t>
      </w:r>
      <w:r w:rsidR="00A87E1C">
        <w:rPr>
          <w:rFonts w:cs="Tahoma"/>
          <w:szCs w:val="20"/>
        </w:rPr>
        <w:t>6</w:t>
      </w:r>
      <w:r w:rsidRPr="00DB4B41">
        <w:rPr>
          <w:rFonts w:cs="Tahoma"/>
          <w:szCs w:val="20"/>
        </w:rPr>
        <w:t>. do 2020. godine te će se primjenjivati u prvom trogodišnjem razdoblju provedbe Programa</w:t>
      </w:r>
      <w:r w:rsidR="00A87E1C">
        <w:rPr>
          <w:rFonts w:cs="Tahoma"/>
          <w:szCs w:val="20"/>
        </w:rPr>
        <w:t xml:space="preserve">, </w:t>
      </w:r>
      <w:r w:rsidR="00094B12">
        <w:rPr>
          <w:rFonts w:cs="Tahoma"/>
          <w:szCs w:val="20"/>
        </w:rPr>
        <w:t>ali</w:t>
      </w:r>
      <w:r w:rsidR="00A87E1C">
        <w:rPr>
          <w:rFonts w:cs="Tahoma"/>
          <w:szCs w:val="20"/>
        </w:rPr>
        <w:t xml:space="preserve"> osim</w:t>
      </w:r>
      <w:r w:rsidRPr="00DB4B41">
        <w:rPr>
          <w:rFonts w:cs="Tahoma"/>
          <w:szCs w:val="20"/>
        </w:rPr>
        <w:t xml:space="preserve"> integraln</w:t>
      </w:r>
      <w:r w:rsidR="00354939">
        <w:rPr>
          <w:rFonts w:cs="Tahoma"/>
          <w:szCs w:val="20"/>
        </w:rPr>
        <w:t>e</w:t>
      </w:r>
      <w:r w:rsidRPr="00DB4B41">
        <w:rPr>
          <w:rFonts w:cs="Tahoma"/>
          <w:szCs w:val="20"/>
        </w:rPr>
        <w:t xml:space="preserve"> energetsk</w:t>
      </w:r>
      <w:r w:rsidR="00354939">
        <w:rPr>
          <w:rFonts w:cs="Tahoma"/>
          <w:szCs w:val="20"/>
        </w:rPr>
        <w:t>e</w:t>
      </w:r>
      <w:r w:rsidRPr="00DB4B41">
        <w:rPr>
          <w:rFonts w:cs="Tahoma"/>
          <w:szCs w:val="20"/>
        </w:rPr>
        <w:t xml:space="preserve"> obnov</w:t>
      </w:r>
      <w:r w:rsidR="00354939">
        <w:rPr>
          <w:rFonts w:cs="Tahoma"/>
          <w:szCs w:val="20"/>
        </w:rPr>
        <w:t>e</w:t>
      </w:r>
      <w:r w:rsidRPr="00DB4B41">
        <w:rPr>
          <w:rFonts w:cs="Tahoma"/>
          <w:szCs w:val="20"/>
        </w:rPr>
        <w:t xml:space="preserve">, </w:t>
      </w:r>
      <w:r w:rsidR="00094B12">
        <w:rPr>
          <w:rFonts w:cs="Tahoma"/>
          <w:szCs w:val="20"/>
        </w:rPr>
        <w:t>obuhvaća</w:t>
      </w:r>
      <w:r w:rsidRPr="00DB4B41">
        <w:rPr>
          <w:rFonts w:cs="Tahoma"/>
          <w:szCs w:val="20"/>
        </w:rPr>
        <w:t xml:space="preserve"> dubinsku i sveobuhvatnu obnovu.</w:t>
      </w:r>
    </w:p>
    <w:p w14:paraId="2A31643B" w14:textId="3713CBE8" w:rsidR="00E8090C" w:rsidRPr="00E8090C" w:rsidRDefault="00E8090C" w:rsidP="00E8090C">
      <w:pPr>
        <w:rPr>
          <w:rFonts w:cs="Tahoma"/>
          <w:szCs w:val="20"/>
        </w:rPr>
      </w:pPr>
      <w:r w:rsidRPr="00E8090C">
        <w:rPr>
          <w:rFonts w:cs="Tahoma"/>
          <w:szCs w:val="20"/>
        </w:rPr>
        <w:t xml:space="preserve">U drugom modelu, kako bi se dala mogućnost da se uz konstrukcijsku provede i energetska obnova, omogućit će se i sufinanciranje energetske obnove usporedno ili nakon konstrukcijske obnove. </w:t>
      </w:r>
      <w:r w:rsidR="00015833" w:rsidRPr="00015833">
        <w:rPr>
          <w:rFonts w:cs="Tahoma"/>
          <w:szCs w:val="20"/>
        </w:rPr>
        <w:t>Mjera će se provoditi u skladu s build  back  better  (BBB) načelom te će se osigurati ušteda potrebne toplinske energije za grijanje (Q</w:t>
      </w:r>
      <w:r w:rsidR="00BF2B1D" w:rsidRPr="00BF2B1D">
        <w:rPr>
          <w:rFonts w:cs="Tahoma"/>
          <w:szCs w:val="20"/>
          <w:vertAlign w:val="subscript"/>
        </w:rPr>
        <w:t>H</w:t>
      </w:r>
      <w:r w:rsidR="00015833" w:rsidRPr="00BF2B1D">
        <w:rPr>
          <w:rFonts w:cs="Tahoma"/>
          <w:szCs w:val="20"/>
          <w:vertAlign w:val="subscript"/>
        </w:rPr>
        <w:t>,nd</w:t>
      </w:r>
      <w:r w:rsidR="00015833" w:rsidRPr="00015833">
        <w:rPr>
          <w:rFonts w:cs="Tahoma"/>
          <w:szCs w:val="20"/>
        </w:rPr>
        <w:t>) od minimalnih 50% u odnosu na stanje prije obnove. BBB je,  u  kontekstu  procesa  obnove nakon  potresa, najvažniji dio za energetsku obnovu  i uštedu. Vraćanjem zgrada u prijašnje stanje ne postižu se klimatski, zeleni i energetski ciljevi, ali BBB-om i energetskom obnovom je to moguće ostvariti. Sveobuhvatna obnova podrazumijeva i troškove seizmičkog ojačavanja zgrada.</w:t>
      </w:r>
    </w:p>
    <w:p w14:paraId="55432D5F" w14:textId="094FD80E" w:rsidR="00B43F6F" w:rsidRPr="00DB4B41" w:rsidRDefault="00B43F6F" w:rsidP="00B43F6F">
      <w:pPr>
        <w:rPr>
          <w:rFonts w:cs="Tahoma"/>
          <w:szCs w:val="20"/>
          <w:lang w:eastAsia="hr-HR"/>
        </w:rPr>
      </w:pPr>
      <w:r w:rsidRPr="00DB4B41">
        <w:rPr>
          <w:rFonts w:cs="Tahoma"/>
          <w:szCs w:val="20"/>
          <w:lang w:eastAsia="hr-HR"/>
        </w:rPr>
        <w:t xml:space="preserve">Koristi od obnove zgrada, pa tako i </w:t>
      </w:r>
      <w:r>
        <w:rPr>
          <w:rFonts w:cs="Tahoma"/>
          <w:szCs w:val="20"/>
          <w:lang w:eastAsia="hr-HR"/>
        </w:rPr>
        <w:t>zgrada javnog sektora</w:t>
      </w:r>
      <w:r w:rsidRPr="00DB4B41">
        <w:rPr>
          <w:rFonts w:cs="Tahoma"/>
          <w:szCs w:val="20"/>
          <w:lang w:eastAsia="hr-HR"/>
        </w:rPr>
        <w:t>, su višestruke. Osim izravnih energetskih (smanjenje potrošnje energije, smanjenje uvoza energije, povećanje korištenja obnovljivih izvora energije i dekarbonizacija energetskih sustava), klimatskih (smanjenje emisija CO</w:t>
      </w:r>
      <w:r w:rsidRPr="00DB4B41">
        <w:rPr>
          <w:rFonts w:cs="Tahoma"/>
          <w:szCs w:val="20"/>
          <w:vertAlign w:val="subscript"/>
          <w:lang w:eastAsia="hr-HR"/>
        </w:rPr>
        <w:t>2</w:t>
      </w:r>
      <w:r w:rsidRPr="00DB4B41">
        <w:rPr>
          <w:rFonts w:cs="Tahoma"/>
          <w:szCs w:val="20"/>
          <w:lang w:eastAsia="hr-HR"/>
        </w:rPr>
        <w:t xml:space="preserve">), gospodarskih (građevinska i proizvodna aktivnost, zapošljavanje) i proračunskih učinaka, svakako treba još istaknuti i smanjenje rizika </w:t>
      </w:r>
      <w:r>
        <w:rPr>
          <w:rFonts w:cs="Tahoma"/>
          <w:szCs w:val="20"/>
          <w:lang w:eastAsia="hr-HR"/>
        </w:rPr>
        <w:t xml:space="preserve">od narušavanja </w:t>
      </w:r>
      <w:r w:rsidRPr="00DB4B41">
        <w:rPr>
          <w:rFonts w:cs="Tahoma"/>
          <w:szCs w:val="20"/>
          <w:lang w:eastAsia="hr-HR"/>
        </w:rPr>
        <w:t>zdravlja te povećanje vrijednosti nekretnina te zaštita od budućih poskupljenja energenata i energije. Osim toga, provedbom sveobuhvatne obnove povećava se i sigurnost odnosno otpornost postojećih zgrada</w:t>
      </w:r>
      <w:r w:rsidR="00261022">
        <w:rPr>
          <w:rFonts w:cs="Tahoma"/>
          <w:szCs w:val="20"/>
          <w:lang w:eastAsia="hr-HR"/>
        </w:rPr>
        <w:t xml:space="preserve"> javnog sektora</w:t>
      </w:r>
      <w:r w:rsidRPr="00DB4B41">
        <w:rPr>
          <w:rFonts w:cs="Tahoma"/>
          <w:szCs w:val="20"/>
          <w:lang w:eastAsia="hr-HR"/>
        </w:rPr>
        <w:t xml:space="preserve"> na neželjene događaje, kao što su požar ili potres.  </w:t>
      </w:r>
    </w:p>
    <w:p w14:paraId="3BCECA1D" w14:textId="77777777" w:rsidR="007C375D" w:rsidRPr="00B357F4" w:rsidRDefault="007C375D" w:rsidP="007C375D">
      <w:r w:rsidRPr="00B357F4">
        <w:t>Zbog brzo mijenjajućih uvjeta na tržištu, prikupljenih iskustava iz provedbe i potencijalnih novih mogućnosti financiranja,</w:t>
      </w:r>
      <w:r w:rsidRPr="00B357F4">
        <w:rPr>
          <w:b/>
        </w:rPr>
        <w:t xml:space="preserve"> provedba ovog Programa će se kontinuirano pratiti i ocjenjivati te će se Program po potrebi revidirati, a svake tri godine donosit će se akcijski planovi odlukom ministra. </w:t>
      </w:r>
      <w:r w:rsidRPr="00B357F4">
        <w:t>Sastavni dio ovoga Programa je detaljni opis provedbe za razdoblje od 2022. do 2024. godine.</w:t>
      </w:r>
    </w:p>
    <w:p w14:paraId="215795A7" w14:textId="7B41FDDD" w:rsidR="006410FC" w:rsidRPr="00B357F4" w:rsidRDefault="001414FF" w:rsidP="004B09BD">
      <w:pPr>
        <w:pStyle w:val="Naslov10"/>
      </w:pPr>
      <w:bookmarkStart w:id="13" w:name="_Toc94769963"/>
      <w:r w:rsidRPr="00B357F4">
        <w:lastRenderedPageBreak/>
        <w:t>U</w:t>
      </w:r>
      <w:r w:rsidR="00C71673" w:rsidRPr="00B357F4">
        <w:t>vod</w:t>
      </w:r>
      <w:bookmarkEnd w:id="13"/>
    </w:p>
    <w:p w14:paraId="731C7D1A" w14:textId="1F09BA05" w:rsidR="00950851" w:rsidRPr="00B357F4" w:rsidRDefault="6BF56572" w:rsidP="00950851">
      <w:r w:rsidRPr="00B357F4">
        <w:t xml:space="preserve">U prosincu 2020. godine Vlada Republike Hrvatske usvojila </w:t>
      </w:r>
      <w:r w:rsidR="2195E733" w:rsidRPr="00B357F4">
        <w:t xml:space="preserve">je </w:t>
      </w:r>
      <w:r w:rsidRPr="00B357F4">
        <w:t>Dugoročnu strategiju za obnovu nacionalnog fonda zgrada do 2050. godine (Narodne novine br</w:t>
      </w:r>
      <w:r w:rsidR="7A52054E" w:rsidRPr="00B357F4">
        <w:t>oj</w:t>
      </w:r>
      <w:r w:rsidRPr="00B357F4">
        <w:t xml:space="preserve"> 140/</w:t>
      </w:r>
      <w:r w:rsidR="68FB31D5" w:rsidRPr="00B357F4">
        <w:t>20</w:t>
      </w:r>
      <w:r w:rsidRPr="00B357F4">
        <w:t xml:space="preserve">20; dalje u tekstu: </w:t>
      </w:r>
      <w:r w:rsidR="00C916AF" w:rsidRPr="00B357F4">
        <w:t>Dugoročna strategija</w:t>
      </w:r>
      <w:r w:rsidRPr="00B357F4">
        <w:t>)</w:t>
      </w:r>
      <w:r w:rsidR="3DE7F0F9" w:rsidRPr="00B357F4">
        <w:t>.</w:t>
      </w:r>
      <w:r w:rsidRPr="00B357F4" w:rsidDel="00950851">
        <w:t xml:space="preserve"> </w:t>
      </w:r>
      <w:r w:rsidR="5385C67B" w:rsidRPr="00B357F4">
        <w:t xml:space="preserve">Dugoročna strategija </w:t>
      </w:r>
      <w:r w:rsidRPr="00B357F4">
        <w:t xml:space="preserve">nadopunjuje te je metodološki usklađena s Integriranim nacionalnim energetskim i klimatskim planom (NEKP), kojega je </w:t>
      </w:r>
      <w:r w:rsidR="0E56DF74" w:rsidRPr="00B357F4">
        <w:t xml:space="preserve">Hrvatska </w:t>
      </w:r>
      <w:r w:rsidRPr="00B357F4">
        <w:t xml:space="preserve">izradila u skladu s obvezom iz Uredbe (EU) 2018/1999 Europskog parlamenta i Vijeća od 11. prosinca 2018. o upravljanju energetskom unijom i djelovanjem u području klime. Oba ova dokumenta predviđaju izradu, usvajanje i provedbu ovog Programa energetske obnove zgrada </w:t>
      </w:r>
      <w:r w:rsidR="21C0F8B2" w:rsidRPr="00B357F4">
        <w:t xml:space="preserve">javnoga sektora </w:t>
      </w:r>
      <w:r w:rsidRPr="00B357F4">
        <w:t>(</w:t>
      </w:r>
      <w:r w:rsidR="21C0F8B2" w:rsidRPr="00B357F4">
        <w:t>ZJS</w:t>
      </w:r>
      <w:r w:rsidRPr="00B357F4">
        <w:t>) za razdoblje  do 2030. godine, čije je donošenje također predviđeno i Zakonom o gradnji (</w:t>
      </w:r>
      <w:r w:rsidR="38ACFB28" w:rsidRPr="00B357F4">
        <w:t>Narodne novine</w:t>
      </w:r>
      <w:r w:rsidRPr="00B357F4">
        <w:t xml:space="preserve"> br. 153/13, 20/17, 39/19, 125/19).</w:t>
      </w:r>
    </w:p>
    <w:p w14:paraId="26F8346D" w14:textId="45490EA5" w:rsidR="00950851" w:rsidRPr="00B357F4" w:rsidRDefault="6BF56572" w:rsidP="00950851">
      <w:r w:rsidRPr="00B357F4">
        <w:t xml:space="preserve">U skladu sa strateškim, planskim i zakonskim okvirom, ovaj se Program koncipira kao nastavak Programa energetske obnove zgrada </w:t>
      </w:r>
      <w:r w:rsidR="7041E4DD" w:rsidRPr="00B357F4">
        <w:t xml:space="preserve">javnog sektora </w:t>
      </w:r>
      <w:r w:rsidRPr="00B357F4">
        <w:t>za razdoblje od 201</w:t>
      </w:r>
      <w:r w:rsidR="7041E4DD" w:rsidRPr="00B357F4">
        <w:t>6</w:t>
      </w:r>
      <w:r w:rsidRPr="00B357F4">
        <w:t>. do 2020. godine (</w:t>
      </w:r>
      <w:r w:rsidR="7CEC8941" w:rsidRPr="00B357F4">
        <w:t>Narodne novine</w:t>
      </w:r>
      <w:r w:rsidRPr="00B357F4">
        <w:t xml:space="preserve"> br. </w:t>
      </w:r>
      <w:r w:rsidR="2B12A637" w:rsidRPr="00B357F4">
        <w:t>22</w:t>
      </w:r>
      <w:r w:rsidRPr="00B357F4">
        <w:t>/</w:t>
      </w:r>
      <w:r w:rsidR="2B12A637" w:rsidRPr="00B357F4">
        <w:t>17</w:t>
      </w:r>
      <w:r w:rsidRPr="00B357F4">
        <w:t>), zadržavajući pri tome uspješne elemente i modele provedbe toga Programa te unaprjeđujući element</w:t>
      </w:r>
      <w:r w:rsidR="5732FC85" w:rsidRPr="00B357F4">
        <w:t>i</w:t>
      </w:r>
      <w:r w:rsidRPr="00B357F4">
        <w:t xml:space="preserve"> koji su se pokazali kao manjkavi u praksi. </w:t>
      </w:r>
    </w:p>
    <w:p w14:paraId="1AFFF551" w14:textId="5AF3EC4E" w:rsidR="00950851" w:rsidRPr="00B357F4" w:rsidRDefault="00950851" w:rsidP="00950851">
      <w:r w:rsidRPr="00B357F4">
        <w:t xml:space="preserve">Pri tome, važno je istaknuti da se, zbog razornih potresa koji su se dogodili u RH tijekom 2020. godine, ovaj Program proširuje u odnosu na prethodni te osim energetske obnove uključuje i sveobuhvatnu obnovu </w:t>
      </w:r>
      <w:r w:rsidR="00904203" w:rsidRPr="00B357F4">
        <w:t>ZJS</w:t>
      </w:r>
      <w:r w:rsidRPr="00B357F4">
        <w:t xml:space="preserve">. Konkretno, ovim se Programom predviđaju dvije kategorije obnove </w:t>
      </w:r>
      <w:r w:rsidR="00904203" w:rsidRPr="00B357F4">
        <w:t>ZJS</w:t>
      </w:r>
      <w:r w:rsidRPr="00B357F4">
        <w:t>:</w:t>
      </w:r>
    </w:p>
    <w:p w14:paraId="6872F559" w14:textId="5231D2EE" w:rsidR="00950851" w:rsidRPr="00B357F4" w:rsidRDefault="00950851" w:rsidP="00725AB0">
      <w:pPr>
        <w:pStyle w:val="Odlomakpopisa"/>
        <w:numPr>
          <w:ilvl w:val="0"/>
          <w:numId w:val="22"/>
        </w:numPr>
        <w:rPr>
          <w:b/>
        </w:rPr>
      </w:pPr>
      <w:r w:rsidRPr="00B357F4">
        <w:rPr>
          <w:b/>
        </w:rPr>
        <w:t>kategorija – energetska obnova zgrada</w:t>
      </w:r>
      <w:r w:rsidR="00AA2271" w:rsidRPr="00B357F4">
        <w:rPr>
          <w:b/>
        </w:rPr>
        <w:t xml:space="preserve"> javnog sektora </w:t>
      </w:r>
    </w:p>
    <w:p w14:paraId="1D3B37C4" w14:textId="439CD00D" w:rsidR="00950851" w:rsidRPr="00B357F4" w:rsidRDefault="6BF56572" w:rsidP="00950851">
      <w:r w:rsidRPr="00B357F4">
        <w:t xml:space="preserve">Ova kategorija podrazumijeva dva pristupa energetskoj obnovi </w:t>
      </w:r>
      <w:r w:rsidR="41C9F751" w:rsidRPr="00B357F4">
        <w:t>ZJS</w:t>
      </w:r>
      <w:r w:rsidRPr="00B357F4">
        <w:t>: 1) integralnu energetsku obnovu i 2) dubinsku obnovu (uključivo do nZEB standarda</w:t>
      </w:r>
      <w:r w:rsidR="18B970F0" w:rsidRPr="00B357F4">
        <w:t xml:space="preserve"> za rekonstrukciju</w:t>
      </w:r>
      <w:r w:rsidRPr="00B357F4">
        <w:t>). Pri tome su definicije razina obnove sljedeće:</w:t>
      </w:r>
    </w:p>
    <w:p w14:paraId="603F234D" w14:textId="2BBF52AD" w:rsidR="00950851" w:rsidRPr="00B357F4" w:rsidRDefault="00950851" w:rsidP="00725AB0">
      <w:pPr>
        <w:pStyle w:val="Odlomakpopisa"/>
        <w:numPr>
          <w:ilvl w:val="0"/>
          <w:numId w:val="22"/>
        </w:numPr>
        <w:rPr>
          <w:b/>
        </w:rPr>
      </w:pPr>
      <w:r w:rsidRPr="00B357F4">
        <w:rPr>
          <w:b/>
        </w:rPr>
        <w:t xml:space="preserve">kategorija – sveobuhvatna obnova </w:t>
      </w:r>
      <w:r w:rsidR="00362695" w:rsidRPr="00B357F4">
        <w:rPr>
          <w:b/>
        </w:rPr>
        <w:t>zgrada javnog sektora</w:t>
      </w:r>
    </w:p>
    <w:p w14:paraId="6DA8AF49" w14:textId="77777777" w:rsidR="00B52D8B" w:rsidRDefault="00B52D8B" w:rsidP="00B52D8B">
      <w:r w:rsidRPr="00DD6F8C">
        <w:t>Sveobuhvatna obnova</w:t>
      </w:r>
      <w:r>
        <w:t xml:space="preserve"> obuhvaća optimalne mjere unapređenja postojećeg stanja zgrade te osim mjera energetske obnove zgrade uključuje i mjere poput povećanja sigurnosti u slučaju požara, mjere za osiguravanje zdravih unutarnjih klimatskih uvjeta te mjere za  povećanje potresne otpornosti zgrade, a može uključivati i druge mjere kojima se unapređuje ispunjavanje temeljnih zahtjeva za građevinu.</w:t>
      </w:r>
    </w:p>
    <w:p w14:paraId="29557959" w14:textId="7B5971F6" w:rsidR="00A354D5" w:rsidRPr="00B357F4" w:rsidRDefault="00B52D8B" w:rsidP="00DD6F8C">
      <w:r>
        <w:t>Sveobuhvatnom obnovom obvezno je postići uštedu u godišnjoj potrebnoj toplinskoj energiji za grijanje (Q</w:t>
      </w:r>
      <w:r w:rsidRPr="00111E45">
        <w:rPr>
          <w:vertAlign w:val="subscript"/>
        </w:rPr>
        <w:t>H,nd</w:t>
      </w:r>
      <w:r>
        <w:t>)  od najmanje 50% u odnosu na stanje prije obnove.</w:t>
      </w:r>
    </w:p>
    <w:p w14:paraId="5965748E" w14:textId="524C46F2" w:rsidR="00D971CB" w:rsidRPr="00B357F4" w:rsidRDefault="170E0C50" w:rsidP="00D971CB">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Osnovni uvjet za sudjelovanje </w:t>
      </w:r>
      <w:r w:rsidR="003B6842" w:rsidRPr="00B357F4">
        <w:rPr>
          <w:b/>
        </w:rPr>
        <w:t xml:space="preserve">zgrada javnog sektora </w:t>
      </w:r>
      <w:r w:rsidRPr="78FCA290">
        <w:rPr>
          <w:b/>
          <w:bCs/>
        </w:rPr>
        <w:t xml:space="preserve">u ovom </w:t>
      </w:r>
      <w:r w:rsidRPr="003020E6">
        <w:rPr>
          <w:b/>
        </w:rPr>
        <w:t>Programu je</w:t>
      </w:r>
      <w:r w:rsidR="006E5930" w:rsidRPr="00D7774F">
        <w:rPr>
          <w:b/>
        </w:rPr>
        <w:t xml:space="preserve"> </w:t>
      </w:r>
      <w:r w:rsidR="18650359" w:rsidRPr="00B357F4">
        <w:rPr>
          <w:b/>
          <w:bCs/>
        </w:rPr>
        <w:t>ušteda</w:t>
      </w:r>
      <w:r w:rsidRPr="00B357F4">
        <w:rPr>
          <w:b/>
        </w:rPr>
        <w:t xml:space="preserve"> </w:t>
      </w:r>
      <w:r w:rsidR="00AF4A5A">
        <w:rPr>
          <w:b/>
        </w:rPr>
        <w:t xml:space="preserve">godišnje </w:t>
      </w:r>
      <w:r w:rsidR="0ADECBCC" w:rsidRPr="00B357F4">
        <w:rPr>
          <w:b/>
        </w:rPr>
        <w:t xml:space="preserve">potrebne toplinske </w:t>
      </w:r>
      <w:r w:rsidRPr="00B357F4">
        <w:rPr>
          <w:b/>
        </w:rPr>
        <w:t>energije za grijanje (Q</w:t>
      </w:r>
      <w:r w:rsidRPr="00B357F4">
        <w:rPr>
          <w:b/>
          <w:vertAlign w:val="subscript"/>
        </w:rPr>
        <w:t>H,nd</w:t>
      </w:r>
      <w:r w:rsidRPr="00B357F4">
        <w:rPr>
          <w:b/>
        </w:rPr>
        <w:t xml:space="preserve">) od najmanje 50% u odnosu na </w:t>
      </w:r>
      <w:r w:rsidR="01A98AEF" w:rsidRPr="00B357F4">
        <w:rPr>
          <w:b/>
          <w:bCs/>
        </w:rPr>
        <w:t>stanje</w:t>
      </w:r>
      <w:r w:rsidRPr="00B357F4">
        <w:rPr>
          <w:b/>
        </w:rPr>
        <w:t xml:space="preserve"> prije obnove, bez obzira o kojoj kategoriji obnove se radi. </w:t>
      </w:r>
    </w:p>
    <w:p w14:paraId="6A89A316" w14:textId="77777777" w:rsidR="00950851" w:rsidRPr="00B357F4" w:rsidRDefault="00950851" w:rsidP="00950851">
      <w:r w:rsidRPr="00B357F4">
        <w:t>U kategoriji sveobuhvatne obnove, Program razlikuje dva specifična slučaja:</w:t>
      </w:r>
    </w:p>
    <w:p w14:paraId="3D42617A" w14:textId="06A048AE" w:rsidR="00950851" w:rsidRPr="00B357F4" w:rsidRDefault="00904203" w:rsidP="00725AB0">
      <w:pPr>
        <w:pStyle w:val="Odlomakpopisa"/>
        <w:numPr>
          <w:ilvl w:val="0"/>
          <w:numId w:val="25"/>
        </w:numPr>
      </w:pPr>
      <w:r w:rsidRPr="00B357F4">
        <w:rPr>
          <w:b/>
        </w:rPr>
        <w:t>ZJS</w:t>
      </w:r>
      <w:r w:rsidR="00950851" w:rsidRPr="00B357F4">
        <w:rPr>
          <w:b/>
        </w:rPr>
        <w:t xml:space="preserve"> koje nisu oštećene u potresu</w:t>
      </w:r>
      <w:r w:rsidR="00950851" w:rsidRPr="00B357F4">
        <w:t xml:space="preserve"> i </w:t>
      </w:r>
    </w:p>
    <w:p w14:paraId="36A26109" w14:textId="799EF33F" w:rsidR="00950851" w:rsidRPr="00B357F4" w:rsidRDefault="00904203" w:rsidP="00725AB0">
      <w:pPr>
        <w:pStyle w:val="Odlomakpopisa"/>
        <w:numPr>
          <w:ilvl w:val="0"/>
          <w:numId w:val="25"/>
        </w:numPr>
      </w:pPr>
      <w:r w:rsidRPr="00B357F4">
        <w:rPr>
          <w:b/>
        </w:rPr>
        <w:t>ZJS</w:t>
      </w:r>
      <w:r w:rsidR="00950851" w:rsidRPr="00B357F4">
        <w:rPr>
          <w:b/>
        </w:rPr>
        <w:t xml:space="preserve"> oštećene u potresu</w:t>
      </w:r>
      <w:r w:rsidR="00950851" w:rsidRPr="00B357F4">
        <w:t>.</w:t>
      </w:r>
    </w:p>
    <w:p w14:paraId="5E899D1C" w14:textId="6407C409" w:rsidR="6BF56572" w:rsidRPr="00B03C9B" w:rsidRDefault="76AEB7CA" w:rsidP="3E326D79">
      <w:pPr>
        <w:spacing w:line="257" w:lineRule="auto"/>
        <w:rPr>
          <w:rFonts w:eastAsia="Tahoma" w:cs="Tahoma"/>
          <w:b/>
          <w:szCs w:val="20"/>
        </w:rPr>
      </w:pPr>
      <w:r w:rsidRPr="00B357F4">
        <w:rPr>
          <w:rFonts w:eastAsia="Tahoma" w:cs="Tahoma"/>
          <w:b/>
          <w:bCs/>
          <w:szCs w:val="20"/>
        </w:rPr>
        <w:t xml:space="preserve">U sklopu ovog Programa, u slučaju sveobuhvatne obnove, uz energetsku obnovu, na </w:t>
      </w:r>
      <w:r w:rsidR="00426570" w:rsidRPr="00B357F4">
        <w:rPr>
          <w:rFonts w:eastAsia="Tahoma" w:cs="Tahoma"/>
          <w:b/>
          <w:bCs/>
          <w:szCs w:val="20"/>
        </w:rPr>
        <w:t>ZJS</w:t>
      </w:r>
      <w:r w:rsidRPr="00B357F4">
        <w:rPr>
          <w:rFonts w:eastAsia="Tahoma" w:cs="Tahoma"/>
          <w:b/>
          <w:bCs/>
          <w:szCs w:val="20"/>
        </w:rPr>
        <w:t xml:space="preserve"> </w:t>
      </w:r>
      <w:r w:rsidRPr="3E326D79">
        <w:rPr>
          <w:rFonts w:eastAsia="Tahoma" w:cs="Tahoma"/>
          <w:b/>
          <w:bCs/>
          <w:szCs w:val="20"/>
        </w:rPr>
        <w:t xml:space="preserve">se obavezno primjenjuje jedna ili više mjere za </w:t>
      </w:r>
      <w:r w:rsidR="001C674E" w:rsidRPr="3E326D79">
        <w:rPr>
          <w:rFonts w:eastAsia="Tahoma" w:cs="Tahoma"/>
          <w:b/>
          <w:bCs/>
          <w:szCs w:val="20"/>
        </w:rPr>
        <w:t>smanjenj</w:t>
      </w:r>
      <w:r w:rsidR="00CB161E">
        <w:rPr>
          <w:rFonts w:eastAsia="Tahoma" w:cs="Tahoma"/>
          <w:b/>
          <w:bCs/>
          <w:szCs w:val="20"/>
        </w:rPr>
        <w:t>e</w:t>
      </w:r>
      <w:r w:rsidRPr="3E326D79">
        <w:rPr>
          <w:rFonts w:eastAsia="Tahoma" w:cs="Tahoma"/>
          <w:b/>
          <w:bCs/>
          <w:szCs w:val="20"/>
        </w:rPr>
        <w:t xml:space="preserve"> rizika povezanih s djelovanjem potresa prema projektnoj dokumentaciji izrađenoj u skladu s važećim propisima te prema zahtjevima iz javnog poziva.</w:t>
      </w:r>
    </w:p>
    <w:p w14:paraId="2D09E055" w14:textId="1C969D1D" w:rsidR="00950851" w:rsidRPr="00B357F4" w:rsidRDefault="00950851" w:rsidP="00950851">
      <w:r w:rsidRPr="00B357F4">
        <w:t>Provedbeni modeli definirani u ovom Programu uvažavaju predviđene kategorije i razine obnove zgrada prema Dugoročnoj strategiji</w:t>
      </w:r>
      <w:r w:rsidR="00B96F92" w:rsidRPr="00B357F4">
        <w:t xml:space="preserve">. </w:t>
      </w:r>
      <w:r w:rsidRPr="00B357F4">
        <w:t xml:space="preserve">Program predviđa </w:t>
      </w:r>
      <w:r w:rsidR="0005568A" w:rsidRPr="00B357F4">
        <w:t>dva</w:t>
      </w:r>
      <w:r w:rsidRPr="00B357F4">
        <w:t xml:space="preserve"> </w:t>
      </w:r>
      <w:r w:rsidR="00B96F92" w:rsidRPr="00B357F4">
        <w:t xml:space="preserve">temeljna </w:t>
      </w:r>
      <w:r w:rsidRPr="00B357F4">
        <w:t>provedbena modela:</w:t>
      </w:r>
    </w:p>
    <w:p w14:paraId="6EEFF478" w14:textId="261A1E23" w:rsidR="00950851" w:rsidRPr="00B357F4" w:rsidRDefault="00950851" w:rsidP="00725AB0">
      <w:pPr>
        <w:pStyle w:val="Odlomakpopisa"/>
        <w:numPr>
          <w:ilvl w:val="0"/>
          <w:numId w:val="26"/>
        </w:numPr>
      </w:pPr>
      <w:r w:rsidRPr="00B357F4">
        <w:rPr>
          <w:b/>
        </w:rPr>
        <w:t>model</w:t>
      </w:r>
      <w:r w:rsidRPr="00B357F4">
        <w:t xml:space="preserve"> – </w:t>
      </w:r>
      <w:r w:rsidRPr="00B357F4">
        <w:rPr>
          <w:b/>
        </w:rPr>
        <w:t xml:space="preserve">obnova </w:t>
      </w:r>
      <w:r w:rsidR="00904203" w:rsidRPr="00B357F4">
        <w:rPr>
          <w:b/>
        </w:rPr>
        <w:t>ZJS</w:t>
      </w:r>
      <w:r w:rsidRPr="00B357F4">
        <w:rPr>
          <w:b/>
        </w:rPr>
        <w:t xml:space="preserve"> neoštećenih u potresu</w:t>
      </w:r>
      <w:r w:rsidRPr="00B357F4">
        <w:t>, koji utvrđuje mjere i stope sufinanciranja za svaku pojedinu razinu obnove (integralna energetska obnova, dubinska obnova i sveobuhvatna obnova);</w:t>
      </w:r>
    </w:p>
    <w:p w14:paraId="586AB29F" w14:textId="7D1F935B" w:rsidR="00950851" w:rsidRPr="00B357F4" w:rsidRDefault="00950851" w:rsidP="00725AB0">
      <w:pPr>
        <w:pStyle w:val="Odlomakpopisa"/>
        <w:numPr>
          <w:ilvl w:val="0"/>
          <w:numId w:val="26"/>
        </w:numPr>
      </w:pPr>
      <w:r w:rsidRPr="00B357F4">
        <w:rPr>
          <w:b/>
        </w:rPr>
        <w:t xml:space="preserve">model </w:t>
      </w:r>
      <w:r w:rsidRPr="00B357F4">
        <w:t xml:space="preserve">– </w:t>
      </w:r>
      <w:r w:rsidRPr="00B357F4">
        <w:rPr>
          <w:b/>
        </w:rPr>
        <w:t xml:space="preserve">obnova </w:t>
      </w:r>
      <w:r w:rsidR="00904203" w:rsidRPr="00B357F4">
        <w:rPr>
          <w:b/>
        </w:rPr>
        <w:t>ZJS</w:t>
      </w:r>
      <w:r w:rsidRPr="00B357F4">
        <w:rPr>
          <w:b/>
        </w:rPr>
        <w:t xml:space="preserve"> oštećenih u potresu</w:t>
      </w:r>
      <w:r w:rsidRPr="00B357F4">
        <w:t>, čiji je temelj obnova potresom oštećene konstrukcije, dok se energetska obnova (integralna ili dubinska) kao i ostale mjere sveobuhvatne obnove omogućavaju kao dodatak na utvrđenu razinu obnove nakon potresa</w:t>
      </w:r>
      <w:r w:rsidR="0038148D" w:rsidRPr="00B357F4">
        <w:t>.</w:t>
      </w:r>
    </w:p>
    <w:p w14:paraId="117BB620" w14:textId="592AC7E7" w:rsidR="00950851" w:rsidRPr="00B357F4" w:rsidRDefault="6BF56572" w:rsidP="00950851">
      <w:r w:rsidRPr="00B357F4">
        <w:lastRenderedPageBreak/>
        <w:t xml:space="preserve">U Programu mogu sudjelovati samo </w:t>
      </w:r>
      <w:r w:rsidRPr="00B357F4">
        <w:rPr>
          <w:b/>
        </w:rPr>
        <w:t xml:space="preserve">postojeće </w:t>
      </w:r>
      <w:r w:rsidR="41C9F751" w:rsidRPr="00B357F4">
        <w:rPr>
          <w:b/>
        </w:rPr>
        <w:t>ZJS</w:t>
      </w:r>
      <w:r w:rsidRPr="00B357F4">
        <w:t>, definirane točkom 23. stavka 1., članka 3. Zakona o gradnji (</w:t>
      </w:r>
      <w:r w:rsidR="36779C11" w:rsidRPr="00B357F4">
        <w:t>Narodne novine</w:t>
      </w:r>
      <w:r w:rsidRPr="00B357F4">
        <w:t xml:space="preserve"> br. 153/13, 20/17, 39/19, 125/19), bez obzira na godinu izgradnje.</w:t>
      </w:r>
    </w:p>
    <w:p w14:paraId="46EACA6D" w14:textId="1B0B9630" w:rsidR="00B55274" w:rsidRPr="00B357F4" w:rsidRDefault="00694DF2" w:rsidP="007A0E46">
      <w:pPr>
        <w:pStyle w:val="Tekstkomentara"/>
      </w:pPr>
      <w:r w:rsidRPr="00B357F4">
        <w:t xml:space="preserve">Zgrada javnoga sektora </w:t>
      </w:r>
      <w:r w:rsidR="007A0E46" w:rsidRPr="003020E6">
        <w:t xml:space="preserve">su zgrade u pretežitom vlasništvu javnog sektora u kojima se obavljaju </w:t>
      </w:r>
      <w:r w:rsidR="007A0E46" w:rsidRPr="00EC7259">
        <w:t>društvene djelatnosti (odgoja, obrazovanja, znanosti, kulture, sporta, zdravstva i socijalne skrbi), djelatnosti državne vlasti i državne uprave kao i tijela i organizacija lokalne i područne (regionalne) samouprave, djelatnosti pravnih osoba s javnim ovlastima, zatim zgrade za stanovanje zajednica, uključujući vojarne, kaznionice, zatvore, popravne centre i ostale zgrade za oružane snage, policiju ili vatrogasce, zgrade udruga građana i zgrade vjerskih zajednica.</w:t>
      </w:r>
    </w:p>
    <w:p w14:paraId="2E0FD681" w14:textId="53C9DDB0" w:rsidR="00894814" w:rsidRPr="00B357F4" w:rsidRDefault="00894814" w:rsidP="00950851">
      <w:pPr>
        <w:pStyle w:val="Tekstkomentara"/>
      </w:pPr>
      <w:r w:rsidRPr="00B357F4">
        <w:t>Društvenim djelatnostima u smislu ovoga Programa smatraju se:</w:t>
      </w:r>
      <w:r w:rsidR="00D36059" w:rsidRPr="00B357F4">
        <w:t xml:space="preserve"> predškolski odgoj, osnovnoškolski i srednjoškolski odgoj i obrazovanje, visoko obrazovanje, formalno obrazovanje odraslih, znanstvena djelatnost, </w:t>
      </w:r>
      <w:r w:rsidR="00D36059" w:rsidRPr="00EC7259">
        <w:t>kazališna djelatnost, audiovizualne djelatnosti, knjižnična djelatnost, arhivska djelatnost, muzejska djelatnost</w:t>
      </w:r>
      <w:r w:rsidR="00D36059" w:rsidRPr="00B357F4">
        <w:t>, zdravstvena djelatnost, djelatnost socijalne skrbi, upravna i/ili uredska djelatnost, pravosudna djelatnost, sportska djelatnost, stanovanje zajednica, vatrogasna djelatnost, djelatnost zaštite i spašavanja te djelatnost humanitarne pomoći.</w:t>
      </w:r>
    </w:p>
    <w:p w14:paraId="152C2CAE" w14:textId="15C5D3EB" w:rsidR="00B13B73" w:rsidRPr="00B357F4" w:rsidRDefault="00834524" w:rsidP="00950851">
      <w:pPr>
        <w:pStyle w:val="Tekstkomentara"/>
      </w:pPr>
      <w:r w:rsidRPr="00B357F4">
        <w:t>Uz navedeno, zgradama javnoga sektora smatraju se i zgrade u vlasništvu trgovačkih društava</w:t>
      </w:r>
      <w:r w:rsidR="00840C79" w:rsidRPr="00B357F4">
        <w:t>, koja su u cijelosti u vlasništvu države ili jedinice lokalne ili područne (regionalne) samouprave.</w:t>
      </w:r>
    </w:p>
    <w:p w14:paraId="62ABE147" w14:textId="702BA129" w:rsidR="00950851" w:rsidRPr="00B357F4" w:rsidRDefault="6BF56572" w:rsidP="00950851">
      <w:r w:rsidRPr="00B357F4">
        <w:rPr>
          <w:b/>
        </w:rPr>
        <w:t>Program se u cijelosti smatra alternativnom mjerom politike u skladu s člankom 12.a, stavkom 4. Zakona o energetskoj učinkovitosti</w:t>
      </w:r>
      <w:r w:rsidRPr="00B357F4">
        <w:t xml:space="preserve"> (</w:t>
      </w:r>
      <w:r w:rsidR="7F106CED" w:rsidRPr="00B357F4">
        <w:t>Narodne novine</w:t>
      </w:r>
      <w:r w:rsidRPr="00B357F4">
        <w:t xml:space="preserve"> br. 127/14, 116/18, 25/20, 32/21, 41/21) te je </w:t>
      </w:r>
      <w:r w:rsidR="34CE2E4D" w:rsidRPr="00B357F4">
        <w:t>Hrvatska</w:t>
      </w:r>
      <w:r w:rsidRPr="00B357F4">
        <w:t xml:space="preserve">, odnosno </w:t>
      </w:r>
      <w:r w:rsidR="00600A2A" w:rsidRPr="00B357F4">
        <w:t xml:space="preserve">provedbeno tijelo </w:t>
      </w:r>
      <w:r w:rsidRPr="00B357F4">
        <w:t xml:space="preserve">u ime </w:t>
      </w:r>
      <w:r w:rsidR="678924EA" w:rsidRPr="00B357F4">
        <w:t>Hrvatske</w:t>
      </w:r>
      <w:r w:rsidRPr="00B357F4">
        <w:t xml:space="preserve">, nositelj ušteda energije. </w:t>
      </w:r>
    </w:p>
    <w:p w14:paraId="76EE5F45" w14:textId="2B7C8D67" w:rsidR="00950851" w:rsidRPr="00B357F4" w:rsidRDefault="6BF56572" w:rsidP="00950851">
      <w:r w:rsidRPr="00B357F4">
        <w:t>Proces izrade ovog Programa bio je participativan. Ministarstvo prostornoga uređenja, graditeljstva i državne imovine (MPGI) oformilo je široko Stručno povjerenstvo za izradu programa energetske obnove zgrada za razdoblje do 2030. godine, koje okuplja tijela državne uprave nadležna za energetiku, socijalnu skrb, strateško planiranje i fondove Europske unije (EU) te kulturnu baštinu, predstavnike regionalnih energetskih agencija, stručnjake i stručna udruženja (ovlašteni energetski certifikatori, projektanti, ostali sudionici u gradnji okupljeni u Hrvatskom savjetu za zelenu gradnju) te financijske institucije, s kojima su održavani tematski sastanci tijekom izrade ovog Programa i čiji su relevantni prijedlozi ugrađeni u ovaj Program. Ovime je osigurana prihvaćenost i provedivost Programa.</w:t>
      </w:r>
    </w:p>
    <w:p w14:paraId="31C9CB49" w14:textId="799AC2A7" w:rsidR="00950851" w:rsidRPr="00B357F4" w:rsidRDefault="6BF56572" w:rsidP="00950851">
      <w:r w:rsidRPr="00B357F4">
        <w:t xml:space="preserve">Program </w:t>
      </w:r>
      <w:r w:rsidR="434494E3" w:rsidRPr="00B357F4">
        <w:t xml:space="preserve">se </w:t>
      </w:r>
      <w:r w:rsidRPr="00B357F4">
        <w:t xml:space="preserve">odnosi na </w:t>
      </w:r>
      <w:r w:rsidR="00336F92">
        <w:t xml:space="preserve">razdoblje </w:t>
      </w:r>
      <w:r w:rsidRPr="00B357F4">
        <w:t xml:space="preserve">do 2030. godine, s ciljanim početkom provedbe svih aktivnosti u 2022. godini. Izvjesno je da će se okolnosti provedbe Programa u ovom razdoblju </w:t>
      </w:r>
      <w:r w:rsidR="00FF0C6D">
        <w:t>mijenjati</w:t>
      </w:r>
      <w:r w:rsidRPr="00B357F4">
        <w:t>, stoga će se  ovaj Program po potrebi revidirati, a njegova provedba temeljit će se na trogodišnjim akcijskim planovima</w:t>
      </w:r>
      <w:r w:rsidR="6DFA3221" w:rsidRPr="00B357F4">
        <w:t xml:space="preserve"> koji se donose odlukom ministra</w:t>
      </w:r>
      <w:r w:rsidRPr="00B357F4">
        <w:t xml:space="preserve">, u kojima će se uvažiti uočeni problemi te će se provedba prilagođavati novonastalim situacijama na tržištu. </w:t>
      </w:r>
      <w:r w:rsidR="4C23209C" w:rsidRPr="00B357F4">
        <w:t>Slijedom navedenog</w:t>
      </w:r>
      <w:r w:rsidR="00FF0C6D">
        <w:t>a</w:t>
      </w:r>
      <w:r w:rsidRPr="00B357F4">
        <w:t xml:space="preserve">, </w:t>
      </w:r>
      <w:r w:rsidRPr="00B357F4">
        <w:rPr>
          <w:b/>
        </w:rPr>
        <w:t>ovaj se Program u provedbenom i financijskom smislu fokusira na sljedeće tri godine, od 2022. do 2024. godine</w:t>
      </w:r>
      <w:r w:rsidRPr="00B357F4">
        <w:t>, što je i u skladu s dinamikom donošenja Nacionalnog akcijskog plana energetske učinkovitosti (</w:t>
      </w:r>
      <w:r w:rsidRPr="00D7774F">
        <w:t>NAPEnU) prema čl</w:t>
      </w:r>
      <w:r w:rsidRPr="00B03C9B">
        <w:t xml:space="preserve">anku 8. Zakona o energetskoj učinkovitosti. </w:t>
      </w:r>
    </w:p>
    <w:p w14:paraId="7EF103C9" w14:textId="30C7D317" w:rsidR="00950851" w:rsidRPr="00B357F4" w:rsidRDefault="00950851" w:rsidP="00950851">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pPr>
      <w:r w:rsidRPr="00B357F4">
        <w:rPr>
          <w:b/>
        </w:rPr>
        <w:t xml:space="preserve">Ovaj Program donosi okvir za poticanje energetske i sveobuhvatne obnove </w:t>
      </w:r>
      <w:r w:rsidR="00904203" w:rsidRPr="00B357F4">
        <w:rPr>
          <w:b/>
        </w:rPr>
        <w:t>ZJS</w:t>
      </w:r>
      <w:r w:rsidRPr="00B357F4">
        <w:rPr>
          <w:b/>
        </w:rPr>
        <w:t xml:space="preserve"> u </w:t>
      </w:r>
      <w:r w:rsidR="00CB6343">
        <w:rPr>
          <w:b/>
        </w:rPr>
        <w:t>Hrvatskoj</w:t>
      </w:r>
      <w:r w:rsidR="00CB6343" w:rsidRPr="00B357F4">
        <w:rPr>
          <w:b/>
        </w:rPr>
        <w:t xml:space="preserve"> </w:t>
      </w:r>
      <w:r w:rsidRPr="00B357F4">
        <w:rPr>
          <w:b/>
        </w:rPr>
        <w:t>u razdoblju do 2030. godine te model i plan provedbe za prvo trogodišnje razdoblje od 2022. do 2024. godine. Zbog brzo mijenjajućih uvjeta na tržištu, prikupljenih iskustava i potencijalnih novih mogućnosti, provedba ovog Programa će se kontinuirano pratiti i ocjenjivati te će se Program po potrebi revidirati</w:t>
      </w:r>
      <w:r w:rsidR="00B55B46" w:rsidRPr="00B357F4">
        <w:rPr>
          <w:b/>
        </w:rPr>
        <w:t>, a svake tri godine donosit će se akcijski planovi  odlukom ministra.</w:t>
      </w:r>
    </w:p>
    <w:p w14:paraId="7F2B2848" w14:textId="77777777" w:rsidR="00950851" w:rsidRPr="00B357F4" w:rsidRDefault="00950851" w:rsidP="00950851"/>
    <w:p w14:paraId="0E24AADB" w14:textId="4B1B90F4" w:rsidR="00AF018F" w:rsidRPr="004B09BD" w:rsidRDefault="004B09BD" w:rsidP="00D95720">
      <w:pPr>
        <w:pStyle w:val="Naslov10"/>
      </w:pPr>
      <w:bookmarkStart w:id="14" w:name="_Toc94769964"/>
      <w:bookmarkStart w:id="15" w:name="_Toc72081594"/>
      <w:bookmarkStart w:id="16" w:name="_Toc72081595"/>
      <w:bookmarkStart w:id="17" w:name="_Toc14786106"/>
      <w:r w:rsidRPr="004B09BD">
        <w:lastRenderedPageBreak/>
        <w:t>Okvir izrade programa</w:t>
      </w:r>
      <w:bookmarkEnd w:id="14"/>
    </w:p>
    <w:p w14:paraId="32AF93B4" w14:textId="04985D15" w:rsidR="00AF018F" w:rsidRPr="00B357F4" w:rsidRDefault="004B09BD" w:rsidP="0000782B">
      <w:pPr>
        <w:pStyle w:val="Naslov20"/>
      </w:pPr>
      <w:bookmarkStart w:id="18" w:name="_Toc94769965"/>
      <w:r w:rsidRPr="00B357F4">
        <w:t>Pregled zakonodavstva u kontekstu energetske učinkovitosti na nacionalnoj i eu razini</w:t>
      </w:r>
      <w:bookmarkEnd w:id="18"/>
    </w:p>
    <w:p w14:paraId="0EC0DAE9" w14:textId="757BB05B" w:rsidR="00B8654D" w:rsidRPr="00252BCC" w:rsidRDefault="004B09BD" w:rsidP="006835A4">
      <w:pPr>
        <w:pStyle w:val="Naslov30"/>
      </w:pPr>
      <w:bookmarkStart w:id="19" w:name="_Toc77953491"/>
      <w:bookmarkStart w:id="20" w:name="_Toc94769966"/>
      <w:bookmarkEnd w:id="15"/>
      <w:r w:rsidRPr="00252BCC">
        <w:t xml:space="preserve">EU </w:t>
      </w:r>
      <w:r w:rsidR="40396AED" w:rsidRPr="00252BCC">
        <w:t>zakonodavstvo iz područja energetske učinkovitosti</w:t>
      </w:r>
      <w:bookmarkEnd w:id="16"/>
      <w:bookmarkEnd w:id="19"/>
      <w:bookmarkEnd w:id="20"/>
      <w:r w:rsidR="40396AED" w:rsidRPr="00252BCC">
        <w:t xml:space="preserve"> </w:t>
      </w:r>
      <w:bookmarkEnd w:id="17"/>
    </w:p>
    <w:p w14:paraId="64E5F318" w14:textId="77777777" w:rsidR="005079C9" w:rsidRPr="00B357F4" w:rsidRDefault="005079C9" w:rsidP="005079C9">
      <w:pPr>
        <w:rPr>
          <w:rFonts w:cs="Tahoma"/>
          <w:szCs w:val="20"/>
        </w:rPr>
      </w:pPr>
      <w:r w:rsidRPr="00B357F4">
        <w:rPr>
          <w:rFonts w:cs="Tahoma"/>
          <w:szCs w:val="20"/>
        </w:rPr>
        <w:t xml:space="preserve">Energetska učinkovitost jedna je od pet dimenzija europske Energetske unije. Kroz načelo „Prvo energetska učinkovitost“ (engl. </w:t>
      </w:r>
      <w:r w:rsidRPr="00B357F4">
        <w:rPr>
          <w:rFonts w:cs="Tahoma"/>
          <w:i/>
          <w:szCs w:val="20"/>
        </w:rPr>
        <w:t>energy efficiency first</w:t>
      </w:r>
      <w:r w:rsidRPr="00B357F4">
        <w:rPr>
          <w:rFonts w:cs="Tahoma"/>
          <w:szCs w:val="20"/>
        </w:rPr>
        <w:t>), Europska unija je prepoznala i potvrdila da je upravo energetska učinkovitost europski najznačajniji izvor energije. Glavne odrednice EU politike energetske učinkovitosti, s fokusom na zgradarstvo, dane su u sljedećim direktivama i uredbama:</w:t>
      </w:r>
    </w:p>
    <w:p w14:paraId="64ABB97B" w14:textId="77777777" w:rsidR="005079C9" w:rsidRPr="00B357F4" w:rsidRDefault="52BCA5DB" w:rsidP="0A6E8DEC">
      <w:pPr>
        <w:pStyle w:val="Odlomakpopisa"/>
        <w:numPr>
          <w:ilvl w:val="0"/>
          <w:numId w:val="28"/>
        </w:numPr>
        <w:tabs>
          <w:tab w:val="left" w:pos="431"/>
        </w:tabs>
        <w:spacing w:before="120" w:after="120"/>
        <w:rPr>
          <w:rFonts w:cs="Tahoma"/>
          <w:i/>
        </w:rPr>
      </w:pPr>
      <w:r w:rsidRPr="00B357F4">
        <w:rPr>
          <w:rFonts w:cs="Tahoma"/>
        </w:rPr>
        <w:t>Direktiva 2012/27/EU Europskog parlamenta i Vijeća od 25. listopada 2012. o energetskoj učinkovitosti, izmjeni direktiva 2009/125/EZ i 2010/30/EU i stavljanju van snage direktiva 2004/8/EZ i 2006/32/EZ (Tekst značajan za EGP) (SL L 315, 14.11.2012.);</w:t>
      </w:r>
      <w:r w:rsidRPr="00B357F4">
        <w:rPr>
          <w:rFonts w:cs="Tahoma"/>
          <w:i/>
        </w:rPr>
        <w:t xml:space="preserve"> </w:t>
      </w:r>
    </w:p>
    <w:p w14:paraId="2AF794C1"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Direktiva (EU) 2018/2002 Europskog parlamenta i Vijeća od 11. prosinca 2018. o izmjeni Direktive 2012/27/EU o energetskoj učinkovitosti (Tekst značajan za EGP) (SL L 328, 21.12.2018.) - (u daljnjem tekstu: Direktiva o energetskoj učinkovitosti);</w:t>
      </w:r>
    </w:p>
    <w:p w14:paraId="77126742"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Direktiva 2010/31/EU Europskog parlamenta i Vijeća od 19. svibnja 2010. o energetskoj učinkovitosti zgrada (Preinaka) (SL L 153, 18.6.2010.);</w:t>
      </w:r>
    </w:p>
    <w:p w14:paraId="18104331"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Direktiva (EU) 2018/844 Europskog parlamenta i Vijeća od 30. svibnja 2018. o izmjeni Direktive 2010/31/EU o energetskim svojstvima zgrada i Direktive 2012/27/EU o energetskoj učinkovitosti (Tekst značajan za EGP) (SL L 156, 19.6.2018.) (u daljnjem tekstu: Direktiva o energetskim svojstvima zgrada) i</w:t>
      </w:r>
    </w:p>
    <w:p w14:paraId="42EE7E26"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 (u daljnjem tekstu: Uredba o upravljanju energetskom unijom i djelovanjem u području klime).</w:t>
      </w:r>
    </w:p>
    <w:p w14:paraId="31F81D84" w14:textId="77777777" w:rsidR="00724A7A" w:rsidRPr="00B357F4" w:rsidRDefault="00724A7A" w:rsidP="00724A7A">
      <w:pPr>
        <w:rPr>
          <w:rFonts w:cs="Tahoma"/>
          <w:szCs w:val="20"/>
        </w:rPr>
      </w:pPr>
      <w:r w:rsidRPr="00B357F4">
        <w:rPr>
          <w:rFonts w:cs="Tahoma"/>
          <w:szCs w:val="20"/>
        </w:rPr>
        <w:t>Najvažnije mjere, definirane u gore navedenim dokumentima, kojima se doprinosi ostvarenju ciljeva energetske učinkovitosti do 2030. godine uključuju sljedeće obveze država članica:</w:t>
      </w:r>
    </w:p>
    <w:p w14:paraId="16912972"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p>
    <w:p w14:paraId="59EFC1BF"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energetska obnova barem 3 % površine zgrada središnje državne uprave godišnje;</w:t>
      </w:r>
    </w:p>
    <w:p w14:paraId="5DE8933A" w14:textId="77777777" w:rsidR="00724A7A" w:rsidRPr="00B357F4" w:rsidRDefault="5018E96F" w:rsidP="3E326D79">
      <w:pPr>
        <w:pStyle w:val="Odlomakpopisa"/>
        <w:numPr>
          <w:ilvl w:val="0"/>
          <w:numId w:val="29"/>
        </w:numPr>
        <w:tabs>
          <w:tab w:val="left" w:pos="431"/>
        </w:tabs>
        <w:spacing w:before="120" w:after="120"/>
        <w:rPr>
          <w:rFonts w:cs="Tahoma"/>
        </w:rPr>
      </w:pPr>
      <w:bookmarkStart w:id="21" w:name="_Hlk74052351"/>
      <w:r w:rsidRPr="00B357F4">
        <w:rPr>
          <w:rFonts w:cs="Tahoma"/>
        </w:rPr>
        <w:t>izrada dugoročne strategije za obnovu zgrada radi dekarbonizacije fonda zgrada do 2050. godine;</w:t>
      </w:r>
      <w:bookmarkEnd w:id="21"/>
    </w:p>
    <w:p w14:paraId="3E6505EA"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 xml:space="preserve">obvezno definiranje minimalnih energetskih standarda (temeljenih na troškovno optimalnoj analizi) za nove zgrade i zgrade koje se obnavljaju te obvezno energetsko certificiranje zgrada javne namjene i svih ostalih zgrada koje se prodaju ili daju u najam; </w:t>
      </w:r>
    </w:p>
    <w:p w14:paraId="44A0C6C9"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redovne kontrole sustava grijanja i klimatizacije;</w:t>
      </w:r>
    </w:p>
    <w:p w14:paraId="66F6F29F"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obveza da sve nove zgrade od 31. prosinca 2020. godine budu zgrade gotovo nulte energije (nZEB standard; za javne zgrade ova obveza počinje s 31. prosincem 2018. godine);</w:t>
      </w:r>
    </w:p>
    <w:p w14:paraId="2AC6A34B" w14:textId="0C99A84B"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priprema integriranih nacionalnih energetsko-klimatskih planova za razdoblje od 2021. do 2030. godine u skladu s Uredbom o upravljanju energetskom unijom i djelovanjem u području klime te izvještavaju o napretku svake dvije godine;</w:t>
      </w:r>
    </w:p>
    <w:p w14:paraId="6354FD26" w14:textId="0665A33A" w:rsidR="004D0983" w:rsidRPr="00B357F4" w:rsidRDefault="5018E96F" w:rsidP="3E326D79">
      <w:pPr>
        <w:pStyle w:val="Odlomakpopisa"/>
        <w:numPr>
          <w:ilvl w:val="0"/>
          <w:numId w:val="29"/>
        </w:numPr>
        <w:tabs>
          <w:tab w:val="left" w:pos="431"/>
        </w:tabs>
        <w:spacing w:before="120" w:after="120"/>
        <w:rPr>
          <w:rFonts w:cs="Tahoma"/>
        </w:rPr>
      </w:pPr>
      <w:r w:rsidRPr="00B357F4">
        <w:rPr>
          <w:rFonts w:cs="Tahoma"/>
        </w:rPr>
        <w:lastRenderedPageBreak/>
        <w:t>primjena pametnih brojila potrošnje električne energije i prirodnog plina te individualnog mjerenja odnosno alokacije troškova za potrošnju toplinske energije iz centraliziranih toplinskih sustava;</w:t>
      </w:r>
    </w:p>
    <w:p w14:paraId="5A7CCDBB" w14:textId="77777777" w:rsidR="00724A7A" w:rsidRPr="00D7774F" w:rsidRDefault="5018E96F" w:rsidP="3E326D79">
      <w:pPr>
        <w:pStyle w:val="Odlomakpopisa"/>
        <w:numPr>
          <w:ilvl w:val="0"/>
          <w:numId w:val="29"/>
        </w:numPr>
        <w:tabs>
          <w:tab w:val="left" w:pos="431"/>
        </w:tabs>
        <w:spacing w:before="120" w:after="120"/>
        <w:rPr>
          <w:rFonts w:cs="Tahoma"/>
        </w:rPr>
      </w:pPr>
      <w:r w:rsidRPr="00B357F4">
        <w:rPr>
          <w:rFonts w:cs="Tahoma"/>
        </w:rPr>
        <w:t>promicanje</w:t>
      </w:r>
      <w:r w:rsidRPr="003020E6">
        <w:rPr>
          <w:rFonts w:cs="Tahoma"/>
        </w:rPr>
        <w:t xml:space="preserve"> uporabe pametnih tehnologija u zgradama;</w:t>
      </w:r>
    </w:p>
    <w:p w14:paraId="00ED613E" w14:textId="77777777" w:rsidR="00724A7A" w:rsidRPr="00B357F4" w:rsidRDefault="5018E96F" w:rsidP="3E326D79">
      <w:pPr>
        <w:pStyle w:val="Odlomakpopisa"/>
        <w:numPr>
          <w:ilvl w:val="0"/>
          <w:numId w:val="29"/>
        </w:numPr>
        <w:tabs>
          <w:tab w:val="left" w:pos="431"/>
        </w:tabs>
        <w:spacing w:before="120" w:after="120"/>
        <w:rPr>
          <w:rFonts w:cs="Tahoma"/>
        </w:rPr>
      </w:pPr>
      <w:r w:rsidRPr="00B03C9B">
        <w:rPr>
          <w:rFonts w:cs="Tahoma"/>
        </w:rPr>
        <w:t xml:space="preserve">minimalni zahtjevi za osiguravanje infrastrukture za e-mobilnost kod izgradnje novih i rekonstrukcije postojećih zgrada; </w:t>
      </w:r>
    </w:p>
    <w:p w14:paraId="2DB846FD"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 xml:space="preserve">provedba energetskih pregleda svake četiri godine za velika poduzeća; </w:t>
      </w:r>
    </w:p>
    <w:p w14:paraId="11882BFC"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zaštita prava potrošača vezano uz pristup jednostavnim i razumljivim informacijama o stvarnoj i povijesnoj potrošnji energije.</w:t>
      </w:r>
    </w:p>
    <w:p w14:paraId="300C19E2" w14:textId="4FC8C5BF" w:rsidR="00724A7A" w:rsidRPr="00B357F4" w:rsidRDefault="5F3615B2" w:rsidP="3E326D79">
      <w:pPr>
        <w:rPr>
          <w:rFonts w:cs="Tahoma"/>
        </w:rPr>
      </w:pPr>
      <w:r w:rsidRPr="00B357F4">
        <w:rPr>
          <w:rFonts w:cs="Tahoma"/>
        </w:rPr>
        <w:t xml:space="preserve">Direktiva o energetskim svojstvima zgrada dodatno osnažuje potrebu za energetskom obnovom cjelokupnog fonda zgrada te obvezuje države članice na izradu </w:t>
      </w:r>
      <w:r w:rsidRPr="00B357F4">
        <w:rPr>
          <w:rFonts w:cs="Tahoma"/>
          <w:b/>
        </w:rPr>
        <w:t>dugoročne strategije obnove zgrada radi dekarbonizacije fonda zgrada do 2050. godine</w:t>
      </w:r>
      <w:r w:rsidRPr="00B357F4">
        <w:rPr>
          <w:rFonts w:cs="Tahoma"/>
        </w:rPr>
        <w:t xml:space="preserve">, koja je temeljni strateški dokument za poticanje energetske i sveobuhvatne obnove zgrada u svakoj državi članici. </w:t>
      </w:r>
    </w:p>
    <w:p w14:paraId="7A07CA6D" w14:textId="77777777" w:rsidR="00B8654D" w:rsidRPr="00B357F4" w:rsidRDefault="00B8654D" w:rsidP="00B8654D">
      <w:r w:rsidRPr="00B357F4">
        <w:t xml:space="preserve">Osim kroz direktive, EU je prepoznala značaj energetske učinkovitosti i energetske obnove zgrade kroz nove inicijative, kratko opisane u nastavku. </w:t>
      </w:r>
    </w:p>
    <w:p w14:paraId="17EDB3E8" w14:textId="69461C3A" w:rsidR="00B8654D" w:rsidRPr="00B357F4" w:rsidRDefault="40396AED" w:rsidP="00B8654D">
      <w:r w:rsidRPr="00B357F4">
        <w:t xml:space="preserve">Sredinom prosinca 2019. godine Europska komisija predstavila je </w:t>
      </w:r>
      <w:r w:rsidRPr="00B357F4">
        <w:rPr>
          <w:b/>
        </w:rPr>
        <w:t xml:space="preserve">Europski zeleni </w:t>
      </w:r>
      <w:r w:rsidR="107A9F2E" w:rsidRPr="00B357F4">
        <w:rPr>
          <w:b/>
        </w:rPr>
        <w:t xml:space="preserve">plan (engl. </w:t>
      </w:r>
      <w:r w:rsidR="107A9F2E" w:rsidRPr="00B357F4">
        <w:rPr>
          <w:b/>
          <w:i/>
        </w:rPr>
        <w:t>Green Deal</w:t>
      </w:r>
      <w:r w:rsidR="107A9F2E" w:rsidRPr="00B357F4">
        <w:rPr>
          <w:b/>
        </w:rPr>
        <w:t>)</w:t>
      </w:r>
      <w:r w:rsidR="00040D18" w:rsidRPr="003020E6">
        <w:rPr>
          <w:rStyle w:val="Referencafusnote"/>
        </w:rPr>
        <w:footnoteReference w:id="2"/>
      </w:r>
      <w:r w:rsidR="107A9F2E" w:rsidRPr="003020E6">
        <w:t xml:space="preserve"> - putokaz za stvaranje održivog gospodarstva Europske unije pretvaranjem klimatskih i okolišnih izazova u mogućnosti u svim političkim područjima i čine</w:t>
      </w:r>
      <w:r w:rsidR="107A9F2E" w:rsidRPr="00B03C9B">
        <w:t>ći tranziciju pravednom i uključivom za sve.</w:t>
      </w:r>
      <w:r w:rsidR="107A9F2E" w:rsidRPr="00B357F4">
        <w:t xml:space="preserve"> Europski zeleni plan</w:t>
      </w:r>
      <w:r w:rsidRPr="00B357F4">
        <w:t xml:space="preserve"> daje smjernice aktivnostima za poticanje učinkovite upotrebe resursa prelaskom na čisto, kružno gospodarstvo i zaustavljanje klimatskih promjena, vraćanje gubitka biološke raznolikosti i smanjenje zagađenja. Opisuje potrebna ulaganja i dostupne alate za financiranje te pojašnjava kako osigurati pravednu i uključivu tranziciju. Cilj Europske unije je postati klimatski neutralna 2050. godine. Postizanje ovog cilja zahtijevat će djelovanje svih sektora gospodarstva, uključujući:</w:t>
      </w:r>
    </w:p>
    <w:p w14:paraId="27BD5F92" w14:textId="77777777" w:rsidR="00FA4F9F" w:rsidRPr="00B357F4" w:rsidRDefault="25B9355E" w:rsidP="3E326D79">
      <w:pPr>
        <w:pStyle w:val="Odlomakpopisa"/>
        <w:numPr>
          <w:ilvl w:val="0"/>
          <w:numId w:val="47"/>
        </w:numPr>
        <w:spacing w:before="120" w:after="120"/>
        <w:rPr>
          <w:rFonts w:cs="Tahoma"/>
        </w:rPr>
      </w:pPr>
      <w:r w:rsidRPr="00B357F4">
        <w:rPr>
          <w:rFonts w:cs="Tahoma"/>
        </w:rPr>
        <w:t>ulaganje u ekološki prihvatljive tehnologije,</w:t>
      </w:r>
    </w:p>
    <w:p w14:paraId="2708362A" w14:textId="77777777" w:rsidR="00FA4F9F" w:rsidRPr="00B357F4" w:rsidRDefault="25B9355E" w:rsidP="3E326D79">
      <w:pPr>
        <w:pStyle w:val="Odlomakpopisa"/>
        <w:numPr>
          <w:ilvl w:val="0"/>
          <w:numId w:val="47"/>
        </w:numPr>
        <w:spacing w:before="120" w:after="120"/>
        <w:rPr>
          <w:rFonts w:cs="Tahoma"/>
        </w:rPr>
      </w:pPr>
      <w:r w:rsidRPr="00B357F4">
        <w:rPr>
          <w:rFonts w:cs="Tahoma"/>
        </w:rPr>
        <w:t>podrška industriji za inovacije i smanjenje CO</w:t>
      </w:r>
      <w:r w:rsidRPr="00B357F4">
        <w:rPr>
          <w:rFonts w:cs="Tahoma"/>
          <w:vertAlign w:val="subscript"/>
        </w:rPr>
        <w:t xml:space="preserve">2 </w:t>
      </w:r>
      <w:r w:rsidRPr="00B357F4">
        <w:rPr>
          <w:rFonts w:cs="Tahoma"/>
        </w:rPr>
        <w:t>otiska i svih onečišćenja,</w:t>
      </w:r>
    </w:p>
    <w:p w14:paraId="01129FBC" w14:textId="77777777" w:rsidR="00FA4F9F" w:rsidRPr="00B357F4" w:rsidRDefault="25B9355E" w:rsidP="3E326D79">
      <w:pPr>
        <w:pStyle w:val="Odlomakpopisa"/>
        <w:numPr>
          <w:ilvl w:val="0"/>
          <w:numId w:val="47"/>
        </w:numPr>
        <w:spacing w:before="120" w:after="120"/>
        <w:rPr>
          <w:rFonts w:cs="Tahoma"/>
        </w:rPr>
      </w:pPr>
      <w:r w:rsidRPr="00B357F4">
        <w:rPr>
          <w:rFonts w:cs="Tahoma"/>
        </w:rPr>
        <w:t>uvođenje čistijih, jeftinijih i zdravijih oblika privatnog i javnog prijevoza,</w:t>
      </w:r>
    </w:p>
    <w:p w14:paraId="4286A4CC" w14:textId="77777777" w:rsidR="00FA4F9F" w:rsidRPr="00B357F4" w:rsidRDefault="25B9355E" w:rsidP="3E326D79">
      <w:pPr>
        <w:pStyle w:val="Odlomakpopisa"/>
        <w:numPr>
          <w:ilvl w:val="0"/>
          <w:numId w:val="47"/>
        </w:numPr>
        <w:spacing w:before="120" w:after="120"/>
        <w:rPr>
          <w:rFonts w:cs="Tahoma"/>
        </w:rPr>
      </w:pPr>
      <w:r w:rsidRPr="00B357F4">
        <w:rPr>
          <w:rFonts w:cs="Tahoma"/>
        </w:rPr>
        <w:t>dekarbonizacija energetskog sektora i osiguranje dostupnosti čiste energije,</w:t>
      </w:r>
    </w:p>
    <w:p w14:paraId="426CF41C" w14:textId="77777777" w:rsidR="00FA4F9F" w:rsidRPr="00B357F4" w:rsidRDefault="25B9355E" w:rsidP="3E326D79">
      <w:pPr>
        <w:pStyle w:val="Odlomakpopisa"/>
        <w:numPr>
          <w:ilvl w:val="0"/>
          <w:numId w:val="47"/>
        </w:numPr>
        <w:spacing w:before="120" w:after="120"/>
        <w:rPr>
          <w:rFonts w:cs="Tahoma"/>
        </w:rPr>
      </w:pPr>
      <w:r w:rsidRPr="00B357F4">
        <w:rPr>
          <w:rFonts w:cs="Tahoma"/>
        </w:rPr>
        <w:t>osiguravanje zgrada energetski učinkovitijim,</w:t>
      </w:r>
    </w:p>
    <w:p w14:paraId="68DDBED8" w14:textId="77777777" w:rsidR="00FA4F9F" w:rsidRPr="00B357F4" w:rsidRDefault="25B9355E" w:rsidP="3E326D79">
      <w:pPr>
        <w:pStyle w:val="Odlomakpopisa"/>
        <w:numPr>
          <w:ilvl w:val="0"/>
          <w:numId w:val="47"/>
        </w:numPr>
        <w:spacing w:before="120" w:after="120"/>
        <w:rPr>
          <w:rFonts w:cs="Tahoma"/>
        </w:rPr>
      </w:pPr>
      <w:r w:rsidRPr="00B357F4">
        <w:rPr>
          <w:rFonts w:cs="Tahoma"/>
        </w:rPr>
        <w:t>suradnja s međunarodnim partnerima na poboljšanju globalnih ekoloških standarda te</w:t>
      </w:r>
    </w:p>
    <w:p w14:paraId="1DEF5B28" w14:textId="77777777" w:rsidR="00FA4F9F" w:rsidRPr="00B357F4" w:rsidRDefault="25B9355E" w:rsidP="3E326D79">
      <w:pPr>
        <w:pStyle w:val="Odlomakpopisa"/>
        <w:numPr>
          <w:ilvl w:val="0"/>
          <w:numId w:val="47"/>
        </w:numPr>
        <w:spacing w:before="120" w:after="120"/>
        <w:rPr>
          <w:rFonts w:cs="Tahoma"/>
        </w:rPr>
      </w:pPr>
      <w:r w:rsidRPr="00B357F4">
        <w:rPr>
          <w:rFonts w:cs="Tahoma"/>
        </w:rPr>
        <w:t>borba protiv klimatskih promjena.</w:t>
      </w:r>
    </w:p>
    <w:p w14:paraId="1F1653CA" w14:textId="28FA4B59" w:rsidR="00B8654D" w:rsidRPr="00B357F4" w:rsidRDefault="40396AED" w:rsidP="00B8654D">
      <w:r w:rsidRPr="00B357F4">
        <w:t xml:space="preserve">EU će također pružiti financijsku podršku i tehničku pomoć onima koji su najviše pogođeni tranzicijom prema zelenom gospodarstvu, tzv. </w:t>
      </w:r>
      <w:r w:rsidRPr="00B357F4">
        <w:rPr>
          <w:b/>
        </w:rPr>
        <w:t>Mehanizam pravedne tranzicije</w:t>
      </w:r>
      <w:r w:rsidRPr="00B357F4">
        <w:t xml:space="preserve">. Pomoći će mobilizirati najmanje 100 milijardi eura tijekom razdoblja 2021. - 2027. </w:t>
      </w:r>
      <w:r w:rsidR="6DD5B4F7" w:rsidRPr="00B357F4">
        <w:t xml:space="preserve">godine </w:t>
      </w:r>
      <w:r w:rsidRPr="00B357F4">
        <w:t>u najviše pogođenim regijama.</w:t>
      </w:r>
    </w:p>
    <w:p w14:paraId="369928DA" w14:textId="77777777" w:rsidR="00040D18" w:rsidRPr="00B357F4" w:rsidRDefault="00040D18" w:rsidP="00040D18">
      <w:r w:rsidRPr="00B357F4">
        <w:t xml:space="preserve">U svjetlu aktivnosti koje je Europska unija pokrenula Zelenim planom, poseban značaj za energetsku obnovu zgrada ima usvajanje </w:t>
      </w:r>
      <w:r w:rsidRPr="00B357F4">
        <w:rPr>
          <w:b/>
        </w:rPr>
        <w:t xml:space="preserve">Inicijative vala obnove (engl. </w:t>
      </w:r>
      <w:r w:rsidRPr="00B357F4">
        <w:rPr>
          <w:rFonts w:cs="Times New Roman"/>
          <w:b/>
          <w:i/>
        </w:rPr>
        <w:t>Renovation wave</w:t>
      </w:r>
      <w:r w:rsidRPr="00B357F4">
        <w:rPr>
          <w:rFonts w:cs="Times New Roman"/>
        </w:rPr>
        <w:t>)</w:t>
      </w:r>
      <w:r w:rsidRPr="003020E6">
        <w:rPr>
          <w:rStyle w:val="Referencafusnote"/>
        </w:rPr>
        <w:footnoteReference w:id="3"/>
      </w:r>
      <w:r w:rsidRPr="003020E6">
        <w:t xml:space="preserve"> </w:t>
      </w:r>
      <w:r w:rsidRPr="00D7774F">
        <w:t>14. listopada 2020. godine.</w:t>
      </w:r>
      <w:r w:rsidRPr="00B03C9B">
        <w:t xml:space="preserve"> Val obnove je  inicij</w:t>
      </w:r>
      <w:r w:rsidRPr="00B357F4">
        <w:t xml:space="preserve">ativa za pokretanje dekarbonizacije zgrada u Europi. Cilj inicijative je </w:t>
      </w:r>
      <w:r w:rsidRPr="00B357F4">
        <w:rPr>
          <w:b/>
        </w:rPr>
        <w:t>barem udvostručiti godišnju stopu energetske obnove stambenih i nestambenih zgrada do 2030. godine</w:t>
      </w:r>
      <w:r w:rsidRPr="00B357F4">
        <w:t xml:space="preserve"> i </w:t>
      </w:r>
      <w:r w:rsidRPr="00B357F4">
        <w:rPr>
          <w:b/>
        </w:rPr>
        <w:t>poticati dubinske energetske obnove</w:t>
      </w:r>
      <w:r w:rsidRPr="00B357F4">
        <w:t xml:space="preserve">. Kako bi se to postiglo, strategija prepoznaje sedam područja intervencije s vodećim akcijama koje su ključne za omogućavanje takvih razmjera obnove, od kojih se tri smatraju prioritetom za politiku i financiranje: </w:t>
      </w:r>
    </w:p>
    <w:p w14:paraId="2CC0FD13" w14:textId="45761608" w:rsidR="00B8654D" w:rsidRPr="00B357F4" w:rsidRDefault="4DBD31EE" w:rsidP="00725AB0">
      <w:pPr>
        <w:pStyle w:val="Odlomakpopisa"/>
        <w:keepLines w:val="0"/>
        <w:numPr>
          <w:ilvl w:val="0"/>
          <w:numId w:val="32"/>
        </w:numPr>
        <w:suppressAutoHyphens w:val="0"/>
        <w:spacing w:before="120" w:after="0"/>
      </w:pPr>
      <w:r w:rsidRPr="00B357F4">
        <w:t>rješavanje</w:t>
      </w:r>
      <w:r w:rsidR="02BD7AF3" w:rsidRPr="00B357F4">
        <w:t xml:space="preserve"> energetskog siromaštva; </w:t>
      </w:r>
    </w:p>
    <w:p w14:paraId="02B99F7E" w14:textId="77777777" w:rsidR="00B8654D" w:rsidRPr="00B357F4" w:rsidRDefault="02BD7AF3" w:rsidP="00725AB0">
      <w:pPr>
        <w:pStyle w:val="Odlomakpopisa"/>
        <w:keepLines w:val="0"/>
        <w:numPr>
          <w:ilvl w:val="0"/>
          <w:numId w:val="32"/>
        </w:numPr>
        <w:suppressAutoHyphens w:val="0"/>
        <w:spacing w:before="120" w:after="0"/>
      </w:pPr>
      <w:r w:rsidRPr="00B357F4">
        <w:t xml:space="preserve">obnavljanje javnih zgrada i </w:t>
      </w:r>
    </w:p>
    <w:p w14:paraId="2628533B" w14:textId="77777777" w:rsidR="00B8654D" w:rsidRPr="00B357F4" w:rsidRDefault="02BD7AF3" w:rsidP="00725AB0">
      <w:pPr>
        <w:pStyle w:val="Odlomakpopisa"/>
        <w:keepLines w:val="0"/>
        <w:numPr>
          <w:ilvl w:val="0"/>
          <w:numId w:val="32"/>
        </w:numPr>
        <w:suppressAutoHyphens w:val="0"/>
        <w:spacing w:before="120" w:after="0"/>
      </w:pPr>
      <w:r w:rsidRPr="00B357F4">
        <w:t>dekarbonizacija grijanja i hlađenja.</w:t>
      </w:r>
    </w:p>
    <w:p w14:paraId="740DC996" w14:textId="46F030A4" w:rsidR="00B8654D" w:rsidRPr="00B357F4" w:rsidRDefault="00B8654D" w:rsidP="00B8654D">
      <w:r w:rsidRPr="00B357F4">
        <w:t xml:space="preserve">Ovime se prepoznaje da se obnova zgrada ne može dogoditi sama, već mora ići istovremeno s dekarbonizacijom opskrbe grijanjem i hlađenjem. </w:t>
      </w:r>
      <w:r w:rsidR="00040D18" w:rsidRPr="00B357F4">
        <w:t>Inicijativa</w:t>
      </w:r>
      <w:r w:rsidRPr="00B357F4">
        <w:t xml:space="preserve"> također poziva na integraciju obnovljivih izvora energije (OIE), za proizvodnju energije za pokrivanje vlastite potrošnje. </w:t>
      </w:r>
      <w:r w:rsidR="00040D18" w:rsidRPr="00B357F4">
        <w:t>Inicijativa</w:t>
      </w:r>
      <w:r w:rsidRPr="00B357F4">
        <w:t xml:space="preserve"> također prepoznaje još </w:t>
      </w:r>
      <w:r w:rsidRPr="00B357F4">
        <w:lastRenderedPageBreak/>
        <w:t>jedan važan koncept, a to je potreba za usvajanjem lokalnog (</w:t>
      </w:r>
      <w:r w:rsidR="00E361DE">
        <w:t>regionalnog</w:t>
      </w:r>
      <w:r w:rsidRPr="00B357F4">
        <w:t>/podru</w:t>
      </w:r>
      <w:r w:rsidR="002247A1" w:rsidRPr="00B357F4">
        <w:t>č</w:t>
      </w:r>
      <w:r w:rsidRPr="00B357F4">
        <w:t>nog/</w:t>
      </w:r>
      <w:r w:rsidR="00E361DE">
        <w:t>lokalnog</w:t>
      </w:r>
      <w:r w:rsidRPr="00B357F4">
        <w:t>) pristupa. Posebno naglašava da rješavanje izazova obnove na ovoj razini omogućuje združivanje projekata i realizaciju obnova energetskih četvrti sustavima poput daljinskog grijanja i hlađenja</w:t>
      </w:r>
      <w:r w:rsidR="00E361DE">
        <w:t>, te korištenja OIE</w:t>
      </w:r>
      <w:r w:rsidRPr="00B357F4">
        <w:t>.</w:t>
      </w:r>
    </w:p>
    <w:p w14:paraId="7D226FA2" w14:textId="77777777" w:rsidR="00B8654D" w:rsidRPr="00B357F4" w:rsidRDefault="40396AED" w:rsidP="006A415A">
      <w:pPr>
        <w:pStyle w:val="Naslov30"/>
      </w:pPr>
      <w:bookmarkStart w:id="22" w:name="_Toc14786107"/>
      <w:bookmarkStart w:id="23" w:name="_Toc77953492"/>
      <w:bookmarkStart w:id="24" w:name="_Toc94769967"/>
      <w:r w:rsidRPr="00B357F4">
        <w:t>Nacionalno zakonodavstvo iz područja energetske učinkovitosti</w:t>
      </w:r>
      <w:bookmarkEnd w:id="22"/>
      <w:bookmarkEnd w:id="23"/>
      <w:bookmarkEnd w:id="24"/>
      <w:r w:rsidRPr="00B357F4">
        <w:t xml:space="preserve"> </w:t>
      </w:r>
    </w:p>
    <w:p w14:paraId="2D219988" w14:textId="7C6F4401" w:rsidR="00B8654D" w:rsidRPr="00B357F4" w:rsidRDefault="40396AED" w:rsidP="00B8654D">
      <w:r w:rsidRPr="00B357F4">
        <w:t>Područje energetske učinkovitosti u zgradarstvu, koje je fokus ovog Programa, u Republici Hrvatskoj regulirano je Zakonom o energetskoj učinkovitosti (</w:t>
      </w:r>
      <w:r w:rsidR="32CBC715" w:rsidRPr="00B357F4">
        <w:t>Narodne novine</w:t>
      </w:r>
      <w:r w:rsidR="00877984">
        <w:t>,</w:t>
      </w:r>
      <w:r w:rsidRPr="00B357F4">
        <w:t xml:space="preserve"> br</w:t>
      </w:r>
      <w:r w:rsidR="00877984">
        <w:t>oj</w:t>
      </w:r>
      <w:r w:rsidRPr="00B357F4">
        <w:t xml:space="preserve"> 127/14, 116/18, 25/20, 32/21, 41/21), Zakonom o gradnji (</w:t>
      </w:r>
      <w:r w:rsidR="245F020E" w:rsidRPr="00B357F4">
        <w:t>Narodne novine</w:t>
      </w:r>
      <w:r w:rsidR="00877984">
        <w:t>,</w:t>
      </w:r>
      <w:r w:rsidRPr="00B357F4">
        <w:t xml:space="preserve"> br</w:t>
      </w:r>
      <w:r w:rsidR="00877984">
        <w:t>oj</w:t>
      </w:r>
      <w:r w:rsidRPr="00B357F4">
        <w:t xml:space="preserve"> 153/13, 20/17, 39/19, 125/19), i podzakonskim aktima koji slijede iz tih Zakona. Navedenim se zakonima i propisima u Hrvatskoj </w:t>
      </w:r>
      <w:r w:rsidR="107A9F2E" w:rsidRPr="00B357F4">
        <w:t>ispunjavaju</w:t>
      </w:r>
      <w:r w:rsidRPr="00B357F4">
        <w:t xml:space="preserve"> zahtjevi prethodno navedenih EU direktiva.</w:t>
      </w:r>
    </w:p>
    <w:p w14:paraId="7D0BBDA9" w14:textId="1D01971A" w:rsidR="00B8654D" w:rsidRPr="00D7774F" w:rsidRDefault="00B8654D" w:rsidP="00B8654D">
      <w:r w:rsidRPr="00B357F4">
        <w:t xml:space="preserve">Pregled zakonskih odredbi i podzakonskih akata daje </w:t>
      </w:r>
      <w:r w:rsidRPr="00D7774F">
        <w:fldChar w:fldCharType="begin"/>
      </w:r>
      <w:r w:rsidRPr="00B357F4">
        <w:instrText xml:space="preserve"> REF _Ref5190098 \h </w:instrText>
      </w:r>
      <w:r w:rsidRPr="00D7774F">
        <w:fldChar w:fldCharType="separate"/>
      </w:r>
      <w:r w:rsidR="0023635D" w:rsidRPr="00216155">
        <w:t xml:space="preserve">Tablica </w:t>
      </w:r>
      <w:r w:rsidR="0023635D">
        <w:rPr>
          <w:noProof/>
        </w:rPr>
        <w:t>2</w:t>
      </w:r>
      <w:r w:rsidR="0023635D">
        <w:noBreakHyphen/>
      </w:r>
      <w:r w:rsidR="0023635D">
        <w:rPr>
          <w:noProof/>
        </w:rPr>
        <w:t>1</w:t>
      </w:r>
      <w:r w:rsidRPr="00D7774F">
        <w:fldChar w:fldCharType="end"/>
      </w:r>
      <w:r w:rsidRPr="003020E6">
        <w:t xml:space="preserve">. </w:t>
      </w:r>
    </w:p>
    <w:p w14:paraId="4677F2A2" w14:textId="5CB865A5" w:rsidR="00040D18" w:rsidRPr="00B357F4" w:rsidRDefault="40396AED" w:rsidP="00040D18">
      <w:pPr>
        <w:pStyle w:val="Opisslike"/>
      </w:pPr>
      <w:bookmarkStart w:id="25" w:name="_Ref5190098"/>
      <w:bookmarkStart w:id="26" w:name="_Toc14786190"/>
      <w:bookmarkStart w:id="27" w:name="_Toc77953135"/>
      <w:bookmarkStart w:id="28" w:name="_Toc87949880"/>
      <w:r w:rsidRPr="00216155">
        <w:t xml:space="preserve">Tablica </w:t>
      </w:r>
      <w:r>
        <w:fldChar w:fldCharType="begin"/>
      </w:r>
      <w:r>
        <w:instrText>STYLEREF 1 \s</w:instrText>
      </w:r>
      <w:r>
        <w:fldChar w:fldCharType="separate"/>
      </w:r>
      <w:r w:rsidR="0023635D">
        <w:rPr>
          <w:noProof/>
        </w:rPr>
        <w:t>2</w:t>
      </w:r>
      <w:r>
        <w:fldChar w:fldCharType="end"/>
      </w:r>
      <w:r w:rsidR="00166B1A">
        <w:noBreakHyphen/>
      </w:r>
      <w:r>
        <w:fldChar w:fldCharType="begin"/>
      </w:r>
      <w:r>
        <w:instrText>SEQ Tablica \* ARABIC \s 1</w:instrText>
      </w:r>
      <w:r>
        <w:fldChar w:fldCharType="separate"/>
      </w:r>
      <w:r w:rsidR="0023635D">
        <w:rPr>
          <w:noProof/>
        </w:rPr>
        <w:t>1</w:t>
      </w:r>
      <w:r>
        <w:fldChar w:fldCharType="end"/>
      </w:r>
      <w:bookmarkEnd w:id="25"/>
      <w:bookmarkEnd w:id="26"/>
      <w:r w:rsidR="107A9F2E" w:rsidRPr="003020E6">
        <w:t xml:space="preserve">: Pregled zakonskih odredbi i podzakonskih akata energetske učinkovitosti u </w:t>
      </w:r>
      <w:bookmarkEnd w:id="27"/>
      <w:r w:rsidR="6034E1F5" w:rsidRPr="00B357F4">
        <w:t>Hrvatskoj</w:t>
      </w:r>
      <w:bookmarkEnd w:id="28"/>
    </w:p>
    <w:tbl>
      <w:tblPr>
        <w:tblStyle w:val="Svijetlatablicareetke110"/>
        <w:tblW w:w="5000" w:type="pct"/>
        <w:tblLook w:val="04A0" w:firstRow="1" w:lastRow="0" w:firstColumn="1" w:lastColumn="0" w:noHBand="0" w:noVBand="1"/>
      </w:tblPr>
      <w:tblGrid>
        <w:gridCol w:w="9344"/>
      </w:tblGrid>
      <w:tr w:rsidR="009C62D7" w:rsidRPr="00B357F4" w14:paraId="6C9FBAAF" w14:textId="77777777" w:rsidTr="0A6E8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7AAC049" w14:textId="0A4F2F89" w:rsidR="009C62D7" w:rsidRPr="00B357F4" w:rsidRDefault="75ADE9FE" w:rsidP="00725AB0">
            <w:pPr>
              <w:pStyle w:val="Odlomakpopisa"/>
              <w:numPr>
                <w:ilvl w:val="0"/>
                <w:numId w:val="30"/>
              </w:numPr>
              <w:ind w:left="22" w:firstLine="0"/>
              <w:jc w:val="center"/>
              <w:rPr>
                <w:rFonts w:cs="Tahoma"/>
                <w:color w:val="FFFFFF" w:themeColor="background1"/>
                <w:sz w:val="18"/>
                <w:szCs w:val="18"/>
              </w:rPr>
            </w:pPr>
            <w:r w:rsidRPr="00B357F4">
              <w:rPr>
                <w:rFonts w:cs="Tahoma"/>
                <w:sz w:val="18"/>
                <w:szCs w:val="18"/>
              </w:rPr>
              <w:t>Zakon o energetskoj učinkovitosti</w:t>
            </w:r>
          </w:p>
        </w:tc>
      </w:tr>
      <w:tr w:rsidR="009C62D7" w:rsidRPr="00B357F4" w14:paraId="464AE6A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6C9C9AE" w14:textId="210F7030" w:rsidR="009C62D7" w:rsidRPr="00B357F4" w:rsidRDefault="009C62D7" w:rsidP="00142C2C">
            <w:pPr>
              <w:spacing w:before="60" w:after="60"/>
              <w:rPr>
                <w:rFonts w:cs="Tahoma"/>
                <w:b w:val="0"/>
                <w:sz w:val="18"/>
                <w:szCs w:val="18"/>
              </w:rPr>
            </w:pPr>
            <w:r w:rsidRPr="00B357F4">
              <w:rPr>
                <w:rFonts w:cs="Tahoma"/>
                <w:b w:val="0"/>
                <w:sz w:val="18"/>
                <w:szCs w:val="18"/>
              </w:rPr>
              <w:t>Obveza Vlade RH da usvoji Nacionalni akcijski plan energetske učinkovitosti (NAPEnU) za trogodišnje razdoblje s mjerama koje će se provoditi na cijelom području</w:t>
            </w:r>
            <w:r w:rsidR="006A415A">
              <w:rPr>
                <w:rFonts w:cs="Tahoma"/>
                <w:b w:val="0"/>
                <w:sz w:val="18"/>
                <w:szCs w:val="18"/>
              </w:rPr>
              <w:t xml:space="preserve"> Republike</w:t>
            </w:r>
            <w:r w:rsidRPr="00B357F4">
              <w:rPr>
                <w:rFonts w:cs="Tahoma"/>
                <w:b w:val="0"/>
                <w:sz w:val="18"/>
                <w:szCs w:val="18"/>
              </w:rPr>
              <w:t xml:space="preserve"> </w:t>
            </w:r>
            <w:r w:rsidR="00537989">
              <w:rPr>
                <w:rFonts w:cs="Tahoma"/>
                <w:b w:val="0"/>
                <w:sz w:val="18"/>
                <w:szCs w:val="18"/>
              </w:rPr>
              <w:t>Hrvatske</w:t>
            </w:r>
            <w:r w:rsidR="00537989" w:rsidRPr="00B357F4">
              <w:rPr>
                <w:rFonts w:cs="Tahoma"/>
                <w:b w:val="0"/>
                <w:sz w:val="18"/>
                <w:szCs w:val="18"/>
              </w:rPr>
              <w:t xml:space="preserve"> </w:t>
            </w:r>
            <w:r w:rsidRPr="00B357F4">
              <w:rPr>
                <w:rFonts w:cs="Tahoma"/>
                <w:b w:val="0"/>
                <w:sz w:val="18"/>
                <w:szCs w:val="18"/>
              </w:rPr>
              <w:t xml:space="preserve">u skladu s </w:t>
            </w:r>
            <w:r w:rsidRPr="00B357F4">
              <w:rPr>
                <w:rFonts w:cs="Tahoma"/>
                <w:sz w:val="18"/>
                <w:szCs w:val="18"/>
              </w:rPr>
              <w:t>Integriranim nacionalnim energetskim i klimatskim planom (NEKP)</w:t>
            </w:r>
            <w:r w:rsidRPr="00B357F4">
              <w:rPr>
                <w:rFonts w:cs="Tahoma"/>
                <w:b w:val="0"/>
                <w:sz w:val="18"/>
                <w:szCs w:val="18"/>
              </w:rPr>
              <w:t xml:space="preserve">, kojim se definiraju alternativne mjere politike uključujući mjere za osiguranje </w:t>
            </w:r>
            <w:r w:rsidRPr="00B357F4">
              <w:rPr>
                <w:rFonts w:cs="Tahoma"/>
                <w:sz w:val="18"/>
                <w:szCs w:val="18"/>
              </w:rPr>
              <w:t>godišnje obnove 3% ukupne površine poda grijanih i/ili hlađenih zgrada u vlasništvu i uporabi središnje vlasti</w:t>
            </w:r>
          </w:p>
        </w:tc>
      </w:tr>
      <w:tr w:rsidR="009C62D7" w:rsidRPr="00B357F4" w14:paraId="3A4452B3"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27FC20D" w14:textId="77777777" w:rsidR="009C62D7" w:rsidRPr="00B357F4" w:rsidRDefault="009C62D7" w:rsidP="00142C2C">
            <w:pPr>
              <w:spacing w:before="60" w:after="60"/>
              <w:rPr>
                <w:rFonts w:cs="Tahoma"/>
                <w:b w:val="0"/>
                <w:sz w:val="18"/>
                <w:szCs w:val="18"/>
              </w:rPr>
            </w:pPr>
            <w:r w:rsidRPr="00B357F4">
              <w:rPr>
                <w:rFonts w:cs="Tahoma"/>
                <w:b w:val="0"/>
                <w:sz w:val="18"/>
                <w:szCs w:val="18"/>
              </w:rPr>
              <w:t xml:space="preserve">Obveza županija i velikih gradova (&gt; 35.000 stanovnika) da donose Akcijske planove (trogodišnje) i godišnje planove energetske učinkovitosti </w:t>
            </w:r>
          </w:p>
        </w:tc>
      </w:tr>
      <w:tr w:rsidR="009C62D7" w:rsidRPr="00B357F4" w14:paraId="3B87463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6A257F08" w14:textId="77777777" w:rsidR="009C62D7" w:rsidRPr="00B357F4" w:rsidRDefault="009C62D7" w:rsidP="00142C2C">
            <w:pPr>
              <w:spacing w:before="60" w:after="60"/>
              <w:rPr>
                <w:rFonts w:cs="Tahoma"/>
                <w:b w:val="0"/>
                <w:sz w:val="18"/>
                <w:szCs w:val="18"/>
              </w:rPr>
            </w:pPr>
            <w:r w:rsidRPr="00B357F4">
              <w:rPr>
                <w:rFonts w:cs="Tahoma"/>
                <w:b w:val="0"/>
                <w:sz w:val="18"/>
                <w:szCs w:val="18"/>
              </w:rPr>
              <w:t>Sustav obveze energetske učinkovitosti za opskrbljivače energije – potiče se provedba mjera energetske učinkovitosti u kućanstvima pogođenima energetskim siromaštvom ili u socijalnim prostorima za stanovanje</w:t>
            </w:r>
          </w:p>
        </w:tc>
      </w:tr>
      <w:tr w:rsidR="009C62D7" w:rsidRPr="00B357F4" w14:paraId="763E240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F9DDD43" w14:textId="77777777" w:rsidR="009C62D7" w:rsidRPr="00B357F4" w:rsidRDefault="009C62D7" w:rsidP="00142C2C">
            <w:pPr>
              <w:spacing w:before="60" w:after="60"/>
              <w:rPr>
                <w:rFonts w:cs="Tahoma"/>
                <w:b w:val="0"/>
                <w:sz w:val="18"/>
                <w:szCs w:val="18"/>
              </w:rPr>
            </w:pPr>
            <w:r w:rsidRPr="00B357F4">
              <w:rPr>
                <w:rFonts w:cs="Tahoma"/>
                <w:b w:val="0"/>
                <w:sz w:val="18"/>
                <w:szCs w:val="18"/>
              </w:rPr>
              <w:t xml:space="preserve">Obveze opskrbljivača o mjerenju i obračunavanju potrošnje te informiranju kupaca o prethodnoj potrošnji, što obuhvaća usporedbu s prosječnim uobičajenim ili referentnim krajnjim kupcem iz iste kategorije krajnjih kupaca </w:t>
            </w:r>
          </w:p>
        </w:tc>
      </w:tr>
      <w:tr w:rsidR="009C62D7" w:rsidRPr="00B357F4" w14:paraId="21C48555"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8F95F29" w14:textId="77777777" w:rsidR="009C62D7" w:rsidRPr="00B357F4" w:rsidRDefault="009C62D7" w:rsidP="00142C2C">
            <w:pPr>
              <w:spacing w:before="60" w:after="60"/>
              <w:rPr>
                <w:rFonts w:cs="Tahoma"/>
                <w:b w:val="0"/>
                <w:sz w:val="18"/>
                <w:szCs w:val="18"/>
              </w:rPr>
            </w:pPr>
            <w:r w:rsidRPr="00B357F4">
              <w:rPr>
                <w:rFonts w:cs="Tahoma"/>
                <w:b w:val="0"/>
                <w:sz w:val="18"/>
                <w:szCs w:val="18"/>
              </w:rPr>
              <w:t>Obveze distributera energije da podatke o mjerenju i potrošnji energije u javnom sektoru unose na mjesečnoj razini u nacionalni informacijski sustav za gospodarenje energijom (ISGE) te da osiguraju pojedinačna brojila krajnjim kupcima</w:t>
            </w:r>
          </w:p>
        </w:tc>
      </w:tr>
      <w:tr w:rsidR="009C62D7" w:rsidRPr="00B357F4" w14:paraId="115E103D"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0B3BD4C4" w14:textId="77777777" w:rsidR="009C62D7" w:rsidRPr="00B357F4" w:rsidRDefault="009C62D7" w:rsidP="00142C2C">
            <w:pPr>
              <w:spacing w:before="60" w:after="60"/>
              <w:rPr>
                <w:rFonts w:cs="Tahoma"/>
                <w:b w:val="0"/>
                <w:sz w:val="18"/>
                <w:szCs w:val="18"/>
              </w:rPr>
            </w:pPr>
            <w:r w:rsidRPr="00B357F4">
              <w:rPr>
                <w:rFonts w:cs="Tahoma"/>
                <w:b w:val="0"/>
                <w:sz w:val="18"/>
                <w:szCs w:val="18"/>
              </w:rPr>
              <w:t>Obveze regulatornog tijela za energetiku da osigura poticanje energetske učinkovitosti kroz tarife te da osigura poticaje za poboljšanje učinkovitosti u planiranju i radu infrastrukture za prirodni plin i električnu energiju</w:t>
            </w:r>
          </w:p>
        </w:tc>
      </w:tr>
      <w:tr w:rsidR="009C62D7" w:rsidRPr="00B357F4" w14:paraId="359D3EE5"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60A1AE01" w14:textId="77777777" w:rsidR="009C62D7" w:rsidRPr="00B357F4" w:rsidRDefault="009C62D7" w:rsidP="00142C2C">
            <w:pPr>
              <w:spacing w:before="60" w:after="60"/>
              <w:rPr>
                <w:rFonts w:cs="Tahoma"/>
                <w:b w:val="0"/>
                <w:sz w:val="18"/>
                <w:szCs w:val="18"/>
              </w:rPr>
            </w:pPr>
            <w:r w:rsidRPr="00B357F4">
              <w:rPr>
                <w:rFonts w:cs="Tahoma"/>
                <w:b w:val="0"/>
                <w:sz w:val="18"/>
                <w:szCs w:val="18"/>
              </w:rPr>
              <w:t xml:space="preserve">Obveze operatora prijenosnog i distribucijskog sustava da omoguće pristup mreži, prijenos i distribuciju električne energije proizvedene iz visokoučinkovite kogeneracije </w:t>
            </w:r>
          </w:p>
        </w:tc>
      </w:tr>
      <w:tr w:rsidR="009C62D7" w:rsidRPr="00B357F4" w14:paraId="6BFC7B04"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6C82AB8F" w14:textId="1DE1461D" w:rsidR="009C62D7" w:rsidRPr="00B357F4" w:rsidRDefault="009C62D7" w:rsidP="00142C2C">
            <w:pPr>
              <w:spacing w:before="60" w:after="60"/>
              <w:rPr>
                <w:rFonts w:cs="Tahoma"/>
                <w:b w:val="0"/>
                <w:sz w:val="18"/>
                <w:szCs w:val="18"/>
              </w:rPr>
            </w:pPr>
            <w:r w:rsidRPr="00B357F4">
              <w:rPr>
                <w:rFonts w:cs="Tahoma"/>
                <w:b w:val="0"/>
                <w:sz w:val="18"/>
                <w:szCs w:val="18"/>
              </w:rPr>
              <w:t>Obveze velikih poduzeća o provedbi energetskih pregleda svake 4 godine ili uvođenju sustava gospodarenja energijom  - Pravilnik o energetskom pregledu za velika poduzeća (</w:t>
            </w:r>
            <w:r w:rsidR="00537989" w:rsidRPr="00B357F4">
              <w:rPr>
                <w:rFonts w:cs="Tahoma"/>
                <w:b w:val="0"/>
                <w:sz w:val="18"/>
                <w:szCs w:val="18"/>
              </w:rPr>
              <w:t>N</w:t>
            </w:r>
            <w:r w:rsidR="00537989">
              <w:rPr>
                <w:rFonts w:cs="Tahoma"/>
                <w:b w:val="0"/>
                <w:sz w:val="18"/>
                <w:szCs w:val="18"/>
              </w:rPr>
              <w:t>arodne novine</w:t>
            </w:r>
            <w:r w:rsidR="008404C9">
              <w:rPr>
                <w:rFonts w:cs="Tahoma"/>
                <w:b w:val="0"/>
                <w:sz w:val="18"/>
                <w:szCs w:val="18"/>
              </w:rPr>
              <w:t>,</w:t>
            </w:r>
            <w:r w:rsidR="00537989" w:rsidRPr="00B357F4">
              <w:rPr>
                <w:rFonts w:cs="Tahoma"/>
                <w:b w:val="0"/>
                <w:sz w:val="18"/>
                <w:szCs w:val="18"/>
              </w:rPr>
              <w:t xml:space="preserve"> </w:t>
            </w:r>
            <w:r w:rsidRPr="00B357F4">
              <w:rPr>
                <w:rFonts w:cs="Tahoma"/>
                <w:b w:val="0"/>
                <w:sz w:val="18"/>
                <w:szCs w:val="18"/>
              </w:rPr>
              <w:t>br</w:t>
            </w:r>
            <w:r w:rsidR="005331CC">
              <w:rPr>
                <w:rFonts w:cs="Tahoma"/>
                <w:b w:val="0"/>
                <w:sz w:val="18"/>
                <w:szCs w:val="18"/>
              </w:rPr>
              <w:t>.</w:t>
            </w:r>
            <w:r w:rsidR="003C092C" w:rsidRPr="00B357F4">
              <w:rPr>
                <w:rFonts w:cs="Tahoma"/>
                <w:b w:val="0"/>
                <w:sz w:val="18"/>
                <w:szCs w:val="18"/>
              </w:rPr>
              <w:t xml:space="preserve"> </w:t>
            </w:r>
            <w:r w:rsidRPr="00B357F4">
              <w:rPr>
                <w:rFonts w:cs="Tahoma"/>
                <w:b w:val="0"/>
                <w:sz w:val="18"/>
                <w:szCs w:val="18"/>
              </w:rPr>
              <w:t>123/15 i 5/20)</w:t>
            </w:r>
          </w:p>
        </w:tc>
      </w:tr>
      <w:tr w:rsidR="009C62D7" w:rsidRPr="00B357F4" w14:paraId="67E0F1E6"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0084236" w14:textId="7725A4BC" w:rsidR="009C62D7" w:rsidRPr="00B357F4" w:rsidRDefault="009C62D7" w:rsidP="00142C2C">
            <w:pPr>
              <w:spacing w:before="60" w:after="60"/>
              <w:rPr>
                <w:rFonts w:cs="Tahoma"/>
                <w:b w:val="0"/>
                <w:sz w:val="18"/>
                <w:szCs w:val="18"/>
              </w:rPr>
            </w:pPr>
            <w:r w:rsidRPr="00B357F4">
              <w:rPr>
                <w:rFonts w:cs="Tahoma"/>
                <w:b w:val="0"/>
                <w:sz w:val="18"/>
                <w:szCs w:val="18"/>
              </w:rPr>
              <w:t>Obveza javnog sektora da provodi energetske preglede sustava javne rasvjete svakih 5 godina te da održava i rekonstruira javnu rasvjetu tako da smanjuje potrošnju električne energije i ispunjava ostale uvjete propisane Zakonom o zaštiti od svjetlosnog onečišćenja (</w:t>
            </w:r>
            <w:r w:rsidR="00537989">
              <w:rPr>
                <w:rFonts w:cs="Tahoma"/>
                <w:b w:val="0"/>
                <w:sz w:val="18"/>
                <w:szCs w:val="18"/>
              </w:rPr>
              <w:t>Narodne novine, broj</w:t>
            </w:r>
            <w:r w:rsidR="00537989" w:rsidRPr="00B357F4">
              <w:rPr>
                <w:rFonts w:cs="Tahoma"/>
                <w:b w:val="0"/>
                <w:sz w:val="18"/>
                <w:szCs w:val="18"/>
              </w:rPr>
              <w:t xml:space="preserve"> </w:t>
            </w:r>
            <w:r w:rsidRPr="00B357F4">
              <w:rPr>
                <w:rFonts w:cs="Tahoma"/>
                <w:b w:val="0"/>
                <w:sz w:val="18"/>
                <w:szCs w:val="18"/>
              </w:rPr>
              <w:t>14/19) i propisa koji iz njega proizlaze</w:t>
            </w:r>
          </w:p>
        </w:tc>
      </w:tr>
      <w:tr w:rsidR="009C62D7" w:rsidRPr="00B357F4" w14:paraId="74355F55"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BACEE0E" w14:textId="1D801F9F" w:rsidR="009C62D7" w:rsidRPr="00D7774F" w:rsidRDefault="009C62D7" w:rsidP="00142C2C">
            <w:pPr>
              <w:spacing w:before="60" w:after="60"/>
              <w:rPr>
                <w:rFonts w:cs="Tahoma"/>
                <w:sz w:val="18"/>
                <w:szCs w:val="18"/>
              </w:rPr>
            </w:pPr>
            <w:r w:rsidRPr="00B357F4">
              <w:rPr>
                <w:rFonts w:cs="Tahoma"/>
                <w:sz w:val="18"/>
                <w:szCs w:val="18"/>
              </w:rPr>
              <w:t xml:space="preserve">Obveza javnog sektora da sustavno gospodari energijom, što podrazumijeva imenovanje odgovorne osobe za gospodarenje energijom, redovno praćenje potrošnje energije i unošenje podataka o potrošnji energije u nacionalni informacijski sustav za gospodarenje energijom (ISGE)  - </w:t>
            </w:r>
            <w:r w:rsidRPr="00B357F4">
              <w:rPr>
                <w:rStyle w:val="Naglaeno"/>
                <w:sz w:val="18"/>
                <w:szCs w:val="18"/>
              </w:rPr>
              <w:t>Pravilnik o sustavnom gospodarenju energijom u javnom sektoru (</w:t>
            </w:r>
            <w:r w:rsidR="00727358">
              <w:rPr>
                <w:rStyle w:val="Naglaeno"/>
                <w:sz w:val="18"/>
                <w:szCs w:val="18"/>
              </w:rPr>
              <w:t>N</w:t>
            </w:r>
            <w:r w:rsidR="00727358">
              <w:rPr>
                <w:rStyle w:val="Naglaeno"/>
              </w:rPr>
              <w:t>arodne novine</w:t>
            </w:r>
            <w:r w:rsidR="008404C9">
              <w:rPr>
                <w:rStyle w:val="Naglaeno"/>
              </w:rPr>
              <w:t>,</w:t>
            </w:r>
            <w:r w:rsidR="00727358" w:rsidRPr="00B357F4">
              <w:rPr>
                <w:rStyle w:val="Naglaeno"/>
                <w:sz w:val="18"/>
                <w:szCs w:val="18"/>
              </w:rPr>
              <w:t xml:space="preserve"> </w:t>
            </w:r>
            <w:r w:rsidRPr="00B357F4">
              <w:rPr>
                <w:rStyle w:val="Naglaeno"/>
                <w:sz w:val="18"/>
                <w:szCs w:val="18"/>
              </w:rPr>
              <w:t>br</w:t>
            </w:r>
            <w:r w:rsidR="005331CC">
              <w:rPr>
                <w:rStyle w:val="Naglaeno"/>
                <w:sz w:val="18"/>
                <w:szCs w:val="18"/>
              </w:rPr>
              <w:t>.</w:t>
            </w:r>
            <w:r w:rsidR="008404C9" w:rsidRPr="00B357F4">
              <w:rPr>
                <w:rStyle w:val="Naglaeno"/>
                <w:sz w:val="18"/>
                <w:szCs w:val="18"/>
              </w:rPr>
              <w:t xml:space="preserve"> </w:t>
            </w:r>
            <w:hyperlink r:id="rId17" w:history="1">
              <w:r w:rsidRPr="00D7774F">
                <w:rPr>
                  <w:rStyle w:val="Naglaeno"/>
                  <w:sz w:val="18"/>
                  <w:szCs w:val="18"/>
                </w:rPr>
                <w:t>18/15</w:t>
              </w:r>
            </w:hyperlink>
            <w:r w:rsidR="005331CC">
              <w:rPr>
                <w:rStyle w:val="Naglaeno"/>
                <w:sz w:val="18"/>
                <w:szCs w:val="18"/>
              </w:rPr>
              <w:t xml:space="preserve"> i</w:t>
            </w:r>
            <w:r w:rsidRPr="003020E6">
              <w:rPr>
                <w:rStyle w:val="Naglaeno"/>
                <w:sz w:val="18"/>
                <w:szCs w:val="18"/>
              </w:rPr>
              <w:t xml:space="preserve"> 06/16)</w:t>
            </w:r>
          </w:p>
        </w:tc>
      </w:tr>
      <w:tr w:rsidR="009C62D7" w:rsidRPr="00B357F4" w14:paraId="48D8F61A"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E972E53" w14:textId="137F5A15" w:rsidR="009C62D7" w:rsidRPr="00D7774F" w:rsidRDefault="009C62D7" w:rsidP="00142C2C">
            <w:pPr>
              <w:spacing w:before="60" w:after="60"/>
              <w:rPr>
                <w:rFonts w:cs="Tahoma"/>
                <w:b w:val="0"/>
                <w:sz w:val="18"/>
                <w:szCs w:val="18"/>
              </w:rPr>
            </w:pPr>
            <w:r w:rsidRPr="00B357F4">
              <w:rPr>
                <w:rFonts w:cs="Tahoma"/>
                <w:b w:val="0"/>
                <w:sz w:val="18"/>
                <w:szCs w:val="18"/>
              </w:rPr>
              <w:t>Obveza prijavljivanja svih aktivnosti energetske učinkovitosti i ostvarenih ušteda u nacionalni sustav za praćenje, mjerenje i verifikaciju ušteda (SMiV) za javni sektor, pružatelje energetskih usluga i davatelje subvencija - Pravilnik o sustavu za praćenje, mjerenje i verifikaciju ušteda energije (</w:t>
            </w:r>
            <w:r w:rsidR="00727358">
              <w:rPr>
                <w:rFonts w:cs="Tahoma"/>
                <w:b w:val="0"/>
                <w:sz w:val="18"/>
                <w:szCs w:val="18"/>
              </w:rPr>
              <w:t>Narodne novine, broj</w:t>
            </w:r>
            <w:r w:rsidRPr="00B357F4">
              <w:rPr>
                <w:rFonts w:cs="Tahoma"/>
                <w:b w:val="0"/>
                <w:sz w:val="18"/>
                <w:szCs w:val="18"/>
              </w:rPr>
              <w:t xml:space="preserve"> </w:t>
            </w:r>
            <w:r w:rsidR="003A08E7">
              <w:rPr>
                <w:rFonts w:cs="Tahoma"/>
                <w:b w:val="0"/>
                <w:sz w:val="18"/>
                <w:szCs w:val="18"/>
              </w:rPr>
              <w:t xml:space="preserve"> 98/21</w:t>
            </w:r>
            <w:r w:rsidRPr="003020E6">
              <w:rPr>
                <w:rFonts w:cs="Tahoma"/>
                <w:b w:val="0"/>
                <w:sz w:val="18"/>
                <w:szCs w:val="18"/>
              </w:rPr>
              <w:t>)</w:t>
            </w:r>
          </w:p>
        </w:tc>
      </w:tr>
      <w:tr w:rsidR="009C62D7" w:rsidRPr="00B357F4" w14:paraId="556777BC"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6661604" w14:textId="77777777" w:rsidR="009C62D7" w:rsidRPr="003020E6" w:rsidRDefault="009C62D7" w:rsidP="00142C2C">
            <w:pPr>
              <w:spacing w:before="60" w:after="60"/>
              <w:rPr>
                <w:rFonts w:cs="Tahoma"/>
                <w:b w:val="0"/>
                <w:sz w:val="18"/>
                <w:szCs w:val="18"/>
              </w:rPr>
            </w:pPr>
            <w:r w:rsidRPr="00B357F4">
              <w:rPr>
                <w:rFonts w:cs="Tahoma"/>
                <w:b w:val="0"/>
                <w:sz w:val="18"/>
                <w:szCs w:val="18"/>
              </w:rPr>
              <w:t xml:space="preserve">Obveza nadležnih ministarstava i Nacionalnog koordinacijskog tijela (NKT) uspostavljanja i vođenja informacije platforme o energetskoj učinkovitosti - Nacionalni portal energetske učinkovitosti: </w:t>
            </w:r>
            <w:hyperlink r:id="rId18" w:history="1">
              <w:r w:rsidRPr="00D7774F">
                <w:rPr>
                  <w:rStyle w:val="Hiperveza"/>
                  <w:rFonts w:cs="Tahoma"/>
                  <w:b w:val="0"/>
                  <w:sz w:val="18"/>
                  <w:szCs w:val="18"/>
                </w:rPr>
                <w:t>https://www.enu.hr/</w:t>
              </w:r>
            </w:hyperlink>
          </w:p>
        </w:tc>
      </w:tr>
      <w:tr w:rsidR="009C62D7" w:rsidRPr="00B357F4" w14:paraId="4C4D725B"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7D6950CB" w14:textId="77777777" w:rsidR="009C62D7" w:rsidRPr="00B357F4" w:rsidRDefault="009C62D7" w:rsidP="00142C2C">
            <w:pPr>
              <w:spacing w:before="60" w:after="60"/>
              <w:rPr>
                <w:rFonts w:cs="Tahoma"/>
                <w:b w:val="0"/>
                <w:sz w:val="18"/>
                <w:szCs w:val="18"/>
              </w:rPr>
            </w:pPr>
            <w:r w:rsidRPr="00B357F4">
              <w:rPr>
                <w:rFonts w:cs="Tahoma"/>
                <w:b w:val="0"/>
                <w:sz w:val="18"/>
                <w:szCs w:val="18"/>
              </w:rPr>
              <w:t>Obveza označavanja uređaja povezanih s energijom - relevantne uredbe EU za pojedine grupe uređaja</w:t>
            </w:r>
          </w:p>
        </w:tc>
      </w:tr>
      <w:tr w:rsidR="009C62D7" w:rsidRPr="00B357F4" w14:paraId="0948338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228FB94" w14:textId="1024582D" w:rsidR="009C62D7" w:rsidRPr="00B357F4" w:rsidRDefault="009C62D7" w:rsidP="00142C2C">
            <w:pPr>
              <w:spacing w:before="60" w:after="60"/>
              <w:rPr>
                <w:rFonts w:cs="Tahoma"/>
                <w:b w:val="0"/>
                <w:sz w:val="18"/>
                <w:szCs w:val="18"/>
              </w:rPr>
            </w:pPr>
            <w:r w:rsidRPr="00B357F4">
              <w:rPr>
                <w:rFonts w:cs="Tahoma"/>
                <w:sz w:val="18"/>
                <w:szCs w:val="18"/>
              </w:rPr>
              <w:t>Reguliranje energetske usluge (ugovora o energetskom učinku) u javnom sektoru</w:t>
            </w:r>
            <w:r w:rsidRPr="00B357F4">
              <w:rPr>
                <w:rFonts w:cs="Tahoma"/>
                <w:b w:val="0"/>
                <w:sz w:val="18"/>
                <w:szCs w:val="18"/>
              </w:rPr>
              <w:t xml:space="preserve"> - Uredba o ugovaranju i provedbi energetske usluge u javnom sektoru (</w:t>
            </w:r>
            <w:r w:rsidR="007B2330">
              <w:rPr>
                <w:rFonts w:cs="Tahoma"/>
                <w:b w:val="0"/>
                <w:sz w:val="18"/>
                <w:szCs w:val="18"/>
              </w:rPr>
              <w:t>Narodne novine</w:t>
            </w:r>
            <w:r w:rsidR="008404C9">
              <w:rPr>
                <w:rFonts w:cs="Tahoma"/>
                <w:b w:val="0"/>
                <w:sz w:val="18"/>
                <w:szCs w:val="18"/>
              </w:rPr>
              <w:t>,</w:t>
            </w:r>
            <w:r w:rsidR="007B2330">
              <w:rPr>
                <w:rFonts w:cs="Tahoma"/>
                <w:b w:val="0"/>
                <w:sz w:val="18"/>
                <w:szCs w:val="18"/>
              </w:rPr>
              <w:t xml:space="preserve"> </w:t>
            </w:r>
            <w:r w:rsidR="0049351D">
              <w:rPr>
                <w:rFonts w:cs="Tahoma"/>
                <w:b w:val="0"/>
                <w:sz w:val="18"/>
                <w:szCs w:val="18"/>
              </w:rPr>
              <w:t>broj</w:t>
            </w:r>
            <w:r w:rsidRPr="00B357F4">
              <w:rPr>
                <w:rFonts w:cs="Tahoma"/>
                <w:b w:val="0"/>
                <w:sz w:val="18"/>
                <w:szCs w:val="18"/>
              </w:rPr>
              <w:t xml:space="preserve"> 11/15)</w:t>
            </w:r>
          </w:p>
        </w:tc>
      </w:tr>
      <w:tr w:rsidR="009C62D7" w:rsidRPr="00B357F4" w14:paraId="0B35E60F"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1EDCF49" w14:textId="77777777" w:rsidR="009C62D7" w:rsidRPr="00B357F4" w:rsidRDefault="009C62D7" w:rsidP="00142C2C">
            <w:pPr>
              <w:spacing w:before="60" w:after="60"/>
              <w:rPr>
                <w:rFonts w:cs="Tahoma"/>
                <w:b w:val="0"/>
                <w:sz w:val="18"/>
                <w:szCs w:val="18"/>
              </w:rPr>
            </w:pPr>
            <w:r w:rsidRPr="00B357F4">
              <w:rPr>
                <w:rFonts w:cs="Tahoma"/>
                <w:b w:val="0"/>
                <w:sz w:val="18"/>
                <w:szCs w:val="18"/>
              </w:rPr>
              <w:t xml:space="preserve">Reguliranje ugovaranja energetske usluge i radova energetske obnove višestambenih zgrada te utvrđivanje donošenja odluke o energetskoj obnovi na temelju natpolovične većine glasova suvlasnika koja se računa po suvlasničkim dijelovima </w:t>
            </w:r>
          </w:p>
        </w:tc>
      </w:tr>
      <w:tr w:rsidR="009C62D7" w:rsidRPr="00B357F4" w14:paraId="5B5EC21C"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2DC78C51" w14:textId="72689748" w:rsidR="009C62D7" w:rsidRPr="00B357F4" w:rsidRDefault="009C62D7" w:rsidP="00142C2C">
            <w:pPr>
              <w:spacing w:before="60" w:after="60"/>
              <w:rPr>
                <w:rFonts w:cs="Tahoma"/>
                <w:b w:val="0"/>
                <w:sz w:val="18"/>
                <w:szCs w:val="18"/>
              </w:rPr>
            </w:pPr>
            <w:r w:rsidRPr="00B357F4">
              <w:rPr>
                <w:rFonts w:cs="Tahoma"/>
                <w:b w:val="0"/>
                <w:sz w:val="18"/>
                <w:szCs w:val="18"/>
              </w:rPr>
              <w:lastRenderedPageBreak/>
              <w:t>Obveza korištenja kriterija energetske učinkovitosti u postupcima javne nabave proizvoda povezanih s energijom - - Pravilnik o zahtjevima energetske učinkovitosti proizvoda povezanih s energijom u postupcima javne nabave (</w:t>
            </w:r>
            <w:r w:rsidR="00796C35">
              <w:rPr>
                <w:rFonts w:cs="Tahoma"/>
                <w:b w:val="0"/>
                <w:sz w:val="18"/>
                <w:szCs w:val="18"/>
              </w:rPr>
              <w:t>Narodne novine</w:t>
            </w:r>
            <w:r w:rsidR="008535CA">
              <w:rPr>
                <w:rFonts w:cs="Tahoma"/>
                <w:b w:val="0"/>
                <w:sz w:val="18"/>
                <w:szCs w:val="18"/>
              </w:rPr>
              <w:t>,</w:t>
            </w:r>
            <w:r w:rsidR="00796C35" w:rsidRPr="00B357F4">
              <w:rPr>
                <w:rFonts w:cs="Tahoma"/>
                <w:b w:val="0"/>
                <w:sz w:val="18"/>
                <w:szCs w:val="18"/>
              </w:rPr>
              <w:t xml:space="preserve"> </w:t>
            </w:r>
            <w:r w:rsidR="00796C35">
              <w:rPr>
                <w:rFonts w:cs="Tahoma"/>
                <w:b w:val="0"/>
                <w:sz w:val="18"/>
                <w:szCs w:val="18"/>
              </w:rPr>
              <w:t>broj</w:t>
            </w:r>
            <w:r w:rsidRPr="00B357F4">
              <w:rPr>
                <w:rFonts w:cs="Tahoma"/>
                <w:b w:val="0"/>
                <w:sz w:val="18"/>
                <w:szCs w:val="18"/>
              </w:rPr>
              <w:t xml:space="preserve"> 70/15)</w:t>
            </w:r>
          </w:p>
        </w:tc>
      </w:tr>
      <w:tr w:rsidR="009C62D7" w:rsidRPr="00B357F4" w14:paraId="6C72870C"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D499F56" w14:textId="26AE20F6" w:rsidR="009C62D7" w:rsidRPr="00B357F4" w:rsidRDefault="009C62D7" w:rsidP="00142C2C">
            <w:pPr>
              <w:spacing w:before="60" w:after="60"/>
              <w:rPr>
                <w:rFonts w:cs="Tahoma"/>
                <w:b w:val="0"/>
                <w:sz w:val="18"/>
                <w:szCs w:val="18"/>
              </w:rPr>
            </w:pPr>
            <w:r w:rsidRPr="00B357F4">
              <w:rPr>
                <w:rFonts w:cs="Tahoma"/>
                <w:b w:val="0"/>
                <w:sz w:val="18"/>
                <w:szCs w:val="18"/>
              </w:rPr>
              <w:t xml:space="preserve">Obveza </w:t>
            </w:r>
            <w:r w:rsidR="00647F70">
              <w:rPr>
                <w:rFonts w:cs="Tahoma"/>
                <w:b w:val="0"/>
                <w:sz w:val="18"/>
                <w:szCs w:val="18"/>
              </w:rPr>
              <w:t>ispunjavanja zahtjeva za eko-dizajn</w:t>
            </w:r>
            <w:r w:rsidRPr="00B357F4">
              <w:rPr>
                <w:rFonts w:cs="Tahoma"/>
                <w:b w:val="0"/>
                <w:sz w:val="18"/>
                <w:szCs w:val="18"/>
              </w:rPr>
              <w:t xml:space="preserve"> proizvoda povezanih s energijom prilikom stavljanja na tržište - Pravilnik o utvrđivanju zahtjeva za eko-dizajn proizvoda povezanih s energijom (</w:t>
            </w:r>
            <w:r w:rsidR="00582394">
              <w:rPr>
                <w:rFonts w:cs="Tahoma"/>
                <w:b w:val="0"/>
                <w:sz w:val="18"/>
                <w:szCs w:val="18"/>
              </w:rPr>
              <w:t>Narodne novine</w:t>
            </w:r>
            <w:r w:rsidR="008535CA">
              <w:rPr>
                <w:rFonts w:cs="Tahoma"/>
                <w:b w:val="0"/>
                <w:sz w:val="18"/>
                <w:szCs w:val="18"/>
              </w:rPr>
              <w:t>,</w:t>
            </w:r>
            <w:r w:rsidR="00582394">
              <w:rPr>
                <w:rFonts w:cs="Tahoma"/>
                <w:b w:val="0"/>
                <w:sz w:val="18"/>
                <w:szCs w:val="18"/>
              </w:rPr>
              <w:t xml:space="preserve"> broj</w:t>
            </w:r>
            <w:r w:rsidRPr="00B357F4">
              <w:rPr>
                <w:rFonts w:cs="Tahoma"/>
                <w:b w:val="0"/>
                <w:sz w:val="18"/>
                <w:szCs w:val="18"/>
              </w:rPr>
              <w:t xml:space="preserve"> 50/15)</w:t>
            </w:r>
          </w:p>
        </w:tc>
      </w:tr>
      <w:tr w:rsidR="009C62D7" w:rsidRPr="00B357F4" w14:paraId="0C8A1646"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00B3CB47" w14:textId="3AF9C00E" w:rsidR="009C62D7" w:rsidRPr="00B357F4" w:rsidRDefault="009C62D7" w:rsidP="00142C2C">
            <w:pPr>
              <w:spacing w:before="60" w:after="60"/>
              <w:rPr>
                <w:rFonts w:cs="Tahoma"/>
                <w:sz w:val="18"/>
                <w:szCs w:val="18"/>
              </w:rPr>
            </w:pPr>
            <w:r w:rsidRPr="00B357F4">
              <w:rPr>
                <w:rFonts w:cs="Tahoma"/>
                <w:b w:val="0"/>
                <w:sz w:val="18"/>
                <w:szCs w:val="18"/>
              </w:rPr>
              <w:t>Pravilnici o uvjetima i mjerilima za utvrđivanje sustava kvalitete usluga i radova za certificiranje instalatera obnovljivih izvora energije - fotonaponskih sustava (</w:t>
            </w:r>
            <w:r w:rsidR="00582394">
              <w:rPr>
                <w:rFonts w:cs="Tahoma"/>
                <w:b w:val="0"/>
                <w:sz w:val="18"/>
                <w:szCs w:val="18"/>
              </w:rPr>
              <w:t>Narodne novine</w:t>
            </w:r>
            <w:r w:rsidR="008535CA">
              <w:rPr>
                <w:rFonts w:cs="Tahoma"/>
                <w:b w:val="0"/>
                <w:sz w:val="18"/>
                <w:szCs w:val="18"/>
              </w:rPr>
              <w:t>,</w:t>
            </w:r>
            <w:r w:rsidR="00582394">
              <w:rPr>
                <w:rFonts w:cs="Tahoma"/>
                <w:b w:val="0"/>
                <w:sz w:val="18"/>
                <w:szCs w:val="18"/>
              </w:rPr>
              <w:t xml:space="preserve"> broj</w:t>
            </w:r>
            <w:r w:rsidRPr="00B357F4">
              <w:rPr>
                <w:rFonts w:cs="Tahoma"/>
                <w:b w:val="0"/>
                <w:sz w:val="18"/>
                <w:szCs w:val="18"/>
              </w:rPr>
              <w:t xml:space="preserve"> 56/15); solarnih toplinskih sustava(</w:t>
            </w:r>
            <w:r w:rsidR="00582394">
              <w:rPr>
                <w:rFonts w:cs="Tahoma"/>
                <w:b w:val="0"/>
                <w:sz w:val="18"/>
                <w:szCs w:val="18"/>
              </w:rPr>
              <w:t>Narodne novine</w:t>
            </w:r>
            <w:r w:rsidR="008535CA">
              <w:rPr>
                <w:rFonts w:cs="Tahoma"/>
                <w:b w:val="0"/>
                <w:sz w:val="18"/>
                <w:szCs w:val="18"/>
              </w:rPr>
              <w:t>,</w:t>
            </w:r>
            <w:r w:rsidR="00582394" w:rsidRPr="00B357F4">
              <w:rPr>
                <w:rFonts w:cs="Tahoma"/>
                <w:b w:val="0"/>
                <w:sz w:val="18"/>
                <w:szCs w:val="18"/>
              </w:rPr>
              <w:t xml:space="preserve"> </w:t>
            </w:r>
            <w:r w:rsidRPr="00B357F4">
              <w:rPr>
                <w:rFonts w:cs="Tahoma"/>
                <w:b w:val="0"/>
                <w:sz w:val="18"/>
                <w:szCs w:val="18"/>
              </w:rPr>
              <w:t>br</w:t>
            </w:r>
            <w:r w:rsidR="005331CC">
              <w:rPr>
                <w:rFonts w:cs="Tahoma"/>
                <w:b w:val="0"/>
                <w:sz w:val="18"/>
                <w:szCs w:val="18"/>
              </w:rPr>
              <w:t>.</w:t>
            </w:r>
            <w:r w:rsidR="008535CA" w:rsidRPr="00B357F4">
              <w:rPr>
                <w:rFonts w:cs="Tahoma"/>
                <w:b w:val="0"/>
                <w:sz w:val="18"/>
                <w:szCs w:val="18"/>
              </w:rPr>
              <w:t xml:space="preserve"> </w:t>
            </w:r>
            <w:r w:rsidRPr="00B357F4">
              <w:rPr>
                <w:rFonts w:cs="Tahoma"/>
                <w:b w:val="0"/>
                <w:sz w:val="18"/>
                <w:szCs w:val="18"/>
              </w:rPr>
              <w:t>33/15, 56/15</w:t>
            </w:r>
            <w:r w:rsidR="005331CC">
              <w:rPr>
                <w:rFonts w:cs="Tahoma"/>
                <w:b w:val="0"/>
                <w:sz w:val="18"/>
                <w:szCs w:val="18"/>
              </w:rPr>
              <w:t xml:space="preserve"> i</w:t>
            </w:r>
            <w:r w:rsidRPr="00B357F4">
              <w:rPr>
                <w:rFonts w:cs="Tahoma"/>
                <w:b w:val="0"/>
                <w:sz w:val="18"/>
                <w:szCs w:val="18"/>
              </w:rPr>
              <w:t xml:space="preserve"> 12/17); manjih kotlova i peći na biomasu (</w:t>
            </w:r>
            <w:r w:rsidR="00582394">
              <w:rPr>
                <w:rFonts w:cs="Tahoma"/>
                <w:b w:val="0"/>
                <w:sz w:val="18"/>
                <w:szCs w:val="18"/>
              </w:rPr>
              <w:t>Narodne novine</w:t>
            </w:r>
            <w:r w:rsidR="008535CA">
              <w:rPr>
                <w:rFonts w:cs="Tahoma"/>
                <w:b w:val="0"/>
                <w:sz w:val="18"/>
                <w:szCs w:val="18"/>
              </w:rPr>
              <w:t>,</w:t>
            </w:r>
            <w:r w:rsidR="00582394" w:rsidRPr="00B357F4">
              <w:rPr>
                <w:rFonts w:cs="Tahoma"/>
                <w:b w:val="0"/>
                <w:sz w:val="18"/>
                <w:szCs w:val="18"/>
              </w:rPr>
              <w:t xml:space="preserve"> </w:t>
            </w:r>
            <w:r w:rsidRPr="00B357F4">
              <w:rPr>
                <w:rFonts w:cs="Tahoma"/>
                <w:b w:val="0"/>
                <w:sz w:val="18"/>
                <w:szCs w:val="18"/>
              </w:rPr>
              <w:t>br</w:t>
            </w:r>
            <w:r w:rsidR="005331CC">
              <w:rPr>
                <w:rFonts w:cs="Tahoma"/>
                <w:b w:val="0"/>
                <w:sz w:val="18"/>
                <w:szCs w:val="18"/>
              </w:rPr>
              <w:t>.</w:t>
            </w:r>
            <w:r w:rsidRPr="00B357F4">
              <w:rPr>
                <w:rFonts w:cs="Tahoma"/>
                <w:b w:val="0"/>
                <w:sz w:val="18"/>
                <w:szCs w:val="18"/>
              </w:rPr>
              <w:t xml:space="preserve"> 39/15, 56/15</w:t>
            </w:r>
            <w:r w:rsidR="005331CC">
              <w:rPr>
                <w:rFonts w:cs="Tahoma"/>
                <w:b w:val="0"/>
                <w:sz w:val="18"/>
                <w:szCs w:val="18"/>
              </w:rPr>
              <w:t xml:space="preserve"> i </w:t>
            </w:r>
            <w:r w:rsidRPr="00B357F4">
              <w:rPr>
                <w:rFonts w:cs="Tahoma"/>
                <w:b w:val="0"/>
                <w:sz w:val="18"/>
                <w:szCs w:val="18"/>
              </w:rPr>
              <w:t>12/17); plitkih geotermalnih sustava i dizalica topline (</w:t>
            </w:r>
            <w:r w:rsidR="00582394">
              <w:rPr>
                <w:rFonts w:cs="Tahoma"/>
                <w:b w:val="0"/>
                <w:sz w:val="18"/>
                <w:szCs w:val="18"/>
              </w:rPr>
              <w:t>Narodne novine</w:t>
            </w:r>
            <w:r w:rsidR="008535CA">
              <w:rPr>
                <w:rFonts w:cs="Tahoma"/>
                <w:b w:val="0"/>
                <w:sz w:val="18"/>
                <w:szCs w:val="18"/>
              </w:rPr>
              <w:t>,</w:t>
            </w:r>
            <w:r w:rsidR="00582394" w:rsidRPr="00B357F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56/15</w:t>
            </w:r>
            <w:r w:rsidR="005331CC">
              <w:rPr>
                <w:rFonts w:cs="Tahoma"/>
                <w:b w:val="0"/>
                <w:sz w:val="18"/>
                <w:szCs w:val="18"/>
              </w:rPr>
              <w:t xml:space="preserve"> i</w:t>
            </w:r>
            <w:r w:rsidRPr="00B357F4">
              <w:rPr>
                <w:rFonts w:cs="Tahoma"/>
                <w:b w:val="0"/>
                <w:sz w:val="18"/>
                <w:szCs w:val="18"/>
              </w:rPr>
              <w:t xml:space="preserve"> 12/17)</w:t>
            </w:r>
          </w:p>
        </w:tc>
      </w:tr>
      <w:tr w:rsidR="009C62D7" w:rsidRPr="00B357F4" w14:paraId="172C058E"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288526BE" w14:textId="77777777" w:rsidR="009C62D7" w:rsidRPr="00B357F4" w:rsidRDefault="009C62D7" w:rsidP="00142C2C">
            <w:pPr>
              <w:spacing w:before="60" w:after="60"/>
              <w:jc w:val="center"/>
              <w:rPr>
                <w:rFonts w:cs="Tahoma"/>
                <w:sz w:val="18"/>
                <w:szCs w:val="18"/>
              </w:rPr>
            </w:pPr>
            <w:r w:rsidRPr="00B357F4">
              <w:rPr>
                <w:rFonts w:cs="Tahoma"/>
                <w:sz w:val="18"/>
                <w:szCs w:val="18"/>
              </w:rPr>
              <w:t>Zakon o gradnji</w:t>
            </w:r>
          </w:p>
        </w:tc>
      </w:tr>
      <w:tr w:rsidR="009C62D7" w:rsidRPr="00B357F4" w14:paraId="1EB1682A"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0EDDCF19" w14:textId="78E8306A" w:rsidR="009C62D7" w:rsidRPr="00B357F4" w:rsidRDefault="009C62D7" w:rsidP="00142C2C">
            <w:pPr>
              <w:spacing w:before="60" w:after="60"/>
              <w:rPr>
                <w:rFonts w:cs="Tahoma"/>
                <w:b w:val="0"/>
                <w:sz w:val="18"/>
                <w:szCs w:val="18"/>
              </w:rPr>
            </w:pPr>
            <w:r w:rsidRPr="00B357F4">
              <w:rPr>
                <w:rFonts w:cs="Tahoma"/>
                <w:b w:val="0"/>
                <w:sz w:val="18"/>
                <w:szCs w:val="18"/>
              </w:rPr>
              <w:t>Gospodarenje energijom i očuvanje topline kao jedan od temeljnih zahtjeva za građevine - Tehnički propis o racionalnoj uporabi energije i toplinskoj zaštiti u zgradama (</w:t>
            </w:r>
            <w:r w:rsidR="008A21D4">
              <w:rPr>
                <w:rFonts w:cs="Tahoma"/>
                <w:b w:val="0"/>
                <w:sz w:val="18"/>
                <w:szCs w:val="18"/>
              </w:rPr>
              <w:t>Narodne novine</w:t>
            </w:r>
            <w:r w:rsidR="008535CA">
              <w:rPr>
                <w:rFonts w:cs="Tahoma"/>
                <w:b w:val="0"/>
                <w:sz w:val="18"/>
                <w:szCs w:val="18"/>
              </w:rPr>
              <w:t>,</w:t>
            </w:r>
            <w:r w:rsidR="008A21D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128/15, 70/18, 73/18, 86/18</w:t>
            </w:r>
            <w:r w:rsidR="005331CC">
              <w:rPr>
                <w:rFonts w:cs="Tahoma"/>
                <w:b w:val="0"/>
                <w:sz w:val="18"/>
                <w:szCs w:val="18"/>
              </w:rPr>
              <w:t xml:space="preserve"> i</w:t>
            </w:r>
            <w:r w:rsidRPr="00B357F4">
              <w:rPr>
                <w:rFonts w:cs="Tahoma"/>
                <w:b w:val="0"/>
                <w:sz w:val="18"/>
                <w:szCs w:val="18"/>
              </w:rPr>
              <w:t xml:space="preserve"> 102/20))</w:t>
            </w:r>
          </w:p>
          <w:p w14:paraId="6E5EBE3E" w14:textId="2CC027E0" w:rsidR="009C62D7" w:rsidRPr="00B357F4" w:rsidRDefault="43A14E52" w:rsidP="00142C2C">
            <w:pPr>
              <w:spacing w:before="60" w:after="60"/>
              <w:rPr>
                <w:rFonts w:cs="Tahoma"/>
                <w:sz w:val="18"/>
                <w:szCs w:val="18"/>
              </w:rPr>
            </w:pPr>
            <w:r w:rsidRPr="00B357F4">
              <w:rPr>
                <w:rFonts w:cs="Tahoma"/>
                <w:b w:val="0"/>
                <w:sz w:val="18"/>
                <w:szCs w:val="18"/>
              </w:rPr>
              <w:t>Minimalna energetska svojstva zgrad</w:t>
            </w:r>
            <w:r w:rsidR="00A53025">
              <w:rPr>
                <w:rFonts w:cs="Tahoma"/>
                <w:b w:val="0"/>
                <w:sz w:val="18"/>
                <w:szCs w:val="18"/>
              </w:rPr>
              <w:t>a, način određivanja energetskog svojstva</w:t>
            </w:r>
            <w:r w:rsidR="008A21D4">
              <w:rPr>
                <w:rFonts w:cs="Tahoma"/>
                <w:b w:val="0"/>
                <w:sz w:val="18"/>
                <w:szCs w:val="18"/>
              </w:rPr>
              <w:t xml:space="preserve"> zgrade</w:t>
            </w:r>
            <w:r w:rsidRPr="00B357F4">
              <w:rPr>
                <w:rFonts w:cs="Tahoma"/>
                <w:b w:val="0"/>
                <w:sz w:val="18"/>
                <w:szCs w:val="18"/>
              </w:rPr>
              <w:t>, prikaz tehničke, okolišne i gospodarske izvedivosti dostupnih visokoučinkovitih alternativnih sustava opskrbe energijom, opremanje zgrada sustavima automatizacije, te zahtjevi za zgrade gotovo nulte energije</w:t>
            </w:r>
          </w:p>
          <w:p w14:paraId="43B55602" w14:textId="647B49F4" w:rsidR="009C62D7" w:rsidRPr="00B357F4" w:rsidRDefault="009C62D7" w:rsidP="00142C2C">
            <w:pPr>
              <w:pStyle w:val="StandardWeb"/>
              <w:spacing w:before="60" w:after="60"/>
              <w:rPr>
                <w:rFonts w:cs="Tahoma"/>
                <w:b w:val="0"/>
                <w:sz w:val="18"/>
                <w:szCs w:val="18"/>
              </w:rPr>
            </w:pPr>
          </w:p>
        </w:tc>
      </w:tr>
      <w:tr w:rsidR="009C62D7" w:rsidRPr="00B357F4" w14:paraId="70BE6A78"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16F5DA25" w14:textId="3CF646D9" w:rsidR="009C62D7" w:rsidRPr="00B357F4" w:rsidRDefault="43A14E52" w:rsidP="3E326D79">
            <w:pPr>
              <w:spacing w:before="60" w:after="60"/>
              <w:rPr>
                <w:rFonts w:cs="Tahoma"/>
                <w:b w:val="0"/>
                <w:sz w:val="18"/>
                <w:szCs w:val="18"/>
              </w:rPr>
            </w:pPr>
            <w:r w:rsidRPr="00B357F4">
              <w:rPr>
                <w:rFonts w:cs="Tahoma"/>
                <w:b w:val="0"/>
                <w:sz w:val="18"/>
                <w:szCs w:val="18"/>
              </w:rPr>
              <w:t xml:space="preserve">Obveza Vlade RH </w:t>
            </w:r>
            <w:r w:rsidRPr="00B357F4">
              <w:rPr>
                <w:rFonts w:cs="Tahoma"/>
                <w:sz w:val="18"/>
                <w:szCs w:val="18"/>
              </w:rPr>
              <w:t>da</w:t>
            </w:r>
            <w:r w:rsidR="6F312234" w:rsidRPr="00B357F4">
              <w:rPr>
                <w:rFonts w:cs="Tahoma"/>
                <w:sz w:val="18"/>
                <w:szCs w:val="18"/>
              </w:rPr>
              <w:t xml:space="preserve"> </w:t>
            </w:r>
            <w:r w:rsidR="4048D227" w:rsidRPr="00B357F4">
              <w:rPr>
                <w:rFonts w:eastAsia="Tahoma" w:cs="Tahoma"/>
                <w:szCs w:val="20"/>
              </w:rPr>
              <w:t xml:space="preserve">na prijedlog ministarstva nadležnog za poslove graditeljstva </w:t>
            </w:r>
            <w:r w:rsidRPr="00B357F4">
              <w:rPr>
                <w:rFonts w:cs="Tahoma"/>
                <w:sz w:val="18"/>
                <w:szCs w:val="18"/>
              </w:rPr>
              <w:t>donese</w:t>
            </w:r>
            <w:r w:rsidRPr="00B357F4">
              <w:rPr>
                <w:rFonts w:cs="Tahoma"/>
                <w:b w:val="0"/>
                <w:sz w:val="18"/>
                <w:szCs w:val="18"/>
              </w:rPr>
              <w:t xml:space="preserve"> </w:t>
            </w:r>
            <w:r w:rsidRPr="00B357F4">
              <w:rPr>
                <w:rFonts w:cs="Tahoma"/>
                <w:sz w:val="18"/>
                <w:szCs w:val="18"/>
              </w:rPr>
              <w:t>Dugoročnu strategiju obnove nacionalnog fonda zgrada Republike Hrvatske</w:t>
            </w:r>
            <w:r w:rsidR="00FC6BCE">
              <w:rPr>
                <w:rFonts w:cs="Tahoma"/>
                <w:sz w:val="18"/>
                <w:szCs w:val="18"/>
              </w:rPr>
              <w:t xml:space="preserve"> do 2050. godine</w:t>
            </w:r>
            <w:r w:rsidRPr="00B357F4">
              <w:rPr>
                <w:rFonts w:cs="Tahoma"/>
                <w:b w:val="0"/>
                <w:sz w:val="18"/>
                <w:szCs w:val="18"/>
              </w:rPr>
              <w:t xml:space="preserve"> te je ažurira svakih pet godina</w:t>
            </w:r>
          </w:p>
        </w:tc>
      </w:tr>
      <w:tr w:rsidR="009C62D7" w:rsidRPr="00B357F4" w14:paraId="3F6621CA"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407842A" w14:textId="7EC35E17" w:rsidR="009C62D7" w:rsidRPr="00B357F4" w:rsidRDefault="43A14E52" w:rsidP="3E326D79">
            <w:pPr>
              <w:spacing w:before="60" w:after="60"/>
              <w:rPr>
                <w:rFonts w:cs="Tahoma"/>
                <w:b w:val="0"/>
                <w:sz w:val="18"/>
                <w:szCs w:val="18"/>
              </w:rPr>
            </w:pPr>
            <w:r w:rsidRPr="00B357F4">
              <w:rPr>
                <w:rFonts w:cs="Tahoma"/>
                <w:b w:val="0"/>
                <w:sz w:val="18"/>
                <w:szCs w:val="18"/>
              </w:rPr>
              <w:t xml:space="preserve">Obveza Vlade RH da </w:t>
            </w:r>
            <w:r w:rsidR="64A006AE" w:rsidRPr="00B357F4">
              <w:rPr>
                <w:rFonts w:eastAsia="Tahoma" w:cs="Tahoma"/>
                <w:szCs w:val="20"/>
              </w:rPr>
              <w:t xml:space="preserve">na prijedlog ministarstva nadležnog za poslove graditeljstva </w:t>
            </w:r>
            <w:r w:rsidRPr="00B357F4">
              <w:rPr>
                <w:rFonts w:cs="Tahoma"/>
                <w:b w:val="0"/>
                <w:sz w:val="18"/>
                <w:szCs w:val="18"/>
              </w:rPr>
              <w:t xml:space="preserve">donese </w:t>
            </w:r>
            <w:r w:rsidRPr="00B357F4">
              <w:rPr>
                <w:rFonts w:cs="Tahoma"/>
                <w:sz w:val="18"/>
                <w:szCs w:val="18"/>
              </w:rPr>
              <w:t>programe energetske obnove zgrada za razdoblje od 2021. do 2030. godine</w:t>
            </w:r>
          </w:p>
        </w:tc>
      </w:tr>
      <w:tr w:rsidR="009C62D7" w:rsidRPr="00B357F4" w14:paraId="2C14B1D2"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C2B16C0" w14:textId="5F4E4EF4" w:rsidR="009C62D7" w:rsidRPr="00B357F4" w:rsidRDefault="43A14E52" w:rsidP="3E326D79">
            <w:pPr>
              <w:spacing w:before="60" w:after="60"/>
              <w:rPr>
                <w:rFonts w:cs="Tahoma"/>
                <w:sz w:val="18"/>
                <w:szCs w:val="18"/>
              </w:rPr>
            </w:pPr>
            <w:r w:rsidRPr="00B357F4">
              <w:rPr>
                <w:rFonts w:cs="Tahoma"/>
                <w:b w:val="0"/>
                <w:sz w:val="18"/>
                <w:szCs w:val="18"/>
              </w:rPr>
              <w:t xml:space="preserve">Obveza Vlade RH da </w:t>
            </w:r>
            <w:r w:rsidR="38EDE9DC" w:rsidRPr="00B357F4">
              <w:rPr>
                <w:rFonts w:eastAsia="Tahoma" w:cs="Tahoma"/>
                <w:szCs w:val="20"/>
              </w:rPr>
              <w:t xml:space="preserve">na prijedlog ministarstva nadležnog za poslove graditeljstva </w:t>
            </w:r>
            <w:r w:rsidRPr="00B357F4">
              <w:rPr>
                <w:rFonts w:cs="Tahoma"/>
                <w:b w:val="0"/>
                <w:sz w:val="18"/>
                <w:szCs w:val="18"/>
              </w:rPr>
              <w:t xml:space="preserve">donese Program razvoja zelene infrastrukture u urbanim područjima za razdoblje </w:t>
            </w:r>
            <w:r w:rsidR="00C86767">
              <w:rPr>
                <w:rFonts w:cs="Tahoma"/>
                <w:b w:val="0"/>
                <w:sz w:val="18"/>
                <w:szCs w:val="18"/>
              </w:rPr>
              <w:t xml:space="preserve">od </w:t>
            </w:r>
            <w:r w:rsidRPr="00B357F4">
              <w:rPr>
                <w:rFonts w:cs="Tahoma"/>
                <w:b w:val="0"/>
                <w:sz w:val="18"/>
                <w:szCs w:val="18"/>
              </w:rPr>
              <w:t>2021. do 2030. godine</w:t>
            </w:r>
          </w:p>
        </w:tc>
      </w:tr>
      <w:tr w:rsidR="009C62D7" w:rsidRPr="00B357F4" w14:paraId="7F4971E8"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0F6989C" w14:textId="43E692DD" w:rsidR="009C62D7" w:rsidRPr="00AA0D11" w:rsidRDefault="43A14E52" w:rsidP="3E326D79">
            <w:pPr>
              <w:spacing w:before="60" w:after="60"/>
              <w:rPr>
                <w:rFonts w:cs="Tahoma"/>
                <w:b w:val="0"/>
                <w:sz w:val="18"/>
                <w:szCs w:val="18"/>
              </w:rPr>
            </w:pPr>
            <w:r w:rsidRPr="00B357F4">
              <w:rPr>
                <w:rFonts w:cs="Tahoma"/>
                <w:b w:val="0"/>
                <w:sz w:val="18"/>
                <w:szCs w:val="18"/>
              </w:rPr>
              <w:t xml:space="preserve">Obveza Vlade RH da </w:t>
            </w:r>
            <w:r w:rsidR="0A178D52" w:rsidRPr="00AA0D11">
              <w:rPr>
                <w:rFonts w:eastAsia="Tahoma" w:cs="Tahoma"/>
                <w:b w:val="0"/>
                <w:sz w:val="18"/>
                <w:szCs w:val="18"/>
              </w:rPr>
              <w:t xml:space="preserve">na prijedlog ministarstva nadležnog za poslove graditeljstva </w:t>
            </w:r>
            <w:r w:rsidRPr="00B357F4">
              <w:rPr>
                <w:rFonts w:cs="Tahoma"/>
                <w:b w:val="0"/>
                <w:sz w:val="18"/>
                <w:szCs w:val="18"/>
              </w:rPr>
              <w:t>donese Program kružnog gospodarenja prostorom i zgradama za razdoblje od 2021. 2030. godine</w:t>
            </w:r>
          </w:p>
        </w:tc>
      </w:tr>
      <w:tr w:rsidR="009C62D7" w:rsidRPr="00B357F4" w14:paraId="0C93DDC2"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FA3DE4C" w14:textId="77777777" w:rsidR="009C62D7" w:rsidRPr="00B357F4" w:rsidRDefault="009C62D7" w:rsidP="00142C2C">
            <w:pPr>
              <w:spacing w:before="60" w:after="60"/>
              <w:rPr>
                <w:rFonts w:cs="Tahoma"/>
                <w:sz w:val="18"/>
                <w:szCs w:val="18"/>
              </w:rPr>
            </w:pPr>
            <w:r w:rsidRPr="00B357F4">
              <w:rPr>
                <w:rFonts w:cs="Tahoma"/>
                <w:b w:val="0"/>
                <w:sz w:val="18"/>
                <w:szCs w:val="18"/>
              </w:rPr>
              <w:t>Promicanje elektromobilnosti i uspostava infrastrukture za punjenje u novim zgradama i zgradama koje se podvrgavaju značajnoj obnovi, za stambene i nestambene zgrade</w:t>
            </w:r>
          </w:p>
        </w:tc>
      </w:tr>
      <w:tr w:rsidR="009C62D7" w:rsidRPr="00B357F4" w14:paraId="6A1C1DA7"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1FAF0E48" w14:textId="1FBA616D" w:rsidR="009C62D7" w:rsidRPr="00B357F4" w:rsidRDefault="43A14E52" w:rsidP="00142C2C">
            <w:pPr>
              <w:spacing w:before="60" w:after="60"/>
              <w:rPr>
                <w:rFonts w:cs="Tahoma"/>
                <w:b w:val="0"/>
                <w:sz w:val="18"/>
                <w:szCs w:val="18"/>
              </w:rPr>
            </w:pPr>
            <w:r w:rsidRPr="00B357F4">
              <w:rPr>
                <w:rFonts w:cs="Tahoma"/>
                <w:b w:val="0"/>
                <w:sz w:val="18"/>
                <w:szCs w:val="18"/>
              </w:rPr>
              <w:t xml:space="preserve">Obveza redovnih </w:t>
            </w:r>
            <w:r w:rsidR="25363D29" w:rsidRPr="00B357F4">
              <w:rPr>
                <w:rFonts w:cs="Tahoma"/>
                <w:b w:val="0"/>
                <w:bCs w:val="0"/>
                <w:sz w:val="18"/>
                <w:szCs w:val="18"/>
              </w:rPr>
              <w:t>pregleda</w:t>
            </w:r>
            <w:r w:rsidRPr="00B357F4">
              <w:rPr>
                <w:rFonts w:cs="Tahoma"/>
                <w:b w:val="0"/>
                <w:sz w:val="18"/>
                <w:szCs w:val="18"/>
              </w:rPr>
              <w:t xml:space="preserve"> sustava grijanja i sustava hlađenja ili klimatizacije u zgradama te energetskog certificiranja zgrada</w:t>
            </w:r>
          </w:p>
          <w:p w14:paraId="19C3997B" w14:textId="015439C7" w:rsidR="009C62D7" w:rsidRPr="00B357F4" w:rsidRDefault="009C62D7" w:rsidP="00142C2C">
            <w:pPr>
              <w:spacing w:before="60" w:after="60"/>
              <w:rPr>
                <w:rFonts w:cs="Tahoma"/>
                <w:b w:val="0"/>
                <w:sz w:val="18"/>
                <w:szCs w:val="18"/>
              </w:rPr>
            </w:pPr>
            <w:r w:rsidRPr="00B357F4">
              <w:rPr>
                <w:rFonts w:cs="Tahoma"/>
                <w:b w:val="0"/>
                <w:sz w:val="18"/>
                <w:szCs w:val="18"/>
              </w:rPr>
              <w:t>Pravilnik o energetskom pregledu zgrade i energetskom certificiranju (</w:t>
            </w:r>
            <w:r w:rsidR="00DD01E7">
              <w:rPr>
                <w:rFonts w:cs="Tahoma"/>
                <w:b w:val="0"/>
                <w:sz w:val="18"/>
                <w:szCs w:val="18"/>
              </w:rPr>
              <w:t>Narodne novine</w:t>
            </w:r>
            <w:r w:rsidR="004658DD">
              <w:rPr>
                <w:rFonts w:cs="Tahoma"/>
                <w:b w:val="0"/>
                <w:sz w:val="18"/>
                <w:szCs w:val="18"/>
              </w:rPr>
              <w:t>,</w:t>
            </w:r>
            <w:r w:rsidRPr="00B357F4">
              <w:rPr>
                <w:rFonts w:cs="Tahoma"/>
                <w:b w:val="0"/>
                <w:sz w:val="18"/>
                <w:szCs w:val="18"/>
              </w:rPr>
              <w:t xml:space="preserve"> br</w:t>
            </w:r>
            <w:r w:rsidR="005331CC">
              <w:rPr>
                <w:rFonts w:cs="Tahoma"/>
                <w:b w:val="0"/>
                <w:sz w:val="18"/>
                <w:szCs w:val="18"/>
              </w:rPr>
              <w:t>.</w:t>
            </w:r>
            <w:r w:rsidR="00E37136" w:rsidRPr="00B357F4">
              <w:rPr>
                <w:rFonts w:cs="Tahoma"/>
                <w:b w:val="0"/>
                <w:sz w:val="18"/>
                <w:szCs w:val="18"/>
              </w:rPr>
              <w:t xml:space="preserve"> </w:t>
            </w:r>
            <w:r w:rsidRPr="00B357F4">
              <w:rPr>
                <w:rFonts w:cs="Tahoma"/>
                <w:b w:val="0"/>
                <w:sz w:val="18"/>
                <w:szCs w:val="18"/>
              </w:rPr>
              <w:t>88/17, 90/20, 1/21</w:t>
            </w:r>
            <w:r w:rsidR="005331CC">
              <w:rPr>
                <w:rFonts w:cs="Tahoma"/>
                <w:b w:val="0"/>
                <w:sz w:val="18"/>
                <w:szCs w:val="18"/>
              </w:rPr>
              <w:t xml:space="preserve"> i </w:t>
            </w:r>
            <w:r w:rsidRPr="00B357F4">
              <w:rPr>
                <w:rFonts w:cs="Tahoma"/>
                <w:b w:val="0"/>
                <w:sz w:val="18"/>
                <w:szCs w:val="18"/>
              </w:rPr>
              <w:t>45/21)</w:t>
            </w:r>
          </w:p>
          <w:p w14:paraId="7FE3B56F" w14:textId="6A293385" w:rsidR="009C62D7" w:rsidRPr="00B357F4" w:rsidRDefault="009C62D7" w:rsidP="00142C2C">
            <w:pPr>
              <w:spacing w:before="60" w:after="60"/>
              <w:rPr>
                <w:rFonts w:cs="Tahoma"/>
                <w:b w:val="0"/>
                <w:sz w:val="18"/>
                <w:szCs w:val="18"/>
              </w:rPr>
            </w:pPr>
            <w:r w:rsidRPr="00B357F4">
              <w:rPr>
                <w:rFonts w:cs="Tahoma"/>
                <w:b w:val="0"/>
                <w:sz w:val="18"/>
                <w:szCs w:val="18"/>
              </w:rPr>
              <w:t>Pravilnik o kontroli energetskog certifikata zgrade i izvješća o redovitom pregledu sustava grijanja i sustava hlađenja ili klimatizacije u zgradi (</w:t>
            </w:r>
            <w:r w:rsidR="004658DD">
              <w:rPr>
                <w:rFonts w:cs="Tahoma"/>
                <w:b w:val="0"/>
                <w:sz w:val="18"/>
                <w:szCs w:val="18"/>
              </w:rPr>
              <w:t>Narodne novine,</w:t>
            </w:r>
            <w:r w:rsidR="004658DD" w:rsidRPr="00B357F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73/15</w:t>
            </w:r>
            <w:r w:rsidR="005331CC">
              <w:rPr>
                <w:rFonts w:cs="Tahoma"/>
                <w:b w:val="0"/>
                <w:sz w:val="18"/>
                <w:szCs w:val="18"/>
              </w:rPr>
              <w:t xml:space="preserve"> i </w:t>
            </w:r>
            <w:r w:rsidRPr="00B357F4">
              <w:rPr>
                <w:rFonts w:cs="Tahoma"/>
                <w:b w:val="0"/>
                <w:sz w:val="18"/>
                <w:szCs w:val="18"/>
              </w:rPr>
              <w:t xml:space="preserve"> 54/20)</w:t>
            </w:r>
          </w:p>
          <w:p w14:paraId="5DB4548A" w14:textId="19F353CC" w:rsidR="009C62D7" w:rsidRPr="00B357F4" w:rsidRDefault="43A14E52" w:rsidP="00142C2C">
            <w:pPr>
              <w:spacing w:before="60" w:after="60"/>
              <w:rPr>
                <w:rFonts w:cs="Tahoma"/>
                <w:b w:val="0"/>
                <w:sz w:val="18"/>
                <w:szCs w:val="18"/>
              </w:rPr>
            </w:pPr>
            <w:r w:rsidRPr="00B357F4">
              <w:rPr>
                <w:rFonts w:cs="Tahoma"/>
                <w:b w:val="0"/>
                <w:sz w:val="18"/>
                <w:szCs w:val="18"/>
              </w:rPr>
              <w:t>Pravilnik o osobama ovlaštenim za energetsko certificiranje, energetski pregled zgrade i redoviti pregled sustava grijanja i sustava hlađenja ili klimatizacije u zgradi (</w:t>
            </w:r>
            <w:r w:rsidR="004658DD">
              <w:rPr>
                <w:rFonts w:cs="Tahoma"/>
                <w:b w:val="0"/>
                <w:sz w:val="18"/>
                <w:szCs w:val="18"/>
              </w:rPr>
              <w:t>Narodne novine,</w:t>
            </w:r>
            <w:r w:rsidR="004658DD" w:rsidRPr="00B357F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73/15, 133/15, 60/20</w:t>
            </w:r>
            <w:r w:rsidR="005331CC">
              <w:rPr>
                <w:rFonts w:cs="Tahoma"/>
                <w:b w:val="0"/>
                <w:sz w:val="18"/>
                <w:szCs w:val="18"/>
              </w:rPr>
              <w:t xml:space="preserve"> i </w:t>
            </w:r>
            <w:r w:rsidR="3175EF6A" w:rsidRPr="00B357F4">
              <w:rPr>
                <w:rFonts w:cs="Tahoma"/>
                <w:b w:val="0"/>
                <w:sz w:val="18"/>
                <w:szCs w:val="18"/>
              </w:rPr>
              <w:t>78/21</w:t>
            </w:r>
            <w:r w:rsidRPr="00B357F4">
              <w:rPr>
                <w:rFonts w:cs="Tahoma"/>
                <w:b w:val="0"/>
                <w:sz w:val="18"/>
                <w:szCs w:val="18"/>
              </w:rPr>
              <w:t>)</w:t>
            </w:r>
          </w:p>
        </w:tc>
      </w:tr>
    </w:tbl>
    <w:p w14:paraId="53AA829B" w14:textId="300AB255" w:rsidR="009C62D7" w:rsidRPr="00B357F4" w:rsidRDefault="3409C5F9" w:rsidP="3E326D79">
      <w:pPr>
        <w:rPr>
          <w:rFonts w:cs="Tahoma"/>
        </w:rPr>
      </w:pPr>
      <w:r w:rsidRPr="00B357F4">
        <w:rPr>
          <w:rFonts w:cs="Tahoma"/>
        </w:rPr>
        <w:t xml:space="preserve">Hrvatski </w:t>
      </w:r>
      <w:r w:rsidR="35BCD6D1" w:rsidRPr="00B357F4">
        <w:rPr>
          <w:rFonts w:cs="Tahoma"/>
        </w:rPr>
        <w:t>z</w:t>
      </w:r>
      <w:r w:rsidR="43A14E52" w:rsidRPr="00B357F4">
        <w:rPr>
          <w:rFonts w:cs="Tahoma"/>
        </w:rPr>
        <w:t>akonodavni okvir</w:t>
      </w:r>
      <w:r w:rsidR="009C62D7" w:rsidRPr="00B357F4" w:rsidDel="43A14E52">
        <w:rPr>
          <w:rFonts w:cs="Tahoma"/>
        </w:rPr>
        <w:t xml:space="preserve"> </w:t>
      </w:r>
      <w:r w:rsidR="43A14E52" w:rsidRPr="00B357F4">
        <w:rPr>
          <w:rFonts w:cs="Tahoma"/>
        </w:rPr>
        <w:t>prepoznaje važnost energetske i sveobuhvatne obnove zgrada te je usklađen s relevantnim EU direktivama. Također je važno istaknuti da je donošenje programa energetske obnove zgrada zakonska obveza (članak 47.b Zakona o gradnji) te je sadržaj tih programa jasno definiran kako slijedi:</w:t>
      </w:r>
    </w:p>
    <w:p w14:paraId="597304E9" w14:textId="77777777" w:rsidR="00B8654D" w:rsidRPr="00B357F4" w:rsidRDefault="02BD7AF3" w:rsidP="00725AB0">
      <w:pPr>
        <w:pStyle w:val="Odlomakpopisa"/>
        <w:numPr>
          <w:ilvl w:val="0"/>
          <w:numId w:val="30"/>
        </w:numPr>
      </w:pPr>
      <w:r w:rsidRPr="00B357F4">
        <w:t xml:space="preserve">Programi energetske obnove zgrada, među ostalim, </w:t>
      </w:r>
      <w:r w:rsidRPr="00B357F4">
        <w:rPr>
          <w:b/>
        </w:rPr>
        <w:t>potiču primjenu visokoučinkovitih alternativnih sustava</w:t>
      </w:r>
      <w:r w:rsidRPr="00B357F4">
        <w:t>, u mjeri u kojoj je to tehnički, funkcionalno i gospodarski izvedivo, kada se zgrade podvrgavaju značajnoj obnovi.</w:t>
      </w:r>
    </w:p>
    <w:p w14:paraId="2C904E5D" w14:textId="35AA127D" w:rsidR="00040D18" w:rsidRPr="00B357F4" w:rsidRDefault="5C5EDC91" w:rsidP="00725AB0">
      <w:pPr>
        <w:pStyle w:val="Odlomakpopisa"/>
        <w:numPr>
          <w:ilvl w:val="0"/>
          <w:numId w:val="30"/>
        </w:numPr>
      </w:pPr>
      <w:r w:rsidRPr="00B357F4">
        <w:t xml:space="preserve">U programima se razrađuju </w:t>
      </w:r>
      <w:r w:rsidRPr="00B357F4">
        <w:rPr>
          <w:b/>
        </w:rPr>
        <w:t>financijske mjere</w:t>
      </w:r>
      <w:r w:rsidRPr="00B357F4">
        <w:t xml:space="preserve"> za poboljšanje energetske učinkovitosti </w:t>
      </w:r>
      <w:r w:rsidR="5B404DF7" w:rsidRPr="00B357F4">
        <w:t>u obnovi</w:t>
      </w:r>
      <w:r w:rsidRPr="00B357F4">
        <w:t xml:space="preserve"> zgrada s ciljanim ili ostvarenim uštedama energije, određenima prema jednom od sljedećih kriterija ili više njih:</w:t>
      </w:r>
    </w:p>
    <w:p w14:paraId="371B18F5" w14:textId="77EC7A0F" w:rsidR="00B8654D" w:rsidRPr="00B357F4" w:rsidRDefault="02BD7AF3" w:rsidP="00725AB0">
      <w:pPr>
        <w:pStyle w:val="Odlomakpopisa"/>
        <w:numPr>
          <w:ilvl w:val="1"/>
          <w:numId w:val="30"/>
        </w:numPr>
      </w:pPr>
      <w:r w:rsidRPr="00B357F4">
        <w:t>energetskim svojstvima opreme ili materijala koji se upotrebljava u</w:t>
      </w:r>
      <w:r w:rsidR="5C5EDC91" w:rsidRPr="00B357F4">
        <w:t xml:space="preserve"> </w:t>
      </w:r>
      <w:r w:rsidRPr="00B357F4">
        <w:t>obnovi; u tom slučaju opremu ili materijal koji se upotrebljava u obnovi postavlja instalater s odgovarajućom razinom certifikacije ili kvalifikacije,</w:t>
      </w:r>
    </w:p>
    <w:p w14:paraId="25993A4F" w14:textId="77777777" w:rsidR="00B8654D" w:rsidRPr="00B357F4" w:rsidRDefault="02BD7AF3" w:rsidP="00725AB0">
      <w:pPr>
        <w:pStyle w:val="Odlomakpopisa"/>
        <w:numPr>
          <w:ilvl w:val="1"/>
          <w:numId w:val="30"/>
        </w:numPr>
      </w:pPr>
      <w:r w:rsidRPr="00B357F4">
        <w:t>standardnim vrijednostima za izračun ušteda energije u zgradama,</w:t>
      </w:r>
    </w:p>
    <w:p w14:paraId="025EB13C" w14:textId="73D0D324" w:rsidR="00B8654D" w:rsidRPr="00B357F4" w:rsidRDefault="5C5EDC91" w:rsidP="00725AB0">
      <w:pPr>
        <w:pStyle w:val="Odlomakpopisa"/>
        <w:numPr>
          <w:ilvl w:val="1"/>
          <w:numId w:val="30"/>
        </w:numPr>
      </w:pPr>
      <w:r w:rsidRPr="00B357F4">
        <w:t xml:space="preserve">ostvarenim poboljšanjem </w:t>
      </w:r>
      <w:r w:rsidR="02BD7AF3" w:rsidRPr="00B357F4">
        <w:t>zbog takve obnove usporedbom rezultata energetskih pregleda i energetskih certifikata izdanih prije i nakon obnove,</w:t>
      </w:r>
    </w:p>
    <w:p w14:paraId="05C1F7AF" w14:textId="77777777" w:rsidR="00B8654D" w:rsidRPr="00B357F4" w:rsidRDefault="02BD7AF3" w:rsidP="00725AB0">
      <w:pPr>
        <w:pStyle w:val="Odlomakpopisa"/>
        <w:numPr>
          <w:ilvl w:val="1"/>
          <w:numId w:val="30"/>
        </w:numPr>
      </w:pPr>
      <w:r w:rsidRPr="00B357F4">
        <w:t>glavnom projektu,</w:t>
      </w:r>
    </w:p>
    <w:p w14:paraId="7D47A07B" w14:textId="77777777" w:rsidR="00B8654D" w:rsidRPr="00B357F4" w:rsidRDefault="02BD7AF3" w:rsidP="00725AB0">
      <w:pPr>
        <w:pStyle w:val="Odlomakpopisa"/>
        <w:numPr>
          <w:ilvl w:val="1"/>
          <w:numId w:val="30"/>
        </w:numPr>
      </w:pPr>
      <w:r w:rsidRPr="00B357F4">
        <w:lastRenderedPageBreak/>
        <w:t>rezultatima neke druge relevantne, transparentne i razmjerne metode kojom se pokazuje poboljšanje energetskih svojstava.</w:t>
      </w:r>
    </w:p>
    <w:p w14:paraId="3FE49073" w14:textId="74D3BFB3" w:rsidR="00B8654D" w:rsidRPr="00B357F4" w:rsidRDefault="40396AED" w:rsidP="00B8654D">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pPr>
      <w:r w:rsidRPr="00B357F4">
        <w:rPr>
          <w:b/>
        </w:rPr>
        <w:t xml:space="preserve">U </w:t>
      </w:r>
      <w:r w:rsidR="19D6F4EA" w:rsidRPr="00B357F4">
        <w:rPr>
          <w:b/>
        </w:rPr>
        <w:t xml:space="preserve">hrvatskom </w:t>
      </w:r>
      <w:r w:rsidRPr="00B357F4">
        <w:rPr>
          <w:b/>
        </w:rPr>
        <w:t>zakonodavnom okviru</w:t>
      </w:r>
      <w:r w:rsidR="00B8654D" w:rsidRPr="00B357F4" w:rsidDel="40396AED">
        <w:rPr>
          <w:b/>
        </w:rPr>
        <w:t xml:space="preserve"> </w:t>
      </w:r>
      <w:r w:rsidR="00D65421" w:rsidRPr="00B357F4">
        <w:rPr>
          <w:b/>
        </w:rPr>
        <w:t>postoji</w:t>
      </w:r>
      <w:r w:rsidRPr="00B357F4">
        <w:rPr>
          <w:b/>
        </w:rPr>
        <w:t xml:space="preserve"> snažno uporište za energetsku obnovu zgrada te se u primarnom zakonodavstvu </w:t>
      </w:r>
      <w:r w:rsidR="005F4ED9">
        <w:rPr>
          <w:b/>
        </w:rPr>
        <w:t xml:space="preserve">ne nalaze barijere </w:t>
      </w:r>
      <w:r w:rsidRPr="00B357F4">
        <w:rPr>
          <w:b/>
        </w:rPr>
        <w:t>koje bi sprečavale provedbu programa energetske obnove zgrada.</w:t>
      </w:r>
      <w:r w:rsidRPr="00B357F4">
        <w:t xml:space="preserve">  </w:t>
      </w:r>
    </w:p>
    <w:p w14:paraId="1EA82A69" w14:textId="77777777" w:rsidR="00B8654D" w:rsidRPr="00B357F4" w:rsidRDefault="40396AED" w:rsidP="00B8654D">
      <w:pPr>
        <w:pStyle w:val="Naslov20"/>
      </w:pPr>
      <w:bookmarkStart w:id="29" w:name="_Toc72081597"/>
      <w:bookmarkStart w:id="30" w:name="_Toc94769968"/>
      <w:r w:rsidRPr="00B357F4">
        <w:t>Usklađenost Programa s Nacionalnom razvojnom strategijom, sektorskim i višesektorskim strategijama te dokumentima prostornoga uređenja</w:t>
      </w:r>
      <w:bookmarkEnd w:id="29"/>
      <w:bookmarkEnd w:id="30"/>
    </w:p>
    <w:p w14:paraId="2A8DC29B" w14:textId="7C507F53" w:rsidR="00CA298D" w:rsidRPr="00B357F4" w:rsidRDefault="7A3A5B02" w:rsidP="3E326D79">
      <w:pPr>
        <w:rPr>
          <w:rFonts w:cs="Tahoma"/>
          <w:lang w:eastAsia="hr-HR"/>
        </w:rPr>
      </w:pPr>
      <w:r w:rsidRPr="00B357F4">
        <w:rPr>
          <w:rFonts w:cs="Tahoma"/>
          <w:lang w:eastAsia="hr-HR"/>
        </w:rPr>
        <w:t xml:space="preserve">Programi energetske obnove zgrada moraju biti usklađeni s odredbama Zakona o sustavu strateškog planiranja  i upravljanja razvojem </w:t>
      </w:r>
      <w:r w:rsidR="203D8B4E" w:rsidRPr="00B357F4">
        <w:rPr>
          <w:rFonts w:cs="Tahoma"/>
          <w:lang w:eastAsia="hr-HR"/>
        </w:rPr>
        <w:t>Republike Hrvatske</w:t>
      </w:r>
      <w:r w:rsidRPr="00B357F4">
        <w:rPr>
          <w:rFonts w:cs="Tahoma"/>
          <w:lang w:eastAsia="hr-HR"/>
        </w:rPr>
        <w:t xml:space="preserve"> (</w:t>
      </w:r>
      <w:r w:rsidR="00C77D40" w:rsidRPr="00B357F4">
        <w:rPr>
          <w:rFonts w:cs="Tahoma"/>
          <w:lang w:eastAsia="hr-HR"/>
        </w:rPr>
        <w:t>Narodne novine</w:t>
      </w:r>
      <w:r w:rsidRPr="00B357F4">
        <w:rPr>
          <w:rFonts w:cs="Tahoma"/>
          <w:lang w:eastAsia="hr-HR"/>
        </w:rPr>
        <w:t xml:space="preserve"> </w:t>
      </w:r>
      <w:r w:rsidR="77F86312" w:rsidRPr="00B357F4">
        <w:rPr>
          <w:rFonts w:cs="Tahoma"/>
          <w:lang w:eastAsia="hr-HR"/>
        </w:rPr>
        <w:t>broj</w:t>
      </w:r>
      <w:r w:rsidRPr="00B357F4">
        <w:rPr>
          <w:rFonts w:cs="Tahoma"/>
          <w:lang w:eastAsia="hr-HR"/>
        </w:rPr>
        <w:t xml:space="preserve"> 123/2017) i Uredbom o smjernicama za izradu akata strateškog planiranja od nacionalnog značaja i od značaja za jedinice lokalne i područne (regionalne) samouprave (</w:t>
      </w:r>
      <w:r w:rsidR="5642A642" w:rsidRPr="00B357F4">
        <w:rPr>
          <w:rFonts w:cs="Tahoma"/>
          <w:lang w:eastAsia="hr-HR"/>
        </w:rPr>
        <w:t>Narodne novine broj</w:t>
      </w:r>
      <w:r w:rsidRPr="00B357F4">
        <w:rPr>
          <w:rFonts w:cs="Tahoma"/>
          <w:lang w:eastAsia="hr-HR"/>
        </w:rPr>
        <w:t xml:space="preserve"> 89/2018) te s</w:t>
      </w:r>
      <w:r w:rsidR="003B7C5E">
        <w:rPr>
          <w:rFonts w:cs="Tahoma"/>
          <w:lang w:eastAsia="hr-HR"/>
        </w:rPr>
        <w:t>a</w:t>
      </w:r>
      <w:r w:rsidRPr="00B357F4">
        <w:rPr>
          <w:rFonts w:cs="Tahoma"/>
          <w:lang w:eastAsia="hr-HR"/>
        </w:rPr>
        <w:t xml:space="preserve"> strateškim dokumentima kako slijedi:</w:t>
      </w:r>
    </w:p>
    <w:p w14:paraId="1B6F78A5" w14:textId="7B65C7EA" w:rsidR="00CA298D" w:rsidRPr="00B357F4" w:rsidRDefault="2D8EF165" w:rsidP="3E326D79">
      <w:pPr>
        <w:pStyle w:val="Odlomakpopisa"/>
        <w:numPr>
          <w:ilvl w:val="0"/>
          <w:numId w:val="31"/>
        </w:numPr>
        <w:spacing w:before="120" w:after="120"/>
        <w:rPr>
          <w:rFonts w:cs="Tahoma"/>
        </w:rPr>
      </w:pPr>
      <w:r w:rsidRPr="00B357F4">
        <w:rPr>
          <w:rFonts w:cs="Tahoma"/>
        </w:rPr>
        <w:t>Nacionalna razvojna strategija Republike Hrvatske do 2030. godine (</w:t>
      </w:r>
      <w:r w:rsidR="007C456D">
        <w:rPr>
          <w:rFonts w:cs="Tahoma"/>
        </w:rPr>
        <w:t>Narodne novine</w:t>
      </w:r>
      <w:r w:rsidR="008761B8">
        <w:rPr>
          <w:rFonts w:cs="Tahoma"/>
        </w:rPr>
        <w:t>,</w:t>
      </w:r>
      <w:r w:rsidR="007C456D">
        <w:rPr>
          <w:rFonts w:cs="Tahoma"/>
        </w:rPr>
        <w:t xml:space="preserve"> broj</w:t>
      </w:r>
      <w:r w:rsidRPr="00B357F4">
        <w:rPr>
          <w:rFonts w:cs="Tahoma"/>
        </w:rPr>
        <w:t xml:space="preserve"> 13/2021)</w:t>
      </w:r>
    </w:p>
    <w:p w14:paraId="1E741E98" w14:textId="0976F984" w:rsidR="00CA298D" w:rsidRPr="00B357F4" w:rsidRDefault="2D8EF165" w:rsidP="3E326D79">
      <w:pPr>
        <w:pStyle w:val="Odlomakpopisa"/>
        <w:numPr>
          <w:ilvl w:val="0"/>
          <w:numId w:val="31"/>
        </w:numPr>
        <w:spacing w:before="120" w:after="120"/>
        <w:rPr>
          <w:rFonts w:cs="Tahoma"/>
        </w:rPr>
      </w:pPr>
      <w:r w:rsidRPr="00B357F4">
        <w:rPr>
          <w:rFonts w:cs="Tahoma"/>
        </w:rPr>
        <w:t>Strategija niskougljičnog razvoja Republike Hrvatske do 2030. s pogledom na 2050. godinu (</w:t>
      </w:r>
      <w:r w:rsidR="7BA6F450" w:rsidRPr="00B357F4">
        <w:rPr>
          <w:rFonts w:cs="Tahoma"/>
        </w:rPr>
        <w:t>Narodne novine</w:t>
      </w:r>
      <w:r w:rsidR="008761B8">
        <w:rPr>
          <w:rFonts w:cs="Tahoma"/>
        </w:rPr>
        <w:t>,</w:t>
      </w:r>
      <w:r w:rsidR="7BA6F450" w:rsidRPr="00B357F4">
        <w:rPr>
          <w:rFonts w:cs="Tahoma"/>
        </w:rPr>
        <w:t xml:space="preserve"> broj</w:t>
      </w:r>
      <w:r w:rsidRPr="00B357F4" w:rsidDel="00CA298D">
        <w:rPr>
          <w:rFonts w:cs="Tahoma"/>
        </w:rPr>
        <w:t xml:space="preserve"> </w:t>
      </w:r>
      <w:r w:rsidRPr="00B357F4">
        <w:rPr>
          <w:rFonts w:cs="Tahoma"/>
        </w:rPr>
        <w:t>63/</w:t>
      </w:r>
      <w:r w:rsidR="0C3D2B4D" w:rsidRPr="00B357F4">
        <w:rPr>
          <w:rFonts w:cs="Tahoma"/>
        </w:rPr>
        <w:t>20</w:t>
      </w:r>
      <w:r w:rsidRPr="00B357F4">
        <w:rPr>
          <w:rFonts w:cs="Tahoma"/>
        </w:rPr>
        <w:t>21)</w:t>
      </w:r>
    </w:p>
    <w:p w14:paraId="67C68016" w14:textId="619AD0E6" w:rsidR="00CA298D" w:rsidRPr="00B357F4" w:rsidRDefault="2D8EF165" w:rsidP="3E326D79">
      <w:pPr>
        <w:pStyle w:val="Odlomakpopisa"/>
        <w:numPr>
          <w:ilvl w:val="0"/>
          <w:numId w:val="31"/>
        </w:numPr>
        <w:spacing w:before="120" w:after="120"/>
        <w:rPr>
          <w:rFonts w:cs="Tahoma"/>
        </w:rPr>
      </w:pPr>
      <w:r w:rsidRPr="00B357F4">
        <w:rPr>
          <w:rFonts w:cs="Tahoma"/>
        </w:rPr>
        <w:t xml:space="preserve">Strategija energetskog razvoja Republike Hrvatske do 2030. godine s pogledom </w:t>
      </w:r>
      <w:r w:rsidR="007777A6">
        <w:rPr>
          <w:rFonts w:cs="Tahoma"/>
        </w:rPr>
        <w:t>do</w:t>
      </w:r>
      <w:r w:rsidR="007777A6" w:rsidRPr="00B357F4">
        <w:rPr>
          <w:rFonts w:cs="Tahoma"/>
        </w:rPr>
        <w:t xml:space="preserve"> </w:t>
      </w:r>
      <w:r w:rsidRPr="00B357F4">
        <w:rPr>
          <w:rFonts w:cs="Tahoma"/>
        </w:rPr>
        <w:t xml:space="preserve">2050. </w:t>
      </w:r>
      <w:r w:rsidR="007777A6" w:rsidRPr="00B357F4">
        <w:rPr>
          <w:rFonts w:cs="Tahoma"/>
        </w:rPr>
        <w:t>godin</w:t>
      </w:r>
      <w:r w:rsidR="007777A6">
        <w:rPr>
          <w:rFonts w:cs="Tahoma"/>
        </w:rPr>
        <w:t>e</w:t>
      </w:r>
      <w:r w:rsidR="007777A6" w:rsidRPr="00B357F4">
        <w:rPr>
          <w:rFonts w:cs="Tahoma"/>
        </w:rPr>
        <w:t xml:space="preserve"> </w:t>
      </w:r>
      <w:r w:rsidRPr="00B357F4">
        <w:rPr>
          <w:rFonts w:cs="Tahoma"/>
        </w:rPr>
        <w:t>(</w:t>
      </w:r>
      <w:r w:rsidR="473C89CF" w:rsidRPr="00B357F4">
        <w:rPr>
          <w:rFonts w:cs="Tahoma"/>
        </w:rPr>
        <w:t>Narodne novine</w:t>
      </w:r>
      <w:r w:rsidR="008761B8">
        <w:rPr>
          <w:rFonts w:cs="Tahoma"/>
        </w:rPr>
        <w:t>,</w:t>
      </w:r>
      <w:r w:rsidR="473C89CF" w:rsidRPr="00B357F4">
        <w:rPr>
          <w:rFonts w:cs="Tahoma"/>
        </w:rPr>
        <w:t xml:space="preserve"> b</w:t>
      </w:r>
      <w:r w:rsidR="000004A8" w:rsidRPr="00B357F4">
        <w:rPr>
          <w:rFonts w:cs="Tahoma"/>
        </w:rPr>
        <w:t>r</w:t>
      </w:r>
      <w:r w:rsidR="473C89CF" w:rsidRPr="00B357F4">
        <w:rPr>
          <w:rFonts w:cs="Tahoma"/>
        </w:rPr>
        <w:t xml:space="preserve">oj </w:t>
      </w:r>
      <w:r w:rsidRPr="00B357F4">
        <w:rPr>
          <w:rFonts w:cs="Tahoma"/>
        </w:rPr>
        <w:t>25/2020)   </w:t>
      </w:r>
    </w:p>
    <w:p w14:paraId="452CC826" w14:textId="77777777" w:rsidR="00CA298D" w:rsidRPr="003020E6" w:rsidRDefault="2D8EF165" w:rsidP="3E326D79">
      <w:pPr>
        <w:pStyle w:val="Odlomakpopisa"/>
        <w:numPr>
          <w:ilvl w:val="0"/>
          <w:numId w:val="31"/>
        </w:numPr>
        <w:spacing w:before="120" w:after="120"/>
        <w:rPr>
          <w:rFonts w:cs="Tahoma"/>
        </w:rPr>
      </w:pPr>
      <w:r w:rsidRPr="00B357F4">
        <w:rPr>
          <w:rFonts w:cs="Tahoma"/>
        </w:rPr>
        <w:t>Integrirani nacionalni energetski i klimatski plan za Republiku Hrvatsku za razdoblje od 2021. do 2030. godine</w:t>
      </w:r>
      <w:r w:rsidR="00CA298D" w:rsidRPr="003020E6">
        <w:rPr>
          <w:rStyle w:val="Referencafusnote"/>
          <w:rFonts w:eastAsiaTheme="majorEastAsia"/>
        </w:rPr>
        <w:footnoteReference w:id="4"/>
      </w:r>
    </w:p>
    <w:p w14:paraId="620732D1" w14:textId="3DDD134E" w:rsidR="00CA298D" w:rsidRPr="00B357F4" w:rsidRDefault="2D8EF165" w:rsidP="3E326D79">
      <w:pPr>
        <w:pStyle w:val="Odlomakpopisa"/>
        <w:numPr>
          <w:ilvl w:val="0"/>
          <w:numId w:val="31"/>
        </w:numPr>
        <w:spacing w:before="120" w:after="120"/>
        <w:rPr>
          <w:rFonts w:cs="Tahoma"/>
        </w:rPr>
      </w:pPr>
      <w:r w:rsidRPr="00D7774F">
        <w:rPr>
          <w:rFonts w:cs="Tahoma"/>
        </w:rPr>
        <w:t>Dugoročna strategija obnove nacionalnog fonda zgrada do 2050. godine (</w:t>
      </w:r>
      <w:r w:rsidR="4C1E4B1F" w:rsidRPr="00B357F4">
        <w:rPr>
          <w:rFonts w:cs="Tahoma"/>
        </w:rPr>
        <w:t>Narodne novine</w:t>
      </w:r>
      <w:r w:rsidR="008761B8">
        <w:rPr>
          <w:rFonts w:cs="Tahoma"/>
        </w:rPr>
        <w:t>,</w:t>
      </w:r>
      <w:r w:rsidR="4C1E4B1F" w:rsidRPr="00B357F4">
        <w:rPr>
          <w:rFonts w:cs="Tahoma"/>
        </w:rPr>
        <w:t xml:space="preserve"> broj</w:t>
      </w:r>
      <w:r w:rsidRPr="00B357F4">
        <w:rPr>
          <w:rFonts w:cs="Tahoma"/>
        </w:rPr>
        <w:t xml:space="preserve"> 140/2020) </w:t>
      </w:r>
    </w:p>
    <w:p w14:paraId="10DDFF78" w14:textId="5BB36262" w:rsidR="00B8654D" w:rsidRPr="00D7774F" w:rsidRDefault="00B8654D" w:rsidP="00B8654D">
      <w:r w:rsidRPr="00B357F4">
        <w:t xml:space="preserve">Pregled odredbi ovih strateških dokumenata relevantnih za energetsku obnovu zgrada daje </w:t>
      </w:r>
      <w:r w:rsidRPr="00D7774F">
        <w:fldChar w:fldCharType="begin"/>
      </w:r>
      <w:r w:rsidRPr="00B357F4">
        <w:instrText xml:space="preserve"> REF _Ref70491989 \h </w:instrText>
      </w:r>
      <w:r w:rsidRPr="00D7774F">
        <w:fldChar w:fldCharType="separate"/>
      </w:r>
      <w:r w:rsidR="0023635D" w:rsidRPr="000C4368">
        <w:t xml:space="preserve">Tablica </w:t>
      </w:r>
      <w:r w:rsidR="0023635D">
        <w:rPr>
          <w:noProof/>
        </w:rPr>
        <w:t>2</w:t>
      </w:r>
      <w:r w:rsidR="0023635D">
        <w:noBreakHyphen/>
      </w:r>
      <w:r w:rsidR="0023635D">
        <w:rPr>
          <w:noProof/>
        </w:rPr>
        <w:t>2</w:t>
      </w:r>
      <w:r w:rsidRPr="00D7774F">
        <w:fldChar w:fldCharType="end"/>
      </w:r>
      <w:r w:rsidRPr="003020E6">
        <w:t xml:space="preserve">. </w:t>
      </w:r>
    </w:p>
    <w:p w14:paraId="2F9E4BC7" w14:textId="5EE200D4" w:rsidR="00B8654D" w:rsidRPr="000C4368" w:rsidRDefault="00B8654D" w:rsidP="00B8654D">
      <w:pPr>
        <w:pStyle w:val="Opisslike"/>
      </w:pPr>
      <w:bookmarkStart w:id="31" w:name="_Ref70491989"/>
      <w:bookmarkStart w:id="32" w:name="_Toc72081535"/>
      <w:bookmarkStart w:id="33" w:name="_Toc87949881"/>
      <w:r w:rsidRPr="000C4368">
        <w:t xml:space="preserve">Tablica </w:t>
      </w:r>
      <w:r>
        <w:fldChar w:fldCharType="begin"/>
      </w:r>
      <w:r>
        <w:instrText>STYLEREF 1 \s</w:instrText>
      </w:r>
      <w:r>
        <w:fldChar w:fldCharType="separate"/>
      </w:r>
      <w:r w:rsidR="0023635D">
        <w:rPr>
          <w:noProof/>
        </w:rPr>
        <w:t>2</w:t>
      </w:r>
      <w:r>
        <w:fldChar w:fldCharType="end"/>
      </w:r>
      <w:r w:rsidR="00166B1A">
        <w:noBreakHyphen/>
      </w:r>
      <w:r>
        <w:fldChar w:fldCharType="begin"/>
      </w:r>
      <w:r>
        <w:instrText>SEQ Tablica \* ARABIC \s 1</w:instrText>
      </w:r>
      <w:r>
        <w:fldChar w:fldCharType="separate"/>
      </w:r>
      <w:r w:rsidR="0023635D">
        <w:rPr>
          <w:noProof/>
        </w:rPr>
        <w:t>2</w:t>
      </w:r>
      <w:r>
        <w:fldChar w:fldCharType="end"/>
      </w:r>
      <w:bookmarkEnd w:id="31"/>
      <w:r w:rsidRPr="003020E6">
        <w:t xml:space="preserve">: Pregled odredbi </w:t>
      </w:r>
      <w:r w:rsidRPr="00D7774F">
        <w:t>strateških dokumenata RH</w:t>
      </w:r>
      <w:bookmarkEnd w:id="32"/>
      <w:bookmarkEnd w:id="33"/>
      <w:r w:rsidRPr="00D7774F">
        <w:t xml:space="preserve"> </w:t>
      </w:r>
    </w:p>
    <w:tbl>
      <w:tblPr>
        <w:tblStyle w:val="Svijetlatablicareetke11"/>
        <w:tblW w:w="5000" w:type="pct"/>
        <w:tblLook w:val="04A0" w:firstRow="1" w:lastRow="0" w:firstColumn="1" w:lastColumn="0" w:noHBand="0" w:noVBand="1"/>
      </w:tblPr>
      <w:tblGrid>
        <w:gridCol w:w="9344"/>
      </w:tblGrid>
      <w:tr w:rsidR="00B8654D" w:rsidRPr="00B357F4" w14:paraId="020D8832" w14:textId="77777777" w:rsidTr="4885C6D2">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5000" w:type="pct"/>
            <w:shd w:val="clear" w:color="auto" w:fill="E7E6E6" w:themeFill="background2"/>
          </w:tcPr>
          <w:p w14:paraId="66CDD912" w14:textId="62C949BF" w:rsidR="00B8654D" w:rsidRPr="00B357F4" w:rsidRDefault="00B8654D" w:rsidP="00142C2C">
            <w:pPr>
              <w:spacing w:before="60" w:after="60"/>
              <w:jc w:val="center"/>
              <w:rPr>
                <w:sz w:val="18"/>
                <w:szCs w:val="18"/>
              </w:rPr>
            </w:pPr>
            <w:r w:rsidRPr="00B03C9B">
              <w:rPr>
                <w:lang w:eastAsia="hr-HR"/>
              </w:rPr>
              <w:t>Nacionalna razvojna strategija</w:t>
            </w:r>
            <w:r w:rsidRPr="00B357F4">
              <w:t xml:space="preserve"> </w:t>
            </w:r>
            <w:r w:rsidR="00AE5706">
              <w:rPr>
                <w:lang w:eastAsia="hr-HR"/>
              </w:rPr>
              <w:t>Republike Hrvatske</w:t>
            </w:r>
            <w:r w:rsidR="00AE5706" w:rsidRPr="00B357F4">
              <w:rPr>
                <w:lang w:eastAsia="hr-HR"/>
              </w:rPr>
              <w:t xml:space="preserve"> </w:t>
            </w:r>
            <w:r w:rsidRPr="00B357F4">
              <w:rPr>
                <w:lang w:eastAsia="hr-HR"/>
              </w:rPr>
              <w:t>do 2030. godine</w:t>
            </w:r>
          </w:p>
        </w:tc>
      </w:tr>
      <w:tr w:rsidR="00B8654D" w:rsidRPr="00B357F4" w14:paraId="10F51755"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5C2E94EB" w14:textId="610BFD4D" w:rsidR="00B8654D" w:rsidRPr="00B357F4" w:rsidRDefault="00B8654D" w:rsidP="00142C2C">
            <w:pPr>
              <w:spacing w:before="60" w:after="60"/>
              <w:rPr>
                <w:sz w:val="18"/>
                <w:szCs w:val="18"/>
              </w:rPr>
            </w:pPr>
            <w:r w:rsidRPr="00B357F4">
              <w:rPr>
                <w:sz w:val="18"/>
                <w:szCs w:val="18"/>
              </w:rPr>
              <w:t xml:space="preserve">Razvojni smjer 3. </w:t>
            </w:r>
            <w:r w:rsidR="00906C85" w:rsidRPr="00B357F4">
              <w:rPr>
                <w:sz w:val="18"/>
                <w:szCs w:val="18"/>
              </w:rPr>
              <w:t>Zelen</w:t>
            </w:r>
            <w:r w:rsidR="00906C85">
              <w:rPr>
                <w:sz w:val="18"/>
                <w:szCs w:val="18"/>
              </w:rPr>
              <w:t>a</w:t>
            </w:r>
            <w:r w:rsidRPr="00B357F4">
              <w:rPr>
                <w:sz w:val="18"/>
                <w:szCs w:val="18"/>
              </w:rPr>
              <w:t xml:space="preserve"> i digitalna tranzicija</w:t>
            </w:r>
            <w:r w:rsidRPr="00B357F4">
              <w:rPr>
                <w:b w:val="0"/>
                <w:sz w:val="18"/>
                <w:szCs w:val="18"/>
              </w:rPr>
              <w:t xml:space="preserve"> - Zelena i digitalna tranzicija ostvarit će se prelaskom na čistu i dostupniju energiju, poticanjem zelenih i plavih ulaganja, </w:t>
            </w:r>
            <w:r w:rsidRPr="00B357F4">
              <w:rPr>
                <w:sz w:val="18"/>
                <w:szCs w:val="18"/>
              </w:rPr>
              <w:t>dekarbonizacijom zgrada</w:t>
            </w:r>
            <w:r w:rsidRPr="00B357F4">
              <w:rPr>
                <w:b w:val="0"/>
                <w:sz w:val="18"/>
                <w:szCs w:val="18"/>
              </w:rPr>
              <w:t>, razvojem kružnog gospodarstva, jačanjem samodostatnosti u proizvodnji hrane, razvojem biogospodarstva te očuvanjem i obnovom ekosustava i bioraznolikosti.</w:t>
            </w:r>
          </w:p>
          <w:p w14:paraId="0213E267" w14:textId="77777777" w:rsidR="00B8654D" w:rsidRPr="00B357F4" w:rsidRDefault="00B8654D" w:rsidP="00142C2C">
            <w:pPr>
              <w:spacing w:before="60" w:after="60"/>
              <w:rPr>
                <w:sz w:val="18"/>
                <w:szCs w:val="18"/>
              </w:rPr>
            </w:pPr>
            <w:r w:rsidRPr="00B357F4">
              <w:rPr>
                <w:sz w:val="18"/>
                <w:szCs w:val="18"/>
              </w:rPr>
              <w:t xml:space="preserve">Strateški cilj 8. Ekološka i energetska tranzicija za klimatsku neutralnost - </w:t>
            </w:r>
            <w:r w:rsidRPr="00B357F4">
              <w:rPr>
                <w:b w:val="0"/>
                <w:sz w:val="18"/>
                <w:szCs w:val="18"/>
              </w:rPr>
              <w:t>Poticat će se cjelovita obnova zgrada, koja osim mjera energetske obnove obuhvaća i mjere za osiguranje zdravih unutarnjih klimatskih uvjeta, zaštite od požara i rizika povezanih s pojačanom seizmičkom aktivnošću.</w:t>
            </w:r>
          </w:p>
          <w:p w14:paraId="4FE14A88" w14:textId="77777777" w:rsidR="00B8654D" w:rsidRPr="00B357F4" w:rsidRDefault="00B8654D" w:rsidP="00142C2C">
            <w:pPr>
              <w:spacing w:before="60" w:after="60"/>
              <w:rPr>
                <w:sz w:val="18"/>
                <w:szCs w:val="18"/>
              </w:rPr>
            </w:pPr>
            <w:r w:rsidRPr="00B357F4">
              <w:rPr>
                <w:sz w:val="18"/>
                <w:szCs w:val="18"/>
              </w:rPr>
              <w:t xml:space="preserve">Prioritetno područje 2. Energetska učinkovitost i samodostatnost te tranzicija na čistu energiju - </w:t>
            </w:r>
            <w:r w:rsidRPr="00B357F4">
              <w:rPr>
                <w:b w:val="0"/>
                <w:sz w:val="18"/>
                <w:szCs w:val="18"/>
              </w:rPr>
              <w:t>U okviru programa energetske obnove stambenog sektora za razdoblje 2021. – 2030. provodit će se obnova višestambenih zgrada i obiteljskih kuća pri čemu će prioritet imati ranjive skupine građana u opasnosti od energetskog siromaštva. Pri energetskoj obnovi uzet će se u obzir posljedice razornih potresa u Hrvatskoj u 2020. godini, a u obnovi zgrada u svim dijelovima Hrvatske primijenit će se načela tranzicije na čišće izvore energije i protupotresne zaštite.</w:t>
            </w:r>
          </w:p>
        </w:tc>
      </w:tr>
      <w:tr w:rsidR="00337260" w:rsidRPr="00B357F4" w14:paraId="4A46A919" w14:textId="77777777" w:rsidTr="4885C6D2">
        <w:tc>
          <w:tcPr>
            <w:cnfStyle w:val="001000000000" w:firstRow="0" w:lastRow="0" w:firstColumn="1" w:lastColumn="0" w:oddVBand="0" w:evenVBand="0" w:oddHBand="0" w:evenHBand="0" w:firstRowFirstColumn="0" w:firstRowLastColumn="0" w:lastRowFirstColumn="0" w:lastRowLastColumn="0"/>
            <w:tcW w:w="5000" w:type="pct"/>
            <w:shd w:val="clear" w:color="auto" w:fill="E7E6E6" w:themeFill="background2"/>
          </w:tcPr>
          <w:p w14:paraId="4135DC06" w14:textId="7ED800D2" w:rsidR="00337260" w:rsidRPr="00B357F4" w:rsidRDefault="00337260" w:rsidP="00142C2C">
            <w:pPr>
              <w:spacing w:before="60" w:after="60"/>
              <w:jc w:val="center"/>
              <w:rPr>
                <w:lang w:eastAsia="hr-HR"/>
              </w:rPr>
            </w:pPr>
            <w:r w:rsidRPr="00B357F4">
              <w:rPr>
                <w:lang w:eastAsia="hr-HR"/>
              </w:rPr>
              <w:t>Strategija niskougljičnog razvoja Republike Hrvatske do 2030. s pogledom na 2050. godinu</w:t>
            </w:r>
          </w:p>
        </w:tc>
      </w:tr>
      <w:tr w:rsidR="00337260" w:rsidRPr="00B357F4" w14:paraId="037147CB"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3FA4677C" w14:textId="77777777" w:rsidR="00337260" w:rsidRPr="00B357F4" w:rsidRDefault="00337260" w:rsidP="00142C2C">
            <w:pPr>
              <w:spacing w:before="60" w:after="60"/>
              <w:rPr>
                <w:rFonts w:cs="Tahoma"/>
                <w:sz w:val="18"/>
                <w:szCs w:val="18"/>
              </w:rPr>
            </w:pPr>
            <w:r w:rsidRPr="00B357F4">
              <w:rPr>
                <w:rFonts w:cs="Tahoma"/>
                <w:sz w:val="18"/>
                <w:szCs w:val="18"/>
              </w:rPr>
              <w:t>Vizija Niskougljične strategije</w:t>
            </w:r>
          </w:p>
          <w:p w14:paraId="2122C8CE" w14:textId="2E1856E7" w:rsidR="00337260" w:rsidRPr="00B357F4" w:rsidRDefault="00337260" w:rsidP="00142C2C">
            <w:pPr>
              <w:spacing w:before="60" w:after="60"/>
              <w:rPr>
                <w:rFonts w:cs="Tahoma"/>
                <w:sz w:val="18"/>
                <w:szCs w:val="18"/>
              </w:rPr>
            </w:pPr>
            <w:r w:rsidRPr="00B357F4">
              <w:rPr>
                <w:rFonts w:cs="Tahoma"/>
                <w:b w:val="0"/>
                <w:sz w:val="18"/>
                <w:szCs w:val="18"/>
              </w:rPr>
              <w:t xml:space="preserve">Niskougljična strategija vodi viziji društva u kojem ćemo živjeti zdravije, ugodnije, s niskougljičnim rastom i djelotvornim upravljanjem resursima. </w:t>
            </w:r>
            <w:r w:rsidRPr="00B357F4">
              <w:rPr>
                <w:rFonts w:cs="Tahoma"/>
                <w:sz w:val="18"/>
                <w:szCs w:val="18"/>
              </w:rPr>
              <w:t>Postojeći nacionalni fond zgrada bit će obnovljen</w:t>
            </w:r>
            <w:r w:rsidRPr="00B357F4">
              <w:rPr>
                <w:rFonts w:cs="Tahoma"/>
                <w:b w:val="0"/>
                <w:sz w:val="18"/>
                <w:szCs w:val="18"/>
              </w:rPr>
              <w:t xml:space="preserve">, a novi građen po principima za </w:t>
            </w:r>
            <w:r w:rsidR="00A90F03" w:rsidRPr="00B357F4">
              <w:rPr>
                <w:rFonts w:cs="Tahoma"/>
                <w:b w:val="0"/>
                <w:sz w:val="18"/>
                <w:szCs w:val="18"/>
              </w:rPr>
              <w:t>zgrad</w:t>
            </w:r>
            <w:r w:rsidR="00A90F03">
              <w:rPr>
                <w:rFonts w:cs="Tahoma"/>
                <w:b w:val="0"/>
                <w:sz w:val="18"/>
                <w:szCs w:val="18"/>
              </w:rPr>
              <w:t>e</w:t>
            </w:r>
            <w:r w:rsidR="00A90F03" w:rsidRPr="00B357F4">
              <w:rPr>
                <w:rFonts w:cs="Tahoma"/>
                <w:b w:val="0"/>
                <w:sz w:val="18"/>
                <w:szCs w:val="18"/>
              </w:rPr>
              <w:t xml:space="preserve"> </w:t>
            </w:r>
            <w:r w:rsidRPr="00B357F4">
              <w:rPr>
                <w:rFonts w:cs="Tahoma"/>
                <w:b w:val="0"/>
                <w:sz w:val="18"/>
                <w:szCs w:val="18"/>
              </w:rPr>
              <w:t>gotovo nulte energije i kružnog gospodarenja.</w:t>
            </w:r>
          </w:p>
          <w:p w14:paraId="4E7E489F" w14:textId="77777777" w:rsidR="00337260" w:rsidRPr="00B357F4" w:rsidRDefault="00337260" w:rsidP="00142C2C">
            <w:pPr>
              <w:spacing w:before="60" w:after="60"/>
              <w:rPr>
                <w:rFonts w:cs="Tahoma"/>
                <w:b w:val="0"/>
                <w:sz w:val="18"/>
                <w:szCs w:val="18"/>
              </w:rPr>
            </w:pPr>
            <w:r w:rsidRPr="00B357F4">
              <w:rPr>
                <w:rFonts w:cs="Tahoma"/>
                <w:sz w:val="18"/>
                <w:szCs w:val="18"/>
              </w:rPr>
              <w:t>Politike i mjere za niskougljični razvoj - Energetska obnova zgrada</w:t>
            </w:r>
          </w:p>
          <w:p w14:paraId="5DB4E808" w14:textId="2481E074" w:rsidR="00337260" w:rsidRPr="00B357F4" w:rsidRDefault="00337260" w:rsidP="00142C2C">
            <w:pPr>
              <w:spacing w:before="60" w:after="60"/>
              <w:rPr>
                <w:rFonts w:cs="Tahoma"/>
                <w:sz w:val="18"/>
                <w:szCs w:val="18"/>
              </w:rPr>
            </w:pPr>
            <w:r w:rsidRPr="00B357F4">
              <w:rPr>
                <w:rFonts w:cs="Tahoma"/>
                <w:b w:val="0"/>
                <w:sz w:val="18"/>
                <w:szCs w:val="18"/>
              </w:rPr>
              <w:lastRenderedPageBreak/>
              <w:t xml:space="preserve">Postojeće mjere za poticanje obnove zgrada u </w:t>
            </w:r>
            <w:r w:rsidR="005264C5">
              <w:rPr>
                <w:rFonts w:cs="Tahoma"/>
                <w:b w:val="0"/>
                <w:sz w:val="18"/>
                <w:szCs w:val="18"/>
              </w:rPr>
              <w:t>Hrvatskoj</w:t>
            </w:r>
            <w:r w:rsidRPr="00B357F4">
              <w:rPr>
                <w:rFonts w:cs="Tahoma"/>
                <w:b w:val="0"/>
                <w:sz w:val="18"/>
                <w:szCs w:val="18"/>
              </w:rPr>
              <w:t>, obuhvaćaju prvenstveno provedbu nacionalnih programa energetske obnove i obuhvaćaju sve namjene zgrada, privatne, javne i komercijalne korisnike, kao i zgrade najlošijih svojstava na potpomognutim područjima i područjima od posebne državne skrbi.</w:t>
            </w:r>
          </w:p>
          <w:p w14:paraId="78522C10" w14:textId="5420B87E" w:rsidR="00337260" w:rsidRPr="00B357F4" w:rsidRDefault="00337260" w:rsidP="00142C2C">
            <w:pPr>
              <w:spacing w:before="60" w:after="60"/>
              <w:rPr>
                <w:sz w:val="18"/>
                <w:szCs w:val="18"/>
              </w:rPr>
            </w:pPr>
            <w:r w:rsidRPr="00B357F4">
              <w:rPr>
                <w:rFonts w:cs="Tahoma"/>
                <w:b w:val="0"/>
                <w:sz w:val="18"/>
                <w:szCs w:val="18"/>
              </w:rPr>
              <w:t xml:space="preserve">U sljedećem razdoblju posebno će se poticati dubinska obnova, koja obuhvaća mjere energetske učinkovitosti na ovojnici i tehničkim sustavima te rezultira </w:t>
            </w:r>
            <w:r w:rsidR="003A2275">
              <w:rPr>
                <w:rFonts w:cs="Tahoma"/>
                <w:b w:val="0"/>
                <w:sz w:val="18"/>
                <w:szCs w:val="18"/>
              </w:rPr>
              <w:t>smanjenjem potrošnje</w:t>
            </w:r>
            <w:r w:rsidRPr="00B357F4">
              <w:rPr>
                <w:rFonts w:cs="Tahoma"/>
                <w:b w:val="0"/>
                <w:sz w:val="18"/>
                <w:szCs w:val="18"/>
              </w:rPr>
              <w:t xml:space="preserve"> energije za grijanje (Q</w:t>
            </w:r>
            <w:r w:rsidRPr="00B357F4">
              <w:rPr>
                <w:rFonts w:cs="Tahoma"/>
                <w:b w:val="0"/>
                <w:sz w:val="18"/>
                <w:szCs w:val="18"/>
                <w:vertAlign w:val="subscript"/>
              </w:rPr>
              <w:t>H,nd</w:t>
            </w:r>
            <w:r w:rsidRPr="00B357F4">
              <w:rPr>
                <w:rFonts w:cs="Tahoma"/>
                <w:b w:val="0"/>
                <w:sz w:val="18"/>
                <w:szCs w:val="18"/>
              </w:rPr>
              <w:t>) i primarne energije (E</w:t>
            </w:r>
            <w:r w:rsidRPr="00B357F4">
              <w:rPr>
                <w:rFonts w:cs="Tahoma"/>
                <w:b w:val="0"/>
                <w:sz w:val="18"/>
                <w:szCs w:val="18"/>
                <w:vertAlign w:val="subscript"/>
              </w:rPr>
              <w:t>prim</w:t>
            </w:r>
            <w:r w:rsidRPr="00B357F4">
              <w:rPr>
                <w:rFonts w:cs="Tahoma"/>
                <w:b w:val="0"/>
                <w:sz w:val="18"/>
                <w:szCs w:val="18"/>
              </w:rPr>
              <w:t>) na godišnjoj razini [kWh/(m</w:t>
            </w:r>
            <w:r w:rsidRPr="00B357F4">
              <w:rPr>
                <w:rFonts w:cs="Tahoma"/>
                <w:b w:val="0"/>
                <w:sz w:val="18"/>
                <w:szCs w:val="18"/>
                <w:vertAlign w:val="superscript"/>
              </w:rPr>
              <w:t>2</w:t>
            </w:r>
            <w:r w:rsidRPr="00B357F4">
              <w:rPr>
                <w:rFonts w:cs="Tahoma"/>
                <w:b w:val="0"/>
                <w:sz w:val="18"/>
                <w:szCs w:val="18"/>
              </w:rPr>
              <w:t xml:space="preserve">·a)] od najmanje 50% u odnosu na potrošnju energije prije obnove i sveobuhvatna obnova zgrada koja obuhvaća optimalne mjere poboljšanja postojećeg stanja zgrade te osim mjera energetske obnove zgrade, uključuje i mjere poput povećanja sigurnosti u slučaju požara, mjere za osiguravanje zdravih unutarnjih klimatskih uvjeta, mjere za unapređenje mehaničke otpornosti i stabilnosti zgrade – posebice radi </w:t>
            </w:r>
            <w:r w:rsidR="00AF49D6" w:rsidRPr="00B357F4">
              <w:rPr>
                <w:rFonts w:cs="Tahoma"/>
                <w:b w:val="0"/>
                <w:sz w:val="18"/>
                <w:szCs w:val="18"/>
              </w:rPr>
              <w:t>smanjenj</w:t>
            </w:r>
            <w:r w:rsidR="00AF49D6">
              <w:rPr>
                <w:rFonts w:cs="Tahoma"/>
                <w:b w:val="0"/>
                <w:sz w:val="18"/>
                <w:szCs w:val="18"/>
              </w:rPr>
              <w:t>a</w:t>
            </w:r>
            <w:r w:rsidR="00AF49D6" w:rsidRPr="00B357F4">
              <w:rPr>
                <w:rFonts w:cs="Tahoma"/>
                <w:b w:val="0"/>
                <w:sz w:val="18"/>
                <w:szCs w:val="18"/>
              </w:rPr>
              <w:t xml:space="preserve"> </w:t>
            </w:r>
            <w:r w:rsidRPr="00B357F4">
              <w:rPr>
                <w:rFonts w:cs="Tahoma"/>
                <w:b w:val="0"/>
                <w:sz w:val="18"/>
                <w:szCs w:val="18"/>
              </w:rPr>
              <w:t>rizika povezanih s djelovanjem potresa.</w:t>
            </w:r>
          </w:p>
        </w:tc>
      </w:tr>
      <w:tr w:rsidR="00B8654D" w:rsidRPr="00B357F4" w14:paraId="2598D146"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258CCCC8" w14:textId="6612C230" w:rsidR="00B8654D" w:rsidRPr="00B357F4" w:rsidRDefault="00B8654D" w:rsidP="00142C2C">
            <w:pPr>
              <w:spacing w:before="60" w:after="60"/>
              <w:jc w:val="center"/>
              <w:rPr>
                <w:sz w:val="18"/>
                <w:szCs w:val="18"/>
              </w:rPr>
            </w:pPr>
            <w:r w:rsidRPr="00B357F4">
              <w:rPr>
                <w:lang w:eastAsia="hr-HR"/>
              </w:rPr>
              <w:lastRenderedPageBreak/>
              <w:t xml:space="preserve">Strategija energetskog razvoja </w:t>
            </w:r>
            <w:r w:rsidR="005331CC">
              <w:rPr>
                <w:lang w:eastAsia="hr-HR"/>
              </w:rPr>
              <w:t>R</w:t>
            </w:r>
            <w:r w:rsidR="0097471F">
              <w:rPr>
                <w:lang w:eastAsia="hr-HR"/>
              </w:rPr>
              <w:t>epublike Hrvatske</w:t>
            </w:r>
            <w:r w:rsidR="0097471F" w:rsidRPr="00B357F4">
              <w:rPr>
                <w:lang w:eastAsia="hr-HR"/>
              </w:rPr>
              <w:t xml:space="preserve"> </w:t>
            </w:r>
            <w:r w:rsidRPr="00B357F4">
              <w:rPr>
                <w:lang w:eastAsia="hr-HR"/>
              </w:rPr>
              <w:t>do 2030. godine</w:t>
            </w:r>
            <w:r w:rsidR="00C85B66">
              <w:rPr>
                <w:lang w:eastAsia="hr-HR"/>
              </w:rPr>
              <w:t xml:space="preserve"> s pogledom na 2050. godinu</w:t>
            </w:r>
          </w:p>
        </w:tc>
      </w:tr>
      <w:tr w:rsidR="00B8654D" w:rsidRPr="00B357F4" w14:paraId="0CE7ED14"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top w:val="single" w:sz="12" w:space="0" w:color="999999"/>
            </w:tcBorders>
          </w:tcPr>
          <w:p w14:paraId="72A1423E" w14:textId="77777777" w:rsidR="00B8654D" w:rsidRPr="00B357F4" w:rsidRDefault="00B8654D" w:rsidP="00142C2C">
            <w:pPr>
              <w:spacing w:before="60" w:after="60"/>
              <w:rPr>
                <w:b w:val="0"/>
                <w:sz w:val="18"/>
                <w:szCs w:val="18"/>
              </w:rPr>
            </w:pPr>
            <w:r w:rsidRPr="00B357F4">
              <w:rPr>
                <w:sz w:val="18"/>
                <w:szCs w:val="18"/>
              </w:rPr>
              <w:t>Temeljna komponenta tranzicije energetskog sektora je povećanje energetske učinkovitosti</w:t>
            </w:r>
            <w:r w:rsidRPr="00B357F4">
              <w:rPr>
                <w:b w:val="0"/>
                <w:sz w:val="18"/>
                <w:szCs w:val="18"/>
              </w:rPr>
              <w:t xml:space="preserve">, koja će se rješavati kroz zakonodavstvo, definirajući standarde i norme izgradnje infrastrukturnih sustava, energetskih objekata i korištenja uređaja, usmjeravanje prema učinkovitijim tehnološkim rješenjima, a i isključivanjem s tržišta uređaja koji ne zadovoljavaju minimalne standarde. Značajan doprinos povećanju energetske učinkovitosti omogućuje izgradnja visokoučinkovitih kogeneracijskih postrojenja i integriranih dizalica topline u sustave daljinskog grijanja velikih gradova. </w:t>
            </w:r>
            <w:r w:rsidRPr="00B357F4">
              <w:rPr>
                <w:sz w:val="18"/>
                <w:szCs w:val="18"/>
              </w:rPr>
              <w:t>Najveći izazov je energetska obnova zgrada koja će zahtijevati određena sredstva potpore i angažiranje velikog građevinskog potencijala.</w:t>
            </w:r>
          </w:p>
          <w:p w14:paraId="2F77403B" w14:textId="77777777" w:rsidR="00B8654D" w:rsidRPr="00B357F4" w:rsidRDefault="00B8654D" w:rsidP="00142C2C">
            <w:pPr>
              <w:spacing w:before="60" w:after="60"/>
              <w:rPr>
                <w:b w:val="0"/>
                <w:sz w:val="18"/>
                <w:szCs w:val="18"/>
              </w:rPr>
            </w:pPr>
            <w:r w:rsidRPr="00B357F4">
              <w:rPr>
                <w:sz w:val="18"/>
                <w:szCs w:val="18"/>
              </w:rPr>
              <w:t>Godišnji cilj energetske obnove zgrada</w:t>
            </w:r>
            <w:r w:rsidRPr="00B357F4">
              <w:rPr>
                <w:b w:val="0"/>
                <w:sz w:val="18"/>
                <w:szCs w:val="18"/>
              </w:rPr>
              <w:t xml:space="preserve"> od 3% fonda zgrada u scenariju ubrzane energetske tranzicije (S1) odnosno od 1,6% u scenariju umjerene energetske tranzicije (S2)</w:t>
            </w:r>
          </w:p>
        </w:tc>
      </w:tr>
      <w:tr w:rsidR="00B8654D" w:rsidRPr="00B357F4" w14:paraId="76E480F4"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387EE358" w14:textId="663BE49F" w:rsidR="00B8654D" w:rsidRPr="00B357F4" w:rsidRDefault="00B8654D" w:rsidP="00142C2C">
            <w:pPr>
              <w:spacing w:before="60" w:after="60"/>
              <w:jc w:val="center"/>
              <w:rPr>
                <w:sz w:val="18"/>
                <w:szCs w:val="18"/>
              </w:rPr>
            </w:pPr>
            <w:r w:rsidRPr="00B357F4">
              <w:rPr>
                <w:lang w:eastAsia="hr-HR"/>
              </w:rPr>
              <w:t>Integrirani nacionalni energetski i klimatski plan</w:t>
            </w:r>
            <w:r w:rsidR="00A14CA9">
              <w:rPr>
                <w:lang w:eastAsia="hr-HR"/>
              </w:rPr>
              <w:t xml:space="preserve"> za Republiku Hrvatsku za razdoblje od 2021. do 2030. godine</w:t>
            </w:r>
          </w:p>
        </w:tc>
      </w:tr>
      <w:tr w:rsidR="00B8654D" w:rsidRPr="00B357F4" w14:paraId="17566F6F"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3734169D" w14:textId="469C97A1" w:rsidR="00B8654D" w:rsidRPr="00B357F4" w:rsidRDefault="00B8654D" w:rsidP="00142C2C">
            <w:pPr>
              <w:spacing w:before="60" w:after="60"/>
              <w:rPr>
                <w:sz w:val="18"/>
                <w:szCs w:val="18"/>
              </w:rPr>
            </w:pPr>
            <w:r w:rsidRPr="00B357F4">
              <w:rPr>
                <w:sz w:val="18"/>
                <w:szCs w:val="18"/>
              </w:rPr>
              <w:t>Mjera ENU-</w:t>
            </w:r>
            <w:r w:rsidR="00002D54" w:rsidRPr="00B357F4">
              <w:rPr>
                <w:sz w:val="18"/>
                <w:szCs w:val="18"/>
              </w:rPr>
              <w:t>3</w:t>
            </w:r>
            <w:r w:rsidRPr="00B357F4">
              <w:rPr>
                <w:sz w:val="18"/>
                <w:szCs w:val="18"/>
              </w:rPr>
              <w:t xml:space="preserve">: Program energetske obnove </w:t>
            </w:r>
            <w:r w:rsidR="00002D54" w:rsidRPr="00B357F4">
              <w:rPr>
                <w:sz w:val="18"/>
                <w:szCs w:val="18"/>
              </w:rPr>
              <w:t>zgrada</w:t>
            </w:r>
            <w:r w:rsidR="0032151A" w:rsidRPr="00B357F4">
              <w:rPr>
                <w:sz w:val="18"/>
                <w:szCs w:val="18"/>
              </w:rPr>
              <w:t xml:space="preserve"> javnog sektora</w:t>
            </w:r>
            <w:r w:rsidRPr="00B357F4">
              <w:rPr>
                <w:b w:val="0"/>
                <w:sz w:val="18"/>
                <w:szCs w:val="18"/>
              </w:rPr>
              <w:t xml:space="preserve"> definirana je kao alternativna mjera politike u smislu Zakona o energetskoj učinkovitosti za razdoblje 2021. do 2030. godine.</w:t>
            </w:r>
          </w:p>
          <w:p w14:paraId="7E975F59" w14:textId="3B7F402E" w:rsidR="007815C6" w:rsidRPr="00B357F4" w:rsidRDefault="007815C6" w:rsidP="00142C2C">
            <w:pPr>
              <w:spacing w:before="60" w:after="60"/>
              <w:rPr>
                <w:sz w:val="18"/>
                <w:szCs w:val="18"/>
              </w:rPr>
            </w:pPr>
            <w:r w:rsidRPr="00B357F4">
              <w:rPr>
                <w:b w:val="0"/>
                <w:sz w:val="18"/>
                <w:szCs w:val="18"/>
              </w:rPr>
              <w:t xml:space="preserve">Mjera predstavlja nastavak provedbe Programa energetske obnove zgrada javnog sektora iz razdoblja 2016. do 2020. U tu svrhu, potrebno je planirati sredstva iz ESI fondova za sljedeće programsko razdoblje 2021. -2027. (s provedbom do 2030). Sredstva je potrebno planirati tako da se osigura i aktiviranje privatnog kapitala i ESCO tržišta, poglavito za zgrade koje su prikladne za ovakve modele financiranja (zgrade s kontinuiranim radom, kao što su bolnice, kaznionice, domovi za smještaj starijih i sl.) i koje pripadaju kategoriji zgrada središnje države, za koje postoji obvezujući cilj obnove definiran u Direktivi 2012/27/EU o energetskoj učinkovitosti. Tržišne modele potrebno je kombinirati s bespovratnim sredstvima s ciljem postizanja nZEB standarda. Osim ESI sredstava, FZOEU je također dužan planirati sredstva za ovaj Program i to u dijelu koji se odnosi na sufinanciranje energetske obnove zgrada središnje države po ESCO modelu. Za zgrade koje nisu prikladne za tržišne modele, potrebno je osigurati bespovratna sredstva prema istim uvjetima kao u dosadašnjem programu. Obnovu zgrada javnog sektora nužno je usmjeriti prema nZEB standardu svugdje gdje je to tehnički izvedivo. Predviđa se obnavljati oko 350.000 m2 javnih zgrada godišnje. Uštede su izračunate uz pretpostavku energetske obnove zgrada na razinu zadovoljavanja uvjeta iz Tehničkog propisa propisom o racionalnoj uporabi energije i toplinskoj zaštiti u zgradama, prema razdobljima izgradnje zgrada. </w:t>
            </w:r>
          </w:p>
          <w:p w14:paraId="127B180D" w14:textId="56F64CA3" w:rsidR="00B8654D" w:rsidRPr="00B357F4" w:rsidRDefault="00B8654D" w:rsidP="00142C2C">
            <w:pPr>
              <w:spacing w:before="60" w:after="60"/>
              <w:rPr>
                <w:sz w:val="18"/>
                <w:szCs w:val="18"/>
              </w:rPr>
            </w:pPr>
            <w:r w:rsidRPr="00B357F4">
              <w:rPr>
                <w:sz w:val="18"/>
                <w:szCs w:val="18"/>
              </w:rPr>
              <w:t xml:space="preserve">Ciljevi, uvjeti i aktivnosti te navedene brojčane vrijednosti su okvirne, a detaljno će se utvrditi u samom Programu energetske obnove </w:t>
            </w:r>
            <w:r w:rsidR="00C013D8" w:rsidRPr="00B357F4">
              <w:rPr>
                <w:sz w:val="18"/>
                <w:szCs w:val="18"/>
              </w:rPr>
              <w:t>zgrada</w:t>
            </w:r>
            <w:r w:rsidRPr="00B357F4">
              <w:rPr>
                <w:sz w:val="18"/>
                <w:szCs w:val="18"/>
              </w:rPr>
              <w:t xml:space="preserve"> </w:t>
            </w:r>
            <w:r w:rsidR="003C2D82">
              <w:rPr>
                <w:sz w:val="18"/>
                <w:szCs w:val="18"/>
              </w:rPr>
              <w:t xml:space="preserve">javnog sektora </w:t>
            </w:r>
            <w:r w:rsidRPr="00B357F4">
              <w:rPr>
                <w:sz w:val="18"/>
                <w:szCs w:val="18"/>
              </w:rPr>
              <w:t>za razdoblje do 2030.</w:t>
            </w:r>
          </w:p>
        </w:tc>
      </w:tr>
      <w:tr w:rsidR="00B8654D" w:rsidRPr="00B357F4" w14:paraId="46804CC5"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69FDBE74" w14:textId="669CFE9B" w:rsidR="00B8654D" w:rsidRPr="00B357F4" w:rsidRDefault="00B8654D" w:rsidP="00142C2C">
            <w:pPr>
              <w:spacing w:before="60" w:after="60"/>
              <w:jc w:val="center"/>
              <w:rPr>
                <w:sz w:val="18"/>
                <w:szCs w:val="18"/>
              </w:rPr>
            </w:pPr>
            <w:r w:rsidRPr="00B357F4">
              <w:rPr>
                <w:lang w:eastAsia="hr-HR"/>
              </w:rPr>
              <w:t>Dugoročna strategija obnove nacionalnog fonda zgrada</w:t>
            </w:r>
            <w:r w:rsidR="00943B6A">
              <w:rPr>
                <w:lang w:eastAsia="hr-HR"/>
              </w:rPr>
              <w:t xml:space="preserve"> do 2050. godine</w:t>
            </w:r>
          </w:p>
        </w:tc>
      </w:tr>
      <w:tr w:rsidR="00B8654D" w:rsidRPr="00B357F4" w14:paraId="48EF4EC0"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430DF93C" w14:textId="01098D6B" w:rsidR="00B8654D" w:rsidRPr="00B357F4" w:rsidRDefault="00B8654D" w:rsidP="00142C2C">
            <w:pPr>
              <w:spacing w:before="60" w:after="60"/>
              <w:rPr>
                <w:sz w:val="18"/>
                <w:szCs w:val="18"/>
              </w:rPr>
            </w:pPr>
            <w:r w:rsidRPr="00B357F4">
              <w:rPr>
                <w:b w:val="0"/>
                <w:sz w:val="18"/>
                <w:szCs w:val="18"/>
              </w:rPr>
              <w:t>Temeljem dosadašnjih iskustava u provedbi programa energetske obnove zgrada u Republici Hrvatskoj, mjere  javne  politike i  programi  sufinanciranja  bit  će  primarno usmjereni  na  javne  i  stam</w:t>
            </w:r>
            <w:r w:rsidR="7156ECCF" w:rsidRPr="00B357F4">
              <w:rPr>
                <w:b w:val="0"/>
                <w:sz w:val="18"/>
                <w:szCs w:val="18"/>
              </w:rPr>
              <w:t>b</w:t>
            </w:r>
            <w:r w:rsidRPr="00B357F4">
              <w:rPr>
                <w:b w:val="0"/>
                <w:sz w:val="18"/>
                <w:szCs w:val="18"/>
              </w:rPr>
              <w:t>ene  zgrade (višestambene zgrade i obiteljske kuće) i to one najlošijih karakteristika (zgrade energetskog razreda prema Q</w:t>
            </w:r>
            <w:r w:rsidR="006834F6">
              <w:rPr>
                <w:b w:val="0"/>
                <w:sz w:val="18"/>
                <w:szCs w:val="18"/>
              </w:rPr>
              <w:t>“</w:t>
            </w:r>
            <w:r w:rsidRPr="00B357F4">
              <w:rPr>
                <w:b w:val="0"/>
                <w:sz w:val="18"/>
                <w:szCs w:val="18"/>
                <w:vertAlign w:val="subscript"/>
              </w:rPr>
              <w:t>H,nd</w:t>
            </w:r>
            <w:r w:rsidR="57F129AA" w:rsidRPr="00B357F4">
              <w:rPr>
                <w:b w:val="0"/>
                <w:sz w:val="18"/>
                <w:szCs w:val="18"/>
                <w:vertAlign w:val="subscript"/>
              </w:rPr>
              <w:t xml:space="preserve"> </w:t>
            </w:r>
            <w:r w:rsidRPr="00B357F4">
              <w:rPr>
                <w:b w:val="0"/>
                <w:sz w:val="18"/>
                <w:szCs w:val="18"/>
              </w:rPr>
              <w:t>D ili lošije u kontinentalnoj Hrvatskoj, C ili lošije u primorskoj Hrvatskoj). Mjere odnosno programi predviđeni za energetsku obnovu ovih zgrada prikazani  su  u  nastavku  te  su  sastavni  dio  Integriranog nacionalnog  energetskog  i</w:t>
            </w:r>
            <w:r w:rsidR="63C96A50" w:rsidRPr="00B357F4">
              <w:rPr>
                <w:b w:val="0"/>
                <w:sz w:val="18"/>
                <w:szCs w:val="18"/>
              </w:rPr>
              <w:t xml:space="preserve"> </w:t>
            </w:r>
            <w:r w:rsidRPr="00B357F4">
              <w:rPr>
                <w:b w:val="0"/>
                <w:sz w:val="18"/>
                <w:szCs w:val="18"/>
              </w:rPr>
              <w:t>klimatskog  plana  za  razdoblje  od  2021.  do  2030.  godine. Provođenje mjera predviđa se i u razdoblju nakon 2030. godine odnosno  do  2050.  godine, uz  prilagodbu  temeljenu  na iskustvima iz same provedbe.</w:t>
            </w:r>
          </w:p>
          <w:p w14:paraId="1D4C7FBE" w14:textId="1D4866BA" w:rsidR="002D2965" w:rsidRPr="00B357F4" w:rsidRDefault="00B8654D" w:rsidP="00142C2C">
            <w:pPr>
              <w:spacing w:before="60" w:after="60"/>
              <w:rPr>
                <w:b w:val="0"/>
                <w:sz w:val="18"/>
                <w:szCs w:val="18"/>
              </w:rPr>
            </w:pPr>
            <w:r w:rsidRPr="00B357F4">
              <w:rPr>
                <w:sz w:val="18"/>
                <w:szCs w:val="18"/>
              </w:rPr>
              <w:t>ENU-</w:t>
            </w:r>
            <w:r w:rsidR="00B07B53" w:rsidRPr="00B357F4">
              <w:rPr>
                <w:sz w:val="18"/>
                <w:szCs w:val="18"/>
              </w:rPr>
              <w:t>5</w:t>
            </w:r>
            <w:r w:rsidRPr="00B357F4">
              <w:rPr>
                <w:sz w:val="18"/>
                <w:szCs w:val="18"/>
              </w:rPr>
              <w:t xml:space="preserve">: </w:t>
            </w:r>
            <w:r w:rsidR="00B07B53" w:rsidRPr="00B357F4">
              <w:rPr>
                <w:sz w:val="18"/>
                <w:szCs w:val="18"/>
              </w:rPr>
              <w:t xml:space="preserve">Program energetske obnove zgrada javnog sektora </w:t>
            </w:r>
            <w:r w:rsidRPr="00B357F4">
              <w:rPr>
                <w:sz w:val="18"/>
                <w:szCs w:val="18"/>
              </w:rPr>
              <w:t xml:space="preserve">- </w:t>
            </w:r>
            <w:r w:rsidR="002D2965" w:rsidRPr="00B357F4">
              <w:rPr>
                <w:b w:val="0"/>
                <w:sz w:val="18"/>
                <w:szCs w:val="18"/>
              </w:rPr>
              <w:t xml:space="preserve">Mjera predstavlja nastavak provedbe Programa energetske obnove zgrada javnog sektora iz razdoblja 2016. do 2020. U tu svrhu, potrebno je planirati sredstva iz  Fonda za oporavak te ESI fondova za sljedeće programsko razdoblje 2021.  -  2027.  (s  provedbom  do  2030).  Sredstva  je potrebno planirati tako da se osigura i aktiviranje privatnog kapitala i ESCO tržišta, poglavito za zgrade koje su prikladne za ovakve modele financiranja (zgrade s kontinuiranim radom, kao što su bolnice, kaznionice, domovi za smještaj starijih i sl.) i koje pripadaju kategoriji zgrada središnje države, za koje postoji obvezujući cilj obnove definiran  u Direktivi 2012/27/EU o energetskoj  učinkovitosti. Tržišne modele potrebno je kombinirati s bespovratnim sredstvima s ciljem postizanja dubinske obnove te nZEB standarda utvrđenog za obnovu. Osim  EU sredstava, FZOEU je također dužan planirati sredstva za ovaj Program i to u dijelu koji se odnosi na sufinanciranje energetske obnove zgrada središnje države po ESCO  modelu.  Za  zgrade  koje  nisu  prikladne za tržišne modele, potrebno je osigurati bespovratna sredstva prema istim uvjetima kao u dosadašnjem programu. Obnovu zgrada </w:t>
            </w:r>
            <w:r w:rsidR="002D2965" w:rsidRPr="00B357F4">
              <w:rPr>
                <w:b w:val="0"/>
                <w:sz w:val="18"/>
                <w:szCs w:val="18"/>
              </w:rPr>
              <w:lastRenderedPageBreak/>
              <w:t>javnog sektora nužno je usmjeriti prema nZEB standardu utvrđenom za obnovu svugdje gdje je to tehnički izvedivo. U slučaju zgrada koje se podvrgavaju značajnoj obnovi  poticati će se  visokoučinkoviti alternativni sustavi, u mjeri u kojoj je to tehnički, funkcionalno i gospodarski izvedivo te će se posebna pažnja posvetiti osiguranju zdravih unutarnjih klimatskih uvjeta, zaštiti od požara i  rizika povezanih s pojačanom seizmičkom aktivnosti.</w:t>
            </w:r>
            <w:r w:rsidR="004D43FE" w:rsidRPr="00B357F4">
              <w:rPr>
                <w:b w:val="0"/>
                <w:sz w:val="18"/>
                <w:szCs w:val="18"/>
              </w:rPr>
              <w:t xml:space="preserve"> Uštede su izračunate uz pretpostavku energetske obnove zgrada na razinu zadovoljavanja uvjeta iz Tehničkog propisa o racionalnoj uporabi energije i toplinskoj zaštiti u zgradama, prema razdobljima izgradnje  zgrada, po godišnjoj stopi obnove koja na početku razdoblja (2021. godine) iznosi 1%, a potom se do 2030. godine postupno povećava na 3%.</w:t>
            </w:r>
          </w:p>
          <w:p w14:paraId="6B08BAB3" w14:textId="2F8147ED" w:rsidR="00C60D23" w:rsidRPr="00B357F4" w:rsidRDefault="00B8654D" w:rsidP="00142C2C">
            <w:pPr>
              <w:spacing w:before="60" w:after="60"/>
              <w:rPr>
                <w:b w:val="0"/>
                <w:sz w:val="18"/>
                <w:szCs w:val="18"/>
              </w:rPr>
            </w:pPr>
            <w:r w:rsidRPr="00B357F4">
              <w:rPr>
                <w:sz w:val="18"/>
                <w:szCs w:val="18"/>
              </w:rPr>
              <w:t xml:space="preserve">Ciljevi, uvjeti i aktivnosti te navedene brojčane vrijednosti su okvirne, a detaljno će se utvrditi u samom Programu energetske obnove </w:t>
            </w:r>
            <w:r w:rsidR="00C013D8" w:rsidRPr="00B357F4">
              <w:rPr>
                <w:sz w:val="18"/>
                <w:szCs w:val="18"/>
              </w:rPr>
              <w:t>zgrada</w:t>
            </w:r>
            <w:r w:rsidRPr="00B357F4">
              <w:rPr>
                <w:sz w:val="18"/>
                <w:szCs w:val="18"/>
              </w:rPr>
              <w:t xml:space="preserve"> </w:t>
            </w:r>
            <w:r w:rsidR="009135C8" w:rsidRPr="00B357F4">
              <w:rPr>
                <w:sz w:val="18"/>
                <w:szCs w:val="18"/>
              </w:rPr>
              <w:t>javnog sektora</w:t>
            </w:r>
            <w:r w:rsidRPr="00B357F4">
              <w:rPr>
                <w:sz w:val="18"/>
                <w:szCs w:val="18"/>
              </w:rPr>
              <w:t xml:space="preserve"> za razdoblje do 2030.</w:t>
            </w:r>
          </w:p>
        </w:tc>
      </w:tr>
    </w:tbl>
    <w:p w14:paraId="1FAD00FB" w14:textId="0B3D912E" w:rsidR="00B8654D" w:rsidRPr="00B357F4" w:rsidRDefault="620E9F24">
      <w:pPr>
        <w:rPr>
          <w:szCs w:val="20"/>
        </w:rPr>
      </w:pPr>
      <w:r w:rsidRPr="00B357F4">
        <w:lastRenderedPageBreak/>
        <w:t>Zaključno</w:t>
      </w:r>
      <w:r w:rsidR="40396AED" w:rsidRPr="00B357F4">
        <w:t xml:space="preserve">, donošenje ovog Programa  jasno je utvrđeno u strateškim dokumentima </w:t>
      </w:r>
      <w:r w:rsidR="4B70D88A" w:rsidRPr="00B357F4">
        <w:t>Hrvatske</w:t>
      </w:r>
      <w:r w:rsidR="00107A67" w:rsidRPr="00B357F4">
        <w:t>.</w:t>
      </w:r>
    </w:p>
    <w:p w14:paraId="4B0B5FDF" w14:textId="5EFFCB58" w:rsidR="00B8654D" w:rsidRPr="00B357F4" w:rsidRDefault="007015DA" w:rsidP="00B8654D">
      <w:pPr>
        <w:rPr>
          <w:highlight w:val="yellow"/>
          <w:lang w:eastAsia="hr-HR"/>
        </w:rPr>
      </w:pPr>
      <w:r w:rsidRPr="007015DA">
        <w:t>Ovaj Program je u skladu sa Strategijom prostornog razvoja Republike Hrvatske, te nije u suprotnosti s prostornim planovima županije, grada, općine, kao osnovnim dokumentima</w:t>
      </w:r>
      <w:r w:rsidR="40396AED" w:rsidRPr="00B357F4">
        <w:t xml:space="preserve"> kojim se određuje svrhovita organizacija, korištenje i namjena prostora na razini jedinica regionalne i lokalne samouprave. Ovim Programom obuhvaćena je obnova postojećih </w:t>
      </w:r>
      <w:r w:rsidR="6AD2C194" w:rsidRPr="00B357F4">
        <w:t>zgrada</w:t>
      </w:r>
      <w:r w:rsidR="13C490B6" w:rsidRPr="00B357F4">
        <w:t xml:space="preserve"> javnog sektora</w:t>
      </w:r>
      <w:r w:rsidR="40396AED" w:rsidRPr="00B357F4">
        <w:t xml:space="preserve"> i njime se ne predviđaju nikakve aktivnosti koje bi zahtijevale nove intervencije u prostoru pa stoga neće biti potrebne niti izmjene navedenih dokumenata prostornog uređenja. </w:t>
      </w:r>
    </w:p>
    <w:p w14:paraId="6B04C2CF" w14:textId="77777777" w:rsidR="00A86B24" w:rsidRPr="00B357F4" w:rsidRDefault="00A86B24" w:rsidP="00A86B24">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pPr>
      <w:r w:rsidRPr="00B357F4">
        <w:rPr>
          <w:b/>
        </w:rPr>
        <w:t>Ovaj Program u cijelosti je usklađen s Nacionalnom razvojnom strategijom Republike Hrvatske do 2030. godine, ostalim relevantnim nacionalnim strateškim i planskim dokumentima kao i dokumentima prostornog uređenja.</w:t>
      </w:r>
      <w:r w:rsidRPr="00B357F4">
        <w:t xml:space="preserve">  </w:t>
      </w:r>
    </w:p>
    <w:p w14:paraId="5B451D9F" w14:textId="6A84F620" w:rsidR="001A6226" w:rsidRPr="004B09BD" w:rsidRDefault="5C405F24" w:rsidP="004B09BD">
      <w:pPr>
        <w:pStyle w:val="Naslov10"/>
      </w:pPr>
      <w:bookmarkStart w:id="34" w:name="_Toc94769969"/>
      <w:r w:rsidRPr="004B09BD">
        <w:lastRenderedPageBreak/>
        <w:t>Pregled nacionalnog fonda zgrada javnog sektora</w:t>
      </w:r>
      <w:bookmarkEnd w:id="34"/>
    </w:p>
    <w:p w14:paraId="7AE9411C" w14:textId="669544CB" w:rsidR="00536DF2" w:rsidRPr="00B357F4" w:rsidRDefault="258241DB" w:rsidP="001B564E">
      <w:pPr>
        <w:pStyle w:val="Naslov20"/>
      </w:pPr>
      <w:bookmarkStart w:id="35" w:name="_Toc94769970"/>
      <w:r w:rsidRPr="00B357F4">
        <w:t>Broj i tipologija zgrada javnog sektora</w:t>
      </w:r>
      <w:bookmarkEnd w:id="35"/>
    </w:p>
    <w:p w14:paraId="6473029C" w14:textId="1345A0B1" w:rsidR="00E30ED6" w:rsidRPr="00D7774F" w:rsidRDefault="00E30ED6" w:rsidP="00E30ED6">
      <w:r w:rsidRPr="00B357F4">
        <w:t xml:space="preserve">Ukupna površina zgrada javnog sektora utvrđena u Programu energetske obnove zgrada javnog sektora </w:t>
      </w:r>
      <w:r w:rsidR="00526538">
        <w:t xml:space="preserve">za razdoblje </w:t>
      </w:r>
      <w:r w:rsidRPr="00B357F4">
        <w:t>2016-2020</w:t>
      </w:r>
      <w:r w:rsidR="003967B4">
        <w:t xml:space="preserve"> </w:t>
      </w:r>
      <w:sdt>
        <w:sdtPr>
          <w:id w:val="1570777940"/>
          <w:citation/>
        </w:sdtPr>
        <w:sdtEndPr/>
        <w:sdtContent>
          <w:r w:rsidR="003967B4">
            <w:fldChar w:fldCharType="begin"/>
          </w:r>
          <w:r w:rsidR="003967B4">
            <w:instrText xml:space="preserve"> CITATION MPG17 \l 1050 </w:instrText>
          </w:r>
          <w:r w:rsidR="003967B4">
            <w:fldChar w:fldCharType="separate"/>
          </w:r>
          <w:r w:rsidR="00732089">
            <w:rPr>
              <w:noProof/>
            </w:rPr>
            <w:t>(1)</w:t>
          </w:r>
          <w:r w:rsidR="003967B4">
            <w:fldChar w:fldCharType="end"/>
          </w:r>
        </w:sdtContent>
      </w:sdt>
      <w:r w:rsidR="00526538">
        <w:t xml:space="preserve"> </w:t>
      </w:r>
      <w:r w:rsidRPr="00D7774F">
        <w:t>iznosi 13.801.902 m</w:t>
      </w:r>
      <w:r w:rsidRPr="005C396B">
        <w:rPr>
          <w:vertAlign w:val="superscript"/>
        </w:rPr>
        <w:t>2</w:t>
      </w:r>
      <w:r w:rsidRPr="00B03C9B">
        <w:t>. Dugoročnom strategijom obnove nacionalnog fonda zgrada do 2050.</w:t>
      </w:r>
      <w:r w:rsidRPr="00B357F4">
        <w:t xml:space="preserve"> godine </w:t>
      </w:r>
      <w:sdt>
        <w:sdtPr>
          <w:id w:val="-360060636"/>
          <w:citation/>
        </w:sdtPr>
        <w:sdtEndPr/>
        <w:sdtContent>
          <w:r w:rsidRPr="005C396B">
            <w:fldChar w:fldCharType="begin"/>
          </w:r>
          <w:r w:rsidRPr="00B357F4">
            <w:instrText xml:space="preserve"> CITATION MPG21 \l 1050 </w:instrText>
          </w:r>
          <w:r w:rsidRPr="005C396B">
            <w:fldChar w:fldCharType="separate"/>
          </w:r>
          <w:r w:rsidR="00732089">
            <w:rPr>
              <w:noProof/>
            </w:rPr>
            <w:t>(2)</w:t>
          </w:r>
          <w:r w:rsidRPr="005C396B">
            <w:fldChar w:fldCharType="end"/>
          </w:r>
        </w:sdtContent>
      </w:sdt>
      <w:r w:rsidRPr="003020E6">
        <w:t xml:space="preserve"> određeno je stanje fonda zgrada u 2020. godini na temelju </w:t>
      </w:r>
      <w:r w:rsidRPr="00D7774F">
        <w:rPr>
          <w:szCs w:val="20"/>
          <w:lang w:eastAsia="hr-HR"/>
        </w:rPr>
        <w:t>podataka iz</w:t>
      </w:r>
      <w:r w:rsidRPr="005C396B">
        <w:rPr>
          <w:szCs w:val="20"/>
          <w:lang w:eastAsia="hr-HR"/>
        </w:rPr>
        <w:t xml:space="preserve"> </w:t>
      </w:r>
      <w:r w:rsidRPr="00B03C9B">
        <w:rPr>
          <w:szCs w:val="20"/>
        </w:rPr>
        <w:t>Dugoročne strategije za poticanje ulaganja u obnovu nacionalnog fonda zgrada Republike Hrvatske</w:t>
      </w:r>
      <w:r w:rsidRPr="00B357F4">
        <w:rPr>
          <w:szCs w:val="20"/>
        </w:rPr>
        <w:t xml:space="preserve"> iz lipnja 2014. godine</w:t>
      </w:r>
      <w:r w:rsidRPr="00D7774F">
        <w:rPr>
          <w:szCs w:val="20"/>
          <w:lang w:eastAsia="hr-HR"/>
        </w:rPr>
        <w:fldChar w:fldCharType="begin"/>
      </w:r>
      <w:r w:rsidR="00EA36EB">
        <w:rPr>
          <w:szCs w:val="20"/>
          <w:lang w:eastAsia="hr-HR"/>
        </w:rPr>
        <w:instrText xml:space="preserve">CITATION MGI17 \l 1033 </w:instrText>
      </w:r>
      <w:r w:rsidRPr="00D7774F">
        <w:rPr>
          <w:szCs w:val="20"/>
          <w:lang w:eastAsia="hr-HR"/>
        </w:rPr>
        <w:fldChar w:fldCharType="separate"/>
      </w:r>
      <w:r w:rsidR="00732089">
        <w:rPr>
          <w:noProof/>
          <w:szCs w:val="20"/>
          <w:lang w:eastAsia="hr-HR"/>
        </w:rPr>
        <w:t xml:space="preserve"> </w:t>
      </w:r>
      <w:r w:rsidR="00732089" w:rsidRPr="00732089">
        <w:rPr>
          <w:noProof/>
          <w:szCs w:val="20"/>
          <w:lang w:eastAsia="hr-HR"/>
        </w:rPr>
        <w:t>(3)</w:t>
      </w:r>
      <w:r w:rsidRPr="00D7774F">
        <w:rPr>
          <w:szCs w:val="20"/>
          <w:lang w:eastAsia="hr-HR"/>
        </w:rPr>
        <w:fldChar w:fldCharType="end"/>
      </w:r>
      <w:r w:rsidRPr="003020E6">
        <w:rPr>
          <w:szCs w:val="20"/>
        </w:rPr>
        <w:t>, Nacionalnog plana za povećanje broja zgrada gotovo nulte energije</w:t>
      </w:r>
      <w:r w:rsidRPr="00D7774F">
        <w:rPr>
          <w:szCs w:val="20"/>
        </w:rPr>
        <w:fldChar w:fldCharType="begin"/>
      </w:r>
      <w:r w:rsidRPr="00B357F4">
        <w:rPr>
          <w:szCs w:val="20"/>
        </w:rPr>
        <w:instrText xml:space="preserve"> CITATION MGI14 \l 1033 </w:instrText>
      </w:r>
      <w:r w:rsidRPr="00D7774F">
        <w:rPr>
          <w:szCs w:val="20"/>
        </w:rPr>
        <w:fldChar w:fldCharType="separate"/>
      </w:r>
      <w:r w:rsidR="00732089">
        <w:rPr>
          <w:noProof/>
          <w:szCs w:val="20"/>
        </w:rPr>
        <w:t xml:space="preserve"> </w:t>
      </w:r>
      <w:r w:rsidR="00732089" w:rsidRPr="00732089">
        <w:rPr>
          <w:noProof/>
          <w:szCs w:val="20"/>
        </w:rPr>
        <w:t>(4)</w:t>
      </w:r>
      <w:r w:rsidRPr="00D7774F">
        <w:rPr>
          <w:szCs w:val="20"/>
        </w:rPr>
        <w:fldChar w:fldCharType="end"/>
      </w:r>
      <w:r w:rsidRPr="003020E6">
        <w:rPr>
          <w:szCs w:val="20"/>
        </w:rPr>
        <w:t>, Nacionalnog programa energetske učinkovitosti za razdoblje 2008.-2016. godine</w:t>
      </w:r>
      <w:r w:rsidRPr="00D7774F">
        <w:rPr>
          <w:szCs w:val="20"/>
        </w:rPr>
        <w:fldChar w:fldCharType="begin"/>
      </w:r>
      <w:r w:rsidRPr="00B357F4">
        <w:rPr>
          <w:szCs w:val="20"/>
        </w:rPr>
        <w:instrText xml:space="preserve"> CITATION Nac \l 1033 </w:instrText>
      </w:r>
      <w:r w:rsidRPr="00D7774F">
        <w:rPr>
          <w:szCs w:val="20"/>
        </w:rPr>
        <w:fldChar w:fldCharType="separate"/>
      </w:r>
      <w:r w:rsidR="00732089">
        <w:rPr>
          <w:noProof/>
          <w:szCs w:val="20"/>
        </w:rPr>
        <w:t xml:space="preserve"> </w:t>
      </w:r>
      <w:r w:rsidR="00732089" w:rsidRPr="00732089">
        <w:rPr>
          <w:noProof/>
          <w:szCs w:val="20"/>
        </w:rPr>
        <w:t>(5)</w:t>
      </w:r>
      <w:r w:rsidRPr="00D7774F">
        <w:rPr>
          <w:szCs w:val="20"/>
        </w:rPr>
        <w:fldChar w:fldCharType="end"/>
      </w:r>
      <w:r w:rsidRPr="003020E6">
        <w:rPr>
          <w:szCs w:val="20"/>
        </w:rPr>
        <w:t>, Programa energetsk</w:t>
      </w:r>
      <w:r w:rsidRPr="00D7774F">
        <w:rPr>
          <w:szCs w:val="20"/>
        </w:rPr>
        <w:t>e obnove obiteljskih kuća za razdoblje od 2014. do 2020. godine s detaljnim planom za razdoblje od 2014. do 2016. godine</w:t>
      </w:r>
      <w:r w:rsidRPr="00D7774F">
        <w:rPr>
          <w:szCs w:val="20"/>
        </w:rPr>
        <w:fldChar w:fldCharType="begin"/>
      </w:r>
      <w:r w:rsidRPr="00B357F4">
        <w:rPr>
          <w:szCs w:val="20"/>
        </w:rPr>
        <w:instrText xml:space="preserve"> CITATION MGI141 \l 1033 </w:instrText>
      </w:r>
      <w:r w:rsidRPr="00D7774F">
        <w:rPr>
          <w:szCs w:val="20"/>
        </w:rPr>
        <w:fldChar w:fldCharType="separate"/>
      </w:r>
      <w:r w:rsidR="00732089">
        <w:rPr>
          <w:noProof/>
          <w:szCs w:val="20"/>
        </w:rPr>
        <w:t xml:space="preserve"> </w:t>
      </w:r>
      <w:r w:rsidR="00732089" w:rsidRPr="00732089">
        <w:rPr>
          <w:noProof/>
          <w:szCs w:val="20"/>
        </w:rPr>
        <w:t>(6)</w:t>
      </w:r>
      <w:r w:rsidRPr="00D7774F">
        <w:rPr>
          <w:szCs w:val="20"/>
        </w:rPr>
        <w:fldChar w:fldCharType="end"/>
      </w:r>
      <w:r w:rsidRPr="003020E6">
        <w:rPr>
          <w:szCs w:val="20"/>
        </w:rPr>
        <w:t xml:space="preserve">, Programa energetske </w:t>
      </w:r>
      <w:r w:rsidRPr="00B03C9B">
        <w:rPr>
          <w:szCs w:val="20"/>
        </w:rPr>
        <w:t>obnove višestambenih zgrada za razdoblje od 2014. do 2020. godine s detaljnim plan</w:t>
      </w:r>
      <w:r w:rsidRPr="00B357F4">
        <w:rPr>
          <w:szCs w:val="20"/>
        </w:rPr>
        <w:t>om za razdoblje od 2014. do 2016. godine</w:t>
      </w:r>
      <w:r w:rsidRPr="00D7774F">
        <w:rPr>
          <w:szCs w:val="20"/>
        </w:rPr>
        <w:fldChar w:fldCharType="begin"/>
      </w:r>
      <w:r w:rsidRPr="00B357F4">
        <w:rPr>
          <w:szCs w:val="20"/>
        </w:rPr>
        <w:instrText xml:space="preserve"> CITATION MGI142 \l 1033 </w:instrText>
      </w:r>
      <w:r w:rsidRPr="00D7774F">
        <w:rPr>
          <w:szCs w:val="20"/>
        </w:rPr>
        <w:fldChar w:fldCharType="separate"/>
      </w:r>
      <w:r w:rsidR="00732089">
        <w:rPr>
          <w:noProof/>
          <w:szCs w:val="20"/>
        </w:rPr>
        <w:t xml:space="preserve"> </w:t>
      </w:r>
      <w:r w:rsidR="00732089" w:rsidRPr="00732089">
        <w:rPr>
          <w:noProof/>
          <w:szCs w:val="20"/>
        </w:rPr>
        <w:t>(7)</w:t>
      </w:r>
      <w:r w:rsidRPr="00D7774F">
        <w:rPr>
          <w:szCs w:val="20"/>
        </w:rPr>
        <w:fldChar w:fldCharType="end"/>
      </w:r>
      <w:r w:rsidRPr="003020E6">
        <w:rPr>
          <w:szCs w:val="20"/>
        </w:rPr>
        <w:t>, Programa energetske obnove komercijalnih nestambenih zgrada za razdoblje od 2014. do 2020. godine s detaljnim planom energetske obnove komercijalnih nestambenih zgrada za razdoblje o</w:t>
      </w:r>
      <w:r w:rsidRPr="00D7774F">
        <w:rPr>
          <w:szCs w:val="20"/>
        </w:rPr>
        <w:t>d 2014. do 2016</w:t>
      </w:r>
      <w:r w:rsidRPr="00D7774F">
        <w:rPr>
          <w:szCs w:val="20"/>
        </w:rPr>
        <w:fldChar w:fldCharType="begin"/>
      </w:r>
      <w:r w:rsidRPr="00B357F4">
        <w:rPr>
          <w:szCs w:val="20"/>
        </w:rPr>
        <w:instrText xml:space="preserve"> CITATION MGI143 \l 1033 </w:instrText>
      </w:r>
      <w:r w:rsidRPr="00D7774F">
        <w:rPr>
          <w:szCs w:val="20"/>
        </w:rPr>
        <w:fldChar w:fldCharType="separate"/>
      </w:r>
      <w:r w:rsidR="00732089">
        <w:rPr>
          <w:noProof/>
          <w:szCs w:val="20"/>
        </w:rPr>
        <w:t xml:space="preserve"> </w:t>
      </w:r>
      <w:r w:rsidR="00732089" w:rsidRPr="00732089">
        <w:rPr>
          <w:noProof/>
          <w:szCs w:val="20"/>
        </w:rPr>
        <w:t>(8)</w:t>
      </w:r>
      <w:r w:rsidRPr="00D7774F">
        <w:rPr>
          <w:szCs w:val="20"/>
        </w:rPr>
        <w:fldChar w:fldCharType="end"/>
      </w:r>
      <w:r w:rsidRPr="003020E6">
        <w:rPr>
          <w:szCs w:val="20"/>
        </w:rPr>
        <w:t>, Programa energetske obnove zgrada javnog sektora za razdoblje 2016. – 2020</w:t>
      </w:r>
      <w:r w:rsidRPr="00D7774F">
        <w:rPr>
          <w:szCs w:val="20"/>
        </w:rPr>
        <w:fldChar w:fldCharType="begin"/>
      </w:r>
      <w:r w:rsidRPr="00B357F4">
        <w:rPr>
          <w:szCs w:val="20"/>
        </w:rPr>
        <w:instrText xml:space="preserve"> CITATION MGI172 \l 1033 </w:instrText>
      </w:r>
      <w:r w:rsidRPr="00D7774F">
        <w:rPr>
          <w:szCs w:val="20"/>
        </w:rPr>
        <w:fldChar w:fldCharType="separate"/>
      </w:r>
      <w:r w:rsidR="00732089">
        <w:rPr>
          <w:noProof/>
          <w:szCs w:val="20"/>
        </w:rPr>
        <w:t xml:space="preserve"> </w:t>
      </w:r>
      <w:r w:rsidR="00732089" w:rsidRPr="00732089">
        <w:rPr>
          <w:noProof/>
          <w:szCs w:val="20"/>
        </w:rPr>
        <w:t>(9)</w:t>
      </w:r>
      <w:r w:rsidRPr="00D7774F">
        <w:rPr>
          <w:szCs w:val="20"/>
        </w:rPr>
        <w:fldChar w:fldCharType="end"/>
      </w:r>
      <w:r w:rsidRPr="003020E6">
        <w:rPr>
          <w:szCs w:val="20"/>
        </w:rPr>
        <w:t>, te statističkih podataka o popisu kućanstava i stanovništva. Dodatni ulazni podaci i pretpostavke s</w:t>
      </w:r>
      <w:r w:rsidRPr="00B03C9B">
        <w:rPr>
          <w:szCs w:val="20"/>
        </w:rPr>
        <w:t xml:space="preserve">u </w:t>
      </w:r>
      <w:r w:rsidRPr="00B357F4">
        <w:rPr>
          <w:szCs w:val="20"/>
        </w:rPr>
        <w:t xml:space="preserve">usklađeni s podacima </w:t>
      </w:r>
      <w:r w:rsidRPr="00B357F4">
        <w:t xml:space="preserve">Integriranog nacionalnog energetskog i klimatskog plana za Republiku Hrvatsku za razdoblje 2021. do 2030. godine </w:t>
      </w:r>
      <w:sdt>
        <w:sdtPr>
          <w:id w:val="1910951013"/>
          <w:citation/>
        </w:sdtPr>
        <w:sdtEndPr/>
        <w:sdtContent>
          <w:r w:rsidRPr="005C396B">
            <w:fldChar w:fldCharType="begin"/>
          </w:r>
          <w:r w:rsidRPr="00B357F4">
            <w:instrText xml:space="preserve"> CITATION NECP \l 1033 </w:instrText>
          </w:r>
          <w:r w:rsidRPr="005C396B">
            <w:fldChar w:fldCharType="separate"/>
          </w:r>
          <w:r w:rsidR="00732089">
            <w:rPr>
              <w:noProof/>
            </w:rPr>
            <w:t>(10)</w:t>
          </w:r>
          <w:r w:rsidRPr="005C396B">
            <w:fldChar w:fldCharType="end"/>
          </w:r>
        </w:sdtContent>
      </w:sdt>
      <w:r w:rsidRPr="003020E6">
        <w:rPr>
          <w:szCs w:val="20"/>
          <w:lang w:eastAsia="hr-HR"/>
        </w:rPr>
        <w:t xml:space="preserve"> i </w:t>
      </w:r>
      <w:r w:rsidRPr="00D7774F">
        <w:rPr>
          <w:szCs w:val="20"/>
          <w:lang w:eastAsia="hr-HR"/>
        </w:rPr>
        <w:t>Strategij</w:t>
      </w:r>
      <w:r w:rsidRPr="005C396B">
        <w:rPr>
          <w:szCs w:val="20"/>
          <w:lang w:eastAsia="hr-HR"/>
        </w:rPr>
        <w:t>e</w:t>
      </w:r>
      <w:r w:rsidRPr="00B03C9B">
        <w:rPr>
          <w:szCs w:val="20"/>
          <w:lang w:eastAsia="hr-HR"/>
        </w:rPr>
        <w:t xml:space="preserve"> energetskog razvoja Republike Hrvatske do 2030. s pogledom na 2050. godinu</w:t>
      </w:r>
      <w:r w:rsidRPr="00D7774F">
        <w:rPr>
          <w:szCs w:val="20"/>
          <w:lang w:eastAsia="hr-HR"/>
        </w:rPr>
        <w:fldChar w:fldCharType="begin"/>
      </w:r>
      <w:r w:rsidRPr="00B357F4">
        <w:rPr>
          <w:szCs w:val="20"/>
          <w:lang w:eastAsia="hr-HR"/>
        </w:rPr>
        <w:instrText xml:space="preserve">CITATION EIH19 \l 1033 </w:instrText>
      </w:r>
      <w:r w:rsidRPr="00D7774F">
        <w:rPr>
          <w:szCs w:val="20"/>
          <w:lang w:eastAsia="hr-HR"/>
        </w:rPr>
        <w:fldChar w:fldCharType="separate"/>
      </w:r>
      <w:r w:rsidR="00732089">
        <w:rPr>
          <w:noProof/>
          <w:szCs w:val="20"/>
          <w:lang w:eastAsia="hr-HR"/>
        </w:rPr>
        <w:t xml:space="preserve"> </w:t>
      </w:r>
      <w:r w:rsidR="00732089" w:rsidRPr="00732089">
        <w:rPr>
          <w:noProof/>
          <w:szCs w:val="20"/>
          <w:lang w:eastAsia="hr-HR"/>
        </w:rPr>
        <w:t>(11)</w:t>
      </w:r>
      <w:r w:rsidRPr="00D7774F">
        <w:rPr>
          <w:szCs w:val="20"/>
          <w:lang w:eastAsia="hr-HR"/>
        </w:rPr>
        <w:fldChar w:fldCharType="end"/>
      </w:r>
      <w:r w:rsidRPr="003020E6">
        <w:rPr>
          <w:szCs w:val="20"/>
          <w:lang w:eastAsia="hr-HR"/>
        </w:rPr>
        <w:t xml:space="preserve">. </w:t>
      </w:r>
    </w:p>
    <w:p w14:paraId="2B37F782" w14:textId="703ED9F0" w:rsidR="00E30ED6" w:rsidRPr="00B357F4" w:rsidRDefault="00E30ED6" w:rsidP="00E30ED6">
      <w:pPr>
        <w:pStyle w:val="Opisslike"/>
        <w:keepNext/>
      </w:pPr>
      <w:bookmarkStart w:id="36" w:name="_Toc56012333"/>
      <w:bookmarkStart w:id="37" w:name="_Toc56012374"/>
      <w:bookmarkStart w:id="38" w:name="_Toc87949882"/>
      <w:r w:rsidRPr="005C396B">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1</w:t>
      </w:r>
      <w:r>
        <w:fldChar w:fldCharType="end"/>
      </w:r>
      <w:r w:rsidRPr="003020E6">
        <w:t xml:space="preserve"> Ukupna korisna površina fonda zgrada </w:t>
      </w:r>
      <w:r w:rsidRPr="00760C3F">
        <w:t xml:space="preserve"> 2020. godine</w:t>
      </w:r>
      <w:bookmarkEnd w:id="36"/>
      <w:bookmarkEnd w:id="37"/>
      <w:bookmarkEnd w:id="3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93088F" w:rsidRPr="00E56ECD" w14:paraId="1530E246" w14:textId="77777777" w:rsidTr="00D82A52">
        <w:trPr>
          <w:trHeight w:val="288"/>
        </w:trPr>
        <w:tc>
          <w:tcPr>
            <w:tcW w:w="7230" w:type="dxa"/>
            <w:shd w:val="clear" w:color="auto" w:fill="FFFFFF" w:themeFill="background1"/>
            <w:noWrap/>
            <w:vAlign w:val="bottom"/>
            <w:hideMark/>
          </w:tcPr>
          <w:p w14:paraId="1D1F1217"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stalno nastanjene stambene zgrade</w:t>
            </w:r>
          </w:p>
        </w:tc>
        <w:tc>
          <w:tcPr>
            <w:tcW w:w="2114" w:type="dxa"/>
            <w:shd w:val="clear" w:color="auto" w:fill="auto"/>
            <w:noWrap/>
            <w:vAlign w:val="bottom"/>
            <w:hideMark/>
          </w:tcPr>
          <w:p w14:paraId="4C05CA5B"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128.960.894 m²</w:t>
            </w:r>
          </w:p>
        </w:tc>
      </w:tr>
      <w:tr w:rsidR="0093088F" w:rsidRPr="00E56ECD" w14:paraId="02415F39" w14:textId="77777777" w:rsidTr="00D82A52">
        <w:trPr>
          <w:trHeight w:val="288"/>
        </w:trPr>
        <w:tc>
          <w:tcPr>
            <w:tcW w:w="7230" w:type="dxa"/>
            <w:shd w:val="clear" w:color="auto" w:fill="FFFFFF" w:themeFill="background1"/>
            <w:noWrap/>
            <w:vAlign w:val="bottom"/>
            <w:hideMark/>
          </w:tcPr>
          <w:p w14:paraId="0F654969" w14:textId="77777777" w:rsidR="00E30ED6" w:rsidRPr="00E56ECD" w:rsidRDefault="00E30ED6" w:rsidP="00E36866">
            <w:pPr>
              <w:spacing w:after="0"/>
              <w:jc w:val="left"/>
              <w:rPr>
                <w:rFonts w:cs="Tahoma"/>
                <w:b/>
                <w:color w:val="000000"/>
                <w:szCs w:val="20"/>
                <w:lang w:eastAsia="hr-HR"/>
              </w:rPr>
            </w:pPr>
            <w:r w:rsidRPr="00E56ECD">
              <w:rPr>
                <w:rFonts w:cs="Tahoma"/>
                <w:b/>
                <w:color w:val="000000"/>
                <w:szCs w:val="20"/>
                <w:lang w:eastAsia="hr-HR"/>
              </w:rPr>
              <w:t>STAMBENE ZGRADE ZA OBNOVU</w:t>
            </w:r>
          </w:p>
        </w:tc>
        <w:tc>
          <w:tcPr>
            <w:tcW w:w="2114" w:type="dxa"/>
            <w:shd w:val="clear" w:color="auto" w:fill="auto"/>
            <w:noWrap/>
            <w:vAlign w:val="bottom"/>
            <w:hideMark/>
          </w:tcPr>
          <w:p w14:paraId="3BBDFA8A" w14:textId="77777777" w:rsidR="00E30ED6" w:rsidRPr="00E56ECD" w:rsidRDefault="00E30ED6" w:rsidP="00E36866">
            <w:pPr>
              <w:spacing w:after="0"/>
              <w:jc w:val="right"/>
              <w:rPr>
                <w:rFonts w:cs="Tahoma"/>
                <w:b/>
                <w:color w:val="000000"/>
                <w:szCs w:val="20"/>
                <w:lang w:eastAsia="hr-HR"/>
              </w:rPr>
            </w:pPr>
            <w:r w:rsidRPr="00E56ECD">
              <w:rPr>
                <w:rFonts w:cs="Tahoma"/>
                <w:b/>
                <w:color w:val="000000"/>
                <w:szCs w:val="20"/>
                <w:lang w:eastAsia="hr-HR"/>
              </w:rPr>
              <w:t>110.143.965 m²</w:t>
            </w:r>
          </w:p>
        </w:tc>
      </w:tr>
      <w:tr w:rsidR="00EA161A" w:rsidRPr="00E56ECD" w14:paraId="2AD78AA9" w14:textId="77777777" w:rsidTr="00D82A52">
        <w:trPr>
          <w:trHeight w:val="288"/>
        </w:trPr>
        <w:tc>
          <w:tcPr>
            <w:tcW w:w="7230" w:type="dxa"/>
            <w:shd w:val="clear" w:color="auto" w:fill="auto"/>
            <w:noWrap/>
            <w:vAlign w:val="bottom"/>
            <w:hideMark/>
          </w:tcPr>
          <w:p w14:paraId="20EEAE14"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obiteljske kuće za obnovu</w:t>
            </w:r>
          </w:p>
        </w:tc>
        <w:tc>
          <w:tcPr>
            <w:tcW w:w="2114" w:type="dxa"/>
            <w:shd w:val="clear" w:color="auto" w:fill="auto"/>
            <w:noWrap/>
            <w:vAlign w:val="bottom"/>
            <w:hideMark/>
          </w:tcPr>
          <w:p w14:paraId="7F98FAB9"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67.748.042 m²</w:t>
            </w:r>
          </w:p>
        </w:tc>
      </w:tr>
      <w:tr w:rsidR="00EA161A" w:rsidRPr="00E56ECD" w14:paraId="32234484" w14:textId="77777777" w:rsidTr="00D82A52">
        <w:trPr>
          <w:trHeight w:val="288"/>
        </w:trPr>
        <w:tc>
          <w:tcPr>
            <w:tcW w:w="7230" w:type="dxa"/>
            <w:shd w:val="clear" w:color="auto" w:fill="auto"/>
            <w:noWrap/>
            <w:vAlign w:val="bottom"/>
            <w:hideMark/>
          </w:tcPr>
          <w:p w14:paraId="29EF4E30"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višestambene zgrade za obnovu</w:t>
            </w:r>
          </w:p>
        </w:tc>
        <w:tc>
          <w:tcPr>
            <w:tcW w:w="2114" w:type="dxa"/>
            <w:shd w:val="clear" w:color="auto" w:fill="auto"/>
            <w:noWrap/>
            <w:vAlign w:val="bottom"/>
            <w:hideMark/>
          </w:tcPr>
          <w:p w14:paraId="5C974447"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42.395.923 m²</w:t>
            </w:r>
          </w:p>
        </w:tc>
      </w:tr>
      <w:tr w:rsidR="00EA161A" w:rsidRPr="00E56ECD" w14:paraId="0F48B6DD" w14:textId="77777777" w:rsidTr="00D82A52">
        <w:trPr>
          <w:trHeight w:val="288"/>
        </w:trPr>
        <w:tc>
          <w:tcPr>
            <w:tcW w:w="7230" w:type="dxa"/>
            <w:shd w:val="clear" w:color="auto" w:fill="auto"/>
            <w:noWrap/>
            <w:vAlign w:val="bottom"/>
            <w:hideMark/>
          </w:tcPr>
          <w:p w14:paraId="0E0844F0" w14:textId="77777777" w:rsidR="00E30ED6" w:rsidRPr="00E56ECD" w:rsidRDefault="00E30ED6" w:rsidP="00E36866">
            <w:pPr>
              <w:spacing w:after="0"/>
              <w:jc w:val="left"/>
              <w:rPr>
                <w:rFonts w:cs="Tahoma"/>
                <w:b/>
                <w:color w:val="000000"/>
                <w:szCs w:val="20"/>
                <w:lang w:eastAsia="hr-HR"/>
              </w:rPr>
            </w:pPr>
            <w:r w:rsidRPr="00E56ECD">
              <w:rPr>
                <w:rFonts w:cs="Tahoma"/>
                <w:b/>
                <w:color w:val="000000"/>
                <w:szCs w:val="20"/>
                <w:lang w:eastAsia="hr-HR"/>
              </w:rPr>
              <w:t>NESTAMBENE ZGRADE ZA OBNOVU</w:t>
            </w:r>
          </w:p>
        </w:tc>
        <w:tc>
          <w:tcPr>
            <w:tcW w:w="2114" w:type="dxa"/>
            <w:shd w:val="clear" w:color="auto" w:fill="auto"/>
            <w:noWrap/>
            <w:vAlign w:val="bottom"/>
            <w:hideMark/>
          </w:tcPr>
          <w:p w14:paraId="6E495B84" w14:textId="77777777" w:rsidR="00E30ED6" w:rsidRPr="00E56ECD" w:rsidRDefault="00E30ED6" w:rsidP="00E36866">
            <w:pPr>
              <w:spacing w:after="0"/>
              <w:jc w:val="right"/>
              <w:rPr>
                <w:rFonts w:cs="Tahoma"/>
                <w:b/>
                <w:color w:val="000000"/>
                <w:szCs w:val="20"/>
                <w:lang w:eastAsia="hr-HR"/>
              </w:rPr>
            </w:pPr>
            <w:r w:rsidRPr="00E56ECD">
              <w:rPr>
                <w:rFonts w:cs="Tahoma"/>
                <w:b/>
                <w:color w:val="000000"/>
                <w:szCs w:val="20"/>
                <w:lang w:eastAsia="hr-HR"/>
              </w:rPr>
              <w:t>58.722.937 m²</w:t>
            </w:r>
          </w:p>
        </w:tc>
      </w:tr>
      <w:tr w:rsidR="00EA161A" w:rsidRPr="00E56ECD" w14:paraId="332DA824" w14:textId="77777777" w:rsidTr="00D82A52">
        <w:trPr>
          <w:trHeight w:val="288"/>
        </w:trPr>
        <w:tc>
          <w:tcPr>
            <w:tcW w:w="7230" w:type="dxa"/>
            <w:shd w:val="clear" w:color="auto" w:fill="auto"/>
            <w:noWrap/>
            <w:vAlign w:val="bottom"/>
            <w:hideMark/>
          </w:tcPr>
          <w:p w14:paraId="739C02F1"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komercijalne nestambene zgrade</w:t>
            </w:r>
          </w:p>
        </w:tc>
        <w:tc>
          <w:tcPr>
            <w:tcW w:w="2114" w:type="dxa"/>
            <w:shd w:val="clear" w:color="auto" w:fill="auto"/>
            <w:noWrap/>
            <w:vAlign w:val="bottom"/>
            <w:hideMark/>
          </w:tcPr>
          <w:p w14:paraId="4329BC68"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42.623.410 m²</w:t>
            </w:r>
          </w:p>
        </w:tc>
      </w:tr>
      <w:tr w:rsidR="00EA161A" w:rsidRPr="00E56ECD" w14:paraId="4F31A910" w14:textId="77777777" w:rsidTr="00D82A52">
        <w:trPr>
          <w:trHeight w:val="288"/>
        </w:trPr>
        <w:tc>
          <w:tcPr>
            <w:tcW w:w="7230" w:type="dxa"/>
            <w:shd w:val="clear" w:color="auto" w:fill="auto"/>
            <w:noWrap/>
            <w:vAlign w:val="bottom"/>
            <w:hideMark/>
          </w:tcPr>
          <w:p w14:paraId="7998360E"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javne nestambene zgrade</w:t>
            </w:r>
          </w:p>
        </w:tc>
        <w:tc>
          <w:tcPr>
            <w:tcW w:w="2114" w:type="dxa"/>
            <w:shd w:val="clear" w:color="auto" w:fill="auto"/>
            <w:noWrap/>
            <w:vAlign w:val="bottom"/>
            <w:hideMark/>
          </w:tcPr>
          <w:p w14:paraId="5F5EB424"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16.099.527 m²</w:t>
            </w:r>
          </w:p>
        </w:tc>
      </w:tr>
      <w:tr w:rsidR="00EA161A" w:rsidRPr="00E56ECD" w14:paraId="038FB2D2" w14:textId="77777777" w:rsidTr="00D82A52">
        <w:trPr>
          <w:trHeight w:val="288"/>
        </w:trPr>
        <w:tc>
          <w:tcPr>
            <w:tcW w:w="7230" w:type="dxa"/>
            <w:shd w:val="clear" w:color="auto" w:fill="auto"/>
            <w:noWrap/>
            <w:vAlign w:val="bottom"/>
          </w:tcPr>
          <w:p w14:paraId="3F2F9870" w14:textId="77777777" w:rsidR="00E30ED6" w:rsidRPr="00E56ECD" w:rsidRDefault="00E30ED6" w:rsidP="00E36866">
            <w:pPr>
              <w:spacing w:after="0"/>
              <w:jc w:val="left"/>
              <w:rPr>
                <w:rFonts w:cs="Tahoma"/>
                <w:b/>
                <w:color w:val="000000"/>
                <w:szCs w:val="20"/>
                <w:lang w:eastAsia="hr-HR"/>
              </w:rPr>
            </w:pPr>
            <w:r w:rsidRPr="00E56ECD">
              <w:rPr>
                <w:rFonts w:cs="Tahoma"/>
                <w:b/>
                <w:color w:val="000000"/>
                <w:szCs w:val="20"/>
                <w:lang w:eastAsia="hr-HR"/>
              </w:rPr>
              <w:t xml:space="preserve">UKUPNO  ZGRADE ZA OBNOVU </w:t>
            </w:r>
          </w:p>
        </w:tc>
        <w:tc>
          <w:tcPr>
            <w:tcW w:w="2114" w:type="dxa"/>
            <w:shd w:val="clear" w:color="auto" w:fill="auto"/>
            <w:noWrap/>
            <w:vAlign w:val="bottom"/>
          </w:tcPr>
          <w:p w14:paraId="1FF7E16C" w14:textId="77777777" w:rsidR="00E30ED6" w:rsidRPr="00E56ECD" w:rsidRDefault="00E30ED6" w:rsidP="00E36866">
            <w:pPr>
              <w:spacing w:after="0"/>
              <w:jc w:val="right"/>
              <w:rPr>
                <w:rFonts w:cs="Tahoma"/>
                <w:color w:val="000000"/>
                <w:szCs w:val="20"/>
                <w:lang w:eastAsia="hr-HR"/>
              </w:rPr>
            </w:pPr>
            <w:r w:rsidRPr="00E56ECD">
              <w:rPr>
                <w:rFonts w:cs="Tahoma"/>
                <w:b/>
                <w:color w:val="000000"/>
                <w:szCs w:val="20"/>
                <w:lang w:eastAsia="hr-HR"/>
              </w:rPr>
              <w:t>168.866.902</w:t>
            </w:r>
            <w:r w:rsidRPr="00E56ECD">
              <w:rPr>
                <w:rFonts w:cs="Tahoma"/>
                <w:color w:val="000000"/>
                <w:szCs w:val="20"/>
                <w:lang w:eastAsia="hr-HR"/>
              </w:rPr>
              <w:t xml:space="preserve"> m²</w:t>
            </w:r>
          </w:p>
        </w:tc>
      </w:tr>
    </w:tbl>
    <w:p w14:paraId="3ACBD9D0" w14:textId="00ACEAE9" w:rsidR="00E30ED6" w:rsidRPr="00B03C9B" w:rsidRDefault="00E30ED6" w:rsidP="00E30ED6">
      <w:r w:rsidRPr="00B357F4">
        <w:t xml:space="preserve">Vidljivo je povećanje fonda zgrada javnog sektora od 2.297.625 m² u odnosu na stanje utvrđeno 2017. godine. Prema podacima iz sustava ISGE, prosječan godišnji prirast zgrada javnog sektora je 20.000 m², te se u daljnjim analizama </w:t>
      </w:r>
      <w:r w:rsidRPr="00B357F4">
        <w:rPr>
          <w:b/>
        </w:rPr>
        <w:t>korisna površina zgrada javnog sektora od 16.099.527 m²</w:t>
      </w:r>
      <w:r w:rsidRPr="00B357F4">
        <w:t xml:space="preserve"> utvrđena modeliranjem u Dugoročnoj strategiji </w:t>
      </w:r>
      <w:sdt>
        <w:sdtPr>
          <w:id w:val="-177119189"/>
          <w:citation/>
        </w:sdtPr>
        <w:sdtEndPr/>
        <w:sdtContent>
          <w:r w:rsidRPr="005C396B">
            <w:fldChar w:fldCharType="begin"/>
          </w:r>
          <w:r w:rsidRPr="00B357F4">
            <w:instrText xml:space="preserve"> CITATION MPG21 \l 1050 </w:instrText>
          </w:r>
          <w:r w:rsidRPr="005C396B">
            <w:fldChar w:fldCharType="separate"/>
          </w:r>
          <w:r w:rsidR="00732089">
            <w:rPr>
              <w:noProof/>
            </w:rPr>
            <w:t>(2)</w:t>
          </w:r>
          <w:r w:rsidRPr="005C396B">
            <w:fldChar w:fldCharType="end"/>
          </w:r>
        </w:sdtContent>
      </w:sdt>
      <w:r w:rsidRPr="003020E6">
        <w:t xml:space="preserve"> uzima kao ishodišna točka za utvrđivanje fonda zgrada po namjeni, godini gradnje, klimatskoj zoni i energetskim svojstvima. </w:t>
      </w:r>
    </w:p>
    <w:p w14:paraId="2B5BA8C7" w14:textId="4EC05A8C" w:rsidR="00536DF2" w:rsidRPr="00B357F4" w:rsidRDefault="258241DB" w:rsidP="00A8026A">
      <w:pPr>
        <w:pStyle w:val="Naslov20"/>
      </w:pPr>
      <w:bookmarkStart w:id="39" w:name="_Toc94769971"/>
      <w:r w:rsidRPr="00B357F4">
        <w:t>Podjela zgrada na zgrade središnje državne uprave, jedinice lokalne (regionalne) samouprave i zgrade tvrtki u javnom vlasništvu, prema namjeni i razdoblju gradnje</w:t>
      </w:r>
      <w:bookmarkEnd w:id="39"/>
    </w:p>
    <w:p w14:paraId="396FCAE4" w14:textId="77777777" w:rsidR="00E30ED6" w:rsidRPr="00B357F4" w:rsidRDefault="00E30ED6" w:rsidP="00E30ED6">
      <w:pPr>
        <w:spacing w:after="60"/>
      </w:pPr>
      <w:r w:rsidRPr="00B357F4">
        <w:t>Zgrade javnog sektora podijeljene su prema namjeni na ukupno devet kategorija:</w:t>
      </w:r>
    </w:p>
    <w:p w14:paraId="3D5882BE" w14:textId="77777777" w:rsidR="00735814" w:rsidRPr="00B357F4" w:rsidRDefault="3B351CB8"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obiteljske kuće – SZ1</w:t>
      </w:r>
    </w:p>
    <w:p w14:paraId="0E8922C9" w14:textId="77777777" w:rsidR="00735814" w:rsidRPr="00B357F4" w:rsidRDefault="3B351CB8"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zgrade za stanovanje – višestambene zgrade – SZ2</w:t>
      </w:r>
    </w:p>
    <w:p w14:paraId="10C76DDD" w14:textId="47654DCD"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uredske zgrade</w:t>
      </w:r>
      <w:r w:rsidR="66308437" w:rsidRPr="00B357F4">
        <w:rPr>
          <w:color w:val="000000" w:themeColor="text1"/>
        </w:rPr>
        <w:t xml:space="preserve"> – NSZ1</w:t>
      </w:r>
    </w:p>
    <w:p w14:paraId="7B7F9A76" w14:textId="77777777" w:rsidR="00735814" w:rsidRPr="00B357F4" w:rsidRDefault="3B351CB8"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zgrade za obrazovanje – NSZ2</w:t>
      </w:r>
    </w:p>
    <w:p w14:paraId="4DCE7361" w14:textId="64F31F51"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lastRenderedPageBreak/>
        <w:t>zgrade bolnica</w:t>
      </w:r>
      <w:r w:rsidR="66308437" w:rsidRPr="00B357F4">
        <w:rPr>
          <w:color w:val="000000" w:themeColor="text1"/>
        </w:rPr>
        <w:t xml:space="preserve"> </w:t>
      </w:r>
      <w:r w:rsidR="7BDC07F1" w:rsidRPr="00B357F4">
        <w:rPr>
          <w:color w:val="000000" w:themeColor="text1"/>
        </w:rPr>
        <w:t>–</w:t>
      </w:r>
      <w:r w:rsidR="66308437" w:rsidRPr="00B357F4">
        <w:rPr>
          <w:color w:val="000000" w:themeColor="text1"/>
        </w:rPr>
        <w:t xml:space="preserve"> </w:t>
      </w:r>
      <w:r w:rsidR="7BDC07F1" w:rsidRPr="00B357F4">
        <w:rPr>
          <w:color w:val="000000" w:themeColor="text1"/>
        </w:rPr>
        <w:t>NSZ3</w:t>
      </w:r>
    </w:p>
    <w:p w14:paraId="3C9EB0BA" w14:textId="38C56AC9"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ugostiteljski objekti i hoteli</w:t>
      </w:r>
      <w:r w:rsidR="7BDC07F1" w:rsidRPr="00B357F4">
        <w:rPr>
          <w:color w:val="000000" w:themeColor="text1"/>
        </w:rPr>
        <w:t xml:space="preserve"> – NSZ4</w:t>
      </w:r>
    </w:p>
    <w:p w14:paraId="14E28FE6" w14:textId="2CFD40C5" w:rsidR="00735814" w:rsidRPr="00B357F4" w:rsidRDefault="594F955B" w:rsidP="00725AB0">
      <w:pPr>
        <w:pStyle w:val="Odlomakpopisa"/>
        <w:keepLines w:val="0"/>
        <w:numPr>
          <w:ilvl w:val="0"/>
          <w:numId w:val="50"/>
        </w:numPr>
        <w:suppressAutoHyphens w:val="0"/>
        <w:spacing w:before="120" w:after="120"/>
        <w:contextualSpacing/>
      </w:pPr>
      <w:r w:rsidRPr="00B357F4">
        <w:rPr>
          <w:color w:val="000000" w:themeColor="text1"/>
        </w:rPr>
        <w:t xml:space="preserve">druge nestambene zgrade </w:t>
      </w:r>
      <w:r w:rsidR="3B351CB8" w:rsidRPr="00B357F4">
        <w:rPr>
          <w:color w:val="000000" w:themeColor="text1"/>
        </w:rPr>
        <w:t>– NSZ5</w:t>
      </w:r>
    </w:p>
    <w:p w14:paraId="2EEEAC55" w14:textId="032695C9"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sportske dvorane</w:t>
      </w:r>
      <w:r w:rsidR="7BDC07F1" w:rsidRPr="00B357F4">
        <w:rPr>
          <w:color w:val="000000" w:themeColor="text1"/>
        </w:rPr>
        <w:t xml:space="preserve"> </w:t>
      </w:r>
      <w:r w:rsidR="3B351CB8" w:rsidRPr="00B357F4">
        <w:rPr>
          <w:color w:val="000000" w:themeColor="text1"/>
        </w:rPr>
        <w:t>–</w:t>
      </w:r>
      <w:r w:rsidR="7BDC07F1" w:rsidRPr="00B357F4">
        <w:rPr>
          <w:color w:val="000000" w:themeColor="text1"/>
        </w:rPr>
        <w:t xml:space="preserve"> N</w:t>
      </w:r>
      <w:r w:rsidR="3B351CB8" w:rsidRPr="00B357F4">
        <w:rPr>
          <w:color w:val="000000" w:themeColor="text1"/>
        </w:rPr>
        <w:t>SZ6</w:t>
      </w:r>
    </w:p>
    <w:p w14:paraId="15560DC7" w14:textId="01DED507"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trgovine</w:t>
      </w:r>
      <w:r w:rsidR="7BDC07F1" w:rsidRPr="00B357F4">
        <w:rPr>
          <w:color w:val="000000" w:themeColor="text1"/>
        </w:rPr>
        <w:t xml:space="preserve"> NSZ</w:t>
      </w:r>
      <w:r w:rsidR="3B351CB8" w:rsidRPr="00B357F4">
        <w:rPr>
          <w:color w:val="000000" w:themeColor="text1"/>
        </w:rPr>
        <w:t>7</w:t>
      </w:r>
    </w:p>
    <w:p w14:paraId="4752BD01" w14:textId="49589072" w:rsidR="000B5C1F" w:rsidRPr="00B357F4" w:rsidRDefault="594F955B"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ostalo NSZ8</w:t>
      </w:r>
    </w:p>
    <w:p w14:paraId="1B8550A1" w14:textId="1B457F6A" w:rsidR="00E30ED6" w:rsidRPr="00D7774F" w:rsidRDefault="00EA1E13" w:rsidP="00E30ED6">
      <w:r w:rsidRPr="00B357F4">
        <w:t>Raspodjela</w:t>
      </w:r>
      <w:r w:rsidR="00E30ED6" w:rsidRPr="00B357F4">
        <w:t xml:space="preserve"> udjela pojedinih kategorija u ukupnom fondu </w:t>
      </w:r>
      <w:r w:rsidRPr="00B357F4">
        <w:t>utvrđena je prema</w:t>
      </w:r>
      <w:r w:rsidR="00E30ED6" w:rsidRPr="00B357F4">
        <w:t xml:space="preserve"> dostupni</w:t>
      </w:r>
      <w:r w:rsidRPr="00B357F4">
        <w:t>m</w:t>
      </w:r>
      <w:r w:rsidR="00E30ED6" w:rsidRPr="00B357F4">
        <w:t xml:space="preserve"> </w:t>
      </w:r>
      <w:r w:rsidRPr="00B357F4">
        <w:t xml:space="preserve">podacima </w:t>
      </w:r>
      <w:r w:rsidR="005C075F" w:rsidRPr="00B357F4">
        <w:t>Informacijskog sustava za gospodarenje energijom (</w:t>
      </w:r>
      <w:r w:rsidR="00E30ED6" w:rsidRPr="00B357F4">
        <w:t>I</w:t>
      </w:r>
      <w:r w:rsidR="00C95857" w:rsidRPr="00B357F4">
        <w:t>SGE</w:t>
      </w:r>
      <w:r w:rsidR="005C075F" w:rsidRPr="00B357F4">
        <w:t>)</w:t>
      </w:r>
      <w:r w:rsidR="003641E5" w:rsidRPr="00B357F4">
        <w:t xml:space="preserve">, </w:t>
      </w:r>
      <w:r w:rsidR="00A25428" w:rsidRPr="00B357F4">
        <w:t xml:space="preserve">pri čemu </w:t>
      </w:r>
      <w:r w:rsidR="003F4C4D" w:rsidRPr="00B357F4">
        <w:t xml:space="preserve">su  vrste zgrada prema </w:t>
      </w:r>
      <w:r w:rsidR="00B337C3" w:rsidRPr="00B357F4">
        <w:t xml:space="preserve">Pravilniku o energetskom pregledu zgrade i energetskom certificiranju </w:t>
      </w:r>
      <w:sdt>
        <w:sdtPr>
          <w:id w:val="-400911779"/>
          <w:citation/>
        </w:sdtPr>
        <w:sdtEndPr/>
        <w:sdtContent>
          <w:r w:rsidR="00B337C3" w:rsidRPr="005C396B">
            <w:fldChar w:fldCharType="begin"/>
          </w:r>
          <w:r w:rsidR="00B337C3" w:rsidRPr="00B357F4">
            <w:instrText xml:space="preserve"> CITATION MGI173 \l 1033 </w:instrText>
          </w:r>
          <w:r w:rsidR="00B337C3" w:rsidRPr="005C396B">
            <w:fldChar w:fldCharType="separate"/>
          </w:r>
          <w:r w:rsidR="00732089" w:rsidRPr="00732089">
            <w:rPr>
              <w:noProof/>
            </w:rPr>
            <w:t>(12)</w:t>
          </w:r>
          <w:r w:rsidR="00B337C3" w:rsidRPr="005C396B">
            <w:fldChar w:fldCharType="end"/>
          </w:r>
        </w:sdtContent>
      </w:sdt>
      <w:r w:rsidR="00B337C3" w:rsidRPr="003020E6">
        <w:t xml:space="preserve"> te Metodologiji provođenja energetskog pregleda zgrada </w:t>
      </w:r>
      <w:sdt>
        <w:sdtPr>
          <w:id w:val="519516355"/>
          <w:citation/>
        </w:sdtPr>
        <w:sdtEndPr/>
        <w:sdtContent>
          <w:r w:rsidR="00DA01CD" w:rsidRPr="005C396B">
            <w:fldChar w:fldCharType="begin"/>
          </w:r>
          <w:r w:rsidR="00DA01CD" w:rsidRPr="00B357F4">
            <w:instrText xml:space="preserve"> CITATION MGI174 \l 1033 </w:instrText>
          </w:r>
          <w:r w:rsidR="00DA01CD" w:rsidRPr="005C396B">
            <w:fldChar w:fldCharType="separate"/>
          </w:r>
          <w:r w:rsidR="00732089" w:rsidRPr="00732089">
            <w:rPr>
              <w:noProof/>
            </w:rPr>
            <w:t>(13)</w:t>
          </w:r>
          <w:r w:rsidR="00DA01CD" w:rsidRPr="005C396B">
            <w:fldChar w:fldCharType="end"/>
          </w:r>
        </w:sdtContent>
      </w:sdt>
      <w:r w:rsidR="00DA01CD" w:rsidRPr="003020E6">
        <w:t xml:space="preserve"> </w:t>
      </w:r>
      <w:r w:rsidR="001D5CC3" w:rsidRPr="00D7774F">
        <w:t xml:space="preserve">povezane s vrstama </w:t>
      </w:r>
      <w:r w:rsidR="009603A6" w:rsidRPr="005C396B">
        <w:t xml:space="preserve">objekata u ISGE sustavu prema tablici </w:t>
      </w:r>
      <w:r w:rsidR="000A3553" w:rsidRPr="00D7774F">
        <w:fldChar w:fldCharType="begin"/>
      </w:r>
      <w:r w:rsidR="000A3553" w:rsidRPr="00B357F4">
        <w:instrText xml:space="preserve"> REF _Ref80700057 \h </w:instrText>
      </w:r>
      <w:r w:rsidR="000A3553" w:rsidRPr="00D7774F">
        <w:fldChar w:fldCharType="separate"/>
      </w:r>
      <w:r w:rsidR="0023635D" w:rsidRPr="00B357F4">
        <w:t xml:space="preserve">Tablica </w:t>
      </w:r>
      <w:r w:rsidR="0023635D">
        <w:rPr>
          <w:noProof/>
        </w:rPr>
        <w:t>14</w:t>
      </w:r>
      <w:r w:rsidR="0023635D">
        <w:noBreakHyphen/>
      </w:r>
      <w:r w:rsidR="0023635D">
        <w:rPr>
          <w:noProof/>
        </w:rPr>
        <w:t>1</w:t>
      </w:r>
      <w:r w:rsidR="000A3553" w:rsidRPr="00D7774F">
        <w:fldChar w:fldCharType="end"/>
      </w:r>
      <w:r w:rsidR="000A3553" w:rsidRPr="003020E6">
        <w:t xml:space="preserve"> u poglavlju </w:t>
      </w:r>
      <w:r w:rsidR="000A3553" w:rsidRPr="00D7774F">
        <w:fldChar w:fldCharType="begin"/>
      </w:r>
      <w:r w:rsidR="000A3553" w:rsidRPr="00B357F4">
        <w:instrText xml:space="preserve"> REF _Ref80700098 \h </w:instrText>
      </w:r>
      <w:r w:rsidR="000A3553" w:rsidRPr="00D7774F">
        <w:fldChar w:fldCharType="separate"/>
      </w:r>
      <w:r w:rsidR="0023635D" w:rsidRPr="00A67250">
        <w:t>Prilozi</w:t>
      </w:r>
      <w:r w:rsidR="000A3553" w:rsidRPr="00D7774F">
        <w:fldChar w:fldCharType="end"/>
      </w:r>
      <w:r w:rsidR="000A3553" w:rsidRPr="003020E6">
        <w:t xml:space="preserve">. </w:t>
      </w:r>
    </w:p>
    <w:p w14:paraId="62661A77" w14:textId="3637FCB4" w:rsidR="0033653F" w:rsidRPr="00B357F4" w:rsidRDefault="39440D4B" w:rsidP="00E30ED6">
      <w:r w:rsidRPr="00B03C9B">
        <w:t xml:space="preserve">Prema </w:t>
      </w:r>
      <w:r w:rsidR="406AEEFF" w:rsidRPr="00B357F4">
        <w:t>omjerima korisne površine zgrada</w:t>
      </w:r>
      <w:r w:rsidR="5F4915BB" w:rsidRPr="00B357F4">
        <w:t xml:space="preserve"> po namjeni i razdoblju gradnje</w:t>
      </w:r>
      <w:r w:rsidR="406AEEFF" w:rsidRPr="00B357F4">
        <w:t xml:space="preserve"> u ISGE i </w:t>
      </w:r>
      <w:r w:rsidR="5F4915BB" w:rsidRPr="00B357F4">
        <w:t xml:space="preserve">ukupnoj površini zgrada javnog sektora utvrđenoj </w:t>
      </w:r>
      <w:r w:rsidR="483ACC50" w:rsidRPr="00B357F4">
        <w:t xml:space="preserve">u Dugoročnoj strategiji </w:t>
      </w:r>
      <w:sdt>
        <w:sdtPr>
          <w:id w:val="-311555047"/>
          <w:citation/>
        </w:sdtPr>
        <w:sdtEndPr/>
        <w:sdtContent>
          <w:r w:rsidR="00B769E9" w:rsidRPr="005C396B">
            <w:fldChar w:fldCharType="begin"/>
          </w:r>
          <w:r w:rsidR="00B769E9" w:rsidRPr="00B357F4">
            <w:instrText xml:space="preserve"> CITATION MPG21 \l 1050 </w:instrText>
          </w:r>
          <w:r w:rsidR="00B769E9" w:rsidRPr="005C396B">
            <w:fldChar w:fldCharType="separate"/>
          </w:r>
          <w:r w:rsidR="00732089">
            <w:rPr>
              <w:noProof/>
            </w:rPr>
            <w:t>(2)</w:t>
          </w:r>
          <w:r w:rsidR="00B769E9" w:rsidRPr="005C396B">
            <w:fldChar w:fldCharType="end"/>
          </w:r>
        </w:sdtContent>
      </w:sdt>
      <w:r w:rsidR="2F23D810" w:rsidRPr="003020E6">
        <w:t xml:space="preserve"> modelirane su ploštine korisne </w:t>
      </w:r>
      <w:r w:rsidR="2F23D810" w:rsidRPr="00B357F4">
        <w:t xml:space="preserve"> površine </w:t>
      </w:r>
      <w:r w:rsidR="4145AD42" w:rsidRPr="00B357F4">
        <w:t xml:space="preserve">grijanog dijela </w:t>
      </w:r>
      <w:r w:rsidR="2F23D810" w:rsidRPr="00B357F4">
        <w:t>zgrada</w:t>
      </w:r>
      <w:r w:rsidR="5D93837A" w:rsidRPr="00B357F4">
        <w:t xml:space="preserve">, te </w:t>
      </w:r>
      <w:r w:rsidR="60FBD63F" w:rsidRPr="00B357F4">
        <w:t xml:space="preserve">prema sektoru (vlasništvu) i namjeni. Definirani sektori su zgrade središnje državne uprave (SDU), </w:t>
      </w:r>
      <w:r w:rsidR="098AC762" w:rsidRPr="00B357F4">
        <w:t>zgrade jedinica lokalne (regionalne) samouprave</w:t>
      </w:r>
      <w:r w:rsidR="083B50F3" w:rsidRPr="00B357F4">
        <w:t xml:space="preserve"> (JLRS)</w:t>
      </w:r>
      <w:r w:rsidR="098AC762" w:rsidRPr="00B357F4">
        <w:t xml:space="preserve"> te zgrade tvrtki u javnom vlasništvu</w:t>
      </w:r>
      <w:r w:rsidR="083B50F3" w:rsidRPr="00B357F4">
        <w:t xml:space="preserve"> (TJV). Za dio zgrada informacija nije poznate, te su promatrane odvojeno od identificiranih sektora</w:t>
      </w:r>
      <w:r w:rsidR="098AC762" w:rsidRPr="00B357F4">
        <w:t xml:space="preserve">. </w:t>
      </w:r>
    </w:p>
    <w:p w14:paraId="53D69495" w14:textId="3BC311A3" w:rsidR="0018664C" w:rsidRPr="00B357F4" w:rsidRDefault="21F69571" w:rsidP="0018664C">
      <w:pPr>
        <w:pStyle w:val="Opisslike"/>
        <w:keepNext/>
      </w:pPr>
      <w:bookmarkStart w:id="40" w:name="_Toc87949883"/>
      <w:r w:rsidRPr="00B357F4">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2</w:t>
      </w:r>
      <w:r>
        <w:fldChar w:fldCharType="end"/>
      </w:r>
      <w:r w:rsidRPr="003020E6">
        <w:t xml:space="preserve"> </w:t>
      </w:r>
      <w:r w:rsidR="09842B94" w:rsidRPr="00D7774F">
        <w:t>Ploština k</w:t>
      </w:r>
      <w:r w:rsidRPr="005C396B">
        <w:t>orisn</w:t>
      </w:r>
      <w:r w:rsidR="09842B94" w:rsidRPr="005C396B">
        <w:t>e</w:t>
      </w:r>
      <w:r w:rsidRPr="00B03C9B">
        <w:t xml:space="preserve"> </w:t>
      </w:r>
      <w:r w:rsidRPr="00B357F4">
        <w:t>površina</w:t>
      </w:r>
      <w:r w:rsidR="0214193C" w:rsidRPr="00B357F4">
        <w:t xml:space="preserve"> grijanog dijela</w:t>
      </w:r>
      <w:r w:rsidRPr="00B357F4">
        <w:t xml:space="preserve"> zgrada (A</w:t>
      </w:r>
      <w:r w:rsidRPr="00B357F4">
        <w:rPr>
          <w:vertAlign w:val="subscript"/>
        </w:rPr>
        <w:t>k</w:t>
      </w:r>
      <w:r w:rsidRPr="00B357F4">
        <w:t>) prema namjeni i razdoblju gradnje u m²</w:t>
      </w:r>
      <w:bookmarkEnd w:id="40"/>
    </w:p>
    <w:tbl>
      <w:tblPr>
        <w:tblStyle w:val="Tamnatablicareetke5-isticanje31"/>
        <w:tblW w:w="5000" w:type="pct"/>
        <w:tblLook w:val="04A0" w:firstRow="1" w:lastRow="0" w:firstColumn="1" w:lastColumn="0" w:noHBand="0" w:noVBand="1"/>
      </w:tblPr>
      <w:tblGrid>
        <w:gridCol w:w="982"/>
        <w:gridCol w:w="960"/>
        <w:gridCol w:w="864"/>
        <w:gridCol w:w="828"/>
        <w:gridCol w:w="828"/>
        <w:gridCol w:w="828"/>
        <w:gridCol w:w="828"/>
        <w:gridCol w:w="713"/>
        <w:gridCol w:w="828"/>
        <w:gridCol w:w="713"/>
        <w:gridCol w:w="972"/>
      </w:tblGrid>
      <w:tr w:rsidR="00A36608" w:rsidRPr="00B357F4" w14:paraId="1C3B3A56" w14:textId="77777777" w:rsidTr="00B0105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82" w:type="dxa"/>
            <w:noWrap/>
            <w:hideMark/>
          </w:tcPr>
          <w:p w14:paraId="1DC0F490" w14:textId="75DB03B0" w:rsidR="000C15EC" w:rsidRPr="00B357F4" w:rsidRDefault="000C15EC" w:rsidP="000C15EC">
            <w:pPr>
              <w:spacing w:before="0" w:after="0"/>
              <w:jc w:val="left"/>
              <w:rPr>
                <w:rFonts w:ascii="Calibri" w:hAnsi="Calibri" w:cs="Calibri"/>
                <w:color w:val="000000"/>
                <w:szCs w:val="20"/>
                <w:lang w:eastAsia="hr-HR"/>
              </w:rPr>
            </w:pPr>
          </w:p>
        </w:tc>
        <w:tc>
          <w:tcPr>
            <w:tcW w:w="8362" w:type="dxa"/>
            <w:gridSpan w:val="10"/>
            <w:noWrap/>
            <w:hideMark/>
          </w:tcPr>
          <w:p w14:paraId="68659613" w14:textId="42BC76E5" w:rsidR="000C15EC" w:rsidRPr="00B357F4" w:rsidRDefault="000C15EC"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lang w:eastAsia="hr-HR"/>
              </w:rPr>
            </w:pPr>
            <w:r w:rsidRPr="00B357F4">
              <w:rPr>
                <w:rFonts w:ascii="Calibri" w:hAnsi="Calibri" w:cs="Calibri"/>
                <w:color w:val="000000"/>
                <w:szCs w:val="20"/>
                <w:lang w:eastAsia="hr-HR"/>
              </w:rPr>
              <w:t>razdoblje gradnje</w:t>
            </w:r>
          </w:p>
        </w:tc>
      </w:tr>
      <w:tr w:rsidR="00B01057" w:rsidRPr="00B357F4" w14:paraId="5C2F06EB" w14:textId="77777777" w:rsidTr="00B0105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82" w:type="dxa"/>
            <w:noWrap/>
            <w:hideMark/>
          </w:tcPr>
          <w:p w14:paraId="2739AA25" w14:textId="75C5B0D9" w:rsidR="00C723D9" w:rsidRPr="00B357F4" w:rsidRDefault="0040182F" w:rsidP="000C15EC">
            <w:pPr>
              <w:spacing w:before="0" w:after="0"/>
              <w:jc w:val="left"/>
              <w:rPr>
                <w:rFonts w:ascii="Times New Roman" w:hAnsi="Times New Roman" w:cs="Times New Roman"/>
                <w:szCs w:val="20"/>
                <w:lang w:eastAsia="hr-HR"/>
              </w:rPr>
            </w:pPr>
            <w:r w:rsidRPr="00B357F4">
              <w:rPr>
                <w:rFonts w:ascii="Calibri" w:hAnsi="Calibri" w:cs="Calibri"/>
                <w:color w:val="000000"/>
                <w:szCs w:val="20"/>
                <w:lang w:eastAsia="hr-HR"/>
              </w:rPr>
              <w:t>namjena</w:t>
            </w:r>
          </w:p>
        </w:tc>
        <w:tc>
          <w:tcPr>
            <w:tcW w:w="960" w:type="dxa"/>
            <w:noWrap/>
            <w:hideMark/>
          </w:tcPr>
          <w:p w14:paraId="6A410A0E" w14:textId="49E22729" w:rsidR="00C723D9" w:rsidRPr="00B357F4" w:rsidRDefault="0040182F"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sv</w:t>
            </w:r>
            <w:r w:rsidR="000C15EC" w:rsidRPr="00B357F4">
              <w:rPr>
                <w:rFonts w:ascii="Calibri" w:hAnsi="Calibri" w:cs="Calibri"/>
                <w:color w:val="000000"/>
                <w:sz w:val="18"/>
                <w:szCs w:val="18"/>
                <w:lang w:eastAsia="hr-HR"/>
              </w:rPr>
              <w:t>a razdoblja gradnje</w:t>
            </w:r>
          </w:p>
        </w:tc>
        <w:tc>
          <w:tcPr>
            <w:tcW w:w="864" w:type="dxa"/>
            <w:noWrap/>
            <w:hideMark/>
          </w:tcPr>
          <w:p w14:paraId="5C2BB944" w14:textId="3E3726E0"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≤1945</w:t>
            </w:r>
          </w:p>
        </w:tc>
        <w:tc>
          <w:tcPr>
            <w:tcW w:w="828" w:type="dxa"/>
            <w:noWrap/>
            <w:hideMark/>
          </w:tcPr>
          <w:p w14:paraId="146F3B0D"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1946-1960</w:t>
            </w:r>
          </w:p>
        </w:tc>
        <w:tc>
          <w:tcPr>
            <w:tcW w:w="828" w:type="dxa"/>
            <w:noWrap/>
            <w:hideMark/>
          </w:tcPr>
          <w:p w14:paraId="0A3910EE"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1961-1970</w:t>
            </w:r>
          </w:p>
        </w:tc>
        <w:tc>
          <w:tcPr>
            <w:tcW w:w="828" w:type="dxa"/>
            <w:noWrap/>
            <w:hideMark/>
          </w:tcPr>
          <w:p w14:paraId="4A4B3E92"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1971-1980</w:t>
            </w:r>
          </w:p>
        </w:tc>
        <w:tc>
          <w:tcPr>
            <w:tcW w:w="828" w:type="dxa"/>
            <w:noWrap/>
            <w:hideMark/>
          </w:tcPr>
          <w:p w14:paraId="43AC4526"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1981-1990</w:t>
            </w:r>
          </w:p>
        </w:tc>
        <w:tc>
          <w:tcPr>
            <w:tcW w:w="713" w:type="dxa"/>
            <w:noWrap/>
            <w:hideMark/>
          </w:tcPr>
          <w:p w14:paraId="42E5A20A"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1991-2000</w:t>
            </w:r>
          </w:p>
        </w:tc>
        <w:tc>
          <w:tcPr>
            <w:tcW w:w="828" w:type="dxa"/>
            <w:noWrap/>
            <w:hideMark/>
          </w:tcPr>
          <w:p w14:paraId="7E862E4C"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2001-2010</w:t>
            </w:r>
          </w:p>
        </w:tc>
        <w:tc>
          <w:tcPr>
            <w:tcW w:w="713" w:type="dxa"/>
            <w:noWrap/>
            <w:hideMark/>
          </w:tcPr>
          <w:p w14:paraId="7CAB238D"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2011-2020</w:t>
            </w:r>
          </w:p>
        </w:tc>
        <w:tc>
          <w:tcPr>
            <w:tcW w:w="972" w:type="dxa"/>
            <w:noWrap/>
            <w:hideMark/>
          </w:tcPr>
          <w:p w14:paraId="4C7FC17F"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nema podataka</w:t>
            </w:r>
          </w:p>
        </w:tc>
      </w:tr>
      <w:tr w:rsidR="00B01057" w:rsidRPr="00B357F4" w14:paraId="502FC840"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132940C9"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SZ1</w:t>
            </w:r>
          </w:p>
        </w:tc>
        <w:tc>
          <w:tcPr>
            <w:tcW w:w="960" w:type="dxa"/>
            <w:noWrap/>
            <w:tcMar>
              <w:left w:w="28" w:type="dxa"/>
              <w:right w:w="28" w:type="dxa"/>
            </w:tcMar>
            <w:hideMark/>
          </w:tcPr>
          <w:p w14:paraId="30A7299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6.105</w:t>
            </w:r>
          </w:p>
        </w:tc>
        <w:tc>
          <w:tcPr>
            <w:tcW w:w="864" w:type="dxa"/>
            <w:noWrap/>
            <w:tcMar>
              <w:left w:w="28" w:type="dxa"/>
              <w:right w:w="28" w:type="dxa"/>
            </w:tcMar>
            <w:hideMark/>
          </w:tcPr>
          <w:p w14:paraId="17F2BBF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1.167</w:t>
            </w:r>
          </w:p>
        </w:tc>
        <w:tc>
          <w:tcPr>
            <w:tcW w:w="828" w:type="dxa"/>
            <w:noWrap/>
            <w:tcMar>
              <w:left w:w="28" w:type="dxa"/>
              <w:right w:w="28" w:type="dxa"/>
            </w:tcMar>
            <w:hideMark/>
          </w:tcPr>
          <w:p w14:paraId="56223BE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7A614E8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188</w:t>
            </w:r>
          </w:p>
        </w:tc>
        <w:tc>
          <w:tcPr>
            <w:tcW w:w="828" w:type="dxa"/>
            <w:noWrap/>
            <w:tcMar>
              <w:left w:w="28" w:type="dxa"/>
              <w:right w:w="28" w:type="dxa"/>
            </w:tcMar>
            <w:hideMark/>
          </w:tcPr>
          <w:p w14:paraId="020E9F0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251</w:t>
            </w:r>
          </w:p>
        </w:tc>
        <w:tc>
          <w:tcPr>
            <w:tcW w:w="828" w:type="dxa"/>
            <w:noWrap/>
            <w:tcMar>
              <w:left w:w="28" w:type="dxa"/>
              <w:right w:w="28" w:type="dxa"/>
            </w:tcMar>
            <w:hideMark/>
          </w:tcPr>
          <w:p w14:paraId="05F7D7D7"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713" w:type="dxa"/>
            <w:noWrap/>
            <w:tcMar>
              <w:left w:w="28" w:type="dxa"/>
              <w:right w:w="28" w:type="dxa"/>
            </w:tcMar>
            <w:hideMark/>
          </w:tcPr>
          <w:p w14:paraId="1020161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w:t>
            </w:r>
          </w:p>
        </w:tc>
        <w:tc>
          <w:tcPr>
            <w:tcW w:w="828" w:type="dxa"/>
            <w:noWrap/>
            <w:tcMar>
              <w:left w:w="28" w:type="dxa"/>
              <w:right w:w="28" w:type="dxa"/>
            </w:tcMar>
            <w:hideMark/>
          </w:tcPr>
          <w:p w14:paraId="39FC7006"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44</w:t>
            </w:r>
          </w:p>
        </w:tc>
        <w:tc>
          <w:tcPr>
            <w:tcW w:w="713" w:type="dxa"/>
            <w:noWrap/>
            <w:tcMar>
              <w:left w:w="28" w:type="dxa"/>
              <w:right w:w="28" w:type="dxa"/>
            </w:tcMar>
            <w:hideMark/>
          </w:tcPr>
          <w:p w14:paraId="2462748E"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94</w:t>
            </w:r>
          </w:p>
        </w:tc>
        <w:tc>
          <w:tcPr>
            <w:tcW w:w="972" w:type="dxa"/>
            <w:noWrap/>
            <w:tcMar>
              <w:left w:w="28" w:type="dxa"/>
              <w:right w:w="28" w:type="dxa"/>
            </w:tcMar>
            <w:hideMark/>
          </w:tcPr>
          <w:p w14:paraId="701E29A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4.308</w:t>
            </w:r>
          </w:p>
        </w:tc>
      </w:tr>
      <w:tr w:rsidR="00B01057" w:rsidRPr="00B357F4" w14:paraId="25745AC2"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54221318"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SZ2</w:t>
            </w:r>
          </w:p>
        </w:tc>
        <w:tc>
          <w:tcPr>
            <w:tcW w:w="960" w:type="dxa"/>
            <w:noWrap/>
            <w:tcMar>
              <w:left w:w="28" w:type="dxa"/>
              <w:right w:w="28" w:type="dxa"/>
            </w:tcMar>
            <w:hideMark/>
          </w:tcPr>
          <w:p w14:paraId="3A436360"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1.263.152</w:t>
            </w:r>
          </w:p>
        </w:tc>
        <w:tc>
          <w:tcPr>
            <w:tcW w:w="864" w:type="dxa"/>
            <w:noWrap/>
            <w:tcMar>
              <w:left w:w="28" w:type="dxa"/>
              <w:right w:w="28" w:type="dxa"/>
            </w:tcMar>
            <w:hideMark/>
          </w:tcPr>
          <w:p w14:paraId="464823A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214.957</w:t>
            </w:r>
          </w:p>
        </w:tc>
        <w:tc>
          <w:tcPr>
            <w:tcW w:w="828" w:type="dxa"/>
            <w:noWrap/>
            <w:tcMar>
              <w:left w:w="28" w:type="dxa"/>
              <w:right w:w="28" w:type="dxa"/>
            </w:tcMar>
            <w:hideMark/>
          </w:tcPr>
          <w:p w14:paraId="588DA0D4"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62.582</w:t>
            </w:r>
          </w:p>
        </w:tc>
        <w:tc>
          <w:tcPr>
            <w:tcW w:w="828" w:type="dxa"/>
            <w:noWrap/>
            <w:tcMar>
              <w:left w:w="28" w:type="dxa"/>
              <w:right w:w="28" w:type="dxa"/>
            </w:tcMar>
            <w:hideMark/>
          </w:tcPr>
          <w:p w14:paraId="4C5FBDF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144.306</w:t>
            </w:r>
          </w:p>
        </w:tc>
        <w:tc>
          <w:tcPr>
            <w:tcW w:w="828" w:type="dxa"/>
            <w:noWrap/>
            <w:tcMar>
              <w:left w:w="28" w:type="dxa"/>
              <w:right w:w="28" w:type="dxa"/>
            </w:tcMar>
            <w:hideMark/>
          </w:tcPr>
          <w:p w14:paraId="10072AC9"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161.629</w:t>
            </w:r>
          </w:p>
        </w:tc>
        <w:tc>
          <w:tcPr>
            <w:tcW w:w="828" w:type="dxa"/>
            <w:noWrap/>
            <w:tcMar>
              <w:left w:w="28" w:type="dxa"/>
              <w:right w:w="28" w:type="dxa"/>
            </w:tcMar>
            <w:hideMark/>
          </w:tcPr>
          <w:p w14:paraId="7E011F2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207.193</w:t>
            </w:r>
          </w:p>
        </w:tc>
        <w:tc>
          <w:tcPr>
            <w:tcW w:w="713" w:type="dxa"/>
            <w:noWrap/>
            <w:tcMar>
              <w:left w:w="28" w:type="dxa"/>
              <w:right w:w="28" w:type="dxa"/>
            </w:tcMar>
            <w:hideMark/>
          </w:tcPr>
          <w:p w14:paraId="0C144B73"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50.606</w:t>
            </w:r>
          </w:p>
        </w:tc>
        <w:tc>
          <w:tcPr>
            <w:tcW w:w="828" w:type="dxa"/>
            <w:noWrap/>
            <w:tcMar>
              <w:left w:w="28" w:type="dxa"/>
              <w:right w:w="28" w:type="dxa"/>
            </w:tcMar>
            <w:hideMark/>
          </w:tcPr>
          <w:p w14:paraId="019F2411"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54.182</w:t>
            </w:r>
          </w:p>
        </w:tc>
        <w:tc>
          <w:tcPr>
            <w:tcW w:w="713" w:type="dxa"/>
            <w:noWrap/>
            <w:tcMar>
              <w:left w:w="28" w:type="dxa"/>
              <w:right w:w="28" w:type="dxa"/>
            </w:tcMar>
            <w:hideMark/>
          </w:tcPr>
          <w:p w14:paraId="513756D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26.272</w:t>
            </w:r>
          </w:p>
        </w:tc>
        <w:tc>
          <w:tcPr>
            <w:tcW w:w="972" w:type="dxa"/>
            <w:noWrap/>
            <w:tcMar>
              <w:left w:w="28" w:type="dxa"/>
              <w:right w:w="28" w:type="dxa"/>
            </w:tcMar>
            <w:hideMark/>
          </w:tcPr>
          <w:p w14:paraId="530C99C7"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341.426</w:t>
            </w:r>
          </w:p>
        </w:tc>
      </w:tr>
      <w:tr w:rsidR="00B01057" w:rsidRPr="00B357F4" w14:paraId="351EC69F"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BCA9ACA"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NSZ1</w:t>
            </w:r>
          </w:p>
        </w:tc>
        <w:tc>
          <w:tcPr>
            <w:tcW w:w="960" w:type="dxa"/>
            <w:noWrap/>
            <w:tcMar>
              <w:left w:w="28" w:type="dxa"/>
              <w:right w:w="28" w:type="dxa"/>
            </w:tcMar>
            <w:hideMark/>
          </w:tcPr>
          <w:p w14:paraId="26A1412E"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4.358.047</w:t>
            </w:r>
          </w:p>
        </w:tc>
        <w:tc>
          <w:tcPr>
            <w:tcW w:w="864" w:type="dxa"/>
            <w:noWrap/>
            <w:tcMar>
              <w:left w:w="28" w:type="dxa"/>
              <w:right w:w="28" w:type="dxa"/>
            </w:tcMar>
            <w:hideMark/>
          </w:tcPr>
          <w:p w14:paraId="134E36B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977.266</w:t>
            </w:r>
          </w:p>
        </w:tc>
        <w:tc>
          <w:tcPr>
            <w:tcW w:w="828" w:type="dxa"/>
            <w:noWrap/>
            <w:tcMar>
              <w:left w:w="28" w:type="dxa"/>
              <w:right w:w="28" w:type="dxa"/>
            </w:tcMar>
            <w:hideMark/>
          </w:tcPr>
          <w:p w14:paraId="3A94C186"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267.518</w:t>
            </w:r>
          </w:p>
        </w:tc>
        <w:tc>
          <w:tcPr>
            <w:tcW w:w="828" w:type="dxa"/>
            <w:noWrap/>
            <w:tcMar>
              <w:left w:w="28" w:type="dxa"/>
              <w:right w:w="28" w:type="dxa"/>
            </w:tcMar>
            <w:hideMark/>
          </w:tcPr>
          <w:p w14:paraId="77D1055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253.651</w:t>
            </w:r>
          </w:p>
        </w:tc>
        <w:tc>
          <w:tcPr>
            <w:tcW w:w="828" w:type="dxa"/>
            <w:noWrap/>
            <w:tcMar>
              <w:left w:w="28" w:type="dxa"/>
              <w:right w:w="28" w:type="dxa"/>
            </w:tcMar>
            <w:hideMark/>
          </w:tcPr>
          <w:p w14:paraId="28C8099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358.989</w:t>
            </w:r>
          </w:p>
        </w:tc>
        <w:tc>
          <w:tcPr>
            <w:tcW w:w="828" w:type="dxa"/>
            <w:noWrap/>
            <w:tcMar>
              <w:left w:w="28" w:type="dxa"/>
              <w:right w:w="28" w:type="dxa"/>
            </w:tcMar>
            <w:hideMark/>
          </w:tcPr>
          <w:p w14:paraId="1D24DE4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255.999</w:t>
            </w:r>
          </w:p>
        </w:tc>
        <w:tc>
          <w:tcPr>
            <w:tcW w:w="713" w:type="dxa"/>
            <w:noWrap/>
            <w:tcMar>
              <w:left w:w="28" w:type="dxa"/>
              <w:right w:w="28" w:type="dxa"/>
            </w:tcMar>
            <w:hideMark/>
          </w:tcPr>
          <w:p w14:paraId="2A6FAC9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157.236</w:t>
            </w:r>
          </w:p>
        </w:tc>
        <w:tc>
          <w:tcPr>
            <w:tcW w:w="828" w:type="dxa"/>
            <w:noWrap/>
            <w:tcMar>
              <w:left w:w="28" w:type="dxa"/>
              <w:right w:w="28" w:type="dxa"/>
            </w:tcMar>
            <w:hideMark/>
          </w:tcPr>
          <w:p w14:paraId="193C3D06"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174.780</w:t>
            </w:r>
          </w:p>
        </w:tc>
        <w:tc>
          <w:tcPr>
            <w:tcW w:w="713" w:type="dxa"/>
            <w:noWrap/>
            <w:tcMar>
              <w:left w:w="28" w:type="dxa"/>
              <w:right w:w="28" w:type="dxa"/>
            </w:tcMar>
            <w:hideMark/>
          </w:tcPr>
          <w:p w14:paraId="36FDDCCE"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42.142</w:t>
            </w:r>
          </w:p>
        </w:tc>
        <w:tc>
          <w:tcPr>
            <w:tcW w:w="972" w:type="dxa"/>
            <w:noWrap/>
            <w:tcMar>
              <w:left w:w="28" w:type="dxa"/>
              <w:right w:w="28" w:type="dxa"/>
            </w:tcMar>
            <w:hideMark/>
          </w:tcPr>
          <w:p w14:paraId="440CAB9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1.870.466</w:t>
            </w:r>
          </w:p>
        </w:tc>
      </w:tr>
      <w:tr w:rsidR="00B01057" w:rsidRPr="00B357F4" w14:paraId="3982C5BE"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8B69FA5"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NSZ2</w:t>
            </w:r>
          </w:p>
        </w:tc>
        <w:tc>
          <w:tcPr>
            <w:tcW w:w="960" w:type="dxa"/>
            <w:noWrap/>
            <w:tcMar>
              <w:left w:w="28" w:type="dxa"/>
              <w:right w:w="28" w:type="dxa"/>
            </w:tcMar>
            <w:hideMark/>
          </w:tcPr>
          <w:p w14:paraId="11176DA3"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6.505.629</w:t>
            </w:r>
          </w:p>
        </w:tc>
        <w:tc>
          <w:tcPr>
            <w:tcW w:w="864" w:type="dxa"/>
            <w:noWrap/>
            <w:tcMar>
              <w:left w:w="28" w:type="dxa"/>
              <w:right w:w="28" w:type="dxa"/>
            </w:tcMar>
            <w:hideMark/>
          </w:tcPr>
          <w:p w14:paraId="4AD5C0E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1.275.959</w:t>
            </w:r>
          </w:p>
        </w:tc>
        <w:tc>
          <w:tcPr>
            <w:tcW w:w="828" w:type="dxa"/>
            <w:noWrap/>
            <w:tcMar>
              <w:left w:w="28" w:type="dxa"/>
              <w:right w:w="28" w:type="dxa"/>
            </w:tcMar>
            <w:hideMark/>
          </w:tcPr>
          <w:p w14:paraId="05558090"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630.027</w:t>
            </w:r>
          </w:p>
        </w:tc>
        <w:tc>
          <w:tcPr>
            <w:tcW w:w="828" w:type="dxa"/>
            <w:noWrap/>
            <w:tcMar>
              <w:left w:w="28" w:type="dxa"/>
              <w:right w:w="28" w:type="dxa"/>
            </w:tcMar>
            <w:hideMark/>
          </w:tcPr>
          <w:p w14:paraId="3C31BB5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875.762</w:t>
            </w:r>
          </w:p>
        </w:tc>
        <w:tc>
          <w:tcPr>
            <w:tcW w:w="828" w:type="dxa"/>
            <w:noWrap/>
            <w:tcMar>
              <w:left w:w="28" w:type="dxa"/>
              <w:right w:w="28" w:type="dxa"/>
            </w:tcMar>
            <w:hideMark/>
          </w:tcPr>
          <w:p w14:paraId="5AED378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1.028.385</w:t>
            </w:r>
          </w:p>
        </w:tc>
        <w:tc>
          <w:tcPr>
            <w:tcW w:w="828" w:type="dxa"/>
            <w:noWrap/>
            <w:tcMar>
              <w:left w:w="28" w:type="dxa"/>
              <w:right w:w="28" w:type="dxa"/>
            </w:tcMar>
            <w:hideMark/>
          </w:tcPr>
          <w:p w14:paraId="5977E2A0"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658.072</w:t>
            </w:r>
          </w:p>
        </w:tc>
        <w:tc>
          <w:tcPr>
            <w:tcW w:w="713" w:type="dxa"/>
            <w:noWrap/>
            <w:tcMar>
              <w:left w:w="28" w:type="dxa"/>
              <w:right w:w="28" w:type="dxa"/>
            </w:tcMar>
            <w:hideMark/>
          </w:tcPr>
          <w:p w14:paraId="673DF0E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295.187</w:t>
            </w:r>
          </w:p>
        </w:tc>
        <w:tc>
          <w:tcPr>
            <w:tcW w:w="828" w:type="dxa"/>
            <w:noWrap/>
            <w:tcMar>
              <w:left w:w="28" w:type="dxa"/>
              <w:right w:w="28" w:type="dxa"/>
            </w:tcMar>
            <w:hideMark/>
          </w:tcPr>
          <w:p w14:paraId="4E4F095C"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379.063</w:t>
            </w:r>
          </w:p>
        </w:tc>
        <w:tc>
          <w:tcPr>
            <w:tcW w:w="713" w:type="dxa"/>
            <w:noWrap/>
            <w:tcMar>
              <w:left w:w="28" w:type="dxa"/>
              <w:right w:w="28" w:type="dxa"/>
            </w:tcMar>
            <w:hideMark/>
          </w:tcPr>
          <w:p w14:paraId="4926E08B"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116.896</w:t>
            </w:r>
          </w:p>
        </w:tc>
        <w:tc>
          <w:tcPr>
            <w:tcW w:w="972" w:type="dxa"/>
            <w:noWrap/>
            <w:tcMar>
              <w:left w:w="28" w:type="dxa"/>
              <w:right w:w="28" w:type="dxa"/>
            </w:tcMar>
            <w:hideMark/>
          </w:tcPr>
          <w:p w14:paraId="73811154"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1.246.279</w:t>
            </w:r>
          </w:p>
        </w:tc>
      </w:tr>
      <w:tr w:rsidR="00B01057" w:rsidRPr="00B357F4" w14:paraId="45898BF4"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68E8D82C"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NSZ3</w:t>
            </w:r>
          </w:p>
        </w:tc>
        <w:tc>
          <w:tcPr>
            <w:tcW w:w="960" w:type="dxa"/>
            <w:noWrap/>
            <w:tcMar>
              <w:left w:w="28" w:type="dxa"/>
              <w:right w:w="28" w:type="dxa"/>
            </w:tcMar>
            <w:hideMark/>
          </w:tcPr>
          <w:p w14:paraId="47B9FB2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2.241.757</w:t>
            </w:r>
          </w:p>
        </w:tc>
        <w:tc>
          <w:tcPr>
            <w:tcW w:w="864" w:type="dxa"/>
            <w:noWrap/>
            <w:tcMar>
              <w:left w:w="28" w:type="dxa"/>
              <w:right w:w="28" w:type="dxa"/>
            </w:tcMar>
            <w:hideMark/>
          </w:tcPr>
          <w:p w14:paraId="44E4177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531.136</w:t>
            </w:r>
          </w:p>
        </w:tc>
        <w:tc>
          <w:tcPr>
            <w:tcW w:w="828" w:type="dxa"/>
            <w:noWrap/>
            <w:tcMar>
              <w:left w:w="28" w:type="dxa"/>
              <w:right w:w="28" w:type="dxa"/>
            </w:tcMar>
            <w:hideMark/>
          </w:tcPr>
          <w:p w14:paraId="7D64774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158.031</w:t>
            </w:r>
          </w:p>
        </w:tc>
        <w:tc>
          <w:tcPr>
            <w:tcW w:w="828" w:type="dxa"/>
            <w:noWrap/>
            <w:tcMar>
              <w:left w:w="28" w:type="dxa"/>
              <w:right w:w="28" w:type="dxa"/>
            </w:tcMar>
            <w:hideMark/>
          </w:tcPr>
          <w:p w14:paraId="1241039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208.975</w:t>
            </w:r>
          </w:p>
        </w:tc>
        <w:tc>
          <w:tcPr>
            <w:tcW w:w="828" w:type="dxa"/>
            <w:noWrap/>
            <w:tcMar>
              <w:left w:w="28" w:type="dxa"/>
              <w:right w:w="28" w:type="dxa"/>
            </w:tcMar>
            <w:hideMark/>
          </w:tcPr>
          <w:p w14:paraId="63326F4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333.889</w:t>
            </w:r>
          </w:p>
        </w:tc>
        <w:tc>
          <w:tcPr>
            <w:tcW w:w="828" w:type="dxa"/>
            <w:noWrap/>
            <w:tcMar>
              <w:left w:w="28" w:type="dxa"/>
              <w:right w:w="28" w:type="dxa"/>
            </w:tcMar>
            <w:hideMark/>
          </w:tcPr>
          <w:p w14:paraId="20E3A09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323.327</w:t>
            </w:r>
          </w:p>
        </w:tc>
        <w:tc>
          <w:tcPr>
            <w:tcW w:w="713" w:type="dxa"/>
            <w:noWrap/>
            <w:tcMar>
              <w:left w:w="28" w:type="dxa"/>
              <w:right w:w="28" w:type="dxa"/>
            </w:tcMar>
            <w:hideMark/>
          </w:tcPr>
          <w:p w14:paraId="57951B6C"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41.895</w:t>
            </w:r>
          </w:p>
        </w:tc>
        <w:tc>
          <w:tcPr>
            <w:tcW w:w="828" w:type="dxa"/>
            <w:noWrap/>
            <w:tcMar>
              <w:left w:w="28" w:type="dxa"/>
              <w:right w:w="28" w:type="dxa"/>
            </w:tcMar>
            <w:hideMark/>
          </w:tcPr>
          <w:p w14:paraId="0E49D22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105.790</w:t>
            </w:r>
          </w:p>
        </w:tc>
        <w:tc>
          <w:tcPr>
            <w:tcW w:w="713" w:type="dxa"/>
            <w:noWrap/>
            <w:tcMar>
              <w:left w:w="28" w:type="dxa"/>
              <w:right w:w="28" w:type="dxa"/>
            </w:tcMar>
            <w:hideMark/>
          </w:tcPr>
          <w:p w14:paraId="41100CC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5.976</w:t>
            </w:r>
          </w:p>
        </w:tc>
        <w:tc>
          <w:tcPr>
            <w:tcW w:w="972" w:type="dxa"/>
            <w:noWrap/>
            <w:tcMar>
              <w:left w:w="28" w:type="dxa"/>
              <w:right w:w="28" w:type="dxa"/>
            </w:tcMar>
            <w:hideMark/>
          </w:tcPr>
          <w:p w14:paraId="1FC78D6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532.738</w:t>
            </w:r>
          </w:p>
        </w:tc>
      </w:tr>
      <w:tr w:rsidR="00B01057" w:rsidRPr="00B357F4" w14:paraId="54F233DB"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48CAE50F"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NSZ4</w:t>
            </w:r>
          </w:p>
        </w:tc>
        <w:tc>
          <w:tcPr>
            <w:tcW w:w="960" w:type="dxa"/>
            <w:noWrap/>
            <w:tcMar>
              <w:left w:w="28" w:type="dxa"/>
              <w:right w:w="28" w:type="dxa"/>
            </w:tcMar>
            <w:hideMark/>
          </w:tcPr>
          <w:p w14:paraId="2AC24CF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115.009</w:t>
            </w:r>
          </w:p>
        </w:tc>
        <w:tc>
          <w:tcPr>
            <w:tcW w:w="864" w:type="dxa"/>
            <w:noWrap/>
            <w:tcMar>
              <w:left w:w="28" w:type="dxa"/>
              <w:right w:w="28" w:type="dxa"/>
            </w:tcMar>
            <w:hideMark/>
          </w:tcPr>
          <w:p w14:paraId="7B1045E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1.141</w:t>
            </w:r>
          </w:p>
        </w:tc>
        <w:tc>
          <w:tcPr>
            <w:tcW w:w="828" w:type="dxa"/>
            <w:noWrap/>
            <w:tcMar>
              <w:left w:w="28" w:type="dxa"/>
              <w:right w:w="28" w:type="dxa"/>
            </w:tcMar>
            <w:hideMark/>
          </w:tcPr>
          <w:p w14:paraId="3A56670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5.859</w:t>
            </w:r>
          </w:p>
        </w:tc>
        <w:tc>
          <w:tcPr>
            <w:tcW w:w="828" w:type="dxa"/>
            <w:noWrap/>
            <w:tcMar>
              <w:left w:w="28" w:type="dxa"/>
              <w:right w:w="28" w:type="dxa"/>
            </w:tcMar>
            <w:hideMark/>
          </w:tcPr>
          <w:p w14:paraId="1FBBC66C"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01B7E44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06BCE60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46.556</w:t>
            </w:r>
          </w:p>
        </w:tc>
        <w:tc>
          <w:tcPr>
            <w:tcW w:w="713" w:type="dxa"/>
            <w:noWrap/>
            <w:tcMar>
              <w:left w:w="28" w:type="dxa"/>
              <w:right w:w="28" w:type="dxa"/>
            </w:tcMar>
            <w:hideMark/>
          </w:tcPr>
          <w:p w14:paraId="17D1BF3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64A25B1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713" w:type="dxa"/>
            <w:noWrap/>
            <w:tcMar>
              <w:left w:w="28" w:type="dxa"/>
              <w:right w:w="28" w:type="dxa"/>
            </w:tcMar>
            <w:hideMark/>
          </w:tcPr>
          <w:p w14:paraId="438C9CE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697</w:t>
            </w:r>
          </w:p>
        </w:tc>
        <w:tc>
          <w:tcPr>
            <w:tcW w:w="972" w:type="dxa"/>
            <w:noWrap/>
            <w:tcMar>
              <w:left w:w="28" w:type="dxa"/>
              <w:right w:w="28" w:type="dxa"/>
            </w:tcMar>
            <w:hideMark/>
          </w:tcPr>
          <w:p w14:paraId="046C973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60.756</w:t>
            </w:r>
          </w:p>
        </w:tc>
      </w:tr>
      <w:tr w:rsidR="00B01057" w:rsidRPr="00B357F4" w14:paraId="78AC4229"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6ABC43B4"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NSZ5</w:t>
            </w:r>
          </w:p>
        </w:tc>
        <w:tc>
          <w:tcPr>
            <w:tcW w:w="960" w:type="dxa"/>
            <w:noWrap/>
            <w:tcMar>
              <w:left w:w="28" w:type="dxa"/>
              <w:right w:w="28" w:type="dxa"/>
            </w:tcMar>
            <w:hideMark/>
          </w:tcPr>
          <w:p w14:paraId="537E46DA"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758.495</w:t>
            </w:r>
          </w:p>
        </w:tc>
        <w:tc>
          <w:tcPr>
            <w:tcW w:w="864" w:type="dxa"/>
            <w:noWrap/>
            <w:tcMar>
              <w:left w:w="28" w:type="dxa"/>
              <w:right w:w="28" w:type="dxa"/>
            </w:tcMar>
            <w:hideMark/>
          </w:tcPr>
          <w:p w14:paraId="2E70F9B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184.807</w:t>
            </w:r>
          </w:p>
        </w:tc>
        <w:tc>
          <w:tcPr>
            <w:tcW w:w="828" w:type="dxa"/>
            <w:noWrap/>
            <w:tcMar>
              <w:left w:w="28" w:type="dxa"/>
              <w:right w:w="28" w:type="dxa"/>
            </w:tcMar>
            <w:hideMark/>
          </w:tcPr>
          <w:p w14:paraId="3F28466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25.714</w:t>
            </w:r>
          </w:p>
        </w:tc>
        <w:tc>
          <w:tcPr>
            <w:tcW w:w="828" w:type="dxa"/>
            <w:noWrap/>
            <w:tcMar>
              <w:left w:w="28" w:type="dxa"/>
              <w:right w:w="28" w:type="dxa"/>
            </w:tcMar>
            <w:hideMark/>
          </w:tcPr>
          <w:p w14:paraId="0722D437"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28.102</w:t>
            </w:r>
          </w:p>
        </w:tc>
        <w:tc>
          <w:tcPr>
            <w:tcW w:w="828" w:type="dxa"/>
            <w:noWrap/>
            <w:tcMar>
              <w:left w:w="28" w:type="dxa"/>
              <w:right w:w="28" w:type="dxa"/>
            </w:tcMar>
            <w:hideMark/>
          </w:tcPr>
          <w:p w14:paraId="5E33E4D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51.438</w:t>
            </w:r>
          </w:p>
        </w:tc>
        <w:tc>
          <w:tcPr>
            <w:tcW w:w="828" w:type="dxa"/>
            <w:noWrap/>
            <w:tcMar>
              <w:left w:w="28" w:type="dxa"/>
              <w:right w:w="28" w:type="dxa"/>
            </w:tcMar>
            <w:hideMark/>
          </w:tcPr>
          <w:p w14:paraId="07DE37E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33.414</w:t>
            </w:r>
          </w:p>
        </w:tc>
        <w:tc>
          <w:tcPr>
            <w:tcW w:w="713" w:type="dxa"/>
            <w:noWrap/>
            <w:tcMar>
              <w:left w:w="28" w:type="dxa"/>
              <w:right w:w="28" w:type="dxa"/>
            </w:tcMar>
            <w:hideMark/>
          </w:tcPr>
          <w:p w14:paraId="7312D30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63.334</w:t>
            </w:r>
          </w:p>
        </w:tc>
        <w:tc>
          <w:tcPr>
            <w:tcW w:w="828" w:type="dxa"/>
            <w:noWrap/>
            <w:tcMar>
              <w:left w:w="28" w:type="dxa"/>
              <w:right w:w="28" w:type="dxa"/>
            </w:tcMar>
            <w:hideMark/>
          </w:tcPr>
          <w:p w14:paraId="3435E1D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53.449</w:t>
            </w:r>
          </w:p>
        </w:tc>
        <w:tc>
          <w:tcPr>
            <w:tcW w:w="713" w:type="dxa"/>
            <w:noWrap/>
            <w:tcMar>
              <w:left w:w="28" w:type="dxa"/>
              <w:right w:w="28" w:type="dxa"/>
            </w:tcMar>
            <w:hideMark/>
          </w:tcPr>
          <w:p w14:paraId="1227027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54.955</w:t>
            </w:r>
          </w:p>
        </w:tc>
        <w:tc>
          <w:tcPr>
            <w:tcW w:w="972" w:type="dxa"/>
            <w:noWrap/>
            <w:tcMar>
              <w:left w:w="28" w:type="dxa"/>
              <w:right w:w="28" w:type="dxa"/>
            </w:tcMar>
            <w:hideMark/>
          </w:tcPr>
          <w:p w14:paraId="7D95D8D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263.283</w:t>
            </w:r>
          </w:p>
        </w:tc>
      </w:tr>
      <w:tr w:rsidR="00B01057" w:rsidRPr="00B357F4" w14:paraId="3A663FCD"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0373168F"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NSZ6</w:t>
            </w:r>
          </w:p>
        </w:tc>
        <w:tc>
          <w:tcPr>
            <w:tcW w:w="960" w:type="dxa"/>
            <w:noWrap/>
            <w:tcMar>
              <w:left w:w="28" w:type="dxa"/>
              <w:right w:w="28" w:type="dxa"/>
            </w:tcMar>
            <w:hideMark/>
          </w:tcPr>
          <w:p w14:paraId="7135229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767.140</w:t>
            </w:r>
          </w:p>
        </w:tc>
        <w:tc>
          <w:tcPr>
            <w:tcW w:w="864" w:type="dxa"/>
            <w:noWrap/>
            <w:tcMar>
              <w:left w:w="28" w:type="dxa"/>
              <w:right w:w="28" w:type="dxa"/>
            </w:tcMar>
            <w:hideMark/>
          </w:tcPr>
          <w:p w14:paraId="1E7C24D7"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21.262</w:t>
            </w:r>
          </w:p>
        </w:tc>
        <w:tc>
          <w:tcPr>
            <w:tcW w:w="828" w:type="dxa"/>
            <w:noWrap/>
            <w:tcMar>
              <w:left w:w="28" w:type="dxa"/>
              <w:right w:w="28" w:type="dxa"/>
            </w:tcMar>
            <w:hideMark/>
          </w:tcPr>
          <w:p w14:paraId="1B9E11D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16.926</w:t>
            </w:r>
          </w:p>
        </w:tc>
        <w:tc>
          <w:tcPr>
            <w:tcW w:w="828" w:type="dxa"/>
            <w:noWrap/>
            <w:tcMar>
              <w:left w:w="28" w:type="dxa"/>
              <w:right w:w="28" w:type="dxa"/>
            </w:tcMar>
            <w:hideMark/>
          </w:tcPr>
          <w:p w14:paraId="1A20293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10.876</w:t>
            </w:r>
          </w:p>
        </w:tc>
        <w:tc>
          <w:tcPr>
            <w:tcW w:w="828" w:type="dxa"/>
            <w:noWrap/>
            <w:tcMar>
              <w:left w:w="28" w:type="dxa"/>
              <w:right w:w="28" w:type="dxa"/>
            </w:tcMar>
            <w:hideMark/>
          </w:tcPr>
          <w:p w14:paraId="5EDB272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101.049</w:t>
            </w:r>
          </w:p>
        </w:tc>
        <w:tc>
          <w:tcPr>
            <w:tcW w:w="828" w:type="dxa"/>
            <w:noWrap/>
            <w:tcMar>
              <w:left w:w="28" w:type="dxa"/>
              <w:right w:w="28" w:type="dxa"/>
            </w:tcMar>
            <w:hideMark/>
          </w:tcPr>
          <w:p w14:paraId="187B12F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58.718</w:t>
            </w:r>
          </w:p>
        </w:tc>
        <w:tc>
          <w:tcPr>
            <w:tcW w:w="713" w:type="dxa"/>
            <w:noWrap/>
            <w:tcMar>
              <w:left w:w="28" w:type="dxa"/>
              <w:right w:w="28" w:type="dxa"/>
            </w:tcMar>
            <w:hideMark/>
          </w:tcPr>
          <w:p w14:paraId="44943061"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35.288</w:t>
            </w:r>
          </w:p>
        </w:tc>
        <w:tc>
          <w:tcPr>
            <w:tcW w:w="828" w:type="dxa"/>
            <w:noWrap/>
            <w:tcMar>
              <w:left w:w="28" w:type="dxa"/>
              <w:right w:w="28" w:type="dxa"/>
            </w:tcMar>
            <w:hideMark/>
          </w:tcPr>
          <w:p w14:paraId="0410C31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248.926</w:t>
            </w:r>
          </w:p>
        </w:tc>
        <w:tc>
          <w:tcPr>
            <w:tcW w:w="713" w:type="dxa"/>
            <w:noWrap/>
            <w:tcMar>
              <w:left w:w="28" w:type="dxa"/>
              <w:right w:w="28" w:type="dxa"/>
            </w:tcMar>
            <w:hideMark/>
          </w:tcPr>
          <w:p w14:paraId="121A337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34.863</w:t>
            </w:r>
          </w:p>
        </w:tc>
        <w:tc>
          <w:tcPr>
            <w:tcW w:w="972" w:type="dxa"/>
            <w:noWrap/>
            <w:tcMar>
              <w:left w:w="28" w:type="dxa"/>
              <w:right w:w="28" w:type="dxa"/>
            </w:tcMar>
            <w:hideMark/>
          </w:tcPr>
          <w:p w14:paraId="1235F0D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239.231</w:t>
            </w:r>
          </w:p>
        </w:tc>
      </w:tr>
      <w:tr w:rsidR="00B01057" w:rsidRPr="00B357F4" w14:paraId="7E327187"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FAA7C6D"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NSZ7</w:t>
            </w:r>
          </w:p>
        </w:tc>
        <w:tc>
          <w:tcPr>
            <w:tcW w:w="960" w:type="dxa"/>
            <w:noWrap/>
            <w:tcMar>
              <w:left w:w="28" w:type="dxa"/>
              <w:right w:w="28" w:type="dxa"/>
            </w:tcMar>
            <w:hideMark/>
          </w:tcPr>
          <w:p w14:paraId="4A74637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38.939</w:t>
            </w:r>
          </w:p>
        </w:tc>
        <w:tc>
          <w:tcPr>
            <w:tcW w:w="864" w:type="dxa"/>
            <w:noWrap/>
            <w:tcMar>
              <w:left w:w="28" w:type="dxa"/>
              <w:right w:w="28" w:type="dxa"/>
            </w:tcMar>
            <w:hideMark/>
          </w:tcPr>
          <w:p w14:paraId="6E18045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3.828</w:t>
            </w:r>
          </w:p>
        </w:tc>
        <w:tc>
          <w:tcPr>
            <w:tcW w:w="828" w:type="dxa"/>
            <w:noWrap/>
            <w:tcMar>
              <w:left w:w="28" w:type="dxa"/>
              <w:right w:w="28" w:type="dxa"/>
            </w:tcMar>
            <w:hideMark/>
          </w:tcPr>
          <w:p w14:paraId="2A6CA94C"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1.658</w:t>
            </w:r>
          </w:p>
        </w:tc>
        <w:tc>
          <w:tcPr>
            <w:tcW w:w="828" w:type="dxa"/>
            <w:noWrap/>
            <w:tcMar>
              <w:left w:w="28" w:type="dxa"/>
              <w:right w:w="28" w:type="dxa"/>
            </w:tcMar>
            <w:hideMark/>
          </w:tcPr>
          <w:p w14:paraId="25A79AF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1.290</w:t>
            </w:r>
          </w:p>
        </w:tc>
        <w:tc>
          <w:tcPr>
            <w:tcW w:w="828" w:type="dxa"/>
            <w:noWrap/>
            <w:tcMar>
              <w:left w:w="28" w:type="dxa"/>
              <w:right w:w="28" w:type="dxa"/>
            </w:tcMar>
            <w:hideMark/>
          </w:tcPr>
          <w:p w14:paraId="29F0746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2.241</w:t>
            </w:r>
          </w:p>
        </w:tc>
        <w:tc>
          <w:tcPr>
            <w:tcW w:w="828" w:type="dxa"/>
            <w:noWrap/>
            <w:tcMar>
              <w:left w:w="28" w:type="dxa"/>
              <w:right w:w="28" w:type="dxa"/>
            </w:tcMar>
            <w:hideMark/>
          </w:tcPr>
          <w:p w14:paraId="08ADA31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1.856</w:t>
            </w:r>
          </w:p>
        </w:tc>
        <w:tc>
          <w:tcPr>
            <w:tcW w:w="713" w:type="dxa"/>
            <w:noWrap/>
            <w:tcMar>
              <w:left w:w="28" w:type="dxa"/>
              <w:right w:w="28" w:type="dxa"/>
            </w:tcMar>
            <w:hideMark/>
          </w:tcPr>
          <w:p w14:paraId="0856EB9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87</w:t>
            </w:r>
          </w:p>
        </w:tc>
        <w:tc>
          <w:tcPr>
            <w:tcW w:w="828" w:type="dxa"/>
            <w:noWrap/>
            <w:tcMar>
              <w:left w:w="28" w:type="dxa"/>
              <w:right w:w="28" w:type="dxa"/>
            </w:tcMar>
            <w:hideMark/>
          </w:tcPr>
          <w:p w14:paraId="099812B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3.430</w:t>
            </w:r>
          </w:p>
        </w:tc>
        <w:tc>
          <w:tcPr>
            <w:tcW w:w="713" w:type="dxa"/>
            <w:noWrap/>
            <w:tcMar>
              <w:left w:w="28" w:type="dxa"/>
              <w:right w:w="28" w:type="dxa"/>
            </w:tcMar>
            <w:hideMark/>
          </w:tcPr>
          <w:p w14:paraId="2A11AAD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972" w:type="dxa"/>
            <w:noWrap/>
            <w:tcMar>
              <w:left w:w="28" w:type="dxa"/>
              <w:right w:w="28" w:type="dxa"/>
            </w:tcMar>
            <w:hideMark/>
          </w:tcPr>
          <w:p w14:paraId="02D3460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24.549</w:t>
            </w:r>
          </w:p>
        </w:tc>
      </w:tr>
      <w:tr w:rsidR="00B01057" w:rsidRPr="00B357F4" w14:paraId="5D3054B6"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03A32F7"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NSZ8</w:t>
            </w:r>
          </w:p>
        </w:tc>
        <w:tc>
          <w:tcPr>
            <w:tcW w:w="960" w:type="dxa"/>
            <w:noWrap/>
            <w:tcMar>
              <w:left w:w="28" w:type="dxa"/>
              <w:right w:w="28" w:type="dxa"/>
            </w:tcMar>
            <w:hideMark/>
          </w:tcPr>
          <w:p w14:paraId="03C2264B"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45.254</w:t>
            </w:r>
          </w:p>
        </w:tc>
        <w:tc>
          <w:tcPr>
            <w:tcW w:w="864" w:type="dxa"/>
            <w:noWrap/>
            <w:tcMar>
              <w:left w:w="28" w:type="dxa"/>
              <w:right w:w="28" w:type="dxa"/>
            </w:tcMar>
            <w:hideMark/>
          </w:tcPr>
          <w:p w14:paraId="4A43C8C3"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1.300</w:t>
            </w:r>
          </w:p>
        </w:tc>
        <w:tc>
          <w:tcPr>
            <w:tcW w:w="828" w:type="dxa"/>
            <w:noWrap/>
            <w:tcMar>
              <w:left w:w="28" w:type="dxa"/>
              <w:right w:w="28" w:type="dxa"/>
            </w:tcMar>
            <w:hideMark/>
          </w:tcPr>
          <w:p w14:paraId="2579BF8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4AB64E7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267</w:t>
            </w:r>
          </w:p>
        </w:tc>
        <w:tc>
          <w:tcPr>
            <w:tcW w:w="828" w:type="dxa"/>
            <w:noWrap/>
            <w:tcMar>
              <w:left w:w="28" w:type="dxa"/>
              <w:right w:w="28" w:type="dxa"/>
            </w:tcMar>
            <w:hideMark/>
          </w:tcPr>
          <w:p w14:paraId="4EED786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9.228</w:t>
            </w:r>
          </w:p>
        </w:tc>
        <w:tc>
          <w:tcPr>
            <w:tcW w:w="828" w:type="dxa"/>
            <w:noWrap/>
            <w:tcMar>
              <w:left w:w="28" w:type="dxa"/>
              <w:right w:w="28" w:type="dxa"/>
            </w:tcMar>
            <w:hideMark/>
          </w:tcPr>
          <w:p w14:paraId="07302E2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4.940</w:t>
            </w:r>
          </w:p>
        </w:tc>
        <w:tc>
          <w:tcPr>
            <w:tcW w:w="713" w:type="dxa"/>
            <w:noWrap/>
            <w:tcMar>
              <w:left w:w="28" w:type="dxa"/>
              <w:right w:w="28" w:type="dxa"/>
            </w:tcMar>
            <w:hideMark/>
          </w:tcPr>
          <w:p w14:paraId="5E6867BC"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637</w:t>
            </w:r>
          </w:p>
        </w:tc>
        <w:tc>
          <w:tcPr>
            <w:tcW w:w="828" w:type="dxa"/>
            <w:noWrap/>
            <w:tcMar>
              <w:left w:w="28" w:type="dxa"/>
              <w:right w:w="28" w:type="dxa"/>
            </w:tcMar>
            <w:hideMark/>
          </w:tcPr>
          <w:p w14:paraId="66608D0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19.276</w:t>
            </w:r>
          </w:p>
        </w:tc>
        <w:tc>
          <w:tcPr>
            <w:tcW w:w="713" w:type="dxa"/>
            <w:noWrap/>
            <w:tcMar>
              <w:left w:w="28" w:type="dxa"/>
              <w:right w:w="28" w:type="dxa"/>
            </w:tcMar>
            <w:hideMark/>
          </w:tcPr>
          <w:p w14:paraId="210E6D48"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972" w:type="dxa"/>
            <w:noWrap/>
            <w:tcMar>
              <w:left w:w="28" w:type="dxa"/>
              <w:right w:w="28" w:type="dxa"/>
            </w:tcMar>
            <w:hideMark/>
          </w:tcPr>
          <w:p w14:paraId="418317A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9.605</w:t>
            </w:r>
          </w:p>
        </w:tc>
      </w:tr>
      <w:tr w:rsidR="00B01057" w:rsidRPr="00B357F4" w14:paraId="3A343847"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222EB68A" w14:textId="2C6B6EFB" w:rsidR="00C723D9" w:rsidRPr="00B357F4" w:rsidRDefault="0018664C"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ukupno</w:t>
            </w:r>
          </w:p>
        </w:tc>
        <w:tc>
          <w:tcPr>
            <w:tcW w:w="960" w:type="dxa"/>
            <w:noWrap/>
            <w:tcMar>
              <w:left w:w="28" w:type="dxa"/>
              <w:right w:w="28" w:type="dxa"/>
            </w:tcMar>
            <w:hideMark/>
          </w:tcPr>
          <w:p w14:paraId="751D9F9A"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16.099.527</w:t>
            </w:r>
          </w:p>
        </w:tc>
        <w:tc>
          <w:tcPr>
            <w:tcW w:w="864" w:type="dxa"/>
            <w:noWrap/>
            <w:tcMar>
              <w:left w:w="28" w:type="dxa"/>
              <w:right w:w="28" w:type="dxa"/>
            </w:tcMar>
            <w:hideMark/>
          </w:tcPr>
          <w:p w14:paraId="0C80BE2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3.212.823</w:t>
            </w:r>
          </w:p>
        </w:tc>
        <w:tc>
          <w:tcPr>
            <w:tcW w:w="828" w:type="dxa"/>
            <w:noWrap/>
            <w:tcMar>
              <w:left w:w="28" w:type="dxa"/>
              <w:right w:w="28" w:type="dxa"/>
            </w:tcMar>
            <w:hideMark/>
          </w:tcPr>
          <w:p w14:paraId="420A89B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1.168.314</w:t>
            </w:r>
          </w:p>
        </w:tc>
        <w:tc>
          <w:tcPr>
            <w:tcW w:w="828" w:type="dxa"/>
            <w:noWrap/>
            <w:tcMar>
              <w:left w:w="28" w:type="dxa"/>
              <w:right w:w="28" w:type="dxa"/>
            </w:tcMar>
            <w:hideMark/>
          </w:tcPr>
          <w:p w14:paraId="2953401A"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1.523.417</w:t>
            </w:r>
          </w:p>
        </w:tc>
        <w:tc>
          <w:tcPr>
            <w:tcW w:w="828" w:type="dxa"/>
            <w:noWrap/>
            <w:tcMar>
              <w:left w:w="28" w:type="dxa"/>
              <w:right w:w="28" w:type="dxa"/>
            </w:tcMar>
            <w:hideMark/>
          </w:tcPr>
          <w:p w14:paraId="79CEE581"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2.047.099</w:t>
            </w:r>
          </w:p>
        </w:tc>
        <w:tc>
          <w:tcPr>
            <w:tcW w:w="828" w:type="dxa"/>
            <w:noWrap/>
            <w:tcMar>
              <w:left w:w="28" w:type="dxa"/>
              <w:right w:w="28" w:type="dxa"/>
            </w:tcMar>
            <w:hideMark/>
          </w:tcPr>
          <w:p w14:paraId="114791A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1.590.074</w:t>
            </w:r>
          </w:p>
        </w:tc>
        <w:tc>
          <w:tcPr>
            <w:tcW w:w="713" w:type="dxa"/>
            <w:noWrap/>
            <w:tcMar>
              <w:left w:w="28" w:type="dxa"/>
              <w:right w:w="28" w:type="dxa"/>
            </w:tcMar>
            <w:hideMark/>
          </w:tcPr>
          <w:p w14:paraId="01AC97F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644.323</w:t>
            </w:r>
          </w:p>
        </w:tc>
        <w:tc>
          <w:tcPr>
            <w:tcW w:w="828" w:type="dxa"/>
            <w:noWrap/>
            <w:tcMar>
              <w:left w:w="28" w:type="dxa"/>
              <w:right w:w="28" w:type="dxa"/>
            </w:tcMar>
            <w:hideMark/>
          </w:tcPr>
          <w:p w14:paraId="554E3A0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1.038.940</w:t>
            </w:r>
          </w:p>
        </w:tc>
        <w:tc>
          <w:tcPr>
            <w:tcW w:w="713" w:type="dxa"/>
            <w:noWrap/>
            <w:tcMar>
              <w:left w:w="28" w:type="dxa"/>
              <w:right w:w="28" w:type="dxa"/>
            </w:tcMar>
            <w:hideMark/>
          </w:tcPr>
          <w:p w14:paraId="3514852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281.895</w:t>
            </w:r>
          </w:p>
        </w:tc>
        <w:tc>
          <w:tcPr>
            <w:tcW w:w="972" w:type="dxa"/>
            <w:noWrap/>
            <w:tcMar>
              <w:left w:w="28" w:type="dxa"/>
              <w:right w:w="28" w:type="dxa"/>
            </w:tcMar>
            <w:hideMark/>
          </w:tcPr>
          <w:p w14:paraId="6F44B72D"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4.592.642</w:t>
            </w:r>
          </w:p>
        </w:tc>
      </w:tr>
    </w:tbl>
    <w:p w14:paraId="2EE6A438" w14:textId="2E4C3A04" w:rsidR="00E52E5F" w:rsidRPr="00B357F4" w:rsidRDefault="4AFFA283" w:rsidP="00E52E5F">
      <w:pPr>
        <w:pStyle w:val="Opisslike"/>
        <w:keepNext/>
      </w:pPr>
      <w:bookmarkStart w:id="41" w:name="_Toc87949884"/>
      <w:r w:rsidRPr="00B357F4">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3</w:t>
      </w:r>
      <w:r>
        <w:fldChar w:fldCharType="end"/>
      </w:r>
      <w:r w:rsidRPr="003020E6">
        <w:t xml:space="preserve"> Ploština korisne </w:t>
      </w:r>
      <w:r w:rsidRPr="00B357F4">
        <w:t xml:space="preserve"> površina </w:t>
      </w:r>
      <w:r w:rsidR="156B91A2" w:rsidRPr="00B357F4">
        <w:t xml:space="preserve">grijanog dijela </w:t>
      </w:r>
      <w:r w:rsidRPr="00B357F4">
        <w:t>zgrada (Ak</w:t>
      </w:r>
      <w:r w:rsidRPr="00B357F4">
        <w:rPr>
          <w:vertAlign w:val="superscript"/>
        </w:rPr>
        <w:t xml:space="preserve">) </w:t>
      </w:r>
      <w:r w:rsidRPr="00B357F4">
        <w:t>prema namjeni i sektoru (vlasništvu) u m²</w:t>
      </w:r>
      <w:bookmarkEnd w:id="41"/>
    </w:p>
    <w:tbl>
      <w:tblPr>
        <w:tblStyle w:val="Tamnatablicareetke5-isticanje31"/>
        <w:tblW w:w="5000" w:type="pct"/>
        <w:tblLook w:val="04A0" w:firstRow="1" w:lastRow="0" w:firstColumn="1" w:lastColumn="0" w:noHBand="0" w:noVBand="1"/>
      </w:tblPr>
      <w:tblGrid>
        <w:gridCol w:w="1838"/>
        <w:gridCol w:w="2220"/>
        <w:gridCol w:w="1956"/>
        <w:gridCol w:w="1665"/>
        <w:gridCol w:w="1665"/>
      </w:tblGrid>
      <w:tr w:rsidR="00E52E5F" w:rsidRPr="00B357F4" w14:paraId="5F9E680C" w14:textId="77777777" w:rsidTr="00E52E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71CFC94" w14:textId="77777777" w:rsidR="00E52E5F" w:rsidRPr="00B357F4" w:rsidRDefault="00E52E5F" w:rsidP="00E52E5F">
            <w:pPr>
              <w:spacing w:before="0" w:after="0"/>
              <w:jc w:val="left"/>
              <w:rPr>
                <w:rFonts w:ascii="Calibri" w:hAnsi="Calibri" w:cs="Calibri"/>
                <w:color w:val="000000"/>
                <w:sz w:val="22"/>
                <w:szCs w:val="22"/>
                <w:lang w:eastAsia="hr-HR"/>
              </w:rPr>
            </w:pPr>
          </w:p>
        </w:tc>
        <w:tc>
          <w:tcPr>
            <w:tcW w:w="7506" w:type="dxa"/>
            <w:gridSpan w:val="4"/>
            <w:noWrap/>
            <w:hideMark/>
          </w:tcPr>
          <w:p w14:paraId="6CADB8FB" w14:textId="3134A08A" w:rsidR="00E52E5F" w:rsidRPr="00B357F4" w:rsidRDefault="00E52E5F" w:rsidP="00E52E5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sektor</w:t>
            </w:r>
          </w:p>
        </w:tc>
      </w:tr>
      <w:tr w:rsidR="00674E4D" w:rsidRPr="00B357F4" w14:paraId="56149667" w14:textId="77777777" w:rsidTr="00674E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AEAAAA" w:themeFill="background2" w:themeFillShade="BF"/>
            <w:noWrap/>
            <w:hideMark/>
          </w:tcPr>
          <w:p w14:paraId="5B0A7FBB" w14:textId="77777777" w:rsidR="00E52E5F" w:rsidRPr="00B357F4" w:rsidRDefault="00E52E5F" w:rsidP="00E52E5F">
            <w:pPr>
              <w:spacing w:before="0" w:after="0"/>
              <w:jc w:val="left"/>
              <w:rPr>
                <w:rFonts w:ascii="Calibri" w:hAnsi="Calibri" w:cs="Calibri"/>
                <w:color w:val="000000"/>
                <w:sz w:val="22"/>
                <w:szCs w:val="22"/>
                <w:lang w:eastAsia="hr-HR"/>
              </w:rPr>
            </w:pPr>
          </w:p>
        </w:tc>
        <w:tc>
          <w:tcPr>
            <w:tcW w:w="2220" w:type="dxa"/>
            <w:shd w:val="clear" w:color="auto" w:fill="AEAAAA" w:themeFill="background2" w:themeFillShade="BF"/>
            <w:noWrap/>
            <w:hideMark/>
          </w:tcPr>
          <w:p w14:paraId="3CD30DF0" w14:textId="0FD59ACE" w:rsidR="00E52E5F" w:rsidRPr="003020E6"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SDU</w:t>
            </w:r>
            <w:r w:rsidRPr="003020E6">
              <w:rPr>
                <w:rStyle w:val="Referencafusnote"/>
                <w:rFonts w:cs="Calibri"/>
                <w:b/>
                <w:color w:val="000000"/>
                <w:sz w:val="22"/>
                <w:szCs w:val="22"/>
                <w:lang w:eastAsia="hr-HR"/>
              </w:rPr>
              <w:footnoteReference w:id="5"/>
            </w:r>
          </w:p>
        </w:tc>
        <w:tc>
          <w:tcPr>
            <w:tcW w:w="1956" w:type="dxa"/>
            <w:shd w:val="clear" w:color="auto" w:fill="AEAAAA" w:themeFill="background2" w:themeFillShade="BF"/>
            <w:noWrap/>
            <w:hideMark/>
          </w:tcPr>
          <w:p w14:paraId="07CA8456" w14:textId="50667656" w:rsidR="00E52E5F" w:rsidRPr="003020E6"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D7774F">
              <w:rPr>
                <w:rFonts w:ascii="Calibri" w:hAnsi="Calibri" w:cs="Calibri"/>
                <w:b/>
                <w:color w:val="000000"/>
                <w:sz w:val="22"/>
                <w:szCs w:val="22"/>
                <w:lang w:eastAsia="hr-HR"/>
              </w:rPr>
              <w:t>JLS</w:t>
            </w:r>
            <w:r w:rsidRPr="003020E6">
              <w:rPr>
                <w:rStyle w:val="Referencafusnote"/>
                <w:rFonts w:cs="Calibri"/>
                <w:b/>
                <w:color w:val="000000"/>
                <w:sz w:val="22"/>
                <w:szCs w:val="22"/>
                <w:lang w:eastAsia="hr-HR"/>
              </w:rPr>
              <w:footnoteReference w:id="6"/>
            </w:r>
          </w:p>
        </w:tc>
        <w:tc>
          <w:tcPr>
            <w:tcW w:w="1665" w:type="dxa"/>
            <w:shd w:val="clear" w:color="auto" w:fill="AEAAAA" w:themeFill="background2" w:themeFillShade="BF"/>
            <w:noWrap/>
            <w:hideMark/>
          </w:tcPr>
          <w:p w14:paraId="7F438A0A" w14:textId="6D639564" w:rsidR="00E52E5F" w:rsidRPr="003020E6"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D7774F">
              <w:rPr>
                <w:rFonts w:ascii="Calibri" w:hAnsi="Calibri" w:cs="Calibri"/>
                <w:b/>
                <w:color w:val="000000"/>
                <w:sz w:val="22"/>
                <w:szCs w:val="22"/>
                <w:lang w:eastAsia="hr-HR"/>
              </w:rPr>
              <w:t>TJV</w:t>
            </w:r>
            <w:r w:rsidR="00200247" w:rsidRPr="003020E6">
              <w:rPr>
                <w:rStyle w:val="Referencafusnote"/>
                <w:rFonts w:cs="Calibri"/>
                <w:b/>
                <w:color w:val="000000"/>
                <w:sz w:val="22"/>
                <w:szCs w:val="22"/>
                <w:lang w:eastAsia="hr-HR"/>
              </w:rPr>
              <w:footnoteReference w:id="7"/>
            </w:r>
          </w:p>
        </w:tc>
        <w:tc>
          <w:tcPr>
            <w:tcW w:w="1665" w:type="dxa"/>
            <w:shd w:val="clear" w:color="auto" w:fill="AEAAAA" w:themeFill="background2" w:themeFillShade="BF"/>
            <w:noWrap/>
            <w:hideMark/>
          </w:tcPr>
          <w:p w14:paraId="5D13A7AE" w14:textId="77777777" w:rsidR="00E52E5F" w:rsidRPr="00B357F4"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03C9B">
              <w:rPr>
                <w:rFonts w:ascii="Calibri" w:hAnsi="Calibri" w:cs="Calibri"/>
                <w:b/>
                <w:color w:val="000000"/>
                <w:sz w:val="22"/>
                <w:szCs w:val="22"/>
                <w:lang w:eastAsia="hr-HR"/>
              </w:rPr>
              <w:t>ostalo</w:t>
            </w:r>
          </w:p>
        </w:tc>
      </w:tr>
      <w:tr w:rsidR="00E52E5F" w:rsidRPr="00B357F4" w14:paraId="19A53E53"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EDABF3D"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2220" w:type="dxa"/>
            <w:noWrap/>
            <w:hideMark/>
          </w:tcPr>
          <w:p w14:paraId="58E76E7C"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962</w:t>
            </w:r>
          </w:p>
        </w:tc>
        <w:tc>
          <w:tcPr>
            <w:tcW w:w="1956" w:type="dxa"/>
            <w:noWrap/>
            <w:hideMark/>
          </w:tcPr>
          <w:p w14:paraId="4186777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965</w:t>
            </w:r>
          </w:p>
        </w:tc>
        <w:tc>
          <w:tcPr>
            <w:tcW w:w="1665" w:type="dxa"/>
            <w:noWrap/>
            <w:hideMark/>
          </w:tcPr>
          <w:p w14:paraId="5EA20A10"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1.015</w:t>
            </w:r>
          </w:p>
        </w:tc>
        <w:tc>
          <w:tcPr>
            <w:tcW w:w="1665" w:type="dxa"/>
            <w:noWrap/>
            <w:hideMark/>
          </w:tcPr>
          <w:p w14:paraId="0968EEFE"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3.163</w:t>
            </w:r>
          </w:p>
        </w:tc>
      </w:tr>
      <w:tr w:rsidR="00E52E5F" w:rsidRPr="00B357F4" w14:paraId="472C15D3"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354A488"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2220" w:type="dxa"/>
            <w:noWrap/>
            <w:hideMark/>
          </w:tcPr>
          <w:p w14:paraId="1138DFF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536.976</w:t>
            </w:r>
          </w:p>
        </w:tc>
        <w:tc>
          <w:tcPr>
            <w:tcW w:w="1956" w:type="dxa"/>
            <w:noWrap/>
            <w:hideMark/>
          </w:tcPr>
          <w:p w14:paraId="4DF478DE"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584.734</w:t>
            </w:r>
          </w:p>
        </w:tc>
        <w:tc>
          <w:tcPr>
            <w:tcW w:w="1665" w:type="dxa"/>
            <w:noWrap/>
            <w:hideMark/>
          </w:tcPr>
          <w:p w14:paraId="36CDC5B3"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7.900</w:t>
            </w:r>
          </w:p>
        </w:tc>
        <w:tc>
          <w:tcPr>
            <w:tcW w:w="1665" w:type="dxa"/>
            <w:noWrap/>
            <w:hideMark/>
          </w:tcPr>
          <w:p w14:paraId="0F2630D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133.542</w:t>
            </w:r>
          </w:p>
        </w:tc>
      </w:tr>
      <w:tr w:rsidR="00E52E5F" w:rsidRPr="00B357F4" w14:paraId="7CBA4846"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14E0D35"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2220" w:type="dxa"/>
            <w:noWrap/>
            <w:hideMark/>
          </w:tcPr>
          <w:p w14:paraId="2A5D5DA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1.892.723</w:t>
            </w:r>
          </w:p>
        </w:tc>
        <w:tc>
          <w:tcPr>
            <w:tcW w:w="1956" w:type="dxa"/>
            <w:noWrap/>
            <w:hideMark/>
          </w:tcPr>
          <w:p w14:paraId="5ADEC0BC"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1.401.216</w:t>
            </w:r>
          </w:p>
        </w:tc>
        <w:tc>
          <w:tcPr>
            <w:tcW w:w="1665" w:type="dxa"/>
            <w:noWrap/>
            <w:hideMark/>
          </w:tcPr>
          <w:p w14:paraId="2E94D54F"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571.336</w:t>
            </w:r>
          </w:p>
        </w:tc>
        <w:tc>
          <w:tcPr>
            <w:tcW w:w="1665" w:type="dxa"/>
            <w:noWrap/>
            <w:hideMark/>
          </w:tcPr>
          <w:p w14:paraId="1EC8142A"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492.773</w:t>
            </w:r>
          </w:p>
        </w:tc>
      </w:tr>
      <w:tr w:rsidR="00E52E5F" w:rsidRPr="00B357F4" w14:paraId="3FE7D809"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173AE67"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2220" w:type="dxa"/>
            <w:noWrap/>
            <w:hideMark/>
          </w:tcPr>
          <w:p w14:paraId="1DF65A6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957.957</w:t>
            </w:r>
          </w:p>
        </w:tc>
        <w:tc>
          <w:tcPr>
            <w:tcW w:w="1956" w:type="dxa"/>
            <w:noWrap/>
            <w:hideMark/>
          </w:tcPr>
          <w:p w14:paraId="0EF69848"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5.451.611</w:t>
            </w:r>
          </w:p>
        </w:tc>
        <w:tc>
          <w:tcPr>
            <w:tcW w:w="1665" w:type="dxa"/>
            <w:noWrap/>
            <w:hideMark/>
          </w:tcPr>
          <w:p w14:paraId="253CAF7D"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1665" w:type="dxa"/>
            <w:noWrap/>
            <w:hideMark/>
          </w:tcPr>
          <w:p w14:paraId="24252421"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96.060</w:t>
            </w:r>
          </w:p>
        </w:tc>
      </w:tr>
      <w:tr w:rsidR="00E52E5F" w:rsidRPr="00B357F4" w14:paraId="080A13E4"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C57A723"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2220" w:type="dxa"/>
            <w:noWrap/>
            <w:hideMark/>
          </w:tcPr>
          <w:p w14:paraId="09B3C9B4"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735.732</w:t>
            </w:r>
          </w:p>
        </w:tc>
        <w:tc>
          <w:tcPr>
            <w:tcW w:w="1956" w:type="dxa"/>
            <w:noWrap/>
            <w:hideMark/>
          </w:tcPr>
          <w:p w14:paraId="514DA5A7"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1.500.520</w:t>
            </w:r>
          </w:p>
        </w:tc>
        <w:tc>
          <w:tcPr>
            <w:tcW w:w="1665" w:type="dxa"/>
            <w:noWrap/>
            <w:hideMark/>
          </w:tcPr>
          <w:p w14:paraId="2AD8D867"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461</w:t>
            </w:r>
          </w:p>
        </w:tc>
        <w:tc>
          <w:tcPr>
            <w:tcW w:w="1665" w:type="dxa"/>
            <w:noWrap/>
            <w:hideMark/>
          </w:tcPr>
          <w:p w14:paraId="5BF2AE00"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5.044</w:t>
            </w:r>
          </w:p>
        </w:tc>
      </w:tr>
      <w:tr w:rsidR="00E52E5F" w:rsidRPr="00B357F4" w14:paraId="26C0CC96"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5A9B5CC"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2220" w:type="dxa"/>
            <w:noWrap/>
            <w:hideMark/>
          </w:tcPr>
          <w:p w14:paraId="5AB00DC7"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16.633</w:t>
            </w:r>
          </w:p>
        </w:tc>
        <w:tc>
          <w:tcPr>
            <w:tcW w:w="1956" w:type="dxa"/>
            <w:noWrap/>
            <w:hideMark/>
          </w:tcPr>
          <w:p w14:paraId="2F0D6DC0"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83.813</w:t>
            </w:r>
          </w:p>
        </w:tc>
        <w:tc>
          <w:tcPr>
            <w:tcW w:w="1665" w:type="dxa"/>
            <w:noWrap/>
            <w:hideMark/>
          </w:tcPr>
          <w:p w14:paraId="31382C27"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10.401</w:t>
            </w:r>
          </w:p>
        </w:tc>
        <w:tc>
          <w:tcPr>
            <w:tcW w:w="1665" w:type="dxa"/>
            <w:noWrap/>
            <w:hideMark/>
          </w:tcPr>
          <w:p w14:paraId="53029FFF"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4.162</w:t>
            </w:r>
          </w:p>
        </w:tc>
      </w:tr>
      <w:tr w:rsidR="00E52E5F" w:rsidRPr="00B357F4" w14:paraId="7B67C0F2"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D754CE4"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2220" w:type="dxa"/>
            <w:noWrap/>
            <w:hideMark/>
          </w:tcPr>
          <w:p w14:paraId="28139BB9"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155.796</w:t>
            </w:r>
          </w:p>
        </w:tc>
        <w:tc>
          <w:tcPr>
            <w:tcW w:w="1956" w:type="dxa"/>
            <w:noWrap/>
            <w:hideMark/>
          </w:tcPr>
          <w:p w14:paraId="1349DA55"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464.976</w:t>
            </w:r>
          </w:p>
        </w:tc>
        <w:tc>
          <w:tcPr>
            <w:tcW w:w="1665" w:type="dxa"/>
            <w:noWrap/>
            <w:hideMark/>
          </w:tcPr>
          <w:p w14:paraId="1349A55B"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137.145</w:t>
            </w:r>
          </w:p>
        </w:tc>
        <w:tc>
          <w:tcPr>
            <w:tcW w:w="1665" w:type="dxa"/>
            <w:noWrap/>
            <w:hideMark/>
          </w:tcPr>
          <w:p w14:paraId="0B594990"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577</w:t>
            </w:r>
          </w:p>
        </w:tc>
      </w:tr>
      <w:tr w:rsidR="00E52E5F" w:rsidRPr="00B357F4" w14:paraId="757D8F91"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662077D"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2220" w:type="dxa"/>
            <w:noWrap/>
            <w:hideMark/>
          </w:tcPr>
          <w:p w14:paraId="09C61EC1"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11.747</w:t>
            </w:r>
          </w:p>
        </w:tc>
        <w:tc>
          <w:tcPr>
            <w:tcW w:w="1956" w:type="dxa"/>
            <w:noWrap/>
            <w:hideMark/>
          </w:tcPr>
          <w:p w14:paraId="10968B83"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707.526</w:t>
            </w:r>
          </w:p>
        </w:tc>
        <w:tc>
          <w:tcPr>
            <w:tcW w:w="1665" w:type="dxa"/>
            <w:noWrap/>
            <w:hideMark/>
          </w:tcPr>
          <w:p w14:paraId="7A72D94F"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47.114</w:t>
            </w:r>
          </w:p>
        </w:tc>
        <w:tc>
          <w:tcPr>
            <w:tcW w:w="1665" w:type="dxa"/>
            <w:noWrap/>
            <w:hideMark/>
          </w:tcPr>
          <w:p w14:paraId="230798CC"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753</w:t>
            </w:r>
          </w:p>
        </w:tc>
      </w:tr>
      <w:tr w:rsidR="00E52E5F" w:rsidRPr="00B357F4" w14:paraId="560E4FE7"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CF99620"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2220" w:type="dxa"/>
            <w:noWrap/>
            <w:hideMark/>
          </w:tcPr>
          <w:p w14:paraId="3E012B8F"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1956" w:type="dxa"/>
            <w:noWrap/>
            <w:hideMark/>
          </w:tcPr>
          <w:p w14:paraId="4DF0D002"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27.839</w:t>
            </w:r>
          </w:p>
        </w:tc>
        <w:tc>
          <w:tcPr>
            <w:tcW w:w="1665" w:type="dxa"/>
            <w:noWrap/>
            <w:hideMark/>
          </w:tcPr>
          <w:p w14:paraId="2A68CC5F"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9.698</w:t>
            </w:r>
          </w:p>
        </w:tc>
        <w:tc>
          <w:tcPr>
            <w:tcW w:w="1665" w:type="dxa"/>
            <w:noWrap/>
            <w:hideMark/>
          </w:tcPr>
          <w:p w14:paraId="117524B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1.403</w:t>
            </w:r>
          </w:p>
        </w:tc>
      </w:tr>
      <w:tr w:rsidR="00E52E5F" w:rsidRPr="00B357F4" w14:paraId="338AC531"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E1C3F6F"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2220" w:type="dxa"/>
            <w:noWrap/>
            <w:hideMark/>
          </w:tcPr>
          <w:p w14:paraId="1CBA827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648</w:t>
            </w:r>
          </w:p>
        </w:tc>
        <w:tc>
          <w:tcPr>
            <w:tcW w:w="1956" w:type="dxa"/>
            <w:noWrap/>
            <w:hideMark/>
          </w:tcPr>
          <w:p w14:paraId="3A2B832B"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3.570</w:t>
            </w:r>
          </w:p>
        </w:tc>
        <w:tc>
          <w:tcPr>
            <w:tcW w:w="1665" w:type="dxa"/>
            <w:noWrap/>
            <w:hideMark/>
          </w:tcPr>
          <w:p w14:paraId="3253D918"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41.036</w:t>
            </w:r>
          </w:p>
        </w:tc>
        <w:tc>
          <w:tcPr>
            <w:tcW w:w="1665" w:type="dxa"/>
            <w:noWrap/>
            <w:hideMark/>
          </w:tcPr>
          <w:p w14:paraId="55BC4AB4"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r>
      <w:tr w:rsidR="00E52E5F" w:rsidRPr="00B357F4" w14:paraId="02222C51"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DBBAE8E" w14:textId="462887A4" w:rsidR="00E52E5F" w:rsidRPr="00B357F4" w:rsidRDefault="0033593C"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ukupno</w:t>
            </w:r>
          </w:p>
        </w:tc>
        <w:tc>
          <w:tcPr>
            <w:tcW w:w="2220" w:type="dxa"/>
            <w:noWrap/>
            <w:hideMark/>
          </w:tcPr>
          <w:p w14:paraId="542481E9"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4.309.174</w:t>
            </w:r>
          </w:p>
        </w:tc>
        <w:tc>
          <w:tcPr>
            <w:tcW w:w="1956" w:type="dxa"/>
            <w:noWrap/>
            <w:hideMark/>
          </w:tcPr>
          <w:p w14:paraId="1798991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10.226.770</w:t>
            </w:r>
          </w:p>
        </w:tc>
        <w:tc>
          <w:tcPr>
            <w:tcW w:w="1665" w:type="dxa"/>
            <w:noWrap/>
            <w:hideMark/>
          </w:tcPr>
          <w:p w14:paraId="5435F234"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826.106</w:t>
            </w:r>
          </w:p>
        </w:tc>
        <w:tc>
          <w:tcPr>
            <w:tcW w:w="1665" w:type="dxa"/>
            <w:noWrap/>
            <w:hideMark/>
          </w:tcPr>
          <w:p w14:paraId="34998F7B"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737.478</w:t>
            </w:r>
          </w:p>
        </w:tc>
      </w:tr>
    </w:tbl>
    <w:p w14:paraId="1032AF38" w14:textId="77777777" w:rsidR="007C02EC" w:rsidRPr="00B357F4" w:rsidRDefault="010B6B53" w:rsidP="00A8026A">
      <w:pPr>
        <w:pStyle w:val="Naslov20"/>
      </w:pPr>
      <w:bookmarkStart w:id="42" w:name="_Toc94769972"/>
      <w:r w:rsidRPr="00B357F4">
        <w:t>Udio zgrada sa statusom kulturnog dobra</w:t>
      </w:r>
      <w:bookmarkEnd w:id="42"/>
    </w:p>
    <w:p w14:paraId="0378BB62" w14:textId="71252E03" w:rsidR="007C02EC" w:rsidRPr="00B357F4" w:rsidRDefault="010B6B53" w:rsidP="007C02EC">
      <w:r w:rsidRPr="00B357F4">
        <w:t xml:space="preserve">Zgrade zaštićene kulturne, odnosno graditeljske baštine, potrebno je zasebno obraditi zbog specifičnih uvjeta koje je potrebno ispuniti prilikom energetske obnove. Specifičnost zgrada nepokretnog kulturnog dobra iskazana je kroz TPRUETZZ </w:t>
      </w:r>
      <w:r w:rsidR="67AEF0E9" w:rsidRPr="00B357F4">
        <w:t xml:space="preserve">s mogućnošću izuzeća </w:t>
      </w:r>
      <w:r w:rsidRPr="00B357F4">
        <w:t xml:space="preserve">građevnih dijelova ili zgrada u cjelini upisanih u </w:t>
      </w:r>
      <w:r w:rsidR="008E1D4B" w:rsidRPr="00B357F4">
        <w:t xml:space="preserve">Registar kulturnih dobara </w:t>
      </w:r>
      <w:r w:rsidR="00365509">
        <w:t xml:space="preserve">Republike Hrvatske </w:t>
      </w:r>
      <w:r w:rsidRPr="00B357F4">
        <w:t xml:space="preserve">od ispunjavanja minimalnih tehničkih zahtjeva kod rekonstrukcije u pogledu racionalne uporabe energije i toplinske zaštite ukoliko bi se time narušavala bitna spomenička svojstva zgrade. Zaštita spomeničkih svojstava se u praksi primarno usmjerava na konstrukcije vanjske ovojnice, dok su tehnički sustavi u zgradama kroz povijest bili bitno podložniji rekonstrukcijama i zamjenama. Zbog toga, potencijal energetske obnove zgrada </w:t>
      </w:r>
      <w:r w:rsidR="704EBB26" w:rsidRPr="00B357F4">
        <w:t>kulturnog dobra</w:t>
      </w:r>
      <w:r w:rsidRPr="00B357F4">
        <w:t xml:space="preserve"> je znatno manji u pogledu ukupnog smanjenja energetskih potreba zgrade, ali postoji znatni potencijal povećanja učinkovitosti tehničkih sustava zgrade</w:t>
      </w:r>
      <w:r w:rsidR="2DC412B7" w:rsidRPr="00B357F4">
        <w:t xml:space="preserve">, pri čemu </w:t>
      </w:r>
      <w:r w:rsidR="4AE79518" w:rsidRPr="00B357F4">
        <w:t>zgrade</w:t>
      </w:r>
      <w:r w:rsidR="2DC412B7" w:rsidRPr="00B357F4">
        <w:t xml:space="preserve"> mogu </w:t>
      </w:r>
      <w:r w:rsidR="3212EFC2" w:rsidRPr="00B357F4">
        <w:t xml:space="preserve">ispuniti </w:t>
      </w:r>
      <w:r w:rsidR="47BD6139" w:rsidRPr="00B357F4">
        <w:t xml:space="preserve">i </w:t>
      </w:r>
      <w:r w:rsidR="3212EFC2" w:rsidRPr="00B357F4">
        <w:t>zah</w:t>
      </w:r>
      <w:r w:rsidR="65820404" w:rsidRPr="00B357F4">
        <w:t>tj</w:t>
      </w:r>
      <w:r w:rsidR="3212EFC2" w:rsidRPr="00B357F4">
        <w:t>ev</w:t>
      </w:r>
      <w:r w:rsidR="47BD6139" w:rsidRPr="00B357F4">
        <w:t>e</w:t>
      </w:r>
      <w:r w:rsidR="3212EFC2" w:rsidRPr="00B357F4">
        <w:t xml:space="preserve"> važećih propisa uz </w:t>
      </w:r>
      <w:r w:rsidR="65820404" w:rsidRPr="00B357F4">
        <w:t>dopušten</w:t>
      </w:r>
      <w:r w:rsidR="4AE79518" w:rsidRPr="00B357F4">
        <w:t>a odstupanja</w:t>
      </w:r>
      <w:r w:rsidRPr="00B357F4">
        <w:t xml:space="preserve">. Prema dostupnim podacima iz ISGE na </w:t>
      </w:r>
      <w:r w:rsidR="00A07A84" w:rsidRPr="00B357F4">
        <w:t>1</w:t>
      </w:r>
      <w:r w:rsidR="00A07A84">
        <w:t>6</w:t>
      </w:r>
      <w:r w:rsidRPr="00B357F4">
        <w:t xml:space="preserve">,68% svih zgrada javnog sektora primjenjuje se neki od oblika zaštite kulturne/graditeljske baštine. </w:t>
      </w:r>
    </w:p>
    <w:p w14:paraId="25613A2E" w14:textId="1C332788" w:rsidR="0033653F" w:rsidRPr="00B357F4" w:rsidRDefault="58A9D18E" w:rsidP="00A8026A">
      <w:pPr>
        <w:pStyle w:val="Naslov20"/>
      </w:pPr>
      <w:bookmarkStart w:id="43" w:name="_Toc94769973"/>
      <w:r w:rsidRPr="00B357F4">
        <w:t xml:space="preserve">Pokazatelji </w:t>
      </w:r>
      <w:r w:rsidR="23EC7FBE" w:rsidRPr="00B357F4">
        <w:t xml:space="preserve">specifične </w:t>
      </w:r>
      <w:r w:rsidRPr="00B357F4">
        <w:t xml:space="preserve">godišnje </w:t>
      </w:r>
      <w:r w:rsidR="12FEF276" w:rsidRPr="00B357F4">
        <w:t>potrebne toplinske</w:t>
      </w:r>
      <w:r w:rsidRPr="00B357F4">
        <w:t xml:space="preserve"> energije </w:t>
      </w:r>
      <w:r w:rsidR="4E94EC62" w:rsidRPr="00B357F4">
        <w:t xml:space="preserve">za </w:t>
      </w:r>
      <w:r w:rsidR="3A974863" w:rsidRPr="00B357F4">
        <w:t>g</w:t>
      </w:r>
      <w:r w:rsidR="76F5F7B0" w:rsidRPr="00B357F4">
        <w:t>r</w:t>
      </w:r>
      <w:r w:rsidR="3A974863" w:rsidRPr="00B357F4">
        <w:t>ijanje</w:t>
      </w:r>
      <w:r w:rsidR="4E94EC62" w:rsidRPr="00B357F4">
        <w:t xml:space="preserve"> </w:t>
      </w:r>
      <w:r w:rsidR="6343F8FE" w:rsidRPr="00B357F4">
        <w:t>prema namjeni, razdoblju gradnje i klimatskim karakteristikama</w:t>
      </w:r>
      <w:bookmarkEnd w:id="43"/>
    </w:p>
    <w:p w14:paraId="1E01F5B6" w14:textId="40A3F97E" w:rsidR="003B68A5" w:rsidRPr="00B357F4" w:rsidRDefault="5CF6DDEB" w:rsidP="00633D71">
      <w:pPr>
        <w:rPr>
          <w:lang w:eastAsia="hr-HR"/>
        </w:rPr>
      </w:pPr>
      <w:r w:rsidRPr="00B357F4">
        <w:rPr>
          <w:lang w:eastAsia="hr-HR"/>
        </w:rPr>
        <w:t xml:space="preserve">Specifična </w:t>
      </w:r>
      <w:r w:rsidR="69C2E95A" w:rsidRPr="00B357F4">
        <w:rPr>
          <w:lang w:eastAsia="hr-HR"/>
        </w:rPr>
        <w:t xml:space="preserve">godišnja </w:t>
      </w:r>
      <w:r w:rsidRPr="00B357F4">
        <w:rPr>
          <w:lang w:eastAsia="hr-HR"/>
        </w:rPr>
        <w:t xml:space="preserve">potrebna toplinska energija za grijanje </w:t>
      </w:r>
      <w:r w:rsidR="4579F7E0" w:rsidRPr="00B357F4">
        <w:rPr>
          <w:lang w:eastAsia="hr-HR"/>
        </w:rPr>
        <w:t>za stambene zgrade</w:t>
      </w:r>
      <w:r w:rsidR="65E79F15" w:rsidRPr="00B357F4">
        <w:rPr>
          <w:lang w:eastAsia="hr-HR"/>
        </w:rPr>
        <w:t xml:space="preserve"> u javnom sektoru zbog malog broja zgrada koje pripadaju </w:t>
      </w:r>
      <w:r w:rsidR="022D2159" w:rsidRPr="00B357F4">
        <w:rPr>
          <w:lang w:eastAsia="hr-HR"/>
        </w:rPr>
        <w:t>ovoj skupini</w:t>
      </w:r>
      <w:r w:rsidR="4579F7E0" w:rsidRPr="00B357F4">
        <w:rPr>
          <w:lang w:eastAsia="hr-HR"/>
        </w:rPr>
        <w:t xml:space="preserve"> </w:t>
      </w:r>
      <w:r w:rsidR="15EE45F9" w:rsidRPr="00B357F4">
        <w:rPr>
          <w:lang w:eastAsia="hr-HR"/>
        </w:rPr>
        <w:t xml:space="preserve">određena je prema podacima </w:t>
      </w:r>
      <w:r w:rsidR="669C0D26" w:rsidRPr="00B357F4">
        <w:rPr>
          <w:lang w:eastAsia="hr-HR"/>
        </w:rPr>
        <w:t>o karakterističnim referentnim stambenim zgradama prema razdo</w:t>
      </w:r>
      <w:r w:rsidR="40DBB4A1" w:rsidRPr="00B357F4">
        <w:rPr>
          <w:lang w:eastAsia="hr-HR"/>
        </w:rPr>
        <w:t xml:space="preserve">blju gradnje do 1970. godine, 1971. do </w:t>
      </w:r>
      <w:r w:rsidR="65E79F15" w:rsidRPr="00B357F4">
        <w:rPr>
          <w:lang w:eastAsia="hr-HR"/>
        </w:rPr>
        <w:t xml:space="preserve">2005. godine te iza 2005. godine, dok je za </w:t>
      </w:r>
      <w:r w:rsidR="022D2159" w:rsidRPr="00B357F4">
        <w:rPr>
          <w:lang w:eastAsia="hr-HR"/>
        </w:rPr>
        <w:t xml:space="preserve">zgrade nestambene namjene </w:t>
      </w:r>
      <w:r w:rsidR="08374306" w:rsidRPr="00B357F4">
        <w:rPr>
          <w:lang w:eastAsia="hr-HR"/>
        </w:rPr>
        <w:t xml:space="preserve">utvrđena prema podacima </w:t>
      </w:r>
      <w:r w:rsidR="660C8BB8" w:rsidRPr="00B357F4">
        <w:rPr>
          <w:lang w:eastAsia="hr-HR"/>
        </w:rPr>
        <w:t xml:space="preserve">iz baze </w:t>
      </w:r>
      <w:r w:rsidR="068EBE1C" w:rsidRPr="00B357F4">
        <w:rPr>
          <w:lang w:eastAsia="hr-HR"/>
        </w:rPr>
        <w:t xml:space="preserve">izdanih energetskih certifikata, odvojeno prema </w:t>
      </w:r>
      <w:r w:rsidR="1B020349" w:rsidRPr="00B357F4">
        <w:rPr>
          <w:lang w:eastAsia="hr-HR"/>
        </w:rPr>
        <w:t xml:space="preserve">klimatskom području i razdoblju gradnje. </w:t>
      </w:r>
      <w:r w:rsidR="08374306" w:rsidRPr="00B357F4">
        <w:rPr>
          <w:lang w:eastAsia="hr-HR"/>
        </w:rPr>
        <w:t xml:space="preserve"> </w:t>
      </w:r>
    </w:p>
    <w:p w14:paraId="49F07D0F" w14:textId="7797DAEA" w:rsidR="0033653F" w:rsidRPr="00B357F4" w:rsidRDefault="39440D4B" w:rsidP="0033653F">
      <w:pPr>
        <w:pStyle w:val="Opisslike"/>
        <w:keepNext/>
      </w:pPr>
      <w:bookmarkStart w:id="44" w:name="_Toc87949885"/>
      <w:r w:rsidRPr="00B357F4">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4</w:t>
      </w:r>
      <w:r>
        <w:fldChar w:fldCharType="end"/>
      </w:r>
      <w:r w:rsidRPr="003020E6">
        <w:t xml:space="preserve"> Specifična </w:t>
      </w:r>
      <w:r w:rsidR="24DE25B4" w:rsidRPr="00D7774F">
        <w:t xml:space="preserve">godišnja </w:t>
      </w:r>
      <w:r w:rsidRPr="005C396B">
        <w:t xml:space="preserve">potrebna toplinska energija za grijanje (kWh/m2a) prema namjeni i razdoblju gradnje </w:t>
      </w:r>
      <w:r w:rsidRPr="00760C3F">
        <w:t>zgrade za kontinentalnu Hrvatsku</w:t>
      </w:r>
      <w:bookmarkEnd w:id="44"/>
    </w:p>
    <w:tbl>
      <w:tblPr>
        <w:tblStyle w:val="Tamnatablicareetke5-isticanje31"/>
        <w:tblW w:w="5000" w:type="pct"/>
        <w:tblLook w:val="04A0" w:firstRow="1" w:lastRow="0" w:firstColumn="1" w:lastColumn="0" w:noHBand="0" w:noVBand="1"/>
      </w:tblPr>
      <w:tblGrid>
        <w:gridCol w:w="1130"/>
        <w:gridCol w:w="1131"/>
        <w:gridCol w:w="993"/>
        <w:gridCol w:w="992"/>
        <w:gridCol w:w="992"/>
        <w:gridCol w:w="992"/>
        <w:gridCol w:w="1131"/>
        <w:gridCol w:w="989"/>
        <w:gridCol w:w="994"/>
      </w:tblGrid>
      <w:tr w:rsidR="0033653F" w:rsidRPr="00B357F4" w14:paraId="0C5B6112" w14:textId="77777777" w:rsidTr="009B13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75959A74" w14:textId="77777777" w:rsidR="00307A31" w:rsidRPr="00B357F4" w:rsidRDefault="00307A31" w:rsidP="00307A31">
            <w:pPr>
              <w:spacing w:before="0" w:after="0"/>
              <w:jc w:val="left"/>
              <w:rPr>
                <w:rFonts w:ascii="Times New Roman" w:hAnsi="Times New Roman" w:cs="Times New Roman"/>
                <w:szCs w:val="20"/>
                <w:lang w:eastAsia="hr-HR"/>
              </w:rPr>
            </w:pPr>
          </w:p>
        </w:tc>
        <w:tc>
          <w:tcPr>
            <w:tcW w:w="0" w:type="dxa"/>
            <w:noWrap/>
            <w:hideMark/>
          </w:tcPr>
          <w:p w14:paraId="07533986"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&lt;1945</w:t>
            </w:r>
          </w:p>
        </w:tc>
        <w:tc>
          <w:tcPr>
            <w:tcW w:w="0" w:type="dxa"/>
            <w:noWrap/>
            <w:hideMark/>
          </w:tcPr>
          <w:p w14:paraId="1ED27404"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1945-1960</w:t>
            </w:r>
          </w:p>
        </w:tc>
        <w:tc>
          <w:tcPr>
            <w:tcW w:w="0" w:type="dxa"/>
            <w:noWrap/>
            <w:hideMark/>
          </w:tcPr>
          <w:p w14:paraId="0AB988FC"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1961-1970</w:t>
            </w:r>
          </w:p>
        </w:tc>
        <w:tc>
          <w:tcPr>
            <w:tcW w:w="0" w:type="dxa"/>
            <w:noWrap/>
            <w:hideMark/>
          </w:tcPr>
          <w:p w14:paraId="0AC8E29F"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1971-1980</w:t>
            </w:r>
          </w:p>
        </w:tc>
        <w:tc>
          <w:tcPr>
            <w:tcW w:w="0" w:type="dxa"/>
            <w:noWrap/>
            <w:hideMark/>
          </w:tcPr>
          <w:p w14:paraId="57AAB4A5"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1981-1990</w:t>
            </w:r>
          </w:p>
        </w:tc>
        <w:tc>
          <w:tcPr>
            <w:tcW w:w="0" w:type="dxa"/>
            <w:noWrap/>
            <w:hideMark/>
          </w:tcPr>
          <w:p w14:paraId="4AE0F156"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1991-2000</w:t>
            </w:r>
          </w:p>
        </w:tc>
        <w:tc>
          <w:tcPr>
            <w:tcW w:w="0" w:type="dxa"/>
            <w:noWrap/>
            <w:hideMark/>
          </w:tcPr>
          <w:p w14:paraId="32975074"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2001-2010</w:t>
            </w:r>
          </w:p>
        </w:tc>
        <w:tc>
          <w:tcPr>
            <w:tcW w:w="0" w:type="dxa"/>
            <w:noWrap/>
            <w:hideMark/>
          </w:tcPr>
          <w:p w14:paraId="71F62E4E"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2011-2020</w:t>
            </w:r>
          </w:p>
        </w:tc>
      </w:tr>
      <w:tr w:rsidR="00FE7991" w:rsidRPr="00B357F4" w14:paraId="52788EF1"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8A7B766" w14:textId="77777777" w:rsidR="00FE7991" w:rsidRPr="00B357F4" w:rsidRDefault="00FE7991" w:rsidP="00FE799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241" w:type="dxa"/>
            <w:noWrap/>
            <w:vAlign w:val="bottom"/>
            <w:hideMark/>
          </w:tcPr>
          <w:p w14:paraId="45337EF3" w14:textId="63D6FF1B"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220</w:t>
            </w:r>
          </w:p>
        </w:tc>
        <w:tc>
          <w:tcPr>
            <w:tcW w:w="1086" w:type="dxa"/>
            <w:noWrap/>
            <w:vAlign w:val="bottom"/>
            <w:hideMark/>
          </w:tcPr>
          <w:p w14:paraId="639A0146" w14:textId="4A05AD96"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220</w:t>
            </w:r>
          </w:p>
        </w:tc>
        <w:tc>
          <w:tcPr>
            <w:tcW w:w="1085" w:type="dxa"/>
            <w:noWrap/>
            <w:vAlign w:val="bottom"/>
            <w:hideMark/>
          </w:tcPr>
          <w:p w14:paraId="262FC1D5" w14:textId="56E13A38"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220</w:t>
            </w:r>
          </w:p>
        </w:tc>
        <w:tc>
          <w:tcPr>
            <w:tcW w:w="1085" w:type="dxa"/>
            <w:noWrap/>
            <w:vAlign w:val="bottom"/>
            <w:hideMark/>
          </w:tcPr>
          <w:p w14:paraId="112BD555" w14:textId="1983514F"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160</w:t>
            </w:r>
          </w:p>
        </w:tc>
        <w:tc>
          <w:tcPr>
            <w:tcW w:w="1085" w:type="dxa"/>
            <w:noWrap/>
            <w:vAlign w:val="bottom"/>
            <w:hideMark/>
          </w:tcPr>
          <w:p w14:paraId="59A3E642" w14:textId="5DD30ACE"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160</w:t>
            </w:r>
          </w:p>
        </w:tc>
        <w:tc>
          <w:tcPr>
            <w:tcW w:w="1241" w:type="dxa"/>
            <w:noWrap/>
            <w:vAlign w:val="bottom"/>
            <w:hideMark/>
          </w:tcPr>
          <w:p w14:paraId="7FC55DA5" w14:textId="04526924"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160</w:t>
            </w:r>
          </w:p>
        </w:tc>
        <w:tc>
          <w:tcPr>
            <w:tcW w:w="1082" w:type="dxa"/>
            <w:noWrap/>
            <w:vAlign w:val="bottom"/>
            <w:hideMark/>
          </w:tcPr>
          <w:p w14:paraId="51A683D1" w14:textId="6898378F"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c>
          <w:tcPr>
            <w:tcW w:w="1088" w:type="dxa"/>
            <w:noWrap/>
            <w:vAlign w:val="bottom"/>
            <w:hideMark/>
          </w:tcPr>
          <w:p w14:paraId="7C1BD2F2" w14:textId="32984C9B"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r>
      <w:tr w:rsidR="00FE7991" w:rsidRPr="00B357F4" w14:paraId="7E38E55C"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7610854B" w14:textId="77777777" w:rsidR="00FE7991" w:rsidRPr="00B357F4" w:rsidRDefault="00FE7991" w:rsidP="00FE799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241" w:type="dxa"/>
            <w:noWrap/>
            <w:vAlign w:val="bottom"/>
            <w:hideMark/>
          </w:tcPr>
          <w:p w14:paraId="72D694F7" w14:textId="17BFA01E"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150</w:t>
            </w:r>
          </w:p>
        </w:tc>
        <w:tc>
          <w:tcPr>
            <w:tcW w:w="1086" w:type="dxa"/>
            <w:noWrap/>
            <w:vAlign w:val="bottom"/>
            <w:hideMark/>
          </w:tcPr>
          <w:p w14:paraId="2D1DB859" w14:textId="2D6E4F27"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150</w:t>
            </w:r>
          </w:p>
        </w:tc>
        <w:tc>
          <w:tcPr>
            <w:tcW w:w="1085" w:type="dxa"/>
            <w:noWrap/>
            <w:vAlign w:val="bottom"/>
            <w:hideMark/>
          </w:tcPr>
          <w:p w14:paraId="68360878" w14:textId="7BDF641B"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150</w:t>
            </w:r>
          </w:p>
        </w:tc>
        <w:tc>
          <w:tcPr>
            <w:tcW w:w="1085" w:type="dxa"/>
            <w:noWrap/>
            <w:vAlign w:val="bottom"/>
            <w:hideMark/>
          </w:tcPr>
          <w:p w14:paraId="7BEFD123" w14:textId="441050F3"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110</w:t>
            </w:r>
          </w:p>
        </w:tc>
        <w:tc>
          <w:tcPr>
            <w:tcW w:w="1085" w:type="dxa"/>
            <w:noWrap/>
            <w:vAlign w:val="bottom"/>
            <w:hideMark/>
          </w:tcPr>
          <w:p w14:paraId="3A371AFC" w14:textId="40FE5EE8"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110</w:t>
            </w:r>
          </w:p>
        </w:tc>
        <w:tc>
          <w:tcPr>
            <w:tcW w:w="1241" w:type="dxa"/>
            <w:noWrap/>
            <w:vAlign w:val="bottom"/>
            <w:hideMark/>
          </w:tcPr>
          <w:p w14:paraId="6F130558" w14:textId="798BC1F2"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110</w:t>
            </w:r>
          </w:p>
        </w:tc>
        <w:tc>
          <w:tcPr>
            <w:tcW w:w="1082" w:type="dxa"/>
            <w:noWrap/>
            <w:vAlign w:val="bottom"/>
            <w:hideMark/>
          </w:tcPr>
          <w:p w14:paraId="47C0EBF7" w14:textId="019C4EB0"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c>
          <w:tcPr>
            <w:tcW w:w="1088" w:type="dxa"/>
            <w:noWrap/>
            <w:vAlign w:val="bottom"/>
            <w:hideMark/>
          </w:tcPr>
          <w:p w14:paraId="4F294B41" w14:textId="64836D75"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r>
      <w:tr w:rsidR="0033653F" w:rsidRPr="00B357F4" w14:paraId="36A955BF"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67C3F813"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241" w:type="dxa"/>
            <w:noWrap/>
            <w:hideMark/>
          </w:tcPr>
          <w:p w14:paraId="6410E244"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158</w:t>
            </w:r>
          </w:p>
        </w:tc>
        <w:tc>
          <w:tcPr>
            <w:tcW w:w="1086" w:type="dxa"/>
            <w:noWrap/>
            <w:hideMark/>
          </w:tcPr>
          <w:p w14:paraId="76C54415"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170</w:t>
            </w:r>
          </w:p>
        </w:tc>
        <w:tc>
          <w:tcPr>
            <w:tcW w:w="1085" w:type="dxa"/>
            <w:noWrap/>
            <w:hideMark/>
          </w:tcPr>
          <w:p w14:paraId="08D1E3BA"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171</w:t>
            </w:r>
          </w:p>
        </w:tc>
        <w:tc>
          <w:tcPr>
            <w:tcW w:w="1085" w:type="dxa"/>
            <w:noWrap/>
            <w:hideMark/>
          </w:tcPr>
          <w:p w14:paraId="771A010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189</w:t>
            </w:r>
          </w:p>
        </w:tc>
        <w:tc>
          <w:tcPr>
            <w:tcW w:w="1085" w:type="dxa"/>
            <w:noWrap/>
            <w:hideMark/>
          </w:tcPr>
          <w:p w14:paraId="3BA74F8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173</w:t>
            </w:r>
          </w:p>
        </w:tc>
        <w:tc>
          <w:tcPr>
            <w:tcW w:w="1241" w:type="dxa"/>
            <w:noWrap/>
            <w:hideMark/>
          </w:tcPr>
          <w:p w14:paraId="1CA3A992"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108</w:t>
            </w:r>
          </w:p>
        </w:tc>
        <w:tc>
          <w:tcPr>
            <w:tcW w:w="1082" w:type="dxa"/>
            <w:noWrap/>
            <w:hideMark/>
          </w:tcPr>
          <w:p w14:paraId="4DACF53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78</w:t>
            </w:r>
          </w:p>
        </w:tc>
        <w:tc>
          <w:tcPr>
            <w:tcW w:w="1088" w:type="dxa"/>
            <w:noWrap/>
            <w:hideMark/>
          </w:tcPr>
          <w:p w14:paraId="7F4935F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65</w:t>
            </w:r>
          </w:p>
        </w:tc>
      </w:tr>
      <w:tr w:rsidR="0033653F" w:rsidRPr="00B357F4" w14:paraId="28ECE92A"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194B5FA0"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241" w:type="dxa"/>
            <w:noWrap/>
            <w:hideMark/>
          </w:tcPr>
          <w:p w14:paraId="7BA02B6D"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171</w:t>
            </w:r>
          </w:p>
        </w:tc>
        <w:tc>
          <w:tcPr>
            <w:tcW w:w="1086" w:type="dxa"/>
            <w:noWrap/>
            <w:hideMark/>
          </w:tcPr>
          <w:p w14:paraId="4AAEFE8A"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163</w:t>
            </w:r>
          </w:p>
        </w:tc>
        <w:tc>
          <w:tcPr>
            <w:tcW w:w="1085" w:type="dxa"/>
            <w:noWrap/>
            <w:hideMark/>
          </w:tcPr>
          <w:p w14:paraId="3667DD68"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158</w:t>
            </w:r>
          </w:p>
        </w:tc>
        <w:tc>
          <w:tcPr>
            <w:tcW w:w="1085" w:type="dxa"/>
            <w:noWrap/>
            <w:hideMark/>
          </w:tcPr>
          <w:p w14:paraId="49A5C07D"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142</w:t>
            </w:r>
          </w:p>
        </w:tc>
        <w:tc>
          <w:tcPr>
            <w:tcW w:w="1085" w:type="dxa"/>
            <w:noWrap/>
            <w:hideMark/>
          </w:tcPr>
          <w:p w14:paraId="76D64FDA"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128</w:t>
            </w:r>
          </w:p>
        </w:tc>
        <w:tc>
          <w:tcPr>
            <w:tcW w:w="1241" w:type="dxa"/>
            <w:noWrap/>
            <w:hideMark/>
          </w:tcPr>
          <w:p w14:paraId="16C2533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118</w:t>
            </w:r>
          </w:p>
        </w:tc>
        <w:tc>
          <w:tcPr>
            <w:tcW w:w="1082" w:type="dxa"/>
            <w:noWrap/>
            <w:hideMark/>
          </w:tcPr>
          <w:p w14:paraId="37FFF426"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82</w:t>
            </w:r>
          </w:p>
        </w:tc>
        <w:tc>
          <w:tcPr>
            <w:tcW w:w="1088" w:type="dxa"/>
            <w:noWrap/>
            <w:hideMark/>
          </w:tcPr>
          <w:p w14:paraId="714616FD"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64</w:t>
            </w:r>
          </w:p>
        </w:tc>
      </w:tr>
      <w:tr w:rsidR="0033653F" w:rsidRPr="00B357F4" w14:paraId="2D139F1D"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3B9B079"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241" w:type="dxa"/>
            <w:noWrap/>
            <w:hideMark/>
          </w:tcPr>
          <w:p w14:paraId="25B3DEF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191</w:t>
            </w:r>
          </w:p>
        </w:tc>
        <w:tc>
          <w:tcPr>
            <w:tcW w:w="1086" w:type="dxa"/>
            <w:noWrap/>
            <w:hideMark/>
          </w:tcPr>
          <w:p w14:paraId="007E38E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173</w:t>
            </w:r>
          </w:p>
        </w:tc>
        <w:tc>
          <w:tcPr>
            <w:tcW w:w="1085" w:type="dxa"/>
            <w:noWrap/>
            <w:hideMark/>
          </w:tcPr>
          <w:p w14:paraId="055990BF"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196</w:t>
            </w:r>
          </w:p>
        </w:tc>
        <w:tc>
          <w:tcPr>
            <w:tcW w:w="1085" w:type="dxa"/>
            <w:noWrap/>
            <w:hideMark/>
          </w:tcPr>
          <w:p w14:paraId="5812A3E9"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157</w:t>
            </w:r>
          </w:p>
        </w:tc>
        <w:tc>
          <w:tcPr>
            <w:tcW w:w="1085" w:type="dxa"/>
            <w:noWrap/>
            <w:hideMark/>
          </w:tcPr>
          <w:p w14:paraId="5E2713A4"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157</w:t>
            </w:r>
          </w:p>
        </w:tc>
        <w:tc>
          <w:tcPr>
            <w:tcW w:w="1241" w:type="dxa"/>
            <w:noWrap/>
            <w:hideMark/>
          </w:tcPr>
          <w:p w14:paraId="1C296E0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137</w:t>
            </w:r>
          </w:p>
        </w:tc>
        <w:tc>
          <w:tcPr>
            <w:tcW w:w="1082" w:type="dxa"/>
            <w:noWrap/>
            <w:hideMark/>
          </w:tcPr>
          <w:p w14:paraId="7C6F724F"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97</w:t>
            </w:r>
          </w:p>
        </w:tc>
        <w:tc>
          <w:tcPr>
            <w:tcW w:w="1088" w:type="dxa"/>
            <w:noWrap/>
            <w:hideMark/>
          </w:tcPr>
          <w:p w14:paraId="5A814A7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r>
      <w:tr w:rsidR="0033653F" w:rsidRPr="00B357F4" w14:paraId="5888CB39"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64CBDF1E"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241" w:type="dxa"/>
            <w:noWrap/>
            <w:hideMark/>
          </w:tcPr>
          <w:p w14:paraId="7C3B7BF4"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w:t>
            </w:r>
          </w:p>
        </w:tc>
        <w:tc>
          <w:tcPr>
            <w:tcW w:w="1086" w:type="dxa"/>
            <w:noWrap/>
            <w:hideMark/>
          </w:tcPr>
          <w:p w14:paraId="110F3BBA"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178</w:t>
            </w:r>
          </w:p>
        </w:tc>
        <w:tc>
          <w:tcPr>
            <w:tcW w:w="1085" w:type="dxa"/>
            <w:noWrap/>
            <w:hideMark/>
          </w:tcPr>
          <w:p w14:paraId="1072FA42"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214</w:t>
            </w:r>
          </w:p>
        </w:tc>
        <w:tc>
          <w:tcPr>
            <w:tcW w:w="1085" w:type="dxa"/>
            <w:noWrap/>
            <w:hideMark/>
          </w:tcPr>
          <w:p w14:paraId="25F7657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217</w:t>
            </w:r>
          </w:p>
        </w:tc>
        <w:tc>
          <w:tcPr>
            <w:tcW w:w="1085" w:type="dxa"/>
            <w:noWrap/>
            <w:hideMark/>
          </w:tcPr>
          <w:p w14:paraId="1EFCFFAB"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171</w:t>
            </w:r>
          </w:p>
        </w:tc>
        <w:tc>
          <w:tcPr>
            <w:tcW w:w="1241" w:type="dxa"/>
            <w:noWrap/>
            <w:hideMark/>
          </w:tcPr>
          <w:p w14:paraId="6AE910B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w:t>
            </w:r>
          </w:p>
        </w:tc>
        <w:tc>
          <w:tcPr>
            <w:tcW w:w="1082" w:type="dxa"/>
            <w:noWrap/>
            <w:hideMark/>
          </w:tcPr>
          <w:p w14:paraId="0A34501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100</w:t>
            </w:r>
          </w:p>
        </w:tc>
        <w:tc>
          <w:tcPr>
            <w:tcW w:w="1088" w:type="dxa"/>
            <w:noWrap/>
            <w:hideMark/>
          </w:tcPr>
          <w:p w14:paraId="13F27BE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74</w:t>
            </w:r>
          </w:p>
        </w:tc>
      </w:tr>
      <w:tr w:rsidR="0033653F" w:rsidRPr="00B357F4" w14:paraId="3E5A5642"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12E93648"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241" w:type="dxa"/>
            <w:noWrap/>
            <w:hideMark/>
          </w:tcPr>
          <w:p w14:paraId="17D42334"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259</w:t>
            </w:r>
          </w:p>
        </w:tc>
        <w:tc>
          <w:tcPr>
            <w:tcW w:w="1086" w:type="dxa"/>
            <w:noWrap/>
            <w:hideMark/>
          </w:tcPr>
          <w:p w14:paraId="40573A7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225</w:t>
            </w:r>
          </w:p>
        </w:tc>
        <w:tc>
          <w:tcPr>
            <w:tcW w:w="1085" w:type="dxa"/>
            <w:noWrap/>
            <w:hideMark/>
          </w:tcPr>
          <w:p w14:paraId="6D6AA00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246</w:t>
            </w:r>
          </w:p>
        </w:tc>
        <w:tc>
          <w:tcPr>
            <w:tcW w:w="1085" w:type="dxa"/>
            <w:noWrap/>
            <w:hideMark/>
          </w:tcPr>
          <w:p w14:paraId="2E89FA3F"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231</w:t>
            </w:r>
          </w:p>
        </w:tc>
        <w:tc>
          <w:tcPr>
            <w:tcW w:w="1085" w:type="dxa"/>
            <w:noWrap/>
            <w:hideMark/>
          </w:tcPr>
          <w:p w14:paraId="7E52044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218</w:t>
            </w:r>
          </w:p>
        </w:tc>
        <w:tc>
          <w:tcPr>
            <w:tcW w:w="1241" w:type="dxa"/>
            <w:noWrap/>
            <w:hideMark/>
          </w:tcPr>
          <w:p w14:paraId="2B7BC767"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160</w:t>
            </w:r>
          </w:p>
        </w:tc>
        <w:tc>
          <w:tcPr>
            <w:tcW w:w="1082" w:type="dxa"/>
            <w:noWrap/>
            <w:hideMark/>
          </w:tcPr>
          <w:p w14:paraId="469D948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125</w:t>
            </w:r>
          </w:p>
        </w:tc>
        <w:tc>
          <w:tcPr>
            <w:tcW w:w="1088" w:type="dxa"/>
            <w:noWrap/>
            <w:hideMark/>
          </w:tcPr>
          <w:p w14:paraId="2658F922"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133</w:t>
            </w:r>
          </w:p>
        </w:tc>
      </w:tr>
      <w:tr w:rsidR="0033653F" w:rsidRPr="00B357F4" w14:paraId="706E8D8B"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AABF1B4"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1241" w:type="dxa"/>
            <w:noWrap/>
            <w:hideMark/>
          </w:tcPr>
          <w:p w14:paraId="2164440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202</w:t>
            </w:r>
          </w:p>
        </w:tc>
        <w:tc>
          <w:tcPr>
            <w:tcW w:w="1086" w:type="dxa"/>
            <w:noWrap/>
            <w:hideMark/>
          </w:tcPr>
          <w:p w14:paraId="1E93B9B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225</w:t>
            </w:r>
          </w:p>
        </w:tc>
        <w:tc>
          <w:tcPr>
            <w:tcW w:w="1085" w:type="dxa"/>
            <w:noWrap/>
            <w:hideMark/>
          </w:tcPr>
          <w:p w14:paraId="24492350"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151</w:t>
            </w:r>
          </w:p>
        </w:tc>
        <w:tc>
          <w:tcPr>
            <w:tcW w:w="1085" w:type="dxa"/>
            <w:noWrap/>
            <w:hideMark/>
          </w:tcPr>
          <w:p w14:paraId="24DC6884"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209</w:t>
            </w:r>
          </w:p>
        </w:tc>
        <w:tc>
          <w:tcPr>
            <w:tcW w:w="1085" w:type="dxa"/>
            <w:noWrap/>
            <w:hideMark/>
          </w:tcPr>
          <w:p w14:paraId="36A24920"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207</w:t>
            </w:r>
          </w:p>
        </w:tc>
        <w:tc>
          <w:tcPr>
            <w:tcW w:w="1241" w:type="dxa"/>
            <w:noWrap/>
            <w:hideMark/>
          </w:tcPr>
          <w:p w14:paraId="0ADC1AC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134</w:t>
            </w:r>
          </w:p>
        </w:tc>
        <w:tc>
          <w:tcPr>
            <w:tcW w:w="1082" w:type="dxa"/>
            <w:noWrap/>
            <w:hideMark/>
          </w:tcPr>
          <w:p w14:paraId="38FD23E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148</w:t>
            </w:r>
          </w:p>
        </w:tc>
        <w:tc>
          <w:tcPr>
            <w:tcW w:w="1088" w:type="dxa"/>
            <w:noWrap/>
            <w:hideMark/>
          </w:tcPr>
          <w:p w14:paraId="62584C28"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r>
      <w:tr w:rsidR="0033653F" w:rsidRPr="00B357F4" w14:paraId="77EDD075"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5C3906BB"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241" w:type="dxa"/>
            <w:noWrap/>
            <w:hideMark/>
          </w:tcPr>
          <w:p w14:paraId="12C409E1"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173</w:t>
            </w:r>
          </w:p>
        </w:tc>
        <w:tc>
          <w:tcPr>
            <w:tcW w:w="1086" w:type="dxa"/>
            <w:noWrap/>
            <w:hideMark/>
          </w:tcPr>
          <w:p w14:paraId="05BBBD55"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w:t>
            </w:r>
          </w:p>
        </w:tc>
        <w:tc>
          <w:tcPr>
            <w:tcW w:w="1085" w:type="dxa"/>
            <w:noWrap/>
            <w:hideMark/>
          </w:tcPr>
          <w:p w14:paraId="0E5B090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200</w:t>
            </w:r>
          </w:p>
        </w:tc>
        <w:tc>
          <w:tcPr>
            <w:tcW w:w="1085" w:type="dxa"/>
            <w:noWrap/>
            <w:hideMark/>
          </w:tcPr>
          <w:p w14:paraId="5575E5E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227</w:t>
            </w:r>
          </w:p>
        </w:tc>
        <w:tc>
          <w:tcPr>
            <w:tcW w:w="1085" w:type="dxa"/>
            <w:noWrap/>
            <w:hideMark/>
          </w:tcPr>
          <w:p w14:paraId="27027829"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168</w:t>
            </w:r>
          </w:p>
        </w:tc>
        <w:tc>
          <w:tcPr>
            <w:tcW w:w="1241" w:type="dxa"/>
            <w:noWrap/>
            <w:hideMark/>
          </w:tcPr>
          <w:p w14:paraId="24C8862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107</w:t>
            </w:r>
          </w:p>
        </w:tc>
        <w:tc>
          <w:tcPr>
            <w:tcW w:w="1082" w:type="dxa"/>
            <w:noWrap/>
            <w:hideMark/>
          </w:tcPr>
          <w:p w14:paraId="3BD0388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101</w:t>
            </w:r>
          </w:p>
        </w:tc>
        <w:tc>
          <w:tcPr>
            <w:tcW w:w="1088" w:type="dxa"/>
            <w:noWrap/>
            <w:hideMark/>
          </w:tcPr>
          <w:p w14:paraId="3E1648A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65</w:t>
            </w:r>
          </w:p>
        </w:tc>
      </w:tr>
      <w:tr w:rsidR="0033653F" w:rsidRPr="00B357F4" w14:paraId="6C4F55E5"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796315A2"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1241" w:type="dxa"/>
            <w:noWrap/>
            <w:hideMark/>
          </w:tcPr>
          <w:p w14:paraId="6941CEE0"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6" w:type="dxa"/>
            <w:noWrap/>
            <w:hideMark/>
          </w:tcPr>
          <w:p w14:paraId="1CAA5E4A"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4EEFFA79"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6768D9A2"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3C720859"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241" w:type="dxa"/>
            <w:noWrap/>
            <w:hideMark/>
          </w:tcPr>
          <w:p w14:paraId="7DB718C4"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2" w:type="dxa"/>
            <w:noWrap/>
            <w:hideMark/>
          </w:tcPr>
          <w:p w14:paraId="743E209E"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8" w:type="dxa"/>
            <w:noWrap/>
            <w:hideMark/>
          </w:tcPr>
          <w:p w14:paraId="0E7652B3"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r>
    </w:tbl>
    <w:p w14:paraId="02FDAA34" w14:textId="611AE49B" w:rsidR="0033653F" w:rsidRPr="00B357F4" w:rsidRDefault="39440D4B" w:rsidP="0033653F">
      <w:pPr>
        <w:pStyle w:val="Opisslike"/>
        <w:keepNext/>
      </w:pPr>
      <w:bookmarkStart w:id="45" w:name="_Toc87949886"/>
      <w:r w:rsidRPr="00B357F4">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5</w:t>
      </w:r>
      <w:r>
        <w:fldChar w:fldCharType="end"/>
      </w:r>
      <w:r w:rsidRPr="003020E6">
        <w:t xml:space="preserve"> </w:t>
      </w:r>
      <w:r w:rsidRPr="00D7774F">
        <w:t xml:space="preserve">Specifična </w:t>
      </w:r>
      <w:r w:rsidR="6B982B29" w:rsidRPr="005C396B">
        <w:t xml:space="preserve">godišnja </w:t>
      </w:r>
      <w:r w:rsidRPr="00B03C9B">
        <w:t xml:space="preserve">potrebna toplinska energija za grijanje (kWh/m2a) prema namjeni i razdoblju gradnje zgrade za </w:t>
      </w:r>
      <w:r w:rsidRPr="00B357F4">
        <w:t>primorsku Hrvatsku</w:t>
      </w:r>
      <w:bookmarkEnd w:id="45"/>
    </w:p>
    <w:tbl>
      <w:tblPr>
        <w:tblStyle w:val="Tamnatablicareetke5-isticanje31"/>
        <w:tblW w:w="5000" w:type="pct"/>
        <w:tblLook w:val="04A0" w:firstRow="1" w:lastRow="0" w:firstColumn="1" w:lastColumn="0" w:noHBand="0" w:noVBand="1"/>
      </w:tblPr>
      <w:tblGrid>
        <w:gridCol w:w="1171"/>
        <w:gridCol w:w="1030"/>
        <w:gridCol w:w="1053"/>
        <w:gridCol w:w="992"/>
        <w:gridCol w:w="992"/>
        <w:gridCol w:w="992"/>
        <w:gridCol w:w="1131"/>
        <w:gridCol w:w="993"/>
        <w:gridCol w:w="990"/>
      </w:tblGrid>
      <w:tr w:rsidR="0033653F" w:rsidRPr="00B357F4" w14:paraId="4C3266D2" w14:textId="77777777" w:rsidTr="009B13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532BC696" w14:textId="77777777" w:rsidR="0033653F" w:rsidRPr="00B357F4" w:rsidRDefault="0033653F" w:rsidP="0033653F">
            <w:pPr>
              <w:spacing w:before="0" w:after="0"/>
              <w:jc w:val="left"/>
              <w:rPr>
                <w:rFonts w:ascii="Times New Roman" w:hAnsi="Times New Roman" w:cs="Times New Roman"/>
                <w:szCs w:val="20"/>
                <w:lang w:eastAsia="hr-HR"/>
              </w:rPr>
            </w:pPr>
          </w:p>
        </w:tc>
        <w:tc>
          <w:tcPr>
            <w:tcW w:w="0" w:type="dxa"/>
            <w:noWrap/>
            <w:hideMark/>
          </w:tcPr>
          <w:p w14:paraId="516E524A"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&lt;1945</w:t>
            </w:r>
          </w:p>
        </w:tc>
        <w:tc>
          <w:tcPr>
            <w:tcW w:w="0" w:type="dxa"/>
            <w:noWrap/>
            <w:hideMark/>
          </w:tcPr>
          <w:p w14:paraId="1057CD02"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1945-1960</w:t>
            </w:r>
          </w:p>
        </w:tc>
        <w:tc>
          <w:tcPr>
            <w:tcW w:w="0" w:type="dxa"/>
            <w:noWrap/>
            <w:hideMark/>
          </w:tcPr>
          <w:p w14:paraId="13607D54"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1961-1970</w:t>
            </w:r>
          </w:p>
        </w:tc>
        <w:tc>
          <w:tcPr>
            <w:tcW w:w="0" w:type="dxa"/>
            <w:noWrap/>
            <w:hideMark/>
          </w:tcPr>
          <w:p w14:paraId="77B4AA72"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1971-1980</w:t>
            </w:r>
          </w:p>
        </w:tc>
        <w:tc>
          <w:tcPr>
            <w:tcW w:w="0" w:type="dxa"/>
            <w:noWrap/>
            <w:hideMark/>
          </w:tcPr>
          <w:p w14:paraId="68FBDAB0"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1981-1990</w:t>
            </w:r>
          </w:p>
        </w:tc>
        <w:tc>
          <w:tcPr>
            <w:tcW w:w="0" w:type="dxa"/>
            <w:noWrap/>
            <w:hideMark/>
          </w:tcPr>
          <w:p w14:paraId="210174C5"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1991-2000</w:t>
            </w:r>
          </w:p>
        </w:tc>
        <w:tc>
          <w:tcPr>
            <w:tcW w:w="0" w:type="dxa"/>
            <w:noWrap/>
            <w:hideMark/>
          </w:tcPr>
          <w:p w14:paraId="4FE97372"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2001-2010</w:t>
            </w:r>
          </w:p>
        </w:tc>
        <w:tc>
          <w:tcPr>
            <w:tcW w:w="0" w:type="dxa"/>
            <w:noWrap/>
            <w:hideMark/>
          </w:tcPr>
          <w:p w14:paraId="49FEBA00"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2011-2020</w:t>
            </w:r>
          </w:p>
        </w:tc>
      </w:tr>
      <w:tr w:rsidR="00A45ADC" w:rsidRPr="00B357F4" w14:paraId="768726FA"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449F5171" w14:textId="77777777" w:rsidR="00A45ADC" w:rsidRPr="00B357F4" w:rsidRDefault="00A45ADC" w:rsidP="00A45ADC">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128" w:type="dxa"/>
            <w:noWrap/>
            <w:vAlign w:val="bottom"/>
            <w:hideMark/>
          </w:tcPr>
          <w:p w14:paraId="2F043D02" w14:textId="7BD57356"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130</w:t>
            </w:r>
          </w:p>
        </w:tc>
        <w:tc>
          <w:tcPr>
            <w:tcW w:w="1154" w:type="dxa"/>
            <w:noWrap/>
            <w:vAlign w:val="bottom"/>
            <w:hideMark/>
          </w:tcPr>
          <w:p w14:paraId="50A55137" w14:textId="46B69FBB"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130</w:t>
            </w:r>
          </w:p>
        </w:tc>
        <w:tc>
          <w:tcPr>
            <w:tcW w:w="1085" w:type="dxa"/>
            <w:noWrap/>
            <w:vAlign w:val="bottom"/>
            <w:hideMark/>
          </w:tcPr>
          <w:p w14:paraId="71297C80" w14:textId="671A9B94"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130</w:t>
            </w:r>
          </w:p>
        </w:tc>
        <w:tc>
          <w:tcPr>
            <w:tcW w:w="1085" w:type="dxa"/>
            <w:noWrap/>
            <w:vAlign w:val="bottom"/>
            <w:hideMark/>
          </w:tcPr>
          <w:p w14:paraId="5F9A2C51" w14:textId="02CF6405"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5" w:type="dxa"/>
            <w:noWrap/>
            <w:vAlign w:val="bottom"/>
            <w:hideMark/>
          </w:tcPr>
          <w:p w14:paraId="38A2F5F8" w14:textId="693CD2D4"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241" w:type="dxa"/>
            <w:noWrap/>
            <w:vAlign w:val="bottom"/>
            <w:hideMark/>
          </w:tcPr>
          <w:p w14:paraId="5EC2FD10" w14:textId="5D710601"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6" w:type="dxa"/>
            <w:noWrap/>
            <w:vAlign w:val="bottom"/>
            <w:hideMark/>
          </w:tcPr>
          <w:p w14:paraId="79734412" w14:textId="54002FED"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60</w:t>
            </w:r>
          </w:p>
        </w:tc>
        <w:tc>
          <w:tcPr>
            <w:tcW w:w="1083" w:type="dxa"/>
            <w:noWrap/>
            <w:vAlign w:val="bottom"/>
            <w:hideMark/>
          </w:tcPr>
          <w:p w14:paraId="56077101" w14:textId="263B6F97"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60</w:t>
            </w:r>
          </w:p>
        </w:tc>
      </w:tr>
      <w:tr w:rsidR="00A45ADC" w:rsidRPr="00B357F4" w14:paraId="0C2976E1"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39EF2913" w14:textId="77777777" w:rsidR="00A45ADC" w:rsidRPr="00B357F4" w:rsidRDefault="00A45ADC" w:rsidP="00A45ADC">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128" w:type="dxa"/>
            <w:noWrap/>
            <w:vAlign w:val="bottom"/>
            <w:hideMark/>
          </w:tcPr>
          <w:p w14:paraId="2707993E" w14:textId="5134BB30"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100</w:t>
            </w:r>
          </w:p>
        </w:tc>
        <w:tc>
          <w:tcPr>
            <w:tcW w:w="1154" w:type="dxa"/>
            <w:noWrap/>
            <w:vAlign w:val="bottom"/>
            <w:hideMark/>
          </w:tcPr>
          <w:p w14:paraId="698EA31B" w14:textId="6EFDF747"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100</w:t>
            </w:r>
          </w:p>
        </w:tc>
        <w:tc>
          <w:tcPr>
            <w:tcW w:w="1085" w:type="dxa"/>
            <w:noWrap/>
            <w:vAlign w:val="bottom"/>
            <w:hideMark/>
          </w:tcPr>
          <w:p w14:paraId="20143CDE" w14:textId="20044CA4"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100</w:t>
            </w:r>
          </w:p>
        </w:tc>
        <w:tc>
          <w:tcPr>
            <w:tcW w:w="1085" w:type="dxa"/>
            <w:noWrap/>
            <w:vAlign w:val="bottom"/>
            <w:hideMark/>
          </w:tcPr>
          <w:p w14:paraId="436FE65E" w14:textId="5FFCEE24"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5" w:type="dxa"/>
            <w:noWrap/>
            <w:vAlign w:val="bottom"/>
            <w:hideMark/>
          </w:tcPr>
          <w:p w14:paraId="36E57632" w14:textId="0548CE9F"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241" w:type="dxa"/>
            <w:noWrap/>
            <w:vAlign w:val="bottom"/>
            <w:hideMark/>
          </w:tcPr>
          <w:p w14:paraId="1BF43209" w14:textId="552B60AF"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6" w:type="dxa"/>
            <w:noWrap/>
            <w:vAlign w:val="bottom"/>
            <w:hideMark/>
          </w:tcPr>
          <w:p w14:paraId="02303CE5" w14:textId="7C28F8E1"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50</w:t>
            </w:r>
          </w:p>
        </w:tc>
        <w:tc>
          <w:tcPr>
            <w:tcW w:w="1083" w:type="dxa"/>
            <w:noWrap/>
            <w:vAlign w:val="bottom"/>
            <w:hideMark/>
          </w:tcPr>
          <w:p w14:paraId="0F9CC475" w14:textId="4AE0D1BD"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50</w:t>
            </w:r>
          </w:p>
        </w:tc>
      </w:tr>
      <w:tr w:rsidR="0033653F" w:rsidRPr="00B357F4" w14:paraId="40CC321D"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2DC24CF6"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128" w:type="dxa"/>
            <w:noWrap/>
            <w:hideMark/>
          </w:tcPr>
          <w:p w14:paraId="120F4E30"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182</w:t>
            </w:r>
          </w:p>
        </w:tc>
        <w:tc>
          <w:tcPr>
            <w:tcW w:w="1154" w:type="dxa"/>
            <w:noWrap/>
            <w:hideMark/>
          </w:tcPr>
          <w:p w14:paraId="70375297"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103</w:t>
            </w:r>
          </w:p>
        </w:tc>
        <w:tc>
          <w:tcPr>
            <w:tcW w:w="1085" w:type="dxa"/>
            <w:noWrap/>
            <w:hideMark/>
          </w:tcPr>
          <w:p w14:paraId="15684BD1"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w:t>
            </w:r>
          </w:p>
        </w:tc>
        <w:tc>
          <w:tcPr>
            <w:tcW w:w="1085" w:type="dxa"/>
            <w:noWrap/>
            <w:hideMark/>
          </w:tcPr>
          <w:p w14:paraId="5D31463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104</w:t>
            </w:r>
          </w:p>
        </w:tc>
        <w:tc>
          <w:tcPr>
            <w:tcW w:w="1085" w:type="dxa"/>
            <w:noWrap/>
            <w:hideMark/>
          </w:tcPr>
          <w:p w14:paraId="465EF1FC"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88</w:t>
            </w:r>
          </w:p>
        </w:tc>
        <w:tc>
          <w:tcPr>
            <w:tcW w:w="1241" w:type="dxa"/>
            <w:noWrap/>
            <w:hideMark/>
          </w:tcPr>
          <w:p w14:paraId="43763A1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65</w:t>
            </w:r>
          </w:p>
        </w:tc>
        <w:tc>
          <w:tcPr>
            <w:tcW w:w="1086" w:type="dxa"/>
            <w:noWrap/>
            <w:hideMark/>
          </w:tcPr>
          <w:p w14:paraId="29A08E7B"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52</w:t>
            </w:r>
          </w:p>
        </w:tc>
        <w:tc>
          <w:tcPr>
            <w:tcW w:w="1083" w:type="dxa"/>
            <w:noWrap/>
            <w:hideMark/>
          </w:tcPr>
          <w:p w14:paraId="0F86C8A6"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61</w:t>
            </w:r>
          </w:p>
        </w:tc>
      </w:tr>
      <w:tr w:rsidR="0033653F" w:rsidRPr="00B357F4" w14:paraId="0B5D3CF9"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74AB6A02"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128" w:type="dxa"/>
            <w:noWrap/>
            <w:hideMark/>
          </w:tcPr>
          <w:p w14:paraId="6F0EC902"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100</w:t>
            </w:r>
          </w:p>
        </w:tc>
        <w:tc>
          <w:tcPr>
            <w:tcW w:w="1154" w:type="dxa"/>
            <w:noWrap/>
            <w:hideMark/>
          </w:tcPr>
          <w:p w14:paraId="25423C5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93</w:t>
            </w:r>
          </w:p>
        </w:tc>
        <w:tc>
          <w:tcPr>
            <w:tcW w:w="1085" w:type="dxa"/>
            <w:noWrap/>
            <w:hideMark/>
          </w:tcPr>
          <w:p w14:paraId="79120E73"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86</w:t>
            </w:r>
          </w:p>
        </w:tc>
        <w:tc>
          <w:tcPr>
            <w:tcW w:w="1085" w:type="dxa"/>
            <w:noWrap/>
            <w:hideMark/>
          </w:tcPr>
          <w:p w14:paraId="44C1561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161</w:t>
            </w:r>
          </w:p>
        </w:tc>
        <w:tc>
          <w:tcPr>
            <w:tcW w:w="1085" w:type="dxa"/>
            <w:noWrap/>
            <w:hideMark/>
          </w:tcPr>
          <w:p w14:paraId="4810F4E4"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c>
          <w:tcPr>
            <w:tcW w:w="1241" w:type="dxa"/>
            <w:noWrap/>
            <w:hideMark/>
          </w:tcPr>
          <w:p w14:paraId="4D8FB9AD"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c>
          <w:tcPr>
            <w:tcW w:w="1086" w:type="dxa"/>
            <w:noWrap/>
            <w:hideMark/>
          </w:tcPr>
          <w:p w14:paraId="1DD2FC70"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w:t>
            </w:r>
          </w:p>
        </w:tc>
        <w:tc>
          <w:tcPr>
            <w:tcW w:w="1083" w:type="dxa"/>
            <w:noWrap/>
            <w:hideMark/>
          </w:tcPr>
          <w:p w14:paraId="422B1F51"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35</w:t>
            </w:r>
          </w:p>
        </w:tc>
      </w:tr>
      <w:tr w:rsidR="0033653F" w:rsidRPr="00B357F4" w14:paraId="0A116D4F"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12F8C812"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128" w:type="dxa"/>
            <w:noWrap/>
            <w:hideMark/>
          </w:tcPr>
          <w:p w14:paraId="6D20031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115</w:t>
            </w:r>
          </w:p>
        </w:tc>
        <w:tc>
          <w:tcPr>
            <w:tcW w:w="1154" w:type="dxa"/>
            <w:noWrap/>
            <w:hideMark/>
          </w:tcPr>
          <w:p w14:paraId="0022D40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107</w:t>
            </w:r>
          </w:p>
        </w:tc>
        <w:tc>
          <w:tcPr>
            <w:tcW w:w="1085" w:type="dxa"/>
            <w:noWrap/>
            <w:hideMark/>
          </w:tcPr>
          <w:p w14:paraId="532C1DFA"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110</w:t>
            </w:r>
          </w:p>
        </w:tc>
        <w:tc>
          <w:tcPr>
            <w:tcW w:w="1085" w:type="dxa"/>
            <w:noWrap/>
            <w:hideMark/>
          </w:tcPr>
          <w:p w14:paraId="5E86E41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91</w:t>
            </w:r>
          </w:p>
        </w:tc>
        <w:tc>
          <w:tcPr>
            <w:tcW w:w="1085" w:type="dxa"/>
            <w:noWrap/>
            <w:hideMark/>
          </w:tcPr>
          <w:p w14:paraId="77E89679"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91</w:t>
            </w:r>
          </w:p>
        </w:tc>
        <w:tc>
          <w:tcPr>
            <w:tcW w:w="1241" w:type="dxa"/>
            <w:noWrap/>
            <w:hideMark/>
          </w:tcPr>
          <w:p w14:paraId="30E19D8A"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69</w:t>
            </w:r>
          </w:p>
        </w:tc>
        <w:tc>
          <w:tcPr>
            <w:tcW w:w="1086" w:type="dxa"/>
            <w:noWrap/>
            <w:hideMark/>
          </w:tcPr>
          <w:p w14:paraId="5A657B17"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49</w:t>
            </w:r>
          </w:p>
        </w:tc>
        <w:tc>
          <w:tcPr>
            <w:tcW w:w="1083" w:type="dxa"/>
            <w:noWrap/>
            <w:hideMark/>
          </w:tcPr>
          <w:p w14:paraId="023017E5"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40</w:t>
            </w:r>
          </w:p>
        </w:tc>
      </w:tr>
      <w:tr w:rsidR="0033653F" w:rsidRPr="00B357F4" w14:paraId="0CD23675"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599B1D42"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128" w:type="dxa"/>
            <w:noWrap/>
            <w:hideMark/>
          </w:tcPr>
          <w:p w14:paraId="2EBE483B"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119</w:t>
            </w:r>
          </w:p>
        </w:tc>
        <w:tc>
          <w:tcPr>
            <w:tcW w:w="1154" w:type="dxa"/>
            <w:noWrap/>
            <w:hideMark/>
          </w:tcPr>
          <w:p w14:paraId="54E5D321"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w:t>
            </w:r>
          </w:p>
        </w:tc>
        <w:tc>
          <w:tcPr>
            <w:tcW w:w="1085" w:type="dxa"/>
            <w:noWrap/>
            <w:hideMark/>
          </w:tcPr>
          <w:p w14:paraId="0FE16EB6"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122</w:t>
            </w:r>
          </w:p>
        </w:tc>
        <w:tc>
          <w:tcPr>
            <w:tcW w:w="1085" w:type="dxa"/>
            <w:noWrap/>
            <w:hideMark/>
          </w:tcPr>
          <w:p w14:paraId="5660E7CD"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106</w:t>
            </w:r>
          </w:p>
        </w:tc>
        <w:tc>
          <w:tcPr>
            <w:tcW w:w="1085" w:type="dxa"/>
            <w:noWrap/>
            <w:hideMark/>
          </w:tcPr>
          <w:p w14:paraId="5EA97957"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91</w:t>
            </w:r>
          </w:p>
        </w:tc>
        <w:tc>
          <w:tcPr>
            <w:tcW w:w="1241" w:type="dxa"/>
            <w:noWrap/>
            <w:hideMark/>
          </w:tcPr>
          <w:p w14:paraId="26A0DE97"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101</w:t>
            </w:r>
          </w:p>
        </w:tc>
        <w:tc>
          <w:tcPr>
            <w:tcW w:w="1086" w:type="dxa"/>
            <w:noWrap/>
            <w:hideMark/>
          </w:tcPr>
          <w:p w14:paraId="0488147C"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63</w:t>
            </w:r>
          </w:p>
        </w:tc>
        <w:tc>
          <w:tcPr>
            <w:tcW w:w="1083" w:type="dxa"/>
            <w:noWrap/>
            <w:hideMark/>
          </w:tcPr>
          <w:p w14:paraId="7386936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45</w:t>
            </w:r>
          </w:p>
        </w:tc>
      </w:tr>
      <w:tr w:rsidR="0033653F" w:rsidRPr="00B357F4" w14:paraId="174D80BB"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777FDE2C"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128" w:type="dxa"/>
            <w:noWrap/>
            <w:hideMark/>
          </w:tcPr>
          <w:p w14:paraId="7F7B3C9C"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130</w:t>
            </w:r>
          </w:p>
        </w:tc>
        <w:tc>
          <w:tcPr>
            <w:tcW w:w="1154" w:type="dxa"/>
            <w:noWrap/>
            <w:hideMark/>
          </w:tcPr>
          <w:p w14:paraId="35D12BFA"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143</w:t>
            </w:r>
          </w:p>
        </w:tc>
        <w:tc>
          <w:tcPr>
            <w:tcW w:w="1085" w:type="dxa"/>
            <w:noWrap/>
            <w:hideMark/>
          </w:tcPr>
          <w:p w14:paraId="3490E0AD"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134</w:t>
            </w:r>
          </w:p>
        </w:tc>
        <w:tc>
          <w:tcPr>
            <w:tcW w:w="1085" w:type="dxa"/>
            <w:noWrap/>
            <w:hideMark/>
          </w:tcPr>
          <w:p w14:paraId="350811E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128</w:t>
            </w:r>
          </w:p>
        </w:tc>
        <w:tc>
          <w:tcPr>
            <w:tcW w:w="1085" w:type="dxa"/>
            <w:noWrap/>
            <w:hideMark/>
          </w:tcPr>
          <w:p w14:paraId="11A4C370"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119</w:t>
            </w:r>
          </w:p>
        </w:tc>
        <w:tc>
          <w:tcPr>
            <w:tcW w:w="1241" w:type="dxa"/>
            <w:noWrap/>
            <w:hideMark/>
          </w:tcPr>
          <w:p w14:paraId="78EA4958"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133</w:t>
            </w:r>
          </w:p>
        </w:tc>
        <w:tc>
          <w:tcPr>
            <w:tcW w:w="1086" w:type="dxa"/>
            <w:noWrap/>
            <w:hideMark/>
          </w:tcPr>
          <w:p w14:paraId="4F0CB4D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70</w:t>
            </w:r>
          </w:p>
        </w:tc>
        <w:tc>
          <w:tcPr>
            <w:tcW w:w="1083" w:type="dxa"/>
            <w:noWrap/>
            <w:hideMark/>
          </w:tcPr>
          <w:p w14:paraId="3583AB40"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49</w:t>
            </w:r>
          </w:p>
        </w:tc>
      </w:tr>
      <w:tr w:rsidR="0033653F" w:rsidRPr="00B357F4" w14:paraId="25C2F303"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13504E8B"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NSZ6</w:t>
            </w:r>
          </w:p>
        </w:tc>
        <w:tc>
          <w:tcPr>
            <w:tcW w:w="1128" w:type="dxa"/>
            <w:noWrap/>
            <w:hideMark/>
          </w:tcPr>
          <w:p w14:paraId="0AE1DE5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83</w:t>
            </w:r>
          </w:p>
        </w:tc>
        <w:tc>
          <w:tcPr>
            <w:tcW w:w="1154" w:type="dxa"/>
            <w:noWrap/>
            <w:hideMark/>
          </w:tcPr>
          <w:p w14:paraId="161BCA7C"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105</w:t>
            </w:r>
          </w:p>
        </w:tc>
        <w:tc>
          <w:tcPr>
            <w:tcW w:w="1085" w:type="dxa"/>
            <w:noWrap/>
            <w:hideMark/>
          </w:tcPr>
          <w:p w14:paraId="4333BBD5"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132</w:t>
            </w:r>
          </w:p>
        </w:tc>
        <w:tc>
          <w:tcPr>
            <w:tcW w:w="1085" w:type="dxa"/>
            <w:noWrap/>
            <w:hideMark/>
          </w:tcPr>
          <w:p w14:paraId="32B9AA7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183</w:t>
            </w:r>
          </w:p>
        </w:tc>
        <w:tc>
          <w:tcPr>
            <w:tcW w:w="1085" w:type="dxa"/>
            <w:noWrap/>
            <w:hideMark/>
          </w:tcPr>
          <w:p w14:paraId="17CDEAD5"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182</w:t>
            </w:r>
          </w:p>
        </w:tc>
        <w:tc>
          <w:tcPr>
            <w:tcW w:w="1241" w:type="dxa"/>
            <w:noWrap/>
            <w:hideMark/>
          </w:tcPr>
          <w:p w14:paraId="51B69F0E"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64</w:t>
            </w:r>
          </w:p>
        </w:tc>
        <w:tc>
          <w:tcPr>
            <w:tcW w:w="1086" w:type="dxa"/>
            <w:noWrap/>
            <w:hideMark/>
          </w:tcPr>
          <w:p w14:paraId="6600C655"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78</w:t>
            </w:r>
          </w:p>
        </w:tc>
        <w:tc>
          <w:tcPr>
            <w:tcW w:w="1083" w:type="dxa"/>
            <w:noWrap/>
            <w:hideMark/>
          </w:tcPr>
          <w:p w14:paraId="46C59A72"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66</w:t>
            </w:r>
          </w:p>
        </w:tc>
      </w:tr>
      <w:tr w:rsidR="0033653F" w:rsidRPr="00B357F4" w14:paraId="43CA31D8"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42F18DA3"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128" w:type="dxa"/>
            <w:noWrap/>
            <w:hideMark/>
          </w:tcPr>
          <w:p w14:paraId="47D36DF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100</w:t>
            </w:r>
          </w:p>
        </w:tc>
        <w:tc>
          <w:tcPr>
            <w:tcW w:w="1154" w:type="dxa"/>
            <w:noWrap/>
            <w:hideMark/>
          </w:tcPr>
          <w:p w14:paraId="152FA9EE"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115</w:t>
            </w:r>
          </w:p>
        </w:tc>
        <w:tc>
          <w:tcPr>
            <w:tcW w:w="1085" w:type="dxa"/>
            <w:noWrap/>
            <w:hideMark/>
          </w:tcPr>
          <w:p w14:paraId="6096BE37"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112</w:t>
            </w:r>
          </w:p>
        </w:tc>
        <w:tc>
          <w:tcPr>
            <w:tcW w:w="1085" w:type="dxa"/>
            <w:noWrap/>
            <w:hideMark/>
          </w:tcPr>
          <w:p w14:paraId="120C2B0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113</w:t>
            </w:r>
          </w:p>
        </w:tc>
        <w:tc>
          <w:tcPr>
            <w:tcW w:w="1085" w:type="dxa"/>
            <w:noWrap/>
            <w:hideMark/>
          </w:tcPr>
          <w:p w14:paraId="77DABC32"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94</w:t>
            </w:r>
          </w:p>
        </w:tc>
        <w:tc>
          <w:tcPr>
            <w:tcW w:w="1241" w:type="dxa"/>
            <w:noWrap/>
            <w:hideMark/>
          </w:tcPr>
          <w:p w14:paraId="1D72CD84"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83</w:t>
            </w:r>
          </w:p>
        </w:tc>
        <w:tc>
          <w:tcPr>
            <w:tcW w:w="1086" w:type="dxa"/>
            <w:noWrap/>
            <w:hideMark/>
          </w:tcPr>
          <w:p w14:paraId="58430476"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54</w:t>
            </w:r>
          </w:p>
        </w:tc>
        <w:tc>
          <w:tcPr>
            <w:tcW w:w="1083" w:type="dxa"/>
            <w:noWrap/>
            <w:hideMark/>
          </w:tcPr>
          <w:p w14:paraId="1E0F15F6"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42</w:t>
            </w:r>
          </w:p>
        </w:tc>
      </w:tr>
      <w:tr w:rsidR="0033653F" w:rsidRPr="00B357F4" w14:paraId="1821C46F"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3EE6FD24"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1128" w:type="dxa"/>
            <w:noWrap/>
            <w:hideMark/>
          </w:tcPr>
          <w:p w14:paraId="3E8A2778"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154" w:type="dxa"/>
            <w:noWrap/>
            <w:hideMark/>
          </w:tcPr>
          <w:p w14:paraId="5518F4D1"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3974E80B"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54F6B9F9"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18496658"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241" w:type="dxa"/>
            <w:noWrap/>
            <w:hideMark/>
          </w:tcPr>
          <w:p w14:paraId="52E7EC20"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6" w:type="dxa"/>
            <w:noWrap/>
            <w:hideMark/>
          </w:tcPr>
          <w:p w14:paraId="265A5D45"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3" w:type="dxa"/>
            <w:noWrap/>
            <w:hideMark/>
          </w:tcPr>
          <w:p w14:paraId="73B8EB24"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r>
    </w:tbl>
    <w:p w14:paraId="22AE3FF3" w14:textId="4B850298" w:rsidR="00584B5B" w:rsidRPr="00B357F4" w:rsidRDefault="000F2286" w:rsidP="00703875">
      <w:pPr>
        <w:rPr>
          <w:lang w:eastAsia="hr-HR"/>
        </w:rPr>
      </w:pPr>
      <w:r w:rsidRPr="00B357F4">
        <w:t xml:space="preserve">Energetskom obnovom zgrada javnog sektora se </w:t>
      </w:r>
      <w:r w:rsidR="00F10AA8" w:rsidRPr="00B357F4">
        <w:t xml:space="preserve">do 2030. godine </w:t>
      </w:r>
      <w:r w:rsidR="00B736BC" w:rsidRPr="00B357F4">
        <w:t xml:space="preserve">obuhvatom prema </w:t>
      </w:r>
      <w:r w:rsidR="00B96A96">
        <w:t>Dugoročnoj strategiji.</w:t>
      </w:r>
      <w:r w:rsidR="00B96A96" w:rsidRPr="00B357F4">
        <w:t xml:space="preserve"> </w:t>
      </w:r>
    </w:p>
    <w:p w14:paraId="22C40838" w14:textId="4BCB7817" w:rsidR="007C02EC" w:rsidRPr="00B357F4" w:rsidRDefault="010B6B53" w:rsidP="004F2A2C">
      <w:pPr>
        <w:pStyle w:val="Naslov20"/>
      </w:pPr>
      <w:bookmarkStart w:id="46" w:name="_Toc94769974"/>
      <w:r w:rsidRPr="00B357F4">
        <w:t>Procjena godišnje isporučene energije</w:t>
      </w:r>
      <w:r w:rsidR="50962E7C" w:rsidRPr="00B357F4">
        <w:t xml:space="preserve"> i primarne energije</w:t>
      </w:r>
      <w:bookmarkEnd w:id="46"/>
      <w:r w:rsidR="50962E7C" w:rsidRPr="00B357F4">
        <w:t xml:space="preserve">  </w:t>
      </w:r>
    </w:p>
    <w:p w14:paraId="5D5B379D" w14:textId="23C0F5D8" w:rsidR="0085182D" w:rsidRPr="00B357F4" w:rsidRDefault="00104B90" w:rsidP="001E7991">
      <w:r w:rsidRPr="00B357F4">
        <w:t xml:space="preserve">Procjena godišnje isporučene i primarne energije </w:t>
      </w:r>
      <w:r w:rsidR="00F22BB0" w:rsidRPr="00B357F4">
        <w:t>po vrsti zgrada određena je modelski, na temelju podataka o</w:t>
      </w:r>
      <w:r w:rsidR="001E7991" w:rsidRPr="00B357F4">
        <w:t xml:space="preserve"> fondu</w:t>
      </w:r>
      <w:r w:rsidR="00F22BB0" w:rsidRPr="00B357F4">
        <w:t xml:space="preserve"> zgrada </w:t>
      </w:r>
      <w:r w:rsidR="001E7991" w:rsidRPr="00B357F4">
        <w:t>i prosječnoj potrebnoj toplinskoj energiji za grijanje</w:t>
      </w:r>
      <w:r w:rsidR="00FD519D" w:rsidRPr="00B357F4">
        <w:t xml:space="preserve">, te podacima o </w:t>
      </w:r>
      <w:r w:rsidR="00A91612" w:rsidRPr="00B357F4">
        <w:t xml:space="preserve">isporučenoj </w:t>
      </w:r>
      <w:r w:rsidR="009952EF" w:rsidRPr="00B357F4">
        <w:t xml:space="preserve">i primarnoj </w:t>
      </w:r>
      <w:r w:rsidR="00A91612" w:rsidRPr="00B357F4">
        <w:t xml:space="preserve">energiji za zgrade u </w:t>
      </w:r>
      <w:r w:rsidR="008B23BE" w:rsidRPr="00B357F4">
        <w:t xml:space="preserve">ISGE. </w:t>
      </w:r>
    </w:p>
    <w:p w14:paraId="625BB892" w14:textId="27AB1F7F" w:rsidR="000452C8" w:rsidRPr="00B357F4" w:rsidRDefault="1039FF33" w:rsidP="003E388B">
      <w:pPr>
        <w:pStyle w:val="Opisslike"/>
        <w:keepNext/>
      </w:pPr>
      <w:bookmarkStart w:id="47" w:name="_Toc87949887"/>
      <w:r w:rsidRPr="00B357F4">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6</w:t>
      </w:r>
      <w:r>
        <w:fldChar w:fldCharType="end"/>
      </w:r>
      <w:r w:rsidRPr="003020E6">
        <w:t xml:space="preserve"> Specifična godišnja potrebna toplinska energija</w:t>
      </w:r>
      <w:r w:rsidR="55DFC098" w:rsidRPr="00D7774F">
        <w:t xml:space="preserve"> za gr</w:t>
      </w:r>
      <w:r w:rsidR="55DFC098" w:rsidRPr="00216155">
        <w:t>ijanje, hlađenje i PTV</w:t>
      </w:r>
      <w:r w:rsidRPr="005C396B">
        <w:t xml:space="preserve">, te isporučena i </w:t>
      </w:r>
      <w:r w:rsidR="45E7DD04" w:rsidRPr="003245C1">
        <w:t xml:space="preserve">specifična godišnja </w:t>
      </w:r>
      <w:r w:rsidRPr="00B03C9B">
        <w:t>primarna energija za grijanje, hlađenje, PTV i rasvjetu kWh/m</w:t>
      </w:r>
      <w:r w:rsidRPr="00B357F4">
        <w:rPr>
          <w:vertAlign w:val="superscript"/>
        </w:rPr>
        <w:t>2</w:t>
      </w:r>
      <w:r w:rsidRPr="00B357F4">
        <w:t>a</w:t>
      </w:r>
      <w:r w:rsidR="0D636E61" w:rsidRPr="00B357F4">
        <w:t xml:space="preserve"> </w:t>
      </w:r>
      <w:r w:rsidRPr="00B357F4">
        <w:t>po vrsti zgrade i klimi</w:t>
      </w:r>
      <w:bookmarkEnd w:id="47"/>
    </w:p>
    <w:tbl>
      <w:tblPr>
        <w:tblStyle w:val="Tamnatablicareetke5-isticanje31"/>
        <w:tblW w:w="5000" w:type="pct"/>
        <w:tblLayout w:type="fixed"/>
        <w:tblLook w:val="04A0" w:firstRow="1" w:lastRow="0" w:firstColumn="1" w:lastColumn="0" w:noHBand="0" w:noVBand="1"/>
      </w:tblPr>
      <w:tblGrid>
        <w:gridCol w:w="1034"/>
        <w:gridCol w:w="1428"/>
        <w:gridCol w:w="1160"/>
        <w:gridCol w:w="1192"/>
        <w:gridCol w:w="1133"/>
        <w:gridCol w:w="1133"/>
        <w:gridCol w:w="1133"/>
        <w:gridCol w:w="1131"/>
      </w:tblGrid>
      <w:tr w:rsidR="00297B2B" w:rsidRPr="00B357F4" w14:paraId="6209A10A" w14:textId="62CAF6C1" w:rsidTr="004D0AD6">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tcPr>
          <w:p w14:paraId="0813EDF3" w14:textId="77777777" w:rsidR="008D7446" w:rsidRPr="00B357F4" w:rsidRDefault="008D7446" w:rsidP="005B2649">
            <w:pPr>
              <w:spacing w:before="0" w:after="0"/>
              <w:jc w:val="left"/>
              <w:rPr>
                <w:rFonts w:ascii="Times New Roman" w:hAnsi="Times New Roman" w:cs="Times New Roman"/>
                <w:sz w:val="24"/>
                <w:szCs w:val="20"/>
                <w:lang w:eastAsia="hr-HR"/>
              </w:rPr>
            </w:pPr>
          </w:p>
        </w:tc>
        <w:tc>
          <w:tcPr>
            <w:tcW w:w="1428" w:type="dxa"/>
          </w:tcPr>
          <w:p w14:paraId="7F9C48E2" w14:textId="77777777" w:rsidR="008D7446" w:rsidRPr="00B357F4" w:rsidRDefault="008D7446" w:rsidP="005B2649">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3485" w:type="dxa"/>
            <w:gridSpan w:val="3"/>
          </w:tcPr>
          <w:p w14:paraId="560C8B04" w14:textId="75076A71" w:rsidR="008D7446" w:rsidRPr="00B357F4" w:rsidRDefault="008D7446" w:rsidP="005B2649">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kontinentalna Hrvatska</w:t>
            </w:r>
          </w:p>
        </w:tc>
        <w:tc>
          <w:tcPr>
            <w:tcW w:w="3397" w:type="dxa"/>
            <w:gridSpan w:val="3"/>
          </w:tcPr>
          <w:p w14:paraId="1F694260" w14:textId="3EBC944E" w:rsidR="008D7446" w:rsidRPr="00B357F4" w:rsidRDefault="008D7446" w:rsidP="005B2649">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primorska Hrvatska</w:t>
            </w:r>
          </w:p>
        </w:tc>
      </w:tr>
      <w:tr w:rsidR="00297B2B" w:rsidRPr="00B357F4" w14:paraId="1389AEE7" w14:textId="6474C1B0" w:rsidTr="004D0AD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hideMark/>
          </w:tcPr>
          <w:p w14:paraId="07C65710" w14:textId="77777777" w:rsidR="003C4A51" w:rsidRPr="00B357F4" w:rsidRDefault="003C4A51" w:rsidP="003C4A51">
            <w:pPr>
              <w:spacing w:before="0" w:after="0"/>
              <w:jc w:val="left"/>
              <w:rPr>
                <w:rFonts w:ascii="Times New Roman" w:hAnsi="Times New Roman" w:cs="Times New Roman"/>
                <w:sz w:val="24"/>
                <w:szCs w:val="20"/>
                <w:lang w:eastAsia="hr-HR"/>
              </w:rPr>
            </w:pPr>
          </w:p>
        </w:tc>
        <w:tc>
          <w:tcPr>
            <w:tcW w:w="1428" w:type="dxa"/>
            <w:hideMark/>
          </w:tcPr>
          <w:p w14:paraId="5F06C718"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p>
        </w:tc>
        <w:tc>
          <w:tcPr>
            <w:tcW w:w="1160" w:type="dxa"/>
            <w:hideMark/>
          </w:tcPr>
          <w:p w14:paraId="2210CC19" w14:textId="53839395"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92" w:type="dxa"/>
            <w:hideMark/>
          </w:tcPr>
          <w:p w14:paraId="276CB76A" w14:textId="0CA3A92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r w:rsidRPr="00B357F4">
              <w:rPr>
                <w:rFonts w:ascii="Calibri" w:hAnsi="Calibri" w:cs="Calibri"/>
                <w:color w:val="000000"/>
                <w:sz w:val="22"/>
                <w:szCs w:val="22"/>
                <w:lang w:eastAsia="hr-HR"/>
              </w:rPr>
              <w:t xml:space="preserve"> za grijanje, hlađenje, PTV i rasvjetu</w:t>
            </w:r>
          </w:p>
          <w:p w14:paraId="79728F87" w14:textId="58A40550"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26E82A1E"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
          <w:p w14:paraId="531EC823" w14:textId="33A47786"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3AF933F1" w14:textId="47F312A3"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33" w:type="dxa"/>
          </w:tcPr>
          <w:p w14:paraId="1C210C95"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r w:rsidRPr="00B357F4">
              <w:rPr>
                <w:rFonts w:ascii="Calibri" w:hAnsi="Calibri" w:cs="Calibri"/>
                <w:color w:val="000000"/>
                <w:sz w:val="22"/>
                <w:szCs w:val="22"/>
                <w:lang w:eastAsia="hr-HR"/>
              </w:rPr>
              <w:t xml:space="preserve"> za grijanje, hlađenje, PTV i rasvjetu</w:t>
            </w:r>
          </w:p>
          <w:p w14:paraId="054A6ECF" w14:textId="6A0BFFA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1" w:type="dxa"/>
          </w:tcPr>
          <w:p w14:paraId="7D7CEF05"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
          <w:p w14:paraId="6E3764B6" w14:textId="3CEA81C9"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r>
      <w:tr w:rsidR="004D0AD6" w:rsidRPr="00B357F4" w14:paraId="222B5B21" w14:textId="7884AB33"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10DFBEC9" w14:textId="74BCB6D2"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428" w:type="dxa"/>
            <w:noWrap/>
          </w:tcPr>
          <w:p w14:paraId="72A6D33F" w14:textId="016789E3" w:rsidR="004D0AD6" w:rsidRPr="00B357F4" w:rsidRDefault="004D0AD6"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Obiteljske kuće</w:t>
            </w:r>
          </w:p>
        </w:tc>
        <w:tc>
          <w:tcPr>
            <w:tcW w:w="1160" w:type="dxa"/>
            <w:noWrap/>
          </w:tcPr>
          <w:p w14:paraId="05031ADE" w14:textId="579A259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185</w:t>
            </w:r>
          </w:p>
        </w:tc>
        <w:tc>
          <w:tcPr>
            <w:tcW w:w="1192" w:type="dxa"/>
            <w:noWrap/>
          </w:tcPr>
          <w:p w14:paraId="632A573E" w14:textId="2EE01BBA"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242</w:t>
            </w:r>
          </w:p>
        </w:tc>
        <w:tc>
          <w:tcPr>
            <w:tcW w:w="1133" w:type="dxa"/>
          </w:tcPr>
          <w:p w14:paraId="46958038" w14:textId="6F12C421"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318</w:t>
            </w:r>
          </w:p>
        </w:tc>
        <w:tc>
          <w:tcPr>
            <w:tcW w:w="1133" w:type="dxa"/>
            <w:noWrap/>
          </w:tcPr>
          <w:p w14:paraId="6A61BFE2" w14:textId="772AF8B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w:t>
            </w:r>
          </w:p>
        </w:tc>
        <w:tc>
          <w:tcPr>
            <w:tcW w:w="1133" w:type="dxa"/>
            <w:noWrap/>
          </w:tcPr>
          <w:p w14:paraId="430B438D" w14:textId="194A6CB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185</w:t>
            </w:r>
          </w:p>
        </w:tc>
        <w:tc>
          <w:tcPr>
            <w:tcW w:w="1131" w:type="dxa"/>
          </w:tcPr>
          <w:p w14:paraId="14A8B2F3" w14:textId="249D57F0"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254</w:t>
            </w:r>
          </w:p>
        </w:tc>
      </w:tr>
      <w:tr w:rsidR="004D0AD6" w:rsidRPr="00B357F4" w14:paraId="257B4327" w14:textId="390462B9"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7453D1D5" w14:textId="06BE84F6"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428" w:type="dxa"/>
            <w:noWrap/>
          </w:tcPr>
          <w:p w14:paraId="4EA5D835" w14:textId="52323B68" w:rsidR="004D0AD6" w:rsidRPr="00B357F4" w:rsidRDefault="004D0AD6"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Višestambene zgrade</w:t>
            </w:r>
          </w:p>
        </w:tc>
        <w:tc>
          <w:tcPr>
            <w:tcW w:w="1160" w:type="dxa"/>
            <w:noWrap/>
          </w:tcPr>
          <w:p w14:paraId="4B643E99" w14:textId="60DD459B"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145</w:t>
            </w:r>
          </w:p>
        </w:tc>
        <w:tc>
          <w:tcPr>
            <w:tcW w:w="1192" w:type="dxa"/>
            <w:noWrap/>
          </w:tcPr>
          <w:p w14:paraId="5FC24926" w14:textId="14F39C8C"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196</w:t>
            </w:r>
          </w:p>
        </w:tc>
        <w:tc>
          <w:tcPr>
            <w:tcW w:w="1133" w:type="dxa"/>
          </w:tcPr>
          <w:p w14:paraId="4184FC07" w14:textId="13D73B71"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251</w:t>
            </w:r>
          </w:p>
        </w:tc>
        <w:tc>
          <w:tcPr>
            <w:tcW w:w="1133" w:type="dxa"/>
            <w:noWrap/>
          </w:tcPr>
          <w:p w14:paraId="3B7D2147" w14:textId="0EB143DC"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145</w:t>
            </w:r>
          </w:p>
        </w:tc>
        <w:tc>
          <w:tcPr>
            <w:tcW w:w="1133" w:type="dxa"/>
            <w:noWrap/>
          </w:tcPr>
          <w:p w14:paraId="4A727EE7" w14:textId="6B16B021"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205</w:t>
            </w:r>
          </w:p>
        </w:tc>
        <w:tc>
          <w:tcPr>
            <w:tcW w:w="1131" w:type="dxa"/>
          </w:tcPr>
          <w:p w14:paraId="784C34E9" w14:textId="38CF75A1"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275</w:t>
            </w:r>
          </w:p>
        </w:tc>
      </w:tr>
      <w:tr w:rsidR="004D0AD6" w:rsidRPr="00B357F4" w14:paraId="5DD4CB3C" w14:textId="3E0F41FF"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24079422" w14:textId="55FF8FC8"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428" w:type="dxa"/>
            <w:noWrap/>
            <w:hideMark/>
          </w:tcPr>
          <w:p w14:paraId="51CAA961" w14:textId="77777777" w:rsidR="004D0AD6" w:rsidRPr="00B357F4" w:rsidRDefault="004D0AD6"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Uredi</w:t>
            </w:r>
          </w:p>
        </w:tc>
        <w:tc>
          <w:tcPr>
            <w:tcW w:w="1160" w:type="dxa"/>
            <w:noWrap/>
            <w:hideMark/>
          </w:tcPr>
          <w:p w14:paraId="66D0BD96" w14:textId="2582E0D6"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192</w:t>
            </w:r>
          </w:p>
        </w:tc>
        <w:tc>
          <w:tcPr>
            <w:tcW w:w="1192" w:type="dxa"/>
            <w:noWrap/>
            <w:hideMark/>
          </w:tcPr>
          <w:p w14:paraId="71060B0A" w14:textId="695BA17A"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170</w:t>
            </w:r>
          </w:p>
        </w:tc>
        <w:tc>
          <w:tcPr>
            <w:tcW w:w="1133" w:type="dxa"/>
          </w:tcPr>
          <w:p w14:paraId="7E3ACB9A" w14:textId="4ADB554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234</w:t>
            </w:r>
          </w:p>
        </w:tc>
        <w:tc>
          <w:tcPr>
            <w:tcW w:w="1133" w:type="dxa"/>
            <w:noWrap/>
            <w:hideMark/>
          </w:tcPr>
          <w:p w14:paraId="0FE27FE3" w14:textId="3161565C"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209</w:t>
            </w:r>
          </w:p>
        </w:tc>
        <w:tc>
          <w:tcPr>
            <w:tcW w:w="1133" w:type="dxa"/>
            <w:noWrap/>
            <w:hideMark/>
          </w:tcPr>
          <w:p w14:paraId="7F50E7AD" w14:textId="7B4EB02A"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142</w:t>
            </w:r>
          </w:p>
        </w:tc>
        <w:tc>
          <w:tcPr>
            <w:tcW w:w="1131" w:type="dxa"/>
          </w:tcPr>
          <w:p w14:paraId="6A63A921" w14:textId="08B15713"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204</w:t>
            </w:r>
          </w:p>
        </w:tc>
      </w:tr>
      <w:tr w:rsidR="004D0AD6" w:rsidRPr="00B357F4" w14:paraId="24AC21B8" w14:textId="3DEAC339"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4785B282" w14:textId="483BD142"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428" w:type="dxa"/>
            <w:noWrap/>
            <w:hideMark/>
          </w:tcPr>
          <w:p w14:paraId="6F1E0CC6" w14:textId="77777777" w:rsidR="004D0AD6" w:rsidRPr="00B357F4" w:rsidRDefault="004D0AD6"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Obrazovanje</w:t>
            </w:r>
          </w:p>
        </w:tc>
        <w:tc>
          <w:tcPr>
            <w:tcW w:w="1160" w:type="dxa"/>
            <w:noWrap/>
            <w:hideMark/>
          </w:tcPr>
          <w:p w14:paraId="6EDD092E" w14:textId="19BD2245"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183</w:t>
            </w:r>
          </w:p>
        </w:tc>
        <w:tc>
          <w:tcPr>
            <w:tcW w:w="1192" w:type="dxa"/>
            <w:noWrap/>
            <w:hideMark/>
          </w:tcPr>
          <w:p w14:paraId="30B6104A" w14:textId="14C93C36"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148</w:t>
            </w:r>
          </w:p>
        </w:tc>
        <w:tc>
          <w:tcPr>
            <w:tcW w:w="1133" w:type="dxa"/>
          </w:tcPr>
          <w:p w14:paraId="639B73A5" w14:textId="5B6380F3"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201</w:t>
            </w:r>
          </w:p>
        </w:tc>
        <w:tc>
          <w:tcPr>
            <w:tcW w:w="1133" w:type="dxa"/>
            <w:noWrap/>
            <w:hideMark/>
          </w:tcPr>
          <w:p w14:paraId="539BB3FC" w14:textId="62654F2E"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180</w:t>
            </w:r>
          </w:p>
        </w:tc>
        <w:tc>
          <w:tcPr>
            <w:tcW w:w="1133" w:type="dxa"/>
            <w:noWrap/>
            <w:hideMark/>
          </w:tcPr>
          <w:p w14:paraId="1754A0DE" w14:textId="32875D4D"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117</w:t>
            </w:r>
          </w:p>
        </w:tc>
        <w:tc>
          <w:tcPr>
            <w:tcW w:w="1131" w:type="dxa"/>
          </w:tcPr>
          <w:p w14:paraId="725039E5" w14:textId="1666182C"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166</w:t>
            </w:r>
          </w:p>
        </w:tc>
      </w:tr>
      <w:tr w:rsidR="004D0AD6" w:rsidRPr="00B357F4" w14:paraId="3943A5C3" w14:textId="1C18E0E0"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A9644BD" w14:textId="39D7B681"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428" w:type="dxa"/>
            <w:noWrap/>
            <w:hideMark/>
          </w:tcPr>
          <w:p w14:paraId="71D81000" w14:textId="6BB9DE27" w:rsidR="004D0AD6" w:rsidRPr="00B357F4" w:rsidRDefault="00921E0E"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Bolnice</w:t>
            </w:r>
          </w:p>
        </w:tc>
        <w:tc>
          <w:tcPr>
            <w:tcW w:w="1160" w:type="dxa"/>
            <w:noWrap/>
            <w:hideMark/>
          </w:tcPr>
          <w:p w14:paraId="08EACE42" w14:textId="0B93643C"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335</w:t>
            </w:r>
          </w:p>
        </w:tc>
        <w:tc>
          <w:tcPr>
            <w:tcW w:w="1192" w:type="dxa"/>
            <w:noWrap/>
            <w:hideMark/>
          </w:tcPr>
          <w:p w14:paraId="32F77000" w14:textId="0E1320D4"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239</w:t>
            </w:r>
          </w:p>
        </w:tc>
        <w:tc>
          <w:tcPr>
            <w:tcW w:w="1133" w:type="dxa"/>
          </w:tcPr>
          <w:p w14:paraId="66A34C24" w14:textId="1356C34C"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322</w:t>
            </w:r>
          </w:p>
        </w:tc>
        <w:tc>
          <w:tcPr>
            <w:tcW w:w="1133" w:type="dxa"/>
            <w:noWrap/>
            <w:hideMark/>
          </w:tcPr>
          <w:p w14:paraId="5990886A" w14:textId="487C610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329</w:t>
            </w:r>
          </w:p>
        </w:tc>
        <w:tc>
          <w:tcPr>
            <w:tcW w:w="1133" w:type="dxa"/>
            <w:noWrap/>
            <w:hideMark/>
          </w:tcPr>
          <w:p w14:paraId="18CE313D" w14:textId="0EDF0DE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189</w:t>
            </w:r>
          </w:p>
        </w:tc>
        <w:tc>
          <w:tcPr>
            <w:tcW w:w="1131" w:type="dxa"/>
          </w:tcPr>
          <w:p w14:paraId="0177BDE2" w14:textId="65BA0029"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270</w:t>
            </w:r>
          </w:p>
        </w:tc>
      </w:tr>
      <w:tr w:rsidR="004D0AD6" w:rsidRPr="00B357F4" w14:paraId="3EB61DA0" w14:textId="79FD6F7A"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33AF0F2" w14:textId="2381516D"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428" w:type="dxa"/>
            <w:noWrap/>
            <w:hideMark/>
          </w:tcPr>
          <w:p w14:paraId="373A5C37" w14:textId="548C6C29" w:rsidR="004D0AD6" w:rsidRPr="00B357F4" w:rsidRDefault="00921E0E"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Hoteli i restorani</w:t>
            </w:r>
          </w:p>
        </w:tc>
        <w:tc>
          <w:tcPr>
            <w:tcW w:w="1160" w:type="dxa"/>
            <w:noWrap/>
            <w:hideMark/>
          </w:tcPr>
          <w:p w14:paraId="54F07DD3" w14:textId="02610E1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287</w:t>
            </w:r>
          </w:p>
        </w:tc>
        <w:tc>
          <w:tcPr>
            <w:tcW w:w="1192" w:type="dxa"/>
            <w:noWrap/>
            <w:hideMark/>
          </w:tcPr>
          <w:p w14:paraId="2917EB4F" w14:textId="1E261DA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228</w:t>
            </w:r>
          </w:p>
        </w:tc>
        <w:tc>
          <w:tcPr>
            <w:tcW w:w="1133" w:type="dxa"/>
          </w:tcPr>
          <w:p w14:paraId="71CA4870" w14:textId="028EE5F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310</w:t>
            </w:r>
          </w:p>
        </w:tc>
        <w:tc>
          <w:tcPr>
            <w:tcW w:w="1133" w:type="dxa"/>
            <w:noWrap/>
            <w:hideMark/>
          </w:tcPr>
          <w:p w14:paraId="15AAFF82" w14:textId="0EF1EAD3"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296</w:t>
            </w:r>
          </w:p>
        </w:tc>
        <w:tc>
          <w:tcPr>
            <w:tcW w:w="1133" w:type="dxa"/>
            <w:noWrap/>
            <w:hideMark/>
          </w:tcPr>
          <w:p w14:paraId="5C18CE7B" w14:textId="374D7B39"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185</w:t>
            </w:r>
          </w:p>
        </w:tc>
        <w:tc>
          <w:tcPr>
            <w:tcW w:w="1131" w:type="dxa"/>
          </w:tcPr>
          <w:p w14:paraId="0AAA9289" w14:textId="2BA51D3B"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263</w:t>
            </w:r>
          </w:p>
        </w:tc>
      </w:tr>
      <w:tr w:rsidR="004D0AD6" w:rsidRPr="00B357F4" w14:paraId="6D33A4A2" w14:textId="2EF5C6C7"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6B9B4DE7" w14:textId="331D7EEB"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428" w:type="dxa"/>
            <w:noWrap/>
            <w:hideMark/>
          </w:tcPr>
          <w:p w14:paraId="40087B66" w14:textId="2A1E539D" w:rsidR="004D0AD6" w:rsidRPr="00B357F4" w:rsidRDefault="00921E0E"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Druge nestambene</w:t>
            </w:r>
          </w:p>
        </w:tc>
        <w:tc>
          <w:tcPr>
            <w:tcW w:w="1160" w:type="dxa"/>
            <w:noWrap/>
            <w:hideMark/>
          </w:tcPr>
          <w:p w14:paraId="2072C1DC" w14:textId="17106D5F"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203</w:t>
            </w:r>
          </w:p>
        </w:tc>
        <w:tc>
          <w:tcPr>
            <w:tcW w:w="1192" w:type="dxa"/>
            <w:noWrap/>
            <w:hideMark/>
          </w:tcPr>
          <w:p w14:paraId="6D83EB89" w14:textId="327CF979"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171</w:t>
            </w:r>
          </w:p>
        </w:tc>
        <w:tc>
          <w:tcPr>
            <w:tcW w:w="1133" w:type="dxa"/>
          </w:tcPr>
          <w:p w14:paraId="73C67F15" w14:textId="3F1A21A2"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226</w:t>
            </w:r>
          </w:p>
        </w:tc>
        <w:tc>
          <w:tcPr>
            <w:tcW w:w="1133" w:type="dxa"/>
            <w:noWrap/>
            <w:hideMark/>
          </w:tcPr>
          <w:p w14:paraId="78EFE612" w14:textId="4000A4F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234</w:t>
            </w:r>
          </w:p>
        </w:tc>
        <w:tc>
          <w:tcPr>
            <w:tcW w:w="1133" w:type="dxa"/>
            <w:noWrap/>
            <w:hideMark/>
          </w:tcPr>
          <w:p w14:paraId="265A31C2" w14:textId="7F7B608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142</w:t>
            </w:r>
          </w:p>
        </w:tc>
        <w:tc>
          <w:tcPr>
            <w:tcW w:w="1131" w:type="dxa"/>
          </w:tcPr>
          <w:p w14:paraId="25D78D05" w14:textId="785F2F54"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196</w:t>
            </w:r>
          </w:p>
        </w:tc>
      </w:tr>
      <w:tr w:rsidR="004D0AD6" w:rsidRPr="00B357F4" w14:paraId="11654E75" w14:textId="64A8FAC7"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13FCDCA" w14:textId="0D9AB951"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1428" w:type="dxa"/>
            <w:noWrap/>
            <w:hideMark/>
          </w:tcPr>
          <w:p w14:paraId="37C6B0CD" w14:textId="687A6508" w:rsidR="004D0AD6" w:rsidRPr="00B357F4" w:rsidRDefault="00921E0E"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Dvorane</w:t>
            </w:r>
          </w:p>
        </w:tc>
        <w:tc>
          <w:tcPr>
            <w:tcW w:w="1160" w:type="dxa"/>
            <w:noWrap/>
            <w:hideMark/>
          </w:tcPr>
          <w:p w14:paraId="5C796A09" w14:textId="3148C83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205</w:t>
            </w:r>
          </w:p>
        </w:tc>
        <w:tc>
          <w:tcPr>
            <w:tcW w:w="1192" w:type="dxa"/>
            <w:noWrap/>
            <w:hideMark/>
          </w:tcPr>
          <w:p w14:paraId="38E5B2A3" w14:textId="3B334FD8"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216</w:t>
            </w:r>
          </w:p>
        </w:tc>
        <w:tc>
          <w:tcPr>
            <w:tcW w:w="1133" w:type="dxa"/>
          </w:tcPr>
          <w:p w14:paraId="50B0490F" w14:textId="68890DF5"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280</w:t>
            </w:r>
          </w:p>
        </w:tc>
        <w:tc>
          <w:tcPr>
            <w:tcW w:w="1133" w:type="dxa"/>
            <w:noWrap/>
            <w:hideMark/>
          </w:tcPr>
          <w:p w14:paraId="5F02E91C" w14:textId="245E4CAD"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219</w:t>
            </w:r>
          </w:p>
        </w:tc>
        <w:tc>
          <w:tcPr>
            <w:tcW w:w="1133" w:type="dxa"/>
            <w:noWrap/>
            <w:hideMark/>
          </w:tcPr>
          <w:p w14:paraId="0DB5C578" w14:textId="3A8AF6D9"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168</w:t>
            </w:r>
          </w:p>
        </w:tc>
        <w:tc>
          <w:tcPr>
            <w:tcW w:w="1131" w:type="dxa"/>
          </w:tcPr>
          <w:p w14:paraId="41A998E2" w14:textId="76A7B3FB"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226</w:t>
            </w:r>
          </w:p>
        </w:tc>
      </w:tr>
      <w:tr w:rsidR="004D0AD6" w:rsidRPr="00B357F4" w14:paraId="4366857D" w14:textId="654885A8"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67FAB61" w14:textId="03C417E5"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428" w:type="dxa"/>
            <w:noWrap/>
            <w:hideMark/>
          </w:tcPr>
          <w:p w14:paraId="1ADE9004" w14:textId="3A82CA2F" w:rsidR="004D0AD6" w:rsidRPr="00B357F4" w:rsidRDefault="00921E0E"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Trgovina</w:t>
            </w:r>
          </w:p>
        </w:tc>
        <w:tc>
          <w:tcPr>
            <w:tcW w:w="1160" w:type="dxa"/>
            <w:noWrap/>
            <w:hideMark/>
          </w:tcPr>
          <w:p w14:paraId="6747B2F5" w14:textId="65256E2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287</w:t>
            </w:r>
          </w:p>
        </w:tc>
        <w:tc>
          <w:tcPr>
            <w:tcW w:w="1192" w:type="dxa"/>
            <w:noWrap/>
            <w:hideMark/>
          </w:tcPr>
          <w:p w14:paraId="44A9421C" w14:textId="002CB376"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168</w:t>
            </w:r>
          </w:p>
        </w:tc>
        <w:tc>
          <w:tcPr>
            <w:tcW w:w="1133" w:type="dxa"/>
          </w:tcPr>
          <w:p w14:paraId="4B29F830" w14:textId="6CE95322"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232</w:t>
            </w:r>
          </w:p>
        </w:tc>
        <w:tc>
          <w:tcPr>
            <w:tcW w:w="1133" w:type="dxa"/>
            <w:noWrap/>
            <w:hideMark/>
          </w:tcPr>
          <w:p w14:paraId="2C5A1599" w14:textId="65D583B1"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321</w:t>
            </w:r>
          </w:p>
        </w:tc>
        <w:tc>
          <w:tcPr>
            <w:tcW w:w="1133" w:type="dxa"/>
            <w:noWrap/>
            <w:hideMark/>
          </w:tcPr>
          <w:p w14:paraId="16FB57DD" w14:textId="4DED5410"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142</w:t>
            </w:r>
          </w:p>
        </w:tc>
        <w:tc>
          <w:tcPr>
            <w:tcW w:w="1131" w:type="dxa"/>
          </w:tcPr>
          <w:p w14:paraId="2A3C741F" w14:textId="1AB097CD"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210</w:t>
            </w:r>
          </w:p>
        </w:tc>
      </w:tr>
    </w:tbl>
    <w:p w14:paraId="00DD49B9" w14:textId="28CCEC25" w:rsidR="00CC0744" w:rsidRPr="00B357F4" w:rsidRDefault="005D5CC3" w:rsidP="005D5CC3">
      <w:r w:rsidRPr="00B357F4">
        <w:t>Ukupna potrošnja primarne energija za toplinske potrebe (grijanje, hlađenje, ventilaciju, pripremu PTV i rasvjetu) za 16.099.</w:t>
      </w:r>
      <w:r w:rsidR="00E46C79" w:rsidRPr="00B357F4">
        <w:t>527 m² zgrada javnih sektora prije obnove iznosi 3.</w:t>
      </w:r>
      <w:r w:rsidR="000C5D84" w:rsidRPr="00B357F4">
        <w:t xml:space="preserve">593 GWh godišnje, uz generiranu emisiju od </w:t>
      </w:r>
      <w:r w:rsidR="001D1BB6" w:rsidRPr="00B357F4">
        <w:t>602.804 t</w:t>
      </w:r>
      <w:r w:rsidR="00A6617C" w:rsidRPr="00B357F4">
        <w:t>one CO</w:t>
      </w:r>
      <w:r w:rsidR="00A6617C" w:rsidRPr="00B357F4">
        <w:rPr>
          <w:vertAlign w:val="subscript"/>
        </w:rPr>
        <w:t xml:space="preserve">2. </w:t>
      </w:r>
      <w:r w:rsidR="00A6617C" w:rsidRPr="00B357F4">
        <w:t>Isporučena energija</w:t>
      </w:r>
      <w:r w:rsidR="007502D0" w:rsidRPr="00B357F4">
        <w:rPr>
          <w:rFonts w:cs="Myriad Pro Cond"/>
          <w:b/>
          <w:smallCaps/>
          <w:color w:val="BE1D2D"/>
          <w:sz w:val="32"/>
          <w:szCs w:val="36"/>
          <w:lang w:eastAsia="hr-HR"/>
        </w:rPr>
        <w:t xml:space="preserve"> </w:t>
      </w:r>
      <w:r w:rsidR="007502D0" w:rsidRPr="00B357F4">
        <w:t>za energetske potrebe zgrada iznosi</w:t>
      </w:r>
      <w:r w:rsidR="00CC0744" w:rsidRPr="00B357F4">
        <w:t xml:space="preserve"> 2.621 GWh godišnje. </w:t>
      </w:r>
      <w:r w:rsidR="007502D0" w:rsidRPr="00B357F4">
        <w:t xml:space="preserve"> </w:t>
      </w:r>
    </w:p>
    <w:p w14:paraId="3FF659B9" w14:textId="29D01E5A" w:rsidR="00AD1D06" w:rsidRPr="00B357F4" w:rsidRDefault="48A6FAAF" w:rsidP="00703875">
      <w:pPr>
        <w:pStyle w:val="Naslov20"/>
      </w:pPr>
      <w:bookmarkStart w:id="48" w:name="_Toc94769975"/>
      <w:r w:rsidRPr="00B357F4">
        <w:t>Analiza i evidencija dosadašnjih energetski obnovljenih zgrada, uključujući i zgrade nZEB</w:t>
      </w:r>
      <w:bookmarkEnd w:id="48"/>
      <w:r w:rsidRPr="00B357F4">
        <w:t xml:space="preserve"> </w:t>
      </w:r>
    </w:p>
    <w:p w14:paraId="66B988AE" w14:textId="64EA5009" w:rsidR="007C02EC" w:rsidRPr="00B357F4" w:rsidRDefault="007C02EC" w:rsidP="007C02EC">
      <w:pPr>
        <w:rPr>
          <w:lang w:eastAsia="hr-HR"/>
        </w:rPr>
      </w:pPr>
      <w:r w:rsidRPr="00B357F4">
        <w:rPr>
          <w:lang w:eastAsia="hr-HR"/>
        </w:rPr>
        <w:t xml:space="preserve">Podatak o stanju energetske obnove je modeliran prema ukupnoj površini zgrada javnog sektora, te namjenama i površini potpuno i djelomično obnovljenih zgrada u ISGE. </w:t>
      </w:r>
      <w:r w:rsidR="00066560" w:rsidRPr="00B357F4">
        <w:rPr>
          <w:lang w:eastAsia="hr-HR"/>
        </w:rPr>
        <w:t xml:space="preserve"> </w:t>
      </w:r>
    </w:p>
    <w:p w14:paraId="76BD6109" w14:textId="19FB80CF" w:rsidR="007C02EC" w:rsidRPr="00B357F4" w:rsidRDefault="010B6B53" w:rsidP="007C02EC">
      <w:pPr>
        <w:pStyle w:val="Opisslike"/>
        <w:keepNext/>
      </w:pPr>
      <w:bookmarkStart w:id="49" w:name="_Toc87949888"/>
      <w:r w:rsidRPr="00B357F4">
        <w:lastRenderedPageBreak/>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7</w:t>
      </w:r>
      <w:r>
        <w:fldChar w:fldCharType="end"/>
      </w:r>
      <w:r w:rsidRPr="003020E6">
        <w:t xml:space="preserve"> Ploš</w:t>
      </w:r>
      <w:r w:rsidRPr="00216155">
        <w:t xml:space="preserve">tina korisne </w:t>
      </w:r>
      <w:r w:rsidRPr="00B357F4">
        <w:t xml:space="preserve"> površine </w:t>
      </w:r>
      <w:r w:rsidR="22E9903D" w:rsidRPr="00B357F4">
        <w:t xml:space="preserve">grijanog dijela </w:t>
      </w:r>
      <w:r w:rsidRPr="00B357F4">
        <w:t>zgrada (Ak</w:t>
      </w:r>
      <w:r w:rsidRPr="00B357F4">
        <w:rPr>
          <w:vertAlign w:val="subscript"/>
        </w:rPr>
        <w:t>)</w:t>
      </w:r>
      <w:r w:rsidRPr="00B357F4">
        <w:t xml:space="preserve"> prema stanju energetske obnove</w:t>
      </w:r>
      <w:bookmarkEnd w:id="49"/>
    </w:p>
    <w:tbl>
      <w:tblPr>
        <w:tblStyle w:val="Tamnatablicareetke5-isticanje31"/>
        <w:tblW w:w="5000" w:type="pct"/>
        <w:tblLook w:val="04A0" w:firstRow="1" w:lastRow="0" w:firstColumn="1" w:lastColumn="0" w:noHBand="0" w:noVBand="1"/>
      </w:tblPr>
      <w:tblGrid>
        <w:gridCol w:w="1808"/>
        <w:gridCol w:w="2075"/>
        <w:gridCol w:w="2674"/>
        <w:gridCol w:w="2787"/>
      </w:tblGrid>
      <w:tr w:rsidR="007C02EC" w:rsidRPr="00B357F4" w14:paraId="1F526849" w14:textId="77777777" w:rsidTr="00E3686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A4090B3" w14:textId="77777777" w:rsidR="007C02EC" w:rsidRPr="00B357F4" w:rsidRDefault="007C02EC" w:rsidP="00E36866">
            <w:pPr>
              <w:spacing w:before="0" w:after="0"/>
              <w:jc w:val="left"/>
              <w:rPr>
                <w:rFonts w:ascii="Times New Roman" w:hAnsi="Times New Roman" w:cs="Times New Roman"/>
                <w:sz w:val="24"/>
                <w:szCs w:val="20"/>
                <w:lang w:eastAsia="hr-HR"/>
              </w:rPr>
            </w:pPr>
          </w:p>
        </w:tc>
        <w:tc>
          <w:tcPr>
            <w:tcW w:w="4749" w:type="dxa"/>
            <w:gridSpan w:val="2"/>
            <w:noWrap/>
            <w:hideMark/>
          </w:tcPr>
          <w:p w14:paraId="79FC1BBC" w14:textId="77777777" w:rsidR="007C02EC" w:rsidRPr="00B357F4" w:rsidRDefault="007C02EC" w:rsidP="00E36866">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energetska obnova</w:t>
            </w:r>
          </w:p>
        </w:tc>
        <w:tc>
          <w:tcPr>
            <w:tcW w:w="2787" w:type="dxa"/>
            <w:noWrap/>
            <w:hideMark/>
          </w:tcPr>
          <w:p w14:paraId="57C0ED09" w14:textId="77777777" w:rsidR="007C02EC" w:rsidRPr="00B357F4" w:rsidRDefault="007C02EC" w:rsidP="00E36866">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r>
      <w:tr w:rsidR="007C02EC" w:rsidRPr="00B357F4" w14:paraId="79AB3FBF" w14:textId="77777777" w:rsidTr="00E3686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08" w:type="dxa"/>
            <w:shd w:val="clear" w:color="auto" w:fill="AEAAAA" w:themeFill="background2" w:themeFillShade="BF"/>
            <w:noWrap/>
            <w:hideMark/>
          </w:tcPr>
          <w:p w14:paraId="37776F38" w14:textId="77777777" w:rsidR="007C02EC" w:rsidRPr="00B357F4" w:rsidRDefault="007C02EC" w:rsidP="00E36866">
            <w:pPr>
              <w:spacing w:before="0" w:after="0"/>
              <w:jc w:val="left"/>
              <w:rPr>
                <w:rFonts w:ascii="Times New Roman" w:hAnsi="Times New Roman" w:cs="Times New Roman"/>
                <w:szCs w:val="20"/>
                <w:lang w:eastAsia="hr-HR"/>
              </w:rPr>
            </w:pPr>
          </w:p>
        </w:tc>
        <w:tc>
          <w:tcPr>
            <w:tcW w:w="2075" w:type="dxa"/>
            <w:shd w:val="clear" w:color="auto" w:fill="AEAAAA" w:themeFill="background2" w:themeFillShade="BF"/>
            <w:noWrap/>
            <w:hideMark/>
          </w:tcPr>
          <w:p w14:paraId="7BF281BF" w14:textId="77777777" w:rsidR="007C02EC" w:rsidRPr="00B357F4" w:rsidRDefault="007C02EC" w:rsidP="00E36866">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lang w:eastAsia="hr-HR"/>
              </w:rPr>
            </w:pPr>
            <w:r w:rsidRPr="00B357F4">
              <w:rPr>
                <w:rFonts w:ascii="Calibri" w:hAnsi="Calibri" w:cs="Calibri"/>
                <w:b w:val="0"/>
                <w:color w:val="000000"/>
                <w:sz w:val="22"/>
                <w:szCs w:val="22"/>
                <w:lang w:eastAsia="hr-HR"/>
              </w:rPr>
              <w:t>potpuna</w:t>
            </w:r>
          </w:p>
        </w:tc>
        <w:tc>
          <w:tcPr>
            <w:tcW w:w="2674" w:type="dxa"/>
            <w:shd w:val="clear" w:color="auto" w:fill="AEAAAA" w:themeFill="background2" w:themeFillShade="BF"/>
            <w:noWrap/>
            <w:hideMark/>
          </w:tcPr>
          <w:p w14:paraId="21686464" w14:textId="77777777" w:rsidR="007C02EC" w:rsidRPr="00B357F4" w:rsidRDefault="007C02EC" w:rsidP="00E36866">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lang w:eastAsia="hr-HR"/>
              </w:rPr>
            </w:pPr>
            <w:r w:rsidRPr="00B357F4">
              <w:rPr>
                <w:rFonts w:ascii="Calibri" w:hAnsi="Calibri" w:cs="Calibri"/>
                <w:b w:val="0"/>
                <w:color w:val="000000"/>
                <w:sz w:val="22"/>
                <w:szCs w:val="22"/>
                <w:lang w:eastAsia="hr-HR"/>
              </w:rPr>
              <w:t>djelomična</w:t>
            </w:r>
          </w:p>
        </w:tc>
        <w:tc>
          <w:tcPr>
            <w:tcW w:w="2787" w:type="dxa"/>
            <w:shd w:val="clear" w:color="auto" w:fill="AEAAAA" w:themeFill="background2" w:themeFillShade="BF"/>
            <w:noWrap/>
            <w:hideMark/>
          </w:tcPr>
          <w:p w14:paraId="3CE0084D" w14:textId="77777777" w:rsidR="007C02EC" w:rsidRPr="00B357F4" w:rsidRDefault="007C02EC" w:rsidP="00E36866">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lang w:eastAsia="hr-HR"/>
              </w:rPr>
            </w:pPr>
            <w:r w:rsidRPr="00B357F4">
              <w:rPr>
                <w:rFonts w:ascii="Calibri" w:hAnsi="Calibri" w:cs="Calibri"/>
                <w:b w:val="0"/>
                <w:color w:val="000000"/>
                <w:sz w:val="22"/>
                <w:szCs w:val="22"/>
                <w:lang w:eastAsia="hr-HR"/>
              </w:rPr>
              <w:t>neobnovljeno</w:t>
            </w:r>
          </w:p>
        </w:tc>
      </w:tr>
      <w:tr w:rsidR="007C02EC" w:rsidRPr="00B357F4" w14:paraId="1EFA20D6"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39B9710E"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2075" w:type="dxa"/>
            <w:noWrap/>
            <w:hideMark/>
          </w:tcPr>
          <w:p w14:paraId="1A330ADE"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674" w:type="dxa"/>
            <w:noWrap/>
            <w:hideMark/>
          </w:tcPr>
          <w:p w14:paraId="3334A5E4"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787" w:type="dxa"/>
            <w:noWrap/>
            <w:hideMark/>
          </w:tcPr>
          <w:p w14:paraId="05CCDAFF"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4.863</w:t>
            </w:r>
          </w:p>
        </w:tc>
      </w:tr>
      <w:tr w:rsidR="007C02EC" w:rsidRPr="00B357F4" w14:paraId="01709ED5"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7CCA6E0E"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2075" w:type="dxa"/>
            <w:noWrap/>
            <w:hideMark/>
          </w:tcPr>
          <w:p w14:paraId="7CED17C0"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50.983</w:t>
            </w:r>
          </w:p>
        </w:tc>
        <w:tc>
          <w:tcPr>
            <w:tcW w:w="2674" w:type="dxa"/>
            <w:noWrap/>
            <w:hideMark/>
          </w:tcPr>
          <w:p w14:paraId="2EB52CF1"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130.194</w:t>
            </w:r>
          </w:p>
        </w:tc>
        <w:tc>
          <w:tcPr>
            <w:tcW w:w="2787" w:type="dxa"/>
            <w:noWrap/>
            <w:hideMark/>
          </w:tcPr>
          <w:p w14:paraId="7789EDB1"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825.018</w:t>
            </w:r>
          </w:p>
        </w:tc>
      </w:tr>
      <w:tr w:rsidR="007C02EC" w:rsidRPr="00B357F4" w14:paraId="7C2EF947"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88A0AD9"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2075" w:type="dxa"/>
            <w:noWrap/>
            <w:hideMark/>
          </w:tcPr>
          <w:p w14:paraId="42CF0CE3"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7.793</w:t>
            </w:r>
          </w:p>
        </w:tc>
        <w:tc>
          <w:tcPr>
            <w:tcW w:w="2674" w:type="dxa"/>
            <w:noWrap/>
            <w:hideMark/>
          </w:tcPr>
          <w:p w14:paraId="1C2E2E8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156.921</w:t>
            </w:r>
          </w:p>
        </w:tc>
        <w:tc>
          <w:tcPr>
            <w:tcW w:w="2787" w:type="dxa"/>
            <w:noWrap/>
            <w:hideMark/>
          </w:tcPr>
          <w:p w14:paraId="32BC4850"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3.306.792</w:t>
            </w:r>
          </w:p>
        </w:tc>
      </w:tr>
      <w:tr w:rsidR="007C02EC" w:rsidRPr="00B357F4" w14:paraId="0D6E0AE6"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311E1F4A"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2075" w:type="dxa"/>
            <w:noWrap/>
            <w:hideMark/>
          </w:tcPr>
          <w:p w14:paraId="6BA33585"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16.747</w:t>
            </w:r>
          </w:p>
        </w:tc>
        <w:tc>
          <w:tcPr>
            <w:tcW w:w="2674" w:type="dxa"/>
            <w:noWrap/>
            <w:hideMark/>
          </w:tcPr>
          <w:p w14:paraId="6F490EC6"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979.084</w:t>
            </w:r>
          </w:p>
        </w:tc>
        <w:tc>
          <w:tcPr>
            <w:tcW w:w="2787" w:type="dxa"/>
            <w:noWrap/>
            <w:hideMark/>
          </w:tcPr>
          <w:p w14:paraId="60C8ABA7"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4.186.382</w:t>
            </w:r>
          </w:p>
        </w:tc>
      </w:tr>
      <w:tr w:rsidR="007C02EC" w:rsidRPr="00B357F4" w14:paraId="3CE8B223"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1A4DC3D"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2075" w:type="dxa"/>
            <w:noWrap/>
            <w:hideMark/>
          </w:tcPr>
          <w:p w14:paraId="3CA20353"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150.958</w:t>
            </w:r>
          </w:p>
        </w:tc>
        <w:tc>
          <w:tcPr>
            <w:tcW w:w="2674" w:type="dxa"/>
            <w:noWrap/>
            <w:hideMark/>
          </w:tcPr>
          <w:p w14:paraId="2E6667F6"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276.854</w:t>
            </w:r>
          </w:p>
        </w:tc>
        <w:tc>
          <w:tcPr>
            <w:tcW w:w="2787" w:type="dxa"/>
            <w:noWrap/>
            <w:hideMark/>
          </w:tcPr>
          <w:p w14:paraId="29AF15E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1.357.913</w:t>
            </w:r>
          </w:p>
        </w:tc>
      </w:tr>
      <w:tr w:rsidR="007C02EC" w:rsidRPr="00B357F4" w14:paraId="31F65617"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4606B36B"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2075" w:type="dxa"/>
            <w:noWrap/>
            <w:hideMark/>
          </w:tcPr>
          <w:p w14:paraId="0A1DED63"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2.052</w:t>
            </w:r>
          </w:p>
        </w:tc>
        <w:tc>
          <w:tcPr>
            <w:tcW w:w="2674" w:type="dxa"/>
            <w:noWrap/>
            <w:hideMark/>
          </w:tcPr>
          <w:p w14:paraId="39289674"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29.434</w:t>
            </w:r>
          </w:p>
        </w:tc>
        <w:tc>
          <w:tcPr>
            <w:tcW w:w="2787" w:type="dxa"/>
            <w:noWrap/>
            <w:hideMark/>
          </w:tcPr>
          <w:p w14:paraId="6520AF6A"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60.127</w:t>
            </w:r>
          </w:p>
        </w:tc>
      </w:tr>
      <w:tr w:rsidR="007C02EC" w:rsidRPr="00B357F4" w14:paraId="7C1A4C0D"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2518F5D"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2075" w:type="dxa"/>
            <w:noWrap/>
            <w:hideMark/>
          </w:tcPr>
          <w:p w14:paraId="1DF5C8EA"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674" w:type="dxa"/>
            <w:noWrap/>
            <w:hideMark/>
          </w:tcPr>
          <w:p w14:paraId="79298296"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27.147</w:t>
            </w:r>
          </w:p>
        </w:tc>
        <w:tc>
          <w:tcPr>
            <w:tcW w:w="2787" w:type="dxa"/>
            <w:noWrap/>
            <w:hideMark/>
          </w:tcPr>
          <w:p w14:paraId="48839C91"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577.050</w:t>
            </w:r>
          </w:p>
        </w:tc>
      </w:tr>
      <w:tr w:rsidR="007C02EC" w:rsidRPr="00B357F4" w14:paraId="7446DECC"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17E485B6"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2075" w:type="dxa"/>
            <w:noWrap/>
            <w:hideMark/>
          </w:tcPr>
          <w:p w14:paraId="34EA5BAD"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13.162</w:t>
            </w:r>
          </w:p>
        </w:tc>
        <w:tc>
          <w:tcPr>
            <w:tcW w:w="2674" w:type="dxa"/>
            <w:noWrap/>
            <w:hideMark/>
          </w:tcPr>
          <w:p w14:paraId="1DCBDD68"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89.456</w:t>
            </w:r>
          </w:p>
        </w:tc>
        <w:tc>
          <w:tcPr>
            <w:tcW w:w="2787" w:type="dxa"/>
            <w:noWrap/>
            <w:hideMark/>
          </w:tcPr>
          <w:p w14:paraId="30F9A54A"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508.465</w:t>
            </w:r>
          </w:p>
        </w:tc>
      </w:tr>
      <w:tr w:rsidR="007C02EC" w:rsidRPr="00B357F4" w14:paraId="7134E820"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DDE2CEC"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2075" w:type="dxa"/>
            <w:noWrap/>
            <w:hideMark/>
          </w:tcPr>
          <w:p w14:paraId="2F6E3A78"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674" w:type="dxa"/>
            <w:noWrap/>
            <w:hideMark/>
          </w:tcPr>
          <w:p w14:paraId="32C5D42D"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138</w:t>
            </w:r>
          </w:p>
        </w:tc>
        <w:tc>
          <w:tcPr>
            <w:tcW w:w="2787" w:type="dxa"/>
            <w:noWrap/>
            <w:hideMark/>
          </w:tcPr>
          <w:p w14:paraId="6A69A03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30.880</w:t>
            </w:r>
          </w:p>
        </w:tc>
      </w:tr>
      <w:tr w:rsidR="007C02EC" w:rsidRPr="00B357F4" w14:paraId="3DA7217B"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15B9F4A9"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2075" w:type="dxa"/>
            <w:noWrap/>
            <w:hideMark/>
          </w:tcPr>
          <w:p w14:paraId="19EBB391"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231</w:t>
            </w:r>
          </w:p>
        </w:tc>
        <w:tc>
          <w:tcPr>
            <w:tcW w:w="2674" w:type="dxa"/>
            <w:noWrap/>
            <w:hideMark/>
          </w:tcPr>
          <w:p w14:paraId="02546FB0"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1.574</w:t>
            </w:r>
          </w:p>
        </w:tc>
        <w:tc>
          <w:tcPr>
            <w:tcW w:w="2787" w:type="dxa"/>
            <w:noWrap/>
            <w:hideMark/>
          </w:tcPr>
          <w:p w14:paraId="7C4D5447"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34.244</w:t>
            </w:r>
          </w:p>
        </w:tc>
      </w:tr>
      <w:tr w:rsidR="007C02EC" w:rsidRPr="00B357F4" w14:paraId="7F8FB7DE"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4FBC35A3"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ukupno</w:t>
            </w:r>
          </w:p>
        </w:tc>
        <w:tc>
          <w:tcPr>
            <w:tcW w:w="2075" w:type="dxa"/>
            <w:noWrap/>
            <w:hideMark/>
          </w:tcPr>
          <w:p w14:paraId="026292C6"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241.925</w:t>
            </w:r>
          </w:p>
        </w:tc>
        <w:tc>
          <w:tcPr>
            <w:tcW w:w="2674" w:type="dxa"/>
            <w:noWrap/>
            <w:hideMark/>
          </w:tcPr>
          <w:p w14:paraId="1AA56044"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1.690.801</w:t>
            </w:r>
          </w:p>
        </w:tc>
        <w:tc>
          <w:tcPr>
            <w:tcW w:w="2787" w:type="dxa"/>
            <w:noWrap/>
            <w:hideMark/>
          </w:tcPr>
          <w:p w14:paraId="556ADC3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10.891.735</w:t>
            </w:r>
          </w:p>
        </w:tc>
      </w:tr>
    </w:tbl>
    <w:p w14:paraId="51C4BBAC" w14:textId="39DD4AA2" w:rsidR="00D82D0F" w:rsidRPr="00B357F4" w:rsidRDefault="50962E7C" w:rsidP="00E42977">
      <w:pPr>
        <w:pStyle w:val="Naslov20"/>
      </w:pPr>
      <w:bookmarkStart w:id="50" w:name="_Toc94769976"/>
      <w:r w:rsidRPr="00B357F4">
        <w:t xml:space="preserve">Procjena </w:t>
      </w:r>
      <w:r w:rsidR="23327D01" w:rsidRPr="00B357F4">
        <w:t>ušteda</w:t>
      </w:r>
      <w:r w:rsidRPr="00B357F4">
        <w:t xml:space="preserve"> </w:t>
      </w:r>
      <w:r w:rsidR="0CAD5485" w:rsidRPr="00B357F4">
        <w:t>potrebne</w:t>
      </w:r>
      <w:r w:rsidRPr="00B357F4">
        <w:t xml:space="preserve"> </w:t>
      </w:r>
      <w:r w:rsidR="37D3E246" w:rsidRPr="00B357F4">
        <w:t xml:space="preserve">toplinske </w:t>
      </w:r>
      <w:r w:rsidR="000E4B23" w:rsidRPr="00B357F4">
        <w:t>energije</w:t>
      </w:r>
      <w:r w:rsidR="37D3E246" w:rsidRPr="00B357F4">
        <w:t xml:space="preserve"> </w:t>
      </w:r>
      <w:r w:rsidRPr="00B357F4">
        <w:t>i primarne energije nakon primjene mjera energetske obnove</w:t>
      </w:r>
      <w:r w:rsidR="5C2AA016" w:rsidRPr="00B357F4">
        <w:t xml:space="preserve"> u odnosu na stanje prije obnove</w:t>
      </w:r>
      <w:bookmarkEnd w:id="50"/>
    </w:p>
    <w:p w14:paraId="7ECEB813" w14:textId="4DBF718B" w:rsidR="007E35A0" w:rsidRPr="00B357F4" w:rsidRDefault="0B3259EB" w:rsidP="00703875">
      <w:pPr>
        <w:rPr>
          <w:lang w:eastAsia="hr-HR"/>
        </w:rPr>
      </w:pPr>
      <w:r w:rsidRPr="00B357F4">
        <w:rPr>
          <w:lang w:eastAsia="hr-HR"/>
        </w:rPr>
        <w:t>Ušteda</w:t>
      </w:r>
      <w:r w:rsidR="4F38ECF9" w:rsidRPr="00B357F4">
        <w:rPr>
          <w:lang w:eastAsia="hr-HR"/>
        </w:rPr>
        <w:t xml:space="preserve"> potrebne</w:t>
      </w:r>
      <w:r w:rsidR="1D536308" w:rsidRPr="00B357F4">
        <w:rPr>
          <w:lang w:eastAsia="hr-HR"/>
        </w:rPr>
        <w:t xml:space="preserve"> toplinske energije</w:t>
      </w:r>
      <w:r w:rsidR="4F38ECF9" w:rsidRPr="00B357F4">
        <w:rPr>
          <w:lang w:eastAsia="hr-HR"/>
        </w:rPr>
        <w:t>, isporučene i primarne energije</w:t>
      </w:r>
      <w:r w:rsidR="00FF0A3F" w:rsidRPr="00B357F4" w:rsidDel="69FA0F6E">
        <w:rPr>
          <w:lang w:eastAsia="hr-HR"/>
        </w:rPr>
        <w:t xml:space="preserve"> </w:t>
      </w:r>
      <w:r w:rsidR="4F38ECF9" w:rsidRPr="00B357F4">
        <w:rPr>
          <w:lang w:eastAsia="hr-HR"/>
        </w:rPr>
        <w:t xml:space="preserve">nakon primjene mjera energetske </w:t>
      </w:r>
      <w:r w:rsidR="00941398">
        <w:rPr>
          <w:lang w:eastAsia="hr-HR"/>
        </w:rPr>
        <w:t>učinkovitosti</w:t>
      </w:r>
      <w:r w:rsidR="00941398" w:rsidRPr="00B357F4">
        <w:rPr>
          <w:lang w:eastAsia="hr-HR"/>
        </w:rPr>
        <w:t xml:space="preserve"> </w:t>
      </w:r>
      <w:r w:rsidR="1128E46A" w:rsidRPr="00B357F4">
        <w:rPr>
          <w:lang w:eastAsia="hr-HR"/>
        </w:rPr>
        <w:t xml:space="preserve">u odnosu na stanje prije obnove </w:t>
      </w:r>
      <w:r w:rsidR="4F38ECF9" w:rsidRPr="00B357F4">
        <w:rPr>
          <w:lang w:eastAsia="hr-HR"/>
        </w:rPr>
        <w:t xml:space="preserve">određena je prema </w:t>
      </w:r>
      <w:r w:rsidR="77B194AD" w:rsidRPr="00B357F4">
        <w:rPr>
          <w:lang w:eastAsia="hr-HR"/>
        </w:rPr>
        <w:t>karakteristikama referentnih zgrada po namjenama, te uključuje potrebnu energiju za grijanje</w:t>
      </w:r>
      <w:r w:rsidR="569FC3EA" w:rsidRPr="00B357F4">
        <w:rPr>
          <w:lang w:eastAsia="hr-HR"/>
        </w:rPr>
        <w:t xml:space="preserve">, hlađenje i pripremu PTV, isporučenu energiju za toplinske potrebe zgrada (grijanje, hlađenje i PTV) </w:t>
      </w:r>
      <w:r w:rsidR="4E837274" w:rsidRPr="00B357F4">
        <w:rPr>
          <w:lang w:eastAsia="hr-HR"/>
        </w:rPr>
        <w:t>i rasvjetu, te primarnu energiju. Prema udjelima energenata u isporučenoj energiji utvrđena je prosječna emisija CO</w:t>
      </w:r>
      <w:r w:rsidR="4E837274" w:rsidRPr="00B357F4">
        <w:rPr>
          <w:vertAlign w:val="subscript"/>
          <w:lang w:eastAsia="hr-HR"/>
        </w:rPr>
        <w:t>2</w:t>
      </w:r>
      <w:r w:rsidR="4E837274" w:rsidRPr="00B357F4">
        <w:rPr>
          <w:lang w:eastAsia="hr-HR"/>
        </w:rPr>
        <w:t xml:space="preserve"> </w:t>
      </w:r>
      <w:r w:rsidR="6E50E023" w:rsidRPr="00B357F4">
        <w:rPr>
          <w:lang w:eastAsia="hr-HR"/>
        </w:rPr>
        <w:t xml:space="preserve">po jedinici isporučene energije. Uštede </w:t>
      </w:r>
      <w:r w:rsidR="328DBA81" w:rsidRPr="00B357F4">
        <w:rPr>
          <w:lang w:eastAsia="hr-HR"/>
        </w:rPr>
        <w:t>u potrebnoj</w:t>
      </w:r>
      <w:r w:rsidR="5225CD69" w:rsidRPr="00B357F4">
        <w:rPr>
          <w:lang w:eastAsia="hr-HR"/>
        </w:rPr>
        <w:t xml:space="preserve"> toplinskoj energiji</w:t>
      </w:r>
      <w:r w:rsidR="328DBA81" w:rsidRPr="00B357F4">
        <w:rPr>
          <w:lang w:eastAsia="hr-HR"/>
        </w:rPr>
        <w:t xml:space="preserve">, isporučenoj i primarnoj energiji određene su prema specifičnim </w:t>
      </w:r>
      <w:r w:rsidR="6F7E0431" w:rsidRPr="00B357F4">
        <w:rPr>
          <w:lang w:eastAsia="hr-HR"/>
        </w:rPr>
        <w:t xml:space="preserve">indikatorima za primarnu i kontinentalnu Hrvatsku i </w:t>
      </w:r>
      <w:r w:rsidR="3CC4F8DD" w:rsidRPr="00B357F4">
        <w:rPr>
          <w:lang w:eastAsia="hr-HR"/>
        </w:rPr>
        <w:t xml:space="preserve">omjeru fonda zgrada primorska / kontinentalna Hrvatska.  </w:t>
      </w:r>
      <w:r w:rsidR="6F7E0431" w:rsidRPr="00B357F4">
        <w:rPr>
          <w:lang w:eastAsia="hr-HR"/>
        </w:rPr>
        <w:t xml:space="preserve"> </w:t>
      </w:r>
      <w:r w:rsidR="6E50E023" w:rsidRPr="00B357F4">
        <w:rPr>
          <w:lang w:eastAsia="hr-HR"/>
        </w:rPr>
        <w:t xml:space="preserve"> </w:t>
      </w:r>
    </w:p>
    <w:p w14:paraId="28B19961" w14:textId="5ADD6136" w:rsidR="00F85852" w:rsidRPr="00B357F4" w:rsidRDefault="02EC57D3" w:rsidP="00F85852">
      <w:pPr>
        <w:pStyle w:val="Opisslike"/>
        <w:keepNext/>
      </w:pPr>
      <w:bookmarkStart w:id="51" w:name="_Toc87949889"/>
      <w:r w:rsidRPr="00B357F4">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8</w:t>
      </w:r>
      <w:r>
        <w:fldChar w:fldCharType="end"/>
      </w:r>
      <w:r w:rsidRPr="003020E6">
        <w:t xml:space="preserve"> Specifična godišnja potrebna toplinska energija za grijanje, hlađenje i PTV, te </w:t>
      </w:r>
      <w:r w:rsidR="4B9DB432" w:rsidRPr="00216155">
        <w:t xml:space="preserve">specifična godišnja </w:t>
      </w:r>
      <w:r w:rsidRPr="005C396B">
        <w:t>isporučena i primarna energija za grijanje, hlađenje, PTV i rasvjetu kWh/m</w:t>
      </w:r>
      <w:r w:rsidRPr="00B03C9B">
        <w:rPr>
          <w:vertAlign w:val="superscript"/>
        </w:rPr>
        <w:t>2</w:t>
      </w:r>
      <w:r w:rsidRPr="00B357F4">
        <w:t>a</w:t>
      </w:r>
      <w:r w:rsidR="70FEE20F" w:rsidRPr="00B357F4">
        <w:t xml:space="preserve"> </w:t>
      </w:r>
      <w:r w:rsidRPr="00B357F4">
        <w:t>po vrsti zgrade i klimi nakon obnove</w:t>
      </w:r>
      <w:bookmarkEnd w:id="51"/>
    </w:p>
    <w:tbl>
      <w:tblPr>
        <w:tblStyle w:val="Tamnatablicareetke5-isticanje31"/>
        <w:tblW w:w="5000" w:type="pct"/>
        <w:tblLayout w:type="fixed"/>
        <w:tblLook w:val="04A0" w:firstRow="1" w:lastRow="0" w:firstColumn="1" w:lastColumn="0" w:noHBand="0" w:noVBand="1"/>
      </w:tblPr>
      <w:tblGrid>
        <w:gridCol w:w="1034"/>
        <w:gridCol w:w="1428"/>
        <w:gridCol w:w="1160"/>
        <w:gridCol w:w="1192"/>
        <w:gridCol w:w="1133"/>
        <w:gridCol w:w="1133"/>
        <w:gridCol w:w="1133"/>
        <w:gridCol w:w="1131"/>
      </w:tblGrid>
      <w:tr w:rsidR="00F85852" w:rsidRPr="00B357F4" w14:paraId="272F1E9E" w14:textId="77777777" w:rsidTr="00125B9A">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tcPr>
          <w:p w14:paraId="4055DE01" w14:textId="77777777" w:rsidR="00F85852" w:rsidRPr="00B357F4" w:rsidRDefault="00F85852" w:rsidP="00C75D82">
            <w:pPr>
              <w:spacing w:before="0" w:after="0"/>
              <w:jc w:val="left"/>
              <w:rPr>
                <w:rFonts w:ascii="Times New Roman" w:hAnsi="Times New Roman" w:cs="Times New Roman"/>
                <w:sz w:val="24"/>
                <w:szCs w:val="20"/>
                <w:lang w:eastAsia="hr-HR"/>
              </w:rPr>
            </w:pPr>
          </w:p>
        </w:tc>
        <w:tc>
          <w:tcPr>
            <w:tcW w:w="1428" w:type="dxa"/>
          </w:tcPr>
          <w:p w14:paraId="393295F2" w14:textId="77777777" w:rsidR="00F85852" w:rsidRPr="00B357F4" w:rsidRDefault="00F85852" w:rsidP="00C75D82">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3485" w:type="dxa"/>
            <w:gridSpan w:val="3"/>
          </w:tcPr>
          <w:p w14:paraId="64AF26A0" w14:textId="77777777" w:rsidR="00F85852" w:rsidRPr="00B357F4" w:rsidRDefault="00F85852" w:rsidP="00C75D82">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kontinentalna Hrvatska</w:t>
            </w:r>
          </w:p>
        </w:tc>
        <w:tc>
          <w:tcPr>
            <w:tcW w:w="3397" w:type="dxa"/>
            <w:gridSpan w:val="3"/>
          </w:tcPr>
          <w:p w14:paraId="2E69AD6E" w14:textId="77777777" w:rsidR="00F85852" w:rsidRPr="00B357F4" w:rsidRDefault="00F85852" w:rsidP="00C75D82">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primorska Hrvatska</w:t>
            </w:r>
          </w:p>
        </w:tc>
      </w:tr>
      <w:tr w:rsidR="00F85852" w:rsidRPr="00B357F4" w14:paraId="65BE1C31" w14:textId="77777777" w:rsidTr="00125B9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hideMark/>
          </w:tcPr>
          <w:p w14:paraId="55B65C14" w14:textId="77777777" w:rsidR="00F85852" w:rsidRPr="00B357F4" w:rsidRDefault="00F85852" w:rsidP="00C75D82">
            <w:pPr>
              <w:spacing w:before="0" w:after="0"/>
              <w:jc w:val="left"/>
              <w:rPr>
                <w:rFonts w:ascii="Times New Roman" w:hAnsi="Times New Roman" w:cs="Times New Roman"/>
                <w:sz w:val="24"/>
                <w:szCs w:val="20"/>
                <w:lang w:eastAsia="hr-HR"/>
              </w:rPr>
            </w:pPr>
          </w:p>
        </w:tc>
        <w:tc>
          <w:tcPr>
            <w:tcW w:w="1428" w:type="dxa"/>
            <w:hideMark/>
          </w:tcPr>
          <w:p w14:paraId="4FF74C72"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p>
        </w:tc>
        <w:tc>
          <w:tcPr>
            <w:tcW w:w="1160" w:type="dxa"/>
            <w:hideMark/>
          </w:tcPr>
          <w:p w14:paraId="5D3CA1CE"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92" w:type="dxa"/>
            <w:hideMark/>
          </w:tcPr>
          <w:p w14:paraId="7A18475B"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r w:rsidRPr="00B357F4">
              <w:rPr>
                <w:rFonts w:ascii="Calibri" w:hAnsi="Calibri" w:cs="Calibri"/>
                <w:color w:val="000000"/>
                <w:sz w:val="22"/>
                <w:szCs w:val="22"/>
                <w:lang w:eastAsia="hr-HR"/>
              </w:rPr>
              <w:t xml:space="preserve"> za grijanje, hlađenje, PTV i rasvjetu</w:t>
            </w:r>
          </w:p>
          <w:p w14:paraId="10766100"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2874090E"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
          <w:p w14:paraId="068C1F94"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48A41ACD"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33" w:type="dxa"/>
          </w:tcPr>
          <w:p w14:paraId="5AA5007D"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r w:rsidRPr="00B357F4">
              <w:rPr>
                <w:rFonts w:ascii="Calibri" w:hAnsi="Calibri" w:cs="Calibri"/>
                <w:color w:val="000000"/>
                <w:sz w:val="22"/>
                <w:szCs w:val="22"/>
                <w:lang w:eastAsia="hr-HR"/>
              </w:rPr>
              <w:t xml:space="preserve"> za grijanje, hlađenje, PTV i rasvjetu</w:t>
            </w:r>
          </w:p>
          <w:p w14:paraId="0710A955"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1" w:type="dxa"/>
          </w:tcPr>
          <w:p w14:paraId="253CE744"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
          <w:p w14:paraId="2C80D6D3"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r>
      <w:tr w:rsidR="00691F1E" w:rsidRPr="00B357F4" w14:paraId="01AC6B4B"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494C5ED7" w14:textId="57599A05"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428" w:type="dxa"/>
            <w:noWrap/>
          </w:tcPr>
          <w:p w14:paraId="11DF2C2F" w14:textId="197EB3AD"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Obiteljske kuće</w:t>
            </w:r>
          </w:p>
        </w:tc>
        <w:tc>
          <w:tcPr>
            <w:tcW w:w="1160" w:type="dxa"/>
            <w:noWrap/>
            <w:vAlign w:val="bottom"/>
          </w:tcPr>
          <w:p w14:paraId="39AEC4E4" w14:textId="4469FDE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75</w:t>
            </w:r>
          </w:p>
        </w:tc>
        <w:tc>
          <w:tcPr>
            <w:tcW w:w="1192" w:type="dxa"/>
            <w:noWrap/>
            <w:vAlign w:val="bottom"/>
          </w:tcPr>
          <w:p w14:paraId="00C4330D" w14:textId="25D81DC4"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color w:val="000000"/>
                <w:sz w:val="22"/>
                <w:szCs w:val="22"/>
                <w:lang w:eastAsia="hr-HR"/>
              </w:rPr>
              <w:t>98</w:t>
            </w:r>
          </w:p>
        </w:tc>
        <w:tc>
          <w:tcPr>
            <w:tcW w:w="1133" w:type="dxa"/>
            <w:vAlign w:val="bottom"/>
          </w:tcPr>
          <w:p w14:paraId="01E7337F" w14:textId="1CC8310F"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165</w:t>
            </w:r>
          </w:p>
        </w:tc>
        <w:tc>
          <w:tcPr>
            <w:tcW w:w="1133" w:type="dxa"/>
            <w:noWrap/>
            <w:vAlign w:val="bottom"/>
          </w:tcPr>
          <w:p w14:paraId="1DAF4457" w14:textId="3851FA4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58</w:t>
            </w:r>
          </w:p>
        </w:tc>
        <w:tc>
          <w:tcPr>
            <w:tcW w:w="1133" w:type="dxa"/>
            <w:noWrap/>
            <w:vAlign w:val="bottom"/>
          </w:tcPr>
          <w:p w14:paraId="67DD7B3B" w14:textId="44B3D314"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79</w:t>
            </w:r>
          </w:p>
        </w:tc>
        <w:tc>
          <w:tcPr>
            <w:tcW w:w="1131" w:type="dxa"/>
            <w:vAlign w:val="bottom"/>
          </w:tcPr>
          <w:p w14:paraId="36CD6BC6" w14:textId="5A214FF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113</w:t>
            </w:r>
          </w:p>
        </w:tc>
      </w:tr>
      <w:tr w:rsidR="00691F1E" w:rsidRPr="00B357F4" w14:paraId="0159CAD5"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4E9CBFFD" w14:textId="4FF307C8"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428" w:type="dxa"/>
            <w:noWrap/>
          </w:tcPr>
          <w:p w14:paraId="6E7E190A" w14:textId="3EAD9021"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Višestambene zgrade</w:t>
            </w:r>
          </w:p>
        </w:tc>
        <w:tc>
          <w:tcPr>
            <w:tcW w:w="1160" w:type="dxa"/>
            <w:noWrap/>
            <w:vAlign w:val="bottom"/>
          </w:tcPr>
          <w:p w14:paraId="76937417" w14:textId="21FEF3A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75</w:t>
            </w:r>
          </w:p>
        </w:tc>
        <w:tc>
          <w:tcPr>
            <w:tcW w:w="1192" w:type="dxa"/>
            <w:noWrap/>
            <w:vAlign w:val="bottom"/>
          </w:tcPr>
          <w:p w14:paraId="11D98015" w14:textId="7859185B"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color w:val="000000"/>
                <w:sz w:val="22"/>
                <w:szCs w:val="22"/>
                <w:lang w:eastAsia="hr-HR"/>
              </w:rPr>
              <w:t>100</w:t>
            </w:r>
          </w:p>
        </w:tc>
        <w:tc>
          <w:tcPr>
            <w:tcW w:w="1133" w:type="dxa"/>
            <w:vAlign w:val="bottom"/>
          </w:tcPr>
          <w:p w14:paraId="6013647E" w14:textId="1DEE015D"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170</w:t>
            </w:r>
          </w:p>
        </w:tc>
        <w:tc>
          <w:tcPr>
            <w:tcW w:w="1133" w:type="dxa"/>
            <w:noWrap/>
            <w:vAlign w:val="bottom"/>
          </w:tcPr>
          <w:p w14:paraId="63031ED2" w14:textId="2D17B17D"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w:t>
            </w:r>
          </w:p>
        </w:tc>
        <w:tc>
          <w:tcPr>
            <w:tcW w:w="1133" w:type="dxa"/>
            <w:noWrap/>
            <w:vAlign w:val="bottom"/>
          </w:tcPr>
          <w:p w14:paraId="09C25175" w14:textId="74CBEE3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65</w:t>
            </w:r>
          </w:p>
        </w:tc>
        <w:tc>
          <w:tcPr>
            <w:tcW w:w="1131" w:type="dxa"/>
            <w:vAlign w:val="bottom"/>
          </w:tcPr>
          <w:p w14:paraId="7EBBAFF2" w14:textId="162D66BB"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94</w:t>
            </w:r>
          </w:p>
        </w:tc>
      </w:tr>
      <w:tr w:rsidR="00691F1E" w:rsidRPr="00B357F4" w14:paraId="1B89AE18"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6CC700DA" w14:textId="5EA90232"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428" w:type="dxa"/>
            <w:noWrap/>
            <w:hideMark/>
          </w:tcPr>
          <w:p w14:paraId="2978A33C" w14:textId="0E2EDC38"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Uredi</w:t>
            </w:r>
          </w:p>
        </w:tc>
        <w:tc>
          <w:tcPr>
            <w:tcW w:w="1160" w:type="dxa"/>
            <w:noWrap/>
            <w:vAlign w:val="bottom"/>
            <w:hideMark/>
          </w:tcPr>
          <w:p w14:paraId="141AF35D" w14:textId="12B94113"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52</w:t>
            </w:r>
          </w:p>
        </w:tc>
        <w:tc>
          <w:tcPr>
            <w:tcW w:w="1192" w:type="dxa"/>
            <w:noWrap/>
            <w:vAlign w:val="bottom"/>
            <w:hideMark/>
          </w:tcPr>
          <w:p w14:paraId="68F703F6" w14:textId="38758354"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53</w:t>
            </w:r>
          </w:p>
        </w:tc>
        <w:tc>
          <w:tcPr>
            <w:tcW w:w="1133" w:type="dxa"/>
            <w:vAlign w:val="bottom"/>
          </w:tcPr>
          <w:p w14:paraId="675FD1A7" w14:textId="4146817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115</w:t>
            </w:r>
          </w:p>
        </w:tc>
        <w:tc>
          <w:tcPr>
            <w:tcW w:w="1133" w:type="dxa"/>
            <w:noWrap/>
            <w:vAlign w:val="bottom"/>
            <w:hideMark/>
          </w:tcPr>
          <w:p w14:paraId="61FAD2FA" w14:textId="1A8CDC1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38</w:t>
            </w:r>
          </w:p>
        </w:tc>
        <w:tc>
          <w:tcPr>
            <w:tcW w:w="1133" w:type="dxa"/>
            <w:noWrap/>
            <w:vAlign w:val="bottom"/>
            <w:hideMark/>
          </w:tcPr>
          <w:p w14:paraId="6E7C9C75" w14:textId="38464D1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35</w:t>
            </w:r>
          </w:p>
        </w:tc>
        <w:tc>
          <w:tcPr>
            <w:tcW w:w="1131" w:type="dxa"/>
            <w:vAlign w:val="bottom"/>
          </w:tcPr>
          <w:p w14:paraId="3D8B13F7" w14:textId="1A12B70C"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75</w:t>
            </w:r>
          </w:p>
        </w:tc>
      </w:tr>
      <w:tr w:rsidR="00691F1E" w:rsidRPr="00B357F4" w14:paraId="42888846"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0BE88D83" w14:textId="735976BE"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428" w:type="dxa"/>
            <w:noWrap/>
            <w:hideMark/>
          </w:tcPr>
          <w:p w14:paraId="7389964E" w14:textId="459B1EB8"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Obrazovanje</w:t>
            </w:r>
          </w:p>
        </w:tc>
        <w:tc>
          <w:tcPr>
            <w:tcW w:w="1160" w:type="dxa"/>
            <w:noWrap/>
            <w:vAlign w:val="bottom"/>
            <w:hideMark/>
          </w:tcPr>
          <w:p w14:paraId="005825A0" w14:textId="0E600F4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47</w:t>
            </w:r>
          </w:p>
        </w:tc>
        <w:tc>
          <w:tcPr>
            <w:tcW w:w="1192" w:type="dxa"/>
            <w:noWrap/>
            <w:vAlign w:val="bottom"/>
            <w:hideMark/>
          </w:tcPr>
          <w:p w14:paraId="50A82532" w14:textId="7EF54220"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41</w:t>
            </w:r>
          </w:p>
        </w:tc>
        <w:tc>
          <w:tcPr>
            <w:tcW w:w="1133" w:type="dxa"/>
            <w:vAlign w:val="bottom"/>
          </w:tcPr>
          <w:p w14:paraId="5DA7C03D" w14:textId="0B6372C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74</w:t>
            </w:r>
          </w:p>
        </w:tc>
        <w:tc>
          <w:tcPr>
            <w:tcW w:w="1133" w:type="dxa"/>
            <w:noWrap/>
            <w:vAlign w:val="bottom"/>
            <w:hideMark/>
          </w:tcPr>
          <w:p w14:paraId="0786BA8E" w14:textId="35804D19"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32</w:t>
            </w:r>
          </w:p>
        </w:tc>
        <w:tc>
          <w:tcPr>
            <w:tcW w:w="1133" w:type="dxa"/>
            <w:noWrap/>
            <w:vAlign w:val="bottom"/>
            <w:hideMark/>
          </w:tcPr>
          <w:p w14:paraId="56AF9D9F" w14:textId="7A4FA39D"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25</w:t>
            </w:r>
          </w:p>
        </w:tc>
        <w:tc>
          <w:tcPr>
            <w:tcW w:w="1131" w:type="dxa"/>
            <w:vAlign w:val="bottom"/>
          </w:tcPr>
          <w:p w14:paraId="2A3EB3E8" w14:textId="68BE996C"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46</w:t>
            </w:r>
          </w:p>
        </w:tc>
      </w:tr>
      <w:tr w:rsidR="00691F1E" w:rsidRPr="00B357F4" w14:paraId="43298885"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0AE0B9BA" w14:textId="08FF5C08"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428" w:type="dxa"/>
            <w:noWrap/>
            <w:hideMark/>
          </w:tcPr>
          <w:p w14:paraId="6A41D54E" w14:textId="2DF190DF"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Bolnice</w:t>
            </w:r>
          </w:p>
        </w:tc>
        <w:tc>
          <w:tcPr>
            <w:tcW w:w="1160" w:type="dxa"/>
            <w:noWrap/>
            <w:vAlign w:val="bottom"/>
            <w:hideMark/>
          </w:tcPr>
          <w:p w14:paraId="7AA10F23" w14:textId="12EAC98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70</w:t>
            </w:r>
          </w:p>
        </w:tc>
        <w:tc>
          <w:tcPr>
            <w:tcW w:w="1192" w:type="dxa"/>
            <w:noWrap/>
            <w:vAlign w:val="bottom"/>
            <w:hideMark/>
          </w:tcPr>
          <w:p w14:paraId="0FCEB0F2" w14:textId="79F579E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51</w:t>
            </w:r>
          </w:p>
        </w:tc>
        <w:tc>
          <w:tcPr>
            <w:tcW w:w="1133" w:type="dxa"/>
            <w:vAlign w:val="bottom"/>
          </w:tcPr>
          <w:p w14:paraId="0766F7E1" w14:textId="394A88AC"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75</w:t>
            </w:r>
          </w:p>
        </w:tc>
        <w:tc>
          <w:tcPr>
            <w:tcW w:w="1133" w:type="dxa"/>
            <w:noWrap/>
            <w:vAlign w:val="bottom"/>
            <w:hideMark/>
          </w:tcPr>
          <w:p w14:paraId="14401C8D" w14:textId="1538C27A"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33</w:t>
            </w:r>
          </w:p>
        </w:tc>
        <w:tc>
          <w:tcPr>
            <w:tcW w:w="1133" w:type="dxa"/>
            <w:noWrap/>
            <w:vAlign w:val="bottom"/>
            <w:hideMark/>
          </w:tcPr>
          <w:p w14:paraId="7A940E55" w14:textId="524912A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21</w:t>
            </w:r>
          </w:p>
        </w:tc>
        <w:tc>
          <w:tcPr>
            <w:tcW w:w="1131" w:type="dxa"/>
            <w:vAlign w:val="bottom"/>
          </w:tcPr>
          <w:p w14:paraId="1CF6CD2A" w14:textId="61619B7E"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33</w:t>
            </w:r>
          </w:p>
        </w:tc>
      </w:tr>
      <w:tr w:rsidR="00691F1E" w:rsidRPr="00B357F4" w14:paraId="2A0A011E"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2B671C00" w14:textId="13424BFA"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428" w:type="dxa"/>
            <w:noWrap/>
            <w:hideMark/>
          </w:tcPr>
          <w:p w14:paraId="2DAA02FE" w14:textId="777FF1AB"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Hoteli i restorani</w:t>
            </w:r>
          </w:p>
        </w:tc>
        <w:tc>
          <w:tcPr>
            <w:tcW w:w="1160" w:type="dxa"/>
            <w:noWrap/>
            <w:vAlign w:val="bottom"/>
            <w:hideMark/>
          </w:tcPr>
          <w:p w14:paraId="6E419FB0" w14:textId="3241133A"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54</w:t>
            </w:r>
          </w:p>
        </w:tc>
        <w:tc>
          <w:tcPr>
            <w:tcW w:w="1192" w:type="dxa"/>
            <w:noWrap/>
            <w:vAlign w:val="bottom"/>
            <w:hideMark/>
          </w:tcPr>
          <w:p w14:paraId="669825D6" w14:textId="4E988C1B"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46</w:t>
            </w:r>
          </w:p>
        </w:tc>
        <w:tc>
          <w:tcPr>
            <w:tcW w:w="1133" w:type="dxa"/>
            <w:vAlign w:val="bottom"/>
          </w:tcPr>
          <w:p w14:paraId="75F0692B" w14:textId="2B13B4B7"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83</w:t>
            </w:r>
          </w:p>
        </w:tc>
        <w:tc>
          <w:tcPr>
            <w:tcW w:w="1133" w:type="dxa"/>
            <w:noWrap/>
            <w:vAlign w:val="bottom"/>
            <w:hideMark/>
          </w:tcPr>
          <w:p w14:paraId="22FF7C13" w14:textId="616137C6"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w:t>
            </w:r>
          </w:p>
        </w:tc>
        <w:tc>
          <w:tcPr>
            <w:tcW w:w="1133" w:type="dxa"/>
            <w:noWrap/>
            <w:vAlign w:val="bottom"/>
            <w:hideMark/>
          </w:tcPr>
          <w:p w14:paraId="3E47BCA5" w14:textId="2A3AE0F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40</w:t>
            </w:r>
          </w:p>
        </w:tc>
        <w:tc>
          <w:tcPr>
            <w:tcW w:w="1131" w:type="dxa"/>
            <w:vAlign w:val="bottom"/>
          </w:tcPr>
          <w:p w14:paraId="611CD451" w14:textId="58421AE4"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66</w:t>
            </w:r>
          </w:p>
        </w:tc>
      </w:tr>
      <w:tr w:rsidR="00691F1E" w:rsidRPr="00B357F4" w14:paraId="02F5B9EF"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5CD99FA2" w14:textId="4CBE09D4"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428" w:type="dxa"/>
            <w:noWrap/>
            <w:hideMark/>
          </w:tcPr>
          <w:p w14:paraId="23CDEB7C" w14:textId="5EA2D1E1"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Druge nestambene</w:t>
            </w:r>
          </w:p>
        </w:tc>
        <w:tc>
          <w:tcPr>
            <w:tcW w:w="1160" w:type="dxa"/>
            <w:noWrap/>
            <w:vAlign w:val="bottom"/>
            <w:hideMark/>
          </w:tcPr>
          <w:p w14:paraId="2DCFC186" w14:textId="3ABF369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90</w:t>
            </w:r>
          </w:p>
        </w:tc>
        <w:tc>
          <w:tcPr>
            <w:tcW w:w="1192" w:type="dxa"/>
            <w:noWrap/>
            <w:vAlign w:val="bottom"/>
            <w:hideMark/>
          </w:tcPr>
          <w:p w14:paraId="1640047A" w14:textId="690537E0"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77</w:t>
            </w:r>
          </w:p>
        </w:tc>
        <w:tc>
          <w:tcPr>
            <w:tcW w:w="1133" w:type="dxa"/>
            <w:vAlign w:val="bottom"/>
          </w:tcPr>
          <w:p w14:paraId="30F88B25" w14:textId="1CCE6539"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133</w:t>
            </w:r>
          </w:p>
        </w:tc>
        <w:tc>
          <w:tcPr>
            <w:tcW w:w="1133" w:type="dxa"/>
            <w:noWrap/>
            <w:vAlign w:val="bottom"/>
            <w:hideMark/>
          </w:tcPr>
          <w:p w14:paraId="49FEE794" w14:textId="10C4EF27"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59</w:t>
            </w:r>
          </w:p>
        </w:tc>
        <w:tc>
          <w:tcPr>
            <w:tcW w:w="1133" w:type="dxa"/>
            <w:noWrap/>
            <w:vAlign w:val="bottom"/>
            <w:hideMark/>
          </w:tcPr>
          <w:p w14:paraId="5306EA23" w14:textId="4F7DB750"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38</w:t>
            </w:r>
          </w:p>
        </w:tc>
        <w:tc>
          <w:tcPr>
            <w:tcW w:w="1131" w:type="dxa"/>
            <w:vAlign w:val="bottom"/>
          </w:tcPr>
          <w:p w14:paraId="4B512498" w14:textId="78272A8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58</w:t>
            </w:r>
          </w:p>
        </w:tc>
      </w:tr>
      <w:tr w:rsidR="00691F1E" w:rsidRPr="00B357F4" w14:paraId="222EFF52"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27EAA9B7" w14:textId="5760324C"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NSZ6</w:t>
            </w:r>
          </w:p>
        </w:tc>
        <w:tc>
          <w:tcPr>
            <w:tcW w:w="1428" w:type="dxa"/>
            <w:noWrap/>
            <w:hideMark/>
          </w:tcPr>
          <w:p w14:paraId="707DAB8B" w14:textId="79EFB27F"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Dvorane</w:t>
            </w:r>
          </w:p>
        </w:tc>
        <w:tc>
          <w:tcPr>
            <w:tcW w:w="1160" w:type="dxa"/>
            <w:noWrap/>
            <w:vAlign w:val="bottom"/>
            <w:hideMark/>
          </w:tcPr>
          <w:p w14:paraId="202AF114" w14:textId="3C8EB834"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w:t>
            </w:r>
          </w:p>
        </w:tc>
        <w:tc>
          <w:tcPr>
            <w:tcW w:w="1192" w:type="dxa"/>
            <w:noWrap/>
            <w:vAlign w:val="bottom"/>
            <w:hideMark/>
          </w:tcPr>
          <w:p w14:paraId="2A6F503A" w14:textId="35A46F90"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65</w:t>
            </w:r>
          </w:p>
        </w:tc>
        <w:tc>
          <w:tcPr>
            <w:tcW w:w="1133" w:type="dxa"/>
            <w:vAlign w:val="bottom"/>
          </w:tcPr>
          <w:p w14:paraId="0B65913F" w14:textId="751BD30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150</w:t>
            </w:r>
          </w:p>
        </w:tc>
        <w:tc>
          <w:tcPr>
            <w:tcW w:w="1133" w:type="dxa"/>
            <w:noWrap/>
            <w:vAlign w:val="bottom"/>
            <w:hideMark/>
          </w:tcPr>
          <w:p w14:paraId="5281DF00" w14:textId="0FCAC64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36</w:t>
            </w:r>
          </w:p>
        </w:tc>
        <w:tc>
          <w:tcPr>
            <w:tcW w:w="1133" w:type="dxa"/>
            <w:noWrap/>
            <w:vAlign w:val="bottom"/>
            <w:hideMark/>
          </w:tcPr>
          <w:p w14:paraId="5B54D6EB" w14:textId="66167919"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31</w:t>
            </w:r>
          </w:p>
        </w:tc>
        <w:tc>
          <w:tcPr>
            <w:tcW w:w="1131" w:type="dxa"/>
            <w:vAlign w:val="bottom"/>
          </w:tcPr>
          <w:p w14:paraId="60C5DFFE" w14:textId="12FC1F2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50</w:t>
            </w:r>
          </w:p>
        </w:tc>
      </w:tr>
      <w:tr w:rsidR="00691F1E" w:rsidRPr="00B357F4" w14:paraId="1259C521"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0005C3C9" w14:textId="38CE8240"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428" w:type="dxa"/>
            <w:noWrap/>
            <w:hideMark/>
          </w:tcPr>
          <w:p w14:paraId="7834A512" w14:textId="52C57DED"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Trgovina</w:t>
            </w:r>
          </w:p>
        </w:tc>
        <w:tc>
          <w:tcPr>
            <w:tcW w:w="1160" w:type="dxa"/>
            <w:noWrap/>
            <w:vAlign w:val="bottom"/>
            <w:hideMark/>
          </w:tcPr>
          <w:p w14:paraId="16ADA671" w14:textId="642852AE"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w:t>
            </w:r>
          </w:p>
        </w:tc>
        <w:tc>
          <w:tcPr>
            <w:tcW w:w="1192" w:type="dxa"/>
            <w:noWrap/>
            <w:vAlign w:val="bottom"/>
            <w:hideMark/>
          </w:tcPr>
          <w:p w14:paraId="1ED70AE7" w14:textId="57E6530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30</w:t>
            </w:r>
          </w:p>
        </w:tc>
        <w:tc>
          <w:tcPr>
            <w:tcW w:w="1133" w:type="dxa"/>
            <w:vAlign w:val="bottom"/>
          </w:tcPr>
          <w:p w14:paraId="3ACA0F31" w14:textId="763A2C9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44</w:t>
            </w:r>
          </w:p>
        </w:tc>
        <w:tc>
          <w:tcPr>
            <w:tcW w:w="1133" w:type="dxa"/>
            <w:noWrap/>
            <w:vAlign w:val="bottom"/>
            <w:hideMark/>
          </w:tcPr>
          <w:p w14:paraId="74B5AB61" w14:textId="6CE59C1E"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w:t>
            </w:r>
          </w:p>
        </w:tc>
        <w:tc>
          <w:tcPr>
            <w:tcW w:w="1133" w:type="dxa"/>
            <w:noWrap/>
            <w:vAlign w:val="bottom"/>
            <w:hideMark/>
          </w:tcPr>
          <w:p w14:paraId="787CAD9C" w14:textId="6D42C29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21</w:t>
            </w:r>
          </w:p>
        </w:tc>
        <w:tc>
          <w:tcPr>
            <w:tcW w:w="1131" w:type="dxa"/>
            <w:vAlign w:val="bottom"/>
          </w:tcPr>
          <w:p w14:paraId="621D1FCC" w14:textId="6409B4AA"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35</w:t>
            </w:r>
          </w:p>
        </w:tc>
      </w:tr>
    </w:tbl>
    <w:p w14:paraId="18A1B72B" w14:textId="5A3A82CB" w:rsidR="004E5557" w:rsidRPr="00586809" w:rsidRDefault="4E0A630D" w:rsidP="00703875">
      <w:pPr>
        <w:pStyle w:val="Opisslike"/>
        <w:keepNext/>
      </w:pPr>
      <w:bookmarkStart w:id="52" w:name="_Ref87864718"/>
      <w:bookmarkStart w:id="53" w:name="_Toc87949890"/>
      <w:r w:rsidRPr="00B357F4">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9</w:t>
      </w:r>
      <w:r>
        <w:fldChar w:fldCharType="end"/>
      </w:r>
      <w:bookmarkEnd w:id="52"/>
      <w:r w:rsidRPr="003020E6">
        <w:t xml:space="preserve"> Potrebna</w:t>
      </w:r>
      <w:r w:rsidR="53149C46" w:rsidRPr="006734C7">
        <w:t xml:space="preserve"> toplinska energija</w:t>
      </w:r>
      <w:r w:rsidRPr="003245C1">
        <w:t>, isporučena, primarna energija i emisija CO</w:t>
      </w:r>
      <w:r w:rsidRPr="00D744BE">
        <w:rPr>
          <w:vertAlign w:val="subscript"/>
        </w:rPr>
        <w:t>2</w:t>
      </w:r>
      <w:r w:rsidRPr="003245C1">
        <w:t xml:space="preserve"> prije i nakon obnove (godišnje)</w:t>
      </w:r>
      <w:bookmarkEnd w:id="53"/>
      <w:r w:rsidRPr="003245C1">
        <w:t xml:space="preserve"> </w:t>
      </w:r>
    </w:p>
    <w:tbl>
      <w:tblPr>
        <w:tblStyle w:val="Tamnatablicareetke5-isticanje31"/>
        <w:tblW w:w="9344" w:type="dxa"/>
        <w:tblLook w:val="04A0" w:firstRow="1" w:lastRow="0" w:firstColumn="1" w:lastColumn="0" w:noHBand="0" w:noVBand="1"/>
      </w:tblPr>
      <w:tblGrid>
        <w:gridCol w:w="899"/>
        <w:gridCol w:w="1266"/>
        <w:gridCol w:w="1052"/>
        <w:gridCol w:w="905"/>
        <w:gridCol w:w="1123"/>
        <w:gridCol w:w="1117"/>
        <w:gridCol w:w="987"/>
        <w:gridCol w:w="877"/>
        <w:gridCol w:w="1118"/>
      </w:tblGrid>
      <w:tr w:rsidR="000101FE" w:rsidRPr="00B357F4" w14:paraId="11E26B05" w14:textId="525BC24A" w:rsidTr="00FF3D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99" w:type="dxa"/>
            <w:noWrap/>
            <w:hideMark/>
          </w:tcPr>
          <w:p w14:paraId="785E001E" w14:textId="77777777" w:rsidR="000101FE" w:rsidRPr="00B03C9B" w:rsidRDefault="000101FE" w:rsidP="00AC42A3">
            <w:pPr>
              <w:spacing w:before="0" w:after="0"/>
              <w:jc w:val="left"/>
              <w:rPr>
                <w:rFonts w:ascii="Times New Roman" w:hAnsi="Times New Roman" w:cs="Times New Roman"/>
                <w:sz w:val="24"/>
                <w:szCs w:val="20"/>
                <w:lang w:eastAsia="hr-HR"/>
              </w:rPr>
            </w:pPr>
          </w:p>
        </w:tc>
        <w:tc>
          <w:tcPr>
            <w:tcW w:w="1266" w:type="dxa"/>
            <w:noWrap/>
            <w:hideMark/>
          </w:tcPr>
          <w:p w14:paraId="49377C07"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prije</w:t>
            </w:r>
          </w:p>
        </w:tc>
        <w:tc>
          <w:tcPr>
            <w:tcW w:w="1052" w:type="dxa"/>
            <w:noWrap/>
            <w:hideMark/>
          </w:tcPr>
          <w:p w14:paraId="709DFF91"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c>
          <w:tcPr>
            <w:tcW w:w="905" w:type="dxa"/>
            <w:noWrap/>
            <w:hideMark/>
          </w:tcPr>
          <w:p w14:paraId="78625482"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1123" w:type="dxa"/>
            <w:noWrap/>
            <w:hideMark/>
          </w:tcPr>
          <w:p w14:paraId="6F5102B9"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1117" w:type="dxa"/>
          </w:tcPr>
          <w:p w14:paraId="16331570" w14:textId="4B4E07F4"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1D0722">
              <w:rPr>
                <w:rFonts w:ascii="Calibri" w:hAnsi="Calibri" w:cs="Calibri"/>
                <w:color w:val="000000"/>
                <w:sz w:val="22"/>
                <w:szCs w:val="22"/>
                <w:lang w:eastAsia="hr-HR"/>
              </w:rPr>
              <w:t>poslije</w:t>
            </w:r>
          </w:p>
        </w:tc>
        <w:tc>
          <w:tcPr>
            <w:tcW w:w="987" w:type="dxa"/>
          </w:tcPr>
          <w:p w14:paraId="358A07D5"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877" w:type="dxa"/>
          </w:tcPr>
          <w:p w14:paraId="2539609C"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1118" w:type="dxa"/>
          </w:tcPr>
          <w:p w14:paraId="253BFE57"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r>
      <w:tr w:rsidR="00FF3D77" w:rsidRPr="00B357F4" w14:paraId="67DB38FF" w14:textId="2AF34BEC" w:rsidTr="00FF3D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99" w:type="dxa"/>
            <w:noWrap/>
            <w:hideMark/>
          </w:tcPr>
          <w:p w14:paraId="36306360" w14:textId="77777777" w:rsidR="000101FE" w:rsidRPr="00B357F4" w:rsidRDefault="000101FE" w:rsidP="000101FE">
            <w:pPr>
              <w:spacing w:before="0" w:after="0"/>
              <w:jc w:val="left"/>
              <w:rPr>
                <w:rFonts w:ascii="Times New Roman" w:hAnsi="Times New Roman" w:cs="Times New Roman"/>
                <w:szCs w:val="20"/>
                <w:lang w:eastAsia="hr-HR"/>
              </w:rPr>
            </w:pPr>
          </w:p>
        </w:tc>
        <w:tc>
          <w:tcPr>
            <w:tcW w:w="1266" w:type="dxa"/>
            <w:shd w:val="clear" w:color="auto" w:fill="AEAAAA" w:themeFill="background2" w:themeFillShade="BF"/>
            <w:noWrap/>
            <w:hideMark/>
          </w:tcPr>
          <w:p w14:paraId="79613B6E" w14:textId="77777777"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Q</w:t>
            </w:r>
            <w:r w:rsidRPr="00B357F4">
              <w:rPr>
                <w:rFonts w:ascii="Calibri" w:hAnsi="Calibri" w:cs="Calibri"/>
                <w:color w:val="000000"/>
                <w:sz w:val="22"/>
                <w:szCs w:val="22"/>
                <w:vertAlign w:val="subscript"/>
                <w:lang w:eastAsia="hr-HR"/>
              </w:rPr>
              <w:t>H,nd</w:t>
            </w:r>
          </w:p>
        </w:tc>
        <w:tc>
          <w:tcPr>
            <w:tcW w:w="1052" w:type="dxa"/>
            <w:shd w:val="clear" w:color="auto" w:fill="AEAAAA" w:themeFill="background2" w:themeFillShade="BF"/>
            <w:noWrap/>
            <w:hideMark/>
          </w:tcPr>
          <w:p w14:paraId="2231D7D5" w14:textId="77777777"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
        </w:tc>
        <w:tc>
          <w:tcPr>
            <w:tcW w:w="905" w:type="dxa"/>
            <w:shd w:val="clear" w:color="auto" w:fill="AEAAAA" w:themeFill="background2" w:themeFillShade="BF"/>
            <w:noWrap/>
            <w:hideMark/>
          </w:tcPr>
          <w:p w14:paraId="6D31DD5E" w14:textId="77777777"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
        </w:tc>
        <w:tc>
          <w:tcPr>
            <w:tcW w:w="1123" w:type="dxa"/>
            <w:shd w:val="clear" w:color="auto" w:fill="AEAAAA" w:themeFill="background2" w:themeFillShade="BF"/>
            <w:noWrap/>
            <w:hideMark/>
          </w:tcPr>
          <w:p w14:paraId="2D065AEE" w14:textId="40AA1E66"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c>
          <w:tcPr>
            <w:tcW w:w="1117" w:type="dxa"/>
            <w:shd w:val="clear" w:color="auto" w:fill="AEAAAA" w:themeFill="background2" w:themeFillShade="BF"/>
          </w:tcPr>
          <w:p w14:paraId="18D15E45" w14:textId="5718106E"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Q</w:t>
            </w:r>
            <w:r w:rsidRPr="00B357F4">
              <w:rPr>
                <w:rFonts w:ascii="Calibri" w:hAnsi="Calibri" w:cs="Calibri"/>
                <w:color w:val="000000"/>
                <w:sz w:val="22"/>
                <w:szCs w:val="22"/>
                <w:vertAlign w:val="subscript"/>
                <w:lang w:eastAsia="hr-HR"/>
              </w:rPr>
              <w:t>H,nd</w:t>
            </w:r>
          </w:p>
        </w:tc>
        <w:tc>
          <w:tcPr>
            <w:tcW w:w="987" w:type="dxa"/>
            <w:shd w:val="clear" w:color="auto" w:fill="AEAAAA" w:themeFill="background2" w:themeFillShade="BF"/>
          </w:tcPr>
          <w:p w14:paraId="613310BB" w14:textId="513B395B"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
        </w:tc>
        <w:tc>
          <w:tcPr>
            <w:tcW w:w="877" w:type="dxa"/>
            <w:shd w:val="clear" w:color="auto" w:fill="AEAAAA" w:themeFill="background2" w:themeFillShade="BF"/>
          </w:tcPr>
          <w:p w14:paraId="52B455E7" w14:textId="68143963"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
        </w:tc>
        <w:tc>
          <w:tcPr>
            <w:tcW w:w="1118" w:type="dxa"/>
            <w:shd w:val="clear" w:color="auto" w:fill="AEAAAA" w:themeFill="background2" w:themeFillShade="BF"/>
          </w:tcPr>
          <w:p w14:paraId="6B506F75" w14:textId="77777777"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r>
      <w:tr w:rsidR="00FF3D77" w:rsidRPr="00B357F4" w14:paraId="4D48CB32" w14:textId="5B5254B2" w:rsidTr="00FF3D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99" w:type="dxa"/>
            <w:noWrap/>
            <w:hideMark/>
          </w:tcPr>
          <w:p w14:paraId="602674FD" w14:textId="77777777" w:rsidR="000101FE" w:rsidRPr="00B357F4" w:rsidRDefault="000101FE" w:rsidP="000101FE">
            <w:pPr>
              <w:spacing w:before="0" w:after="0"/>
              <w:jc w:val="left"/>
              <w:rPr>
                <w:rFonts w:ascii="Calibri" w:hAnsi="Calibri" w:cs="Calibri"/>
                <w:color w:val="000000"/>
                <w:sz w:val="22"/>
                <w:szCs w:val="22"/>
                <w:lang w:eastAsia="hr-HR"/>
              </w:rPr>
            </w:pPr>
          </w:p>
        </w:tc>
        <w:tc>
          <w:tcPr>
            <w:tcW w:w="1266" w:type="dxa"/>
            <w:shd w:val="clear" w:color="auto" w:fill="AEAAAA" w:themeFill="background2" w:themeFillShade="BF"/>
            <w:noWrap/>
            <w:hideMark/>
          </w:tcPr>
          <w:p w14:paraId="3E62EC65" w14:textId="4A60CA78"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052" w:type="dxa"/>
            <w:shd w:val="clear" w:color="auto" w:fill="AEAAAA" w:themeFill="background2" w:themeFillShade="BF"/>
            <w:noWrap/>
            <w:hideMark/>
          </w:tcPr>
          <w:p w14:paraId="7413BA67" w14:textId="181E255F"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905" w:type="dxa"/>
            <w:shd w:val="clear" w:color="auto" w:fill="AEAAAA" w:themeFill="background2" w:themeFillShade="BF"/>
            <w:noWrap/>
            <w:hideMark/>
          </w:tcPr>
          <w:p w14:paraId="33E2E7D9" w14:textId="42BEB58F"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123" w:type="dxa"/>
            <w:shd w:val="clear" w:color="auto" w:fill="AEAAAA" w:themeFill="background2" w:themeFillShade="BF"/>
            <w:noWrap/>
            <w:hideMark/>
          </w:tcPr>
          <w:p w14:paraId="22E52F00" w14:textId="4DDBE428"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tCO</w:t>
            </w:r>
            <w:r w:rsidRPr="00B357F4">
              <w:rPr>
                <w:rFonts w:ascii="Calibri" w:hAnsi="Calibri" w:cs="Calibri"/>
                <w:color w:val="000000"/>
                <w:sz w:val="22"/>
                <w:szCs w:val="22"/>
                <w:vertAlign w:val="subscript"/>
                <w:lang w:eastAsia="hr-HR"/>
              </w:rPr>
              <w:t xml:space="preserve">2 </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117" w:type="dxa"/>
            <w:shd w:val="clear" w:color="auto" w:fill="AEAAAA" w:themeFill="background2" w:themeFillShade="BF"/>
          </w:tcPr>
          <w:p w14:paraId="586FF565" w14:textId="4FF261B8"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987" w:type="dxa"/>
            <w:shd w:val="clear" w:color="auto" w:fill="AEAAAA" w:themeFill="background2" w:themeFillShade="BF"/>
          </w:tcPr>
          <w:p w14:paraId="3D950F7C" w14:textId="11E2CC8E"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877" w:type="dxa"/>
            <w:shd w:val="clear" w:color="auto" w:fill="AEAAAA" w:themeFill="background2" w:themeFillShade="BF"/>
          </w:tcPr>
          <w:p w14:paraId="008825C8" w14:textId="334BBBFC"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118" w:type="dxa"/>
            <w:shd w:val="clear" w:color="auto" w:fill="AEAAAA" w:themeFill="background2" w:themeFillShade="BF"/>
          </w:tcPr>
          <w:p w14:paraId="021E1977" w14:textId="3046B232"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tCO</w:t>
            </w:r>
            <w:r w:rsidRPr="00B357F4">
              <w:rPr>
                <w:rFonts w:ascii="Calibri" w:hAnsi="Calibri" w:cs="Calibri"/>
                <w:color w:val="000000"/>
                <w:sz w:val="22"/>
                <w:szCs w:val="22"/>
                <w:vertAlign w:val="subscript"/>
                <w:lang w:eastAsia="hr-HR"/>
              </w:rPr>
              <w:t xml:space="preserve">2 </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r>
      <w:tr w:rsidR="000101FE" w:rsidRPr="00B357F4" w14:paraId="78AED3E3" w14:textId="62AA2883"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7CA81FD7"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266" w:type="dxa"/>
            <w:noWrap/>
            <w:vAlign w:val="bottom"/>
            <w:hideMark/>
          </w:tcPr>
          <w:p w14:paraId="58DA83C6"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w:t>
            </w:r>
          </w:p>
        </w:tc>
        <w:tc>
          <w:tcPr>
            <w:tcW w:w="1052" w:type="dxa"/>
            <w:noWrap/>
            <w:vAlign w:val="bottom"/>
            <w:hideMark/>
          </w:tcPr>
          <w:p w14:paraId="51FE28C2"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1,3</w:t>
            </w:r>
          </w:p>
        </w:tc>
        <w:tc>
          <w:tcPr>
            <w:tcW w:w="905" w:type="dxa"/>
            <w:noWrap/>
            <w:vAlign w:val="bottom"/>
            <w:hideMark/>
          </w:tcPr>
          <w:p w14:paraId="1E6E6E8C"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w:t>
            </w:r>
          </w:p>
        </w:tc>
        <w:tc>
          <w:tcPr>
            <w:tcW w:w="1123" w:type="dxa"/>
            <w:noWrap/>
            <w:vAlign w:val="bottom"/>
            <w:hideMark/>
          </w:tcPr>
          <w:p w14:paraId="0D93C30F"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307,8</w:t>
            </w:r>
          </w:p>
        </w:tc>
        <w:tc>
          <w:tcPr>
            <w:tcW w:w="1117" w:type="dxa"/>
            <w:vAlign w:val="bottom"/>
          </w:tcPr>
          <w:p w14:paraId="02727DE6" w14:textId="66908B3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0,9</w:t>
            </w:r>
          </w:p>
        </w:tc>
        <w:tc>
          <w:tcPr>
            <w:tcW w:w="987" w:type="dxa"/>
            <w:vAlign w:val="bottom"/>
          </w:tcPr>
          <w:p w14:paraId="3484B001" w14:textId="5238F546"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1,2</w:t>
            </w:r>
          </w:p>
        </w:tc>
        <w:tc>
          <w:tcPr>
            <w:tcW w:w="877" w:type="dxa"/>
            <w:vAlign w:val="bottom"/>
          </w:tcPr>
          <w:p w14:paraId="34E1023B" w14:textId="6E265EC9"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1,6</w:t>
            </w:r>
          </w:p>
        </w:tc>
        <w:tc>
          <w:tcPr>
            <w:tcW w:w="1118" w:type="dxa"/>
            <w:vAlign w:val="bottom"/>
          </w:tcPr>
          <w:p w14:paraId="371F66B4" w14:textId="510F357C"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283,9</w:t>
            </w:r>
          </w:p>
        </w:tc>
      </w:tr>
      <w:tr w:rsidR="000101FE" w:rsidRPr="00B357F4" w14:paraId="357F0AB0" w14:textId="5F1BE799"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603A991"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266" w:type="dxa"/>
            <w:noWrap/>
            <w:vAlign w:val="bottom"/>
            <w:hideMark/>
          </w:tcPr>
          <w:p w14:paraId="358D147D"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183,2</w:t>
            </w:r>
          </w:p>
        </w:tc>
        <w:tc>
          <w:tcPr>
            <w:tcW w:w="1052" w:type="dxa"/>
            <w:noWrap/>
            <w:vAlign w:val="bottom"/>
            <w:hideMark/>
          </w:tcPr>
          <w:p w14:paraId="0057E012"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252,1</w:t>
            </w:r>
          </w:p>
        </w:tc>
        <w:tc>
          <w:tcPr>
            <w:tcW w:w="905" w:type="dxa"/>
            <w:noWrap/>
            <w:vAlign w:val="bottom"/>
            <w:hideMark/>
          </w:tcPr>
          <w:p w14:paraId="463BD227"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329,2</w:t>
            </w:r>
          </w:p>
        </w:tc>
        <w:tc>
          <w:tcPr>
            <w:tcW w:w="1123" w:type="dxa"/>
            <w:noWrap/>
            <w:vAlign w:val="bottom"/>
            <w:hideMark/>
          </w:tcPr>
          <w:p w14:paraId="7FFA042C"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57.988,8</w:t>
            </w:r>
          </w:p>
        </w:tc>
        <w:tc>
          <w:tcPr>
            <w:tcW w:w="1117" w:type="dxa"/>
            <w:vAlign w:val="bottom"/>
          </w:tcPr>
          <w:p w14:paraId="5A6959EA" w14:textId="4F83C89D"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163,8</w:t>
            </w:r>
          </w:p>
        </w:tc>
        <w:tc>
          <w:tcPr>
            <w:tcW w:w="987" w:type="dxa"/>
            <w:vAlign w:val="bottom"/>
          </w:tcPr>
          <w:p w14:paraId="0834702D" w14:textId="0DB3FE7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225,1</w:t>
            </w:r>
          </w:p>
        </w:tc>
        <w:tc>
          <w:tcPr>
            <w:tcW w:w="877" w:type="dxa"/>
            <w:vAlign w:val="bottom"/>
          </w:tcPr>
          <w:p w14:paraId="4C90BB69" w14:textId="4D35BD0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300,4</w:t>
            </w:r>
          </w:p>
        </w:tc>
        <w:tc>
          <w:tcPr>
            <w:tcW w:w="1118" w:type="dxa"/>
            <w:vAlign w:val="bottom"/>
          </w:tcPr>
          <w:p w14:paraId="67729B63" w14:textId="21A165F3"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53.290,6</w:t>
            </w:r>
          </w:p>
        </w:tc>
      </w:tr>
      <w:tr w:rsidR="000101FE" w:rsidRPr="00B357F4" w14:paraId="5ED978C0" w14:textId="19246127"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5C9E1C5"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266" w:type="dxa"/>
            <w:noWrap/>
            <w:vAlign w:val="bottom"/>
            <w:hideMark/>
          </w:tcPr>
          <w:p w14:paraId="0CE7289F"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866,4</w:t>
            </w:r>
          </w:p>
        </w:tc>
        <w:tc>
          <w:tcPr>
            <w:tcW w:w="1052" w:type="dxa"/>
            <w:noWrap/>
            <w:vAlign w:val="bottom"/>
            <w:hideMark/>
          </w:tcPr>
          <w:p w14:paraId="1B0E1E60"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692,1</w:t>
            </w:r>
          </w:p>
        </w:tc>
        <w:tc>
          <w:tcPr>
            <w:tcW w:w="905" w:type="dxa"/>
            <w:noWrap/>
            <w:vAlign w:val="bottom"/>
            <w:hideMark/>
          </w:tcPr>
          <w:p w14:paraId="07B00EB6"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967,5</w:t>
            </w:r>
          </w:p>
        </w:tc>
        <w:tc>
          <w:tcPr>
            <w:tcW w:w="1123" w:type="dxa"/>
            <w:noWrap/>
            <w:vAlign w:val="bottom"/>
            <w:hideMark/>
          </w:tcPr>
          <w:p w14:paraId="08311AB0"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159.173,3</w:t>
            </w:r>
          </w:p>
        </w:tc>
        <w:tc>
          <w:tcPr>
            <w:tcW w:w="1117" w:type="dxa"/>
            <w:vAlign w:val="bottom"/>
          </w:tcPr>
          <w:p w14:paraId="3D8750A1" w14:textId="47D0DBCA"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741,5</w:t>
            </w:r>
          </w:p>
        </w:tc>
        <w:tc>
          <w:tcPr>
            <w:tcW w:w="987" w:type="dxa"/>
            <w:vAlign w:val="bottom"/>
          </w:tcPr>
          <w:p w14:paraId="24EE45AA" w14:textId="328CBD49"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599,5</w:t>
            </w:r>
          </w:p>
        </w:tc>
        <w:tc>
          <w:tcPr>
            <w:tcW w:w="877" w:type="dxa"/>
            <w:vAlign w:val="bottom"/>
          </w:tcPr>
          <w:p w14:paraId="23AFCFC4" w14:textId="5C46586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866,7</w:t>
            </w:r>
          </w:p>
        </w:tc>
        <w:tc>
          <w:tcPr>
            <w:tcW w:w="1118" w:type="dxa"/>
            <w:vAlign w:val="bottom"/>
          </w:tcPr>
          <w:p w14:paraId="2AC24754" w14:textId="11B990A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150.540,9</w:t>
            </w:r>
          </w:p>
        </w:tc>
      </w:tr>
      <w:tr w:rsidR="000101FE" w:rsidRPr="00B357F4" w14:paraId="32D6557F" w14:textId="51616C89"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57FA3B09"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266" w:type="dxa"/>
            <w:noWrap/>
            <w:vAlign w:val="bottom"/>
            <w:hideMark/>
          </w:tcPr>
          <w:p w14:paraId="35B7A794"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1.182,7</w:t>
            </w:r>
          </w:p>
        </w:tc>
        <w:tc>
          <w:tcPr>
            <w:tcW w:w="1052" w:type="dxa"/>
            <w:noWrap/>
            <w:vAlign w:val="bottom"/>
            <w:hideMark/>
          </w:tcPr>
          <w:p w14:paraId="61A4B467"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882,2</w:t>
            </w:r>
          </w:p>
        </w:tc>
        <w:tc>
          <w:tcPr>
            <w:tcW w:w="905" w:type="dxa"/>
            <w:noWrap/>
            <w:vAlign w:val="bottom"/>
            <w:hideMark/>
          </w:tcPr>
          <w:p w14:paraId="06A9B2E1"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1.216,6</w:t>
            </w:r>
          </w:p>
        </w:tc>
        <w:tc>
          <w:tcPr>
            <w:tcW w:w="1123" w:type="dxa"/>
            <w:noWrap/>
            <w:vAlign w:val="bottom"/>
            <w:hideMark/>
          </w:tcPr>
          <w:p w14:paraId="374024F3"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202.897,5</w:t>
            </w:r>
          </w:p>
        </w:tc>
        <w:tc>
          <w:tcPr>
            <w:tcW w:w="1117" w:type="dxa"/>
            <w:vAlign w:val="bottom"/>
          </w:tcPr>
          <w:p w14:paraId="2C5A4FFB" w14:textId="16EF2379"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1.010,5</w:t>
            </w:r>
          </w:p>
        </w:tc>
        <w:tc>
          <w:tcPr>
            <w:tcW w:w="987" w:type="dxa"/>
            <w:vAlign w:val="bottom"/>
          </w:tcPr>
          <w:p w14:paraId="32777676" w14:textId="6F30936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758,6</w:t>
            </w:r>
          </w:p>
        </w:tc>
        <w:tc>
          <w:tcPr>
            <w:tcW w:w="877" w:type="dxa"/>
            <w:vAlign w:val="bottom"/>
          </w:tcPr>
          <w:p w14:paraId="218D95BE" w14:textId="3593A3F8"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1.064,6</w:t>
            </w:r>
          </w:p>
        </w:tc>
        <w:tc>
          <w:tcPr>
            <w:tcW w:w="1118" w:type="dxa"/>
            <w:vAlign w:val="bottom"/>
          </w:tcPr>
          <w:p w14:paraId="4FB668EC" w14:textId="7C063AEE"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193.162,5</w:t>
            </w:r>
          </w:p>
        </w:tc>
      </w:tr>
      <w:tr w:rsidR="000101FE" w:rsidRPr="00B357F4" w14:paraId="2619BDC5" w14:textId="68E3694F"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39AAD18"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266" w:type="dxa"/>
            <w:noWrap/>
            <w:vAlign w:val="bottom"/>
            <w:hideMark/>
          </w:tcPr>
          <w:p w14:paraId="3FEF6841"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745,6</w:t>
            </w:r>
          </w:p>
        </w:tc>
        <w:tc>
          <w:tcPr>
            <w:tcW w:w="1052" w:type="dxa"/>
            <w:noWrap/>
            <w:vAlign w:val="bottom"/>
            <w:hideMark/>
          </w:tcPr>
          <w:p w14:paraId="5E7F6D16"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490,9</w:t>
            </w:r>
          </w:p>
        </w:tc>
        <w:tc>
          <w:tcPr>
            <w:tcW w:w="905" w:type="dxa"/>
            <w:noWrap/>
            <w:vAlign w:val="bottom"/>
            <w:hideMark/>
          </w:tcPr>
          <w:p w14:paraId="5988DF46"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675,2</w:t>
            </w:r>
          </w:p>
        </w:tc>
        <w:tc>
          <w:tcPr>
            <w:tcW w:w="1123" w:type="dxa"/>
            <w:noWrap/>
            <w:vAlign w:val="bottom"/>
            <w:hideMark/>
          </w:tcPr>
          <w:p w14:paraId="72EA6B0D"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112.917,3</w:t>
            </w:r>
          </w:p>
        </w:tc>
        <w:tc>
          <w:tcPr>
            <w:tcW w:w="1117" w:type="dxa"/>
            <w:vAlign w:val="bottom"/>
          </w:tcPr>
          <w:p w14:paraId="4DB7324A" w14:textId="160FB480"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628,7</w:t>
            </w:r>
          </w:p>
        </w:tc>
        <w:tc>
          <w:tcPr>
            <w:tcW w:w="987" w:type="dxa"/>
            <w:vAlign w:val="bottom"/>
          </w:tcPr>
          <w:p w14:paraId="71DFAECB" w14:textId="738C45AC"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415,1</w:t>
            </w:r>
          </w:p>
        </w:tc>
        <w:tc>
          <w:tcPr>
            <w:tcW w:w="877" w:type="dxa"/>
            <w:vAlign w:val="bottom"/>
          </w:tcPr>
          <w:p w14:paraId="774BFD66" w14:textId="6759DA0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572,8</w:t>
            </w:r>
          </w:p>
        </w:tc>
        <w:tc>
          <w:tcPr>
            <w:tcW w:w="1118" w:type="dxa"/>
            <w:vAlign w:val="bottom"/>
          </w:tcPr>
          <w:p w14:paraId="39451C01" w14:textId="7D0D68BF"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109.136,1</w:t>
            </w:r>
          </w:p>
        </w:tc>
      </w:tr>
      <w:tr w:rsidR="000101FE" w:rsidRPr="00B357F4" w14:paraId="0708B4A8" w14:textId="11348E74"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449205B5"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266" w:type="dxa"/>
            <w:noWrap/>
            <w:vAlign w:val="bottom"/>
            <w:hideMark/>
          </w:tcPr>
          <w:p w14:paraId="30F1D41C"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33,4</w:t>
            </w:r>
          </w:p>
        </w:tc>
        <w:tc>
          <w:tcPr>
            <w:tcW w:w="1052" w:type="dxa"/>
            <w:noWrap/>
            <w:vAlign w:val="bottom"/>
            <w:hideMark/>
          </w:tcPr>
          <w:p w14:paraId="48630A77"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24,2</w:t>
            </w:r>
          </w:p>
        </w:tc>
        <w:tc>
          <w:tcPr>
            <w:tcW w:w="905" w:type="dxa"/>
            <w:noWrap/>
            <w:vAlign w:val="bottom"/>
            <w:hideMark/>
          </w:tcPr>
          <w:p w14:paraId="1A955E56"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33,5</w:t>
            </w:r>
          </w:p>
        </w:tc>
        <w:tc>
          <w:tcPr>
            <w:tcW w:w="1123" w:type="dxa"/>
            <w:noWrap/>
            <w:vAlign w:val="bottom"/>
            <w:hideMark/>
          </w:tcPr>
          <w:p w14:paraId="6F50BA51"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5.576,1</w:t>
            </w:r>
          </w:p>
        </w:tc>
        <w:tc>
          <w:tcPr>
            <w:tcW w:w="1117" w:type="dxa"/>
            <w:vAlign w:val="bottom"/>
          </w:tcPr>
          <w:p w14:paraId="1C7B3282" w14:textId="0678686B"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28,4</w:t>
            </w:r>
          </w:p>
        </w:tc>
        <w:tc>
          <w:tcPr>
            <w:tcW w:w="987" w:type="dxa"/>
            <w:vAlign w:val="bottom"/>
          </w:tcPr>
          <w:p w14:paraId="3FAFD7C1" w14:textId="544A7C41"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20,6</w:t>
            </w:r>
          </w:p>
        </w:tc>
        <w:tc>
          <w:tcPr>
            <w:tcW w:w="877" w:type="dxa"/>
            <w:vAlign w:val="bottom"/>
          </w:tcPr>
          <w:p w14:paraId="2849A865" w14:textId="488DA9F9"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28,8</w:t>
            </w:r>
          </w:p>
        </w:tc>
        <w:tc>
          <w:tcPr>
            <w:tcW w:w="1118" w:type="dxa"/>
            <w:vAlign w:val="bottom"/>
          </w:tcPr>
          <w:p w14:paraId="2CCE03A2" w14:textId="7DBE7F8F"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5.359,2</w:t>
            </w:r>
          </w:p>
        </w:tc>
      </w:tr>
      <w:tr w:rsidR="000101FE" w:rsidRPr="00B357F4" w14:paraId="6F3BF92D" w14:textId="1E41CFE7"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740754FD"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266" w:type="dxa"/>
            <w:noWrap/>
            <w:vAlign w:val="bottom"/>
            <w:hideMark/>
          </w:tcPr>
          <w:p w14:paraId="58546472"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163,4</w:t>
            </w:r>
          </w:p>
        </w:tc>
        <w:tc>
          <w:tcPr>
            <w:tcW w:w="1052" w:type="dxa"/>
            <w:noWrap/>
            <w:vAlign w:val="bottom"/>
            <w:hideMark/>
          </w:tcPr>
          <w:p w14:paraId="389E510A"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120,9</w:t>
            </w:r>
          </w:p>
        </w:tc>
        <w:tc>
          <w:tcPr>
            <w:tcW w:w="905" w:type="dxa"/>
            <w:noWrap/>
            <w:vAlign w:val="bottom"/>
            <w:hideMark/>
          </w:tcPr>
          <w:p w14:paraId="2C97CE7E"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162,3</w:t>
            </w:r>
          </w:p>
        </w:tc>
        <w:tc>
          <w:tcPr>
            <w:tcW w:w="1123" w:type="dxa"/>
            <w:noWrap/>
            <w:vAlign w:val="bottom"/>
            <w:hideMark/>
          </w:tcPr>
          <w:p w14:paraId="56D973CA"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27.807,9</w:t>
            </w:r>
          </w:p>
        </w:tc>
        <w:tc>
          <w:tcPr>
            <w:tcW w:w="1117" w:type="dxa"/>
            <w:vAlign w:val="bottom"/>
          </w:tcPr>
          <w:p w14:paraId="713ACE31" w14:textId="10308371"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143,7</w:t>
            </w:r>
          </w:p>
        </w:tc>
        <w:tc>
          <w:tcPr>
            <w:tcW w:w="987" w:type="dxa"/>
            <w:vAlign w:val="bottom"/>
          </w:tcPr>
          <w:p w14:paraId="40E069A3" w14:textId="302F4E8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106,9</w:t>
            </w:r>
          </w:p>
        </w:tc>
        <w:tc>
          <w:tcPr>
            <w:tcW w:w="877" w:type="dxa"/>
            <w:vAlign w:val="bottom"/>
          </w:tcPr>
          <w:p w14:paraId="5DD1813F" w14:textId="21E39D81"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146,5</w:t>
            </w:r>
          </w:p>
        </w:tc>
        <w:tc>
          <w:tcPr>
            <w:tcW w:w="1118" w:type="dxa"/>
            <w:vAlign w:val="bottom"/>
          </w:tcPr>
          <w:p w14:paraId="49582DCB" w14:textId="341E344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25.793,8</w:t>
            </w:r>
          </w:p>
        </w:tc>
      </w:tr>
      <w:tr w:rsidR="000101FE" w:rsidRPr="00B357F4" w14:paraId="68CCA233" w14:textId="2562B2A9"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AD329A8"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1266" w:type="dxa"/>
            <w:noWrap/>
            <w:vAlign w:val="bottom"/>
            <w:hideMark/>
          </w:tcPr>
          <w:p w14:paraId="41F20B0A"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161,6</w:t>
            </w:r>
          </w:p>
        </w:tc>
        <w:tc>
          <w:tcPr>
            <w:tcW w:w="1052" w:type="dxa"/>
            <w:noWrap/>
            <w:vAlign w:val="bottom"/>
            <w:hideMark/>
          </w:tcPr>
          <w:p w14:paraId="7D9E65F5"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151,0</w:t>
            </w:r>
          </w:p>
        </w:tc>
        <w:tc>
          <w:tcPr>
            <w:tcW w:w="905" w:type="dxa"/>
            <w:noWrap/>
            <w:vAlign w:val="bottom"/>
            <w:hideMark/>
          </w:tcPr>
          <w:p w14:paraId="40BA545A"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198,2</w:t>
            </w:r>
          </w:p>
        </w:tc>
        <w:tc>
          <w:tcPr>
            <w:tcW w:w="1123" w:type="dxa"/>
            <w:noWrap/>
            <w:vAlign w:val="bottom"/>
            <w:hideMark/>
          </w:tcPr>
          <w:p w14:paraId="4742CD59"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34.723,8</w:t>
            </w:r>
          </w:p>
        </w:tc>
        <w:tc>
          <w:tcPr>
            <w:tcW w:w="1117" w:type="dxa"/>
            <w:vAlign w:val="bottom"/>
          </w:tcPr>
          <w:p w14:paraId="753F9163" w14:textId="05C78C04"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138,5</w:t>
            </w:r>
          </w:p>
        </w:tc>
        <w:tc>
          <w:tcPr>
            <w:tcW w:w="987" w:type="dxa"/>
            <w:vAlign w:val="bottom"/>
          </w:tcPr>
          <w:p w14:paraId="6E36A55B" w14:textId="5353263B"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130,0</w:t>
            </w:r>
          </w:p>
        </w:tc>
        <w:tc>
          <w:tcPr>
            <w:tcW w:w="877" w:type="dxa"/>
            <w:vAlign w:val="bottom"/>
          </w:tcPr>
          <w:p w14:paraId="566CB870" w14:textId="37EE88CA"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176,8</w:t>
            </w:r>
          </w:p>
        </w:tc>
        <w:tc>
          <w:tcPr>
            <w:tcW w:w="1118" w:type="dxa"/>
            <w:vAlign w:val="bottom"/>
          </w:tcPr>
          <w:p w14:paraId="23EC7FA0" w14:textId="550281AD"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33.018,5</w:t>
            </w:r>
          </w:p>
        </w:tc>
      </w:tr>
      <w:tr w:rsidR="000101FE" w:rsidRPr="00B357F4" w14:paraId="6E957F40" w14:textId="7B0F6606"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0D777AB0"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266" w:type="dxa"/>
            <w:noWrap/>
            <w:vAlign w:val="bottom"/>
            <w:hideMark/>
          </w:tcPr>
          <w:p w14:paraId="3BAA6497"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11,7</w:t>
            </w:r>
          </w:p>
        </w:tc>
        <w:tc>
          <w:tcPr>
            <w:tcW w:w="1052" w:type="dxa"/>
            <w:noWrap/>
            <w:vAlign w:val="bottom"/>
            <w:hideMark/>
          </w:tcPr>
          <w:p w14:paraId="12E1C69B"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6,1</w:t>
            </w:r>
          </w:p>
        </w:tc>
        <w:tc>
          <w:tcPr>
            <w:tcW w:w="905" w:type="dxa"/>
            <w:noWrap/>
            <w:vAlign w:val="bottom"/>
            <w:hideMark/>
          </w:tcPr>
          <w:p w14:paraId="7A8CE24D"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8,7</w:t>
            </w:r>
          </w:p>
        </w:tc>
        <w:tc>
          <w:tcPr>
            <w:tcW w:w="1123" w:type="dxa"/>
            <w:noWrap/>
            <w:vAlign w:val="bottom"/>
            <w:hideMark/>
          </w:tcPr>
          <w:p w14:paraId="09D29472"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1.411,5</w:t>
            </w:r>
          </w:p>
        </w:tc>
        <w:tc>
          <w:tcPr>
            <w:tcW w:w="1117" w:type="dxa"/>
            <w:vAlign w:val="bottom"/>
          </w:tcPr>
          <w:p w14:paraId="596E759E" w14:textId="5C35B0F3"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9,9</w:t>
            </w:r>
          </w:p>
        </w:tc>
        <w:tc>
          <w:tcPr>
            <w:tcW w:w="987" w:type="dxa"/>
            <w:vAlign w:val="bottom"/>
          </w:tcPr>
          <w:p w14:paraId="7AB76765" w14:textId="12D231B9"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5,2</w:t>
            </w:r>
          </w:p>
        </w:tc>
        <w:tc>
          <w:tcPr>
            <w:tcW w:w="877" w:type="dxa"/>
            <w:vAlign w:val="bottom"/>
          </w:tcPr>
          <w:p w14:paraId="18C9DD02" w14:textId="24CA38B6"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7,4</w:t>
            </w:r>
          </w:p>
        </w:tc>
        <w:tc>
          <w:tcPr>
            <w:tcW w:w="1118" w:type="dxa"/>
            <w:vAlign w:val="bottom"/>
          </w:tcPr>
          <w:p w14:paraId="13304DB3" w14:textId="7CEE61ED"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1.367,0</w:t>
            </w:r>
          </w:p>
        </w:tc>
      </w:tr>
      <w:tr w:rsidR="000101FE" w:rsidRPr="00B357F4" w14:paraId="5FE6BE9A" w14:textId="7B0E15C7"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783FB009"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1266" w:type="dxa"/>
            <w:noWrap/>
            <w:vAlign w:val="bottom"/>
            <w:hideMark/>
          </w:tcPr>
          <w:p w14:paraId="3E5137CA"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1052" w:type="dxa"/>
            <w:noWrap/>
            <w:vAlign w:val="bottom"/>
            <w:hideMark/>
          </w:tcPr>
          <w:p w14:paraId="4CD61739"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905" w:type="dxa"/>
            <w:noWrap/>
            <w:vAlign w:val="bottom"/>
            <w:hideMark/>
          </w:tcPr>
          <w:p w14:paraId="4C45D38D"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1123" w:type="dxa"/>
            <w:noWrap/>
            <w:vAlign w:val="bottom"/>
            <w:hideMark/>
          </w:tcPr>
          <w:p w14:paraId="2DD1AD01"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1117" w:type="dxa"/>
            <w:vAlign w:val="bottom"/>
          </w:tcPr>
          <w:p w14:paraId="32A78ABB" w14:textId="602FA9B2"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c>
          <w:tcPr>
            <w:tcW w:w="987" w:type="dxa"/>
            <w:vAlign w:val="bottom"/>
          </w:tcPr>
          <w:p w14:paraId="4A09FD9C" w14:textId="1F8E0162"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c>
          <w:tcPr>
            <w:tcW w:w="877" w:type="dxa"/>
            <w:vAlign w:val="bottom"/>
          </w:tcPr>
          <w:p w14:paraId="6666784A" w14:textId="25D7DFC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c>
          <w:tcPr>
            <w:tcW w:w="1118" w:type="dxa"/>
            <w:vAlign w:val="bottom"/>
          </w:tcPr>
          <w:p w14:paraId="0421989C" w14:textId="65B07A3B"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r>
      <w:tr w:rsidR="000101FE" w:rsidRPr="00B357F4" w14:paraId="3416077E" w14:textId="3552DA33"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322AFF79" w14:textId="77777777" w:rsidR="000101FE" w:rsidRPr="00B357F4" w:rsidRDefault="000101FE" w:rsidP="000101FE">
            <w:pPr>
              <w:spacing w:before="0" w:after="0"/>
              <w:jc w:val="right"/>
              <w:rPr>
                <w:rFonts w:ascii="Calibri" w:hAnsi="Calibri" w:cs="Calibri"/>
                <w:color w:val="000000"/>
                <w:sz w:val="22"/>
                <w:szCs w:val="22"/>
                <w:lang w:eastAsia="hr-HR"/>
              </w:rPr>
            </w:pPr>
          </w:p>
        </w:tc>
        <w:tc>
          <w:tcPr>
            <w:tcW w:w="1266" w:type="dxa"/>
            <w:noWrap/>
            <w:vAlign w:val="bottom"/>
            <w:hideMark/>
          </w:tcPr>
          <w:p w14:paraId="3697A384"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3.348,9</w:t>
            </w:r>
          </w:p>
        </w:tc>
        <w:tc>
          <w:tcPr>
            <w:tcW w:w="1052" w:type="dxa"/>
            <w:noWrap/>
            <w:vAlign w:val="bottom"/>
            <w:hideMark/>
          </w:tcPr>
          <w:p w14:paraId="7268E1A2"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2.620,9</w:t>
            </w:r>
          </w:p>
        </w:tc>
        <w:tc>
          <w:tcPr>
            <w:tcW w:w="905" w:type="dxa"/>
            <w:noWrap/>
            <w:vAlign w:val="bottom"/>
            <w:hideMark/>
          </w:tcPr>
          <w:p w14:paraId="3CA4E628"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3.592,9</w:t>
            </w:r>
          </w:p>
        </w:tc>
        <w:tc>
          <w:tcPr>
            <w:tcW w:w="1123" w:type="dxa"/>
            <w:noWrap/>
            <w:vAlign w:val="bottom"/>
            <w:hideMark/>
          </w:tcPr>
          <w:p w14:paraId="1D1E725C"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602.804,1</w:t>
            </w:r>
          </w:p>
        </w:tc>
        <w:tc>
          <w:tcPr>
            <w:tcW w:w="1117" w:type="dxa"/>
            <w:vAlign w:val="bottom"/>
          </w:tcPr>
          <w:p w14:paraId="659B6361" w14:textId="3E4E1854"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2.865,7</w:t>
            </w:r>
          </w:p>
        </w:tc>
        <w:tc>
          <w:tcPr>
            <w:tcW w:w="987" w:type="dxa"/>
            <w:vAlign w:val="bottom"/>
          </w:tcPr>
          <w:p w14:paraId="61DD312D" w14:textId="550821C3"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2.262,2</w:t>
            </w:r>
          </w:p>
        </w:tc>
        <w:tc>
          <w:tcPr>
            <w:tcW w:w="877" w:type="dxa"/>
            <w:vAlign w:val="bottom"/>
          </w:tcPr>
          <w:p w14:paraId="4689B6F6" w14:textId="3404081D"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3.165,6</w:t>
            </w:r>
          </w:p>
        </w:tc>
        <w:tc>
          <w:tcPr>
            <w:tcW w:w="1118" w:type="dxa"/>
            <w:vAlign w:val="bottom"/>
          </w:tcPr>
          <w:p w14:paraId="2C3CCC71" w14:textId="19B804F3"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571.952,6</w:t>
            </w:r>
          </w:p>
        </w:tc>
      </w:tr>
    </w:tbl>
    <w:p w14:paraId="530A053E" w14:textId="165A95E3" w:rsidR="009E5B1B" w:rsidRDefault="00FF3D77" w:rsidP="00FF3D77">
      <w:r w:rsidRPr="00FF3D77">
        <w:t>Pretpostavka na razini Programa je da će udjeli zgrada koje će se obnavljati biti ravnomjerno raspoređeni po vrstama zgrada, tj. da investicija neće biti fokusirana na pojedine sektore. Zbog toga se prosječna ušteda nakon primjene mjera energetske obnove u odnosu na stanje prije obnove promatra jedinstveno za cijeli fond zgrada javnog sektora.</w:t>
      </w:r>
    </w:p>
    <w:p w14:paraId="416F1214" w14:textId="7B623E60" w:rsidR="00F54AA9" w:rsidRPr="00F54AA9" w:rsidRDefault="00C27AD0" w:rsidP="00D744BE">
      <w:pPr>
        <w:rPr>
          <w:szCs w:val="20"/>
        </w:rPr>
      </w:pPr>
      <w:r w:rsidRPr="00B357F4">
        <w:t>U razdoblju do 2030. godine, s postupnim rastom intenziteta obnove s 1% u 2021. godini do 3% u 2030. godini, ukupno će biti obnovljeno 20% fonda zgrada u skladu s ciljevima definiranim Dugoročnom strategijom</w:t>
      </w:r>
      <w:r w:rsidRPr="003245C1">
        <w:t xml:space="preserve">, </w:t>
      </w:r>
      <w:r w:rsidRPr="00586809">
        <w:rPr>
          <w:szCs w:val="20"/>
        </w:rPr>
        <w:t>čime će se ostvariti uštede od 35,</w:t>
      </w:r>
      <w:r w:rsidR="009854D9">
        <w:rPr>
          <w:szCs w:val="20"/>
        </w:rPr>
        <w:t>9</w:t>
      </w:r>
      <w:r w:rsidR="009854D9" w:rsidRPr="00B03C9B">
        <w:rPr>
          <w:szCs w:val="20"/>
        </w:rPr>
        <w:t xml:space="preserve"> </w:t>
      </w:r>
      <w:r w:rsidRPr="00B03C9B">
        <w:rPr>
          <w:szCs w:val="20"/>
        </w:rPr>
        <w:t xml:space="preserve">GWh </w:t>
      </w:r>
      <w:r w:rsidRPr="00B357F4">
        <w:rPr>
          <w:szCs w:val="20"/>
        </w:rPr>
        <w:t>isporučene (neposredne) energije godišnje</w:t>
      </w:r>
      <w:r w:rsidR="00FC0FA6">
        <w:rPr>
          <w:szCs w:val="20"/>
        </w:rPr>
        <w:t xml:space="preserve"> (359 GWh </w:t>
      </w:r>
      <w:r w:rsidR="007E6DEC">
        <w:rPr>
          <w:szCs w:val="20"/>
        </w:rPr>
        <w:t>na kraju 203</w:t>
      </w:r>
      <w:r w:rsidR="0043015B">
        <w:rPr>
          <w:szCs w:val="20"/>
        </w:rPr>
        <w:t>0</w:t>
      </w:r>
      <w:r w:rsidR="007E6DEC">
        <w:rPr>
          <w:szCs w:val="20"/>
        </w:rPr>
        <w:t>. godine)</w:t>
      </w:r>
      <w:r w:rsidRPr="00B357F4">
        <w:rPr>
          <w:szCs w:val="20"/>
        </w:rPr>
        <w:t>, odnosno smanjenje CO</w:t>
      </w:r>
      <w:r w:rsidRPr="00760C3F">
        <w:rPr>
          <w:szCs w:val="20"/>
          <w:vertAlign w:val="subscript"/>
        </w:rPr>
        <w:t>2</w:t>
      </w:r>
      <w:r w:rsidRPr="003020E6">
        <w:rPr>
          <w:szCs w:val="20"/>
        </w:rPr>
        <w:t xml:space="preserve"> emisija za </w:t>
      </w:r>
      <w:r w:rsidRPr="006734C7">
        <w:rPr>
          <w:szCs w:val="20"/>
        </w:rPr>
        <w:t>30.851 t</w:t>
      </w:r>
      <w:r w:rsidRPr="003245C1">
        <w:rPr>
          <w:szCs w:val="20"/>
        </w:rPr>
        <w:t>CO</w:t>
      </w:r>
      <w:r w:rsidRPr="00760C3F">
        <w:rPr>
          <w:szCs w:val="20"/>
          <w:vertAlign w:val="subscript"/>
        </w:rPr>
        <w:t>2</w:t>
      </w:r>
      <w:r w:rsidRPr="006734C7">
        <w:rPr>
          <w:szCs w:val="20"/>
        </w:rPr>
        <w:t xml:space="preserve">. </w:t>
      </w:r>
      <w:r w:rsidR="00F54AA9">
        <w:rPr>
          <w:szCs w:val="20"/>
        </w:rPr>
        <w:t xml:space="preserve">Smanjenje primarne energije </w:t>
      </w:r>
      <w:r w:rsidR="007331DB">
        <w:rPr>
          <w:szCs w:val="20"/>
        </w:rPr>
        <w:t xml:space="preserve">2030. godine </w:t>
      </w:r>
      <w:r w:rsidR="00782E37">
        <w:rPr>
          <w:szCs w:val="20"/>
        </w:rPr>
        <w:t>iznos</w:t>
      </w:r>
      <w:r w:rsidR="007331DB">
        <w:rPr>
          <w:szCs w:val="20"/>
        </w:rPr>
        <w:t>i</w:t>
      </w:r>
      <w:r w:rsidR="00782E37">
        <w:rPr>
          <w:szCs w:val="20"/>
        </w:rPr>
        <w:t xml:space="preserve">t će </w:t>
      </w:r>
      <w:r w:rsidR="007331DB">
        <w:rPr>
          <w:szCs w:val="20"/>
        </w:rPr>
        <w:t>427</w:t>
      </w:r>
      <w:r w:rsidR="0070076B">
        <w:rPr>
          <w:szCs w:val="20"/>
        </w:rPr>
        <w:t xml:space="preserve"> GWh.</w:t>
      </w:r>
    </w:p>
    <w:p w14:paraId="2BAC0636" w14:textId="678D7659" w:rsidR="00D82D0F" w:rsidRPr="006734C7" w:rsidRDefault="006D3680" w:rsidP="00703875">
      <w:pPr>
        <w:pStyle w:val="Naslov20"/>
      </w:pPr>
      <w:bookmarkStart w:id="54" w:name="_Toc94769977"/>
      <w:r>
        <w:t>D</w:t>
      </w:r>
      <w:r w:rsidR="00DF361B" w:rsidRPr="000044AD">
        <w:t>oprinos nacionalnim ciljevima</w:t>
      </w:r>
      <w:r w:rsidR="50962E7C" w:rsidRPr="003020E6">
        <w:t xml:space="preserve"> nakon primjene mjera energetske obnove do 2030.</w:t>
      </w:r>
      <w:bookmarkEnd w:id="54"/>
      <w:r w:rsidR="50962E7C" w:rsidRPr="003020E6">
        <w:t xml:space="preserve"> </w:t>
      </w:r>
    </w:p>
    <w:p w14:paraId="03967208" w14:textId="7714D5FD" w:rsidR="00370833" w:rsidRPr="006734C7" w:rsidRDefault="4AB481AB" w:rsidP="00370833">
      <w:pPr>
        <w:rPr>
          <w:color w:val="000000"/>
        </w:rPr>
      </w:pPr>
      <w:r w:rsidRPr="00B03C9B">
        <w:rPr>
          <w:szCs w:val="20"/>
        </w:rPr>
        <w:t xml:space="preserve">Dodatno se ovdje treba osvrnuti i na cilj kumulativnih ušteda energije </w:t>
      </w:r>
      <w:r w:rsidR="00DF361B" w:rsidRPr="00B357F4">
        <w:rPr>
          <w:szCs w:val="20"/>
        </w:rPr>
        <w:t xml:space="preserve">u neposrednoj potrošnji </w:t>
      </w:r>
      <w:r w:rsidRPr="00B357F4">
        <w:rPr>
          <w:szCs w:val="20"/>
        </w:rPr>
        <w:t xml:space="preserve">kojega je </w:t>
      </w:r>
      <w:r w:rsidR="00A12702">
        <w:rPr>
          <w:szCs w:val="20"/>
        </w:rPr>
        <w:t xml:space="preserve">Republika </w:t>
      </w:r>
      <w:r w:rsidR="002B6C31">
        <w:rPr>
          <w:szCs w:val="20"/>
        </w:rPr>
        <w:t>Hrvatska</w:t>
      </w:r>
      <w:r w:rsidRPr="00B357F4">
        <w:rPr>
          <w:szCs w:val="20"/>
        </w:rPr>
        <w:t>, temeljem zahtjeva članka 7. Direktive o energetskoj učinkovitosti, postavila u svom NEKP-u. Taj cilj za razdoblje od 2021. do 2030.</w:t>
      </w:r>
      <w:r w:rsidRPr="00B357F4">
        <w:rPr>
          <w:color w:val="000000"/>
        </w:rPr>
        <w:t xml:space="preserve"> godine iznosi </w:t>
      </w:r>
      <w:r w:rsidRPr="00B357F4">
        <w:rPr>
          <w:b/>
          <w:color w:val="000000"/>
        </w:rPr>
        <w:t>125,3 PJ</w:t>
      </w:r>
      <w:r w:rsidRPr="00B357F4">
        <w:rPr>
          <w:color w:val="000000"/>
        </w:rPr>
        <w:t xml:space="preserve"> odnosno </w:t>
      </w:r>
      <w:r w:rsidRPr="00B357F4">
        <w:rPr>
          <w:b/>
          <w:color w:val="000000"/>
        </w:rPr>
        <w:t>34.805,56 GWh</w:t>
      </w:r>
      <w:r w:rsidRPr="00B357F4">
        <w:rPr>
          <w:color w:val="000000"/>
        </w:rPr>
        <w:t>.</w:t>
      </w:r>
      <w:r w:rsidRPr="00B357F4">
        <w:rPr>
          <w:b/>
          <w:color w:val="000000"/>
        </w:rPr>
        <w:t xml:space="preserve"> </w:t>
      </w:r>
      <w:r w:rsidRPr="00B357F4">
        <w:rPr>
          <w:color w:val="000000"/>
        </w:rPr>
        <w:t>Kolike će se kumulativ</w:t>
      </w:r>
      <w:r w:rsidRPr="00B357F4">
        <w:rPr>
          <w:szCs w:val="20"/>
        </w:rPr>
        <w:t xml:space="preserve">ne uštede ostvariti iz obnove </w:t>
      </w:r>
      <w:r w:rsidR="7E584CF4" w:rsidRPr="00B357F4">
        <w:rPr>
          <w:szCs w:val="20"/>
        </w:rPr>
        <w:t>ZJS</w:t>
      </w:r>
      <w:r w:rsidRPr="00B357F4">
        <w:rPr>
          <w:szCs w:val="20"/>
        </w:rPr>
        <w:t xml:space="preserve"> uvelike ovisi o godišnjoj raspodjeli aktivnosti – što se ranije započne s provedbom, to će </w:t>
      </w:r>
      <w:r w:rsidRPr="00B357F4">
        <w:rPr>
          <w:color w:val="000000"/>
        </w:rPr>
        <w:t xml:space="preserve">kumulativne uštede biti veće. Raspodjela ušteda po godinama vezat će se na ciljanu površinu po godinama </w:t>
      </w:r>
      <w:r w:rsidR="7E584CF4" w:rsidRPr="00B357F4">
        <w:rPr>
          <w:color w:val="000000"/>
        </w:rPr>
        <w:t>prema Dugoročnoj strategiji</w:t>
      </w:r>
      <w:r w:rsidRPr="00B357F4">
        <w:rPr>
          <w:color w:val="000000"/>
        </w:rPr>
        <w:t xml:space="preserve">. Izračun kumulativnih ušteda energije prikazuje </w:t>
      </w:r>
      <w:r w:rsidR="00370833" w:rsidRPr="006734C7">
        <w:rPr>
          <w:color w:val="000000"/>
        </w:rPr>
        <w:fldChar w:fldCharType="begin"/>
      </w:r>
      <w:r w:rsidR="00370833" w:rsidRPr="00B357F4">
        <w:rPr>
          <w:color w:val="000000"/>
        </w:rPr>
        <w:instrText xml:space="preserve"> REF _Ref72063343 \h </w:instrText>
      </w:r>
      <w:r w:rsidR="00370833" w:rsidRPr="006734C7">
        <w:rPr>
          <w:color w:val="000000"/>
        </w:rPr>
      </w:r>
      <w:r w:rsidR="00370833" w:rsidRPr="006734C7">
        <w:rPr>
          <w:color w:val="000000"/>
        </w:rPr>
        <w:fldChar w:fldCharType="separate"/>
      </w:r>
      <w:r w:rsidR="0023635D" w:rsidRPr="003245C1">
        <w:t xml:space="preserve">Tablica </w:t>
      </w:r>
      <w:r w:rsidR="0023635D">
        <w:rPr>
          <w:noProof/>
        </w:rPr>
        <w:t>3</w:t>
      </w:r>
      <w:r w:rsidR="0023635D">
        <w:noBreakHyphen/>
      </w:r>
      <w:r w:rsidR="0023635D">
        <w:rPr>
          <w:noProof/>
        </w:rPr>
        <w:t>10</w:t>
      </w:r>
      <w:r w:rsidR="00370833" w:rsidRPr="006734C7">
        <w:rPr>
          <w:color w:val="000000"/>
        </w:rPr>
        <w:fldChar w:fldCharType="end"/>
      </w:r>
      <w:r w:rsidRPr="003020E6">
        <w:rPr>
          <w:color w:val="000000"/>
        </w:rPr>
        <w:t xml:space="preserve">. </w:t>
      </w:r>
    </w:p>
    <w:p w14:paraId="3DA142D2" w14:textId="25729BA7" w:rsidR="00370833" w:rsidRPr="00B357F4" w:rsidRDefault="00370833" w:rsidP="00370833">
      <w:pPr>
        <w:pStyle w:val="Opisslike"/>
      </w:pPr>
      <w:bookmarkStart w:id="55" w:name="_Ref72063343"/>
      <w:bookmarkStart w:id="56" w:name="_Toc72081552"/>
      <w:bookmarkStart w:id="57" w:name="_Toc81836249"/>
      <w:bookmarkStart w:id="58" w:name="_Toc87949891"/>
      <w:r w:rsidRPr="003245C1">
        <w:t xml:space="preserve">Tablica </w:t>
      </w:r>
      <w:r>
        <w:fldChar w:fldCharType="begin"/>
      </w:r>
      <w:r>
        <w:instrText>STYLEREF 1 \s</w:instrText>
      </w:r>
      <w:r>
        <w:fldChar w:fldCharType="separate"/>
      </w:r>
      <w:r w:rsidR="0023635D">
        <w:rPr>
          <w:noProof/>
        </w:rPr>
        <w:t>3</w:t>
      </w:r>
      <w:r>
        <w:fldChar w:fldCharType="end"/>
      </w:r>
      <w:r w:rsidR="00166B1A">
        <w:noBreakHyphen/>
      </w:r>
      <w:r>
        <w:fldChar w:fldCharType="begin"/>
      </w:r>
      <w:r>
        <w:instrText>SEQ Tablica \* ARABIC \s 1</w:instrText>
      </w:r>
      <w:r>
        <w:fldChar w:fldCharType="separate"/>
      </w:r>
      <w:r w:rsidR="0023635D">
        <w:rPr>
          <w:noProof/>
        </w:rPr>
        <w:t>10</w:t>
      </w:r>
      <w:r>
        <w:fldChar w:fldCharType="end"/>
      </w:r>
      <w:bookmarkEnd w:id="55"/>
      <w:r w:rsidRPr="00760C3F">
        <w:t>:</w:t>
      </w:r>
      <w:r w:rsidRPr="00B357F4">
        <w:t xml:space="preserve"> Izračun kumulativnih ušteda energije u neposrednoj potrošnji (isporučena energija) za ostvarene ciljeve obnove </w:t>
      </w:r>
      <w:r w:rsidR="00751924" w:rsidRPr="00B357F4">
        <w:t>ZJS</w:t>
      </w:r>
      <w:r w:rsidRPr="00B357F4">
        <w:t xml:space="preserve"> prema Dugoročnoj strategiji</w:t>
      </w:r>
      <w:bookmarkEnd w:id="56"/>
      <w:bookmarkEnd w:id="57"/>
      <w:bookmarkEnd w:id="58"/>
    </w:p>
    <w:tbl>
      <w:tblPr>
        <w:tblStyle w:val="Svijetlatablicareetke110"/>
        <w:tblW w:w="5000" w:type="pct"/>
        <w:tblLook w:val="04A0" w:firstRow="1" w:lastRow="0" w:firstColumn="1" w:lastColumn="0" w:noHBand="0" w:noVBand="1"/>
      </w:tblPr>
      <w:tblGrid>
        <w:gridCol w:w="1438"/>
        <w:gridCol w:w="698"/>
        <w:gridCol w:w="700"/>
        <w:gridCol w:w="702"/>
        <w:gridCol w:w="702"/>
        <w:gridCol w:w="702"/>
        <w:gridCol w:w="702"/>
        <w:gridCol w:w="702"/>
        <w:gridCol w:w="703"/>
        <w:gridCol w:w="703"/>
        <w:gridCol w:w="703"/>
        <w:gridCol w:w="889"/>
      </w:tblGrid>
      <w:tr w:rsidR="000C38F2" w:rsidRPr="00B357F4" w14:paraId="49BB675E" w14:textId="77777777" w:rsidTr="00FB1949">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6E8D48AE" w14:textId="77777777" w:rsidR="00370833" w:rsidRPr="00B357F4" w:rsidRDefault="00370833" w:rsidP="00370833">
            <w:pPr>
              <w:spacing w:before="0" w:after="0"/>
              <w:jc w:val="left"/>
              <w:rPr>
                <w:rFonts w:cs="Tahoma"/>
                <w:color w:val="000000"/>
                <w:sz w:val="18"/>
                <w:szCs w:val="18"/>
                <w:lang w:eastAsia="hr-HR"/>
              </w:rPr>
            </w:pPr>
            <w:r w:rsidRPr="00B357F4">
              <w:rPr>
                <w:rFonts w:cs="Tahoma"/>
                <w:color w:val="000000"/>
                <w:sz w:val="18"/>
                <w:szCs w:val="18"/>
                <w:lang w:eastAsia="hr-HR"/>
              </w:rPr>
              <w:t>Godišnje uštede [GWh]</w:t>
            </w:r>
          </w:p>
        </w:tc>
        <w:tc>
          <w:tcPr>
            <w:tcW w:w="374" w:type="pct"/>
            <w:hideMark/>
          </w:tcPr>
          <w:p w14:paraId="3D2A259C"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5" w:type="pct"/>
            <w:hideMark/>
          </w:tcPr>
          <w:p w14:paraId="14F1A8D1"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15E616EC"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370A09AB"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1721A5DD"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00E4C05E"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62B488A6"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42EB327B"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53FC6662"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14F0A54E"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476" w:type="pct"/>
            <w:hideMark/>
          </w:tcPr>
          <w:p w14:paraId="6F0263CB"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r>
      <w:tr w:rsidR="00FB1949" w:rsidRPr="00B357F4" w14:paraId="7A58511F" w14:textId="77777777" w:rsidTr="000C38F2">
        <w:trPr>
          <w:trHeight w:val="57"/>
        </w:trPr>
        <w:tc>
          <w:tcPr>
            <w:cnfStyle w:val="001000000000" w:firstRow="0" w:lastRow="0" w:firstColumn="1" w:lastColumn="0" w:oddVBand="0" w:evenVBand="0" w:oddHBand="0" w:evenHBand="0" w:firstRowFirstColumn="0" w:firstRowLastColumn="0" w:lastRowFirstColumn="0" w:lastRowLastColumn="0"/>
            <w:tcW w:w="770" w:type="pct"/>
            <w:hideMark/>
          </w:tcPr>
          <w:p w14:paraId="35796E78"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2021</w:t>
            </w:r>
          </w:p>
        </w:tc>
        <w:tc>
          <w:tcPr>
            <w:tcW w:w="374" w:type="pct"/>
            <w:vAlign w:val="center"/>
          </w:tcPr>
          <w:p w14:paraId="0E8FCBF6" w14:textId="43760FA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3D905217" w14:textId="77C46B9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4AA1F42" w14:textId="4561617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D7E1E2F" w14:textId="43E40C2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A58F0E8" w14:textId="1EB442A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11EA342" w14:textId="046D3F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F6A16E8" w14:textId="6E31CA1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53FDACC1" w14:textId="072284D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45D9464C" w14:textId="524ECD4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B6AB7D0" w14:textId="3426C85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081A771D" w14:textId="23437F5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r>
      <w:tr w:rsidR="00FB1949" w:rsidRPr="00B357F4" w14:paraId="66B3AF19"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292D1E4E"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2022</w:t>
            </w:r>
          </w:p>
        </w:tc>
        <w:tc>
          <w:tcPr>
            <w:tcW w:w="374" w:type="pct"/>
            <w:vAlign w:val="center"/>
          </w:tcPr>
          <w:p w14:paraId="42F05C8B" w14:textId="6F79083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1A1B21E8" w14:textId="113E11F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1DF079DB" w14:textId="2819E63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D7F7F5B" w14:textId="04A2B4D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0F4593C3" w14:textId="7100473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7B42612D" w14:textId="32B7E74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C96E42C" w14:textId="5430B64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03BC4A53" w14:textId="6BCCDA8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97BF990" w14:textId="2CE8D4C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5421F7FB" w14:textId="7B3868E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36333CE3" w14:textId="1544B3E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39,3</w:t>
            </w:r>
          </w:p>
        </w:tc>
      </w:tr>
      <w:tr w:rsidR="00FB1949" w:rsidRPr="00B357F4" w14:paraId="04127460"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16513BBC"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2023</w:t>
            </w:r>
          </w:p>
        </w:tc>
        <w:tc>
          <w:tcPr>
            <w:tcW w:w="374" w:type="pct"/>
            <w:vAlign w:val="center"/>
          </w:tcPr>
          <w:p w14:paraId="456D531E" w14:textId="07B6B07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0E1A8C1B" w14:textId="069B746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2B7D91FF" w14:textId="14CD8AB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0B56A13B" w14:textId="112131A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57413C0" w14:textId="417A2FE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12672E3" w14:textId="078D7EA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5B12228A" w14:textId="5A40813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1C3EB30" w14:textId="77A91B4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4226F39" w14:textId="2D89456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811AEEE" w14:textId="0638073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4970B667" w14:textId="2C4EFBD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68,2</w:t>
            </w:r>
          </w:p>
        </w:tc>
      </w:tr>
      <w:tr w:rsidR="00FB1949" w:rsidRPr="00B357F4" w14:paraId="0F9DF7F8"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53072A04"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2024</w:t>
            </w:r>
          </w:p>
        </w:tc>
        <w:tc>
          <w:tcPr>
            <w:tcW w:w="374" w:type="pct"/>
            <w:vAlign w:val="center"/>
          </w:tcPr>
          <w:p w14:paraId="54E3BC8F" w14:textId="6D1F9EB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3FC5A360" w14:textId="71190D9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1C196328" w14:textId="692AAFA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14FDC1BC" w14:textId="25A2294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65FE18B8" w14:textId="2D99B15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007395D" w14:textId="7C35D2E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0307B8E" w14:textId="37E855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F00B71A" w14:textId="672CFB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497D22FB" w14:textId="43C151B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0B3DC69" w14:textId="6A6939E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6F1B9131" w14:textId="59169A2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96,7</w:t>
            </w:r>
          </w:p>
        </w:tc>
      </w:tr>
      <w:tr w:rsidR="00FB1949" w:rsidRPr="00B357F4" w14:paraId="582837DF"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3A3E9F9D"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2025</w:t>
            </w:r>
          </w:p>
        </w:tc>
        <w:tc>
          <w:tcPr>
            <w:tcW w:w="374" w:type="pct"/>
            <w:vAlign w:val="center"/>
          </w:tcPr>
          <w:p w14:paraId="0F7E1E8F" w14:textId="5324B2B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7467033A" w14:textId="41E8190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2EF3B983" w14:textId="0015DF0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5720B0BA" w14:textId="6219676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1C28BD1E" w14:textId="039FE6A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61EBF0CD" w14:textId="555AF35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381DE90" w14:textId="1D374F7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843F7FB" w14:textId="6DF14F4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028D1E78" w14:textId="5D7BC4C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7AD6A39A" w14:textId="703868D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174F4C20" w14:textId="28608A2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134,0</w:t>
            </w:r>
          </w:p>
        </w:tc>
      </w:tr>
      <w:tr w:rsidR="00FB1949" w:rsidRPr="00B357F4" w14:paraId="553D158E"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19F45475"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2026</w:t>
            </w:r>
          </w:p>
        </w:tc>
        <w:tc>
          <w:tcPr>
            <w:tcW w:w="374" w:type="pct"/>
            <w:vAlign w:val="center"/>
          </w:tcPr>
          <w:p w14:paraId="4D58DC4D" w14:textId="1AA0F32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650860F8" w14:textId="2B9DEC9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0D7CF29F" w14:textId="648A8EF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0D748027" w14:textId="329B43F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49650919" w14:textId="098C2BD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441ACF03" w14:textId="617A6BE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53847224" w14:textId="5661A2A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B1BB6EE" w14:textId="7AAA9CC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14598DD" w14:textId="7E4DD85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60605F1" w14:textId="0B7124E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201EB61C" w14:textId="308B9CB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170,6</w:t>
            </w:r>
          </w:p>
        </w:tc>
      </w:tr>
      <w:tr w:rsidR="00FB1949" w:rsidRPr="00B357F4" w14:paraId="5DA42C02"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2370CA12"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2027</w:t>
            </w:r>
          </w:p>
        </w:tc>
        <w:tc>
          <w:tcPr>
            <w:tcW w:w="374" w:type="pct"/>
            <w:vAlign w:val="center"/>
          </w:tcPr>
          <w:p w14:paraId="3904D414" w14:textId="77072F9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0948DE4F" w14:textId="69B9359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4B852469" w14:textId="01494F8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4DD2B453" w14:textId="747BA81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275CA860" w14:textId="46EC0B8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28B424A5" w14:textId="68829CE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21EEA982" w14:textId="75C9E42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5BE9925A" w14:textId="04AB012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AA07464" w14:textId="2F57784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89DF72B" w14:textId="49AD159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0F201A78" w14:textId="5D4228F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215,3</w:t>
            </w:r>
          </w:p>
        </w:tc>
      </w:tr>
      <w:tr w:rsidR="00FB1949" w:rsidRPr="00B357F4" w14:paraId="02CCF9DA"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7E392E53"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2028</w:t>
            </w:r>
          </w:p>
        </w:tc>
        <w:tc>
          <w:tcPr>
            <w:tcW w:w="374" w:type="pct"/>
            <w:vAlign w:val="center"/>
          </w:tcPr>
          <w:p w14:paraId="72B3320A" w14:textId="4E29AD1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5F93AEA1" w14:textId="2FE2621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3F9F4036" w14:textId="1ADAB7B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5B6F3CC5" w14:textId="53C5F43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557B33A6" w14:textId="6C37BA6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72793839" w14:textId="30F7C18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2F6EE981" w14:textId="2BC7973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4D00CB03" w14:textId="230187B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43,5</w:t>
            </w:r>
          </w:p>
        </w:tc>
        <w:tc>
          <w:tcPr>
            <w:tcW w:w="376" w:type="pct"/>
            <w:vAlign w:val="center"/>
          </w:tcPr>
          <w:p w14:paraId="32790111" w14:textId="2AFC22E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72AADE2" w14:textId="25D2B60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6B5DA698" w14:textId="0CBFD2F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258,8</w:t>
            </w:r>
          </w:p>
        </w:tc>
      </w:tr>
      <w:tr w:rsidR="00FB1949" w:rsidRPr="00B357F4" w14:paraId="10304104"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0C99D194"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2029</w:t>
            </w:r>
          </w:p>
        </w:tc>
        <w:tc>
          <w:tcPr>
            <w:tcW w:w="374" w:type="pct"/>
            <w:vAlign w:val="center"/>
          </w:tcPr>
          <w:p w14:paraId="0409C2C9" w14:textId="360E228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05823CFB" w14:textId="574E8C9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706A1498" w14:textId="7B74AC5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30A4F2FD" w14:textId="4604488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430A8E21" w14:textId="2D5ED1B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06FB6700" w14:textId="29A0F4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75AB2AC3" w14:textId="1ED8B4A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42946AC8" w14:textId="7A97FA0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43,5</w:t>
            </w:r>
          </w:p>
        </w:tc>
        <w:tc>
          <w:tcPr>
            <w:tcW w:w="376" w:type="pct"/>
            <w:vAlign w:val="center"/>
          </w:tcPr>
          <w:p w14:paraId="52D162E1" w14:textId="3360E78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50,9</w:t>
            </w:r>
          </w:p>
        </w:tc>
        <w:tc>
          <w:tcPr>
            <w:tcW w:w="376" w:type="pct"/>
            <w:vAlign w:val="center"/>
          </w:tcPr>
          <w:p w14:paraId="45CB44FA" w14:textId="4792773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22221299" w14:textId="279F8E1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309,7</w:t>
            </w:r>
          </w:p>
        </w:tc>
      </w:tr>
      <w:tr w:rsidR="00FB1949" w:rsidRPr="00B357F4" w14:paraId="3D3C86AC"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263AEA3B"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2030</w:t>
            </w:r>
          </w:p>
        </w:tc>
        <w:tc>
          <w:tcPr>
            <w:tcW w:w="374" w:type="pct"/>
            <w:vAlign w:val="center"/>
          </w:tcPr>
          <w:p w14:paraId="3D38A09E" w14:textId="2F1B1D5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4076964E" w14:textId="3E4063C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2070FE10" w14:textId="47416BD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29CF697B" w14:textId="33D3E68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150E59F8" w14:textId="6340DDA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629E411B" w14:textId="4A844A7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6C34839F" w14:textId="5029F8F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35AA4A4C" w14:textId="75421DD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43,5</w:t>
            </w:r>
          </w:p>
        </w:tc>
        <w:tc>
          <w:tcPr>
            <w:tcW w:w="376" w:type="pct"/>
            <w:vAlign w:val="center"/>
          </w:tcPr>
          <w:p w14:paraId="60F10FDD" w14:textId="047F745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50,9</w:t>
            </w:r>
          </w:p>
        </w:tc>
        <w:tc>
          <w:tcPr>
            <w:tcW w:w="376" w:type="pct"/>
            <w:vAlign w:val="center"/>
          </w:tcPr>
          <w:p w14:paraId="1AFA6B5A" w14:textId="289FAA3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49,3</w:t>
            </w:r>
          </w:p>
        </w:tc>
        <w:tc>
          <w:tcPr>
            <w:tcW w:w="476" w:type="pct"/>
            <w:vAlign w:val="center"/>
          </w:tcPr>
          <w:p w14:paraId="13F51BE9" w14:textId="1050D93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359,0</w:t>
            </w:r>
          </w:p>
        </w:tc>
      </w:tr>
      <w:tr w:rsidR="00370833" w:rsidRPr="00B357F4" w14:paraId="06CF6A5A" w14:textId="77777777" w:rsidTr="00FB1949">
        <w:trPr>
          <w:trHeight w:val="60"/>
        </w:trPr>
        <w:tc>
          <w:tcPr>
            <w:cnfStyle w:val="001000000000" w:firstRow="0" w:lastRow="0" w:firstColumn="1" w:lastColumn="0" w:oddVBand="0" w:evenVBand="0" w:oddHBand="0" w:evenHBand="0" w:firstRowFirstColumn="0" w:firstRowLastColumn="0" w:lastRowFirstColumn="0" w:lastRowLastColumn="0"/>
            <w:tcW w:w="4524" w:type="pct"/>
            <w:gridSpan w:val="11"/>
          </w:tcPr>
          <w:p w14:paraId="560743D5" w14:textId="77777777" w:rsidR="00370833" w:rsidRPr="00B357F4" w:rsidRDefault="00370833" w:rsidP="00370833">
            <w:pPr>
              <w:spacing w:before="0" w:after="0"/>
              <w:jc w:val="right"/>
              <w:rPr>
                <w:rFonts w:cs="Tahoma"/>
                <w:color w:val="000000"/>
                <w:sz w:val="18"/>
                <w:szCs w:val="18"/>
                <w:lang w:eastAsia="hr-HR"/>
              </w:rPr>
            </w:pPr>
            <w:r w:rsidRPr="00B357F4">
              <w:rPr>
                <w:rFonts w:cs="Tahoma"/>
                <w:color w:val="000000"/>
                <w:sz w:val="18"/>
                <w:szCs w:val="18"/>
                <w:lang w:eastAsia="hr-HR"/>
              </w:rPr>
              <w:lastRenderedPageBreak/>
              <w:t>UKUPNE KUMULATIVNE UŠTEDE ZA RAZDOBLJE 2021. – 2030. [GWh] </w:t>
            </w:r>
          </w:p>
        </w:tc>
        <w:tc>
          <w:tcPr>
            <w:tcW w:w="476" w:type="pct"/>
          </w:tcPr>
          <w:p w14:paraId="6FC229ED" w14:textId="07293A56" w:rsidR="00370833" w:rsidRPr="00B357F4" w:rsidRDefault="00DC1983" w:rsidP="00DC1983">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w:t>
            </w:r>
            <w:r w:rsidR="000C38F2" w:rsidRPr="00B357F4">
              <w:rPr>
                <w:rFonts w:ascii="Calibri" w:hAnsi="Calibri" w:cs="Calibri"/>
                <w:b/>
                <w:color w:val="000000"/>
                <w:sz w:val="22"/>
                <w:szCs w:val="22"/>
              </w:rPr>
              <w:t>671,4</w:t>
            </w:r>
          </w:p>
        </w:tc>
      </w:tr>
    </w:tbl>
    <w:p w14:paraId="5E2FBEE8" w14:textId="77777777" w:rsidR="00370833" w:rsidRPr="00B357F4" w:rsidRDefault="00370833" w:rsidP="00370833">
      <w:pPr>
        <w:spacing w:before="0" w:after="0"/>
        <w:rPr>
          <w:rFonts w:cs="Tahoma"/>
          <w:color w:val="000000"/>
          <w:sz w:val="18"/>
          <w:szCs w:val="18"/>
        </w:rPr>
      </w:pPr>
    </w:p>
    <w:p w14:paraId="68BBBDAB" w14:textId="77777777" w:rsidR="00370833" w:rsidRPr="00B357F4" w:rsidRDefault="00370833" w:rsidP="00370833">
      <w:pPr>
        <w:spacing w:before="0" w:after="0"/>
        <w:rPr>
          <w:color w:val="000000"/>
        </w:rPr>
      </w:pPr>
      <w:r w:rsidRPr="00B357F4">
        <w:rPr>
          <w:color w:val="000000"/>
        </w:rPr>
        <w:t xml:space="preserve">Ukupan nacionalni cilj kumulativnih ušteda energije, prema Zakonu o energetskoj učinkovitosti, ostvarit će se 70% iz sustava obveza energetske učinkovitosti, a 30% alternativnim mjerama politike (10.441,67 GWh). NEKP-om je ovaj Program definiran kao alternativna mjera politike. </w:t>
      </w:r>
    </w:p>
    <w:p w14:paraId="05683ED6" w14:textId="4E3C0BDD" w:rsidR="00370833" w:rsidRPr="00B357F4" w:rsidRDefault="00370833" w:rsidP="00370833">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Ovaj Program energetske obnove </w:t>
      </w:r>
      <w:r w:rsidR="00751924" w:rsidRPr="00B357F4">
        <w:rPr>
          <w:b/>
        </w:rPr>
        <w:t>ZJS</w:t>
      </w:r>
      <w:r w:rsidRPr="00B357F4">
        <w:rPr>
          <w:b/>
        </w:rPr>
        <w:t xml:space="preserve">, kada bi se proveo na način da ostvari ciljane obnovljene površine </w:t>
      </w:r>
      <w:r w:rsidR="005679BB" w:rsidRPr="00B357F4">
        <w:rPr>
          <w:b/>
        </w:rPr>
        <w:t>ZJS</w:t>
      </w:r>
      <w:r w:rsidRPr="00B357F4">
        <w:rPr>
          <w:b/>
        </w:rPr>
        <w:t xml:space="preserve"> u skladu s Dugoročnom strategijom, ostvario bi oko </w:t>
      </w:r>
      <w:r w:rsidR="006D7BCD" w:rsidRPr="00B357F4">
        <w:rPr>
          <w:b/>
        </w:rPr>
        <w:t>16</w:t>
      </w:r>
      <w:r w:rsidRPr="00B357F4">
        <w:rPr>
          <w:b/>
        </w:rPr>
        <w:t xml:space="preserve">% nacionalnog cilja kumulativnih ušteda energije iz alternativnih mjera politike odnosno </w:t>
      </w:r>
      <w:r w:rsidR="006D7BCD" w:rsidRPr="00B357F4">
        <w:rPr>
          <w:b/>
        </w:rPr>
        <w:t>4</w:t>
      </w:r>
      <w:r w:rsidRPr="00B357F4">
        <w:rPr>
          <w:b/>
        </w:rPr>
        <w:t xml:space="preserve">,8% ukupnog nacionalnog cilja. </w:t>
      </w:r>
    </w:p>
    <w:p w14:paraId="03EE009D" w14:textId="77777777" w:rsidR="00D82D0F" w:rsidRPr="00B357F4" w:rsidRDefault="00D82D0F" w:rsidP="00E52E5F">
      <w:pPr>
        <w:spacing w:before="0" w:after="0"/>
        <w:jc w:val="left"/>
        <w:rPr>
          <w:rFonts w:ascii="Calibri" w:hAnsi="Calibri" w:cs="Calibri"/>
          <w:b/>
          <w:color w:val="000000"/>
          <w:szCs w:val="20"/>
          <w:lang w:eastAsia="hr-HR"/>
        </w:rPr>
      </w:pPr>
    </w:p>
    <w:p w14:paraId="3A94BDF3" w14:textId="2EA95FA5" w:rsidR="00B04665" w:rsidRPr="00B357F4" w:rsidRDefault="2CB88510" w:rsidP="004B09BD">
      <w:pPr>
        <w:pStyle w:val="Naslov10"/>
      </w:pPr>
      <w:bookmarkStart w:id="59" w:name="_Toc72081601"/>
      <w:bookmarkStart w:id="60" w:name="_Toc94769978"/>
      <w:r w:rsidRPr="00B357F4">
        <w:lastRenderedPageBreak/>
        <w:t xml:space="preserve">Analiza </w:t>
      </w:r>
      <w:r w:rsidR="41A3366E" w:rsidRPr="00B357F4">
        <w:t>provedenih</w:t>
      </w:r>
      <w:r w:rsidR="47E4B24C" w:rsidRPr="00B357F4">
        <w:t xml:space="preserve"> </w:t>
      </w:r>
      <w:r w:rsidRPr="00B357F4">
        <w:t xml:space="preserve">programa </w:t>
      </w:r>
      <w:bookmarkEnd w:id="59"/>
      <w:r w:rsidR="1F25F22A" w:rsidRPr="00B357F4">
        <w:t>za zgrade javnog sektora</w:t>
      </w:r>
      <w:bookmarkEnd w:id="60"/>
    </w:p>
    <w:p w14:paraId="61ABAEA2" w14:textId="7E3C20DA" w:rsidR="00304ED1" w:rsidRPr="00B357F4" w:rsidRDefault="5A458B76" w:rsidP="00304ED1">
      <w:r w:rsidRPr="00B357F4">
        <w:rPr>
          <w:lang w:eastAsia="hr-HR"/>
        </w:rPr>
        <w:t xml:space="preserve">Vlada RH donijela je 31. listopada 2013. godine Program energetske obnove zgrada javnog sektora za razdoblje 2014. – 2015. godine. </w:t>
      </w:r>
      <w:r w:rsidR="0054572C">
        <w:rPr>
          <w:lang w:eastAsia="hr-HR"/>
        </w:rPr>
        <w:t xml:space="preserve">Cilj </w:t>
      </w:r>
      <w:r w:rsidRPr="00B357F4">
        <w:rPr>
          <w:lang w:eastAsia="hr-HR"/>
        </w:rPr>
        <w:t>Program</w:t>
      </w:r>
      <w:r w:rsidR="0054572C">
        <w:rPr>
          <w:lang w:eastAsia="hr-HR"/>
        </w:rPr>
        <w:t>a</w:t>
      </w:r>
      <w:r w:rsidR="00F816C5">
        <w:rPr>
          <w:lang w:eastAsia="hr-HR"/>
        </w:rPr>
        <w:t xml:space="preserve"> b</w:t>
      </w:r>
      <w:r w:rsidR="71A56A06" w:rsidRPr="00B357F4">
        <w:rPr>
          <w:lang w:eastAsia="hr-HR"/>
        </w:rPr>
        <w:t>i</w:t>
      </w:r>
      <w:r w:rsidR="00F816C5">
        <w:rPr>
          <w:lang w:eastAsia="hr-HR"/>
        </w:rPr>
        <w:t>o</w:t>
      </w:r>
      <w:r w:rsidRPr="00B357F4">
        <w:rPr>
          <w:lang w:eastAsia="hr-HR"/>
        </w:rPr>
        <w:t xml:space="preserve"> </w:t>
      </w:r>
      <w:r w:rsidR="00F816C5">
        <w:rPr>
          <w:lang w:eastAsia="hr-HR"/>
        </w:rPr>
        <w:t>je</w:t>
      </w:r>
      <w:r w:rsidRPr="00B357F4">
        <w:rPr>
          <w:lang w:eastAsia="hr-HR"/>
        </w:rPr>
        <w:t xml:space="preserve"> </w:t>
      </w:r>
      <w:r w:rsidR="484E0BDA" w:rsidRPr="00B357F4">
        <w:rPr>
          <w:lang w:eastAsia="hr-HR"/>
        </w:rPr>
        <w:t>ispuniti</w:t>
      </w:r>
      <w:r w:rsidRPr="00B357F4">
        <w:rPr>
          <w:lang w:eastAsia="hr-HR"/>
        </w:rPr>
        <w:t xml:space="preserve"> </w:t>
      </w:r>
      <w:r w:rsidR="00B6639A" w:rsidRPr="00B357F4">
        <w:rPr>
          <w:lang w:eastAsia="hr-HR"/>
        </w:rPr>
        <w:t>zahtjev</w:t>
      </w:r>
      <w:r w:rsidR="00B6639A">
        <w:rPr>
          <w:lang w:eastAsia="hr-HR"/>
        </w:rPr>
        <w:t>e</w:t>
      </w:r>
      <w:r w:rsidRPr="00B357F4">
        <w:rPr>
          <w:lang w:eastAsia="hr-HR"/>
        </w:rPr>
        <w:t xml:space="preserve"> </w:t>
      </w:r>
      <w:r w:rsidR="287FA9A6" w:rsidRPr="00B357F4">
        <w:rPr>
          <w:lang w:eastAsia="hr-HR"/>
        </w:rPr>
        <w:t>Direktive</w:t>
      </w:r>
      <w:r w:rsidRPr="00B357F4">
        <w:rPr>
          <w:lang w:eastAsia="hr-HR"/>
        </w:rPr>
        <w:t xml:space="preserve"> o energetskoj učinkovitosti prema kojoj se od država članica traži da od 1. siječnja 2014. godine svake godine obnove 3% ukupne površine poda grijanih i/ili hlađenih zgrada u vlasništvu i uporabi središnje vlasti.</w:t>
      </w:r>
      <w:r w:rsidR="055F742B" w:rsidRPr="00B357F4">
        <w:rPr>
          <w:lang w:eastAsia="hr-HR"/>
        </w:rPr>
        <w:t xml:space="preserve"> </w:t>
      </w:r>
      <w:r w:rsidR="484E0BDA" w:rsidRPr="00B357F4">
        <w:t xml:space="preserve">Cilj Programa je bio </w:t>
      </w:r>
      <w:r w:rsidR="484E0BDA" w:rsidRPr="00B357F4">
        <w:rPr>
          <w:szCs w:val="20"/>
          <w:lang w:eastAsia="hr-HR"/>
        </w:rPr>
        <w:t xml:space="preserve">ugovaranje i provedba cjelovite energetske obnove zgrada javnog sektora ukupne površine oko 400.000 m2, čime bi se postiglo smanjenje potrošnje energije od 30-60% (oko 150 kWh/m2 godišnje) i smanjenje emisije ugljičnog dioksida od 20.500 tona, pokrenule investicije od cca 400 milijuna kuna i pokrenuo razvoj ESCO tržišta. </w:t>
      </w:r>
      <w:r w:rsidR="055F742B" w:rsidRPr="00B357F4">
        <w:rPr>
          <w:szCs w:val="20"/>
          <w:lang w:eastAsia="hr-HR"/>
        </w:rPr>
        <w:t>Osnovna karak</w:t>
      </w:r>
      <w:r w:rsidR="0CFCE9D5" w:rsidRPr="00B357F4">
        <w:rPr>
          <w:szCs w:val="20"/>
          <w:lang w:eastAsia="hr-HR"/>
        </w:rPr>
        <w:t xml:space="preserve">teristika ovog Programa bila je da se temelji </w:t>
      </w:r>
      <w:r w:rsidR="0CFCE9D5" w:rsidRPr="00B357F4">
        <w:rPr>
          <w:lang w:eastAsia="hr-HR"/>
        </w:rPr>
        <w:t xml:space="preserve">na </w:t>
      </w:r>
      <w:r w:rsidR="09DB9DB4" w:rsidRPr="00B357F4">
        <w:rPr>
          <w:lang w:eastAsia="hr-HR"/>
        </w:rPr>
        <w:t xml:space="preserve">modelu energetske usluge u skladu s </w:t>
      </w:r>
      <w:r w:rsidRPr="00B357F4">
        <w:rPr>
          <w:lang w:eastAsia="hr-HR"/>
        </w:rPr>
        <w:t>Uredbom o ugovaranju i provedbi energetske usluge u javnom sektoru</w:t>
      </w:r>
      <w:r w:rsidR="153F6F80" w:rsidRPr="00B357F4">
        <w:rPr>
          <w:lang w:eastAsia="hr-HR"/>
        </w:rPr>
        <w:t xml:space="preserve"> (</w:t>
      </w:r>
      <w:r w:rsidR="0D6444E9" w:rsidRPr="00B357F4">
        <w:rPr>
          <w:lang w:eastAsia="hr-HR"/>
        </w:rPr>
        <w:t>Narodne novine broj</w:t>
      </w:r>
      <w:r w:rsidR="153F6F80" w:rsidRPr="00B357F4">
        <w:rPr>
          <w:lang w:eastAsia="hr-HR"/>
        </w:rPr>
        <w:t xml:space="preserve"> </w:t>
      </w:r>
      <w:r w:rsidR="79EC9A3B" w:rsidRPr="00B357F4">
        <w:rPr>
          <w:lang w:eastAsia="hr-HR"/>
        </w:rPr>
        <w:t>11/15)</w:t>
      </w:r>
      <w:r w:rsidR="56F16391" w:rsidRPr="00B357F4">
        <w:rPr>
          <w:lang w:eastAsia="hr-HR"/>
        </w:rPr>
        <w:t xml:space="preserve">, čime je omogućeno </w:t>
      </w:r>
      <w:r w:rsidRPr="00B357F4">
        <w:rPr>
          <w:lang w:eastAsia="hr-HR"/>
        </w:rPr>
        <w:t>da se bez dodatnog trošenja proračunskih sredstava vlasnika/korisnika provedu mjere poboljšanja energetske učinkovitosti u zgradama javnog sektora.</w:t>
      </w:r>
      <w:r w:rsidR="5B4BDB1A" w:rsidRPr="00B357F4">
        <w:rPr>
          <w:lang w:eastAsia="hr-HR"/>
        </w:rPr>
        <w:t xml:space="preserve"> </w:t>
      </w:r>
      <w:r w:rsidRPr="00B357F4">
        <w:rPr>
          <w:lang w:eastAsia="hr-HR"/>
        </w:rPr>
        <w:t xml:space="preserve">Program </w:t>
      </w:r>
      <w:r w:rsidR="5B4BDB1A" w:rsidRPr="00B357F4">
        <w:rPr>
          <w:lang w:eastAsia="hr-HR"/>
        </w:rPr>
        <w:t xml:space="preserve">je </w:t>
      </w:r>
      <w:r w:rsidRPr="00B357F4">
        <w:rPr>
          <w:lang w:eastAsia="hr-HR"/>
        </w:rPr>
        <w:t>provodi</w:t>
      </w:r>
      <w:r w:rsidR="5B4BDB1A" w:rsidRPr="00B357F4">
        <w:rPr>
          <w:lang w:eastAsia="hr-HR"/>
        </w:rPr>
        <w:t>la</w:t>
      </w:r>
      <w:r w:rsidRPr="00B357F4">
        <w:rPr>
          <w:lang w:eastAsia="hr-HR"/>
        </w:rPr>
        <w:t xml:space="preserve"> Agencija za pravni promet i posredovanje nekretninama (APN) dok </w:t>
      </w:r>
      <w:r w:rsidR="717D3607" w:rsidRPr="00B357F4">
        <w:rPr>
          <w:lang w:eastAsia="hr-HR"/>
        </w:rPr>
        <w:t xml:space="preserve">je </w:t>
      </w:r>
      <w:r w:rsidRPr="00B357F4">
        <w:rPr>
          <w:lang w:eastAsia="hr-HR"/>
        </w:rPr>
        <w:t>FZOEU osigurava</w:t>
      </w:r>
      <w:r w:rsidR="717D3607" w:rsidRPr="00B357F4">
        <w:rPr>
          <w:lang w:eastAsia="hr-HR"/>
        </w:rPr>
        <w:t>o</w:t>
      </w:r>
      <w:r w:rsidRPr="00B357F4">
        <w:rPr>
          <w:lang w:eastAsia="hr-HR"/>
        </w:rPr>
        <w:t xml:space="preserve"> sredstava za sufinanciranje provedbe.</w:t>
      </w:r>
      <w:r w:rsidR="5534DFDD" w:rsidRPr="00B357F4">
        <w:rPr>
          <w:lang w:eastAsia="hr-HR"/>
        </w:rPr>
        <w:t xml:space="preserve"> </w:t>
      </w:r>
      <w:r w:rsidR="60A1C351" w:rsidRPr="00B357F4">
        <w:rPr>
          <w:lang w:eastAsia="hr-HR"/>
        </w:rPr>
        <w:t xml:space="preserve">Odlukom </w:t>
      </w:r>
      <w:r w:rsidR="29925B92" w:rsidRPr="00B357F4">
        <w:rPr>
          <w:lang w:eastAsia="hr-HR"/>
        </w:rPr>
        <w:t>o produžetku financiranja provedbe Programa energetske obnove zgrada javnog sektora za razdoblje 2014. – 2015. godine (NN br. 48/17)</w:t>
      </w:r>
      <w:r w:rsidR="5F8B8DA7" w:rsidRPr="00B357F4">
        <w:rPr>
          <w:lang w:eastAsia="hr-HR"/>
        </w:rPr>
        <w:t xml:space="preserve"> rok z</w:t>
      </w:r>
      <w:r w:rsidR="25DA4E0F" w:rsidRPr="00B357F4">
        <w:rPr>
          <w:lang w:eastAsia="hr-HR"/>
        </w:rPr>
        <w:t>a</w:t>
      </w:r>
      <w:r w:rsidR="5F8B8DA7" w:rsidRPr="00B357F4">
        <w:rPr>
          <w:lang w:eastAsia="hr-HR"/>
        </w:rPr>
        <w:t xml:space="preserve"> financiranje projekata u sklopu ovoga Programa produžen je do </w:t>
      </w:r>
      <w:r w:rsidR="5C5BB5F6" w:rsidRPr="00B357F4">
        <w:t xml:space="preserve">31. prosinca 2018. godine. </w:t>
      </w:r>
      <w:r w:rsidR="0FD687F0" w:rsidRPr="00B357F4">
        <w:t xml:space="preserve">Sufinanciranje FZOEU-a bilo je do 40% </w:t>
      </w:r>
      <w:r w:rsidR="00282B82" w:rsidRPr="003020E6">
        <w:t>prihvatljivih</w:t>
      </w:r>
      <w:r w:rsidR="0FD687F0" w:rsidRPr="006734C7">
        <w:t xml:space="preserve"> troškova. </w:t>
      </w:r>
      <w:r w:rsidR="087A48BD" w:rsidRPr="006734C7">
        <w:t>APN</w:t>
      </w:r>
      <w:r w:rsidR="6EC9E23A" w:rsidRPr="00B04E3E">
        <w:t xml:space="preserve"> </w:t>
      </w:r>
      <w:r w:rsidR="087A48BD" w:rsidRPr="00B04E3E">
        <w:t>u ime i za račun javnog naručitelja provodi javnu nabavu energetske usluge</w:t>
      </w:r>
      <w:r w:rsidR="6EC9E23A" w:rsidRPr="00B03C9B">
        <w:t>, odabire naj</w:t>
      </w:r>
      <w:r w:rsidR="6EC9E23A" w:rsidRPr="00971F9E">
        <w:t xml:space="preserve">povoljnijeg ponuditelja primjenom kriterija ekonomski najpovoljnije ponude, uz uvjet da godišnja naknada po ugovoru ne smije biti veća od zajamčene godišnje uštede u odnosu na referentnu godišnju potrošnju, </w:t>
      </w:r>
      <w:r w:rsidR="087A48BD" w:rsidRPr="00B357F4">
        <w:t xml:space="preserve">nakon čega se sklapa Ugovor o energetskom učinku između Naručitelja energetske usluge i Pružatelja energetske usluge te APN-a. </w:t>
      </w:r>
    </w:p>
    <w:p w14:paraId="7DFDF03D" w14:textId="06BCDCEC" w:rsidR="00ED5991" w:rsidRPr="006734C7" w:rsidRDefault="00ED5991" w:rsidP="00304ED1">
      <w:r w:rsidRPr="00B357F4">
        <w:t>Rezultati Programa su sljedeći</w:t>
      </w:r>
      <w:r w:rsidR="00C50D71" w:rsidRPr="003020E6">
        <w:rPr>
          <w:rStyle w:val="Referencafusnote"/>
        </w:rPr>
        <w:footnoteReference w:id="8"/>
      </w:r>
      <w:r w:rsidRPr="003020E6">
        <w:t>:</w:t>
      </w:r>
    </w:p>
    <w:p w14:paraId="6399CEBA" w14:textId="77777777" w:rsidR="002C3C73" w:rsidRPr="00B357F4" w:rsidRDefault="3DAF0C28" w:rsidP="00725AB0">
      <w:pPr>
        <w:pStyle w:val="Odlomakpopisa"/>
        <w:numPr>
          <w:ilvl w:val="0"/>
          <w:numId w:val="39"/>
        </w:numPr>
      </w:pPr>
      <w:r w:rsidRPr="00B03C9B">
        <w:t xml:space="preserve">Obnovljeno je 69 zgrada na </w:t>
      </w:r>
      <w:r w:rsidR="5738746C" w:rsidRPr="00971F9E">
        <w:t>12 lokacija</w:t>
      </w:r>
      <w:r w:rsidR="2838D777" w:rsidRPr="00B357F4">
        <w:t>,</w:t>
      </w:r>
    </w:p>
    <w:p w14:paraId="272B432F" w14:textId="38659C48" w:rsidR="006503BC" w:rsidRPr="00B357F4" w:rsidRDefault="6ABDF6CD" w:rsidP="00725AB0">
      <w:pPr>
        <w:pStyle w:val="Odlomakpopisa"/>
        <w:numPr>
          <w:ilvl w:val="0"/>
          <w:numId w:val="39"/>
        </w:numPr>
      </w:pPr>
      <w:r w:rsidRPr="00B357F4">
        <w:t xml:space="preserve">Obnovljena korisna </w:t>
      </w:r>
      <w:r w:rsidR="7207CE1B" w:rsidRPr="00B357F4">
        <w:t xml:space="preserve">površina grijanog dijela </w:t>
      </w:r>
      <w:r w:rsidR="00B04E3E" w:rsidRPr="00B357F4">
        <w:t>zgrade iznosi</w:t>
      </w:r>
      <w:r w:rsidR="6BDDB650" w:rsidRPr="00B357F4">
        <w:t xml:space="preserve"> 248.661,82 m</w:t>
      </w:r>
      <w:r w:rsidR="6BDDB650" w:rsidRPr="00B357F4">
        <w:rPr>
          <w:vertAlign w:val="superscript"/>
        </w:rPr>
        <w:t>2</w:t>
      </w:r>
      <w:r w:rsidR="64E62287" w:rsidRPr="00B357F4">
        <w:t xml:space="preserve">, što predstavlja </w:t>
      </w:r>
      <w:r w:rsidR="054C5AB5" w:rsidRPr="00B357F4">
        <w:t>62% postavljenog cilja</w:t>
      </w:r>
      <w:r w:rsidR="037D3289" w:rsidRPr="00B357F4">
        <w:t>,</w:t>
      </w:r>
    </w:p>
    <w:p w14:paraId="16740C0C" w14:textId="261AABD6" w:rsidR="00C50D71" w:rsidRPr="00B357F4" w:rsidRDefault="037D3289" w:rsidP="00725AB0">
      <w:pPr>
        <w:pStyle w:val="Odlomakpopisa"/>
        <w:numPr>
          <w:ilvl w:val="0"/>
          <w:numId w:val="39"/>
        </w:numPr>
      </w:pPr>
      <w:r w:rsidRPr="00B357F4">
        <w:t>Prosječno ostvarene uštede</w:t>
      </w:r>
      <w:r w:rsidR="36D3DECE" w:rsidRPr="00B357F4">
        <w:t xml:space="preserve"> u neposrednoj potrošnji energije (isporučena energija) su 51,69%</w:t>
      </w:r>
      <w:r w:rsidR="26A304BF" w:rsidRPr="00B357F4">
        <w:t xml:space="preserve"> odnosno ukupno oko 60 GWh/god</w:t>
      </w:r>
      <w:r w:rsidR="055044CA" w:rsidRPr="00B357F4">
        <w:t xml:space="preserve">, što </w:t>
      </w:r>
      <w:r w:rsidR="78E8DEDC" w:rsidRPr="00B357F4">
        <w:t>znači</w:t>
      </w:r>
      <w:r w:rsidR="055044CA" w:rsidRPr="00B357F4">
        <w:t xml:space="preserve"> da je ostvareno sman</w:t>
      </w:r>
      <w:r w:rsidR="64E62287" w:rsidRPr="00B357F4">
        <w:t>jenje od čak 240 kWh/m</w:t>
      </w:r>
      <w:r w:rsidR="64E62287" w:rsidRPr="00EA6C54">
        <w:rPr>
          <w:vertAlign w:val="superscript"/>
        </w:rPr>
        <w:t>2</w:t>
      </w:r>
      <w:r w:rsidR="26A304BF" w:rsidRPr="00B357F4">
        <w:t>,</w:t>
      </w:r>
    </w:p>
    <w:p w14:paraId="4212B5D1" w14:textId="7E4C32DE" w:rsidR="00D17E52" w:rsidRPr="00B357F4" w:rsidRDefault="68B096CF" w:rsidP="00725AB0">
      <w:pPr>
        <w:pStyle w:val="Odlomakpopisa"/>
        <w:numPr>
          <w:ilvl w:val="0"/>
          <w:numId w:val="39"/>
        </w:numPr>
      </w:pPr>
      <w:r w:rsidRPr="00B357F4">
        <w:t xml:space="preserve">Ostvarene su </w:t>
      </w:r>
      <w:r w:rsidR="3B69D63A" w:rsidRPr="00B357F4">
        <w:t>financijske</w:t>
      </w:r>
      <w:r w:rsidRPr="00B357F4">
        <w:t xml:space="preserve"> uštede od preko 30 milijuna kn/god</w:t>
      </w:r>
      <w:r w:rsidR="054C5AB5" w:rsidRPr="00B357F4">
        <w:t>,</w:t>
      </w:r>
    </w:p>
    <w:p w14:paraId="453683A5" w14:textId="79091BB4" w:rsidR="00861991" w:rsidRPr="00B357F4" w:rsidRDefault="68B096CF" w:rsidP="00725AB0">
      <w:pPr>
        <w:pStyle w:val="Odlomakpopisa"/>
        <w:numPr>
          <w:ilvl w:val="0"/>
          <w:numId w:val="39"/>
        </w:numPr>
      </w:pPr>
      <w:r w:rsidRPr="00B357F4">
        <w:t>Udio OIE</w:t>
      </w:r>
      <w:r w:rsidR="3B69D63A" w:rsidRPr="00B357F4">
        <w:t xml:space="preserve"> u opskrbi obnovljenih zgrada je gotovo 20%.</w:t>
      </w:r>
    </w:p>
    <w:p w14:paraId="5C4BB695" w14:textId="79A1F1C5" w:rsidR="001D5B78" w:rsidRPr="00B357F4" w:rsidRDefault="00F02DB0" w:rsidP="00304ED1">
      <w:r w:rsidRPr="00B357F4">
        <w:t>Ključan element uspjeha Programa bilo je sufinanciranje od strane FZOEU</w:t>
      </w:r>
      <w:r w:rsidR="00365BD3" w:rsidRPr="00B357F4">
        <w:t>. Naime, nužan uvjet programa bila je provedba mjera na ovojnici zgrada radi smanjenja energetskih potreba zgrada</w:t>
      </w:r>
      <w:r w:rsidR="00ED3AF7" w:rsidRPr="00B357F4">
        <w:t>, a takvi zahvati su investicijski intenzivni</w:t>
      </w:r>
      <w:r w:rsidR="000C459F" w:rsidRPr="00B357F4">
        <w:t xml:space="preserve"> te imaju dulja vremena povrata. </w:t>
      </w:r>
    </w:p>
    <w:p w14:paraId="48D35FA5" w14:textId="44A3179B" w:rsidR="00524C5C" w:rsidRPr="00B357F4" w:rsidRDefault="00117378" w:rsidP="00304ED1">
      <w:r w:rsidRPr="00B357F4">
        <w:t xml:space="preserve">Problemi u provedbi ovoga Programa </w:t>
      </w:r>
      <w:r w:rsidR="00CC5DEE" w:rsidRPr="00B357F4">
        <w:t>odnosili su se na dugotrajnost procesa pripreme projektnih</w:t>
      </w:r>
      <w:r w:rsidR="00923A87" w:rsidRPr="00B357F4">
        <w:t xml:space="preserve"> zadataka kao podloge za </w:t>
      </w:r>
      <w:r w:rsidR="00B8755D" w:rsidRPr="00B357F4">
        <w:t>raspisivanje</w:t>
      </w:r>
      <w:r w:rsidR="00923A87" w:rsidRPr="00B357F4">
        <w:t xml:space="preserve"> javne nabave, no ovaj dio procesa je apsolutno nužan</w:t>
      </w:r>
      <w:r w:rsidR="00B8755D" w:rsidRPr="00B357F4">
        <w:t xml:space="preserve">. </w:t>
      </w:r>
      <w:r w:rsidR="00C56450" w:rsidRPr="00B357F4">
        <w:t xml:space="preserve">Naime, podaci o postojećem stanju zgrade, zakonitosti građevine, projekti izvedenog stanja zgrada u praksi često nedostaju, a izvorna dokumentacija je rijetko dostupna u arhivskoj građi ili u posjedu korisnika, odnosno vlasnika zgrade. </w:t>
      </w:r>
      <w:r w:rsidR="00E32762" w:rsidRPr="00B357F4">
        <w:t>Uz to se vezuje i činjenica da se na zgradama javnog sektora vrlo često provode intervencije koje nisu popraćene odgovarajućom dokumentacijom, koje utječu i na lokacijske uvjete ili legalnost građevine. Stoga je nužn</w:t>
      </w:r>
      <w:r w:rsidR="00F61D5B" w:rsidRPr="00B357F4">
        <w:t xml:space="preserve">a dobra priprema </w:t>
      </w:r>
      <w:r w:rsidR="000B65F7" w:rsidRPr="00B357F4">
        <w:t xml:space="preserve">ulaznih </w:t>
      </w:r>
      <w:r w:rsidR="006108B2" w:rsidRPr="00B357F4">
        <w:t>podataka</w:t>
      </w:r>
      <w:r w:rsidR="000B65F7" w:rsidRPr="00B357F4">
        <w:t xml:space="preserve">, što </w:t>
      </w:r>
      <w:r w:rsidR="00BF62BF" w:rsidRPr="00B357F4">
        <w:t xml:space="preserve">treba biti </w:t>
      </w:r>
      <w:r w:rsidR="00A9067F" w:rsidRPr="00B357F4">
        <w:t xml:space="preserve">odgovornost Naručitelja. </w:t>
      </w:r>
    </w:p>
    <w:p w14:paraId="306A90A5" w14:textId="77777777" w:rsidR="00292F07" w:rsidRPr="00B357F4" w:rsidRDefault="00292F07" w:rsidP="00292F07">
      <w:r w:rsidRPr="00B357F4">
        <w:t>Visoka percepcija rizičnosti ESCO projekata od strane financijskih institucija te nemogućnost osiguravanja vlastitih sredstava ESCO tvrtki za provedbu projekta također je jedna od značajnijih barijera u provedbi ovoga modela.</w:t>
      </w:r>
    </w:p>
    <w:p w14:paraId="29D27046" w14:textId="5611EAC2" w:rsidR="00524C5C" w:rsidRPr="00B357F4" w:rsidRDefault="00DD4EB3" w:rsidP="00304ED1">
      <w:r w:rsidRPr="00B357F4">
        <w:lastRenderedPageBreak/>
        <w:t>Utvrđivanje ušteda energije je ključan element svakog ESCO projekta</w:t>
      </w:r>
      <w:r w:rsidR="001C269A" w:rsidRPr="00B357F4">
        <w:t xml:space="preserve">. </w:t>
      </w:r>
      <w:r w:rsidR="00D62DC0" w:rsidRPr="00B357F4">
        <w:t>Potrebno je omogućiti utvrđivanje ušteda i</w:t>
      </w:r>
      <w:r w:rsidR="008C1A6E" w:rsidRPr="00B357F4">
        <w:t xml:space="preserve"> mjerenjem potrošnje energije prije i poslije obnove i režima korištenja uz izradu dinamičke simulacije zgrade</w:t>
      </w:r>
      <w:r w:rsidR="006C2227" w:rsidRPr="00B357F4">
        <w:t xml:space="preserve">, za što su već poduzeti </w:t>
      </w:r>
      <w:r w:rsidR="0048678E" w:rsidRPr="00B357F4">
        <w:t xml:space="preserve">određeni koraci od strane APN-a. </w:t>
      </w:r>
    </w:p>
    <w:p w14:paraId="536E6196" w14:textId="1F38EBEE" w:rsidR="00834545" w:rsidRPr="00B357F4" w:rsidRDefault="1654FE1B" w:rsidP="00304ED1">
      <w:r w:rsidRPr="00B357F4">
        <w:t>Svi</w:t>
      </w:r>
      <w:r w:rsidR="36B9DE39" w:rsidRPr="00B357F4">
        <w:t xml:space="preserve"> su problemi prepoznati </w:t>
      </w:r>
      <w:r w:rsidR="7E44F465" w:rsidRPr="00B357F4">
        <w:t xml:space="preserve">i </w:t>
      </w:r>
      <w:r w:rsidR="36B9DE39" w:rsidRPr="00B357F4">
        <w:t xml:space="preserve">u Programu </w:t>
      </w:r>
      <w:r w:rsidR="506CD159" w:rsidRPr="00B357F4">
        <w:t>energetske obnove zgrada javnog sektora za razdoblje 2016. – 2020. godine (</w:t>
      </w:r>
      <w:r w:rsidR="039156C9" w:rsidRPr="00B357F4">
        <w:t xml:space="preserve">Narodne novine broj </w:t>
      </w:r>
      <w:r w:rsidR="506CD159" w:rsidRPr="00B357F4">
        <w:t>22/</w:t>
      </w:r>
      <w:r w:rsidR="5E96BE84" w:rsidRPr="00B357F4">
        <w:t>20</w:t>
      </w:r>
      <w:r w:rsidR="506CD159" w:rsidRPr="00B357F4">
        <w:t>17)</w:t>
      </w:r>
      <w:r w:rsidR="7AA2A948" w:rsidRPr="00B357F4">
        <w:t xml:space="preserve"> kojega je Vlada RH usvojila na sjednici održanoj 2. ožujka 2017. godine.</w:t>
      </w:r>
      <w:r w:rsidR="2752D564" w:rsidRPr="00B357F4">
        <w:t xml:space="preserve"> </w:t>
      </w:r>
      <w:r w:rsidR="7AA2A948" w:rsidRPr="00B357F4">
        <w:t> </w:t>
      </w:r>
    </w:p>
    <w:p w14:paraId="6CC8DEA5" w14:textId="77777777" w:rsidR="005246BF" w:rsidRPr="00B357F4" w:rsidRDefault="0035265F" w:rsidP="00304ED1">
      <w:pPr>
        <w:rPr>
          <w:lang w:eastAsia="hr-HR"/>
        </w:rPr>
      </w:pPr>
      <w:r w:rsidRPr="00B357F4">
        <w:t>Cilj ovog Programa bila je cjelovita obnova kojom će se postići smanjenje potrošnje energije u zgradama javnog sektora do 70% te godišnje uštede energije od oko 50 GWh.</w:t>
      </w:r>
      <w:r w:rsidR="00BE087F" w:rsidRPr="00B357F4">
        <w:t xml:space="preserve"> Ovaj je Program predvidio </w:t>
      </w:r>
      <w:r w:rsidR="00A5413D" w:rsidRPr="00B357F4">
        <w:t xml:space="preserve">nastavak provedbe obnove po ESCO modelu kao i </w:t>
      </w:r>
      <w:r w:rsidR="00847E63" w:rsidRPr="00B357F4">
        <w:t>po modelu ugovaranja radova, a</w:t>
      </w:r>
      <w:r w:rsidR="00142958" w:rsidRPr="00B357F4">
        <w:t xml:space="preserve"> za oba modela bilo je predviđeno </w:t>
      </w:r>
      <w:r w:rsidR="00A5413D" w:rsidRPr="00B357F4">
        <w:t>kori</w:t>
      </w:r>
      <w:r w:rsidR="002644BC" w:rsidRPr="00B357F4">
        <w:t>štenje bespovratnih sredstva</w:t>
      </w:r>
      <w:r w:rsidR="00A105A4" w:rsidRPr="00B357F4">
        <w:t xml:space="preserve"> iz Europskog fonda za regionalni razvoj (EFRR) temeljem Operativnog programa </w:t>
      </w:r>
      <w:r w:rsidR="00AD616B" w:rsidRPr="00B357F4">
        <w:rPr>
          <w:lang w:eastAsia="hr-HR"/>
        </w:rPr>
        <w:t>„Konkurentnost i kohezija 2014.-2020.“ (OPKK).</w:t>
      </w:r>
      <w:r w:rsidR="001800AE" w:rsidRPr="00B357F4">
        <w:rPr>
          <w:lang w:eastAsia="hr-HR"/>
        </w:rPr>
        <w:t xml:space="preserve"> </w:t>
      </w:r>
    </w:p>
    <w:p w14:paraId="2CA60A9D" w14:textId="23C101A3" w:rsidR="00027EB4" w:rsidRPr="00B357F4" w:rsidRDefault="0D64DCD9" w:rsidP="00304ED1">
      <w:r w:rsidRPr="00B357F4">
        <w:rPr>
          <w:rFonts w:eastAsia="Tahoma" w:cs="Tahoma"/>
          <w:szCs w:val="20"/>
        </w:rPr>
        <w:t xml:space="preserve">No, u proteklom razdoblju nije </w:t>
      </w:r>
      <w:r w:rsidR="00357E75">
        <w:rPr>
          <w:rFonts w:eastAsia="Tahoma" w:cs="Tahoma"/>
          <w:szCs w:val="20"/>
        </w:rPr>
        <w:t>usvojen</w:t>
      </w:r>
      <w:r w:rsidRPr="00B357F4">
        <w:rPr>
          <w:rFonts w:eastAsia="Tahoma" w:cs="Tahoma"/>
          <w:szCs w:val="20"/>
        </w:rPr>
        <w:t xml:space="preserve"> odgovarajući model korištenja ESIF sredstava uz ESCO model, </w:t>
      </w:r>
      <w:r w:rsidR="00ED1E0A" w:rsidRPr="00B357F4">
        <w:rPr>
          <w:lang w:eastAsia="hr-HR"/>
        </w:rPr>
        <w:t xml:space="preserve">pa je ovaj Program proveden isključivo na temelju </w:t>
      </w:r>
      <w:r w:rsidR="00C26548" w:rsidRPr="00B357F4">
        <w:rPr>
          <w:lang w:eastAsia="hr-HR"/>
        </w:rPr>
        <w:t>dodjele bespovratnih sredstva putem javnih poziva</w:t>
      </w:r>
      <w:r w:rsidR="0071669B" w:rsidRPr="00B357F4">
        <w:rPr>
          <w:lang w:eastAsia="hr-HR"/>
        </w:rPr>
        <w:t xml:space="preserve">, koje je raspisivalo MPGI kao posrednički tijelo razine 1 (PT1), a provodio FZOEU kao </w:t>
      </w:r>
      <w:r w:rsidR="005A1834" w:rsidRPr="00B357F4">
        <w:rPr>
          <w:lang w:eastAsia="hr-HR"/>
        </w:rPr>
        <w:t xml:space="preserve">posredničko tijelo razine 2 (PT2). </w:t>
      </w:r>
      <w:r w:rsidR="00FA721B" w:rsidRPr="00B357F4">
        <w:rPr>
          <w:lang w:eastAsia="hr-HR"/>
        </w:rPr>
        <w:t xml:space="preserve">U okviru OPKK, </w:t>
      </w:r>
      <w:r w:rsidR="00844F1E" w:rsidRPr="00B357F4">
        <w:rPr>
          <w:lang w:eastAsia="hr-HR"/>
        </w:rPr>
        <w:t>provedba Programa bila je dio</w:t>
      </w:r>
      <w:r w:rsidR="00844F1E" w:rsidRPr="00B357F4">
        <w:t xml:space="preserve"> prioritetne osi 4 „Promicanje energetske učinkovitosti i obnovljivih izvora energije“, investicijskog prioriteta 4c „Podupiranje energetske učinkovitosti, pametnog upravljanja energijom i korištenja OIE u javnoj infrastrukturi, uključujući javne zgrade, te u stambenom sektoru“</w:t>
      </w:r>
      <w:r w:rsidR="00006457" w:rsidRPr="00B357F4">
        <w:t xml:space="preserve"> specifi</w:t>
      </w:r>
      <w:r w:rsidR="001D2C6C" w:rsidRPr="00B357F4">
        <w:t xml:space="preserve">čnog cilja </w:t>
      </w:r>
      <w:r w:rsidR="00006457" w:rsidRPr="00B357F4">
        <w:t>4c1 „Smanjenje potrošnje energije u zgradama javnog sektora“ (SC 4c1)</w:t>
      </w:r>
      <w:r w:rsidR="001D2C6C" w:rsidRPr="00B357F4">
        <w:t>.</w:t>
      </w:r>
    </w:p>
    <w:p w14:paraId="6C38B681" w14:textId="05D7E284" w:rsidR="00F073B9" w:rsidRPr="00B357F4" w:rsidRDefault="00F073B9" w:rsidP="00F073B9">
      <w:r w:rsidRPr="00B357F4">
        <w:t>Aktivnosti u sklopu SC 4c1 započele su u 2015. godini te su objavljeni sljedeći pozivi za sufinanciranje energetske obnove zgrada javnog sektora:</w:t>
      </w:r>
    </w:p>
    <w:p w14:paraId="6698C305" w14:textId="7E200C77" w:rsidR="00DD18D8" w:rsidRPr="00B357F4" w:rsidRDefault="00DD18D8" w:rsidP="00DD18D8">
      <w:pPr>
        <w:pStyle w:val="Odlomakpopisa"/>
        <w:numPr>
          <w:ilvl w:val="0"/>
          <w:numId w:val="53"/>
        </w:numPr>
      </w:pPr>
      <w:r w:rsidRPr="00B357F4">
        <w:t xml:space="preserve">Pilot projekt </w:t>
      </w:r>
      <w:r w:rsidR="00816CA3" w:rsidRPr="00B357F4">
        <w:t>KK.04.2.1.01</w:t>
      </w:r>
      <w:r w:rsidRPr="00B357F4">
        <w:t xml:space="preserve"> 'Izrada projektne dokumentacije za energetsku obnovu zgrada i korištenje obnovljivih izvora energije u javnim ustanovama koje obavljaju djelatnost odgoja i obrazovanja'</w:t>
      </w:r>
    </w:p>
    <w:p w14:paraId="0D7E7F32" w14:textId="2E8B1FC0" w:rsidR="00DD18D8" w:rsidRPr="00B357F4" w:rsidRDefault="00DD18D8" w:rsidP="00DD18D8">
      <w:pPr>
        <w:pStyle w:val="Odlomakpopisa"/>
        <w:numPr>
          <w:ilvl w:val="0"/>
          <w:numId w:val="53"/>
        </w:numPr>
      </w:pPr>
      <w:r w:rsidRPr="00B357F4">
        <w:t xml:space="preserve">Pilot projekt </w:t>
      </w:r>
      <w:r w:rsidR="00816CA3" w:rsidRPr="00B357F4">
        <w:t>KK.04.2.1.02</w:t>
      </w:r>
      <w:r w:rsidRPr="00B357F4">
        <w:t xml:space="preserve"> 'Energetska obnova zgrada i korištenje obnovljivih izvora energije u javnim ustanovama koje obavljaju djelatnost odgoja i obrazovanja'</w:t>
      </w:r>
    </w:p>
    <w:p w14:paraId="48E2559D" w14:textId="2A4DDF98" w:rsidR="00DD18D8" w:rsidRPr="00B357F4" w:rsidRDefault="00DD18D8" w:rsidP="00DD18D8">
      <w:pPr>
        <w:pStyle w:val="Odlomakpopisa"/>
        <w:numPr>
          <w:ilvl w:val="0"/>
          <w:numId w:val="53"/>
        </w:numPr>
      </w:pPr>
      <w:r w:rsidRPr="00B357F4">
        <w:t xml:space="preserve">Poziv </w:t>
      </w:r>
      <w:r w:rsidR="00E00B80" w:rsidRPr="00B357F4">
        <w:t xml:space="preserve">na dostavu projektnih prijedloga </w:t>
      </w:r>
      <w:r w:rsidR="00AF2498" w:rsidRPr="00B357F4">
        <w:t>KK.04.2.1.03</w:t>
      </w:r>
      <w:r w:rsidRPr="00B357F4">
        <w:t xml:space="preserve">  'Energetska obnova zgrada i korištenje obnovljivih izvora energije u javnim ustanovama koje obavljaju djelatnost odgoja i obrazovanja'</w:t>
      </w:r>
    </w:p>
    <w:p w14:paraId="2DFB4792" w14:textId="088791B4" w:rsidR="00DD18D8" w:rsidRPr="003020E6" w:rsidRDefault="00DD18D8" w:rsidP="00DD18D8">
      <w:pPr>
        <w:pStyle w:val="Odlomakpopisa"/>
        <w:numPr>
          <w:ilvl w:val="0"/>
          <w:numId w:val="53"/>
        </w:numPr>
      </w:pPr>
      <w:r w:rsidRPr="00B357F4">
        <w:t xml:space="preserve">Poziv </w:t>
      </w:r>
      <w:r w:rsidR="00E00B80" w:rsidRPr="00B357F4">
        <w:t xml:space="preserve">na dostavu projektnih prijedloga </w:t>
      </w:r>
      <w:r w:rsidR="00AF2498" w:rsidRPr="00B357F4">
        <w:t>KK.04.2.1.04</w:t>
      </w:r>
      <w:r w:rsidRPr="00B357F4">
        <w:t xml:space="preserve"> 'Energetska obnova i korištenje obnovljivih izvora energije u zgradama javnog sektora' </w:t>
      </w:r>
    </w:p>
    <w:p w14:paraId="4BBDB6A3" w14:textId="0E109DDD" w:rsidR="00293A2B" w:rsidRPr="00B357F4" w:rsidRDefault="004329D3" w:rsidP="00725AB0">
      <w:r w:rsidRPr="00B03C9B">
        <w:t>Prva tri poziva odnosila su se isključivo na</w:t>
      </w:r>
      <w:r w:rsidR="00E016A8" w:rsidRPr="00971F9E">
        <w:t xml:space="preserve"> javne ustanove koje obavljaju djelatnost odgoja i obrazovanja, dok je posljednji javni poziv bio otvoren za sve ZJS.</w:t>
      </w:r>
    </w:p>
    <w:p w14:paraId="717D3A76" w14:textId="7088656F" w:rsidR="00F073B9" w:rsidRPr="00B357F4" w:rsidRDefault="002F411B" w:rsidP="00304ED1">
      <w:r w:rsidRPr="00B357F4">
        <w:t xml:space="preserve">Cilj pilot projekta </w:t>
      </w:r>
      <w:r w:rsidR="00E4620F">
        <w:t>KK.0</w:t>
      </w:r>
      <w:r w:rsidRPr="00B357F4">
        <w:t>4</w:t>
      </w:r>
      <w:r w:rsidR="00E4620F">
        <w:t>.2.</w:t>
      </w:r>
      <w:r w:rsidR="006404A1">
        <w:t>1</w:t>
      </w:r>
      <w:r w:rsidR="00E4620F">
        <w:t>.01</w:t>
      </w:r>
      <w:r w:rsidR="002210C2">
        <w:t xml:space="preserve"> </w:t>
      </w:r>
      <w:r w:rsidRPr="00B357F4">
        <w:t xml:space="preserve">bilo je osigurati </w:t>
      </w:r>
      <w:r w:rsidR="00294D47" w:rsidRPr="00B357F4">
        <w:t xml:space="preserve">pripremljenost projektne dokumentacije za obnovu, kao uvjeta za dobivanje sufinanciranja u sljedećim javnim pozivima. </w:t>
      </w:r>
      <w:r w:rsidR="00E6191B" w:rsidRPr="00B357F4">
        <w:t xml:space="preserve">Na temelju ovog pilot poziva </w:t>
      </w:r>
      <w:r w:rsidR="00EC23CD" w:rsidRPr="00B357F4">
        <w:t>ugovoreno je sufinanciranje izrade projektne dokumentacije za 72 korisnika</w:t>
      </w:r>
      <w:r w:rsidR="007B3AAD" w:rsidRPr="00B357F4">
        <w:t>, a to je sufinanciranje bilo osigurano kako iz ESIF sredstava tako i iz FZOEU</w:t>
      </w:r>
      <w:r w:rsidR="00EC23CD" w:rsidRPr="00B357F4">
        <w:t xml:space="preserve">. </w:t>
      </w:r>
      <w:r w:rsidR="00F44820" w:rsidRPr="00B357F4">
        <w:t xml:space="preserve">Uvjet pilot poziva bila je je planirana minimalna ušteda </w:t>
      </w:r>
      <w:r w:rsidR="00732002">
        <w:t>godišnje potrebne</w:t>
      </w:r>
      <w:r w:rsidR="002C6D49">
        <w:t xml:space="preserve"> toplinske </w:t>
      </w:r>
      <w:r w:rsidR="00F44820" w:rsidRPr="00B357F4">
        <w:t>energije</w:t>
      </w:r>
      <w:r w:rsidR="002C6D49">
        <w:t xml:space="preserve"> za grijanje</w:t>
      </w:r>
      <w:r w:rsidR="00F44820" w:rsidRPr="00B357F4">
        <w:t xml:space="preserve"> od 20%, no prosječne uštede energije za </w:t>
      </w:r>
      <w:r w:rsidR="004057F9" w:rsidRPr="00B357F4">
        <w:t>ugovorene</w:t>
      </w:r>
      <w:r w:rsidR="00F44820" w:rsidRPr="00B357F4">
        <w:t xml:space="preserve"> projekte iznos</w:t>
      </w:r>
      <w:r w:rsidR="004057F9" w:rsidRPr="00B357F4">
        <w:t>ile su</w:t>
      </w:r>
      <w:r w:rsidR="00F44820" w:rsidRPr="00B357F4">
        <w:t xml:space="preserve"> 43,24%. </w:t>
      </w:r>
    </w:p>
    <w:p w14:paraId="7CFDAF72" w14:textId="1B557A02" w:rsidR="00050EEB" w:rsidRPr="00B357F4" w:rsidRDefault="00C1015E" w:rsidP="00304ED1">
      <w:r w:rsidRPr="00B357F4">
        <w:t xml:space="preserve">Pilot projektom </w:t>
      </w:r>
      <w:r w:rsidR="00B54C61">
        <w:t>KK.0</w:t>
      </w:r>
      <w:r w:rsidRPr="00B357F4">
        <w:t>4</w:t>
      </w:r>
      <w:r w:rsidR="00B54C61">
        <w:t>.</w:t>
      </w:r>
      <w:r w:rsidRPr="00B357F4">
        <w:t>2</w:t>
      </w:r>
      <w:r w:rsidR="005C0063">
        <w:t>.1.02</w:t>
      </w:r>
      <w:r w:rsidR="00F56C04" w:rsidRPr="00B357F4">
        <w:t xml:space="preserve"> sufinancirano je izvođenje radova energetske obnove te je</w:t>
      </w:r>
      <w:r w:rsidR="006D3808" w:rsidRPr="00B357F4">
        <w:t xml:space="preserve"> također osigurano sufinanciranje iz ESIF sredstava i FZOEU. Ugovorena su 33 projekta.</w:t>
      </w:r>
      <w:r w:rsidR="00830B01" w:rsidRPr="00B357F4">
        <w:t xml:space="preserve"> Pilot Pozivom bila je planirana minimalna ušteda </w:t>
      </w:r>
      <w:r w:rsidR="002C6D49">
        <w:t>godišnje potrebne toplinske</w:t>
      </w:r>
      <w:r w:rsidR="00830B01" w:rsidRPr="00B357F4">
        <w:t xml:space="preserve"> energije </w:t>
      </w:r>
      <w:r w:rsidR="002C6D49">
        <w:t>za grijanje</w:t>
      </w:r>
      <w:r w:rsidR="00830B01" w:rsidRPr="00B357F4">
        <w:t xml:space="preserve"> od 20%, no prosječne uštede energije za </w:t>
      </w:r>
      <w:r w:rsidR="001B6314" w:rsidRPr="00B357F4">
        <w:t>ugovorene</w:t>
      </w:r>
      <w:r w:rsidR="00830B01" w:rsidRPr="00B357F4">
        <w:t xml:space="preserve"> projekte iznos</w:t>
      </w:r>
      <w:r w:rsidR="001B6314" w:rsidRPr="00B357F4">
        <w:t>ila je</w:t>
      </w:r>
      <w:r w:rsidR="00830B01" w:rsidRPr="00B357F4">
        <w:t xml:space="preserve"> </w:t>
      </w:r>
      <w:r w:rsidR="009C7262">
        <w:t>61,14</w:t>
      </w:r>
      <w:r w:rsidR="00830B01" w:rsidRPr="00B357F4">
        <w:t>%</w:t>
      </w:r>
      <w:r w:rsidR="00050EEB" w:rsidRPr="00B357F4">
        <w:t>.</w:t>
      </w:r>
    </w:p>
    <w:p w14:paraId="69D5CE54" w14:textId="7CBA2EB5" w:rsidR="00A2392E" w:rsidRPr="00B357F4" w:rsidRDefault="50CC80C1" w:rsidP="008E28E5">
      <w:r w:rsidRPr="00B357F4">
        <w:t xml:space="preserve">Na temelju iskustava iz provedenih pilot poziva, u studenom 2016. godine raspisan je </w:t>
      </w:r>
      <w:r w:rsidR="787BF80C" w:rsidRPr="00B357F4">
        <w:t>poziv</w:t>
      </w:r>
      <w:r w:rsidR="6D3FD284" w:rsidRPr="00B357F4">
        <w:t xml:space="preserve"> </w:t>
      </w:r>
      <w:r w:rsidR="00273C66">
        <w:t>KK.0</w:t>
      </w:r>
      <w:r w:rsidR="787BF80C" w:rsidRPr="00B357F4">
        <w:t>4</w:t>
      </w:r>
      <w:r w:rsidR="00273C66">
        <w:t>.2.</w:t>
      </w:r>
      <w:r w:rsidR="787BF80C" w:rsidRPr="00B357F4">
        <w:t>1.</w:t>
      </w:r>
      <w:r w:rsidR="00273C66">
        <w:t>0</w:t>
      </w:r>
      <w:r w:rsidR="787BF80C" w:rsidRPr="00B357F4">
        <w:t xml:space="preserve">3, koji se </w:t>
      </w:r>
      <w:r w:rsidR="08ED2A04" w:rsidRPr="00B357F4">
        <w:t>temeljio isključivo na ESIF sredstvima.</w:t>
      </w:r>
      <w:r w:rsidR="55755D46" w:rsidRPr="00B357F4">
        <w:t xml:space="preserve"> U ovom se javnom pozivu kao uvjet postavlja </w:t>
      </w:r>
      <w:r w:rsidR="2B36AC7A" w:rsidRPr="00B357F4">
        <w:t>n</w:t>
      </w:r>
      <w:r w:rsidR="55755D46" w:rsidRPr="00B357F4">
        <w:t xml:space="preserve">ajmanje 50% uštede </w:t>
      </w:r>
      <w:r w:rsidR="002D7A74">
        <w:t>godišnje potre</w:t>
      </w:r>
      <w:r w:rsidR="00D859AC">
        <w:t xml:space="preserve">bne </w:t>
      </w:r>
      <w:r w:rsidR="00701E7D">
        <w:t>toplinske</w:t>
      </w:r>
      <w:r w:rsidR="00D859AC">
        <w:t xml:space="preserve"> </w:t>
      </w:r>
      <w:r w:rsidR="55755D46" w:rsidRPr="00B357F4">
        <w:t xml:space="preserve">energije za grijanje u odnosu na godišnju </w:t>
      </w:r>
      <w:r w:rsidR="56BA077E" w:rsidRPr="00B357F4">
        <w:t xml:space="preserve">potrebnu toplinsku </w:t>
      </w:r>
      <w:r w:rsidR="55755D46" w:rsidRPr="00B357F4">
        <w:t>energije za grijanje prije provedbe projekta (Q</w:t>
      </w:r>
      <w:r w:rsidR="55755D46" w:rsidRPr="00B357F4">
        <w:rPr>
          <w:vertAlign w:val="subscript"/>
        </w:rPr>
        <w:t>H,nd</w:t>
      </w:r>
      <w:r w:rsidR="55755D46" w:rsidRPr="00B357F4">
        <w:t>)</w:t>
      </w:r>
      <w:r w:rsidR="3C1B2882" w:rsidRPr="00B357F4">
        <w:t xml:space="preserve">, a </w:t>
      </w:r>
      <w:r w:rsidR="1F675662" w:rsidRPr="00B357F4">
        <w:t>sufinanciranje</w:t>
      </w:r>
      <w:r w:rsidR="3C1B2882" w:rsidRPr="00B357F4">
        <w:t xml:space="preserve"> </w:t>
      </w:r>
      <w:r w:rsidR="1F675662" w:rsidRPr="00B357F4">
        <w:t xml:space="preserve">radova </w:t>
      </w:r>
      <w:r w:rsidR="3C1B2882" w:rsidRPr="00B357F4">
        <w:t xml:space="preserve">se osigurava </w:t>
      </w:r>
      <w:r w:rsidR="62630C94" w:rsidRPr="00B357F4">
        <w:t xml:space="preserve">u iznosima </w:t>
      </w:r>
      <w:r w:rsidR="1F675662" w:rsidRPr="00B357F4">
        <w:t xml:space="preserve">35%-40%-45% u </w:t>
      </w:r>
      <w:r w:rsidR="17EEC813" w:rsidRPr="00B357F4">
        <w:t>primorskoj</w:t>
      </w:r>
      <w:r w:rsidR="1F675662" w:rsidRPr="00B357F4">
        <w:t xml:space="preserve"> Hrvatskoj odnosno </w:t>
      </w:r>
      <w:r w:rsidR="17EEC813" w:rsidRPr="00B357F4">
        <w:t xml:space="preserve">50%-55%-60% u kontinentalnoj Hrvatskoj, ovisno o </w:t>
      </w:r>
      <w:r w:rsidR="7D98DA49" w:rsidRPr="00B357F4">
        <w:t xml:space="preserve">indeksu razvijenosti jedinice područne (regionalne) samouprave na čijem području se projekt provodi. Također se osigurava sufinanciranje od 85% </w:t>
      </w:r>
      <w:r w:rsidR="004E2F89" w:rsidRPr="004E2F89">
        <w:t>prihvatljivih troškova</w:t>
      </w:r>
      <w:r w:rsidR="7D98DA49" w:rsidRPr="00B357F4">
        <w:t xml:space="preserve"> </w:t>
      </w:r>
      <w:r w:rsidR="2FE9CA36" w:rsidRPr="00B357F4">
        <w:t xml:space="preserve">za projektnu dokumentaciju, vidljivost i upravljanje projektom. </w:t>
      </w:r>
      <w:r w:rsidR="09CF8D62" w:rsidRPr="00B357F4">
        <w:t xml:space="preserve">Temeljem ovog javnog poziva ugovoreno je </w:t>
      </w:r>
      <w:r w:rsidR="758B8B42" w:rsidRPr="00B357F4">
        <w:t xml:space="preserve">216 projekata energetske obnove. </w:t>
      </w:r>
    </w:p>
    <w:p w14:paraId="6AC67485" w14:textId="5CE5E9E0" w:rsidR="000D3622" w:rsidRPr="00B357F4" w:rsidRDefault="00283347" w:rsidP="008E28E5">
      <w:r w:rsidRPr="00B357F4">
        <w:t xml:space="preserve">U studenom </w:t>
      </w:r>
      <w:r w:rsidR="007232EC" w:rsidRPr="00B357F4">
        <w:t xml:space="preserve">2017. godine objavljen je i zadnji poziv </w:t>
      </w:r>
      <w:r w:rsidR="008631DE">
        <w:t>KK.0</w:t>
      </w:r>
      <w:r w:rsidR="007232EC" w:rsidRPr="00B357F4">
        <w:t>4</w:t>
      </w:r>
      <w:r w:rsidR="008631DE">
        <w:t>.2</w:t>
      </w:r>
      <w:r w:rsidR="00593F34">
        <w:t>.</w:t>
      </w:r>
      <w:r w:rsidR="007232EC" w:rsidRPr="00B357F4">
        <w:t>1.</w:t>
      </w:r>
      <w:r w:rsidR="00593F34">
        <w:t>0</w:t>
      </w:r>
      <w:r w:rsidR="007232EC" w:rsidRPr="00B357F4">
        <w:t xml:space="preserve">4, koji je, za razliku od svih prethodnih, bio </w:t>
      </w:r>
      <w:r w:rsidR="00C1775C" w:rsidRPr="00B357F4">
        <w:t>otvoren</w:t>
      </w:r>
      <w:r w:rsidR="007232EC" w:rsidRPr="00B357F4">
        <w:t xml:space="preserve"> za sve ZJS. Uvjeti sufinanciranja bili su isti kao u </w:t>
      </w:r>
      <w:r w:rsidR="003D0895" w:rsidRPr="00B357F4">
        <w:t>prethodnom pozivu, a ugovoreno je 550 projekata energetske obnove.</w:t>
      </w:r>
    </w:p>
    <w:p w14:paraId="21163663" w14:textId="1433CC5F" w:rsidR="00A75E86" w:rsidRPr="00B357F4" w:rsidRDefault="00A75E86" w:rsidP="00A75E86">
      <w:pPr>
        <w:pStyle w:val="Opisslike"/>
        <w:rPr>
          <w:i w:val="0"/>
          <w:sz w:val="20"/>
          <w:szCs w:val="24"/>
        </w:rPr>
      </w:pPr>
      <w:r w:rsidRPr="00B357F4">
        <w:rPr>
          <w:i w:val="0"/>
          <w:sz w:val="20"/>
          <w:szCs w:val="24"/>
        </w:rPr>
        <w:lastRenderedPageBreak/>
        <w:t xml:space="preserve">Ukupno je za projekte po ova četiri poziva alocirano preko </w:t>
      </w:r>
      <w:r w:rsidR="00184870" w:rsidRPr="00B357F4">
        <w:rPr>
          <w:i w:val="0"/>
          <w:sz w:val="20"/>
          <w:szCs w:val="24"/>
        </w:rPr>
        <w:t xml:space="preserve">253,4 </w:t>
      </w:r>
      <w:r w:rsidRPr="00B357F4">
        <w:rPr>
          <w:i w:val="0"/>
          <w:sz w:val="20"/>
          <w:szCs w:val="24"/>
        </w:rPr>
        <w:t xml:space="preserve">milijuna €. Pri tome treba istaknuti da je prvobitno predviđena alokacija prema OPKK u ovaj specifični cilj bila 211 milijuna € pa ovi podatci jasno pokazuju potrebe i interes javnog sektora za energetskom obnovom zgrada. </w:t>
      </w:r>
    </w:p>
    <w:p w14:paraId="048CB42A" w14:textId="25FD0907" w:rsidR="006A2AD5" w:rsidRPr="00B357F4" w:rsidRDefault="00A75E86" w:rsidP="00A75E86">
      <w:r w:rsidRPr="00B357F4">
        <w:t xml:space="preserve">53 milijuna € iz OPKK alocirano je u financijski instrument odnosno program kreditiranja kojega provodi Hrvatska banka za obnovu i razvitak (HBOR. </w:t>
      </w:r>
      <w:r w:rsidR="0054208E" w:rsidRPr="003020E6">
        <w:t xml:space="preserve">Ta </w:t>
      </w:r>
      <w:r w:rsidR="00A634C8" w:rsidRPr="003020E6">
        <w:t>su s</w:t>
      </w:r>
      <w:r w:rsidR="00A634C8" w:rsidRPr="006734C7">
        <w:t xml:space="preserve">redstva </w:t>
      </w:r>
      <w:r w:rsidR="006A2AD5" w:rsidRPr="006734C7">
        <w:t xml:space="preserve">namijenjena zatvaranju financijske konstrukcije projekata korisnika bespovratnih sredstava koji su dobili Odluku o financiranju iz Poziva na dostavu projektnih prijedloga u okviru </w:t>
      </w:r>
      <w:r w:rsidR="009B79E1" w:rsidRPr="00B03C9B">
        <w:t>SC 4c1.</w:t>
      </w:r>
      <w:r w:rsidR="00316F27" w:rsidRPr="00B03C9B">
        <w:t xml:space="preserve"> Kamatne stope na kredit se kreću između 0,1% i 0,5% u ovi</w:t>
      </w:r>
      <w:r w:rsidR="00316F27" w:rsidRPr="00B357F4">
        <w:t>snosti o stupnju razvijenosti područja na kojem se ulaganje provodi.</w:t>
      </w:r>
      <w:r w:rsidR="007351A2" w:rsidRPr="00B357F4">
        <w:t xml:space="preserve"> Do sada </w:t>
      </w:r>
      <w:r w:rsidR="00550498" w:rsidRPr="00B357F4">
        <w:t>je</w:t>
      </w:r>
      <w:r w:rsidR="007351A2" w:rsidRPr="00B357F4">
        <w:t xml:space="preserve"> ovim kreditnim programom </w:t>
      </w:r>
      <w:r w:rsidR="00550498" w:rsidRPr="00B357F4">
        <w:t xml:space="preserve">podržano 66 korisnika. </w:t>
      </w:r>
      <w:r w:rsidR="00C26C64">
        <w:t>U</w:t>
      </w:r>
      <w:r w:rsidR="00B43152">
        <w:t xml:space="preserve"> studenome 2021. godine </w:t>
      </w:r>
      <w:r w:rsidR="00C26C64">
        <w:t xml:space="preserve">alokacija je </w:t>
      </w:r>
      <w:r w:rsidR="00B43152">
        <w:t>smanjena na oko 30 milijuna €</w:t>
      </w:r>
      <w:r w:rsidR="00C26C64">
        <w:t xml:space="preserve"> te je program zatvoren</w:t>
      </w:r>
      <w:r w:rsidR="00B43152">
        <w:t>.</w:t>
      </w:r>
    </w:p>
    <w:p w14:paraId="764866AB" w14:textId="5D7F4531" w:rsidR="00736A6B" w:rsidRPr="00B357F4" w:rsidRDefault="008E7C8F" w:rsidP="006A2AD5">
      <w:r w:rsidRPr="00B357F4">
        <w:t xml:space="preserve">Na kraju treba još istaknuti da je </w:t>
      </w:r>
      <w:r w:rsidR="00D1530E" w:rsidRPr="00B357F4">
        <w:t xml:space="preserve">prije početka </w:t>
      </w:r>
      <w:r w:rsidR="004116E8" w:rsidRPr="00B357F4">
        <w:t xml:space="preserve">primjene ESCO modela i </w:t>
      </w:r>
      <w:r w:rsidR="00D1530E" w:rsidRPr="00B357F4">
        <w:t>korištenja ESIF sredstava</w:t>
      </w:r>
      <w:r w:rsidR="004116E8" w:rsidRPr="00B357F4">
        <w:t xml:space="preserve">, Fond za zaštitu okoliša i energetsku učinkovitost (FZOEU) nacionalnim sredstvima poticao mjere energetske učinkovitosti </w:t>
      </w:r>
      <w:r w:rsidR="00CA0CB7" w:rsidRPr="00B357F4">
        <w:t>i korištenja obnovljivih izvora energije</w:t>
      </w:r>
      <w:r w:rsidR="006E54E6" w:rsidRPr="00B357F4">
        <w:t xml:space="preserve"> putem javnih</w:t>
      </w:r>
      <w:r w:rsidR="009D0DC3" w:rsidRPr="00B357F4">
        <w:t xml:space="preserve"> natječaja</w:t>
      </w:r>
      <w:r w:rsidR="00B634FB" w:rsidRPr="00B357F4">
        <w:t xml:space="preserve"> te rezultate ovih projekata svakako treba uzeti u obzir, iako se u njima nije </w:t>
      </w:r>
      <w:r w:rsidR="00D87696" w:rsidRPr="00B357F4">
        <w:t>zahtijevala integralna energetska obnova.</w:t>
      </w:r>
      <w:r w:rsidR="009D0DC3" w:rsidRPr="00B357F4">
        <w:t xml:space="preserve"> </w:t>
      </w:r>
    </w:p>
    <w:p w14:paraId="257934FE" w14:textId="756EFB00" w:rsidR="00C054B6" w:rsidRPr="003020E6" w:rsidRDefault="005507E3" w:rsidP="00C054B6">
      <w:r w:rsidRPr="00B357F4">
        <w:t>Prema podacima iz Sustava za praćenje, mjerenje i verifikaciju ušteda en</w:t>
      </w:r>
      <w:r w:rsidR="002D0DEF" w:rsidRPr="00B357F4">
        <w:t>ergije (SMiV),</w:t>
      </w:r>
      <w:r w:rsidR="00F86F5F" w:rsidRPr="00B357F4">
        <w:t xml:space="preserve"> </w:t>
      </w:r>
      <w:r w:rsidR="002D0DEF" w:rsidRPr="00B357F4">
        <w:t>o</w:t>
      </w:r>
      <w:r w:rsidR="00C054B6" w:rsidRPr="00B357F4">
        <w:t xml:space="preserve">stvarene uštede energije, ukupni iznos investicije te isplaćena bespovratna sredstva prikazuje </w:t>
      </w:r>
      <w:r w:rsidR="00C054B6" w:rsidRPr="003020E6">
        <w:fldChar w:fldCharType="begin"/>
      </w:r>
      <w:r w:rsidR="00C054B6" w:rsidRPr="00B357F4">
        <w:instrText xml:space="preserve"> REF _Ref71536949 \h </w:instrText>
      </w:r>
      <w:r w:rsidR="00C054B6" w:rsidRPr="003020E6">
        <w:fldChar w:fldCharType="separate"/>
      </w:r>
      <w:r w:rsidR="0023635D" w:rsidRPr="006734C7">
        <w:t xml:space="preserve">Tablica </w:t>
      </w:r>
      <w:r w:rsidR="0023635D">
        <w:rPr>
          <w:noProof/>
        </w:rPr>
        <w:t>4</w:t>
      </w:r>
      <w:r w:rsidR="0023635D">
        <w:noBreakHyphen/>
      </w:r>
      <w:r w:rsidR="0023635D">
        <w:rPr>
          <w:noProof/>
        </w:rPr>
        <w:t>1</w:t>
      </w:r>
      <w:r w:rsidR="00C054B6" w:rsidRPr="003020E6">
        <w:fldChar w:fldCharType="end"/>
      </w:r>
      <w:r w:rsidR="00C054B6" w:rsidRPr="003020E6">
        <w:t>.</w:t>
      </w:r>
    </w:p>
    <w:p w14:paraId="35F2C2E0" w14:textId="55574A3B" w:rsidR="00C054B6" w:rsidRPr="00B357F4" w:rsidRDefault="00C054B6" w:rsidP="00C054B6">
      <w:pPr>
        <w:pStyle w:val="Opisslike"/>
      </w:pPr>
      <w:bookmarkStart w:id="61" w:name="_Ref71536949"/>
      <w:bookmarkStart w:id="62" w:name="_Toc72081554"/>
      <w:bookmarkStart w:id="63" w:name="_Toc81836251"/>
      <w:bookmarkStart w:id="64" w:name="_Toc87949892"/>
      <w:r w:rsidRPr="006734C7">
        <w:t xml:space="preserve">Tablica </w:t>
      </w:r>
      <w:r>
        <w:fldChar w:fldCharType="begin"/>
      </w:r>
      <w:r>
        <w:instrText>STYLEREF 1 \s</w:instrText>
      </w:r>
      <w:r>
        <w:fldChar w:fldCharType="separate"/>
      </w:r>
      <w:r w:rsidR="0023635D">
        <w:rPr>
          <w:noProof/>
        </w:rPr>
        <w:t>4</w:t>
      </w:r>
      <w:r>
        <w:fldChar w:fldCharType="end"/>
      </w:r>
      <w:r w:rsidR="00166B1A">
        <w:noBreakHyphen/>
      </w:r>
      <w:r>
        <w:fldChar w:fldCharType="begin"/>
      </w:r>
      <w:r>
        <w:instrText>SEQ Tablica \* ARABIC \s 1</w:instrText>
      </w:r>
      <w:r>
        <w:fldChar w:fldCharType="separate"/>
      </w:r>
      <w:r w:rsidR="0023635D">
        <w:rPr>
          <w:noProof/>
        </w:rPr>
        <w:t>1</w:t>
      </w:r>
      <w:r>
        <w:fldChar w:fldCharType="end"/>
      </w:r>
      <w:bookmarkEnd w:id="61"/>
      <w:r w:rsidRPr="003020E6">
        <w:t xml:space="preserve">: </w:t>
      </w:r>
      <w:bookmarkEnd w:id="62"/>
      <w:r w:rsidRPr="003020E6">
        <w:t xml:space="preserve">Učinci </w:t>
      </w:r>
      <w:r w:rsidR="00FA09E5" w:rsidRPr="006734C7">
        <w:t>p</w:t>
      </w:r>
      <w:r w:rsidRPr="00B03C9B">
        <w:t xml:space="preserve">rograma energetske obnove </w:t>
      </w:r>
      <w:r w:rsidR="00FA09E5" w:rsidRPr="00B03C9B">
        <w:t>ZJS</w:t>
      </w:r>
      <w:r w:rsidRPr="00971F9E">
        <w:t xml:space="preserve"> za razdoblje od 2014. do 2020. godine</w:t>
      </w:r>
      <w:bookmarkEnd w:id="63"/>
      <w:bookmarkEnd w:id="64"/>
    </w:p>
    <w:tbl>
      <w:tblPr>
        <w:tblStyle w:val="Svijetlatablicareetke110"/>
        <w:tblW w:w="9457" w:type="dxa"/>
        <w:tblLook w:val="04A0" w:firstRow="1" w:lastRow="0" w:firstColumn="1" w:lastColumn="0" w:noHBand="0" w:noVBand="1"/>
      </w:tblPr>
      <w:tblGrid>
        <w:gridCol w:w="4315"/>
        <w:gridCol w:w="732"/>
        <w:gridCol w:w="732"/>
        <w:gridCol w:w="742"/>
        <w:gridCol w:w="732"/>
        <w:gridCol w:w="732"/>
        <w:gridCol w:w="732"/>
        <w:gridCol w:w="740"/>
      </w:tblGrid>
      <w:tr w:rsidR="00C054B6" w:rsidRPr="00B357F4" w14:paraId="1343619A" w14:textId="77777777" w:rsidTr="00E92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3D2AD39B" w14:textId="77777777" w:rsidR="00C054B6" w:rsidRPr="00B357F4" w:rsidRDefault="00C054B6" w:rsidP="007A5828">
            <w:pPr>
              <w:spacing w:before="0" w:after="0"/>
              <w:rPr>
                <w:sz w:val="17"/>
                <w:szCs w:val="17"/>
              </w:rPr>
            </w:pPr>
            <w:r w:rsidRPr="00B357F4">
              <w:rPr>
                <w:sz w:val="17"/>
                <w:szCs w:val="17"/>
              </w:rPr>
              <w:t>Godina provedbe</w:t>
            </w:r>
          </w:p>
        </w:tc>
        <w:tc>
          <w:tcPr>
            <w:tcW w:w="732" w:type="dxa"/>
          </w:tcPr>
          <w:p w14:paraId="2F04BF0C"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2014.</w:t>
            </w:r>
          </w:p>
        </w:tc>
        <w:tc>
          <w:tcPr>
            <w:tcW w:w="732" w:type="dxa"/>
          </w:tcPr>
          <w:p w14:paraId="6421EBC0"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2015.</w:t>
            </w:r>
          </w:p>
        </w:tc>
        <w:tc>
          <w:tcPr>
            <w:tcW w:w="742" w:type="dxa"/>
          </w:tcPr>
          <w:p w14:paraId="045E0E07"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2016.</w:t>
            </w:r>
          </w:p>
        </w:tc>
        <w:tc>
          <w:tcPr>
            <w:tcW w:w="732" w:type="dxa"/>
          </w:tcPr>
          <w:p w14:paraId="274CDDE3"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2017.</w:t>
            </w:r>
          </w:p>
        </w:tc>
        <w:tc>
          <w:tcPr>
            <w:tcW w:w="732" w:type="dxa"/>
          </w:tcPr>
          <w:p w14:paraId="4AE921E9"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2018.</w:t>
            </w:r>
          </w:p>
        </w:tc>
        <w:tc>
          <w:tcPr>
            <w:tcW w:w="732" w:type="dxa"/>
          </w:tcPr>
          <w:p w14:paraId="6CC6B651"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2019.</w:t>
            </w:r>
          </w:p>
        </w:tc>
        <w:tc>
          <w:tcPr>
            <w:tcW w:w="740" w:type="dxa"/>
          </w:tcPr>
          <w:p w14:paraId="1E4D36FE"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2020.</w:t>
            </w:r>
          </w:p>
        </w:tc>
      </w:tr>
      <w:tr w:rsidR="00262C97" w:rsidRPr="00B357F4" w14:paraId="7BACBFBE"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1B0414AF" w14:textId="5C7B8A27" w:rsidR="00262C97" w:rsidRPr="00B357F4" w:rsidRDefault="00262C97" w:rsidP="00262C97">
            <w:pPr>
              <w:spacing w:before="0" w:after="0"/>
              <w:rPr>
                <w:sz w:val="17"/>
                <w:szCs w:val="17"/>
              </w:rPr>
            </w:pPr>
            <w:r w:rsidRPr="00B357F4">
              <w:rPr>
                <w:sz w:val="17"/>
                <w:szCs w:val="17"/>
              </w:rPr>
              <w:t>Nova godišnja ušteda – Program 2014-15 - APN [PJ]</w:t>
            </w:r>
          </w:p>
        </w:tc>
        <w:tc>
          <w:tcPr>
            <w:tcW w:w="732" w:type="dxa"/>
          </w:tcPr>
          <w:p w14:paraId="069A38D9" w14:textId="7E4F2E73"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658383F1" w14:textId="504349D7"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0,0342</w:t>
            </w:r>
          </w:p>
        </w:tc>
        <w:tc>
          <w:tcPr>
            <w:tcW w:w="742" w:type="dxa"/>
          </w:tcPr>
          <w:p w14:paraId="0169ADB7" w14:textId="5314BBFE"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0,0293</w:t>
            </w:r>
          </w:p>
        </w:tc>
        <w:tc>
          <w:tcPr>
            <w:tcW w:w="732" w:type="dxa"/>
          </w:tcPr>
          <w:p w14:paraId="4E39EDF1" w14:textId="1976E126"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0,0715</w:t>
            </w:r>
          </w:p>
        </w:tc>
        <w:tc>
          <w:tcPr>
            <w:tcW w:w="732" w:type="dxa"/>
          </w:tcPr>
          <w:p w14:paraId="1F6A13B1" w14:textId="50AA6E20"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0,0946</w:t>
            </w:r>
          </w:p>
        </w:tc>
        <w:tc>
          <w:tcPr>
            <w:tcW w:w="732" w:type="dxa"/>
          </w:tcPr>
          <w:p w14:paraId="438223C6" w14:textId="77501FD7" w:rsidR="00262C97" w:rsidRPr="00B357F4" w:rsidRDefault="006D5322"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0</w:t>
            </w:r>
          </w:p>
        </w:tc>
        <w:tc>
          <w:tcPr>
            <w:tcW w:w="740" w:type="dxa"/>
          </w:tcPr>
          <w:p w14:paraId="72A33ECA" w14:textId="6041FF24"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r>
      <w:tr w:rsidR="00ED76AB" w:rsidRPr="00B357F4" w14:paraId="73A1E949"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7D1C3965" w14:textId="20A6349C" w:rsidR="00ED76AB" w:rsidRPr="00B357F4" w:rsidRDefault="00ED76AB" w:rsidP="00ED76AB">
            <w:pPr>
              <w:spacing w:before="0" w:after="0"/>
              <w:rPr>
                <w:sz w:val="17"/>
                <w:szCs w:val="17"/>
              </w:rPr>
            </w:pPr>
            <w:r w:rsidRPr="00B357F4">
              <w:rPr>
                <w:sz w:val="17"/>
                <w:szCs w:val="17"/>
              </w:rPr>
              <w:t>Nova godišnja ušteda – Program 2016-20 – OPKK [PJ]</w:t>
            </w:r>
          </w:p>
        </w:tc>
        <w:tc>
          <w:tcPr>
            <w:tcW w:w="732" w:type="dxa"/>
          </w:tcPr>
          <w:p w14:paraId="3ED2CD1B" w14:textId="458DA26F" w:rsidR="00ED76AB" w:rsidRPr="00B357F4" w:rsidRDefault="002768D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38135090" w14:textId="659D5629" w:rsidR="00ED76AB" w:rsidRPr="00B357F4" w:rsidRDefault="002768D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42" w:type="dxa"/>
          </w:tcPr>
          <w:p w14:paraId="5806704A" w14:textId="5FFF5AEE" w:rsidR="00ED76AB" w:rsidRPr="00B357F4" w:rsidRDefault="002768D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0A0EA7C5" w14:textId="57E27430" w:rsidR="00ED76AB" w:rsidRPr="00B357F4" w:rsidRDefault="00ED76A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6D5322" w:rsidRPr="00B357F4">
              <w:rPr>
                <w:sz w:val="17"/>
                <w:szCs w:val="17"/>
              </w:rPr>
              <w:t>02</w:t>
            </w:r>
            <w:r w:rsidR="006D5322">
              <w:rPr>
                <w:sz w:val="17"/>
                <w:szCs w:val="17"/>
              </w:rPr>
              <w:t>25</w:t>
            </w:r>
          </w:p>
        </w:tc>
        <w:tc>
          <w:tcPr>
            <w:tcW w:w="732" w:type="dxa"/>
          </w:tcPr>
          <w:p w14:paraId="6F46DEB8" w14:textId="15EA1D27" w:rsidR="00ED76AB" w:rsidRPr="00B357F4" w:rsidRDefault="00ED76A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0,0301</w:t>
            </w:r>
          </w:p>
        </w:tc>
        <w:tc>
          <w:tcPr>
            <w:tcW w:w="732" w:type="dxa"/>
          </w:tcPr>
          <w:p w14:paraId="0CDB34DB" w14:textId="259043A9" w:rsidR="00ED76AB" w:rsidRPr="00B357F4" w:rsidRDefault="00ED76A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E65EF4">
              <w:rPr>
                <w:sz w:val="17"/>
                <w:szCs w:val="17"/>
              </w:rPr>
              <w:t>2499</w:t>
            </w:r>
          </w:p>
        </w:tc>
        <w:tc>
          <w:tcPr>
            <w:tcW w:w="740" w:type="dxa"/>
          </w:tcPr>
          <w:p w14:paraId="50875A59" w14:textId="2A80654A" w:rsidR="00ED76AB" w:rsidRPr="00B357F4" w:rsidRDefault="00964146"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F56288" w:rsidRPr="00B357F4">
              <w:rPr>
                <w:sz w:val="17"/>
                <w:szCs w:val="17"/>
              </w:rPr>
              <w:t>1</w:t>
            </w:r>
            <w:r w:rsidR="00F56288">
              <w:rPr>
                <w:sz w:val="17"/>
                <w:szCs w:val="17"/>
              </w:rPr>
              <w:t>796</w:t>
            </w:r>
          </w:p>
        </w:tc>
      </w:tr>
      <w:tr w:rsidR="00EB0EC1" w:rsidRPr="00B357F4" w14:paraId="6A702537"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1C86513B" w14:textId="035C5158" w:rsidR="00EB0EC1" w:rsidRPr="00B357F4" w:rsidRDefault="00EB0EC1" w:rsidP="00ED76AB">
            <w:pPr>
              <w:spacing w:before="0" w:after="0"/>
              <w:rPr>
                <w:sz w:val="17"/>
                <w:szCs w:val="17"/>
              </w:rPr>
            </w:pPr>
            <w:r w:rsidRPr="00B357F4">
              <w:rPr>
                <w:sz w:val="17"/>
                <w:szCs w:val="17"/>
              </w:rPr>
              <w:t>Nova godišnja ušteda – FZOEU [PJ]</w:t>
            </w:r>
          </w:p>
        </w:tc>
        <w:tc>
          <w:tcPr>
            <w:tcW w:w="732" w:type="dxa"/>
          </w:tcPr>
          <w:p w14:paraId="67E6F43C" w14:textId="72E10D60"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22349DA8" w14:textId="36EC9E51" w:rsidR="00EB0EC1" w:rsidRPr="00B357F4" w:rsidRDefault="00B634F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0,0879</w:t>
            </w:r>
          </w:p>
        </w:tc>
        <w:tc>
          <w:tcPr>
            <w:tcW w:w="742" w:type="dxa"/>
          </w:tcPr>
          <w:p w14:paraId="5790F32C" w14:textId="2E824FEF" w:rsidR="00EB0EC1" w:rsidRPr="00B357F4" w:rsidRDefault="00B634F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0,0234</w:t>
            </w:r>
          </w:p>
        </w:tc>
        <w:tc>
          <w:tcPr>
            <w:tcW w:w="732" w:type="dxa"/>
          </w:tcPr>
          <w:p w14:paraId="6ECDC136" w14:textId="1ABA98E2" w:rsidR="00EB0EC1" w:rsidRPr="00B357F4" w:rsidRDefault="00B634F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0,040</w:t>
            </w:r>
            <w:r w:rsidR="00553F86">
              <w:rPr>
                <w:sz w:val="17"/>
                <w:szCs w:val="17"/>
              </w:rPr>
              <w:t>6</w:t>
            </w:r>
          </w:p>
        </w:tc>
        <w:tc>
          <w:tcPr>
            <w:tcW w:w="732" w:type="dxa"/>
          </w:tcPr>
          <w:p w14:paraId="667A39D6" w14:textId="3ECB0E5E"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7A09C571" w14:textId="2FC9AB0C"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C76F53">
              <w:rPr>
                <w:sz w:val="17"/>
                <w:szCs w:val="17"/>
              </w:rPr>
              <w:t>,0001</w:t>
            </w:r>
          </w:p>
        </w:tc>
        <w:tc>
          <w:tcPr>
            <w:tcW w:w="740" w:type="dxa"/>
          </w:tcPr>
          <w:p w14:paraId="63E8862C" w14:textId="4773DA2F"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AB2C33">
              <w:rPr>
                <w:sz w:val="17"/>
                <w:szCs w:val="17"/>
              </w:rPr>
              <w:t>,0009</w:t>
            </w:r>
          </w:p>
        </w:tc>
      </w:tr>
      <w:tr w:rsidR="00E923F7" w:rsidRPr="00B357F4" w14:paraId="796C2F40"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2D44DFAD" w14:textId="77777777" w:rsidR="00E923F7" w:rsidRPr="00B357F4" w:rsidRDefault="00E923F7" w:rsidP="00E923F7">
            <w:pPr>
              <w:spacing w:before="0" w:after="0"/>
              <w:rPr>
                <w:sz w:val="17"/>
                <w:szCs w:val="17"/>
              </w:rPr>
            </w:pPr>
            <w:r w:rsidRPr="00B357F4">
              <w:rPr>
                <w:sz w:val="17"/>
                <w:szCs w:val="17"/>
              </w:rPr>
              <w:t>Ukupne godišnje ušteda u 2020. [PJ]</w:t>
            </w:r>
          </w:p>
        </w:tc>
        <w:tc>
          <w:tcPr>
            <w:tcW w:w="5142" w:type="dxa"/>
            <w:gridSpan w:val="7"/>
          </w:tcPr>
          <w:p w14:paraId="4645A8DE" w14:textId="0387D725" w:rsidR="00E923F7" w:rsidRPr="00B357F4" w:rsidRDefault="00C5689E" w:rsidP="00E923F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973F58">
              <w:rPr>
                <w:sz w:val="17"/>
                <w:szCs w:val="17"/>
              </w:rPr>
              <w:t>8646</w:t>
            </w:r>
          </w:p>
        </w:tc>
      </w:tr>
      <w:tr w:rsidR="00E923F7" w:rsidRPr="00B357F4" w14:paraId="48B603E5"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0104DDD1" w14:textId="77777777" w:rsidR="00E923F7" w:rsidRPr="00B357F4" w:rsidRDefault="00E923F7" w:rsidP="00E923F7">
            <w:pPr>
              <w:spacing w:before="0" w:after="0"/>
              <w:rPr>
                <w:sz w:val="17"/>
                <w:szCs w:val="17"/>
              </w:rPr>
            </w:pPr>
            <w:r w:rsidRPr="00B357F4">
              <w:rPr>
                <w:sz w:val="17"/>
                <w:szCs w:val="17"/>
              </w:rPr>
              <w:t>Kumulativne uštede 2014.-2020. [PJ]</w:t>
            </w:r>
          </w:p>
        </w:tc>
        <w:tc>
          <w:tcPr>
            <w:tcW w:w="5142" w:type="dxa"/>
            <w:gridSpan w:val="7"/>
          </w:tcPr>
          <w:p w14:paraId="32BE46FC" w14:textId="1C78F44A" w:rsidR="00E923F7" w:rsidRPr="00B357F4" w:rsidRDefault="00B66165" w:rsidP="00E923F7">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b/>
                <w:sz w:val="17"/>
                <w:szCs w:val="17"/>
              </w:rPr>
              <w:t>2</w:t>
            </w:r>
            <w:r w:rsidR="00E923F7" w:rsidRPr="00B357F4">
              <w:rPr>
                <w:b/>
                <w:sz w:val="17"/>
                <w:szCs w:val="17"/>
              </w:rPr>
              <w:t>,</w:t>
            </w:r>
            <w:r w:rsidR="00376DA2">
              <w:rPr>
                <w:b/>
                <w:sz w:val="17"/>
                <w:szCs w:val="17"/>
              </w:rPr>
              <w:t>5895</w:t>
            </w:r>
          </w:p>
        </w:tc>
      </w:tr>
    </w:tbl>
    <w:p w14:paraId="61813379" w14:textId="3082B251" w:rsidR="00C054B6" w:rsidRPr="00B357F4" w:rsidRDefault="00C054B6" w:rsidP="00C054B6">
      <w:pPr>
        <w:spacing w:before="0"/>
        <w:rPr>
          <w:i/>
          <w:sz w:val="18"/>
          <w:szCs w:val="22"/>
        </w:rPr>
      </w:pPr>
      <w:r w:rsidRPr="00B357F4">
        <w:rPr>
          <w:i/>
          <w:sz w:val="18"/>
          <w:szCs w:val="22"/>
        </w:rPr>
        <w:t xml:space="preserve">* Napomena: Prikazani brojevi predstavljaju preliminarni rezultat analize podataka iz SMiV-a. Konačni rezultati bit će dostupni u godišnjem izvješću 2022. godine. </w:t>
      </w:r>
    </w:p>
    <w:p w14:paraId="34A08186" w14:textId="66DA62B9" w:rsidR="00C054B6" w:rsidRPr="00B357F4" w:rsidRDefault="2EA60AD1" w:rsidP="00C054B6">
      <w:r w:rsidRPr="00B357F4">
        <w:t>P</w:t>
      </w:r>
      <w:r w:rsidR="62B5B72E" w:rsidRPr="00B357F4">
        <w:t xml:space="preserve">rema 4. NAPEnU </w:t>
      </w:r>
      <w:r w:rsidR="006400BD" w:rsidRPr="00B357F4">
        <w:t xml:space="preserve">predviđena </w:t>
      </w:r>
      <w:r w:rsidR="62B5B72E" w:rsidRPr="00B357F4">
        <w:t>kumulativn</w:t>
      </w:r>
      <w:r w:rsidR="006400BD" w:rsidRPr="00B357F4">
        <w:t>a</w:t>
      </w:r>
      <w:r w:rsidR="62B5B72E" w:rsidRPr="00B357F4" w:rsidDel="006400BD">
        <w:t xml:space="preserve"> </w:t>
      </w:r>
      <w:r w:rsidR="006400BD" w:rsidRPr="00B357F4">
        <w:t xml:space="preserve">ušteda 2020. godine </w:t>
      </w:r>
      <w:r w:rsidR="00836385">
        <w:t>iznosila je</w:t>
      </w:r>
      <w:r w:rsidR="62B5B72E" w:rsidRPr="003020E6">
        <w:t xml:space="preserve"> </w:t>
      </w:r>
      <w:r w:rsidR="20F8B20D" w:rsidRPr="003020E6">
        <w:t>2</w:t>
      </w:r>
      <w:r w:rsidR="62B5B72E" w:rsidRPr="006734C7">
        <w:t>,</w:t>
      </w:r>
      <w:r w:rsidR="3C1B635D" w:rsidRPr="00B03C9B">
        <w:t>77</w:t>
      </w:r>
      <w:r w:rsidR="62B5B72E" w:rsidRPr="00B03C9B">
        <w:t>00 PJ</w:t>
      </w:r>
      <w:r w:rsidR="006400BD" w:rsidRPr="00971F9E">
        <w:t>,</w:t>
      </w:r>
      <w:r w:rsidR="62B5B72E" w:rsidRPr="00B357F4">
        <w:t xml:space="preserve"> te je iz gornje tablice vidljivo da je ostvareno oko </w:t>
      </w:r>
      <w:r w:rsidR="00AE1711">
        <w:t>93</w:t>
      </w:r>
      <w:r w:rsidR="62B5B72E" w:rsidRPr="00B357F4">
        <w:t xml:space="preserve">% ovoga cilja. </w:t>
      </w:r>
      <w:r w:rsidR="726ED0EA" w:rsidRPr="00B357F4">
        <w:t xml:space="preserve">Pri tome, </w:t>
      </w:r>
      <w:r w:rsidR="002A23FB" w:rsidRPr="00B357F4">
        <w:t>3</w:t>
      </w:r>
      <w:r w:rsidR="002A23FB">
        <w:t>6</w:t>
      </w:r>
      <w:r w:rsidR="726ED0EA" w:rsidRPr="00B357F4">
        <w:t xml:space="preserve">% </w:t>
      </w:r>
      <w:r w:rsidR="2AF41AFD" w:rsidRPr="00B357F4">
        <w:t>ostvarenih kumulativnih ušt</w:t>
      </w:r>
      <w:r w:rsidR="1E9FE7AC" w:rsidRPr="00B357F4">
        <w:t xml:space="preserve">eda proizlazi iz projekata </w:t>
      </w:r>
      <w:r w:rsidR="29F3EE72" w:rsidRPr="00B357F4">
        <w:t xml:space="preserve">provedenih ESCO modelom, </w:t>
      </w:r>
      <w:r w:rsidR="001C4B41">
        <w:t>30</w:t>
      </w:r>
      <w:r w:rsidR="1A873920" w:rsidRPr="00B357F4">
        <w:t>% iz projekata sufinanciranih iz OPKK, a 34%</w:t>
      </w:r>
      <w:r w:rsidR="5B3F58E3" w:rsidRPr="00B357F4">
        <w:t xml:space="preserve"> iz projekata sufinanciranih </w:t>
      </w:r>
      <w:r w:rsidR="2EC8B47A" w:rsidRPr="00B357F4">
        <w:t xml:space="preserve">od strane FZOEU-a. </w:t>
      </w:r>
      <w:r w:rsidR="34F839A4" w:rsidRPr="00B357F4">
        <w:t xml:space="preserve">Ovakva raspodjela </w:t>
      </w:r>
      <w:r w:rsidR="6DBC24F9" w:rsidRPr="00B357F4">
        <w:t>je razumljiva, s obzirom da su projekt</w:t>
      </w:r>
      <w:r w:rsidR="6B6C447F" w:rsidRPr="00B357F4">
        <w:t xml:space="preserve">i provedeni ESCO modelom i sufinancirani od FZOEU-a provedeni ranije, stoga je njihov kumulativni učinak veći. Gledajući </w:t>
      </w:r>
      <w:r w:rsidR="0E526A1B" w:rsidRPr="00B357F4">
        <w:t>ostvarene nove godišnje uštede,</w:t>
      </w:r>
      <w:r w:rsidR="66DF7408" w:rsidRPr="00B357F4">
        <w:t xml:space="preserve"> </w:t>
      </w:r>
      <w:r w:rsidR="0BA4B369" w:rsidRPr="00B357F4">
        <w:t xml:space="preserve">najveći učinak odnosno udio u uštedama imaju projekti sufinancirani </w:t>
      </w:r>
      <w:r w:rsidR="303FCEF4" w:rsidRPr="00B357F4">
        <w:t xml:space="preserve">iz OPKK s </w:t>
      </w:r>
      <w:r w:rsidR="00C64D3C">
        <w:t>56</w:t>
      </w:r>
      <w:r w:rsidR="31F679B7" w:rsidRPr="00B357F4">
        <w:t>%</w:t>
      </w:r>
      <w:r w:rsidR="6E783E7A" w:rsidRPr="00B357F4">
        <w:t xml:space="preserve">, potom ESCO projekti s </w:t>
      </w:r>
      <w:r w:rsidR="00B133D5">
        <w:t>2</w:t>
      </w:r>
      <w:r w:rsidR="007972BD">
        <w:t>6</w:t>
      </w:r>
      <w:r w:rsidR="4855F116" w:rsidRPr="00B357F4">
        <w:t>%</w:t>
      </w:r>
      <w:r w:rsidR="3E57C1EB" w:rsidRPr="00B357F4">
        <w:t xml:space="preserve">,a onda projekti sufinancirani od strane FZOEU-a </w:t>
      </w:r>
      <w:r w:rsidR="5384E8C8" w:rsidRPr="00B357F4">
        <w:t xml:space="preserve">s </w:t>
      </w:r>
      <w:r w:rsidR="005C66D8">
        <w:t>1</w:t>
      </w:r>
      <w:r w:rsidR="007972BD">
        <w:t>8</w:t>
      </w:r>
      <w:r w:rsidR="5384E8C8" w:rsidRPr="00B357F4">
        <w:t>%. Ovi podatci nam puno više govore</w:t>
      </w:r>
      <w:r w:rsidR="388F8E17" w:rsidRPr="00B357F4">
        <w:t xml:space="preserve">: 1) </w:t>
      </w:r>
      <w:r w:rsidR="70D1AED0" w:rsidRPr="00B357F4">
        <w:t xml:space="preserve">iz OPKK su uložena velika sredstva u </w:t>
      </w:r>
      <w:r w:rsidR="4595BA2D" w:rsidRPr="00B357F4">
        <w:t>oko 800 projekata energetske obnove</w:t>
      </w:r>
      <w:r w:rsidR="0896A58B" w:rsidRPr="00B357F4">
        <w:t xml:space="preserve">, od kojih je većina morala </w:t>
      </w:r>
      <w:r w:rsidR="2AEC67FA" w:rsidRPr="00B357F4">
        <w:t>ispuniti</w:t>
      </w:r>
      <w:r w:rsidR="0896A58B" w:rsidRPr="00B357F4">
        <w:t xml:space="preserve"> uvjet od 50% </w:t>
      </w:r>
      <w:r w:rsidR="6327B21E" w:rsidRPr="00B357F4">
        <w:t>uštede u</w:t>
      </w:r>
      <w:r w:rsidR="0896A58B" w:rsidRPr="00B357F4">
        <w:t xml:space="preserve"> </w:t>
      </w:r>
      <w:r w:rsidR="56DBBC94" w:rsidRPr="00B357F4">
        <w:t>Q</w:t>
      </w:r>
      <w:r w:rsidR="56DBBC94" w:rsidRPr="00B357F4">
        <w:rPr>
          <w:vertAlign w:val="subscript"/>
        </w:rPr>
        <w:t>H,nd</w:t>
      </w:r>
      <w:r w:rsidR="1258E061" w:rsidRPr="00B357F4">
        <w:t xml:space="preserve"> </w:t>
      </w:r>
      <w:r w:rsidR="645966DA" w:rsidRPr="00B357F4">
        <w:t xml:space="preserve">nakon provedene energetske obnove u </w:t>
      </w:r>
      <w:r w:rsidR="7EB9B273" w:rsidRPr="00B357F4">
        <w:t>odnosu</w:t>
      </w:r>
      <w:r w:rsidR="645966DA" w:rsidRPr="00B357F4">
        <w:t xml:space="preserve"> na stanje prije obnove </w:t>
      </w:r>
      <w:r w:rsidR="1258E061" w:rsidRPr="00B357F4">
        <w:t xml:space="preserve">te su postignute i značajne nove godišnje uštede; 2) s druge strane, po ESCO modelu obnovljeno je 69 zgrada na </w:t>
      </w:r>
      <w:r w:rsidR="0097C676" w:rsidRPr="00B357F4">
        <w:t xml:space="preserve">12 lokacija te su uštede iz tog relativno malog broja projekata </w:t>
      </w:r>
      <w:r w:rsidR="75823043" w:rsidRPr="00B357F4">
        <w:t>usporedive s ostalima i 3) najmanje nove godišnje uštede očekivano su ostvarene iz provedb</w:t>
      </w:r>
      <w:r w:rsidR="56BAA712" w:rsidRPr="00B357F4">
        <w:t>e</w:t>
      </w:r>
      <w:r w:rsidR="0AC7C224" w:rsidRPr="00B357F4">
        <w:t xml:space="preserve"> projekata u kojima je bila omogućena provedba pojedinačnih mjera. </w:t>
      </w:r>
    </w:p>
    <w:p w14:paraId="21A7CF8D" w14:textId="77777777" w:rsidR="008950AB" w:rsidRPr="00B357F4" w:rsidRDefault="008950AB" w:rsidP="00C054B6"/>
    <w:p w14:paraId="24F3510D" w14:textId="77777777" w:rsidR="00C054B6" w:rsidRPr="00B357F4" w:rsidRDefault="00C054B6" w:rsidP="006A2AD5"/>
    <w:p w14:paraId="139D7B33" w14:textId="71E373CB" w:rsidR="00AF018F" w:rsidRPr="00B357F4" w:rsidRDefault="5C405F24" w:rsidP="004B09BD">
      <w:pPr>
        <w:pStyle w:val="Naslov10"/>
      </w:pPr>
      <w:bookmarkStart w:id="65" w:name="_Toc94769979"/>
      <w:r w:rsidRPr="00B357F4">
        <w:lastRenderedPageBreak/>
        <w:t>Usklađivanje sa strateškim planovima</w:t>
      </w:r>
      <w:bookmarkEnd w:id="65"/>
    </w:p>
    <w:p w14:paraId="1FFB14F6" w14:textId="3B0ED53F" w:rsidR="00D07BE4" w:rsidRPr="00B357F4" w:rsidRDefault="6112CB09" w:rsidP="00AF018F">
      <w:pPr>
        <w:pStyle w:val="Naslov20"/>
      </w:pPr>
      <w:bookmarkStart w:id="66" w:name="_Toc94769980"/>
      <w:r w:rsidRPr="00B357F4">
        <w:t xml:space="preserve">Opis </w:t>
      </w:r>
      <w:r w:rsidR="00EA6CFC" w:rsidRPr="00B357F4">
        <w:t>srednjoročnih</w:t>
      </w:r>
      <w:r w:rsidRPr="00B357F4">
        <w:t xml:space="preserve"> razvojnih potreba i razvojnih potencijala</w:t>
      </w:r>
      <w:bookmarkEnd w:id="66"/>
    </w:p>
    <w:p w14:paraId="642470C6" w14:textId="3391E4D9" w:rsidR="00B840F6" w:rsidRPr="00B357F4" w:rsidRDefault="7CE6BC12" w:rsidP="2A9591B5">
      <w:pPr>
        <w:rPr>
          <w:rFonts w:cs="Tahoma"/>
          <w:lang w:eastAsia="hr-HR"/>
        </w:rPr>
      </w:pPr>
      <w:r w:rsidRPr="00B357F4">
        <w:rPr>
          <w:rFonts w:cs="Tahoma"/>
          <w:lang w:eastAsia="hr-HR"/>
        </w:rPr>
        <w:t xml:space="preserve">Kako je prikazano u poglavlju 2., energetska obnova zgrada odnosno energetska  učinkovitost  i cjelokupna dekarbonizacija zgrada prepoznata je kao ključna mjera  za  postizanje  ukupnih  nacionalnih  ciljeva  uštede  energije  i  smanjenja  emisija  ugljičnog  dioksida. </w:t>
      </w:r>
      <w:r w:rsidR="001C52AA">
        <w:rPr>
          <w:rFonts w:cs="Tahoma"/>
          <w:lang w:eastAsia="hr-HR"/>
        </w:rPr>
        <w:t xml:space="preserve">Uzimajući u obzir da </w:t>
      </w:r>
      <w:r w:rsidR="49814765" w:rsidRPr="00B357F4">
        <w:rPr>
          <w:rFonts w:cs="Tahoma"/>
          <w:lang w:eastAsia="hr-HR"/>
        </w:rPr>
        <w:t>ZJS</w:t>
      </w:r>
      <w:r w:rsidRPr="00B357F4">
        <w:rPr>
          <w:rFonts w:cs="Tahoma"/>
          <w:lang w:eastAsia="hr-HR"/>
        </w:rPr>
        <w:t xml:space="preserve"> predstavljaju</w:t>
      </w:r>
      <w:r w:rsidR="579BD830" w:rsidRPr="00B357F4">
        <w:rPr>
          <w:rFonts w:cs="Tahoma"/>
          <w:lang w:eastAsia="hr-HR"/>
        </w:rPr>
        <w:t xml:space="preserve"> 27,4</w:t>
      </w:r>
      <w:r w:rsidRPr="00B357F4">
        <w:rPr>
          <w:rFonts w:cs="Tahoma"/>
          <w:lang w:eastAsia="hr-HR"/>
        </w:rPr>
        <w:t xml:space="preserve">% </w:t>
      </w:r>
      <w:r w:rsidR="3FCA3978" w:rsidRPr="00B357F4">
        <w:rPr>
          <w:rFonts w:cs="Tahoma"/>
          <w:lang w:eastAsia="hr-HR"/>
        </w:rPr>
        <w:t>ne</w:t>
      </w:r>
      <w:r w:rsidRPr="00B357F4">
        <w:rPr>
          <w:rFonts w:cs="Tahoma"/>
          <w:lang w:eastAsia="hr-HR"/>
        </w:rPr>
        <w:t xml:space="preserve">stambenog fonda u RH odnosno </w:t>
      </w:r>
      <w:r w:rsidR="5E379DE2" w:rsidRPr="00B357F4">
        <w:rPr>
          <w:rFonts w:cs="Tahoma"/>
          <w:lang w:eastAsia="hr-HR"/>
        </w:rPr>
        <w:t xml:space="preserve">svega </w:t>
      </w:r>
      <w:r w:rsidR="4F550412" w:rsidRPr="00B357F4">
        <w:rPr>
          <w:rFonts w:cs="Tahoma"/>
          <w:lang w:eastAsia="hr-HR"/>
        </w:rPr>
        <w:t>9,5</w:t>
      </w:r>
      <w:r w:rsidRPr="00B357F4">
        <w:rPr>
          <w:rFonts w:cs="Tahoma"/>
          <w:lang w:eastAsia="hr-HR"/>
        </w:rPr>
        <w:t xml:space="preserve">% ukupnog fonda zgrada u </w:t>
      </w:r>
      <w:r w:rsidR="7D997A15" w:rsidRPr="00B357F4">
        <w:rPr>
          <w:rFonts w:cs="Tahoma"/>
          <w:lang w:eastAsia="hr-HR"/>
        </w:rPr>
        <w:t xml:space="preserve">Hrvatskoj </w:t>
      </w:r>
      <w:r w:rsidRPr="00B357F4">
        <w:rPr>
          <w:rFonts w:cs="Tahoma"/>
          <w:lang w:eastAsia="hr-HR"/>
        </w:rPr>
        <w:t>(prema ukupnoj ploštini korisne površine</w:t>
      </w:r>
      <w:r w:rsidR="27052481" w:rsidRPr="00B357F4">
        <w:rPr>
          <w:rFonts w:cs="Tahoma"/>
          <w:lang w:eastAsia="hr-HR"/>
        </w:rPr>
        <w:t xml:space="preserve"> grijanog dijela zgrade</w:t>
      </w:r>
      <w:r w:rsidRPr="00B357F4">
        <w:rPr>
          <w:rFonts w:cs="Tahoma"/>
          <w:lang w:eastAsia="hr-HR"/>
        </w:rPr>
        <w:t xml:space="preserve">) odnosno </w:t>
      </w:r>
      <w:r w:rsidR="2D504033" w:rsidRPr="00B357F4">
        <w:rPr>
          <w:rFonts w:cs="Tahoma"/>
          <w:lang w:eastAsia="hr-HR"/>
        </w:rPr>
        <w:t xml:space="preserve">svega </w:t>
      </w:r>
      <w:r w:rsidRPr="00B357F4">
        <w:rPr>
          <w:rFonts w:cs="Tahoma"/>
          <w:lang w:eastAsia="hr-HR"/>
        </w:rPr>
        <w:t xml:space="preserve">oko </w:t>
      </w:r>
      <w:r w:rsidR="502D86F4" w:rsidRPr="00B357F4">
        <w:rPr>
          <w:rFonts w:cs="Tahoma"/>
          <w:lang w:eastAsia="hr-HR"/>
        </w:rPr>
        <w:t>7,7</w:t>
      </w:r>
      <w:r w:rsidRPr="00B357F4">
        <w:rPr>
          <w:rFonts w:cs="Tahoma"/>
          <w:lang w:eastAsia="hr-HR"/>
        </w:rPr>
        <w:t xml:space="preserve">% ukupnog fonda zgrada u </w:t>
      </w:r>
      <w:r w:rsidR="7F9CB5DF" w:rsidRPr="00B357F4">
        <w:rPr>
          <w:rFonts w:cs="Tahoma"/>
          <w:lang w:eastAsia="hr-HR"/>
        </w:rPr>
        <w:t>Hrvatskoj</w:t>
      </w:r>
      <w:r w:rsidR="00760C3F">
        <w:rPr>
          <w:rFonts w:cs="Tahoma"/>
          <w:lang w:eastAsia="hr-HR"/>
        </w:rPr>
        <w:t xml:space="preserve"> </w:t>
      </w:r>
      <w:r w:rsidR="00B840F6" w:rsidRPr="00B357F4" w:rsidDel="7CE6BC12">
        <w:rPr>
          <w:rFonts w:cs="Tahoma"/>
          <w:lang w:eastAsia="hr-HR"/>
        </w:rPr>
        <w:t>prema ukupnoj bruto površini zgrada)</w:t>
      </w:r>
      <w:r w:rsidR="00B840F6" w:rsidRPr="003020E6">
        <w:rPr>
          <w:rStyle w:val="Referencafusnote"/>
          <w:rFonts w:eastAsiaTheme="majorEastAsia"/>
        </w:rPr>
        <w:footnoteReference w:id="9"/>
      </w:r>
      <w:r w:rsidR="7FFADBAD" w:rsidRPr="003020E6">
        <w:rPr>
          <w:rFonts w:cs="Tahoma"/>
          <w:lang w:eastAsia="hr-HR"/>
        </w:rPr>
        <w:t xml:space="preserve"> njihov</w:t>
      </w:r>
      <w:r w:rsidRPr="006734C7">
        <w:rPr>
          <w:rFonts w:cs="Tahoma"/>
          <w:lang w:eastAsia="hr-HR"/>
        </w:rPr>
        <w:t xml:space="preserve"> značaj i učinak poboljšanja EnU i </w:t>
      </w:r>
      <w:r w:rsidR="004F5A29" w:rsidRPr="005C396B">
        <w:rPr>
          <w:rFonts w:cs="Tahoma"/>
          <w:lang w:eastAsia="hr-HR"/>
        </w:rPr>
        <w:t>dekarbonizacije</w:t>
      </w:r>
      <w:r w:rsidRPr="006734C7">
        <w:rPr>
          <w:rFonts w:cs="Tahoma"/>
          <w:lang w:eastAsia="hr-HR"/>
        </w:rPr>
        <w:t xml:space="preserve"> </w:t>
      </w:r>
      <w:r w:rsidR="4F232984" w:rsidRPr="006734C7">
        <w:rPr>
          <w:rFonts w:cs="Tahoma"/>
          <w:lang w:eastAsia="hr-HR"/>
        </w:rPr>
        <w:t>ZJS</w:t>
      </w:r>
      <w:r w:rsidRPr="006734C7">
        <w:rPr>
          <w:rFonts w:cs="Tahoma"/>
          <w:lang w:eastAsia="hr-HR"/>
        </w:rPr>
        <w:t xml:space="preserve"> na postizanje sveukupnih nacionalnih ciljeva je nepobitan</w:t>
      </w:r>
      <w:r w:rsidR="00836385">
        <w:rPr>
          <w:rFonts w:cs="Tahoma"/>
          <w:lang w:eastAsia="hr-HR"/>
        </w:rPr>
        <w:t>.</w:t>
      </w:r>
      <w:r w:rsidR="7575BBB1" w:rsidRPr="006734C7">
        <w:rPr>
          <w:rFonts w:cs="Tahoma"/>
          <w:lang w:eastAsia="hr-HR"/>
        </w:rPr>
        <w:t xml:space="preserve"> </w:t>
      </w:r>
      <w:r w:rsidRPr="00B357F4">
        <w:rPr>
          <w:rFonts w:cs="Tahoma"/>
          <w:lang w:eastAsia="hr-HR"/>
        </w:rPr>
        <w:t xml:space="preserve">Ujedno, ove zgrade često imaju i loša konstrukcijska svojstva pa će za dobar dio njih biti potrebna i sveobuhvatna obnova.  Naime, samo zgrade koje su izgrađene iza 2012. godine </w:t>
      </w:r>
      <w:r w:rsidR="192D846D" w:rsidRPr="00B357F4">
        <w:rPr>
          <w:rFonts w:cs="Tahoma"/>
          <w:lang w:eastAsia="hr-HR"/>
        </w:rPr>
        <w:t>ispunjavaju važeće propisane zahtjeve potresne otpornosti zgrade</w:t>
      </w:r>
      <w:r w:rsidRPr="00B357F4">
        <w:rPr>
          <w:rFonts w:cs="Tahoma"/>
          <w:lang w:eastAsia="hr-HR"/>
        </w:rPr>
        <w:t>, dok je najveći dio ranije građenih zgrada znatno ugrožen, posebice one izgrađene prije 196</w:t>
      </w:r>
      <w:r w:rsidR="1F941AD1" w:rsidRPr="00B357F4">
        <w:rPr>
          <w:rFonts w:cs="Tahoma"/>
          <w:lang w:eastAsia="hr-HR"/>
        </w:rPr>
        <w:t>5</w:t>
      </w:r>
      <w:r w:rsidRPr="00B357F4">
        <w:rPr>
          <w:rFonts w:cs="Tahoma"/>
          <w:lang w:eastAsia="hr-HR"/>
        </w:rPr>
        <w:t xml:space="preserve">. godine, kako je ranije i objašnjeno. </w:t>
      </w:r>
    </w:p>
    <w:p w14:paraId="650740C8" w14:textId="05C8AA90" w:rsidR="00B840F6" w:rsidRPr="00B357F4" w:rsidRDefault="7CE6BC12" w:rsidP="2A9591B5">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rFonts w:cs="Tahoma"/>
          <w:b/>
        </w:rPr>
      </w:pPr>
      <w:r w:rsidRPr="00B357F4">
        <w:rPr>
          <w:rFonts w:cs="Tahoma"/>
          <w:b/>
        </w:rPr>
        <w:t xml:space="preserve">Prema analizama koje su napravljene u Dugoročnoj strategiji obnove </w:t>
      </w:r>
      <w:r w:rsidR="00B435A7">
        <w:rPr>
          <w:rFonts w:cs="Tahoma"/>
          <w:b/>
        </w:rPr>
        <w:t>nacionalnog</w:t>
      </w:r>
      <w:r w:rsidRPr="00B357F4">
        <w:rPr>
          <w:rFonts w:cs="Tahoma"/>
          <w:b/>
        </w:rPr>
        <w:t xml:space="preserve"> fonda zgrada RH </w:t>
      </w:r>
      <w:r w:rsidR="00B435A7">
        <w:rPr>
          <w:rFonts w:cs="Tahoma"/>
          <w:b/>
        </w:rPr>
        <w:t>do</w:t>
      </w:r>
      <w:r w:rsidR="00B435A7" w:rsidRPr="00B357F4">
        <w:rPr>
          <w:rFonts w:cs="Tahoma"/>
          <w:b/>
        </w:rPr>
        <w:t xml:space="preserve"> </w:t>
      </w:r>
      <w:r w:rsidRPr="00B357F4">
        <w:rPr>
          <w:rFonts w:cs="Tahoma"/>
          <w:b/>
        </w:rPr>
        <w:t>2050. godine, pr</w:t>
      </w:r>
      <w:r w:rsidRPr="00B357F4">
        <w:rPr>
          <w:rFonts w:cs="Tahoma"/>
          <w:b/>
          <w:szCs w:val="20"/>
        </w:rPr>
        <w:t xml:space="preserve">edviđa se da će čak 50% </w:t>
      </w:r>
      <w:r w:rsidR="3D074079" w:rsidRPr="00B357F4">
        <w:rPr>
          <w:rFonts w:cs="Tahoma"/>
          <w:b/>
          <w:bCs/>
          <w:szCs w:val="20"/>
        </w:rPr>
        <w:t>ZJS</w:t>
      </w:r>
      <w:r w:rsidRPr="00B357F4">
        <w:rPr>
          <w:rFonts w:cs="Tahoma"/>
          <w:b/>
          <w:szCs w:val="20"/>
        </w:rPr>
        <w:t xml:space="preserve"> morati ići na sveobuhvatnu obnovu (koja uključuje mjere </w:t>
      </w:r>
      <w:r w:rsidR="40FB7C80" w:rsidRPr="00B357F4">
        <w:rPr>
          <w:rFonts w:cs="Tahoma"/>
          <w:b/>
          <w:bCs/>
          <w:szCs w:val="20"/>
        </w:rPr>
        <w:t>povećanja</w:t>
      </w:r>
      <w:r w:rsidR="40FB7C80" w:rsidRPr="00B357F4">
        <w:rPr>
          <w:rFonts w:cs="Tahoma"/>
          <w:b/>
          <w:szCs w:val="20"/>
        </w:rPr>
        <w:t xml:space="preserve"> potresne otpornosti zgrade</w:t>
      </w:r>
      <w:r w:rsidRPr="00B357F4">
        <w:rPr>
          <w:rFonts w:cs="Tahoma"/>
          <w:b/>
          <w:szCs w:val="20"/>
        </w:rPr>
        <w:t>), a da će ostalih 50% provesti samo neku od</w:t>
      </w:r>
      <w:r w:rsidRPr="00B357F4">
        <w:rPr>
          <w:rFonts w:cs="Tahoma"/>
          <w:b/>
        </w:rPr>
        <w:t xml:space="preserve"> razina energetske obnove. </w:t>
      </w:r>
    </w:p>
    <w:p w14:paraId="1B247BE1" w14:textId="77777777" w:rsidR="005D09DF" w:rsidRPr="00B357F4" w:rsidRDefault="00B840F6" w:rsidP="00572A01">
      <w:pPr>
        <w:rPr>
          <w:rFonts w:cs="Tahoma"/>
          <w:szCs w:val="20"/>
        </w:rPr>
      </w:pPr>
      <w:r w:rsidRPr="00B357F4">
        <w:rPr>
          <w:rFonts w:cs="Tahoma"/>
          <w:szCs w:val="20"/>
        </w:rPr>
        <w:t xml:space="preserve">Kako bi se zorno prikazale mogućnosti, ali i izazovi koji se očekuju tijekom provedbe ovog Programa, izrađena je SWOT analiza Programa. Pri tome snage i slabosti predstavljaju analizu karakteristika ovog Programa, dok prilike i prijetnje daju analizu okruženja, na kojega se odredbama ovoga Programa ne može utjecati.  </w:t>
      </w:r>
    </w:p>
    <w:tbl>
      <w:tblPr>
        <w:tblStyle w:val="Tablicareetke210"/>
        <w:tblW w:w="5000" w:type="pct"/>
        <w:tblLook w:val="04A0" w:firstRow="1" w:lastRow="0" w:firstColumn="1" w:lastColumn="0" w:noHBand="0" w:noVBand="1"/>
      </w:tblPr>
      <w:tblGrid>
        <w:gridCol w:w="5029"/>
        <w:gridCol w:w="4325"/>
      </w:tblGrid>
      <w:tr w:rsidR="005D09DF" w:rsidRPr="00B357F4" w14:paraId="430EA5B3" w14:textId="77777777" w:rsidTr="7AEFC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45B0654" w14:textId="56827D15" w:rsidR="005D09DF" w:rsidRPr="00B357F4" w:rsidRDefault="005D09DF" w:rsidP="00A85F83">
            <w:pPr>
              <w:spacing w:before="0" w:after="0"/>
              <w:jc w:val="center"/>
            </w:pPr>
            <w:r w:rsidRPr="00B357F4">
              <w:t>SWOT ANALIZA PROGRAMA OBNOVE ZJS</w:t>
            </w:r>
          </w:p>
        </w:tc>
      </w:tr>
      <w:tr w:rsidR="005D09DF" w:rsidRPr="00B357F4" w14:paraId="1D651F40" w14:textId="77777777" w:rsidTr="7AEFC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23F78E0F" w14:textId="77777777" w:rsidR="005D09DF" w:rsidRPr="00B357F4" w:rsidRDefault="005D09DF" w:rsidP="00A85F83">
            <w:pPr>
              <w:spacing w:before="0" w:after="0"/>
            </w:pPr>
            <w:r w:rsidRPr="00B357F4">
              <w:t>Snage</w:t>
            </w:r>
          </w:p>
        </w:tc>
        <w:tc>
          <w:tcPr>
            <w:tcW w:w="2312" w:type="pct"/>
          </w:tcPr>
          <w:p w14:paraId="6B119A9B" w14:textId="77777777" w:rsidR="005D09DF" w:rsidRPr="00B357F4" w:rsidRDefault="005D09DF" w:rsidP="00A85F83">
            <w:pPr>
              <w:spacing w:before="0" w:after="0"/>
              <w:cnfStyle w:val="000000100000" w:firstRow="0" w:lastRow="0" w:firstColumn="0" w:lastColumn="0" w:oddVBand="0" w:evenVBand="0" w:oddHBand="1" w:evenHBand="0" w:firstRowFirstColumn="0" w:firstRowLastColumn="0" w:lastRowFirstColumn="0" w:lastRowLastColumn="0"/>
              <w:rPr>
                <w:b/>
              </w:rPr>
            </w:pPr>
            <w:r w:rsidRPr="00B357F4">
              <w:rPr>
                <w:b/>
              </w:rPr>
              <w:t>Slabost</w:t>
            </w:r>
          </w:p>
        </w:tc>
      </w:tr>
      <w:tr w:rsidR="005D09DF" w:rsidRPr="00B357F4" w14:paraId="4433F086" w14:textId="77777777" w:rsidTr="7AEFCEA8">
        <w:tc>
          <w:tcPr>
            <w:cnfStyle w:val="001000000000" w:firstRow="0" w:lastRow="0" w:firstColumn="1" w:lastColumn="0" w:oddVBand="0" w:evenVBand="0" w:oddHBand="0" w:evenHBand="0" w:firstRowFirstColumn="0" w:firstRowLastColumn="0" w:lastRowFirstColumn="0" w:lastRowLastColumn="0"/>
            <w:tcW w:w="2688" w:type="pct"/>
          </w:tcPr>
          <w:p w14:paraId="4B6CA64D" w14:textId="172DB86D" w:rsidR="005D09DF" w:rsidRPr="00B357F4" w:rsidRDefault="68D06EFD" w:rsidP="00725AB0">
            <w:pPr>
              <w:pStyle w:val="Odlomakpopisa"/>
              <w:numPr>
                <w:ilvl w:val="0"/>
                <w:numId w:val="33"/>
              </w:numPr>
              <w:spacing w:before="0" w:after="0"/>
              <w:rPr>
                <w:b w:val="0"/>
              </w:rPr>
            </w:pPr>
            <w:r w:rsidRPr="00B357F4">
              <w:rPr>
                <w:b w:val="0"/>
              </w:rPr>
              <w:t xml:space="preserve">Značajni potencijali za poboljšanje EnU u </w:t>
            </w:r>
            <w:r w:rsidR="7A6A6786" w:rsidRPr="00B357F4">
              <w:rPr>
                <w:b w:val="0"/>
              </w:rPr>
              <w:t>ZJS</w:t>
            </w:r>
            <w:r w:rsidRPr="00B357F4">
              <w:rPr>
                <w:b w:val="0"/>
              </w:rPr>
              <w:t xml:space="preserve"> s najlošijim energetskim svojstvima </w:t>
            </w:r>
          </w:p>
          <w:p w14:paraId="2234BFD3" w14:textId="262DB2AE" w:rsidR="005D09DF" w:rsidRPr="00B357F4" w:rsidRDefault="68D06EFD" w:rsidP="00725AB0">
            <w:pPr>
              <w:pStyle w:val="Odlomakpopisa"/>
              <w:numPr>
                <w:ilvl w:val="0"/>
                <w:numId w:val="33"/>
              </w:numPr>
              <w:spacing w:before="0" w:after="0"/>
              <w:rPr>
                <w:b w:val="0"/>
              </w:rPr>
            </w:pPr>
            <w:r w:rsidRPr="00B357F4">
              <w:rPr>
                <w:b w:val="0"/>
              </w:rPr>
              <w:t>Institucionalno iskustvo (MPGI</w:t>
            </w:r>
            <w:r w:rsidR="00005E88" w:rsidRPr="00B357F4">
              <w:rPr>
                <w:b w:val="0"/>
              </w:rPr>
              <w:t>, APN</w:t>
            </w:r>
            <w:r w:rsidRPr="00B357F4">
              <w:rPr>
                <w:b w:val="0"/>
              </w:rPr>
              <w:t xml:space="preserve"> i FZOEU) iz provedbe u razdoblju 2014. do 2020.</w:t>
            </w:r>
          </w:p>
          <w:p w14:paraId="601A12BD" w14:textId="77777777" w:rsidR="005D09DF" w:rsidRPr="00B357F4" w:rsidRDefault="68D06EFD" w:rsidP="00725AB0">
            <w:pPr>
              <w:pStyle w:val="Odlomakpopisa"/>
              <w:numPr>
                <w:ilvl w:val="0"/>
                <w:numId w:val="33"/>
              </w:numPr>
              <w:spacing w:before="0" w:after="0"/>
              <w:rPr>
                <w:b w:val="0"/>
              </w:rPr>
            </w:pPr>
            <w:r w:rsidRPr="00B357F4">
              <w:rPr>
                <w:b w:val="0"/>
              </w:rPr>
              <w:t>Konkurentno tržište u području energetskog certificiranja i projektiranja</w:t>
            </w:r>
          </w:p>
          <w:p w14:paraId="634DCA94" w14:textId="250BDFD8" w:rsidR="005D09DF" w:rsidRPr="00B357F4" w:rsidRDefault="68D06EFD" w:rsidP="00725AB0">
            <w:pPr>
              <w:pStyle w:val="Odlomakpopisa"/>
              <w:numPr>
                <w:ilvl w:val="0"/>
                <w:numId w:val="33"/>
              </w:numPr>
              <w:spacing w:before="0" w:after="0"/>
              <w:rPr>
                <w:b w:val="0"/>
              </w:rPr>
            </w:pPr>
            <w:r w:rsidRPr="00B357F4">
              <w:rPr>
                <w:b w:val="0"/>
              </w:rPr>
              <w:t>Visoke stope sufinanciranja (ovisno o razini obnove)</w:t>
            </w:r>
          </w:p>
          <w:p w14:paraId="3A617B83" w14:textId="77777777" w:rsidR="005D09DF" w:rsidRPr="00B357F4" w:rsidRDefault="68D06EFD" w:rsidP="00725AB0">
            <w:pPr>
              <w:pStyle w:val="Odlomakpopisa"/>
              <w:numPr>
                <w:ilvl w:val="0"/>
                <w:numId w:val="33"/>
              </w:numPr>
              <w:spacing w:before="0" w:after="0"/>
            </w:pPr>
            <w:r w:rsidRPr="00B357F4">
              <w:rPr>
                <w:b w:val="0"/>
              </w:rPr>
              <w:t>Planovi za korištenje financijskih sredstava iz Mehanizma za oporavak i otpornost i ESI fondova</w:t>
            </w:r>
          </w:p>
          <w:p w14:paraId="48CC3212" w14:textId="77777777" w:rsidR="005D09DF" w:rsidRPr="00B357F4" w:rsidRDefault="68D06EFD" w:rsidP="00725AB0">
            <w:pPr>
              <w:pStyle w:val="Odlomakpopisa"/>
              <w:numPr>
                <w:ilvl w:val="0"/>
                <w:numId w:val="33"/>
              </w:numPr>
              <w:spacing w:before="0" w:after="0"/>
              <w:rPr>
                <w:b w:val="0"/>
              </w:rPr>
            </w:pPr>
            <w:r w:rsidRPr="00B357F4">
              <w:rPr>
                <w:b w:val="0"/>
              </w:rPr>
              <w:t>Iskustvo bankarskog sektora i mogućnost kombiniranja javnih i komercijalnih sredstava</w:t>
            </w:r>
          </w:p>
          <w:p w14:paraId="5CA9C271" w14:textId="77777777" w:rsidR="005D09DF" w:rsidRPr="00B357F4" w:rsidRDefault="68D06EFD" w:rsidP="00725AB0">
            <w:pPr>
              <w:pStyle w:val="Odlomakpopisa"/>
              <w:numPr>
                <w:ilvl w:val="0"/>
                <w:numId w:val="33"/>
              </w:numPr>
              <w:spacing w:before="0" w:after="0"/>
              <w:rPr>
                <w:b w:val="0"/>
              </w:rPr>
            </w:pPr>
            <w:r w:rsidRPr="00B357F4">
              <w:rPr>
                <w:b w:val="0"/>
              </w:rPr>
              <w:t>Snažne promotivne aktivnosti predviđene Programom</w:t>
            </w:r>
          </w:p>
          <w:p w14:paraId="77954416" w14:textId="77777777" w:rsidR="005D09DF" w:rsidRPr="00B357F4" w:rsidRDefault="68D06EFD" w:rsidP="00725AB0">
            <w:pPr>
              <w:pStyle w:val="Odlomakpopisa"/>
              <w:numPr>
                <w:ilvl w:val="0"/>
                <w:numId w:val="33"/>
              </w:numPr>
              <w:spacing w:before="0" w:after="0"/>
              <w:rPr>
                <w:b w:val="0"/>
              </w:rPr>
            </w:pPr>
            <w:r w:rsidRPr="00B357F4">
              <w:rPr>
                <w:b w:val="0"/>
              </w:rPr>
              <w:t>Dostupnost potrebnih materijala i tehnologija – razvijeno tržište</w:t>
            </w:r>
          </w:p>
        </w:tc>
        <w:tc>
          <w:tcPr>
            <w:tcW w:w="2312" w:type="pct"/>
          </w:tcPr>
          <w:p w14:paraId="3461F46F" w14:textId="109D4C7E"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 xml:space="preserve">Velik broj </w:t>
            </w:r>
            <w:r w:rsidR="0DDC0118" w:rsidRPr="00B357F4">
              <w:t>ZJS</w:t>
            </w:r>
            <w:r w:rsidRPr="00B357F4">
              <w:t xml:space="preserve"> koje trebaju sveobuhvatnu obnovu (potreba za većim financijskim sredstvima od predviđenih)</w:t>
            </w:r>
          </w:p>
          <w:p w14:paraId="2CEB044B"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Dostupnost sufinanciranja jednom godišnje (temeljem javnih poziva) odnosno nedostatak kontinuiteta u dostupnosti sufinanciranja</w:t>
            </w:r>
          </w:p>
          <w:p w14:paraId="4F106D0A" w14:textId="77777777" w:rsidR="005D09DF" w:rsidRPr="00B357F4" w:rsidRDefault="005D09DF" w:rsidP="00A85F83">
            <w:pPr>
              <w:spacing w:before="0" w:after="0"/>
              <w:cnfStyle w:val="000000000000" w:firstRow="0" w:lastRow="0" w:firstColumn="0" w:lastColumn="0" w:oddVBand="0" w:evenVBand="0" w:oddHBand="0" w:evenHBand="0" w:firstRowFirstColumn="0" w:firstRowLastColumn="0" w:lastRowFirstColumn="0" w:lastRowLastColumn="0"/>
            </w:pPr>
          </w:p>
        </w:tc>
      </w:tr>
      <w:tr w:rsidR="005D09DF" w:rsidRPr="00B357F4" w14:paraId="709A5AB0" w14:textId="77777777" w:rsidTr="7AEFC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179F20FE" w14:textId="652E1E4B" w:rsidR="005D09DF" w:rsidRPr="003020E6" w:rsidRDefault="001E11CE" w:rsidP="00A85F83">
            <w:pPr>
              <w:spacing w:before="0" w:after="0"/>
            </w:pPr>
            <w:r w:rsidRPr="00B357F4">
              <w:t>Prilike</w:t>
            </w:r>
          </w:p>
        </w:tc>
        <w:tc>
          <w:tcPr>
            <w:tcW w:w="2312" w:type="pct"/>
          </w:tcPr>
          <w:p w14:paraId="4EC181B8" w14:textId="729545AC" w:rsidR="005D09DF" w:rsidRPr="00971F9E" w:rsidRDefault="005D09DF" w:rsidP="00A85F83">
            <w:pPr>
              <w:spacing w:before="0" w:after="0"/>
              <w:cnfStyle w:val="000000100000" w:firstRow="0" w:lastRow="0" w:firstColumn="0" w:lastColumn="0" w:oddVBand="0" w:evenVBand="0" w:oddHBand="1" w:evenHBand="0" w:firstRowFirstColumn="0" w:firstRowLastColumn="0" w:lastRowFirstColumn="0" w:lastRowLastColumn="0"/>
              <w:rPr>
                <w:b/>
              </w:rPr>
            </w:pPr>
            <w:r w:rsidRPr="00B03C9B">
              <w:rPr>
                <w:b/>
              </w:rPr>
              <w:t>Prijetnje</w:t>
            </w:r>
          </w:p>
        </w:tc>
      </w:tr>
      <w:tr w:rsidR="005D09DF" w:rsidRPr="00B357F4" w14:paraId="345638ED" w14:textId="77777777" w:rsidTr="7AEFCEA8">
        <w:tc>
          <w:tcPr>
            <w:cnfStyle w:val="001000000000" w:firstRow="0" w:lastRow="0" w:firstColumn="1" w:lastColumn="0" w:oddVBand="0" w:evenVBand="0" w:oddHBand="0" w:evenHBand="0" w:firstRowFirstColumn="0" w:firstRowLastColumn="0" w:lastRowFirstColumn="0" w:lastRowLastColumn="0"/>
            <w:tcW w:w="2688" w:type="pct"/>
          </w:tcPr>
          <w:p w14:paraId="01ADDC14" w14:textId="1584AD42" w:rsidR="00713E11" w:rsidRPr="00DE068A" w:rsidRDefault="00713E11" w:rsidP="00725AB0">
            <w:pPr>
              <w:pStyle w:val="Odlomakpopisa"/>
              <w:numPr>
                <w:ilvl w:val="0"/>
                <w:numId w:val="33"/>
              </w:numPr>
              <w:spacing w:before="0" w:after="0"/>
              <w:rPr>
                <w:b w:val="0"/>
              </w:rPr>
            </w:pPr>
            <w:r>
              <w:rPr>
                <w:b w:val="0"/>
              </w:rPr>
              <w:t>Smanjenje</w:t>
            </w:r>
            <w:r w:rsidR="00DE068A">
              <w:rPr>
                <w:b w:val="0"/>
              </w:rPr>
              <w:t xml:space="preserve"> troškova, poboljšanje uvjeta rada i vrijednosti nekretnine</w:t>
            </w:r>
          </w:p>
          <w:p w14:paraId="545F7F88" w14:textId="6403D276" w:rsidR="005D09DF" w:rsidRPr="00B357F4" w:rsidRDefault="68D06EFD" w:rsidP="00725AB0">
            <w:pPr>
              <w:pStyle w:val="Odlomakpopisa"/>
              <w:numPr>
                <w:ilvl w:val="0"/>
                <w:numId w:val="33"/>
              </w:numPr>
              <w:spacing w:before="0" w:after="0"/>
              <w:rPr>
                <w:b w:val="0"/>
              </w:rPr>
            </w:pPr>
            <w:r w:rsidRPr="00B357F4">
              <w:rPr>
                <w:b w:val="0"/>
              </w:rPr>
              <w:t>Povećanje aktivnosti u građevinskom sektoru</w:t>
            </w:r>
          </w:p>
          <w:p w14:paraId="797E7075" w14:textId="6EDFEAC6" w:rsidR="00DB4A8E" w:rsidRPr="00B357F4" w:rsidRDefault="00DB4A8E" w:rsidP="00725AB0">
            <w:pPr>
              <w:pStyle w:val="Odlomakpopisa"/>
              <w:numPr>
                <w:ilvl w:val="0"/>
                <w:numId w:val="33"/>
              </w:numPr>
              <w:spacing w:before="0" w:after="0"/>
              <w:rPr>
                <w:b w:val="0"/>
              </w:rPr>
            </w:pPr>
            <w:r w:rsidRPr="00B357F4">
              <w:rPr>
                <w:b w:val="0"/>
              </w:rPr>
              <w:t>Razvoj ESCO tržišta</w:t>
            </w:r>
          </w:p>
          <w:p w14:paraId="6EAC61FD" w14:textId="631F8D24" w:rsidR="005D09DF" w:rsidRPr="00B357F4" w:rsidRDefault="68D06EFD" w:rsidP="00725AB0">
            <w:pPr>
              <w:pStyle w:val="Odlomakpopisa"/>
              <w:numPr>
                <w:ilvl w:val="0"/>
                <w:numId w:val="33"/>
              </w:numPr>
              <w:spacing w:before="0" w:after="0"/>
              <w:rPr>
                <w:b w:val="0"/>
              </w:rPr>
            </w:pPr>
            <w:r w:rsidRPr="00B357F4">
              <w:rPr>
                <w:b w:val="0"/>
              </w:rPr>
              <w:lastRenderedPageBreak/>
              <w:t xml:space="preserve">Zelena orijentacija financijskih institucija (uključujući primjenu EU taksonomije) </w:t>
            </w:r>
          </w:p>
          <w:p w14:paraId="66382217" w14:textId="48068004" w:rsidR="005D09DF" w:rsidRPr="00B357F4" w:rsidRDefault="68D06EFD" w:rsidP="00725AB0">
            <w:pPr>
              <w:pStyle w:val="Odlomakpopisa"/>
              <w:numPr>
                <w:ilvl w:val="0"/>
                <w:numId w:val="33"/>
              </w:numPr>
              <w:spacing w:before="0" w:after="0"/>
              <w:rPr>
                <w:b w:val="0"/>
              </w:rPr>
            </w:pPr>
            <w:r w:rsidRPr="00B357F4">
              <w:rPr>
                <w:b w:val="0"/>
              </w:rPr>
              <w:t xml:space="preserve">Prilika za sveobuhvatnu obnovu </w:t>
            </w:r>
            <w:r w:rsidR="08EB5357" w:rsidRPr="00B357F4">
              <w:rPr>
                <w:b w:val="0"/>
              </w:rPr>
              <w:t>ZJS</w:t>
            </w:r>
            <w:r w:rsidRPr="00B357F4">
              <w:rPr>
                <w:b w:val="0"/>
              </w:rPr>
              <w:t xml:space="preserve"> oštećenih u potresu – energetska uz </w:t>
            </w:r>
            <w:r w:rsidR="08EB5357" w:rsidRPr="00B357F4">
              <w:rPr>
                <w:b w:val="0"/>
              </w:rPr>
              <w:t>konstrukcijsk</w:t>
            </w:r>
            <w:r w:rsidR="08EB5357" w:rsidRPr="00B357F4">
              <w:t>u</w:t>
            </w:r>
            <w:r w:rsidRPr="00B357F4">
              <w:rPr>
                <w:b w:val="0"/>
              </w:rPr>
              <w:t xml:space="preserve"> obnovu</w:t>
            </w:r>
          </w:p>
          <w:p w14:paraId="504EF8EF" w14:textId="77777777" w:rsidR="005D09DF" w:rsidRPr="005E65D4" w:rsidRDefault="589FE686" w:rsidP="78FCA290">
            <w:pPr>
              <w:pStyle w:val="Odlomakpopisa"/>
              <w:numPr>
                <w:ilvl w:val="0"/>
                <w:numId w:val="33"/>
              </w:numPr>
              <w:spacing w:before="0" w:after="0"/>
              <w:rPr>
                <w:rFonts w:asciiTheme="minorHAnsi" w:eastAsiaTheme="minorEastAsia" w:hAnsiTheme="minorHAnsi" w:cstheme="minorBidi"/>
                <w:b w:val="0"/>
                <w:bCs w:val="0"/>
              </w:rPr>
            </w:pPr>
            <w:r w:rsidRPr="00836385">
              <w:rPr>
                <w:b w:val="0"/>
                <w:bCs w:val="0"/>
              </w:rPr>
              <w:t>Prilika za primjenu zelene infrastrukture - zeleni krovovi, zelene fasade, zelene parkirališne površine, uređenje čestice unutar zahvata u prostoru  i sl.</w:t>
            </w:r>
          </w:p>
          <w:p w14:paraId="7000F4F7" w14:textId="6482CF76" w:rsidR="005E65D4" w:rsidRPr="00836385" w:rsidRDefault="00B977A2" w:rsidP="78FCA290">
            <w:pPr>
              <w:pStyle w:val="Odlomakpopisa"/>
              <w:numPr>
                <w:ilvl w:val="0"/>
                <w:numId w:val="33"/>
              </w:numPr>
              <w:spacing w:before="0" w:after="0"/>
              <w:rPr>
                <w:rFonts w:asciiTheme="minorHAnsi" w:eastAsiaTheme="minorEastAsia" w:hAnsiTheme="minorHAnsi" w:cstheme="minorBidi"/>
                <w:b w:val="0"/>
                <w:bCs w:val="0"/>
              </w:rPr>
            </w:pPr>
            <w:r w:rsidRPr="38C221E8">
              <w:rPr>
                <w:rFonts w:cs="Tahoma"/>
                <w:b w:val="0"/>
                <w:bCs w:val="0"/>
              </w:rPr>
              <w:t>Povećanje udjela OIE u zgradama i priključivanje zgrada na učinkovite centralizirane sustave u svrhu dekarbonizacije zgrada</w:t>
            </w:r>
          </w:p>
        </w:tc>
        <w:tc>
          <w:tcPr>
            <w:tcW w:w="2312" w:type="pct"/>
          </w:tcPr>
          <w:p w14:paraId="6FC2A994" w14:textId="0A350E3C" w:rsidR="005D09DF" w:rsidRPr="00B357F4" w:rsidRDefault="00B977A2"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lastRenderedPageBreak/>
              <w:t>S</w:t>
            </w:r>
            <w:r w:rsidRPr="00B03C9B">
              <w:t xml:space="preserve">posobnost </w:t>
            </w:r>
            <w:r w:rsidR="25604399" w:rsidRPr="00971F9E">
              <w:t>javnog sektora</w:t>
            </w:r>
            <w:r w:rsidR="68D06EFD" w:rsidRPr="00B357F4">
              <w:t xml:space="preserve"> za zatvaranje financijske konstrukcije</w:t>
            </w:r>
          </w:p>
          <w:p w14:paraId="3C06D411"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lastRenderedPageBreak/>
              <w:t>Nedostatak građevinske operative (stručnih i kvalificiranih radnika, mehanizacije i ostale opreme)</w:t>
            </w:r>
          </w:p>
          <w:p w14:paraId="6D02697D"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 xml:space="preserve">Porast cijena opreme i radova, zbog manjka građevinske operative na strani ponude te zbog velike potražnje za građevinskim radovima nakon potresa   </w:t>
            </w:r>
          </w:p>
          <w:p w14:paraId="5E0DD8DA"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Neuređeni imovinsko-pravni odnosi</w:t>
            </w:r>
          </w:p>
          <w:p w14:paraId="2A799533" w14:textId="5C310413" w:rsidR="00056011" w:rsidRPr="00B357F4" w:rsidRDefault="00CC7277"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t xml:space="preserve">Produljenje ili ponavljanje postupaka javne nabave, što </w:t>
            </w:r>
            <w:r w:rsidR="001C78FE">
              <w:t>produljuje trajanje projekata</w:t>
            </w:r>
          </w:p>
          <w:p w14:paraId="7A54FE45" w14:textId="573CE79A"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Nepredviđeni događaji u kategoriji 'više sile' (pandemije, potresi i sl.)</w:t>
            </w:r>
          </w:p>
          <w:p w14:paraId="29AB8691" w14:textId="1C6F642D"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 xml:space="preserve">Propuštanje prilike da se </w:t>
            </w:r>
            <w:r w:rsidR="730FF96D" w:rsidRPr="00B357F4">
              <w:t>ZJS</w:t>
            </w:r>
            <w:r w:rsidRPr="00B357F4">
              <w:t xml:space="preserve"> oštećene u potresu obnove na sveobuhvatan način (konstrukcijska i energetska obnova) </w:t>
            </w:r>
          </w:p>
        </w:tc>
      </w:tr>
    </w:tbl>
    <w:p w14:paraId="50EC3E15" w14:textId="73126833" w:rsidR="00572A01" w:rsidRPr="00B357F4" w:rsidRDefault="76FD1316" w:rsidP="00572A01">
      <w:r w:rsidRPr="00B357F4">
        <w:lastRenderedPageBreak/>
        <w:t xml:space="preserve">Uočene slabosti </w:t>
      </w:r>
      <w:r w:rsidR="3303C988" w:rsidRPr="00B357F4">
        <w:t xml:space="preserve">i prijetnje </w:t>
      </w:r>
      <w:r w:rsidRPr="00B357F4">
        <w:t xml:space="preserve">u ovom trenutku nije moguće u potpunosti eliminirati, no one će se tijekom provedbe Programa pomno pratiti te će se u svakoj reviziji Programa na temelju spoznaja iz provedbe Program unaprijediti. </w:t>
      </w:r>
    </w:p>
    <w:p w14:paraId="08D9926E" w14:textId="0812AE75" w:rsidR="00572A01" w:rsidRPr="00B357F4" w:rsidRDefault="000A1609" w:rsidP="00572A01">
      <w:r w:rsidRPr="00B357F4">
        <w:t>R</w:t>
      </w:r>
      <w:r w:rsidR="76FD1316" w:rsidRPr="00B357F4">
        <w:t xml:space="preserve">azvidno je da postoji snažna potreba i velik potencijal za energetskom obnovom </w:t>
      </w:r>
      <w:r w:rsidR="123704E6" w:rsidRPr="00B357F4">
        <w:t>ZJS</w:t>
      </w:r>
      <w:r w:rsidR="76FD1316" w:rsidRPr="00B357F4">
        <w:t xml:space="preserve">, </w:t>
      </w:r>
      <w:r w:rsidR="1272154C" w:rsidRPr="00B357F4">
        <w:t xml:space="preserve">na cijelom području </w:t>
      </w:r>
      <w:r w:rsidR="72DE7BCA" w:rsidRPr="00B357F4">
        <w:t>Hrvatske</w:t>
      </w:r>
      <w:r w:rsidR="1272154C" w:rsidRPr="00B357F4">
        <w:t>. P</w:t>
      </w:r>
      <w:r w:rsidR="76FD1316" w:rsidRPr="00B357F4">
        <w:t xml:space="preserve">otrebno je pojačati informativne i edukativne aktivnosti vezane uz iskorištavanje obnovljivih izvora energije, jer te mjere mogu uvelike doprinijeti dekarbonizaciji fonda zgrada. </w:t>
      </w:r>
      <w:r w:rsidR="1272154C" w:rsidRPr="00B357F4">
        <w:t xml:space="preserve">Poglavito se ovdje misli na </w:t>
      </w:r>
      <w:r w:rsidR="43E4101C" w:rsidRPr="00B357F4">
        <w:t xml:space="preserve">ugradnju fotonaponskih sustava za pokrivanje vlastitih potreba za električnom energijom </w:t>
      </w:r>
      <w:r w:rsidR="39E26E20" w:rsidRPr="00B357F4">
        <w:t>ZJS</w:t>
      </w:r>
      <w:r w:rsidR="00AC2F54" w:rsidRPr="00B357F4">
        <w:t xml:space="preserve">. </w:t>
      </w:r>
    </w:p>
    <w:p w14:paraId="52604B4E" w14:textId="6C7D13DD" w:rsidR="007D2AA4" w:rsidRPr="003020E6" w:rsidRDefault="76FD1316" w:rsidP="007D2AA4">
      <w:r w:rsidRPr="00B357F4">
        <w:t>Dakako da najveće prilike imaju poduzetnici u cijelom lancu obnove zgrada, od energetskog certificiranja, preko projektiranja pa da prodaje materijala i izvođenja radova.</w:t>
      </w:r>
      <w:r w:rsidR="5F9C0131" w:rsidRPr="00B357F4">
        <w:t xml:space="preserve"> </w:t>
      </w:r>
    </w:p>
    <w:p w14:paraId="26B0992C" w14:textId="5ED664F8" w:rsidR="00572A01" w:rsidRPr="00B357F4" w:rsidRDefault="00572A01" w:rsidP="00572A01">
      <w:pPr>
        <w:rPr>
          <w:lang w:eastAsia="hr-HR"/>
        </w:rPr>
      </w:pPr>
      <w:r w:rsidRPr="00B03C9B">
        <w:t>Ova analiza pokazuje da Program može imati pozitivne društvene i gospodarske učinke, od unaprijeđena javnih i financijskih usluga do aktiviranja građevinske operative i podizanja aktivnosti u ovoj gospodarskoj djelatnosti. Ove šire koristi bit će adresiran</w:t>
      </w:r>
      <w:r w:rsidRPr="00B357F4">
        <w:t xml:space="preserve">e i u poglavlju </w:t>
      </w:r>
      <w:r w:rsidR="00310321" w:rsidRPr="00B357F4">
        <w:t>9</w:t>
      </w:r>
      <w:r w:rsidRPr="00B357F4">
        <w:t xml:space="preserve">. </w:t>
      </w:r>
    </w:p>
    <w:p w14:paraId="284D816E" w14:textId="31B8BCAB" w:rsidR="00E21ED7" w:rsidRPr="00B357F4" w:rsidRDefault="7A4FD6F7" w:rsidP="00AF018F">
      <w:pPr>
        <w:pStyle w:val="Naslov20"/>
      </w:pPr>
      <w:bookmarkStart w:id="67" w:name="_Ref86238544"/>
      <w:bookmarkStart w:id="68" w:name="_Ref86238567"/>
      <w:bookmarkStart w:id="69" w:name="_Toc94769981"/>
      <w:r w:rsidRPr="00B357F4">
        <w:t>O</w:t>
      </w:r>
      <w:r w:rsidR="6112CB09" w:rsidRPr="00B357F4">
        <w:t xml:space="preserve">pis prioriteta </w:t>
      </w:r>
      <w:r w:rsidR="32163E94" w:rsidRPr="00B357F4">
        <w:t xml:space="preserve">javne </w:t>
      </w:r>
      <w:r w:rsidR="6112CB09" w:rsidRPr="00B357F4">
        <w:t xml:space="preserve">politike u </w:t>
      </w:r>
      <w:r w:rsidR="00C2542F" w:rsidRPr="00B357F4">
        <w:t>srednjoročnom</w:t>
      </w:r>
      <w:r w:rsidR="6112CB09" w:rsidRPr="00B357F4">
        <w:t xml:space="preserve"> razdoblju</w:t>
      </w:r>
      <w:bookmarkEnd w:id="67"/>
      <w:bookmarkEnd w:id="68"/>
      <w:bookmarkEnd w:id="69"/>
    </w:p>
    <w:p w14:paraId="2CE81B7C" w14:textId="423921E6" w:rsidR="00397375" w:rsidRPr="00B357F4" w:rsidRDefault="5B3ABE99" w:rsidP="00397375">
      <w:pPr>
        <w:rPr>
          <w:lang w:eastAsia="hr-HR"/>
        </w:rPr>
      </w:pPr>
      <w:r w:rsidRPr="00B357F4">
        <w:rPr>
          <w:lang w:eastAsia="hr-HR"/>
        </w:rPr>
        <w:t xml:space="preserve">U skladu s prethodno opisanim potrebama i potencijalima za obnovom </w:t>
      </w:r>
      <w:r w:rsidR="47C3F30A" w:rsidRPr="00B357F4">
        <w:rPr>
          <w:lang w:eastAsia="hr-HR"/>
        </w:rPr>
        <w:t>ZJS</w:t>
      </w:r>
      <w:r w:rsidRPr="00B357F4">
        <w:rPr>
          <w:lang w:eastAsia="hr-HR"/>
        </w:rPr>
        <w:t xml:space="preserve"> kao i Dugoročnom strategijom obnove </w:t>
      </w:r>
      <w:r w:rsidR="001709D5">
        <w:rPr>
          <w:lang w:eastAsia="hr-HR"/>
        </w:rPr>
        <w:t xml:space="preserve">nacionalnog </w:t>
      </w:r>
      <w:r w:rsidRPr="00B357F4">
        <w:rPr>
          <w:lang w:eastAsia="hr-HR"/>
        </w:rPr>
        <w:t xml:space="preserve">fonda zgrada do 2050. godine, u srednjoročnom razdoblju (do kraja 2030. godine) prioritet je obnova </w:t>
      </w:r>
      <w:r w:rsidR="47C3F30A" w:rsidRPr="00B357F4">
        <w:rPr>
          <w:lang w:eastAsia="hr-HR"/>
        </w:rPr>
        <w:t>ZJS</w:t>
      </w:r>
      <w:r w:rsidRPr="00B357F4">
        <w:rPr>
          <w:lang w:eastAsia="hr-HR"/>
        </w:rPr>
        <w:t xml:space="preserve"> s najlošijim energetskim svojstvima – dakle, </w:t>
      </w:r>
      <w:r w:rsidR="47C3F30A" w:rsidRPr="00B357F4">
        <w:rPr>
          <w:lang w:eastAsia="hr-HR"/>
        </w:rPr>
        <w:t>ZJS</w:t>
      </w:r>
      <w:r w:rsidRPr="00B357F4">
        <w:rPr>
          <w:lang w:eastAsia="hr-HR"/>
        </w:rPr>
        <w:t xml:space="preserve"> energetskog razreda D (prema Q</w:t>
      </w:r>
      <w:r w:rsidR="3F719F55" w:rsidRPr="00B357F4">
        <w:rPr>
          <w:lang w:eastAsia="hr-HR"/>
        </w:rPr>
        <w:t>”</w:t>
      </w:r>
      <w:r w:rsidRPr="00B357F4">
        <w:rPr>
          <w:vertAlign w:val="subscript"/>
          <w:lang w:eastAsia="hr-HR"/>
        </w:rPr>
        <w:t>H,nd</w:t>
      </w:r>
      <w:r w:rsidRPr="00B357F4">
        <w:rPr>
          <w:lang w:eastAsia="hr-HR"/>
        </w:rPr>
        <w:t>) ili lošijeg u kontinentalnoj Hrvatskoj odnosno C (prema Q</w:t>
      </w:r>
      <w:r w:rsidR="7F00FD00" w:rsidRPr="00B357F4">
        <w:rPr>
          <w:lang w:eastAsia="hr-HR"/>
        </w:rPr>
        <w:t>”</w:t>
      </w:r>
      <w:r w:rsidRPr="00B357F4">
        <w:rPr>
          <w:vertAlign w:val="subscript"/>
          <w:lang w:eastAsia="hr-HR"/>
        </w:rPr>
        <w:t>H,nd</w:t>
      </w:r>
      <w:r w:rsidRPr="00B357F4">
        <w:rPr>
          <w:lang w:eastAsia="hr-HR"/>
        </w:rPr>
        <w:t>) ili lošijeg u primorskoj Hrvatskoj</w:t>
      </w:r>
      <w:r w:rsidR="2054940C" w:rsidRPr="00B357F4">
        <w:rPr>
          <w:lang w:eastAsia="hr-HR"/>
        </w:rPr>
        <w:t>.</w:t>
      </w:r>
      <w:r w:rsidRPr="00B357F4">
        <w:rPr>
          <w:lang w:eastAsia="hr-HR"/>
        </w:rPr>
        <w:t xml:space="preserve"> </w:t>
      </w:r>
    </w:p>
    <w:p w14:paraId="5F7328E8" w14:textId="4A23CFA8" w:rsidR="00397375" w:rsidRPr="00971F9E" w:rsidRDefault="5B3ABE99" w:rsidP="00397375">
      <w:pPr>
        <w:rPr>
          <w:lang w:eastAsia="hr-HR"/>
        </w:rPr>
      </w:pPr>
      <w:r w:rsidRPr="00B357F4">
        <w:rPr>
          <w:lang w:eastAsia="hr-HR"/>
        </w:rPr>
        <w:t xml:space="preserve">Dugoročna strategija obnove </w:t>
      </w:r>
      <w:r w:rsidR="760FA7BC" w:rsidRPr="00B357F4">
        <w:rPr>
          <w:lang w:eastAsia="hr-HR"/>
        </w:rPr>
        <w:t xml:space="preserve">nacionalnog </w:t>
      </w:r>
      <w:r w:rsidRPr="00B357F4">
        <w:rPr>
          <w:lang w:eastAsia="hr-HR"/>
        </w:rPr>
        <w:t xml:space="preserve">fonda zgrada RH do 2050. godine predviđa u srednjoročnom razdoblju od 2021. do 2030. godine postupno povećanje stope obnove s 1% u 2021. godini do 3% u 2030. godini </w:t>
      </w:r>
      <w:r w:rsidR="00397375" w:rsidRPr="003020E6">
        <w:rPr>
          <w:rStyle w:val="Referencafusnote"/>
          <w:lang w:eastAsia="hr-HR"/>
        </w:rPr>
        <w:footnoteReference w:id="10"/>
      </w:r>
      <w:r w:rsidRPr="003020E6">
        <w:rPr>
          <w:lang w:eastAsia="hr-HR"/>
        </w:rPr>
        <w:t>, a na temelju pretpostavki iz Dugoročne strategi</w:t>
      </w:r>
      <w:r w:rsidRPr="006734C7">
        <w:rPr>
          <w:lang w:eastAsia="hr-HR"/>
        </w:rPr>
        <w:t xml:space="preserve">je, utvrđene su i ciljane površine </w:t>
      </w:r>
      <w:r w:rsidR="0276B91E" w:rsidRPr="006734C7">
        <w:rPr>
          <w:lang w:eastAsia="hr-HR"/>
        </w:rPr>
        <w:t>ZJS</w:t>
      </w:r>
      <w:r w:rsidRPr="006734C7">
        <w:rPr>
          <w:lang w:eastAsia="hr-HR"/>
        </w:rPr>
        <w:t xml:space="preserve"> koje bi na godišnjoj razini trebalo obnavljati, kako bi se ispunili ciljevi Dugoročne strategije. Navedene ciljane površine </w:t>
      </w:r>
      <w:r w:rsidR="6E6C41D8" w:rsidRPr="00B03C9B">
        <w:rPr>
          <w:lang w:eastAsia="hr-HR"/>
        </w:rPr>
        <w:t>prikazane su u donjoj tablici</w:t>
      </w:r>
      <w:r w:rsidRPr="00971F9E">
        <w:rPr>
          <w:lang w:eastAsia="hr-HR"/>
        </w:rPr>
        <w:t>.</w:t>
      </w:r>
    </w:p>
    <w:p w14:paraId="5C45B5C3" w14:textId="20A924B5" w:rsidR="002671CC" w:rsidRPr="00373352" w:rsidRDefault="002671CC" w:rsidP="002671CC">
      <w:pPr>
        <w:pStyle w:val="Opisslike"/>
        <w:rPr>
          <w:rFonts w:cs="Tahoma"/>
          <w:szCs w:val="16"/>
        </w:rPr>
      </w:pPr>
      <w:bookmarkStart w:id="70" w:name="_Ref86238515"/>
      <w:bookmarkStart w:id="71" w:name="_Toc87949893"/>
      <w:r w:rsidRPr="00B357F4">
        <w:t xml:space="preserve">Tablica </w:t>
      </w:r>
      <w:r>
        <w:fldChar w:fldCharType="begin"/>
      </w:r>
      <w:r>
        <w:instrText>STYLEREF 1 \s</w:instrText>
      </w:r>
      <w:r>
        <w:fldChar w:fldCharType="separate"/>
      </w:r>
      <w:r w:rsidR="0023635D">
        <w:rPr>
          <w:noProof/>
        </w:rPr>
        <w:t>5</w:t>
      </w:r>
      <w:r>
        <w:fldChar w:fldCharType="end"/>
      </w:r>
      <w:r w:rsidR="00166B1A">
        <w:noBreakHyphen/>
      </w:r>
      <w:r>
        <w:fldChar w:fldCharType="begin"/>
      </w:r>
      <w:r>
        <w:instrText>SEQ Tablica \* ARABIC \s 1</w:instrText>
      </w:r>
      <w:r>
        <w:fldChar w:fldCharType="separate"/>
      </w:r>
      <w:r w:rsidR="0023635D">
        <w:rPr>
          <w:noProof/>
        </w:rPr>
        <w:t>1</w:t>
      </w:r>
      <w:r>
        <w:fldChar w:fldCharType="end"/>
      </w:r>
      <w:r w:rsidRPr="003020E6">
        <w:t xml:space="preserve">: </w:t>
      </w:r>
      <w:r w:rsidRPr="006734C7">
        <w:rPr>
          <w:rFonts w:cs="Tahoma"/>
          <w:szCs w:val="16"/>
        </w:rPr>
        <w:t xml:space="preserve">Ciljane obnovljene površine nestambenih zgrada i ZJS za razdoblje od 2021. do 2030 </w:t>
      </w:r>
      <w:r w:rsidRPr="00373352">
        <w:rPr>
          <w:rFonts w:cs="Tahoma"/>
          <w:szCs w:val="16"/>
        </w:rPr>
        <w:t>prema Dugoročnoj strategiji</w:t>
      </w:r>
      <w:bookmarkEnd w:id="70"/>
      <w:bookmarkEnd w:id="71"/>
    </w:p>
    <w:tbl>
      <w:tblPr>
        <w:tblStyle w:val="Svijetlatablicareetke110"/>
        <w:tblW w:w="5000" w:type="pct"/>
        <w:tblLayout w:type="fixed"/>
        <w:tblLook w:val="04A0" w:firstRow="1" w:lastRow="0" w:firstColumn="1" w:lastColumn="0" w:noHBand="0" w:noVBand="1"/>
      </w:tblPr>
      <w:tblGrid>
        <w:gridCol w:w="1133"/>
        <w:gridCol w:w="821"/>
        <w:gridCol w:w="821"/>
        <w:gridCol w:w="823"/>
        <w:gridCol w:w="820"/>
        <w:gridCol w:w="822"/>
        <w:gridCol w:w="820"/>
        <w:gridCol w:w="820"/>
        <w:gridCol w:w="822"/>
        <w:gridCol w:w="820"/>
        <w:gridCol w:w="822"/>
      </w:tblGrid>
      <w:tr w:rsidR="002671CC" w:rsidRPr="00B357F4" w14:paraId="63E3E537" w14:textId="77777777" w:rsidTr="00D6070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06" w:type="pct"/>
            <w:hideMark/>
          </w:tcPr>
          <w:p w14:paraId="795ADF5D" w14:textId="77777777" w:rsidR="002671CC" w:rsidRPr="00971F9E" w:rsidRDefault="002671CC" w:rsidP="00D60709">
            <w:pPr>
              <w:spacing w:before="0" w:after="0"/>
              <w:rPr>
                <w:rFonts w:cs="Tahoma"/>
                <w:color w:val="000000"/>
                <w:sz w:val="16"/>
                <w:szCs w:val="16"/>
                <w:lang w:eastAsia="hr-HR"/>
              </w:rPr>
            </w:pPr>
            <w:r w:rsidRPr="00B03C9B">
              <w:rPr>
                <w:rFonts w:cs="Tahoma"/>
                <w:color w:val="000000"/>
                <w:sz w:val="16"/>
                <w:szCs w:val="16"/>
                <w:lang w:eastAsia="hr-HR"/>
              </w:rPr>
              <w:t> </w:t>
            </w:r>
          </w:p>
        </w:tc>
        <w:tc>
          <w:tcPr>
            <w:tcW w:w="439" w:type="pct"/>
            <w:hideMark/>
          </w:tcPr>
          <w:p w14:paraId="2E37F7B6"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2021.</w:t>
            </w:r>
          </w:p>
        </w:tc>
        <w:tc>
          <w:tcPr>
            <w:tcW w:w="439" w:type="pct"/>
            <w:hideMark/>
          </w:tcPr>
          <w:p w14:paraId="3426BD96"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2022.</w:t>
            </w:r>
          </w:p>
        </w:tc>
        <w:tc>
          <w:tcPr>
            <w:tcW w:w="440" w:type="pct"/>
            <w:hideMark/>
          </w:tcPr>
          <w:p w14:paraId="4D43ED5F"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2023.</w:t>
            </w:r>
          </w:p>
        </w:tc>
        <w:tc>
          <w:tcPr>
            <w:tcW w:w="439" w:type="pct"/>
            <w:hideMark/>
          </w:tcPr>
          <w:p w14:paraId="41F63319"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2024.</w:t>
            </w:r>
          </w:p>
        </w:tc>
        <w:tc>
          <w:tcPr>
            <w:tcW w:w="440" w:type="pct"/>
            <w:hideMark/>
          </w:tcPr>
          <w:p w14:paraId="1D131AE7"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2025.</w:t>
            </w:r>
          </w:p>
        </w:tc>
        <w:tc>
          <w:tcPr>
            <w:tcW w:w="439" w:type="pct"/>
            <w:hideMark/>
          </w:tcPr>
          <w:p w14:paraId="00FBDB13"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2026.</w:t>
            </w:r>
          </w:p>
        </w:tc>
        <w:tc>
          <w:tcPr>
            <w:tcW w:w="439" w:type="pct"/>
            <w:hideMark/>
          </w:tcPr>
          <w:p w14:paraId="5910227F"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2027.</w:t>
            </w:r>
          </w:p>
        </w:tc>
        <w:tc>
          <w:tcPr>
            <w:tcW w:w="440" w:type="pct"/>
            <w:hideMark/>
          </w:tcPr>
          <w:p w14:paraId="5B083DA0"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2028.</w:t>
            </w:r>
          </w:p>
        </w:tc>
        <w:tc>
          <w:tcPr>
            <w:tcW w:w="439" w:type="pct"/>
            <w:hideMark/>
          </w:tcPr>
          <w:p w14:paraId="6631001C"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2029.</w:t>
            </w:r>
          </w:p>
        </w:tc>
        <w:tc>
          <w:tcPr>
            <w:tcW w:w="440" w:type="pct"/>
            <w:hideMark/>
          </w:tcPr>
          <w:p w14:paraId="00DE1BFA"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2030.</w:t>
            </w:r>
          </w:p>
        </w:tc>
      </w:tr>
      <w:tr w:rsidR="002671CC" w:rsidRPr="00B357F4" w14:paraId="7E9F3A17" w14:textId="77777777" w:rsidTr="00D60709">
        <w:trPr>
          <w:cantSplit/>
          <w:trHeight w:val="410"/>
        </w:trPr>
        <w:tc>
          <w:tcPr>
            <w:cnfStyle w:val="001000000000" w:firstRow="0" w:lastRow="0" w:firstColumn="1" w:lastColumn="0" w:oddVBand="0" w:evenVBand="0" w:oddHBand="0" w:evenHBand="0" w:firstRowFirstColumn="0" w:firstRowLastColumn="0" w:lastRowFirstColumn="0" w:lastRowLastColumn="0"/>
            <w:tcW w:w="606" w:type="pct"/>
            <w:vAlign w:val="center"/>
          </w:tcPr>
          <w:p w14:paraId="38DD4CF1" w14:textId="77777777" w:rsidR="002671CC" w:rsidRPr="00B357F4" w:rsidRDefault="002671CC" w:rsidP="00D60709">
            <w:pPr>
              <w:spacing w:before="0" w:after="0"/>
              <w:rPr>
                <w:rFonts w:cs="Tahoma"/>
                <w:color w:val="000000"/>
                <w:sz w:val="16"/>
                <w:szCs w:val="16"/>
                <w:lang w:eastAsia="hr-HR"/>
              </w:rPr>
            </w:pPr>
            <w:r w:rsidRPr="00B357F4">
              <w:rPr>
                <w:rFonts w:cs="Tahoma"/>
                <w:color w:val="000000"/>
                <w:sz w:val="16"/>
                <w:szCs w:val="16"/>
              </w:rPr>
              <w:t>Ciljana površina – nestamb. [m</w:t>
            </w:r>
            <w:r w:rsidRPr="00B357F4">
              <w:rPr>
                <w:rFonts w:cs="Tahoma"/>
                <w:color w:val="000000"/>
                <w:sz w:val="16"/>
                <w:szCs w:val="16"/>
                <w:vertAlign w:val="superscript"/>
              </w:rPr>
              <w:t>2</w:t>
            </w:r>
            <w:r w:rsidRPr="00B357F4">
              <w:rPr>
                <w:rFonts w:cs="Tahoma"/>
                <w:color w:val="000000"/>
                <w:sz w:val="16"/>
                <w:szCs w:val="16"/>
              </w:rPr>
              <w:t>]</w:t>
            </w:r>
          </w:p>
        </w:tc>
        <w:tc>
          <w:tcPr>
            <w:tcW w:w="439" w:type="pct"/>
            <w:vAlign w:val="center"/>
          </w:tcPr>
          <w:p w14:paraId="1CDD9651"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rPr>
              <w:t>587.228</w:t>
            </w:r>
          </w:p>
        </w:tc>
        <w:tc>
          <w:tcPr>
            <w:tcW w:w="439" w:type="pct"/>
            <w:vAlign w:val="center"/>
          </w:tcPr>
          <w:p w14:paraId="7BDC4FF4"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rPr>
              <w:t>579.869</w:t>
            </w:r>
          </w:p>
        </w:tc>
        <w:tc>
          <w:tcPr>
            <w:tcW w:w="440" w:type="pct"/>
            <w:vAlign w:val="center"/>
          </w:tcPr>
          <w:p w14:paraId="4DF43C20"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860.002</w:t>
            </w:r>
          </w:p>
        </w:tc>
        <w:tc>
          <w:tcPr>
            <w:tcW w:w="439" w:type="pct"/>
            <w:vAlign w:val="center"/>
          </w:tcPr>
          <w:p w14:paraId="2DB37476"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846.014</w:t>
            </w:r>
          </w:p>
        </w:tc>
        <w:tc>
          <w:tcPr>
            <w:tcW w:w="440" w:type="pct"/>
            <w:vAlign w:val="center"/>
          </w:tcPr>
          <w:p w14:paraId="5887AEB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1.109.669</w:t>
            </w:r>
          </w:p>
        </w:tc>
        <w:tc>
          <w:tcPr>
            <w:tcW w:w="439" w:type="pct"/>
            <w:vAlign w:val="center"/>
          </w:tcPr>
          <w:p w14:paraId="684709EF"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1.086.075</w:t>
            </w:r>
          </w:p>
        </w:tc>
        <w:tc>
          <w:tcPr>
            <w:tcW w:w="439" w:type="pct"/>
            <w:vAlign w:val="center"/>
          </w:tcPr>
          <w:p w14:paraId="0854F30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1.328.727</w:t>
            </w:r>
          </w:p>
        </w:tc>
        <w:tc>
          <w:tcPr>
            <w:tcW w:w="440" w:type="pct"/>
            <w:vAlign w:val="center"/>
          </w:tcPr>
          <w:p w14:paraId="3DFC789C"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1.293.836</w:t>
            </w:r>
          </w:p>
        </w:tc>
        <w:tc>
          <w:tcPr>
            <w:tcW w:w="439" w:type="pct"/>
            <w:vAlign w:val="center"/>
          </w:tcPr>
          <w:p w14:paraId="19ABD86F"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1.511.831</w:t>
            </w:r>
          </w:p>
        </w:tc>
        <w:tc>
          <w:tcPr>
            <w:tcW w:w="440" w:type="pct"/>
            <w:vAlign w:val="center"/>
          </w:tcPr>
          <w:p w14:paraId="709AD30B"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1.464.578</w:t>
            </w:r>
          </w:p>
        </w:tc>
      </w:tr>
      <w:tr w:rsidR="002671CC" w:rsidRPr="00B357F4" w14:paraId="588B08CE" w14:textId="77777777" w:rsidTr="00D60709">
        <w:trPr>
          <w:trHeight w:val="315"/>
        </w:trPr>
        <w:tc>
          <w:tcPr>
            <w:cnfStyle w:val="001000000000" w:firstRow="0" w:lastRow="0" w:firstColumn="1" w:lastColumn="0" w:oddVBand="0" w:evenVBand="0" w:oddHBand="0" w:evenHBand="0" w:firstRowFirstColumn="0" w:firstRowLastColumn="0" w:lastRowFirstColumn="0" w:lastRowLastColumn="0"/>
            <w:tcW w:w="606" w:type="pct"/>
            <w:vAlign w:val="center"/>
          </w:tcPr>
          <w:p w14:paraId="3D84702E" w14:textId="77777777" w:rsidR="002671CC" w:rsidRPr="00B357F4" w:rsidRDefault="002671CC" w:rsidP="00D60709">
            <w:pPr>
              <w:spacing w:before="0" w:after="0"/>
              <w:rPr>
                <w:rFonts w:cs="Tahoma"/>
                <w:color w:val="000000"/>
                <w:sz w:val="16"/>
                <w:szCs w:val="16"/>
              </w:rPr>
            </w:pPr>
            <w:r w:rsidRPr="00B357F4">
              <w:rPr>
                <w:rFonts w:cs="Tahoma"/>
                <w:color w:val="000000"/>
                <w:sz w:val="16"/>
                <w:szCs w:val="16"/>
              </w:rPr>
              <w:t>Ciljana površina -ZJS [m</w:t>
            </w:r>
            <w:r w:rsidRPr="00B357F4">
              <w:rPr>
                <w:rFonts w:cs="Tahoma"/>
                <w:color w:val="000000"/>
                <w:sz w:val="16"/>
                <w:szCs w:val="16"/>
                <w:vertAlign w:val="superscript"/>
              </w:rPr>
              <w:t>2</w:t>
            </w:r>
            <w:r w:rsidRPr="00B357F4">
              <w:rPr>
                <w:rFonts w:cs="Tahoma"/>
                <w:color w:val="000000"/>
                <w:sz w:val="16"/>
                <w:szCs w:val="16"/>
              </w:rPr>
              <w:t>]</w:t>
            </w:r>
          </w:p>
        </w:tc>
        <w:tc>
          <w:tcPr>
            <w:tcW w:w="439" w:type="pct"/>
            <w:vAlign w:val="center"/>
          </w:tcPr>
          <w:p w14:paraId="1CD056E0"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160.995</w:t>
            </w:r>
          </w:p>
        </w:tc>
        <w:tc>
          <w:tcPr>
            <w:tcW w:w="439" w:type="pct"/>
            <w:vAlign w:val="center"/>
          </w:tcPr>
          <w:p w14:paraId="7FA191C2"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158.977</w:t>
            </w:r>
          </w:p>
        </w:tc>
        <w:tc>
          <w:tcPr>
            <w:tcW w:w="440" w:type="pct"/>
            <w:vAlign w:val="center"/>
          </w:tcPr>
          <w:p w14:paraId="7461BD21"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235.779</w:t>
            </w:r>
          </w:p>
        </w:tc>
        <w:tc>
          <w:tcPr>
            <w:tcW w:w="439" w:type="pct"/>
            <w:vAlign w:val="center"/>
          </w:tcPr>
          <w:p w14:paraId="64A18C5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231.944</w:t>
            </w:r>
          </w:p>
        </w:tc>
        <w:tc>
          <w:tcPr>
            <w:tcW w:w="440" w:type="pct"/>
            <w:vAlign w:val="center"/>
          </w:tcPr>
          <w:p w14:paraId="2492522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304.228</w:t>
            </w:r>
          </w:p>
        </w:tc>
        <w:tc>
          <w:tcPr>
            <w:tcW w:w="439" w:type="pct"/>
            <w:vAlign w:val="center"/>
          </w:tcPr>
          <w:p w14:paraId="1C668CDE"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297.759</w:t>
            </w:r>
          </w:p>
        </w:tc>
        <w:tc>
          <w:tcPr>
            <w:tcW w:w="439" w:type="pct"/>
            <w:vAlign w:val="center"/>
          </w:tcPr>
          <w:p w14:paraId="2536ED4D"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364.285</w:t>
            </w:r>
          </w:p>
        </w:tc>
        <w:tc>
          <w:tcPr>
            <w:tcW w:w="440" w:type="pct"/>
            <w:vAlign w:val="center"/>
          </w:tcPr>
          <w:p w14:paraId="473A75D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354.719</w:t>
            </w:r>
          </w:p>
        </w:tc>
        <w:tc>
          <w:tcPr>
            <w:tcW w:w="439" w:type="pct"/>
            <w:vAlign w:val="center"/>
          </w:tcPr>
          <w:p w14:paraId="28C7B543"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414.485</w:t>
            </w:r>
          </w:p>
        </w:tc>
        <w:tc>
          <w:tcPr>
            <w:tcW w:w="440" w:type="pct"/>
            <w:vAlign w:val="center"/>
          </w:tcPr>
          <w:p w14:paraId="1081A45C"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401.530</w:t>
            </w:r>
          </w:p>
        </w:tc>
      </w:tr>
      <w:tr w:rsidR="00FC6D61" w:rsidRPr="00B357F4" w14:paraId="3ABAF7BB" w14:textId="77777777" w:rsidTr="00FC6D61">
        <w:trPr>
          <w:trHeight w:val="315"/>
        </w:trPr>
        <w:tc>
          <w:tcPr>
            <w:cnfStyle w:val="001000000000" w:firstRow="0" w:lastRow="0" w:firstColumn="1" w:lastColumn="0" w:oddVBand="0" w:evenVBand="0" w:oddHBand="0" w:evenHBand="0" w:firstRowFirstColumn="0" w:firstRowLastColumn="0" w:lastRowFirstColumn="0" w:lastRowLastColumn="0"/>
            <w:tcW w:w="606" w:type="pct"/>
            <w:vAlign w:val="center"/>
          </w:tcPr>
          <w:p w14:paraId="2217EB23" w14:textId="1FED37DE" w:rsidR="00FC6D61" w:rsidRPr="00B357F4" w:rsidRDefault="00FC6D61" w:rsidP="00D60709">
            <w:pPr>
              <w:spacing w:before="0" w:after="0"/>
              <w:rPr>
                <w:rFonts w:cs="Tahoma"/>
                <w:color w:val="000000"/>
                <w:sz w:val="16"/>
                <w:szCs w:val="16"/>
              </w:rPr>
            </w:pPr>
            <w:r w:rsidRPr="00B357F4">
              <w:rPr>
                <w:rFonts w:cs="Tahoma"/>
                <w:color w:val="000000"/>
                <w:sz w:val="16"/>
                <w:szCs w:val="16"/>
              </w:rPr>
              <w:t>Ukupno [m</w:t>
            </w:r>
            <w:r w:rsidRPr="00B357F4">
              <w:rPr>
                <w:rFonts w:cs="Tahoma"/>
                <w:color w:val="000000"/>
                <w:sz w:val="16"/>
                <w:szCs w:val="16"/>
                <w:vertAlign w:val="superscript"/>
              </w:rPr>
              <w:t>2</w:t>
            </w:r>
            <w:r w:rsidRPr="00B357F4">
              <w:rPr>
                <w:rFonts w:cs="Tahoma"/>
                <w:color w:val="000000"/>
                <w:sz w:val="16"/>
                <w:szCs w:val="16"/>
              </w:rPr>
              <w:t>]</w:t>
            </w:r>
          </w:p>
        </w:tc>
        <w:tc>
          <w:tcPr>
            <w:tcW w:w="4394" w:type="pct"/>
            <w:gridSpan w:val="10"/>
            <w:vAlign w:val="center"/>
          </w:tcPr>
          <w:p w14:paraId="17B5F66A" w14:textId="53FA9D1D" w:rsidR="00FC6D61" w:rsidRPr="00B357F4" w:rsidRDefault="00FF2136" w:rsidP="00FF2136">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rPr>
            </w:pPr>
            <w:r w:rsidRPr="00B357F4">
              <w:rPr>
                <w:rFonts w:cs="Tahoma"/>
                <w:b/>
                <w:color w:val="000000"/>
                <w:sz w:val="16"/>
                <w:szCs w:val="16"/>
              </w:rPr>
              <w:t>2.924.701</w:t>
            </w:r>
          </w:p>
        </w:tc>
      </w:tr>
      <w:tr w:rsidR="002671CC" w:rsidRPr="00B357F4" w14:paraId="75FE55D3" w14:textId="77777777" w:rsidTr="00D60709">
        <w:trPr>
          <w:trHeight w:val="315"/>
        </w:trPr>
        <w:tc>
          <w:tcPr>
            <w:cnfStyle w:val="001000000000" w:firstRow="0" w:lastRow="0" w:firstColumn="1" w:lastColumn="0" w:oddVBand="0" w:evenVBand="0" w:oddHBand="0" w:evenHBand="0" w:firstRowFirstColumn="0" w:firstRowLastColumn="0" w:lastRowFirstColumn="0" w:lastRowLastColumn="0"/>
            <w:tcW w:w="606" w:type="pct"/>
            <w:vAlign w:val="center"/>
          </w:tcPr>
          <w:p w14:paraId="68DDA731" w14:textId="77777777" w:rsidR="002671CC" w:rsidRPr="00B357F4" w:rsidRDefault="002671CC" w:rsidP="00D60709">
            <w:pPr>
              <w:spacing w:before="0" w:after="0"/>
              <w:rPr>
                <w:rFonts w:cs="Tahoma"/>
                <w:color w:val="000000"/>
                <w:sz w:val="16"/>
                <w:szCs w:val="16"/>
              </w:rPr>
            </w:pPr>
            <w:r w:rsidRPr="00B357F4">
              <w:rPr>
                <w:rFonts w:cs="Tahoma"/>
                <w:color w:val="000000"/>
                <w:sz w:val="16"/>
                <w:szCs w:val="16"/>
              </w:rPr>
              <w:lastRenderedPageBreak/>
              <w:t>Stopa obnove [%]</w:t>
            </w:r>
          </w:p>
        </w:tc>
        <w:tc>
          <w:tcPr>
            <w:tcW w:w="439" w:type="pct"/>
            <w:vAlign w:val="center"/>
          </w:tcPr>
          <w:p w14:paraId="1A63F345"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w:t>
            </w:r>
          </w:p>
        </w:tc>
        <w:tc>
          <w:tcPr>
            <w:tcW w:w="439" w:type="pct"/>
            <w:vAlign w:val="center"/>
          </w:tcPr>
          <w:p w14:paraId="07786A33"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w:t>
            </w:r>
          </w:p>
        </w:tc>
        <w:tc>
          <w:tcPr>
            <w:tcW w:w="440" w:type="pct"/>
            <w:vAlign w:val="center"/>
          </w:tcPr>
          <w:p w14:paraId="318EC89F"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w:t>
            </w:r>
          </w:p>
        </w:tc>
        <w:tc>
          <w:tcPr>
            <w:tcW w:w="439" w:type="pct"/>
            <w:vAlign w:val="center"/>
          </w:tcPr>
          <w:p w14:paraId="4DB3480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w:t>
            </w:r>
          </w:p>
        </w:tc>
        <w:tc>
          <w:tcPr>
            <w:tcW w:w="440" w:type="pct"/>
            <w:vAlign w:val="center"/>
          </w:tcPr>
          <w:p w14:paraId="71DF7E06"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w:t>
            </w:r>
          </w:p>
        </w:tc>
        <w:tc>
          <w:tcPr>
            <w:tcW w:w="439" w:type="pct"/>
            <w:vAlign w:val="center"/>
          </w:tcPr>
          <w:p w14:paraId="25F29694"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w:t>
            </w:r>
          </w:p>
        </w:tc>
        <w:tc>
          <w:tcPr>
            <w:tcW w:w="439" w:type="pct"/>
            <w:vAlign w:val="center"/>
          </w:tcPr>
          <w:p w14:paraId="668782E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2,5</w:t>
            </w:r>
          </w:p>
        </w:tc>
        <w:tc>
          <w:tcPr>
            <w:tcW w:w="440" w:type="pct"/>
            <w:vAlign w:val="center"/>
          </w:tcPr>
          <w:p w14:paraId="77B5E1A2"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2,5</w:t>
            </w:r>
          </w:p>
        </w:tc>
        <w:tc>
          <w:tcPr>
            <w:tcW w:w="439" w:type="pct"/>
            <w:vAlign w:val="center"/>
          </w:tcPr>
          <w:p w14:paraId="179DFE83"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w:t>
            </w:r>
          </w:p>
        </w:tc>
        <w:tc>
          <w:tcPr>
            <w:tcW w:w="440" w:type="pct"/>
            <w:vAlign w:val="center"/>
          </w:tcPr>
          <w:p w14:paraId="2339A86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w:t>
            </w:r>
          </w:p>
        </w:tc>
      </w:tr>
    </w:tbl>
    <w:p w14:paraId="5FF52359" w14:textId="447CDF98" w:rsidR="00397375" w:rsidRPr="00B357F4" w:rsidRDefault="5B3ABE99" w:rsidP="00397375">
      <w:r w:rsidRPr="00B357F4">
        <w:rPr>
          <w:b/>
        </w:rPr>
        <w:t xml:space="preserve">Ukupno bi u razdoblju do 2030. godine trebalo obnoviti nešto manje od </w:t>
      </w:r>
      <w:r w:rsidR="0D96A925" w:rsidRPr="00B357F4">
        <w:rPr>
          <w:b/>
        </w:rPr>
        <w:t>3</w:t>
      </w:r>
      <w:r w:rsidRPr="00B357F4">
        <w:rPr>
          <w:b/>
        </w:rPr>
        <w:t xml:space="preserve"> milijuna m</w:t>
      </w:r>
      <w:r w:rsidRPr="00B357F4">
        <w:rPr>
          <w:b/>
          <w:vertAlign w:val="superscript"/>
        </w:rPr>
        <w:t>2</w:t>
      </w:r>
      <w:r w:rsidRPr="00B357F4">
        <w:rPr>
          <w:b/>
        </w:rPr>
        <w:t xml:space="preserve"> u </w:t>
      </w:r>
      <w:r w:rsidR="77341D42" w:rsidRPr="00B357F4">
        <w:rPr>
          <w:b/>
        </w:rPr>
        <w:t>ZJS</w:t>
      </w:r>
      <w:r w:rsidRPr="00B357F4">
        <w:t xml:space="preserve">. S obzirom da se ovaj Program donosi 2021. godine, početak provedbe projekata obnove </w:t>
      </w:r>
      <w:r w:rsidR="281C8A35" w:rsidRPr="00B357F4">
        <w:t>ZJS</w:t>
      </w:r>
      <w:r w:rsidRPr="00B357F4">
        <w:t xml:space="preserve"> jest 2022. godine, što ostavlja 9 godina za ostvarenje zacrtanih srednjoročnih ciljeva. Drugim riječima, prosječno bi </w:t>
      </w:r>
      <w:r w:rsidRPr="00B357F4">
        <w:rPr>
          <w:b/>
        </w:rPr>
        <w:t xml:space="preserve">godišnje trebalo obnavljati oko </w:t>
      </w:r>
      <w:r w:rsidR="6D7BD00C" w:rsidRPr="00B357F4">
        <w:rPr>
          <w:b/>
        </w:rPr>
        <w:t>325</w:t>
      </w:r>
      <w:r w:rsidRPr="00B357F4">
        <w:rPr>
          <w:b/>
        </w:rPr>
        <w:t xml:space="preserve"> </w:t>
      </w:r>
      <w:r w:rsidR="6D7BD00C" w:rsidRPr="00B357F4">
        <w:rPr>
          <w:b/>
        </w:rPr>
        <w:t>tisuća</w:t>
      </w:r>
      <w:r w:rsidRPr="00B357F4">
        <w:rPr>
          <w:b/>
        </w:rPr>
        <w:t xml:space="preserve"> m</w:t>
      </w:r>
      <w:r w:rsidRPr="00B357F4">
        <w:rPr>
          <w:b/>
          <w:vertAlign w:val="superscript"/>
        </w:rPr>
        <w:t>2</w:t>
      </w:r>
      <w:r w:rsidRPr="00B357F4">
        <w:rPr>
          <w:b/>
        </w:rPr>
        <w:t xml:space="preserve"> </w:t>
      </w:r>
      <w:r w:rsidR="7E3E8B89" w:rsidRPr="00B357F4">
        <w:rPr>
          <w:b/>
        </w:rPr>
        <w:t>ZJS</w:t>
      </w:r>
      <w:r w:rsidRPr="00B357F4">
        <w:t xml:space="preserve"> naj</w:t>
      </w:r>
      <w:r w:rsidR="48C16752" w:rsidRPr="00B357F4">
        <w:t>lošijih</w:t>
      </w:r>
      <w:r w:rsidRPr="00B357F4">
        <w:t xml:space="preserve"> energetskih karakteristika. </w:t>
      </w:r>
    </w:p>
    <w:p w14:paraId="5A59E9B8" w14:textId="7D9D3A9A" w:rsidR="00397375" w:rsidRPr="00B03C9B" w:rsidRDefault="5B3ABE99" w:rsidP="2A9591B5">
      <w:r w:rsidRPr="00B03C9B">
        <w:t xml:space="preserve">Prethodno provedeni </w:t>
      </w:r>
      <w:r w:rsidR="7E3E8B89" w:rsidRPr="00971F9E">
        <w:t>p</w:t>
      </w:r>
      <w:r w:rsidRPr="00971F9E">
        <w:t>rogram</w:t>
      </w:r>
      <w:r w:rsidR="7E3E8B89" w:rsidRPr="00B357F4">
        <w:t>i</w:t>
      </w:r>
      <w:r w:rsidRPr="00B357F4">
        <w:t xml:space="preserve"> energetske obnove </w:t>
      </w:r>
      <w:r w:rsidR="7E3E8B89" w:rsidRPr="00B357F4">
        <w:t>ZJS</w:t>
      </w:r>
      <w:r w:rsidRPr="00B357F4">
        <w:t xml:space="preserve"> od 2014. do 2020. dokazuj</w:t>
      </w:r>
      <w:r w:rsidR="2B09CECD" w:rsidRPr="00B357F4">
        <w:t>u</w:t>
      </w:r>
      <w:r w:rsidRPr="00B357F4">
        <w:t xml:space="preserve"> da su ove brojke dostižne</w:t>
      </w:r>
      <w:r w:rsidR="00912FB8" w:rsidRPr="00B357F4">
        <w:t>,</w:t>
      </w:r>
      <w:r w:rsidR="3E5A9DE7" w:rsidRPr="00D95720">
        <w:t xml:space="preserve"> ali da je od presudne važnost</w:t>
      </w:r>
      <w:r w:rsidR="00760C3F" w:rsidRPr="00D95720">
        <w:t>i</w:t>
      </w:r>
      <w:r w:rsidR="3E5A9DE7" w:rsidRPr="00D95720">
        <w:t xml:space="preserve"> kontinuiranost provedbe Programa odnosno raspisivanje javnih poziva svake godine</w:t>
      </w:r>
      <w:r w:rsidRPr="00971F9E">
        <w:t xml:space="preserve">. </w:t>
      </w:r>
    </w:p>
    <w:p w14:paraId="201CF471" w14:textId="10C0F680" w:rsidR="004B43AB" w:rsidRPr="00B357F4" w:rsidRDefault="3D1EB009" w:rsidP="004B43AB">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971F9E">
        <w:rPr>
          <w:b/>
        </w:rPr>
        <w:t xml:space="preserve">Prioritet ovog Programa je osigurati kontinuiranu obnovu ZJS </w:t>
      </w:r>
      <w:r w:rsidR="5D409351" w:rsidRPr="00B357F4">
        <w:rPr>
          <w:b/>
          <w:bCs/>
        </w:rPr>
        <w:t>najlošijih</w:t>
      </w:r>
      <w:r w:rsidRPr="00B357F4">
        <w:rPr>
          <w:b/>
        </w:rPr>
        <w:t xml:space="preserve"> energetskih karakteristika od 2022. godine nadalje osiguravanjem sredstava dostatnih za obnovu prosječno </w:t>
      </w:r>
      <w:r w:rsidR="7A205EAB" w:rsidRPr="00B357F4">
        <w:rPr>
          <w:b/>
        </w:rPr>
        <w:t>325</w:t>
      </w:r>
      <w:r w:rsidRPr="00B357F4">
        <w:rPr>
          <w:b/>
        </w:rPr>
        <w:t>.000 m</w:t>
      </w:r>
      <w:r w:rsidRPr="00B357F4">
        <w:rPr>
          <w:b/>
          <w:vertAlign w:val="superscript"/>
        </w:rPr>
        <w:t>2</w:t>
      </w:r>
      <w:r w:rsidRPr="00B357F4">
        <w:rPr>
          <w:b/>
        </w:rPr>
        <w:t xml:space="preserve"> </w:t>
      </w:r>
      <w:r w:rsidR="082D24F2" w:rsidRPr="00B357F4">
        <w:rPr>
          <w:b/>
        </w:rPr>
        <w:t>ZJS</w:t>
      </w:r>
      <w:r w:rsidRPr="00B357F4">
        <w:rPr>
          <w:b/>
        </w:rPr>
        <w:t xml:space="preserve"> godišnje. </w:t>
      </w:r>
    </w:p>
    <w:p w14:paraId="110BDA9C" w14:textId="0F24B0D0" w:rsidR="00D07BE4" w:rsidRPr="00B357F4" w:rsidRDefault="07EA642B" w:rsidP="00397375">
      <w:pPr>
        <w:pStyle w:val="Naslov20"/>
      </w:pPr>
      <w:bookmarkStart w:id="72" w:name="_Toc94769982"/>
      <w:r w:rsidRPr="00B357F4">
        <w:t>Srednjo</w:t>
      </w:r>
      <w:r w:rsidR="5CB8B98E" w:rsidRPr="00B357F4">
        <w:t>ročna vizija razvoja</w:t>
      </w:r>
      <w:bookmarkEnd w:id="72"/>
    </w:p>
    <w:p w14:paraId="5218E503" w14:textId="70554D46" w:rsidR="009F7509" w:rsidRPr="00B357F4" w:rsidRDefault="4C3B8E56" w:rsidP="009F7509">
      <w:pPr>
        <w:rPr>
          <w:lang w:eastAsia="hr-HR"/>
        </w:rPr>
      </w:pPr>
      <w:r w:rsidRPr="00B357F4">
        <w:rPr>
          <w:lang w:eastAsia="hr-HR"/>
        </w:rPr>
        <w:t>Vizija Nacionalne razvojne strategije</w:t>
      </w:r>
      <w:r w:rsidR="0027212A">
        <w:rPr>
          <w:lang w:eastAsia="hr-HR"/>
        </w:rPr>
        <w:t xml:space="preserve"> (</w:t>
      </w:r>
      <w:r w:rsidR="002124D6">
        <w:rPr>
          <w:lang w:eastAsia="hr-HR"/>
        </w:rPr>
        <w:t>N</w:t>
      </w:r>
      <w:r w:rsidR="0027212A">
        <w:rPr>
          <w:lang w:eastAsia="hr-HR"/>
        </w:rPr>
        <w:t>arodne novine</w:t>
      </w:r>
      <w:r w:rsidR="005D41E4">
        <w:rPr>
          <w:lang w:eastAsia="hr-HR"/>
        </w:rPr>
        <w:t>,</w:t>
      </w:r>
      <w:r w:rsidR="0027212A">
        <w:rPr>
          <w:lang w:eastAsia="hr-HR"/>
        </w:rPr>
        <w:t xml:space="preserve"> br</w:t>
      </w:r>
      <w:r w:rsidR="002124D6">
        <w:rPr>
          <w:lang w:eastAsia="hr-HR"/>
        </w:rPr>
        <w:t>oj 123/17)</w:t>
      </w:r>
      <w:r w:rsidR="005747DE">
        <w:rPr>
          <w:vertAlign w:val="superscript"/>
          <w:lang w:eastAsia="hr-HR"/>
        </w:rPr>
        <w:t>11</w:t>
      </w:r>
      <w:r w:rsidRPr="00B357F4">
        <w:rPr>
          <w:lang w:eastAsia="hr-HR"/>
        </w:rPr>
        <w:t>, kao</w:t>
      </w:r>
      <w:r w:rsidR="00471695">
        <w:rPr>
          <w:lang w:eastAsia="hr-HR"/>
        </w:rPr>
        <w:t xml:space="preserve"> najvažnijeg</w:t>
      </w:r>
      <w:r w:rsidR="005D41E4">
        <w:rPr>
          <w:lang w:eastAsia="hr-HR"/>
        </w:rPr>
        <w:t xml:space="preserve"> </w:t>
      </w:r>
      <w:r w:rsidRPr="00B357F4">
        <w:rPr>
          <w:lang w:eastAsia="hr-HR"/>
        </w:rPr>
        <w:t xml:space="preserve">dokumenta strateškog planiranja RH, usvojenog od strane Hrvatskog sabora u skladu sa Zakonom o sustavu strateškog planiranja i upravljanja razvojem </w:t>
      </w:r>
      <w:r w:rsidR="001F378E">
        <w:rPr>
          <w:lang w:eastAsia="hr-HR"/>
        </w:rPr>
        <w:t>u Hrvatskoj jest</w:t>
      </w:r>
      <w:r w:rsidRPr="00B357F4">
        <w:rPr>
          <w:lang w:eastAsia="hr-HR"/>
        </w:rPr>
        <w:t>:</w:t>
      </w:r>
    </w:p>
    <w:p w14:paraId="201679F6" w14:textId="77777777" w:rsidR="009F7509" w:rsidRPr="00B357F4" w:rsidRDefault="009F7509"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Hrvatska je u 2030. godini konkurentna, inovativna i sigurna zemlja prepoznatljivog identiteta i kulture, zemlja očuvanih resursa, kvalitetnih životnih uvjeta i jednakih prilika za sve.</w:t>
      </w:r>
    </w:p>
    <w:p w14:paraId="19518BFD" w14:textId="46589A8E" w:rsidR="009F7509" w:rsidRPr="00B357F4" w:rsidRDefault="4C3B8E56" w:rsidP="009F7509">
      <w:r w:rsidRPr="00B357F4">
        <w:t>Dugoročna strategija obnove nacionalnog fonda zgrada  do 2050. godine, akt je kojega je Vlada  usvojila na temelju Zakona o gradnji (</w:t>
      </w:r>
      <w:r w:rsidR="1D0BD270" w:rsidRPr="00B357F4">
        <w:t>Narodne novine</w:t>
      </w:r>
      <w:r w:rsidR="00F427BB">
        <w:t>,</w:t>
      </w:r>
      <w:r w:rsidRPr="00B357F4">
        <w:t xml:space="preserve"> </w:t>
      </w:r>
      <w:r w:rsidR="001F378E" w:rsidRPr="00B357F4">
        <w:t>br</w:t>
      </w:r>
      <w:r w:rsidR="00F427BB">
        <w:t>oj</w:t>
      </w:r>
      <w:r w:rsidR="001F378E" w:rsidRPr="00B357F4">
        <w:t xml:space="preserve"> </w:t>
      </w:r>
      <w:r w:rsidRPr="00B357F4">
        <w:t>153/13, 20/17, 39/19, 125/19) te čija je vizija:</w:t>
      </w:r>
    </w:p>
    <w:p w14:paraId="68743689" w14:textId="1EACE3BE" w:rsidR="009F7509" w:rsidRPr="00B357F4" w:rsidRDefault="4C3B8E56"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Sve zgrade u </w:t>
      </w:r>
      <w:r w:rsidR="70154A62" w:rsidRPr="00B357F4">
        <w:rPr>
          <w:b/>
          <w:bCs/>
        </w:rPr>
        <w:t>Hrvatskoj</w:t>
      </w:r>
      <w:r w:rsidRPr="00B357F4">
        <w:rPr>
          <w:b/>
        </w:rPr>
        <w:t xml:space="preserve"> su 2050. godine gotovo nula energetske ili s visokom razinom energetske učinkovitosti.</w:t>
      </w:r>
    </w:p>
    <w:p w14:paraId="4D5D0680" w14:textId="69A9A18C" w:rsidR="009F7509" w:rsidRPr="00B357F4" w:rsidRDefault="4C3B8E56" w:rsidP="009F7509">
      <w:r w:rsidRPr="00B357F4">
        <w:rPr>
          <w:lang w:eastAsia="hr-HR"/>
        </w:rPr>
        <w:t xml:space="preserve">Srednjoročni cilj </w:t>
      </w:r>
      <w:r w:rsidRPr="00B357F4">
        <w:t>Dugoročne strategije obnove nacionalnog fonda zgrada  za 2030.godinu jest:</w:t>
      </w:r>
    </w:p>
    <w:p w14:paraId="04CF4973" w14:textId="77777777" w:rsidR="009F7509" w:rsidRPr="00B357F4" w:rsidRDefault="009F7509"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U 2030. godini obnovljeno je 25% nacionalnog fonda zgrada te je postignuta godišnja stopa obnove zgrada od 3%.</w:t>
      </w:r>
    </w:p>
    <w:p w14:paraId="1F41784D" w14:textId="2BA77A89" w:rsidR="009F7509" w:rsidRPr="00B357F4" w:rsidRDefault="4C3B8E56" w:rsidP="009F7509">
      <w:pPr>
        <w:rPr>
          <w:lang w:eastAsia="hr-HR"/>
        </w:rPr>
      </w:pPr>
      <w:r w:rsidRPr="00B357F4">
        <w:rPr>
          <w:lang w:eastAsia="hr-HR"/>
        </w:rPr>
        <w:t xml:space="preserve">Ovaj Program donosi se temeljem članka 47.b Zakona o gradnji, a njegova je svrha doprinijeti ostvarenju srednjoročnog cilja Dugoročne strategije obnove nacionalnog fonda zgrada. Stoga, u smislu Zakona o sustavu strateškog planiranja i upravljanja razvojem </w:t>
      </w:r>
      <w:r w:rsidR="6A32E620" w:rsidRPr="00B357F4">
        <w:rPr>
          <w:lang w:eastAsia="hr-HR"/>
        </w:rPr>
        <w:t>Republike Hrvatske</w:t>
      </w:r>
      <w:r w:rsidRPr="00B357F4">
        <w:rPr>
          <w:lang w:eastAsia="hr-HR"/>
        </w:rPr>
        <w:t>, ovaj Program predstavlja 10-godišnji plan provedbe Dugoročne strategije obnove nacionalnog fonda zgrada za specifičan segment toga fonda –zgrade</w:t>
      </w:r>
      <w:r w:rsidR="43C28218" w:rsidRPr="00B357F4">
        <w:rPr>
          <w:lang w:eastAsia="hr-HR"/>
        </w:rPr>
        <w:t xml:space="preserve"> javnog sektora</w:t>
      </w:r>
      <w:r w:rsidRPr="00B357F4">
        <w:rPr>
          <w:lang w:eastAsia="hr-HR"/>
        </w:rPr>
        <w:t xml:space="preserve">. </w:t>
      </w:r>
    </w:p>
    <w:p w14:paraId="2DB0EC4E" w14:textId="3FFE14A9" w:rsidR="009F7509" w:rsidRPr="00B357F4" w:rsidRDefault="009F7509" w:rsidP="009F7509">
      <w:pPr>
        <w:rPr>
          <w:lang w:eastAsia="hr-HR"/>
        </w:rPr>
      </w:pPr>
      <w:r w:rsidRPr="00B357F4">
        <w:rPr>
          <w:lang w:eastAsia="hr-HR"/>
        </w:rPr>
        <w:t xml:space="preserve">U skladu s opisanim strateškim ciljevima iz hijerarhijski nadređenih dokumenata strateškog planiranja te razvojnim potrebama, potencijalima i prioritetima obnove </w:t>
      </w:r>
      <w:r w:rsidR="0019494E" w:rsidRPr="00B357F4">
        <w:rPr>
          <w:lang w:eastAsia="hr-HR"/>
        </w:rPr>
        <w:t>ZJS</w:t>
      </w:r>
      <w:r w:rsidRPr="00B357F4">
        <w:rPr>
          <w:lang w:eastAsia="hr-HR"/>
        </w:rPr>
        <w:t>, vizija ovog Programa može se utvrditi kako slijedi:</w:t>
      </w:r>
    </w:p>
    <w:p w14:paraId="77662700" w14:textId="0C94A074" w:rsidR="009F7509" w:rsidRPr="00B357F4" w:rsidRDefault="009F7509"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Hrvatski građani 2030. godine </w:t>
      </w:r>
      <w:r w:rsidR="00385D0F" w:rsidRPr="00B357F4">
        <w:rPr>
          <w:b/>
        </w:rPr>
        <w:t>primaju javne usluge</w:t>
      </w:r>
      <w:r w:rsidRPr="00B357F4">
        <w:rPr>
          <w:b/>
        </w:rPr>
        <w:t xml:space="preserve"> u kvalitetno obnovljenim, sigurnim, zdravim i energetski učinkovitim zgradama</w:t>
      </w:r>
      <w:r w:rsidR="001269A7" w:rsidRPr="00B357F4">
        <w:rPr>
          <w:b/>
        </w:rPr>
        <w:t xml:space="preserve"> javnoga sektora</w:t>
      </w:r>
      <w:r w:rsidRPr="00B357F4">
        <w:rPr>
          <w:b/>
        </w:rPr>
        <w:t>, koje iskorištavaju raspoložive obnovljive izvore energije uporabom modernih tehnologija te</w:t>
      </w:r>
      <w:r w:rsidR="00663ED0" w:rsidRPr="00B357F4">
        <w:rPr>
          <w:b/>
        </w:rPr>
        <w:t xml:space="preserve"> </w:t>
      </w:r>
      <w:r w:rsidR="000B0AE7" w:rsidRPr="00B357F4">
        <w:rPr>
          <w:b/>
        </w:rPr>
        <w:t>doprinose racionalizaciji troškova javnoga sektora</w:t>
      </w:r>
      <w:r w:rsidRPr="00B357F4">
        <w:rPr>
          <w:b/>
        </w:rPr>
        <w:t xml:space="preserve">. </w:t>
      </w:r>
    </w:p>
    <w:p w14:paraId="24F333D2" w14:textId="2DBD143B" w:rsidR="009F7509" w:rsidRPr="00B357F4" w:rsidRDefault="009F7509" w:rsidP="009F7509">
      <w:pPr>
        <w:rPr>
          <w:lang w:eastAsia="hr-HR"/>
        </w:rPr>
      </w:pPr>
      <w:r w:rsidRPr="00B357F4">
        <w:rPr>
          <w:lang w:eastAsia="hr-HR"/>
        </w:rPr>
        <w:t>U ovoj rečenici sadržan</w:t>
      </w:r>
      <w:r w:rsidR="0002526F" w:rsidRPr="00B357F4">
        <w:rPr>
          <w:lang w:eastAsia="hr-HR"/>
        </w:rPr>
        <w:t>e</w:t>
      </w:r>
      <w:r w:rsidRPr="00B357F4">
        <w:rPr>
          <w:lang w:eastAsia="hr-HR"/>
        </w:rPr>
        <w:t xml:space="preserve"> su temeljne odrednice ovog Programa:</w:t>
      </w:r>
    </w:p>
    <w:p w14:paraId="2117CCD8" w14:textId="68B10925" w:rsidR="009F7509" w:rsidRPr="00B357F4" w:rsidRDefault="009F7509" w:rsidP="00725AB0">
      <w:pPr>
        <w:pStyle w:val="Odlomakpopisa"/>
        <w:numPr>
          <w:ilvl w:val="0"/>
          <w:numId w:val="34"/>
        </w:numPr>
      </w:pPr>
      <w:r w:rsidRPr="00B357F4">
        <w:t xml:space="preserve">Programom se utvrđuje način financijske pomoći koju država </w:t>
      </w:r>
      <w:r w:rsidR="00F0532D" w:rsidRPr="00B357F4">
        <w:t>osigurava</w:t>
      </w:r>
      <w:r w:rsidRPr="00B357F4">
        <w:t xml:space="preserve"> za obnovu </w:t>
      </w:r>
      <w:r w:rsidR="00F0532D" w:rsidRPr="00B357F4">
        <w:t>ZJS</w:t>
      </w:r>
      <w:r w:rsidRPr="00B357F4">
        <w:t xml:space="preserve"> prema načelima:</w:t>
      </w:r>
    </w:p>
    <w:p w14:paraId="291A2DDF" w14:textId="77777777" w:rsidR="009F7509" w:rsidRPr="00B357F4" w:rsidRDefault="009F7509" w:rsidP="00725AB0">
      <w:pPr>
        <w:pStyle w:val="Odlomakpopisa"/>
        <w:numPr>
          <w:ilvl w:val="1"/>
          <w:numId w:val="34"/>
        </w:numPr>
      </w:pPr>
      <w:r w:rsidRPr="00B357F4">
        <w:t>energetske učinkovitosti i korištenja obnovljivih izvora energije, sve do nZEB standarda za rekonstrukciju,</w:t>
      </w:r>
    </w:p>
    <w:p w14:paraId="6C5E8EB6" w14:textId="77777777" w:rsidR="009F7509" w:rsidRPr="00B357F4" w:rsidRDefault="009F7509" w:rsidP="00725AB0">
      <w:pPr>
        <w:pStyle w:val="Odlomakpopisa"/>
        <w:numPr>
          <w:ilvl w:val="1"/>
          <w:numId w:val="34"/>
        </w:numPr>
      </w:pPr>
      <w:r w:rsidRPr="00B357F4">
        <w:t xml:space="preserve">kvalitetnih odnosno zdravih unutarnjih klimatskih uvjeta i </w:t>
      </w:r>
    </w:p>
    <w:p w14:paraId="369F5B5D" w14:textId="420597AA" w:rsidR="008B0842" w:rsidRDefault="4C3B8E56" w:rsidP="008B0842">
      <w:pPr>
        <w:pStyle w:val="Odlomakpopisa"/>
        <w:numPr>
          <w:ilvl w:val="1"/>
          <w:numId w:val="34"/>
        </w:numPr>
      </w:pPr>
      <w:r w:rsidRPr="00B357F4">
        <w:t xml:space="preserve">sigurnosti </w:t>
      </w:r>
      <w:r w:rsidR="0E0CA22D" w:rsidRPr="00B357F4">
        <w:t>u slučaju</w:t>
      </w:r>
      <w:r w:rsidRPr="00B357F4">
        <w:t xml:space="preserve"> požara i potresa.</w:t>
      </w:r>
    </w:p>
    <w:p w14:paraId="6B983AA8" w14:textId="118B83BC" w:rsidR="008B0842" w:rsidRPr="00912D28" w:rsidRDefault="00DD1559" w:rsidP="00912D28">
      <w:pPr>
        <w:pBdr>
          <w:top w:val="single" w:sz="4" w:space="1" w:color="auto"/>
        </w:pBdr>
        <w:rPr>
          <w:i/>
          <w:iCs/>
          <w:sz w:val="18"/>
          <w:szCs w:val="18"/>
        </w:rPr>
      </w:pPr>
      <w:r w:rsidRPr="00912D28">
        <w:rPr>
          <w:rStyle w:val="Referencafusnote"/>
          <w:rFonts w:eastAsiaTheme="majorEastAsia"/>
          <w:i/>
          <w:iCs/>
          <w:sz w:val="18"/>
          <w:szCs w:val="18"/>
        </w:rPr>
        <w:footnoteRef/>
      </w:r>
      <w:r w:rsidRPr="00912D28">
        <w:rPr>
          <w:i/>
          <w:iCs/>
          <w:sz w:val="18"/>
          <w:szCs w:val="18"/>
          <w:vertAlign w:val="superscript"/>
        </w:rPr>
        <w:t>1</w:t>
      </w:r>
      <w:r w:rsidRPr="00912D28">
        <w:rPr>
          <w:i/>
          <w:iCs/>
          <w:sz w:val="18"/>
          <w:szCs w:val="18"/>
        </w:rPr>
        <w:t xml:space="preserve"> Nacionalnu razvojnu strategija </w:t>
      </w:r>
      <w:r w:rsidR="00895C45" w:rsidRPr="00912D28">
        <w:rPr>
          <w:i/>
          <w:iCs/>
          <w:sz w:val="18"/>
          <w:szCs w:val="18"/>
        </w:rPr>
        <w:t>usvojio</w:t>
      </w:r>
      <w:r w:rsidRPr="00912D28">
        <w:rPr>
          <w:i/>
          <w:iCs/>
          <w:sz w:val="18"/>
          <w:szCs w:val="18"/>
        </w:rPr>
        <w:t xml:space="preserve"> je Hrvatski sabor u skladu sa Zakonom o sustavu strateškog planiranja i upravljanja razvojem Republike </w:t>
      </w:r>
      <w:r w:rsidR="00895C45" w:rsidRPr="00912D28">
        <w:rPr>
          <w:i/>
          <w:iCs/>
          <w:sz w:val="18"/>
          <w:szCs w:val="18"/>
        </w:rPr>
        <w:t>Hrvatske</w:t>
      </w:r>
      <w:r w:rsidRPr="00912D28">
        <w:rPr>
          <w:i/>
          <w:iCs/>
          <w:sz w:val="18"/>
          <w:szCs w:val="18"/>
        </w:rPr>
        <w:t xml:space="preserve"> (Narodne novine, br. 123/17).</w:t>
      </w:r>
    </w:p>
    <w:p w14:paraId="4ABEE120" w14:textId="22A65357" w:rsidR="009F7509" w:rsidRPr="00B357F4" w:rsidRDefault="009F7509" w:rsidP="00725AB0">
      <w:pPr>
        <w:pStyle w:val="Odlomakpopisa"/>
        <w:numPr>
          <w:ilvl w:val="0"/>
          <w:numId w:val="34"/>
        </w:numPr>
      </w:pPr>
      <w:r w:rsidRPr="00B357F4">
        <w:lastRenderedPageBreak/>
        <w:t xml:space="preserve">Programom se uspostavlja sustav za osiguravanje energetske obnove </w:t>
      </w:r>
      <w:r w:rsidR="00A83B16" w:rsidRPr="00B357F4">
        <w:t>ZJS</w:t>
      </w:r>
      <w:r w:rsidRPr="00B357F4">
        <w:t xml:space="preserve"> stradalih u potresu, kao nadogradnja odnosno usporedni proces s konstrukcijskom obnovom i/ili popravkom nekonstrukcijskih elemenata nakon potresa.</w:t>
      </w:r>
    </w:p>
    <w:p w14:paraId="0A0C8B0C" w14:textId="65DF659E" w:rsidR="007C724A" w:rsidRPr="00B357F4" w:rsidRDefault="5CB8B98E" w:rsidP="00AF018F">
      <w:pPr>
        <w:pStyle w:val="Naslov20"/>
      </w:pPr>
      <w:bookmarkStart w:id="73" w:name="_Ref93585799"/>
      <w:bookmarkStart w:id="74" w:name="_Toc94769983"/>
      <w:r w:rsidRPr="00B357F4">
        <w:t>Posebni ciljevi i ključni pokazatelji ishoda</w:t>
      </w:r>
      <w:bookmarkEnd w:id="73"/>
      <w:bookmarkEnd w:id="74"/>
    </w:p>
    <w:p w14:paraId="4F9BC35F" w14:textId="585704F4" w:rsidR="00D1493D" w:rsidRPr="00B357F4" w:rsidRDefault="6B25E0EC" w:rsidP="00D1493D">
      <w:pPr>
        <w:rPr>
          <w:lang w:eastAsia="hr-HR"/>
        </w:rPr>
      </w:pPr>
      <w:r w:rsidRPr="00B357F4">
        <w:rPr>
          <w:lang w:eastAsia="hr-HR"/>
        </w:rPr>
        <w:t xml:space="preserve">Dugoročna strategija obnove nacionalnog fonda zgrada do 2050. temeljni je akt strateškog planiranja za područje obnove zgrada. Ovaj Program je u funkciji ostvarenja strateškog cilja definiranog upravo u Dugoročnoj strategiji, u kojoj su definirani i pokazatelji učinka. </w:t>
      </w:r>
    </w:p>
    <w:p w14:paraId="25A2EFC0" w14:textId="1E3DAAE0" w:rsidR="00D1493D" w:rsidRPr="00B357F4" w:rsidRDefault="00D1493D" w:rsidP="00D1493D">
      <w:pPr>
        <w:rPr>
          <w:lang w:eastAsia="hr-HR"/>
        </w:rPr>
      </w:pPr>
      <w:r w:rsidRPr="00B357F4">
        <w:rPr>
          <w:lang w:eastAsia="hr-HR"/>
        </w:rPr>
        <w:t>Ovaj Program je jedna od mjera za ostvarenje ciljeva Dugoročne strategije odnosno provedba ovoga Programa doprinosi ostvarenju strateškog cilja iz Dugoročne strategije s fokusom na segment zgrada</w:t>
      </w:r>
      <w:r w:rsidR="00476EC5" w:rsidRPr="00B357F4">
        <w:rPr>
          <w:lang w:eastAsia="hr-HR"/>
        </w:rPr>
        <w:t xml:space="preserve"> javnog sektora</w:t>
      </w:r>
      <w:r w:rsidRPr="00B357F4">
        <w:rPr>
          <w:lang w:eastAsia="hr-HR"/>
        </w:rPr>
        <w:t xml:space="preserve">. Zato se mjerljivi pokazatelji ishoda definiraju za ovaj Program u cijelosti, a ostvarenje tih ciljeva će se pratiti na način opisan u poglavlju </w:t>
      </w:r>
      <w:r w:rsidR="00AF0284" w:rsidRPr="00B357F4">
        <w:rPr>
          <w:lang w:eastAsia="hr-HR"/>
        </w:rPr>
        <w:t>10</w:t>
      </w:r>
      <w:r w:rsidRPr="00B357F4">
        <w:rPr>
          <w:lang w:eastAsia="hr-HR"/>
        </w:rPr>
        <w:t xml:space="preserve">. </w:t>
      </w:r>
    </w:p>
    <w:tbl>
      <w:tblPr>
        <w:tblStyle w:val="Svijetlatablicareetke110"/>
        <w:tblW w:w="0" w:type="auto"/>
        <w:tblLook w:val="04A0" w:firstRow="1" w:lastRow="0" w:firstColumn="1" w:lastColumn="0" w:noHBand="0" w:noVBand="1"/>
      </w:tblPr>
      <w:tblGrid>
        <w:gridCol w:w="3397"/>
        <w:gridCol w:w="2977"/>
        <w:gridCol w:w="2970"/>
      </w:tblGrid>
      <w:tr w:rsidR="00D1493D" w:rsidRPr="00B357F4" w14:paraId="043516DB" w14:textId="77777777" w:rsidTr="00A85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3"/>
          </w:tcPr>
          <w:p w14:paraId="76D4633A"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Strateški cilj:</w:t>
            </w:r>
          </w:p>
          <w:p w14:paraId="4CEF970A" w14:textId="0B32E383"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 xml:space="preserve">Sve zgrade u </w:t>
            </w:r>
            <w:r w:rsidR="00C17B85">
              <w:rPr>
                <w:rFonts w:cs="Tahoma"/>
                <w:b w:val="0"/>
                <w:sz w:val="18"/>
                <w:szCs w:val="18"/>
                <w:lang w:eastAsia="hr-HR"/>
              </w:rPr>
              <w:t xml:space="preserve">Republici </w:t>
            </w:r>
            <w:r w:rsidR="00530111">
              <w:rPr>
                <w:rFonts w:cs="Tahoma"/>
                <w:b w:val="0"/>
                <w:sz w:val="18"/>
                <w:szCs w:val="18"/>
                <w:lang w:eastAsia="hr-HR"/>
              </w:rPr>
              <w:t>Hrvatskoj</w:t>
            </w:r>
            <w:r w:rsidR="00530111" w:rsidRPr="00B357F4">
              <w:rPr>
                <w:rFonts w:cs="Tahoma"/>
                <w:b w:val="0"/>
                <w:sz w:val="18"/>
                <w:szCs w:val="18"/>
                <w:lang w:eastAsia="hr-HR"/>
              </w:rPr>
              <w:t xml:space="preserve"> </w:t>
            </w:r>
            <w:r w:rsidRPr="00B357F4">
              <w:rPr>
                <w:rFonts w:cs="Tahoma"/>
                <w:b w:val="0"/>
                <w:sz w:val="18"/>
                <w:szCs w:val="18"/>
                <w:lang w:eastAsia="hr-HR"/>
              </w:rPr>
              <w:t>su 2050. godine gotovo nula energetske ili s visokom razinom energetske učinkovitosti.</w:t>
            </w:r>
          </w:p>
          <w:p w14:paraId="1E8234EC" w14:textId="77777777" w:rsidR="00D1493D" w:rsidRPr="00B357F4" w:rsidRDefault="00D1493D" w:rsidP="00A85F83">
            <w:pPr>
              <w:spacing w:before="0" w:after="0"/>
              <w:rPr>
                <w:rFonts w:cs="Tahoma"/>
                <w:sz w:val="18"/>
                <w:szCs w:val="18"/>
                <w:lang w:eastAsia="hr-HR"/>
              </w:rPr>
            </w:pPr>
          </w:p>
        </w:tc>
      </w:tr>
      <w:tr w:rsidR="00D1493D" w:rsidRPr="00B357F4" w14:paraId="46F3AD9D" w14:textId="77777777" w:rsidTr="00A85F83">
        <w:tc>
          <w:tcPr>
            <w:cnfStyle w:val="001000000000" w:firstRow="0" w:lastRow="0" w:firstColumn="1" w:lastColumn="0" w:oddVBand="0" w:evenVBand="0" w:oddHBand="0" w:evenHBand="0" w:firstRowFirstColumn="0" w:firstRowLastColumn="0" w:lastRowFirstColumn="0" w:lastRowLastColumn="0"/>
            <w:tcW w:w="3397" w:type="dxa"/>
          </w:tcPr>
          <w:p w14:paraId="03BA903A"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Pokazatelj učinka:</w:t>
            </w:r>
          </w:p>
          <w:p w14:paraId="273BAB2F" w14:textId="77777777"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Prosječna godišnja stopa obnove zgrada (na temelju desetogodišnjeg razdoblja)</w:t>
            </w:r>
          </w:p>
        </w:tc>
        <w:tc>
          <w:tcPr>
            <w:tcW w:w="2977" w:type="dxa"/>
          </w:tcPr>
          <w:p w14:paraId="3722E0B3"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Početna vrijednost </w:t>
            </w:r>
          </w:p>
          <w:p w14:paraId="5012F676"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0,7% </w:t>
            </w:r>
          </w:p>
        </w:tc>
        <w:tc>
          <w:tcPr>
            <w:tcW w:w="2970" w:type="dxa"/>
          </w:tcPr>
          <w:p w14:paraId="0285F8FE"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2030.:</w:t>
            </w:r>
          </w:p>
          <w:p w14:paraId="68ADDFDE"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3%</w:t>
            </w:r>
          </w:p>
          <w:p w14:paraId="71723F4F"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p>
        </w:tc>
      </w:tr>
      <w:tr w:rsidR="00D1493D" w:rsidRPr="00B357F4" w14:paraId="39BD5CFA" w14:textId="77777777" w:rsidTr="00A85F83">
        <w:tc>
          <w:tcPr>
            <w:cnfStyle w:val="001000000000" w:firstRow="0" w:lastRow="0" w:firstColumn="1" w:lastColumn="0" w:oddVBand="0" w:evenVBand="0" w:oddHBand="0" w:evenHBand="0" w:firstRowFirstColumn="0" w:firstRowLastColumn="0" w:lastRowFirstColumn="0" w:lastRowLastColumn="0"/>
            <w:tcW w:w="3397" w:type="dxa"/>
          </w:tcPr>
          <w:p w14:paraId="0D5839E1" w14:textId="77777777" w:rsidR="00D1493D" w:rsidRPr="00B357F4" w:rsidRDefault="00D1493D" w:rsidP="00A85F83">
            <w:pPr>
              <w:spacing w:before="0" w:after="0"/>
              <w:rPr>
                <w:rFonts w:cs="Tahoma"/>
                <w:b w:val="0"/>
                <w:sz w:val="18"/>
                <w:szCs w:val="18"/>
                <w:lang w:eastAsia="hr-HR"/>
              </w:rPr>
            </w:pPr>
          </w:p>
        </w:tc>
        <w:tc>
          <w:tcPr>
            <w:tcW w:w="2977" w:type="dxa"/>
          </w:tcPr>
          <w:p w14:paraId="0CB1180D"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p>
        </w:tc>
        <w:tc>
          <w:tcPr>
            <w:tcW w:w="2970" w:type="dxa"/>
          </w:tcPr>
          <w:p w14:paraId="00F45DC1"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p>
        </w:tc>
      </w:tr>
      <w:tr w:rsidR="00D1493D" w:rsidRPr="00B357F4" w14:paraId="641E560D" w14:textId="77777777" w:rsidTr="00A85F83">
        <w:tc>
          <w:tcPr>
            <w:cnfStyle w:val="001000000000" w:firstRow="0" w:lastRow="0" w:firstColumn="1" w:lastColumn="0" w:oddVBand="0" w:evenVBand="0" w:oddHBand="0" w:evenHBand="0" w:firstRowFirstColumn="0" w:firstRowLastColumn="0" w:lastRowFirstColumn="0" w:lastRowLastColumn="0"/>
            <w:tcW w:w="9344" w:type="dxa"/>
            <w:gridSpan w:val="3"/>
          </w:tcPr>
          <w:p w14:paraId="30A4AE93"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Posebni cilj 1:</w:t>
            </w:r>
          </w:p>
          <w:p w14:paraId="38CA14D8" w14:textId="228A2B54" w:rsidR="00D1493D" w:rsidRPr="00B357F4" w:rsidRDefault="00D1493D" w:rsidP="00A85F83">
            <w:pPr>
              <w:spacing w:before="0" w:after="0"/>
              <w:rPr>
                <w:rFonts w:cs="Tahoma"/>
                <w:sz w:val="18"/>
                <w:szCs w:val="18"/>
                <w:lang w:eastAsia="hr-HR"/>
              </w:rPr>
            </w:pPr>
            <w:r w:rsidRPr="00B357F4">
              <w:rPr>
                <w:rFonts w:cs="Tahoma"/>
                <w:b w:val="0"/>
                <w:sz w:val="18"/>
                <w:szCs w:val="18"/>
                <w:lang w:eastAsia="hr-HR"/>
              </w:rPr>
              <w:t xml:space="preserve">Energetska i sveobuhvatna obnova zgrada </w:t>
            </w:r>
            <w:r w:rsidR="00407D25" w:rsidRPr="00B357F4">
              <w:rPr>
                <w:rFonts w:cs="Tahoma"/>
                <w:b w:val="0"/>
                <w:sz w:val="18"/>
                <w:szCs w:val="18"/>
                <w:lang w:eastAsia="hr-HR"/>
              </w:rPr>
              <w:t xml:space="preserve">javnog sektora </w:t>
            </w:r>
            <w:r w:rsidRPr="00B357F4">
              <w:rPr>
                <w:rFonts w:cs="Tahoma"/>
                <w:b w:val="0"/>
                <w:sz w:val="18"/>
                <w:szCs w:val="18"/>
                <w:lang w:eastAsia="hr-HR"/>
              </w:rPr>
              <w:t xml:space="preserve">u razdoblju 2021. do 2030. (provedba ovog Programa energetske obnove </w:t>
            </w:r>
            <w:r w:rsidR="00407D25" w:rsidRPr="00B357F4">
              <w:rPr>
                <w:rFonts w:cs="Tahoma"/>
                <w:b w:val="0"/>
                <w:sz w:val="18"/>
                <w:szCs w:val="18"/>
                <w:lang w:eastAsia="hr-HR"/>
              </w:rPr>
              <w:t>ZJS</w:t>
            </w:r>
            <w:r w:rsidRPr="00B357F4">
              <w:rPr>
                <w:rFonts w:cs="Tahoma"/>
                <w:b w:val="0"/>
                <w:sz w:val="18"/>
                <w:szCs w:val="18"/>
                <w:lang w:eastAsia="hr-HR"/>
              </w:rPr>
              <w:t>)</w:t>
            </w:r>
          </w:p>
          <w:p w14:paraId="3B8E7B56" w14:textId="77777777" w:rsidR="00D1493D" w:rsidRPr="00B357F4" w:rsidRDefault="00D1493D" w:rsidP="00A85F83">
            <w:pPr>
              <w:spacing w:before="0" w:after="0"/>
              <w:rPr>
                <w:rFonts w:cs="Tahoma"/>
                <w:sz w:val="18"/>
                <w:szCs w:val="18"/>
                <w:lang w:eastAsia="hr-HR"/>
              </w:rPr>
            </w:pPr>
            <w:r w:rsidRPr="00B357F4">
              <w:rPr>
                <w:rFonts w:cs="Tahoma"/>
                <w:b w:val="0"/>
                <w:sz w:val="18"/>
                <w:szCs w:val="18"/>
                <w:lang w:eastAsia="hr-HR"/>
              </w:rPr>
              <w:t xml:space="preserve"> </w:t>
            </w:r>
          </w:p>
        </w:tc>
      </w:tr>
      <w:tr w:rsidR="00D1493D" w:rsidRPr="00B357F4" w14:paraId="3B158218" w14:textId="77777777" w:rsidTr="00A85F83">
        <w:trPr>
          <w:trHeight w:val="734"/>
        </w:trPr>
        <w:tc>
          <w:tcPr>
            <w:cnfStyle w:val="001000000000" w:firstRow="0" w:lastRow="0" w:firstColumn="1" w:lastColumn="0" w:oddVBand="0" w:evenVBand="0" w:oddHBand="0" w:evenHBand="0" w:firstRowFirstColumn="0" w:firstRowLastColumn="0" w:lastRowFirstColumn="0" w:lastRowLastColumn="0"/>
            <w:tcW w:w="3397" w:type="dxa"/>
          </w:tcPr>
          <w:p w14:paraId="7AD81952"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Pokazatelj ishoda:</w:t>
            </w:r>
          </w:p>
          <w:p w14:paraId="4F504E82" w14:textId="124917B3"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 xml:space="preserve">Ukupno obnovljena </w:t>
            </w:r>
            <w:r w:rsidR="000D6559" w:rsidRPr="00B357F4">
              <w:rPr>
                <w:rFonts w:cs="Tahoma"/>
                <w:b w:val="0"/>
                <w:sz w:val="18"/>
                <w:szCs w:val="18"/>
                <w:lang w:eastAsia="hr-HR"/>
              </w:rPr>
              <w:t xml:space="preserve">građevinska </w:t>
            </w:r>
            <w:r w:rsidRPr="00B357F4">
              <w:rPr>
                <w:rFonts w:cs="Tahoma"/>
                <w:b w:val="0"/>
                <w:sz w:val="18"/>
                <w:szCs w:val="18"/>
                <w:lang w:eastAsia="hr-HR"/>
              </w:rPr>
              <w:t xml:space="preserve">površina </w:t>
            </w:r>
            <w:r w:rsidR="00407D25" w:rsidRPr="00B357F4">
              <w:rPr>
                <w:rFonts w:cs="Tahoma"/>
                <w:b w:val="0"/>
                <w:sz w:val="18"/>
                <w:szCs w:val="18"/>
                <w:lang w:eastAsia="hr-HR"/>
              </w:rPr>
              <w:t>ZJS</w:t>
            </w:r>
            <w:r w:rsidRPr="00B357F4">
              <w:rPr>
                <w:rFonts w:cs="Tahoma"/>
                <w:b w:val="0"/>
                <w:sz w:val="18"/>
                <w:szCs w:val="18"/>
                <w:lang w:eastAsia="hr-HR"/>
              </w:rPr>
              <w:t xml:space="preserve"> u desetogodišnjem razdoblju </w:t>
            </w:r>
          </w:p>
          <w:p w14:paraId="56E0A479" w14:textId="77777777" w:rsidR="00D1493D" w:rsidRPr="00B357F4" w:rsidRDefault="00D1493D" w:rsidP="00A85F83">
            <w:pPr>
              <w:spacing w:before="0" w:after="0"/>
              <w:rPr>
                <w:rFonts w:cs="Tahoma"/>
                <w:sz w:val="18"/>
                <w:szCs w:val="18"/>
                <w:lang w:eastAsia="hr-HR"/>
              </w:rPr>
            </w:pPr>
          </w:p>
        </w:tc>
        <w:tc>
          <w:tcPr>
            <w:tcW w:w="2977" w:type="dxa"/>
          </w:tcPr>
          <w:p w14:paraId="0312883B"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Početna vrijednost:</w:t>
            </w:r>
          </w:p>
          <w:p w14:paraId="790103D7"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0</w:t>
            </w:r>
          </w:p>
        </w:tc>
        <w:tc>
          <w:tcPr>
            <w:tcW w:w="2970" w:type="dxa"/>
          </w:tcPr>
          <w:p w14:paraId="36FD4918"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2024.:</w:t>
            </w:r>
          </w:p>
          <w:p w14:paraId="2DE9DD2F" w14:textId="6C5B1946" w:rsidR="00D1493D" w:rsidRPr="00B357F4" w:rsidRDefault="00DC1E3C"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0,8</w:t>
            </w:r>
            <w:r w:rsidR="00D1493D" w:rsidRPr="00B357F4">
              <w:rPr>
                <w:rFonts w:cs="Tahoma"/>
                <w:sz w:val="18"/>
                <w:szCs w:val="18"/>
                <w:lang w:eastAsia="hr-HR"/>
              </w:rPr>
              <w:t xml:space="preserve"> milijuna m</w:t>
            </w:r>
            <w:r w:rsidR="00D1493D" w:rsidRPr="00B357F4">
              <w:rPr>
                <w:rFonts w:cs="Tahoma"/>
                <w:sz w:val="18"/>
                <w:szCs w:val="18"/>
                <w:vertAlign w:val="superscript"/>
                <w:lang w:eastAsia="hr-HR"/>
              </w:rPr>
              <w:t>2</w:t>
            </w:r>
          </w:p>
          <w:p w14:paraId="7FD72824"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2030.:</w:t>
            </w:r>
          </w:p>
          <w:p w14:paraId="7C2BE5A2" w14:textId="67D8C965" w:rsidR="00D1493D" w:rsidRPr="00B357F4" w:rsidRDefault="00DC1E3C"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2,9</w:t>
            </w:r>
            <w:r w:rsidR="00D1493D" w:rsidRPr="00B357F4">
              <w:rPr>
                <w:rFonts w:cs="Tahoma"/>
                <w:sz w:val="18"/>
                <w:szCs w:val="18"/>
                <w:lang w:eastAsia="hr-HR"/>
              </w:rPr>
              <w:t xml:space="preserve"> milijuna m</w:t>
            </w:r>
            <w:r w:rsidR="00D1493D" w:rsidRPr="00B357F4">
              <w:rPr>
                <w:rFonts w:cs="Tahoma"/>
                <w:sz w:val="18"/>
                <w:szCs w:val="18"/>
                <w:vertAlign w:val="superscript"/>
                <w:lang w:eastAsia="hr-HR"/>
              </w:rPr>
              <w:t>2</w:t>
            </w:r>
          </w:p>
        </w:tc>
      </w:tr>
      <w:tr w:rsidR="00D1493D" w:rsidRPr="00B357F4" w14:paraId="6C7335E0" w14:textId="77777777" w:rsidTr="00A85F83">
        <w:tc>
          <w:tcPr>
            <w:cnfStyle w:val="001000000000" w:firstRow="0" w:lastRow="0" w:firstColumn="1" w:lastColumn="0" w:oddVBand="0" w:evenVBand="0" w:oddHBand="0" w:evenHBand="0" w:firstRowFirstColumn="0" w:firstRowLastColumn="0" w:lastRowFirstColumn="0" w:lastRowLastColumn="0"/>
            <w:tcW w:w="3397" w:type="dxa"/>
          </w:tcPr>
          <w:p w14:paraId="432CB181"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Pokazatelj ishoda:</w:t>
            </w:r>
          </w:p>
          <w:p w14:paraId="24A27316" w14:textId="52A2D15E"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 xml:space="preserve">Kumulativna ušteda energije </w:t>
            </w:r>
            <w:r w:rsidR="003B1BA7" w:rsidRPr="00B357F4">
              <w:rPr>
                <w:rFonts w:cs="Tahoma"/>
                <w:b w:val="0"/>
                <w:sz w:val="18"/>
                <w:szCs w:val="18"/>
                <w:lang w:eastAsia="hr-HR"/>
              </w:rPr>
              <w:t xml:space="preserve">u neposrednoj </w:t>
            </w:r>
            <w:r w:rsidR="00296656" w:rsidRPr="00B357F4">
              <w:rPr>
                <w:rFonts w:cs="Tahoma"/>
                <w:b w:val="0"/>
                <w:sz w:val="18"/>
                <w:szCs w:val="18"/>
                <w:lang w:eastAsia="hr-HR"/>
              </w:rPr>
              <w:t xml:space="preserve">potrošnji </w:t>
            </w:r>
            <w:r w:rsidR="00BA63E6" w:rsidRPr="00B357F4">
              <w:rPr>
                <w:rFonts w:cs="Tahoma"/>
                <w:b w:val="0"/>
                <w:sz w:val="18"/>
                <w:szCs w:val="18"/>
                <w:lang w:eastAsia="hr-HR"/>
              </w:rPr>
              <w:t>ostvarena</w:t>
            </w:r>
            <w:r w:rsidRPr="00B357F4">
              <w:rPr>
                <w:rFonts w:cs="Tahoma"/>
                <w:b w:val="0"/>
                <w:sz w:val="18"/>
                <w:szCs w:val="18"/>
                <w:lang w:eastAsia="hr-HR"/>
              </w:rPr>
              <w:t xml:space="preserve"> obnovom </w:t>
            </w:r>
            <w:r w:rsidR="0008467C" w:rsidRPr="00B357F4">
              <w:rPr>
                <w:rFonts w:cs="Tahoma"/>
                <w:b w:val="0"/>
                <w:sz w:val="18"/>
                <w:szCs w:val="18"/>
                <w:lang w:eastAsia="hr-HR"/>
              </w:rPr>
              <w:t>ZJS</w:t>
            </w:r>
            <w:r w:rsidRPr="00B357F4">
              <w:rPr>
                <w:rFonts w:cs="Tahoma"/>
                <w:b w:val="0"/>
                <w:sz w:val="18"/>
                <w:szCs w:val="18"/>
                <w:lang w:eastAsia="hr-HR"/>
              </w:rPr>
              <w:t xml:space="preserve"> u razdoblju </w:t>
            </w:r>
          </w:p>
          <w:p w14:paraId="0725E8F0" w14:textId="77777777" w:rsidR="00D1493D" w:rsidRPr="00B357F4" w:rsidRDefault="00D1493D" w:rsidP="00A85F83">
            <w:pPr>
              <w:spacing w:before="0" w:after="0"/>
              <w:rPr>
                <w:rFonts w:cs="Tahoma"/>
                <w:sz w:val="18"/>
                <w:szCs w:val="18"/>
                <w:lang w:eastAsia="hr-HR"/>
              </w:rPr>
            </w:pPr>
          </w:p>
        </w:tc>
        <w:tc>
          <w:tcPr>
            <w:tcW w:w="2977" w:type="dxa"/>
          </w:tcPr>
          <w:p w14:paraId="5465FFC6"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Početna vrijednost:</w:t>
            </w:r>
          </w:p>
          <w:p w14:paraId="68123ECC"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0</w:t>
            </w:r>
          </w:p>
        </w:tc>
        <w:tc>
          <w:tcPr>
            <w:tcW w:w="2970" w:type="dxa"/>
          </w:tcPr>
          <w:p w14:paraId="1EFFF938"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2024. (2021.-2024.):</w:t>
            </w:r>
          </w:p>
          <w:p w14:paraId="5D089C67" w14:textId="4D26D796" w:rsidR="00D1493D" w:rsidRPr="00B357F4" w:rsidRDefault="000D6559"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223,9 </w:t>
            </w:r>
            <w:r w:rsidR="00D1493D" w:rsidRPr="00B357F4">
              <w:rPr>
                <w:rFonts w:cs="Tahoma"/>
                <w:sz w:val="18"/>
                <w:szCs w:val="18"/>
                <w:lang w:eastAsia="hr-HR"/>
              </w:rPr>
              <w:t>GWh</w:t>
            </w:r>
          </w:p>
          <w:p w14:paraId="2E650B10"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2030. (2021.-2030.:</w:t>
            </w:r>
          </w:p>
          <w:p w14:paraId="75663103" w14:textId="60950B0C" w:rsidR="00D1493D" w:rsidRPr="00B357F4" w:rsidRDefault="00A05240"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vertAlign w:val="superscript"/>
                <w:lang w:eastAsia="hr-HR"/>
              </w:rPr>
            </w:pPr>
            <w:r w:rsidRPr="00B357F4">
              <w:rPr>
                <w:rFonts w:cs="Tahoma"/>
                <w:sz w:val="18"/>
                <w:szCs w:val="18"/>
                <w:lang w:eastAsia="hr-HR"/>
              </w:rPr>
              <w:t>1.67</w:t>
            </w:r>
            <w:r w:rsidR="00156A75" w:rsidRPr="00B357F4">
              <w:rPr>
                <w:rFonts w:cs="Tahoma"/>
                <w:sz w:val="18"/>
                <w:szCs w:val="18"/>
                <w:lang w:eastAsia="hr-HR"/>
              </w:rPr>
              <w:t>1,4</w:t>
            </w:r>
            <w:r w:rsidRPr="00B357F4">
              <w:rPr>
                <w:rFonts w:cs="Tahoma"/>
                <w:sz w:val="18"/>
                <w:szCs w:val="18"/>
                <w:lang w:eastAsia="hr-HR"/>
              </w:rPr>
              <w:t xml:space="preserve"> </w:t>
            </w:r>
            <w:r w:rsidR="00D1493D" w:rsidRPr="00B357F4">
              <w:rPr>
                <w:rFonts w:cs="Tahoma"/>
                <w:sz w:val="18"/>
                <w:szCs w:val="18"/>
                <w:lang w:eastAsia="hr-HR"/>
              </w:rPr>
              <w:t xml:space="preserve">GWh </w:t>
            </w:r>
          </w:p>
        </w:tc>
      </w:tr>
    </w:tbl>
    <w:p w14:paraId="1AE6C0E6" w14:textId="77777777" w:rsidR="00D1493D" w:rsidRPr="00B357F4" w:rsidRDefault="00D1493D" w:rsidP="00D1493D">
      <w:pPr>
        <w:rPr>
          <w:lang w:eastAsia="hr-HR"/>
        </w:rPr>
      </w:pPr>
      <w:r w:rsidRPr="00B357F4">
        <w:rPr>
          <w:lang w:eastAsia="hr-HR"/>
        </w:rPr>
        <w:t xml:space="preserve">Ciljane vrijednosti pokazatelja ishoda daju se za 2024. i 2030. godinu. Naime, krajem 2024. godine završit će prvo trogodišnje razdoblje provedbe ovoga Programa (2022.-2024.), što je i u skladu s vremenskim okvirom Nacionalnog akcijskog plana energetske učinkovitosti koji se izrađuje prema obvezi utvrđenoj Zakonom o energetskoj učinkovitosti. </w:t>
      </w:r>
    </w:p>
    <w:p w14:paraId="2182E809" w14:textId="77777777" w:rsidR="00D1493D" w:rsidRPr="00B357F4" w:rsidRDefault="00D1493D" w:rsidP="00D1493D">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Sve ovdje prikazane ciljane vrijednosti u skladu su s Dugoročnom strategijom, a služe za praćenje napretka i kontinuiteta provedbe Programa. </w:t>
      </w:r>
    </w:p>
    <w:p w14:paraId="360C68C1" w14:textId="4B817FE2" w:rsidR="00D1493D" w:rsidRPr="00B357F4" w:rsidRDefault="00064826" w:rsidP="00D1493D">
      <w:pPr>
        <w:rPr>
          <w:lang w:eastAsia="hr-HR"/>
        </w:rPr>
      </w:pPr>
      <w:r w:rsidRPr="00B357F4">
        <w:rPr>
          <w:lang w:eastAsia="hr-HR"/>
        </w:rPr>
        <w:t>O</w:t>
      </w:r>
      <w:r w:rsidR="6B25E0EC" w:rsidRPr="00B357F4">
        <w:rPr>
          <w:lang w:eastAsia="hr-HR"/>
        </w:rPr>
        <w:t>stvarenje</w:t>
      </w:r>
      <w:r w:rsidR="3B55BC4D" w:rsidRPr="00B357F4">
        <w:rPr>
          <w:lang w:eastAsia="hr-HR"/>
        </w:rPr>
        <w:t xml:space="preserve"> ovih ciljeva ovisiti će</w:t>
      </w:r>
      <w:r w:rsidR="6B25E0EC" w:rsidRPr="00B357F4">
        <w:rPr>
          <w:lang w:eastAsia="hr-HR"/>
        </w:rPr>
        <w:t xml:space="preserve"> </w:t>
      </w:r>
      <w:r w:rsidR="674B1074" w:rsidRPr="00B357F4">
        <w:rPr>
          <w:lang w:eastAsia="hr-HR"/>
        </w:rPr>
        <w:t>o dostupnosti</w:t>
      </w:r>
      <w:r w:rsidR="6B25E0EC" w:rsidRPr="00B357F4">
        <w:rPr>
          <w:lang w:eastAsia="hr-HR"/>
        </w:rPr>
        <w:t xml:space="preserve"> potrebnih </w:t>
      </w:r>
      <w:r w:rsidR="2BD259E8" w:rsidRPr="00B357F4">
        <w:rPr>
          <w:lang w:eastAsia="hr-HR"/>
        </w:rPr>
        <w:t xml:space="preserve">javnih </w:t>
      </w:r>
      <w:r w:rsidR="6B25E0EC" w:rsidRPr="00B357F4">
        <w:rPr>
          <w:lang w:eastAsia="hr-HR"/>
        </w:rPr>
        <w:t xml:space="preserve">financijskih sredstava </w:t>
      </w:r>
      <w:r w:rsidR="673FDBBC" w:rsidRPr="00B357F4">
        <w:rPr>
          <w:lang w:eastAsia="hr-HR"/>
        </w:rPr>
        <w:t xml:space="preserve"> za poticaje kako bi se investicije u obnovu doista i ostvarile (procjena potrebnih investicija prikazana je u poglavlju </w:t>
      </w:r>
      <w:r w:rsidR="00AC2F54" w:rsidRPr="006734C7">
        <w:rPr>
          <w:lang w:eastAsia="hr-HR"/>
        </w:rPr>
        <w:fldChar w:fldCharType="begin"/>
      </w:r>
      <w:r w:rsidR="00AC2F54" w:rsidRPr="00B357F4">
        <w:rPr>
          <w:lang w:eastAsia="hr-HR"/>
        </w:rPr>
        <w:instrText xml:space="preserve"> REF _Ref86238415 \r \h </w:instrText>
      </w:r>
      <w:r w:rsidR="00AC2F54" w:rsidRPr="006734C7">
        <w:rPr>
          <w:lang w:eastAsia="hr-HR"/>
        </w:rPr>
      </w:r>
      <w:r w:rsidR="00AC2F54" w:rsidRPr="006734C7">
        <w:rPr>
          <w:lang w:eastAsia="hr-HR"/>
        </w:rPr>
        <w:fldChar w:fldCharType="separate"/>
      </w:r>
      <w:r w:rsidR="0023635D">
        <w:rPr>
          <w:lang w:eastAsia="hr-HR"/>
        </w:rPr>
        <w:t>8</w:t>
      </w:r>
      <w:r w:rsidR="00AC2F54" w:rsidRPr="006734C7">
        <w:rPr>
          <w:lang w:eastAsia="hr-HR"/>
        </w:rPr>
        <w:fldChar w:fldCharType="end"/>
      </w:r>
      <w:r w:rsidR="00AC2F54" w:rsidRPr="003020E6">
        <w:rPr>
          <w:lang w:eastAsia="hr-HR"/>
        </w:rPr>
        <w:t xml:space="preserve"> </w:t>
      </w:r>
      <w:r w:rsidR="00AC2F54" w:rsidRPr="006734C7">
        <w:rPr>
          <w:lang w:eastAsia="hr-HR"/>
        </w:rPr>
        <w:fldChar w:fldCharType="begin"/>
      </w:r>
      <w:r w:rsidR="00AC2F54" w:rsidRPr="00B357F4">
        <w:rPr>
          <w:lang w:eastAsia="hr-HR"/>
        </w:rPr>
        <w:instrText xml:space="preserve"> REF _Ref86238427 \h </w:instrText>
      </w:r>
      <w:r w:rsidR="00AC2F54" w:rsidRPr="006734C7">
        <w:rPr>
          <w:lang w:eastAsia="hr-HR"/>
        </w:rPr>
      </w:r>
      <w:r w:rsidR="00AC2F54" w:rsidRPr="006734C7">
        <w:rPr>
          <w:lang w:eastAsia="hr-HR"/>
        </w:rPr>
        <w:fldChar w:fldCharType="separate"/>
      </w:r>
      <w:r w:rsidR="0023635D" w:rsidRPr="00B357F4">
        <w:t>Financijska analiza</w:t>
      </w:r>
      <w:r w:rsidR="00AC2F54" w:rsidRPr="006734C7">
        <w:rPr>
          <w:lang w:eastAsia="hr-HR"/>
        </w:rPr>
        <w:fldChar w:fldCharType="end"/>
      </w:r>
      <w:r w:rsidR="00E321E5" w:rsidRPr="00D7774F">
        <w:rPr>
          <w:lang w:eastAsia="hr-HR"/>
        </w:rPr>
        <w:t>)</w:t>
      </w:r>
      <w:r w:rsidR="6B25E0EC" w:rsidRPr="00D7774F">
        <w:rPr>
          <w:lang w:eastAsia="hr-HR"/>
        </w:rPr>
        <w:t xml:space="preserve">. </w:t>
      </w:r>
      <w:r w:rsidR="120C664E" w:rsidRPr="00B357F4">
        <w:rPr>
          <w:lang w:eastAsia="hr-HR"/>
        </w:rPr>
        <w:t xml:space="preserve">Prema do sada poznatim informacijama o raspoloživim sredstvima, prvenstveno iz Mehanizma za oporavak i otpornost, postizanje gore navedenih ciljeva za 2024. </w:t>
      </w:r>
      <w:r w:rsidR="00E52960" w:rsidRPr="00B357F4">
        <w:rPr>
          <w:lang w:eastAsia="hr-HR"/>
        </w:rPr>
        <w:t>g</w:t>
      </w:r>
      <w:r w:rsidR="77446BE1" w:rsidRPr="00B357F4">
        <w:rPr>
          <w:lang w:eastAsia="hr-HR"/>
        </w:rPr>
        <w:t>odinu bit će izazovno. Zbog toga je nužno</w:t>
      </w:r>
      <w:r w:rsidR="6B25E0EC" w:rsidRPr="00B357F4">
        <w:rPr>
          <w:lang w:eastAsia="hr-HR"/>
        </w:rPr>
        <w:t xml:space="preserve"> pronalaziti nove izvore financiranja kako bi se ti ciljevi</w:t>
      </w:r>
      <w:r w:rsidR="423D57A4" w:rsidRPr="00B357F4">
        <w:rPr>
          <w:lang w:eastAsia="hr-HR"/>
        </w:rPr>
        <w:t xml:space="preserve"> odnosno ciljevi za 2030. godinu</w:t>
      </w:r>
      <w:r w:rsidR="6B25E0EC" w:rsidRPr="00B357F4">
        <w:rPr>
          <w:lang w:eastAsia="hr-HR"/>
        </w:rPr>
        <w:t xml:space="preserve"> i postigli. </w:t>
      </w:r>
    </w:p>
    <w:p w14:paraId="151B7288" w14:textId="77777777" w:rsidR="00D1493D" w:rsidRPr="00B357F4" w:rsidRDefault="00D1493D" w:rsidP="00D1493D">
      <w:pPr>
        <w:rPr>
          <w:lang w:eastAsia="hr-HR"/>
        </w:rPr>
      </w:pPr>
      <w:r w:rsidRPr="00B357F4">
        <w:rPr>
          <w:lang w:eastAsia="hr-HR"/>
        </w:rPr>
        <w:t xml:space="preserve">Program je, prema potrebi, potrebno revidirati nakon prvog trogodišnjeg razdoblja njegove Provedbe, utvrditi ostvarenja do kraja 2024. godine te očekivano kretanje prema ciljevima za sljedeće trogodišnje razdoblje (do kraja 2027. godine) kao i za cijelo razdoblje do kraja 2030. godine. </w:t>
      </w:r>
    </w:p>
    <w:p w14:paraId="59058AA5" w14:textId="77777777" w:rsidR="00D1493D" w:rsidRPr="00B357F4" w:rsidRDefault="00D1493D" w:rsidP="00D1493D">
      <w:pPr>
        <w:rPr>
          <w:lang w:eastAsia="hr-HR"/>
        </w:rPr>
      </w:pPr>
      <w:r w:rsidRPr="00B357F4">
        <w:rPr>
          <w:lang w:eastAsia="hr-HR"/>
        </w:rPr>
        <w:t xml:space="preserve">Početne vrijednosti pokazatelja ishoda postavljene su na nulu, jer se ovoj Program odnosi na novo razdoblje te ostvarenja iz proteklog razdoblja nemaju utjecaja na ciljeve koji se postavljaju za 2030. godinu.  </w:t>
      </w:r>
    </w:p>
    <w:p w14:paraId="52DA73DC" w14:textId="39EB3033" w:rsidR="00AF018F" w:rsidRPr="00B357F4" w:rsidRDefault="21FE8B96" w:rsidP="00AF018F">
      <w:pPr>
        <w:pStyle w:val="Naslov20"/>
      </w:pPr>
      <w:bookmarkStart w:id="75" w:name="_Toc94769984"/>
      <w:r w:rsidRPr="00B357F4">
        <w:lastRenderedPageBreak/>
        <w:t xml:space="preserve">Indikativni financijski plan s prikazom </w:t>
      </w:r>
      <w:r w:rsidR="43CC2646" w:rsidRPr="00B357F4">
        <w:t xml:space="preserve">financijskih </w:t>
      </w:r>
      <w:r w:rsidRPr="00B357F4">
        <w:t>pretpostavki za provedbu posebnih ciljeva i projekata od strateškog značaja</w:t>
      </w:r>
      <w:bookmarkEnd w:id="75"/>
    </w:p>
    <w:p w14:paraId="0AFA6CEC" w14:textId="77777777" w:rsidR="00BB3C70" w:rsidRPr="00B357F4" w:rsidRDefault="00BB3C70" w:rsidP="0092082B">
      <w:pPr>
        <w:spacing w:before="0" w:after="160" w:line="259" w:lineRule="auto"/>
        <w:rPr>
          <w:lang w:eastAsia="hr-HR"/>
        </w:rPr>
      </w:pPr>
    </w:p>
    <w:p w14:paraId="3F3E39D5" w14:textId="77777777" w:rsidR="00735A54" w:rsidRPr="00B357F4" w:rsidRDefault="1ACCDE5F" w:rsidP="00735A54">
      <w:pPr>
        <w:pStyle w:val="Naslov30"/>
      </w:pPr>
      <w:bookmarkStart w:id="76" w:name="_Toc94769985"/>
      <w:r w:rsidRPr="00B357F4">
        <w:t xml:space="preserve">Indikativni financijski plan za razdoblje </w:t>
      </w:r>
      <w:r w:rsidR="667DB997" w:rsidRPr="00B357F4">
        <w:t>do 2030. godine</w:t>
      </w:r>
      <w:bookmarkEnd w:id="76"/>
      <w:r w:rsidR="667DB997" w:rsidRPr="00B357F4">
        <w:t xml:space="preserve"> </w:t>
      </w:r>
    </w:p>
    <w:p w14:paraId="7C50C0FD" w14:textId="66008701" w:rsidR="00712FAF" w:rsidRPr="00B357F4" w:rsidRDefault="31A0C75E" w:rsidP="0092082B">
      <w:pPr>
        <w:spacing w:before="0" w:after="160" w:line="259" w:lineRule="auto"/>
        <w:rPr>
          <w:lang w:eastAsia="hr-HR"/>
        </w:rPr>
      </w:pPr>
      <w:r w:rsidRPr="00B357F4">
        <w:rPr>
          <w:lang w:eastAsia="hr-HR"/>
        </w:rPr>
        <w:t xml:space="preserve">Kao polazišna točka u procjeni investicijskih troškova obnove koristit će se ciljane površine obnovljenih nestambenih zgrada </w:t>
      </w:r>
      <w:r w:rsidR="48F9552A" w:rsidRPr="00B357F4">
        <w:rPr>
          <w:lang w:eastAsia="hr-HR"/>
        </w:rPr>
        <w:t xml:space="preserve">prema </w:t>
      </w:r>
      <w:r w:rsidR="300D74F5" w:rsidRPr="00B357F4">
        <w:rPr>
          <w:lang w:eastAsia="hr-HR"/>
        </w:rPr>
        <w:t>Dugoročnoj strategiji</w:t>
      </w:r>
      <w:r w:rsidR="3F23025B" w:rsidRPr="00B357F4">
        <w:rPr>
          <w:lang w:eastAsia="hr-HR"/>
        </w:rPr>
        <w:t xml:space="preserve"> te činjenica da </w:t>
      </w:r>
      <w:r w:rsidR="66EFB06C" w:rsidRPr="00B357F4">
        <w:rPr>
          <w:lang w:eastAsia="hr-HR"/>
        </w:rPr>
        <w:t>zgrade javnog sektora</w:t>
      </w:r>
      <w:r w:rsidR="3F23025B" w:rsidRPr="00B357F4">
        <w:rPr>
          <w:lang w:eastAsia="hr-HR"/>
        </w:rPr>
        <w:t xml:space="preserve"> u ukupnom fondu nestambenih zgrada </w:t>
      </w:r>
      <w:r w:rsidR="4414F744" w:rsidRPr="00B357F4">
        <w:rPr>
          <w:lang w:eastAsia="hr-HR"/>
        </w:rPr>
        <w:t xml:space="preserve">imaju udio od </w:t>
      </w:r>
      <w:r w:rsidR="4228EB67" w:rsidRPr="00B357F4">
        <w:rPr>
          <w:lang w:eastAsia="hr-HR"/>
        </w:rPr>
        <w:t xml:space="preserve">27,4%. </w:t>
      </w:r>
      <w:r w:rsidR="0CEA7266" w:rsidRPr="00B357F4">
        <w:rPr>
          <w:lang w:eastAsia="hr-HR"/>
        </w:rPr>
        <w:t>Ciljane obnovljene površine prema Dugoročnoj strategiji prikazuje</w:t>
      </w:r>
      <w:r w:rsidR="66D69D24" w:rsidRPr="00B357F4">
        <w:rPr>
          <w:lang w:eastAsia="hr-HR"/>
        </w:rPr>
        <w:t xml:space="preserve"> </w:t>
      </w:r>
      <w:r w:rsidR="00A54CCC" w:rsidRPr="006734C7">
        <w:rPr>
          <w:lang w:eastAsia="hr-HR"/>
        </w:rPr>
        <w:fldChar w:fldCharType="begin"/>
      </w:r>
      <w:r w:rsidR="00A54CCC" w:rsidRPr="00B357F4">
        <w:rPr>
          <w:lang w:eastAsia="hr-HR"/>
        </w:rPr>
        <w:instrText xml:space="preserve"> REF _Ref86238515 \h </w:instrText>
      </w:r>
      <w:r w:rsidR="00A54CCC" w:rsidRPr="006734C7">
        <w:rPr>
          <w:lang w:eastAsia="hr-HR"/>
        </w:rPr>
      </w:r>
      <w:r w:rsidR="00A54CCC" w:rsidRPr="006734C7">
        <w:rPr>
          <w:lang w:eastAsia="hr-HR"/>
        </w:rPr>
        <w:fldChar w:fldCharType="separate"/>
      </w:r>
      <w:r w:rsidR="0023635D" w:rsidRPr="00B357F4">
        <w:t xml:space="preserve">Tablica </w:t>
      </w:r>
      <w:r w:rsidR="0023635D">
        <w:rPr>
          <w:noProof/>
        </w:rPr>
        <w:t>5</w:t>
      </w:r>
      <w:r w:rsidR="0023635D">
        <w:noBreakHyphen/>
      </w:r>
      <w:r w:rsidR="0023635D">
        <w:rPr>
          <w:noProof/>
        </w:rPr>
        <w:t>1</w:t>
      </w:r>
      <w:r w:rsidR="0023635D" w:rsidRPr="003020E6">
        <w:t xml:space="preserve">: </w:t>
      </w:r>
      <w:r w:rsidR="0023635D" w:rsidRPr="006734C7">
        <w:rPr>
          <w:rFonts w:cs="Tahoma"/>
          <w:szCs w:val="16"/>
        </w:rPr>
        <w:t xml:space="preserve">Ciljane obnovljene površine nestambenih zgrada i ZJS za razdoblje od 2021. do 2030 </w:t>
      </w:r>
      <w:r w:rsidR="0023635D" w:rsidRPr="00373352">
        <w:rPr>
          <w:rFonts w:cs="Tahoma"/>
          <w:szCs w:val="16"/>
        </w:rPr>
        <w:t>prema Dugoročnoj strategiji</w:t>
      </w:r>
      <w:r w:rsidR="00A54CCC" w:rsidRPr="006734C7">
        <w:rPr>
          <w:lang w:eastAsia="hr-HR"/>
        </w:rPr>
        <w:fldChar w:fldCharType="end"/>
      </w:r>
      <w:r w:rsidR="00A54CCC" w:rsidRPr="00D7774F">
        <w:rPr>
          <w:lang w:eastAsia="hr-HR"/>
        </w:rPr>
        <w:t xml:space="preserve"> </w:t>
      </w:r>
      <w:r w:rsidR="2D20B959" w:rsidRPr="00B357F4">
        <w:rPr>
          <w:lang w:eastAsia="hr-HR"/>
        </w:rPr>
        <w:t xml:space="preserve">u poglavlju </w:t>
      </w:r>
      <w:r w:rsidR="00A54CCC" w:rsidRPr="00B95E4F">
        <w:rPr>
          <w:lang w:eastAsia="hr-HR"/>
        </w:rPr>
        <w:fldChar w:fldCharType="begin"/>
      </w:r>
      <w:r w:rsidR="00A54CCC" w:rsidRPr="00B357F4">
        <w:rPr>
          <w:lang w:eastAsia="hr-HR"/>
        </w:rPr>
        <w:instrText xml:space="preserve"> REF _Ref86238567 \r \h </w:instrText>
      </w:r>
      <w:r w:rsidR="00A54CCC" w:rsidRPr="00B95E4F">
        <w:rPr>
          <w:lang w:eastAsia="hr-HR"/>
        </w:rPr>
      </w:r>
      <w:r w:rsidR="00A54CCC" w:rsidRPr="00B95E4F">
        <w:rPr>
          <w:lang w:eastAsia="hr-HR"/>
        </w:rPr>
        <w:fldChar w:fldCharType="separate"/>
      </w:r>
      <w:r w:rsidR="0023635D">
        <w:rPr>
          <w:lang w:eastAsia="hr-HR"/>
        </w:rPr>
        <w:t>5.2</w:t>
      </w:r>
      <w:r w:rsidR="00A54CCC" w:rsidRPr="00B95E4F">
        <w:rPr>
          <w:lang w:eastAsia="hr-HR"/>
        </w:rPr>
        <w:fldChar w:fldCharType="end"/>
      </w:r>
      <w:r w:rsidR="66D69D24" w:rsidRPr="00B357F4">
        <w:rPr>
          <w:lang w:eastAsia="hr-HR"/>
        </w:rPr>
        <w:t>.</w:t>
      </w:r>
      <w:r w:rsidR="0CCB1157" w:rsidRPr="00B357F4">
        <w:rPr>
          <w:lang w:eastAsia="hr-HR"/>
        </w:rPr>
        <w:t xml:space="preserve"> </w:t>
      </w:r>
      <w:r w:rsidR="0CEA7266" w:rsidRPr="00B357F4">
        <w:rPr>
          <w:lang w:eastAsia="hr-HR"/>
        </w:rPr>
        <w:t xml:space="preserve"> </w:t>
      </w:r>
      <w:r w:rsidR="4414F744" w:rsidRPr="00B357F4">
        <w:rPr>
          <w:lang w:eastAsia="hr-HR"/>
        </w:rPr>
        <w:t xml:space="preserve"> </w:t>
      </w:r>
      <w:r w:rsidR="300D74F5" w:rsidRPr="00B357F4">
        <w:rPr>
          <w:lang w:eastAsia="hr-HR"/>
        </w:rPr>
        <w:t xml:space="preserve"> </w:t>
      </w:r>
    </w:p>
    <w:p w14:paraId="7FABF3E0" w14:textId="7E025B9D" w:rsidR="0092082B" w:rsidRPr="006734C7" w:rsidRDefault="0092082B" w:rsidP="0092082B">
      <w:pPr>
        <w:spacing w:before="0" w:after="160" w:line="259" w:lineRule="auto"/>
      </w:pPr>
      <w:r w:rsidRPr="00B357F4">
        <w:rPr>
          <w:lang w:eastAsia="hr-HR"/>
        </w:rPr>
        <w:t xml:space="preserve">Dugoročna strategija pretpostavlja da će </w:t>
      </w:r>
      <w:r w:rsidRPr="00B357F4">
        <w:t xml:space="preserve">50% </w:t>
      </w:r>
      <w:r w:rsidR="002871CF" w:rsidRPr="00B357F4">
        <w:t>ZJS</w:t>
      </w:r>
      <w:r w:rsidRPr="00B357F4">
        <w:t xml:space="preserve"> trebati samo energetsku obnovu, dok će ostalih 50% trebati sveobuhvatnu koja uključuje mjere vezane </w:t>
      </w:r>
      <w:r w:rsidR="362EA8B0" w:rsidRPr="00B357F4">
        <w:t>za povećanja potresne otpornosti zgrade</w:t>
      </w:r>
      <w:r w:rsidRPr="00B357F4">
        <w:t xml:space="preserve">. Za </w:t>
      </w:r>
      <w:r w:rsidR="00AC3235" w:rsidRPr="00B357F4">
        <w:t>ZJS</w:t>
      </w:r>
      <w:r w:rsidRPr="00B357F4">
        <w:t xml:space="preserve"> koje će trebati samo energetsku obnovu, pretpostavlja se da će se u 50% slučajeva raditi o integralnoj </w:t>
      </w:r>
      <w:r w:rsidR="716B4520" w:rsidRPr="00B357F4">
        <w:t xml:space="preserve">energetskoj </w:t>
      </w:r>
      <w:r w:rsidRPr="00B357F4">
        <w:t xml:space="preserve">obnovi, a u 50% slučajeva o dubinskoj obnovi. Uvažavajući utvrđene maksimalne jedinične troškove pojedinih razina obnove, </w:t>
      </w:r>
      <w:r w:rsidR="007A4C4C" w:rsidRPr="00B357F4">
        <w:t>procjen</w:t>
      </w:r>
      <w:r w:rsidR="007A4C4C">
        <w:t>u</w:t>
      </w:r>
      <w:r w:rsidR="007A4C4C" w:rsidRPr="00B357F4">
        <w:t xml:space="preserve"> </w:t>
      </w:r>
      <w:r w:rsidRPr="00B357F4">
        <w:t xml:space="preserve">investicijskih troškova obnove u cijelom razdoblju prikazuje </w:t>
      </w:r>
      <w:r w:rsidRPr="006734C7">
        <w:fldChar w:fldCharType="begin"/>
      </w:r>
      <w:r w:rsidRPr="00B357F4">
        <w:instrText xml:space="preserve"> REF _Ref71806065 \h </w:instrText>
      </w:r>
      <w:r w:rsidRPr="006734C7">
        <w:fldChar w:fldCharType="separate"/>
      </w:r>
      <w:r w:rsidR="0023635D" w:rsidRPr="006734C7">
        <w:t xml:space="preserve">Tablica </w:t>
      </w:r>
      <w:r w:rsidR="0023635D">
        <w:rPr>
          <w:noProof/>
        </w:rPr>
        <w:t>5</w:t>
      </w:r>
      <w:r w:rsidR="0023635D">
        <w:noBreakHyphen/>
      </w:r>
      <w:r w:rsidR="0023635D">
        <w:rPr>
          <w:noProof/>
        </w:rPr>
        <w:t>2</w:t>
      </w:r>
      <w:r w:rsidRPr="006734C7">
        <w:fldChar w:fldCharType="end"/>
      </w:r>
      <w:r w:rsidRPr="003020E6">
        <w:t>.</w:t>
      </w:r>
    </w:p>
    <w:p w14:paraId="2B0DD717" w14:textId="213E979E" w:rsidR="00DD2A56" w:rsidRPr="003020E6" w:rsidRDefault="0092082B" w:rsidP="00DD2A56">
      <w:pPr>
        <w:pStyle w:val="Opisslike"/>
        <w:rPr>
          <w:rFonts w:cs="Tahoma"/>
        </w:rPr>
      </w:pPr>
      <w:bookmarkStart w:id="77" w:name="_Ref71806065"/>
      <w:bookmarkStart w:id="78" w:name="_Toc72081562"/>
      <w:bookmarkStart w:id="79" w:name="_Toc81836259"/>
      <w:bookmarkStart w:id="80" w:name="_Toc87949894"/>
      <w:r w:rsidRPr="006734C7">
        <w:t xml:space="preserve">Tablica </w:t>
      </w:r>
      <w:r>
        <w:rPr>
          <w:i w:val="0"/>
        </w:rPr>
        <w:fldChar w:fldCharType="begin"/>
      </w:r>
      <w:r>
        <w:instrText>STYLEREF 1 \s</w:instrText>
      </w:r>
      <w:r>
        <w:rPr>
          <w:i w:val="0"/>
        </w:rPr>
        <w:fldChar w:fldCharType="separate"/>
      </w:r>
      <w:r w:rsidR="0023635D">
        <w:rPr>
          <w:noProof/>
        </w:rPr>
        <w:t>5</w:t>
      </w:r>
      <w:r>
        <w:rPr>
          <w:i w:val="0"/>
        </w:rPr>
        <w:fldChar w:fldCharType="end"/>
      </w:r>
      <w:r w:rsidR="00166B1A">
        <w:noBreakHyphen/>
      </w:r>
      <w:r>
        <w:rPr>
          <w:i w:val="0"/>
        </w:rPr>
        <w:fldChar w:fldCharType="begin"/>
      </w:r>
      <w:r>
        <w:instrText>SEQ Tablica \* ARABIC \s 1</w:instrText>
      </w:r>
      <w:r>
        <w:rPr>
          <w:i w:val="0"/>
        </w:rPr>
        <w:fldChar w:fldCharType="separate"/>
      </w:r>
      <w:r w:rsidR="0023635D">
        <w:rPr>
          <w:noProof/>
        </w:rPr>
        <w:t>2</w:t>
      </w:r>
      <w:r>
        <w:rPr>
          <w:i w:val="0"/>
        </w:rPr>
        <w:fldChar w:fldCharType="end"/>
      </w:r>
      <w:bookmarkEnd w:id="77"/>
      <w:r w:rsidRPr="003020E6">
        <w:t xml:space="preserve">: </w:t>
      </w:r>
      <w:r w:rsidRPr="006734C7">
        <w:rPr>
          <w:rFonts w:cs="Tahoma"/>
        </w:rPr>
        <w:t xml:space="preserve">Procjena investicijskog troška obnove </w:t>
      </w:r>
      <w:r w:rsidR="00222ACD" w:rsidRPr="00B03C9B">
        <w:rPr>
          <w:rFonts w:cs="Tahoma"/>
        </w:rPr>
        <w:t>ZJS</w:t>
      </w:r>
      <w:r w:rsidRPr="00971F9E">
        <w:rPr>
          <w:rFonts w:cs="Tahoma"/>
        </w:rPr>
        <w:t xml:space="preserve"> </w:t>
      </w:r>
      <w:r w:rsidR="00836385">
        <w:rPr>
          <w:rFonts w:cs="Tahoma"/>
        </w:rPr>
        <w:t xml:space="preserve">bez PDV </w:t>
      </w:r>
      <w:r w:rsidRPr="00971F9E">
        <w:rPr>
          <w:rFonts w:cs="Tahoma"/>
        </w:rPr>
        <w:t>za razdoblje od 2021. do 2030</w:t>
      </w:r>
      <w:bookmarkEnd w:id="78"/>
      <w:r w:rsidRPr="00971F9E">
        <w:rPr>
          <w:rFonts w:cs="Tahoma"/>
        </w:rPr>
        <w:t xml:space="preserve"> prema </w:t>
      </w:r>
      <w:r w:rsidR="00DD2A56" w:rsidRPr="00C17B85">
        <w:rPr>
          <w:rFonts w:cs="Tahoma"/>
        </w:rPr>
        <w:t>Dugoročnoj strategiji</w:t>
      </w:r>
    </w:p>
    <w:bookmarkEnd w:id="79"/>
    <w:bookmarkEnd w:id="80"/>
    <w:p w14:paraId="02B7D236" w14:textId="3B698938" w:rsidR="0092082B" w:rsidRPr="003020E6" w:rsidRDefault="0092082B" w:rsidP="7AEFCEA8">
      <w:pPr>
        <w:pStyle w:val="Opisslike"/>
        <w:rPr>
          <w:rFonts w:cs="Tahoma"/>
        </w:rPr>
      </w:pPr>
    </w:p>
    <w:tbl>
      <w:tblPr>
        <w:tblStyle w:val="Svijetlatablicareetke110"/>
        <w:tblW w:w="5000" w:type="pct"/>
        <w:tblLayout w:type="fixed"/>
        <w:tblLook w:val="04A0" w:firstRow="1" w:lastRow="0" w:firstColumn="1" w:lastColumn="0" w:noHBand="0" w:noVBand="1"/>
      </w:tblPr>
      <w:tblGrid>
        <w:gridCol w:w="2264"/>
        <w:gridCol w:w="717"/>
        <w:gridCol w:w="708"/>
        <w:gridCol w:w="708"/>
        <w:gridCol w:w="708"/>
        <w:gridCol w:w="708"/>
        <w:gridCol w:w="710"/>
        <w:gridCol w:w="708"/>
        <w:gridCol w:w="708"/>
        <w:gridCol w:w="708"/>
        <w:gridCol w:w="697"/>
      </w:tblGrid>
      <w:tr w:rsidR="0092082B" w:rsidRPr="00B357F4" w14:paraId="73FCA527" w14:textId="77777777" w:rsidTr="12AF7EF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1" w:type="pct"/>
            <w:hideMark/>
          </w:tcPr>
          <w:p w14:paraId="61082294" w14:textId="77777777" w:rsidR="0092082B" w:rsidRPr="00971F9E" w:rsidRDefault="0092082B" w:rsidP="00A85F83">
            <w:pPr>
              <w:spacing w:before="0" w:after="0"/>
              <w:rPr>
                <w:rFonts w:cs="Tahoma"/>
                <w:color w:val="000000"/>
                <w:sz w:val="16"/>
                <w:szCs w:val="16"/>
                <w:lang w:eastAsia="hr-HR"/>
              </w:rPr>
            </w:pPr>
            <w:r w:rsidRPr="00B03C9B">
              <w:rPr>
                <w:rFonts w:cs="Tahoma"/>
                <w:color w:val="000000"/>
                <w:sz w:val="16"/>
                <w:szCs w:val="16"/>
                <w:lang w:eastAsia="hr-HR"/>
              </w:rPr>
              <w:t> </w:t>
            </w:r>
          </w:p>
        </w:tc>
        <w:tc>
          <w:tcPr>
            <w:tcW w:w="383" w:type="pct"/>
            <w:hideMark/>
          </w:tcPr>
          <w:p w14:paraId="1023741E"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2021.</w:t>
            </w:r>
          </w:p>
        </w:tc>
        <w:tc>
          <w:tcPr>
            <w:tcW w:w="379" w:type="pct"/>
            <w:hideMark/>
          </w:tcPr>
          <w:p w14:paraId="3B2A600A"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2022.</w:t>
            </w:r>
          </w:p>
        </w:tc>
        <w:tc>
          <w:tcPr>
            <w:tcW w:w="379" w:type="pct"/>
            <w:hideMark/>
          </w:tcPr>
          <w:p w14:paraId="63B341DD"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2023.</w:t>
            </w:r>
          </w:p>
        </w:tc>
        <w:tc>
          <w:tcPr>
            <w:tcW w:w="379" w:type="pct"/>
            <w:hideMark/>
          </w:tcPr>
          <w:p w14:paraId="6EF29A24"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2024.</w:t>
            </w:r>
          </w:p>
        </w:tc>
        <w:tc>
          <w:tcPr>
            <w:tcW w:w="379" w:type="pct"/>
            <w:hideMark/>
          </w:tcPr>
          <w:p w14:paraId="6C1055A1"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2025.</w:t>
            </w:r>
          </w:p>
        </w:tc>
        <w:tc>
          <w:tcPr>
            <w:tcW w:w="380" w:type="pct"/>
            <w:hideMark/>
          </w:tcPr>
          <w:p w14:paraId="49B1F9BF"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2026.</w:t>
            </w:r>
          </w:p>
        </w:tc>
        <w:tc>
          <w:tcPr>
            <w:tcW w:w="379" w:type="pct"/>
            <w:hideMark/>
          </w:tcPr>
          <w:p w14:paraId="4BC702C1"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2027.</w:t>
            </w:r>
          </w:p>
        </w:tc>
        <w:tc>
          <w:tcPr>
            <w:tcW w:w="379" w:type="pct"/>
            <w:hideMark/>
          </w:tcPr>
          <w:p w14:paraId="2CC1954F"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2028.</w:t>
            </w:r>
          </w:p>
        </w:tc>
        <w:tc>
          <w:tcPr>
            <w:tcW w:w="379" w:type="pct"/>
            <w:hideMark/>
          </w:tcPr>
          <w:p w14:paraId="1989C075"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2029.</w:t>
            </w:r>
          </w:p>
        </w:tc>
        <w:tc>
          <w:tcPr>
            <w:tcW w:w="374" w:type="pct"/>
            <w:hideMark/>
          </w:tcPr>
          <w:p w14:paraId="54A90A4A"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2030.</w:t>
            </w:r>
          </w:p>
        </w:tc>
      </w:tr>
      <w:tr w:rsidR="00EB6330" w:rsidRPr="00B357F4" w14:paraId="101CD3A1" w14:textId="77777777" w:rsidTr="12AF7EFC">
        <w:trPr>
          <w:trHeight w:val="330"/>
        </w:trPr>
        <w:tc>
          <w:tcPr>
            <w:cnfStyle w:val="001000000000" w:firstRow="0" w:lastRow="0" w:firstColumn="1" w:lastColumn="0" w:oddVBand="0" w:evenVBand="0" w:oddHBand="0" w:evenHBand="0" w:firstRowFirstColumn="0" w:firstRowLastColumn="0" w:lastRowFirstColumn="0" w:lastRowLastColumn="0"/>
            <w:tcW w:w="1211" w:type="pct"/>
            <w:hideMark/>
          </w:tcPr>
          <w:p w14:paraId="1F54CF3E" w14:textId="77777777" w:rsidR="00EB6330" w:rsidRPr="00B357F4" w:rsidRDefault="00EB6330" w:rsidP="00EB6330">
            <w:pPr>
              <w:spacing w:before="0" w:after="0"/>
              <w:rPr>
                <w:rFonts w:cs="Tahoma"/>
                <w:color w:val="000000"/>
                <w:sz w:val="16"/>
                <w:szCs w:val="16"/>
                <w:lang w:eastAsia="hr-HR"/>
              </w:rPr>
            </w:pPr>
            <w:r w:rsidRPr="00B357F4">
              <w:rPr>
                <w:rFonts w:cs="Tahoma"/>
                <w:color w:val="000000"/>
                <w:sz w:val="16"/>
                <w:szCs w:val="16"/>
                <w:lang w:eastAsia="hr-HR"/>
              </w:rPr>
              <w:t>Trošak [milijardi kn]</w:t>
            </w:r>
          </w:p>
        </w:tc>
        <w:tc>
          <w:tcPr>
            <w:tcW w:w="383" w:type="pct"/>
            <w:vAlign w:val="center"/>
            <w:hideMark/>
          </w:tcPr>
          <w:p w14:paraId="139F4FA6" w14:textId="39F76FEF"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0,60</w:t>
            </w:r>
          </w:p>
        </w:tc>
        <w:tc>
          <w:tcPr>
            <w:tcW w:w="379" w:type="pct"/>
            <w:vAlign w:val="center"/>
            <w:hideMark/>
          </w:tcPr>
          <w:p w14:paraId="61BF49C7" w14:textId="378B25F2"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0,60</w:t>
            </w:r>
          </w:p>
        </w:tc>
        <w:tc>
          <w:tcPr>
            <w:tcW w:w="379" w:type="pct"/>
            <w:vAlign w:val="center"/>
            <w:hideMark/>
          </w:tcPr>
          <w:p w14:paraId="027E3329" w14:textId="37A116A2"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0,88</w:t>
            </w:r>
          </w:p>
        </w:tc>
        <w:tc>
          <w:tcPr>
            <w:tcW w:w="379" w:type="pct"/>
            <w:vAlign w:val="center"/>
            <w:hideMark/>
          </w:tcPr>
          <w:p w14:paraId="3E7D5388" w14:textId="7B61E8E8"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0,87</w:t>
            </w:r>
          </w:p>
        </w:tc>
        <w:tc>
          <w:tcPr>
            <w:tcW w:w="379" w:type="pct"/>
            <w:vAlign w:val="center"/>
            <w:hideMark/>
          </w:tcPr>
          <w:p w14:paraId="68FA659E" w14:textId="50B919D0"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1,14</w:t>
            </w:r>
          </w:p>
        </w:tc>
        <w:tc>
          <w:tcPr>
            <w:tcW w:w="380" w:type="pct"/>
            <w:vAlign w:val="center"/>
            <w:hideMark/>
          </w:tcPr>
          <w:p w14:paraId="69194DBD" w14:textId="3450DFB1"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1,12</w:t>
            </w:r>
          </w:p>
        </w:tc>
        <w:tc>
          <w:tcPr>
            <w:tcW w:w="379" w:type="pct"/>
            <w:vAlign w:val="center"/>
            <w:hideMark/>
          </w:tcPr>
          <w:p w14:paraId="0AC848B8" w14:textId="790A3606"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1,37</w:t>
            </w:r>
          </w:p>
        </w:tc>
        <w:tc>
          <w:tcPr>
            <w:tcW w:w="379" w:type="pct"/>
            <w:vAlign w:val="center"/>
            <w:hideMark/>
          </w:tcPr>
          <w:p w14:paraId="409A7464" w14:textId="5B653E66"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1,33</w:t>
            </w:r>
          </w:p>
        </w:tc>
        <w:tc>
          <w:tcPr>
            <w:tcW w:w="379" w:type="pct"/>
            <w:vAlign w:val="center"/>
            <w:hideMark/>
          </w:tcPr>
          <w:p w14:paraId="006FE6FD" w14:textId="68ADDD36"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1,55</w:t>
            </w:r>
          </w:p>
        </w:tc>
        <w:tc>
          <w:tcPr>
            <w:tcW w:w="374" w:type="pct"/>
            <w:vAlign w:val="center"/>
            <w:hideMark/>
          </w:tcPr>
          <w:p w14:paraId="5FFD3666" w14:textId="7D9007A5"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1,51</w:t>
            </w:r>
          </w:p>
        </w:tc>
      </w:tr>
      <w:tr w:rsidR="0092082B" w:rsidRPr="00B357F4" w14:paraId="76CA8408"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594" w:type="pct"/>
            <w:gridSpan w:val="2"/>
          </w:tcPr>
          <w:p w14:paraId="3CEF8DFF" w14:textId="32D33B41" w:rsidR="0092082B" w:rsidRPr="00B357F4" w:rsidRDefault="0092082B" w:rsidP="00A85F83">
            <w:pPr>
              <w:spacing w:before="0" w:after="0"/>
              <w:rPr>
                <w:rFonts w:cs="Tahoma"/>
                <w:b w:val="0"/>
                <w:color w:val="000000"/>
                <w:sz w:val="16"/>
                <w:szCs w:val="16"/>
                <w:lang w:eastAsia="hr-HR"/>
              </w:rPr>
            </w:pPr>
            <w:r w:rsidRPr="00B357F4">
              <w:rPr>
                <w:rFonts w:cs="Tahoma"/>
                <w:color w:val="000000"/>
                <w:sz w:val="16"/>
                <w:szCs w:val="16"/>
                <w:lang w:eastAsia="hr-HR"/>
              </w:rPr>
              <w:t xml:space="preserve">Ukupno 2021. -2030. [milijardi </w:t>
            </w:r>
            <w:r w:rsidR="003B10B0" w:rsidRPr="00B357F4">
              <w:rPr>
                <w:rFonts w:cs="Tahoma"/>
                <w:color w:val="000000"/>
                <w:sz w:val="16"/>
                <w:szCs w:val="16"/>
                <w:lang w:eastAsia="hr-HR"/>
              </w:rPr>
              <w:t>k</w:t>
            </w:r>
            <w:r w:rsidR="003B10B0">
              <w:rPr>
                <w:rFonts w:cs="Tahoma"/>
                <w:color w:val="000000"/>
                <w:sz w:val="16"/>
                <w:szCs w:val="16"/>
                <w:lang w:eastAsia="hr-HR"/>
              </w:rPr>
              <w:t>una</w:t>
            </w:r>
            <w:r w:rsidRPr="00B357F4">
              <w:rPr>
                <w:rFonts w:cs="Tahoma"/>
                <w:color w:val="000000"/>
                <w:sz w:val="16"/>
                <w:szCs w:val="16"/>
                <w:lang w:eastAsia="hr-HR"/>
              </w:rPr>
              <w:t>]</w:t>
            </w:r>
          </w:p>
        </w:tc>
        <w:tc>
          <w:tcPr>
            <w:tcW w:w="3406" w:type="pct"/>
            <w:gridSpan w:val="9"/>
          </w:tcPr>
          <w:p w14:paraId="4D27468E" w14:textId="17D54469" w:rsidR="0092082B" w:rsidRPr="00B357F4" w:rsidRDefault="0043347D"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10</w:t>
            </w:r>
            <w:r w:rsidR="0092082B" w:rsidRPr="00B357F4">
              <w:rPr>
                <w:rFonts w:cs="Tahoma"/>
                <w:b/>
                <w:color w:val="000000"/>
                <w:sz w:val="16"/>
                <w:szCs w:val="16"/>
                <w:lang w:eastAsia="hr-HR"/>
              </w:rPr>
              <w:t>,</w:t>
            </w:r>
            <w:r w:rsidRPr="00B357F4">
              <w:rPr>
                <w:rFonts w:cs="Tahoma"/>
                <w:b/>
                <w:color w:val="000000"/>
                <w:sz w:val="16"/>
                <w:szCs w:val="16"/>
                <w:lang w:eastAsia="hr-HR"/>
              </w:rPr>
              <w:t>97</w:t>
            </w:r>
          </w:p>
        </w:tc>
      </w:tr>
      <w:tr w:rsidR="0092082B" w:rsidRPr="00B357F4" w14:paraId="45BC51A6"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594" w:type="pct"/>
            <w:gridSpan w:val="2"/>
          </w:tcPr>
          <w:p w14:paraId="52382DED" w14:textId="6C94F6CA" w:rsidR="0092082B" w:rsidRPr="00B357F4" w:rsidRDefault="0092082B" w:rsidP="00A85F83">
            <w:pPr>
              <w:spacing w:before="0" w:after="0"/>
              <w:rPr>
                <w:rFonts w:cs="Tahoma"/>
                <w:b w:val="0"/>
                <w:color w:val="000000"/>
                <w:sz w:val="16"/>
                <w:szCs w:val="16"/>
                <w:lang w:eastAsia="hr-HR"/>
              </w:rPr>
            </w:pPr>
            <w:r w:rsidRPr="00B357F4">
              <w:rPr>
                <w:rFonts w:cs="Tahoma"/>
                <w:color w:val="000000" w:themeColor="text1"/>
                <w:sz w:val="16"/>
                <w:szCs w:val="16"/>
                <w:lang w:eastAsia="hr-HR"/>
              </w:rPr>
              <w:t>Ukupno 2021. -2024.</w:t>
            </w:r>
            <w:r w:rsidR="42AA51E4" w:rsidRPr="00B357F4">
              <w:rPr>
                <w:rFonts w:cs="Tahoma"/>
                <w:color w:val="000000" w:themeColor="text1"/>
                <w:sz w:val="16"/>
                <w:szCs w:val="16"/>
                <w:lang w:eastAsia="hr-HR"/>
              </w:rPr>
              <w:t>*</w:t>
            </w:r>
            <w:r w:rsidRPr="00B357F4">
              <w:rPr>
                <w:rFonts w:cs="Tahoma"/>
                <w:color w:val="000000" w:themeColor="text1"/>
                <w:sz w:val="16"/>
                <w:szCs w:val="16"/>
                <w:lang w:eastAsia="hr-HR"/>
              </w:rPr>
              <w:t xml:space="preserve"> [milijardi </w:t>
            </w:r>
            <w:r w:rsidR="003B10B0" w:rsidRPr="00B357F4">
              <w:rPr>
                <w:rFonts w:cs="Tahoma"/>
                <w:color w:val="000000" w:themeColor="text1"/>
                <w:sz w:val="16"/>
                <w:szCs w:val="16"/>
                <w:lang w:eastAsia="hr-HR"/>
              </w:rPr>
              <w:t>k</w:t>
            </w:r>
            <w:r w:rsidR="003B10B0">
              <w:rPr>
                <w:rFonts w:cs="Tahoma"/>
                <w:color w:val="000000" w:themeColor="text1"/>
                <w:sz w:val="16"/>
                <w:szCs w:val="16"/>
                <w:lang w:eastAsia="hr-HR"/>
              </w:rPr>
              <w:t>una</w:t>
            </w:r>
            <w:r w:rsidRPr="00B357F4">
              <w:rPr>
                <w:rFonts w:cs="Tahoma"/>
                <w:color w:val="000000" w:themeColor="text1"/>
                <w:sz w:val="16"/>
                <w:szCs w:val="16"/>
                <w:lang w:eastAsia="hr-HR"/>
              </w:rPr>
              <w:t>]</w:t>
            </w:r>
          </w:p>
        </w:tc>
        <w:tc>
          <w:tcPr>
            <w:tcW w:w="3406" w:type="pct"/>
            <w:gridSpan w:val="9"/>
          </w:tcPr>
          <w:p w14:paraId="5046C339" w14:textId="6CD18BC7" w:rsidR="0092082B" w:rsidRPr="00B357F4" w:rsidRDefault="00E10BCE"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2</w:t>
            </w:r>
            <w:r w:rsidR="0092082B" w:rsidRPr="00B357F4">
              <w:rPr>
                <w:rFonts w:cs="Tahoma"/>
                <w:b/>
                <w:color w:val="000000"/>
                <w:sz w:val="16"/>
                <w:szCs w:val="16"/>
                <w:lang w:eastAsia="hr-HR"/>
              </w:rPr>
              <w:t>,</w:t>
            </w:r>
            <w:r w:rsidRPr="00B357F4">
              <w:rPr>
                <w:rFonts w:cs="Tahoma"/>
                <w:b/>
                <w:color w:val="000000"/>
                <w:sz w:val="16"/>
                <w:szCs w:val="16"/>
                <w:lang w:eastAsia="hr-HR"/>
              </w:rPr>
              <w:t>95</w:t>
            </w:r>
          </w:p>
        </w:tc>
      </w:tr>
    </w:tbl>
    <w:p w14:paraId="59BFD788" w14:textId="56FACD78" w:rsidR="2D6B6C96" w:rsidRPr="000D67D0" w:rsidRDefault="2D6B6C96" w:rsidP="0072010C">
      <w:pPr>
        <w:spacing w:line="257" w:lineRule="auto"/>
        <w:rPr>
          <w:rFonts w:ascii="Calibri" w:eastAsia="Calibri" w:hAnsi="Calibri" w:cs="Calibri"/>
          <w:sz w:val="22"/>
          <w:szCs w:val="22"/>
        </w:rPr>
      </w:pPr>
      <w:r w:rsidRPr="000D67D0">
        <w:rPr>
          <w:rFonts w:ascii="Calibri" w:eastAsia="Calibri" w:hAnsi="Calibri" w:cs="Calibri"/>
          <w:i/>
          <w:sz w:val="18"/>
          <w:szCs w:val="18"/>
        </w:rPr>
        <w:t>*Ciljane površine raspoređene su prema godinama sukladno ciljanim stopama obnove iz Dugoročne strategije.</w:t>
      </w:r>
      <w:r w:rsidRPr="000D67D0">
        <w:rPr>
          <w:rFonts w:ascii="Calibri" w:eastAsia="Calibri" w:hAnsi="Calibri" w:cs="Calibri"/>
          <w:sz w:val="22"/>
          <w:szCs w:val="22"/>
        </w:rPr>
        <w:t xml:space="preserve"> </w:t>
      </w:r>
      <w:r w:rsidRPr="000D67D0">
        <w:rPr>
          <w:rFonts w:ascii="Calibri" w:eastAsia="Calibri" w:hAnsi="Calibri" w:cs="Calibri"/>
          <w:i/>
          <w:sz w:val="22"/>
          <w:szCs w:val="22"/>
        </w:rPr>
        <w:t xml:space="preserve">S </w:t>
      </w:r>
      <w:r w:rsidRPr="000D67D0">
        <w:rPr>
          <w:rFonts w:ascii="Calibri" w:eastAsia="Calibri" w:hAnsi="Calibri" w:cs="Calibri"/>
          <w:i/>
          <w:sz w:val="18"/>
          <w:szCs w:val="18"/>
        </w:rPr>
        <w:t xml:space="preserve">obzirom da u 2021. godini neće biti obnovljenih </w:t>
      </w:r>
      <w:r w:rsidR="00C9753F" w:rsidRPr="000D67D0">
        <w:rPr>
          <w:rFonts w:ascii="Calibri" w:eastAsia="Calibri" w:hAnsi="Calibri" w:cs="Calibri"/>
          <w:i/>
          <w:iCs/>
          <w:sz w:val="18"/>
          <w:szCs w:val="18"/>
        </w:rPr>
        <w:t>ZJS</w:t>
      </w:r>
      <w:r w:rsidRPr="000D67D0">
        <w:rPr>
          <w:rFonts w:ascii="Calibri" w:eastAsia="Calibri" w:hAnsi="Calibri" w:cs="Calibri"/>
          <w:i/>
          <w:sz w:val="18"/>
          <w:szCs w:val="18"/>
        </w:rPr>
        <w:t xml:space="preserve"> prema ovome Programu, ciljana obnovljena površina iz te godine raspodjeljuje se na sljedeće tri godine, te se pripadajući trošak iz te godine ubraja u ukupan trošak za razdoblje od 2022. do 2024. godine.   </w:t>
      </w:r>
      <w:r w:rsidRPr="000D67D0">
        <w:rPr>
          <w:rFonts w:ascii="Calibri" w:eastAsia="Calibri" w:hAnsi="Calibri" w:cs="Calibri"/>
          <w:sz w:val="22"/>
          <w:szCs w:val="22"/>
        </w:rPr>
        <w:t xml:space="preserve">  </w:t>
      </w:r>
    </w:p>
    <w:p w14:paraId="64953561" w14:textId="29CC9CD8" w:rsidR="0092082B" w:rsidRPr="00B357F4" w:rsidRDefault="0092082B" w:rsidP="0092082B">
      <w:r w:rsidRPr="00B357F4">
        <w:t xml:space="preserve">Procijenjene investicije za obnovu  iznose </w:t>
      </w:r>
      <w:r w:rsidR="00DCEA0E" w:rsidRPr="00B357F4">
        <w:rPr>
          <w:b/>
          <w:bCs/>
        </w:rPr>
        <w:t>oko</w:t>
      </w:r>
      <w:r w:rsidR="00217215">
        <w:rPr>
          <w:b/>
          <w:bCs/>
        </w:rPr>
        <w:t xml:space="preserve"> </w:t>
      </w:r>
      <w:r w:rsidR="009A2F3C" w:rsidRPr="00B357F4">
        <w:rPr>
          <w:b/>
          <w:bCs/>
        </w:rPr>
        <w:t>11</w:t>
      </w:r>
      <w:r w:rsidRPr="00B357F4">
        <w:rPr>
          <w:b/>
        </w:rPr>
        <w:t xml:space="preserve"> milijardi kn</w:t>
      </w:r>
      <w:r w:rsidRPr="00B357F4">
        <w:t xml:space="preserve"> u razmatranom desetogodišnjem razdoblju. Do kraja 2024. godine, a kako bi se postigli ciljevi iz Dugoročne strategije, bit će potrebne investicije u </w:t>
      </w:r>
      <w:r w:rsidR="0045433C" w:rsidRPr="00B357F4">
        <w:t>ZJS</w:t>
      </w:r>
      <w:r w:rsidRPr="00B357F4">
        <w:t xml:space="preserve"> od </w:t>
      </w:r>
      <w:r w:rsidR="3E2084A4" w:rsidRPr="00B357F4">
        <w:t>oko</w:t>
      </w:r>
      <w:r w:rsidRPr="00B357F4">
        <w:t xml:space="preserve"> </w:t>
      </w:r>
      <w:r w:rsidRPr="00B357F4">
        <w:rPr>
          <w:b/>
        </w:rPr>
        <w:t xml:space="preserve">3 milijarde </w:t>
      </w:r>
      <w:r w:rsidR="003B10B0" w:rsidRPr="00B357F4">
        <w:rPr>
          <w:b/>
        </w:rPr>
        <w:t>k</w:t>
      </w:r>
      <w:r w:rsidR="003B10B0">
        <w:rPr>
          <w:b/>
        </w:rPr>
        <w:t>una</w:t>
      </w:r>
      <w:r w:rsidRPr="00B357F4">
        <w:t>.</w:t>
      </w:r>
    </w:p>
    <w:p w14:paraId="4B2DAF8A" w14:textId="5F322D3D" w:rsidR="0092082B" w:rsidRPr="00B357F4" w:rsidRDefault="00896C54" w:rsidP="0092082B">
      <w:r w:rsidRPr="00C17B85">
        <w:t>S obzirom da ovaj Program podrazumijeva osiguravanje bespovratnih sredstava u iznosima od 60 do 80%</w:t>
      </w:r>
      <w:r w:rsidR="00C334DC">
        <w:t xml:space="preserve">, te 100% za </w:t>
      </w:r>
      <w:r w:rsidR="0043256E">
        <w:t>zgrade oštećene u potresu</w:t>
      </w:r>
      <w:r w:rsidRPr="00C17B85">
        <w:t xml:space="preserve">, </w:t>
      </w:r>
      <w:r w:rsidR="0092082B" w:rsidRPr="00C17B85">
        <w:t xml:space="preserve">udio javnih sredstava iz nacionalnih, EU i ostalih međunarodnih izvora je izuzetno velik te iznosi između </w:t>
      </w:r>
      <w:r w:rsidR="00153E21" w:rsidRPr="00C17B85">
        <w:rPr>
          <w:b/>
        </w:rPr>
        <w:t>1</w:t>
      </w:r>
      <w:r w:rsidR="0092082B" w:rsidRPr="00C17B85">
        <w:rPr>
          <w:b/>
        </w:rPr>
        <w:t>,</w:t>
      </w:r>
      <w:r w:rsidR="00153E21" w:rsidRPr="00C17B85">
        <w:rPr>
          <w:b/>
        </w:rPr>
        <w:t>8</w:t>
      </w:r>
      <w:r w:rsidR="0092082B" w:rsidRPr="00C17B85">
        <w:rPr>
          <w:b/>
        </w:rPr>
        <w:t xml:space="preserve"> i </w:t>
      </w:r>
      <w:r w:rsidR="00153E21" w:rsidRPr="00C17B85">
        <w:rPr>
          <w:b/>
        </w:rPr>
        <w:t>2</w:t>
      </w:r>
      <w:r w:rsidR="0092082B" w:rsidRPr="00C17B85">
        <w:rPr>
          <w:b/>
        </w:rPr>
        <w:t>,</w:t>
      </w:r>
      <w:r w:rsidR="00153E21" w:rsidRPr="00C17B85">
        <w:rPr>
          <w:b/>
        </w:rPr>
        <w:t>4</w:t>
      </w:r>
      <w:r w:rsidR="0092082B" w:rsidRPr="00C17B85">
        <w:rPr>
          <w:b/>
        </w:rPr>
        <w:t xml:space="preserve"> milijardi </w:t>
      </w:r>
      <w:r w:rsidR="003B10B0" w:rsidRPr="00C17B85">
        <w:rPr>
          <w:b/>
        </w:rPr>
        <w:t xml:space="preserve">kuna </w:t>
      </w:r>
      <w:r w:rsidR="0092082B" w:rsidRPr="00C17B85">
        <w:rPr>
          <w:b/>
        </w:rPr>
        <w:t>u razdoblju do 2024. godine</w:t>
      </w:r>
      <w:r w:rsidR="0092082B" w:rsidRPr="00C17B85">
        <w:t xml:space="preserve"> odnosno </w:t>
      </w:r>
      <w:r w:rsidR="005C2DF0" w:rsidRPr="00C17B85">
        <w:t>6</w:t>
      </w:r>
      <w:r w:rsidR="0092082B" w:rsidRPr="00C17B85">
        <w:t>,</w:t>
      </w:r>
      <w:r w:rsidR="005C2DF0" w:rsidRPr="00C17B85">
        <w:t>6</w:t>
      </w:r>
      <w:r w:rsidR="0092082B" w:rsidRPr="00C17B85">
        <w:t xml:space="preserve"> do </w:t>
      </w:r>
      <w:r w:rsidR="00C03D3D" w:rsidRPr="00C17B85">
        <w:t>8</w:t>
      </w:r>
      <w:r w:rsidR="0092082B" w:rsidRPr="00C17B85">
        <w:t>,8 milijardi kn u čitavom desetogodišnjem razdoblju.</w:t>
      </w:r>
    </w:p>
    <w:p w14:paraId="32B43127" w14:textId="712040EE" w:rsidR="0092082B" w:rsidRPr="00B357F4" w:rsidRDefault="0092082B" w:rsidP="0092082B">
      <w:r w:rsidRPr="00B357F4">
        <w:t xml:space="preserve">U ovu procjenu uključena su oba dijela ovoga Programa – </w:t>
      </w:r>
      <w:r w:rsidR="00372F73" w:rsidRPr="00B357F4">
        <w:t>ZJS</w:t>
      </w:r>
      <w:r w:rsidRPr="00B357F4">
        <w:t xml:space="preserve"> neoštećene u potresu i </w:t>
      </w:r>
      <w:r w:rsidR="00372F73" w:rsidRPr="00B357F4">
        <w:t>ZJS</w:t>
      </w:r>
      <w:r w:rsidRPr="00B357F4">
        <w:t xml:space="preserve"> oštećene u potresu. </w:t>
      </w:r>
    </w:p>
    <w:p w14:paraId="0EF89357" w14:textId="07F7061A" w:rsidR="00176E59" w:rsidRDefault="00176E59" w:rsidP="0092082B">
      <w:r w:rsidRPr="00B357F4">
        <w:t xml:space="preserve">Indikativni </w:t>
      </w:r>
      <w:r w:rsidR="00D47803" w:rsidRPr="00B357F4">
        <w:t xml:space="preserve">dugoročni </w:t>
      </w:r>
      <w:r w:rsidRPr="00B357F4">
        <w:t xml:space="preserve">financijski plan </w:t>
      </w:r>
      <w:r w:rsidR="003E7CD9" w:rsidRPr="00B357F4">
        <w:t>za provedbu obnove na način predviđen Dugoročnom strategijom prikazuje donja tablica</w:t>
      </w:r>
      <w:r w:rsidR="003E7CD9" w:rsidRPr="003020E6">
        <w:t xml:space="preserve">. </w:t>
      </w:r>
    </w:p>
    <w:tbl>
      <w:tblPr>
        <w:tblStyle w:val="Svijetlatablicareetke11"/>
        <w:tblW w:w="9344" w:type="dxa"/>
        <w:tblLook w:val="04A0" w:firstRow="1" w:lastRow="0" w:firstColumn="1" w:lastColumn="0" w:noHBand="0" w:noVBand="1"/>
      </w:tblPr>
      <w:tblGrid>
        <w:gridCol w:w="1340"/>
        <w:gridCol w:w="1410"/>
        <w:gridCol w:w="671"/>
        <w:gridCol w:w="566"/>
        <w:gridCol w:w="566"/>
        <w:gridCol w:w="566"/>
        <w:gridCol w:w="566"/>
        <w:gridCol w:w="566"/>
        <w:gridCol w:w="566"/>
        <w:gridCol w:w="566"/>
        <w:gridCol w:w="566"/>
        <w:gridCol w:w="566"/>
        <w:gridCol w:w="829"/>
      </w:tblGrid>
      <w:tr w:rsidR="0002744E" w:rsidRPr="00B357F4" w14:paraId="522ECD34" w14:textId="77777777" w:rsidTr="00720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13"/>
            <w:shd w:val="clear" w:color="auto" w:fill="D9D9D9" w:themeFill="background1" w:themeFillShade="D9"/>
          </w:tcPr>
          <w:p w14:paraId="7119FDA5" w14:textId="77777777" w:rsidR="0002744E" w:rsidRPr="00971F9E" w:rsidRDefault="0002744E" w:rsidP="00A85F83">
            <w:pPr>
              <w:spacing w:before="0" w:after="0"/>
              <w:rPr>
                <w:rFonts w:cs="Tahoma"/>
                <w:b w:val="0"/>
                <w:sz w:val="16"/>
                <w:szCs w:val="16"/>
                <w:lang w:eastAsia="hr-HR"/>
              </w:rPr>
            </w:pPr>
            <w:r w:rsidRPr="00B03C9B">
              <w:rPr>
                <w:rFonts w:cs="Tahoma"/>
                <w:sz w:val="16"/>
                <w:szCs w:val="16"/>
                <w:lang w:eastAsia="hr-HR"/>
              </w:rPr>
              <w:t>Strateški cilj:</w:t>
            </w:r>
          </w:p>
          <w:p w14:paraId="0D24A731" w14:textId="77777777" w:rsidR="0002744E" w:rsidRPr="00B357F4" w:rsidRDefault="0002744E" w:rsidP="00A85F83">
            <w:pPr>
              <w:spacing w:before="0" w:after="0"/>
              <w:rPr>
                <w:rFonts w:cs="Tahoma"/>
                <w:b w:val="0"/>
                <w:sz w:val="16"/>
                <w:szCs w:val="16"/>
                <w:lang w:eastAsia="hr-HR"/>
              </w:rPr>
            </w:pPr>
            <w:r w:rsidRPr="00B357F4">
              <w:rPr>
                <w:rFonts w:cs="Tahoma"/>
                <w:b w:val="0"/>
                <w:sz w:val="16"/>
                <w:szCs w:val="16"/>
                <w:lang w:eastAsia="hr-HR"/>
              </w:rPr>
              <w:t>Sve zgrade u RH su 2050. godine gotovo nula energetske ili s visokom razinom energetske učinkovitosti.</w:t>
            </w:r>
          </w:p>
        </w:tc>
      </w:tr>
      <w:tr w:rsidR="0002744E" w:rsidRPr="00B357F4" w14:paraId="713B2108" w14:textId="77777777" w:rsidTr="0072010C">
        <w:tc>
          <w:tcPr>
            <w:cnfStyle w:val="001000000000" w:firstRow="0" w:lastRow="0" w:firstColumn="1" w:lastColumn="0" w:oddVBand="0" w:evenVBand="0" w:oddHBand="0" w:evenHBand="0" w:firstRowFirstColumn="0" w:firstRowLastColumn="0" w:lastRowFirstColumn="0" w:lastRowLastColumn="0"/>
            <w:tcW w:w="0" w:type="dxa"/>
            <w:gridSpan w:val="13"/>
          </w:tcPr>
          <w:p w14:paraId="68832BE4" w14:textId="07100B40" w:rsidR="0002744E" w:rsidRPr="00B357F4" w:rsidRDefault="0002744E" w:rsidP="00A85F83">
            <w:pPr>
              <w:spacing w:before="0" w:after="0"/>
              <w:rPr>
                <w:rFonts w:cs="Tahoma"/>
                <w:sz w:val="16"/>
                <w:szCs w:val="16"/>
                <w:lang w:eastAsia="hr-HR"/>
              </w:rPr>
            </w:pPr>
            <w:r w:rsidRPr="00B357F4">
              <w:rPr>
                <w:rFonts w:cs="Tahoma"/>
                <w:sz w:val="16"/>
                <w:szCs w:val="16"/>
                <w:lang w:eastAsia="hr-HR"/>
              </w:rPr>
              <w:t xml:space="preserve">Pokazatelj učinka: </w:t>
            </w:r>
            <w:r w:rsidRPr="00B357F4">
              <w:rPr>
                <w:rFonts w:cs="Tahoma"/>
                <w:b w:val="0"/>
                <w:sz w:val="16"/>
                <w:szCs w:val="16"/>
                <w:lang w:eastAsia="hr-HR"/>
              </w:rPr>
              <w:t xml:space="preserve">Ukupno obnovljena površina zgrada </w:t>
            </w:r>
            <w:r w:rsidR="006105E0" w:rsidRPr="00B357F4">
              <w:rPr>
                <w:rFonts w:cs="Tahoma"/>
                <w:b w:val="0"/>
                <w:sz w:val="16"/>
                <w:szCs w:val="16"/>
                <w:lang w:eastAsia="hr-HR"/>
              </w:rPr>
              <w:t xml:space="preserve">javnog sektora </w:t>
            </w:r>
            <w:r w:rsidRPr="00B357F4">
              <w:rPr>
                <w:rFonts w:cs="Tahoma"/>
                <w:b w:val="0"/>
                <w:sz w:val="16"/>
                <w:szCs w:val="16"/>
                <w:lang w:eastAsia="hr-HR"/>
              </w:rPr>
              <w:t xml:space="preserve">u razdoblju </w:t>
            </w:r>
          </w:p>
          <w:p w14:paraId="0B37A82B" w14:textId="3E0E2AF2" w:rsidR="0002744E" w:rsidRPr="00B357F4" w:rsidRDefault="0002744E" w:rsidP="00A85F83">
            <w:pPr>
              <w:spacing w:before="0" w:after="0"/>
              <w:rPr>
                <w:rFonts w:cs="Tahoma"/>
                <w:sz w:val="16"/>
                <w:szCs w:val="16"/>
                <w:lang w:eastAsia="hr-HR"/>
              </w:rPr>
            </w:pPr>
            <w:r w:rsidRPr="00B357F4">
              <w:rPr>
                <w:rFonts w:cs="Tahoma"/>
                <w:sz w:val="16"/>
                <w:szCs w:val="16"/>
                <w:lang w:eastAsia="hr-HR"/>
              </w:rPr>
              <w:t xml:space="preserve">Početna vrijednost: </w:t>
            </w:r>
            <w:r w:rsidRPr="00B357F4">
              <w:rPr>
                <w:rFonts w:cs="Tahoma"/>
                <w:b w:val="0"/>
                <w:sz w:val="16"/>
                <w:szCs w:val="16"/>
                <w:lang w:eastAsia="hr-HR"/>
              </w:rPr>
              <w:t xml:space="preserve">0 </w:t>
            </w:r>
            <w:r w:rsidRPr="00B357F4">
              <w:rPr>
                <w:rFonts w:cs="Tahoma"/>
                <w:sz w:val="16"/>
                <w:szCs w:val="16"/>
                <w:lang w:eastAsia="hr-HR"/>
              </w:rPr>
              <w:t xml:space="preserve">  Ciljana vrijednost 2030.: </w:t>
            </w:r>
            <w:r w:rsidR="000A6DE7" w:rsidRPr="00B357F4">
              <w:rPr>
                <w:rFonts w:cs="Tahoma"/>
                <w:b w:val="0"/>
                <w:sz w:val="16"/>
                <w:szCs w:val="16"/>
                <w:lang w:eastAsia="hr-HR"/>
              </w:rPr>
              <w:t>2</w:t>
            </w:r>
            <w:r w:rsidRPr="00B357F4">
              <w:rPr>
                <w:rFonts w:cs="Tahoma"/>
                <w:b w:val="0"/>
                <w:sz w:val="16"/>
                <w:szCs w:val="16"/>
                <w:lang w:eastAsia="hr-HR"/>
              </w:rPr>
              <w:t>,</w:t>
            </w:r>
            <w:r w:rsidR="000A6DE7" w:rsidRPr="00B357F4">
              <w:rPr>
                <w:rFonts w:cs="Tahoma"/>
                <w:b w:val="0"/>
                <w:sz w:val="16"/>
                <w:szCs w:val="16"/>
                <w:lang w:eastAsia="hr-HR"/>
              </w:rPr>
              <w:t>93</w:t>
            </w:r>
            <w:r w:rsidRPr="00B357F4">
              <w:rPr>
                <w:rFonts w:cs="Tahoma"/>
                <w:b w:val="0"/>
                <w:sz w:val="16"/>
                <w:szCs w:val="16"/>
                <w:lang w:eastAsia="hr-HR"/>
              </w:rPr>
              <w:t xml:space="preserve"> milijuna m</w:t>
            </w:r>
            <w:r w:rsidRPr="00B357F4">
              <w:rPr>
                <w:rFonts w:cs="Tahoma"/>
                <w:b w:val="0"/>
                <w:sz w:val="16"/>
                <w:szCs w:val="16"/>
                <w:vertAlign w:val="superscript"/>
                <w:lang w:eastAsia="hr-HR"/>
              </w:rPr>
              <w:t>2</w:t>
            </w:r>
            <w:r w:rsidRPr="00B357F4">
              <w:rPr>
                <w:rFonts w:cs="Tahoma"/>
                <w:b w:val="0"/>
                <w:sz w:val="16"/>
                <w:szCs w:val="16"/>
                <w:lang w:eastAsia="hr-HR"/>
              </w:rPr>
              <w:t xml:space="preserve"> (ukupno u razdoblju 2021.-2030.)</w:t>
            </w:r>
          </w:p>
        </w:tc>
      </w:tr>
      <w:tr w:rsidR="0002744E" w:rsidRPr="00B357F4" w14:paraId="2B882698" w14:textId="77777777" w:rsidTr="0072010C">
        <w:tc>
          <w:tcPr>
            <w:cnfStyle w:val="001000000000" w:firstRow="0" w:lastRow="0" w:firstColumn="1" w:lastColumn="0" w:oddVBand="0" w:evenVBand="0" w:oddHBand="0" w:evenHBand="0" w:firstRowFirstColumn="0" w:firstRowLastColumn="0" w:lastRowFirstColumn="0" w:lastRowLastColumn="0"/>
            <w:tcW w:w="0" w:type="dxa"/>
            <w:vMerge w:val="restart"/>
          </w:tcPr>
          <w:p w14:paraId="046F1E94" w14:textId="77777777" w:rsidR="0002744E" w:rsidRPr="00B357F4" w:rsidRDefault="0002744E" w:rsidP="00A85F83">
            <w:pPr>
              <w:spacing w:before="0" w:after="0"/>
              <w:rPr>
                <w:rFonts w:cs="Tahoma"/>
                <w:sz w:val="16"/>
                <w:szCs w:val="16"/>
                <w:lang w:eastAsia="hr-HR"/>
              </w:rPr>
            </w:pPr>
            <w:r w:rsidRPr="00B357F4">
              <w:rPr>
                <w:rFonts w:cs="Tahoma"/>
                <w:sz w:val="16"/>
                <w:szCs w:val="16"/>
                <w:lang w:eastAsia="hr-HR"/>
              </w:rPr>
              <w:t>POSEBNI CILJEVI</w:t>
            </w:r>
          </w:p>
        </w:tc>
        <w:tc>
          <w:tcPr>
            <w:tcW w:w="0" w:type="dxa"/>
            <w:vMerge w:val="restart"/>
          </w:tcPr>
          <w:p w14:paraId="35F4D22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POKAZATELJ ISHODA</w:t>
            </w:r>
          </w:p>
        </w:tc>
        <w:tc>
          <w:tcPr>
            <w:tcW w:w="0" w:type="dxa"/>
            <w:gridSpan w:val="11"/>
          </w:tcPr>
          <w:p w14:paraId="0C301451" w14:textId="4A939DE1" w:rsidR="0002744E" w:rsidRPr="00B357F4" w:rsidRDefault="0002744E"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 xml:space="preserve">FINANCIJSKI PLAN [milijuna </w:t>
            </w:r>
            <w:r w:rsidR="005E3EC4" w:rsidRPr="00B357F4">
              <w:rPr>
                <w:rFonts w:cs="Tahoma"/>
                <w:b/>
                <w:sz w:val="16"/>
                <w:szCs w:val="16"/>
                <w:lang w:eastAsia="hr-HR"/>
              </w:rPr>
              <w:t>k</w:t>
            </w:r>
            <w:r w:rsidR="005E3EC4">
              <w:rPr>
                <w:rFonts w:cs="Tahoma"/>
                <w:b/>
                <w:sz w:val="16"/>
                <w:szCs w:val="16"/>
                <w:lang w:eastAsia="hr-HR"/>
              </w:rPr>
              <w:t>una</w:t>
            </w:r>
            <w:r w:rsidRPr="00B357F4">
              <w:rPr>
                <w:rFonts w:cs="Tahoma"/>
                <w:b/>
                <w:sz w:val="16"/>
                <w:szCs w:val="16"/>
                <w:lang w:eastAsia="hr-HR"/>
              </w:rPr>
              <w:t>]</w:t>
            </w:r>
          </w:p>
        </w:tc>
      </w:tr>
      <w:tr w:rsidR="0002744E" w:rsidRPr="00B357F4" w14:paraId="36E2EBD7" w14:textId="77777777" w:rsidTr="0072010C">
        <w:tc>
          <w:tcPr>
            <w:cnfStyle w:val="001000000000" w:firstRow="0" w:lastRow="0" w:firstColumn="1" w:lastColumn="0" w:oddVBand="0" w:evenVBand="0" w:oddHBand="0" w:evenHBand="0" w:firstRowFirstColumn="0" w:firstRowLastColumn="0" w:lastRowFirstColumn="0" w:lastRowLastColumn="0"/>
            <w:tcW w:w="1381" w:type="dxa"/>
            <w:vMerge/>
          </w:tcPr>
          <w:p w14:paraId="213D4D6B" w14:textId="77777777" w:rsidR="0002744E" w:rsidRPr="00B357F4" w:rsidRDefault="0002744E" w:rsidP="00A85F83">
            <w:pPr>
              <w:spacing w:before="0" w:after="0"/>
              <w:rPr>
                <w:rFonts w:cs="Tahoma"/>
                <w:sz w:val="16"/>
                <w:szCs w:val="16"/>
                <w:lang w:eastAsia="hr-HR"/>
              </w:rPr>
            </w:pPr>
          </w:p>
        </w:tc>
        <w:tc>
          <w:tcPr>
            <w:tcW w:w="1474" w:type="dxa"/>
            <w:vMerge/>
          </w:tcPr>
          <w:p w14:paraId="47CFBE30"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p>
        </w:tc>
        <w:tc>
          <w:tcPr>
            <w:tcW w:w="810" w:type="dxa"/>
          </w:tcPr>
          <w:p w14:paraId="07C019B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2021</w:t>
            </w:r>
          </w:p>
        </w:tc>
        <w:tc>
          <w:tcPr>
            <w:tcW w:w="356" w:type="dxa"/>
          </w:tcPr>
          <w:p w14:paraId="6FA873D9"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2022</w:t>
            </w:r>
          </w:p>
        </w:tc>
        <w:tc>
          <w:tcPr>
            <w:tcW w:w="532" w:type="dxa"/>
          </w:tcPr>
          <w:p w14:paraId="2C714644"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2023</w:t>
            </w:r>
          </w:p>
        </w:tc>
        <w:tc>
          <w:tcPr>
            <w:tcW w:w="0" w:type="dxa"/>
          </w:tcPr>
          <w:p w14:paraId="10A1710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2024</w:t>
            </w:r>
          </w:p>
        </w:tc>
        <w:tc>
          <w:tcPr>
            <w:tcW w:w="0" w:type="dxa"/>
          </w:tcPr>
          <w:p w14:paraId="1C7ACB1A"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2025</w:t>
            </w:r>
          </w:p>
        </w:tc>
        <w:tc>
          <w:tcPr>
            <w:tcW w:w="0" w:type="dxa"/>
          </w:tcPr>
          <w:p w14:paraId="2DCE73F2"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2026</w:t>
            </w:r>
          </w:p>
        </w:tc>
        <w:tc>
          <w:tcPr>
            <w:tcW w:w="0" w:type="dxa"/>
          </w:tcPr>
          <w:p w14:paraId="6442DA09"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2027</w:t>
            </w:r>
          </w:p>
        </w:tc>
        <w:tc>
          <w:tcPr>
            <w:tcW w:w="0" w:type="dxa"/>
          </w:tcPr>
          <w:p w14:paraId="73B38447"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2028</w:t>
            </w:r>
          </w:p>
        </w:tc>
        <w:tc>
          <w:tcPr>
            <w:tcW w:w="0" w:type="dxa"/>
          </w:tcPr>
          <w:p w14:paraId="48E67F0B"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2029</w:t>
            </w:r>
          </w:p>
        </w:tc>
        <w:tc>
          <w:tcPr>
            <w:tcW w:w="0" w:type="dxa"/>
          </w:tcPr>
          <w:p w14:paraId="4DA4AE86"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2030</w:t>
            </w:r>
          </w:p>
        </w:tc>
        <w:tc>
          <w:tcPr>
            <w:tcW w:w="0" w:type="dxa"/>
          </w:tcPr>
          <w:p w14:paraId="41C8293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UKUPNO</w:t>
            </w:r>
          </w:p>
        </w:tc>
      </w:tr>
      <w:tr w:rsidR="00EC7676" w:rsidRPr="00B357F4" w14:paraId="04F7751B" w14:textId="77777777" w:rsidTr="0072010C">
        <w:trPr>
          <w:cantSplit/>
          <w:trHeight w:val="1134"/>
        </w:trPr>
        <w:tc>
          <w:tcPr>
            <w:cnfStyle w:val="001000000000" w:firstRow="0" w:lastRow="0" w:firstColumn="1" w:lastColumn="0" w:oddVBand="0" w:evenVBand="0" w:oddHBand="0" w:evenHBand="0" w:firstRowFirstColumn="0" w:firstRowLastColumn="0" w:lastRowFirstColumn="0" w:lastRowLastColumn="0"/>
            <w:tcW w:w="0" w:type="dxa"/>
          </w:tcPr>
          <w:p w14:paraId="3A7E7969" w14:textId="77777777" w:rsidR="00EC7676" w:rsidRPr="00B357F4" w:rsidRDefault="00EC7676" w:rsidP="00EC7676">
            <w:pPr>
              <w:spacing w:before="0" w:after="0"/>
              <w:rPr>
                <w:rFonts w:cs="Tahoma"/>
                <w:b w:val="0"/>
                <w:sz w:val="16"/>
                <w:szCs w:val="16"/>
                <w:lang w:eastAsia="hr-HR"/>
              </w:rPr>
            </w:pPr>
            <w:r w:rsidRPr="00B357F4">
              <w:rPr>
                <w:rFonts w:cs="Tahoma"/>
                <w:sz w:val="16"/>
                <w:szCs w:val="16"/>
                <w:lang w:eastAsia="hr-HR"/>
              </w:rPr>
              <w:lastRenderedPageBreak/>
              <w:t>Posebni cilj 1:</w:t>
            </w:r>
          </w:p>
          <w:p w14:paraId="210496F9" w14:textId="77777777" w:rsidR="00EC7676" w:rsidRPr="00B357F4" w:rsidRDefault="00EC7676" w:rsidP="00EC7676">
            <w:pPr>
              <w:spacing w:before="0" w:after="0"/>
              <w:rPr>
                <w:rFonts w:cs="Tahoma"/>
                <w:sz w:val="16"/>
                <w:szCs w:val="16"/>
                <w:lang w:eastAsia="hr-HR"/>
              </w:rPr>
            </w:pPr>
            <w:r w:rsidRPr="00B357F4">
              <w:rPr>
                <w:rFonts w:cs="Tahoma"/>
                <w:b w:val="0"/>
                <w:sz w:val="16"/>
                <w:szCs w:val="16"/>
                <w:lang w:eastAsia="hr-HR"/>
              </w:rPr>
              <w:t xml:space="preserve">Energetska i sveobuhvatna obnova </w:t>
            </w:r>
            <w:r w:rsidRPr="00B357F4">
              <w:rPr>
                <w:rFonts w:cs="Tahoma"/>
                <w:sz w:val="16"/>
                <w:szCs w:val="16"/>
                <w:lang w:eastAsia="hr-HR"/>
              </w:rPr>
              <w:t>ZJS</w:t>
            </w:r>
            <w:r w:rsidRPr="00B357F4">
              <w:rPr>
                <w:rFonts w:cs="Tahoma"/>
                <w:b w:val="0"/>
                <w:sz w:val="16"/>
                <w:szCs w:val="16"/>
                <w:lang w:eastAsia="hr-HR"/>
              </w:rPr>
              <w:t xml:space="preserve"> u razdoblju 2021. do 2030. </w:t>
            </w:r>
          </w:p>
        </w:tc>
        <w:tc>
          <w:tcPr>
            <w:tcW w:w="0" w:type="dxa"/>
          </w:tcPr>
          <w:p w14:paraId="4820A287" w14:textId="77777777" w:rsidR="00EC7676" w:rsidRPr="00B357F4" w:rsidRDefault="00EC7676" w:rsidP="00EC7676">
            <w:pPr>
              <w:spacing w:before="0" w:after="0"/>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sz w:val="16"/>
                <w:szCs w:val="16"/>
                <w:lang w:eastAsia="hr-HR"/>
              </w:rPr>
              <w:t xml:space="preserve">Ukupno obnovljena površina </w:t>
            </w:r>
            <w:r w:rsidRPr="00B357F4">
              <w:rPr>
                <w:rFonts w:cs="Tahoma"/>
                <w:b/>
                <w:sz w:val="16"/>
                <w:szCs w:val="16"/>
                <w:lang w:eastAsia="hr-HR"/>
              </w:rPr>
              <w:t>ZJS</w:t>
            </w:r>
            <w:r w:rsidRPr="00B357F4">
              <w:rPr>
                <w:rFonts w:cs="Tahoma"/>
                <w:sz w:val="16"/>
                <w:szCs w:val="16"/>
                <w:lang w:eastAsia="hr-HR"/>
              </w:rPr>
              <w:t xml:space="preserve"> u desetogodišnjem razdoblju </w:t>
            </w:r>
          </w:p>
          <w:p w14:paraId="2707E73E" w14:textId="77777777" w:rsidR="00EC7676" w:rsidRPr="00B357F4" w:rsidRDefault="00EC7676" w:rsidP="00EC7676">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Ciljana vrijednost 2030.:</w:t>
            </w:r>
          </w:p>
          <w:p w14:paraId="753EF2F6" w14:textId="0FFDA937" w:rsidR="00EC7676" w:rsidRPr="00B357F4" w:rsidRDefault="00EC7676" w:rsidP="00EC7676">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2,93 milijuna m</w:t>
            </w:r>
            <w:r w:rsidRPr="00B357F4">
              <w:rPr>
                <w:rFonts w:cs="Tahoma"/>
                <w:sz w:val="16"/>
                <w:szCs w:val="16"/>
                <w:vertAlign w:val="superscript"/>
                <w:lang w:eastAsia="hr-HR"/>
              </w:rPr>
              <w:t>2</w:t>
            </w:r>
          </w:p>
        </w:tc>
        <w:tc>
          <w:tcPr>
            <w:tcW w:w="810" w:type="dxa"/>
            <w:textDirection w:val="btLr"/>
            <w:vAlign w:val="center"/>
          </w:tcPr>
          <w:p w14:paraId="0AFBC57A" w14:textId="79E707A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603,73</w:t>
            </w:r>
          </w:p>
        </w:tc>
        <w:tc>
          <w:tcPr>
            <w:tcW w:w="356" w:type="dxa"/>
            <w:textDirection w:val="btLr"/>
            <w:vAlign w:val="center"/>
          </w:tcPr>
          <w:p w14:paraId="77D38167" w14:textId="0D2C99A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596,17</w:t>
            </w:r>
          </w:p>
        </w:tc>
        <w:tc>
          <w:tcPr>
            <w:tcW w:w="532" w:type="dxa"/>
            <w:textDirection w:val="btLr"/>
            <w:vAlign w:val="center"/>
          </w:tcPr>
          <w:p w14:paraId="08185371" w14:textId="7360A31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884,17</w:t>
            </w:r>
          </w:p>
        </w:tc>
        <w:tc>
          <w:tcPr>
            <w:tcW w:w="0" w:type="dxa"/>
            <w:textDirection w:val="btLr"/>
            <w:vAlign w:val="center"/>
          </w:tcPr>
          <w:p w14:paraId="2845D5D1" w14:textId="5ECB4224"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869,79</w:t>
            </w:r>
          </w:p>
        </w:tc>
        <w:tc>
          <w:tcPr>
            <w:tcW w:w="0" w:type="dxa"/>
            <w:textDirection w:val="btLr"/>
            <w:vAlign w:val="center"/>
          </w:tcPr>
          <w:p w14:paraId="1A287C82" w14:textId="626674C1"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1.140,85</w:t>
            </w:r>
          </w:p>
        </w:tc>
        <w:tc>
          <w:tcPr>
            <w:tcW w:w="0" w:type="dxa"/>
            <w:textDirection w:val="btLr"/>
            <w:vAlign w:val="center"/>
          </w:tcPr>
          <w:p w14:paraId="1E3D48F1" w14:textId="2331B374"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1.116,60</w:t>
            </w:r>
          </w:p>
        </w:tc>
        <w:tc>
          <w:tcPr>
            <w:tcW w:w="0" w:type="dxa"/>
            <w:textDirection w:val="btLr"/>
            <w:vAlign w:val="center"/>
          </w:tcPr>
          <w:p w14:paraId="3024047E" w14:textId="519B0EAD"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1.366,07</w:t>
            </w:r>
          </w:p>
        </w:tc>
        <w:tc>
          <w:tcPr>
            <w:tcW w:w="0" w:type="dxa"/>
            <w:textDirection w:val="btLr"/>
            <w:vAlign w:val="center"/>
          </w:tcPr>
          <w:p w14:paraId="70CD1F6D" w14:textId="36AF8961"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1.330,20</w:t>
            </w:r>
          </w:p>
        </w:tc>
        <w:tc>
          <w:tcPr>
            <w:tcW w:w="0" w:type="dxa"/>
            <w:textDirection w:val="btLr"/>
            <w:vAlign w:val="center"/>
          </w:tcPr>
          <w:p w14:paraId="083B87A5" w14:textId="42508896"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1.554,32</w:t>
            </w:r>
          </w:p>
        </w:tc>
        <w:tc>
          <w:tcPr>
            <w:tcW w:w="0" w:type="dxa"/>
            <w:textDirection w:val="btLr"/>
            <w:vAlign w:val="center"/>
          </w:tcPr>
          <w:p w14:paraId="6ECF7FE8" w14:textId="32F5BB7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1.505,74</w:t>
            </w:r>
          </w:p>
        </w:tc>
        <w:tc>
          <w:tcPr>
            <w:tcW w:w="0" w:type="dxa"/>
            <w:textDirection w:val="btLr"/>
            <w:vAlign w:val="center"/>
          </w:tcPr>
          <w:p w14:paraId="296AE59D" w14:textId="0A159D4B" w:rsidR="00EC7676" w:rsidRPr="00B357F4" w:rsidRDefault="005A6E18"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10.967,63</w:t>
            </w:r>
          </w:p>
        </w:tc>
      </w:tr>
      <w:tr w:rsidR="0002744E" w:rsidRPr="00B357F4" w14:paraId="3DC8A01A" w14:textId="77777777" w:rsidTr="0072010C">
        <w:tc>
          <w:tcPr>
            <w:cnfStyle w:val="001000000000" w:firstRow="0" w:lastRow="0" w:firstColumn="1" w:lastColumn="0" w:oddVBand="0" w:evenVBand="0" w:oddHBand="0" w:evenHBand="0" w:firstRowFirstColumn="0" w:firstRowLastColumn="0" w:lastRowFirstColumn="0" w:lastRowLastColumn="0"/>
            <w:tcW w:w="0" w:type="dxa"/>
            <w:gridSpan w:val="2"/>
          </w:tcPr>
          <w:p w14:paraId="245441B6" w14:textId="2800B20F" w:rsidR="0002744E" w:rsidRPr="00B357F4" w:rsidRDefault="0002744E" w:rsidP="00A85F83">
            <w:pPr>
              <w:spacing w:before="0" w:after="0"/>
              <w:rPr>
                <w:rFonts w:cs="Tahoma"/>
                <w:sz w:val="16"/>
                <w:szCs w:val="16"/>
                <w:lang w:eastAsia="hr-HR"/>
              </w:rPr>
            </w:pPr>
            <w:r w:rsidRPr="00B357F4">
              <w:rPr>
                <w:rFonts w:cs="Tahoma"/>
                <w:sz w:val="16"/>
                <w:szCs w:val="16"/>
                <w:lang w:eastAsia="hr-HR"/>
              </w:rPr>
              <w:t xml:space="preserve">INDIKATIVNA ALOKACIJA TDU ZA OSTVARENJE STRATEŠKOG CILJA PO GODINAMA </w:t>
            </w:r>
          </w:p>
        </w:tc>
        <w:tc>
          <w:tcPr>
            <w:tcW w:w="810" w:type="dxa"/>
          </w:tcPr>
          <w:p w14:paraId="4F699FBC"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356" w:type="dxa"/>
          </w:tcPr>
          <w:p w14:paraId="2221C71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532" w:type="dxa"/>
          </w:tcPr>
          <w:p w14:paraId="04E078E2"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328A254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78C60BCE"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60BFE24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3C59CFE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5C8AD87E"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55A03D5A"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7F5E8EE4"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699CC1E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r>
      <w:tr w:rsidR="009562E6" w:rsidRPr="00B357F4" w14:paraId="17E0062D" w14:textId="77777777" w:rsidTr="12AF7EFC">
        <w:tc>
          <w:tcPr>
            <w:cnfStyle w:val="001000000000" w:firstRow="0" w:lastRow="0" w:firstColumn="1" w:lastColumn="0" w:oddVBand="0" w:evenVBand="0" w:oddHBand="0" w:evenHBand="0" w:firstRowFirstColumn="0" w:firstRowLastColumn="0" w:lastRowFirstColumn="0" w:lastRowLastColumn="0"/>
            <w:tcW w:w="0" w:type="dxa"/>
            <w:vAlign w:val="center"/>
          </w:tcPr>
          <w:p w14:paraId="54B2DAB6" w14:textId="19416C2A" w:rsidR="0002744E" w:rsidRPr="00B357F4" w:rsidRDefault="0002744E" w:rsidP="00A85F83">
            <w:pPr>
              <w:spacing w:before="0" w:after="0"/>
              <w:rPr>
                <w:rFonts w:cs="Tahoma"/>
                <w:b w:val="0"/>
                <w:sz w:val="16"/>
                <w:szCs w:val="16"/>
                <w:lang w:eastAsia="hr-HR"/>
              </w:rPr>
            </w:pPr>
          </w:p>
        </w:tc>
        <w:tc>
          <w:tcPr>
            <w:tcW w:w="0" w:type="dxa"/>
          </w:tcPr>
          <w:p w14:paraId="6C7D6D14" w14:textId="3C87F73D"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DRŽAVNI PRORAČUN</w:t>
            </w:r>
            <w:r w:rsidR="00151E30">
              <w:rPr>
                <w:rFonts w:cs="Tahoma"/>
                <w:sz w:val="16"/>
                <w:szCs w:val="16"/>
                <w:lang w:eastAsia="hr-HR"/>
              </w:rPr>
              <w:t>*</w:t>
            </w:r>
          </w:p>
        </w:tc>
        <w:tc>
          <w:tcPr>
            <w:tcW w:w="810" w:type="dxa"/>
            <w:shd w:val="clear" w:color="auto" w:fill="BFBFBF" w:themeFill="background1" w:themeFillShade="BF"/>
          </w:tcPr>
          <w:p w14:paraId="22CE86DD" w14:textId="06B1E92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356" w:type="dxa"/>
            <w:shd w:val="clear" w:color="auto" w:fill="BFBFBF" w:themeFill="background1" w:themeFillShade="BF"/>
          </w:tcPr>
          <w:p w14:paraId="681883A8" w14:textId="34B7BBBA"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532" w:type="dxa"/>
            <w:shd w:val="clear" w:color="auto" w:fill="BFBFBF" w:themeFill="background1" w:themeFillShade="BF"/>
          </w:tcPr>
          <w:p w14:paraId="0F7FA6CA" w14:textId="6DF1BFEE"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2F2E564C" w14:textId="023CE0D6"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1FB15CF4" w14:textId="2DFEF96B"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7247D115" w14:textId="64C0260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482D07AB" w14:textId="7631080D"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028BFA79" w14:textId="12169CA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4F14B525" w14:textId="2F9B889E"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68762754" w14:textId="4F878A3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17CFBF06" w14:textId="2F00C8C3"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r>
      <w:tr w:rsidR="00F53754" w:rsidRPr="00B357F4" w14:paraId="110D0E5D" w14:textId="77777777" w:rsidTr="006C51FA">
        <w:trPr>
          <w:cantSplit/>
          <w:trHeight w:val="1134"/>
        </w:trPr>
        <w:tc>
          <w:tcPr>
            <w:cnfStyle w:val="001000000000" w:firstRow="0" w:lastRow="0" w:firstColumn="1" w:lastColumn="0" w:oddVBand="0" w:evenVBand="0" w:oddHBand="0" w:evenHBand="0" w:firstRowFirstColumn="0" w:firstRowLastColumn="0" w:lastRowFirstColumn="0" w:lastRowLastColumn="0"/>
            <w:tcW w:w="1406" w:type="dxa"/>
          </w:tcPr>
          <w:p w14:paraId="08599A48" w14:textId="49F1C581" w:rsidR="00F53754" w:rsidRPr="00B357F4" w:rsidRDefault="00C334DC" w:rsidP="00F53754">
            <w:pPr>
              <w:spacing w:before="0" w:after="0"/>
              <w:rPr>
                <w:rFonts w:cs="Tahoma"/>
                <w:b w:val="0"/>
                <w:sz w:val="16"/>
                <w:szCs w:val="16"/>
                <w:lang w:eastAsia="hr-HR"/>
              </w:rPr>
            </w:pPr>
            <w:r w:rsidRPr="00B357F4">
              <w:rPr>
                <w:rFonts w:cs="Tahoma"/>
                <w:b w:val="0"/>
                <w:sz w:val="16"/>
                <w:szCs w:val="16"/>
                <w:lang w:eastAsia="hr-HR"/>
              </w:rPr>
              <w:t>PLANIRANI IZVORI FINANCIRANJA</w:t>
            </w:r>
          </w:p>
        </w:tc>
        <w:tc>
          <w:tcPr>
            <w:tcW w:w="0" w:type="dxa"/>
          </w:tcPr>
          <w:p w14:paraId="70807CE4" w14:textId="77777777" w:rsidR="00F53754" w:rsidRPr="00B357F4" w:rsidRDefault="00F53754" w:rsidP="00F53754">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FONDOVI EU/ ZAJMOVI, POMOĆI / OSTALO</w:t>
            </w:r>
          </w:p>
        </w:tc>
        <w:tc>
          <w:tcPr>
            <w:tcW w:w="810" w:type="dxa"/>
            <w:textDirection w:val="btLr"/>
          </w:tcPr>
          <w:p w14:paraId="0C4434A3" w14:textId="415439DD"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452,80</w:t>
            </w:r>
          </w:p>
        </w:tc>
        <w:tc>
          <w:tcPr>
            <w:tcW w:w="356" w:type="dxa"/>
            <w:textDirection w:val="btLr"/>
          </w:tcPr>
          <w:p w14:paraId="2FA403CB" w14:textId="4E5D0FB3"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447,12</w:t>
            </w:r>
          </w:p>
        </w:tc>
        <w:tc>
          <w:tcPr>
            <w:tcW w:w="532" w:type="dxa"/>
            <w:textDirection w:val="btLr"/>
          </w:tcPr>
          <w:p w14:paraId="42324D86" w14:textId="4B319791"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663,13</w:t>
            </w:r>
          </w:p>
        </w:tc>
        <w:tc>
          <w:tcPr>
            <w:tcW w:w="0" w:type="dxa"/>
            <w:textDirection w:val="btLr"/>
          </w:tcPr>
          <w:p w14:paraId="1ED4F229" w14:textId="67CB0FDB"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652,34</w:t>
            </w:r>
          </w:p>
        </w:tc>
        <w:tc>
          <w:tcPr>
            <w:tcW w:w="0" w:type="dxa"/>
            <w:textDirection w:val="btLr"/>
          </w:tcPr>
          <w:p w14:paraId="6A5AD89F" w14:textId="5F76B41C"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855,64</w:t>
            </w:r>
          </w:p>
        </w:tc>
        <w:tc>
          <w:tcPr>
            <w:tcW w:w="0" w:type="dxa"/>
            <w:textDirection w:val="btLr"/>
          </w:tcPr>
          <w:p w14:paraId="3A3541C6" w14:textId="5AB6796B"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837,45</w:t>
            </w:r>
          </w:p>
        </w:tc>
        <w:tc>
          <w:tcPr>
            <w:tcW w:w="0" w:type="dxa"/>
            <w:textDirection w:val="btLr"/>
          </w:tcPr>
          <w:p w14:paraId="282925FE" w14:textId="74F77C5B"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1.024,55</w:t>
            </w:r>
          </w:p>
        </w:tc>
        <w:tc>
          <w:tcPr>
            <w:tcW w:w="0" w:type="dxa"/>
            <w:textDirection w:val="btLr"/>
          </w:tcPr>
          <w:p w14:paraId="4DA34BAD" w14:textId="78767339"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997,65</w:t>
            </w:r>
          </w:p>
        </w:tc>
        <w:tc>
          <w:tcPr>
            <w:tcW w:w="0" w:type="dxa"/>
            <w:textDirection w:val="btLr"/>
          </w:tcPr>
          <w:p w14:paraId="0C9B13DA" w14:textId="77246375"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1.165,74</w:t>
            </w:r>
          </w:p>
        </w:tc>
        <w:tc>
          <w:tcPr>
            <w:tcW w:w="0" w:type="dxa"/>
            <w:textDirection w:val="btLr"/>
          </w:tcPr>
          <w:p w14:paraId="34554A2B" w14:textId="42C7981F"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1.129,30</w:t>
            </w:r>
          </w:p>
        </w:tc>
        <w:tc>
          <w:tcPr>
            <w:tcW w:w="0" w:type="dxa"/>
            <w:textDirection w:val="btLr"/>
            <w:vAlign w:val="center"/>
          </w:tcPr>
          <w:p w14:paraId="470B2166" w14:textId="160940AA" w:rsidR="00F53754" w:rsidRPr="00B357F4" w:rsidRDefault="00733956"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8.225,72</w:t>
            </w:r>
          </w:p>
        </w:tc>
      </w:tr>
    </w:tbl>
    <w:p w14:paraId="6645B9C9" w14:textId="304DEEA9" w:rsidR="00151E30" w:rsidRPr="00906C7E" w:rsidRDefault="00151E30" w:rsidP="12AF7EFC">
      <w:pPr>
        <w:rPr>
          <w:rFonts w:cs="Tahoma"/>
        </w:rPr>
      </w:pPr>
      <w:r w:rsidRPr="00906C7E">
        <w:rPr>
          <w:rFonts w:cs="Tahoma"/>
        </w:rPr>
        <w:t>*Dodatna sredstva za provedbu programa će trebati osigurati iz ostalih raspoloživih izvora (državni proračun, financijski instrumenti)</w:t>
      </w:r>
    </w:p>
    <w:p w14:paraId="45CE6DD9" w14:textId="31B77664" w:rsidR="0092082B" w:rsidRPr="00B357F4" w:rsidRDefault="00313CF8" w:rsidP="12AF7EFC">
      <w:pPr>
        <w:rPr>
          <w:rFonts w:cs="Tahoma"/>
          <w:b/>
          <w:lang w:eastAsia="hr-HR"/>
        </w:rPr>
      </w:pPr>
      <w:r w:rsidRPr="00B357F4">
        <w:rPr>
          <w:rFonts w:cs="Tahoma"/>
          <w:b/>
          <w:bCs/>
        </w:rPr>
        <w:t>P</w:t>
      </w:r>
      <w:r w:rsidR="0092082B" w:rsidRPr="00B357F4">
        <w:rPr>
          <w:rFonts w:cs="Tahoma"/>
          <w:b/>
          <w:bCs/>
        </w:rPr>
        <w:t>rocjena</w:t>
      </w:r>
      <w:r w:rsidR="0092082B" w:rsidRPr="00B357F4">
        <w:rPr>
          <w:rFonts w:cs="Tahoma"/>
          <w:b/>
        </w:rPr>
        <w:t xml:space="preserve"> predstavlja gornju granicu potrebnih investicija jer podrazumijeva situaciju u kojoj bi u čak 50% slučajeva </w:t>
      </w:r>
      <w:r w:rsidR="002A3669" w:rsidRPr="00B357F4">
        <w:rPr>
          <w:rFonts w:cs="Tahoma"/>
          <w:b/>
        </w:rPr>
        <w:t>bila provedena</w:t>
      </w:r>
      <w:r w:rsidR="0092082B" w:rsidRPr="00B357F4">
        <w:rPr>
          <w:rFonts w:cs="Tahoma"/>
          <w:b/>
        </w:rPr>
        <w:t xml:space="preserve"> sveobuhvatn</w:t>
      </w:r>
      <w:r w:rsidR="002A3669" w:rsidRPr="00B357F4">
        <w:rPr>
          <w:rFonts w:cs="Tahoma"/>
          <w:b/>
        </w:rPr>
        <w:t>a</w:t>
      </w:r>
      <w:r w:rsidR="0092082B" w:rsidRPr="00B357F4">
        <w:rPr>
          <w:rFonts w:cs="Tahoma"/>
          <w:b/>
        </w:rPr>
        <w:t xml:space="preserve"> obnov</w:t>
      </w:r>
      <w:r w:rsidR="002A3669" w:rsidRPr="00B357F4">
        <w:rPr>
          <w:rFonts w:cs="Tahoma"/>
          <w:b/>
        </w:rPr>
        <w:t>a</w:t>
      </w:r>
      <w:r w:rsidR="0092082B" w:rsidRPr="00B357F4">
        <w:rPr>
          <w:rFonts w:cs="Tahoma"/>
          <w:b/>
        </w:rPr>
        <w:t>.</w:t>
      </w:r>
      <w:r w:rsidR="0092082B" w:rsidRPr="00B357F4">
        <w:rPr>
          <w:rFonts w:cs="Tahoma"/>
        </w:rPr>
        <w:t xml:space="preserve"> Ipak, zbog visokih investicijskih troškova i potrebe osiguranja vlastitog udjela u toj investiciji, ne očekuje se ostvarenje ovih pretpostavki, već se očekuje da će se </w:t>
      </w:r>
      <w:r w:rsidR="00712131" w:rsidRPr="00B357F4">
        <w:rPr>
          <w:rFonts w:cs="Tahoma"/>
        </w:rPr>
        <w:t>u pravilu</w:t>
      </w:r>
      <w:r w:rsidR="0092082B" w:rsidRPr="00B357F4">
        <w:rPr>
          <w:rFonts w:cs="Tahoma"/>
        </w:rPr>
        <w:t xml:space="preserve"> </w:t>
      </w:r>
      <w:r w:rsidR="00712131" w:rsidRPr="00B357F4">
        <w:rPr>
          <w:rFonts w:cs="Tahoma"/>
        </w:rPr>
        <w:t>provoditi</w:t>
      </w:r>
      <w:r w:rsidR="0092082B" w:rsidRPr="00B357F4">
        <w:rPr>
          <w:rFonts w:cs="Tahoma"/>
        </w:rPr>
        <w:t xml:space="preserve"> integraln</w:t>
      </w:r>
      <w:r w:rsidR="00712131" w:rsidRPr="00B357F4">
        <w:rPr>
          <w:rFonts w:cs="Tahoma"/>
        </w:rPr>
        <w:t>a</w:t>
      </w:r>
      <w:r w:rsidR="0092082B" w:rsidRPr="00B357F4">
        <w:rPr>
          <w:rFonts w:cs="Tahoma"/>
        </w:rPr>
        <w:t xml:space="preserve"> </w:t>
      </w:r>
      <w:r w:rsidR="00712131" w:rsidRPr="00B357F4">
        <w:rPr>
          <w:rFonts w:cs="Tahoma"/>
        </w:rPr>
        <w:t>energetska</w:t>
      </w:r>
      <w:r w:rsidR="0092082B" w:rsidRPr="00B357F4">
        <w:rPr>
          <w:rFonts w:cs="Tahoma"/>
        </w:rPr>
        <w:t xml:space="preserve"> obnov</w:t>
      </w:r>
      <w:r w:rsidR="00712131" w:rsidRPr="00B357F4">
        <w:rPr>
          <w:rFonts w:cs="Tahoma"/>
        </w:rPr>
        <w:t>a</w:t>
      </w:r>
      <w:r w:rsidR="0092082B" w:rsidRPr="00B357F4">
        <w:rPr>
          <w:rFonts w:cs="Tahoma"/>
        </w:rPr>
        <w:t>, a puno manje drug</w:t>
      </w:r>
      <w:r w:rsidR="00712131" w:rsidRPr="00B357F4">
        <w:rPr>
          <w:rFonts w:cs="Tahoma"/>
        </w:rPr>
        <w:t xml:space="preserve">e </w:t>
      </w:r>
      <w:r w:rsidR="0092082B" w:rsidRPr="00B357F4">
        <w:rPr>
          <w:rFonts w:cs="Tahoma"/>
        </w:rPr>
        <w:t>kategorij</w:t>
      </w:r>
      <w:r w:rsidR="00712131" w:rsidRPr="00B357F4">
        <w:rPr>
          <w:rFonts w:cs="Tahoma"/>
        </w:rPr>
        <w:t>e</w:t>
      </w:r>
      <w:r w:rsidR="0092082B" w:rsidRPr="00B357F4">
        <w:rPr>
          <w:rFonts w:cs="Tahoma"/>
        </w:rPr>
        <w:t xml:space="preserve"> obnove, bez obzira na visoke stope sufinanciranja. </w:t>
      </w:r>
      <w:r w:rsidR="00FE31A6" w:rsidRPr="00B357F4">
        <w:rPr>
          <w:rFonts w:cs="Tahoma"/>
          <w:szCs w:val="20"/>
        </w:rPr>
        <w:t xml:space="preserve">Stoga se pretpostavlja da </w:t>
      </w:r>
      <w:r w:rsidR="00FE31A6" w:rsidRPr="00B357F4">
        <w:rPr>
          <w:rFonts w:cs="Tahoma"/>
          <w:szCs w:val="20"/>
          <w:lang w:eastAsia="hr-HR"/>
        </w:rPr>
        <w:t xml:space="preserve">će udio integralne energetske obnove biti 60%, dubinske obnove 20%, te da će se 20% ZJS odlučiti za sveobuhvatnu obnovu koja uključuje mjere vezane </w:t>
      </w:r>
      <w:r w:rsidR="00651115">
        <w:rPr>
          <w:rFonts w:cs="Tahoma"/>
          <w:szCs w:val="20"/>
          <w:lang w:eastAsia="hr-HR"/>
        </w:rPr>
        <w:t>za povećanje potresne otpor</w:t>
      </w:r>
      <w:r w:rsidR="00F16216">
        <w:rPr>
          <w:rFonts w:cs="Tahoma"/>
          <w:szCs w:val="20"/>
          <w:lang w:eastAsia="hr-HR"/>
        </w:rPr>
        <w:t>nosti zgrade</w:t>
      </w:r>
      <w:r w:rsidR="00FE31A6" w:rsidRPr="00B357F4">
        <w:rPr>
          <w:rFonts w:cs="Tahoma"/>
          <w:szCs w:val="20"/>
          <w:lang w:eastAsia="hr-HR"/>
        </w:rPr>
        <w:t xml:space="preserve"> i troškovno je vrlo zahtjevna. </w:t>
      </w:r>
      <w:r w:rsidR="0092082B" w:rsidRPr="00B357F4">
        <w:rPr>
          <w:rFonts w:cs="Tahoma"/>
          <w:b/>
          <w:lang w:eastAsia="hr-HR"/>
        </w:rPr>
        <w:t xml:space="preserve">Ove pretpostavke u skladu su s NPOO. </w:t>
      </w:r>
    </w:p>
    <w:p w14:paraId="1B58FF04" w14:textId="43A84998" w:rsidR="0092082B" w:rsidRPr="003020E6" w:rsidRDefault="0092082B" w:rsidP="0092082B">
      <w:pPr>
        <w:rPr>
          <w:rFonts w:cs="Tahoma"/>
          <w:szCs w:val="20"/>
        </w:rPr>
      </w:pPr>
      <w:r w:rsidRPr="00B357F4">
        <w:rPr>
          <w:rFonts w:cs="Tahoma"/>
          <w:szCs w:val="20"/>
        </w:rPr>
        <w:t xml:space="preserve">Uvažavajući utvrđene maksimalne jedinične troškove pojedinih razina obnove, procjena investicijskih troškova obnove u cijelom razdoblju uz navedene pretpostavke usklađene s NPOO prikazuje </w:t>
      </w:r>
      <w:r w:rsidRPr="003020E6">
        <w:rPr>
          <w:rFonts w:cs="Tahoma"/>
          <w:szCs w:val="20"/>
        </w:rPr>
        <w:fldChar w:fldCharType="begin"/>
      </w:r>
      <w:r w:rsidRPr="00B357F4">
        <w:rPr>
          <w:rFonts w:cs="Tahoma"/>
          <w:szCs w:val="20"/>
        </w:rPr>
        <w:instrText xml:space="preserve"> REF _Ref77949164 \h  \* MERGEFORMAT </w:instrText>
      </w:r>
      <w:r w:rsidRPr="003020E6">
        <w:rPr>
          <w:rFonts w:cs="Tahoma"/>
          <w:szCs w:val="20"/>
        </w:rPr>
      </w:r>
      <w:r w:rsidRPr="003020E6">
        <w:rPr>
          <w:rFonts w:cs="Tahoma"/>
          <w:szCs w:val="20"/>
        </w:rPr>
        <w:fldChar w:fldCharType="separate"/>
      </w:r>
      <w:r w:rsidR="0023635D" w:rsidRPr="0023635D">
        <w:rPr>
          <w:rFonts w:cs="Tahoma"/>
          <w:szCs w:val="20"/>
        </w:rPr>
        <w:t>Tablica 5</w:t>
      </w:r>
      <w:r w:rsidR="0023635D" w:rsidRPr="0023635D">
        <w:rPr>
          <w:rFonts w:cs="Tahoma"/>
          <w:szCs w:val="20"/>
        </w:rPr>
        <w:noBreakHyphen/>
        <w:t>3</w:t>
      </w:r>
      <w:r w:rsidRPr="003020E6">
        <w:rPr>
          <w:rFonts w:cs="Tahoma"/>
          <w:szCs w:val="20"/>
        </w:rPr>
        <w:fldChar w:fldCharType="end"/>
      </w:r>
      <w:r w:rsidRPr="003020E6">
        <w:rPr>
          <w:rFonts w:cs="Tahoma"/>
          <w:szCs w:val="20"/>
        </w:rPr>
        <w:t>.</w:t>
      </w:r>
    </w:p>
    <w:p w14:paraId="403C067C" w14:textId="655CE347" w:rsidR="0092082B" w:rsidRPr="00B357F4" w:rsidRDefault="0092082B" w:rsidP="0092082B">
      <w:pPr>
        <w:pStyle w:val="Opisslike"/>
        <w:rPr>
          <w:rFonts w:cs="Tahoma"/>
          <w:szCs w:val="16"/>
        </w:rPr>
      </w:pPr>
      <w:bookmarkStart w:id="81" w:name="_Ref77949164"/>
      <w:bookmarkStart w:id="82" w:name="_Ref87865035"/>
      <w:bookmarkStart w:id="83" w:name="_Toc80261680"/>
      <w:bookmarkStart w:id="84" w:name="_Toc81836260"/>
      <w:bookmarkStart w:id="85" w:name="_Toc87949895"/>
      <w:r w:rsidRPr="006734C7">
        <w:t xml:space="preserve">Tablica </w:t>
      </w:r>
      <w:r>
        <w:fldChar w:fldCharType="begin"/>
      </w:r>
      <w:r>
        <w:instrText>STYLEREF 1 \s</w:instrText>
      </w:r>
      <w:r>
        <w:fldChar w:fldCharType="separate"/>
      </w:r>
      <w:r w:rsidR="0023635D">
        <w:rPr>
          <w:noProof/>
        </w:rPr>
        <w:t>5</w:t>
      </w:r>
      <w:r>
        <w:fldChar w:fldCharType="end"/>
      </w:r>
      <w:r w:rsidR="00166B1A">
        <w:noBreakHyphen/>
      </w:r>
      <w:r>
        <w:fldChar w:fldCharType="begin"/>
      </w:r>
      <w:r>
        <w:instrText>SEQ Tablica \* ARABIC \s 1</w:instrText>
      </w:r>
      <w:r>
        <w:fldChar w:fldCharType="separate"/>
      </w:r>
      <w:r w:rsidR="0023635D">
        <w:rPr>
          <w:noProof/>
        </w:rPr>
        <w:t>3</w:t>
      </w:r>
      <w:r>
        <w:fldChar w:fldCharType="end"/>
      </w:r>
      <w:bookmarkEnd w:id="81"/>
      <w:bookmarkEnd w:id="82"/>
      <w:r w:rsidRPr="003020E6">
        <w:t xml:space="preserve">: </w:t>
      </w:r>
      <w:r w:rsidRPr="003020E6">
        <w:rPr>
          <w:rFonts w:cs="Tahoma"/>
          <w:szCs w:val="16"/>
        </w:rPr>
        <w:t xml:space="preserve">Procjena investicijskog troška obnove </w:t>
      </w:r>
      <w:r w:rsidR="00222ACD" w:rsidRPr="006734C7">
        <w:rPr>
          <w:rFonts w:cs="Tahoma"/>
          <w:szCs w:val="16"/>
        </w:rPr>
        <w:t>ZJS</w:t>
      </w:r>
      <w:r w:rsidRPr="00B03C9B">
        <w:rPr>
          <w:rFonts w:cs="Tahoma"/>
          <w:szCs w:val="16"/>
        </w:rPr>
        <w:t xml:space="preserve"> za razdoblje od 2021. do 2030. uz </w:t>
      </w:r>
      <w:bookmarkEnd w:id="83"/>
      <w:r w:rsidRPr="00971F9E">
        <w:rPr>
          <w:rFonts w:cs="Tahoma"/>
          <w:szCs w:val="16"/>
        </w:rPr>
        <w:t>pretpostavljene kategorije obnova prema NPOO</w:t>
      </w:r>
      <w:bookmarkEnd w:id="84"/>
      <w:bookmarkEnd w:id="85"/>
    </w:p>
    <w:tbl>
      <w:tblPr>
        <w:tblStyle w:val="Svijetlatablicareetke110"/>
        <w:tblW w:w="5000" w:type="pct"/>
        <w:tblLook w:val="04A0" w:firstRow="1" w:lastRow="0" w:firstColumn="1" w:lastColumn="0" w:noHBand="0" w:noVBand="1"/>
      </w:tblPr>
      <w:tblGrid>
        <w:gridCol w:w="2542"/>
        <w:gridCol w:w="702"/>
        <w:gridCol w:w="688"/>
        <w:gridCol w:w="682"/>
        <w:gridCol w:w="675"/>
        <w:gridCol w:w="675"/>
        <w:gridCol w:w="675"/>
        <w:gridCol w:w="675"/>
        <w:gridCol w:w="675"/>
        <w:gridCol w:w="675"/>
        <w:gridCol w:w="680"/>
      </w:tblGrid>
      <w:tr w:rsidR="0092082B" w:rsidRPr="00B357F4" w14:paraId="6FF7A3CF" w14:textId="77777777" w:rsidTr="12AF7EFC">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361" w:type="pct"/>
            <w:hideMark/>
          </w:tcPr>
          <w:p w14:paraId="59D18834" w14:textId="77777777" w:rsidR="0092082B" w:rsidRPr="00B357F4" w:rsidRDefault="0092082B" w:rsidP="00A85F83">
            <w:pPr>
              <w:spacing w:before="0" w:after="0"/>
              <w:rPr>
                <w:rFonts w:cs="Tahoma"/>
                <w:color w:val="000000"/>
                <w:sz w:val="16"/>
                <w:szCs w:val="16"/>
                <w:lang w:eastAsia="hr-HR"/>
              </w:rPr>
            </w:pPr>
            <w:r w:rsidRPr="00B357F4">
              <w:rPr>
                <w:rFonts w:cs="Tahoma"/>
                <w:color w:val="000000"/>
                <w:sz w:val="16"/>
                <w:szCs w:val="16"/>
                <w:lang w:eastAsia="hr-HR"/>
              </w:rPr>
              <w:t> </w:t>
            </w:r>
          </w:p>
        </w:tc>
        <w:tc>
          <w:tcPr>
            <w:tcW w:w="376" w:type="pct"/>
            <w:hideMark/>
          </w:tcPr>
          <w:p w14:paraId="566325D4"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2021.</w:t>
            </w:r>
          </w:p>
        </w:tc>
        <w:tc>
          <w:tcPr>
            <w:tcW w:w="368" w:type="pct"/>
            <w:hideMark/>
          </w:tcPr>
          <w:p w14:paraId="34AF2848"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2022.</w:t>
            </w:r>
          </w:p>
        </w:tc>
        <w:tc>
          <w:tcPr>
            <w:tcW w:w="365" w:type="pct"/>
            <w:hideMark/>
          </w:tcPr>
          <w:p w14:paraId="3EA92C12"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2023.</w:t>
            </w:r>
          </w:p>
        </w:tc>
        <w:tc>
          <w:tcPr>
            <w:tcW w:w="361" w:type="pct"/>
            <w:hideMark/>
          </w:tcPr>
          <w:p w14:paraId="7B0C872D"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2024.</w:t>
            </w:r>
          </w:p>
        </w:tc>
        <w:tc>
          <w:tcPr>
            <w:tcW w:w="361" w:type="pct"/>
            <w:hideMark/>
          </w:tcPr>
          <w:p w14:paraId="2AAAC4FB"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2025.</w:t>
            </w:r>
          </w:p>
        </w:tc>
        <w:tc>
          <w:tcPr>
            <w:tcW w:w="361" w:type="pct"/>
            <w:hideMark/>
          </w:tcPr>
          <w:p w14:paraId="74539FEE"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2026.</w:t>
            </w:r>
          </w:p>
        </w:tc>
        <w:tc>
          <w:tcPr>
            <w:tcW w:w="361" w:type="pct"/>
            <w:hideMark/>
          </w:tcPr>
          <w:p w14:paraId="472B69FE"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2027.</w:t>
            </w:r>
          </w:p>
        </w:tc>
        <w:tc>
          <w:tcPr>
            <w:tcW w:w="361" w:type="pct"/>
            <w:hideMark/>
          </w:tcPr>
          <w:p w14:paraId="678E0AEA"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2028.</w:t>
            </w:r>
          </w:p>
        </w:tc>
        <w:tc>
          <w:tcPr>
            <w:tcW w:w="361" w:type="pct"/>
            <w:hideMark/>
          </w:tcPr>
          <w:p w14:paraId="4F45A473"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2029.</w:t>
            </w:r>
          </w:p>
        </w:tc>
        <w:tc>
          <w:tcPr>
            <w:tcW w:w="363" w:type="pct"/>
            <w:hideMark/>
          </w:tcPr>
          <w:p w14:paraId="3DC2A9C4"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2030.</w:t>
            </w:r>
          </w:p>
        </w:tc>
      </w:tr>
      <w:tr w:rsidR="009100AD" w:rsidRPr="00B357F4" w14:paraId="43D5967E" w14:textId="77777777" w:rsidTr="12AF7EFC">
        <w:trPr>
          <w:trHeight w:val="69"/>
        </w:trPr>
        <w:tc>
          <w:tcPr>
            <w:cnfStyle w:val="001000000000" w:firstRow="0" w:lastRow="0" w:firstColumn="1" w:lastColumn="0" w:oddVBand="0" w:evenVBand="0" w:oddHBand="0" w:evenHBand="0" w:firstRowFirstColumn="0" w:firstRowLastColumn="0" w:lastRowFirstColumn="0" w:lastRowLastColumn="0"/>
            <w:tcW w:w="1361" w:type="pct"/>
            <w:hideMark/>
          </w:tcPr>
          <w:p w14:paraId="1BD01627" w14:textId="77777777" w:rsidR="009100AD" w:rsidRPr="00B357F4" w:rsidRDefault="009100AD" w:rsidP="009100AD">
            <w:pPr>
              <w:spacing w:before="0" w:after="0"/>
              <w:rPr>
                <w:rFonts w:cs="Tahoma"/>
                <w:color w:val="000000"/>
                <w:sz w:val="16"/>
                <w:szCs w:val="16"/>
                <w:lang w:eastAsia="hr-HR"/>
              </w:rPr>
            </w:pPr>
            <w:r w:rsidRPr="00B357F4">
              <w:rPr>
                <w:rFonts w:cs="Tahoma"/>
                <w:color w:val="000000"/>
                <w:sz w:val="16"/>
                <w:szCs w:val="16"/>
                <w:lang w:eastAsia="hr-HR"/>
              </w:rPr>
              <w:t>Trošak [milijardi kn]</w:t>
            </w:r>
          </w:p>
        </w:tc>
        <w:tc>
          <w:tcPr>
            <w:tcW w:w="376" w:type="pct"/>
            <w:vAlign w:val="center"/>
            <w:hideMark/>
          </w:tcPr>
          <w:p w14:paraId="18EE9051" w14:textId="704DD7E4"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0,50</w:t>
            </w:r>
          </w:p>
        </w:tc>
        <w:tc>
          <w:tcPr>
            <w:tcW w:w="368" w:type="pct"/>
            <w:vAlign w:val="center"/>
            <w:hideMark/>
          </w:tcPr>
          <w:p w14:paraId="1323251B" w14:textId="0A5CE7CB"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0,49</w:t>
            </w:r>
          </w:p>
        </w:tc>
        <w:tc>
          <w:tcPr>
            <w:tcW w:w="365" w:type="pct"/>
            <w:vAlign w:val="center"/>
            <w:hideMark/>
          </w:tcPr>
          <w:p w14:paraId="465340B2" w14:textId="73B0748C"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0,73</w:t>
            </w:r>
          </w:p>
        </w:tc>
        <w:tc>
          <w:tcPr>
            <w:tcW w:w="361" w:type="pct"/>
            <w:vAlign w:val="center"/>
            <w:hideMark/>
          </w:tcPr>
          <w:p w14:paraId="02E5B5E0" w14:textId="27D5C633"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0,72</w:t>
            </w:r>
          </w:p>
        </w:tc>
        <w:tc>
          <w:tcPr>
            <w:tcW w:w="361" w:type="pct"/>
            <w:vAlign w:val="center"/>
            <w:hideMark/>
          </w:tcPr>
          <w:p w14:paraId="417EF13F" w14:textId="4F588E8E"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0,94</w:t>
            </w:r>
          </w:p>
        </w:tc>
        <w:tc>
          <w:tcPr>
            <w:tcW w:w="361" w:type="pct"/>
            <w:vAlign w:val="center"/>
            <w:hideMark/>
          </w:tcPr>
          <w:p w14:paraId="3DF9D16F" w14:textId="2639C89C"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0,92</w:t>
            </w:r>
          </w:p>
        </w:tc>
        <w:tc>
          <w:tcPr>
            <w:tcW w:w="361" w:type="pct"/>
            <w:vAlign w:val="center"/>
            <w:hideMark/>
          </w:tcPr>
          <w:p w14:paraId="33E46E1C" w14:textId="379E9ECB"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1,13</w:t>
            </w:r>
          </w:p>
        </w:tc>
        <w:tc>
          <w:tcPr>
            <w:tcW w:w="361" w:type="pct"/>
            <w:vAlign w:val="center"/>
            <w:hideMark/>
          </w:tcPr>
          <w:p w14:paraId="5D60F965" w14:textId="0F0A0281"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1,10</w:t>
            </w:r>
          </w:p>
        </w:tc>
        <w:tc>
          <w:tcPr>
            <w:tcW w:w="361" w:type="pct"/>
            <w:vAlign w:val="center"/>
            <w:hideMark/>
          </w:tcPr>
          <w:p w14:paraId="6C4C6DA2" w14:textId="660EC31D"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1,28</w:t>
            </w:r>
          </w:p>
        </w:tc>
        <w:tc>
          <w:tcPr>
            <w:tcW w:w="363" w:type="pct"/>
            <w:vAlign w:val="center"/>
            <w:hideMark/>
          </w:tcPr>
          <w:p w14:paraId="4B16C6CD" w14:textId="051A799B"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1,24</w:t>
            </w:r>
          </w:p>
        </w:tc>
      </w:tr>
      <w:tr w:rsidR="0092082B" w:rsidRPr="00B357F4" w14:paraId="47C3F942"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737" w:type="pct"/>
            <w:gridSpan w:val="2"/>
          </w:tcPr>
          <w:p w14:paraId="73FB2873" w14:textId="1A11EF9B" w:rsidR="0092082B" w:rsidRPr="00B357F4" w:rsidRDefault="0092082B" w:rsidP="00A85F83">
            <w:pPr>
              <w:spacing w:before="0" w:after="0"/>
              <w:rPr>
                <w:rFonts w:cs="Tahoma"/>
                <w:b w:val="0"/>
                <w:color w:val="000000"/>
                <w:sz w:val="16"/>
                <w:szCs w:val="16"/>
                <w:lang w:eastAsia="hr-HR"/>
              </w:rPr>
            </w:pPr>
            <w:r w:rsidRPr="00B357F4">
              <w:rPr>
                <w:rFonts w:cs="Tahoma"/>
                <w:color w:val="000000"/>
                <w:sz w:val="16"/>
                <w:szCs w:val="16"/>
                <w:lang w:eastAsia="hr-HR"/>
              </w:rPr>
              <w:t xml:space="preserve">Ukupno 2021. -2030. [milijardi </w:t>
            </w:r>
            <w:r w:rsidR="006162D0" w:rsidRPr="00B357F4">
              <w:rPr>
                <w:rFonts w:cs="Tahoma"/>
                <w:color w:val="000000"/>
                <w:sz w:val="16"/>
                <w:szCs w:val="16"/>
                <w:lang w:eastAsia="hr-HR"/>
              </w:rPr>
              <w:t>k</w:t>
            </w:r>
            <w:r w:rsidR="006162D0">
              <w:rPr>
                <w:rFonts w:cs="Tahoma"/>
                <w:color w:val="000000"/>
                <w:sz w:val="16"/>
                <w:szCs w:val="16"/>
                <w:lang w:eastAsia="hr-HR"/>
              </w:rPr>
              <w:t>una</w:t>
            </w:r>
            <w:r w:rsidRPr="00B357F4">
              <w:rPr>
                <w:rFonts w:cs="Tahoma"/>
                <w:color w:val="000000"/>
                <w:sz w:val="16"/>
                <w:szCs w:val="16"/>
                <w:lang w:eastAsia="hr-HR"/>
              </w:rPr>
              <w:t>]</w:t>
            </w:r>
          </w:p>
        </w:tc>
        <w:tc>
          <w:tcPr>
            <w:tcW w:w="3263" w:type="pct"/>
            <w:gridSpan w:val="9"/>
          </w:tcPr>
          <w:p w14:paraId="054BCB54" w14:textId="588619EB" w:rsidR="0092082B" w:rsidRPr="00B357F4" w:rsidRDefault="00A046E5"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9</w:t>
            </w:r>
            <w:r w:rsidR="0092082B" w:rsidRPr="00B357F4">
              <w:rPr>
                <w:rFonts w:cs="Tahoma"/>
                <w:b/>
                <w:color w:val="000000"/>
                <w:sz w:val="16"/>
                <w:szCs w:val="16"/>
                <w:lang w:eastAsia="hr-HR"/>
              </w:rPr>
              <w:t>,</w:t>
            </w:r>
            <w:r w:rsidRPr="00B357F4">
              <w:rPr>
                <w:rFonts w:cs="Tahoma"/>
                <w:b/>
                <w:color w:val="000000"/>
                <w:sz w:val="16"/>
                <w:szCs w:val="16"/>
                <w:lang w:eastAsia="hr-HR"/>
              </w:rPr>
              <w:t>07</w:t>
            </w:r>
          </w:p>
        </w:tc>
      </w:tr>
      <w:tr w:rsidR="0092082B" w:rsidRPr="00B357F4" w14:paraId="00C80DFC"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737" w:type="pct"/>
            <w:gridSpan w:val="2"/>
          </w:tcPr>
          <w:p w14:paraId="443E251B" w14:textId="2EDA69DF" w:rsidR="0092082B" w:rsidRPr="00B357F4" w:rsidRDefault="0092082B" w:rsidP="00A85F83">
            <w:pPr>
              <w:spacing w:before="0" w:after="0"/>
              <w:rPr>
                <w:rFonts w:cs="Tahoma"/>
                <w:b w:val="0"/>
                <w:color w:val="000000"/>
                <w:sz w:val="16"/>
                <w:szCs w:val="16"/>
                <w:lang w:eastAsia="hr-HR"/>
              </w:rPr>
            </w:pPr>
            <w:r w:rsidRPr="00B357F4">
              <w:rPr>
                <w:rFonts w:cs="Tahoma"/>
                <w:color w:val="000000" w:themeColor="text1"/>
                <w:sz w:val="16"/>
                <w:szCs w:val="16"/>
                <w:lang w:eastAsia="hr-HR"/>
              </w:rPr>
              <w:t>Ukupno 2021. -2024.</w:t>
            </w:r>
            <w:r w:rsidR="2510688B" w:rsidRPr="00B357F4">
              <w:rPr>
                <w:rFonts w:cs="Tahoma"/>
                <w:color w:val="000000" w:themeColor="text1"/>
                <w:sz w:val="16"/>
                <w:szCs w:val="16"/>
                <w:lang w:eastAsia="hr-HR"/>
              </w:rPr>
              <w:t>*</w:t>
            </w:r>
            <w:r w:rsidRPr="00B357F4">
              <w:rPr>
                <w:rFonts w:cs="Tahoma"/>
                <w:color w:val="000000" w:themeColor="text1"/>
                <w:sz w:val="16"/>
                <w:szCs w:val="16"/>
                <w:lang w:eastAsia="hr-HR"/>
              </w:rPr>
              <w:t xml:space="preserve"> [milijardi </w:t>
            </w:r>
            <w:r w:rsidR="006162D0">
              <w:rPr>
                <w:rFonts w:cs="Tahoma"/>
                <w:color w:val="000000" w:themeColor="text1"/>
                <w:sz w:val="16"/>
                <w:szCs w:val="16"/>
                <w:lang w:eastAsia="hr-HR"/>
              </w:rPr>
              <w:t>kuna</w:t>
            </w:r>
            <w:r w:rsidRPr="00B357F4">
              <w:rPr>
                <w:rFonts w:cs="Tahoma"/>
                <w:color w:val="000000" w:themeColor="text1"/>
                <w:sz w:val="16"/>
                <w:szCs w:val="16"/>
                <w:lang w:eastAsia="hr-HR"/>
              </w:rPr>
              <w:t>]</w:t>
            </w:r>
          </w:p>
        </w:tc>
        <w:tc>
          <w:tcPr>
            <w:tcW w:w="3263" w:type="pct"/>
            <w:gridSpan w:val="9"/>
          </w:tcPr>
          <w:p w14:paraId="1F224544" w14:textId="6CB2C2E6" w:rsidR="0092082B" w:rsidRPr="00B357F4" w:rsidRDefault="00A6526D"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2</w:t>
            </w:r>
            <w:r w:rsidR="0092082B" w:rsidRPr="00B357F4">
              <w:rPr>
                <w:rFonts w:cs="Tahoma"/>
                <w:b/>
                <w:color w:val="000000"/>
                <w:sz w:val="16"/>
                <w:szCs w:val="16"/>
                <w:lang w:eastAsia="hr-HR"/>
              </w:rPr>
              <w:t>,</w:t>
            </w:r>
            <w:r w:rsidRPr="00B357F4">
              <w:rPr>
                <w:rFonts w:cs="Tahoma"/>
                <w:b/>
                <w:color w:val="000000"/>
                <w:sz w:val="16"/>
                <w:szCs w:val="16"/>
                <w:lang w:eastAsia="hr-HR"/>
              </w:rPr>
              <w:t>44</w:t>
            </w:r>
          </w:p>
        </w:tc>
      </w:tr>
    </w:tbl>
    <w:p w14:paraId="7975A133" w14:textId="1B5C434D" w:rsidR="0C9D38A5" w:rsidRPr="000D67D0" w:rsidRDefault="0C9D38A5" w:rsidP="00441287">
      <w:pPr>
        <w:spacing w:before="0" w:line="257" w:lineRule="auto"/>
        <w:rPr>
          <w:rFonts w:ascii="Calibri" w:eastAsia="Calibri" w:hAnsi="Calibri" w:cs="Calibri"/>
          <w:sz w:val="22"/>
          <w:szCs w:val="22"/>
        </w:rPr>
      </w:pPr>
      <w:r w:rsidRPr="000D67D0">
        <w:rPr>
          <w:rFonts w:ascii="Calibri" w:eastAsia="Calibri" w:hAnsi="Calibri" w:cs="Calibri"/>
          <w:i/>
          <w:sz w:val="18"/>
          <w:szCs w:val="18"/>
        </w:rPr>
        <w:t>*Ciljane površine raspoređene su prema godinama sukladno ciljanim stopama obnove iz Dugoročne strategije.</w:t>
      </w:r>
      <w:r w:rsidRPr="000D67D0">
        <w:rPr>
          <w:rFonts w:ascii="Calibri" w:eastAsia="Calibri" w:hAnsi="Calibri" w:cs="Calibri"/>
          <w:sz w:val="22"/>
          <w:szCs w:val="22"/>
        </w:rPr>
        <w:t xml:space="preserve"> </w:t>
      </w:r>
      <w:r w:rsidRPr="000D67D0">
        <w:rPr>
          <w:rFonts w:ascii="Calibri" w:eastAsia="Calibri" w:hAnsi="Calibri" w:cs="Calibri"/>
          <w:i/>
          <w:sz w:val="22"/>
          <w:szCs w:val="22"/>
        </w:rPr>
        <w:t xml:space="preserve">S </w:t>
      </w:r>
      <w:r w:rsidRPr="000D67D0">
        <w:rPr>
          <w:rFonts w:ascii="Calibri" w:eastAsia="Calibri" w:hAnsi="Calibri" w:cs="Calibri"/>
          <w:i/>
          <w:sz w:val="18"/>
          <w:szCs w:val="18"/>
        </w:rPr>
        <w:t xml:space="preserve">obzirom da u 2021. godini neće biti obnovljenih </w:t>
      </w:r>
      <w:r w:rsidR="00F45620" w:rsidRPr="000D67D0">
        <w:rPr>
          <w:rFonts w:ascii="Calibri" w:eastAsia="Calibri" w:hAnsi="Calibri" w:cs="Calibri"/>
          <w:i/>
          <w:iCs/>
          <w:sz w:val="18"/>
          <w:szCs w:val="18"/>
        </w:rPr>
        <w:t>ZJS</w:t>
      </w:r>
      <w:r w:rsidRPr="000D67D0">
        <w:rPr>
          <w:rFonts w:ascii="Calibri" w:eastAsia="Calibri" w:hAnsi="Calibri" w:cs="Calibri"/>
          <w:i/>
          <w:sz w:val="18"/>
          <w:szCs w:val="18"/>
        </w:rPr>
        <w:t xml:space="preserve"> prema ovome Programu, ciljana obnovljena površina iz te godine raspodjeljuje se na sljedeće tri godine, te se pripadajući trošak iz te godine ubraja u ukupan trošak za razdoblje od 2022. do 2024. godine.   </w:t>
      </w:r>
      <w:r w:rsidRPr="000D67D0">
        <w:rPr>
          <w:rFonts w:ascii="Calibri" w:eastAsia="Calibri" w:hAnsi="Calibri" w:cs="Calibri"/>
          <w:sz w:val="22"/>
          <w:szCs w:val="22"/>
        </w:rPr>
        <w:t xml:space="preserve">  </w:t>
      </w:r>
    </w:p>
    <w:p w14:paraId="15CD2C94" w14:textId="4FE3F760" w:rsidR="0092082B" w:rsidRPr="00B357F4" w:rsidRDefault="0092082B" w:rsidP="0092082B">
      <w:pPr>
        <w:rPr>
          <w:rFonts w:cs="Tahoma"/>
          <w:szCs w:val="20"/>
          <w:lang w:eastAsia="hr-HR"/>
        </w:rPr>
      </w:pPr>
      <w:r w:rsidRPr="00B03C9B">
        <w:rPr>
          <w:rFonts w:cs="Tahoma"/>
          <w:szCs w:val="20"/>
          <w:lang w:eastAsia="hr-HR"/>
        </w:rPr>
        <w:t>Procjena u gornjoj tablici može se smatrati</w:t>
      </w:r>
      <w:r w:rsidRPr="00971F9E">
        <w:rPr>
          <w:rFonts w:cs="Tahoma"/>
          <w:szCs w:val="20"/>
          <w:lang w:eastAsia="hr-HR"/>
        </w:rPr>
        <w:t xml:space="preserve"> </w:t>
      </w:r>
      <w:r w:rsidRPr="00971F9E">
        <w:rPr>
          <w:rFonts w:cs="Tahoma"/>
          <w:b/>
          <w:szCs w:val="20"/>
          <w:lang w:eastAsia="hr-HR"/>
        </w:rPr>
        <w:t>donjom granicom procjene potrebnih investicija</w:t>
      </w:r>
      <w:r w:rsidRPr="00B357F4">
        <w:rPr>
          <w:rFonts w:cs="Tahoma"/>
          <w:szCs w:val="20"/>
          <w:lang w:eastAsia="hr-HR"/>
        </w:rPr>
        <w:t xml:space="preserve">, odnosno očekivane najmanje potrebne investicije za provedbu ovoga Programa iznose nešto više od </w:t>
      </w:r>
      <w:r w:rsidR="00FE5CE1" w:rsidRPr="00B357F4">
        <w:rPr>
          <w:rFonts w:cs="Tahoma"/>
          <w:b/>
          <w:szCs w:val="20"/>
          <w:lang w:eastAsia="hr-HR"/>
        </w:rPr>
        <w:t>9</w:t>
      </w:r>
      <w:r w:rsidRPr="00B357F4">
        <w:rPr>
          <w:rFonts w:cs="Tahoma"/>
          <w:b/>
          <w:szCs w:val="20"/>
          <w:lang w:eastAsia="hr-HR"/>
        </w:rPr>
        <w:t xml:space="preserve"> milijardi </w:t>
      </w:r>
      <w:r w:rsidR="003B10B0" w:rsidRPr="00B357F4">
        <w:rPr>
          <w:rFonts w:cs="Tahoma"/>
          <w:b/>
          <w:szCs w:val="20"/>
          <w:lang w:eastAsia="hr-HR"/>
        </w:rPr>
        <w:t>k</w:t>
      </w:r>
      <w:r w:rsidR="003B10B0">
        <w:rPr>
          <w:rFonts w:cs="Tahoma"/>
          <w:b/>
          <w:szCs w:val="20"/>
          <w:lang w:eastAsia="hr-HR"/>
        </w:rPr>
        <w:t>una</w:t>
      </w:r>
      <w:r w:rsidRPr="00B357F4">
        <w:rPr>
          <w:rFonts w:cs="Tahoma"/>
          <w:b/>
          <w:szCs w:val="20"/>
          <w:lang w:eastAsia="hr-HR"/>
        </w:rPr>
        <w:t>,</w:t>
      </w:r>
      <w:r w:rsidRPr="00B357F4">
        <w:rPr>
          <w:rFonts w:cs="Tahoma"/>
          <w:szCs w:val="20"/>
          <w:lang w:eastAsia="hr-HR"/>
        </w:rPr>
        <w:t xml:space="preserve"> pri čemu za prvo trogodišnje razdoblje procijenjene investicije iznose </w:t>
      </w:r>
      <w:r w:rsidR="00E36864" w:rsidRPr="00B357F4">
        <w:rPr>
          <w:rFonts w:cs="Tahoma"/>
          <w:szCs w:val="20"/>
          <w:lang w:eastAsia="hr-HR"/>
        </w:rPr>
        <w:t xml:space="preserve">gotovo </w:t>
      </w:r>
      <w:r w:rsidR="00E36864" w:rsidRPr="00B357F4">
        <w:rPr>
          <w:rFonts w:cs="Tahoma"/>
          <w:b/>
          <w:szCs w:val="20"/>
          <w:lang w:eastAsia="hr-HR"/>
        </w:rPr>
        <w:t>2</w:t>
      </w:r>
      <w:r w:rsidRPr="00B357F4">
        <w:rPr>
          <w:rFonts w:cs="Tahoma"/>
          <w:b/>
          <w:szCs w:val="20"/>
          <w:lang w:eastAsia="hr-HR"/>
        </w:rPr>
        <w:t>,</w:t>
      </w:r>
      <w:r w:rsidR="00E36864" w:rsidRPr="00B357F4">
        <w:rPr>
          <w:rFonts w:cs="Tahoma"/>
          <w:b/>
          <w:szCs w:val="20"/>
          <w:lang w:eastAsia="hr-HR"/>
        </w:rPr>
        <w:t>5</w:t>
      </w:r>
      <w:r w:rsidRPr="00B357F4">
        <w:rPr>
          <w:rFonts w:cs="Tahoma"/>
          <w:b/>
          <w:szCs w:val="20"/>
          <w:lang w:eastAsia="hr-HR"/>
        </w:rPr>
        <w:t xml:space="preserve"> milijarde </w:t>
      </w:r>
      <w:r w:rsidR="003B10B0" w:rsidRPr="00B357F4">
        <w:rPr>
          <w:rFonts w:cs="Tahoma"/>
          <w:b/>
          <w:szCs w:val="20"/>
          <w:lang w:eastAsia="hr-HR"/>
        </w:rPr>
        <w:t>k</w:t>
      </w:r>
      <w:r w:rsidR="003B10B0">
        <w:rPr>
          <w:rFonts w:cs="Tahoma"/>
          <w:b/>
          <w:szCs w:val="20"/>
          <w:lang w:eastAsia="hr-HR"/>
        </w:rPr>
        <w:t>una</w:t>
      </w:r>
      <w:r w:rsidRPr="00B357F4">
        <w:rPr>
          <w:rFonts w:cs="Tahoma"/>
          <w:szCs w:val="20"/>
          <w:lang w:eastAsia="hr-HR"/>
        </w:rPr>
        <w:t xml:space="preserve">. S obzirom na predviđene stope sufinanciranja i udjele pojedinih kategorija obnove, potrebna javna sredstva u ovom slučaju iznose oko </w:t>
      </w:r>
      <w:r w:rsidR="00730EE9" w:rsidRPr="00B357F4">
        <w:rPr>
          <w:rFonts w:cs="Tahoma"/>
          <w:szCs w:val="20"/>
          <w:lang w:eastAsia="hr-HR"/>
        </w:rPr>
        <w:t>6</w:t>
      </w:r>
      <w:r w:rsidRPr="00B357F4">
        <w:rPr>
          <w:rFonts w:cs="Tahoma"/>
          <w:szCs w:val="20"/>
          <w:lang w:eastAsia="hr-HR"/>
        </w:rPr>
        <w:t>,</w:t>
      </w:r>
      <w:r w:rsidR="00730EE9" w:rsidRPr="00B357F4">
        <w:rPr>
          <w:rFonts w:cs="Tahoma"/>
          <w:szCs w:val="20"/>
          <w:lang w:eastAsia="hr-HR"/>
        </w:rPr>
        <w:t>2</w:t>
      </w:r>
      <w:r w:rsidRPr="00B357F4">
        <w:rPr>
          <w:rFonts w:cs="Tahoma"/>
          <w:szCs w:val="20"/>
          <w:lang w:eastAsia="hr-HR"/>
        </w:rPr>
        <w:t xml:space="preserve"> milijardi kn za cijelo razdoblje odnosno </w:t>
      </w:r>
      <w:r w:rsidR="00E76B5D" w:rsidRPr="00B357F4">
        <w:rPr>
          <w:rFonts w:cs="Tahoma"/>
          <w:szCs w:val="20"/>
          <w:lang w:eastAsia="hr-HR"/>
        </w:rPr>
        <w:t>1</w:t>
      </w:r>
      <w:r w:rsidRPr="00B357F4">
        <w:rPr>
          <w:rFonts w:cs="Tahoma"/>
          <w:szCs w:val="20"/>
          <w:lang w:eastAsia="hr-HR"/>
        </w:rPr>
        <w:t>,</w:t>
      </w:r>
      <w:r w:rsidR="00E76B5D" w:rsidRPr="00B357F4">
        <w:rPr>
          <w:rFonts w:cs="Tahoma"/>
          <w:szCs w:val="20"/>
          <w:lang w:eastAsia="hr-HR"/>
        </w:rPr>
        <w:t>7</w:t>
      </w:r>
      <w:r w:rsidRPr="00B357F4">
        <w:rPr>
          <w:rFonts w:cs="Tahoma"/>
          <w:szCs w:val="20"/>
          <w:lang w:eastAsia="hr-HR"/>
        </w:rPr>
        <w:t xml:space="preserve"> milijarde kn u prvom trogodišnjem razdoblju. </w:t>
      </w:r>
    </w:p>
    <w:p w14:paraId="3968FC6E" w14:textId="0DF611E6" w:rsidR="00AF018F" w:rsidRPr="00B357F4" w:rsidRDefault="00AF018F" w:rsidP="00AF018F">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Za postizanje ciljeva Dugoročne strategije u segmentu </w:t>
      </w:r>
      <w:r w:rsidR="00904203" w:rsidRPr="00B357F4">
        <w:rPr>
          <w:b/>
        </w:rPr>
        <w:t>ZJS</w:t>
      </w:r>
      <w:r w:rsidRPr="00B357F4">
        <w:rPr>
          <w:b/>
        </w:rPr>
        <w:t xml:space="preserve"> potrebn</w:t>
      </w:r>
      <w:r w:rsidR="008A4060" w:rsidRPr="00B357F4">
        <w:rPr>
          <w:b/>
        </w:rPr>
        <w:t>e</w:t>
      </w:r>
      <w:r w:rsidRPr="00B357F4">
        <w:rPr>
          <w:b/>
        </w:rPr>
        <w:t xml:space="preserve"> </w:t>
      </w:r>
      <w:r w:rsidR="008A4060" w:rsidRPr="00B357F4">
        <w:rPr>
          <w:b/>
        </w:rPr>
        <w:t>investicije</w:t>
      </w:r>
      <w:r w:rsidRPr="00B357F4">
        <w:rPr>
          <w:b/>
        </w:rPr>
        <w:t xml:space="preserve"> do 2030. godine </w:t>
      </w:r>
      <w:r w:rsidR="008A4060" w:rsidRPr="00B357F4">
        <w:rPr>
          <w:b/>
        </w:rPr>
        <w:t xml:space="preserve">procjenjuju se na između </w:t>
      </w:r>
      <w:r w:rsidR="00C46164" w:rsidRPr="00B357F4">
        <w:rPr>
          <w:b/>
        </w:rPr>
        <w:t xml:space="preserve">9 i 11 milijardi </w:t>
      </w:r>
      <w:r w:rsidR="00B8587F" w:rsidRPr="00B357F4">
        <w:rPr>
          <w:b/>
        </w:rPr>
        <w:t>k</w:t>
      </w:r>
      <w:r w:rsidR="00B8587F">
        <w:rPr>
          <w:b/>
        </w:rPr>
        <w:t>una</w:t>
      </w:r>
      <w:r w:rsidRPr="00B357F4">
        <w:rPr>
          <w:b/>
        </w:rPr>
        <w:t xml:space="preserve">. </w:t>
      </w:r>
      <w:r w:rsidR="00DC3BE7" w:rsidRPr="00B357F4">
        <w:rPr>
          <w:b/>
        </w:rPr>
        <w:t xml:space="preserve">Za sufinanciranje će biti potrebno osigurati </w:t>
      </w:r>
      <w:r w:rsidR="00E7660A" w:rsidRPr="00B357F4">
        <w:rPr>
          <w:b/>
        </w:rPr>
        <w:t xml:space="preserve">između </w:t>
      </w:r>
      <w:r w:rsidR="00952A8E">
        <w:rPr>
          <w:b/>
        </w:rPr>
        <w:t>6</w:t>
      </w:r>
      <w:r w:rsidR="00D27012" w:rsidRPr="00B357F4">
        <w:rPr>
          <w:b/>
        </w:rPr>
        <w:t xml:space="preserve"> i </w:t>
      </w:r>
      <w:r w:rsidR="00952A8E">
        <w:rPr>
          <w:b/>
        </w:rPr>
        <w:t>8</w:t>
      </w:r>
      <w:r w:rsidR="00952A8E" w:rsidRPr="00B357F4">
        <w:rPr>
          <w:b/>
        </w:rPr>
        <w:t xml:space="preserve"> milijard</w:t>
      </w:r>
      <w:r w:rsidR="00952A8E">
        <w:rPr>
          <w:b/>
        </w:rPr>
        <w:t>i</w:t>
      </w:r>
      <w:r w:rsidR="00952A8E" w:rsidRPr="00B357F4">
        <w:rPr>
          <w:b/>
        </w:rPr>
        <w:t xml:space="preserve"> </w:t>
      </w:r>
      <w:r w:rsidR="00B8587F" w:rsidRPr="00B357F4">
        <w:rPr>
          <w:b/>
        </w:rPr>
        <w:t>k</w:t>
      </w:r>
      <w:r w:rsidR="00B8587F">
        <w:rPr>
          <w:b/>
        </w:rPr>
        <w:t>una</w:t>
      </w:r>
      <w:r w:rsidR="00B8587F" w:rsidRPr="00B357F4">
        <w:rPr>
          <w:b/>
        </w:rPr>
        <w:t xml:space="preserve"> </w:t>
      </w:r>
      <w:r w:rsidR="004519DD" w:rsidRPr="00B357F4">
        <w:rPr>
          <w:b/>
        </w:rPr>
        <w:t xml:space="preserve">iz javnih izvora. </w:t>
      </w:r>
    </w:p>
    <w:p w14:paraId="670B7BD8" w14:textId="6F881415" w:rsidR="00735A54" w:rsidRPr="00B357F4" w:rsidRDefault="2B273EA7" w:rsidP="7082C09D">
      <w:pPr>
        <w:pStyle w:val="Naslov30"/>
        <w:rPr>
          <w:u w:val="single"/>
        </w:rPr>
      </w:pPr>
      <w:bookmarkStart w:id="86" w:name="_Toc94769986"/>
      <w:r w:rsidRPr="00B357F4">
        <w:t>Indikativni financijski plan za razdoblje od 2022. do 2024. godine</w:t>
      </w:r>
      <w:bookmarkEnd w:id="86"/>
    </w:p>
    <w:p w14:paraId="75510106" w14:textId="4FD964EF" w:rsidR="004B407C" w:rsidRPr="00B357F4" w:rsidRDefault="004871AA" w:rsidP="12AF7EFC">
      <w:pPr>
        <w:rPr>
          <w:lang w:eastAsia="hr-HR"/>
        </w:rPr>
      </w:pPr>
      <w:r w:rsidRPr="00B357F4">
        <w:rPr>
          <w:lang w:eastAsia="hr-HR"/>
        </w:rPr>
        <w:t>Indikativni financijski plan izrađen je uvažavajući trenutna saznanja i pretpostavke o raspoloživim financijskim sredstvima, a to su sredstva iz NPOO</w:t>
      </w:r>
      <w:r w:rsidR="00475AAB" w:rsidRPr="00B357F4">
        <w:rPr>
          <w:lang w:eastAsia="hr-HR"/>
        </w:rPr>
        <w:t xml:space="preserve">. </w:t>
      </w:r>
    </w:p>
    <w:p w14:paraId="5CF4AC0C" w14:textId="3CC4815D" w:rsidR="004B407C" w:rsidRPr="006C51FA" w:rsidRDefault="5C98F24F" w:rsidP="0072010C">
      <w:pPr>
        <w:spacing w:line="257" w:lineRule="auto"/>
        <w:rPr>
          <w:rFonts w:eastAsia="Tahoma" w:cs="Tahoma"/>
          <w:szCs w:val="20"/>
        </w:rPr>
      </w:pPr>
      <w:r w:rsidRPr="006C51FA">
        <w:rPr>
          <w:rFonts w:eastAsia="Tahoma" w:cs="Tahoma"/>
          <w:szCs w:val="20"/>
        </w:rPr>
        <w:t>Iz procjene investicijskih troškova razvidno je da će u sljedećem razdoblju biti potrebna izuzetno velika sredstva za osiguranje bespovratnih sredstava za energetsku obnovu ZJS.</w:t>
      </w:r>
    </w:p>
    <w:p w14:paraId="1D12F0FE" w14:textId="72772960" w:rsidR="004B407C" w:rsidRPr="006C51FA" w:rsidRDefault="5C98F24F" w:rsidP="0072010C">
      <w:pPr>
        <w:spacing w:line="257" w:lineRule="auto"/>
        <w:rPr>
          <w:rFonts w:eastAsia="Tahoma" w:cs="Tahoma"/>
          <w:szCs w:val="20"/>
        </w:rPr>
      </w:pPr>
      <w:r w:rsidRPr="006C51FA">
        <w:rPr>
          <w:rFonts w:eastAsia="Tahoma" w:cs="Tahoma"/>
          <w:szCs w:val="20"/>
        </w:rPr>
        <w:t xml:space="preserve">Kako je utvrđeno u Dugoročnoj strategiji, za energetsku obnovu </w:t>
      </w:r>
      <w:r w:rsidR="00EA3EBB" w:rsidRPr="006C51FA">
        <w:rPr>
          <w:rFonts w:eastAsia="Tahoma" w:cs="Tahoma"/>
          <w:szCs w:val="20"/>
        </w:rPr>
        <w:t>ZJS</w:t>
      </w:r>
      <w:r w:rsidRPr="006C51FA">
        <w:rPr>
          <w:rFonts w:eastAsia="Tahoma" w:cs="Tahoma"/>
          <w:szCs w:val="20"/>
        </w:rPr>
        <w:t xml:space="preserve"> primarno je potrebno koristiti EU sredstva i to Mehanizam za oporavak i otpornost te ESI</w:t>
      </w:r>
      <w:r w:rsidR="00034EA6">
        <w:rPr>
          <w:rFonts w:eastAsia="Tahoma" w:cs="Tahoma"/>
          <w:szCs w:val="20"/>
        </w:rPr>
        <w:t>F</w:t>
      </w:r>
      <w:r w:rsidRPr="006C51FA">
        <w:rPr>
          <w:rFonts w:eastAsia="Tahoma" w:cs="Tahoma"/>
          <w:szCs w:val="20"/>
        </w:rPr>
        <w:t xml:space="preserve"> koji će biti na raspolaganju za programsko </w:t>
      </w:r>
      <w:r w:rsidRPr="006C51FA">
        <w:rPr>
          <w:rFonts w:eastAsia="Tahoma" w:cs="Tahoma"/>
          <w:szCs w:val="20"/>
        </w:rPr>
        <w:lastRenderedPageBreak/>
        <w:t xml:space="preserve">razdoblje od 2021. do 2027. Korištenje nacionalnih sredstava se ne predviđa u prvom trogodišnjem </w:t>
      </w:r>
      <w:r w:rsidR="000471DB">
        <w:rPr>
          <w:rFonts w:eastAsia="Tahoma" w:cs="Tahoma"/>
          <w:szCs w:val="20"/>
        </w:rPr>
        <w:t>(</w:t>
      </w:r>
      <w:r w:rsidR="001C230C">
        <w:rPr>
          <w:rFonts w:eastAsia="Tahoma" w:cs="Tahoma"/>
          <w:szCs w:val="20"/>
        </w:rPr>
        <w:t>osim prema potrebi za zgrade oštećene u potresu</w:t>
      </w:r>
      <w:r w:rsidR="000471DB">
        <w:rPr>
          <w:rFonts w:eastAsia="Tahoma" w:cs="Tahoma"/>
          <w:szCs w:val="20"/>
        </w:rPr>
        <w:t>)</w:t>
      </w:r>
      <w:r w:rsidRPr="006C51FA">
        <w:rPr>
          <w:rFonts w:eastAsia="Tahoma" w:cs="Tahoma"/>
          <w:szCs w:val="20"/>
        </w:rPr>
        <w:t xml:space="preserve"> razdoblju provedbe ovoga Programa, ali se može razmotriti u sljedećim razdobljima, ovisno o utrošenosti EU sredstava i raspoloživosti nacionalnih sredstava iz FZOEU-a</w:t>
      </w:r>
      <w:r w:rsidR="00AF2149" w:rsidRPr="00AF2149">
        <w:rPr>
          <w:rFonts w:eastAsiaTheme="minorHAnsi" w:cs="Tahoma"/>
          <w:szCs w:val="20"/>
          <w:lang w:eastAsia="hr-HR"/>
        </w:rPr>
        <w:t xml:space="preserve"> </w:t>
      </w:r>
      <w:r w:rsidR="00AF2149">
        <w:rPr>
          <w:rFonts w:eastAsiaTheme="minorHAnsi" w:cs="Tahoma"/>
          <w:szCs w:val="20"/>
          <w:lang w:eastAsia="hr-HR"/>
        </w:rPr>
        <w:t>(</w:t>
      </w:r>
      <w:r w:rsidR="00AF2149" w:rsidRPr="00AF2149">
        <w:rPr>
          <w:rFonts w:eastAsia="Tahoma" w:cs="Tahoma"/>
          <w:szCs w:val="20"/>
        </w:rPr>
        <w:t>posebice sredstva od prodaje emisijskih jed</w:t>
      </w:r>
      <w:r w:rsidR="000471DB">
        <w:rPr>
          <w:rFonts w:eastAsia="Tahoma" w:cs="Tahoma"/>
          <w:szCs w:val="20"/>
        </w:rPr>
        <w:t>i</w:t>
      </w:r>
      <w:r w:rsidR="00AF2149" w:rsidRPr="00AF2149">
        <w:rPr>
          <w:rFonts w:eastAsia="Tahoma" w:cs="Tahoma"/>
          <w:szCs w:val="20"/>
        </w:rPr>
        <w:t>nica na dražbama kojima raspolaže FZOEU)</w:t>
      </w:r>
      <w:r w:rsidRPr="006C51FA">
        <w:rPr>
          <w:rFonts w:eastAsia="Tahoma" w:cs="Tahoma"/>
          <w:szCs w:val="20"/>
        </w:rPr>
        <w:t xml:space="preserve">.  </w:t>
      </w:r>
    </w:p>
    <w:p w14:paraId="6D379292" w14:textId="1C718D5B" w:rsidR="004B407C" w:rsidRPr="00B357F4" w:rsidRDefault="0EF4DCDB" w:rsidP="0072010C">
      <w:pPr>
        <w:spacing w:line="257" w:lineRule="auto"/>
        <w:rPr>
          <w:lang w:eastAsia="hr-HR"/>
        </w:rPr>
      </w:pPr>
      <w:r w:rsidRPr="006C51FA">
        <w:rPr>
          <w:rFonts w:eastAsia="Tahoma" w:cs="Tahoma"/>
        </w:rPr>
        <w:t>Za korištenje Mehanizma za oporavak i otpornost, Hrvatska je izradila Nacionalni plan oporavka i otpornosti (NPOO)</w:t>
      </w:r>
      <w:hyperlink r:id="rId19" w:anchor="_ftn1" w:history="1">
        <w:r w:rsidRPr="006C51FA">
          <w:rPr>
            <w:rStyle w:val="Hiperveza"/>
            <w:color w:val="auto"/>
            <w:u w:val="none"/>
            <w:vertAlign w:val="superscript"/>
          </w:rPr>
          <w:t>[1]</w:t>
        </w:r>
      </w:hyperlink>
      <w:r w:rsidRPr="006C51FA">
        <w:rPr>
          <w:rFonts w:eastAsia="Tahoma" w:cs="Tahoma"/>
        </w:rPr>
        <w:t>.</w:t>
      </w:r>
      <w:r w:rsidRPr="000D67D0">
        <w:rPr>
          <w:rFonts w:eastAsia="Tahoma" w:cs="Tahoma"/>
        </w:rPr>
        <w:t xml:space="preserve"> </w:t>
      </w:r>
      <w:r w:rsidR="00475AAB" w:rsidRPr="000D67D0">
        <w:rPr>
          <w:lang w:eastAsia="hr-HR"/>
        </w:rPr>
        <w:t xml:space="preserve"> </w:t>
      </w:r>
      <w:r w:rsidR="150E99C5" w:rsidRPr="000D67D0">
        <w:rPr>
          <w:lang w:eastAsia="hr-HR"/>
        </w:rPr>
        <w:t>J</w:t>
      </w:r>
      <w:r w:rsidR="004B407C" w:rsidRPr="000D67D0">
        <w:rPr>
          <w:lang w:eastAsia="hr-HR"/>
        </w:rPr>
        <w:t xml:space="preserve">edna od reformi navedenih u NPOO jest Dekarbonizacija zgrada (C.6.1.R1), koja se planira </w:t>
      </w:r>
      <w:r w:rsidR="004B407C" w:rsidRPr="00B357F4">
        <w:rPr>
          <w:lang w:eastAsia="hr-HR"/>
        </w:rPr>
        <w:t>provesti kroz tri vezane investicije, od kojih su za ovaj Program bitne:</w:t>
      </w:r>
    </w:p>
    <w:p w14:paraId="07FED78A" w14:textId="19E14CEA" w:rsidR="004B407C" w:rsidRPr="00B357F4" w:rsidRDefault="0E8BFDE4" w:rsidP="00725AB0">
      <w:pPr>
        <w:pStyle w:val="Odlomakpopisa"/>
        <w:numPr>
          <w:ilvl w:val="0"/>
          <w:numId w:val="52"/>
        </w:numPr>
      </w:pPr>
      <w:r w:rsidRPr="00B357F4">
        <w:t xml:space="preserve">Energetska obnova zgrada (C.6.1. R1-I1) – odnosi se na </w:t>
      </w:r>
      <w:r w:rsidR="0DA39E72" w:rsidRPr="00B357F4">
        <w:t xml:space="preserve">ZJS i višestambene zgrade </w:t>
      </w:r>
      <w:r w:rsidRPr="00B357F4">
        <w:t xml:space="preserve">te je predviđena alokacija od 1 milijarde </w:t>
      </w:r>
      <w:r w:rsidR="008655EB" w:rsidRPr="00B357F4">
        <w:t>k</w:t>
      </w:r>
      <w:r w:rsidR="008655EB">
        <w:t>una</w:t>
      </w:r>
      <w:r w:rsidR="00BA68C1">
        <w:t xml:space="preserve"> (od čega je 550 milijuna kuna raspoloživo za provedbu ovoga Programa)</w:t>
      </w:r>
      <w:r w:rsidR="000368E0">
        <w:t xml:space="preserve"> i</w:t>
      </w:r>
    </w:p>
    <w:p w14:paraId="569F7D35" w14:textId="73507550" w:rsidR="004B407C" w:rsidRPr="00B357F4" w:rsidRDefault="0E8BFDE4" w:rsidP="00725AB0">
      <w:pPr>
        <w:pStyle w:val="Odlomakpopisa"/>
        <w:numPr>
          <w:ilvl w:val="0"/>
          <w:numId w:val="52"/>
        </w:numPr>
      </w:pPr>
      <w:r w:rsidRPr="00B357F4">
        <w:t xml:space="preserve">Obnova zgrada oštećenih u potresu s energetskom obnovom (C.6.1. R1-I2) – odnosi se na ZJS </w:t>
      </w:r>
      <w:r w:rsidR="76D7DB33" w:rsidRPr="00B357F4">
        <w:t xml:space="preserve">i višestambene zgrade </w:t>
      </w:r>
      <w:r w:rsidRPr="00B357F4">
        <w:t xml:space="preserve">te je predviđena alokacija od 4,456 milijarde </w:t>
      </w:r>
      <w:r w:rsidR="00BF5CE3">
        <w:t>kuna</w:t>
      </w:r>
      <w:r w:rsidRPr="00B357F4">
        <w:t xml:space="preserve">. </w:t>
      </w:r>
    </w:p>
    <w:p w14:paraId="777DCD16" w14:textId="15EF6FFE" w:rsidR="000E3E20" w:rsidRPr="00B357F4" w:rsidRDefault="00FD461C" w:rsidP="000E3E20">
      <w:r w:rsidRPr="00B357F4">
        <w:t>Iz investicije C.6.1. R1-I1 za obnovu ZJS neoštećenih u potresu predviđa se 550 milijuna k</w:t>
      </w:r>
      <w:r w:rsidR="007F4303">
        <w:t>u</w:t>
      </w:r>
      <w:r w:rsidRPr="00B357F4">
        <w:t>n</w:t>
      </w:r>
      <w:r w:rsidR="007F4303">
        <w:t>a</w:t>
      </w:r>
      <w:r w:rsidR="00F33FBB">
        <w:t xml:space="preserve">, </w:t>
      </w:r>
      <w:r w:rsidR="00414C43">
        <w:t>koji su</w:t>
      </w:r>
      <w:r w:rsidR="007F4303">
        <w:t xml:space="preserve"> </w:t>
      </w:r>
      <w:r w:rsidRPr="00B03C9B">
        <w:t>raspodijeljen</w:t>
      </w:r>
      <w:r w:rsidR="00414C43">
        <w:t>i</w:t>
      </w:r>
      <w:r w:rsidRPr="00B03C9B">
        <w:t xml:space="preserve"> na bespovratna sredstva putem javnih poziva MPGI</w:t>
      </w:r>
      <w:r w:rsidRPr="00971F9E">
        <w:t xml:space="preserve"> </w:t>
      </w:r>
      <w:r w:rsidR="00D72926">
        <w:t xml:space="preserve">u iznosu </w:t>
      </w:r>
      <w:r w:rsidRPr="00971F9E">
        <w:t xml:space="preserve">300 milijuna </w:t>
      </w:r>
      <w:r w:rsidR="000D2073">
        <w:t>kuna</w:t>
      </w:r>
      <w:r w:rsidRPr="00971F9E">
        <w:t xml:space="preserve"> te na provedbu obnove po ESCO modelu posredstvom APN-a </w:t>
      </w:r>
      <w:r w:rsidR="009E3338">
        <w:t xml:space="preserve">u iznosu od </w:t>
      </w:r>
      <w:r w:rsidRPr="00971F9E">
        <w:t xml:space="preserve">250 milijuna </w:t>
      </w:r>
      <w:r w:rsidR="000D2073">
        <w:t>kuna</w:t>
      </w:r>
      <w:r w:rsidR="00E85556">
        <w:t xml:space="preserve">. </w:t>
      </w:r>
    </w:p>
    <w:p w14:paraId="0EA3DE7D" w14:textId="12C84F30" w:rsidR="004B407C" w:rsidRPr="00441B79" w:rsidRDefault="004B407C" w:rsidP="004B407C">
      <w:r w:rsidRPr="00B03C9B">
        <w:t xml:space="preserve">Iz investicije C.6.1. R1-I2 za </w:t>
      </w:r>
      <w:r w:rsidR="00183573" w:rsidRPr="00971F9E">
        <w:t>ZJS</w:t>
      </w:r>
      <w:r w:rsidRPr="00971F9E">
        <w:t xml:space="preserve"> oštećene u potresu predviđa se obnova barem </w:t>
      </w:r>
      <w:r w:rsidR="0047316F" w:rsidRPr="00B357F4">
        <w:t>274</w:t>
      </w:r>
      <w:r w:rsidRPr="00B357F4">
        <w:t>.000 m</w:t>
      </w:r>
      <w:r w:rsidRPr="00B357F4">
        <w:rPr>
          <w:vertAlign w:val="superscript"/>
        </w:rPr>
        <w:t>2</w:t>
      </w:r>
      <w:r w:rsidRPr="00B357F4">
        <w:t xml:space="preserve"> </w:t>
      </w:r>
      <w:r w:rsidR="0047316F" w:rsidRPr="00B357F4">
        <w:t>ZJS</w:t>
      </w:r>
      <w:r w:rsidRPr="00B357F4">
        <w:t>. Pri tome treba istaknuti da će se sredstva predviđena ovom mjerom koristiti i za vraćanje zgrade u prv</w:t>
      </w:r>
      <w:r w:rsidR="00B85840" w:rsidRPr="00B357F4">
        <w:t>o</w:t>
      </w:r>
      <w:r w:rsidRPr="00B357F4">
        <w:t>bitno stanje (troškovi nevezani uz potrošnju energije) kao i za provedbu neke od razina obnove predviđene ovim Programom.</w:t>
      </w:r>
      <w:r w:rsidR="00D92F56" w:rsidRPr="00B357F4">
        <w:t xml:space="preserve"> </w:t>
      </w:r>
      <w:r w:rsidR="00B448F8" w:rsidRPr="00B357F4">
        <w:t xml:space="preserve">Kako </w:t>
      </w:r>
      <w:r w:rsidR="00B448F8" w:rsidRPr="00441B79">
        <w:t xml:space="preserve">bi se </w:t>
      </w:r>
      <w:r w:rsidR="00E05FA6" w:rsidRPr="00441B79">
        <w:t>ost</w:t>
      </w:r>
      <w:r w:rsidR="008B650C" w:rsidRPr="00441B79">
        <w:t>va</w:t>
      </w:r>
      <w:r w:rsidR="00E05FA6" w:rsidRPr="00441B79">
        <w:t>ri</w:t>
      </w:r>
      <w:r w:rsidR="00296766" w:rsidRPr="00441B79">
        <w:t xml:space="preserve">la obnova ciljane površine javnih zgrada prema NPOO-u, procjenjuje se da će </w:t>
      </w:r>
      <w:r w:rsidR="00AF3847" w:rsidRPr="00441B79">
        <w:t>iz NPO</w:t>
      </w:r>
      <w:r w:rsidR="00515114" w:rsidRPr="00441B79">
        <w:t>O</w:t>
      </w:r>
      <w:r w:rsidR="00AF3847" w:rsidRPr="00441B79">
        <w:t xml:space="preserve">-a biti izdvojeno </w:t>
      </w:r>
      <w:r w:rsidR="0050522B" w:rsidRPr="00441B79">
        <w:t xml:space="preserve">oko 4,2 milijarde </w:t>
      </w:r>
      <w:r w:rsidR="004C27A5" w:rsidRPr="00441B79">
        <w:t>kuna</w:t>
      </w:r>
      <w:r w:rsidR="0050522B" w:rsidRPr="00441B79">
        <w:t>.</w:t>
      </w:r>
    </w:p>
    <w:p w14:paraId="1235CAA5" w14:textId="36740203" w:rsidR="00C27DCB" w:rsidRPr="00441B79" w:rsidRDefault="00AE681B" w:rsidP="00C27DCB">
      <w:pPr>
        <w:rPr>
          <w:lang w:eastAsia="hr-HR"/>
        </w:rPr>
      </w:pPr>
      <w:r w:rsidRPr="00441B79">
        <w:rPr>
          <w:b/>
          <w:bCs/>
          <w:szCs w:val="20"/>
        </w:rPr>
        <w:t>Z</w:t>
      </w:r>
      <w:r w:rsidR="004B407C" w:rsidRPr="00441B79">
        <w:rPr>
          <w:b/>
          <w:bCs/>
          <w:szCs w:val="20"/>
        </w:rPr>
        <w:t>a</w:t>
      </w:r>
      <w:r w:rsidR="004B407C" w:rsidRPr="00441B79">
        <w:rPr>
          <w:b/>
          <w:szCs w:val="20"/>
        </w:rPr>
        <w:t xml:space="preserve"> novo programsko razdoblje, nije moguće utvrditi kolika će biti raspoloživa </w:t>
      </w:r>
      <w:r w:rsidR="00EE71DC" w:rsidRPr="00441B79">
        <w:rPr>
          <w:b/>
          <w:szCs w:val="20"/>
        </w:rPr>
        <w:t xml:space="preserve">ESIF </w:t>
      </w:r>
      <w:r w:rsidR="004B407C" w:rsidRPr="00441B79">
        <w:rPr>
          <w:b/>
          <w:szCs w:val="20"/>
        </w:rPr>
        <w:t>sredstva, jer OPKK za razdoblje od 2021. do 2027. godine u trenutku izrade ovoga Programa nije usvojen.</w:t>
      </w:r>
      <w:r w:rsidR="004B407C" w:rsidRPr="00441B79">
        <w:rPr>
          <w:lang w:eastAsia="hr-HR"/>
        </w:rPr>
        <w:t xml:space="preserve"> </w:t>
      </w:r>
      <w:r w:rsidR="00C27DCB" w:rsidRPr="00441B79">
        <w:rPr>
          <w:lang w:eastAsia="hr-HR"/>
        </w:rPr>
        <w:t xml:space="preserve">Korištenje ovih sredstava očekuje se tek </w:t>
      </w:r>
      <w:r w:rsidR="00FA02F4" w:rsidRPr="00441B79">
        <w:rPr>
          <w:lang w:eastAsia="hr-HR"/>
        </w:rPr>
        <w:t xml:space="preserve">po odobrenju </w:t>
      </w:r>
      <w:r w:rsidR="009F09B2" w:rsidRPr="00441B79">
        <w:rPr>
          <w:lang w:eastAsia="hr-HR"/>
        </w:rPr>
        <w:t>OPKK</w:t>
      </w:r>
      <w:r w:rsidR="00FA02F4" w:rsidRPr="00441B79">
        <w:rPr>
          <w:lang w:eastAsia="hr-HR"/>
        </w:rPr>
        <w:t>.</w:t>
      </w:r>
      <w:r w:rsidR="00C27DCB" w:rsidRPr="00441B79">
        <w:rPr>
          <w:lang w:eastAsia="hr-HR"/>
        </w:rPr>
        <w:t xml:space="preserve">   </w:t>
      </w:r>
    </w:p>
    <w:p w14:paraId="6C45A45A" w14:textId="55367268" w:rsidR="004871AA" w:rsidRPr="00441B79" w:rsidRDefault="00505CB8" w:rsidP="005A69E1">
      <w:r w:rsidRPr="00441B79">
        <w:t>F</w:t>
      </w:r>
      <w:r w:rsidR="007100A3" w:rsidRPr="00441B79">
        <w:t xml:space="preserve">inancijski plan za razdoblje 2022. do 2024. godine temelji </w:t>
      </w:r>
      <w:r w:rsidRPr="00441B79">
        <w:t xml:space="preserve">se </w:t>
      </w:r>
      <w:r w:rsidR="007100A3" w:rsidRPr="00441B79">
        <w:t xml:space="preserve">isključivo na </w:t>
      </w:r>
      <w:r w:rsidR="0013532F" w:rsidRPr="00441B79">
        <w:t xml:space="preserve">raspoloživim sredstvima iz NPOO. </w:t>
      </w:r>
    </w:p>
    <w:p w14:paraId="138E3891" w14:textId="61AD2025" w:rsidR="004871AA" w:rsidRPr="00211B66" w:rsidRDefault="56E09DE9" w:rsidP="0072010C">
      <w:pPr>
        <w:pStyle w:val="Odlomakpopisa"/>
        <w:widowControl w:val="0"/>
        <w:numPr>
          <w:ilvl w:val="0"/>
          <w:numId w:val="1"/>
        </w:numPr>
        <w:rPr>
          <w:rFonts w:asciiTheme="minorHAnsi" w:eastAsiaTheme="minorEastAsia" w:hAnsiTheme="minorHAnsi" w:cstheme="minorBidi"/>
        </w:rPr>
      </w:pPr>
      <w:r w:rsidRPr="00441B79">
        <w:t>U</w:t>
      </w:r>
      <w:r w:rsidR="76C95413" w:rsidRPr="00441B79">
        <w:t xml:space="preserve">kupno je za obnovu ZJS iz NPOO raspoloživo  </w:t>
      </w:r>
      <w:r w:rsidR="76C95413" w:rsidRPr="00211B66">
        <w:t xml:space="preserve">oko 4,75 milijardi </w:t>
      </w:r>
      <w:r w:rsidR="004C27A5" w:rsidRPr="00211B66">
        <w:t>kuna</w:t>
      </w:r>
    </w:p>
    <w:p w14:paraId="492A0E75" w14:textId="73FC28D0" w:rsidR="004871AA" w:rsidRPr="00971F9E" w:rsidRDefault="004871AA" w:rsidP="004871AA">
      <w:pPr>
        <w:widowControl w:val="0"/>
      </w:pPr>
      <w:r w:rsidRPr="00B357F4">
        <w:t xml:space="preserve">Pri tome se predviđa da će se sva raspoloživa sredstva ugovoriti </w:t>
      </w:r>
      <w:r w:rsidR="006074D7" w:rsidRPr="00B357F4">
        <w:t>u</w:t>
      </w:r>
      <w:r w:rsidRPr="00B357F4">
        <w:t xml:space="preserve"> ovom trogodišnjem razdoblju</w:t>
      </w:r>
      <w:r w:rsidR="00C568CA">
        <w:t xml:space="preserve"> u rokovima </w:t>
      </w:r>
      <w:r w:rsidR="006808FB">
        <w:t>utvrđenima pravilima korištenja</w:t>
      </w:r>
      <w:r w:rsidR="006C41E9">
        <w:t xml:space="preserve"> sredstava NPOO-a</w:t>
      </w:r>
      <w:r w:rsidRPr="00B357F4">
        <w:t xml:space="preserve">, dok će isplate tih </w:t>
      </w:r>
      <w:r w:rsidR="00152ACC" w:rsidRPr="00B357F4">
        <w:t>sredstava</w:t>
      </w:r>
      <w:r w:rsidRPr="00B357F4">
        <w:t xml:space="preserve"> ovisiti o dinamici provedbe </w:t>
      </w:r>
      <w:r w:rsidR="00152ACC" w:rsidRPr="00B357F4">
        <w:t>projekata</w:t>
      </w:r>
      <w:r w:rsidRPr="00B357F4">
        <w:t xml:space="preserve"> obnove </w:t>
      </w:r>
      <w:r w:rsidR="00152ACC" w:rsidRPr="00B357F4">
        <w:t>ZJS</w:t>
      </w:r>
      <w:r w:rsidRPr="00B357F4">
        <w:t xml:space="preserve">. </w:t>
      </w:r>
      <w:r w:rsidRPr="006734C7">
        <w:fldChar w:fldCharType="begin"/>
      </w:r>
      <w:r w:rsidRPr="00B357F4">
        <w:instrText xml:space="preserve"> REF _Ref71877027 \h </w:instrText>
      </w:r>
      <w:r w:rsidRPr="006734C7">
        <w:fldChar w:fldCharType="separate"/>
      </w:r>
      <w:r w:rsidR="0023635D" w:rsidRPr="00B357F4">
        <w:t xml:space="preserve">Tablica </w:t>
      </w:r>
      <w:r w:rsidR="0023635D">
        <w:rPr>
          <w:noProof/>
        </w:rPr>
        <w:t>5</w:t>
      </w:r>
      <w:r w:rsidR="0023635D">
        <w:noBreakHyphen/>
      </w:r>
      <w:r w:rsidR="0023635D">
        <w:rPr>
          <w:noProof/>
        </w:rPr>
        <w:t>4</w:t>
      </w:r>
      <w:r w:rsidRPr="006734C7">
        <w:fldChar w:fldCharType="end"/>
      </w:r>
      <w:r w:rsidRPr="003020E6">
        <w:t xml:space="preserve"> prikazuj</w:t>
      </w:r>
      <w:r w:rsidR="00C80553" w:rsidRPr="006734C7">
        <w:t>e</w:t>
      </w:r>
      <w:r w:rsidRPr="006734C7">
        <w:t xml:space="preserve"> raspodjelu raspoloživih financijskih sredstava te procjenu površina </w:t>
      </w:r>
      <w:r w:rsidR="3F12D14D" w:rsidRPr="00B03C9B">
        <w:t>ZJS</w:t>
      </w:r>
      <w:r w:rsidRPr="00971F9E">
        <w:t xml:space="preserve"> koje će se uz ta sredstva obnoviti. </w:t>
      </w:r>
    </w:p>
    <w:p w14:paraId="6D798321" w14:textId="258015B7" w:rsidR="004871AA" w:rsidRPr="006734C7" w:rsidRDefault="004871AA" w:rsidP="004871AA">
      <w:pPr>
        <w:pStyle w:val="Opisslike"/>
        <w:rPr>
          <w:rFonts w:cs="Tahoma"/>
          <w:szCs w:val="16"/>
        </w:rPr>
      </w:pPr>
      <w:bookmarkStart w:id="87" w:name="_Ref71877027"/>
      <w:bookmarkStart w:id="88" w:name="_Toc72081563"/>
      <w:bookmarkStart w:id="89" w:name="_Toc81836261"/>
      <w:bookmarkStart w:id="90" w:name="_Toc87949896"/>
      <w:r w:rsidRPr="00B357F4">
        <w:t xml:space="preserve">Tablica </w:t>
      </w:r>
      <w:r>
        <w:fldChar w:fldCharType="begin"/>
      </w:r>
      <w:r>
        <w:instrText>STYLEREF 1 \s</w:instrText>
      </w:r>
      <w:r>
        <w:fldChar w:fldCharType="separate"/>
      </w:r>
      <w:r w:rsidR="0023635D">
        <w:rPr>
          <w:noProof/>
        </w:rPr>
        <w:t>5</w:t>
      </w:r>
      <w:r>
        <w:fldChar w:fldCharType="end"/>
      </w:r>
      <w:r w:rsidR="00166B1A">
        <w:noBreakHyphen/>
      </w:r>
      <w:r>
        <w:fldChar w:fldCharType="begin"/>
      </w:r>
      <w:r>
        <w:instrText>SEQ Tablica \* ARABIC \s 1</w:instrText>
      </w:r>
      <w:r>
        <w:fldChar w:fldCharType="separate"/>
      </w:r>
      <w:r w:rsidR="0023635D">
        <w:rPr>
          <w:noProof/>
        </w:rPr>
        <w:t>4</w:t>
      </w:r>
      <w:r>
        <w:fldChar w:fldCharType="end"/>
      </w:r>
      <w:bookmarkEnd w:id="87"/>
      <w:r w:rsidRPr="003020E6">
        <w:t xml:space="preserve">: </w:t>
      </w:r>
      <w:r w:rsidRPr="006734C7">
        <w:rPr>
          <w:rFonts w:cs="Tahoma"/>
          <w:szCs w:val="16"/>
        </w:rPr>
        <w:t xml:space="preserve">Indikativni financijski plan i procjena obnovljene površine </w:t>
      </w:r>
      <w:r w:rsidR="003B6842" w:rsidRPr="00B357F4">
        <w:rPr>
          <w:rFonts w:cs="Tahoma"/>
          <w:szCs w:val="16"/>
        </w:rPr>
        <w:t xml:space="preserve">zgrada javnog sektora </w:t>
      </w:r>
      <w:r w:rsidRPr="00B357F4">
        <w:rPr>
          <w:rFonts w:cs="Tahoma"/>
          <w:szCs w:val="16"/>
        </w:rPr>
        <w:t>u razdoblju od 2022. do 2024</w:t>
      </w:r>
      <w:r w:rsidRPr="003020E6">
        <w:rPr>
          <w:rFonts w:cs="Tahoma"/>
          <w:szCs w:val="16"/>
        </w:rPr>
        <w:t>.</w:t>
      </w:r>
      <w:bookmarkEnd w:id="88"/>
      <w:bookmarkEnd w:id="89"/>
      <w:bookmarkEnd w:id="90"/>
      <w:r w:rsidRPr="003020E6">
        <w:rPr>
          <w:rFonts w:cs="Tahoma"/>
          <w:szCs w:val="16"/>
        </w:rPr>
        <w:t xml:space="preserve"> </w:t>
      </w:r>
    </w:p>
    <w:tbl>
      <w:tblPr>
        <w:tblStyle w:val="Svijetlatablicareetke110"/>
        <w:tblW w:w="5000" w:type="pct"/>
        <w:tblLook w:val="04A0" w:firstRow="1" w:lastRow="0" w:firstColumn="1" w:lastColumn="0" w:noHBand="0" w:noVBand="1"/>
      </w:tblPr>
      <w:tblGrid>
        <w:gridCol w:w="5277"/>
        <w:gridCol w:w="731"/>
        <w:gridCol w:w="1112"/>
        <w:gridCol w:w="1112"/>
        <w:gridCol w:w="1112"/>
      </w:tblGrid>
      <w:tr w:rsidR="004871AA" w:rsidRPr="00B357F4" w14:paraId="7ED64A00" w14:textId="77777777" w:rsidTr="00CB1352">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69A88704" w14:textId="77777777" w:rsidR="004871AA" w:rsidRPr="00971F9E" w:rsidRDefault="004871AA" w:rsidP="00A85F83">
            <w:pPr>
              <w:spacing w:before="0" w:after="0"/>
              <w:rPr>
                <w:rFonts w:cs="Tahoma"/>
                <w:color w:val="000000"/>
                <w:sz w:val="18"/>
                <w:szCs w:val="18"/>
                <w:lang w:eastAsia="hr-HR"/>
              </w:rPr>
            </w:pPr>
            <w:r w:rsidRPr="00B03C9B">
              <w:rPr>
                <w:rFonts w:cs="Tahoma"/>
                <w:color w:val="000000"/>
                <w:sz w:val="18"/>
                <w:szCs w:val="18"/>
                <w:lang w:eastAsia="hr-HR"/>
              </w:rPr>
              <w:t> </w:t>
            </w:r>
          </w:p>
        </w:tc>
        <w:tc>
          <w:tcPr>
            <w:tcW w:w="391" w:type="pct"/>
            <w:hideMark/>
          </w:tcPr>
          <w:p w14:paraId="01509261"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2021.</w:t>
            </w:r>
          </w:p>
        </w:tc>
        <w:tc>
          <w:tcPr>
            <w:tcW w:w="595" w:type="pct"/>
            <w:hideMark/>
          </w:tcPr>
          <w:p w14:paraId="0B0C3243"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2022.</w:t>
            </w:r>
          </w:p>
        </w:tc>
        <w:tc>
          <w:tcPr>
            <w:tcW w:w="595" w:type="pct"/>
            <w:hideMark/>
          </w:tcPr>
          <w:p w14:paraId="6DF0EF75"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2023.</w:t>
            </w:r>
          </w:p>
        </w:tc>
        <w:tc>
          <w:tcPr>
            <w:tcW w:w="595" w:type="pct"/>
            <w:hideMark/>
          </w:tcPr>
          <w:p w14:paraId="4F1F4CE8"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2024.</w:t>
            </w:r>
          </w:p>
        </w:tc>
      </w:tr>
      <w:tr w:rsidR="00CB1352" w:rsidRPr="00B357F4" w14:paraId="01D0050A" w14:textId="77777777" w:rsidTr="00CF0963">
        <w:trPr>
          <w:trHeight w:val="36"/>
        </w:trPr>
        <w:tc>
          <w:tcPr>
            <w:cnfStyle w:val="001000000000" w:firstRow="0" w:lastRow="0" w:firstColumn="1" w:lastColumn="0" w:oddVBand="0" w:evenVBand="0" w:oddHBand="0" w:evenHBand="0" w:firstRowFirstColumn="0" w:firstRowLastColumn="0" w:lastRowFirstColumn="0" w:lastRowLastColumn="0"/>
            <w:tcW w:w="2824" w:type="pct"/>
            <w:hideMark/>
          </w:tcPr>
          <w:p w14:paraId="7DE1ED83" w14:textId="4D9CF0CF" w:rsidR="00CB1352" w:rsidRPr="00B357F4" w:rsidRDefault="00CB1352" w:rsidP="00CB1352">
            <w:pPr>
              <w:spacing w:before="0" w:after="0"/>
              <w:rPr>
                <w:rFonts w:cs="Tahoma"/>
                <w:color w:val="000000"/>
                <w:sz w:val="18"/>
                <w:szCs w:val="18"/>
                <w:lang w:eastAsia="hr-HR"/>
              </w:rPr>
            </w:pPr>
            <w:r w:rsidRPr="00B357F4">
              <w:rPr>
                <w:rFonts w:cs="Tahoma"/>
                <w:color w:val="000000"/>
                <w:sz w:val="18"/>
                <w:szCs w:val="18"/>
                <w:lang w:eastAsia="hr-HR"/>
              </w:rPr>
              <w:t xml:space="preserve">Sufinanciranje NPOO NEOŠTEĆENE - godišnje [milijuna </w:t>
            </w:r>
            <w:r w:rsidR="009E5303">
              <w:rPr>
                <w:rFonts w:cs="Tahoma"/>
                <w:color w:val="000000"/>
                <w:sz w:val="18"/>
                <w:szCs w:val="18"/>
                <w:lang w:eastAsia="hr-HR"/>
              </w:rPr>
              <w:t>kuna</w:t>
            </w:r>
            <w:r w:rsidRPr="00B357F4">
              <w:rPr>
                <w:rFonts w:cs="Tahoma"/>
                <w:color w:val="000000"/>
                <w:sz w:val="18"/>
                <w:szCs w:val="18"/>
                <w:lang w:eastAsia="hr-HR"/>
              </w:rPr>
              <w:t>]</w:t>
            </w:r>
          </w:p>
        </w:tc>
        <w:tc>
          <w:tcPr>
            <w:tcW w:w="391" w:type="pct"/>
            <w:vAlign w:val="center"/>
            <w:hideMark/>
          </w:tcPr>
          <w:p w14:paraId="5F61C32F" w14:textId="77777777"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0,00</w:t>
            </w:r>
          </w:p>
        </w:tc>
        <w:tc>
          <w:tcPr>
            <w:tcW w:w="595" w:type="pct"/>
            <w:vAlign w:val="center"/>
            <w:hideMark/>
          </w:tcPr>
          <w:p w14:paraId="4489C102" w14:textId="26910FE6"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183,33</w:t>
            </w:r>
          </w:p>
        </w:tc>
        <w:tc>
          <w:tcPr>
            <w:tcW w:w="595" w:type="pct"/>
            <w:vAlign w:val="center"/>
            <w:hideMark/>
          </w:tcPr>
          <w:p w14:paraId="73BE48E2" w14:textId="071A5A3C"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183,33</w:t>
            </w:r>
          </w:p>
        </w:tc>
        <w:tc>
          <w:tcPr>
            <w:tcW w:w="595" w:type="pct"/>
            <w:vAlign w:val="center"/>
            <w:hideMark/>
          </w:tcPr>
          <w:p w14:paraId="65FEFA2A" w14:textId="59E274C5"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183,33</w:t>
            </w:r>
          </w:p>
        </w:tc>
      </w:tr>
      <w:tr w:rsidR="004871AA" w:rsidRPr="00B357F4" w14:paraId="1355F3CF"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245DF3B4" w14:textId="437D12F0" w:rsidR="004871AA" w:rsidRPr="00B357F4" w:rsidRDefault="004871AA" w:rsidP="00A85F83">
            <w:pPr>
              <w:spacing w:before="0" w:after="0"/>
              <w:rPr>
                <w:rFonts w:cs="Tahoma"/>
                <w:color w:val="000000"/>
                <w:sz w:val="18"/>
                <w:szCs w:val="18"/>
                <w:lang w:eastAsia="hr-HR"/>
              </w:rPr>
            </w:pPr>
            <w:r w:rsidRPr="00B357F4">
              <w:rPr>
                <w:rFonts w:cs="Tahoma"/>
                <w:color w:val="000000"/>
                <w:sz w:val="18"/>
                <w:szCs w:val="18"/>
                <w:lang w:eastAsia="hr-HR"/>
              </w:rPr>
              <w:t xml:space="preserve">Sufinanciranje NPOO </w:t>
            </w:r>
            <w:r w:rsidR="001549F5" w:rsidRPr="00B357F4">
              <w:rPr>
                <w:rFonts w:cs="Tahoma"/>
                <w:color w:val="000000"/>
                <w:sz w:val="18"/>
                <w:szCs w:val="18"/>
                <w:lang w:eastAsia="hr-HR"/>
              </w:rPr>
              <w:t xml:space="preserve">NEOŠTEĆENE </w:t>
            </w:r>
            <w:r w:rsidRPr="00B357F4">
              <w:rPr>
                <w:rFonts w:cs="Tahoma"/>
                <w:color w:val="000000"/>
                <w:sz w:val="18"/>
                <w:szCs w:val="18"/>
                <w:lang w:eastAsia="hr-HR"/>
              </w:rPr>
              <w:t xml:space="preserve">- ukupno [milijuna </w:t>
            </w:r>
            <w:r w:rsidR="009E5303">
              <w:rPr>
                <w:rFonts w:cs="Tahoma"/>
                <w:color w:val="000000"/>
                <w:sz w:val="18"/>
                <w:szCs w:val="18"/>
                <w:lang w:eastAsia="hr-HR"/>
              </w:rPr>
              <w:t>kuna</w:t>
            </w:r>
            <w:r w:rsidRPr="00B357F4">
              <w:rPr>
                <w:rFonts w:cs="Tahoma"/>
                <w:color w:val="000000"/>
                <w:sz w:val="18"/>
                <w:szCs w:val="18"/>
                <w:lang w:eastAsia="hr-HR"/>
              </w:rPr>
              <w:t>]</w:t>
            </w:r>
          </w:p>
        </w:tc>
        <w:tc>
          <w:tcPr>
            <w:tcW w:w="2176" w:type="pct"/>
            <w:gridSpan w:val="4"/>
            <w:vAlign w:val="center"/>
            <w:hideMark/>
          </w:tcPr>
          <w:p w14:paraId="435AF42B" w14:textId="19E7AB89" w:rsidR="004871AA" w:rsidRPr="00B357F4" w:rsidRDefault="001549F5"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550</w:t>
            </w:r>
            <w:r w:rsidR="004871AA" w:rsidRPr="00B357F4">
              <w:rPr>
                <w:rFonts w:cs="Tahoma"/>
                <w:color w:val="000000"/>
                <w:sz w:val="18"/>
                <w:szCs w:val="18"/>
                <w:lang w:eastAsia="hr-HR"/>
              </w:rPr>
              <w:t>,</w:t>
            </w:r>
            <w:r w:rsidRPr="00B357F4">
              <w:rPr>
                <w:rFonts w:cs="Tahoma"/>
                <w:color w:val="000000"/>
                <w:sz w:val="18"/>
                <w:szCs w:val="18"/>
                <w:lang w:eastAsia="hr-HR"/>
              </w:rPr>
              <w:t>00</w:t>
            </w:r>
          </w:p>
        </w:tc>
      </w:tr>
      <w:tr w:rsidR="004871AA" w:rsidRPr="00B357F4" w14:paraId="7F7B44A9"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63770C09" w14:textId="77777777" w:rsidR="004871AA" w:rsidRPr="00B357F4" w:rsidRDefault="004871AA" w:rsidP="00A85F83">
            <w:pPr>
              <w:spacing w:before="0" w:after="0"/>
              <w:rPr>
                <w:rFonts w:cs="Tahoma"/>
                <w:color w:val="000000"/>
                <w:sz w:val="18"/>
                <w:szCs w:val="18"/>
                <w:lang w:eastAsia="hr-HR"/>
              </w:rPr>
            </w:pPr>
            <w:r w:rsidRPr="00B357F4">
              <w:rPr>
                <w:rFonts w:cs="Tahoma"/>
                <w:color w:val="000000"/>
                <w:sz w:val="18"/>
                <w:szCs w:val="18"/>
                <w:lang w:eastAsia="hr-HR"/>
              </w:rPr>
              <w:t>Ukupna investicija [milijuna kn]</w:t>
            </w:r>
          </w:p>
        </w:tc>
        <w:tc>
          <w:tcPr>
            <w:tcW w:w="2176" w:type="pct"/>
            <w:gridSpan w:val="4"/>
            <w:vAlign w:val="center"/>
            <w:hideMark/>
          </w:tcPr>
          <w:p w14:paraId="6915AC2E" w14:textId="2C7470D3" w:rsidR="004871AA" w:rsidRPr="00B357F4" w:rsidRDefault="00166704"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808</w:t>
            </w:r>
            <w:r w:rsidR="004871AA" w:rsidRPr="00B357F4">
              <w:rPr>
                <w:rFonts w:cs="Tahoma"/>
                <w:color w:val="000000"/>
                <w:sz w:val="18"/>
                <w:szCs w:val="18"/>
                <w:lang w:eastAsia="hr-HR"/>
              </w:rPr>
              <w:t>,</w:t>
            </w:r>
            <w:r w:rsidRPr="00B357F4">
              <w:rPr>
                <w:rFonts w:cs="Tahoma"/>
                <w:color w:val="000000"/>
                <w:sz w:val="18"/>
                <w:szCs w:val="18"/>
                <w:lang w:eastAsia="hr-HR"/>
              </w:rPr>
              <w:t>82</w:t>
            </w:r>
          </w:p>
        </w:tc>
      </w:tr>
      <w:tr w:rsidR="00D648EE" w:rsidRPr="00B357F4" w14:paraId="74417C3C"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37061370" w14:textId="78AA94E2" w:rsidR="00D648EE" w:rsidRPr="00B357F4" w:rsidRDefault="00D648EE" w:rsidP="00D648EE">
            <w:pPr>
              <w:spacing w:before="0" w:after="0"/>
              <w:rPr>
                <w:rFonts w:cs="Tahoma"/>
                <w:color w:val="000000"/>
                <w:sz w:val="18"/>
                <w:szCs w:val="18"/>
                <w:lang w:eastAsia="hr-HR"/>
              </w:rPr>
            </w:pPr>
            <w:r w:rsidRPr="00B357F4">
              <w:rPr>
                <w:rFonts w:cs="Tahoma"/>
                <w:color w:val="000000"/>
                <w:sz w:val="18"/>
                <w:szCs w:val="18"/>
                <w:lang w:eastAsia="hr-HR"/>
              </w:rPr>
              <w:t>Procijenjena obnovljena površina ZJS NEOŠTEĆENE - godišnje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391" w:type="pct"/>
            <w:vAlign w:val="center"/>
            <w:hideMark/>
          </w:tcPr>
          <w:p w14:paraId="7F2475E4" w14:textId="77777777"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0,00</w:t>
            </w:r>
          </w:p>
        </w:tc>
        <w:tc>
          <w:tcPr>
            <w:tcW w:w="595" w:type="pct"/>
            <w:vAlign w:val="center"/>
            <w:hideMark/>
          </w:tcPr>
          <w:p w14:paraId="34CBB399" w14:textId="131100FE"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rPr>
              <w:t>59.139,78</w:t>
            </w:r>
          </w:p>
        </w:tc>
        <w:tc>
          <w:tcPr>
            <w:tcW w:w="595" w:type="pct"/>
            <w:vAlign w:val="center"/>
            <w:hideMark/>
          </w:tcPr>
          <w:p w14:paraId="05B5D385" w14:textId="0CFEF63E"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rPr>
              <w:t>59.139,78</w:t>
            </w:r>
          </w:p>
        </w:tc>
        <w:tc>
          <w:tcPr>
            <w:tcW w:w="595" w:type="pct"/>
            <w:vAlign w:val="center"/>
            <w:hideMark/>
          </w:tcPr>
          <w:p w14:paraId="2B804E1D" w14:textId="2EF8A445"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rPr>
              <w:t>59.139,78</w:t>
            </w:r>
          </w:p>
        </w:tc>
      </w:tr>
      <w:tr w:rsidR="004871AA" w:rsidRPr="00B357F4" w14:paraId="1ED524A1"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tcPr>
          <w:p w14:paraId="0F47F180" w14:textId="6678E6C4" w:rsidR="004871AA" w:rsidRPr="00B357F4" w:rsidRDefault="004871AA" w:rsidP="00A85F83">
            <w:pPr>
              <w:spacing w:before="0" w:after="0"/>
              <w:rPr>
                <w:rFonts w:cs="Tahoma"/>
                <w:color w:val="000000"/>
                <w:sz w:val="18"/>
                <w:szCs w:val="18"/>
                <w:lang w:eastAsia="hr-HR"/>
              </w:rPr>
            </w:pPr>
            <w:r w:rsidRPr="00B357F4">
              <w:rPr>
                <w:rFonts w:cs="Tahoma"/>
                <w:color w:val="000000"/>
                <w:sz w:val="18"/>
                <w:szCs w:val="18"/>
                <w:lang w:eastAsia="hr-HR"/>
              </w:rPr>
              <w:t xml:space="preserve">Procijenjena obnovljena površina </w:t>
            </w:r>
            <w:r w:rsidR="00772508" w:rsidRPr="00B357F4">
              <w:rPr>
                <w:rFonts w:cs="Tahoma"/>
                <w:color w:val="000000"/>
                <w:sz w:val="18"/>
                <w:szCs w:val="18"/>
                <w:lang w:eastAsia="hr-HR"/>
              </w:rPr>
              <w:t>ZJS NEOŠTEĆENE</w:t>
            </w:r>
            <w:r w:rsidRPr="00B357F4">
              <w:rPr>
                <w:rFonts w:cs="Tahoma"/>
                <w:color w:val="000000"/>
                <w:sz w:val="18"/>
                <w:szCs w:val="18"/>
                <w:lang w:eastAsia="hr-HR"/>
              </w:rPr>
              <w:t xml:space="preserve"> - ukupno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2176" w:type="pct"/>
            <w:gridSpan w:val="4"/>
            <w:vAlign w:val="center"/>
          </w:tcPr>
          <w:p w14:paraId="56087DF6" w14:textId="683DD7AB" w:rsidR="004871AA" w:rsidRPr="00B357F4" w:rsidRDefault="00710A5D"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177.419,35</w:t>
            </w:r>
          </w:p>
        </w:tc>
      </w:tr>
      <w:tr w:rsidR="00CF0963" w:rsidRPr="00B357F4" w14:paraId="4CCD8DEE"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tcPr>
          <w:p w14:paraId="11EABB31" w14:textId="5357BB7D" w:rsidR="00CF0963" w:rsidRPr="00B357F4" w:rsidRDefault="00CF0963" w:rsidP="00A85F83">
            <w:pPr>
              <w:spacing w:before="0" w:after="0"/>
              <w:rPr>
                <w:rFonts w:cs="Tahoma"/>
                <w:color w:val="000000"/>
                <w:sz w:val="18"/>
                <w:szCs w:val="18"/>
                <w:lang w:eastAsia="hr-HR"/>
              </w:rPr>
            </w:pPr>
            <w:r w:rsidRPr="00B357F4">
              <w:rPr>
                <w:rFonts w:cs="Tahoma"/>
                <w:color w:val="000000"/>
                <w:sz w:val="18"/>
                <w:szCs w:val="18"/>
                <w:lang w:eastAsia="hr-HR"/>
              </w:rPr>
              <w:t>Procijenjena obnovljena površina ZJS OŠTEĆENE - ukupno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2176" w:type="pct"/>
            <w:gridSpan w:val="4"/>
            <w:vAlign w:val="center"/>
          </w:tcPr>
          <w:p w14:paraId="751BF687" w14:textId="51F8F706" w:rsidR="00CF0963" w:rsidRPr="00B357F4" w:rsidRDefault="00C60D38"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288</w:t>
            </w:r>
            <w:r w:rsidR="00CF0963" w:rsidRPr="00B357F4">
              <w:rPr>
                <w:rFonts w:cs="Tahoma"/>
                <w:color w:val="000000"/>
                <w:sz w:val="18"/>
                <w:szCs w:val="18"/>
                <w:lang w:eastAsia="hr-HR"/>
              </w:rPr>
              <w:t>.000,00</w:t>
            </w:r>
          </w:p>
        </w:tc>
      </w:tr>
      <w:tr w:rsidR="00CF0963" w:rsidRPr="00B357F4" w14:paraId="3A96461A"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tcPr>
          <w:p w14:paraId="2EE08A95" w14:textId="181A88F8" w:rsidR="00CF0963" w:rsidRPr="00B357F4" w:rsidRDefault="00CF0963" w:rsidP="00A85F83">
            <w:pPr>
              <w:spacing w:before="0" w:after="0"/>
              <w:rPr>
                <w:rFonts w:cs="Tahoma"/>
                <w:color w:val="000000"/>
                <w:sz w:val="18"/>
                <w:szCs w:val="18"/>
                <w:lang w:eastAsia="hr-HR"/>
              </w:rPr>
            </w:pPr>
            <w:r w:rsidRPr="00B357F4">
              <w:rPr>
                <w:rFonts w:cs="Tahoma"/>
                <w:color w:val="000000"/>
                <w:sz w:val="18"/>
                <w:szCs w:val="18"/>
                <w:lang w:eastAsia="hr-HR"/>
              </w:rPr>
              <w:t>Procijenjena obnovljena površina ZJS UKUPNO - ukupno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2176" w:type="pct"/>
            <w:gridSpan w:val="4"/>
            <w:vAlign w:val="center"/>
          </w:tcPr>
          <w:p w14:paraId="773154FC" w14:textId="57297D6A" w:rsidR="00CF0963" w:rsidRPr="00B357F4" w:rsidRDefault="00451EE3" w:rsidP="00DD3116">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8"/>
                <w:szCs w:val="18"/>
                <w:lang w:eastAsia="hr-HR"/>
              </w:rPr>
            </w:pPr>
            <w:r w:rsidRPr="00B357F4">
              <w:rPr>
                <w:rFonts w:cs="Tahoma"/>
                <w:b/>
                <w:color w:val="000000"/>
                <w:sz w:val="18"/>
                <w:szCs w:val="18"/>
              </w:rPr>
              <w:t>4</w:t>
            </w:r>
            <w:r>
              <w:rPr>
                <w:rFonts w:cs="Tahoma"/>
                <w:b/>
                <w:color w:val="000000"/>
                <w:sz w:val="18"/>
                <w:szCs w:val="18"/>
              </w:rPr>
              <w:t>65</w:t>
            </w:r>
            <w:r w:rsidR="00DD3116" w:rsidRPr="00B357F4">
              <w:rPr>
                <w:rFonts w:cs="Tahoma"/>
                <w:b/>
                <w:color w:val="000000"/>
                <w:sz w:val="18"/>
                <w:szCs w:val="18"/>
              </w:rPr>
              <w:t>.419,35</w:t>
            </w:r>
          </w:p>
        </w:tc>
      </w:tr>
    </w:tbl>
    <w:p w14:paraId="71EAFB4B" w14:textId="251171E5" w:rsidR="004871AA" w:rsidRDefault="004871AA" w:rsidP="004871AA">
      <w:r w:rsidRPr="00B357F4">
        <w:t xml:space="preserve">Usporedbe radi, kako bismo postigli ciljeve definirane u Dugoročnoj strategiji, u ovom razdoblju trebalo bi obnoviti </w:t>
      </w:r>
      <w:r w:rsidR="002740B1" w:rsidRPr="00B357F4">
        <w:rPr>
          <w:b/>
        </w:rPr>
        <w:t xml:space="preserve">787.695 </w:t>
      </w:r>
      <w:r w:rsidRPr="00B357F4">
        <w:rPr>
          <w:b/>
        </w:rPr>
        <w:t>m</w:t>
      </w:r>
      <w:r w:rsidRPr="00B357F4">
        <w:rPr>
          <w:b/>
          <w:vertAlign w:val="superscript"/>
        </w:rPr>
        <w:t>2</w:t>
      </w:r>
      <w:r w:rsidR="00447C20" w:rsidRPr="00B357F4">
        <w:rPr>
          <w:b/>
          <w:vertAlign w:val="superscript"/>
        </w:rPr>
        <w:t xml:space="preserve"> </w:t>
      </w:r>
      <w:r w:rsidR="00447C20" w:rsidRPr="00B357F4">
        <w:t>ZJS</w:t>
      </w:r>
      <w:r w:rsidRPr="00B357F4">
        <w:t xml:space="preserve">. Drugim riječima, </w:t>
      </w:r>
      <w:r w:rsidRPr="00B357F4">
        <w:rPr>
          <w:b/>
        </w:rPr>
        <w:t xml:space="preserve">raspoloživa sredstva su dostatna za ostvarenje oko </w:t>
      </w:r>
      <w:r w:rsidR="004B536A">
        <w:rPr>
          <w:b/>
        </w:rPr>
        <w:t>59</w:t>
      </w:r>
      <w:r w:rsidRPr="00B357F4">
        <w:rPr>
          <w:b/>
        </w:rPr>
        <w:t>% cilja postavljenog u Dugoročnoj strategij</w:t>
      </w:r>
      <w:r w:rsidRPr="00EF25C5">
        <w:rPr>
          <w:b/>
        </w:rPr>
        <w:t>i</w:t>
      </w:r>
      <w:r w:rsidRPr="00B357F4">
        <w:t xml:space="preserve">. </w:t>
      </w:r>
    </w:p>
    <w:p w14:paraId="0BA8E21A" w14:textId="579C564C" w:rsidR="00AF018F" w:rsidRPr="00B357F4" w:rsidRDefault="39C8668E" w:rsidP="00E17911">
      <w:pPr>
        <w:pStyle w:val="Naslov20"/>
      </w:pPr>
      <w:bookmarkStart w:id="91" w:name="_Toc94769987"/>
      <w:bookmarkStart w:id="92" w:name="_Toc94769988"/>
      <w:bookmarkEnd w:id="91"/>
      <w:r w:rsidRPr="00B357F4">
        <w:lastRenderedPageBreak/>
        <w:t>Terminski plan provedbe projekata od strateškog značaja s naznačenim ključnim koracima i rokovima u provedbi</w:t>
      </w:r>
      <w:bookmarkEnd w:id="92"/>
    </w:p>
    <w:p w14:paraId="68F6C6A0" w14:textId="2016DA77" w:rsidR="00AF018F" w:rsidRPr="00B357F4" w:rsidRDefault="00AF018F" w:rsidP="00AF018F">
      <w:pPr>
        <w:rPr>
          <w:lang w:eastAsia="hr-HR"/>
        </w:rPr>
      </w:pPr>
      <w:r w:rsidRPr="00B357F4">
        <w:rPr>
          <w:lang w:eastAsia="hr-HR"/>
        </w:rPr>
        <w:t xml:space="preserve">Model provedbe ovog Programa s ključnim koracima detaljno je raspisan u poglavlju </w:t>
      </w:r>
      <w:r w:rsidR="00B27A52" w:rsidRPr="00B357F4">
        <w:rPr>
          <w:lang w:eastAsia="hr-HR"/>
        </w:rPr>
        <w:t>7</w:t>
      </w:r>
      <w:r w:rsidRPr="00B357F4">
        <w:rPr>
          <w:lang w:eastAsia="hr-HR"/>
        </w:rPr>
        <w:t>. U sklopu ovog Programa ne definiraju se posebni projekti od strateškog značaja, ali se takvim projektima mogu smatrati pojedini dijelovi ovog Programa i to:</w:t>
      </w:r>
    </w:p>
    <w:p w14:paraId="5E2ED764" w14:textId="106451A2" w:rsidR="00AF018F" w:rsidRPr="00B357F4" w:rsidRDefault="00AF018F" w:rsidP="00725AB0">
      <w:pPr>
        <w:pStyle w:val="Odlomakpopisa"/>
        <w:numPr>
          <w:ilvl w:val="0"/>
          <w:numId w:val="35"/>
        </w:numPr>
      </w:pPr>
      <w:r w:rsidRPr="00B357F4">
        <w:t xml:space="preserve">Energetska i sveobuhvatna obnova </w:t>
      </w:r>
      <w:r w:rsidR="00904203" w:rsidRPr="00B357F4">
        <w:t>ZJS</w:t>
      </w:r>
      <w:r w:rsidRPr="00B357F4">
        <w:t xml:space="preserve"> neoštećenih u potresu</w:t>
      </w:r>
      <w:r w:rsidR="002F7F6C" w:rsidRPr="00B357F4">
        <w:t xml:space="preserve"> i</w:t>
      </w:r>
    </w:p>
    <w:p w14:paraId="63C39838" w14:textId="7F1962FF" w:rsidR="00AF018F" w:rsidRPr="00B357F4" w:rsidRDefault="008B54BA" w:rsidP="12AF7EFC">
      <w:pPr>
        <w:pStyle w:val="Odlomakpopisa"/>
        <w:numPr>
          <w:ilvl w:val="0"/>
          <w:numId w:val="35"/>
        </w:numPr>
      </w:pPr>
      <w:r w:rsidRPr="00B357F4">
        <w:t>O</w:t>
      </w:r>
      <w:r w:rsidR="00AF018F" w:rsidRPr="00B357F4">
        <w:t xml:space="preserve">bnova </w:t>
      </w:r>
      <w:r w:rsidR="00904203" w:rsidRPr="00B357F4">
        <w:t>ZJS</w:t>
      </w:r>
      <w:r w:rsidR="00AF018F" w:rsidRPr="00B357F4">
        <w:t xml:space="preserve"> oštećenih u potresu</w:t>
      </w:r>
    </w:p>
    <w:p w14:paraId="0A640EE6" w14:textId="7F1AF6B6" w:rsidR="00994A7B" w:rsidRPr="00B31953" w:rsidRDefault="00994A7B" w:rsidP="00994A7B">
      <w:pPr>
        <w:rPr>
          <w:lang w:eastAsia="hr-HR"/>
        </w:rPr>
      </w:pPr>
      <w:r w:rsidRPr="006A4B4B">
        <w:rPr>
          <w:lang w:eastAsia="hr-HR"/>
        </w:rPr>
        <w:t xml:space="preserve">Terminski plan provedbe svih ovih dijelova Programa uključuje cijelo desetogodišnje razdoblje od 2021. do 2030. godine, a efektivno provedba konkretnih aktivnosti započet će nakon usvajanja Programa, dakle 2022. godine. Pri tome je izuzetno bitno još jednom istaknuti da se mora osigurati kontinuirana provedba Programa, što znači da se mora osigurati da se javni pozivi za </w:t>
      </w:r>
      <w:r w:rsidR="00813108" w:rsidRPr="00B357F4">
        <w:rPr>
          <w:lang w:eastAsia="hr-HR"/>
        </w:rPr>
        <w:t>sufinanciranje</w:t>
      </w:r>
      <w:r w:rsidRPr="00B31953">
        <w:rPr>
          <w:lang w:eastAsia="hr-HR"/>
        </w:rPr>
        <w:t xml:space="preserve"> otvaraju </w:t>
      </w:r>
      <w:r w:rsidR="005F39E7">
        <w:rPr>
          <w:lang w:eastAsia="hr-HR"/>
        </w:rPr>
        <w:t>kontinuirano</w:t>
      </w:r>
      <w:r w:rsidRPr="00B31953">
        <w:rPr>
          <w:lang w:eastAsia="hr-HR"/>
        </w:rPr>
        <w:t xml:space="preserve">, kako bi se omogućilo što brže izvođenje radova. </w:t>
      </w:r>
    </w:p>
    <w:tbl>
      <w:tblPr>
        <w:tblStyle w:val="Svijetlatablicareetke110"/>
        <w:tblW w:w="5000" w:type="pct"/>
        <w:tblLook w:val="04A0" w:firstRow="1" w:lastRow="0" w:firstColumn="1" w:lastColumn="0" w:noHBand="0" w:noVBand="1"/>
      </w:tblPr>
      <w:tblGrid>
        <w:gridCol w:w="4672"/>
        <w:gridCol w:w="4672"/>
      </w:tblGrid>
      <w:tr w:rsidR="00994A7B" w:rsidRPr="00B357F4" w14:paraId="38EC7C06" w14:textId="77777777" w:rsidTr="12AF7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3B9C3950" w14:textId="77777777" w:rsidR="00994A7B" w:rsidRPr="00B357F4" w:rsidRDefault="00994A7B" w:rsidP="00A85F83">
            <w:pPr>
              <w:spacing w:before="0" w:after="60"/>
              <w:rPr>
                <w:rFonts w:cs="Tahoma"/>
                <w:b w:val="0"/>
                <w:sz w:val="18"/>
                <w:szCs w:val="18"/>
                <w:lang w:eastAsia="hr-HR"/>
              </w:rPr>
            </w:pPr>
            <w:r w:rsidRPr="00B357F4">
              <w:rPr>
                <w:rFonts w:cs="Tahoma"/>
                <w:sz w:val="18"/>
                <w:szCs w:val="18"/>
                <w:lang w:eastAsia="hr-HR"/>
              </w:rPr>
              <w:t>Posebni cilj 1:</w:t>
            </w:r>
          </w:p>
          <w:p w14:paraId="4E29E96B" w14:textId="6D9B7264" w:rsidR="00994A7B" w:rsidRPr="00B357F4" w:rsidRDefault="00994A7B" w:rsidP="00A85F83">
            <w:pPr>
              <w:spacing w:before="0" w:after="60"/>
              <w:rPr>
                <w:rFonts w:cs="Tahoma"/>
                <w:sz w:val="18"/>
                <w:szCs w:val="18"/>
                <w:lang w:eastAsia="hr-HR"/>
              </w:rPr>
            </w:pPr>
            <w:r w:rsidRPr="00B357F4">
              <w:rPr>
                <w:rFonts w:cs="Tahoma"/>
                <w:b w:val="0"/>
                <w:sz w:val="18"/>
                <w:szCs w:val="18"/>
                <w:lang w:eastAsia="hr-HR"/>
              </w:rPr>
              <w:t xml:space="preserve">Energetska i sveobuhvatna obnova </w:t>
            </w:r>
            <w:r w:rsidR="00A428B3" w:rsidRPr="00B357F4">
              <w:rPr>
                <w:rFonts w:cs="Tahoma"/>
                <w:b w:val="0"/>
                <w:sz w:val="18"/>
                <w:szCs w:val="18"/>
                <w:lang w:eastAsia="hr-HR"/>
              </w:rPr>
              <w:t>ZJS</w:t>
            </w:r>
            <w:r w:rsidRPr="00B357F4">
              <w:rPr>
                <w:rFonts w:cs="Tahoma"/>
                <w:b w:val="0"/>
                <w:sz w:val="18"/>
                <w:szCs w:val="18"/>
                <w:lang w:eastAsia="hr-HR"/>
              </w:rPr>
              <w:t xml:space="preserve"> u razdoblju do 2030. </w:t>
            </w:r>
          </w:p>
        </w:tc>
      </w:tr>
      <w:tr w:rsidR="00994A7B" w:rsidRPr="00B357F4" w14:paraId="439DF1D4"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35EB6F6" w14:textId="33F70A88" w:rsidR="00994A7B" w:rsidRPr="00B357F4" w:rsidRDefault="00994A7B" w:rsidP="00A85F83">
            <w:pPr>
              <w:spacing w:before="0" w:after="60"/>
              <w:rPr>
                <w:rFonts w:cs="Tahoma"/>
                <w:sz w:val="18"/>
                <w:szCs w:val="18"/>
                <w:lang w:eastAsia="hr-HR"/>
              </w:rPr>
            </w:pPr>
            <w:r w:rsidRPr="00B357F4">
              <w:rPr>
                <w:rFonts w:cs="Tahoma"/>
                <w:sz w:val="18"/>
                <w:szCs w:val="18"/>
                <w:lang w:eastAsia="hr-HR"/>
              </w:rPr>
              <w:t xml:space="preserve">Projekt od strateškog značaja 1: </w:t>
            </w:r>
            <w:r w:rsidRPr="00B357F4">
              <w:rPr>
                <w:rFonts w:cs="Tahoma"/>
                <w:b w:val="0"/>
                <w:sz w:val="18"/>
                <w:szCs w:val="18"/>
                <w:lang w:eastAsia="hr-HR"/>
              </w:rPr>
              <w:t xml:space="preserve">Energetska i sveobuhvatna obnova </w:t>
            </w:r>
            <w:r w:rsidR="005E707B" w:rsidRPr="00B357F4">
              <w:rPr>
                <w:rFonts w:cs="Tahoma"/>
                <w:b w:val="0"/>
                <w:sz w:val="18"/>
                <w:szCs w:val="18"/>
                <w:lang w:eastAsia="hr-HR"/>
              </w:rPr>
              <w:t>ZJS</w:t>
            </w:r>
            <w:r w:rsidRPr="00B357F4">
              <w:rPr>
                <w:rFonts w:cs="Tahoma"/>
                <w:b w:val="0"/>
                <w:sz w:val="18"/>
                <w:szCs w:val="18"/>
                <w:lang w:eastAsia="hr-HR"/>
              </w:rPr>
              <w:t xml:space="preserve"> neoštećenih u potresu</w:t>
            </w:r>
          </w:p>
        </w:tc>
      </w:tr>
      <w:tr w:rsidR="00994A7B" w:rsidRPr="00B357F4" w14:paraId="1BC616B9"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D533287" w14:textId="6B2517B5" w:rsidR="00994A7B" w:rsidRPr="003020E6" w:rsidRDefault="00994A7B" w:rsidP="00A85F83">
            <w:pPr>
              <w:spacing w:before="0" w:after="60"/>
              <w:rPr>
                <w:rFonts w:cs="Tahoma"/>
                <w:b w:val="0"/>
                <w:sz w:val="18"/>
                <w:szCs w:val="18"/>
                <w:lang w:eastAsia="hr-HR"/>
              </w:rPr>
            </w:pPr>
            <w:r w:rsidRPr="00B357F4">
              <w:rPr>
                <w:rFonts w:cs="Tahoma"/>
                <w:b w:val="0"/>
                <w:sz w:val="18"/>
                <w:szCs w:val="18"/>
                <w:lang w:eastAsia="hr-HR"/>
              </w:rPr>
              <w:t xml:space="preserve">Kratki opis projekta: </w:t>
            </w:r>
            <w:r w:rsidR="00606AFF" w:rsidRPr="00B357F4">
              <w:rPr>
                <w:rFonts w:cs="Tahoma"/>
                <w:b w:val="0"/>
                <w:sz w:val="18"/>
                <w:szCs w:val="18"/>
                <w:lang w:eastAsia="hr-HR"/>
              </w:rPr>
              <w:t xml:space="preserve">: Sufinanciranje obnove bespovratnim sredstvima od </w:t>
            </w:r>
            <w:r w:rsidR="00606AFF" w:rsidRPr="005A3FDB">
              <w:rPr>
                <w:rFonts w:cs="Tahoma"/>
                <w:b w:val="0"/>
                <w:sz w:val="18"/>
                <w:szCs w:val="18"/>
                <w:lang w:eastAsia="hr-HR"/>
              </w:rPr>
              <w:t xml:space="preserve">60 do </w:t>
            </w:r>
            <w:r w:rsidR="00C24189" w:rsidRPr="005A3FDB">
              <w:rPr>
                <w:rFonts w:cs="Tahoma"/>
                <w:b w:val="0"/>
                <w:sz w:val="18"/>
                <w:szCs w:val="18"/>
                <w:lang w:eastAsia="hr-HR"/>
              </w:rPr>
              <w:t>80</w:t>
            </w:r>
            <w:r w:rsidR="00606AFF" w:rsidRPr="005A3FDB">
              <w:rPr>
                <w:rFonts w:cs="Tahoma"/>
                <w:b w:val="0"/>
                <w:sz w:val="18"/>
                <w:szCs w:val="18"/>
                <w:lang w:eastAsia="hr-HR"/>
              </w:rPr>
              <w:t>%</w:t>
            </w:r>
            <w:r w:rsidR="00606AFF" w:rsidRPr="00B357F4">
              <w:rPr>
                <w:rFonts w:cs="Tahoma"/>
                <w:b w:val="0"/>
                <w:sz w:val="18"/>
                <w:szCs w:val="18"/>
                <w:lang w:eastAsia="hr-HR"/>
              </w:rPr>
              <w:t xml:space="preserve"> </w:t>
            </w:r>
          </w:p>
        </w:tc>
      </w:tr>
      <w:tr w:rsidR="00994A7B" w:rsidRPr="00B357F4" w14:paraId="46AB1955"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9627B18" w14:textId="77777777"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Datum početka provedbe: 2022.</w:t>
            </w:r>
          </w:p>
        </w:tc>
        <w:tc>
          <w:tcPr>
            <w:tcW w:w="2500" w:type="pct"/>
            <w:shd w:val="clear" w:color="auto" w:fill="auto"/>
          </w:tcPr>
          <w:p w14:paraId="721910EC" w14:textId="77777777"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Datum završetka provedbe: 2030.</w:t>
            </w:r>
          </w:p>
        </w:tc>
      </w:tr>
      <w:tr w:rsidR="00994A7B" w:rsidRPr="00B357F4" w14:paraId="053E7988"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2CF7A56D" w14:textId="2540B8AE"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Ključna točka ostvarenja 2024.: </w:t>
            </w:r>
            <w:r w:rsidR="006D6D34" w:rsidRPr="00B357F4">
              <w:rPr>
                <w:rFonts w:cs="Tahoma"/>
                <w:b w:val="0"/>
                <w:sz w:val="18"/>
                <w:szCs w:val="18"/>
                <w:lang w:eastAsia="hr-HR"/>
              </w:rPr>
              <w:t xml:space="preserve">787.695 </w:t>
            </w:r>
            <w:r w:rsidRPr="00B357F4">
              <w:rPr>
                <w:rFonts w:cs="Tahoma"/>
                <w:b w:val="0"/>
                <w:sz w:val="18"/>
                <w:szCs w:val="18"/>
                <w:lang w:eastAsia="hr-HR"/>
              </w:rPr>
              <w:t>m</w:t>
            </w:r>
            <w:r w:rsidRPr="00B357F4">
              <w:rPr>
                <w:rFonts w:cs="Tahoma"/>
                <w:b w:val="0"/>
                <w:sz w:val="18"/>
                <w:szCs w:val="18"/>
                <w:vertAlign w:val="superscript"/>
                <w:lang w:eastAsia="hr-HR"/>
              </w:rPr>
              <w:t>2</w:t>
            </w:r>
          </w:p>
        </w:tc>
        <w:tc>
          <w:tcPr>
            <w:tcW w:w="2500" w:type="pct"/>
            <w:shd w:val="clear" w:color="auto" w:fill="auto"/>
          </w:tcPr>
          <w:p w14:paraId="33920E61" w14:textId="3D6AB789"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Ključna točka ostvarenja 2030.: </w:t>
            </w:r>
            <w:r w:rsidR="00152780" w:rsidRPr="00B357F4">
              <w:rPr>
                <w:rFonts w:cs="Tahoma"/>
                <w:sz w:val="18"/>
                <w:szCs w:val="18"/>
                <w:lang w:eastAsia="hr-HR"/>
              </w:rPr>
              <w:t xml:space="preserve">2.924.701 </w:t>
            </w:r>
            <w:r w:rsidRPr="00B357F4">
              <w:rPr>
                <w:rFonts w:cs="Tahoma"/>
                <w:sz w:val="18"/>
                <w:szCs w:val="18"/>
                <w:lang w:eastAsia="hr-HR"/>
              </w:rPr>
              <w:t>m</w:t>
            </w:r>
            <w:r w:rsidRPr="00B357F4">
              <w:rPr>
                <w:rFonts w:cs="Tahoma"/>
                <w:sz w:val="18"/>
                <w:szCs w:val="18"/>
                <w:vertAlign w:val="superscript"/>
                <w:lang w:eastAsia="hr-HR"/>
              </w:rPr>
              <w:t>2</w:t>
            </w:r>
          </w:p>
        </w:tc>
      </w:tr>
      <w:tr w:rsidR="00994A7B" w:rsidRPr="00B357F4" w14:paraId="62D7DCEB"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8C90529" w14:textId="60A8D278"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Ukupna procijenjena vrijednost projekta: (s PDV-om): </w:t>
            </w:r>
            <w:r w:rsidR="0074345D" w:rsidRPr="00B357F4">
              <w:rPr>
                <w:rFonts w:cs="Tahoma"/>
                <w:b w:val="0"/>
                <w:sz w:val="18"/>
                <w:szCs w:val="18"/>
                <w:lang w:eastAsia="hr-HR"/>
              </w:rPr>
              <w:t>9-11</w:t>
            </w:r>
            <w:r w:rsidRPr="00B357F4">
              <w:rPr>
                <w:rFonts w:cs="Tahoma"/>
                <w:b w:val="0"/>
                <w:sz w:val="18"/>
                <w:szCs w:val="18"/>
                <w:lang w:eastAsia="hr-HR"/>
              </w:rPr>
              <w:t xml:space="preserve"> milijardi kn</w:t>
            </w:r>
          </w:p>
        </w:tc>
      </w:tr>
      <w:tr w:rsidR="00994A7B" w:rsidRPr="00B357F4" w14:paraId="3F51403E"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cBorders>
            <w:shd w:val="clear" w:color="auto" w:fill="auto"/>
          </w:tcPr>
          <w:p w14:paraId="0E431A36" w14:textId="77777777"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Planirani izvori financiranja: Mehanizam za oporavak i otpornost - NPOO i novi OPKK (ESI fondovi) za razdoblje od 2021. do 2027. </w:t>
            </w:r>
          </w:p>
        </w:tc>
      </w:tr>
      <w:tr w:rsidR="00994A7B" w:rsidRPr="00B357F4" w14:paraId="2B2D9C21"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99999"/>
            </w:tcBorders>
            <w:shd w:val="clear" w:color="auto" w:fill="auto"/>
          </w:tcPr>
          <w:p w14:paraId="2B1A4DF6" w14:textId="2EE68AE1" w:rsidR="00994A7B" w:rsidRPr="00B357F4" w:rsidRDefault="00994A7B" w:rsidP="00A85F83">
            <w:pPr>
              <w:spacing w:before="0" w:after="60"/>
              <w:rPr>
                <w:rFonts w:cs="Tahoma"/>
                <w:b w:val="0"/>
                <w:sz w:val="18"/>
                <w:szCs w:val="18"/>
                <w:lang w:eastAsia="hr-HR"/>
              </w:rPr>
            </w:pPr>
            <w:r w:rsidRPr="00B357F4">
              <w:rPr>
                <w:rFonts w:cs="Tahoma"/>
                <w:sz w:val="18"/>
                <w:szCs w:val="18"/>
                <w:lang w:eastAsia="hr-HR"/>
              </w:rPr>
              <w:t>Projekt od strateškog značaja 2:</w:t>
            </w:r>
            <w:r w:rsidRPr="00B357F4" w:rsidDel="00994A7B">
              <w:rPr>
                <w:rFonts w:cs="Tahoma"/>
                <w:sz w:val="18"/>
                <w:szCs w:val="18"/>
                <w:lang w:eastAsia="hr-HR"/>
              </w:rPr>
              <w:t xml:space="preserve"> </w:t>
            </w:r>
            <w:r w:rsidRPr="00B357F4" w:rsidDel="00994A7B">
              <w:rPr>
                <w:rFonts w:cs="Tahoma"/>
                <w:b w:val="0"/>
                <w:sz w:val="18"/>
                <w:szCs w:val="18"/>
                <w:lang w:eastAsia="hr-HR"/>
              </w:rPr>
              <w:t>Energetska</w:t>
            </w:r>
            <w:r w:rsidRPr="00B357F4">
              <w:rPr>
                <w:rFonts w:cs="Tahoma"/>
                <w:b w:val="0"/>
                <w:sz w:val="18"/>
                <w:szCs w:val="18"/>
                <w:lang w:eastAsia="hr-HR"/>
              </w:rPr>
              <w:t xml:space="preserve"> obnova </w:t>
            </w:r>
            <w:r w:rsidR="3E147597" w:rsidRPr="00B357F4">
              <w:rPr>
                <w:rFonts w:cs="Tahoma"/>
                <w:b w:val="0"/>
                <w:sz w:val="18"/>
                <w:szCs w:val="18"/>
                <w:lang w:eastAsia="hr-HR"/>
              </w:rPr>
              <w:t>ZJS</w:t>
            </w:r>
            <w:r w:rsidRPr="00B357F4">
              <w:rPr>
                <w:rFonts w:cs="Tahoma"/>
                <w:b w:val="0"/>
                <w:sz w:val="18"/>
                <w:szCs w:val="18"/>
                <w:lang w:eastAsia="hr-HR"/>
              </w:rPr>
              <w:t xml:space="preserve"> oštećenih u potresu</w:t>
            </w:r>
          </w:p>
        </w:tc>
      </w:tr>
      <w:tr w:rsidR="00994A7B" w:rsidRPr="00B357F4" w14:paraId="069F2CCB"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FCB5597" w14:textId="77777777"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Kratki opis projekta: Integracija energetske obnove uz konstrukcijsku poslije potresnu obnovu </w:t>
            </w:r>
          </w:p>
        </w:tc>
      </w:tr>
      <w:tr w:rsidR="00994A7B" w:rsidRPr="00B357F4" w14:paraId="5206F725"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23861E4C" w14:textId="77777777" w:rsidR="00994A7B" w:rsidRPr="00B357F4" w:rsidRDefault="00994A7B" w:rsidP="00A85F83">
            <w:pPr>
              <w:spacing w:before="0" w:after="60"/>
              <w:rPr>
                <w:rFonts w:cs="Tahoma"/>
                <w:sz w:val="18"/>
                <w:szCs w:val="18"/>
                <w:lang w:eastAsia="hr-HR"/>
              </w:rPr>
            </w:pPr>
            <w:r w:rsidRPr="00B357F4">
              <w:rPr>
                <w:rFonts w:cs="Tahoma"/>
                <w:b w:val="0"/>
                <w:sz w:val="18"/>
                <w:szCs w:val="18"/>
                <w:lang w:eastAsia="hr-HR"/>
              </w:rPr>
              <w:t>Datum početka provedbe: 2022.</w:t>
            </w:r>
          </w:p>
        </w:tc>
        <w:tc>
          <w:tcPr>
            <w:tcW w:w="2500" w:type="pct"/>
            <w:shd w:val="clear" w:color="auto" w:fill="auto"/>
          </w:tcPr>
          <w:p w14:paraId="6B450613" w14:textId="77777777"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B357F4">
              <w:rPr>
                <w:rFonts w:cs="Tahoma"/>
                <w:sz w:val="18"/>
                <w:szCs w:val="18"/>
                <w:lang w:eastAsia="hr-HR"/>
              </w:rPr>
              <w:t>Datum završetka provedbe: 2030.</w:t>
            </w:r>
          </w:p>
        </w:tc>
      </w:tr>
      <w:tr w:rsidR="00994A7B" w:rsidRPr="00B357F4" w14:paraId="2B2C8FDF"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7044242D" w14:textId="77777777" w:rsidR="00994A7B" w:rsidRPr="00B357F4" w:rsidRDefault="00994A7B" w:rsidP="00A85F83">
            <w:pPr>
              <w:spacing w:before="0" w:after="60"/>
              <w:rPr>
                <w:rFonts w:cs="Tahoma"/>
                <w:sz w:val="18"/>
                <w:szCs w:val="18"/>
                <w:lang w:eastAsia="hr-HR"/>
              </w:rPr>
            </w:pPr>
            <w:r w:rsidRPr="00B357F4">
              <w:rPr>
                <w:rFonts w:cs="Tahoma"/>
                <w:b w:val="0"/>
                <w:sz w:val="18"/>
                <w:szCs w:val="18"/>
                <w:lang w:eastAsia="hr-HR"/>
              </w:rPr>
              <w:t>Ključna točke ostvarenja 2024.: n.d.</w:t>
            </w:r>
          </w:p>
        </w:tc>
        <w:tc>
          <w:tcPr>
            <w:tcW w:w="2500" w:type="pct"/>
            <w:shd w:val="clear" w:color="auto" w:fill="auto"/>
          </w:tcPr>
          <w:p w14:paraId="012CB51B" w14:textId="77777777"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B357F4">
              <w:rPr>
                <w:rFonts w:cs="Tahoma"/>
                <w:sz w:val="18"/>
                <w:szCs w:val="18"/>
                <w:lang w:eastAsia="hr-HR"/>
              </w:rPr>
              <w:t>Ključna točke ostvarenja 2030.: n.d.</w:t>
            </w:r>
          </w:p>
        </w:tc>
      </w:tr>
      <w:tr w:rsidR="00994A7B" w:rsidRPr="00B357F4" w14:paraId="53283FF3"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798274A" w14:textId="77777777"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Ukupna procijenjena vrijednost projekta: (s PDV-om): nije moguće procijeniti (obuhvaćeno kroz strateški projekt 1)</w:t>
            </w:r>
          </w:p>
        </w:tc>
      </w:tr>
      <w:tr w:rsidR="00994A7B" w:rsidRPr="00B357F4" w14:paraId="4ECF5433"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cBorders>
            <w:shd w:val="clear" w:color="auto" w:fill="auto"/>
          </w:tcPr>
          <w:p w14:paraId="4A2A2B63" w14:textId="1A5280C0"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Planirani izvori financiranja: Mehanizam za oporavak i otpornost </w:t>
            </w:r>
            <w:r w:rsidR="00051E1E" w:rsidRPr="00B357F4">
              <w:rPr>
                <w:rFonts w:cs="Tahoma"/>
                <w:b w:val="0"/>
                <w:sz w:val="18"/>
                <w:szCs w:val="18"/>
                <w:lang w:eastAsia="hr-HR"/>
              </w:rPr>
              <w:t>–</w:t>
            </w:r>
            <w:r w:rsidRPr="00B357F4">
              <w:rPr>
                <w:rFonts w:cs="Tahoma"/>
                <w:b w:val="0"/>
                <w:sz w:val="18"/>
                <w:szCs w:val="18"/>
                <w:lang w:eastAsia="hr-HR"/>
              </w:rPr>
              <w:t xml:space="preserve"> NPOO</w:t>
            </w:r>
            <w:r w:rsidR="00051E1E" w:rsidRPr="00B357F4">
              <w:rPr>
                <w:rFonts w:cs="Tahoma"/>
                <w:b w:val="0"/>
                <w:sz w:val="18"/>
                <w:szCs w:val="18"/>
                <w:lang w:eastAsia="hr-HR"/>
              </w:rPr>
              <w:t xml:space="preserve"> i </w:t>
            </w:r>
            <w:r w:rsidR="00646F11" w:rsidRPr="00B357F4">
              <w:rPr>
                <w:rFonts w:cs="Tahoma"/>
                <w:b w:val="0"/>
                <w:sz w:val="18"/>
                <w:szCs w:val="18"/>
                <w:lang w:eastAsia="hr-HR"/>
              </w:rPr>
              <w:t>Fond solidarnosti EU</w:t>
            </w:r>
          </w:p>
        </w:tc>
      </w:tr>
    </w:tbl>
    <w:p w14:paraId="16586207" w14:textId="77777777" w:rsidR="00AF018F" w:rsidRPr="00B357F4" w:rsidRDefault="00AF018F" w:rsidP="004E0646">
      <w:pPr>
        <w:rPr>
          <w:lang w:eastAsia="hr-HR"/>
        </w:rPr>
      </w:pPr>
    </w:p>
    <w:p w14:paraId="48D3B18B" w14:textId="33ECDEA1" w:rsidR="00AF018F" w:rsidRPr="00B357F4" w:rsidRDefault="1575461E" w:rsidP="004B09BD">
      <w:pPr>
        <w:pStyle w:val="Naslov10"/>
      </w:pPr>
      <w:bookmarkStart w:id="93" w:name="_Toc94769989"/>
      <w:r w:rsidRPr="00B357F4">
        <w:lastRenderedPageBreak/>
        <w:t>Scenariji provedbe energetske obnove zgrada javnog sektora</w:t>
      </w:r>
      <w:bookmarkEnd w:id="93"/>
    </w:p>
    <w:p w14:paraId="3668B909" w14:textId="77777777" w:rsidR="00EA5E51" w:rsidRPr="00B357F4" w:rsidRDefault="7E85FDAF" w:rsidP="00EA5E51">
      <w:pPr>
        <w:pStyle w:val="Naslov20"/>
      </w:pPr>
      <w:bookmarkStart w:id="94" w:name="_Ref94769545"/>
      <w:bookmarkStart w:id="95" w:name="_Ref94769562"/>
      <w:bookmarkStart w:id="96" w:name="_Toc94769990"/>
      <w:r w:rsidRPr="00B357F4">
        <w:t>Određivanje prioriteta energetske i sveobuhvatne  obnove zgrada javnog sektora</w:t>
      </w:r>
      <w:bookmarkEnd w:id="94"/>
      <w:bookmarkEnd w:id="95"/>
      <w:bookmarkEnd w:id="96"/>
    </w:p>
    <w:p w14:paraId="5E8E070A" w14:textId="55E92E76" w:rsidR="00F04A30" w:rsidRPr="006734C7" w:rsidRDefault="008F0DE2" w:rsidP="00F04A30">
      <w:pPr>
        <w:rPr>
          <w:lang w:eastAsia="hr-HR"/>
        </w:rPr>
      </w:pPr>
      <w:r w:rsidRPr="00B357F4">
        <w:rPr>
          <w:lang w:eastAsia="hr-HR"/>
        </w:rPr>
        <w:t xml:space="preserve">Ovaj Program obuhvaća energetsku obnovu zgrada javnog sektora kroz tri tipa obnove te sveobuhvatnu obnovu zgrada </w:t>
      </w:r>
      <w:r w:rsidR="00F04A30" w:rsidRPr="00B357F4">
        <w:rPr>
          <w:lang w:eastAsia="hr-HR"/>
        </w:rPr>
        <w:t xml:space="preserve">kroz </w:t>
      </w:r>
      <w:r w:rsidR="004145C6">
        <w:rPr>
          <w:lang w:eastAsia="hr-HR"/>
        </w:rPr>
        <w:t>dva</w:t>
      </w:r>
      <w:r w:rsidR="004145C6" w:rsidRPr="00B357F4">
        <w:rPr>
          <w:lang w:eastAsia="hr-HR"/>
        </w:rPr>
        <w:t xml:space="preserve"> </w:t>
      </w:r>
      <w:r w:rsidR="00F04A30" w:rsidRPr="00B357F4">
        <w:rPr>
          <w:lang w:eastAsia="hr-HR"/>
        </w:rPr>
        <w:t>tipa obnove:</w:t>
      </w:r>
    </w:p>
    <w:p w14:paraId="08E9E576" w14:textId="77777777" w:rsidR="009E52F1" w:rsidRPr="006734C7" w:rsidRDefault="009E52F1" w:rsidP="009E52F1">
      <w:pPr>
        <w:numPr>
          <w:ilvl w:val="0"/>
          <w:numId w:val="61"/>
        </w:numPr>
        <w:rPr>
          <w:b/>
          <w:lang w:eastAsia="hr-HR"/>
        </w:rPr>
      </w:pPr>
      <w:r w:rsidRPr="00373352">
        <w:rPr>
          <w:b/>
          <w:lang w:eastAsia="hr-HR"/>
        </w:rPr>
        <w:t>Energetska obnova zgrada javnog sektora</w:t>
      </w:r>
    </w:p>
    <w:p w14:paraId="7C853F9F" w14:textId="182962C5" w:rsidR="008F0DE2" w:rsidRPr="00B357F4" w:rsidRDefault="008F0DE2" w:rsidP="00703875">
      <w:pPr>
        <w:pStyle w:val="Odlomakpopisa"/>
        <w:numPr>
          <w:ilvl w:val="1"/>
          <w:numId w:val="61"/>
        </w:numPr>
      </w:pPr>
      <w:r w:rsidRPr="00971F9E">
        <w:rPr>
          <w:b/>
        </w:rPr>
        <w:t>IEO - Integralna energetska obnova</w:t>
      </w:r>
      <w:r w:rsidRPr="00971F9E">
        <w:t xml:space="preserve"> </w:t>
      </w:r>
      <w:r w:rsidR="004A67BD" w:rsidRPr="004A67BD">
        <w:t xml:space="preserve">- obuhvaća kombinaciju više mjera energetske </w:t>
      </w:r>
      <w:r w:rsidR="003D7C0D">
        <w:t>učinkovitosti</w:t>
      </w:r>
      <w:r w:rsidR="004A67BD" w:rsidRPr="004A67BD">
        <w:t>, a obavezno uključuje jednu ili više mjera na ovojnici zgrade kojima se ostvaruje ušteda godišnje potrebne toplinske energije za grijanje (Q</w:t>
      </w:r>
      <w:r w:rsidR="004A67BD" w:rsidRPr="0003539B">
        <w:rPr>
          <w:vertAlign w:val="subscript"/>
        </w:rPr>
        <w:t>H,nd</w:t>
      </w:r>
      <w:r w:rsidR="004A67BD" w:rsidRPr="004A67BD">
        <w:t>) od najmanje 50% u odnosu na stanje prije obnove. Integralna energetska obnova iznimno može obuhvaćati samo jednu mjeru na ovojnici ako ona rezultira uštedom godišnje potrebne toplinske energije za grijanje (Q</w:t>
      </w:r>
      <w:r w:rsidR="004A67BD" w:rsidRPr="0003539B">
        <w:rPr>
          <w:vertAlign w:val="subscript"/>
        </w:rPr>
        <w:t>H,nd</w:t>
      </w:r>
      <w:r w:rsidR="004A67BD" w:rsidRPr="004A67BD">
        <w:t>) od najmanje 50% u odnosu na stanje prije obnove</w:t>
      </w:r>
    </w:p>
    <w:p w14:paraId="1EE6B5C4" w14:textId="7B3EBAF7" w:rsidR="008F0DE2" w:rsidRPr="00B357F4" w:rsidRDefault="51C94ACA" w:rsidP="008F0DE2">
      <w:pPr>
        <w:numPr>
          <w:ilvl w:val="1"/>
          <w:numId w:val="61"/>
        </w:numPr>
        <w:rPr>
          <w:lang w:eastAsia="hr-HR"/>
        </w:rPr>
      </w:pPr>
      <w:r w:rsidRPr="00B357F4">
        <w:rPr>
          <w:b/>
          <w:bCs/>
          <w:lang w:eastAsia="hr-HR"/>
        </w:rPr>
        <w:t>DO</w:t>
      </w:r>
      <w:r w:rsidRPr="00B357F4">
        <w:rPr>
          <w:b/>
          <w:lang w:eastAsia="hr-HR"/>
        </w:rPr>
        <w:t xml:space="preserve"> – Dubinska obnova</w:t>
      </w:r>
      <w:r w:rsidRPr="00B357F4">
        <w:rPr>
          <w:lang w:eastAsia="hr-HR"/>
        </w:rPr>
        <w:t xml:space="preserve"> </w:t>
      </w:r>
      <w:r w:rsidR="0013254B" w:rsidRPr="0013254B">
        <w:rPr>
          <w:lang w:eastAsia="hr-HR"/>
        </w:rPr>
        <w:t>obuhvaća mjere energetske učinkovitosti na ovojnici i tehničkim sustavima te rezultira uštedom godišnje potrebne toplinske energije za grijanje (Q</w:t>
      </w:r>
      <w:r w:rsidR="0013254B" w:rsidRPr="0003539B">
        <w:rPr>
          <w:vertAlign w:val="subscript"/>
          <w:lang w:eastAsia="hr-HR"/>
        </w:rPr>
        <w:t>H,nd</w:t>
      </w:r>
      <w:r w:rsidR="0013254B" w:rsidRPr="0013254B">
        <w:rPr>
          <w:lang w:eastAsia="hr-HR"/>
        </w:rPr>
        <w:t>) i primarne energije (E</w:t>
      </w:r>
      <w:r w:rsidR="0013254B" w:rsidRPr="0003539B">
        <w:rPr>
          <w:vertAlign w:val="subscript"/>
          <w:lang w:eastAsia="hr-HR"/>
        </w:rPr>
        <w:t>prim</w:t>
      </w:r>
      <w:r w:rsidR="0013254B" w:rsidRPr="0013254B">
        <w:rPr>
          <w:lang w:eastAsia="hr-HR"/>
        </w:rPr>
        <w:t>) na godišnjoj razini od najmanje 50% u odnosu na stanje prije obnove.</w:t>
      </w:r>
    </w:p>
    <w:p w14:paraId="13D7F58D" w14:textId="737A8A4A" w:rsidR="008F0DE2" w:rsidRPr="00B357F4" w:rsidRDefault="51C94ACA" w:rsidP="008F0DE2">
      <w:pPr>
        <w:numPr>
          <w:ilvl w:val="1"/>
          <w:numId w:val="61"/>
        </w:numPr>
        <w:rPr>
          <w:lang w:eastAsia="hr-HR"/>
        </w:rPr>
      </w:pPr>
      <w:r w:rsidRPr="00B357F4">
        <w:rPr>
          <w:b/>
          <w:bCs/>
          <w:lang w:eastAsia="hr-HR"/>
        </w:rPr>
        <w:t>DO</w:t>
      </w:r>
      <w:r w:rsidRPr="00B357F4">
        <w:rPr>
          <w:b/>
          <w:lang w:eastAsia="hr-HR"/>
        </w:rPr>
        <w:t>-nZEB – Dubinska obnova do razine nZEB standarda za rekonstrukciju</w:t>
      </w:r>
    </w:p>
    <w:p w14:paraId="5EF3D16D" w14:textId="77777777" w:rsidR="008F0DE2" w:rsidRPr="00B357F4" w:rsidRDefault="008F0DE2" w:rsidP="008F0DE2">
      <w:pPr>
        <w:rPr>
          <w:lang w:eastAsia="hr-HR"/>
        </w:rPr>
      </w:pPr>
    </w:p>
    <w:p w14:paraId="5463B1DC" w14:textId="4DEF6612" w:rsidR="00C91678" w:rsidRPr="006734C7" w:rsidRDefault="009E520D" w:rsidP="009E520D">
      <w:pPr>
        <w:rPr>
          <w:b/>
          <w:lang w:eastAsia="hr-HR"/>
        </w:rPr>
      </w:pPr>
      <w:bookmarkStart w:id="97" w:name="_Hlk82931079"/>
      <w:r>
        <w:rPr>
          <w:b/>
          <w:lang w:eastAsia="hr-HR"/>
        </w:rPr>
        <w:t xml:space="preserve">2. </w:t>
      </w:r>
      <w:r w:rsidR="00C91678" w:rsidRPr="00B357F4">
        <w:rPr>
          <w:b/>
          <w:lang w:eastAsia="hr-HR"/>
        </w:rPr>
        <w:t>Sveobuhvatna obnova zgrada javnog sektora</w:t>
      </w:r>
    </w:p>
    <w:p w14:paraId="11516758" w14:textId="77777777" w:rsidR="009E520D" w:rsidRPr="009E520D" w:rsidRDefault="51C94ACA" w:rsidP="009E520D">
      <w:pPr>
        <w:pStyle w:val="Odlomakpopisa"/>
        <w:numPr>
          <w:ilvl w:val="1"/>
          <w:numId w:val="35"/>
        </w:numPr>
        <w:ind w:left="1418" w:hanging="709"/>
      </w:pPr>
      <w:r w:rsidRPr="006734C7">
        <w:rPr>
          <w:b/>
        </w:rPr>
        <w:t>SO – Sveobuhvatna obnova</w:t>
      </w:r>
      <w:r w:rsidRPr="00373352">
        <w:t xml:space="preserve"> </w:t>
      </w:r>
    </w:p>
    <w:p w14:paraId="4F6D3A1D" w14:textId="4A2B6D77" w:rsidR="009E520D" w:rsidRPr="009E520D" w:rsidRDefault="009E520D" w:rsidP="00736B4D">
      <w:pPr>
        <w:pStyle w:val="Odlomakpopisa"/>
        <w:numPr>
          <w:ilvl w:val="0"/>
          <w:numId w:val="0"/>
        </w:numPr>
        <w:ind w:left="1418"/>
      </w:pPr>
      <w:r w:rsidRPr="009E520D">
        <w:t>obuhvaća optimalne mjere unapređenja postojećeg stanja zgrade te osim energetske obnove zgrade (tipa IEO, DO</w:t>
      </w:r>
      <w:r w:rsidR="005F07AE">
        <w:t>, DO-nZEB</w:t>
      </w:r>
      <w:r w:rsidRPr="009E520D">
        <w:t>) uključuje i mjere poput:</w:t>
      </w:r>
    </w:p>
    <w:p w14:paraId="2C5B3DEF" w14:textId="77777777" w:rsidR="009E520D" w:rsidRPr="009E520D" w:rsidRDefault="009E520D" w:rsidP="009E520D">
      <w:pPr>
        <w:keepLines/>
        <w:numPr>
          <w:ilvl w:val="0"/>
          <w:numId w:val="114"/>
        </w:numPr>
        <w:suppressAutoHyphens/>
        <w:spacing w:before="60" w:after="60"/>
        <w:ind w:left="1843" w:hanging="283"/>
        <w:rPr>
          <w:lang w:eastAsia="hr-HR"/>
        </w:rPr>
      </w:pPr>
      <w:r w:rsidRPr="009E520D">
        <w:rPr>
          <w:lang w:eastAsia="hr-HR"/>
        </w:rPr>
        <w:t>povećanja sigurnosti u slučaju požara,</w:t>
      </w:r>
    </w:p>
    <w:p w14:paraId="4363B3AB" w14:textId="77777777" w:rsidR="009E520D" w:rsidRPr="009E520D" w:rsidRDefault="009E520D" w:rsidP="009E520D">
      <w:pPr>
        <w:keepLines/>
        <w:numPr>
          <w:ilvl w:val="0"/>
          <w:numId w:val="114"/>
        </w:numPr>
        <w:suppressAutoHyphens/>
        <w:spacing w:before="60" w:after="60"/>
        <w:ind w:left="1843" w:hanging="283"/>
        <w:rPr>
          <w:lang w:eastAsia="hr-HR"/>
        </w:rPr>
      </w:pPr>
      <w:r w:rsidRPr="009E520D">
        <w:rPr>
          <w:lang w:eastAsia="hr-HR"/>
        </w:rPr>
        <w:t>mjere za osiguravanje zdravih unutarnjih klimatskih uvjeta te</w:t>
      </w:r>
    </w:p>
    <w:p w14:paraId="62F089A6" w14:textId="77777777" w:rsidR="009E520D" w:rsidRPr="009E520D" w:rsidRDefault="009E520D" w:rsidP="009E520D">
      <w:pPr>
        <w:keepLines/>
        <w:numPr>
          <w:ilvl w:val="0"/>
          <w:numId w:val="114"/>
        </w:numPr>
        <w:suppressAutoHyphens/>
        <w:spacing w:before="60" w:after="60"/>
        <w:ind w:left="1843" w:hanging="283"/>
        <w:rPr>
          <w:lang w:eastAsia="hr-HR"/>
        </w:rPr>
      </w:pPr>
      <w:r w:rsidRPr="009E520D">
        <w:rPr>
          <w:lang w:eastAsia="hr-HR"/>
        </w:rPr>
        <w:t>mjere za unaprjeđenje ispunjavanja temeljnog zahtjeva mehaničke otpornosti i stabilnosti zgrade, posebice radi povećanja potresne otpornosti zgrade,</w:t>
      </w:r>
    </w:p>
    <w:p w14:paraId="49EBE9A6" w14:textId="27A839C6" w:rsidR="008F0DE2" w:rsidRPr="00B357F4" w:rsidRDefault="009E520D" w:rsidP="00736B4D">
      <w:pPr>
        <w:pStyle w:val="Odlomakpopisa"/>
        <w:numPr>
          <w:ilvl w:val="0"/>
          <w:numId w:val="0"/>
        </w:numPr>
        <w:ind w:left="1418"/>
      </w:pPr>
      <w:r w:rsidRPr="009E520D">
        <w:rPr>
          <w:lang w:eastAsia="de-DE"/>
        </w:rPr>
        <w:t>a može uključivati i druge mjere kojima se unaprjeđuje ispunjavanje temeljnih zahtjeva za građevinu</w:t>
      </w:r>
    </w:p>
    <w:bookmarkEnd w:id="97"/>
    <w:p w14:paraId="1E70D6CE" w14:textId="77777777" w:rsidR="008F0DE2" w:rsidRPr="00B357F4" w:rsidRDefault="008F0DE2" w:rsidP="00703875">
      <w:pPr>
        <w:numPr>
          <w:ilvl w:val="1"/>
          <w:numId w:val="35"/>
        </w:numPr>
        <w:ind w:left="1418" w:hanging="709"/>
        <w:rPr>
          <w:b/>
          <w:lang w:eastAsia="hr-HR"/>
        </w:rPr>
      </w:pPr>
      <w:r w:rsidRPr="00B357F4">
        <w:rPr>
          <w:b/>
          <w:lang w:eastAsia="hr-HR"/>
        </w:rPr>
        <w:t>SOP – Sveobuhvatna obnova zgrada oštećenih u potresu</w:t>
      </w:r>
    </w:p>
    <w:p w14:paraId="5213A926" w14:textId="431F05D6" w:rsidR="003B7742" w:rsidRPr="006734C7" w:rsidRDefault="008F0DE2" w:rsidP="003B7742">
      <w:pPr>
        <w:rPr>
          <w:lang w:eastAsia="hr-HR"/>
        </w:rPr>
      </w:pPr>
      <w:r w:rsidRPr="00B357F4">
        <w:rPr>
          <w:lang w:eastAsia="hr-HR"/>
        </w:rPr>
        <w:t xml:space="preserve">Nastavno na tipove obnove </w:t>
      </w:r>
      <w:r w:rsidR="00D46206">
        <w:rPr>
          <w:lang w:eastAsia="hr-HR"/>
        </w:rPr>
        <w:t xml:space="preserve">u nastavku teksta </w:t>
      </w:r>
      <w:r w:rsidR="00EC6DB9" w:rsidRPr="00B357F4">
        <w:rPr>
          <w:b/>
          <w:lang w:eastAsia="hr-HR"/>
        </w:rPr>
        <w:t xml:space="preserve">su </w:t>
      </w:r>
      <w:r w:rsidRPr="00B357F4">
        <w:rPr>
          <w:b/>
          <w:lang w:eastAsia="hr-HR"/>
        </w:rPr>
        <w:t>određeni prioriteti obnove zgrada</w:t>
      </w:r>
      <w:r w:rsidRPr="00B357F4">
        <w:rPr>
          <w:lang w:eastAsia="hr-HR"/>
        </w:rPr>
        <w:t xml:space="preserve"> sa </w:t>
      </w:r>
      <w:r w:rsidR="00860D4D">
        <w:rPr>
          <w:lang w:eastAsia="hr-HR"/>
        </w:rPr>
        <w:t xml:space="preserve">primjerom </w:t>
      </w:r>
      <w:r w:rsidR="00860D4D" w:rsidRPr="00B357F4">
        <w:rPr>
          <w:lang w:eastAsia="hr-HR"/>
        </w:rPr>
        <w:t>udjel</w:t>
      </w:r>
      <w:r w:rsidR="00860D4D">
        <w:rPr>
          <w:lang w:eastAsia="hr-HR"/>
        </w:rPr>
        <w:t>a</w:t>
      </w:r>
      <w:r w:rsidRPr="00B357F4">
        <w:rPr>
          <w:lang w:eastAsia="hr-HR"/>
        </w:rPr>
        <w:t xml:space="preserve"> važnosti prioriteta prilikom ocjenjivanja dostavljenih projektnih prijedloga na pozive za dostavu projektnih </w:t>
      </w:r>
      <w:r w:rsidR="003B7742" w:rsidRPr="00B357F4">
        <w:rPr>
          <w:lang w:eastAsia="hr-HR"/>
        </w:rPr>
        <w:t>prijedloga</w:t>
      </w:r>
      <w:r w:rsidR="001D0574">
        <w:rPr>
          <w:lang w:eastAsia="hr-HR"/>
        </w:rPr>
        <w:t xml:space="preserve">. </w:t>
      </w:r>
      <w:r w:rsidR="00E80D4E">
        <w:rPr>
          <w:lang w:eastAsia="hr-HR"/>
        </w:rPr>
        <w:t xml:space="preserve">Bodovanje je </w:t>
      </w:r>
      <w:r w:rsidR="007426C5">
        <w:rPr>
          <w:lang w:eastAsia="hr-HR"/>
        </w:rPr>
        <w:t xml:space="preserve">u ovom Programu </w:t>
      </w:r>
      <w:r w:rsidR="00E80D4E">
        <w:rPr>
          <w:lang w:eastAsia="hr-HR"/>
        </w:rPr>
        <w:t>navedeno kao primjer</w:t>
      </w:r>
      <w:r w:rsidR="00273F16">
        <w:rPr>
          <w:lang w:eastAsia="hr-HR"/>
        </w:rPr>
        <w:t xml:space="preserve"> te će se </w:t>
      </w:r>
      <w:r w:rsidR="004A4D06">
        <w:rPr>
          <w:lang w:eastAsia="hr-HR"/>
        </w:rPr>
        <w:t>stvarno primjenj</w:t>
      </w:r>
      <w:r w:rsidR="007A406A">
        <w:rPr>
          <w:lang w:eastAsia="hr-HR"/>
        </w:rPr>
        <w:t>ivo bodovanje</w:t>
      </w:r>
      <w:r w:rsidR="00273F16">
        <w:rPr>
          <w:lang w:eastAsia="hr-HR"/>
        </w:rPr>
        <w:t xml:space="preserve"> definirati prilikom </w:t>
      </w:r>
      <w:r w:rsidR="00217177">
        <w:rPr>
          <w:lang w:eastAsia="hr-HR"/>
        </w:rPr>
        <w:t>sam</w:t>
      </w:r>
      <w:r w:rsidR="003D317B">
        <w:rPr>
          <w:lang w:eastAsia="hr-HR"/>
        </w:rPr>
        <w:t>ih</w:t>
      </w:r>
      <w:r w:rsidR="00217177">
        <w:rPr>
          <w:lang w:eastAsia="hr-HR"/>
        </w:rPr>
        <w:t xml:space="preserve"> </w:t>
      </w:r>
      <w:r w:rsidR="00273F16">
        <w:rPr>
          <w:lang w:eastAsia="hr-HR"/>
        </w:rPr>
        <w:t>pripremanja</w:t>
      </w:r>
      <w:r w:rsidR="00837BE0">
        <w:rPr>
          <w:lang w:eastAsia="hr-HR"/>
        </w:rPr>
        <w:t xml:space="preserve"> </w:t>
      </w:r>
      <w:r w:rsidR="00273F16">
        <w:rPr>
          <w:lang w:eastAsia="hr-HR"/>
        </w:rPr>
        <w:t>poziva</w:t>
      </w:r>
      <w:r w:rsidR="009A6A03">
        <w:rPr>
          <w:lang w:eastAsia="hr-HR"/>
        </w:rPr>
        <w:t xml:space="preserve"> </w:t>
      </w:r>
      <w:r w:rsidR="00217177">
        <w:rPr>
          <w:lang w:eastAsia="hr-HR"/>
        </w:rPr>
        <w:t>za dostavu projektnih prijedloga</w:t>
      </w:r>
      <w:r w:rsidR="00602321">
        <w:rPr>
          <w:lang w:eastAsia="hr-HR"/>
        </w:rPr>
        <w:t xml:space="preserve">, </w:t>
      </w:r>
      <w:r w:rsidR="00EC6DB9">
        <w:rPr>
          <w:lang w:eastAsia="hr-HR"/>
        </w:rPr>
        <w:t>i</w:t>
      </w:r>
      <w:r w:rsidR="00602321">
        <w:rPr>
          <w:lang w:eastAsia="hr-HR"/>
        </w:rPr>
        <w:t xml:space="preserve"> </w:t>
      </w:r>
      <w:r w:rsidR="009A6A03">
        <w:rPr>
          <w:lang w:eastAsia="hr-HR"/>
        </w:rPr>
        <w:t>ovisi o prav</w:t>
      </w:r>
      <w:r w:rsidR="00AA34EE">
        <w:rPr>
          <w:lang w:eastAsia="hr-HR"/>
        </w:rPr>
        <w:t>ilima provođenja svakog EU fonda</w:t>
      </w:r>
      <w:r w:rsidR="00E63854">
        <w:rPr>
          <w:lang w:eastAsia="hr-HR"/>
        </w:rPr>
        <w:t>.</w:t>
      </w:r>
    </w:p>
    <w:p w14:paraId="33521CB8" w14:textId="77777777" w:rsidR="008F0DE2" w:rsidRPr="00B357F4" w:rsidRDefault="008F0DE2" w:rsidP="008F0DE2">
      <w:pPr>
        <w:numPr>
          <w:ilvl w:val="0"/>
          <w:numId w:val="40"/>
        </w:numPr>
        <w:rPr>
          <w:lang w:eastAsia="hr-HR"/>
        </w:rPr>
      </w:pPr>
      <w:r w:rsidRPr="00B357F4">
        <w:rPr>
          <w:b/>
          <w:lang w:eastAsia="hr-HR"/>
        </w:rPr>
        <w:t>Najlošija energetska svojstva</w:t>
      </w:r>
      <w:r w:rsidRPr="00B357F4">
        <w:rPr>
          <w:lang w:eastAsia="hr-HR"/>
        </w:rPr>
        <w:t xml:space="preserve"> (važnost: 25% </w:t>
      </w:r>
      <w:bookmarkStart w:id="98" w:name="_Hlk82932622"/>
      <w:r w:rsidRPr="00B357F4">
        <w:rPr>
          <w:lang w:eastAsia="hr-HR"/>
        </w:rPr>
        <w:t>od maksimalno mogućih bodova</w:t>
      </w:r>
      <w:bookmarkEnd w:id="98"/>
      <w:r w:rsidRPr="00B357F4">
        <w:rPr>
          <w:lang w:eastAsia="hr-HR"/>
        </w:rPr>
        <w:t xml:space="preserve"> prilikom ocjenjivanja)</w:t>
      </w:r>
    </w:p>
    <w:p w14:paraId="70248ECA" w14:textId="19ED3C2E" w:rsidR="008F0DE2" w:rsidRPr="00B357F4" w:rsidRDefault="005466FE" w:rsidP="00703875">
      <w:pPr>
        <w:numPr>
          <w:ilvl w:val="1"/>
          <w:numId w:val="74"/>
        </w:numPr>
        <w:rPr>
          <w:lang w:eastAsia="hr-HR"/>
        </w:rPr>
      </w:pPr>
      <w:r w:rsidRPr="00B357F4">
        <w:rPr>
          <w:lang w:eastAsia="hr-HR"/>
        </w:rPr>
        <w:t xml:space="preserve">energetskog razreda F i G </w:t>
      </w:r>
      <w:r w:rsidR="00D9275E">
        <w:rPr>
          <w:lang w:eastAsia="hr-HR"/>
        </w:rPr>
        <w:t xml:space="preserve">(razredovanje prema </w:t>
      </w:r>
      <w:r w:rsidR="00D9275E" w:rsidRPr="004A67BD">
        <w:t>Q</w:t>
      </w:r>
      <w:r w:rsidR="00D9275E" w:rsidRPr="00DE049E">
        <w:rPr>
          <w:vertAlign w:val="subscript"/>
        </w:rPr>
        <w:t>H,nd</w:t>
      </w:r>
      <w:r w:rsidR="00D9275E">
        <w:rPr>
          <w:lang w:eastAsia="hr-HR"/>
        </w:rPr>
        <w:t>)</w:t>
      </w:r>
      <w:r w:rsidR="6C91A0FE" w:rsidRPr="00B357F4">
        <w:rPr>
          <w:lang w:eastAsia="hr-HR"/>
        </w:rPr>
        <w:t xml:space="preserve">u Kontinentalnoj Hrvatskoj te E i F razreda </w:t>
      </w:r>
      <w:r w:rsidR="00EF055E" w:rsidRPr="00EF055E">
        <w:rPr>
          <w:lang w:eastAsia="hr-HR"/>
        </w:rPr>
        <w:t>(razredovanje prema Q</w:t>
      </w:r>
      <w:r w:rsidR="00EF055E" w:rsidRPr="00EF055E">
        <w:rPr>
          <w:vertAlign w:val="subscript"/>
          <w:lang w:eastAsia="hr-HR"/>
        </w:rPr>
        <w:t>H,nd</w:t>
      </w:r>
      <w:r w:rsidR="00EF055E" w:rsidRPr="00EF055E">
        <w:rPr>
          <w:lang w:eastAsia="hr-HR"/>
        </w:rPr>
        <w:t>)</w:t>
      </w:r>
      <w:r w:rsidR="6C91A0FE" w:rsidRPr="00B357F4">
        <w:rPr>
          <w:lang w:eastAsia="hr-HR"/>
        </w:rPr>
        <w:t xml:space="preserve"> u Primorskoj Hrvatskoj </w:t>
      </w:r>
      <w:bookmarkStart w:id="99" w:name="_Hlk82932709"/>
      <w:r w:rsidR="6C91A0FE" w:rsidRPr="00B357F4">
        <w:rPr>
          <w:lang w:eastAsia="hr-HR"/>
        </w:rPr>
        <w:t>– 10% od maksimalno mogućih bodova prilikom ocjenjivanja</w:t>
      </w:r>
      <w:bookmarkEnd w:id="99"/>
    </w:p>
    <w:p w14:paraId="4586D451" w14:textId="77777777" w:rsidR="008F0DE2" w:rsidRPr="00B357F4" w:rsidRDefault="6C91A0FE" w:rsidP="00703875">
      <w:pPr>
        <w:numPr>
          <w:ilvl w:val="1"/>
          <w:numId w:val="74"/>
        </w:numPr>
        <w:rPr>
          <w:lang w:eastAsia="hr-HR"/>
        </w:rPr>
      </w:pPr>
      <w:r w:rsidRPr="00B357F4">
        <w:rPr>
          <w:lang w:eastAsia="hr-HR"/>
        </w:rPr>
        <w:t>Zgrade iz Programa obnove zgrada na područjima od posebne državne skrbi (SDUOSZZ) – 10% od maksimalno mogućih bodova prilikom ocjenjivanja</w:t>
      </w:r>
    </w:p>
    <w:p w14:paraId="608C07DB" w14:textId="7ABF1DE2" w:rsidR="008F0DE2" w:rsidRPr="00B357F4" w:rsidRDefault="6C91A0FE" w:rsidP="00703875">
      <w:pPr>
        <w:numPr>
          <w:ilvl w:val="1"/>
          <w:numId w:val="74"/>
        </w:numPr>
        <w:rPr>
          <w:lang w:eastAsia="hr-HR"/>
        </w:rPr>
      </w:pPr>
      <w:r w:rsidRPr="00B357F4">
        <w:rPr>
          <w:lang w:eastAsia="hr-HR"/>
        </w:rPr>
        <w:lastRenderedPageBreak/>
        <w:t xml:space="preserve">Zgrade koje su bitne za korištenje (Program i vizija </w:t>
      </w:r>
      <w:r w:rsidR="000574A9" w:rsidRPr="00B357F4">
        <w:rPr>
          <w:lang w:eastAsia="hr-HR"/>
        </w:rPr>
        <w:t>korištenj</w:t>
      </w:r>
      <w:r w:rsidR="000574A9">
        <w:rPr>
          <w:lang w:eastAsia="hr-HR"/>
        </w:rPr>
        <w:t>a</w:t>
      </w:r>
      <w:r w:rsidR="000574A9" w:rsidRPr="00B357F4">
        <w:rPr>
          <w:lang w:eastAsia="hr-HR"/>
        </w:rPr>
        <w:t xml:space="preserve"> </w:t>
      </w:r>
      <w:r w:rsidRPr="00B357F4">
        <w:rPr>
          <w:lang w:eastAsia="hr-HR"/>
        </w:rPr>
        <w:t>zgrade u dugoročnom periodu) a nalaze se u lošem građevinskom i fizičkom stanju – 5% od maksimalno mogućih bodova prilikom ocjenjivanja</w:t>
      </w:r>
    </w:p>
    <w:p w14:paraId="771653FE" w14:textId="77777777" w:rsidR="008F0DE2" w:rsidRPr="00B357F4" w:rsidRDefault="008F0DE2" w:rsidP="008F0DE2">
      <w:pPr>
        <w:rPr>
          <w:lang w:eastAsia="hr-HR"/>
        </w:rPr>
      </w:pPr>
      <w:r w:rsidRPr="00B357F4">
        <w:rPr>
          <w:lang w:eastAsia="hr-HR"/>
        </w:rPr>
        <w:t xml:space="preserve"> </w:t>
      </w:r>
    </w:p>
    <w:p w14:paraId="2EA125A5" w14:textId="7F2B971E" w:rsidR="008F0DE2" w:rsidRPr="00373352" w:rsidRDefault="6D70834C" w:rsidP="008F0DE2">
      <w:pPr>
        <w:numPr>
          <w:ilvl w:val="0"/>
          <w:numId w:val="40"/>
        </w:numPr>
        <w:rPr>
          <w:lang w:eastAsia="hr-HR"/>
        </w:rPr>
      </w:pPr>
      <w:r w:rsidRPr="00B357F4">
        <w:rPr>
          <w:b/>
          <w:lang w:eastAsia="hr-HR"/>
        </w:rPr>
        <w:t>Najveće</w:t>
      </w:r>
      <w:r w:rsidRPr="006734C7">
        <w:rPr>
          <w:b/>
          <w:lang w:eastAsia="hr-HR"/>
        </w:rPr>
        <w:t xml:space="preserve"> energetske uštede</w:t>
      </w:r>
      <w:r w:rsidR="00A90C64" w:rsidRPr="006734C7">
        <w:rPr>
          <w:b/>
          <w:lang w:eastAsia="hr-HR"/>
        </w:rPr>
        <w:t xml:space="preserve"> </w:t>
      </w:r>
      <w:bookmarkStart w:id="100" w:name="_Hlk82932827"/>
      <w:r w:rsidRPr="00373352">
        <w:rPr>
          <w:lang w:eastAsia="hr-HR"/>
        </w:rPr>
        <w:t>(važnost: 20% od maksimalno mogućih bodova)</w:t>
      </w:r>
      <w:bookmarkEnd w:id="100"/>
      <w:r w:rsidR="00824208">
        <w:rPr>
          <w:lang w:eastAsia="hr-HR"/>
        </w:rPr>
        <w:t xml:space="preserve"> prema projektu obnove:</w:t>
      </w:r>
    </w:p>
    <w:p w14:paraId="772DF3D8" w14:textId="14C7F3C5" w:rsidR="008F0DE2" w:rsidRPr="00B357F4" w:rsidRDefault="0072127D" w:rsidP="00703875">
      <w:pPr>
        <w:numPr>
          <w:ilvl w:val="1"/>
          <w:numId w:val="75"/>
        </w:numPr>
        <w:rPr>
          <w:lang w:eastAsia="hr-HR"/>
        </w:rPr>
      </w:pPr>
      <w:r w:rsidRPr="00971F9E">
        <w:rPr>
          <w:lang w:eastAsia="hr-HR"/>
        </w:rPr>
        <w:t xml:space="preserve">Zgrade s uštedom </w:t>
      </w:r>
      <w:r w:rsidR="00FE2D53">
        <w:rPr>
          <w:lang w:eastAsia="hr-HR"/>
        </w:rPr>
        <w:t>godišnj</w:t>
      </w:r>
      <w:r w:rsidR="00824208">
        <w:rPr>
          <w:lang w:eastAsia="hr-HR"/>
        </w:rPr>
        <w:t>e</w:t>
      </w:r>
      <w:r w:rsidR="00FE2D53">
        <w:rPr>
          <w:lang w:eastAsia="hr-HR"/>
        </w:rPr>
        <w:t xml:space="preserve"> </w:t>
      </w:r>
      <w:r>
        <w:rPr>
          <w:lang w:eastAsia="hr-HR"/>
        </w:rPr>
        <w:t>potrebne toplinske</w:t>
      </w:r>
      <w:r w:rsidRPr="00971F9E">
        <w:rPr>
          <w:lang w:eastAsia="hr-HR"/>
        </w:rPr>
        <w:t xml:space="preserve"> energije za grijanje </w:t>
      </w:r>
      <w:r w:rsidRPr="00971F9E" w:rsidDel="0072127D">
        <w:rPr>
          <w:lang w:eastAsia="hr-HR"/>
        </w:rPr>
        <w:t xml:space="preserve"> </w:t>
      </w:r>
      <w:r w:rsidR="6C91A0FE" w:rsidRPr="00971F9E">
        <w:rPr>
          <w:lang w:eastAsia="hr-HR"/>
        </w:rPr>
        <w:t>(Q</w:t>
      </w:r>
      <w:r w:rsidR="6C91A0FE" w:rsidRPr="00971F9E">
        <w:rPr>
          <w:vertAlign w:val="subscript"/>
          <w:lang w:eastAsia="hr-HR"/>
        </w:rPr>
        <w:t>hnd</w:t>
      </w:r>
      <w:r w:rsidR="6C91A0FE" w:rsidRPr="00971F9E">
        <w:rPr>
          <w:lang w:eastAsia="hr-HR"/>
        </w:rPr>
        <w:t>) od najmanje 55% i primarne energije (E</w:t>
      </w:r>
      <w:r w:rsidR="6C91A0FE" w:rsidRPr="00B357F4">
        <w:rPr>
          <w:vertAlign w:val="subscript"/>
          <w:lang w:eastAsia="hr-HR"/>
        </w:rPr>
        <w:t>prim</w:t>
      </w:r>
      <w:r w:rsidR="6C91A0FE" w:rsidRPr="00B357F4">
        <w:rPr>
          <w:lang w:eastAsia="hr-HR"/>
        </w:rPr>
        <w:t>) od najmanje 35% na godišnjoj razini (kWh/m</w:t>
      </w:r>
      <w:r w:rsidR="6C91A0FE" w:rsidRPr="00B357F4">
        <w:rPr>
          <w:vertAlign w:val="superscript"/>
          <w:lang w:eastAsia="hr-HR"/>
        </w:rPr>
        <w:t>2</w:t>
      </w:r>
      <w:r w:rsidR="6C91A0FE" w:rsidRPr="00B357F4">
        <w:rPr>
          <w:lang w:eastAsia="hr-HR"/>
        </w:rPr>
        <w:t xml:space="preserve">a) u odnosu na potrošnju prije obnove – </w:t>
      </w:r>
      <w:r w:rsidR="00474883">
        <w:rPr>
          <w:lang w:eastAsia="hr-HR"/>
        </w:rPr>
        <w:t>4</w:t>
      </w:r>
      <w:r w:rsidR="6C91A0FE" w:rsidRPr="00B357F4">
        <w:rPr>
          <w:lang w:eastAsia="hr-HR"/>
        </w:rPr>
        <w:t>% od maksimalno mogućih bodova prilikom ocjenjivanja</w:t>
      </w:r>
    </w:p>
    <w:p w14:paraId="38F09B8E" w14:textId="16F87AB4" w:rsidR="008F0DE2" w:rsidRPr="00B357F4" w:rsidRDefault="6C91A0FE" w:rsidP="00703875">
      <w:pPr>
        <w:numPr>
          <w:ilvl w:val="1"/>
          <w:numId w:val="75"/>
        </w:numPr>
        <w:rPr>
          <w:lang w:eastAsia="hr-HR"/>
        </w:rPr>
      </w:pPr>
      <w:r w:rsidRPr="00B357F4">
        <w:rPr>
          <w:lang w:eastAsia="hr-HR"/>
        </w:rPr>
        <w:t xml:space="preserve">Zgrade s uštedom </w:t>
      </w:r>
      <w:r w:rsidR="00656B09">
        <w:rPr>
          <w:lang w:eastAsia="hr-HR"/>
        </w:rPr>
        <w:t xml:space="preserve">godišnje </w:t>
      </w:r>
      <w:r w:rsidR="00836385">
        <w:rPr>
          <w:lang w:eastAsia="hr-HR"/>
        </w:rPr>
        <w:t>potrebne toplinske</w:t>
      </w:r>
      <w:r w:rsidRPr="00B357F4">
        <w:rPr>
          <w:lang w:eastAsia="hr-HR"/>
        </w:rPr>
        <w:t xml:space="preserve"> energije za grijanje (Q</w:t>
      </w:r>
      <w:r w:rsidRPr="00B357F4">
        <w:rPr>
          <w:vertAlign w:val="subscript"/>
          <w:lang w:eastAsia="hr-HR"/>
        </w:rPr>
        <w:t>hnd</w:t>
      </w:r>
      <w:r w:rsidRPr="00B357F4">
        <w:rPr>
          <w:lang w:eastAsia="hr-HR"/>
        </w:rPr>
        <w:t>) od najmanje 60% i primarne energije (E</w:t>
      </w:r>
      <w:r w:rsidRPr="00B357F4">
        <w:rPr>
          <w:vertAlign w:val="subscript"/>
          <w:lang w:eastAsia="hr-HR"/>
        </w:rPr>
        <w:t>prim</w:t>
      </w:r>
      <w:r w:rsidRPr="00B357F4">
        <w:rPr>
          <w:lang w:eastAsia="hr-HR"/>
        </w:rPr>
        <w:t>) od najmanje 40% na godišnjoj razini (kWh/m</w:t>
      </w:r>
      <w:r w:rsidRPr="00B357F4">
        <w:rPr>
          <w:vertAlign w:val="superscript"/>
          <w:lang w:eastAsia="hr-HR"/>
        </w:rPr>
        <w:t>2</w:t>
      </w:r>
      <w:r w:rsidRPr="00B357F4">
        <w:rPr>
          <w:lang w:eastAsia="hr-HR"/>
        </w:rPr>
        <w:t xml:space="preserve">a) u odnosu na potrošnju prije obnove – </w:t>
      </w:r>
      <w:r w:rsidR="00474883">
        <w:rPr>
          <w:lang w:eastAsia="hr-HR"/>
        </w:rPr>
        <w:t>8</w:t>
      </w:r>
      <w:r w:rsidRPr="00B357F4">
        <w:rPr>
          <w:lang w:eastAsia="hr-HR"/>
        </w:rPr>
        <w:t>% od maksimalno mogućih bodova prilikom ocjenjivanja</w:t>
      </w:r>
    </w:p>
    <w:p w14:paraId="018C7A9F" w14:textId="73CDEA75" w:rsidR="008F0DE2" w:rsidRPr="00B357F4" w:rsidRDefault="6C91A0FE" w:rsidP="00703875">
      <w:pPr>
        <w:numPr>
          <w:ilvl w:val="1"/>
          <w:numId w:val="75"/>
        </w:numPr>
        <w:rPr>
          <w:lang w:eastAsia="hr-HR"/>
        </w:rPr>
      </w:pPr>
      <w:r w:rsidRPr="00B357F4">
        <w:rPr>
          <w:lang w:eastAsia="hr-HR"/>
        </w:rPr>
        <w:t xml:space="preserve">Zgrade s uštedom </w:t>
      </w:r>
      <w:r w:rsidR="00656B09">
        <w:rPr>
          <w:lang w:eastAsia="hr-HR"/>
        </w:rPr>
        <w:t xml:space="preserve">godišnje </w:t>
      </w:r>
      <w:r w:rsidR="00836385">
        <w:rPr>
          <w:lang w:eastAsia="hr-HR"/>
        </w:rPr>
        <w:t>potrebne toplinske</w:t>
      </w:r>
      <w:r w:rsidRPr="00B357F4">
        <w:rPr>
          <w:lang w:eastAsia="hr-HR"/>
        </w:rPr>
        <w:t xml:space="preserve"> energije za grijanje (Q</w:t>
      </w:r>
      <w:r w:rsidRPr="00B357F4">
        <w:rPr>
          <w:vertAlign w:val="subscript"/>
          <w:lang w:eastAsia="hr-HR"/>
        </w:rPr>
        <w:t>hnd</w:t>
      </w:r>
      <w:r w:rsidRPr="00B357F4">
        <w:rPr>
          <w:lang w:eastAsia="hr-HR"/>
        </w:rPr>
        <w:t>) od najmanje 70% i primarne energije (E</w:t>
      </w:r>
      <w:r w:rsidRPr="00B357F4">
        <w:rPr>
          <w:vertAlign w:val="subscript"/>
          <w:lang w:eastAsia="hr-HR"/>
        </w:rPr>
        <w:t>prim</w:t>
      </w:r>
      <w:r w:rsidRPr="00B357F4">
        <w:rPr>
          <w:lang w:eastAsia="hr-HR"/>
        </w:rPr>
        <w:t>) od najmanje 50% na godišnjoj razini (kWh/m</w:t>
      </w:r>
      <w:r w:rsidRPr="00B357F4">
        <w:rPr>
          <w:vertAlign w:val="superscript"/>
          <w:lang w:eastAsia="hr-HR"/>
        </w:rPr>
        <w:t>2</w:t>
      </w:r>
      <w:r w:rsidRPr="00B357F4">
        <w:rPr>
          <w:lang w:eastAsia="hr-HR"/>
        </w:rPr>
        <w:t xml:space="preserve">a) u odnosu na potrošnju prije obnove – </w:t>
      </w:r>
      <w:r w:rsidR="00474883">
        <w:rPr>
          <w:lang w:eastAsia="hr-HR"/>
        </w:rPr>
        <w:t>15</w:t>
      </w:r>
      <w:r w:rsidRPr="00B357F4">
        <w:rPr>
          <w:lang w:eastAsia="hr-HR"/>
        </w:rPr>
        <w:t>% od maksimalno mogućih bodova prilikom ocjenjivanja</w:t>
      </w:r>
    </w:p>
    <w:p w14:paraId="0548C5AF" w14:textId="2D61A9DC" w:rsidR="008F0DE2" w:rsidRPr="00B357F4" w:rsidRDefault="5C3E684B" w:rsidP="00703875">
      <w:pPr>
        <w:numPr>
          <w:ilvl w:val="1"/>
          <w:numId w:val="75"/>
        </w:numPr>
        <w:rPr>
          <w:lang w:eastAsia="hr-HR"/>
        </w:rPr>
      </w:pPr>
      <w:r w:rsidRPr="00B357F4">
        <w:rPr>
          <w:lang w:eastAsia="hr-HR"/>
        </w:rPr>
        <w:t xml:space="preserve">Zgrade s uštedom </w:t>
      </w:r>
      <w:r w:rsidR="00656B09">
        <w:rPr>
          <w:lang w:eastAsia="hr-HR"/>
        </w:rPr>
        <w:t xml:space="preserve">godišnje </w:t>
      </w:r>
      <w:r w:rsidR="00836385">
        <w:rPr>
          <w:lang w:eastAsia="hr-HR"/>
        </w:rPr>
        <w:t>potrebne toplinske</w:t>
      </w:r>
      <w:r w:rsidRPr="00B357F4">
        <w:rPr>
          <w:lang w:eastAsia="hr-HR"/>
        </w:rPr>
        <w:t xml:space="preserve"> energije za grijanje (Q</w:t>
      </w:r>
      <w:r w:rsidRPr="00B357F4">
        <w:rPr>
          <w:vertAlign w:val="subscript"/>
          <w:lang w:eastAsia="hr-HR"/>
        </w:rPr>
        <w:t>hnd</w:t>
      </w:r>
      <w:r w:rsidRPr="00B357F4">
        <w:rPr>
          <w:lang w:eastAsia="hr-HR"/>
        </w:rPr>
        <w:t>) od najmanje 80% i primarne energije (E</w:t>
      </w:r>
      <w:r w:rsidRPr="00B357F4">
        <w:rPr>
          <w:vertAlign w:val="subscript"/>
          <w:lang w:eastAsia="hr-HR"/>
        </w:rPr>
        <w:t>prim</w:t>
      </w:r>
      <w:r w:rsidRPr="00B357F4">
        <w:rPr>
          <w:lang w:eastAsia="hr-HR"/>
        </w:rPr>
        <w:t>) od najmanje 60% na godišnjoj razini (kWh/m</w:t>
      </w:r>
      <w:r w:rsidRPr="00B357F4">
        <w:rPr>
          <w:vertAlign w:val="superscript"/>
          <w:lang w:eastAsia="hr-HR"/>
        </w:rPr>
        <w:t>2</w:t>
      </w:r>
      <w:r w:rsidRPr="00B357F4">
        <w:rPr>
          <w:lang w:eastAsia="hr-HR"/>
        </w:rPr>
        <w:t xml:space="preserve">a) u odnosu na potrošnju prije obnove – </w:t>
      </w:r>
      <w:r w:rsidR="00474883">
        <w:rPr>
          <w:lang w:eastAsia="hr-HR"/>
        </w:rPr>
        <w:t>20</w:t>
      </w:r>
      <w:r w:rsidRPr="00B357F4">
        <w:rPr>
          <w:lang w:eastAsia="hr-HR"/>
        </w:rPr>
        <w:t>% od maksimalno mogućih bodova prilikom ocjenjivanja</w:t>
      </w:r>
    </w:p>
    <w:p w14:paraId="7F0C1DAF" w14:textId="77777777" w:rsidR="008F0DE2" w:rsidRPr="00B357F4" w:rsidRDefault="008F0DE2" w:rsidP="008F0DE2">
      <w:pPr>
        <w:rPr>
          <w:lang w:eastAsia="hr-HR"/>
        </w:rPr>
      </w:pPr>
    </w:p>
    <w:p w14:paraId="11A5277F" w14:textId="3339AC3A" w:rsidR="003B25CE" w:rsidRPr="003B25CE" w:rsidRDefault="003B25CE" w:rsidP="00A50B09">
      <w:pPr>
        <w:pStyle w:val="Odlomakpopisa"/>
        <w:numPr>
          <w:ilvl w:val="0"/>
          <w:numId w:val="40"/>
        </w:numPr>
      </w:pPr>
      <w:r w:rsidRPr="00A50B09">
        <w:rPr>
          <w:b/>
          <w:bCs/>
        </w:rPr>
        <w:t>Najveći udio obnovljivih izvora energije</w:t>
      </w:r>
      <w:r w:rsidRPr="003B25CE">
        <w:t xml:space="preserve"> (važnost: 15% od maksimalno mogućih bodova)</w:t>
      </w:r>
    </w:p>
    <w:p w14:paraId="07E8E56B" w14:textId="77777777" w:rsidR="003B25CE" w:rsidRPr="003B25CE" w:rsidRDefault="003B25CE" w:rsidP="00A50B09">
      <w:pPr>
        <w:numPr>
          <w:ilvl w:val="0"/>
          <w:numId w:val="116"/>
        </w:numPr>
        <w:ind w:left="1276" w:hanging="283"/>
        <w:rPr>
          <w:lang w:eastAsia="hr-HR"/>
        </w:rPr>
      </w:pPr>
      <w:r w:rsidRPr="003B25CE">
        <w:rPr>
          <w:lang w:eastAsia="hr-HR"/>
        </w:rPr>
        <w:t>Zgrade koje projektnim rješenjem nakon obnove podmiruju više od 30% isporučene energije iz obnovljivih izvora – 6% od maksimalno mogućih bodova prilikom ocjenjivanja</w:t>
      </w:r>
    </w:p>
    <w:p w14:paraId="0CB5E8C8" w14:textId="77777777" w:rsidR="003B25CE" w:rsidRPr="003B25CE" w:rsidRDefault="003B25CE" w:rsidP="00A50B09">
      <w:pPr>
        <w:numPr>
          <w:ilvl w:val="0"/>
          <w:numId w:val="116"/>
        </w:numPr>
        <w:ind w:left="1276" w:hanging="283"/>
        <w:rPr>
          <w:lang w:eastAsia="hr-HR"/>
        </w:rPr>
      </w:pPr>
      <w:r w:rsidRPr="003B25CE">
        <w:rPr>
          <w:lang w:eastAsia="hr-HR"/>
        </w:rPr>
        <w:t>Zgrade koje projektnim rješenjem nakon obnove podmiruju više od 50% isporučene energije iz obnovljivih izvora – 8% od maksimalno mogućih bodova prilikom ocjenjivanja</w:t>
      </w:r>
    </w:p>
    <w:p w14:paraId="39AFE8E5" w14:textId="77777777" w:rsidR="003B25CE" w:rsidRPr="003B25CE" w:rsidRDefault="003B25CE" w:rsidP="00A50B09">
      <w:pPr>
        <w:numPr>
          <w:ilvl w:val="0"/>
          <w:numId w:val="116"/>
        </w:numPr>
        <w:ind w:left="1276" w:hanging="283"/>
        <w:rPr>
          <w:lang w:eastAsia="hr-HR"/>
        </w:rPr>
      </w:pPr>
      <w:r w:rsidRPr="003B25CE">
        <w:rPr>
          <w:lang w:eastAsia="hr-HR"/>
        </w:rPr>
        <w:t>Zgrade koje projektnim rješenjem nakon obnove podmiruju više od 75% isporučene energije iz obnovljivih izvora – 12% od maksimalno mogućih bodova prilikom ocjenjivanja</w:t>
      </w:r>
    </w:p>
    <w:p w14:paraId="01A02B4D" w14:textId="2C86616C" w:rsidR="00B32488" w:rsidRDefault="003B25CE" w:rsidP="00A50B09">
      <w:pPr>
        <w:pStyle w:val="Odlomakpopisa"/>
        <w:numPr>
          <w:ilvl w:val="0"/>
          <w:numId w:val="117"/>
        </w:numPr>
        <w:ind w:left="1276" w:hanging="283"/>
      </w:pPr>
      <w:r w:rsidRPr="003B25CE">
        <w:t>Zgrade koje projektnim rješenjem nakon obnove podmiruju 100% isporučene energije iz obnovljivih izvora – 15% od maksimalno mogućih bodova prilikom ocjenjivanja</w:t>
      </w:r>
    </w:p>
    <w:p w14:paraId="250E1563" w14:textId="77777777" w:rsidR="00B32488" w:rsidRPr="00B357F4" w:rsidRDefault="00B32488" w:rsidP="008F0DE2">
      <w:pPr>
        <w:rPr>
          <w:lang w:eastAsia="hr-HR"/>
        </w:rPr>
      </w:pPr>
    </w:p>
    <w:p w14:paraId="1C223CCE" w14:textId="0CE2ECF4" w:rsidR="008F0DE2" w:rsidRPr="00B357F4" w:rsidRDefault="1A28A0E6" w:rsidP="008F0DE2">
      <w:pPr>
        <w:numPr>
          <w:ilvl w:val="0"/>
          <w:numId w:val="40"/>
        </w:numPr>
        <w:rPr>
          <w:lang w:eastAsia="hr-HR"/>
        </w:rPr>
      </w:pPr>
      <w:r w:rsidRPr="00B357F4">
        <w:rPr>
          <w:b/>
          <w:lang w:eastAsia="hr-HR"/>
        </w:rPr>
        <w:t>Nužna konstrukcijska obnova</w:t>
      </w:r>
      <w:r w:rsidRPr="00B357F4">
        <w:rPr>
          <w:lang w:eastAsia="hr-HR"/>
        </w:rPr>
        <w:t xml:space="preserve"> </w:t>
      </w:r>
      <w:bookmarkStart w:id="101" w:name="_Hlk82933434"/>
      <w:r w:rsidRPr="00B357F4">
        <w:rPr>
          <w:lang w:eastAsia="hr-HR"/>
        </w:rPr>
        <w:t xml:space="preserve">(važnost: </w:t>
      </w:r>
      <w:r w:rsidR="001561A7">
        <w:rPr>
          <w:lang w:eastAsia="hr-HR"/>
        </w:rPr>
        <w:t>15</w:t>
      </w:r>
      <w:r w:rsidRPr="00B357F4">
        <w:rPr>
          <w:lang w:eastAsia="hr-HR"/>
        </w:rPr>
        <w:t>% od maksimalno mogućih bodova)</w:t>
      </w:r>
      <w:bookmarkEnd w:id="101"/>
    </w:p>
    <w:p w14:paraId="68836B0C" w14:textId="602A81DF" w:rsidR="008F0DE2" w:rsidRPr="00B357F4" w:rsidRDefault="6C91A0FE" w:rsidP="00703875">
      <w:pPr>
        <w:numPr>
          <w:ilvl w:val="1"/>
          <w:numId w:val="76"/>
        </w:numPr>
        <w:rPr>
          <w:lang w:eastAsia="hr-HR"/>
        </w:rPr>
      </w:pPr>
      <w:r w:rsidRPr="00B357F4">
        <w:rPr>
          <w:lang w:eastAsia="hr-HR"/>
        </w:rPr>
        <w:t xml:space="preserve">Obzirom da je obnova zgrada oštećenih u potresu nacionalni prioritet u kontekstu obnove zgrade te je potrebno poticati istodobnu obnovu zgrada oštećenih u potresu s energetskom obnovom zgradama također i radi efikasnijeg korištenja dostupnih financijskih sredstava (kombiniranje FSEU i NPOO) zgradama koje se odluče na sveobuhvatnu obnovu po </w:t>
      </w:r>
      <w:r w:rsidR="001561A7" w:rsidRPr="00B357F4">
        <w:rPr>
          <w:lang w:eastAsia="hr-HR"/>
        </w:rPr>
        <w:t>tip</w:t>
      </w:r>
      <w:r w:rsidR="001561A7">
        <w:rPr>
          <w:lang w:eastAsia="hr-HR"/>
        </w:rPr>
        <w:t>u</w:t>
      </w:r>
      <w:r w:rsidR="001561A7" w:rsidRPr="00B357F4">
        <w:rPr>
          <w:lang w:eastAsia="hr-HR"/>
        </w:rPr>
        <w:t xml:space="preserve"> </w:t>
      </w:r>
      <w:r w:rsidRPr="00B357F4">
        <w:rPr>
          <w:lang w:eastAsia="hr-HR"/>
        </w:rPr>
        <w:t xml:space="preserve">SOP dodjeljuje je se kroz ovaj prioritet </w:t>
      </w:r>
      <w:r w:rsidR="001561A7">
        <w:rPr>
          <w:lang w:eastAsia="hr-HR"/>
        </w:rPr>
        <w:t>15</w:t>
      </w:r>
      <w:r w:rsidRPr="00B357F4">
        <w:rPr>
          <w:lang w:eastAsia="hr-HR"/>
        </w:rPr>
        <w:t>% od maksimalno mogućih bodova</w:t>
      </w:r>
    </w:p>
    <w:p w14:paraId="14AE9EC0" w14:textId="77777777" w:rsidR="008F0DE2" w:rsidRPr="00B357F4" w:rsidRDefault="008F0DE2" w:rsidP="008F0DE2">
      <w:pPr>
        <w:rPr>
          <w:lang w:eastAsia="hr-HR"/>
        </w:rPr>
      </w:pPr>
      <w:r w:rsidRPr="00B357F4">
        <w:rPr>
          <w:lang w:eastAsia="hr-HR"/>
        </w:rPr>
        <w:t xml:space="preserve"> </w:t>
      </w:r>
    </w:p>
    <w:p w14:paraId="0A0CFB1A" w14:textId="77777777" w:rsidR="008F0DE2" w:rsidRPr="00373352" w:rsidRDefault="008F0DE2" w:rsidP="008F0DE2">
      <w:pPr>
        <w:numPr>
          <w:ilvl w:val="0"/>
          <w:numId w:val="40"/>
        </w:numPr>
        <w:rPr>
          <w:lang w:eastAsia="hr-HR"/>
        </w:rPr>
      </w:pPr>
      <w:r w:rsidRPr="00B357F4">
        <w:rPr>
          <w:b/>
          <w:lang w:eastAsia="hr-HR"/>
        </w:rPr>
        <w:t>Opcionalna</w:t>
      </w:r>
      <w:r w:rsidRPr="006734C7">
        <w:rPr>
          <w:b/>
          <w:lang w:eastAsia="hr-HR"/>
        </w:rPr>
        <w:t xml:space="preserve"> sveobuhvatna obnova</w:t>
      </w:r>
      <w:r w:rsidRPr="006734C7">
        <w:rPr>
          <w:lang w:eastAsia="hr-HR"/>
        </w:rPr>
        <w:t xml:space="preserve"> (važnost: 10% od maksimalno mogućih bodova)</w:t>
      </w:r>
    </w:p>
    <w:p w14:paraId="1A6A2851" w14:textId="471CDB68" w:rsidR="00465A96" w:rsidRDefault="5C3E684B" w:rsidP="00465A96">
      <w:pPr>
        <w:numPr>
          <w:ilvl w:val="1"/>
          <w:numId w:val="77"/>
        </w:numPr>
        <w:rPr>
          <w:lang w:eastAsia="hr-HR"/>
        </w:rPr>
      </w:pPr>
      <w:r w:rsidRPr="00971F9E">
        <w:rPr>
          <w:lang w:eastAsia="hr-HR"/>
        </w:rPr>
        <w:t>Sveobuhvatna obnova je s aspekta operativnosti, tehničkih rješenja, financiranja i dugoročnih društvenih i gospodarskih učinaka najpoželjniji model obnove, stoga</w:t>
      </w:r>
      <w:r w:rsidRPr="00B357F4">
        <w:rPr>
          <w:lang w:eastAsia="hr-HR"/>
        </w:rPr>
        <w:t xml:space="preserve"> se, kako bi se poticao takav pristup, zgradama koje nužno ne moraju (nisu oštećene u potresu) ali odaberu sveobuhvatnu obnovu po tipu SO </w:t>
      </w:r>
      <w:r w:rsidRPr="006734C7">
        <w:rPr>
          <w:lang w:eastAsia="hr-HR"/>
        </w:rPr>
        <w:t xml:space="preserve">dodjeljuje kroz ovaj prioritet </w:t>
      </w:r>
      <w:r w:rsidR="00080290">
        <w:rPr>
          <w:lang w:eastAsia="hr-HR"/>
        </w:rPr>
        <w:t>:</w:t>
      </w:r>
      <w:r w:rsidR="00465A96">
        <w:rPr>
          <w:lang w:eastAsia="hr-HR"/>
        </w:rPr>
        <w:t xml:space="preserve"> </w:t>
      </w:r>
    </w:p>
    <w:p w14:paraId="21062B66" w14:textId="044D094B" w:rsidR="00465A96" w:rsidRPr="00465A96" w:rsidRDefault="00465A96" w:rsidP="00465A96">
      <w:pPr>
        <w:numPr>
          <w:ilvl w:val="1"/>
          <w:numId w:val="77"/>
        </w:numPr>
        <w:ind w:left="2127"/>
        <w:rPr>
          <w:lang w:eastAsia="hr-HR"/>
        </w:rPr>
      </w:pPr>
      <w:r w:rsidRPr="00465A96">
        <w:rPr>
          <w:lang w:eastAsia="hr-HR"/>
        </w:rPr>
        <w:t>2% od maksimalno mogućih bodova zgradama koje kroz projektno rješenje predvide dvije ili više mjera za povećanje zaštite od požara; ili dvije ili više mjera za unapređenje unutarnjih klimatskih uvjeta</w:t>
      </w:r>
    </w:p>
    <w:p w14:paraId="04BBAE6B" w14:textId="77777777" w:rsidR="00465A96" w:rsidRPr="00465A96" w:rsidRDefault="00465A96" w:rsidP="00465A96">
      <w:pPr>
        <w:numPr>
          <w:ilvl w:val="1"/>
          <w:numId w:val="77"/>
        </w:numPr>
        <w:ind w:left="2127"/>
        <w:rPr>
          <w:lang w:eastAsia="hr-HR"/>
        </w:rPr>
      </w:pPr>
      <w:r w:rsidRPr="00465A96">
        <w:rPr>
          <w:lang w:eastAsia="hr-HR"/>
        </w:rPr>
        <w:t>4% od maksimalno mogućih bodova zgradama koje kroz projektno rješenje predvide dvije ili više mjera za povećanje zaštite od požara, dvije ili više mjera za unapređenje unutarnjih klimatskih uvjeta</w:t>
      </w:r>
    </w:p>
    <w:p w14:paraId="2F1EE17D" w14:textId="77777777" w:rsidR="00465A96" w:rsidRPr="00465A96" w:rsidRDefault="00465A96" w:rsidP="00465A96">
      <w:pPr>
        <w:numPr>
          <w:ilvl w:val="1"/>
          <w:numId w:val="77"/>
        </w:numPr>
        <w:ind w:left="2127"/>
        <w:rPr>
          <w:lang w:eastAsia="hr-HR"/>
        </w:rPr>
      </w:pPr>
      <w:r w:rsidRPr="00465A96">
        <w:rPr>
          <w:lang w:eastAsia="hr-HR"/>
        </w:rPr>
        <w:lastRenderedPageBreak/>
        <w:t>6% od maksimalno mogućih bodova zgradama koje kroz projektno rješenje predvide mjere za povećanje mehaničke otpornosti i stabilnosti zgrade posebice s ciljem povećanja potresne otpornosti zgrade</w:t>
      </w:r>
    </w:p>
    <w:p w14:paraId="26D8C18F" w14:textId="31871B36" w:rsidR="00080290" w:rsidRPr="006734C7" w:rsidRDefault="00465A96" w:rsidP="00465A96">
      <w:pPr>
        <w:numPr>
          <w:ilvl w:val="1"/>
          <w:numId w:val="77"/>
        </w:numPr>
        <w:ind w:left="2127"/>
        <w:rPr>
          <w:lang w:eastAsia="hr-HR"/>
        </w:rPr>
      </w:pPr>
      <w:r w:rsidRPr="00465A96">
        <w:rPr>
          <w:lang w:eastAsia="hr-HR"/>
        </w:rPr>
        <w:t xml:space="preserve"> 10% od maksimalno mogućih bodova zgradama koje kroz projektno rješenje predvide mjere za povećanje mehaničke otpornosti i stabilnosti zgrade posebice s ciljem povećanja potresne otpornosti zgrade, dvije ili više mjera za povećanje zaštite od požara i dvije ili više mjera za unapređenje unutarnjih klimatskih uvjeta </w:t>
      </w:r>
    </w:p>
    <w:p w14:paraId="27BD2E5F" w14:textId="049E29F9" w:rsidR="008F0DE2" w:rsidRPr="00971F9E" w:rsidRDefault="008F0DE2" w:rsidP="008F0DE2">
      <w:pPr>
        <w:numPr>
          <w:ilvl w:val="0"/>
          <w:numId w:val="40"/>
        </w:numPr>
        <w:rPr>
          <w:lang w:eastAsia="hr-HR"/>
        </w:rPr>
      </w:pPr>
      <w:r w:rsidRPr="00971F9E">
        <w:rPr>
          <w:b/>
          <w:lang w:eastAsia="hr-HR"/>
        </w:rPr>
        <w:t xml:space="preserve">Priključenje na </w:t>
      </w:r>
      <w:r w:rsidR="0091746D">
        <w:rPr>
          <w:b/>
          <w:lang w:eastAsia="hr-HR"/>
        </w:rPr>
        <w:t xml:space="preserve">učinkovite </w:t>
      </w:r>
      <w:r w:rsidRPr="00971F9E">
        <w:rPr>
          <w:b/>
          <w:lang w:eastAsia="hr-HR"/>
        </w:rPr>
        <w:t>centralizirane toplinske sustave</w:t>
      </w:r>
      <w:r w:rsidRPr="00971F9E">
        <w:rPr>
          <w:lang w:eastAsia="hr-HR"/>
        </w:rPr>
        <w:t xml:space="preserve"> (važnost: </w:t>
      </w:r>
      <w:r w:rsidR="00DB70D4">
        <w:rPr>
          <w:lang w:eastAsia="hr-HR"/>
        </w:rPr>
        <w:t>10</w:t>
      </w:r>
      <w:r w:rsidRPr="00971F9E">
        <w:rPr>
          <w:lang w:eastAsia="hr-HR"/>
        </w:rPr>
        <w:t>% od maksimalno mogućih bodova)</w:t>
      </w:r>
    </w:p>
    <w:p w14:paraId="1FA8AA8F" w14:textId="66F2587D" w:rsidR="008F0DE2" w:rsidRPr="006734C7" w:rsidRDefault="6C91A0FE" w:rsidP="00703875">
      <w:pPr>
        <w:numPr>
          <w:ilvl w:val="1"/>
          <w:numId w:val="79"/>
        </w:numPr>
        <w:rPr>
          <w:lang w:eastAsia="hr-HR"/>
        </w:rPr>
      </w:pPr>
      <w:r w:rsidRPr="00B357F4">
        <w:rPr>
          <w:lang w:eastAsia="hr-HR"/>
        </w:rPr>
        <w:t xml:space="preserve">Strategijom vala obnove predviđena je dekarbonizacija zgrada koju je najučinkovitije,  osobito u većim urbanim cjelinama koje imaju veće energetske potrebe, </w:t>
      </w:r>
      <w:r w:rsidR="48A11896" w:rsidRPr="00B357F4">
        <w:rPr>
          <w:lang w:eastAsia="hr-HR"/>
        </w:rPr>
        <w:t>provesti</w:t>
      </w:r>
      <w:r w:rsidRPr="00B357F4">
        <w:rPr>
          <w:lang w:eastAsia="hr-HR"/>
        </w:rPr>
        <w:t xml:space="preserve"> opskrbom zgrada energijom iz centraliziranih toplinskih sustava koji su učinkoviti odnosno koriste obnovljive izvore energije. </w:t>
      </w:r>
      <w:r w:rsidR="00524A9C" w:rsidRPr="00B357F4">
        <w:rPr>
          <w:lang w:eastAsia="hr-HR"/>
        </w:rPr>
        <w:t>Zgradama koje će nakon obnove</w:t>
      </w:r>
      <w:r w:rsidR="005E29B2">
        <w:rPr>
          <w:lang w:eastAsia="hr-HR"/>
        </w:rPr>
        <w:t xml:space="preserve"> (a što je predviđeno u projektnoj dokumentaciji)</w:t>
      </w:r>
      <w:r w:rsidR="00524A9C" w:rsidRPr="00B357F4">
        <w:rPr>
          <w:lang w:eastAsia="hr-HR"/>
        </w:rPr>
        <w:t xml:space="preserve"> </w:t>
      </w:r>
      <w:r w:rsidRPr="00B357F4">
        <w:rPr>
          <w:lang w:eastAsia="hr-HR"/>
        </w:rPr>
        <w:t xml:space="preserve">biti priključene na takve sustave dodjeljuje se </w:t>
      </w:r>
      <w:r w:rsidR="00DB70D4">
        <w:rPr>
          <w:lang w:eastAsia="hr-HR"/>
        </w:rPr>
        <w:t>10</w:t>
      </w:r>
      <w:r w:rsidRPr="00B357F4">
        <w:rPr>
          <w:lang w:eastAsia="hr-HR"/>
        </w:rPr>
        <w:t xml:space="preserve">% od maksimalno mogućih bodova.  </w:t>
      </w:r>
    </w:p>
    <w:p w14:paraId="4354E4D9" w14:textId="77777777" w:rsidR="008F0DE2" w:rsidRPr="00373352" w:rsidRDefault="008F0DE2" w:rsidP="008F0DE2">
      <w:pPr>
        <w:numPr>
          <w:ilvl w:val="0"/>
          <w:numId w:val="40"/>
        </w:numPr>
        <w:rPr>
          <w:lang w:eastAsia="hr-HR"/>
        </w:rPr>
      </w:pPr>
      <w:r w:rsidRPr="00373352">
        <w:rPr>
          <w:b/>
          <w:lang w:eastAsia="hr-HR"/>
        </w:rPr>
        <w:t>Elementi zelene infrastrukture</w:t>
      </w:r>
      <w:r w:rsidRPr="006734C7">
        <w:rPr>
          <w:lang w:eastAsia="hr-HR"/>
        </w:rPr>
        <w:t xml:space="preserve"> (važnost: 5% od maksimalno mogućih bodova)</w:t>
      </w:r>
    </w:p>
    <w:p w14:paraId="085B7800" w14:textId="77777777" w:rsidR="00893593" w:rsidRPr="00893593" w:rsidRDefault="00893593" w:rsidP="00893593">
      <w:pPr>
        <w:numPr>
          <w:ilvl w:val="1"/>
          <w:numId w:val="80"/>
        </w:numPr>
        <w:rPr>
          <w:lang w:eastAsia="hr-HR"/>
        </w:rPr>
      </w:pPr>
      <w:r w:rsidRPr="00893593">
        <w:rPr>
          <w:lang w:eastAsia="hr-HR"/>
        </w:rPr>
        <w:t>Zgradama koje će koje će kroz obnovu primijeniti elemente zelene infrastrukture, u skladu s prihvatljivim mjerama iz Grupe 5 navedenih u poglavlju 6.2. dodjeljuje se:</w:t>
      </w:r>
    </w:p>
    <w:p w14:paraId="381741D0" w14:textId="77777777" w:rsidR="00893593" w:rsidRPr="00893593" w:rsidRDefault="00893593" w:rsidP="00FC0BF7">
      <w:pPr>
        <w:numPr>
          <w:ilvl w:val="1"/>
          <w:numId w:val="80"/>
        </w:numPr>
        <w:ind w:left="1843" w:hanging="283"/>
        <w:rPr>
          <w:lang w:eastAsia="hr-HR"/>
        </w:rPr>
      </w:pPr>
      <w:r w:rsidRPr="00893593">
        <w:rPr>
          <w:lang w:eastAsia="hr-HR"/>
        </w:rPr>
        <w:t xml:space="preserve"> 2% od maksimalno mogućih bodova za primjenu jednog elementa zelene infrastrukture </w:t>
      </w:r>
    </w:p>
    <w:p w14:paraId="6F4489AC" w14:textId="77777777" w:rsidR="00893593" w:rsidRPr="00893593" w:rsidRDefault="00893593" w:rsidP="00FC0BF7">
      <w:pPr>
        <w:numPr>
          <w:ilvl w:val="1"/>
          <w:numId w:val="80"/>
        </w:numPr>
        <w:ind w:left="1843" w:hanging="283"/>
        <w:rPr>
          <w:lang w:eastAsia="hr-HR"/>
        </w:rPr>
      </w:pPr>
      <w:r w:rsidRPr="00893593">
        <w:rPr>
          <w:lang w:eastAsia="hr-HR"/>
        </w:rPr>
        <w:t>3% od maksimalno mogućih bodova za primjenu dva do četiri elemenata zelene infrastrukture</w:t>
      </w:r>
    </w:p>
    <w:p w14:paraId="336285C5" w14:textId="77777777" w:rsidR="00893593" w:rsidRPr="00893593" w:rsidRDefault="00893593" w:rsidP="00FC0BF7">
      <w:pPr>
        <w:numPr>
          <w:ilvl w:val="1"/>
          <w:numId w:val="80"/>
        </w:numPr>
        <w:ind w:left="1843" w:hanging="283"/>
        <w:rPr>
          <w:lang w:eastAsia="hr-HR"/>
        </w:rPr>
      </w:pPr>
      <w:r w:rsidRPr="00893593">
        <w:rPr>
          <w:lang w:eastAsia="hr-HR"/>
        </w:rPr>
        <w:t xml:space="preserve">5% od maksimalno mogućih bodova za primjenu više od četiri elementa zelene infrastrukture.  </w:t>
      </w:r>
    </w:p>
    <w:p w14:paraId="5E3FEEC1" w14:textId="77777777" w:rsidR="008F0DE2" w:rsidRPr="00B357F4" w:rsidRDefault="008F0DE2" w:rsidP="008F0DE2">
      <w:pPr>
        <w:rPr>
          <w:lang w:eastAsia="hr-HR"/>
        </w:rPr>
      </w:pPr>
    </w:p>
    <w:p w14:paraId="6AF75E79" w14:textId="4BDCB14D" w:rsidR="00FC0BF7" w:rsidRPr="00FE61EB" w:rsidRDefault="00FC0BF7" w:rsidP="00FE61EB">
      <w:pPr>
        <w:numPr>
          <w:ilvl w:val="0"/>
          <w:numId w:val="40"/>
        </w:numPr>
        <w:rPr>
          <w:b/>
          <w:lang w:eastAsia="hr-HR"/>
        </w:rPr>
      </w:pPr>
      <w:r w:rsidRPr="00FE61EB">
        <w:rPr>
          <w:b/>
          <w:lang w:eastAsia="hr-HR"/>
        </w:rPr>
        <w:t>Agregiranje projekata i obnova većih gradskih cjelina (važnost: prednost pred pojedinačnom obnovom zgrada)</w:t>
      </w:r>
    </w:p>
    <w:p w14:paraId="1E334A7E" w14:textId="60D25073" w:rsidR="00FC0BF7" w:rsidRPr="00B357F4" w:rsidRDefault="00FC0BF7" w:rsidP="008F0DE2">
      <w:pPr>
        <w:rPr>
          <w:lang w:eastAsia="hr-HR"/>
        </w:rPr>
      </w:pPr>
      <w:r w:rsidRPr="00FC0BF7">
        <w:t xml:space="preserve">Strategija vala obnove za ostvarivanje svojih ciljeva postavljenih u 3 stupa te dostizanja i ostvarivanja obnove zgrada po godišnjoj stopi od 3% fonda zgrada do 2030. poziva na primjenu modela obnove većih gradskih cjelina odnosno agregiranje projekata. Također su kroz drugi stup </w:t>
      </w:r>
      <w:r w:rsidR="00BC2E79">
        <w:t>ZJS</w:t>
      </w:r>
      <w:r w:rsidRPr="00FC0BF7">
        <w:t xml:space="preserve">, zgrade društvenog standarda označene kao one koje pokazuju put drugim zgradama, odnosno predvode obnovu. Obzirom da je takav pristup u kojem se ne obnavlja zgrada po zgrada nego </w:t>
      </w:r>
      <w:r w:rsidRPr="003741FF">
        <w:t>veća gradska cjelina cjelovito</w:t>
      </w:r>
      <w:r w:rsidRPr="00FC0BF7">
        <w:t xml:space="preserve"> (istodobno veći broj zgrada u dijelu naselja ili gradskoj četvrti, odnosno na istoj lokaciji) efikasniji te ima veće društvene i gospodarske učinke također i u kontekstu održivog urbanog razvoja. Radi poticanja ovakvog pristupa, prijaviteljima koji prilikom prijave </w:t>
      </w:r>
      <w:r w:rsidRPr="003741FF">
        <w:t>agregiraju 3 projekta</w:t>
      </w:r>
      <w:r w:rsidRPr="00FC0BF7">
        <w:t xml:space="preserve"> ostvaruju prednost pred ostalim prijaviteljima koji prijavljuju jednu zgradu. Pritom se za agregirane projekte stvara zasebnu grupa i agregirani projekti rangiraju se unutar nje na način da svaka agregirana grupa ima prosjek ukupnog broja bodova (kriterija 1-8) svojih pojedinačnih zgrada. Za ostvarenje agregiranja projekta različitih vrsta zgrada potrebno je objediniti pozive za dostavu projektnih prijedloga za javne i višestambene zgrade u jedan poziv. </w:t>
      </w:r>
    </w:p>
    <w:p w14:paraId="0D260136" w14:textId="77777777" w:rsidR="005F2609" w:rsidRPr="006734C7" w:rsidRDefault="005F2609" w:rsidP="005F2609">
      <w:pPr>
        <w:pStyle w:val="Naslov20"/>
      </w:pPr>
      <w:bookmarkStart w:id="102" w:name="_Ref87357325"/>
      <w:bookmarkStart w:id="103" w:name="_Toc94769991"/>
      <w:bookmarkStart w:id="104" w:name="_Hlk77658786"/>
      <w:r w:rsidRPr="00B357F4">
        <w:t>Obuhvat aktivnosti energetske i sveobuhvatne obnove zgrada javnog sektora</w:t>
      </w:r>
      <w:bookmarkEnd w:id="102"/>
      <w:bookmarkEnd w:id="103"/>
    </w:p>
    <w:p w14:paraId="26000137" w14:textId="61FA4E1E" w:rsidR="00500EC9" w:rsidRPr="00631935" w:rsidRDefault="00500EC9" w:rsidP="00500EC9">
      <w:pPr>
        <w:rPr>
          <w:lang w:eastAsia="hr-HR"/>
        </w:rPr>
      </w:pPr>
      <w:r w:rsidRPr="00373352">
        <w:rPr>
          <w:lang w:eastAsia="hr-HR"/>
        </w:rPr>
        <w:t>Predviđene su</w:t>
      </w:r>
      <w:r w:rsidRPr="006734C7">
        <w:rPr>
          <w:lang w:eastAsia="hr-HR"/>
        </w:rPr>
        <w:t xml:space="preserve"> </w:t>
      </w:r>
      <w:r w:rsidR="00FA435D" w:rsidRPr="7AEFCEA8">
        <w:rPr>
          <w:lang w:eastAsia="hr-HR"/>
        </w:rPr>
        <w:t>sl</w:t>
      </w:r>
      <w:r w:rsidR="000D67D0">
        <w:rPr>
          <w:lang w:eastAsia="hr-HR"/>
        </w:rPr>
        <w:t>i</w:t>
      </w:r>
      <w:r w:rsidR="00FA435D" w:rsidRPr="7AEFCEA8">
        <w:rPr>
          <w:lang w:eastAsia="hr-HR"/>
        </w:rPr>
        <w:t xml:space="preserve">jedeće </w:t>
      </w:r>
      <w:r w:rsidR="00FA435D">
        <w:rPr>
          <w:lang w:eastAsia="hr-HR"/>
        </w:rPr>
        <w:t xml:space="preserve">okvirne </w:t>
      </w:r>
      <w:r w:rsidR="00FA435D" w:rsidRPr="7AEFCEA8">
        <w:rPr>
          <w:b/>
          <w:bCs/>
          <w:lang w:eastAsia="hr-HR"/>
        </w:rPr>
        <w:t>aktivnosti energetske i sveobuhvatne obnove</w:t>
      </w:r>
      <w:r w:rsidR="00FA435D" w:rsidRPr="7AEFCEA8">
        <w:rPr>
          <w:lang w:eastAsia="hr-HR"/>
        </w:rPr>
        <w:t xml:space="preserve"> zgrada javnog sektora</w:t>
      </w:r>
      <w:r w:rsidR="00FA435D">
        <w:rPr>
          <w:lang w:eastAsia="hr-HR"/>
        </w:rPr>
        <w:t>, a sve prihvatljive mjere biti će detaljno propisane u pozivima za dostavu projektnih prijedloga</w:t>
      </w:r>
      <w:r w:rsidRPr="00373352">
        <w:rPr>
          <w:lang w:eastAsia="hr-HR"/>
        </w:rPr>
        <w:t>:</w:t>
      </w:r>
    </w:p>
    <w:p w14:paraId="217D3863" w14:textId="77777777" w:rsidR="00C04FB5" w:rsidRPr="00C04FB5" w:rsidRDefault="00500EC9" w:rsidP="00C04FB5">
      <w:pPr>
        <w:rPr>
          <w:b/>
          <w:bCs/>
          <w:lang w:eastAsia="hr-HR"/>
        </w:rPr>
      </w:pPr>
      <w:r w:rsidRPr="00C04FB5">
        <w:rPr>
          <w:b/>
          <w:bCs/>
          <w:lang w:eastAsia="hr-HR"/>
        </w:rPr>
        <w:t xml:space="preserve">Grupa 1 – </w:t>
      </w:r>
      <w:r w:rsidR="00C04FB5" w:rsidRPr="00C04FB5">
        <w:rPr>
          <w:b/>
          <w:bCs/>
          <w:lang w:eastAsia="hr-HR"/>
        </w:rPr>
        <w:t>upravljanje projektom i administracija</w:t>
      </w:r>
    </w:p>
    <w:p w14:paraId="5BE8F6B8" w14:textId="77777777" w:rsidR="00C04FB5" w:rsidRPr="00C04FB5" w:rsidRDefault="00C04FB5" w:rsidP="00C04FB5">
      <w:pPr>
        <w:numPr>
          <w:ilvl w:val="0"/>
          <w:numId w:val="62"/>
        </w:numPr>
        <w:rPr>
          <w:lang w:eastAsia="hr-HR"/>
        </w:rPr>
      </w:pPr>
      <w:r w:rsidRPr="00C04FB5">
        <w:rPr>
          <w:lang w:eastAsia="hr-HR"/>
        </w:rPr>
        <w:t>Aktivnosti i procesi upravljanja projektom i administracija tijekom pripreme i provedbe projekta</w:t>
      </w:r>
    </w:p>
    <w:p w14:paraId="134DD8FF" w14:textId="01E289A4" w:rsidR="00C04FB5" w:rsidRPr="00C04FB5" w:rsidRDefault="00C04FB5" w:rsidP="00C04FB5">
      <w:pPr>
        <w:numPr>
          <w:ilvl w:val="0"/>
          <w:numId w:val="62"/>
        </w:numPr>
        <w:rPr>
          <w:lang w:eastAsia="hr-HR"/>
        </w:rPr>
      </w:pPr>
      <w:r w:rsidRPr="00C04FB5">
        <w:rPr>
          <w:lang w:eastAsia="hr-HR"/>
        </w:rPr>
        <w:t>Upravljanje projektom (samo u slučaju agregiranja projekata)</w:t>
      </w:r>
    </w:p>
    <w:p w14:paraId="338FA3EE" w14:textId="77777777" w:rsidR="00C6277C" w:rsidRPr="00971F9E" w:rsidRDefault="00C6277C" w:rsidP="00500EC9">
      <w:pPr>
        <w:rPr>
          <w:lang w:eastAsia="hr-HR"/>
        </w:rPr>
      </w:pPr>
    </w:p>
    <w:p w14:paraId="26822A8B" w14:textId="06741050" w:rsidR="00500EC9" w:rsidRPr="00971F9E" w:rsidRDefault="00500EC9" w:rsidP="00500EC9">
      <w:pPr>
        <w:rPr>
          <w:b/>
          <w:lang w:eastAsia="hr-HR"/>
        </w:rPr>
      </w:pPr>
      <w:r w:rsidRPr="00971F9E">
        <w:rPr>
          <w:b/>
          <w:lang w:eastAsia="hr-HR"/>
        </w:rPr>
        <w:t xml:space="preserve">Grupa </w:t>
      </w:r>
      <w:r w:rsidR="00C04FB5">
        <w:rPr>
          <w:b/>
          <w:lang w:eastAsia="hr-HR"/>
        </w:rPr>
        <w:t>2</w:t>
      </w:r>
      <w:r w:rsidR="00C04FB5" w:rsidRPr="00971F9E">
        <w:rPr>
          <w:b/>
          <w:lang w:eastAsia="hr-HR"/>
        </w:rPr>
        <w:t xml:space="preserve"> </w:t>
      </w:r>
      <w:r w:rsidRPr="00971F9E">
        <w:rPr>
          <w:b/>
          <w:lang w:eastAsia="hr-HR"/>
        </w:rPr>
        <w:t>– priprema i projektiranje</w:t>
      </w:r>
    </w:p>
    <w:p w14:paraId="1FCF56E5" w14:textId="77777777" w:rsidR="00500EC9" w:rsidRPr="00B357F4" w:rsidRDefault="4205B0D8" w:rsidP="00500EC9">
      <w:pPr>
        <w:numPr>
          <w:ilvl w:val="0"/>
          <w:numId w:val="62"/>
        </w:numPr>
        <w:rPr>
          <w:lang w:eastAsia="hr-HR"/>
        </w:rPr>
      </w:pPr>
      <w:r w:rsidRPr="00971F9E">
        <w:rPr>
          <w:lang w:eastAsia="hr-HR"/>
        </w:rPr>
        <w:lastRenderedPageBreak/>
        <w:t>Provođenje energetskog pregleda i izrada energetskog certifikata zgrade prije obnove (za zgrade čija ukupna površina ne prelazi 250 m</w:t>
      </w:r>
      <w:r w:rsidRPr="00B357F4">
        <w:rPr>
          <w:vertAlign w:val="superscript"/>
          <w:lang w:eastAsia="hr-HR"/>
        </w:rPr>
        <w:t>2</w:t>
      </w:r>
      <w:r w:rsidRPr="00B357F4">
        <w:rPr>
          <w:lang w:eastAsia="hr-HR"/>
        </w:rPr>
        <w:t>)</w:t>
      </w:r>
    </w:p>
    <w:p w14:paraId="70453F98" w14:textId="4E6E3903" w:rsidR="00500EC9" w:rsidRPr="00B357F4" w:rsidRDefault="4205B0D8">
      <w:pPr>
        <w:numPr>
          <w:ilvl w:val="0"/>
          <w:numId w:val="62"/>
        </w:numPr>
        <w:rPr>
          <w:lang w:eastAsia="hr-HR"/>
        </w:rPr>
      </w:pPr>
      <w:r w:rsidRPr="00B357F4">
        <w:rPr>
          <w:lang w:eastAsia="hr-HR"/>
        </w:rPr>
        <w:t xml:space="preserve">Analiza </w:t>
      </w:r>
      <w:r w:rsidR="7CEC5899" w:rsidRPr="00B357F4">
        <w:rPr>
          <w:lang w:eastAsia="hr-HR"/>
        </w:rPr>
        <w:t xml:space="preserve">postojećeg </w:t>
      </w:r>
      <w:r w:rsidRPr="00B357F4">
        <w:rPr>
          <w:lang w:eastAsia="hr-HR"/>
        </w:rPr>
        <w:t xml:space="preserve">stanja zgrade prema smjernicama analize postojećeg stanja zgrade te prikaz mjera za poboljšanje postojećeg stanja cijele zgrade s procjenom investicije po pitanju zdravih unutarnjih klimatskih uvjeta, </w:t>
      </w:r>
      <w:r w:rsidR="35E4D7EE" w:rsidRPr="00B357F4">
        <w:rPr>
          <w:lang w:eastAsia="hr-HR"/>
        </w:rPr>
        <w:t>sigurnosti u slučaju požara</w:t>
      </w:r>
      <w:r w:rsidRPr="00B357F4">
        <w:rPr>
          <w:lang w:eastAsia="hr-HR"/>
        </w:rPr>
        <w:t xml:space="preserve"> i </w:t>
      </w:r>
      <w:r w:rsidR="664C0A39" w:rsidRPr="00B357F4">
        <w:rPr>
          <w:lang w:eastAsia="hr-HR"/>
        </w:rPr>
        <w:t>povećanja potresne otpornosti zgrade</w:t>
      </w:r>
    </w:p>
    <w:p w14:paraId="09BC2EB2" w14:textId="7C29C4A9" w:rsidR="00500EC9" w:rsidRPr="00971F9E" w:rsidRDefault="4205B0D8" w:rsidP="00500EC9">
      <w:pPr>
        <w:numPr>
          <w:ilvl w:val="0"/>
          <w:numId w:val="62"/>
        </w:numPr>
        <w:rPr>
          <w:lang w:eastAsia="hr-HR"/>
        </w:rPr>
      </w:pPr>
      <w:r w:rsidRPr="00971F9E">
        <w:rPr>
          <w:lang w:eastAsia="hr-HR"/>
        </w:rPr>
        <w:t>Izrada projektne dokumentacije</w:t>
      </w:r>
    </w:p>
    <w:p w14:paraId="13582880" w14:textId="71D8A229" w:rsidR="00500EC9" w:rsidRPr="00B357F4" w:rsidRDefault="4205B0D8" w:rsidP="00500EC9">
      <w:pPr>
        <w:numPr>
          <w:ilvl w:val="0"/>
          <w:numId w:val="62"/>
        </w:numPr>
        <w:rPr>
          <w:lang w:eastAsia="hr-HR"/>
        </w:rPr>
      </w:pPr>
      <w:r w:rsidRPr="00971F9E">
        <w:rPr>
          <w:lang w:eastAsia="hr-HR"/>
        </w:rPr>
        <w:t xml:space="preserve">Izrada </w:t>
      </w:r>
      <w:r w:rsidR="7D7FED67" w:rsidRPr="00B357F4">
        <w:rPr>
          <w:lang w:eastAsia="hr-HR"/>
        </w:rPr>
        <w:t>izvješća revidenta prema potrebi</w:t>
      </w:r>
    </w:p>
    <w:p w14:paraId="38167511" w14:textId="77777777" w:rsidR="00500EC9" w:rsidRPr="00B357F4" w:rsidRDefault="00500EC9" w:rsidP="00500EC9">
      <w:pPr>
        <w:rPr>
          <w:lang w:eastAsia="hr-HR"/>
        </w:rPr>
      </w:pPr>
    </w:p>
    <w:p w14:paraId="75826A1B" w14:textId="6DB68DD0" w:rsidR="00D24233" w:rsidRPr="006734C7" w:rsidRDefault="00500EC9" w:rsidP="00D24233">
      <w:pPr>
        <w:rPr>
          <w:b/>
          <w:lang w:eastAsia="hr-HR"/>
        </w:rPr>
      </w:pPr>
      <w:r w:rsidRPr="00B357F4">
        <w:rPr>
          <w:b/>
          <w:lang w:eastAsia="hr-HR"/>
        </w:rPr>
        <w:t xml:space="preserve">Grupa </w:t>
      </w:r>
      <w:r w:rsidR="00293E83">
        <w:rPr>
          <w:b/>
          <w:lang w:eastAsia="hr-HR"/>
        </w:rPr>
        <w:t>3</w:t>
      </w:r>
      <w:r w:rsidR="00293E83" w:rsidRPr="00B357F4">
        <w:rPr>
          <w:b/>
          <w:lang w:eastAsia="hr-HR"/>
        </w:rPr>
        <w:t xml:space="preserve">  </w:t>
      </w:r>
      <w:r w:rsidRPr="00B357F4">
        <w:rPr>
          <w:b/>
          <w:lang w:eastAsia="hr-HR"/>
        </w:rPr>
        <w:t xml:space="preserve">- </w:t>
      </w:r>
      <w:r w:rsidR="00833BD1">
        <w:rPr>
          <w:b/>
          <w:lang w:eastAsia="hr-HR"/>
        </w:rPr>
        <w:t>mjere energetske učinkovitosti</w:t>
      </w:r>
      <w:r w:rsidR="00D24233" w:rsidRPr="00373352">
        <w:rPr>
          <w:b/>
          <w:lang w:eastAsia="hr-HR"/>
        </w:rPr>
        <w:t xml:space="preserve"> </w:t>
      </w:r>
    </w:p>
    <w:p w14:paraId="2BB7AD7F" w14:textId="7DCE37FE" w:rsidR="00D10FE8" w:rsidRPr="00D10FE8" w:rsidRDefault="00D10FE8" w:rsidP="00D10FE8">
      <w:pPr>
        <w:numPr>
          <w:ilvl w:val="0"/>
          <w:numId w:val="63"/>
        </w:numPr>
        <w:rPr>
          <w:lang w:eastAsia="hr-HR"/>
        </w:rPr>
      </w:pPr>
      <w:r w:rsidRPr="00D10FE8">
        <w:rPr>
          <w:lang w:eastAsia="hr-HR"/>
        </w:rPr>
        <w:t>Obnova ovojnice zgrade – izvedba toplinske izolacije na građevnim dijelovima zgrade (Vanjski zid, ravni krov, kosi krov, strop prema negrijanom tavanu, strop iznad vanjskog zraka, pod iznad negrijanog prostora, pod na tlu, zidovi prema negrijanim prostorima)</w:t>
      </w:r>
      <w:r w:rsidR="00C31EC5">
        <w:rPr>
          <w:lang w:eastAsia="hr-HR"/>
        </w:rPr>
        <w:t xml:space="preserve">, </w:t>
      </w:r>
      <w:r w:rsidR="00C31EC5" w:rsidRPr="00D10FE8">
        <w:rPr>
          <w:lang w:eastAsia="hr-HR"/>
        </w:rPr>
        <w:t>zamjena postojeće vanjske stolarije/bravarije novom energetski učinkovitijom</w:t>
      </w:r>
    </w:p>
    <w:p w14:paraId="3192E0B3" w14:textId="77777777" w:rsidR="00D10FE8" w:rsidRPr="00D10FE8" w:rsidRDefault="00D10FE8" w:rsidP="00D10FE8">
      <w:pPr>
        <w:numPr>
          <w:ilvl w:val="0"/>
          <w:numId w:val="63"/>
        </w:numPr>
        <w:rPr>
          <w:lang w:eastAsia="hr-HR"/>
        </w:rPr>
      </w:pPr>
      <w:r w:rsidRPr="00D10FE8">
        <w:rPr>
          <w:lang w:eastAsia="hr-HR"/>
        </w:rPr>
        <w:t>Izvedba sustava za zaštitu od sunca i zasjenjenje prostora radi smanjenja potreba za hlađenjem</w:t>
      </w:r>
    </w:p>
    <w:p w14:paraId="6AC31269" w14:textId="1EA7A527" w:rsidR="00D10FE8" w:rsidRPr="00B944AA" w:rsidRDefault="00D10FE8" w:rsidP="00D10FE8">
      <w:pPr>
        <w:numPr>
          <w:ilvl w:val="0"/>
          <w:numId w:val="63"/>
        </w:numPr>
        <w:rPr>
          <w:lang w:eastAsia="hr-HR"/>
        </w:rPr>
      </w:pPr>
      <w:r w:rsidRPr="00B944AA">
        <w:rPr>
          <w:lang w:eastAsia="hr-HR"/>
        </w:rPr>
        <w:t xml:space="preserve">Priključenje na </w:t>
      </w:r>
      <w:r w:rsidR="00485D93" w:rsidRPr="00B944AA">
        <w:rPr>
          <w:lang w:eastAsia="hr-HR"/>
        </w:rPr>
        <w:t>učinkovit</w:t>
      </w:r>
      <w:r w:rsidR="00665E8D" w:rsidRPr="00B944AA">
        <w:rPr>
          <w:lang w:eastAsia="hr-HR"/>
        </w:rPr>
        <w:t>i</w:t>
      </w:r>
      <w:r w:rsidR="00485D93" w:rsidRPr="00B944AA">
        <w:rPr>
          <w:lang w:eastAsia="hr-HR"/>
        </w:rPr>
        <w:t xml:space="preserve"> </w:t>
      </w:r>
      <w:r w:rsidRPr="00B944AA">
        <w:rPr>
          <w:lang w:eastAsia="hr-HR"/>
        </w:rPr>
        <w:t>centralizirani toplinski sustav (toplana, kotlovi na biomasu i dr.)</w:t>
      </w:r>
      <w:r w:rsidR="00635932" w:rsidRPr="00B944AA">
        <w:rPr>
          <w:lang w:eastAsia="hr-HR"/>
        </w:rPr>
        <w:t xml:space="preserve"> </w:t>
      </w:r>
      <w:r w:rsidRPr="00B944AA">
        <w:rPr>
          <w:lang w:eastAsia="hr-HR"/>
        </w:rPr>
        <w:t xml:space="preserve">za grijanje i/ili pripremu PTV, </w:t>
      </w:r>
      <w:r w:rsidR="00107879" w:rsidRPr="00B944AA">
        <w:rPr>
          <w:lang w:eastAsia="hr-HR"/>
        </w:rPr>
        <w:t xml:space="preserve">uključuje </w:t>
      </w:r>
      <w:r w:rsidR="008A251F" w:rsidRPr="00B944AA">
        <w:rPr>
          <w:lang w:eastAsia="hr-HR"/>
        </w:rPr>
        <w:t xml:space="preserve">rekonstrukciju </w:t>
      </w:r>
      <w:r w:rsidRPr="00B944AA">
        <w:rPr>
          <w:lang w:eastAsia="hr-HR"/>
        </w:rPr>
        <w:t xml:space="preserve">toplinskih </w:t>
      </w:r>
      <w:r w:rsidR="00ED7547" w:rsidRPr="00B944AA">
        <w:rPr>
          <w:lang w:eastAsia="hr-HR"/>
        </w:rPr>
        <w:t>pod</w:t>
      </w:r>
      <w:r w:rsidRPr="00B944AA">
        <w:rPr>
          <w:lang w:eastAsia="hr-HR"/>
        </w:rPr>
        <w:t xml:space="preserve">stanica s balansiranjem sustava grijanja, </w:t>
      </w:r>
      <w:r w:rsidR="008A251F" w:rsidRPr="00B944AA">
        <w:rPr>
          <w:lang w:eastAsia="hr-HR"/>
        </w:rPr>
        <w:t xml:space="preserve">ugradnju </w:t>
      </w:r>
      <w:r w:rsidRPr="00B944AA">
        <w:rPr>
          <w:lang w:eastAsia="hr-HR"/>
        </w:rPr>
        <w:t xml:space="preserve">novih ili </w:t>
      </w:r>
      <w:r w:rsidR="008A251F" w:rsidRPr="00B944AA">
        <w:rPr>
          <w:lang w:eastAsia="hr-HR"/>
        </w:rPr>
        <w:t xml:space="preserve">zamjenu </w:t>
      </w:r>
      <w:r w:rsidRPr="00B944AA">
        <w:rPr>
          <w:lang w:eastAsia="hr-HR"/>
        </w:rPr>
        <w:t>postojećih izmjenjivača topline za grijanje i pripremu PTV</w:t>
      </w:r>
      <w:r w:rsidR="00ED7547" w:rsidRPr="00B944AA">
        <w:rPr>
          <w:lang w:eastAsia="hr-HR"/>
        </w:rPr>
        <w:t xml:space="preserve">, </w:t>
      </w:r>
      <w:r w:rsidR="008A251F" w:rsidRPr="00B944AA">
        <w:rPr>
          <w:lang w:eastAsia="hr-HR"/>
        </w:rPr>
        <w:t xml:space="preserve"> te izvedbu </w:t>
      </w:r>
      <w:r w:rsidR="00ED7547" w:rsidRPr="00B944AA">
        <w:rPr>
          <w:lang w:eastAsia="hr-HR"/>
        </w:rPr>
        <w:t>intern</w:t>
      </w:r>
      <w:r w:rsidR="008A251F" w:rsidRPr="00B944AA">
        <w:rPr>
          <w:lang w:eastAsia="hr-HR"/>
        </w:rPr>
        <w:t>ih</w:t>
      </w:r>
      <w:r w:rsidR="00ED7547" w:rsidRPr="00B944AA">
        <w:rPr>
          <w:lang w:eastAsia="hr-HR"/>
        </w:rPr>
        <w:t xml:space="preserve"> instalacij</w:t>
      </w:r>
      <w:r w:rsidR="008A251F" w:rsidRPr="00B944AA">
        <w:rPr>
          <w:lang w:eastAsia="hr-HR"/>
        </w:rPr>
        <w:t>a</w:t>
      </w:r>
    </w:p>
    <w:p w14:paraId="58A628C0" w14:textId="1A6A814F" w:rsidR="00D10FE8" w:rsidRPr="00B944AA" w:rsidRDefault="00D10FE8" w:rsidP="00D10FE8">
      <w:pPr>
        <w:numPr>
          <w:ilvl w:val="0"/>
          <w:numId w:val="63"/>
        </w:numPr>
        <w:rPr>
          <w:lang w:eastAsia="hr-HR"/>
        </w:rPr>
      </w:pPr>
      <w:r w:rsidRPr="00B944AA">
        <w:rPr>
          <w:lang w:eastAsia="hr-HR"/>
        </w:rPr>
        <w:t xml:space="preserve">Ugradnja  </w:t>
      </w:r>
      <w:r w:rsidRPr="00D10FE8">
        <w:rPr>
          <w:lang w:eastAsia="hr-HR"/>
        </w:rPr>
        <w:t xml:space="preserve">novog ili zamjena postojećeg sustava grijanja i pripreme PTV s visokoučinkovitim </w:t>
      </w:r>
      <w:r w:rsidR="00AB6814">
        <w:rPr>
          <w:lang w:eastAsia="hr-HR"/>
        </w:rPr>
        <w:t xml:space="preserve">kondenzacijskim kotlovima, </w:t>
      </w:r>
      <w:r w:rsidRPr="00D10FE8">
        <w:rPr>
          <w:lang w:eastAsia="hr-HR"/>
        </w:rPr>
        <w:t xml:space="preserve">sustavom grijanja i pripreme PTV s prirodnim plinom kao izvorom topline koja uključuje sve dijelove sustava i kotlovnice do priključka na sustav razvoda uz </w:t>
      </w:r>
      <w:r w:rsidRPr="00FE61EB">
        <w:rPr>
          <w:lang w:eastAsia="hr-HR"/>
        </w:rPr>
        <w:t xml:space="preserve">rekonstrukciju dimnjaka (ova mjera je prihvatljiva u </w:t>
      </w:r>
      <w:r w:rsidR="000C3950" w:rsidRPr="00FE61EB">
        <w:rPr>
          <w:lang w:eastAsia="hr-HR"/>
        </w:rPr>
        <w:t>javnim pozivima</w:t>
      </w:r>
      <w:r w:rsidR="009C2FF5" w:rsidRPr="00FE61EB">
        <w:rPr>
          <w:lang w:eastAsia="hr-HR"/>
        </w:rPr>
        <w:t xml:space="preserve"> koji se sufinanciraju</w:t>
      </w:r>
      <w:r w:rsidR="000C3950" w:rsidRPr="00FE61EB">
        <w:rPr>
          <w:lang w:eastAsia="hr-HR"/>
        </w:rPr>
        <w:t xml:space="preserve"> iz NPOO-a</w:t>
      </w:r>
      <w:r w:rsidRPr="00FE61EB">
        <w:rPr>
          <w:lang w:eastAsia="hr-HR"/>
        </w:rPr>
        <w:t xml:space="preserve">) </w:t>
      </w:r>
    </w:p>
    <w:p w14:paraId="79762916" w14:textId="40AC17A5" w:rsidR="00D10FE8" w:rsidRPr="00D10FE8" w:rsidRDefault="00D10FE8" w:rsidP="00D10FE8">
      <w:pPr>
        <w:numPr>
          <w:ilvl w:val="0"/>
          <w:numId w:val="63"/>
        </w:numPr>
        <w:rPr>
          <w:lang w:eastAsia="hr-HR"/>
        </w:rPr>
      </w:pPr>
      <w:r w:rsidRPr="00D10FE8">
        <w:rPr>
          <w:lang w:eastAsia="hr-HR"/>
        </w:rPr>
        <w:t>Ugradnja novog ili zamjena postojećeg sustava grijanja i pripreme PTV s visokoučinkovitim sustavom grijanja i pripreme PTV s peletima kao izvorom topline koja uključuje sve dijelove sustava i kotlovnice do priključka na sustav razvoda uz rekonstrukciju dimnjaka</w:t>
      </w:r>
    </w:p>
    <w:p w14:paraId="45131AF1" w14:textId="77777777" w:rsidR="00D10FE8" w:rsidRPr="00D10FE8" w:rsidRDefault="00D10FE8" w:rsidP="00D10FE8">
      <w:pPr>
        <w:numPr>
          <w:ilvl w:val="0"/>
          <w:numId w:val="63"/>
        </w:numPr>
        <w:rPr>
          <w:lang w:eastAsia="hr-HR"/>
        </w:rPr>
      </w:pPr>
      <w:r w:rsidRPr="00D10FE8">
        <w:rPr>
          <w:lang w:eastAsia="hr-HR"/>
        </w:rPr>
        <w:t>Ugradnja novog ili zamjena postojećeg sustava za grijanje i hlađenje s centraliziranim sustavom dizalice topline zrak/zrak – izvora topline za grijanje i hlađenje, uključujući sve dijelove sustava i kotlovnice do priključka na sustav razvoda</w:t>
      </w:r>
    </w:p>
    <w:p w14:paraId="08FD6366" w14:textId="77777777" w:rsidR="00D10FE8" w:rsidRPr="00D10FE8" w:rsidRDefault="00D10FE8" w:rsidP="00D10FE8">
      <w:pPr>
        <w:numPr>
          <w:ilvl w:val="0"/>
          <w:numId w:val="63"/>
        </w:numPr>
        <w:rPr>
          <w:lang w:eastAsia="hr-HR"/>
        </w:rPr>
      </w:pPr>
      <w:r w:rsidRPr="00D10FE8">
        <w:rPr>
          <w:lang w:eastAsia="hr-HR"/>
        </w:rPr>
        <w:t>Ugradnja novog ili zamjena postojećeg sustava za grijanje, hlađenje i pripremu PTV novim sustavom dizalice topline zrak/voda, voda/voda ili tlo/voda – izvora topline za grijanje, hlađenje i pripremu PTV, uključujući sve dijelove sustava i kotlovnice do priključka na sustav razvoda</w:t>
      </w:r>
    </w:p>
    <w:p w14:paraId="7BDAFD58" w14:textId="77777777" w:rsidR="00D10FE8" w:rsidRPr="00D10FE8" w:rsidRDefault="00D10FE8" w:rsidP="00D10FE8">
      <w:pPr>
        <w:numPr>
          <w:ilvl w:val="0"/>
          <w:numId w:val="63"/>
        </w:numPr>
        <w:rPr>
          <w:lang w:eastAsia="hr-HR"/>
        </w:rPr>
      </w:pPr>
      <w:r w:rsidRPr="00D10FE8">
        <w:rPr>
          <w:lang w:eastAsia="hr-HR"/>
        </w:rPr>
        <w:t>Ugradnja novog ili zamjena postojećeg sustava za grijanje novim VRV (VRF) izvorom topline za grijanje</w:t>
      </w:r>
    </w:p>
    <w:p w14:paraId="1B360924" w14:textId="77777777" w:rsidR="00D10FE8" w:rsidRPr="00D10FE8" w:rsidRDefault="00D10FE8" w:rsidP="00D10FE8">
      <w:pPr>
        <w:numPr>
          <w:ilvl w:val="0"/>
          <w:numId w:val="63"/>
        </w:numPr>
        <w:rPr>
          <w:lang w:eastAsia="hr-HR"/>
        </w:rPr>
      </w:pPr>
      <w:r w:rsidRPr="00D10FE8">
        <w:rPr>
          <w:lang w:eastAsia="hr-HR"/>
        </w:rPr>
        <w:t>Ugradnja novog ili zamjena postojećeg rashladnika novim rashladnikom – izvorom rashladne energije za hlađenje</w:t>
      </w:r>
    </w:p>
    <w:p w14:paraId="03095A69" w14:textId="77777777" w:rsidR="00D10FE8" w:rsidRPr="00D10FE8" w:rsidRDefault="00D10FE8" w:rsidP="00D10FE8">
      <w:pPr>
        <w:numPr>
          <w:ilvl w:val="0"/>
          <w:numId w:val="63"/>
        </w:numPr>
        <w:rPr>
          <w:lang w:eastAsia="hr-HR"/>
        </w:rPr>
      </w:pPr>
      <w:r w:rsidRPr="00D10FE8">
        <w:rPr>
          <w:lang w:eastAsia="hr-HR"/>
        </w:rPr>
        <w:t>Ugradnja novog razvoda ili zamjena postojećeg s razvodom grijanja dimenzioniranim prema smanjenim potrebama zgrade nakon integralne energetske ili sveobuhvatne obnove zgrade</w:t>
      </w:r>
    </w:p>
    <w:p w14:paraId="18DE27B1" w14:textId="2E364958" w:rsidR="00D10FE8" w:rsidRPr="00D10FE8" w:rsidRDefault="00D10FE8" w:rsidP="00D10FE8">
      <w:pPr>
        <w:numPr>
          <w:ilvl w:val="0"/>
          <w:numId w:val="63"/>
        </w:numPr>
        <w:rPr>
          <w:lang w:eastAsia="hr-HR"/>
        </w:rPr>
      </w:pPr>
      <w:r w:rsidRPr="00D10FE8">
        <w:rPr>
          <w:lang w:eastAsia="hr-HR"/>
        </w:rPr>
        <w:t xml:space="preserve">Ugradnja novih ili zamjena postojećih </w:t>
      </w:r>
      <w:r w:rsidR="000D67D0" w:rsidRPr="00D10FE8">
        <w:rPr>
          <w:lang w:eastAsia="hr-HR"/>
        </w:rPr>
        <w:t>ogrjevnih</w:t>
      </w:r>
      <w:r w:rsidRPr="00D10FE8">
        <w:rPr>
          <w:lang w:eastAsia="hr-HR"/>
        </w:rPr>
        <w:t xml:space="preserve"> i rashladnih tijela s ventilokonvektorima za grijanje i hlađenje zgrade i/ili radijatorima s uređajima za samoregulaciju temperature</w:t>
      </w:r>
    </w:p>
    <w:p w14:paraId="1DA577F7" w14:textId="77777777" w:rsidR="00D10FE8" w:rsidRPr="00D10FE8" w:rsidRDefault="00D10FE8" w:rsidP="00D10FE8">
      <w:pPr>
        <w:numPr>
          <w:ilvl w:val="0"/>
          <w:numId w:val="63"/>
        </w:numPr>
        <w:rPr>
          <w:lang w:eastAsia="hr-HR"/>
        </w:rPr>
      </w:pPr>
      <w:r w:rsidRPr="00D10FE8">
        <w:rPr>
          <w:lang w:eastAsia="hr-HR"/>
        </w:rPr>
        <w:t>Unapređenje postojećeg, zamjena postojećeg ili izvedba novog sustava mehaničke ventilacije s rekuperacijom topline, koja uključuje ventilacijske uređaje i elemente kanalskog razvoda sustava ventilacije</w:t>
      </w:r>
    </w:p>
    <w:p w14:paraId="6FF7EDDC" w14:textId="27FD99BF" w:rsidR="00D10FE8" w:rsidRPr="00D10FE8" w:rsidRDefault="00D10FE8" w:rsidP="00D10FE8">
      <w:pPr>
        <w:numPr>
          <w:ilvl w:val="0"/>
          <w:numId w:val="63"/>
        </w:numPr>
        <w:rPr>
          <w:lang w:eastAsia="hr-HR"/>
        </w:rPr>
      </w:pPr>
      <w:r w:rsidRPr="00D10FE8">
        <w:rPr>
          <w:lang w:eastAsia="hr-HR"/>
        </w:rPr>
        <w:t xml:space="preserve">Zamjena postojećeg ili ugradnja novog sustava pripreme PTV koji uključuje: spremnik PTV, solarne kolektore, </w:t>
      </w:r>
      <w:r w:rsidR="000D67D0" w:rsidRPr="00D10FE8">
        <w:rPr>
          <w:lang w:eastAsia="hr-HR"/>
        </w:rPr>
        <w:t>pripadajuću</w:t>
      </w:r>
      <w:r w:rsidRPr="00D10FE8">
        <w:rPr>
          <w:lang w:eastAsia="hr-HR"/>
        </w:rPr>
        <w:t xml:space="preserve"> automatiku za regulaciju</w:t>
      </w:r>
    </w:p>
    <w:p w14:paraId="156CF46E" w14:textId="26EC5726" w:rsidR="00D10FE8" w:rsidRPr="00D10FE8" w:rsidRDefault="00D10FE8" w:rsidP="00D10FE8">
      <w:pPr>
        <w:numPr>
          <w:ilvl w:val="0"/>
          <w:numId w:val="63"/>
        </w:numPr>
        <w:rPr>
          <w:lang w:eastAsia="hr-HR"/>
        </w:rPr>
      </w:pPr>
      <w:r w:rsidRPr="00D10FE8">
        <w:rPr>
          <w:lang w:eastAsia="hr-HR"/>
        </w:rPr>
        <w:t xml:space="preserve">Ugradnja </w:t>
      </w:r>
      <w:r w:rsidR="00C53C3A" w:rsidRPr="00D10FE8">
        <w:rPr>
          <w:lang w:eastAsia="hr-HR"/>
        </w:rPr>
        <w:t xml:space="preserve">fotonaponske elektrane </w:t>
      </w:r>
      <w:r w:rsidR="00CF5E9F">
        <w:rPr>
          <w:lang w:eastAsia="hr-HR"/>
        </w:rPr>
        <w:t>za vlastite potrebe i predaju viška u mrežu</w:t>
      </w:r>
      <w:r w:rsidR="00C53C3A" w:rsidRPr="00D10FE8">
        <w:rPr>
          <w:lang w:eastAsia="hr-HR"/>
        </w:rPr>
        <w:t xml:space="preserve"> </w:t>
      </w:r>
      <w:r w:rsidRPr="00D10FE8">
        <w:rPr>
          <w:lang w:eastAsia="hr-HR"/>
        </w:rPr>
        <w:t>na raspoložive krovne površine te ugradnja spremnika električne energije vezanih sa novim ili postojećim fotonaponskim sustavima u zgradi</w:t>
      </w:r>
    </w:p>
    <w:p w14:paraId="0FE9DBD5" w14:textId="77777777" w:rsidR="00D10FE8" w:rsidRPr="00D10FE8" w:rsidRDefault="00D10FE8" w:rsidP="00D10FE8">
      <w:pPr>
        <w:numPr>
          <w:ilvl w:val="0"/>
          <w:numId w:val="63"/>
        </w:numPr>
        <w:rPr>
          <w:lang w:eastAsia="hr-HR"/>
        </w:rPr>
      </w:pPr>
      <w:r w:rsidRPr="00D10FE8">
        <w:rPr>
          <w:lang w:eastAsia="hr-HR"/>
        </w:rPr>
        <w:t>Zamjena unutarnje rasvjete učinkovitijom</w:t>
      </w:r>
    </w:p>
    <w:p w14:paraId="19A332E1" w14:textId="77777777" w:rsidR="00D10FE8" w:rsidRPr="00D10FE8" w:rsidRDefault="00D10FE8" w:rsidP="00D10FE8">
      <w:pPr>
        <w:numPr>
          <w:ilvl w:val="0"/>
          <w:numId w:val="63"/>
        </w:numPr>
        <w:rPr>
          <w:lang w:eastAsia="hr-HR"/>
        </w:rPr>
      </w:pPr>
      <w:r w:rsidRPr="00D10FE8">
        <w:rPr>
          <w:lang w:eastAsia="hr-HR"/>
        </w:rPr>
        <w:lastRenderedPageBreak/>
        <w:t xml:space="preserve">Unapređenje postojećeg ili uvođenje sustava automatizacije i upravljanja zgradom </w:t>
      </w:r>
    </w:p>
    <w:p w14:paraId="7CC3D307" w14:textId="61BF2A6B" w:rsidR="00456FC9" w:rsidRPr="00D10FE8" w:rsidRDefault="00456FC9" w:rsidP="00456FC9">
      <w:pPr>
        <w:numPr>
          <w:ilvl w:val="0"/>
          <w:numId w:val="63"/>
        </w:numPr>
        <w:rPr>
          <w:lang w:eastAsia="hr-HR"/>
        </w:rPr>
      </w:pPr>
      <w:r w:rsidRPr="00D10FE8">
        <w:rPr>
          <w:lang w:eastAsia="hr-HR"/>
        </w:rPr>
        <w:t>Uvođenje sustava daljinskog očitanja potrošnje energenata i vode</w:t>
      </w:r>
      <w:r w:rsidR="00B11DDD">
        <w:rPr>
          <w:lang w:eastAsia="hr-HR"/>
        </w:rPr>
        <w:t xml:space="preserve"> i povezivanje daljinskog očitanja na ISGE (obvezna mjera)</w:t>
      </w:r>
    </w:p>
    <w:p w14:paraId="49A0F37F" w14:textId="77777777" w:rsidR="00D10FE8" w:rsidRPr="00D10FE8" w:rsidRDefault="00D10FE8" w:rsidP="00D10FE8">
      <w:pPr>
        <w:numPr>
          <w:ilvl w:val="0"/>
          <w:numId w:val="63"/>
        </w:numPr>
        <w:rPr>
          <w:lang w:eastAsia="hr-HR"/>
        </w:rPr>
      </w:pPr>
      <w:r w:rsidRPr="00D10FE8">
        <w:rPr>
          <w:lang w:eastAsia="hr-HR"/>
        </w:rPr>
        <w:t>Uvođenje kontrolnih mjernih mjesta</w:t>
      </w:r>
    </w:p>
    <w:p w14:paraId="3EAA3677" w14:textId="77777777" w:rsidR="00D10FE8" w:rsidRPr="00D10FE8" w:rsidRDefault="00D10FE8" w:rsidP="00D10FE8">
      <w:pPr>
        <w:numPr>
          <w:ilvl w:val="0"/>
          <w:numId w:val="63"/>
        </w:numPr>
        <w:rPr>
          <w:lang w:eastAsia="hr-HR"/>
        </w:rPr>
      </w:pPr>
      <w:r w:rsidRPr="00D10FE8">
        <w:rPr>
          <w:lang w:eastAsia="hr-HR"/>
        </w:rPr>
        <w:t>Unapređenje sustava za smanjenje potrošnje vode- ugradnja perlatora na slavine, ugradnja vodokotlića s manjom potrošnjom vode, sustav skupljanja i korištenja oborinske vode</w:t>
      </w:r>
    </w:p>
    <w:p w14:paraId="27B7BF7C" w14:textId="5A7AAB08" w:rsidR="00D10FE8" w:rsidRPr="00D10FE8" w:rsidRDefault="00D10FE8" w:rsidP="00D10FE8">
      <w:pPr>
        <w:numPr>
          <w:ilvl w:val="0"/>
          <w:numId w:val="63"/>
        </w:numPr>
        <w:rPr>
          <w:lang w:eastAsia="hr-HR"/>
        </w:rPr>
      </w:pPr>
      <w:r w:rsidRPr="00D10FE8">
        <w:rPr>
          <w:lang w:eastAsia="hr-HR"/>
        </w:rPr>
        <w:t>Popratni nužni građevinski i obrtnički radovi potrebni za provođenje energetske obnove koji su nužni za osiguranje cjelovitog funkcioniranja zgrade</w:t>
      </w:r>
      <w:r w:rsidR="00811B45">
        <w:rPr>
          <w:lang w:eastAsia="hr-HR"/>
        </w:rPr>
        <w:t xml:space="preserve"> (kao npr. izvedba hidroizolacije i drenaže</w:t>
      </w:r>
      <w:r w:rsidR="00C15869">
        <w:rPr>
          <w:lang w:eastAsia="hr-HR"/>
        </w:rPr>
        <w:t>, sanacija vlage, rekonstrukcija dimnjaka i dr.)</w:t>
      </w:r>
    </w:p>
    <w:p w14:paraId="363CA072" w14:textId="77777777" w:rsidR="0045196B" w:rsidRPr="0045196B" w:rsidDel="007E283A" w:rsidRDefault="00C15869" w:rsidP="0045196B">
      <w:pPr>
        <w:rPr>
          <w:lang w:eastAsia="hr-HR"/>
        </w:rPr>
      </w:pPr>
      <w:r>
        <w:rPr>
          <w:lang w:eastAsia="hr-HR"/>
        </w:rPr>
        <w:t xml:space="preserve">Navedene mjere su okvirne, detaljno će mjere biti raspisane </w:t>
      </w:r>
      <w:r w:rsidR="006259A0">
        <w:rPr>
          <w:lang w:eastAsia="hr-HR"/>
        </w:rPr>
        <w:t>u javnom pozivu za dostavu projektnih prijedloga.</w:t>
      </w:r>
      <w:r w:rsidR="0045196B">
        <w:rPr>
          <w:lang w:eastAsia="hr-HR"/>
        </w:rPr>
        <w:t xml:space="preserve"> </w:t>
      </w:r>
      <w:r w:rsidR="0045196B" w:rsidRPr="0045196B">
        <w:rPr>
          <w:lang w:eastAsia="hr-HR"/>
        </w:rPr>
        <w:t>U projektima koji se sufinanciraju prema Nacionalnom planu za oporavak i otpornost (NPOO) potrebno je ostvariti minimalnu uštedu od 30% godišnje primarne energije (E</w:t>
      </w:r>
      <w:r w:rsidR="0045196B" w:rsidRPr="0045196B">
        <w:rPr>
          <w:vertAlign w:val="subscript"/>
          <w:lang w:eastAsia="hr-HR"/>
        </w:rPr>
        <w:t>prim</w:t>
      </w:r>
      <w:r w:rsidR="0045196B" w:rsidRPr="0045196B">
        <w:rPr>
          <w:lang w:eastAsia="hr-HR"/>
        </w:rPr>
        <w:t>) na razini investicije C6.1. R1-I1 Energetska obnova zgrada i C6.1. R1-I2: Obnova zgrada oštećenih u potresu.</w:t>
      </w:r>
    </w:p>
    <w:p w14:paraId="771C6C03" w14:textId="77777777" w:rsidR="00500EC9" w:rsidRPr="00B357F4" w:rsidRDefault="00500EC9" w:rsidP="00500EC9">
      <w:pPr>
        <w:rPr>
          <w:lang w:eastAsia="hr-HR"/>
        </w:rPr>
      </w:pPr>
    </w:p>
    <w:p w14:paraId="2D00D108" w14:textId="38B3ECCB" w:rsidR="007D105B" w:rsidRPr="006734C7" w:rsidRDefault="00500EC9" w:rsidP="007D105B">
      <w:pPr>
        <w:rPr>
          <w:b/>
          <w:lang w:eastAsia="hr-HR"/>
        </w:rPr>
      </w:pPr>
      <w:r w:rsidRPr="00B357F4">
        <w:rPr>
          <w:b/>
          <w:lang w:eastAsia="hr-HR"/>
        </w:rPr>
        <w:t xml:space="preserve">Grupa </w:t>
      </w:r>
      <w:r w:rsidR="007B3054">
        <w:rPr>
          <w:b/>
          <w:lang w:eastAsia="hr-HR"/>
        </w:rPr>
        <w:t>4</w:t>
      </w:r>
      <w:r w:rsidR="007B3054" w:rsidRPr="00B357F4">
        <w:rPr>
          <w:b/>
          <w:lang w:eastAsia="hr-HR"/>
        </w:rPr>
        <w:t xml:space="preserve"> </w:t>
      </w:r>
      <w:r w:rsidRPr="00B357F4">
        <w:rPr>
          <w:b/>
          <w:lang w:eastAsia="hr-HR"/>
        </w:rPr>
        <w:t xml:space="preserve">-  mjere za protupotresnu i </w:t>
      </w:r>
      <w:r w:rsidR="007D105B" w:rsidRPr="00B357F4">
        <w:rPr>
          <w:b/>
          <w:lang w:eastAsia="hr-HR"/>
        </w:rPr>
        <w:t>konstrukcijsku obnovu</w:t>
      </w:r>
    </w:p>
    <w:p w14:paraId="18689452" w14:textId="36548730" w:rsidR="00500EC9" w:rsidRPr="006734C7" w:rsidRDefault="00500EC9" w:rsidP="00500EC9">
      <w:pPr>
        <w:rPr>
          <w:b/>
          <w:lang w:eastAsia="hr-HR"/>
        </w:rPr>
      </w:pPr>
    </w:p>
    <w:p w14:paraId="23644CAD" w14:textId="77777777" w:rsidR="00203FCE" w:rsidRPr="00203FCE" w:rsidRDefault="00203FCE" w:rsidP="00203FCE">
      <w:pPr>
        <w:numPr>
          <w:ilvl w:val="0"/>
          <w:numId w:val="64"/>
        </w:numPr>
        <w:rPr>
          <w:lang w:eastAsia="hr-HR"/>
        </w:rPr>
      </w:pPr>
      <w:r w:rsidRPr="00203FCE">
        <w:rPr>
          <w:lang w:eastAsia="hr-HR"/>
        </w:rPr>
        <w:t>Mjere protupotresne obnove za zgrade oštećene u potresu prema tehničkom i projektantskom rješenju – nužan uvjet je izrada projekta obnove zgrade u skladu s važećom regulativom</w:t>
      </w:r>
    </w:p>
    <w:p w14:paraId="59DE41F1" w14:textId="77777777" w:rsidR="00203FCE" w:rsidRPr="00203FCE" w:rsidRDefault="00203FCE" w:rsidP="00203FCE">
      <w:pPr>
        <w:numPr>
          <w:ilvl w:val="0"/>
          <w:numId w:val="64"/>
        </w:numPr>
        <w:rPr>
          <w:lang w:eastAsia="hr-HR"/>
        </w:rPr>
      </w:pPr>
      <w:r w:rsidRPr="00203FCE">
        <w:rPr>
          <w:lang w:eastAsia="hr-HR"/>
        </w:rPr>
        <w:t>Mjere sanacije i  pojačanja nosive konstrukcije zgrade, unapređenja mehaničke otpornosti i stabilnosti zgrade posebice vezano na povećanje potresne otpornosti zgrade (zgrade koje nisu stradale u potresu) prema tehničkom i projektantskom rješenju - nužan uvjet je izrada projekta obnove zgrade u skladu s važećom regulativom</w:t>
      </w:r>
    </w:p>
    <w:p w14:paraId="62F1E11C" w14:textId="77777777" w:rsidR="00500EC9" w:rsidRPr="00B357F4" w:rsidRDefault="00500EC9" w:rsidP="00500EC9">
      <w:pPr>
        <w:rPr>
          <w:lang w:eastAsia="hr-HR"/>
        </w:rPr>
      </w:pPr>
    </w:p>
    <w:p w14:paraId="7455CB1B" w14:textId="18698906" w:rsidR="00500EC9" w:rsidRPr="00B357F4" w:rsidRDefault="00500EC9" w:rsidP="00500EC9">
      <w:pPr>
        <w:rPr>
          <w:b/>
          <w:lang w:eastAsia="hr-HR"/>
        </w:rPr>
      </w:pPr>
      <w:r w:rsidRPr="00B357F4">
        <w:rPr>
          <w:b/>
          <w:lang w:eastAsia="hr-HR"/>
        </w:rPr>
        <w:t xml:space="preserve">Grupa </w:t>
      </w:r>
      <w:r w:rsidR="00203FCE">
        <w:rPr>
          <w:b/>
          <w:lang w:eastAsia="hr-HR"/>
        </w:rPr>
        <w:t>5</w:t>
      </w:r>
      <w:r w:rsidR="00203FCE" w:rsidRPr="00B357F4">
        <w:rPr>
          <w:b/>
          <w:lang w:eastAsia="hr-HR"/>
        </w:rPr>
        <w:t xml:space="preserve"> </w:t>
      </w:r>
      <w:r w:rsidRPr="00B357F4">
        <w:rPr>
          <w:b/>
          <w:lang w:eastAsia="hr-HR"/>
        </w:rPr>
        <w:t>– ostale mjere</w:t>
      </w:r>
    </w:p>
    <w:p w14:paraId="32C00FBD" w14:textId="77777777" w:rsidR="004522FA" w:rsidRPr="004522FA" w:rsidRDefault="004522FA" w:rsidP="004522FA">
      <w:pPr>
        <w:numPr>
          <w:ilvl w:val="0"/>
          <w:numId w:val="65"/>
        </w:numPr>
        <w:rPr>
          <w:lang w:eastAsia="hr-HR"/>
        </w:rPr>
      </w:pPr>
      <w:r w:rsidRPr="004522FA">
        <w:rPr>
          <w:lang w:eastAsia="hr-HR"/>
        </w:rPr>
        <w:t>Mjere za povećanje sigurnosti u slučaju požara – nužan uvjet je izrada elaborata zaštite od požara unutar projektne dokumentacije (glavni projekt)</w:t>
      </w:r>
    </w:p>
    <w:p w14:paraId="0D2884C1" w14:textId="77777777" w:rsidR="004522FA" w:rsidRPr="004522FA" w:rsidRDefault="004522FA" w:rsidP="004522FA">
      <w:pPr>
        <w:numPr>
          <w:ilvl w:val="0"/>
          <w:numId w:val="65"/>
        </w:numPr>
        <w:rPr>
          <w:lang w:eastAsia="hr-HR"/>
        </w:rPr>
      </w:pPr>
      <w:r w:rsidRPr="004522FA">
        <w:rPr>
          <w:lang w:eastAsia="hr-HR"/>
        </w:rPr>
        <w:t>Mjere za osiguravanje zdravih unutarnjih klimatskih uvjeta - nužan uvjet za osiguranje zdravih unutarnjih klimatskih uvjeta je izrada projekta energetske obnove zgrade u skladu s važećom regulativom, čime će se osigurati definiranje zahtjeva za zgradu, rizici, i način ispunjenja zdravih unutarnjih klimatskih uvjeta u skladu s namjenom i načinom korištenja zgrade</w:t>
      </w:r>
    </w:p>
    <w:p w14:paraId="66799157" w14:textId="5630CBEC" w:rsidR="004522FA" w:rsidRPr="004522FA" w:rsidRDefault="004522FA" w:rsidP="004522FA">
      <w:pPr>
        <w:numPr>
          <w:ilvl w:val="0"/>
          <w:numId w:val="65"/>
        </w:numPr>
        <w:rPr>
          <w:lang w:eastAsia="hr-HR"/>
        </w:rPr>
      </w:pPr>
      <w:r w:rsidRPr="004522FA">
        <w:rPr>
          <w:lang w:eastAsia="hr-HR"/>
        </w:rPr>
        <w:t>Mjere za provedbu elemenata pristupačnosti za svladavanje visinskih razlika u skladu s Pravilnikom o osiguranju pristupačnosti građevina osobama s invaliditetom i smanjenom pokretljivosti – nužan uvjet je izrada glavnog projekta</w:t>
      </w:r>
      <w:r w:rsidR="006E6033">
        <w:rPr>
          <w:lang w:eastAsia="hr-HR"/>
        </w:rPr>
        <w:t xml:space="preserve"> te, ukoliko je primjenjivo</w:t>
      </w:r>
      <w:r w:rsidR="001618BA">
        <w:rPr>
          <w:lang w:eastAsia="hr-HR"/>
        </w:rPr>
        <w:t>,</w:t>
      </w:r>
      <w:r w:rsidRPr="004522FA">
        <w:rPr>
          <w:lang w:eastAsia="hr-HR"/>
        </w:rPr>
        <w:t xml:space="preserve"> i ishođenje potrebnih suglasnosti i dozvola</w:t>
      </w:r>
    </w:p>
    <w:p w14:paraId="60C99D68" w14:textId="63AA6A43" w:rsidR="004522FA" w:rsidRPr="004522FA" w:rsidRDefault="004522FA" w:rsidP="004522FA">
      <w:pPr>
        <w:numPr>
          <w:ilvl w:val="0"/>
          <w:numId w:val="65"/>
        </w:numPr>
        <w:rPr>
          <w:lang w:eastAsia="hr-HR"/>
        </w:rPr>
      </w:pPr>
      <w:r w:rsidRPr="004522FA">
        <w:rPr>
          <w:lang w:eastAsia="hr-HR"/>
        </w:rPr>
        <w:t>Mjere za primjenu elemenata zelene infrastrukture - nužan uvjet za ugradnju elemenata zelene infrastrukture je izrada glavnog projekta</w:t>
      </w:r>
      <w:r w:rsidR="00497AC8">
        <w:rPr>
          <w:lang w:eastAsia="hr-HR"/>
        </w:rPr>
        <w:t xml:space="preserve"> te, ukoliko je primjenjivo,</w:t>
      </w:r>
      <w:r w:rsidRPr="004522FA">
        <w:rPr>
          <w:lang w:eastAsia="hr-HR"/>
        </w:rPr>
        <w:t xml:space="preserve"> i ishođenje potrebnih suglasnosti i dozvola; mjere uključuje:</w:t>
      </w:r>
    </w:p>
    <w:p w14:paraId="31A880B7" w14:textId="77777777" w:rsidR="004522FA" w:rsidRPr="004522FA" w:rsidRDefault="004522FA" w:rsidP="004522FA">
      <w:pPr>
        <w:numPr>
          <w:ilvl w:val="1"/>
          <w:numId w:val="65"/>
        </w:numPr>
        <w:rPr>
          <w:lang w:eastAsia="hr-HR"/>
        </w:rPr>
      </w:pPr>
      <w:r w:rsidRPr="004522FA">
        <w:rPr>
          <w:lang w:eastAsia="hr-HR"/>
        </w:rPr>
        <w:t>Izvedbu zelenih krovova zgrade</w:t>
      </w:r>
    </w:p>
    <w:p w14:paraId="285EAF78" w14:textId="77777777" w:rsidR="004522FA" w:rsidRPr="004522FA" w:rsidRDefault="004522FA" w:rsidP="004522FA">
      <w:pPr>
        <w:numPr>
          <w:ilvl w:val="1"/>
          <w:numId w:val="65"/>
        </w:numPr>
        <w:rPr>
          <w:lang w:eastAsia="hr-HR"/>
        </w:rPr>
      </w:pPr>
      <w:r w:rsidRPr="004522FA">
        <w:rPr>
          <w:lang w:eastAsia="hr-HR"/>
        </w:rPr>
        <w:t>Izvedbu ozelenjavanja pročelja zgrade</w:t>
      </w:r>
    </w:p>
    <w:p w14:paraId="537E50E8" w14:textId="77777777" w:rsidR="004522FA" w:rsidRPr="004522FA" w:rsidRDefault="004522FA" w:rsidP="004522FA">
      <w:pPr>
        <w:numPr>
          <w:ilvl w:val="1"/>
          <w:numId w:val="65"/>
        </w:numPr>
        <w:rPr>
          <w:lang w:eastAsia="hr-HR"/>
        </w:rPr>
      </w:pPr>
      <w:r w:rsidRPr="004522FA">
        <w:rPr>
          <w:lang w:eastAsia="hr-HR"/>
        </w:rPr>
        <w:t>Povećanje zelenih površina na građevnoj čestici zgrade (zelena parkirališta i dr.)</w:t>
      </w:r>
    </w:p>
    <w:p w14:paraId="2FF2A49B" w14:textId="77777777" w:rsidR="004522FA" w:rsidRPr="004522FA" w:rsidRDefault="004522FA" w:rsidP="004522FA">
      <w:pPr>
        <w:numPr>
          <w:ilvl w:val="1"/>
          <w:numId w:val="65"/>
        </w:numPr>
        <w:rPr>
          <w:lang w:eastAsia="hr-HR"/>
        </w:rPr>
      </w:pPr>
      <w:r w:rsidRPr="004522FA">
        <w:rPr>
          <w:lang w:eastAsia="hr-HR"/>
        </w:rPr>
        <w:t xml:space="preserve">Izvedbu elemenata zelene infrastrukture (stabla, visoko i nisko raslinje) na čestici javne zgrade zbog omogućavanja ozelenjavanja neposrednog okoliša zgrade, uključeno uređenje čestice i urbana oprema </w:t>
      </w:r>
    </w:p>
    <w:p w14:paraId="0AA19D5D" w14:textId="77777777" w:rsidR="004522FA" w:rsidRPr="004522FA" w:rsidRDefault="004522FA" w:rsidP="004522FA">
      <w:pPr>
        <w:numPr>
          <w:ilvl w:val="1"/>
          <w:numId w:val="65"/>
        </w:numPr>
        <w:rPr>
          <w:lang w:eastAsia="hr-HR"/>
        </w:rPr>
      </w:pPr>
      <w:r w:rsidRPr="004522FA">
        <w:rPr>
          <w:lang w:eastAsia="hr-HR"/>
        </w:rPr>
        <w:t xml:space="preserve">Izvedbu jednog ili više urbanog vrta na ravnim krovovima, terasama, balkonima i lođama javne zgrade kao </w:t>
      </w:r>
      <w:bookmarkStart w:id="105" w:name="_Hlk87345242"/>
      <w:r w:rsidRPr="004522FA">
        <w:rPr>
          <w:lang w:eastAsia="hr-HR"/>
        </w:rPr>
        <w:t>senzornog vrta, vrta za proizvodnju hrane, cvijeća ili za provedbu odgojno-obrazovnih aktivnosti u školama i vrtićima i sl.</w:t>
      </w:r>
      <w:bookmarkEnd w:id="105"/>
    </w:p>
    <w:p w14:paraId="751E9E19" w14:textId="77777777" w:rsidR="004522FA" w:rsidRPr="004522FA" w:rsidRDefault="004522FA" w:rsidP="004522FA">
      <w:pPr>
        <w:numPr>
          <w:ilvl w:val="1"/>
          <w:numId w:val="65"/>
        </w:numPr>
        <w:rPr>
          <w:lang w:eastAsia="hr-HR"/>
        </w:rPr>
      </w:pPr>
      <w:r w:rsidRPr="004522FA">
        <w:rPr>
          <w:lang w:eastAsia="hr-HR"/>
        </w:rPr>
        <w:lastRenderedPageBreak/>
        <w:t>Izvedbu jednog ili više urbanog vrta na čestici javne zgrade kao senzornog vrta, vrta za proizvodnju hrane, cvijeća ili za provedbu odgojno-obrazovnih aktivnosti u školama i vrtićima i sl., uključeno uređenje čestice i urbana oprema</w:t>
      </w:r>
    </w:p>
    <w:p w14:paraId="32A41075" w14:textId="77777777" w:rsidR="004522FA" w:rsidRPr="004522FA" w:rsidRDefault="004522FA" w:rsidP="004522FA">
      <w:pPr>
        <w:numPr>
          <w:ilvl w:val="0"/>
          <w:numId w:val="65"/>
        </w:numPr>
        <w:rPr>
          <w:lang w:eastAsia="hr-HR"/>
        </w:rPr>
      </w:pPr>
      <w:r w:rsidRPr="004522FA">
        <w:rPr>
          <w:lang w:eastAsia="hr-HR"/>
        </w:rPr>
        <w:t>Mjere za poboljšanje pametne i održive mobilnosti – nemotorizirani promet – izvedba parkirališta za bicikle unutar zgrade ili na građevnoj čestici zgrade</w:t>
      </w:r>
    </w:p>
    <w:p w14:paraId="5B181738" w14:textId="77777777" w:rsidR="004522FA" w:rsidRPr="004522FA" w:rsidRDefault="004522FA" w:rsidP="004522FA">
      <w:pPr>
        <w:numPr>
          <w:ilvl w:val="0"/>
          <w:numId w:val="65"/>
        </w:numPr>
        <w:rPr>
          <w:lang w:eastAsia="hr-HR"/>
        </w:rPr>
      </w:pPr>
      <w:r w:rsidRPr="004522FA">
        <w:rPr>
          <w:lang w:eastAsia="hr-HR"/>
        </w:rPr>
        <w:t>Mjere za poboljšanje pametne i održive mobilnosti - motorizirani promet (elektromobilnost) - postavljanje mjesta za punjenje vozila na električni pogon i kanalske infrastrukture, prema broju većem od zakona propisanih</w:t>
      </w:r>
    </w:p>
    <w:p w14:paraId="58F659F5" w14:textId="77777777" w:rsidR="00500EC9" w:rsidRPr="00B357F4" w:rsidRDefault="00500EC9" w:rsidP="00500EC9">
      <w:pPr>
        <w:rPr>
          <w:lang w:eastAsia="hr-HR"/>
        </w:rPr>
      </w:pPr>
    </w:p>
    <w:p w14:paraId="7DE5FA4B" w14:textId="2500237E" w:rsidR="00500EC9" w:rsidRPr="00B357F4" w:rsidRDefault="007DFAA7" w:rsidP="00500EC9">
      <w:pPr>
        <w:rPr>
          <w:b/>
          <w:lang w:eastAsia="hr-HR"/>
        </w:rPr>
      </w:pPr>
      <w:r w:rsidRPr="00B357F4">
        <w:rPr>
          <w:b/>
          <w:lang w:eastAsia="hr-HR"/>
        </w:rPr>
        <w:t xml:space="preserve">Grupa </w:t>
      </w:r>
      <w:r w:rsidR="004522FA">
        <w:rPr>
          <w:b/>
          <w:lang w:eastAsia="hr-HR"/>
        </w:rPr>
        <w:t>6</w:t>
      </w:r>
      <w:r w:rsidR="004522FA" w:rsidRPr="00B357F4">
        <w:rPr>
          <w:b/>
          <w:lang w:eastAsia="hr-HR"/>
        </w:rPr>
        <w:t xml:space="preserve"> </w:t>
      </w:r>
      <w:r w:rsidRPr="00B357F4">
        <w:rPr>
          <w:b/>
          <w:lang w:eastAsia="hr-HR"/>
        </w:rPr>
        <w:t>– izvedba radova</w:t>
      </w:r>
    </w:p>
    <w:p w14:paraId="7AC01DD5" w14:textId="115E6CC5" w:rsidR="00500EC9" w:rsidRPr="006734C7" w:rsidRDefault="4205B0D8" w:rsidP="00500EC9">
      <w:pPr>
        <w:numPr>
          <w:ilvl w:val="0"/>
          <w:numId w:val="66"/>
        </w:numPr>
        <w:rPr>
          <w:lang w:eastAsia="hr-HR"/>
        </w:rPr>
      </w:pPr>
      <w:r w:rsidRPr="00B357F4">
        <w:rPr>
          <w:lang w:eastAsia="hr-HR"/>
        </w:rPr>
        <w:t xml:space="preserve">Stručni nadzor građenja </w:t>
      </w:r>
    </w:p>
    <w:p w14:paraId="374567B2" w14:textId="77777777" w:rsidR="00500EC9" w:rsidRPr="00971F9E" w:rsidRDefault="4205B0D8" w:rsidP="00500EC9">
      <w:pPr>
        <w:numPr>
          <w:ilvl w:val="0"/>
          <w:numId w:val="66"/>
        </w:numPr>
        <w:rPr>
          <w:lang w:eastAsia="hr-HR"/>
        </w:rPr>
      </w:pPr>
      <w:r w:rsidRPr="00971F9E">
        <w:rPr>
          <w:lang w:eastAsia="hr-HR"/>
        </w:rPr>
        <w:t>Projektantski nadzor</w:t>
      </w:r>
    </w:p>
    <w:p w14:paraId="7CA7E01E" w14:textId="7587DB7D" w:rsidR="00500EC9" w:rsidRPr="00B357F4" w:rsidRDefault="4205B0D8" w:rsidP="00500EC9">
      <w:pPr>
        <w:numPr>
          <w:ilvl w:val="0"/>
          <w:numId w:val="66"/>
        </w:numPr>
        <w:rPr>
          <w:lang w:eastAsia="hr-HR"/>
        </w:rPr>
      </w:pPr>
      <w:r w:rsidRPr="00B357F4">
        <w:rPr>
          <w:lang w:eastAsia="hr-HR"/>
        </w:rPr>
        <w:t>Usluga koordinatora zaštite na radu</w:t>
      </w:r>
      <w:r w:rsidR="00CE143A">
        <w:rPr>
          <w:lang w:eastAsia="hr-HR"/>
        </w:rPr>
        <w:t xml:space="preserve"> tijekom građenja</w:t>
      </w:r>
    </w:p>
    <w:p w14:paraId="776C71AC" w14:textId="52DF1105" w:rsidR="00500EC9" w:rsidRDefault="4205B0D8" w:rsidP="00500EC9">
      <w:pPr>
        <w:numPr>
          <w:ilvl w:val="0"/>
          <w:numId w:val="66"/>
        </w:numPr>
        <w:rPr>
          <w:lang w:eastAsia="hr-HR"/>
        </w:rPr>
      </w:pPr>
      <w:r w:rsidRPr="00971F9E">
        <w:rPr>
          <w:lang w:eastAsia="hr-HR"/>
        </w:rPr>
        <w:t>Provođenje energetskog pregleda i izrada energetskog certifikata zgrade nakon obnove</w:t>
      </w:r>
    </w:p>
    <w:p w14:paraId="529CC049" w14:textId="43528786" w:rsidR="00C41B2D" w:rsidRPr="00971F9E" w:rsidRDefault="00C41B2D" w:rsidP="00500EC9">
      <w:pPr>
        <w:numPr>
          <w:ilvl w:val="0"/>
          <w:numId w:val="66"/>
        </w:numPr>
        <w:rPr>
          <w:lang w:eastAsia="hr-HR"/>
        </w:rPr>
      </w:pPr>
      <w:r>
        <w:rPr>
          <w:lang w:eastAsia="hr-HR"/>
        </w:rPr>
        <w:t>Upravljanje projektom</w:t>
      </w:r>
      <w:r w:rsidR="006822E5">
        <w:rPr>
          <w:lang w:eastAsia="hr-HR"/>
        </w:rPr>
        <w:t xml:space="preserve"> je prihvatljiv trošak ukoliko se ugovori</w:t>
      </w:r>
    </w:p>
    <w:p w14:paraId="1651CBD2" w14:textId="77777777" w:rsidR="00500EC9" w:rsidRPr="00B357F4" w:rsidRDefault="00500EC9" w:rsidP="00500EC9">
      <w:pPr>
        <w:rPr>
          <w:lang w:eastAsia="hr-HR"/>
        </w:rPr>
      </w:pPr>
    </w:p>
    <w:p w14:paraId="5B050656" w14:textId="23AE4CF7" w:rsidR="00500EC9" w:rsidRPr="00B357F4" w:rsidRDefault="00500EC9" w:rsidP="00500EC9">
      <w:pPr>
        <w:rPr>
          <w:b/>
          <w:lang w:eastAsia="hr-HR"/>
        </w:rPr>
      </w:pPr>
      <w:r w:rsidRPr="00B357F4">
        <w:rPr>
          <w:b/>
          <w:lang w:eastAsia="hr-HR"/>
        </w:rPr>
        <w:t xml:space="preserve">Grupa </w:t>
      </w:r>
      <w:r w:rsidR="002F3B88">
        <w:rPr>
          <w:b/>
          <w:lang w:eastAsia="hr-HR"/>
        </w:rPr>
        <w:t>7</w:t>
      </w:r>
      <w:r w:rsidR="002F3B88" w:rsidRPr="00B357F4">
        <w:rPr>
          <w:b/>
          <w:lang w:eastAsia="hr-HR"/>
        </w:rPr>
        <w:t xml:space="preserve"> </w:t>
      </w:r>
      <w:r w:rsidRPr="00B357F4">
        <w:rPr>
          <w:b/>
          <w:lang w:eastAsia="hr-HR"/>
        </w:rPr>
        <w:t>– nakon izvedbe</w:t>
      </w:r>
    </w:p>
    <w:p w14:paraId="6AD10348" w14:textId="77777777" w:rsidR="00500EC9" w:rsidRPr="00B357F4" w:rsidRDefault="4205B0D8" w:rsidP="00500EC9">
      <w:pPr>
        <w:numPr>
          <w:ilvl w:val="0"/>
          <w:numId w:val="67"/>
        </w:numPr>
        <w:rPr>
          <w:lang w:eastAsia="hr-HR"/>
        </w:rPr>
      </w:pPr>
      <w:r w:rsidRPr="00B357F4">
        <w:rPr>
          <w:lang w:eastAsia="hr-HR"/>
        </w:rPr>
        <w:t xml:space="preserve">Aktivnosti za vidljivost i promidžbu projekta, aktivnosti komunikacije i diseminacije </w:t>
      </w:r>
    </w:p>
    <w:p w14:paraId="6F77CC87" w14:textId="77777777" w:rsidR="00500EC9" w:rsidRPr="00B357F4" w:rsidRDefault="4205B0D8" w:rsidP="00500EC9">
      <w:pPr>
        <w:numPr>
          <w:ilvl w:val="0"/>
          <w:numId w:val="67"/>
        </w:numPr>
        <w:rPr>
          <w:lang w:eastAsia="hr-HR"/>
        </w:rPr>
      </w:pPr>
      <w:r w:rsidRPr="00B357F4">
        <w:rPr>
          <w:lang w:eastAsia="hr-HR"/>
        </w:rPr>
        <w:t>Aktivnosti edukacije i podrške korisnicima i ostalim bitnim dionicima u procesu</w:t>
      </w:r>
    </w:p>
    <w:p w14:paraId="0B854C74" w14:textId="77777777" w:rsidR="00500EC9" w:rsidRPr="00373352" w:rsidRDefault="4205B0D8" w:rsidP="00500EC9">
      <w:pPr>
        <w:numPr>
          <w:ilvl w:val="0"/>
          <w:numId w:val="67"/>
        </w:numPr>
        <w:rPr>
          <w:lang w:eastAsia="hr-HR"/>
        </w:rPr>
      </w:pPr>
      <w:r w:rsidRPr="006734C7">
        <w:rPr>
          <w:lang w:eastAsia="hr-HR"/>
        </w:rPr>
        <w:t>Unos podataka o obnovi u relevantne baze podataka</w:t>
      </w:r>
    </w:p>
    <w:p w14:paraId="3BF486F0" w14:textId="78B5CFE6" w:rsidR="00C45E05" w:rsidRPr="006734C7" w:rsidRDefault="000D67D0" w:rsidP="002B2BC2">
      <w:r>
        <w:t>Je</w:t>
      </w:r>
      <w:r w:rsidR="00C45E05" w:rsidRPr="00203A80">
        <w:t>d</w:t>
      </w:r>
      <w:r w:rsidR="00C45E05" w:rsidRPr="00A67250">
        <w:t xml:space="preserve">inični </w:t>
      </w:r>
      <w:r>
        <w:t xml:space="preserve">ukupni </w:t>
      </w:r>
      <w:r w:rsidR="00C45E05" w:rsidRPr="00A67250">
        <w:t xml:space="preserve">troškovi </w:t>
      </w:r>
      <w:r w:rsidR="008D310E">
        <w:t xml:space="preserve">za radove </w:t>
      </w:r>
      <w:r w:rsidR="00EB0E7F">
        <w:t>obnove</w:t>
      </w:r>
      <w:r w:rsidR="00B74591">
        <w:t xml:space="preserve"> (aktivnosti iz Grupe 3,4 i 5)</w:t>
      </w:r>
      <w:r w:rsidR="00C45E05" w:rsidRPr="00A67250">
        <w:t xml:space="preserve"> koji su uzeti u kalkulaciju za izradu scenarija i modela energetske i sveobuhvatne obnove su sljedeći:</w:t>
      </w:r>
    </w:p>
    <w:p w14:paraId="0C3FA6C3" w14:textId="5409B00E" w:rsidR="00500EC9" w:rsidRPr="00B357F4" w:rsidRDefault="4205B0D8" w:rsidP="00500EC9">
      <w:pPr>
        <w:numPr>
          <w:ilvl w:val="0"/>
          <w:numId w:val="68"/>
        </w:numPr>
        <w:rPr>
          <w:lang w:eastAsia="hr-HR"/>
        </w:rPr>
      </w:pPr>
      <w:r w:rsidRPr="00971F9E">
        <w:rPr>
          <w:lang w:eastAsia="hr-HR"/>
        </w:rPr>
        <w:t>Integralna energetska obnova – 2.500 kn/m</w:t>
      </w:r>
      <w:r w:rsidRPr="00971F9E">
        <w:rPr>
          <w:vertAlign w:val="superscript"/>
          <w:lang w:eastAsia="hr-HR"/>
        </w:rPr>
        <w:t>2</w:t>
      </w:r>
      <w:r w:rsidRPr="00B357F4">
        <w:rPr>
          <w:lang w:eastAsia="hr-HR"/>
        </w:rPr>
        <w:t xml:space="preserve"> </w:t>
      </w:r>
      <w:r w:rsidR="00D5445D">
        <w:rPr>
          <w:lang w:eastAsia="hr-HR"/>
        </w:rPr>
        <w:t xml:space="preserve">GBP </w:t>
      </w:r>
      <w:r w:rsidRPr="00B357F4">
        <w:rPr>
          <w:lang w:eastAsia="hr-HR"/>
        </w:rPr>
        <w:t>bez PDV-a</w:t>
      </w:r>
    </w:p>
    <w:p w14:paraId="00ED3992" w14:textId="515D3504" w:rsidR="00500EC9" w:rsidRPr="00B357F4" w:rsidRDefault="4205B0D8" w:rsidP="00500EC9">
      <w:pPr>
        <w:numPr>
          <w:ilvl w:val="0"/>
          <w:numId w:val="68"/>
        </w:numPr>
        <w:rPr>
          <w:lang w:eastAsia="hr-HR"/>
        </w:rPr>
      </w:pPr>
      <w:r w:rsidRPr="00B357F4">
        <w:rPr>
          <w:lang w:eastAsia="hr-HR"/>
        </w:rPr>
        <w:t>Dubinska  obnova  - 3.500 kn/m</w:t>
      </w:r>
      <w:r w:rsidRPr="00B357F4">
        <w:rPr>
          <w:vertAlign w:val="superscript"/>
          <w:lang w:eastAsia="hr-HR"/>
        </w:rPr>
        <w:t>2</w:t>
      </w:r>
      <w:r w:rsidRPr="00B357F4">
        <w:rPr>
          <w:lang w:eastAsia="hr-HR"/>
        </w:rPr>
        <w:t xml:space="preserve"> </w:t>
      </w:r>
      <w:r w:rsidR="00D5445D">
        <w:rPr>
          <w:lang w:eastAsia="hr-HR"/>
        </w:rPr>
        <w:t xml:space="preserve">GBP </w:t>
      </w:r>
      <w:r w:rsidRPr="00B357F4">
        <w:rPr>
          <w:lang w:eastAsia="hr-HR"/>
        </w:rPr>
        <w:t>bez PDV-a</w:t>
      </w:r>
    </w:p>
    <w:p w14:paraId="3FB4EACD" w14:textId="112D20A3" w:rsidR="00EA5E51" w:rsidRDefault="4205B0D8" w:rsidP="008147B9">
      <w:pPr>
        <w:numPr>
          <w:ilvl w:val="0"/>
          <w:numId w:val="68"/>
        </w:numPr>
        <w:rPr>
          <w:lang w:eastAsia="hr-HR"/>
        </w:rPr>
      </w:pPr>
      <w:r w:rsidRPr="00B357F4">
        <w:rPr>
          <w:lang w:eastAsia="hr-HR"/>
        </w:rPr>
        <w:t>Sveobuhvatna energetska obnova  - 4.500 kn/m</w:t>
      </w:r>
      <w:r w:rsidRPr="0009602D">
        <w:rPr>
          <w:vertAlign w:val="superscript"/>
          <w:lang w:eastAsia="hr-HR"/>
        </w:rPr>
        <w:t>2</w:t>
      </w:r>
      <w:r w:rsidRPr="00B357F4">
        <w:rPr>
          <w:lang w:eastAsia="hr-HR"/>
        </w:rPr>
        <w:t xml:space="preserve"> </w:t>
      </w:r>
      <w:r w:rsidR="00D5445D">
        <w:rPr>
          <w:lang w:eastAsia="hr-HR"/>
        </w:rPr>
        <w:t xml:space="preserve">GBP </w:t>
      </w:r>
      <w:r w:rsidRPr="00B357F4">
        <w:rPr>
          <w:lang w:eastAsia="hr-HR"/>
        </w:rPr>
        <w:t>bez PDV-a</w:t>
      </w:r>
      <w:bookmarkEnd w:id="104"/>
    </w:p>
    <w:p w14:paraId="0B49BD06" w14:textId="77777777" w:rsidR="0009602D" w:rsidRPr="00B357F4" w:rsidRDefault="0009602D" w:rsidP="008147B9">
      <w:pPr>
        <w:numPr>
          <w:ilvl w:val="0"/>
          <w:numId w:val="68"/>
        </w:numPr>
        <w:rPr>
          <w:lang w:eastAsia="hr-HR"/>
        </w:rPr>
      </w:pPr>
    </w:p>
    <w:p w14:paraId="1AA08A59" w14:textId="77777777" w:rsidR="00EA5E51" w:rsidRPr="00B357F4" w:rsidRDefault="7E85FDAF" w:rsidP="00EA5E51">
      <w:pPr>
        <w:pStyle w:val="Naslov20"/>
      </w:pPr>
      <w:bookmarkStart w:id="106" w:name="_Toc94769992"/>
      <w:r w:rsidRPr="00B357F4">
        <w:t>Scenariji provedbe energetske i sveobuhvatne obnove zgrada</w:t>
      </w:r>
      <w:bookmarkEnd w:id="106"/>
    </w:p>
    <w:p w14:paraId="12E548CF" w14:textId="77777777" w:rsidR="00135DB1" w:rsidRPr="00B357F4" w:rsidRDefault="00135DB1" w:rsidP="00135DB1">
      <w:pPr>
        <w:rPr>
          <w:lang w:eastAsia="hr-HR"/>
        </w:rPr>
      </w:pPr>
      <w:r w:rsidRPr="00B357F4">
        <w:rPr>
          <w:lang w:eastAsia="hr-HR"/>
        </w:rPr>
        <w:t>Scenariji provedbe energetske i sveobuhvatne obnove stvaraju se prema tipovima obnove te dostupnim i planiranim izvorima i modelima financiranja.</w:t>
      </w:r>
    </w:p>
    <w:p w14:paraId="0126E0AE" w14:textId="19BF3C5A" w:rsidR="00135DB1" w:rsidRPr="00971F9E" w:rsidRDefault="00135DB1" w:rsidP="00135DB1">
      <w:pPr>
        <w:rPr>
          <w:lang w:eastAsia="hr-HR"/>
        </w:rPr>
      </w:pPr>
      <w:r w:rsidRPr="00B357F4">
        <w:rPr>
          <w:b/>
          <w:lang w:eastAsia="hr-HR"/>
        </w:rPr>
        <w:t xml:space="preserve">Ukupna </w:t>
      </w:r>
      <w:r w:rsidR="000E3E20" w:rsidRPr="00B357F4">
        <w:rPr>
          <w:b/>
          <w:lang w:eastAsia="hr-HR"/>
        </w:rPr>
        <w:t>sredstva</w:t>
      </w:r>
      <w:r w:rsidR="000E3E20" w:rsidRPr="00B357F4">
        <w:rPr>
          <w:lang w:eastAsia="hr-HR"/>
        </w:rPr>
        <w:t xml:space="preserve"> </w:t>
      </w:r>
      <w:r w:rsidR="000E3E20" w:rsidRPr="00B357F4">
        <w:rPr>
          <w:b/>
          <w:lang w:eastAsia="hr-HR"/>
        </w:rPr>
        <w:t xml:space="preserve">dostupna </w:t>
      </w:r>
      <w:r w:rsidR="000E3E20" w:rsidRPr="00BA0796">
        <w:rPr>
          <w:b/>
          <w:bCs/>
          <w:lang w:eastAsia="hr-HR"/>
        </w:rPr>
        <w:t>iz do sada poznatih izvora</w:t>
      </w:r>
      <w:r w:rsidR="000E3E20">
        <w:rPr>
          <w:lang w:eastAsia="hr-HR"/>
        </w:rPr>
        <w:t xml:space="preserve"> </w:t>
      </w:r>
      <w:r w:rsidR="000E3E20" w:rsidRPr="00B357F4">
        <w:rPr>
          <w:b/>
          <w:lang w:eastAsia="hr-HR"/>
        </w:rPr>
        <w:t xml:space="preserve">planirana </w:t>
      </w:r>
      <w:r w:rsidRPr="00B357F4">
        <w:rPr>
          <w:lang w:eastAsia="hr-HR"/>
        </w:rPr>
        <w:t xml:space="preserve">za energetsku obnovu zgrada javnog sektora kroz različite izvore financiranja za razdoblje do 2030. godine iznose 5.509.430.000 </w:t>
      </w:r>
      <w:r w:rsidR="00D104C3">
        <w:rPr>
          <w:lang w:eastAsia="hr-HR"/>
        </w:rPr>
        <w:t>kuna</w:t>
      </w:r>
      <w:r w:rsidRPr="006734C7">
        <w:rPr>
          <w:lang w:eastAsia="hr-HR"/>
        </w:rPr>
        <w:t xml:space="preserve"> čime je ciljano obnoviti 932.200 m</w:t>
      </w:r>
      <w:r w:rsidRPr="00373352">
        <w:rPr>
          <w:vertAlign w:val="superscript"/>
          <w:lang w:eastAsia="hr-HR"/>
        </w:rPr>
        <w:t>2</w:t>
      </w:r>
      <w:r w:rsidRPr="00631935">
        <w:rPr>
          <w:lang w:eastAsia="hr-HR"/>
        </w:rPr>
        <w:t xml:space="preserve"> fonda zgrada javnog sektora.</w:t>
      </w:r>
    </w:p>
    <w:p w14:paraId="4B861E85" w14:textId="5E4F05F6" w:rsidR="00135DB1" w:rsidRPr="00B357F4" w:rsidRDefault="45A0055F" w:rsidP="00135DB1">
      <w:pPr>
        <w:rPr>
          <w:lang w:eastAsia="hr-HR"/>
        </w:rPr>
      </w:pPr>
      <w:r w:rsidRPr="00B357F4">
        <w:rPr>
          <w:b/>
          <w:lang w:eastAsia="hr-HR"/>
        </w:rPr>
        <w:t>Potrebna sredstva u skladu s nacionalnim ciljevima</w:t>
      </w:r>
      <w:r w:rsidRPr="00B357F4">
        <w:rPr>
          <w:lang w:eastAsia="hr-HR"/>
        </w:rPr>
        <w:t xml:space="preserve"> iz </w:t>
      </w:r>
      <w:r w:rsidRPr="00B357F4">
        <w:t>Dugoročne strategije obnove nacionalnog fonda zgrada do 2050. godine</w:t>
      </w:r>
      <w:r w:rsidRPr="00B357F4">
        <w:rPr>
          <w:lang w:eastAsia="hr-HR"/>
        </w:rPr>
        <w:t xml:space="preserve"> iznose 11.767.305.300 </w:t>
      </w:r>
      <w:r w:rsidR="00F772DA">
        <w:rPr>
          <w:lang w:eastAsia="hr-HR"/>
        </w:rPr>
        <w:t>kuna</w:t>
      </w:r>
      <w:r w:rsidR="00F772DA" w:rsidRPr="00B357F4">
        <w:rPr>
          <w:lang w:eastAsia="hr-HR"/>
        </w:rPr>
        <w:t xml:space="preserve"> </w:t>
      </w:r>
      <w:r w:rsidRPr="00B357F4">
        <w:rPr>
          <w:lang w:eastAsia="hr-HR"/>
        </w:rPr>
        <w:t>čime je ciljano obnoviti 3.027.321 m</w:t>
      </w:r>
      <w:r w:rsidRPr="00B357F4">
        <w:rPr>
          <w:vertAlign w:val="superscript"/>
          <w:lang w:eastAsia="hr-HR"/>
        </w:rPr>
        <w:t>2</w:t>
      </w:r>
      <w:r w:rsidRPr="00B357F4">
        <w:rPr>
          <w:lang w:eastAsia="hr-HR"/>
        </w:rPr>
        <w:t xml:space="preserve"> fonda zgrada javnog sektora.</w:t>
      </w:r>
    </w:p>
    <w:p w14:paraId="734DADB4" w14:textId="77777777" w:rsidR="00135DB1" w:rsidRPr="00B357F4" w:rsidRDefault="00135DB1" w:rsidP="00135DB1">
      <w:pPr>
        <w:rPr>
          <w:lang w:eastAsia="hr-HR"/>
        </w:rPr>
      </w:pPr>
      <w:r w:rsidRPr="00B357F4">
        <w:rPr>
          <w:lang w:eastAsia="hr-HR"/>
        </w:rPr>
        <w:t>Dostupni izvori i modeli financiranja detaljnije su opisani u poglavljima 7. i 8.</w:t>
      </w:r>
    </w:p>
    <w:p w14:paraId="060DD272" w14:textId="7CBF1744" w:rsidR="00135DB1" w:rsidRPr="00B357F4" w:rsidRDefault="32715282" w:rsidP="00135DB1">
      <w:pPr>
        <w:rPr>
          <w:b/>
          <w:lang w:eastAsia="hr-HR"/>
        </w:rPr>
      </w:pPr>
      <w:r w:rsidRPr="00B357F4">
        <w:rPr>
          <w:b/>
          <w:lang w:eastAsia="hr-HR"/>
        </w:rPr>
        <w:t>Predviđena sredstva su nedostatna</w:t>
      </w:r>
      <w:r w:rsidR="45A0055F" w:rsidRPr="00B357F4">
        <w:rPr>
          <w:b/>
          <w:lang w:eastAsia="hr-HR"/>
        </w:rPr>
        <w:t xml:space="preserve"> za dostizanje nacionalnih ciljeva u iznosu od 6.257.875.300 </w:t>
      </w:r>
      <w:r w:rsidR="00656977">
        <w:rPr>
          <w:b/>
          <w:lang w:eastAsia="hr-HR"/>
        </w:rPr>
        <w:t>kuna</w:t>
      </w:r>
      <w:r w:rsidR="00656977" w:rsidRPr="00B357F4">
        <w:rPr>
          <w:b/>
          <w:lang w:eastAsia="hr-HR"/>
        </w:rPr>
        <w:t xml:space="preserve"> </w:t>
      </w:r>
      <w:r w:rsidR="45A0055F" w:rsidRPr="00B357F4">
        <w:rPr>
          <w:b/>
          <w:lang w:eastAsia="hr-HR"/>
        </w:rPr>
        <w:t>što bi bilo potrebno da se obnovi preostalih 2.095.121 m</w:t>
      </w:r>
      <w:r w:rsidR="45A0055F" w:rsidRPr="00B357F4">
        <w:rPr>
          <w:b/>
          <w:vertAlign w:val="superscript"/>
          <w:lang w:eastAsia="hr-HR"/>
        </w:rPr>
        <w:t>2</w:t>
      </w:r>
      <w:r w:rsidR="45A0055F" w:rsidRPr="00B357F4">
        <w:rPr>
          <w:b/>
          <w:lang w:eastAsia="hr-HR"/>
        </w:rPr>
        <w:t xml:space="preserve"> fonda zgrada javnog sektora u skladu s nacionalnim ciljevima. </w:t>
      </w:r>
    </w:p>
    <w:p w14:paraId="1CAD1F1F" w14:textId="598ADC62" w:rsidR="000A00E3" w:rsidRPr="009C4FB6" w:rsidRDefault="45A0055F" w:rsidP="000A00E3">
      <w:pPr>
        <w:rPr>
          <w:b/>
          <w:lang w:eastAsia="hr-HR"/>
        </w:rPr>
      </w:pPr>
      <w:r w:rsidRPr="009C4FB6">
        <w:rPr>
          <w:b/>
          <w:lang w:eastAsia="hr-HR"/>
        </w:rPr>
        <w:t>Osnovni scenarij provedbe energetske i sveobuhvatne obnove zgrada javnog sektora uključuje korištenje dostupnih sredstava iz FSEU i NPOO do 2026.</w:t>
      </w:r>
      <w:r w:rsidR="00031358" w:rsidRPr="009C4FB6">
        <w:rPr>
          <w:b/>
          <w:lang w:eastAsia="hr-HR"/>
        </w:rPr>
        <w:t xml:space="preserve"> godine paralelno s korištenjem </w:t>
      </w:r>
      <w:r w:rsidRPr="009C4FB6">
        <w:rPr>
          <w:b/>
          <w:lang w:eastAsia="hr-HR"/>
        </w:rPr>
        <w:t xml:space="preserve">dostupnih financijskih sredstava iz VFO </w:t>
      </w:r>
      <w:r w:rsidR="00031358" w:rsidRPr="009C4FB6">
        <w:rPr>
          <w:b/>
          <w:lang w:eastAsia="hr-HR"/>
        </w:rPr>
        <w:t xml:space="preserve">do 2030. godine kao i </w:t>
      </w:r>
      <w:r w:rsidRPr="009C4FB6">
        <w:rPr>
          <w:b/>
          <w:lang w:eastAsia="hr-HR"/>
        </w:rPr>
        <w:t xml:space="preserve">formiranje financijskih instrumenata i mehanizama kojima će se osigurati </w:t>
      </w:r>
      <w:r w:rsidR="64642FA9" w:rsidRPr="009C4FB6">
        <w:rPr>
          <w:b/>
          <w:lang w:eastAsia="hr-HR"/>
        </w:rPr>
        <w:t>dodatna</w:t>
      </w:r>
      <w:r w:rsidRPr="009C4FB6">
        <w:rPr>
          <w:b/>
          <w:lang w:eastAsia="hr-HR"/>
        </w:rPr>
        <w:t xml:space="preserve"> sredstava potrebn</w:t>
      </w:r>
      <w:r w:rsidR="7505DB1C" w:rsidRPr="009C4FB6">
        <w:rPr>
          <w:b/>
          <w:lang w:eastAsia="hr-HR"/>
        </w:rPr>
        <w:t>a</w:t>
      </w:r>
      <w:r w:rsidR="430C47C7" w:rsidRPr="009C4FB6">
        <w:rPr>
          <w:b/>
          <w:lang w:eastAsia="hr-HR"/>
        </w:rPr>
        <w:t xml:space="preserve"> </w:t>
      </w:r>
      <w:r w:rsidRPr="009C4FB6">
        <w:rPr>
          <w:b/>
          <w:lang w:eastAsia="hr-HR"/>
        </w:rPr>
        <w:lastRenderedPageBreak/>
        <w:t>za dostizanje nacionalnih ciljeva.</w:t>
      </w:r>
      <w:r w:rsidR="000E45F6" w:rsidRPr="009C4FB6">
        <w:rPr>
          <w:b/>
          <w:lang w:eastAsia="hr-HR"/>
        </w:rPr>
        <w:t xml:space="preserve"> </w:t>
      </w:r>
      <w:r w:rsidR="000E45F6" w:rsidRPr="009C4FB6">
        <w:rPr>
          <w:bCs/>
          <w:lang w:eastAsia="hr-HR"/>
        </w:rPr>
        <w:t>Osi</w:t>
      </w:r>
      <w:r w:rsidR="002F4E36" w:rsidRPr="009C4FB6">
        <w:rPr>
          <w:bCs/>
          <w:lang w:eastAsia="hr-HR"/>
        </w:rPr>
        <w:t xml:space="preserve">m navedenih sredstava, </w:t>
      </w:r>
      <w:r w:rsidR="000A00E3" w:rsidRPr="009C4FB6">
        <w:rPr>
          <w:bCs/>
          <w:lang w:eastAsia="hr-HR"/>
        </w:rPr>
        <w:t>provedbu osnovnog scenarija moguće je sufinancirati i uspostavom financijskog instrumenta za osiguranje vlastitog učešća korisnika novih PKK 2021-2027 poziva za javne zgrade, a koji bi bi</w:t>
      </w:r>
      <w:r w:rsidR="00016D18" w:rsidRPr="009C4FB6">
        <w:rPr>
          <w:bCs/>
          <w:lang w:eastAsia="hr-HR"/>
        </w:rPr>
        <w:t xml:space="preserve">o </w:t>
      </w:r>
      <w:r w:rsidR="000A00E3" w:rsidRPr="009C4FB6">
        <w:rPr>
          <w:bCs/>
          <w:lang w:eastAsia="hr-HR"/>
        </w:rPr>
        <w:t>financiran isključivo nacionalnim sredstvima</w:t>
      </w:r>
      <w:r w:rsidR="004C5C92" w:rsidRPr="009C4FB6">
        <w:rPr>
          <w:bCs/>
          <w:lang w:eastAsia="hr-HR"/>
        </w:rPr>
        <w:t>, odnosno iz vraćenih sre</w:t>
      </w:r>
      <w:r w:rsidR="000A00E3" w:rsidRPr="00B94035">
        <w:rPr>
          <w:bCs/>
        </w:rPr>
        <w:t>dst</w:t>
      </w:r>
      <w:r w:rsidR="00016D18" w:rsidRPr="00B94035">
        <w:rPr>
          <w:bCs/>
        </w:rPr>
        <w:t>a</w:t>
      </w:r>
      <w:r w:rsidR="000A00E3" w:rsidRPr="00B94035">
        <w:rPr>
          <w:bCs/>
        </w:rPr>
        <w:t>va po povratima od strane krajnjih primatelja, a koja su dodijeljena u okviru postojećeg ESIF financijskog instrumenta „ESIF krediti za energetsku učinkovitost za javne zgrade“</w:t>
      </w:r>
      <w:r w:rsidR="004C5C92" w:rsidRPr="00B94035">
        <w:rPr>
          <w:bCs/>
        </w:rPr>
        <w:t>.</w:t>
      </w:r>
      <w:r w:rsidR="000A00E3" w:rsidRPr="00B94035">
        <w:rPr>
          <w:bCs/>
        </w:rPr>
        <w:t xml:space="preserve"> </w:t>
      </w:r>
    </w:p>
    <w:p w14:paraId="19E90D3A" w14:textId="77777777" w:rsidR="000A00E3" w:rsidRPr="00B357F4" w:rsidRDefault="000A00E3" w:rsidP="00135DB1">
      <w:pPr>
        <w:rPr>
          <w:b/>
          <w:lang w:eastAsia="hr-HR"/>
        </w:rPr>
      </w:pPr>
    </w:p>
    <w:p w14:paraId="76630641" w14:textId="3FDDC6BD" w:rsidR="00135DB1" w:rsidRPr="00B357F4" w:rsidRDefault="00135DB1" w:rsidP="00135DB1">
      <w:pPr>
        <w:rPr>
          <w:lang w:eastAsia="hr-HR"/>
        </w:rPr>
      </w:pPr>
      <w:r w:rsidRPr="00B357F4">
        <w:rPr>
          <w:lang w:eastAsia="hr-HR"/>
        </w:rPr>
        <w:t xml:space="preserve">Unutar </w:t>
      </w:r>
      <w:r w:rsidR="000974BB" w:rsidRPr="00B357F4">
        <w:rPr>
          <w:lang w:eastAsia="hr-HR"/>
        </w:rPr>
        <w:t>osnovnog</w:t>
      </w:r>
      <w:r w:rsidRPr="00B357F4">
        <w:rPr>
          <w:lang w:eastAsia="hr-HR"/>
        </w:rPr>
        <w:t xml:space="preserve"> scenarija formiraju se sljedeći scenariji koji kombiniraju tipove obnove s izvorima financiranja:</w:t>
      </w:r>
    </w:p>
    <w:p w14:paraId="597CDBC3" w14:textId="68814B12" w:rsidR="00135DB1" w:rsidRPr="00373352" w:rsidRDefault="0067683C" w:rsidP="00135DB1">
      <w:pPr>
        <w:rPr>
          <w:b/>
          <w:lang w:eastAsia="hr-HR"/>
        </w:rPr>
      </w:pPr>
      <w:r w:rsidRPr="00B357F4">
        <w:rPr>
          <w:b/>
          <w:lang w:eastAsia="hr-HR"/>
        </w:rPr>
        <w:t xml:space="preserve">Scenarij 1 </w:t>
      </w:r>
      <w:r w:rsidR="00135DB1" w:rsidRPr="006734C7">
        <w:rPr>
          <w:b/>
          <w:lang w:eastAsia="hr-HR"/>
        </w:rPr>
        <w:t xml:space="preserve"> – energetska obnova zgrada do 2026. godine</w:t>
      </w:r>
    </w:p>
    <w:p w14:paraId="2607A20E" w14:textId="1EF8E3C0" w:rsidR="00135DB1" w:rsidRPr="00971F9E" w:rsidRDefault="0E05849E" w:rsidP="00135DB1">
      <w:pPr>
        <w:keepLines/>
        <w:numPr>
          <w:ilvl w:val="0"/>
          <w:numId w:val="82"/>
        </w:numPr>
        <w:suppressAutoHyphens/>
        <w:spacing w:before="60" w:after="60"/>
        <w:rPr>
          <w:lang w:eastAsia="hr-HR"/>
        </w:rPr>
      </w:pPr>
      <w:r w:rsidRPr="00971F9E">
        <w:rPr>
          <w:lang w:eastAsia="hr-HR"/>
        </w:rPr>
        <w:t>Izvor financiranja: NPOO, Investicija: C6.1. R1-I1: Energetska obnova zgrada</w:t>
      </w:r>
      <w:r w:rsidR="00EC5303">
        <w:rPr>
          <w:lang w:eastAsia="hr-HR"/>
        </w:rPr>
        <w:t xml:space="preserve">, </w:t>
      </w:r>
      <w:r w:rsidR="00EC5303" w:rsidRPr="00EC5303">
        <w:rPr>
          <w:lang w:eastAsia="hr-HR"/>
        </w:rPr>
        <w:t>potrebno  je ostvariti minimalnu uštedu od 30 % godišnje primarne energije (Eprim) na razini investicije C6.1. R1-I1 Energetska obnova zgrada</w:t>
      </w:r>
      <w:r w:rsidR="00974867">
        <w:rPr>
          <w:lang w:eastAsia="hr-HR"/>
        </w:rPr>
        <w:t>, VFO i državni proračun prema odobrenim sredstvima</w:t>
      </w:r>
    </w:p>
    <w:p w14:paraId="0DE0C13D" w14:textId="62257D1B" w:rsidR="00135DB1" w:rsidRPr="00203A80" w:rsidRDefault="0E05849E" w:rsidP="00135DB1">
      <w:pPr>
        <w:keepLines/>
        <w:numPr>
          <w:ilvl w:val="0"/>
          <w:numId w:val="82"/>
        </w:numPr>
        <w:suppressAutoHyphens/>
        <w:spacing w:before="60" w:after="60"/>
        <w:rPr>
          <w:lang w:eastAsia="hr-HR"/>
        </w:rPr>
      </w:pPr>
      <w:r w:rsidRPr="00B357F4">
        <w:rPr>
          <w:lang w:eastAsia="hr-HR"/>
        </w:rPr>
        <w:t xml:space="preserve">Iznos dostupnih financijskih sredstava za zgrade javnog sektora: 700.000.000 </w:t>
      </w:r>
      <w:r w:rsidR="00656977">
        <w:rPr>
          <w:lang w:eastAsia="hr-HR"/>
        </w:rPr>
        <w:t>kuna</w:t>
      </w:r>
      <w:r w:rsidR="00656977" w:rsidRPr="00B357F4">
        <w:rPr>
          <w:lang w:eastAsia="hr-HR"/>
        </w:rPr>
        <w:t xml:space="preserve"> </w:t>
      </w:r>
      <w:r w:rsidRPr="00B357F4">
        <w:rPr>
          <w:lang w:eastAsia="hr-HR"/>
        </w:rPr>
        <w:t>(250,000,000</w:t>
      </w:r>
      <w:r w:rsidRPr="006734C7">
        <w:rPr>
          <w:lang w:eastAsia="hr-HR"/>
        </w:rPr>
        <w:t xml:space="preserve"> </w:t>
      </w:r>
      <w:r w:rsidR="00656977">
        <w:rPr>
          <w:lang w:eastAsia="hr-HR"/>
        </w:rPr>
        <w:t>kuna</w:t>
      </w:r>
      <w:r w:rsidR="00656977" w:rsidRPr="006734C7">
        <w:rPr>
          <w:lang w:eastAsia="hr-HR"/>
        </w:rPr>
        <w:t xml:space="preserve"> </w:t>
      </w:r>
      <w:r w:rsidRPr="006734C7">
        <w:rPr>
          <w:lang w:eastAsia="hr-HR"/>
        </w:rPr>
        <w:t xml:space="preserve">za uspostavu ESCO modela, 300.000.000 </w:t>
      </w:r>
      <w:r w:rsidR="00E53D14">
        <w:rPr>
          <w:lang w:eastAsia="hr-HR"/>
        </w:rPr>
        <w:t>kuna</w:t>
      </w:r>
      <w:r w:rsidR="00E53D14" w:rsidRPr="006734C7">
        <w:rPr>
          <w:lang w:eastAsia="hr-HR"/>
        </w:rPr>
        <w:t xml:space="preserve"> </w:t>
      </w:r>
      <w:r w:rsidRPr="006734C7">
        <w:rPr>
          <w:lang w:eastAsia="hr-HR"/>
        </w:rPr>
        <w:t xml:space="preserve">za </w:t>
      </w:r>
      <w:r w:rsidR="00A67250">
        <w:rPr>
          <w:lang w:eastAsia="hr-HR"/>
        </w:rPr>
        <w:t>dotacije</w:t>
      </w:r>
      <w:r w:rsidRPr="006734C7">
        <w:rPr>
          <w:lang w:eastAsia="hr-HR"/>
        </w:rPr>
        <w:t xml:space="preserve">, 150.000.000 </w:t>
      </w:r>
      <w:r w:rsidR="00E53D14">
        <w:rPr>
          <w:lang w:eastAsia="hr-HR"/>
        </w:rPr>
        <w:t>kuna</w:t>
      </w:r>
      <w:r w:rsidR="00E53D14" w:rsidRPr="006734C7">
        <w:rPr>
          <w:lang w:eastAsia="hr-HR"/>
        </w:rPr>
        <w:t xml:space="preserve"> </w:t>
      </w:r>
      <w:r w:rsidRPr="006734C7">
        <w:rPr>
          <w:lang w:eastAsia="hr-HR"/>
        </w:rPr>
        <w:t>za energetsko siromaštvo)</w:t>
      </w:r>
    </w:p>
    <w:p w14:paraId="026205F3" w14:textId="16181E3E" w:rsidR="00135DB1" w:rsidRPr="00B357F4" w:rsidRDefault="0E05849E" w:rsidP="00135DB1">
      <w:pPr>
        <w:keepLines/>
        <w:numPr>
          <w:ilvl w:val="0"/>
          <w:numId w:val="82"/>
        </w:numPr>
        <w:suppressAutoHyphens/>
        <w:spacing w:before="60" w:after="60"/>
        <w:rPr>
          <w:lang w:eastAsia="hr-HR"/>
        </w:rPr>
      </w:pPr>
      <w:r w:rsidRPr="00A67250">
        <w:rPr>
          <w:lang w:eastAsia="hr-HR"/>
        </w:rPr>
        <w:t xml:space="preserve">Uvjeti: </w:t>
      </w:r>
      <w:r w:rsidR="0E8306A1" w:rsidRPr="00B357F4">
        <w:rPr>
          <w:lang w:eastAsia="hr-HR"/>
        </w:rPr>
        <w:t>ušteda godišnja potrebne toplinske</w:t>
      </w:r>
      <w:r w:rsidRPr="00B357F4">
        <w:rPr>
          <w:lang w:eastAsia="hr-HR"/>
        </w:rPr>
        <w:t xml:space="preserve"> energije za grijanje (Q</w:t>
      </w:r>
      <w:r w:rsidRPr="00B357F4">
        <w:rPr>
          <w:vertAlign w:val="subscript"/>
          <w:lang w:eastAsia="hr-HR"/>
        </w:rPr>
        <w:t>hnd</w:t>
      </w:r>
      <w:r w:rsidRPr="00B357F4">
        <w:rPr>
          <w:lang w:eastAsia="hr-HR"/>
        </w:rPr>
        <w:t xml:space="preserve">) od najmanje 50%  </w:t>
      </w:r>
    </w:p>
    <w:p w14:paraId="058AE504" w14:textId="364CEB31" w:rsidR="00135DB1" w:rsidRPr="00203A80" w:rsidRDefault="0E05849E" w:rsidP="00135DB1">
      <w:pPr>
        <w:keepLines/>
        <w:numPr>
          <w:ilvl w:val="0"/>
          <w:numId w:val="82"/>
        </w:numPr>
        <w:suppressAutoHyphens/>
        <w:spacing w:before="60" w:after="60"/>
        <w:rPr>
          <w:lang w:eastAsia="hr-HR"/>
        </w:rPr>
      </w:pPr>
      <w:r w:rsidRPr="00B357F4">
        <w:rPr>
          <w:lang w:eastAsia="hr-HR"/>
        </w:rPr>
        <w:t xml:space="preserve">Tip obnove: IEO (60% </w:t>
      </w:r>
      <w:r w:rsidR="00A67250">
        <w:rPr>
          <w:lang w:eastAsia="hr-HR"/>
        </w:rPr>
        <w:t>dotacija</w:t>
      </w:r>
      <w:r w:rsidRPr="00203A80">
        <w:rPr>
          <w:lang w:eastAsia="hr-HR"/>
        </w:rPr>
        <w:t>)</w:t>
      </w:r>
    </w:p>
    <w:p w14:paraId="3C80849A" w14:textId="77777777" w:rsidR="00135DB1" w:rsidRPr="00B357F4" w:rsidRDefault="0E05849E" w:rsidP="00135DB1">
      <w:pPr>
        <w:keepLines/>
        <w:numPr>
          <w:ilvl w:val="1"/>
          <w:numId w:val="82"/>
        </w:numPr>
        <w:suppressAutoHyphens/>
        <w:spacing w:before="60" w:after="60"/>
        <w:rPr>
          <w:lang w:eastAsia="hr-HR"/>
        </w:rPr>
      </w:pPr>
      <w:r w:rsidRPr="00971F9E">
        <w:rPr>
          <w:lang w:eastAsia="hr-HR"/>
        </w:rPr>
        <w:t>Pokazatelji: 60% ciljanog fonda zgrada javnog sektora, odnosno 172.800 m</w:t>
      </w:r>
      <w:r w:rsidRPr="00971F9E">
        <w:rPr>
          <w:vertAlign w:val="superscript"/>
          <w:lang w:eastAsia="hr-HR"/>
        </w:rPr>
        <w:t>2</w:t>
      </w:r>
    </w:p>
    <w:p w14:paraId="296BD09E" w14:textId="25205AC8" w:rsidR="00135DB1" w:rsidRPr="00B357F4" w:rsidRDefault="003A7BD6" w:rsidP="00135DB1">
      <w:pPr>
        <w:keepLines/>
        <w:numPr>
          <w:ilvl w:val="1"/>
          <w:numId w:val="82"/>
        </w:numPr>
        <w:suppressAutoHyphens/>
        <w:spacing w:before="60" w:after="60"/>
        <w:rPr>
          <w:lang w:eastAsia="hr-HR"/>
        </w:rPr>
      </w:pPr>
      <w:r>
        <w:rPr>
          <w:lang w:eastAsia="hr-HR"/>
        </w:rPr>
        <w:t>Prihvatljivi trošak</w:t>
      </w:r>
      <w:r w:rsidR="0E05849E" w:rsidRPr="00B357F4">
        <w:rPr>
          <w:lang w:eastAsia="hr-HR"/>
        </w:rPr>
        <w:t xml:space="preserve"> obnove: 1.500 kn/m</w:t>
      </w:r>
      <w:r w:rsidR="0E05849E" w:rsidRPr="00B357F4">
        <w:rPr>
          <w:vertAlign w:val="superscript"/>
          <w:lang w:eastAsia="hr-HR"/>
        </w:rPr>
        <w:t>2</w:t>
      </w:r>
    </w:p>
    <w:p w14:paraId="282F0F4C" w14:textId="206BC311" w:rsidR="00135DB1" w:rsidRPr="00203A80" w:rsidRDefault="0E05849E" w:rsidP="00135DB1">
      <w:pPr>
        <w:keepLines/>
        <w:numPr>
          <w:ilvl w:val="0"/>
          <w:numId w:val="82"/>
        </w:numPr>
        <w:suppressAutoHyphens/>
        <w:spacing w:before="60" w:after="60"/>
        <w:rPr>
          <w:lang w:eastAsia="hr-HR"/>
        </w:rPr>
      </w:pPr>
      <w:r w:rsidRPr="00B357F4">
        <w:rPr>
          <w:lang w:eastAsia="hr-HR"/>
        </w:rPr>
        <w:t xml:space="preserve">Tip obnove: DO i DO-nZEB (80% </w:t>
      </w:r>
      <w:r w:rsidR="00A67250">
        <w:rPr>
          <w:lang w:eastAsia="hr-HR"/>
        </w:rPr>
        <w:t>dotacija</w:t>
      </w:r>
      <w:r w:rsidRPr="00203A80">
        <w:rPr>
          <w:lang w:eastAsia="hr-HR"/>
        </w:rPr>
        <w:t>)</w:t>
      </w:r>
    </w:p>
    <w:p w14:paraId="306A9E8B" w14:textId="77777777" w:rsidR="00135DB1" w:rsidRPr="00B357F4" w:rsidRDefault="0E05849E" w:rsidP="00135DB1">
      <w:pPr>
        <w:keepLines/>
        <w:numPr>
          <w:ilvl w:val="1"/>
          <w:numId w:val="82"/>
        </w:numPr>
        <w:suppressAutoHyphens/>
        <w:spacing w:before="60" w:after="60"/>
        <w:rPr>
          <w:lang w:eastAsia="hr-HR"/>
        </w:rPr>
      </w:pPr>
      <w:r w:rsidRPr="00971F9E">
        <w:rPr>
          <w:lang w:eastAsia="hr-HR"/>
        </w:rPr>
        <w:t>Pokazatelji: 20% ciljanog fonda zgrada javnog sektora, odnosno 57.600 m</w:t>
      </w:r>
      <w:r w:rsidRPr="00971F9E">
        <w:rPr>
          <w:vertAlign w:val="superscript"/>
          <w:lang w:eastAsia="hr-HR"/>
        </w:rPr>
        <w:t>2</w:t>
      </w:r>
    </w:p>
    <w:p w14:paraId="0550FC5D" w14:textId="0000D241" w:rsidR="00135DB1" w:rsidRPr="00B357F4" w:rsidRDefault="003A7BD6" w:rsidP="00135DB1">
      <w:pPr>
        <w:keepLines/>
        <w:numPr>
          <w:ilvl w:val="1"/>
          <w:numId w:val="82"/>
        </w:numPr>
        <w:suppressAutoHyphens/>
        <w:spacing w:before="60" w:after="60"/>
        <w:rPr>
          <w:lang w:eastAsia="hr-HR"/>
        </w:rPr>
      </w:pPr>
      <w:r>
        <w:rPr>
          <w:lang w:eastAsia="hr-HR"/>
        </w:rPr>
        <w:t>Prihvatljivi t</w:t>
      </w:r>
      <w:r w:rsidR="0E05849E" w:rsidRPr="00B357F4">
        <w:rPr>
          <w:lang w:eastAsia="hr-HR"/>
        </w:rPr>
        <w:t>rošak obnove: 2.800 kn/m</w:t>
      </w:r>
      <w:r w:rsidR="0E05849E" w:rsidRPr="00B357F4">
        <w:rPr>
          <w:vertAlign w:val="superscript"/>
          <w:lang w:eastAsia="hr-HR"/>
        </w:rPr>
        <w:t>2</w:t>
      </w:r>
    </w:p>
    <w:p w14:paraId="0EEE224D" w14:textId="17765651" w:rsidR="00135DB1" w:rsidRPr="00373352" w:rsidRDefault="0E05849E" w:rsidP="00135DB1">
      <w:pPr>
        <w:keepLines/>
        <w:numPr>
          <w:ilvl w:val="0"/>
          <w:numId w:val="82"/>
        </w:numPr>
        <w:suppressAutoHyphens/>
        <w:spacing w:before="60" w:after="60"/>
        <w:rPr>
          <w:lang w:eastAsia="hr-HR"/>
        </w:rPr>
      </w:pPr>
      <w:r w:rsidRPr="00B357F4">
        <w:rPr>
          <w:lang w:eastAsia="hr-HR"/>
        </w:rPr>
        <w:t>Tip obnove: SO</w:t>
      </w:r>
      <w:r w:rsidR="113A98BB" w:rsidRPr="00B357F4">
        <w:rPr>
          <w:lang w:eastAsia="hr-HR"/>
        </w:rPr>
        <w:t xml:space="preserve"> (kombinacija IEO ili DO</w:t>
      </w:r>
      <w:r w:rsidR="57AF4477" w:rsidRPr="00B357F4">
        <w:rPr>
          <w:lang w:eastAsia="hr-HR"/>
        </w:rPr>
        <w:t>, DO-nZEB</w:t>
      </w:r>
      <w:r w:rsidR="47AD5677" w:rsidRPr="00B357F4">
        <w:rPr>
          <w:lang w:eastAsia="hr-HR"/>
        </w:rPr>
        <w:t>)</w:t>
      </w:r>
      <w:r w:rsidRPr="006734C7">
        <w:rPr>
          <w:lang w:eastAsia="hr-HR"/>
        </w:rPr>
        <w:t xml:space="preserve">(80% </w:t>
      </w:r>
      <w:r w:rsidR="00A67250">
        <w:rPr>
          <w:lang w:eastAsia="hr-HR"/>
        </w:rPr>
        <w:t>dotacija</w:t>
      </w:r>
      <w:r w:rsidRPr="006734C7">
        <w:rPr>
          <w:lang w:eastAsia="hr-HR"/>
        </w:rPr>
        <w:t>)</w:t>
      </w:r>
    </w:p>
    <w:p w14:paraId="60A6A562" w14:textId="77777777" w:rsidR="00135DB1" w:rsidRPr="00A67250" w:rsidRDefault="0E05849E" w:rsidP="00135DB1">
      <w:pPr>
        <w:keepLines/>
        <w:numPr>
          <w:ilvl w:val="1"/>
          <w:numId w:val="82"/>
        </w:numPr>
        <w:suppressAutoHyphens/>
        <w:spacing w:before="60" w:after="60"/>
        <w:rPr>
          <w:lang w:eastAsia="hr-HR"/>
        </w:rPr>
      </w:pPr>
      <w:r w:rsidRPr="00203A80">
        <w:rPr>
          <w:lang w:eastAsia="hr-HR"/>
        </w:rPr>
        <w:t>Pokazatelji: 20% ciljanog fonda zgrada javnog sektora, odnosno 57.600 m</w:t>
      </w:r>
      <w:r w:rsidRPr="00A67250">
        <w:rPr>
          <w:vertAlign w:val="superscript"/>
          <w:lang w:eastAsia="hr-HR"/>
        </w:rPr>
        <w:t>2</w:t>
      </w:r>
    </w:p>
    <w:p w14:paraId="74239064" w14:textId="025EE8D2" w:rsidR="00135DB1" w:rsidRPr="00971F9E" w:rsidRDefault="00CE67D1" w:rsidP="00135DB1">
      <w:pPr>
        <w:keepLines/>
        <w:numPr>
          <w:ilvl w:val="1"/>
          <w:numId w:val="82"/>
        </w:numPr>
        <w:suppressAutoHyphens/>
        <w:spacing w:before="60" w:after="60"/>
        <w:rPr>
          <w:lang w:eastAsia="hr-HR"/>
        </w:rPr>
      </w:pPr>
      <w:r>
        <w:rPr>
          <w:lang w:eastAsia="hr-HR"/>
        </w:rPr>
        <w:t>Prihvatlj</w:t>
      </w:r>
      <w:r w:rsidR="00EC28D1">
        <w:rPr>
          <w:lang w:eastAsia="hr-HR"/>
        </w:rPr>
        <w:t>i</w:t>
      </w:r>
      <w:r>
        <w:rPr>
          <w:lang w:eastAsia="hr-HR"/>
        </w:rPr>
        <w:t>vi t</w:t>
      </w:r>
      <w:r w:rsidR="0E05849E" w:rsidRPr="00971F9E">
        <w:rPr>
          <w:lang w:eastAsia="hr-HR"/>
        </w:rPr>
        <w:t>rošak obnove: 3.600 kn/m2</w:t>
      </w:r>
    </w:p>
    <w:p w14:paraId="13674CD5" w14:textId="77777777" w:rsidR="00135DB1" w:rsidRPr="00B357F4" w:rsidRDefault="0E05849E" w:rsidP="00135DB1">
      <w:pPr>
        <w:keepLines/>
        <w:numPr>
          <w:ilvl w:val="0"/>
          <w:numId w:val="82"/>
        </w:numPr>
        <w:suppressAutoHyphens/>
        <w:spacing w:before="60" w:after="60"/>
        <w:rPr>
          <w:lang w:eastAsia="hr-HR"/>
        </w:rPr>
      </w:pPr>
      <w:r w:rsidRPr="00B357F4">
        <w:rPr>
          <w:lang w:eastAsia="hr-HR"/>
        </w:rPr>
        <w:t>Planirani period provedbe: 2022.-2026.</w:t>
      </w:r>
    </w:p>
    <w:p w14:paraId="7CFB4EA2" w14:textId="77777777" w:rsidR="00135DB1" w:rsidRPr="00B357F4" w:rsidRDefault="00135DB1" w:rsidP="00135DB1">
      <w:pPr>
        <w:keepLines/>
        <w:suppressAutoHyphens/>
        <w:spacing w:before="60" w:after="60"/>
        <w:ind w:left="720"/>
        <w:rPr>
          <w:lang w:eastAsia="hr-HR"/>
        </w:rPr>
      </w:pPr>
    </w:p>
    <w:p w14:paraId="50049316" w14:textId="77777777" w:rsidR="00135DB1" w:rsidRPr="00B357F4" w:rsidRDefault="00135DB1" w:rsidP="00135DB1">
      <w:pPr>
        <w:rPr>
          <w:b/>
          <w:lang w:eastAsia="hr-HR"/>
        </w:rPr>
      </w:pPr>
      <w:r w:rsidRPr="00B357F4">
        <w:rPr>
          <w:b/>
          <w:lang w:eastAsia="hr-HR"/>
        </w:rPr>
        <w:t>Scenarij 2 – sveobuhvatna obnova zgrada oštećenih u potresu do 2026. godine</w:t>
      </w:r>
    </w:p>
    <w:p w14:paraId="74024BDB" w14:textId="0E166A07" w:rsidR="009249C8" w:rsidRPr="009249C8" w:rsidRDefault="0E05849E" w:rsidP="009249C8">
      <w:pPr>
        <w:keepLines/>
        <w:numPr>
          <w:ilvl w:val="0"/>
          <w:numId w:val="82"/>
        </w:numPr>
        <w:suppressAutoHyphens/>
        <w:spacing w:before="60" w:after="60"/>
        <w:rPr>
          <w:lang w:eastAsia="hr-HR"/>
        </w:rPr>
      </w:pPr>
      <w:r w:rsidRPr="00B357F4">
        <w:rPr>
          <w:lang w:eastAsia="hr-HR"/>
        </w:rPr>
        <w:t>Izvor financiranja: NPOO, Investicija: C6.1. R1-I2: Obnova zgrada oštećenih u potresu</w:t>
      </w:r>
      <w:r w:rsidR="009249C8">
        <w:rPr>
          <w:lang w:eastAsia="hr-HR"/>
        </w:rPr>
        <w:t xml:space="preserve">, </w:t>
      </w:r>
      <w:r w:rsidR="009249C8" w:rsidRPr="009249C8">
        <w:rPr>
          <w:lang w:eastAsia="hr-HR"/>
        </w:rPr>
        <w:t>potrebno  je ostvariti minimalnu uštedu od 30 % godišnje primarne energije (Eprim) na razini investicije C6.1. R1-I1 Energetska obnova zgrada i C6.1. R1-I2: Obnova zgrada oštećenih u potresu</w:t>
      </w:r>
      <w:r w:rsidR="00974867">
        <w:rPr>
          <w:lang w:eastAsia="hr-HR"/>
        </w:rPr>
        <w:t>, VFO i državni proračun prema odobrenim sredstvima</w:t>
      </w:r>
    </w:p>
    <w:p w14:paraId="5A8BA51B" w14:textId="1724FEDB" w:rsidR="00135DB1" w:rsidRPr="00B357F4" w:rsidRDefault="00135DB1" w:rsidP="00974867">
      <w:pPr>
        <w:keepLines/>
        <w:suppressAutoHyphens/>
        <w:spacing w:before="60" w:after="60"/>
        <w:ind w:left="360"/>
        <w:rPr>
          <w:lang w:eastAsia="hr-HR"/>
        </w:rPr>
      </w:pPr>
    </w:p>
    <w:p w14:paraId="3A49EF26" w14:textId="31DA2F6D" w:rsidR="00135DB1" w:rsidRPr="00B357F4" w:rsidRDefault="0E05849E" w:rsidP="00135DB1">
      <w:pPr>
        <w:keepLines/>
        <w:numPr>
          <w:ilvl w:val="0"/>
          <w:numId w:val="82"/>
        </w:numPr>
        <w:suppressAutoHyphens/>
        <w:spacing w:before="60" w:after="60"/>
        <w:rPr>
          <w:lang w:eastAsia="hr-HR"/>
        </w:rPr>
      </w:pPr>
      <w:r w:rsidRPr="00B357F4">
        <w:rPr>
          <w:lang w:eastAsia="hr-HR"/>
        </w:rPr>
        <w:t xml:space="preserve">Iznos dostupnih financijskih sredstava za zgrade javnog sektora: 3.819.430.000 </w:t>
      </w:r>
      <w:r w:rsidR="00743D17">
        <w:rPr>
          <w:lang w:eastAsia="hr-HR"/>
        </w:rPr>
        <w:t>kuna</w:t>
      </w:r>
      <w:r w:rsidR="00743D17" w:rsidRPr="00B357F4">
        <w:rPr>
          <w:lang w:eastAsia="hr-HR"/>
        </w:rPr>
        <w:t xml:space="preserve"> </w:t>
      </w:r>
    </w:p>
    <w:p w14:paraId="5D11E575" w14:textId="11AB7C8A" w:rsidR="00135DB1" w:rsidRPr="00B357F4" w:rsidRDefault="0E05849E" w:rsidP="00135DB1">
      <w:pPr>
        <w:keepLines/>
        <w:numPr>
          <w:ilvl w:val="0"/>
          <w:numId w:val="82"/>
        </w:numPr>
        <w:suppressAutoHyphens/>
        <w:spacing w:before="60" w:after="60"/>
        <w:rPr>
          <w:lang w:eastAsia="hr-HR"/>
        </w:rPr>
      </w:pPr>
      <w:r w:rsidRPr="00B357F4">
        <w:rPr>
          <w:lang w:eastAsia="hr-HR"/>
        </w:rPr>
        <w:t xml:space="preserve">Uvjeti: smanjenje </w:t>
      </w:r>
      <w:r w:rsidR="00063156">
        <w:rPr>
          <w:lang w:eastAsia="hr-HR"/>
        </w:rPr>
        <w:t xml:space="preserve">ušteda godišnje </w:t>
      </w:r>
      <w:r w:rsidR="000F15A0">
        <w:rPr>
          <w:lang w:eastAsia="hr-HR"/>
        </w:rPr>
        <w:t>potrebne toplinske</w:t>
      </w:r>
      <w:r w:rsidR="000F15A0" w:rsidRPr="00B357F4">
        <w:rPr>
          <w:lang w:eastAsia="hr-HR"/>
        </w:rPr>
        <w:t xml:space="preserve"> </w:t>
      </w:r>
      <w:r w:rsidRPr="00B357F4">
        <w:rPr>
          <w:lang w:eastAsia="hr-HR"/>
        </w:rPr>
        <w:t>energije za grijanje (Q</w:t>
      </w:r>
      <w:r w:rsidRPr="00B357F4">
        <w:rPr>
          <w:vertAlign w:val="subscript"/>
          <w:lang w:eastAsia="hr-HR"/>
        </w:rPr>
        <w:t>hnd</w:t>
      </w:r>
      <w:r w:rsidRPr="00B357F4">
        <w:rPr>
          <w:lang w:eastAsia="hr-HR"/>
        </w:rPr>
        <w:t>) od najmanje 50%  Napomena: potrebno je kombinirati s korištenjem sredstava za obnovu zgrada oštećenih u potresu iz FSEU (alokacija u tom izvoru ima rok iskorištenja - lipanj 2022.)</w:t>
      </w:r>
    </w:p>
    <w:p w14:paraId="129C8F26" w14:textId="32371FD2" w:rsidR="00135DB1" w:rsidRPr="00B357F4" w:rsidRDefault="0E05849E" w:rsidP="00135DB1">
      <w:pPr>
        <w:keepLines/>
        <w:numPr>
          <w:ilvl w:val="0"/>
          <w:numId w:val="82"/>
        </w:numPr>
        <w:suppressAutoHyphens/>
        <w:spacing w:before="60" w:after="60"/>
        <w:rPr>
          <w:lang w:eastAsia="hr-HR"/>
        </w:rPr>
      </w:pPr>
      <w:r w:rsidRPr="00B357F4">
        <w:rPr>
          <w:lang w:eastAsia="hr-HR"/>
        </w:rPr>
        <w:t>Tip obnove: SOP</w:t>
      </w:r>
      <w:r w:rsidR="54D9B9F4" w:rsidRPr="00B357F4">
        <w:rPr>
          <w:lang w:eastAsia="hr-HR"/>
        </w:rPr>
        <w:t xml:space="preserve"> (</w:t>
      </w:r>
      <w:r w:rsidR="19D7FDBD" w:rsidRPr="00B357F4">
        <w:rPr>
          <w:lang w:eastAsia="hr-HR"/>
        </w:rPr>
        <w:t>I</w:t>
      </w:r>
      <w:r w:rsidR="54D9B9F4" w:rsidRPr="00B357F4">
        <w:rPr>
          <w:lang w:eastAsia="hr-HR"/>
        </w:rPr>
        <w:t>EO, DO, DO-nZEB)</w:t>
      </w:r>
      <w:r w:rsidRPr="00B357F4">
        <w:rPr>
          <w:lang w:eastAsia="hr-HR"/>
        </w:rPr>
        <w:t xml:space="preserve"> </w:t>
      </w:r>
    </w:p>
    <w:p w14:paraId="1B2C6FE3" w14:textId="7AD58788" w:rsidR="00135DB1" w:rsidRPr="00B357F4" w:rsidRDefault="0E05849E" w:rsidP="00135DB1">
      <w:pPr>
        <w:keepLines/>
        <w:numPr>
          <w:ilvl w:val="1"/>
          <w:numId w:val="82"/>
        </w:numPr>
        <w:suppressAutoHyphens/>
        <w:spacing w:before="60" w:after="60"/>
        <w:rPr>
          <w:lang w:eastAsia="hr-HR"/>
        </w:rPr>
      </w:pPr>
      <w:r w:rsidRPr="00B357F4">
        <w:rPr>
          <w:lang w:eastAsia="hr-HR"/>
        </w:rPr>
        <w:t xml:space="preserve">Pokazatelji: </w:t>
      </w:r>
      <w:r w:rsidR="004D21C7" w:rsidRPr="00B357F4">
        <w:rPr>
          <w:lang w:eastAsia="hr-HR"/>
        </w:rPr>
        <w:t>2</w:t>
      </w:r>
      <w:r w:rsidR="004D21C7">
        <w:rPr>
          <w:lang w:eastAsia="hr-HR"/>
        </w:rPr>
        <w:t>88</w:t>
      </w:r>
      <w:r w:rsidRPr="00B357F4">
        <w:rPr>
          <w:lang w:eastAsia="hr-HR"/>
        </w:rPr>
        <w:t>.000 m</w:t>
      </w:r>
      <w:r w:rsidRPr="00B357F4">
        <w:rPr>
          <w:vertAlign w:val="superscript"/>
          <w:lang w:eastAsia="hr-HR"/>
        </w:rPr>
        <w:t xml:space="preserve">2 </w:t>
      </w:r>
      <w:r w:rsidRPr="00B357F4">
        <w:rPr>
          <w:lang w:eastAsia="hr-HR"/>
        </w:rPr>
        <w:t>ciljanog fonda zgrada javnog sektora oštećenog u potresu</w:t>
      </w:r>
    </w:p>
    <w:p w14:paraId="5F2F50F6" w14:textId="5C4E8844" w:rsidR="00135DB1" w:rsidRPr="00B357F4" w:rsidRDefault="0E05849E" w:rsidP="00554D7A">
      <w:pPr>
        <w:keepLines/>
        <w:numPr>
          <w:ilvl w:val="0"/>
          <w:numId w:val="82"/>
        </w:numPr>
        <w:suppressAutoHyphens/>
        <w:spacing w:before="60" w:after="60"/>
        <w:rPr>
          <w:lang w:eastAsia="hr-HR"/>
        </w:rPr>
      </w:pPr>
      <w:r w:rsidRPr="00B357F4">
        <w:rPr>
          <w:lang w:eastAsia="hr-HR"/>
        </w:rPr>
        <w:t>Planirani period provedbe: 2022.</w:t>
      </w:r>
    </w:p>
    <w:p w14:paraId="1329BF70" w14:textId="35923041" w:rsidR="00B3701E" w:rsidRDefault="00B3701E" w:rsidP="00C42A0A">
      <w:pPr>
        <w:keepLines/>
        <w:suppressAutoHyphens/>
        <w:spacing w:before="60" w:after="60"/>
        <w:rPr>
          <w:lang w:eastAsia="hr-HR"/>
        </w:rPr>
      </w:pPr>
      <w:r>
        <w:rPr>
          <w:lang w:eastAsia="hr-HR"/>
        </w:rPr>
        <w:t>Provedba osnovna dva sc</w:t>
      </w:r>
      <w:r w:rsidR="00F174C7">
        <w:rPr>
          <w:lang w:eastAsia="hr-HR"/>
        </w:rPr>
        <w:t xml:space="preserve">enarija (Scenarij 1 i 2) </w:t>
      </w:r>
      <w:r w:rsidR="00D46E44">
        <w:rPr>
          <w:lang w:eastAsia="hr-HR"/>
        </w:rPr>
        <w:t xml:space="preserve">je ujedno i </w:t>
      </w:r>
      <w:r w:rsidRPr="00B3701E">
        <w:rPr>
          <w:lang w:eastAsia="hr-HR"/>
        </w:rPr>
        <w:t>Optimalni model za zgrade centralne države</w:t>
      </w:r>
      <w:r w:rsidR="00D46E44">
        <w:rPr>
          <w:lang w:eastAsia="hr-HR"/>
        </w:rPr>
        <w:t xml:space="preserve">. </w:t>
      </w:r>
    </w:p>
    <w:p w14:paraId="62108634" w14:textId="77777777" w:rsidR="00147BDA" w:rsidRPr="00B357F4" w:rsidRDefault="00147BDA" w:rsidP="00974867">
      <w:pPr>
        <w:keepLines/>
        <w:suppressAutoHyphens/>
        <w:spacing w:before="60" w:after="60"/>
        <w:rPr>
          <w:lang w:eastAsia="hr-HR"/>
        </w:rPr>
      </w:pPr>
    </w:p>
    <w:p w14:paraId="3541E4E1" w14:textId="45AE4E84" w:rsidR="00135DB1" w:rsidRPr="00203A80" w:rsidRDefault="00135DB1" w:rsidP="00135DB1">
      <w:pPr>
        <w:rPr>
          <w:b/>
          <w:lang w:eastAsia="hr-HR"/>
        </w:rPr>
      </w:pPr>
      <w:r w:rsidRPr="00B357F4">
        <w:rPr>
          <w:b/>
          <w:lang w:eastAsia="hr-HR"/>
        </w:rPr>
        <w:t>Scenarij 3 – energetska</w:t>
      </w:r>
      <w:r w:rsidRPr="006734C7">
        <w:rPr>
          <w:b/>
          <w:lang w:eastAsia="hr-HR"/>
        </w:rPr>
        <w:t xml:space="preserve">, sveobuhvatna i kružna obnova </w:t>
      </w:r>
      <w:r w:rsidR="006F3023" w:rsidRPr="006734C7">
        <w:rPr>
          <w:b/>
          <w:lang w:eastAsia="hr-HR"/>
        </w:rPr>
        <w:t xml:space="preserve">zgrada javnog sektora </w:t>
      </w:r>
      <w:r w:rsidRPr="006734C7">
        <w:rPr>
          <w:b/>
          <w:lang w:eastAsia="hr-HR"/>
        </w:rPr>
        <w:t xml:space="preserve">te zgrada javnog sektora oštećenih u potresu </w:t>
      </w:r>
      <w:r w:rsidRPr="001646A4">
        <w:rPr>
          <w:b/>
          <w:lang w:eastAsia="hr-HR"/>
        </w:rPr>
        <w:t>do 2030. godine</w:t>
      </w:r>
      <w:r w:rsidRPr="006734C7">
        <w:rPr>
          <w:b/>
          <w:lang w:eastAsia="hr-HR"/>
        </w:rPr>
        <w:t xml:space="preserve"> koristeći planirana sredstva iz VFO 2021.-2027.</w:t>
      </w:r>
      <w:r w:rsidR="0052382F">
        <w:rPr>
          <w:b/>
          <w:lang w:eastAsia="hr-HR"/>
        </w:rPr>
        <w:t xml:space="preserve"> i formirane financijske instrumente i mehanizme</w:t>
      </w:r>
    </w:p>
    <w:p w14:paraId="3BF65AB7" w14:textId="4B7DA85B" w:rsidR="00135DB1" w:rsidRPr="00971F9E" w:rsidRDefault="0E05849E" w:rsidP="00135DB1">
      <w:pPr>
        <w:keepLines/>
        <w:numPr>
          <w:ilvl w:val="0"/>
          <w:numId w:val="82"/>
        </w:numPr>
        <w:suppressAutoHyphens/>
        <w:spacing w:before="60" w:after="60"/>
        <w:rPr>
          <w:lang w:eastAsia="hr-HR"/>
        </w:rPr>
      </w:pPr>
      <w:r w:rsidRPr="00971F9E">
        <w:rPr>
          <w:lang w:eastAsia="hr-HR"/>
        </w:rPr>
        <w:t>Izvor financiranja: VFO 2021.-2027.</w:t>
      </w:r>
      <w:r w:rsidR="0052382F">
        <w:rPr>
          <w:lang w:eastAsia="hr-HR"/>
        </w:rPr>
        <w:t xml:space="preserve"> i formirani financijski instrumenti i mehanizmi</w:t>
      </w:r>
    </w:p>
    <w:p w14:paraId="0AD297EF" w14:textId="2DBD1A6A" w:rsidR="00135DB1" w:rsidRPr="00B357F4" w:rsidRDefault="0E05849E" w:rsidP="00135DB1">
      <w:pPr>
        <w:keepLines/>
        <w:numPr>
          <w:ilvl w:val="0"/>
          <w:numId w:val="82"/>
        </w:numPr>
        <w:suppressAutoHyphens/>
        <w:spacing w:before="60" w:after="60"/>
        <w:rPr>
          <w:lang w:eastAsia="hr-HR"/>
        </w:rPr>
      </w:pPr>
      <w:r w:rsidRPr="00971F9E">
        <w:rPr>
          <w:lang w:eastAsia="hr-HR"/>
        </w:rPr>
        <w:t>Tip obnove: svi tipovi (IEO, DO, DO-nZEB, SO, SOP)</w:t>
      </w:r>
    </w:p>
    <w:p w14:paraId="4C1B6A17" w14:textId="49056563" w:rsidR="00135DB1" w:rsidRPr="00B357F4" w:rsidRDefault="0E05849E" w:rsidP="00135DB1">
      <w:pPr>
        <w:keepLines/>
        <w:numPr>
          <w:ilvl w:val="1"/>
          <w:numId w:val="82"/>
        </w:numPr>
        <w:suppressAutoHyphens/>
        <w:spacing w:before="60" w:after="60"/>
        <w:rPr>
          <w:lang w:eastAsia="hr-HR"/>
        </w:rPr>
      </w:pPr>
      <w:r w:rsidRPr="00B357F4">
        <w:rPr>
          <w:lang w:eastAsia="hr-HR"/>
        </w:rPr>
        <w:lastRenderedPageBreak/>
        <w:t xml:space="preserve">Pokazatelji: </w:t>
      </w:r>
      <w:r w:rsidR="00D55416" w:rsidRPr="00B357F4">
        <w:rPr>
          <w:lang w:eastAsia="hr-HR"/>
        </w:rPr>
        <w:t>356.000 m</w:t>
      </w:r>
      <w:r w:rsidR="00D55416" w:rsidRPr="00B357F4">
        <w:rPr>
          <w:vertAlign w:val="superscript"/>
          <w:lang w:eastAsia="hr-HR"/>
        </w:rPr>
        <w:t xml:space="preserve">2 </w:t>
      </w:r>
      <w:r w:rsidRPr="00B357F4">
        <w:rPr>
          <w:lang w:eastAsia="hr-HR"/>
        </w:rPr>
        <w:t xml:space="preserve">ciljanog fonda zgrada javnog sektora za energetsku, sveobuhvatnu i kružnu obnovu (IEO, DO, DO-nZEB, SO) odnosno </w:t>
      </w:r>
      <w:r w:rsidR="00BB3950" w:rsidRPr="00B357F4">
        <w:rPr>
          <w:lang w:eastAsia="hr-HR"/>
        </w:rPr>
        <w:t>14.200 m</w:t>
      </w:r>
      <w:r w:rsidR="00BB3950" w:rsidRPr="00B357F4">
        <w:rPr>
          <w:vertAlign w:val="superscript"/>
          <w:lang w:eastAsia="hr-HR"/>
        </w:rPr>
        <w:t xml:space="preserve">2 </w:t>
      </w:r>
      <w:r w:rsidRPr="00B357F4">
        <w:rPr>
          <w:lang w:eastAsia="hr-HR"/>
        </w:rPr>
        <w:t>ciljanog fonda zgrada javnog sektora oštećenog u potresu za sveobuhvatnu obnovu (SOP)</w:t>
      </w:r>
    </w:p>
    <w:p w14:paraId="52F4BADB" w14:textId="3FB1A81C" w:rsidR="003D0A88" w:rsidRPr="00B357F4" w:rsidRDefault="003D0A88" w:rsidP="00080B80">
      <w:pPr>
        <w:keepLines/>
        <w:numPr>
          <w:ilvl w:val="0"/>
          <w:numId w:val="82"/>
        </w:numPr>
        <w:suppressAutoHyphens/>
        <w:spacing w:before="60" w:after="60"/>
        <w:rPr>
          <w:lang w:eastAsia="hr-HR"/>
        </w:rPr>
      </w:pPr>
      <w:r w:rsidRPr="00971F9E">
        <w:rPr>
          <w:lang w:eastAsia="hr-HR"/>
        </w:rPr>
        <w:t xml:space="preserve">Iznos potrebnih financijskih sredstava za zgrade javnog sektora: 6.257.875.300 </w:t>
      </w:r>
      <w:r>
        <w:rPr>
          <w:lang w:eastAsia="hr-HR"/>
        </w:rPr>
        <w:t>kuna</w:t>
      </w:r>
    </w:p>
    <w:p w14:paraId="6FBCC995" w14:textId="77777777" w:rsidR="00135DB1" w:rsidRPr="00B357F4" w:rsidRDefault="00135DB1" w:rsidP="00135DB1"/>
    <w:p w14:paraId="1EE00324" w14:textId="77777777" w:rsidR="00842EDC" w:rsidRPr="00B357F4" w:rsidRDefault="00842EDC" w:rsidP="007C724A">
      <w:pPr>
        <w:rPr>
          <w:lang w:eastAsia="hr-HR"/>
        </w:rPr>
      </w:pPr>
    </w:p>
    <w:p w14:paraId="0AC6FFD7" w14:textId="11BDFA84" w:rsidR="0086102A" w:rsidRPr="00B357F4" w:rsidRDefault="0086102A" w:rsidP="007C724A">
      <w:pPr>
        <w:rPr>
          <w:lang w:eastAsia="hr-HR"/>
        </w:rPr>
      </w:pPr>
    </w:p>
    <w:p w14:paraId="1E158FCB" w14:textId="0BDEE56D" w:rsidR="00842EDC" w:rsidRPr="00B357F4" w:rsidRDefault="1554EE58" w:rsidP="004B09BD">
      <w:pPr>
        <w:pStyle w:val="Naslov10"/>
      </w:pPr>
      <w:bookmarkStart w:id="107" w:name="_Toc94769993"/>
      <w:r w:rsidRPr="00B357F4">
        <w:lastRenderedPageBreak/>
        <w:t>Opis modela i financiranje</w:t>
      </w:r>
      <w:bookmarkEnd w:id="107"/>
    </w:p>
    <w:p w14:paraId="39339715" w14:textId="77777777" w:rsidR="00BC606B" w:rsidRPr="00B357F4" w:rsidRDefault="2C991576" w:rsidP="00810937">
      <w:pPr>
        <w:pStyle w:val="Naslov20"/>
      </w:pPr>
      <w:bookmarkStart w:id="108" w:name="_Toc94769994"/>
      <w:r w:rsidRPr="00B357F4">
        <w:t>Prijedlozi modela ovisno o načinu financiranja provedbe energetske obnove zgrada</w:t>
      </w:r>
      <w:bookmarkEnd w:id="108"/>
    </w:p>
    <w:p w14:paraId="09A93FDE" w14:textId="39A56B72" w:rsidR="00AC13E7" w:rsidRPr="00B357F4" w:rsidRDefault="5A61A7F8" w:rsidP="00AC13E7">
      <w:r w:rsidRPr="00B357F4">
        <w:t xml:space="preserve">Programom energetske obnove </w:t>
      </w:r>
      <w:r w:rsidR="460FCA21" w:rsidRPr="00B357F4">
        <w:t>zgrada javnog sektora</w:t>
      </w:r>
      <w:r w:rsidRPr="00B357F4">
        <w:t xml:space="preserve"> za razdoblje </w:t>
      </w:r>
      <w:r w:rsidR="3C4B51DD" w:rsidRPr="00B357F4">
        <w:t xml:space="preserve">do </w:t>
      </w:r>
      <w:r w:rsidRPr="00B357F4">
        <w:t xml:space="preserve">2030. potrebno je predložiti i definirati modele energetske obnove ovisno o načinu financiranja provedbe koji će uključiti sve relevantne institucije, te koji će kroz kvalitetno pravno, financijsko i organizacijsko sučelje omogućiti ostvarenje zacrtanih ciljeva do 2030. godine, kao i dugoročnih planova do 2050. godine. </w:t>
      </w:r>
    </w:p>
    <w:p w14:paraId="58B3E3DC" w14:textId="745A5F91" w:rsidR="00562842" w:rsidRPr="00203A80" w:rsidRDefault="5A61A7F8" w:rsidP="00562842">
      <w:r w:rsidRPr="00B357F4">
        <w:t>Prilikom definiranja modela energetske obnove u obzir</w:t>
      </w:r>
      <w:r w:rsidR="3AD22803" w:rsidRPr="00B357F4">
        <w:t xml:space="preserve"> su uzeti</w:t>
      </w:r>
      <w:r w:rsidRPr="00B357F4">
        <w:t xml:space="preserve"> sv</w:t>
      </w:r>
      <w:r w:rsidR="3AD22803" w:rsidRPr="00B357F4">
        <w:t>i</w:t>
      </w:r>
      <w:r w:rsidRPr="00B357F4">
        <w:t xml:space="preserve"> dostupn</w:t>
      </w:r>
      <w:r w:rsidR="034C7C95" w:rsidRPr="00B357F4">
        <w:t>i</w:t>
      </w:r>
      <w:r w:rsidRPr="00B357F4">
        <w:t xml:space="preserve"> izvor</w:t>
      </w:r>
      <w:r w:rsidR="034C7C95" w:rsidRPr="00B357F4">
        <w:t>i</w:t>
      </w:r>
      <w:r w:rsidRPr="00B357F4">
        <w:t xml:space="preserve"> financiranja, a osobito NPOO i VFO s obzirom na</w:t>
      </w:r>
      <w:r w:rsidR="003D2FC8" w:rsidRPr="00B357F4">
        <w:t xml:space="preserve"> </w:t>
      </w:r>
      <w:r w:rsidRPr="00B357F4">
        <w:t xml:space="preserve">iznos predloženih alokacija za </w:t>
      </w:r>
      <w:r w:rsidR="0E19612F" w:rsidRPr="00B357F4">
        <w:t xml:space="preserve">energetsku </w:t>
      </w:r>
      <w:r w:rsidRPr="00B357F4">
        <w:t>obnovu zgrada kroz naveden</w:t>
      </w:r>
      <w:r w:rsidR="00FB02FF">
        <w:t xml:space="preserve">e </w:t>
      </w:r>
      <w:r w:rsidR="00B75884">
        <w:t>mehanizme</w:t>
      </w:r>
      <w:r w:rsidRPr="006734C7">
        <w:t>.</w:t>
      </w:r>
      <w:r w:rsidR="10D34316" w:rsidRPr="00373352">
        <w:t xml:space="preserve"> </w:t>
      </w:r>
      <w:r w:rsidRPr="00B357F4">
        <w:t xml:space="preserve">Kroz NPOO i inicijativu „Obnova zgrada“ dostupna je 1 milijarda </w:t>
      </w:r>
      <w:r w:rsidR="00E65E7D" w:rsidRPr="00B357F4">
        <w:t xml:space="preserve">kuna </w:t>
      </w:r>
      <w:r w:rsidRPr="00B357F4">
        <w:t xml:space="preserve">za provedbu mjera energetske učinkovitosti u svim zgradama (višestambene i javne) te dodatnih </w:t>
      </w:r>
      <w:r w:rsidR="005719CF" w:rsidRPr="00B357F4">
        <w:t>4,4</w:t>
      </w:r>
      <w:r w:rsidR="00070AB8">
        <w:t>56</w:t>
      </w:r>
      <w:r w:rsidR="005719CF" w:rsidRPr="00B357F4">
        <w:t xml:space="preserve"> milijarde </w:t>
      </w:r>
      <w:r w:rsidR="005719CF">
        <w:t>kuna</w:t>
      </w:r>
      <w:r w:rsidR="005719CF" w:rsidRPr="00B357F4">
        <w:t xml:space="preserve"> </w:t>
      </w:r>
      <w:r w:rsidRPr="00B357F4">
        <w:t>za zgrade oštećene u potresu što uključuje energetsku obnovu i protupotresne mjere u svim zgradama.</w:t>
      </w:r>
      <w:r w:rsidR="283198D4" w:rsidRPr="00B357F4">
        <w:t xml:space="preserve"> Od 1 milijarde </w:t>
      </w:r>
      <w:r w:rsidR="00B33D8E">
        <w:t>kuna</w:t>
      </w:r>
      <w:r w:rsidR="00B33D8E" w:rsidRPr="00B357F4">
        <w:t xml:space="preserve"> </w:t>
      </w:r>
      <w:r w:rsidR="283198D4" w:rsidRPr="00B357F4">
        <w:t>dostupnih za energetsku obnovu zgrada</w:t>
      </w:r>
      <w:r w:rsidR="58A725F5" w:rsidRPr="00B357F4">
        <w:t xml:space="preserve"> iz NPOO-a</w:t>
      </w:r>
      <w:r w:rsidR="283198D4" w:rsidRPr="00B357F4">
        <w:t xml:space="preserve">, 700 milijuna </w:t>
      </w:r>
      <w:r w:rsidR="00B33D8E">
        <w:t>kuna</w:t>
      </w:r>
      <w:r w:rsidR="00B33D8E" w:rsidRPr="00B357F4">
        <w:t xml:space="preserve"> </w:t>
      </w:r>
      <w:r w:rsidR="283198D4" w:rsidRPr="00B357F4">
        <w:t xml:space="preserve">je namijenjeno za energetsku obnovu </w:t>
      </w:r>
      <w:r w:rsidR="27579438" w:rsidRPr="00B357F4">
        <w:t>zgrada javnog sektora (ZJS</w:t>
      </w:r>
    </w:p>
    <w:p w14:paraId="50AC06B3" w14:textId="7CA42EEA" w:rsidR="00FB6262" w:rsidRPr="006734C7" w:rsidRDefault="166E6C32" w:rsidP="00FB6262">
      <w:r w:rsidRPr="00971F9E">
        <w:t xml:space="preserve">Uz navedene izvore potrebno je navesti i sredstva iz Fonda solidarnosti (FSEU) kojima se sufinancira obnova zgrada oštećenih u potresu </w:t>
      </w:r>
      <w:r w:rsidR="6048364A" w:rsidRPr="00B357F4">
        <w:t>na razinu</w:t>
      </w:r>
      <w:r w:rsidRPr="00B357F4">
        <w:t xml:space="preserve"> prije </w:t>
      </w:r>
      <w:r w:rsidR="3F0956F4" w:rsidRPr="00B357F4">
        <w:t>potresa</w:t>
      </w:r>
      <w:r w:rsidRPr="00B357F4">
        <w:t xml:space="preserve"> kao i sredstva iz nacionalnih fondova odnosno državnog i lokalnih proračuna koja se predviđaju Zakonom o obnovi zgrada oštećenih potresom na području Grada Zagreba, Krapinsko-zagorske županije, Zagrebačke županije, Sisačko-moslavačke županije i Karlovačke županije (</w:t>
      </w:r>
      <w:r w:rsidR="2184C2DF" w:rsidRPr="00B357F4">
        <w:t>Narodne novine br.</w:t>
      </w:r>
      <w:r w:rsidRPr="00B357F4">
        <w:t xml:space="preserve"> 102/20, 10/21). Sredstva iz FSEU namijenjena za obnovu zgrada oštećenih u potresu mogu biti iskorištena isključivo za rušenje zgrade ili </w:t>
      </w:r>
      <w:r w:rsidR="00CA7D36">
        <w:t xml:space="preserve">popravak </w:t>
      </w:r>
      <w:r w:rsidRPr="00B357F4">
        <w:t>konstrukcij</w:t>
      </w:r>
      <w:r w:rsidR="005D5D1E">
        <w:t>e, odnosno vraćanje u</w:t>
      </w:r>
      <w:r w:rsidR="0074525C">
        <w:t xml:space="preserve"> ispravno radno stanje </w:t>
      </w:r>
      <w:r w:rsidR="009F3B74">
        <w:t>infrastrukture</w:t>
      </w:r>
      <w:r w:rsidRPr="00B357F4">
        <w:t xml:space="preserve">. FSEU sredstva se trebaju iskoristiti 18 mjeseci od </w:t>
      </w:r>
      <w:r w:rsidR="006B3567">
        <w:t>dana na koji je Komisija isplatila puni iznos pomoći</w:t>
      </w:r>
    </w:p>
    <w:p w14:paraId="705D4E7A" w14:textId="2A41DE96" w:rsidR="00FB7345" w:rsidRPr="00114322" w:rsidRDefault="00AD0303" w:rsidP="00AC13E7">
      <w:r w:rsidRPr="00203A80">
        <w:t>U nastavku je dan pregled dostupnih izvora financiranja</w:t>
      </w:r>
      <w:r w:rsidR="00387F81" w:rsidRPr="00203A80">
        <w:t>,</w:t>
      </w:r>
      <w:r w:rsidR="006D7B33" w:rsidRPr="00A67250">
        <w:t xml:space="preserve"> prihvatljivih aktivnosti te </w:t>
      </w:r>
      <w:r w:rsidR="00D2207A" w:rsidRPr="00A67250">
        <w:t xml:space="preserve">namjene alociranih </w:t>
      </w:r>
      <w:r w:rsidR="00D2207A" w:rsidRPr="006B7C33">
        <w:t xml:space="preserve">sredstava za energetsku obnovu zgrada. </w:t>
      </w:r>
    </w:p>
    <w:p w14:paraId="1E0CA222" w14:textId="56322691" w:rsidR="00020AEF" w:rsidRPr="00B357F4" w:rsidRDefault="00020AEF" w:rsidP="00020AEF">
      <w:pPr>
        <w:spacing w:after="0"/>
        <w:rPr>
          <w:b/>
        </w:rPr>
      </w:pPr>
      <w:r w:rsidRPr="00114322">
        <w:rPr>
          <w:b/>
        </w:rPr>
        <w:t>Nacionalni plan oporavka i otpornosti</w:t>
      </w:r>
      <w:r w:rsidR="00276179" w:rsidRPr="00114322">
        <w:rPr>
          <w:b/>
        </w:rPr>
        <w:t xml:space="preserve"> (NPOO)</w:t>
      </w:r>
    </w:p>
    <w:p w14:paraId="3B4D1EBF" w14:textId="0E9C3665" w:rsidR="001838D5" w:rsidRPr="00B357F4" w:rsidRDefault="4C9C0E51" w:rsidP="00020AEF">
      <w:pPr>
        <w:spacing w:after="0"/>
      </w:pPr>
      <w:r w:rsidRPr="00B357F4">
        <w:t xml:space="preserve">Realizacija vala obnove </w:t>
      </w:r>
      <w:r w:rsidR="7FA6F94D" w:rsidRPr="00B357F4">
        <w:t>i dekarbonizacije</w:t>
      </w:r>
      <w:r w:rsidR="7FA6F94D" w:rsidRPr="00B357F4">
        <w:rPr>
          <w:szCs w:val="20"/>
        </w:rPr>
        <w:t xml:space="preserve"> </w:t>
      </w:r>
      <w:r w:rsidRPr="00B357F4">
        <w:rPr>
          <w:szCs w:val="20"/>
        </w:rPr>
        <w:t>postoje</w:t>
      </w:r>
      <w:r w:rsidR="7FA6F94D" w:rsidRPr="00B357F4">
        <w:rPr>
          <w:szCs w:val="20"/>
        </w:rPr>
        <w:t xml:space="preserve">ćeg fonda zgrada </w:t>
      </w:r>
      <w:r w:rsidR="5EC62191" w:rsidRPr="00B357F4">
        <w:rPr>
          <w:szCs w:val="20"/>
        </w:rPr>
        <w:t xml:space="preserve">je u NPOO-u obuhvaćena kroz </w:t>
      </w:r>
      <w:r w:rsidR="2AE251CA" w:rsidRPr="00B357F4">
        <w:rPr>
          <w:szCs w:val="20"/>
        </w:rPr>
        <w:t>I</w:t>
      </w:r>
      <w:r w:rsidR="5EC62191" w:rsidRPr="00B357F4">
        <w:rPr>
          <w:szCs w:val="20"/>
        </w:rPr>
        <w:t>nicijativu</w:t>
      </w:r>
      <w:r w:rsidR="2AE251CA" w:rsidRPr="00B357F4">
        <w:rPr>
          <w:szCs w:val="20"/>
        </w:rPr>
        <w:t xml:space="preserve">: Obnova zgrada za koju alokacija bespovratnih sredstava iznosi </w:t>
      </w:r>
      <w:r w:rsidR="3A204E7C" w:rsidRPr="00B357F4">
        <w:rPr>
          <w:szCs w:val="20"/>
        </w:rPr>
        <w:t xml:space="preserve">5,945 milijardi </w:t>
      </w:r>
      <w:r w:rsidR="000B7B3C">
        <w:rPr>
          <w:szCs w:val="20"/>
        </w:rPr>
        <w:t>kuna</w:t>
      </w:r>
      <w:r w:rsidR="3A204E7C" w:rsidRPr="00B357F4">
        <w:rPr>
          <w:szCs w:val="20"/>
        </w:rPr>
        <w:t xml:space="preserve">, odnosno 12% ukupne alokacije bespovratnih sredstava iz NPOO-a. </w:t>
      </w:r>
      <w:r w:rsidR="5E80C9C4" w:rsidRPr="00B357F4">
        <w:rPr>
          <w:szCs w:val="20"/>
        </w:rPr>
        <w:t>U okviru Inicijative: Obno</w:t>
      </w:r>
      <w:r w:rsidR="5E80C9C4" w:rsidRPr="00B357F4">
        <w:t>va zgrada</w:t>
      </w:r>
      <w:r w:rsidR="1AC362E3" w:rsidRPr="00B357F4">
        <w:t xml:space="preserve"> definirane su dvije investicije koje izravno obuhvaćaju </w:t>
      </w:r>
      <w:r w:rsidR="19518427" w:rsidRPr="00B357F4">
        <w:t>energetsku obnovu i povećanje energetske učinkovitosti u postojećem fondu zgrada</w:t>
      </w:r>
      <w:r w:rsidR="336D2879" w:rsidRPr="00B357F4">
        <w:t xml:space="preserve"> javnog sektora</w:t>
      </w:r>
      <w:r w:rsidR="19518427" w:rsidRPr="00B357F4">
        <w:t>:</w:t>
      </w:r>
    </w:p>
    <w:p w14:paraId="7A1E922B" w14:textId="38BA410B" w:rsidR="00F75344" w:rsidRPr="00B357F4" w:rsidRDefault="37667FDB" w:rsidP="002B2BC2">
      <w:pPr>
        <w:pStyle w:val="Odlomakpopisa"/>
        <w:numPr>
          <w:ilvl w:val="0"/>
          <w:numId w:val="84"/>
        </w:numPr>
        <w:spacing w:after="0"/>
      </w:pPr>
      <w:r w:rsidRPr="00B357F4">
        <w:t>C6.1. R1-I1 Energetska obnova zgrada</w:t>
      </w:r>
      <w:r w:rsidR="6A566C60" w:rsidRPr="00B357F4">
        <w:t xml:space="preserve"> čiji je procijenjeni trošak 1 milijardu </w:t>
      </w:r>
      <w:r w:rsidR="000B7B3C">
        <w:t>kuna</w:t>
      </w:r>
      <w:r w:rsidR="00D902C0">
        <w:t xml:space="preserve"> od </w:t>
      </w:r>
      <w:r w:rsidR="009A5D8F">
        <w:t>čega se 70</w:t>
      </w:r>
      <w:r w:rsidR="00A2090A">
        <w:t>0 milijuna kuna odnosi na obnovu zgrada javnog sektora</w:t>
      </w:r>
      <w:r w:rsidRPr="00B357F4">
        <w:t>, i</w:t>
      </w:r>
    </w:p>
    <w:p w14:paraId="7C3265BD" w14:textId="070F3A92" w:rsidR="006B2037" w:rsidRPr="00B357F4" w:rsidRDefault="37667FDB" w:rsidP="002B2BC2">
      <w:pPr>
        <w:pStyle w:val="Odlomakpopisa"/>
        <w:numPr>
          <w:ilvl w:val="0"/>
          <w:numId w:val="84"/>
        </w:numPr>
        <w:spacing w:after="0"/>
      </w:pPr>
      <w:r w:rsidRPr="00B357F4">
        <w:t>C6.1. R1-I2 Obnova zgrada oštećenih u potresu s energetskom obnovom</w:t>
      </w:r>
      <w:r w:rsidR="6A566C60" w:rsidRPr="00B357F4">
        <w:t xml:space="preserve"> čiji je procijenjeni trošak </w:t>
      </w:r>
      <w:r w:rsidR="00B37592" w:rsidRPr="00B357F4">
        <w:t>4,4</w:t>
      </w:r>
      <w:r w:rsidR="003E6BA5">
        <w:t>56</w:t>
      </w:r>
      <w:r w:rsidR="00B37592" w:rsidRPr="00B357F4">
        <w:t xml:space="preserve"> </w:t>
      </w:r>
      <w:r w:rsidR="6A566C60" w:rsidRPr="00B357F4">
        <w:t xml:space="preserve">milijardi </w:t>
      </w:r>
      <w:r w:rsidR="000B7B3C">
        <w:t>kuna</w:t>
      </w:r>
      <w:r w:rsidRPr="00B357F4">
        <w:t>.</w:t>
      </w:r>
    </w:p>
    <w:p w14:paraId="0F997563" w14:textId="78AD61AE" w:rsidR="001838D5" w:rsidRPr="00B357F4" w:rsidRDefault="00071973" w:rsidP="001838D5">
      <w:pPr>
        <w:spacing w:after="0"/>
      </w:pPr>
      <w:r w:rsidRPr="00B357F4">
        <w:t>S obzirom da je investicija obnov</w:t>
      </w:r>
      <w:r w:rsidR="000F7F2A" w:rsidRPr="00B357F4">
        <w:t>e</w:t>
      </w:r>
      <w:r w:rsidRPr="00B357F4">
        <w:t xml:space="preserve"> zgrada oštećenih u potresu s energetskom obnovom</w:t>
      </w:r>
      <w:r w:rsidR="00974E8F" w:rsidRPr="00B357F4">
        <w:t xml:space="preserve"> iz NPOO-a</w:t>
      </w:r>
      <w:r w:rsidR="000F7F2A" w:rsidRPr="00B357F4">
        <w:t xml:space="preserve"> usko </w:t>
      </w:r>
      <w:r w:rsidR="00974E8F" w:rsidRPr="00B357F4">
        <w:t>povezana s</w:t>
      </w:r>
      <w:r w:rsidR="00D774C3" w:rsidRPr="00B357F4">
        <w:t xml:space="preserve"> </w:t>
      </w:r>
      <w:r w:rsidR="00B80979" w:rsidRPr="00B357F4">
        <w:t>i</w:t>
      </w:r>
      <w:r w:rsidR="00974E8F" w:rsidRPr="00B357F4">
        <w:t xml:space="preserve">nvesticijama </w:t>
      </w:r>
      <w:r w:rsidR="003A00C7" w:rsidRPr="00B357F4">
        <w:t xml:space="preserve">vezanima uz konstrukciju obnovu </w:t>
      </w:r>
      <w:r w:rsidR="00DC3F55" w:rsidRPr="00B357F4">
        <w:t xml:space="preserve">zgrada oštećenih u potresu koje su prihvatljive za financiranje </w:t>
      </w:r>
      <w:r w:rsidR="0077031D" w:rsidRPr="00B357F4">
        <w:t>iz FSEU-a</w:t>
      </w:r>
      <w:r w:rsidR="00974E8F" w:rsidRPr="00B357F4">
        <w:t xml:space="preserve">, </w:t>
      </w:r>
      <w:r w:rsidR="0077031D" w:rsidRPr="00B357F4">
        <w:t xml:space="preserve">detaljnije će biti obrađena u </w:t>
      </w:r>
      <w:r w:rsidR="00F84724" w:rsidRPr="00B357F4">
        <w:t>dijelu koj</w:t>
      </w:r>
      <w:r w:rsidR="009957F9" w:rsidRPr="00B357F4">
        <w:t>i</w:t>
      </w:r>
      <w:r w:rsidR="00B80979" w:rsidRPr="00B357F4">
        <w:t xml:space="preserve"> se</w:t>
      </w:r>
      <w:r w:rsidR="00DC3F55" w:rsidRPr="00B357F4">
        <w:t xml:space="preserve"> </w:t>
      </w:r>
      <w:r w:rsidR="00590CE3" w:rsidRPr="00B357F4">
        <w:t xml:space="preserve">dotiče karakteristika FSEU-a. </w:t>
      </w:r>
      <w:r w:rsidR="00B80979" w:rsidRPr="00B357F4">
        <w:t xml:space="preserve"> </w:t>
      </w:r>
      <w:r w:rsidR="009957F9" w:rsidRPr="00B357F4">
        <w:t xml:space="preserve"> </w:t>
      </w:r>
    </w:p>
    <w:p w14:paraId="299F8D00" w14:textId="2FB126D8" w:rsidR="00527BDD" w:rsidRPr="00B357F4" w:rsidRDefault="28129EA5" w:rsidP="00527BDD">
      <w:pPr>
        <w:spacing w:after="0"/>
      </w:pPr>
      <w:r w:rsidRPr="00B357F4">
        <w:t xml:space="preserve">U okviru </w:t>
      </w:r>
      <w:r w:rsidR="1C0CDA31" w:rsidRPr="00B357F4">
        <w:t>NPOO</w:t>
      </w:r>
      <w:r w:rsidRPr="00B357F4">
        <w:t>-a, energetsk</w:t>
      </w:r>
      <w:r w:rsidR="32719A27" w:rsidRPr="00B357F4">
        <w:t>a</w:t>
      </w:r>
      <w:r w:rsidRPr="00B357F4">
        <w:t xml:space="preserve"> obnov</w:t>
      </w:r>
      <w:r w:rsidR="32719A27" w:rsidRPr="00B357F4">
        <w:t>a</w:t>
      </w:r>
      <w:r w:rsidRPr="00B357F4">
        <w:t xml:space="preserve"> zgrada će se </w:t>
      </w:r>
      <w:r w:rsidR="14F44A8D" w:rsidRPr="00B357F4">
        <w:t>poticati</w:t>
      </w:r>
      <w:r w:rsidRPr="00B357F4">
        <w:t xml:space="preserve"> </w:t>
      </w:r>
      <w:r w:rsidR="14F44A8D" w:rsidRPr="00B357F4">
        <w:t xml:space="preserve">kroz </w:t>
      </w:r>
      <w:r w:rsidRPr="00B357F4">
        <w:t xml:space="preserve">mjere povećanja energetske učinkovitosti i korištenje OIE u javnim i višestambenim zgradama koje će rezultirati </w:t>
      </w:r>
      <w:r w:rsidR="392E6097" w:rsidRPr="00B357F4">
        <w:t xml:space="preserve">uštedom u </w:t>
      </w:r>
      <w:r w:rsidR="002710BB">
        <w:t xml:space="preserve">godišnjoj </w:t>
      </w:r>
      <w:r w:rsidR="392E6097" w:rsidRPr="00B357F4">
        <w:t xml:space="preserve">potrebnoj toplinskoj energiji za grijanje </w:t>
      </w:r>
      <w:r w:rsidRPr="00B357F4">
        <w:t>(Q</w:t>
      </w:r>
      <w:r w:rsidRPr="002710BB">
        <w:rPr>
          <w:vertAlign w:val="subscript"/>
        </w:rPr>
        <w:t>Hnd</w:t>
      </w:r>
      <w:r w:rsidRPr="00B357F4">
        <w:t xml:space="preserve">) na godišnjoj razini (kWh/god) od najmanje 50% u odnosu na </w:t>
      </w:r>
      <w:r w:rsidR="4434FD60" w:rsidRPr="00B357F4">
        <w:t>stanje prije obnove</w:t>
      </w:r>
      <w:r w:rsidR="58D79AE0" w:rsidRPr="00B357F4">
        <w:t xml:space="preserve">. </w:t>
      </w:r>
      <w:r w:rsidR="77900D55" w:rsidRPr="00B357F4">
        <w:t>Uz ovakav</w:t>
      </w:r>
      <w:r w:rsidR="0930F760" w:rsidRPr="00B357F4">
        <w:t xml:space="preserve"> </w:t>
      </w:r>
      <w:r w:rsidRPr="00B357F4">
        <w:t>integrirani pristup</w:t>
      </w:r>
      <w:r w:rsidR="0930F760" w:rsidRPr="00B357F4">
        <w:t xml:space="preserve"> energetskoj obnovi</w:t>
      </w:r>
      <w:r w:rsidR="77900D55" w:rsidRPr="00B357F4">
        <w:t xml:space="preserve">, poticat će se i </w:t>
      </w:r>
      <w:r w:rsidRPr="00B357F4">
        <w:t>primjen</w:t>
      </w:r>
      <w:r w:rsidR="77900D55" w:rsidRPr="00B357F4">
        <w:t xml:space="preserve">a </w:t>
      </w:r>
      <w:r w:rsidRPr="00B357F4">
        <w:t xml:space="preserve">horizontalne mjere </w:t>
      </w:r>
      <w:r w:rsidR="009E6B1F">
        <w:t>povećanja potresne otpornosti zgrade</w:t>
      </w:r>
      <w:r w:rsidR="00401D07">
        <w:t xml:space="preserve">, </w:t>
      </w:r>
      <w:r w:rsidR="45499215" w:rsidRPr="00B357F4">
        <w:t xml:space="preserve">sigurnosti u slučaju </w:t>
      </w:r>
      <w:r w:rsidR="00527BDD" w:rsidRPr="00B357F4">
        <w:t>požara</w:t>
      </w:r>
      <w:r w:rsidR="00613489">
        <w:t xml:space="preserve"> te</w:t>
      </w:r>
      <w:r w:rsidR="00401D07">
        <w:t xml:space="preserve"> </w:t>
      </w:r>
      <w:r w:rsidR="00324E10" w:rsidRPr="00324E10">
        <w:t>mjer</w:t>
      </w:r>
      <w:r w:rsidR="00613489">
        <w:t>a</w:t>
      </w:r>
      <w:r w:rsidR="00324E10" w:rsidRPr="00324E10">
        <w:t xml:space="preserve"> za osiguravanje zdravih unutarnjih klimatskih uvjeta</w:t>
      </w:r>
      <w:r w:rsidR="00527BDD" w:rsidRPr="00B357F4">
        <w:t xml:space="preserve">. </w:t>
      </w:r>
    </w:p>
    <w:p w14:paraId="0B7A5373" w14:textId="5FF30FC1" w:rsidR="00366215" w:rsidRPr="00B357F4" w:rsidRDefault="00D63965" w:rsidP="00020AEF">
      <w:pPr>
        <w:spacing w:after="0"/>
      </w:pPr>
      <w:r w:rsidRPr="00B357F4">
        <w:t xml:space="preserve">Provedba investicije energetske obnove zgrada u NPOO-u je </w:t>
      </w:r>
      <w:r w:rsidR="00BF74EE" w:rsidRPr="00B357F4">
        <w:t>predviđena kroz dodjelu bespovratnih sredstava u skladu s kriterijima za pojedino ulaganje, ali i kroz</w:t>
      </w:r>
      <w:r w:rsidR="00020AEF" w:rsidRPr="00B357F4">
        <w:t xml:space="preserve"> poticanje ESCO modela</w:t>
      </w:r>
      <w:r w:rsidR="00EC7B87" w:rsidRPr="00B357F4">
        <w:t xml:space="preserve"> </w:t>
      </w:r>
      <w:r w:rsidR="003A6AF3" w:rsidRPr="00B357F4">
        <w:t>k</w:t>
      </w:r>
      <w:r w:rsidR="00681DDD" w:rsidRPr="00B357F4">
        <w:t>ojim bi se mobilizira</w:t>
      </w:r>
      <w:r w:rsidR="00366215" w:rsidRPr="00B357F4">
        <w:t xml:space="preserve">o privatni kapital </w:t>
      </w:r>
      <w:r w:rsidR="00427662" w:rsidRPr="00B357F4">
        <w:t xml:space="preserve">u svrhu </w:t>
      </w:r>
      <w:r w:rsidR="00366215" w:rsidRPr="00B357F4">
        <w:t>postizanj</w:t>
      </w:r>
      <w:r w:rsidR="00427662" w:rsidRPr="00B357F4">
        <w:t>a</w:t>
      </w:r>
      <w:r w:rsidR="00366215" w:rsidRPr="00B357F4">
        <w:t xml:space="preserve"> ciljeva energetske učinkovitosti</w:t>
      </w:r>
      <w:r w:rsidR="00020AEF" w:rsidRPr="00B357F4">
        <w:t xml:space="preserve">. </w:t>
      </w:r>
    </w:p>
    <w:p w14:paraId="30988583" w14:textId="73FB67DD" w:rsidR="00020AEF" w:rsidRPr="006734C7" w:rsidRDefault="72649977" w:rsidP="00020AEF">
      <w:pPr>
        <w:spacing w:after="0"/>
      </w:pPr>
      <w:r w:rsidRPr="00B357F4">
        <w:lastRenderedPageBreak/>
        <w:t>S</w:t>
      </w:r>
      <w:r w:rsidR="448CA072" w:rsidRPr="00B357F4">
        <w:t>redstvima a</w:t>
      </w:r>
      <w:r w:rsidR="1D6E6C8B" w:rsidRPr="00B357F4">
        <w:t>locirani</w:t>
      </w:r>
      <w:r w:rsidR="59CA2C8C" w:rsidRPr="00B357F4">
        <w:t>ma u NPOO-u f</w:t>
      </w:r>
      <w:r w:rsidR="28129EA5" w:rsidRPr="00B357F4">
        <w:t xml:space="preserve">inancirat će se aktivnosti kao što su: energetski pregled i certifikat, glavni projekt i pripadajući elaborati, povećanje toplinske zaštite ovojnice zgrade, unapređenje tehničkih sustava zgrade koji uključuju tehničku opremu za grijanje, hlađenje, ventilaciju i klimatizaciju, pripremu potrošne tople vode, sustav rasvjete, sustav automatizacije i upravljanja zgradom ili njenim dijelom, uvođenje sustava obnovljivih izvora energije, </w:t>
      </w:r>
      <w:r w:rsidR="00D80C3A">
        <w:t xml:space="preserve">optimiziranje </w:t>
      </w:r>
      <w:r w:rsidR="00217A8E">
        <w:t>potrošnje vode</w:t>
      </w:r>
      <w:r w:rsidR="00641808">
        <w:t xml:space="preserve">, </w:t>
      </w:r>
      <w:r w:rsidR="28129EA5" w:rsidRPr="00B357F4">
        <w:t>zeleni krov/fasada</w:t>
      </w:r>
      <w:r w:rsidR="3D0C9B71" w:rsidRPr="00B357F4">
        <w:t xml:space="preserve">, povećanje zelenih površina i </w:t>
      </w:r>
      <w:r w:rsidR="001C0633" w:rsidRPr="00B357F4">
        <w:t>ozelenjivanje</w:t>
      </w:r>
      <w:r w:rsidR="3D0C9B71" w:rsidRPr="00B357F4">
        <w:t xml:space="preserve"> postojećih na čestici</w:t>
      </w:r>
      <w:r w:rsidR="28129EA5" w:rsidRPr="00B357F4">
        <w:t xml:space="preserve">, pojačanje otpornosti od potresa i </w:t>
      </w:r>
      <w:r w:rsidR="7BADED50" w:rsidRPr="00B357F4">
        <w:t xml:space="preserve">sigurnosti u slučaju </w:t>
      </w:r>
      <w:r w:rsidR="28129EA5" w:rsidRPr="00B357F4">
        <w:t xml:space="preserve">požara, ugradnja infrastrukture (vodovi za električne kabele) i postaja za punjenje električnih </w:t>
      </w:r>
      <w:r w:rsidR="7797186B" w:rsidRPr="00B357F4">
        <w:t>vozila</w:t>
      </w:r>
      <w:r w:rsidR="28129EA5" w:rsidRPr="00B357F4">
        <w:t xml:space="preserve"> na unutarnjem ili vanjskom parkiralištu zgrade, parkirališta za bicikle te osiguranje pristupačnosti građevina osobama s invaliditetom i smanjene pokretljivosti (horizontalne mjere), stručni nadzor/projektantski nadzor/koordinator zaštite na radu.</w:t>
      </w:r>
    </w:p>
    <w:p w14:paraId="014EE27B" w14:textId="78DF232C" w:rsidR="00BA01CE" w:rsidRPr="00B357F4" w:rsidRDefault="002F016E" w:rsidP="00020AEF">
      <w:pPr>
        <w:spacing w:after="0"/>
      </w:pPr>
      <w:r w:rsidRPr="00203A80">
        <w:t xml:space="preserve">Osim definiranja prihvatljivih aktivnosti energetske obnove zgrada, u </w:t>
      </w:r>
      <w:r w:rsidR="00005AE7" w:rsidRPr="00203A80">
        <w:t xml:space="preserve">NPOO-u </w:t>
      </w:r>
      <w:r w:rsidR="00D57F43" w:rsidRPr="00A67250">
        <w:t xml:space="preserve">su </w:t>
      </w:r>
      <w:r w:rsidR="00005AE7" w:rsidRPr="001C0633">
        <w:t>preliminarn</w:t>
      </w:r>
      <w:r w:rsidR="00D57F43" w:rsidRPr="00AB4B63">
        <w:t>o definirani udjeli sufinanciranja</w:t>
      </w:r>
      <w:r w:rsidR="00BC3459" w:rsidRPr="00971F9E">
        <w:t xml:space="preserve"> za pojedine kategorije obnove</w:t>
      </w:r>
      <w:r w:rsidR="005628DC" w:rsidRPr="00971F9E">
        <w:t xml:space="preserve">, a koji su navedeni u tablici niže. </w:t>
      </w:r>
    </w:p>
    <w:p w14:paraId="21A941A5" w14:textId="538C4CA3" w:rsidR="0050031F" w:rsidRPr="00373352" w:rsidRDefault="0050031F" w:rsidP="0050031F">
      <w:pPr>
        <w:pStyle w:val="Opisslike"/>
      </w:pPr>
      <w:bookmarkStart w:id="109" w:name="_Toc87949897"/>
      <w:r w:rsidRPr="00B357F4">
        <w:t xml:space="preserve">Tablica </w:t>
      </w:r>
      <w:r>
        <w:fldChar w:fldCharType="begin"/>
      </w:r>
      <w:r>
        <w:instrText>STYLEREF 1 \s</w:instrText>
      </w:r>
      <w:r>
        <w:fldChar w:fldCharType="separate"/>
      </w:r>
      <w:r w:rsidR="0023635D">
        <w:rPr>
          <w:noProof/>
        </w:rPr>
        <w:t>7</w:t>
      </w:r>
      <w:r>
        <w:fldChar w:fldCharType="end"/>
      </w:r>
      <w:r>
        <w:noBreakHyphen/>
      </w:r>
      <w:r>
        <w:fldChar w:fldCharType="begin"/>
      </w:r>
      <w:r>
        <w:instrText>SEQ Tablica \* ARABIC \s 1</w:instrText>
      </w:r>
      <w:r>
        <w:fldChar w:fldCharType="separate"/>
      </w:r>
      <w:r w:rsidR="0023635D">
        <w:rPr>
          <w:noProof/>
        </w:rPr>
        <w:t>1</w:t>
      </w:r>
      <w:r>
        <w:fldChar w:fldCharType="end"/>
      </w:r>
      <w:r w:rsidRPr="006734C7">
        <w:t xml:space="preserve"> Pregled udjela sufinanciranja pojedinih kategorija obnove zgrada </w:t>
      </w:r>
      <w:r w:rsidR="000F5868">
        <w:t>neoštećenih u potresu</w:t>
      </w:r>
      <w:r w:rsidRPr="006734C7">
        <w:t xml:space="preserve"> prema NPOO-u</w:t>
      </w:r>
      <w:bookmarkEnd w:id="109"/>
      <w:r w:rsidRPr="006734C7">
        <w:t xml:space="preserve"> </w:t>
      </w:r>
    </w:p>
    <w:tbl>
      <w:tblPr>
        <w:tblStyle w:val="Svijetlatablicareetke11"/>
        <w:tblW w:w="0" w:type="auto"/>
        <w:tblLook w:val="04A0" w:firstRow="1" w:lastRow="0" w:firstColumn="1" w:lastColumn="0" w:noHBand="0" w:noVBand="1"/>
      </w:tblPr>
      <w:tblGrid>
        <w:gridCol w:w="1980"/>
        <w:gridCol w:w="3685"/>
        <w:gridCol w:w="3679"/>
      </w:tblGrid>
      <w:tr w:rsidR="00EB41F7" w:rsidRPr="00B357F4" w14:paraId="2FC947B3" w14:textId="77777777" w:rsidTr="000D67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vAlign w:val="center"/>
          </w:tcPr>
          <w:p w14:paraId="564528D1" w14:textId="14FF8BD9" w:rsidR="00EB41F7" w:rsidRPr="00B357F4" w:rsidRDefault="00FD268A" w:rsidP="005429EB">
            <w:pPr>
              <w:spacing w:after="0"/>
              <w:jc w:val="left"/>
              <w:rPr>
                <w:rFonts w:cs="Tahoma"/>
                <w:sz w:val="18"/>
                <w:szCs w:val="18"/>
                <w:lang w:eastAsia="hr-HR"/>
              </w:rPr>
            </w:pPr>
            <w:r w:rsidRPr="00B357F4">
              <w:rPr>
                <w:rFonts w:cs="Tahoma"/>
                <w:sz w:val="18"/>
                <w:szCs w:val="18"/>
                <w:lang w:eastAsia="hr-HR"/>
              </w:rPr>
              <w:t xml:space="preserve">Kategorija </w:t>
            </w:r>
            <w:r w:rsidR="00EB41F7" w:rsidRPr="00B357F4">
              <w:rPr>
                <w:rFonts w:cs="Tahoma"/>
                <w:sz w:val="18"/>
                <w:szCs w:val="18"/>
                <w:lang w:eastAsia="hr-HR"/>
              </w:rPr>
              <w:t>obnove</w:t>
            </w:r>
          </w:p>
        </w:tc>
        <w:tc>
          <w:tcPr>
            <w:tcW w:w="3685" w:type="dxa"/>
            <w:shd w:val="clear" w:color="auto" w:fill="D9D9D9" w:themeFill="background1" w:themeFillShade="D9"/>
            <w:vAlign w:val="center"/>
          </w:tcPr>
          <w:p w14:paraId="363BC406" w14:textId="7E8C1404" w:rsidR="00EB41F7" w:rsidRPr="00B357F4" w:rsidRDefault="003970C8" w:rsidP="005429EB">
            <w:pPr>
              <w:spacing w:after="0"/>
              <w:jc w:val="left"/>
              <w:cnfStyle w:val="100000000000" w:firstRow="1"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Karakteristike</w:t>
            </w:r>
          </w:p>
        </w:tc>
        <w:tc>
          <w:tcPr>
            <w:tcW w:w="3679" w:type="dxa"/>
            <w:shd w:val="clear" w:color="auto" w:fill="D9D9D9" w:themeFill="background1" w:themeFillShade="D9"/>
            <w:vAlign w:val="center"/>
          </w:tcPr>
          <w:p w14:paraId="65880F8B" w14:textId="1ABACFD6" w:rsidR="00EB41F7" w:rsidRPr="00B357F4" w:rsidRDefault="005429EB" w:rsidP="005429EB">
            <w:pPr>
              <w:spacing w:after="0"/>
              <w:jc w:val="left"/>
              <w:cnfStyle w:val="100000000000" w:firstRow="1"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Udio </w:t>
            </w:r>
            <w:r w:rsidR="007A39ED" w:rsidRPr="00B357F4">
              <w:rPr>
                <w:rFonts w:cs="Tahoma"/>
                <w:sz w:val="18"/>
                <w:szCs w:val="18"/>
                <w:lang w:eastAsia="hr-HR"/>
              </w:rPr>
              <w:t>sufinanciranja</w:t>
            </w:r>
          </w:p>
        </w:tc>
      </w:tr>
      <w:tr w:rsidR="005628DC" w:rsidRPr="00B357F4" w14:paraId="79C673EC" w14:textId="77777777" w:rsidTr="000D67D0">
        <w:tc>
          <w:tcPr>
            <w:cnfStyle w:val="001000000000" w:firstRow="0" w:lastRow="0" w:firstColumn="1" w:lastColumn="0" w:oddVBand="0" w:evenVBand="0" w:oddHBand="0" w:evenHBand="0" w:firstRowFirstColumn="0" w:firstRowLastColumn="0" w:lastRowFirstColumn="0" w:lastRowLastColumn="0"/>
            <w:tcW w:w="1980" w:type="dxa"/>
            <w:vAlign w:val="center"/>
          </w:tcPr>
          <w:p w14:paraId="7411CBA1" w14:textId="3C2CBFBE" w:rsidR="005628DC" w:rsidRPr="00B357F4" w:rsidRDefault="00FD268A" w:rsidP="005429EB">
            <w:pPr>
              <w:spacing w:after="0"/>
              <w:jc w:val="left"/>
              <w:rPr>
                <w:rFonts w:cs="Tahoma"/>
                <w:b w:val="0"/>
                <w:sz w:val="18"/>
                <w:szCs w:val="18"/>
                <w:lang w:eastAsia="hr-HR"/>
              </w:rPr>
            </w:pPr>
            <w:r w:rsidRPr="00B357F4">
              <w:rPr>
                <w:rFonts w:cs="Tahoma"/>
                <w:b w:val="0"/>
                <w:sz w:val="18"/>
                <w:szCs w:val="18"/>
                <w:lang w:eastAsia="hr-HR"/>
              </w:rPr>
              <w:t>Energetska obnova</w:t>
            </w:r>
          </w:p>
        </w:tc>
        <w:tc>
          <w:tcPr>
            <w:tcW w:w="3685" w:type="dxa"/>
            <w:vAlign w:val="center"/>
          </w:tcPr>
          <w:p w14:paraId="2FFCCBEF" w14:textId="1D2CF4DD" w:rsidR="005628DC" w:rsidRPr="00B357F4" w:rsidRDefault="2E3AD056" w:rsidP="005429EB">
            <w:pPr>
              <w:spacing w:after="0"/>
              <w:jc w:val="left"/>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Obuhvaća mjere</w:t>
            </w:r>
            <w:r w:rsidR="523141C6" w:rsidRPr="00B357F4">
              <w:rPr>
                <w:rFonts w:cs="Tahoma"/>
                <w:sz w:val="18"/>
                <w:szCs w:val="18"/>
                <w:lang w:eastAsia="hr-HR"/>
              </w:rPr>
              <w:t xml:space="preserve"> </w:t>
            </w:r>
            <w:r w:rsidR="488CB867" w:rsidRPr="00B357F4">
              <w:rPr>
                <w:rFonts w:cs="Tahoma"/>
                <w:sz w:val="18"/>
                <w:szCs w:val="18"/>
                <w:lang w:eastAsia="hr-HR"/>
              </w:rPr>
              <w:t xml:space="preserve">za postizanje uštede u </w:t>
            </w:r>
            <w:r w:rsidR="009E6B1F">
              <w:rPr>
                <w:rFonts w:cs="Tahoma"/>
                <w:sz w:val="18"/>
                <w:szCs w:val="18"/>
                <w:lang w:eastAsia="hr-HR"/>
              </w:rPr>
              <w:t xml:space="preserve">godišnjoj </w:t>
            </w:r>
            <w:r w:rsidR="488CB867" w:rsidRPr="00B357F4">
              <w:rPr>
                <w:rFonts w:cs="Tahoma"/>
                <w:sz w:val="18"/>
                <w:szCs w:val="18"/>
                <w:lang w:eastAsia="hr-HR"/>
              </w:rPr>
              <w:t>potrebnoj toplinskoj energiji za grijanje</w:t>
            </w:r>
            <w:r w:rsidR="362A8198" w:rsidRPr="00B357F4">
              <w:rPr>
                <w:rFonts w:cs="Tahoma"/>
                <w:sz w:val="18"/>
                <w:szCs w:val="18"/>
                <w:lang w:eastAsia="hr-HR"/>
              </w:rPr>
              <w:t xml:space="preserve"> (QHnd) (kWh/god) od najmanje 50% u odnosu </w:t>
            </w:r>
            <w:r w:rsidR="11F420ED" w:rsidRPr="00B357F4">
              <w:rPr>
                <w:rFonts w:cs="Tahoma"/>
                <w:sz w:val="18"/>
                <w:szCs w:val="18"/>
                <w:lang w:eastAsia="hr-HR"/>
              </w:rPr>
              <w:t>stanje</w:t>
            </w:r>
            <w:r w:rsidR="362A8198" w:rsidRPr="00B357F4">
              <w:rPr>
                <w:rFonts w:cs="Tahoma"/>
                <w:sz w:val="18"/>
                <w:szCs w:val="18"/>
                <w:lang w:eastAsia="hr-HR"/>
              </w:rPr>
              <w:t xml:space="preserve"> prije provedbe navedenih mjera</w:t>
            </w:r>
            <w:r w:rsidR="2E7B70C9" w:rsidRPr="00B357F4">
              <w:rPr>
                <w:rFonts w:cs="Tahoma"/>
                <w:sz w:val="18"/>
                <w:szCs w:val="18"/>
                <w:lang w:eastAsia="hr-HR"/>
              </w:rPr>
              <w:t>.</w:t>
            </w:r>
          </w:p>
        </w:tc>
        <w:tc>
          <w:tcPr>
            <w:tcW w:w="3679" w:type="dxa"/>
            <w:vAlign w:val="center"/>
          </w:tcPr>
          <w:p w14:paraId="7F6E5914" w14:textId="24CF7533" w:rsidR="00F13602" w:rsidRPr="00B357F4" w:rsidRDefault="4F016549"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60% prihvatljivih troškova</w:t>
            </w:r>
            <w:r w:rsidR="12ADF851" w:rsidRPr="00B357F4">
              <w:rPr>
                <w:rFonts w:cs="Tahoma"/>
                <w:sz w:val="18"/>
                <w:szCs w:val="18"/>
              </w:rPr>
              <w:t xml:space="preserve"> za mjere povećanja energetske učinkovitosti,</w:t>
            </w:r>
          </w:p>
          <w:p w14:paraId="781FDF4D" w14:textId="75FD6301" w:rsidR="005628DC" w:rsidRPr="00B357F4" w:rsidRDefault="4F016549"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85%</w:t>
            </w:r>
            <w:r w:rsidR="000F5868">
              <w:t xml:space="preserve"> </w:t>
            </w:r>
            <w:r w:rsidR="000F5868" w:rsidRPr="000F5868">
              <w:rPr>
                <w:rFonts w:cs="Tahoma"/>
                <w:sz w:val="18"/>
                <w:szCs w:val="18"/>
              </w:rPr>
              <w:t>prihvatljivih troškova</w:t>
            </w:r>
            <w:r w:rsidRPr="00B357F4">
              <w:rPr>
                <w:rFonts w:cs="Tahoma"/>
                <w:sz w:val="18"/>
                <w:szCs w:val="18"/>
              </w:rPr>
              <w:t xml:space="preserve"> energetskih pregleda, energetskih certifikata prije i poslije obnove i projektne dokumentacije.</w:t>
            </w:r>
          </w:p>
        </w:tc>
      </w:tr>
      <w:tr w:rsidR="005628DC" w:rsidRPr="00B357F4" w14:paraId="5737C53A" w14:textId="77777777" w:rsidTr="000D67D0">
        <w:tc>
          <w:tcPr>
            <w:cnfStyle w:val="001000000000" w:firstRow="0" w:lastRow="0" w:firstColumn="1" w:lastColumn="0" w:oddVBand="0" w:evenVBand="0" w:oddHBand="0" w:evenHBand="0" w:firstRowFirstColumn="0" w:firstRowLastColumn="0" w:lastRowFirstColumn="0" w:lastRowLastColumn="0"/>
            <w:tcW w:w="1980" w:type="dxa"/>
            <w:vAlign w:val="center"/>
          </w:tcPr>
          <w:p w14:paraId="13DAF8DF" w14:textId="21BCD0E4" w:rsidR="005628DC" w:rsidRPr="00B357F4" w:rsidRDefault="00FD268A" w:rsidP="005429EB">
            <w:pPr>
              <w:spacing w:after="0"/>
              <w:jc w:val="left"/>
              <w:rPr>
                <w:rFonts w:cs="Tahoma"/>
                <w:b w:val="0"/>
                <w:sz w:val="18"/>
                <w:szCs w:val="18"/>
                <w:lang w:eastAsia="hr-HR"/>
              </w:rPr>
            </w:pPr>
            <w:r w:rsidRPr="00B357F4">
              <w:rPr>
                <w:rFonts w:cs="Tahoma"/>
                <w:b w:val="0"/>
                <w:sz w:val="18"/>
                <w:szCs w:val="18"/>
                <w:lang w:eastAsia="hr-HR"/>
              </w:rPr>
              <w:t xml:space="preserve">Dubinska </w:t>
            </w:r>
            <w:r w:rsidR="005D629E">
              <w:rPr>
                <w:rFonts w:cs="Tahoma"/>
                <w:b w:val="0"/>
                <w:sz w:val="18"/>
                <w:szCs w:val="18"/>
                <w:lang w:eastAsia="hr-HR"/>
              </w:rPr>
              <w:t>do nZEB</w:t>
            </w:r>
            <w:r w:rsidRPr="00B357F4">
              <w:rPr>
                <w:rFonts w:cs="Tahoma"/>
                <w:b w:val="0"/>
                <w:sz w:val="18"/>
                <w:szCs w:val="18"/>
                <w:lang w:eastAsia="hr-HR"/>
              </w:rPr>
              <w:t xml:space="preserve"> obnova</w:t>
            </w:r>
          </w:p>
        </w:tc>
        <w:tc>
          <w:tcPr>
            <w:tcW w:w="3685" w:type="dxa"/>
            <w:vAlign w:val="center"/>
          </w:tcPr>
          <w:p w14:paraId="1D7E3262" w14:textId="6330B960" w:rsidR="005628DC" w:rsidRPr="00B357F4" w:rsidRDefault="61774BB6" w:rsidP="005429EB">
            <w:pPr>
              <w:spacing w:after="0"/>
              <w:jc w:val="left"/>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Obuhvaća mjere energetske učinkovitosti na ovojnici i tehničkim sustavima te osim </w:t>
            </w:r>
            <w:r w:rsidR="620EC814" w:rsidRPr="00B357F4">
              <w:rPr>
                <w:rFonts w:cs="Tahoma"/>
                <w:sz w:val="18"/>
                <w:szCs w:val="18"/>
                <w:lang w:eastAsia="hr-HR"/>
              </w:rPr>
              <w:t xml:space="preserve">uštede u </w:t>
            </w:r>
            <w:r w:rsidR="06169E6C" w:rsidRPr="00B357F4">
              <w:rPr>
                <w:rFonts w:cs="Tahoma"/>
                <w:sz w:val="18"/>
                <w:szCs w:val="18"/>
                <w:lang w:eastAsia="hr-HR"/>
              </w:rPr>
              <w:t>godišnjoj potrebnoj toplinskoj energiji za grijanje</w:t>
            </w:r>
            <w:r w:rsidRPr="00B357F4">
              <w:rPr>
                <w:rFonts w:cs="Tahoma"/>
                <w:sz w:val="18"/>
                <w:szCs w:val="18"/>
                <w:lang w:eastAsia="hr-HR"/>
              </w:rPr>
              <w:t xml:space="preserve"> (Q</w:t>
            </w:r>
            <w:r w:rsidRPr="00B357F4">
              <w:rPr>
                <w:rFonts w:cs="Tahoma"/>
                <w:sz w:val="18"/>
                <w:szCs w:val="18"/>
                <w:vertAlign w:val="subscript"/>
                <w:lang w:eastAsia="hr-HR"/>
              </w:rPr>
              <w:t>Hnd</w:t>
            </w:r>
            <w:r w:rsidRPr="00B357F4">
              <w:rPr>
                <w:rFonts w:cs="Tahoma"/>
                <w:sz w:val="18"/>
                <w:szCs w:val="18"/>
                <w:lang w:eastAsia="hr-HR"/>
              </w:rPr>
              <w:t xml:space="preserve">) od 50% rezultira i </w:t>
            </w:r>
            <w:r w:rsidR="40FCAA47" w:rsidRPr="00B357F4">
              <w:rPr>
                <w:rFonts w:cs="Tahoma"/>
                <w:sz w:val="18"/>
                <w:szCs w:val="18"/>
                <w:lang w:eastAsia="hr-HR"/>
              </w:rPr>
              <w:t xml:space="preserve"> uštedi u</w:t>
            </w:r>
            <w:r w:rsidRPr="00B357F4">
              <w:rPr>
                <w:rFonts w:cs="Tahoma"/>
                <w:sz w:val="18"/>
                <w:szCs w:val="18"/>
                <w:lang w:eastAsia="hr-HR"/>
              </w:rPr>
              <w:t xml:space="preserve"> primarn</w:t>
            </w:r>
            <w:r w:rsidR="31CAB9E7" w:rsidRPr="00B357F4">
              <w:rPr>
                <w:rFonts w:cs="Tahoma"/>
                <w:sz w:val="18"/>
                <w:szCs w:val="18"/>
                <w:lang w:eastAsia="hr-HR"/>
              </w:rPr>
              <w:t>oj</w:t>
            </w:r>
            <w:r w:rsidRPr="00B357F4">
              <w:rPr>
                <w:rFonts w:cs="Tahoma"/>
                <w:sz w:val="18"/>
                <w:szCs w:val="18"/>
                <w:lang w:eastAsia="hr-HR"/>
              </w:rPr>
              <w:t xml:space="preserve"> energij</w:t>
            </w:r>
            <w:r w:rsidR="08C28733" w:rsidRPr="00B357F4">
              <w:rPr>
                <w:rFonts w:cs="Tahoma"/>
                <w:sz w:val="18"/>
                <w:szCs w:val="18"/>
                <w:lang w:eastAsia="hr-HR"/>
              </w:rPr>
              <w:t>i</w:t>
            </w:r>
            <w:r w:rsidRPr="00B357F4">
              <w:rPr>
                <w:rFonts w:cs="Tahoma"/>
                <w:sz w:val="18"/>
                <w:szCs w:val="18"/>
                <w:lang w:eastAsia="hr-HR"/>
              </w:rPr>
              <w:t xml:space="preserve"> (Eprim) na godišnjoj razini [kWh/(·a)] od najmanje 50%.</w:t>
            </w:r>
          </w:p>
        </w:tc>
        <w:tc>
          <w:tcPr>
            <w:tcW w:w="3679" w:type="dxa"/>
            <w:vAlign w:val="center"/>
          </w:tcPr>
          <w:p w14:paraId="41FCD26A" w14:textId="77777777" w:rsidR="007A39ED" w:rsidRPr="00B357F4" w:rsidRDefault="01DACE7E"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80% prihvatljivih troškova</w:t>
            </w:r>
            <w:r w:rsidR="06052A3C" w:rsidRPr="00B357F4">
              <w:rPr>
                <w:rFonts w:cs="Tahoma"/>
                <w:sz w:val="18"/>
                <w:szCs w:val="18"/>
              </w:rPr>
              <w:t xml:space="preserve"> za mjere povećanja energetske učinkovitosti</w:t>
            </w:r>
            <w:r w:rsidR="603A3E0A" w:rsidRPr="00B357F4">
              <w:rPr>
                <w:rFonts w:cs="Tahoma"/>
                <w:sz w:val="18"/>
                <w:szCs w:val="18"/>
              </w:rPr>
              <w:t>,</w:t>
            </w:r>
          </w:p>
          <w:p w14:paraId="2868CAC6" w14:textId="7461CE9A" w:rsidR="005628DC" w:rsidRPr="00B357F4" w:rsidRDefault="01DACE7E"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85%</w:t>
            </w:r>
            <w:r w:rsidR="000F5868">
              <w:rPr>
                <w:rFonts w:cs="Tahoma"/>
                <w:sz w:val="18"/>
                <w:szCs w:val="18"/>
              </w:rPr>
              <w:t xml:space="preserve"> </w:t>
            </w:r>
            <w:r w:rsidR="000F5868" w:rsidRPr="000F5868">
              <w:rPr>
                <w:rFonts w:cs="Tahoma"/>
                <w:sz w:val="18"/>
                <w:szCs w:val="18"/>
              </w:rPr>
              <w:t>prihvatljivih troškova</w:t>
            </w:r>
            <w:r w:rsidRPr="00B357F4">
              <w:rPr>
                <w:rFonts w:cs="Tahoma"/>
                <w:sz w:val="18"/>
                <w:szCs w:val="18"/>
              </w:rPr>
              <w:t xml:space="preserve"> energetskih pregleda, energetskih certifikata prije i poslije obnove, projektne dokumentacije i tehničke pomoći u pripremi i provedbi projekta</w:t>
            </w:r>
            <w:r w:rsidR="603A3E0A" w:rsidRPr="00B357F4">
              <w:rPr>
                <w:rFonts w:cs="Tahoma"/>
                <w:sz w:val="18"/>
                <w:szCs w:val="18"/>
              </w:rPr>
              <w:t>.</w:t>
            </w:r>
          </w:p>
        </w:tc>
      </w:tr>
      <w:tr w:rsidR="00EB41F7" w:rsidRPr="00B357F4" w14:paraId="1AEB49A9" w14:textId="77777777" w:rsidTr="000D67D0">
        <w:tc>
          <w:tcPr>
            <w:cnfStyle w:val="001000000000" w:firstRow="0" w:lastRow="0" w:firstColumn="1" w:lastColumn="0" w:oddVBand="0" w:evenVBand="0" w:oddHBand="0" w:evenHBand="0" w:firstRowFirstColumn="0" w:firstRowLastColumn="0" w:lastRowFirstColumn="0" w:lastRowLastColumn="0"/>
            <w:tcW w:w="1980" w:type="dxa"/>
            <w:vAlign w:val="center"/>
          </w:tcPr>
          <w:p w14:paraId="44B8982F" w14:textId="46C3BE7E" w:rsidR="00EB41F7" w:rsidRPr="00B357F4" w:rsidRDefault="00FD268A" w:rsidP="005429EB">
            <w:pPr>
              <w:spacing w:after="0"/>
              <w:jc w:val="left"/>
              <w:rPr>
                <w:rFonts w:cs="Tahoma"/>
                <w:b w:val="0"/>
                <w:sz w:val="18"/>
                <w:szCs w:val="18"/>
                <w:lang w:eastAsia="hr-HR"/>
              </w:rPr>
            </w:pPr>
            <w:r w:rsidRPr="00B357F4">
              <w:rPr>
                <w:rFonts w:cs="Tahoma"/>
                <w:b w:val="0"/>
                <w:sz w:val="18"/>
                <w:szCs w:val="18"/>
                <w:lang w:eastAsia="hr-HR"/>
              </w:rPr>
              <w:t>Sveobuhvatna obnova</w:t>
            </w:r>
          </w:p>
        </w:tc>
        <w:tc>
          <w:tcPr>
            <w:tcW w:w="3685" w:type="dxa"/>
            <w:vAlign w:val="center"/>
          </w:tcPr>
          <w:p w14:paraId="78B31C3C" w14:textId="4BF1CDDE" w:rsidR="00EB41F7" w:rsidRPr="00B357F4" w:rsidRDefault="00621F7C" w:rsidP="005429EB">
            <w:pPr>
              <w:spacing w:after="0"/>
              <w:jc w:val="left"/>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Pr>
                <w:rFonts w:cs="Tahoma"/>
                <w:sz w:val="18"/>
                <w:szCs w:val="18"/>
                <w:lang w:eastAsia="hr-HR"/>
              </w:rPr>
              <w:t xml:space="preserve">Uz </w:t>
            </w:r>
            <w:r w:rsidR="5525569A" w:rsidRPr="00B357F4">
              <w:rPr>
                <w:rFonts w:cs="Tahoma"/>
                <w:sz w:val="18"/>
                <w:szCs w:val="18"/>
                <w:lang w:eastAsia="hr-HR"/>
              </w:rPr>
              <w:t xml:space="preserve"> </w:t>
            </w:r>
            <w:r w:rsidRPr="00B357F4">
              <w:rPr>
                <w:rFonts w:cs="Tahoma"/>
                <w:sz w:val="18"/>
                <w:szCs w:val="18"/>
                <w:lang w:eastAsia="hr-HR"/>
              </w:rPr>
              <w:t>energetsk</w:t>
            </w:r>
            <w:r>
              <w:rPr>
                <w:rFonts w:cs="Tahoma"/>
                <w:sz w:val="18"/>
                <w:szCs w:val="18"/>
                <w:lang w:eastAsia="hr-HR"/>
              </w:rPr>
              <w:t>u</w:t>
            </w:r>
            <w:r w:rsidRPr="00B357F4">
              <w:rPr>
                <w:rFonts w:cs="Tahoma"/>
                <w:sz w:val="18"/>
                <w:szCs w:val="18"/>
                <w:lang w:eastAsia="hr-HR"/>
              </w:rPr>
              <w:t xml:space="preserve"> obnov</w:t>
            </w:r>
            <w:r>
              <w:rPr>
                <w:rFonts w:cs="Tahoma"/>
                <w:sz w:val="18"/>
                <w:szCs w:val="18"/>
                <w:lang w:eastAsia="hr-HR"/>
              </w:rPr>
              <w:t>u</w:t>
            </w:r>
            <w:r w:rsidR="5525569A" w:rsidRPr="00B357F4">
              <w:rPr>
                <w:rFonts w:cs="Tahoma"/>
                <w:sz w:val="18"/>
                <w:szCs w:val="18"/>
                <w:lang w:eastAsia="hr-HR"/>
              </w:rPr>
              <w:t xml:space="preserve">, </w:t>
            </w:r>
            <w:r>
              <w:rPr>
                <w:rFonts w:cs="Tahoma"/>
                <w:sz w:val="18"/>
                <w:szCs w:val="18"/>
                <w:lang w:eastAsia="hr-HR"/>
              </w:rPr>
              <w:t xml:space="preserve">uključuje mjere poput </w:t>
            </w:r>
            <w:r w:rsidR="54BC9EA6" w:rsidRPr="00B357F4">
              <w:rPr>
                <w:rFonts w:cs="Tahoma"/>
                <w:sz w:val="18"/>
                <w:szCs w:val="18"/>
                <w:lang w:eastAsia="hr-HR"/>
              </w:rPr>
              <w:t>povećanja potresne otpornosti zgrade</w:t>
            </w:r>
            <w:r w:rsidR="5525569A" w:rsidRPr="00B357F4">
              <w:rPr>
                <w:rFonts w:cs="Tahoma"/>
                <w:sz w:val="18"/>
                <w:szCs w:val="18"/>
                <w:lang w:eastAsia="hr-HR"/>
              </w:rPr>
              <w:t xml:space="preserve">, </w:t>
            </w:r>
            <w:r w:rsidR="3603327A" w:rsidRPr="00B357F4">
              <w:rPr>
                <w:rFonts w:cs="Tahoma"/>
                <w:sz w:val="18"/>
                <w:szCs w:val="18"/>
                <w:lang w:eastAsia="hr-HR"/>
              </w:rPr>
              <w:t>mjera za povećanje sigurnosti u slučaju požara</w:t>
            </w:r>
            <w:r w:rsidR="61DD19EA" w:rsidRPr="00B357F4">
              <w:rPr>
                <w:rFonts w:cs="Tahoma"/>
                <w:sz w:val="18"/>
                <w:szCs w:val="18"/>
                <w:lang w:eastAsia="hr-HR"/>
              </w:rPr>
              <w:t xml:space="preserve"> </w:t>
            </w:r>
            <w:r w:rsidR="5525569A" w:rsidRPr="00B357F4">
              <w:rPr>
                <w:rFonts w:cs="Tahoma"/>
                <w:sz w:val="18"/>
                <w:szCs w:val="18"/>
                <w:lang w:eastAsia="hr-HR"/>
              </w:rPr>
              <w:t xml:space="preserve">a i osiguranja </w:t>
            </w:r>
            <w:r w:rsidR="0BF7A3B0" w:rsidRPr="00B357F4">
              <w:rPr>
                <w:rFonts w:cs="Tahoma"/>
                <w:sz w:val="18"/>
                <w:szCs w:val="18"/>
                <w:lang w:eastAsia="hr-HR"/>
              </w:rPr>
              <w:t>zdravih</w:t>
            </w:r>
            <w:r w:rsidR="5525569A" w:rsidRPr="00B357F4">
              <w:rPr>
                <w:rFonts w:cs="Tahoma"/>
                <w:sz w:val="18"/>
                <w:szCs w:val="18"/>
                <w:lang w:eastAsia="hr-HR"/>
              </w:rPr>
              <w:t xml:space="preserve"> unutarnjih klimatskih uvjeta </w:t>
            </w:r>
            <w:r w:rsidR="00D85AB5">
              <w:rPr>
                <w:rFonts w:cs="Tahoma"/>
                <w:sz w:val="18"/>
                <w:szCs w:val="18"/>
                <w:lang w:eastAsia="hr-HR"/>
              </w:rPr>
              <w:t>što rezultira</w:t>
            </w:r>
            <w:r w:rsidR="5525569A" w:rsidRPr="00B357F4">
              <w:rPr>
                <w:rFonts w:cs="Tahoma"/>
                <w:sz w:val="18"/>
                <w:szCs w:val="18"/>
                <w:lang w:eastAsia="hr-HR"/>
              </w:rPr>
              <w:t xml:space="preserve"> vrlo visoko</w:t>
            </w:r>
            <w:r w:rsidR="00D85AB5">
              <w:rPr>
                <w:rFonts w:cs="Tahoma"/>
                <w:sz w:val="18"/>
                <w:szCs w:val="18"/>
                <w:lang w:eastAsia="hr-HR"/>
              </w:rPr>
              <w:t>m</w:t>
            </w:r>
            <w:r w:rsidR="5525569A" w:rsidRPr="00B357F4">
              <w:rPr>
                <w:rFonts w:cs="Tahoma"/>
                <w:sz w:val="18"/>
                <w:szCs w:val="18"/>
                <w:lang w:eastAsia="hr-HR"/>
              </w:rPr>
              <w:t xml:space="preserve"> razin</w:t>
            </w:r>
            <w:r w:rsidR="00D85AB5">
              <w:rPr>
                <w:rFonts w:cs="Tahoma"/>
                <w:sz w:val="18"/>
                <w:szCs w:val="18"/>
                <w:lang w:eastAsia="hr-HR"/>
              </w:rPr>
              <w:t>om</w:t>
            </w:r>
            <w:r w:rsidR="5525569A" w:rsidRPr="00B357F4">
              <w:rPr>
                <w:rFonts w:cs="Tahoma"/>
                <w:sz w:val="18"/>
                <w:szCs w:val="18"/>
                <w:lang w:eastAsia="hr-HR"/>
              </w:rPr>
              <w:t xml:space="preserve"> investicije. </w:t>
            </w:r>
          </w:p>
        </w:tc>
        <w:tc>
          <w:tcPr>
            <w:tcW w:w="3679" w:type="dxa"/>
            <w:vAlign w:val="center"/>
          </w:tcPr>
          <w:p w14:paraId="5A9DD56F" w14:textId="77777777" w:rsidR="007A39ED" w:rsidRPr="00203A80" w:rsidRDefault="603A3E0A"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80% p</w:t>
            </w:r>
            <w:r w:rsidRPr="006734C7">
              <w:rPr>
                <w:rFonts w:cs="Tahoma"/>
                <w:sz w:val="18"/>
                <w:szCs w:val="18"/>
              </w:rPr>
              <w:t xml:space="preserve">rihvatljivih troškova sveobuhvatne obnove, </w:t>
            </w:r>
          </w:p>
          <w:p w14:paraId="0A4F2FD9" w14:textId="2EEA746A" w:rsidR="00EB41F7" w:rsidRPr="00B357F4" w:rsidRDefault="603A3E0A"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971F9E">
              <w:rPr>
                <w:rFonts w:cs="Tahoma"/>
                <w:sz w:val="18"/>
                <w:szCs w:val="18"/>
              </w:rPr>
              <w:t xml:space="preserve">do 100% </w:t>
            </w:r>
            <w:r w:rsidR="000F5868">
              <w:rPr>
                <w:rStyle w:val="cf01"/>
              </w:rPr>
              <w:t>prihvatljivih troškova</w:t>
            </w:r>
            <w:r w:rsidR="000F5868" w:rsidRPr="00971F9E">
              <w:rPr>
                <w:rFonts w:cs="Tahoma"/>
                <w:sz w:val="18"/>
                <w:szCs w:val="18"/>
              </w:rPr>
              <w:t xml:space="preserve"> </w:t>
            </w:r>
            <w:r w:rsidRPr="00971F9E">
              <w:rPr>
                <w:rFonts w:cs="Tahoma"/>
                <w:sz w:val="18"/>
                <w:szCs w:val="18"/>
              </w:rPr>
              <w:t>energetskih pregleda, energetskih certifikata prije i poslije obnove, proj</w:t>
            </w:r>
            <w:r w:rsidRPr="00B357F4">
              <w:rPr>
                <w:rFonts w:cs="Tahoma"/>
                <w:sz w:val="18"/>
                <w:szCs w:val="18"/>
              </w:rPr>
              <w:t>ektne dokumentacije i tehničke pomoći u pripremi i provedbi projekta.</w:t>
            </w:r>
          </w:p>
        </w:tc>
      </w:tr>
    </w:tbl>
    <w:p w14:paraId="39DC47C8" w14:textId="506F4C0C" w:rsidR="0017512B" w:rsidRDefault="0056739B" w:rsidP="0017512B">
      <w:pPr>
        <w:spacing w:after="0"/>
      </w:pPr>
      <w:r w:rsidRPr="00203A80">
        <w:t xml:space="preserve">Projekte energetske obnove koji će se </w:t>
      </w:r>
      <w:r w:rsidR="0082189B" w:rsidRPr="00203A80">
        <w:t xml:space="preserve">sufinancirati sredstvima alociranima </w:t>
      </w:r>
      <w:r w:rsidR="00555868" w:rsidRPr="00203A80">
        <w:t>kroz I</w:t>
      </w:r>
      <w:r w:rsidR="0051030E" w:rsidRPr="00A67250">
        <w:t>nvesticij</w:t>
      </w:r>
      <w:r w:rsidR="00555868" w:rsidRPr="001C0633">
        <w:t>u</w:t>
      </w:r>
      <w:r w:rsidR="0051030E" w:rsidRPr="00AB4B63">
        <w:t xml:space="preserve"> Energetska obnova zgrada iz NPOO-a po</w:t>
      </w:r>
      <w:r w:rsidR="00C0732C" w:rsidRPr="00971F9E">
        <w:t>trebno</w:t>
      </w:r>
      <w:r w:rsidR="0051030E" w:rsidRPr="00971F9E">
        <w:t xml:space="preserve"> je u</w:t>
      </w:r>
      <w:r w:rsidR="00E5236A" w:rsidRPr="00B357F4">
        <w:t>g</w:t>
      </w:r>
      <w:r w:rsidR="0051030E" w:rsidRPr="00B357F4">
        <w:t>o</w:t>
      </w:r>
      <w:r w:rsidR="00E5236A" w:rsidRPr="00B357F4">
        <w:t>voriti</w:t>
      </w:r>
      <w:r w:rsidR="00C0732C" w:rsidRPr="00B357F4">
        <w:t xml:space="preserve"> do 31.12.2023</w:t>
      </w:r>
      <w:r w:rsidR="00BE63A5">
        <w:t>.</w:t>
      </w:r>
      <w:r w:rsidR="00C0732C" w:rsidRPr="00B357F4">
        <w:t xml:space="preserve">, dok je </w:t>
      </w:r>
      <w:r w:rsidR="00555868" w:rsidRPr="00B357F4">
        <w:t xml:space="preserve">projektne </w:t>
      </w:r>
      <w:r w:rsidR="00C0732C" w:rsidRPr="00B357F4">
        <w:t>investicije potrebno provesti do 3</w:t>
      </w:r>
      <w:r w:rsidR="00D25146" w:rsidRPr="00B357F4">
        <w:t>0</w:t>
      </w:r>
      <w:r w:rsidR="00C0732C" w:rsidRPr="00B357F4">
        <w:t>.</w:t>
      </w:r>
      <w:r w:rsidR="00D25146" w:rsidRPr="00B357F4">
        <w:t>6</w:t>
      </w:r>
      <w:r w:rsidR="00C0732C" w:rsidRPr="00B357F4">
        <w:t>.</w:t>
      </w:r>
      <w:r w:rsidR="00D25146" w:rsidRPr="00B357F4">
        <w:t>2026.</w:t>
      </w:r>
      <w:r w:rsidR="00FF0BB8" w:rsidRPr="00B357F4">
        <w:t xml:space="preserve"> </w:t>
      </w:r>
      <w:r w:rsidR="00140C19">
        <w:t>Na ra</w:t>
      </w:r>
      <w:r w:rsidR="00DE07C7">
        <w:t xml:space="preserve">zini </w:t>
      </w:r>
      <w:r w:rsidR="007176A3">
        <w:t>investicije</w:t>
      </w:r>
      <w:r w:rsidR="00DE07C7">
        <w:t xml:space="preserve"> </w:t>
      </w:r>
      <w:r w:rsidR="007176A3" w:rsidRPr="007176A3">
        <w:t xml:space="preserve">C6.1. R1-I1 </w:t>
      </w:r>
      <w:r w:rsidR="00DE07C7">
        <w:t>Energetska obnova zgrada potreb</w:t>
      </w:r>
      <w:r w:rsidR="007176A3">
        <w:t>n</w:t>
      </w:r>
      <w:r w:rsidR="00DE07C7">
        <w:t xml:space="preserve">o je ostvariti </w:t>
      </w:r>
      <w:r w:rsidR="007176A3" w:rsidRPr="007176A3">
        <w:t>minimalnu uštedu od 30 % godišnje primarne energije (Eprim)</w:t>
      </w:r>
      <w:r w:rsidR="007176A3">
        <w:t>.</w:t>
      </w:r>
      <w:r w:rsidR="001C618E">
        <w:t xml:space="preserve"> </w:t>
      </w:r>
      <w:r w:rsidR="00FF0BB8" w:rsidRPr="00B357F4">
        <w:t xml:space="preserve">S obzirom na kratko razdoblje </w:t>
      </w:r>
      <w:r w:rsidR="00ED16B4" w:rsidRPr="00B357F4">
        <w:t>ugovaranja projekata</w:t>
      </w:r>
      <w:r w:rsidR="001036EB" w:rsidRPr="00B357F4">
        <w:t>, kroz NPOO će se</w:t>
      </w:r>
      <w:r w:rsidR="00ED16B4" w:rsidRPr="00B357F4">
        <w:t xml:space="preserve"> prvenstveno financirati energetska obnova zgrada koje već imaju izrađen glavni</w:t>
      </w:r>
      <w:r w:rsidR="001036EB" w:rsidRPr="00B357F4">
        <w:t xml:space="preserve"> </w:t>
      </w:r>
      <w:r w:rsidR="00ED16B4" w:rsidRPr="00B357F4">
        <w:t xml:space="preserve">projekt energetske obnove </w:t>
      </w:r>
      <w:r w:rsidR="00F50846">
        <w:t xml:space="preserve">te </w:t>
      </w:r>
      <w:r w:rsidR="00924AAE">
        <w:t xml:space="preserve">doprinose </w:t>
      </w:r>
      <w:r w:rsidR="00A3759D">
        <w:t xml:space="preserve">ostvarenju </w:t>
      </w:r>
      <w:r w:rsidR="00476FF3">
        <w:t>ušteda</w:t>
      </w:r>
      <w:r w:rsidR="00627030">
        <w:t xml:space="preserve"> godišnje</w:t>
      </w:r>
      <w:r w:rsidR="00476FF3">
        <w:t xml:space="preserve"> primarne energije na razini</w:t>
      </w:r>
      <w:r w:rsidR="00627030">
        <w:t xml:space="preserve"> komponente</w:t>
      </w:r>
      <w:r w:rsidR="0017512B" w:rsidRPr="00B357F4">
        <w:t>.</w:t>
      </w:r>
    </w:p>
    <w:p w14:paraId="2B2308A7" w14:textId="77777777" w:rsidR="00DD17BD" w:rsidRDefault="00DD17BD" w:rsidP="00DD17BD">
      <w:pPr>
        <w:spacing w:after="0"/>
      </w:pPr>
      <w:r w:rsidRPr="00CD1127">
        <w:t>Sredstava iz NPOO-a dodjeljuju se prema načelu “Ne nanosi značajnu štetu” (engl. Do no significant harm – DNSH), koje podrazumijeva da investicije koje se sufinanciraju nemaju značajan negativan utjecaj na ublažavanje klimatskih promjena, prilagođavanje klimatskim promjenama, održive uporabu i zaštitu voda i morskih resursa, kružno gospodarstvo, uključujući prevenciju otpada i recikliranje, prevenciju onečišćenja i kontrola  zraka, vode ili tla te zaštitu i obnovu biološke raznolikosti i ekosustava. O zadovoljavanju DNSH načela vodit će se računa u  javnim pozivima, ugovorima o dodjeli bespovratnih sredstava, odnosno  drugim mehanizmima za provedbu ovoga programa.</w:t>
      </w:r>
      <w:r w:rsidRPr="002E4B36">
        <w:t xml:space="preserve">  </w:t>
      </w:r>
    </w:p>
    <w:p w14:paraId="58C55501" w14:textId="145A30CA" w:rsidR="000E3E20" w:rsidRDefault="000E3E20" w:rsidP="0017512B">
      <w:pPr>
        <w:spacing w:after="0"/>
      </w:pPr>
      <w:r>
        <w:t>Zgrade kod kojih</w:t>
      </w:r>
      <w:r w:rsidR="008C3B41">
        <w:t xml:space="preserve"> je financiranje započeto iz FSEU, za vraćanje u ispravno stanje, nastavljaju financiranje obnove sredstvima iz NPOO, prema kriterijima za </w:t>
      </w:r>
      <w:r w:rsidR="00AF58DF">
        <w:t xml:space="preserve">određivanje prioriteta određenim u poglavlju </w:t>
      </w:r>
      <w:r w:rsidR="00AF58DF">
        <w:fldChar w:fldCharType="begin"/>
      </w:r>
      <w:r w:rsidR="00AF58DF">
        <w:instrText xml:space="preserve"> REF _Ref94769562 \r \h </w:instrText>
      </w:r>
      <w:r w:rsidR="00AF58DF">
        <w:fldChar w:fldCharType="separate"/>
      </w:r>
      <w:r w:rsidR="0023635D">
        <w:t>6.1</w:t>
      </w:r>
      <w:r w:rsidR="00AF58DF">
        <w:fldChar w:fldCharType="end"/>
      </w:r>
      <w:r w:rsidR="00AF58DF">
        <w:t xml:space="preserve"> </w:t>
      </w:r>
      <w:r w:rsidR="00AF58DF">
        <w:fldChar w:fldCharType="begin"/>
      </w:r>
      <w:r w:rsidR="00AF58DF">
        <w:instrText xml:space="preserve"> REF _Ref94769545 \h </w:instrText>
      </w:r>
      <w:r w:rsidR="00AF58DF">
        <w:fldChar w:fldCharType="separate"/>
      </w:r>
      <w:r w:rsidR="0023635D" w:rsidRPr="00B357F4">
        <w:t>Određivanje prioriteta energetske i sveobuhvatne  obnove zgrada javnog sektora</w:t>
      </w:r>
      <w:r w:rsidR="00AF58DF">
        <w:fldChar w:fldCharType="end"/>
      </w:r>
      <w:r w:rsidR="00AF58DF">
        <w:t xml:space="preserve">. </w:t>
      </w:r>
    </w:p>
    <w:p w14:paraId="173F055C" w14:textId="77777777" w:rsidR="00113F10" w:rsidRDefault="00113F10" w:rsidP="0017512B">
      <w:pPr>
        <w:spacing w:after="0"/>
      </w:pPr>
    </w:p>
    <w:p w14:paraId="22C51CCC" w14:textId="77777777" w:rsidR="0031233C" w:rsidRPr="00B357F4" w:rsidRDefault="0031233C" w:rsidP="0031233C">
      <w:pPr>
        <w:spacing w:after="0"/>
        <w:rPr>
          <w:b/>
        </w:rPr>
      </w:pPr>
      <w:r w:rsidRPr="00B357F4">
        <w:rPr>
          <w:b/>
        </w:rPr>
        <w:t>Višegodišnji financijski okvir 2021. – 2027. (VFO)</w:t>
      </w:r>
    </w:p>
    <w:p w14:paraId="7EEE87E9" w14:textId="6D95EA4B" w:rsidR="0031233C" w:rsidRPr="00B357F4" w:rsidRDefault="0031233C" w:rsidP="0031233C">
      <w:pPr>
        <w:spacing w:after="0"/>
      </w:pPr>
      <w:r w:rsidRPr="00B357F4">
        <w:t xml:space="preserve">Višegodišnjim financijskim okvirom koji obuhvaća razdoblje od 2021. do 2027. godine te koji se financira iz Europskih strukturnih i investicijskih (ESI) fondova predviđen je dugoročni proračun od 1.074,3 milijarde </w:t>
      </w:r>
      <w:r w:rsidRPr="00B357F4">
        <w:lastRenderedPageBreak/>
        <w:t xml:space="preserve">EUR za 27 država članica EU. Zajedno s alociranim sredstvima za instrument Next Generation EU, EU je osigurala najveći iznos sredstava do sada za potporu dugoročnim prioritetima EU-a u različitim područjima politika, </w:t>
      </w:r>
      <w:r w:rsidR="00350C3B" w:rsidRPr="00350C3B">
        <w:t>među kojima je i</w:t>
      </w:r>
      <w:r w:rsidRPr="00B357F4">
        <w:t xml:space="preserve"> digitaln</w:t>
      </w:r>
      <w:r w:rsidR="00350C3B">
        <w:t>a</w:t>
      </w:r>
      <w:r w:rsidRPr="00B357F4">
        <w:t xml:space="preserve"> i </w:t>
      </w:r>
      <w:r w:rsidR="00350C3B" w:rsidRPr="00B357F4">
        <w:t>zelen</w:t>
      </w:r>
      <w:r w:rsidR="00350C3B">
        <w:t>a</w:t>
      </w:r>
      <w:r w:rsidR="00350C3B" w:rsidRPr="00B357F4">
        <w:t xml:space="preserve"> tranzicij</w:t>
      </w:r>
      <w:r w:rsidR="00350C3B">
        <w:t>a</w:t>
      </w:r>
      <w:r w:rsidRPr="00B357F4">
        <w:t>. Kroz VFO i Hrvatskoj će na raspolaganju biti 13,4 milijardi EUR za prenošenje prioriteta EU u nacionalni kontekst te implementaciju razvojnih prioriteta definiranih NRS 2030, od čega je 9,3 milijarde EUR namijenjeno provedbi Kohezijske politike. Programski dokumenti</w:t>
      </w:r>
      <w:r w:rsidR="00DC19C0">
        <w:t xml:space="preserve"> </w:t>
      </w:r>
      <w:r w:rsidRPr="00B357F4">
        <w:t xml:space="preserve">kojima će biti jasnije definirani prioriteti, specifični  ciljevi i pokazatelji kojima se mjeri uspješnost provedbe Kohezijske politike i ispunjenja razvojnih smjernica su trenutno u pripremi, a konačne verzije očekuju se krajem 2021. godine, po završetku konzultacija i pregovora s Europskom komisijom. Jedan </w:t>
      </w:r>
      <w:r w:rsidR="006B4172" w:rsidRPr="00B357F4">
        <w:t xml:space="preserve">od programa vezanih uz Kohezijsku politiku i s izravnim doprinosom poticanju energetske učinkovitosti u zgradarstvu je </w:t>
      </w:r>
      <w:r w:rsidR="006B4172">
        <w:t>P</w:t>
      </w:r>
      <w:r w:rsidR="006B4172" w:rsidRPr="00B357F4">
        <w:t xml:space="preserve">rogram Konkurentnost i kohezija 2021.-2027. (PKK </w:t>
      </w:r>
      <w:r w:rsidRPr="00B357F4">
        <w:t xml:space="preserve">2021-2027). Od ukupno šest prioriteta u PKK 2021-2027, Prioritet 3: </w:t>
      </w:r>
      <w:r w:rsidR="0080489D" w:rsidRPr="00B357F4">
        <w:t xml:space="preserve">Promicanje energetske učinkovitosti i obnovljivih izvora energije, prilagodbe na klimatske promjene, sprječavanje rizika, zaštitu okoliša i održivosti resursa“ sadrži specifični cilj </w:t>
      </w:r>
      <w:r w:rsidR="00F31C79" w:rsidRPr="00F31C79">
        <w:t xml:space="preserve">2i. Promicanje energetske učinkovitosti i smanjenje emisija stakleničkih plinova </w:t>
      </w:r>
      <w:r w:rsidR="0080489D" w:rsidRPr="00B357F4">
        <w:t>koji</w:t>
      </w:r>
      <w:r w:rsidR="00021957">
        <w:t xml:space="preserve">, između ostaloga, obuhvaća i </w:t>
      </w:r>
      <w:r w:rsidR="0080489D" w:rsidRPr="00B357F4">
        <w:t>energetsku obnovu zgrada.</w:t>
      </w:r>
      <w:r w:rsidR="00693606">
        <w:t xml:space="preserve"> </w:t>
      </w:r>
      <w:r w:rsidRPr="00B357F4">
        <w:t xml:space="preserve">Dodatno </w:t>
      </w:r>
      <w:r w:rsidR="00693606">
        <w:t>je</w:t>
      </w:r>
      <w:r w:rsidR="00693606" w:rsidRPr="00B357F4">
        <w:t xml:space="preserve"> </w:t>
      </w:r>
      <w:r w:rsidRPr="00B357F4">
        <w:t xml:space="preserve">kroz Prioritet 3 i u okviru operacija za financiranje </w:t>
      </w:r>
      <w:r w:rsidR="000F3E98" w:rsidRPr="00B357F4">
        <w:t>predložen</w:t>
      </w:r>
      <w:r w:rsidR="0056060F">
        <w:t>a mogućnost k</w:t>
      </w:r>
      <w:r w:rsidR="0056060F" w:rsidRPr="0056060F">
        <w:t>orištenja</w:t>
      </w:r>
      <w:r w:rsidR="00E974B7">
        <w:t xml:space="preserve"> ESIF</w:t>
      </w:r>
      <w:r w:rsidR="0056060F" w:rsidRPr="0056060F">
        <w:t xml:space="preserve"> financijskog instrumenta za osiguranje vlastitog učešća korisnik</w:t>
      </w:r>
      <w:r w:rsidR="0056060F">
        <w:t>a</w:t>
      </w:r>
      <w:r w:rsidR="00E974B7">
        <w:t xml:space="preserve"> čime bi se</w:t>
      </w:r>
      <w:r w:rsidR="000310E3">
        <w:t xml:space="preserve"> korisniku omogućilo zatvaranje financijskog jaza </w:t>
      </w:r>
      <w:r w:rsidR="00E953A2">
        <w:t>kako bi projekt bio ekonomski opravdan</w:t>
      </w:r>
      <w:r w:rsidR="00693606">
        <w:t xml:space="preserve">, no točne alokacije </w:t>
      </w:r>
      <w:r w:rsidR="0025495B">
        <w:t xml:space="preserve"> za sada </w:t>
      </w:r>
      <w:r w:rsidR="00693606">
        <w:t xml:space="preserve">nisu poznate. </w:t>
      </w:r>
    </w:p>
    <w:p w14:paraId="73D69A05" w14:textId="00198A70" w:rsidR="00731FB1" w:rsidRPr="00B357F4" w:rsidRDefault="00590CE3" w:rsidP="00731FB1">
      <w:pPr>
        <w:spacing w:after="0"/>
        <w:rPr>
          <w:b/>
        </w:rPr>
      </w:pPr>
      <w:r w:rsidRPr="00B357F4">
        <w:rPr>
          <w:b/>
        </w:rPr>
        <w:t>F</w:t>
      </w:r>
      <w:r w:rsidR="00731FB1" w:rsidRPr="00B357F4">
        <w:rPr>
          <w:b/>
        </w:rPr>
        <w:t>ond solidarnost</w:t>
      </w:r>
      <w:r w:rsidRPr="00B357F4">
        <w:rPr>
          <w:b/>
        </w:rPr>
        <w:t>i EU (FSEU)</w:t>
      </w:r>
    </w:p>
    <w:p w14:paraId="0ADF9ED7" w14:textId="7B7AB7F2" w:rsidR="00731FB1" w:rsidRPr="00B357F4" w:rsidRDefault="00991705" w:rsidP="00731FB1">
      <w:pPr>
        <w:spacing w:after="0"/>
      </w:pPr>
      <w:r w:rsidRPr="00B357F4">
        <w:t xml:space="preserve">Nakon serije </w:t>
      </w:r>
      <w:r w:rsidR="00A66A61" w:rsidRPr="00B357F4">
        <w:t xml:space="preserve">jakih </w:t>
      </w:r>
      <w:r w:rsidRPr="00B357F4">
        <w:t>potresa</w:t>
      </w:r>
      <w:r w:rsidR="00A66A61" w:rsidRPr="00B357F4">
        <w:t xml:space="preserve"> zabilježenih tijekom 2020. godine na području </w:t>
      </w:r>
      <w:r w:rsidR="00B0614D" w:rsidRPr="00B357F4">
        <w:t>Grada Zagreba, Krapinsko-zagorske županije, Zagrebačke županije, Sisačko-moslavačke županije i Karlovačke županije</w:t>
      </w:r>
      <w:r w:rsidRPr="00B357F4">
        <w:t xml:space="preserve"> koj</w:t>
      </w:r>
      <w:r w:rsidR="002A53AE" w:rsidRPr="00B357F4">
        <w:t>i</w:t>
      </w:r>
      <w:r w:rsidRPr="00B357F4">
        <w:t xml:space="preserve"> su</w:t>
      </w:r>
      <w:r w:rsidR="002A53AE" w:rsidRPr="00B357F4">
        <w:t xml:space="preserve"> </w:t>
      </w:r>
      <w:r w:rsidR="008912AB" w:rsidRPr="00B357F4">
        <w:t>uzrokovali velik</w:t>
      </w:r>
      <w:r w:rsidR="002E3A27" w:rsidRPr="00B357F4">
        <w:t xml:space="preserve">u materijalnu štetu na </w:t>
      </w:r>
      <w:r w:rsidR="00C83B40" w:rsidRPr="00B357F4">
        <w:t>tom području,</w:t>
      </w:r>
      <w:r w:rsidR="00D97D79" w:rsidRPr="00B357F4">
        <w:t xml:space="preserve"> Europska komisija je odobrila zahtjev </w:t>
      </w:r>
      <w:r w:rsidR="005639EB">
        <w:t xml:space="preserve">Vlade RH </w:t>
      </w:r>
      <w:r w:rsidR="005E4F03" w:rsidRPr="00B357F4">
        <w:t xml:space="preserve">za pomoć </w:t>
      </w:r>
      <w:r w:rsidR="00FC4035" w:rsidRPr="00B357F4">
        <w:t xml:space="preserve">iz FSEU-a za </w:t>
      </w:r>
      <w:r w:rsidR="00A401D7" w:rsidRPr="00B357F4">
        <w:t>saniranje</w:t>
      </w:r>
      <w:r w:rsidR="005E4F03" w:rsidRPr="00B357F4">
        <w:t xml:space="preserve"> posljedica</w:t>
      </w:r>
      <w:r w:rsidR="00A401D7" w:rsidRPr="00B357F4">
        <w:t xml:space="preserve"> nastalih</w:t>
      </w:r>
      <w:r w:rsidR="00993F30" w:rsidRPr="00B357F4">
        <w:t xml:space="preserve"> potres</w:t>
      </w:r>
      <w:r w:rsidR="00E22384" w:rsidRPr="00B357F4">
        <w:t>om na zagrebačkom području</w:t>
      </w:r>
      <w:r w:rsidR="005639EB">
        <w:t xml:space="preserve">. </w:t>
      </w:r>
      <w:r w:rsidR="00900F64" w:rsidRPr="00373352">
        <w:t xml:space="preserve">Ukupan iznos dodijeljenih bespovratnih sredstava iz FSEU-a za zagrebačko </w:t>
      </w:r>
      <w:r w:rsidR="00900F64" w:rsidRPr="00203A80">
        <w:t xml:space="preserve">područje iznosi </w:t>
      </w:r>
      <w:r w:rsidR="002458ED" w:rsidRPr="00203A80">
        <w:t>683</w:t>
      </w:r>
      <w:r w:rsidR="002458ED" w:rsidRPr="00A67250">
        <w:t xml:space="preserve">,7 milijuna EUR, dok je za područje Banovine </w:t>
      </w:r>
      <w:r w:rsidR="00DD735A">
        <w:t xml:space="preserve">dodijeljeno </w:t>
      </w:r>
      <w:r w:rsidR="00C44E48" w:rsidRPr="00971F9E">
        <w:t>319,2 milijuna EUR pomoći</w:t>
      </w:r>
      <w:r w:rsidR="00876CC5" w:rsidRPr="00971F9E">
        <w:t xml:space="preserve">. </w:t>
      </w:r>
      <w:r w:rsidR="003457E4" w:rsidRPr="00B357F4">
        <w:t>Iz FSEU-a je moguće financiranje</w:t>
      </w:r>
      <w:r w:rsidR="00A23C22" w:rsidRPr="00B357F4">
        <w:t xml:space="preserve"> aktivnosti kojima se postojeća infrastruktura vraća u ispravno radno stanje</w:t>
      </w:r>
      <w:r w:rsidR="00DA367E" w:rsidRPr="00B357F4">
        <w:t xml:space="preserve">, odnosno </w:t>
      </w:r>
      <w:r w:rsidR="00940B8A">
        <w:t>ak</w:t>
      </w:r>
      <w:r w:rsidR="009B5EDB">
        <w:t>tivnosti</w:t>
      </w:r>
      <w:r w:rsidR="00C51C9B" w:rsidRPr="00B357F4">
        <w:t xml:space="preserve"> </w:t>
      </w:r>
      <w:r w:rsidR="003600F2" w:rsidRPr="00B357F4">
        <w:t>k</w:t>
      </w:r>
      <w:r w:rsidR="00940B8A">
        <w:t>ojima se</w:t>
      </w:r>
      <w:r w:rsidR="003600F2" w:rsidRPr="00B357F4">
        <w:t xml:space="preserve"> oštećena infrastruktura </w:t>
      </w:r>
      <w:r w:rsidR="00940B8A">
        <w:t>vraća</w:t>
      </w:r>
      <w:r w:rsidR="00940B8A" w:rsidRPr="00B357F4">
        <w:t xml:space="preserve"> </w:t>
      </w:r>
      <w:r w:rsidR="003600F2" w:rsidRPr="00B357F4">
        <w:t>u stanje prije potresa.</w:t>
      </w:r>
      <w:r w:rsidR="00DD58A6" w:rsidRPr="00B357F4">
        <w:t xml:space="preserve"> S obzirom na s</w:t>
      </w:r>
      <w:r w:rsidR="00BB39EF" w:rsidRPr="00B357F4">
        <w:t>užen</w:t>
      </w:r>
      <w:r w:rsidR="00143B02" w:rsidRPr="00B357F4">
        <w:t xml:space="preserve"> i specifičan</w:t>
      </w:r>
      <w:r w:rsidR="00BB39EF" w:rsidRPr="00B357F4">
        <w:t xml:space="preserve"> opseg</w:t>
      </w:r>
      <w:r w:rsidR="007F4DA6" w:rsidRPr="00B357F4">
        <w:t xml:space="preserve"> prihvatljivih aktivnosti</w:t>
      </w:r>
      <w:r w:rsidR="00143B02" w:rsidRPr="00B357F4">
        <w:t xml:space="preserve"> koji ne obuhvaća aktivnosti energetske obnove, </w:t>
      </w:r>
      <w:r w:rsidR="00BA0CF5" w:rsidRPr="00B357F4">
        <w:t xml:space="preserve">obnova fonda zgrada </w:t>
      </w:r>
      <w:r w:rsidR="001E4634" w:rsidRPr="00B357F4">
        <w:t>na područjima pogođenima potresom financirat će se kombinirano iz FSEU</w:t>
      </w:r>
      <w:r w:rsidR="0043209D">
        <w:t xml:space="preserve"> </w:t>
      </w:r>
      <w:r w:rsidR="0043209D" w:rsidRPr="00C75C12">
        <w:t xml:space="preserve">i drugih izvora poput </w:t>
      </w:r>
      <w:r w:rsidR="00E21B9E" w:rsidRPr="00C75C12">
        <w:t>Meh</w:t>
      </w:r>
      <w:r w:rsidR="004D17F4" w:rsidRPr="00C75C12">
        <w:t>anizma</w:t>
      </w:r>
      <w:r w:rsidR="009D4741" w:rsidRPr="00C75C12">
        <w:t xml:space="preserve"> za oporavak i otpornost</w:t>
      </w:r>
      <w:r w:rsidR="00F46D20" w:rsidRPr="00C75C12">
        <w:t xml:space="preserve"> </w:t>
      </w:r>
      <w:r w:rsidR="001E4634" w:rsidRPr="00C75C12">
        <w:t xml:space="preserve">na način da se vraćanje zgrada u prvobitno stanje prije oštećenja financira iz </w:t>
      </w:r>
      <w:r w:rsidR="00750DD1" w:rsidRPr="00C75C12">
        <w:t>FSEU-a</w:t>
      </w:r>
      <w:r w:rsidR="001E4634" w:rsidRPr="00C75C12">
        <w:t>, a razlika iznosa do cjelovite obnove uključujući i povećanje energetske učinkovitosti objekata iz</w:t>
      </w:r>
      <w:r w:rsidR="00935DEB" w:rsidRPr="00C75C12">
        <w:t xml:space="preserve"> sredstava navedenih u </w:t>
      </w:r>
      <w:r w:rsidR="009974D2" w:rsidRPr="00C75C12">
        <w:t>NPOO</w:t>
      </w:r>
      <w:r w:rsidR="001E4634" w:rsidRPr="00C75C12">
        <w:t>-</w:t>
      </w:r>
      <w:r w:rsidR="00935DEB" w:rsidRPr="00C75C12">
        <w:t>u</w:t>
      </w:r>
      <w:r w:rsidR="001E4634" w:rsidRPr="00C75C12">
        <w:t>.</w:t>
      </w:r>
      <w:r w:rsidR="002A66CC" w:rsidRPr="00C75C12">
        <w:t xml:space="preserve"> </w:t>
      </w:r>
      <w:r w:rsidR="00731FB1" w:rsidRPr="00C75C12">
        <w:t>Cjelokupna tematika financiranja i upravljanja sredstvima FSEU</w:t>
      </w:r>
      <w:r w:rsidR="006864E7" w:rsidRPr="00C75C12">
        <w:t xml:space="preserve">, kao i </w:t>
      </w:r>
      <w:r w:rsidR="00731FB1" w:rsidRPr="00C75C12">
        <w:t xml:space="preserve"> </w:t>
      </w:r>
      <w:r w:rsidR="006864E7" w:rsidRPr="00C75C12">
        <w:t xml:space="preserve">modaliteti raspisa poziva i provedbe </w:t>
      </w:r>
      <w:r w:rsidR="00731FB1" w:rsidRPr="00C75C12">
        <w:t>definirani su</w:t>
      </w:r>
      <w:r w:rsidR="00C75C12" w:rsidRPr="00C75C12">
        <w:t xml:space="preserve"> Uredbom o osnivanju FSEU i</w:t>
      </w:r>
      <w:r w:rsidR="00731FB1" w:rsidRPr="00C75C12">
        <w:t xml:space="preserve"> zajedničkim nacionalnim pravilima.</w:t>
      </w:r>
    </w:p>
    <w:p w14:paraId="3FDD5CAC" w14:textId="4900E915" w:rsidR="00731FB1" w:rsidRPr="00B357F4" w:rsidRDefault="736435A4" w:rsidP="00731FB1">
      <w:pPr>
        <w:spacing w:after="0"/>
      </w:pPr>
      <w:r w:rsidRPr="00B357F4">
        <w:t xml:space="preserve">Javni pozivi su raspisani na način da se dodjeljuju sredstva korisniku za projekt cjelovite obnove (po načinu build back better - BBB). Vraćanje u ispravno radno stanje prepoznaje se kao postotni udio u projektu cjelovite obnove. Ostatak projekta uključujući </w:t>
      </w:r>
      <w:r w:rsidR="00B35B4E">
        <w:t>protupotresno pojačanje</w:t>
      </w:r>
      <w:r w:rsidR="00B13085">
        <w:t xml:space="preserve"> zgrade</w:t>
      </w:r>
      <w:r w:rsidRPr="00B357F4">
        <w:t xml:space="preserve"> i poboljšanje energetske učinkovitosti objekta se financira kroz NPOO</w:t>
      </w:r>
      <w:r w:rsidR="00C75C12">
        <w:t xml:space="preserve"> ili drugih izvora</w:t>
      </w:r>
      <w:r w:rsidRPr="00B357F4">
        <w:t xml:space="preserve">. Za sve objekte javne namjene trebala bi se provesti cjelovita obnova sukladno Zakonu o obnovi. Javni pozivi za određene kategorije (obrazovanje, zdravstvo, kultura itd.) su </w:t>
      </w:r>
      <w:r w:rsidR="007F7769">
        <w:t>u fazi provedbe</w:t>
      </w:r>
      <w:r w:rsidR="00DF274F">
        <w:t>.</w:t>
      </w:r>
      <w:r w:rsidR="007F7769">
        <w:t xml:space="preserve"> </w:t>
      </w:r>
      <w:r w:rsidRPr="00B357F4">
        <w:t xml:space="preserve">Pitanje razgraničenja prihvatljivih troškova FSEU-a i </w:t>
      </w:r>
      <w:r w:rsidR="00113906">
        <w:t xml:space="preserve">Mehanizma za oporavak i otpornost </w:t>
      </w:r>
      <w:r w:rsidRPr="00B357F4">
        <w:t>(kroz NPOO) proizlazi iz prirode FSEU-a kao interventnog fonda</w:t>
      </w:r>
      <w:r w:rsidR="3AB94C7C" w:rsidRPr="00B357F4">
        <w:t xml:space="preserve"> koji</w:t>
      </w:r>
      <w:r w:rsidRPr="00B357F4">
        <w:t xml:space="preserve"> financira samo troškove vraćanja u stanje prije potresa. Sukladno Zakonu</w:t>
      </w:r>
      <w:r w:rsidR="00AF1593">
        <w:t xml:space="preserve"> o obnovi</w:t>
      </w:r>
      <w:r w:rsidRPr="00B357F4">
        <w:t>, javni pozivi traže cjelovitu obnovu, a dodatnim dopunama poziva osigurava se smanjen</w:t>
      </w:r>
      <w:r w:rsidR="00915E55">
        <w:t>j</w:t>
      </w:r>
      <w:r w:rsidRPr="00B357F4">
        <w:t xml:space="preserve">e energetskih potreba i </w:t>
      </w:r>
      <w:r w:rsidR="4949F3D2" w:rsidRPr="00B357F4">
        <w:t>uštede u godišnjoj potrebnoj toplinskoj</w:t>
      </w:r>
      <w:r w:rsidRPr="00B357F4">
        <w:t xml:space="preserve"> energij</w:t>
      </w:r>
      <w:r w:rsidR="02552CCE" w:rsidRPr="00B357F4">
        <w:t>i</w:t>
      </w:r>
      <w:r w:rsidRPr="00B357F4">
        <w:t xml:space="preserve"> za grijanje (Qhnd) od minimalnih 50% u </w:t>
      </w:r>
      <w:r w:rsidR="32091AD6" w:rsidRPr="00B357F4">
        <w:t>ZJS</w:t>
      </w:r>
      <w:r w:rsidR="00D81859">
        <w:t xml:space="preserve"> </w:t>
      </w:r>
      <w:r w:rsidR="00D81859" w:rsidRPr="00D81859">
        <w:t>čim</w:t>
      </w:r>
      <w:r w:rsidR="00D81859">
        <w:t>e</w:t>
      </w:r>
      <w:r w:rsidR="00D81859" w:rsidRPr="00D81859">
        <w:t xml:space="preserve"> će se osigurati 3</w:t>
      </w:r>
      <w:r w:rsidR="00D81859">
        <w:t>0</w:t>
      </w:r>
      <w:r w:rsidR="00D81859" w:rsidRPr="00D81859">
        <w:t>% ušteda primarne</w:t>
      </w:r>
      <w:r w:rsidR="00FD7CA8">
        <w:t xml:space="preserve"> energije</w:t>
      </w:r>
      <w:r w:rsidR="00D81859" w:rsidRPr="00D81859">
        <w:t xml:space="preserve"> na razini cijele investicije</w:t>
      </w:r>
      <w:r w:rsidR="00FD7CA8">
        <w:t>.</w:t>
      </w:r>
    </w:p>
    <w:p w14:paraId="7988B0D0" w14:textId="5320FA0D" w:rsidR="00731FB1" w:rsidRPr="006734C7" w:rsidRDefault="00B75A4B" w:rsidP="00061655">
      <w:pPr>
        <w:spacing w:after="0"/>
        <w:rPr>
          <w:b/>
        </w:rPr>
      </w:pPr>
      <w:r>
        <w:t>Javnim pozivima je osigurano da se na nivou svakog projekta obnove zgrade jasno razgraniče udjeli prihvatljivih troškova iz FSEU i NPOO.</w:t>
      </w:r>
      <w:r w:rsidR="00D36E7C">
        <w:t xml:space="preserve"> </w:t>
      </w:r>
      <w:r w:rsidR="00731FB1" w:rsidRPr="00B357F4">
        <w:t xml:space="preserve">Udio u financiranju iz FSEU i </w:t>
      </w:r>
      <w:r w:rsidR="00113906">
        <w:t>NPOO</w:t>
      </w:r>
      <w:r w:rsidR="00113906" w:rsidRPr="00B357F4">
        <w:t xml:space="preserve"> </w:t>
      </w:r>
      <w:r w:rsidR="00731FB1" w:rsidRPr="00B357F4">
        <w:t xml:space="preserve">je varijabilan ovisno o stupnju oštećenja objekta, prirodi oštećenja i drugim specifičnostima objekta, stoga se precizna razdjela troškova može potvrditi </w:t>
      </w:r>
      <w:r w:rsidR="00FE352A">
        <w:t>u projektu</w:t>
      </w:r>
      <w:r w:rsidR="00731FB1" w:rsidRPr="00B357F4">
        <w:t>.</w:t>
      </w:r>
      <w:r w:rsidR="00237A06" w:rsidRPr="00237A06">
        <w:t xml:space="preserve"> </w:t>
      </w:r>
      <w:r w:rsidR="00237A06">
        <w:t>K</w:t>
      </w:r>
      <w:r w:rsidR="00237A06" w:rsidRPr="00B357F4">
        <w:t>ako bi se postigao sinergijski efekt iz predviđenih programa sufinanciranja</w:t>
      </w:r>
      <w:r w:rsidR="00237A06">
        <w:t>,</w:t>
      </w:r>
      <w:r w:rsidR="00FE352A">
        <w:t xml:space="preserve"> ključno</w:t>
      </w:r>
      <w:r w:rsidR="005D592B" w:rsidRPr="00B357F4">
        <w:t xml:space="preserve"> je</w:t>
      </w:r>
      <w:r w:rsidR="00EA23F7" w:rsidRPr="00B357F4">
        <w:t xml:space="preserve"> uskladiti </w:t>
      </w:r>
      <w:r w:rsidR="00CB6885" w:rsidRPr="00B357F4">
        <w:t>navedene izvore te dinamiku ugovaranja i provedbe</w:t>
      </w:r>
      <w:r w:rsidR="00AC13E7" w:rsidRPr="00B357F4">
        <w:t>.</w:t>
      </w:r>
    </w:p>
    <w:p w14:paraId="22518C17" w14:textId="315137A4" w:rsidR="000168ED" w:rsidRPr="00B357F4" w:rsidRDefault="000168ED" w:rsidP="000168ED">
      <w:pPr>
        <w:spacing w:after="0"/>
      </w:pPr>
      <w:r w:rsidRPr="00203A80">
        <w:t>Detaljnija analiza potrebnih investicija u energetsku obnovu zgrada javnog sektora je dana u poglavlju 8</w:t>
      </w:r>
      <w:r w:rsidRPr="00A67250">
        <w:t xml:space="preserve">, no razvidno je kako su sredstva dostupna kroz različite EU sufinancirane programe i fondove nedovoljna za pokrivanje potreba </w:t>
      </w:r>
      <w:r w:rsidR="00906294">
        <w:t>pa</w:t>
      </w:r>
      <w:r w:rsidR="00906294" w:rsidRPr="00A67250">
        <w:t xml:space="preserve"> </w:t>
      </w:r>
      <w:r w:rsidRPr="00A67250">
        <w:t>je stoga potrebno mobi</w:t>
      </w:r>
      <w:r w:rsidRPr="00971F9E">
        <w:t xml:space="preserve">lizirati i privatni kapital kako bi se ostvarila željena godišnja stopa energetske obnove zgrada javnog sektora. </w:t>
      </w:r>
      <w:r w:rsidR="00A16F02">
        <w:t xml:space="preserve">Nedavno pokrenut </w:t>
      </w:r>
      <w:r w:rsidR="00A16F02" w:rsidRPr="00737C39">
        <w:t xml:space="preserve">program za poboljšanje upravljanja nekretninama u državnom vlasništvu </w:t>
      </w:r>
      <w:r w:rsidR="00A16F02">
        <w:t xml:space="preserve">podržan od strane </w:t>
      </w:r>
      <w:r w:rsidR="00A16F02" w:rsidRPr="00E250BF">
        <w:t>Europsk</w:t>
      </w:r>
      <w:r w:rsidR="00A16F02">
        <w:t>e</w:t>
      </w:r>
      <w:r w:rsidR="00A16F02" w:rsidRPr="00E250BF">
        <w:t xml:space="preserve"> bank</w:t>
      </w:r>
      <w:r w:rsidR="00A16F02">
        <w:t>e</w:t>
      </w:r>
      <w:r w:rsidR="00A16F02" w:rsidRPr="00E250BF">
        <w:t xml:space="preserve"> za obnovu i razvoj (EBRD) u suradnji s Glavnom upravom Europske komisije za potporu strukturnim reformama (DG REFORM) </w:t>
      </w:r>
      <w:r w:rsidR="00A16F02">
        <w:t>doprinijet će provedbi ovog Programa te omogućiti učinkovitije upravljanje nekretninama</w:t>
      </w:r>
      <w:r w:rsidR="00A16F02" w:rsidRPr="00E250BF">
        <w:t>.</w:t>
      </w:r>
      <w:r w:rsidR="00A16F02">
        <w:t xml:space="preserve"> </w:t>
      </w:r>
      <w:r w:rsidRPr="00971F9E">
        <w:t xml:space="preserve">S obzirom na provedenu </w:t>
      </w:r>
      <w:r w:rsidRPr="00971F9E">
        <w:lastRenderedPageBreak/>
        <w:t>analizu te uočen financijski jaz, Programom se predlaže nekoliko modela kojima bi se adresirao izazov financiranja energ</w:t>
      </w:r>
      <w:r w:rsidRPr="00B357F4">
        <w:t xml:space="preserve">etske obnove i mjera energetske učinkovitosti. </w:t>
      </w:r>
    </w:p>
    <w:p w14:paraId="657B1991" w14:textId="71A902B6" w:rsidR="00F211F1" w:rsidRPr="00B357F4" w:rsidRDefault="00493558" w:rsidP="00F211F1">
      <w:pPr>
        <w:spacing w:after="0"/>
      </w:pPr>
      <w:r>
        <w:t>Trenutno dostupni i</w:t>
      </w:r>
      <w:r w:rsidR="00F211F1" w:rsidRPr="00B357F4">
        <w:t>zvori financiranja u obliku bespovratnih sredstava su nedostatni za financiranje projekata energetske obnove na razini kojom bi se postigli postavljeni energetski i klimatski ciljevi te je stoga potrebna mobilizacija dodatnih sredstava u obliku financijskih instrumenata koji se mogu koristiti kao zajmovi, jamstva ili drugih mehanizama (Ugovor o energetskom učinku, javno-privatno partnerstvo</w:t>
      </w:r>
      <w:r w:rsidR="001F5E2D">
        <w:t xml:space="preserve"> (JPP)</w:t>
      </w:r>
      <w:r w:rsidR="00F211F1" w:rsidRPr="00B357F4">
        <w:t xml:space="preserve">).  </w:t>
      </w:r>
    </w:p>
    <w:p w14:paraId="3E90AFBC" w14:textId="761C2A6D" w:rsidR="00F211F1" w:rsidRPr="00B357F4" w:rsidRDefault="00F211F1" w:rsidP="00F211F1">
      <w:pPr>
        <w:spacing w:after="0"/>
      </w:pPr>
      <w:r w:rsidRPr="00B357F4">
        <w:t xml:space="preserve">Jamstveni program – neovisno o modelu financiranja kao i korisniku sredstava (javni sektor, ESCO firma ili </w:t>
      </w:r>
      <w:r w:rsidR="001F5E2D">
        <w:t>d</w:t>
      </w:r>
      <w:r w:rsidR="00E3061C">
        <w:t>ruštvo posebne namjene</w:t>
      </w:r>
      <w:r w:rsidR="00E3061C" w:rsidRPr="00B357F4">
        <w:t xml:space="preserve"> </w:t>
      </w:r>
      <w:r w:rsidRPr="00B357F4">
        <w:t>u JPP modelu nabav</w:t>
      </w:r>
      <w:r w:rsidR="001F5E2D">
        <w:t>e</w:t>
      </w:r>
      <w:r w:rsidRPr="00B357F4">
        <w:t>) služi kao poluga u službi smanjenja potreba osiguranja kolaterala u slučaju financiranja vlastite komponente putem zajma (komercijalno dostupnih kredita, HBOR i drugih financijskih institucija).</w:t>
      </w:r>
    </w:p>
    <w:p w14:paraId="53AAA70F" w14:textId="4EC39784" w:rsidR="007F70A3" w:rsidRPr="00B357F4" w:rsidRDefault="7FF24299" w:rsidP="00C37561">
      <w:pPr>
        <w:pStyle w:val="Naslov30"/>
      </w:pPr>
      <w:bookmarkStart w:id="110" w:name="_Toc94769995"/>
      <w:r w:rsidRPr="00B357F4">
        <w:t>Tradicionaln</w:t>
      </w:r>
      <w:r w:rsidR="00AC6BC9">
        <w:t>i oblici</w:t>
      </w:r>
      <w:r w:rsidRPr="00B357F4">
        <w:t xml:space="preserve"> financiranj</w:t>
      </w:r>
      <w:r w:rsidR="00AC6BC9">
        <w:t>a</w:t>
      </w:r>
      <w:bookmarkEnd w:id="110"/>
    </w:p>
    <w:p w14:paraId="76CE22D1" w14:textId="3573AE61" w:rsidR="007F70A3" w:rsidRPr="00B357F4" w:rsidRDefault="007F70A3" w:rsidP="007F70A3">
      <w:pPr>
        <w:spacing w:after="0"/>
      </w:pPr>
      <w:r w:rsidRPr="00B357F4">
        <w:t>U postupku tradicionalnog</w:t>
      </w:r>
      <w:r w:rsidR="00CA106C">
        <w:t xml:space="preserve"> oblika</w:t>
      </w:r>
      <w:r w:rsidRPr="00B357F4">
        <w:t xml:space="preserve"> financiranja energetske obnove javni sektor u zasebnim postupcima javne nabave nabavlja projektiranje, izvođenje radova, upravljanje projektom gradnje te osigurava financiranje. Nakon dovršetka radova energetske obnove, javni sektor samostalno upravlja održavanjem građevine u razdoblju uporabe te snosi troškove održavanja. Za namirenje predmetnih troškova energetske obnove, Naručitelj iz javnog sektora osigurava sredstva u proračunu ili se zadužuje. Navedeni model realizacije projekta predstavlja zaduženje za naručitelja i ulazi u javni dug Republike Hrvatske.</w:t>
      </w:r>
    </w:p>
    <w:p w14:paraId="610E3965" w14:textId="77777777" w:rsidR="007F70A3" w:rsidRPr="00B357F4" w:rsidRDefault="007F70A3" w:rsidP="007F70A3">
      <w:pPr>
        <w:spacing w:after="0"/>
        <w:rPr>
          <w:b/>
        </w:rPr>
      </w:pPr>
      <w:r w:rsidRPr="00B357F4">
        <w:rPr>
          <w:b/>
        </w:rPr>
        <w:t>Izvori financiranja</w:t>
      </w:r>
    </w:p>
    <w:p w14:paraId="24C64A56" w14:textId="001C0A4B" w:rsidR="007F2CAE" w:rsidRDefault="007F70A3">
      <w:pPr>
        <w:spacing w:after="0"/>
      </w:pPr>
      <w:r w:rsidRPr="00B357F4">
        <w:t>Tradicionaln</w:t>
      </w:r>
      <w:r w:rsidR="00CA106C">
        <w:t>i oblik</w:t>
      </w:r>
      <w:r w:rsidRPr="00B357F4">
        <w:t xml:space="preserve"> financiranj</w:t>
      </w:r>
      <w:r w:rsidR="00CA106C">
        <w:t>a</w:t>
      </w:r>
      <w:r w:rsidRPr="00B357F4">
        <w:t xml:space="preserve"> pretpostavlja korištenje vlastitih sredstava ili zajma (komercijalno dostupnih kredita) i primjenjivo je za sve projekte (neovisno ostvaruju li isti veće energetske uštede). </w:t>
      </w:r>
      <w:r w:rsidR="00301F13" w:rsidRPr="00B357F4">
        <w:t xml:space="preserve">U ovom modelu </w:t>
      </w:r>
      <w:r w:rsidR="009867F2">
        <w:t xml:space="preserve">pretpostavljeno je korištenje bespovratnih sredstava iz NPOO-a i VFO-a u kombinaciji s </w:t>
      </w:r>
      <w:r w:rsidR="000E482E">
        <w:t xml:space="preserve">vlastitim sredstvima ili zajmovima, bilo od strane komercijalne banke ili HBOR-a. </w:t>
      </w:r>
    </w:p>
    <w:p w14:paraId="63F4B248" w14:textId="759F0EB9" w:rsidR="007F70A3" w:rsidRPr="006734C7" w:rsidRDefault="006F5AED">
      <w:pPr>
        <w:spacing w:after="0"/>
        <w:rPr>
          <w:b/>
        </w:rPr>
      </w:pPr>
      <w:r>
        <w:t xml:space="preserve">S obzirom na izmjene </w:t>
      </w:r>
      <w:r w:rsidR="005C5B23" w:rsidRPr="005C5B23">
        <w:t>Uredbe o zajedničkim odredbama</w:t>
      </w:r>
      <w:r w:rsidR="00AA3719">
        <w:rPr>
          <w:rStyle w:val="Referencafusnote"/>
        </w:rPr>
        <w:footnoteReference w:id="11"/>
      </w:r>
      <w:r w:rsidR="00DF7D46">
        <w:t xml:space="preserve">, </w:t>
      </w:r>
      <w:r w:rsidR="00D724C5">
        <w:t xml:space="preserve">programsku potporu u obliku bespovratnih sredstava </w:t>
      </w:r>
      <w:r w:rsidR="00B957C9">
        <w:t>iz VFO</w:t>
      </w:r>
      <w:r w:rsidR="008858DB">
        <w:t>-a</w:t>
      </w:r>
      <w:r w:rsidR="00E66116">
        <w:t xml:space="preserve"> moguće je </w:t>
      </w:r>
      <w:r w:rsidR="00225D9C">
        <w:t>kombinirati s</w:t>
      </w:r>
      <w:r w:rsidR="00EC5A15">
        <w:t xml:space="preserve"> financijskim instrumentima</w:t>
      </w:r>
      <w:r w:rsidR="00225D9C">
        <w:t xml:space="preserve"> u operaciji</w:t>
      </w:r>
      <w:r w:rsidR="00C53B42">
        <w:t xml:space="preserve"> </w:t>
      </w:r>
      <w:r w:rsidR="00225D9C">
        <w:t>jedinstvenog financijskog instrumenta, u okviru jedinstvenog sporazuma o financiranju, ako oba različita oblika potpore</w:t>
      </w:r>
      <w:r w:rsidR="00C53B42">
        <w:t xml:space="preserve"> </w:t>
      </w:r>
      <w:r w:rsidR="00225D9C">
        <w:t>pruža tijelo koje provodi financijski instrument</w:t>
      </w:r>
      <w:r w:rsidR="00C53B42">
        <w:t xml:space="preserve">. </w:t>
      </w:r>
      <w:r w:rsidR="00747DA9">
        <w:t xml:space="preserve">Ovim izmjenama </w:t>
      </w:r>
      <w:r w:rsidR="00051A24">
        <w:t>upravljačkim tij</w:t>
      </w:r>
      <w:r w:rsidR="003322C8">
        <w:t xml:space="preserve">elima </w:t>
      </w:r>
      <w:r w:rsidR="007347F2">
        <w:t xml:space="preserve">nadležnima za sredstva iz VFO </w:t>
      </w:r>
      <w:r w:rsidR="003322C8">
        <w:t xml:space="preserve">u zemljama </w:t>
      </w:r>
      <w:r w:rsidR="00B362CD">
        <w:t>članicama</w:t>
      </w:r>
      <w:r w:rsidR="00985CA7">
        <w:t>, kao i tijelima koje je upravljačko tijelo odabralo za provedbu financ</w:t>
      </w:r>
      <w:r w:rsidR="00F4255D">
        <w:t>ijskog instrumenta</w:t>
      </w:r>
      <w:r w:rsidR="00B362CD">
        <w:t xml:space="preserve"> </w:t>
      </w:r>
      <w:r w:rsidR="00BC0C4F">
        <w:t>omogućeno je</w:t>
      </w:r>
      <w:r w:rsidR="003E54EA">
        <w:t xml:space="preserve"> pru</w:t>
      </w:r>
      <w:r w:rsidR="006C6B05">
        <w:t>žanje zajmova ili jamstava u kombinaciji s bespovratnim sredstvima</w:t>
      </w:r>
      <w:r w:rsidR="0077066E">
        <w:t xml:space="preserve"> te</w:t>
      </w:r>
      <w:r w:rsidR="00C20D46">
        <w:t xml:space="preserve"> eventualno </w:t>
      </w:r>
      <w:r w:rsidR="00C20D46" w:rsidRPr="006734C7">
        <w:t>umanjenje glavnice korištenjem tzv. capital rebate sheme</w:t>
      </w:r>
      <w:r w:rsidR="007F70A3" w:rsidRPr="00373352">
        <w:t>.</w:t>
      </w:r>
      <w:r w:rsidR="00E11044">
        <w:t xml:space="preserve"> </w:t>
      </w:r>
    </w:p>
    <w:p w14:paraId="3D68690B" w14:textId="28BA1916" w:rsidR="007F70A3" w:rsidRPr="00203A80" w:rsidRDefault="006A6585" w:rsidP="007F70A3">
      <w:pPr>
        <w:spacing w:after="0"/>
      </w:pPr>
      <w:r>
        <w:t>S obzirom na r</w:t>
      </w:r>
      <w:r w:rsidR="00E0781B">
        <w:t>azličit</w:t>
      </w:r>
      <w:r>
        <w:t>e</w:t>
      </w:r>
      <w:r w:rsidR="00E0781B">
        <w:t xml:space="preserve"> izvor</w:t>
      </w:r>
      <w:r>
        <w:t>e</w:t>
      </w:r>
      <w:r w:rsidR="00E0781B">
        <w:t xml:space="preserve"> bespovratnih sredstva </w:t>
      </w:r>
      <w:r>
        <w:t>u ovome modelu</w:t>
      </w:r>
      <w:r w:rsidR="00A12A34">
        <w:t>, potrebno</w:t>
      </w:r>
      <w:r w:rsidR="004C2503">
        <w:t xml:space="preserve"> </w:t>
      </w:r>
      <w:r w:rsidR="00A12A34">
        <w:t xml:space="preserve">je </w:t>
      </w:r>
      <w:r w:rsidR="004C2503">
        <w:t>p</w:t>
      </w:r>
      <w:r w:rsidR="00A12A34">
        <w:t xml:space="preserve">lanirati </w:t>
      </w:r>
      <w:r w:rsidR="004C2503">
        <w:t>najprikladnije</w:t>
      </w:r>
      <w:r w:rsidR="00A12A34">
        <w:t xml:space="preserve"> izvore ulaganja</w:t>
      </w:r>
      <w:r w:rsidR="002513DA">
        <w:t xml:space="preserve"> </w:t>
      </w:r>
      <w:r w:rsidR="002B6D8B">
        <w:t xml:space="preserve">za </w:t>
      </w:r>
      <w:r w:rsidR="00A12A34">
        <w:t>pojedine aktivnosti</w:t>
      </w:r>
      <w:r w:rsidR="004B0D50">
        <w:t xml:space="preserve"> te razgraničiti ulaganja iz NPOO-a i VFO-a</w:t>
      </w:r>
      <w:r w:rsidR="00A12A34">
        <w:t>, pri čemu će</w:t>
      </w:r>
      <w:r w:rsidR="002B6D8B">
        <w:t xml:space="preserve"> </w:t>
      </w:r>
      <w:r w:rsidR="004C2503">
        <w:t>m</w:t>
      </w:r>
      <w:r w:rsidR="00583857" w:rsidRPr="00583857">
        <w:t>inistarstvo nadležno za poslove graditeljstva</w:t>
      </w:r>
      <w:r w:rsidR="006F7749">
        <w:t xml:space="preserve"> ima</w:t>
      </w:r>
      <w:r w:rsidR="004C2503">
        <w:t xml:space="preserve">ti različite uloge: </w:t>
      </w:r>
      <w:r w:rsidR="006F7749">
        <w:t>koor</w:t>
      </w:r>
      <w:r w:rsidR="006552E9">
        <w:t>dinacijsko tijel</w:t>
      </w:r>
      <w:r w:rsidR="00C86C0E">
        <w:t>o</w:t>
      </w:r>
      <w:r w:rsidR="006552E9">
        <w:t xml:space="preserve"> za sredstva iz Fond</w:t>
      </w:r>
      <w:r w:rsidR="00BF4B9F">
        <w:t>a</w:t>
      </w:r>
      <w:r w:rsidR="006552E9">
        <w:t xml:space="preserve"> solidarnosti</w:t>
      </w:r>
      <w:r w:rsidR="7FF24299" w:rsidRPr="006734C7">
        <w:t xml:space="preserve">, </w:t>
      </w:r>
      <w:r w:rsidR="00B80F8C" w:rsidRPr="00B80F8C">
        <w:t>nadležno tijel</w:t>
      </w:r>
      <w:r w:rsidR="004B0D50">
        <w:t>o</w:t>
      </w:r>
      <w:r w:rsidR="00B80F8C" w:rsidRPr="00B80F8C">
        <w:t xml:space="preserve"> državne uprave za komponentu NPOO</w:t>
      </w:r>
      <w:r w:rsidR="00B80F8C">
        <w:t>-a</w:t>
      </w:r>
      <w:r w:rsidR="00B80F8C" w:rsidRPr="00B80F8C">
        <w:t xml:space="preserve">, </w:t>
      </w:r>
      <w:r w:rsidR="00AD42FB">
        <w:t>p</w:t>
      </w:r>
      <w:r w:rsidR="00AD42FB" w:rsidRPr="00AD42FB">
        <w:t xml:space="preserve">rovedbeno tijelo za pojedine investicije iz NPOO-a </w:t>
      </w:r>
      <w:r w:rsidR="00B80F8C" w:rsidRPr="00B80F8C">
        <w:t xml:space="preserve">te </w:t>
      </w:r>
      <w:r w:rsidR="00B80F8C">
        <w:t>posredničko tijel</w:t>
      </w:r>
      <w:r w:rsidR="004B0D50">
        <w:t>o</w:t>
      </w:r>
      <w:r w:rsidR="00B80F8C" w:rsidRPr="00B80F8C">
        <w:t xml:space="preserve"> za VFO.</w:t>
      </w:r>
      <w:r w:rsidR="7FF24299" w:rsidRPr="006734C7">
        <w:t xml:space="preserve"> </w:t>
      </w:r>
    </w:p>
    <w:p w14:paraId="69F012C7" w14:textId="28A366EA" w:rsidR="007F70A3" w:rsidRPr="00B357F4" w:rsidRDefault="7FF24299" w:rsidP="002B2BC2">
      <w:pPr>
        <w:spacing w:after="0"/>
        <w:rPr>
          <w:b/>
        </w:rPr>
      </w:pPr>
      <w:r w:rsidRPr="00A67250">
        <w:t xml:space="preserve">Kroz </w:t>
      </w:r>
      <w:r w:rsidR="008C23C0">
        <w:t xml:space="preserve">komponentu NPOO-a </w:t>
      </w:r>
      <w:r w:rsidR="00594CED">
        <w:t xml:space="preserve">i </w:t>
      </w:r>
      <w:r w:rsidR="008C23C0" w:rsidRPr="008C23C0">
        <w:t>investicij</w:t>
      </w:r>
      <w:r w:rsidR="008C23C0">
        <w:t>u</w:t>
      </w:r>
      <w:r w:rsidR="008C23C0" w:rsidRPr="008C23C0">
        <w:t xml:space="preserve"> C6.1. R1-I1 Energetska obnova zgrada </w:t>
      </w:r>
      <w:r w:rsidRPr="006734C7">
        <w:t xml:space="preserve">prvenstveno će se financirati energetska obnova zgrada </w:t>
      </w:r>
      <w:r w:rsidR="00594CED">
        <w:t>neoštećenih u potresu</w:t>
      </w:r>
      <w:r w:rsidRPr="006734C7">
        <w:t xml:space="preserve"> koje već imaju izrađen glavni</w:t>
      </w:r>
      <w:r w:rsidRPr="00373352">
        <w:t xml:space="preserve"> projekt energetske obnove </w:t>
      </w:r>
      <w:r w:rsidR="00594CED">
        <w:t xml:space="preserve">te doprinose </w:t>
      </w:r>
      <w:r w:rsidR="00594CED" w:rsidRPr="00594CED">
        <w:t>ostvarenju ušteda godišnje primarne energije na razini komponente</w:t>
      </w:r>
      <w:r w:rsidRPr="00373352">
        <w:t>, a sve sukladno prioritetima definiranim</w:t>
      </w:r>
      <w:r w:rsidR="00583857">
        <w:t>a</w:t>
      </w:r>
      <w:r w:rsidRPr="00373352">
        <w:t xml:space="preserve"> </w:t>
      </w:r>
      <w:r w:rsidR="00583857">
        <w:t>u</w:t>
      </w:r>
      <w:r w:rsidRPr="00373352">
        <w:t xml:space="preserve"> poglavlj</w:t>
      </w:r>
      <w:r w:rsidR="00583857">
        <w:t>u</w:t>
      </w:r>
      <w:r w:rsidRPr="00373352">
        <w:t xml:space="preserve"> 6. ovog Programa. Posebnu pozornost u dodjeli sredstava (bodovanju prijava) dat će se sveobuhvatnoj obnovi kojom su uključene mjere poboljša</w:t>
      </w:r>
      <w:r w:rsidRPr="00203A80">
        <w:t xml:space="preserve">nja postojećeg stanja zgrade te osim mjera energetske obnove zgrade uključuje i mjere poput povećanja sigurnosti u slučaju požara, mjere za osiguravanje zdravih i unutarnjih klimatskih uvjeta, mjere za unapređenje mehaničke otpornosti i stabilnosti zgrade </w:t>
      </w:r>
      <w:r w:rsidRPr="00971F9E">
        <w:t xml:space="preserve">- posebice radi </w:t>
      </w:r>
      <w:r w:rsidR="0E2D117B" w:rsidRPr="00B357F4">
        <w:t>povećanja potresne otpornosti zgrade</w:t>
      </w:r>
      <w:r w:rsidRPr="00B357F4">
        <w:t xml:space="preserve"> i drugih mjera kojima se poboljšavaju temeljni zahtjevi za građevinu.</w:t>
      </w:r>
    </w:p>
    <w:p w14:paraId="2AB9C74E" w14:textId="5207A74E" w:rsidR="007F70A3" w:rsidRPr="00B357F4" w:rsidRDefault="003F08A7" w:rsidP="00F90684">
      <w:pPr>
        <w:pStyle w:val="Naslov30"/>
      </w:pPr>
      <w:bookmarkStart w:id="111" w:name="_Toc94769996"/>
      <w:r w:rsidRPr="00B357F4">
        <w:t>Financiranje putem ESCO modela</w:t>
      </w:r>
      <w:bookmarkEnd w:id="111"/>
    </w:p>
    <w:p w14:paraId="341FCDE8" w14:textId="77777777" w:rsidR="007F70A3" w:rsidRPr="00B357F4" w:rsidRDefault="007F70A3" w:rsidP="007F70A3">
      <w:pPr>
        <w:spacing w:after="0"/>
      </w:pPr>
      <w:r w:rsidRPr="00B357F4">
        <w:t>Ugovor o energetskom učinku temelji se na zajamčenim rezultatima ušteda. Osnovni principi ovog modela su sljedeći:</w:t>
      </w:r>
    </w:p>
    <w:p w14:paraId="432B1D90" w14:textId="77777777" w:rsidR="007F70A3" w:rsidRPr="00B357F4" w:rsidRDefault="678F005C" w:rsidP="00725AB0">
      <w:pPr>
        <w:pStyle w:val="Odlomakpopisa"/>
        <w:keepLines w:val="0"/>
        <w:numPr>
          <w:ilvl w:val="0"/>
          <w:numId w:val="43"/>
        </w:numPr>
        <w:suppressAutoHyphens w:val="0"/>
        <w:spacing w:before="0" w:after="0"/>
        <w:contextualSpacing/>
      </w:pPr>
      <w:r w:rsidRPr="00B357F4">
        <w:lastRenderedPageBreak/>
        <w:t>mjere kojima se ostvaruju uštede financiraju se kroz ostvarene uštede bez dodatnih troškova za naručitelja energetske usluge,</w:t>
      </w:r>
    </w:p>
    <w:p w14:paraId="681A06CF" w14:textId="77777777" w:rsidR="007F70A3" w:rsidRPr="00B357F4" w:rsidRDefault="678F005C" w:rsidP="00725AB0">
      <w:pPr>
        <w:pStyle w:val="Odlomakpopisa"/>
        <w:keepLines w:val="0"/>
        <w:numPr>
          <w:ilvl w:val="0"/>
          <w:numId w:val="43"/>
        </w:numPr>
        <w:suppressAutoHyphens w:val="0"/>
        <w:spacing w:before="0" w:after="0"/>
        <w:contextualSpacing/>
      </w:pPr>
      <w:r w:rsidRPr="00B357F4">
        <w:t xml:space="preserve">mjere kojima se ostvaruju skromnije uštede ili kojima se ne ostvaruju energetske uštede i ne mogu se financirati iz ušteda, </w:t>
      </w:r>
      <w:r w:rsidR="00E946EC">
        <w:t>su</w:t>
      </w:r>
      <w:r w:rsidRPr="00B357F4">
        <w:t>financiraju se grant komponentom,</w:t>
      </w:r>
    </w:p>
    <w:p w14:paraId="498429CF" w14:textId="29E1AE94" w:rsidR="007F70A3" w:rsidRPr="006734C7" w:rsidRDefault="678F005C" w:rsidP="00725AB0">
      <w:pPr>
        <w:pStyle w:val="Odlomakpopisa"/>
        <w:keepLines w:val="0"/>
        <w:numPr>
          <w:ilvl w:val="0"/>
          <w:numId w:val="43"/>
        </w:numPr>
        <w:suppressAutoHyphens w:val="0"/>
        <w:spacing w:before="0" w:after="0"/>
        <w:contextualSpacing/>
      </w:pPr>
      <w:r w:rsidRPr="00B357F4">
        <w:t>u svrhu realizacije projekta ESCO tvrtka, odnosno pružatelj energetske usluge, preuzima većinu povezanih rizika</w:t>
      </w:r>
      <w:r w:rsidR="00E946EC">
        <w:t xml:space="preserve"> i koristi</w:t>
      </w:r>
      <w:r w:rsidRPr="00B357F4">
        <w:t>.</w:t>
      </w:r>
    </w:p>
    <w:p w14:paraId="5444BFC0" w14:textId="744A5D26" w:rsidR="00D91EBD" w:rsidRPr="00A67250" w:rsidRDefault="007F70A3" w:rsidP="00D91EBD">
      <w:pPr>
        <w:spacing w:after="0"/>
      </w:pPr>
      <w:r w:rsidRPr="00203A80">
        <w:t>Bitni elementi ESCO Ugovor</w:t>
      </w:r>
      <w:r w:rsidRPr="00A67250">
        <w:t xml:space="preserve">a odnose se na procjenu osnovne potrošnje energije, definiranju zajamčene uštede te procjenu režima rada građevine ili opreme. Temeljem ostvarenih ušteda  u ugovornom razdoblju pružatelj usluga će u jednakim ratama fakturirati naknadu </w:t>
      </w:r>
      <w:r w:rsidR="00E946EC">
        <w:t>za ostvarene uštede energije po njihovom neospornom ostvarenju, a troškovi provedbe mjera, uključujući i financiranje, teret su pružatelja energetske usluge.</w:t>
      </w:r>
      <w:r w:rsidRPr="006734C7">
        <w:t xml:space="preserve"> U periodu uštede energije pružatelj energetske usluge je odgovoran za učinkoviti rad ugrađene opreme odnosno kvalitetu izvedenih radova. Ukoliko tijekom uporabe dođe do odstupanja između </w:t>
      </w:r>
      <w:r w:rsidR="00D91EBD" w:rsidRPr="006734C7">
        <w:t>zajamčenih i ostvareni</w:t>
      </w:r>
      <w:r w:rsidR="00D91EBD" w:rsidRPr="00203A80">
        <w:t>h ušteda</w:t>
      </w:r>
      <w:r w:rsidR="00594CED">
        <w:t>, n</w:t>
      </w:r>
      <w:r w:rsidR="00594CED" w:rsidRPr="00594CED">
        <w:t>eostvarenje zajamčene uštede ide na teret pružatelja usluge u slučaju ako je krivnja za neostvarenje zajamčene uštede na strani pružatelja</w:t>
      </w:r>
      <w:r w:rsidR="00B60BCA">
        <w:t xml:space="preserve"> usluge</w:t>
      </w:r>
      <w:r w:rsidR="00D91EBD" w:rsidRPr="00203A80">
        <w:t>.</w:t>
      </w:r>
    </w:p>
    <w:p w14:paraId="4DE7E76D" w14:textId="77777777" w:rsidR="007F70A3" w:rsidRPr="00CC7282" w:rsidRDefault="007F70A3" w:rsidP="007F70A3">
      <w:pPr>
        <w:spacing w:after="0"/>
        <w:rPr>
          <w:b/>
        </w:rPr>
      </w:pPr>
      <w:r w:rsidRPr="005233CF">
        <w:rPr>
          <w:b/>
        </w:rPr>
        <w:t>Izvori financiranja</w:t>
      </w:r>
    </w:p>
    <w:p w14:paraId="64A8C566" w14:textId="2A683E5D" w:rsidR="00CF4E38" w:rsidRPr="00FA5CAA" w:rsidRDefault="00CF4E38" w:rsidP="00CF4E38">
      <w:pPr>
        <w:rPr>
          <w:rFonts w:cs="Tahoma"/>
          <w:szCs w:val="20"/>
        </w:rPr>
      </w:pPr>
      <w:r w:rsidRPr="00FA5CAA">
        <w:rPr>
          <w:rFonts w:cs="Tahoma"/>
          <w:szCs w:val="20"/>
        </w:rPr>
        <w:t xml:space="preserve">Primjena sufinanciranja sredstvima EU fondova za pružatelje energetske usluge otvara pitanja posebno u pitanjima dopuštenosti državne potpore, budući da se sufinancira privatne tvrtke. Model konkurentskog natječaja (fleksibilne stope sufinanciranja), u kojem se u postupku javne nabave </w:t>
      </w:r>
      <w:r w:rsidR="007439E8" w:rsidRPr="00FA5CAA">
        <w:rPr>
          <w:rFonts w:cs="Tahoma"/>
          <w:szCs w:val="20"/>
        </w:rPr>
        <w:t xml:space="preserve">odabire tvrtka koja traži najmanji udio sufinanciranja u odnosu na zadane ciljeve </w:t>
      </w:r>
      <w:r w:rsidRPr="00FA5CAA">
        <w:rPr>
          <w:rFonts w:cs="Tahoma"/>
          <w:szCs w:val="20"/>
        </w:rPr>
        <w:t>predstavlja inovativan model za energetsku obnovu zgrada</w:t>
      </w:r>
      <w:r w:rsidR="00D67EBA">
        <w:rPr>
          <w:rFonts w:cs="Tahoma"/>
          <w:szCs w:val="20"/>
        </w:rPr>
        <w:t xml:space="preserve"> uz primjenu ostalih kriterija, poput ukupne uštede energije</w:t>
      </w:r>
      <w:r w:rsidRPr="00FA5CAA">
        <w:rPr>
          <w:rFonts w:cs="Tahoma"/>
          <w:szCs w:val="20"/>
        </w:rPr>
        <w:t xml:space="preserve">. </w:t>
      </w:r>
    </w:p>
    <w:p w14:paraId="39A9C2E1" w14:textId="05C8D103" w:rsidR="00CF4E38" w:rsidRPr="00FA5CAA" w:rsidRDefault="00CF4E38" w:rsidP="00CF4E38">
      <w:pPr>
        <w:rPr>
          <w:rFonts w:cs="Tahoma"/>
          <w:szCs w:val="20"/>
        </w:rPr>
      </w:pPr>
      <w:r w:rsidRPr="00FA5CAA">
        <w:rPr>
          <w:rFonts w:cs="Tahoma"/>
          <w:szCs w:val="20"/>
        </w:rPr>
        <w:t xml:space="preserve">Trendovi u drugim područjima sufinanciranja ciljeva pokazali su uspješnost primjene konkurentskog natječaja u kontekstu smanjivanja razine potpore i nenarušavanja tržišnog natjecanja. Nastojanja Europske Unije za </w:t>
      </w:r>
      <w:r w:rsidR="00A87EB9" w:rsidRPr="00FA5CAA">
        <w:rPr>
          <w:rFonts w:cs="Tahoma"/>
          <w:szCs w:val="20"/>
        </w:rPr>
        <w:t>unaprjeđenje</w:t>
      </w:r>
      <w:r w:rsidRPr="00FA5CAA">
        <w:rPr>
          <w:rFonts w:cs="Tahoma"/>
          <w:szCs w:val="20"/>
        </w:rPr>
        <w:t xml:space="preserve"> načina sufinanciranja daje poseban naglasak na takve modele kao preporuku, te daje niz pravila kojima se olakšava ocjena učinaka potpore ako se provodi po modelu konkurentskog natječaja.</w:t>
      </w:r>
    </w:p>
    <w:p w14:paraId="40A61000" w14:textId="6940FB87" w:rsidR="00CF4E38" w:rsidRDefault="00CF4E38" w:rsidP="007F70A3">
      <w:pPr>
        <w:spacing w:after="0"/>
        <w:rPr>
          <w:rFonts w:cs="Tahoma"/>
          <w:szCs w:val="20"/>
        </w:rPr>
      </w:pPr>
      <w:r>
        <w:rPr>
          <w:rFonts w:cs="Tahoma"/>
          <w:szCs w:val="20"/>
        </w:rPr>
        <w:t>Opcije sufinanciranja</w:t>
      </w:r>
    </w:p>
    <w:p w14:paraId="397887A3" w14:textId="78C7F2F4" w:rsidR="00CF4E38" w:rsidRPr="00FA5CAA" w:rsidRDefault="00996EF6" w:rsidP="00CF4E38">
      <w:pPr>
        <w:rPr>
          <w:rFonts w:cs="Tahoma"/>
          <w:szCs w:val="20"/>
        </w:rPr>
      </w:pPr>
      <w:r w:rsidRPr="00FA5CAA">
        <w:rPr>
          <w:rFonts w:cs="Tahoma"/>
          <w:szCs w:val="20"/>
        </w:rPr>
        <w:t>Č</w:t>
      </w:r>
      <w:r w:rsidR="00CF4E38" w:rsidRPr="00FA5CAA">
        <w:rPr>
          <w:rFonts w:cs="Tahoma"/>
          <w:szCs w:val="20"/>
        </w:rPr>
        <w:t xml:space="preserve">etiri </w:t>
      </w:r>
      <w:r w:rsidRPr="00FA5CAA">
        <w:rPr>
          <w:rFonts w:cs="Tahoma"/>
          <w:szCs w:val="20"/>
        </w:rPr>
        <w:t xml:space="preserve">su </w:t>
      </w:r>
      <w:r w:rsidR="00CF4E38" w:rsidRPr="00FA5CAA">
        <w:rPr>
          <w:rFonts w:cs="Tahoma"/>
          <w:szCs w:val="20"/>
        </w:rPr>
        <w:t>osnovne opcije</w:t>
      </w:r>
      <w:r w:rsidRPr="00FA5CAA">
        <w:rPr>
          <w:rFonts w:cs="Tahoma"/>
          <w:szCs w:val="20"/>
        </w:rPr>
        <w:t xml:space="preserve"> za sufinanciranje energetske obnove po modelu energetske usluge</w:t>
      </w:r>
      <w:r w:rsidR="00CF4E38" w:rsidRPr="00FA5CAA">
        <w:rPr>
          <w:rFonts w:cs="Tahoma"/>
          <w:szCs w:val="20"/>
        </w:rPr>
        <w:t>:</w:t>
      </w:r>
    </w:p>
    <w:p w14:paraId="5FF83A86" w14:textId="77777777"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ponudi u postupku javne nabave </w:t>
      </w:r>
    </w:p>
    <w:p w14:paraId="50EA1D5E" w14:textId="77777777"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mjerama energetske učinkovitosti </w:t>
      </w:r>
    </w:p>
    <w:p w14:paraId="40756E33" w14:textId="06B14129"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ukupno </w:t>
      </w:r>
      <w:r w:rsidR="00A70D61">
        <w:rPr>
          <w:rFonts w:cs="Tahoma"/>
          <w:szCs w:val="20"/>
        </w:rPr>
        <w:t xml:space="preserve">prihvatljivim </w:t>
      </w:r>
      <w:r w:rsidRPr="00FA5CAA">
        <w:rPr>
          <w:rFonts w:cs="Tahoma"/>
          <w:szCs w:val="20"/>
        </w:rPr>
        <w:t xml:space="preserve">troškovima uz flat rate </w:t>
      </w:r>
    </w:p>
    <w:p w14:paraId="74116634" w14:textId="4D5227D7"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ukupno </w:t>
      </w:r>
      <w:r w:rsidR="00A87EB9" w:rsidRPr="00A87EB9">
        <w:rPr>
          <w:rFonts w:cs="Tahoma"/>
          <w:szCs w:val="20"/>
        </w:rPr>
        <w:t xml:space="preserve">prihvatljivim </w:t>
      </w:r>
      <w:r w:rsidRPr="00FA5CAA">
        <w:rPr>
          <w:rFonts w:cs="Tahoma"/>
          <w:szCs w:val="20"/>
        </w:rPr>
        <w:t xml:space="preserve">troškovima na osnovi projekta i cost-benefit analize. </w:t>
      </w:r>
    </w:p>
    <w:p w14:paraId="1898236C" w14:textId="3A47E2D8" w:rsidR="00CF4E38" w:rsidRPr="00FA5CAA" w:rsidRDefault="00CF4E38" w:rsidP="00CF4E38">
      <w:pPr>
        <w:rPr>
          <w:rFonts w:cs="Tahoma"/>
          <w:szCs w:val="20"/>
        </w:rPr>
      </w:pPr>
      <w:r w:rsidRPr="00FA5CAA">
        <w:rPr>
          <w:rFonts w:cs="Tahoma"/>
          <w:szCs w:val="20"/>
        </w:rPr>
        <w:t>Za svaku od navedenih opcija, potrebno je ispuniti određene preduvjete.</w:t>
      </w:r>
    </w:p>
    <w:p w14:paraId="1F939AFC" w14:textId="77777777" w:rsidR="00CF4E38" w:rsidRPr="000738D9" w:rsidRDefault="00CF4E38" w:rsidP="000738D9">
      <w:pPr>
        <w:pStyle w:val="Naslov30"/>
      </w:pPr>
      <w:bookmarkStart w:id="112" w:name="_Toc493242796"/>
      <w:bookmarkStart w:id="113" w:name="_Toc94769997"/>
      <w:r w:rsidRPr="000738D9">
        <w:t>Subvencioniranje prema mjerama energetske učinkovitosti</w:t>
      </w:r>
      <w:bookmarkEnd w:id="112"/>
      <w:bookmarkEnd w:id="113"/>
    </w:p>
    <w:p w14:paraId="7CAD8A96" w14:textId="77777777" w:rsidR="00CF4E38" w:rsidRPr="00166B1A" w:rsidRDefault="00CF4E38" w:rsidP="00CF4E38">
      <w:pPr>
        <w:rPr>
          <w:rFonts w:cs="Tahoma"/>
          <w:szCs w:val="20"/>
        </w:rPr>
      </w:pPr>
      <w:r w:rsidRPr="00166B1A">
        <w:rPr>
          <w:rFonts w:cs="Tahoma"/>
          <w:szCs w:val="20"/>
        </w:rPr>
        <w:t>Model se temelji na sufinanciranju pojedinačnih mjera ne uzimajući u obzir međuutjecaje. Pojedinačna mjera uzimala bi u obzir utjecaj na smanjenje troškova energije samo za pojedinačnu mjeru, čime bi bio smanjen interes za cjelovitu obnovu zgrada.</w:t>
      </w:r>
    </w:p>
    <w:p w14:paraId="28AAA2EA" w14:textId="77777777" w:rsidR="00CF4E38" w:rsidRPr="00166B1A" w:rsidRDefault="00CF4E38" w:rsidP="00CF4E38">
      <w:pPr>
        <w:rPr>
          <w:rFonts w:cs="Tahoma"/>
          <w:szCs w:val="20"/>
        </w:rPr>
      </w:pPr>
      <w:r w:rsidRPr="00166B1A">
        <w:rPr>
          <w:rFonts w:cs="Tahoma"/>
          <w:szCs w:val="20"/>
        </w:rPr>
        <w:t>Za provedbu takvog modela sufinanciranja, potrebno je odrediti etalonske vrijednosti po mjerama energetske učinkovitosti, odnosno standardne troškove ulaganja i potrebne iznose sufinanciranja za svaku mjeru.</w:t>
      </w:r>
      <w:r w:rsidRPr="00166B1A">
        <w:rPr>
          <w:rStyle w:val="Referencafusnote"/>
          <w:rFonts w:cs="Tahoma"/>
          <w:szCs w:val="20"/>
        </w:rPr>
        <w:footnoteReference w:id="12"/>
      </w:r>
    </w:p>
    <w:p w14:paraId="3538BFC1" w14:textId="77777777" w:rsidR="00CF4E38" w:rsidRPr="00166B1A" w:rsidRDefault="00CF4E38" w:rsidP="00CF4E38">
      <w:pPr>
        <w:rPr>
          <w:rFonts w:cs="Tahoma"/>
          <w:szCs w:val="20"/>
        </w:rPr>
      </w:pPr>
      <w:r w:rsidRPr="00166B1A">
        <w:rPr>
          <w:rFonts w:cs="Tahoma"/>
          <w:szCs w:val="20"/>
        </w:rPr>
        <w:t>Model mora biti temeljen na protučinjeničnom scenariju (cost benefit analizi). Pri izradi cost benefit analize obvezno je u obzir uzeti uštede energije kao prihod korisnika subvencije.</w:t>
      </w:r>
      <w:r w:rsidRPr="00166B1A">
        <w:rPr>
          <w:rStyle w:val="Referencafusnote"/>
          <w:rFonts w:cs="Tahoma"/>
          <w:szCs w:val="20"/>
        </w:rPr>
        <w:footnoteReference w:id="13"/>
      </w:r>
    </w:p>
    <w:p w14:paraId="5D21134C" w14:textId="77777777" w:rsidR="00CF4E38" w:rsidRPr="00166B1A" w:rsidRDefault="00CF4E38" w:rsidP="00CF4E38">
      <w:pPr>
        <w:rPr>
          <w:rFonts w:cs="Tahoma"/>
          <w:szCs w:val="20"/>
        </w:rPr>
      </w:pPr>
      <w:r w:rsidRPr="00166B1A">
        <w:rPr>
          <w:rFonts w:cs="Tahoma"/>
          <w:szCs w:val="20"/>
        </w:rPr>
        <w:t>Model je primjenjiv za primjenu pojedinačnih mjera, ali ne i za cjelovitu obnovu zgrada.</w:t>
      </w:r>
    </w:p>
    <w:p w14:paraId="58EE2FB0" w14:textId="77777777" w:rsidR="00CF4E38" w:rsidRPr="00166B1A" w:rsidRDefault="00CF4E38" w:rsidP="00CF4E38">
      <w:pPr>
        <w:rPr>
          <w:rFonts w:cs="Tahoma"/>
          <w:szCs w:val="20"/>
        </w:rPr>
      </w:pPr>
      <w:r w:rsidRPr="00166B1A">
        <w:rPr>
          <w:rFonts w:cs="Tahoma"/>
          <w:szCs w:val="20"/>
        </w:rPr>
        <w:lastRenderedPageBreak/>
        <w:t>Kada se provodi cjelovita energetska obnova zgrada, pri dodjeli sufinanciranja davatelj subvencije mogao bi zahtijevati umanjenje sufinanciranja za onu vrijednost koju je korisnik ostvario primjenom drugih mjera koje nisu sufinancirane, a učinci bi se morali promatrati kumulativno.</w:t>
      </w:r>
    </w:p>
    <w:p w14:paraId="07C71DC5" w14:textId="28C8AEA3" w:rsidR="00CF4E38" w:rsidRPr="00166B1A" w:rsidRDefault="00CF4E38" w:rsidP="00CF4E38">
      <w:pPr>
        <w:rPr>
          <w:rFonts w:cs="Tahoma"/>
          <w:szCs w:val="20"/>
        </w:rPr>
      </w:pPr>
      <w:r w:rsidRPr="00166B1A">
        <w:rPr>
          <w:rFonts w:cs="Tahoma"/>
          <w:szCs w:val="20"/>
        </w:rPr>
        <w:t>Sufinanciranje cjelovite obnove bi posljedično morale biti provedene po modelu povratne subvencije, što bitno otežava provedbu i stvara značajno administrativno opterećenje.</w:t>
      </w:r>
      <w:r w:rsidRPr="00166B1A">
        <w:rPr>
          <w:rStyle w:val="Referencafusnote"/>
          <w:rFonts w:cs="Tahoma"/>
          <w:szCs w:val="20"/>
        </w:rPr>
        <w:footnoteReference w:id="14"/>
      </w:r>
    </w:p>
    <w:p w14:paraId="7CCDC842" w14:textId="7292B8C5" w:rsidR="00CF4E38" w:rsidRPr="00F90684" w:rsidRDefault="00CF4E38" w:rsidP="00F90684">
      <w:pPr>
        <w:pStyle w:val="Naslov30"/>
      </w:pPr>
      <w:bookmarkStart w:id="114" w:name="_Toc493242797"/>
      <w:bookmarkStart w:id="115" w:name="_Toc94769998"/>
      <w:r w:rsidRPr="00F90684">
        <w:t xml:space="preserve">Subvencioniranje prema ukupno </w:t>
      </w:r>
      <w:r w:rsidR="00A70D61">
        <w:t xml:space="preserve">prihvatljivim </w:t>
      </w:r>
      <w:r w:rsidRPr="00F90684">
        <w:t>opravdanim troškovima po flat rate modelu</w:t>
      </w:r>
      <w:bookmarkEnd w:id="114"/>
      <w:bookmarkEnd w:id="115"/>
      <w:r w:rsidRPr="00F90684">
        <w:t xml:space="preserve"> </w:t>
      </w:r>
    </w:p>
    <w:p w14:paraId="79AD5B82" w14:textId="77777777" w:rsidR="00CF4E38" w:rsidRPr="00166B1A" w:rsidRDefault="00CF4E38" w:rsidP="00CF4E38">
      <w:pPr>
        <w:rPr>
          <w:rFonts w:cs="Tahoma"/>
          <w:szCs w:val="20"/>
        </w:rPr>
      </w:pPr>
      <w:r w:rsidRPr="00166B1A">
        <w:rPr>
          <w:rFonts w:cs="Tahoma"/>
          <w:szCs w:val="20"/>
        </w:rPr>
        <w:t>Sustav je već bio u primjeni temeljem ugovora između APN i FZOEU, sa razlikom da je kao korisnik subvencije definiran javni sektor.</w:t>
      </w:r>
    </w:p>
    <w:p w14:paraId="0A9C7E98" w14:textId="77777777" w:rsidR="00CF4E38" w:rsidRPr="00166B1A" w:rsidRDefault="00CF4E38" w:rsidP="00CF4E38">
      <w:pPr>
        <w:rPr>
          <w:rFonts w:cs="Tahoma"/>
          <w:szCs w:val="20"/>
        </w:rPr>
      </w:pPr>
      <w:r w:rsidRPr="00166B1A">
        <w:rPr>
          <w:rFonts w:cs="Tahoma"/>
          <w:szCs w:val="20"/>
        </w:rPr>
        <w:t xml:space="preserve">Takav model sufinanciranja određuje se za prosječnu zgradu, a u ex ante analizi iz rujna 2015. godine utvrđena je stopa od 40%. </w:t>
      </w:r>
      <w:r w:rsidRPr="00166B1A">
        <w:rPr>
          <w:rStyle w:val="Referencafusnote"/>
          <w:rFonts w:cs="Tahoma"/>
          <w:szCs w:val="20"/>
        </w:rPr>
        <w:footnoteReference w:id="15"/>
      </w:r>
    </w:p>
    <w:p w14:paraId="30B14424" w14:textId="77777777" w:rsidR="00CF4E38" w:rsidRPr="00166B1A" w:rsidRDefault="00CF4E38" w:rsidP="00CF4E38">
      <w:pPr>
        <w:rPr>
          <w:rFonts w:cs="Tahoma"/>
          <w:szCs w:val="20"/>
        </w:rPr>
      </w:pPr>
      <w:r w:rsidRPr="00166B1A">
        <w:rPr>
          <w:rFonts w:cs="Tahoma"/>
          <w:szCs w:val="20"/>
        </w:rPr>
        <w:t>Nedostatak takvog modela sufinanciranja je u činjenici da za neke zgrade takva stopa sufinanciranja nije dostatna, te se obnove ne bi mogle provesti, a za neke je viša od potrebne.</w:t>
      </w:r>
    </w:p>
    <w:p w14:paraId="1B8FF864" w14:textId="77777777" w:rsidR="00CF4E38" w:rsidRPr="00166B1A" w:rsidRDefault="00CF4E38" w:rsidP="00CF4E38">
      <w:pPr>
        <w:rPr>
          <w:rFonts w:cs="Tahoma"/>
          <w:szCs w:val="20"/>
        </w:rPr>
      </w:pPr>
      <w:r w:rsidRPr="00166B1A">
        <w:rPr>
          <w:rFonts w:cs="Tahoma"/>
          <w:szCs w:val="20"/>
        </w:rPr>
        <w:t>Ako je stopa sufinanciranja viša od potrebne, sustavno treba osigurati da korisnik nije ostvario neprimjerenu dobit zahvaljujući subvenciji. Prema iskustvima iz provedbe Programa energetske obnove zgrada javnog sektora 2014.-2015., kriterij u javnoj nabavi za energetsku uslugu bio je i iznos naknade u odnosu na zajamčene uštede energije. Takav model osigurao je da pružatelj energetske usluge nije primio neprimjerenu dobit na temelju sufinanciranja, jer je natjecateljski postupak osigurao da je sam pružatelj energetske usluge smanjio iznos naknade na najnižu razinu kako bi osigurao konkurentnost.</w:t>
      </w:r>
      <w:r w:rsidRPr="00166B1A">
        <w:rPr>
          <w:rStyle w:val="Referencafusnote"/>
          <w:rFonts w:cs="Tahoma"/>
          <w:szCs w:val="20"/>
        </w:rPr>
        <w:footnoteReference w:id="16"/>
      </w:r>
    </w:p>
    <w:p w14:paraId="069AF868" w14:textId="5B409E3E" w:rsidR="00CF4E38" w:rsidRPr="00166B1A" w:rsidRDefault="00CF4E38" w:rsidP="00CF4E38">
      <w:pPr>
        <w:rPr>
          <w:rFonts w:cs="Tahoma"/>
          <w:szCs w:val="20"/>
        </w:rPr>
      </w:pPr>
      <w:r w:rsidRPr="00166B1A">
        <w:rPr>
          <w:rFonts w:cs="Tahoma"/>
          <w:szCs w:val="20"/>
        </w:rPr>
        <w:t xml:space="preserve">Korist koja ostaje javnom sektoru u takvom slučaju je razlika između ostvarenih ušteda energije i plaćene naknade tijekom ugovora o energetskom učinku. </w:t>
      </w:r>
    </w:p>
    <w:p w14:paraId="02387125" w14:textId="266D9CA3" w:rsidR="00CF4E38" w:rsidRPr="00F90684" w:rsidRDefault="00CF4E38" w:rsidP="00F90684">
      <w:pPr>
        <w:pStyle w:val="Naslov30"/>
      </w:pPr>
      <w:bookmarkStart w:id="116" w:name="_Toc493242798"/>
      <w:bookmarkStart w:id="117" w:name="_Toc94769999"/>
      <w:r w:rsidRPr="00F90684">
        <w:t xml:space="preserve">Sufinanciranje prema ukupno </w:t>
      </w:r>
      <w:r w:rsidR="0047098B" w:rsidRPr="0047098B">
        <w:t xml:space="preserve">prihvatljivim </w:t>
      </w:r>
      <w:r w:rsidRPr="00F90684">
        <w:t>opravdanim troškovima na osnovi projekta i cost-benefit analize</w:t>
      </w:r>
      <w:bookmarkEnd w:id="116"/>
      <w:bookmarkEnd w:id="117"/>
      <w:r w:rsidRPr="00F90684">
        <w:t xml:space="preserve"> </w:t>
      </w:r>
    </w:p>
    <w:p w14:paraId="60745484" w14:textId="77777777" w:rsidR="00CF4E38" w:rsidRPr="00166B1A" w:rsidRDefault="00CF4E38" w:rsidP="00CF4E38">
      <w:pPr>
        <w:rPr>
          <w:rFonts w:cs="Tahoma"/>
          <w:szCs w:val="20"/>
        </w:rPr>
      </w:pPr>
      <w:r w:rsidRPr="00166B1A">
        <w:rPr>
          <w:rFonts w:cs="Tahoma"/>
          <w:szCs w:val="20"/>
        </w:rPr>
        <w:t xml:space="preserve">Nakon izrađenog projekta radi se cost-benefit analiza za svaki projekt pojedinačno, čime se utvrđuje iznos opravdane subvencije. </w:t>
      </w:r>
    </w:p>
    <w:p w14:paraId="1962161B" w14:textId="77777777" w:rsidR="00CF4E38" w:rsidRPr="00166B1A" w:rsidRDefault="00CF4E38" w:rsidP="00CF4E38">
      <w:pPr>
        <w:spacing w:after="240"/>
        <w:rPr>
          <w:rFonts w:cs="Tahoma"/>
          <w:szCs w:val="20"/>
        </w:rPr>
      </w:pPr>
      <w:r w:rsidRPr="00166B1A">
        <w:rPr>
          <w:rFonts w:cs="Tahoma"/>
          <w:szCs w:val="20"/>
        </w:rPr>
        <w:t>Ovaj model podrazumijeva da se naknade pružatelju energetske usluge umanjuju naknade za iznos kojim je sufinanciran, na način da se radi projekcija utjecaja sufinanciranja na financijski tok i ekonomske pokazatelje pružatelja usluge (IRR, ROI, ROE, WACC, DSCR, NPV).</w:t>
      </w:r>
      <w:r w:rsidRPr="00166B1A">
        <w:rPr>
          <w:rStyle w:val="Referencafusnote"/>
          <w:rFonts w:cs="Tahoma"/>
          <w:szCs w:val="20"/>
        </w:rPr>
        <w:footnoteReference w:id="17"/>
      </w:r>
    </w:p>
    <w:p w14:paraId="62F6DBB4" w14:textId="77777777" w:rsidR="00CF4E38" w:rsidRPr="00166B1A" w:rsidRDefault="00CF4E38" w:rsidP="00CF4E38">
      <w:pPr>
        <w:rPr>
          <w:rFonts w:cs="Tahoma"/>
          <w:szCs w:val="20"/>
        </w:rPr>
      </w:pPr>
      <w:r w:rsidRPr="00166B1A">
        <w:rPr>
          <w:rFonts w:cs="Tahoma"/>
          <w:szCs w:val="20"/>
        </w:rPr>
        <w:t>Da bi takva analiza mogla biti provedena, potrebni su slijedeći podatci:</w:t>
      </w:r>
    </w:p>
    <w:p w14:paraId="335776B0"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Struktura vlastitog ulaganja i zaduženja</w:t>
      </w:r>
    </w:p>
    <w:p w14:paraId="3D70FFCD"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Stopa povrata na vlastita sredstva pružatelja energetske usluge</w:t>
      </w:r>
    </w:p>
    <w:p w14:paraId="3312285A"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Kamatna stopa na kredit kojim se energetska usluga financira</w:t>
      </w:r>
    </w:p>
    <w:p w14:paraId="5AA2C61B"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Visina troškova po etapama</w:t>
      </w:r>
    </w:p>
    <w:p w14:paraId="3196E99A"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Dinamika provođenja investicije.</w:t>
      </w:r>
    </w:p>
    <w:p w14:paraId="058C9317" w14:textId="77777777" w:rsidR="00CF4E38" w:rsidRPr="00166B1A" w:rsidRDefault="00CF4E38" w:rsidP="00CF4E38">
      <w:pPr>
        <w:rPr>
          <w:rFonts w:cs="Tahoma"/>
          <w:szCs w:val="20"/>
        </w:rPr>
      </w:pPr>
      <w:r w:rsidRPr="00166B1A">
        <w:rPr>
          <w:rFonts w:cs="Tahoma"/>
          <w:szCs w:val="20"/>
        </w:rPr>
        <w:t>Prednost ovog načina sufinanciranja je da se izbjegava problematika državnih potpora, jer se tumači da je korisnik potpore javni sektor, a provedbom takvog modela osigurava se da je utjecaj sufinanciranja na poduzetnika neutralan.</w:t>
      </w:r>
    </w:p>
    <w:p w14:paraId="23A2D941" w14:textId="46DC756E" w:rsidR="00CF4E38" w:rsidRPr="00166B1A" w:rsidRDefault="00CF4E38" w:rsidP="00CF4E38">
      <w:pPr>
        <w:rPr>
          <w:rFonts w:cs="Tahoma"/>
          <w:szCs w:val="20"/>
        </w:rPr>
      </w:pPr>
      <w:r w:rsidRPr="00166B1A">
        <w:rPr>
          <w:rFonts w:cs="Tahoma"/>
          <w:szCs w:val="20"/>
        </w:rPr>
        <w:t xml:space="preserve">Administrativno opterećenje za </w:t>
      </w:r>
      <w:r w:rsidR="00A85013" w:rsidRPr="00166B1A">
        <w:rPr>
          <w:rFonts w:cs="Tahoma"/>
          <w:szCs w:val="20"/>
        </w:rPr>
        <w:t>provedbu takvog modela je</w:t>
      </w:r>
      <w:r w:rsidRPr="00166B1A">
        <w:rPr>
          <w:rFonts w:cs="Tahoma"/>
          <w:szCs w:val="20"/>
        </w:rPr>
        <w:t xml:space="preserve"> visoka</w:t>
      </w:r>
      <w:r w:rsidR="00A85013" w:rsidRPr="00166B1A">
        <w:rPr>
          <w:rFonts w:cs="Tahoma"/>
          <w:szCs w:val="20"/>
        </w:rPr>
        <w:t>, a način ugovaranja kompleksan, tako</w:t>
      </w:r>
      <w:r w:rsidRPr="00166B1A">
        <w:rPr>
          <w:rFonts w:cs="Tahoma"/>
          <w:szCs w:val="20"/>
        </w:rPr>
        <w:t xml:space="preserve"> da se može prim</w:t>
      </w:r>
      <w:r w:rsidR="00A85013" w:rsidRPr="00166B1A">
        <w:rPr>
          <w:rFonts w:cs="Tahoma"/>
          <w:szCs w:val="20"/>
        </w:rPr>
        <w:t>ijeniti samo na velike projekte, te se preporučuje za projekte koji se provode po modelu javno-privatnog partnerstva.</w:t>
      </w:r>
    </w:p>
    <w:p w14:paraId="674D4124" w14:textId="04153819" w:rsidR="00CF4E38" w:rsidRPr="00F90684" w:rsidRDefault="00CF4E38" w:rsidP="00F90684">
      <w:pPr>
        <w:pStyle w:val="Naslov30"/>
      </w:pPr>
      <w:bookmarkStart w:id="118" w:name="_Toc94770000"/>
      <w:bookmarkStart w:id="119" w:name="_Toc493242799"/>
      <w:r w:rsidRPr="00F90684">
        <w:lastRenderedPageBreak/>
        <w:t>Subvencioniranje u konkurentnom natječajnom postupku</w:t>
      </w:r>
      <w:bookmarkEnd w:id="118"/>
      <w:r w:rsidRPr="00F90684">
        <w:t xml:space="preserve"> </w:t>
      </w:r>
      <w:bookmarkEnd w:id="119"/>
    </w:p>
    <w:p w14:paraId="19C8EA9B" w14:textId="503DA9EC" w:rsidR="00CF4E38" w:rsidRPr="00166B1A" w:rsidRDefault="00CF4E38" w:rsidP="00CF4E38">
      <w:pPr>
        <w:rPr>
          <w:rFonts w:cs="Tahoma"/>
          <w:szCs w:val="20"/>
        </w:rPr>
      </w:pPr>
      <w:r w:rsidRPr="00166B1A">
        <w:rPr>
          <w:rFonts w:cs="Tahoma"/>
          <w:szCs w:val="20"/>
        </w:rPr>
        <w:t xml:space="preserve">Prema modelu ugovaranja </w:t>
      </w:r>
      <w:r w:rsidR="00166B1A" w:rsidRPr="00166B1A">
        <w:rPr>
          <w:rFonts w:cs="Tahoma"/>
          <w:szCs w:val="20"/>
        </w:rPr>
        <w:t>energetske</w:t>
      </w:r>
      <w:r w:rsidRPr="00166B1A">
        <w:rPr>
          <w:rFonts w:cs="Tahoma"/>
          <w:szCs w:val="20"/>
        </w:rPr>
        <w:t xml:space="preserve"> usluge u dosadašnjoj provedbi, pružatelji energetske usluge u postupku javne nabave definiraju razinu uštede za konkretnu zgradu koja je predmet obnove, što čini teškim izradu protučinjeničnog scenarija za projekte energetske obnove. </w:t>
      </w:r>
    </w:p>
    <w:p w14:paraId="4BDCFEB2" w14:textId="19501B17" w:rsidR="00CF4E38" w:rsidRPr="00166B1A" w:rsidRDefault="00CF4E38" w:rsidP="00CF4E38">
      <w:pPr>
        <w:rPr>
          <w:rFonts w:cs="Tahoma"/>
          <w:szCs w:val="20"/>
        </w:rPr>
      </w:pPr>
      <w:r w:rsidRPr="00166B1A">
        <w:rPr>
          <w:rFonts w:cs="Tahoma"/>
          <w:szCs w:val="20"/>
        </w:rPr>
        <w:t>Svaka obnova koristi različite skupove mjera (s među</w:t>
      </w:r>
      <w:r w:rsidR="00732D2D">
        <w:rPr>
          <w:rFonts w:cs="Tahoma"/>
          <w:szCs w:val="20"/>
        </w:rPr>
        <w:t xml:space="preserve"> </w:t>
      </w:r>
      <w:r w:rsidRPr="00166B1A">
        <w:rPr>
          <w:rFonts w:cs="Tahoma"/>
          <w:szCs w:val="20"/>
        </w:rPr>
        <w:t>utjecajima mjera), što onemogućuje postavljanje univerzalnih pravila za određivanje stope sufinanciranja u smislu dokazivanja razmjernosti potpore.</w:t>
      </w:r>
      <w:r w:rsidRPr="00166B1A">
        <w:rPr>
          <w:rStyle w:val="Referencafusnote"/>
          <w:rFonts w:cs="Tahoma"/>
          <w:szCs w:val="20"/>
        </w:rPr>
        <w:footnoteReference w:id="18"/>
      </w:r>
      <w:r w:rsidRPr="00166B1A">
        <w:rPr>
          <w:rFonts w:cs="Tahoma"/>
          <w:szCs w:val="20"/>
        </w:rPr>
        <w:t xml:space="preserve"> Neke mjere bi same osigurale dovoljnu profitabilnost, ali u kontekstu cjelovite obnove pružatelji energetske usluge prisiljeni su „preliti“ dobit iz profitabilnijih mjera u one manje profitabilne, do razine koja im osigurava konkurentnost ponude u postupku javne nabave.</w:t>
      </w:r>
    </w:p>
    <w:p w14:paraId="7823C9F4" w14:textId="17DB68F1" w:rsidR="00CF4E38" w:rsidRPr="009118C1" w:rsidRDefault="00CF4E38" w:rsidP="00CF4E38">
      <w:pPr>
        <w:rPr>
          <w:rFonts w:ascii="Garamond" w:hAnsi="Garamond" w:cs="Times New Roman"/>
          <w:sz w:val="24"/>
        </w:rPr>
      </w:pPr>
      <w:r w:rsidRPr="00166B1A">
        <w:rPr>
          <w:rFonts w:cs="Tahoma"/>
          <w:szCs w:val="20"/>
        </w:rPr>
        <w:t>Za razvoj tržišta energetske usluge bitno je ostvariti povjerenje tržišta, odnosno, sredstva za sufinanciranje moraju biti osigurana u trenutku objave postupaka javne nabave, neovisno o modelu sufinanciranja. Neosiguravanje ugovorenih sredstava za sufinanciranje sigurno je ostavilo posljedice za razvoj tržišta energetske usluge, što znači da će biti utoliko zahtjevnije model prilagoditi na pouzdan način, te pozornost obratiti na komunikaciju sa javnošću i pružateljima energetske usluge.</w:t>
      </w:r>
    </w:p>
    <w:p w14:paraId="0BD04AE1" w14:textId="1BF117B2" w:rsidR="00CF4E38" w:rsidRPr="00166B1A" w:rsidRDefault="00CF4E38" w:rsidP="00CF4E38">
      <w:pPr>
        <w:rPr>
          <w:rFonts w:cs="Tahoma"/>
          <w:szCs w:val="20"/>
        </w:rPr>
      </w:pPr>
      <w:r w:rsidRPr="00166B1A">
        <w:rPr>
          <w:rFonts w:cs="Tahoma"/>
          <w:szCs w:val="20"/>
        </w:rPr>
        <w:t xml:space="preserve">Potrebno je također napomenuti da će u budućim shemama potpora za energetsku obnovu zgrada biti uvođeni i financijski instrumenti. </w:t>
      </w:r>
      <w:r w:rsidR="0079703B" w:rsidRPr="00166B1A">
        <w:rPr>
          <w:rFonts w:cs="Tahoma"/>
          <w:szCs w:val="20"/>
        </w:rPr>
        <w:t>Komponenta natjecateljskog postupka može osigurati da ne dolazi do preklapanja između financijskih instrumenata i bespovratnih potpora.</w:t>
      </w:r>
      <w:r w:rsidR="00AF56BB">
        <w:rPr>
          <w:rFonts w:cs="Tahoma"/>
          <w:szCs w:val="20"/>
        </w:rPr>
        <w:t xml:space="preserve"> </w:t>
      </w:r>
      <w:r w:rsidRPr="00166B1A">
        <w:rPr>
          <w:rFonts w:cs="Tahoma"/>
          <w:szCs w:val="20"/>
        </w:rPr>
        <w:t xml:space="preserve">Za Subvencioniranje u konkurentnom natječajnom postupku potrebno je prilagoditi način provedbe javne nabave za energetsku uslugu. </w:t>
      </w:r>
    </w:p>
    <w:p w14:paraId="50D55B3A" w14:textId="77777777" w:rsidR="00CF4E38" w:rsidRPr="00166B1A" w:rsidRDefault="00CF4E38" w:rsidP="00CF4E38">
      <w:pPr>
        <w:rPr>
          <w:rFonts w:cs="Tahoma"/>
          <w:szCs w:val="20"/>
        </w:rPr>
      </w:pPr>
      <w:r w:rsidRPr="00166B1A">
        <w:rPr>
          <w:rFonts w:cs="Tahoma"/>
          <w:szCs w:val="20"/>
        </w:rPr>
        <w:t>Dokumentacijom za nadmetanje (kriterijima za odabir) trebalo bi postaviti slijedeće uvjete:</w:t>
      </w:r>
    </w:p>
    <w:p w14:paraId="24199078" w14:textId="77777777" w:rsidR="00CF4E38" w:rsidRPr="00166B1A" w:rsidRDefault="00CF4E38" w:rsidP="00CF4E38">
      <w:pPr>
        <w:rPr>
          <w:rFonts w:cs="Tahoma"/>
          <w:szCs w:val="20"/>
        </w:rPr>
      </w:pPr>
      <w:r w:rsidRPr="00166B1A">
        <w:rPr>
          <w:rFonts w:cs="Tahoma"/>
          <w:szCs w:val="20"/>
        </w:rPr>
        <w:t>Kriterij za odabir je odnos između traženih prihoda (naknade za energetsku uslugu) i zajamčene uštede energije. Pri ponudi, ponuditelj može, pod uvjetom da je predvidio naknadu u vrijednosti 100% zajamčene uštede zatražiti i iznos potpore koji se isplaćuje po dovršetku i potvrdi energetske obnove.</w:t>
      </w:r>
      <w:r w:rsidRPr="00166B1A">
        <w:rPr>
          <w:rStyle w:val="Referencafusnote"/>
          <w:rFonts w:cs="Tahoma"/>
          <w:szCs w:val="20"/>
        </w:rPr>
        <w:footnoteReference w:id="19"/>
      </w:r>
      <w:r w:rsidRPr="00166B1A">
        <w:rPr>
          <w:rFonts w:cs="Tahoma"/>
          <w:szCs w:val="20"/>
        </w:rPr>
        <w:t xml:space="preserve"> </w:t>
      </w:r>
    </w:p>
    <w:p w14:paraId="03C8219E" w14:textId="77777777" w:rsidR="00CF4E38" w:rsidRPr="00166B1A" w:rsidRDefault="00CF4E38" w:rsidP="00CF4E38">
      <w:pPr>
        <w:rPr>
          <w:rFonts w:cs="Tahoma"/>
          <w:szCs w:val="20"/>
        </w:rPr>
      </w:pPr>
      <w:r w:rsidRPr="00166B1A">
        <w:rPr>
          <w:rFonts w:cs="Tahoma"/>
          <w:szCs w:val="20"/>
        </w:rPr>
        <w:t>Ponude se uspoređuju na način da se uspoređuje ukupan iznos traženih naknada koje uključuju zbroj diskontiranih iznosa naknada za energetsku uslugu i traženog sufinanciranja, u postotnom iznosu od najpovoljnije ponude. Ovaj kriterij u potpunosti je u skladu sa načelima natjecateljskog postupka za dodjelu subvencija, te bi trebao biti prevladavajući u ocjeni ponuda.</w:t>
      </w:r>
    </w:p>
    <w:p w14:paraId="2FBE4B98" w14:textId="77777777" w:rsidR="00CF4E38" w:rsidRPr="00166B1A" w:rsidRDefault="00CF4E38" w:rsidP="00CF4E38">
      <w:pPr>
        <w:rPr>
          <w:rFonts w:cs="Tahoma"/>
          <w:szCs w:val="20"/>
        </w:rPr>
      </w:pPr>
      <w:r w:rsidRPr="00166B1A">
        <w:rPr>
          <w:rFonts w:cs="Tahoma"/>
          <w:szCs w:val="20"/>
        </w:rPr>
        <w:t>Nedostatak ovog kriterija je da ne uzima u obzir ciljeve što veće uštede energije. Onaj ponuditelj koji iskoristi samo mjere sa bržim povratom ostvario bi prednost koja jest opravdana u kontekstu racionalne upotrebe sredstava, ali može biti protivan ciljevima uštede energije. Kako bi se taj nedostatak kompenzirao, drugi kriterij trebao bi biti ukupna ušteda energije iz ponude.</w:t>
      </w:r>
    </w:p>
    <w:p w14:paraId="3266CB9A" w14:textId="77777777" w:rsidR="00CF4E38" w:rsidRPr="00166B1A" w:rsidRDefault="00CF4E38" w:rsidP="00CF4E38">
      <w:pPr>
        <w:rPr>
          <w:rFonts w:cs="Tahoma"/>
          <w:szCs w:val="20"/>
        </w:rPr>
      </w:pPr>
      <w:r w:rsidRPr="00166B1A">
        <w:rPr>
          <w:rFonts w:cs="Tahoma"/>
          <w:szCs w:val="20"/>
        </w:rPr>
        <w:t>Ova komponenta Programa u skladu je sa Direktivom o energetskoj učinkovitosti 2012/27/EU, u smislu korištenja potencijala zgrada javnog sektora za stvaranje potražnje i razvoj kapaciteta tvrtki koje pružaju energetsku uslugu.</w:t>
      </w:r>
    </w:p>
    <w:p w14:paraId="2C9DB46E" w14:textId="77777777" w:rsidR="00CF4E38" w:rsidRPr="00166B1A" w:rsidRDefault="00CF4E38" w:rsidP="00CF4E38">
      <w:pPr>
        <w:rPr>
          <w:rFonts w:cs="Tahoma"/>
          <w:szCs w:val="20"/>
        </w:rPr>
      </w:pPr>
      <w:r w:rsidRPr="00166B1A">
        <w:rPr>
          <w:rFonts w:cs="Tahoma"/>
          <w:szCs w:val="20"/>
        </w:rPr>
        <w:t>S obzirom na propise kojima je uređeno područje energetske učinkovitosti, uvjeti za ugovor o energetskom učinku, kao i bitni elementi postupka javne nabave su utvrđeni i poznati.</w:t>
      </w:r>
      <w:r w:rsidRPr="00166B1A">
        <w:rPr>
          <w:rStyle w:val="Referencafusnote"/>
          <w:rFonts w:cs="Tahoma"/>
          <w:szCs w:val="20"/>
        </w:rPr>
        <w:footnoteReference w:id="20"/>
      </w:r>
      <w:r w:rsidRPr="00166B1A">
        <w:rPr>
          <w:rFonts w:cs="Tahoma"/>
          <w:szCs w:val="20"/>
        </w:rPr>
        <w:t xml:space="preserve"> Zahvaljujući takvoj regulaciji, lako je argumentirati natjecateljski karakter za potpore.</w:t>
      </w:r>
      <w:r w:rsidRPr="00166B1A">
        <w:rPr>
          <w:rStyle w:val="Referencafusnote"/>
          <w:rFonts w:cs="Tahoma"/>
          <w:szCs w:val="20"/>
        </w:rPr>
        <w:footnoteReference w:id="21"/>
      </w:r>
    </w:p>
    <w:p w14:paraId="391F9F80" w14:textId="7C5AFA5F" w:rsidR="00CF4E38" w:rsidRPr="00166B1A" w:rsidRDefault="00CF4E38" w:rsidP="00CF4E38">
      <w:pPr>
        <w:rPr>
          <w:rFonts w:cs="Tahoma"/>
          <w:szCs w:val="20"/>
        </w:rPr>
      </w:pPr>
      <w:r w:rsidRPr="00166B1A">
        <w:rPr>
          <w:rFonts w:cs="Tahoma"/>
          <w:szCs w:val="20"/>
        </w:rPr>
        <w:t>Europska Komisija izdala je 28.6.2014. godine Komunikaciju Komisije, Smjernice o državnim potporama za zaštitu okoliša i energiju za razdoblje 2014.–2020. (2014/C 200/01), kojima utvrđuje uvjete prema kojima se potpore za energiju i okoliš mogu smatrati spojivima s unutarnjim tržištem na temelju članka 107. stavka 3. točke (c) Ugovora o funkcioniranju Europske Unije.</w:t>
      </w:r>
    </w:p>
    <w:p w14:paraId="2E58911D" w14:textId="77777777" w:rsidR="00A804A8" w:rsidRPr="00166B1A" w:rsidRDefault="00A804A8" w:rsidP="00A804A8">
      <w:pPr>
        <w:rPr>
          <w:rFonts w:cs="Tahoma"/>
          <w:szCs w:val="20"/>
        </w:rPr>
      </w:pPr>
      <w:r w:rsidRPr="00166B1A">
        <w:rPr>
          <w:rFonts w:cs="Tahoma"/>
          <w:szCs w:val="20"/>
        </w:rPr>
        <w:lastRenderedPageBreak/>
        <w:t>U navedenim Smjernicama, posebno je obrađena tema korištenja fleksibilne stope sufinanciranja, odnosno natjecateljskog načina dodjele potpora u smislu utjecaja na spojivost potpore sa unutarnjim tržištem (dopuštenost državne potpore).</w:t>
      </w:r>
    </w:p>
    <w:p w14:paraId="16C3CB39" w14:textId="77777777" w:rsidR="00A804A8" w:rsidRPr="00166B1A" w:rsidRDefault="00A804A8" w:rsidP="00A804A8">
      <w:pPr>
        <w:rPr>
          <w:rFonts w:cs="Tahoma"/>
          <w:szCs w:val="20"/>
        </w:rPr>
      </w:pPr>
      <w:r w:rsidRPr="00166B1A">
        <w:rPr>
          <w:rFonts w:cs="Tahoma"/>
          <w:szCs w:val="20"/>
        </w:rPr>
        <w:t>Sukladno navedenim Smjernicama, predviđena su izuzeća u slučaju primjene natjecateljskog postupka za dodjelu subvencija, uključujući i stopu dopuštene razine sufinanciranja do 100% iznosa investicije. Takva odluka temelji se na očekivanju da je primjena tržišnih načela sama po sebi jamac osiguravanja osnovnih uvjeta dodjele potpora – najučinkovitije korištenje sredstava, transparentnost, izostanak utjecaja na tržišno natjecanje, razmjernost potpore i učinak poticaja.</w:t>
      </w:r>
    </w:p>
    <w:p w14:paraId="7057FA55" w14:textId="77777777" w:rsidR="00A804A8" w:rsidRPr="00166B1A" w:rsidRDefault="00A804A8" w:rsidP="00A804A8">
      <w:pPr>
        <w:rPr>
          <w:rFonts w:cs="Tahoma"/>
          <w:szCs w:val="20"/>
        </w:rPr>
      </w:pPr>
      <w:r w:rsidRPr="00166B1A">
        <w:rPr>
          <w:rFonts w:cs="Tahoma"/>
          <w:szCs w:val="20"/>
        </w:rPr>
        <w:t>Točkom 52. Smjernica navodi da u slučaju korištenja natjecateljskog načina dodjele potpora nije potrebno koristiti prijavni obrazac potpore, niti izraditi cost-benefit analizu (protučinjenični scenarij).</w:t>
      </w:r>
    </w:p>
    <w:p w14:paraId="7A2B8AA8" w14:textId="77777777" w:rsidR="00A804A8" w:rsidRPr="00166B1A" w:rsidRDefault="00A804A8" w:rsidP="00A804A8">
      <w:pPr>
        <w:rPr>
          <w:rFonts w:cs="Tahoma"/>
          <w:szCs w:val="20"/>
        </w:rPr>
      </w:pPr>
      <w:r w:rsidRPr="00166B1A">
        <w:rPr>
          <w:rFonts w:cs="Tahoma"/>
          <w:szCs w:val="20"/>
        </w:rPr>
        <w:t xml:space="preserve">Točkom 80. Smjernica navodi se da ako se potpora dodjeljuje korisniku u konkurentnom natječajnom postupku na temelju jasnih, transparentnih i nediskriminirajućih kriterija, taj iznos potpore može doseći 100 % prihvatljivih troškova. Takav natječajni postupak ponuda mora biti nediskriminirajući i mora dopuštati sudjelovanje dovoljnog broja poduzetnika. Nadalje, proračun koji se odnosi na natječajni postupak mora biti obvezujuće ograničenje na način da ne mogu svi sudionici postupka dobiti potporu. </w:t>
      </w:r>
    </w:p>
    <w:p w14:paraId="737351EE" w14:textId="2A1B8BEC" w:rsidR="00A804A8" w:rsidRPr="00166B1A" w:rsidRDefault="006C6F24" w:rsidP="00A804A8">
      <w:pPr>
        <w:rPr>
          <w:rFonts w:cs="Tahoma"/>
          <w:szCs w:val="20"/>
        </w:rPr>
      </w:pPr>
      <w:r>
        <w:rPr>
          <w:rFonts w:cs="Tahoma"/>
          <w:szCs w:val="20"/>
        </w:rPr>
        <w:t>P</w:t>
      </w:r>
      <w:r w:rsidR="00A804A8" w:rsidRPr="00166B1A">
        <w:rPr>
          <w:rFonts w:cs="Tahoma"/>
          <w:szCs w:val="20"/>
        </w:rPr>
        <w:t xml:space="preserve">otpore moraju biti dodijeljene na temelju početne ponude koju je ponuđač dostavio, isključujući tako </w:t>
      </w:r>
      <w:r w:rsidR="00A804A8">
        <w:rPr>
          <w:rFonts w:cs="Tahoma"/>
          <w:szCs w:val="20"/>
        </w:rPr>
        <w:t>daljnje pregovore kojima bi se iznos potpore korigirao.</w:t>
      </w:r>
      <w:r>
        <w:rPr>
          <w:rFonts w:cs="Tahoma"/>
          <w:szCs w:val="20"/>
        </w:rPr>
        <w:t xml:space="preserve"> </w:t>
      </w:r>
      <w:r w:rsidR="00A804A8">
        <w:rPr>
          <w:rFonts w:cs="Tahoma"/>
          <w:szCs w:val="20"/>
        </w:rPr>
        <w:t>P</w:t>
      </w:r>
      <w:r w:rsidR="00A804A8" w:rsidRPr="00166B1A">
        <w:rPr>
          <w:rFonts w:cs="Tahoma"/>
          <w:szCs w:val="20"/>
        </w:rPr>
        <w:t>otpor</w:t>
      </w:r>
      <w:r w:rsidR="00A804A8">
        <w:rPr>
          <w:rFonts w:cs="Tahoma"/>
          <w:szCs w:val="20"/>
        </w:rPr>
        <w:t>e</w:t>
      </w:r>
      <w:r w:rsidR="00A804A8" w:rsidRPr="00166B1A">
        <w:rPr>
          <w:rFonts w:cs="Tahoma"/>
          <w:szCs w:val="20"/>
        </w:rPr>
        <w:t xml:space="preserve"> </w:t>
      </w:r>
      <w:r w:rsidR="00A804A8">
        <w:rPr>
          <w:rFonts w:cs="Tahoma"/>
          <w:szCs w:val="20"/>
        </w:rPr>
        <w:t>će se</w:t>
      </w:r>
      <w:r w:rsidR="00A804A8" w:rsidRPr="00166B1A">
        <w:rPr>
          <w:rFonts w:cs="Tahoma"/>
          <w:szCs w:val="20"/>
        </w:rPr>
        <w:t xml:space="preserve"> smatrati razmjernima ako iznos potpore ne premašuje maksimalni intenzitet potpore određen u Prilogu 2 Smjernica (u slučaju konkurentnog natječaja, 100%).</w:t>
      </w:r>
      <w:r w:rsidR="003448C8" w:rsidRPr="003448C8">
        <w:rPr>
          <w:rFonts w:cs="Tahoma"/>
          <w:szCs w:val="20"/>
        </w:rPr>
        <w:t xml:space="preserve"> </w:t>
      </w:r>
      <w:r w:rsidR="003448C8">
        <w:rPr>
          <w:rFonts w:cs="Tahoma"/>
          <w:szCs w:val="20"/>
        </w:rPr>
        <w:t>U okviru</w:t>
      </w:r>
      <w:r w:rsidR="00035FC7">
        <w:rPr>
          <w:rFonts w:cs="Tahoma"/>
          <w:szCs w:val="20"/>
        </w:rPr>
        <w:t xml:space="preserve"> dijela programa koji se financira iz</w:t>
      </w:r>
      <w:r w:rsidR="00217DB8">
        <w:rPr>
          <w:rFonts w:cs="Tahoma"/>
          <w:szCs w:val="20"/>
        </w:rPr>
        <w:t xml:space="preserve"> komponente</w:t>
      </w:r>
      <w:r w:rsidR="00035FC7">
        <w:rPr>
          <w:rFonts w:cs="Tahoma"/>
          <w:szCs w:val="20"/>
        </w:rPr>
        <w:t xml:space="preserve"> NPOO</w:t>
      </w:r>
      <w:r w:rsidR="003448C8">
        <w:rPr>
          <w:rFonts w:cs="Tahoma"/>
          <w:szCs w:val="20"/>
        </w:rPr>
        <w:t xml:space="preserve">, minimalni </w:t>
      </w:r>
      <w:r w:rsidR="00B84D48">
        <w:rPr>
          <w:rFonts w:cs="Tahoma"/>
          <w:szCs w:val="20"/>
        </w:rPr>
        <w:t>u</w:t>
      </w:r>
      <w:r w:rsidR="003448C8">
        <w:rPr>
          <w:rFonts w:cs="Tahoma"/>
          <w:szCs w:val="20"/>
        </w:rPr>
        <w:t>dio sredstava ESCO tvrtke iznosi 60%.</w:t>
      </w:r>
    </w:p>
    <w:p w14:paraId="0197E89F" w14:textId="3EC74E46" w:rsidR="003448C8" w:rsidRDefault="00A804A8" w:rsidP="003448C8">
      <w:pPr>
        <w:rPr>
          <w:rFonts w:cs="Tahoma"/>
          <w:szCs w:val="20"/>
        </w:rPr>
      </w:pPr>
      <w:r w:rsidRPr="00166B1A">
        <w:rPr>
          <w:rFonts w:cs="Tahoma"/>
          <w:szCs w:val="20"/>
        </w:rPr>
        <w:t xml:space="preserve">Točkom 150. a) Smjernica navodi se da su potpore ograničene na nadoknađivanje neto dodatnih proizvodnih troškova koji proizlaze iz ulaganja, uzimanjem u obzir koristi proizašlih iz uštede energije. </w:t>
      </w:r>
    </w:p>
    <w:p w14:paraId="688AD2FE" w14:textId="77777777" w:rsidR="00A804A8" w:rsidRPr="00166B1A" w:rsidRDefault="00A804A8" w:rsidP="00A804A8">
      <w:pPr>
        <w:rPr>
          <w:rFonts w:cs="Tahoma"/>
          <w:szCs w:val="20"/>
        </w:rPr>
      </w:pPr>
      <w:r w:rsidRPr="00166B1A">
        <w:rPr>
          <w:rFonts w:cs="Tahoma"/>
          <w:szCs w:val="20"/>
        </w:rPr>
        <w:t>Predloženi model sufinanciranja u konkurentnom natječajnom postupku u potpunosti odgovara navedenim uvjetima</w:t>
      </w:r>
      <w:r>
        <w:rPr>
          <w:rFonts w:cs="Tahoma"/>
          <w:szCs w:val="20"/>
        </w:rPr>
        <w:t>, odnosno prihodi od naknade za uštede energije uračunavaju se kroz kriterije za odabir</w:t>
      </w:r>
      <w:r w:rsidRPr="00166B1A">
        <w:rPr>
          <w:rFonts w:cs="Tahoma"/>
          <w:szCs w:val="20"/>
        </w:rPr>
        <w:t xml:space="preserve">. </w:t>
      </w:r>
    </w:p>
    <w:p w14:paraId="32C9C44C" w14:textId="5DCA700F" w:rsidR="003448C8" w:rsidRDefault="00A804A8" w:rsidP="00F27698">
      <w:pPr>
        <w:rPr>
          <w:rFonts w:cs="Tahoma"/>
          <w:szCs w:val="20"/>
        </w:rPr>
      </w:pPr>
      <w:r w:rsidRPr="00166B1A">
        <w:rPr>
          <w:rFonts w:cs="Tahoma"/>
          <w:szCs w:val="20"/>
        </w:rPr>
        <w:t>Bitno je također naglasiti da je takva shema sufinanciranja primjenjiva i na privatne korisnike – vlasnike višestambenih zgrada, pa i privatnih kuća i stanova. Preduvjet za primjenu takvog modela je korištenje uvjeta i iskustava iz Programa energetske obnove zgrada javnog sektora, odnosno primjena modela energetske usluge. Ograničenje bi u takvom slučaju bila samo razina dostupnih sredstava iz fondova EU.</w:t>
      </w:r>
      <w:r w:rsidR="00AF58DF">
        <w:rPr>
          <w:rFonts w:cs="Tahoma"/>
          <w:szCs w:val="20"/>
        </w:rPr>
        <w:t xml:space="preserve"> </w:t>
      </w:r>
    </w:p>
    <w:p w14:paraId="4C0A260F" w14:textId="44740AA9" w:rsidR="00A804A8" w:rsidRPr="00166B1A" w:rsidRDefault="00A804A8" w:rsidP="00F27698">
      <w:pPr>
        <w:rPr>
          <w:rFonts w:cs="Tahoma"/>
          <w:szCs w:val="20"/>
        </w:rPr>
      </w:pPr>
    </w:p>
    <w:p w14:paraId="426F8768" w14:textId="6CF7A785" w:rsidR="008F7C71" w:rsidRPr="00166B1A" w:rsidRDefault="008F7C71" w:rsidP="008F7C71">
      <w:pPr>
        <w:rPr>
          <w:rFonts w:cs="Tahoma"/>
          <w:szCs w:val="20"/>
        </w:rPr>
      </w:pPr>
    </w:p>
    <w:p w14:paraId="23A98350" w14:textId="476BE717" w:rsidR="00CF4E38" w:rsidRPr="00166B1A" w:rsidRDefault="00CF4E38" w:rsidP="00CF4E38">
      <w:pPr>
        <w:rPr>
          <w:rFonts w:cs="Tahoma"/>
          <w:szCs w:val="20"/>
        </w:rPr>
      </w:pPr>
    </w:p>
    <w:p w14:paraId="391F6AE8" w14:textId="77777777" w:rsidR="00CF4E38" w:rsidRDefault="00CF4E38" w:rsidP="00CF4E38">
      <w:pPr>
        <w:rPr>
          <w:rFonts w:ascii="Garamond" w:hAnsi="Garamond" w:cs="Times New Roman"/>
          <w:sz w:val="24"/>
        </w:rPr>
      </w:pPr>
      <w:r>
        <w:rPr>
          <w:rFonts w:ascii="Garamond" w:hAnsi="Garamond" w:cs="Times New Roman"/>
          <w:sz w:val="24"/>
        </w:rPr>
        <w:br w:type="page"/>
      </w:r>
    </w:p>
    <w:p w14:paraId="05550DC4" w14:textId="22FB72E9" w:rsidR="00CF4E38" w:rsidRPr="009118C1" w:rsidRDefault="00CF4E38" w:rsidP="003D37B1">
      <w:pPr>
        <w:pStyle w:val="Naslov20"/>
      </w:pPr>
      <w:bookmarkStart w:id="120" w:name="_Toc94770001"/>
      <w:bookmarkStart w:id="121" w:name="_Toc493242800"/>
      <w:r w:rsidRPr="009118C1">
        <w:lastRenderedPageBreak/>
        <w:t>Kratki osvrt na pitanje državnih potpora ovisno o korisniku sufinanciranja</w:t>
      </w:r>
      <w:bookmarkEnd w:id="120"/>
      <w:r w:rsidRPr="009118C1">
        <w:t xml:space="preserve"> </w:t>
      </w:r>
      <w:bookmarkEnd w:id="121"/>
    </w:p>
    <w:p w14:paraId="671F5100" w14:textId="363F14FC" w:rsidR="00CF4E38" w:rsidRPr="003D37B1" w:rsidRDefault="00CF4E38" w:rsidP="00CF4E38">
      <w:pPr>
        <w:rPr>
          <w:rFonts w:cs="Tahoma"/>
          <w:szCs w:val="20"/>
        </w:rPr>
      </w:pPr>
      <w:r w:rsidRPr="003D37B1">
        <w:rPr>
          <w:rFonts w:cs="Tahoma"/>
          <w:szCs w:val="20"/>
        </w:rPr>
        <w:t xml:space="preserve">U ovom </w:t>
      </w:r>
      <w:r w:rsidR="00996EF6" w:rsidRPr="003D37B1">
        <w:rPr>
          <w:rFonts w:cs="Tahoma"/>
          <w:szCs w:val="20"/>
        </w:rPr>
        <w:t>dijelu</w:t>
      </w:r>
      <w:r w:rsidRPr="003D37B1">
        <w:rPr>
          <w:rFonts w:cs="Tahoma"/>
          <w:szCs w:val="20"/>
        </w:rPr>
        <w:t xml:space="preserve"> dajemo pregled osnovnih obveza u provedbi ugovaranja energetske usluge sa komponentom sufinanciranja ovisno o odabranom modelu sufinanciranja.</w:t>
      </w:r>
    </w:p>
    <w:p w14:paraId="37735287" w14:textId="77777777" w:rsidR="00CF4E38" w:rsidRPr="003D37B1" w:rsidRDefault="00CF4E38" w:rsidP="00CF4E38">
      <w:pPr>
        <w:rPr>
          <w:rFonts w:cs="Tahoma"/>
          <w:szCs w:val="20"/>
        </w:rPr>
      </w:pPr>
      <w:r w:rsidRPr="003D37B1">
        <w:rPr>
          <w:rFonts w:cs="Tahoma"/>
          <w:szCs w:val="20"/>
        </w:rPr>
        <w:t>Usporedba se odnosi na modele sufinanciranja analiziranim u prethodnom poglavlju, a u obzir su uzeti bitni elementi i obveze koje proizlaze iz odabranog modela.</w:t>
      </w:r>
    </w:p>
    <w:p w14:paraId="1CB4368B" w14:textId="4CE9B074" w:rsidR="00166B1A" w:rsidRDefault="00166B1A" w:rsidP="00F90684">
      <w:pPr>
        <w:pStyle w:val="Opisslike"/>
        <w:keepNext/>
      </w:pPr>
      <w:bookmarkStart w:id="122" w:name="_Toc87949898"/>
      <w:r>
        <w:t xml:space="preserve">Tablica </w:t>
      </w:r>
      <w:r>
        <w:fldChar w:fldCharType="begin"/>
      </w:r>
      <w:r>
        <w:instrText>STYLEREF 1 \s</w:instrText>
      </w:r>
      <w:r>
        <w:fldChar w:fldCharType="separate"/>
      </w:r>
      <w:r w:rsidR="0023635D">
        <w:rPr>
          <w:noProof/>
        </w:rPr>
        <w:t>7</w:t>
      </w:r>
      <w:r>
        <w:fldChar w:fldCharType="end"/>
      </w:r>
      <w:r>
        <w:noBreakHyphen/>
      </w:r>
      <w:r>
        <w:fldChar w:fldCharType="begin"/>
      </w:r>
      <w:r>
        <w:instrText>SEQ Tablica \* ARABIC \s 1</w:instrText>
      </w:r>
      <w:r>
        <w:fldChar w:fldCharType="separate"/>
      </w:r>
      <w:r w:rsidR="0023635D">
        <w:rPr>
          <w:noProof/>
        </w:rPr>
        <w:t>2</w:t>
      </w:r>
      <w:r>
        <w:fldChar w:fldCharType="end"/>
      </w:r>
      <w:r>
        <w:t xml:space="preserve"> </w:t>
      </w:r>
      <w:r w:rsidRPr="00A100BA">
        <w:t>utjecaj modela sufinanciranja na pitanje dopuštenosti državne potpore</w:t>
      </w:r>
      <w:bookmarkEnd w:id="122"/>
    </w:p>
    <w:tbl>
      <w:tblPr>
        <w:tblStyle w:val="Reetkatablice"/>
        <w:tblW w:w="5000" w:type="pct"/>
        <w:tblLayout w:type="fixed"/>
        <w:tblLook w:val="04A0" w:firstRow="1" w:lastRow="0" w:firstColumn="1" w:lastColumn="0" w:noHBand="0" w:noVBand="1"/>
      </w:tblPr>
      <w:tblGrid>
        <w:gridCol w:w="3706"/>
        <w:gridCol w:w="1012"/>
        <w:gridCol w:w="1256"/>
        <w:gridCol w:w="1624"/>
        <w:gridCol w:w="1746"/>
      </w:tblGrid>
      <w:tr w:rsidR="00CF4E38" w:rsidRPr="00996EF6" w14:paraId="7F951FEF" w14:textId="77777777" w:rsidTr="00166B1A">
        <w:tc>
          <w:tcPr>
            <w:tcW w:w="3706" w:type="dxa"/>
          </w:tcPr>
          <w:p w14:paraId="3AF56DA0" w14:textId="77777777" w:rsidR="00CF4E38" w:rsidRPr="00166B1A" w:rsidRDefault="00CF4E38" w:rsidP="006E4FAB">
            <w:pPr>
              <w:spacing w:before="0" w:after="0"/>
              <w:rPr>
                <w:rFonts w:cs="Tahoma"/>
              </w:rPr>
            </w:pPr>
          </w:p>
        </w:tc>
        <w:tc>
          <w:tcPr>
            <w:tcW w:w="1012" w:type="dxa"/>
          </w:tcPr>
          <w:p w14:paraId="747B756E" w14:textId="77777777" w:rsidR="00CF4E38" w:rsidRPr="00166B1A" w:rsidRDefault="00CF4E38" w:rsidP="006E4FAB">
            <w:pPr>
              <w:spacing w:before="0" w:after="0"/>
              <w:rPr>
                <w:rFonts w:cs="Tahoma"/>
              </w:rPr>
            </w:pPr>
            <w:r w:rsidRPr="00166B1A">
              <w:rPr>
                <w:rFonts w:cs="Tahoma"/>
              </w:rPr>
              <w:t>Fleksibilna stopa sufinanciranja</w:t>
            </w:r>
          </w:p>
        </w:tc>
        <w:tc>
          <w:tcPr>
            <w:tcW w:w="1256" w:type="dxa"/>
          </w:tcPr>
          <w:p w14:paraId="3F54E2CA" w14:textId="77777777" w:rsidR="00CF4E38" w:rsidRPr="00166B1A" w:rsidRDefault="00CF4E38" w:rsidP="006E4FAB">
            <w:pPr>
              <w:spacing w:before="0" w:after="0"/>
              <w:rPr>
                <w:rFonts w:cs="Tahoma"/>
              </w:rPr>
            </w:pPr>
            <w:r w:rsidRPr="00166B1A">
              <w:rPr>
                <w:rFonts w:cs="Tahoma"/>
              </w:rPr>
              <w:t>Subvencioniranje prema mjerama energetske učinkovitosti</w:t>
            </w:r>
          </w:p>
        </w:tc>
        <w:tc>
          <w:tcPr>
            <w:tcW w:w="1624" w:type="dxa"/>
          </w:tcPr>
          <w:p w14:paraId="368D3387" w14:textId="77777777" w:rsidR="00CF4E38" w:rsidRPr="00166B1A" w:rsidRDefault="00CF4E38" w:rsidP="006E4FAB">
            <w:pPr>
              <w:spacing w:before="0" w:after="0"/>
              <w:rPr>
                <w:rFonts w:cs="Tahoma"/>
              </w:rPr>
            </w:pPr>
            <w:r w:rsidRPr="00166B1A">
              <w:rPr>
                <w:rFonts w:cs="Tahoma"/>
              </w:rPr>
              <w:t>Subvencioniranje prema ukupnim troškovima uz flat rate</w:t>
            </w:r>
          </w:p>
        </w:tc>
        <w:tc>
          <w:tcPr>
            <w:tcW w:w="1746" w:type="dxa"/>
          </w:tcPr>
          <w:p w14:paraId="61FE9B35" w14:textId="76B76CCC" w:rsidR="00CF4E38" w:rsidRPr="00166B1A" w:rsidRDefault="00243492" w:rsidP="006E4FAB">
            <w:pPr>
              <w:spacing w:before="0" w:after="0"/>
              <w:rPr>
                <w:rFonts w:cs="Tahoma"/>
              </w:rPr>
            </w:pPr>
            <w:r w:rsidRPr="00166B1A">
              <w:rPr>
                <w:rFonts w:cs="Tahoma"/>
              </w:rPr>
              <w:t xml:space="preserve">Sufinanciranje prema </w:t>
            </w:r>
            <w:r>
              <w:rPr>
                <w:rFonts w:cs="Tahoma"/>
              </w:rPr>
              <w:t>prihvatljivi</w:t>
            </w:r>
            <w:r w:rsidRPr="00166B1A">
              <w:rPr>
                <w:rFonts w:cs="Tahoma"/>
              </w:rPr>
              <w:t>m troškovima na osnovi projekta i cost-benefit analize</w:t>
            </w:r>
          </w:p>
        </w:tc>
      </w:tr>
      <w:tr w:rsidR="00CF4E38" w:rsidRPr="00996EF6" w14:paraId="1F860531" w14:textId="77777777" w:rsidTr="00166B1A">
        <w:tc>
          <w:tcPr>
            <w:tcW w:w="9344" w:type="dxa"/>
            <w:gridSpan w:val="5"/>
          </w:tcPr>
          <w:p w14:paraId="16F7124E" w14:textId="77777777" w:rsidR="00CF4E38" w:rsidRPr="00166B1A" w:rsidRDefault="00CF4E38" w:rsidP="006E4FAB">
            <w:pPr>
              <w:spacing w:before="0" w:after="0"/>
              <w:rPr>
                <w:rFonts w:cs="Tahoma"/>
              </w:rPr>
            </w:pPr>
            <w:r w:rsidRPr="00166B1A">
              <w:rPr>
                <w:rFonts w:cs="Tahoma"/>
              </w:rPr>
              <w:t>Dokazi dopuštenosti državne potpore</w:t>
            </w:r>
          </w:p>
        </w:tc>
      </w:tr>
      <w:tr w:rsidR="00CF4E38" w:rsidRPr="00996EF6" w14:paraId="62C6C206" w14:textId="77777777" w:rsidTr="00166B1A">
        <w:tc>
          <w:tcPr>
            <w:tcW w:w="3706" w:type="dxa"/>
          </w:tcPr>
          <w:p w14:paraId="7381EDE2" w14:textId="77777777" w:rsidR="00CF4E38" w:rsidRPr="00166B1A" w:rsidRDefault="00CF4E38" w:rsidP="006E4FAB">
            <w:pPr>
              <w:spacing w:before="0" w:after="0"/>
              <w:rPr>
                <w:rFonts w:cs="Tahoma"/>
              </w:rPr>
            </w:pPr>
            <w:r w:rsidRPr="00166B1A">
              <w:rPr>
                <w:rFonts w:cs="Tahoma"/>
              </w:rPr>
              <w:t>Dokaz doprinosa dobro definiranom cilju od zajedničkog interesa</w:t>
            </w:r>
          </w:p>
        </w:tc>
        <w:tc>
          <w:tcPr>
            <w:tcW w:w="1012" w:type="dxa"/>
            <w:vAlign w:val="center"/>
          </w:tcPr>
          <w:p w14:paraId="5A8FE312"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5D072000"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75638081"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0545D345"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0BD3C102" w14:textId="77777777" w:rsidTr="00166B1A">
        <w:tc>
          <w:tcPr>
            <w:tcW w:w="3706" w:type="dxa"/>
          </w:tcPr>
          <w:p w14:paraId="7E0E56B6" w14:textId="77777777" w:rsidR="00CF4E38" w:rsidRPr="00166B1A" w:rsidRDefault="00CF4E38" w:rsidP="006E4FAB">
            <w:pPr>
              <w:spacing w:before="0" w:after="0"/>
              <w:rPr>
                <w:rFonts w:cs="Tahoma"/>
              </w:rPr>
            </w:pPr>
            <w:r w:rsidRPr="00166B1A">
              <w:rPr>
                <w:rFonts w:cs="Tahoma"/>
              </w:rPr>
              <w:t>Dokaz potreba za intervencijom države</w:t>
            </w:r>
          </w:p>
        </w:tc>
        <w:tc>
          <w:tcPr>
            <w:tcW w:w="1012" w:type="dxa"/>
            <w:vAlign w:val="center"/>
          </w:tcPr>
          <w:p w14:paraId="072191F6"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2DE93800"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6716233A"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57524FFF"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394FE3F4" w14:textId="77777777" w:rsidTr="00166B1A">
        <w:tc>
          <w:tcPr>
            <w:tcW w:w="3706" w:type="dxa"/>
          </w:tcPr>
          <w:p w14:paraId="55A01542" w14:textId="77777777" w:rsidR="00CF4E38" w:rsidRPr="00166B1A" w:rsidRDefault="00CF4E38" w:rsidP="006E4FAB">
            <w:pPr>
              <w:spacing w:before="0" w:after="0"/>
              <w:rPr>
                <w:rFonts w:cs="Tahoma"/>
              </w:rPr>
            </w:pPr>
            <w:r w:rsidRPr="00166B1A">
              <w:rPr>
                <w:rFonts w:cs="Tahoma"/>
              </w:rPr>
              <w:t>Dokaz o prikladnosti potpore</w:t>
            </w:r>
          </w:p>
        </w:tc>
        <w:tc>
          <w:tcPr>
            <w:tcW w:w="1012" w:type="dxa"/>
            <w:vAlign w:val="center"/>
          </w:tcPr>
          <w:p w14:paraId="795C7345"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ABF064A"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3D61383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55B5C4E8"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6ABD6208" w14:textId="77777777" w:rsidTr="00166B1A">
        <w:tc>
          <w:tcPr>
            <w:tcW w:w="3706" w:type="dxa"/>
          </w:tcPr>
          <w:p w14:paraId="48E8E227" w14:textId="77777777" w:rsidR="00CF4E38" w:rsidRPr="00166B1A" w:rsidRDefault="00CF4E38" w:rsidP="006E4FAB">
            <w:pPr>
              <w:spacing w:before="0" w:after="0"/>
              <w:rPr>
                <w:rFonts w:cs="Tahoma"/>
              </w:rPr>
            </w:pPr>
            <w:r w:rsidRPr="00166B1A">
              <w:rPr>
                <w:rFonts w:cs="Tahoma"/>
              </w:rPr>
              <w:t>Dokaz učinka poticaja</w:t>
            </w:r>
          </w:p>
        </w:tc>
        <w:tc>
          <w:tcPr>
            <w:tcW w:w="1012" w:type="dxa"/>
            <w:vAlign w:val="center"/>
          </w:tcPr>
          <w:p w14:paraId="2938DC31"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05641E78"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6CF18CD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09B47371"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54644743" w14:textId="77777777" w:rsidTr="00166B1A">
        <w:tc>
          <w:tcPr>
            <w:tcW w:w="3706" w:type="dxa"/>
          </w:tcPr>
          <w:p w14:paraId="7E66BEA5" w14:textId="77777777" w:rsidR="00CF4E38" w:rsidRPr="00166B1A" w:rsidRDefault="00CF4E38" w:rsidP="006E4FAB">
            <w:pPr>
              <w:spacing w:before="0" w:after="0"/>
              <w:rPr>
                <w:rFonts w:cs="Tahoma"/>
              </w:rPr>
            </w:pPr>
            <w:r w:rsidRPr="00166B1A">
              <w:rPr>
                <w:rFonts w:cs="Tahoma"/>
              </w:rPr>
              <w:t>Dokaz razmjernosti potpora</w:t>
            </w:r>
          </w:p>
        </w:tc>
        <w:tc>
          <w:tcPr>
            <w:tcW w:w="1012" w:type="dxa"/>
            <w:vAlign w:val="center"/>
          </w:tcPr>
          <w:p w14:paraId="46ACB5CE"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AC76F08"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7FFB85E1"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6F4C123B"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22820DB4" w14:textId="77777777" w:rsidTr="00166B1A">
        <w:tc>
          <w:tcPr>
            <w:tcW w:w="3706" w:type="dxa"/>
          </w:tcPr>
          <w:p w14:paraId="260EA97C" w14:textId="77777777" w:rsidR="00CF4E38" w:rsidRPr="00166B1A" w:rsidRDefault="00CF4E38" w:rsidP="006E4FAB">
            <w:pPr>
              <w:spacing w:before="0" w:after="0"/>
              <w:rPr>
                <w:rFonts w:cs="Tahoma"/>
              </w:rPr>
            </w:pPr>
            <w:r w:rsidRPr="00166B1A">
              <w:rPr>
                <w:rFonts w:cs="Tahoma"/>
              </w:rPr>
              <w:t>Analiza nepotrebnih negativnih učinaka na tržišno natjecanje i trgovinu</w:t>
            </w:r>
          </w:p>
        </w:tc>
        <w:tc>
          <w:tcPr>
            <w:tcW w:w="1012" w:type="dxa"/>
            <w:vAlign w:val="center"/>
          </w:tcPr>
          <w:p w14:paraId="1B88D337"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B1B9E4C"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D94C817"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6FCCE535"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5341B11B" w14:textId="77777777" w:rsidTr="00166B1A">
        <w:tc>
          <w:tcPr>
            <w:tcW w:w="3706" w:type="dxa"/>
          </w:tcPr>
          <w:p w14:paraId="72547825" w14:textId="77777777" w:rsidR="00CF4E38" w:rsidRPr="00166B1A" w:rsidRDefault="00CF4E38" w:rsidP="006E4FAB">
            <w:pPr>
              <w:spacing w:before="0" w:after="0"/>
              <w:rPr>
                <w:rFonts w:cs="Tahoma"/>
              </w:rPr>
            </w:pPr>
            <w:r w:rsidRPr="00166B1A">
              <w:rPr>
                <w:rFonts w:cs="Tahoma"/>
              </w:rPr>
              <w:t>Osiguravanje transparentnosti potpore</w:t>
            </w:r>
          </w:p>
        </w:tc>
        <w:tc>
          <w:tcPr>
            <w:tcW w:w="1012" w:type="dxa"/>
            <w:vAlign w:val="center"/>
          </w:tcPr>
          <w:p w14:paraId="2D9227C4" w14:textId="77777777" w:rsidR="00CF4E38" w:rsidRPr="00166B1A" w:rsidRDefault="00CF4E38" w:rsidP="006E4FAB">
            <w:pPr>
              <w:spacing w:before="0" w:after="0"/>
              <w:jc w:val="center"/>
              <w:rPr>
                <w:rFonts w:cs="Tahoma"/>
              </w:rPr>
            </w:pPr>
            <w:r w:rsidRPr="00166B1A">
              <w:rPr>
                <w:rFonts w:cs="Tahoma"/>
              </w:rPr>
              <w:t>DA*</w:t>
            </w:r>
          </w:p>
        </w:tc>
        <w:tc>
          <w:tcPr>
            <w:tcW w:w="1256" w:type="dxa"/>
            <w:vAlign w:val="center"/>
          </w:tcPr>
          <w:p w14:paraId="5B0C5BA6"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0424DA28"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14D1E4C2"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5F0961AA" w14:textId="77777777" w:rsidTr="00166B1A">
        <w:tc>
          <w:tcPr>
            <w:tcW w:w="9344" w:type="dxa"/>
            <w:gridSpan w:val="5"/>
            <w:vAlign w:val="center"/>
          </w:tcPr>
          <w:p w14:paraId="1A342F5A" w14:textId="77777777" w:rsidR="00CF4E38" w:rsidRPr="00166B1A" w:rsidRDefault="00CF4E38" w:rsidP="006E4FAB">
            <w:pPr>
              <w:spacing w:before="0" w:after="0"/>
              <w:rPr>
                <w:rFonts w:cs="Tahoma"/>
              </w:rPr>
            </w:pPr>
            <w:r w:rsidRPr="00166B1A">
              <w:rPr>
                <w:rFonts w:cs="Tahoma"/>
              </w:rPr>
              <w:t>Potrebni dokumenti</w:t>
            </w:r>
          </w:p>
        </w:tc>
      </w:tr>
      <w:tr w:rsidR="00CF4E38" w:rsidRPr="00996EF6" w14:paraId="1E27D669" w14:textId="77777777" w:rsidTr="00166B1A">
        <w:tc>
          <w:tcPr>
            <w:tcW w:w="3706" w:type="dxa"/>
          </w:tcPr>
          <w:p w14:paraId="05F4AC06" w14:textId="77777777" w:rsidR="00CF4E38" w:rsidRPr="00166B1A" w:rsidRDefault="00CF4E38" w:rsidP="006E4FAB">
            <w:pPr>
              <w:spacing w:before="0" w:after="0"/>
              <w:rPr>
                <w:rFonts w:cs="Tahoma"/>
              </w:rPr>
            </w:pPr>
            <w:r w:rsidRPr="00166B1A">
              <w:rPr>
                <w:rFonts w:cs="Tahoma"/>
              </w:rPr>
              <w:t>Prijava i provjera protučinjeničnog scenarija</w:t>
            </w:r>
          </w:p>
        </w:tc>
        <w:tc>
          <w:tcPr>
            <w:tcW w:w="1012" w:type="dxa"/>
            <w:vAlign w:val="center"/>
          </w:tcPr>
          <w:p w14:paraId="16781FEC"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196D6DFD"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62140CE"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14BFD3AA"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738C50E1" w14:textId="77777777" w:rsidTr="00166B1A">
        <w:tc>
          <w:tcPr>
            <w:tcW w:w="3706" w:type="dxa"/>
          </w:tcPr>
          <w:p w14:paraId="79592FB7" w14:textId="77777777" w:rsidR="00CF4E38" w:rsidRPr="00166B1A" w:rsidRDefault="00CF4E38" w:rsidP="006E4FAB">
            <w:pPr>
              <w:spacing w:before="0" w:after="0"/>
              <w:rPr>
                <w:rFonts w:cs="Tahoma"/>
              </w:rPr>
            </w:pPr>
            <w:r w:rsidRPr="00166B1A">
              <w:rPr>
                <w:rFonts w:cs="Tahoma"/>
              </w:rPr>
              <w:t>Provjera učinka poticaja putem vjerodostojnih dokumenata</w:t>
            </w:r>
          </w:p>
        </w:tc>
        <w:tc>
          <w:tcPr>
            <w:tcW w:w="1012" w:type="dxa"/>
            <w:vAlign w:val="center"/>
          </w:tcPr>
          <w:p w14:paraId="6D887ACF"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27DC56CE"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4AFADD3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1504C87E"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2FC5ABF7" w14:textId="77777777" w:rsidTr="00166B1A">
        <w:tc>
          <w:tcPr>
            <w:tcW w:w="3706" w:type="dxa"/>
          </w:tcPr>
          <w:p w14:paraId="6907B009" w14:textId="77777777" w:rsidR="00CF4E38" w:rsidRPr="00166B1A" w:rsidRDefault="00CF4E38" w:rsidP="006E4FAB">
            <w:pPr>
              <w:spacing w:before="0" w:after="0"/>
              <w:rPr>
                <w:rFonts w:cs="Tahoma"/>
              </w:rPr>
            </w:pPr>
            <w:r w:rsidRPr="00166B1A">
              <w:rPr>
                <w:rFonts w:cs="Tahoma"/>
              </w:rPr>
              <w:t>Potrebna ex-ante analiza</w:t>
            </w:r>
          </w:p>
        </w:tc>
        <w:tc>
          <w:tcPr>
            <w:tcW w:w="1012" w:type="dxa"/>
            <w:vAlign w:val="center"/>
          </w:tcPr>
          <w:p w14:paraId="66F9437A"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039E82FB"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73137A9F"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4D5422BE"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186C77FA" w14:textId="77777777" w:rsidTr="00166B1A">
        <w:tc>
          <w:tcPr>
            <w:tcW w:w="3706" w:type="dxa"/>
          </w:tcPr>
          <w:p w14:paraId="4D62ED82" w14:textId="77777777" w:rsidR="00CF4E38" w:rsidRPr="00166B1A" w:rsidRDefault="00CF4E38" w:rsidP="006E4FAB">
            <w:pPr>
              <w:spacing w:before="0" w:after="0"/>
              <w:rPr>
                <w:rFonts w:cs="Tahoma"/>
              </w:rPr>
            </w:pPr>
            <w:r w:rsidRPr="00166B1A">
              <w:rPr>
                <w:rFonts w:cs="Tahoma"/>
              </w:rPr>
              <w:t>Obveza prijave pojedinačne potpore</w:t>
            </w:r>
          </w:p>
        </w:tc>
        <w:tc>
          <w:tcPr>
            <w:tcW w:w="1012" w:type="dxa"/>
            <w:vAlign w:val="center"/>
          </w:tcPr>
          <w:p w14:paraId="673E78B4"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2A9817B"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BD941B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78BA26B9"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7AB40DB5" w14:textId="77777777" w:rsidTr="00166B1A">
        <w:tc>
          <w:tcPr>
            <w:tcW w:w="9344" w:type="dxa"/>
            <w:gridSpan w:val="5"/>
          </w:tcPr>
          <w:p w14:paraId="14437389" w14:textId="77777777" w:rsidR="00CF4E38" w:rsidRPr="00166B1A" w:rsidRDefault="00CF4E38" w:rsidP="006E4FAB">
            <w:pPr>
              <w:spacing w:before="0" w:after="0"/>
              <w:rPr>
                <w:rFonts w:cs="Tahoma"/>
              </w:rPr>
            </w:pPr>
            <w:r w:rsidRPr="00166B1A">
              <w:rPr>
                <w:rFonts w:cs="Tahoma"/>
              </w:rPr>
              <w:t>Dopušteni iznosi potpore</w:t>
            </w:r>
          </w:p>
        </w:tc>
      </w:tr>
      <w:tr w:rsidR="00CF4E38" w:rsidRPr="00996EF6" w14:paraId="5DFD1F66" w14:textId="77777777" w:rsidTr="00166B1A">
        <w:tc>
          <w:tcPr>
            <w:tcW w:w="3706" w:type="dxa"/>
          </w:tcPr>
          <w:p w14:paraId="687EC8C5" w14:textId="77777777" w:rsidR="00CF4E38" w:rsidRPr="00166B1A" w:rsidRDefault="00CF4E38" w:rsidP="006E4FAB">
            <w:pPr>
              <w:spacing w:before="0" w:after="0"/>
              <w:rPr>
                <w:rFonts w:cs="Tahoma"/>
              </w:rPr>
            </w:pPr>
            <w:r w:rsidRPr="00166B1A">
              <w:rPr>
                <w:rFonts w:cs="Tahoma"/>
              </w:rPr>
              <w:t>Najviši intenzitet potpora (% troškova investicije)</w:t>
            </w:r>
          </w:p>
        </w:tc>
        <w:tc>
          <w:tcPr>
            <w:tcW w:w="1012" w:type="dxa"/>
            <w:vAlign w:val="center"/>
          </w:tcPr>
          <w:p w14:paraId="62E91CAF" w14:textId="77777777" w:rsidR="00CF4E38" w:rsidRPr="00166B1A" w:rsidRDefault="00CF4E38" w:rsidP="006E4FAB">
            <w:pPr>
              <w:spacing w:before="0" w:after="0"/>
              <w:jc w:val="center"/>
              <w:rPr>
                <w:rFonts w:cs="Tahoma"/>
              </w:rPr>
            </w:pPr>
            <w:r w:rsidRPr="00166B1A">
              <w:rPr>
                <w:rFonts w:cs="Tahoma"/>
              </w:rPr>
              <w:t>100%</w:t>
            </w:r>
          </w:p>
        </w:tc>
        <w:tc>
          <w:tcPr>
            <w:tcW w:w="1256" w:type="dxa"/>
            <w:vAlign w:val="center"/>
          </w:tcPr>
          <w:p w14:paraId="23FE4DBA" w14:textId="77777777" w:rsidR="00CF4E38" w:rsidRPr="00166B1A" w:rsidRDefault="00CF4E38" w:rsidP="006E4FAB">
            <w:pPr>
              <w:spacing w:before="0" w:after="0"/>
              <w:jc w:val="center"/>
              <w:rPr>
                <w:rFonts w:cs="Tahoma"/>
              </w:rPr>
            </w:pPr>
            <w:r w:rsidRPr="00166B1A">
              <w:rPr>
                <w:rFonts w:cs="Tahoma"/>
              </w:rPr>
              <w:t>45-65% **</w:t>
            </w:r>
          </w:p>
        </w:tc>
        <w:tc>
          <w:tcPr>
            <w:tcW w:w="1624" w:type="dxa"/>
            <w:vAlign w:val="center"/>
          </w:tcPr>
          <w:p w14:paraId="6DF89E7A" w14:textId="77777777" w:rsidR="00CF4E38" w:rsidRPr="00166B1A" w:rsidRDefault="00CF4E38" w:rsidP="006E4FAB">
            <w:pPr>
              <w:spacing w:before="0" w:after="0"/>
              <w:jc w:val="center"/>
              <w:rPr>
                <w:rFonts w:cs="Tahoma"/>
              </w:rPr>
            </w:pPr>
            <w:r w:rsidRPr="00166B1A">
              <w:rPr>
                <w:rFonts w:cs="Tahoma"/>
              </w:rPr>
              <w:t>45-65% **</w:t>
            </w:r>
          </w:p>
        </w:tc>
        <w:tc>
          <w:tcPr>
            <w:tcW w:w="1746" w:type="dxa"/>
            <w:vAlign w:val="center"/>
          </w:tcPr>
          <w:p w14:paraId="75E49A37" w14:textId="77777777" w:rsidR="00CF4E38" w:rsidRPr="00166B1A" w:rsidRDefault="00CF4E38" w:rsidP="006E4FAB">
            <w:pPr>
              <w:spacing w:before="0" w:after="0"/>
              <w:jc w:val="center"/>
              <w:rPr>
                <w:rFonts w:cs="Tahoma"/>
              </w:rPr>
            </w:pPr>
            <w:r w:rsidRPr="00166B1A">
              <w:rPr>
                <w:rFonts w:cs="Tahoma"/>
              </w:rPr>
              <w:t>45-65% **</w:t>
            </w:r>
          </w:p>
        </w:tc>
      </w:tr>
      <w:tr w:rsidR="00CF4E38" w:rsidRPr="00996EF6" w14:paraId="11A556FC" w14:textId="77777777" w:rsidTr="00166B1A">
        <w:tc>
          <w:tcPr>
            <w:tcW w:w="3706" w:type="dxa"/>
          </w:tcPr>
          <w:p w14:paraId="52AA69CA" w14:textId="77777777" w:rsidR="00CF4E38" w:rsidRPr="00166B1A" w:rsidRDefault="00CF4E38" w:rsidP="006E4FAB">
            <w:pPr>
              <w:spacing w:before="0" w:after="0"/>
              <w:rPr>
                <w:rFonts w:cs="Tahoma"/>
              </w:rPr>
            </w:pPr>
            <w:r w:rsidRPr="00166B1A">
              <w:rPr>
                <w:rFonts w:cs="Tahoma"/>
              </w:rPr>
              <w:t>Moguće smanjenje iznosa potpore zbog ukupnih koristi od provedbe</w:t>
            </w:r>
          </w:p>
        </w:tc>
        <w:tc>
          <w:tcPr>
            <w:tcW w:w="1012" w:type="dxa"/>
            <w:vAlign w:val="center"/>
          </w:tcPr>
          <w:p w14:paraId="6EA94D23"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700120FD" w14:textId="77777777" w:rsidR="00CF4E38" w:rsidRPr="00166B1A" w:rsidRDefault="00CF4E38" w:rsidP="006E4FAB">
            <w:pPr>
              <w:spacing w:before="0" w:after="0"/>
              <w:jc w:val="center"/>
              <w:rPr>
                <w:rFonts w:cs="Tahoma"/>
              </w:rPr>
            </w:pPr>
            <w:r w:rsidRPr="00166B1A">
              <w:rPr>
                <w:rFonts w:cs="Tahoma"/>
              </w:rPr>
              <w:t>NE</w:t>
            </w:r>
          </w:p>
        </w:tc>
        <w:tc>
          <w:tcPr>
            <w:tcW w:w="1624" w:type="dxa"/>
            <w:vAlign w:val="center"/>
          </w:tcPr>
          <w:p w14:paraId="765B6BB0" w14:textId="77777777" w:rsidR="00CF4E38" w:rsidRPr="00166B1A" w:rsidRDefault="00CF4E38" w:rsidP="006E4FAB">
            <w:pPr>
              <w:spacing w:before="0" w:after="0"/>
              <w:jc w:val="center"/>
              <w:rPr>
                <w:rFonts w:cs="Tahoma"/>
              </w:rPr>
            </w:pPr>
            <w:r w:rsidRPr="00166B1A">
              <w:rPr>
                <w:rFonts w:cs="Tahoma"/>
              </w:rPr>
              <w:t>NE</w:t>
            </w:r>
          </w:p>
        </w:tc>
        <w:tc>
          <w:tcPr>
            <w:tcW w:w="1746" w:type="dxa"/>
            <w:vAlign w:val="center"/>
          </w:tcPr>
          <w:p w14:paraId="2C3F40CA"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440A13D2" w14:textId="77777777" w:rsidTr="00166B1A">
        <w:tc>
          <w:tcPr>
            <w:tcW w:w="3706" w:type="dxa"/>
          </w:tcPr>
          <w:p w14:paraId="0F06AD9C" w14:textId="77777777" w:rsidR="00CF4E38" w:rsidRPr="00166B1A" w:rsidRDefault="00CF4E38" w:rsidP="006E4FAB">
            <w:pPr>
              <w:spacing w:before="0" w:after="0"/>
              <w:rPr>
                <w:rFonts w:cs="Tahoma"/>
              </w:rPr>
            </w:pPr>
            <w:r w:rsidRPr="00166B1A">
              <w:rPr>
                <w:rFonts w:cs="Tahoma"/>
              </w:rPr>
              <w:t>Moguće korištenje potpora različitih vrsta (na primjer financijskih instrumenata i bespovratnih potpora)</w:t>
            </w:r>
          </w:p>
        </w:tc>
        <w:tc>
          <w:tcPr>
            <w:tcW w:w="1012" w:type="dxa"/>
            <w:vAlign w:val="center"/>
          </w:tcPr>
          <w:p w14:paraId="0E3EE5A8" w14:textId="77777777" w:rsidR="00CF4E38" w:rsidRPr="00166B1A" w:rsidRDefault="00CF4E38" w:rsidP="006E4FAB">
            <w:pPr>
              <w:spacing w:before="0" w:after="0"/>
              <w:jc w:val="center"/>
              <w:rPr>
                <w:rFonts w:cs="Tahoma"/>
              </w:rPr>
            </w:pPr>
            <w:r w:rsidRPr="00166B1A">
              <w:rPr>
                <w:rFonts w:cs="Tahoma"/>
              </w:rPr>
              <w:t>DA</w:t>
            </w:r>
          </w:p>
        </w:tc>
        <w:tc>
          <w:tcPr>
            <w:tcW w:w="1256" w:type="dxa"/>
            <w:vAlign w:val="center"/>
          </w:tcPr>
          <w:p w14:paraId="1DFD2969"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42A70A5" w14:textId="77777777" w:rsidR="00CF4E38" w:rsidRPr="00166B1A" w:rsidRDefault="00CF4E38" w:rsidP="006E4FAB">
            <w:pPr>
              <w:spacing w:before="0" w:after="0"/>
              <w:jc w:val="center"/>
              <w:rPr>
                <w:rFonts w:cs="Tahoma"/>
              </w:rPr>
            </w:pPr>
            <w:r w:rsidRPr="00166B1A">
              <w:rPr>
                <w:rFonts w:cs="Tahoma"/>
              </w:rPr>
              <w:t>NE</w:t>
            </w:r>
          </w:p>
        </w:tc>
        <w:tc>
          <w:tcPr>
            <w:tcW w:w="1746" w:type="dxa"/>
            <w:vAlign w:val="center"/>
          </w:tcPr>
          <w:p w14:paraId="3B303911" w14:textId="77777777" w:rsidR="00CF4E38" w:rsidRPr="00166B1A" w:rsidRDefault="00CF4E38" w:rsidP="006E4FAB">
            <w:pPr>
              <w:spacing w:before="0" w:after="0"/>
              <w:jc w:val="center"/>
              <w:rPr>
                <w:rFonts w:cs="Tahoma"/>
              </w:rPr>
            </w:pPr>
            <w:r w:rsidRPr="00166B1A">
              <w:rPr>
                <w:rFonts w:cs="Tahoma"/>
              </w:rPr>
              <w:t>NE</w:t>
            </w:r>
          </w:p>
        </w:tc>
      </w:tr>
    </w:tbl>
    <w:p w14:paraId="51A7468A" w14:textId="77777777" w:rsidR="00CF4E38" w:rsidRPr="006E4FAB" w:rsidRDefault="00CF4E38" w:rsidP="00CF4E38">
      <w:pPr>
        <w:rPr>
          <w:rFonts w:cs="Tahoma"/>
          <w:szCs w:val="20"/>
        </w:rPr>
      </w:pPr>
      <w:r w:rsidRPr="006E4FAB">
        <w:rPr>
          <w:rFonts w:cs="Tahoma"/>
          <w:szCs w:val="20"/>
        </w:rPr>
        <w:t>* Dostupne usvojene analize</w:t>
      </w:r>
    </w:p>
    <w:p w14:paraId="7CFE61DA" w14:textId="31096A7E" w:rsidR="00CF4E38" w:rsidRPr="00CF4E38" w:rsidRDefault="00CF4E38" w:rsidP="000D2350">
      <w:pPr>
        <w:rPr>
          <w:rFonts w:cs="Tahoma"/>
          <w:szCs w:val="20"/>
        </w:rPr>
      </w:pPr>
      <w:r w:rsidRPr="00166B1A">
        <w:rPr>
          <w:rFonts w:cs="Tahoma"/>
          <w:szCs w:val="20"/>
        </w:rPr>
        <w:t>** Potrebna primjena Opće Uredbe o skupnom izuzeću (eng. General Block Exemption Regulation - GBER), ovisno o veličini poduzetnika</w:t>
      </w:r>
    </w:p>
    <w:p w14:paraId="510C1945" w14:textId="3E6448E9" w:rsidR="007F70A3" w:rsidRDefault="00D06C33" w:rsidP="00703875">
      <w:pPr>
        <w:spacing w:after="0"/>
      </w:pPr>
      <w:r w:rsidRPr="00D06C33">
        <w:t>Temeljem Zakona o energetskoj učinkovitosti</w:t>
      </w:r>
      <w:r>
        <w:t>,</w:t>
      </w:r>
      <w:r w:rsidRPr="00D06C33">
        <w:t xml:space="preserve"> </w:t>
      </w:r>
      <w:r w:rsidR="00096E3E" w:rsidRPr="006734C7">
        <w:t>APN</w:t>
      </w:r>
      <w:r w:rsidR="00CF7B7A">
        <w:t xml:space="preserve"> </w:t>
      </w:r>
      <w:r w:rsidR="006D1FC8">
        <w:t>je tijelo zaduženo za provedbu postupka javne nabave za energetsku uslugu u zgradarstvu u ime i za račun proračunskih i izvanproračunskih korisnika državnog proračuna Republike Hrvatske</w:t>
      </w:r>
      <w:r w:rsidR="005E3A00">
        <w:t xml:space="preserve"> te će</w:t>
      </w:r>
      <w:r w:rsidR="005E3A00" w:rsidRPr="005E3A00">
        <w:t xml:space="preserve"> </w:t>
      </w:r>
      <w:r w:rsidR="005E3A00">
        <w:t xml:space="preserve">zajedno s ministarstvom nadležnim za poslove graditeljstva provoditi </w:t>
      </w:r>
      <w:r w:rsidR="00837643">
        <w:t>P</w:t>
      </w:r>
      <w:r w:rsidR="005E3A00">
        <w:t xml:space="preserve">rogram energetske obnove zgrada javnog sektora u okviru svog </w:t>
      </w:r>
      <w:r w:rsidR="00CF128E">
        <w:t xml:space="preserve">djelovanja. </w:t>
      </w:r>
      <w:r w:rsidR="007F70A3" w:rsidRPr="006734C7">
        <w:t xml:space="preserve"> </w:t>
      </w:r>
    </w:p>
    <w:p w14:paraId="079166C4" w14:textId="77777777" w:rsidR="004C1ECC" w:rsidRPr="00373352" w:rsidRDefault="004C1ECC" w:rsidP="00703875">
      <w:pPr>
        <w:spacing w:after="0"/>
        <w:rPr>
          <w:b/>
        </w:rPr>
      </w:pPr>
    </w:p>
    <w:p w14:paraId="1D62B36D" w14:textId="3735FE79" w:rsidR="007F70A3" w:rsidRPr="00373352" w:rsidRDefault="008E1B3B" w:rsidP="00920889">
      <w:pPr>
        <w:pStyle w:val="Naslov30"/>
      </w:pPr>
      <w:bookmarkStart w:id="123" w:name="_Toc94770002"/>
      <w:r w:rsidRPr="00203A80">
        <w:t xml:space="preserve">Financiranje putem </w:t>
      </w:r>
      <w:r w:rsidR="00360EC7" w:rsidRPr="00A67250">
        <w:t>modela javno-privatnog partnerstva (</w:t>
      </w:r>
      <w:r w:rsidRPr="005233CF">
        <w:t>JPP modela</w:t>
      </w:r>
      <w:r w:rsidR="00360EC7" w:rsidRPr="006734C7">
        <w:t>)</w:t>
      </w:r>
      <w:bookmarkEnd w:id="123"/>
    </w:p>
    <w:p w14:paraId="6E8A2D85" w14:textId="77777777" w:rsidR="007F70A3" w:rsidRPr="00B357F4" w:rsidRDefault="007F70A3" w:rsidP="007F70A3">
      <w:pPr>
        <w:spacing w:after="0"/>
      </w:pPr>
      <w:r w:rsidRPr="00203A80">
        <w:t xml:space="preserve">Pod </w:t>
      </w:r>
      <w:r w:rsidRPr="00A67250">
        <w:t>ugovornim oblikom  javno-privatnog partnerstva smatra se dugoročni ugovorni odnos između javnog i privatnog partnera predmet kojeg je izgradnja i/ili rekonstrukcija i održavanje javne građevine, u svrhu pružanja javnih usluga iz okvira nadležnosti javnog p</w:t>
      </w:r>
      <w:r w:rsidRPr="00971F9E">
        <w:t xml:space="preserve">artnera. Prilikom provedbe projekta JPP-a privatni </w:t>
      </w:r>
      <w:r w:rsidRPr="00971F9E">
        <w:lastRenderedPageBreak/>
        <w:t>partner preuzima obvezu i rizike koji su vezani uz proces gradnje te najmanje jedan od dva rizika i to rizik raspoloživosti javne građevine i rizik potražnje.</w:t>
      </w:r>
      <w:r w:rsidRPr="00B357F4">
        <w:t xml:space="preserve"> Za razliku od tradicionalnog načina nabave u modelu JPP-a nabavlja se usluga raspoloživosti  prostora građevine.</w:t>
      </w:r>
    </w:p>
    <w:p w14:paraId="355EC1E6" w14:textId="77777777" w:rsidR="007F70A3" w:rsidRPr="00B357F4" w:rsidRDefault="007F70A3" w:rsidP="007F70A3">
      <w:pPr>
        <w:spacing w:after="0"/>
        <w:rPr>
          <w:b/>
        </w:rPr>
      </w:pPr>
      <w:r w:rsidRPr="00B357F4">
        <w:rPr>
          <w:b/>
        </w:rPr>
        <w:t>Izvori financiranja</w:t>
      </w:r>
    </w:p>
    <w:p w14:paraId="0F416388" w14:textId="36C3C734" w:rsidR="007F70A3" w:rsidRPr="00203A80" w:rsidRDefault="7FF24299" w:rsidP="007F70A3">
      <w:pPr>
        <w:spacing w:after="0"/>
      </w:pPr>
      <w:r w:rsidRPr="00B357F4">
        <w:t xml:space="preserve">Bespovratna sredstva bi u ovom modelu bila namijenjena za smanjivanje JPP naknade za operativne troškove tijekom razdoblja trajanja projekta. Udio bespovratnih sredstava bi se u ovom slučaju određivao temeljem postotka projektiranih ušteda te broja ostalih obuhvaćenih mjera poput protupotresnog </w:t>
      </w:r>
      <w:r w:rsidR="688DFBC3" w:rsidRPr="00B357F4">
        <w:t>p</w:t>
      </w:r>
      <w:r w:rsidRPr="00B357F4">
        <w:t xml:space="preserve">ojačanja i dr. U slučaju sveobuhvatne obnove, koja kombinira mjere energetske obnove, </w:t>
      </w:r>
      <w:r w:rsidR="1E9316B8" w:rsidRPr="00B357F4">
        <w:t>mjere povećanja potresne otpornosti zgrade</w:t>
      </w:r>
      <w:r w:rsidRPr="00B357F4">
        <w:t xml:space="preserve">, protupožarnih mjera i osiguranja dobrih unutarnjih klimatskih uvjeta, te je zbog toga riječ o vrlo visokoj razini investicije, potrebno je osigurati bespovratna sredstava iz </w:t>
      </w:r>
      <w:r w:rsidR="4D12B8F5" w:rsidRPr="00B357F4">
        <w:t>Mehanizma za oporavak i otpornost (</w:t>
      </w:r>
      <w:r w:rsidR="5AA01BBD" w:rsidRPr="00B357F4">
        <w:t>NPOO</w:t>
      </w:r>
      <w:r w:rsidR="04750112" w:rsidRPr="00B357F4">
        <w:t>)</w:t>
      </w:r>
      <w:r w:rsidRPr="00B357F4">
        <w:t xml:space="preserve"> </w:t>
      </w:r>
      <w:r w:rsidR="004D6106">
        <w:t xml:space="preserve">ili VFO-a, </w:t>
      </w:r>
      <w:r w:rsidRPr="00B357F4">
        <w:t>do 80%</w:t>
      </w:r>
      <w:r w:rsidRPr="006734C7">
        <w:t xml:space="preserve"> prihvatljivih troškova sveobuhvatne obnove, uz sufinanciranje do 100% </w:t>
      </w:r>
      <w:r w:rsidR="00F25098" w:rsidRPr="00F25098">
        <w:t>prihvatljivih troškova</w:t>
      </w:r>
      <w:r w:rsidRPr="006734C7">
        <w:t xml:space="preserve"> tehničke pomoći u pripremi i provedbi projekta (po standardiziranoj ugovornoj i natječajnoj dokumentaciji).</w:t>
      </w:r>
    </w:p>
    <w:p w14:paraId="1BB8DE2D" w14:textId="77777777" w:rsidR="007F70A3" w:rsidRPr="00B357F4" w:rsidRDefault="007F70A3" w:rsidP="007F70A3">
      <w:pPr>
        <w:spacing w:after="0"/>
        <w:rPr>
          <w:b/>
        </w:rPr>
      </w:pPr>
      <w:r w:rsidRPr="00971F9E">
        <w:rPr>
          <w:b/>
        </w:rPr>
        <w:t>Posredničko tijelo</w:t>
      </w:r>
    </w:p>
    <w:p w14:paraId="1E3015BA" w14:textId="64595ABF" w:rsidR="007F70A3" w:rsidRPr="00CC7282" w:rsidRDefault="00C0A4DB" w:rsidP="007F70A3">
      <w:pPr>
        <w:spacing w:after="0"/>
      </w:pPr>
      <w:r w:rsidRPr="00B357F4">
        <w:t xml:space="preserve">Posredničko tijelo za ovaj model je </w:t>
      </w:r>
      <w:r w:rsidR="003206EE">
        <w:t xml:space="preserve">ministarstvo </w:t>
      </w:r>
      <w:r w:rsidR="00E34D0C">
        <w:t>z</w:t>
      </w:r>
      <w:r w:rsidR="00E34D0C" w:rsidRPr="00E34D0C">
        <w:t>aduženo</w:t>
      </w:r>
      <w:r w:rsidR="003206EE">
        <w:t xml:space="preserve"> za </w:t>
      </w:r>
      <w:r w:rsidR="00E34D0C" w:rsidRPr="00E34D0C">
        <w:t xml:space="preserve">uređenje i unapređenje tržišta javno-privatnog partnerstva </w:t>
      </w:r>
      <w:r w:rsidR="00E34D0C">
        <w:t>ili druga tijela prema nadležnosti pojedinih programa iz kojih se dodjeljuju bespovratna sredstva</w:t>
      </w:r>
      <w:r w:rsidRPr="006734C7">
        <w:t>. U svrhu pojednostavljenja pripreme</w:t>
      </w:r>
      <w:r w:rsidRPr="00373352">
        <w:t xml:space="preserve"> i provedbe JPP projekata te iskorištenja </w:t>
      </w:r>
      <w:r w:rsidR="00F661C5">
        <w:t>dotacija</w:t>
      </w:r>
      <w:r w:rsidRPr="00373352">
        <w:t>, potrebno je planirati izradu nacionalne dokumentacije za provedbu (dokumentacija o nabavi za sektorska rješenja: sektor odgoja i obrazovanja (škole i vrtići), sektor zgradarstva (javne administrati</w:t>
      </w:r>
      <w:r w:rsidRPr="00203A80">
        <w:t>vne zgrade) i sektor infrastruktura (javna rasvjeta i broadband) po uzoru na standardiziran</w:t>
      </w:r>
      <w:r w:rsidR="0049792D">
        <w:t>i</w:t>
      </w:r>
      <w:r w:rsidRPr="00203A80">
        <w:t xml:space="preserve"> Ugovor za ESCO projekte (APN).</w:t>
      </w:r>
    </w:p>
    <w:p w14:paraId="439AACE2" w14:textId="20454CB8" w:rsidR="092F845D" w:rsidRPr="00920889" w:rsidRDefault="0039416A" w:rsidP="00350C3B">
      <w:pPr>
        <w:rPr>
          <w:rFonts w:eastAsia="Tahoma" w:cs="Tahoma"/>
          <w:b/>
        </w:rPr>
      </w:pPr>
      <w:r w:rsidRPr="3A2FA2E0">
        <w:rPr>
          <w:rFonts w:cs="Tahoma"/>
          <w:szCs w:val="20"/>
        </w:rPr>
        <w:t>S</w:t>
      </w:r>
      <w:r w:rsidRPr="0049413C">
        <w:rPr>
          <w:rFonts w:cs="Tahoma"/>
          <w:szCs w:val="20"/>
        </w:rPr>
        <w:t>manjenje emisije stakleničkih plinova na najmanje 55% usvojeno u tzv. Europskom zakonu o klimi (Uredba (EU) 2021/1119 Europskog parlamenta i Vijeća od 30. lipnja 2021. o uspostavi okvira za postizanje klimatske neutralnosti i o izmjeni Uredbi (EZ) br. 401/2009 i (EU) 2018/1999 („Europski zakon o klimi”), čime je navedeni cilj postao pravno obvezujući za sve države članice te je slijedom toga predložen novi zakonodavni paket „Spremni za 55“</w:t>
      </w:r>
      <w:r w:rsidRPr="3A2FA2E0">
        <w:rPr>
          <w:rFonts w:cs="Tahoma"/>
          <w:szCs w:val="20"/>
        </w:rPr>
        <w:t xml:space="preserve"> kojim se EU približava </w:t>
      </w:r>
      <w:r w:rsidR="092F845D" w:rsidRPr="00920889">
        <w:rPr>
          <w:rFonts w:eastAsia="Tahoma" w:cs="Tahoma"/>
        </w:rPr>
        <w:t xml:space="preserve">ciljevima iz Europskog zelenog plana, odnosno ostvarivanju klimatske neutralnosti do 2050. godine uključujući prijelazni cilj do 2030. godine u smanjenju </w:t>
      </w:r>
      <w:r w:rsidR="000576E0">
        <w:rPr>
          <w:rFonts w:eastAsia="Tahoma" w:cs="Tahoma"/>
        </w:rPr>
        <w:t>stakleničkih plinova</w:t>
      </w:r>
      <w:r w:rsidR="000576E0" w:rsidRPr="00920889">
        <w:rPr>
          <w:rFonts w:eastAsia="Tahoma" w:cs="Tahoma"/>
        </w:rPr>
        <w:t xml:space="preserve"> </w:t>
      </w:r>
      <w:r w:rsidR="092F845D" w:rsidRPr="00920889">
        <w:rPr>
          <w:rFonts w:eastAsia="Tahoma" w:cs="Tahoma"/>
        </w:rPr>
        <w:t>za 55% u odnosu na 1990. godinu</w:t>
      </w:r>
      <w:r w:rsidR="00350C3B">
        <w:rPr>
          <w:rFonts w:eastAsia="Tahoma" w:cs="Tahoma"/>
          <w:b/>
        </w:rPr>
        <w:t>.</w:t>
      </w:r>
    </w:p>
    <w:p w14:paraId="371A01A3" w14:textId="77777777" w:rsidR="00D97E0A" w:rsidRPr="00B357F4" w:rsidRDefault="00D97E0A" w:rsidP="00AC13E7"/>
    <w:p w14:paraId="26194C60" w14:textId="77777777" w:rsidR="00B3644D" w:rsidRPr="006734C7" w:rsidRDefault="48ABCA51" w:rsidP="00B3644D">
      <w:pPr>
        <w:pStyle w:val="Naslov20"/>
      </w:pPr>
      <w:bookmarkStart w:id="124" w:name="_Toc94770003"/>
      <w:r w:rsidRPr="00B357F4">
        <w:t>Mogućnosti sveobuhvatne obnove u skladu s važećim propisima</w:t>
      </w:r>
      <w:bookmarkEnd w:id="124"/>
    </w:p>
    <w:p w14:paraId="2EC301C6" w14:textId="43104AEF" w:rsidR="00C83E55" w:rsidRDefault="003E12D8" w:rsidP="32FADF01">
      <w:pPr>
        <w:rPr>
          <w:rFonts w:eastAsia="Tahoma" w:cs="Tahoma"/>
          <w:szCs w:val="20"/>
        </w:rPr>
      </w:pPr>
      <w:r>
        <w:rPr>
          <w:rFonts w:eastAsia="Tahoma" w:cs="Tahoma"/>
          <w:szCs w:val="20"/>
        </w:rPr>
        <w:t xml:space="preserve">Sveobuhvatna obnova opisana je u Poglavlju 6.1. </w:t>
      </w:r>
      <w:r w:rsidR="001800E2">
        <w:rPr>
          <w:rFonts w:eastAsia="Tahoma" w:cs="Tahoma"/>
          <w:szCs w:val="20"/>
        </w:rPr>
        <w:t xml:space="preserve">te je </w:t>
      </w:r>
      <w:r w:rsidR="00C83E55">
        <w:rPr>
          <w:rFonts w:eastAsia="Tahoma" w:cs="Tahoma"/>
          <w:szCs w:val="20"/>
        </w:rPr>
        <w:t xml:space="preserve">Direktivom </w:t>
      </w:r>
      <w:r w:rsidR="004D4CDC">
        <w:rPr>
          <w:rFonts w:eastAsia="Tahoma" w:cs="Tahoma"/>
          <w:szCs w:val="20"/>
        </w:rPr>
        <w:t>2018/</w:t>
      </w:r>
      <w:r w:rsidR="00AE1DED">
        <w:rPr>
          <w:rFonts w:eastAsia="Tahoma" w:cs="Tahoma"/>
          <w:szCs w:val="20"/>
        </w:rPr>
        <w:t xml:space="preserve">844 Europskog parlamenta i vijeća od </w:t>
      </w:r>
      <w:r w:rsidR="00642CC6">
        <w:rPr>
          <w:rFonts w:eastAsia="Tahoma" w:cs="Tahoma"/>
          <w:szCs w:val="20"/>
        </w:rPr>
        <w:t xml:space="preserve">30. svibnja 2018. definirano sljedeće: </w:t>
      </w:r>
      <w:r w:rsidR="00C83E55" w:rsidRPr="00C83E55">
        <w:rPr>
          <w:rFonts w:eastAsia="Tahoma" w:cs="Tahoma"/>
          <w:szCs w:val="20"/>
        </w:rPr>
        <w:t>Države članice potiču, u slučaju zgrada koje se podvrgavaju većoj rekonstrukciji, visokoučinkovite alternativne sustave, u mjeri u kojoj je to tehnički, funkcionalno i gospodarski izvedivo te uzimaju u obzir pitanja zdravih unutarnjih klimatskih uvjeta, zaštite od požara i rizika povezanih s pojačanom seizmičkom aktivnosti.</w:t>
      </w:r>
      <w:r w:rsidR="0062251C">
        <w:rPr>
          <w:rFonts w:eastAsia="Tahoma" w:cs="Tahoma"/>
          <w:szCs w:val="20"/>
        </w:rPr>
        <w:t xml:space="preserve"> </w:t>
      </w:r>
      <w:r w:rsidR="002C58E2">
        <w:rPr>
          <w:rFonts w:eastAsia="Tahoma" w:cs="Tahoma"/>
          <w:szCs w:val="20"/>
        </w:rPr>
        <w:t>S</w:t>
      </w:r>
      <w:r w:rsidR="00696907">
        <w:rPr>
          <w:rFonts w:eastAsia="Tahoma" w:cs="Tahoma"/>
          <w:szCs w:val="20"/>
        </w:rPr>
        <w:t xml:space="preserve">ukladno navedenoj direktivi, navedena tematika </w:t>
      </w:r>
      <w:r w:rsidR="002418CF">
        <w:rPr>
          <w:rFonts w:eastAsia="Tahoma" w:cs="Tahoma"/>
          <w:szCs w:val="20"/>
        </w:rPr>
        <w:t>razrađena je u Dugoročnoj strategiji obnove nacionalnog fonda zgrada</w:t>
      </w:r>
      <w:r w:rsidR="006A1FED">
        <w:rPr>
          <w:rFonts w:eastAsia="Tahoma" w:cs="Tahoma"/>
          <w:szCs w:val="20"/>
        </w:rPr>
        <w:t xml:space="preserve"> </w:t>
      </w:r>
      <w:r w:rsidR="00EE71FD">
        <w:rPr>
          <w:rFonts w:eastAsia="Tahoma" w:cs="Tahoma"/>
          <w:szCs w:val="20"/>
        </w:rPr>
        <w:t>do 2050. godine.</w:t>
      </w:r>
    </w:p>
    <w:p w14:paraId="76718FB0" w14:textId="702F699F" w:rsidR="00493188" w:rsidRDefault="00493188" w:rsidP="32FADF01">
      <w:pPr>
        <w:rPr>
          <w:rFonts w:eastAsia="Tahoma" w:cs="Tahoma"/>
          <w:szCs w:val="20"/>
        </w:rPr>
      </w:pPr>
      <w:r w:rsidRPr="00493188">
        <w:rPr>
          <w:rFonts w:eastAsia="Tahoma" w:cs="Tahoma"/>
          <w:szCs w:val="20"/>
        </w:rPr>
        <w:t>Dugoročnom strategijom obnove nacionalnog fonda zgrada definirane su mjere kojima se prilikom energetske obnove zgrada pridonosi povećanju zaštite od požara i zaštite od rizika povezanih s djelovanjem potresa, kao i preporuke za poboljšanje zdravih unutarnjih klimatskih uvjeta, zaštite od požara i rizika povezanih s djelovanjem potresa za zgrade koje se podvrgavaju značajnoj obnovi.</w:t>
      </w:r>
    </w:p>
    <w:p w14:paraId="3CF44937" w14:textId="68D6A55F" w:rsidR="00493188" w:rsidRDefault="005849DA" w:rsidP="32FADF01">
      <w:pPr>
        <w:rPr>
          <w:rFonts w:eastAsia="Tahoma" w:cs="Tahoma"/>
          <w:szCs w:val="20"/>
        </w:rPr>
      </w:pPr>
      <w:r>
        <w:rPr>
          <w:rFonts w:eastAsia="Tahoma" w:cs="Tahoma"/>
          <w:szCs w:val="20"/>
        </w:rPr>
        <w:t>Dugoročna strategija ukazuje na nedostatak</w:t>
      </w:r>
      <w:r w:rsidRPr="005849DA">
        <w:rPr>
          <w:rFonts w:eastAsia="Tahoma" w:cs="Tahoma"/>
          <w:szCs w:val="20"/>
        </w:rPr>
        <w:t xml:space="preserve"> </w:t>
      </w:r>
      <w:r w:rsidR="00EE65C6">
        <w:rPr>
          <w:rFonts w:eastAsia="Tahoma" w:cs="Tahoma"/>
          <w:szCs w:val="20"/>
        </w:rPr>
        <w:t xml:space="preserve">protupožarnih </w:t>
      </w:r>
      <w:r w:rsidRPr="005849DA">
        <w:rPr>
          <w:rFonts w:eastAsia="Tahoma" w:cs="Tahoma"/>
          <w:szCs w:val="20"/>
        </w:rPr>
        <w:t>zahtjev</w:t>
      </w:r>
      <w:r>
        <w:rPr>
          <w:rFonts w:eastAsia="Tahoma" w:cs="Tahoma"/>
          <w:szCs w:val="20"/>
        </w:rPr>
        <w:t>a</w:t>
      </w:r>
      <w:r w:rsidRPr="005849DA">
        <w:rPr>
          <w:rFonts w:eastAsia="Tahoma" w:cs="Tahoma"/>
          <w:szCs w:val="20"/>
        </w:rPr>
        <w:t xml:space="preserve"> za postojeće zgrade, osobito za energetsku obnovu zgrada</w:t>
      </w:r>
      <w:r w:rsidR="00EE65C6">
        <w:rPr>
          <w:rFonts w:eastAsia="Tahoma" w:cs="Tahoma"/>
          <w:szCs w:val="20"/>
        </w:rPr>
        <w:t xml:space="preserve"> te</w:t>
      </w:r>
      <w:r w:rsidRPr="005849DA">
        <w:rPr>
          <w:rFonts w:eastAsia="Tahoma" w:cs="Tahoma"/>
          <w:szCs w:val="20"/>
        </w:rPr>
        <w:t xml:space="preserve"> </w:t>
      </w:r>
      <w:r w:rsidR="00EE65C6">
        <w:rPr>
          <w:rFonts w:eastAsia="Tahoma" w:cs="Tahoma"/>
          <w:szCs w:val="20"/>
        </w:rPr>
        <w:t>nužnost propisivanja</w:t>
      </w:r>
      <w:r w:rsidRPr="005849DA">
        <w:rPr>
          <w:rFonts w:eastAsia="Tahoma" w:cs="Tahoma"/>
          <w:szCs w:val="20"/>
        </w:rPr>
        <w:t xml:space="preserve"> uvjet</w:t>
      </w:r>
      <w:r w:rsidR="00EE65C6">
        <w:rPr>
          <w:rFonts w:eastAsia="Tahoma" w:cs="Tahoma"/>
          <w:szCs w:val="20"/>
        </w:rPr>
        <w:t>a</w:t>
      </w:r>
      <w:r w:rsidRPr="005849DA">
        <w:rPr>
          <w:rFonts w:eastAsia="Tahoma" w:cs="Tahoma"/>
          <w:szCs w:val="20"/>
        </w:rPr>
        <w:t xml:space="preserve"> za postojeće zgrade koji ne mogu biti isti kao za nove zgrade (jer većina zgrada nema odijeljene požarne sektore) u pogledu mogućnosti postavljanja vrsta toplinske izolacije na fasadu i uvjeta zaštite od požara za ugradnju dizala u postojeće zgrade koji povećavaju požarno opterećenje unutar zgrade. U projektima energetske obnove potrebno je propisati izradu prikaza svih primijenjenih mjera zaštite od požara koji podrazumijeva organizacijske mjere i radnje za otklanjanje opasnosti od nastanka požara u </w:t>
      </w:r>
      <w:r w:rsidR="00DC52B3">
        <w:rPr>
          <w:rFonts w:eastAsia="Tahoma" w:cs="Tahoma"/>
          <w:szCs w:val="20"/>
        </w:rPr>
        <w:t>zgradi</w:t>
      </w:r>
      <w:r w:rsidRPr="005849DA">
        <w:rPr>
          <w:rFonts w:eastAsia="Tahoma" w:cs="Tahoma"/>
          <w:szCs w:val="20"/>
        </w:rPr>
        <w:t xml:space="preserve">, rano otkrivanje požara u </w:t>
      </w:r>
      <w:r w:rsidR="00DC52B3">
        <w:rPr>
          <w:rFonts w:eastAsia="Tahoma" w:cs="Tahoma"/>
          <w:szCs w:val="20"/>
        </w:rPr>
        <w:t>zgradi</w:t>
      </w:r>
      <w:r w:rsidRPr="005849DA">
        <w:rPr>
          <w:rFonts w:eastAsia="Tahoma" w:cs="Tahoma"/>
          <w:szCs w:val="20"/>
        </w:rPr>
        <w:t>, obavješ</w:t>
      </w:r>
      <w:r w:rsidR="00DC52B3">
        <w:rPr>
          <w:rFonts w:eastAsia="Tahoma" w:cs="Tahoma"/>
          <w:szCs w:val="20"/>
        </w:rPr>
        <w:t>ta</w:t>
      </w:r>
      <w:r w:rsidRPr="005849DA">
        <w:rPr>
          <w:rFonts w:eastAsia="Tahoma" w:cs="Tahoma"/>
          <w:szCs w:val="20"/>
        </w:rPr>
        <w:t xml:space="preserve">vanje korisnika </w:t>
      </w:r>
      <w:r w:rsidR="00DC52B3">
        <w:rPr>
          <w:rFonts w:eastAsia="Tahoma" w:cs="Tahoma"/>
          <w:szCs w:val="20"/>
        </w:rPr>
        <w:t>zgrade</w:t>
      </w:r>
      <w:r w:rsidRPr="005849DA">
        <w:rPr>
          <w:rFonts w:eastAsia="Tahoma" w:cs="Tahoma"/>
          <w:szCs w:val="20"/>
        </w:rPr>
        <w:t xml:space="preserve"> o izbijanju požara, sprječavanje širenja požara i dima u </w:t>
      </w:r>
      <w:r w:rsidR="00DC52B3">
        <w:rPr>
          <w:rFonts w:eastAsia="Tahoma" w:cs="Tahoma"/>
          <w:szCs w:val="20"/>
        </w:rPr>
        <w:t>zgradi</w:t>
      </w:r>
      <w:r w:rsidRPr="005849DA">
        <w:rPr>
          <w:rFonts w:eastAsia="Tahoma" w:cs="Tahoma"/>
          <w:szCs w:val="20"/>
        </w:rPr>
        <w:t xml:space="preserve"> te učinkovito gašenje požara u </w:t>
      </w:r>
      <w:r w:rsidR="00DC52B3">
        <w:rPr>
          <w:rFonts w:eastAsia="Tahoma" w:cs="Tahoma"/>
          <w:szCs w:val="20"/>
        </w:rPr>
        <w:t>zgradi</w:t>
      </w:r>
      <w:r w:rsidRPr="005849DA">
        <w:rPr>
          <w:rFonts w:eastAsia="Tahoma" w:cs="Tahoma"/>
          <w:szCs w:val="20"/>
        </w:rPr>
        <w:t xml:space="preserve">, sigurno spašavanje ljudi i životinja ugroženih požarom </w:t>
      </w:r>
      <w:r w:rsidR="00DC52B3">
        <w:rPr>
          <w:rFonts w:eastAsia="Tahoma" w:cs="Tahoma"/>
          <w:szCs w:val="20"/>
        </w:rPr>
        <w:t>u zgradi</w:t>
      </w:r>
      <w:r w:rsidRPr="005849DA">
        <w:rPr>
          <w:rFonts w:eastAsia="Tahoma" w:cs="Tahoma"/>
          <w:szCs w:val="20"/>
        </w:rPr>
        <w:t xml:space="preserve">, sprječavanje i smanjenje štetnih posljedica požara u </w:t>
      </w:r>
      <w:r w:rsidR="00DC52B3">
        <w:rPr>
          <w:rFonts w:eastAsia="Tahoma" w:cs="Tahoma"/>
          <w:szCs w:val="20"/>
        </w:rPr>
        <w:t>zgradi</w:t>
      </w:r>
      <w:r w:rsidRPr="005849DA">
        <w:rPr>
          <w:rFonts w:eastAsia="Tahoma" w:cs="Tahoma"/>
          <w:szCs w:val="20"/>
        </w:rPr>
        <w:t>, u svim dijelovima glavnog projekta.</w:t>
      </w:r>
    </w:p>
    <w:p w14:paraId="561361DE" w14:textId="523F297B" w:rsidR="00DC52B3" w:rsidRDefault="003A5859" w:rsidP="32FADF01">
      <w:pPr>
        <w:rPr>
          <w:rFonts w:eastAsia="Tahoma" w:cs="Tahoma"/>
          <w:szCs w:val="20"/>
        </w:rPr>
      </w:pPr>
      <w:r>
        <w:rPr>
          <w:rFonts w:eastAsia="Tahoma" w:cs="Tahoma"/>
          <w:szCs w:val="20"/>
        </w:rPr>
        <w:t xml:space="preserve">Poglavlje </w:t>
      </w:r>
      <w:r w:rsidR="00211D2B">
        <w:rPr>
          <w:rFonts w:eastAsia="Tahoma" w:cs="Tahoma"/>
          <w:szCs w:val="20"/>
        </w:rPr>
        <w:t>6.1. opisuje tri razine energetske obnove zgrada (dubinska obnova, integralna energetska obnova i d</w:t>
      </w:r>
      <w:r w:rsidR="00211D2B" w:rsidRPr="00211D2B">
        <w:rPr>
          <w:rFonts w:eastAsia="Tahoma" w:cs="Tahoma"/>
          <w:szCs w:val="20"/>
        </w:rPr>
        <w:t>ubinska obnova do razine nZEB standarda za rekonstrukciju</w:t>
      </w:r>
      <w:r w:rsidR="00211D2B">
        <w:rPr>
          <w:rFonts w:eastAsia="Tahoma" w:cs="Tahoma"/>
          <w:szCs w:val="20"/>
        </w:rPr>
        <w:t>)</w:t>
      </w:r>
      <w:r w:rsidR="00D6307A">
        <w:rPr>
          <w:rFonts w:eastAsia="Tahoma" w:cs="Tahoma"/>
          <w:szCs w:val="20"/>
        </w:rPr>
        <w:t>.</w:t>
      </w:r>
      <w:r w:rsidR="00521731">
        <w:rPr>
          <w:rFonts w:eastAsia="Tahoma" w:cs="Tahoma"/>
          <w:szCs w:val="20"/>
        </w:rPr>
        <w:t xml:space="preserve"> Prema Dugoročnoj strategiji, </w:t>
      </w:r>
      <w:r w:rsidR="006732A8">
        <w:rPr>
          <w:rFonts w:eastAsia="Tahoma" w:cs="Tahoma"/>
          <w:szCs w:val="20"/>
        </w:rPr>
        <w:t>t</w:t>
      </w:r>
      <w:r w:rsidR="006732A8" w:rsidRPr="006732A8">
        <w:rPr>
          <w:rFonts w:eastAsia="Tahoma" w:cs="Tahoma"/>
          <w:szCs w:val="20"/>
        </w:rPr>
        <w:t xml:space="preserve">renutačno </w:t>
      </w:r>
      <w:r w:rsidR="006732A8" w:rsidRPr="006732A8">
        <w:rPr>
          <w:rFonts w:eastAsia="Tahoma" w:cs="Tahoma"/>
          <w:szCs w:val="20"/>
        </w:rPr>
        <w:lastRenderedPageBreak/>
        <w:t xml:space="preserve">zakonsko rješenje kojim se značajan broj energetskih obnova zbog pojednostavljenja procedura i ubrzanja postupaka provodi prema </w:t>
      </w:r>
      <w:r w:rsidR="006732A8" w:rsidRPr="00166B1A">
        <w:rPr>
          <w:rFonts w:eastAsia="Tahoma" w:cs="Tahoma"/>
          <w:i/>
          <w:iCs/>
          <w:szCs w:val="20"/>
        </w:rPr>
        <w:t>Pravilniku o jednostavnim i drugim radovima i građevinama („Narodne novine“ broj 112/17, 34/18, 36/19, 98/19, 31/20)</w:t>
      </w:r>
      <w:r w:rsidR="006732A8" w:rsidRPr="006732A8">
        <w:rPr>
          <w:rFonts w:eastAsia="Tahoma" w:cs="Tahoma"/>
          <w:szCs w:val="20"/>
        </w:rPr>
        <w:t xml:space="preserve"> dovodi do izvođenja radova bez građevinske dozvole i glavnog projekta</w:t>
      </w:r>
      <w:r w:rsidR="00592DB6">
        <w:rPr>
          <w:rFonts w:eastAsia="Tahoma" w:cs="Tahoma"/>
          <w:szCs w:val="20"/>
        </w:rPr>
        <w:t>,</w:t>
      </w:r>
      <w:r w:rsidR="006732A8" w:rsidRPr="006732A8">
        <w:rPr>
          <w:rFonts w:eastAsia="Tahoma" w:cs="Tahoma"/>
          <w:szCs w:val="20"/>
        </w:rPr>
        <w:t xml:space="preserve"> odnosno radova prema glavnom projektu bez građevinske dozvole i uključuje odgovornost sudionika u procesu gradnje.</w:t>
      </w:r>
      <w:r w:rsidR="00632CD8">
        <w:rPr>
          <w:rFonts w:eastAsia="Tahoma" w:cs="Tahoma"/>
          <w:szCs w:val="20"/>
        </w:rPr>
        <w:t xml:space="preserve"> </w:t>
      </w:r>
    </w:p>
    <w:p w14:paraId="5BE3127B" w14:textId="69757862" w:rsidR="007F534F" w:rsidRDefault="007F534F" w:rsidP="006732A8">
      <w:pPr>
        <w:rPr>
          <w:rFonts w:eastAsia="Tahoma" w:cs="Tahoma"/>
          <w:szCs w:val="20"/>
        </w:rPr>
      </w:pPr>
      <w:r w:rsidRPr="007F534F">
        <w:rPr>
          <w:rFonts w:eastAsia="Tahoma" w:cs="Tahoma"/>
          <w:szCs w:val="20"/>
        </w:rPr>
        <w:t>Poticanjem sveobuhvatne obnove zgrada povećava se obuhvat analiza i kvaliteta rješenja zaštite od požara. S obzirom na moguće načine uporabe zgrada i ranjivost pojedinačnih skupina korisnika, uz primjenu minimalnih zahtjeva na sadržaj projektne dokumentacije, proširenje obuhvata prethodnih analiza u pogledu zaštite od požara i seizmičkih aktivnosti obuhvaća se prihvatljivim troškovima energetske obnove.</w:t>
      </w:r>
    </w:p>
    <w:p w14:paraId="71A9DE7C" w14:textId="740CD64B" w:rsidR="009850A1" w:rsidRDefault="2B9E2976" w:rsidP="32FADF01">
      <w:r w:rsidRPr="11F3328E">
        <w:rPr>
          <w:rFonts w:eastAsia="Tahoma" w:cs="Tahoma"/>
          <w:szCs w:val="20"/>
        </w:rPr>
        <w:t xml:space="preserve">Sukladno </w:t>
      </w:r>
      <w:r w:rsidRPr="00166B1A">
        <w:rPr>
          <w:rFonts w:eastAsia="Tahoma" w:cs="Tahoma"/>
          <w:i/>
          <w:iCs/>
          <w:szCs w:val="20"/>
        </w:rPr>
        <w:t>Tehničkom propisu o racionalnoj uporabi energije i toplinskoj zaštiti u zgradama</w:t>
      </w:r>
      <w:r w:rsidR="00A1165D">
        <w:rPr>
          <w:rFonts w:eastAsia="Tahoma" w:cs="Tahoma"/>
          <w:szCs w:val="20"/>
        </w:rPr>
        <w:t>,</w:t>
      </w:r>
      <w:r w:rsidRPr="11F3328E">
        <w:rPr>
          <w:rFonts w:eastAsia="Tahoma" w:cs="Tahoma"/>
          <w:szCs w:val="20"/>
        </w:rPr>
        <w:t xml:space="preserve"> p</w:t>
      </w:r>
      <w:r w:rsidRPr="11F3328E">
        <w:rPr>
          <w:rFonts w:eastAsia="Tahoma" w:cs="Tahoma"/>
        </w:rPr>
        <w:t>rije značajne obnove zgrade</w:t>
      </w:r>
      <w:r w:rsidR="003248C7">
        <w:rPr>
          <w:rFonts w:eastAsia="Tahoma" w:cs="Tahoma"/>
        </w:rPr>
        <w:t>,</w:t>
      </w:r>
      <w:r w:rsidRPr="11F3328E">
        <w:rPr>
          <w:rFonts w:eastAsia="Tahoma" w:cs="Tahoma"/>
        </w:rPr>
        <w:t xml:space="preserve"> projektant, prema nadležnosti struke, treba napraviti analizu postojećeg stanja zgrade te dati prikaz mjera za poboljšanje postojećeg stanja cijele zgrade s procjenom investicije po pitanju zdravih unutarnjih klimatskih uvjeta, zaštite od požara i rizika povezanih s djelovanjem potresa, a sažetak analize prikazuje se u glavnom projektu.</w:t>
      </w:r>
    </w:p>
    <w:p w14:paraId="40355D90" w14:textId="77777777" w:rsidR="002A03CB" w:rsidRPr="006734C7" w:rsidRDefault="002A03CB" w:rsidP="002A03CB">
      <w:pPr>
        <w:pStyle w:val="Naslov20"/>
      </w:pPr>
      <w:bookmarkStart w:id="125" w:name="_Toc94770004"/>
      <w:r w:rsidRPr="00B357F4">
        <w:t>Definiranje ključnih institucija, zaduženja, financijskih i pravnih aspekata</w:t>
      </w:r>
      <w:bookmarkEnd w:id="125"/>
    </w:p>
    <w:p w14:paraId="5AF96F60" w14:textId="4668C60A" w:rsidR="00B3644D" w:rsidRPr="00971F9E" w:rsidRDefault="00B3644D" w:rsidP="00B3644D">
      <w:pPr>
        <w:rPr>
          <w:lang w:eastAsia="hr-HR"/>
        </w:rPr>
      </w:pPr>
      <w:r w:rsidRPr="00203A80">
        <w:rPr>
          <w:lang w:eastAsia="hr-HR"/>
        </w:rPr>
        <w:t xml:space="preserve">Popis ključnih institucija uključenih u provedbu programa </w:t>
      </w:r>
      <w:r w:rsidR="00B40D5F" w:rsidRPr="00A67250">
        <w:rPr>
          <w:lang w:eastAsia="hr-HR"/>
        </w:rPr>
        <w:t xml:space="preserve">energetske </w:t>
      </w:r>
      <w:r w:rsidRPr="00CC7282">
        <w:rPr>
          <w:lang w:eastAsia="hr-HR"/>
        </w:rPr>
        <w:t>obnove zgrada</w:t>
      </w:r>
      <w:r w:rsidR="00B40D5F" w:rsidRPr="00B03C9B">
        <w:rPr>
          <w:lang w:eastAsia="hr-HR"/>
        </w:rPr>
        <w:t xml:space="preserve"> javnog sektora</w:t>
      </w:r>
      <w:r w:rsidRPr="00B03C9B">
        <w:rPr>
          <w:lang w:eastAsia="hr-HR"/>
        </w:rPr>
        <w:t>.</w:t>
      </w:r>
    </w:p>
    <w:p w14:paraId="2E32A43F" w14:textId="4CDFED60" w:rsidR="00B3644D" w:rsidRPr="00B357F4" w:rsidRDefault="2187EEFA" w:rsidP="002F0019">
      <w:pPr>
        <w:pStyle w:val="Uvlaka1"/>
        <w:rPr>
          <w:lang w:eastAsia="hr-HR"/>
        </w:rPr>
      </w:pPr>
      <w:r w:rsidRPr="00B357F4">
        <w:rPr>
          <w:lang w:eastAsia="hr-HR"/>
        </w:rPr>
        <w:t>Vlada Republike Hrvatske (Vlada RH)</w:t>
      </w:r>
    </w:p>
    <w:p w14:paraId="67D3CDB7" w14:textId="237392EC" w:rsidR="00B3644D" w:rsidRPr="00B357F4" w:rsidRDefault="00B3644D" w:rsidP="00B3644D">
      <w:pPr>
        <w:rPr>
          <w:lang w:eastAsia="hr-HR"/>
        </w:rPr>
      </w:pPr>
      <w:r w:rsidRPr="00B357F4">
        <w:rPr>
          <w:lang w:eastAsia="hr-HR"/>
        </w:rPr>
        <w:t>Donosi odluku u kojoj usvaja Program, daje ovlaštenje ministrima za potpisivanje ugovora o cjelovitoj energetskoj obnovi za zgrade u vlasništvu RH koje koriste, odobrava financiranje /sufinanciranje provedbe Programa, ovlašćuje provedbeno tijelo za provedbu Programa u cijelosti</w:t>
      </w:r>
      <w:r w:rsidR="00175D29">
        <w:rPr>
          <w:lang w:eastAsia="hr-HR"/>
        </w:rPr>
        <w:t xml:space="preserve">, </w:t>
      </w:r>
      <w:r w:rsidR="009A1475">
        <w:rPr>
          <w:lang w:eastAsia="hr-HR"/>
        </w:rPr>
        <w:t>o</w:t>
      </w:r>
      <w:r w:rsidR="00542B0C" w:rsidRPr="00542B0C">
        <w:rPr>
          <w:lang w:eastAsia="hr-HR"/>
        </w:rPr>
        <w:t>dređuj</w:t>
      </w:r>
      <w:r w:rsidR="009A1475">
        <w:rPr>
          <w:lang w:eastAsia="hr-HR"/>
        </w:rPr>
        <w:t>e</w:t>
      </w:r>
      <w:r w:rsidR="00542B0C" w:rsidRPr="00542B0C">
        <w:rPr>
          <w:lang w:eastAsia="hr-HR"/>
        </w:rPr>
        <w:t xml:space="preserve"> institucije koje obavljaju funkcije upravljanja, koordinacije i praćenja provedbe aktivnosti iz </w:t>
      </w:r>
      <w:r w:rsidR="009A1475">
        <w:rPr>
          <w:lang w:eastAsia="hr-HR"/>
        </w:rPr>
        <w:t>NPOO-a</w:t>
      </w:r>
      <w:r w:rsidR="003A2EA1">
        <w:rPr>
          <w:lang w:eastAsia="hr-HR"/>
        </w:rPr>
        <w:t xml:space="preserve">, </w:t>
      </w:r>
      <w:r w:rsidR="000328EA">
        <w:rPr>
          <w:lang w:eastAsia="hr-HR"/>
        </w:rPr>
        <w:t xml:space="preserve">usvaja </w:t>
      </w:r>
      <w:r w:rsidR="000328EA" w:rsidRPr="000328EA">
        <w:rPr>
          <w:lang w:eastAsia="hr-HR"/>
        </w:rPr>
        <w:t>Uredb</w:t>
      </w:r>
      <w:r w:rsidR="000328EA">
        <w:rPr>
          <w:lang w:eastAsia="hr-HR"/>
        </w:rPr>
        <w:t>u</w:t>
      </w:r>
      <w:r w:rsidR="000328EA" w:rsidRPr="000328EA">
        <w:rPr>
          <w:lang w:eastAsia="hr-HR"/>
        </w:rPr>
        <w:t xml:space="preserve"> o tijelima u sustavima upravljanja i kontrole 2021</w:t>
      </w:r>
      <w:r w:rsidR="000328EA">
        <w:rPr>
          <w:lang w:eastAsia="hr-HR"/>
        </w:rPr>
        <w:t>.</w:t>
      </w:r>
      <w:r w:rsidR="000328EA" w:rsidRPr="000328EA">
        <w:rPr>
          <w:lang w:eastAsia="hr-HR"/>
        </w:rPr>
        <w:t>-2027</w:t>
      </w:r>
      <w:r w:rsidR="000328EA">
        <w:rPr>
          <w:lang w:eastAsia="hr-HR"/>
        </w:rPr>
        <w:t>.</w:t>
      </w:r>
      <w:r w:rsidR="003A2EA1">
        <w:rPr>
          <w:lang w:eastAsia="hr-HR"/>
        </w:rPr>
        <w:t xml:space="preserve"> kojom se </w:t>
      </w:r>
      <w:r w:rsidRPr="00B357F4">
        <w:rPr>
          <w:lang w:eastAsia="hr-HR"/>
        </w:rPr>
        <w:t>definira</w:t>
      </w:r>
      <w:r w:rsidR="003A2EA1">
        <w:rPr>
          <w:lang w:eastAsia="hr-HR"/>
        </w:rPr>
        <w:t>ju</w:t>
      </w:r>
      <w:r w:rsidRPr="00B357F4">
        <w:rPr>
          <w:lang w:eastAsia="hr-HR"/>
        </w:rPr>
        <w:t xml:space="preserve"> </w:t>
      </w:r>
      <w:r w:rsidR="00C25F4E">
        <w:rPr>
          <w:lang w:eastAsia="hr-HR"/>
        </w:rPr>
        <w:t xml:space="preserve">posrednička tijela </w:t>
      </w:r>
      <w:r w:rsidR="007A637C">
        <w:rPr>
          <w:lang w:eastAsia="hr-HR"/>
        </w:rPr>
        <w:t>nadležna</w:t>
      </w:r>
      <w:r w:rsidR="00301CFA">
        <w:rPr>
          <w:lang w:eastAsia="hr-HR"/>
        </w:rPr>
        <w:t xml:space="preserve"> </w:t>
      </w:r>
      <w:r w:rsidR="001D38BD">
        <w:rPr>
          <w:lang w:eastAsia="hr-HR"/>
        </w:rPr>
        <w:t>za provedbu</w:t>
      </w:r>
      <w:r w:rsidR="001E1F72">
        <w:rPr>
          <w:lang w:eastAsia="hr-HR"/>
        </w:rPr>
        <w:t xml:space="preserve"> izabranih prioriteta ulaganja po</w:t>
      </w:r>
      <w:r w:rsidR="001D38BD">
        <w:rPr>
          <w:lang w:eastAsia="hr-HR"/>
        </w:rPr>
        <w:t xml:space="preserve"> </w:t>
      </w:r>
      <w:r w:rsidR="004C6AFC">
        <w:rPr>
          <w:lang w:eastAsia="hr-HR"/>
        </w:rPr>
        <w:t>operativni</w:t>
      </w:r>
      <w:r w:rsidR="001E1F72">
        <w:rPr>
          <w:lang w:eastAsia="hr-HR"/>
        </w:rPr>
        <w:t>m</w:t>
      </w:r>
      <w:r w:rsidR="004C6AFC">
        <w:rPr>
          <w:lang w:eastAsia="hr-HR"/>
        </w:rPr>
        <w:t xml:space="preserve"> program</w:t>
      </w:r>
      <w:r w:rsidR="001E1F72">
        <w:rPr>
          <w:lang w:eastAsia="hr-HR"/>
        </w:rPr>
        <w:t>ima</w:t>
      </w:r>
      <w:r w:rsidR="003A2EA1">
        <w:rPr>
          <w:lang w:eastAsia="hr-HR"/>
        </w:rPr>
        <w:t xml:space="preserve"> te</w:t>
      </w:r>
      <w:r w:rsidRPr="00B357F4">
        <w:rPr>
          <w:lang w:eastAsia="hr-HR"/>
        </w:rPr>
        <w:t xml:space="preserve"> usvaja godišnje izvješće o provedbi Programa na prijedlog </w:t>
      </w:r>
      <w:r w:rsidR="03BA4DEB" w:rsidRPr="00B357F4">
        <w:rPr>
          <w:lang w:eastAsia="hr-HR"/>
        </w:rPr>
        <w:t>MPGI</w:t>
      </w:r>
      <w:r w:rsidRPr="00B357F4">
        <w:rPr>
          <w:lang w:eastAsia="hr-HR"/>
        </w:rPr>
        <w:t xml:space="preserve"> i MK</w:t>
      </w:r>
      <w:r w:rsidR="37863506" w:rsidRPr="00B357F4">
        <w:rPr>
          <w:lang w:eastAsia="hr-HR"/>
        </w:rPr>
        <w:t>M</w:t>
      </w:r>
      <w:r w:rsidRPr="00B357F4">
        <w:rPr>
          <w:lang w:eastAsia="hr-HR"/>
        </w:rPr>
        <w:t>.</w:t>
      </w:r>
    </w:p>
    <w:p w14:paraId="4387D499" w14:textId="121C7808" w:rsidR="00B3644D" w:rsidRPr="00B357F4" w:rsidRDefault="2180A3DC" w:rsidP="002F0019">
      <w:pPr>
        <w:pStyle w:val="Uvlaka1"/>
        <w:rPr>
          <w:lang w:eastAsia="hr-HR"/>
        </w:rPr>
      </w:pPr>
      <w:r w:rsidRPr="00B357F4">
        <w:rPr>
          <w:lang w:eastAsia="hr-HR"/>
        </w:rPr>
        <w:t xml:space="preserve">Ministarstvo prostornoga uređenja, graditeljstva i državne imovine </w:t>
      </w:r>
      <w:r w:rsidR="2187EEFA" w:rsidRPr="00B357F4">
        <w:rPr>
          <w:lang w:eastAsia="hr-HR"/>
        </w:rPr>
        <w:t>(</w:t>
      </w:r>
      <w:r w:rsidRPr="00B357F4">
        <w:rPr>
          <w:lang w:eastAsia="hr-HR"/>
        </w:rPr>
        <w:t>MPGI</w:t>
      </w:r>
      <w:r w:rsidR="2187EEFA" w:rsidRPr="00B357F4">
        <w:rPr>
          <w:lang w:eastAsia="hr-HR"/>
        </w:rPr>
        <w:t>)</w:t>
      </w:r>
    </w:p>
    <w:p w14:paraId="4CF3D9BB" w14:textId="43D43393" w:rsidR="00B3644D" w:rsidRPr="00B03C9B" w:rsidRDefault="00B3644D" w:rsidP="00F92B18">
      <w:pPr>
        <w:rPr>
          <w:lang w:eastAsia="hr-HR"/>
        </w:rPr>
      </w:pPr>
      <w:r w:rsidRPr="00B357F4">
        <w:rPr>
          <w:lang w:eastAsia="hr-HR"/>
        </w:rPr>
        <w:t>Sektorski nadležno tijelo za energetsku učinkovitost u zgradarstvu. Nadležno za praćenje provedbe Programa</w:t>
      </w:r>
      <w:r w:rsidR="007E483C" w:rsidRPr="00B357F4">
        <w:rPr>
          <w:lang w:eastAsia="hr-HR"/>
        </w:rPr>
        <w:t xml:space="preserve">, </w:t>
      </w:r>
      <w:r w:rsidRPr="00B357F4">
        <w:rPr>
          <w:lang w:eastAsia="hr-HR"/>
        </w:rPr>
        <w:t xml:space="preserve">izvještavanje Vlade </w:t>
      </w:r>
      <w:r w:rsidR="005A058D">
        <w:rPr>
          <w:lang w:eastAsia="hr-HR"/>
        </w:rPr>
        <w:t>RH</w:t>
      </w:r>
      <w:r w:rsidRPr="00B357F4">
        <w:rPr>
          <w:lang w:eastAsia="hr-HR"/>
        </w:rPr>
        <w:t xml:space="preserve"> o provedbi Programa</w:t>
      </w:r>
      <w:r w:rsidR="007E483C" w:rsidRPr="00B357F4">
        <w:rPr>
          <w:lang w:eastAsia="hr-HR"/>
        </w:rPr>
        <w:t xml:space="preserve"> te za </w:t>
      </w:r>
      <w:r w:rsidRPr="00B357F4">
        <w:rPr>
          <w:lang w:eastAsia="hr-HR"/>
        </w:rPr>
        <w:t>sektorska pitanja vezana uz provedbu.</w:t>
      </w:r>
      <w:r w:rsidR="00611ABE" w:rsidRPr="00B357F4">
        <w:rPr>
          <w:lang w:eastAsia="hr-HR"/>
        </w:rPr>
        <w:t xml:space="preserve"> </w:t>
      </w:r>
      <w:r w:rsidR="009E7BBF" w:rsidRPr="00B357F4">
        <w:rPr>
          <w:lang w:eastAsia="hr-HR"/>
        </w:rPr>
        <w:t xml:space="preserve">MPGI najmanje jednom godišnje izvještava Vladu </w:t>
      </w:r>
      <w:r w:rsidR="005A058D">
        <w:rPr>
          <w:lang w:eastAsia="hr-HR"/>
        </w:rPr>
        <w:t>RH</w:t>
      </w:r>
      <w:r w:rsidR="009E7BBF" w:rsidRPr="00B357F4">
        <w:rPr>
          <w:lang w:eastAsia="hr-HR"/>
        </w:rPr>
        <w:t xml:space="preserve"> o napretku Programa. </w:t>
      </w:r>
      <w:r w:rsidR="004E0A6A" w:rsidRPr="00B357F4">
        <w:rPr>
          <w:lang w:eastAsia="hr-HR"/>
        </w:rPr>
        <w:t xml:space="preserve">U okviru </w:t>
      </w:r>
      <w:r w:rsidR="009B66E1" w:rsidRPr="00B357F4">
        <w:rPr>
          <w:lang w:eastAsia="hr-HR"/>
        </w:rPr>
        <w:t>Mehanizma za oporavak i otpornost te provedbe investicija</w:t>
      </w:r>
      <w:r w:rsidR="00196E6B" w:rsidRPr="00B357F4">
        <w:rPr>
          <w:lang w:eastAsia="hr-HR"/>
        </w:rPr>
        <w:t xml:space="preserve"> energetske obnove </w:t>
      </w:r>
      <w:r w:rsidR="00B13F24" w:rsidRPr="00B357F4">
        <w:rPr>
          <w:lang w:eastAsia="hr-HR"/>
        </w:rPr>
        <w:t>javnih zgrada</w:t>
      </w:r>
      <w:r w:rsidR="009E7BBF" w:rsidRPr="00B357F4">
        <w:rPr>
          <w:lang w:eastAsia="hr-HR"/>
        </w:rPr>
        <w:t xml:space="preserve"> iz NPOO-a</w:t>
      </w:r>
      <w:r w:rsidR="00FB655E" w:rsidRPr="00B357F4">
        <w:rPr>
          <w:lang w:eastAsia="hr-HR"/>
        </w:rPr>
        <w:t>,</w:t>
      </w:r>
      <w:r w:rsidR="009B66E1" w:rsidRPr="00B357F4">
        <w:rPr>
          <w:lang w:eastAsia="hr-HR"/>
        </w:rPr>
        <w:t xml:space="preserve"> </w:t>
      </w:r>
      <w:r w:rsidR="00611ABE" w:rsidRPr="00B357F4">
        <w:rPr>
          <w:lang w:eastAsia="hr-HR"/>
        </w:rPr>
        <w:t>MPGI je</w:t>
      </w:r>
      <w:r w:rsidR="00E015F9" w:rsidRPr="00E015F9">
        <w:t xml:space="preserve"> </w:t>
      </w:r>
      <w:r w:rsidR="00E015F9" w:rsidRPr="00E015F9">
        <w:rPr>
          <w:lang w:eastAsia="hr-HR"/>
        </w:rPr>
        <w:t>tijelo nadležno za komponentu odnosno inicijativu Obnova zgrada</w:t>
      </w:r>
      <w:r w:rsidR="00444C38">
        <w:rPr>
          <w:lang w:eastAsia="hr-HR"/>
        </w:rPr>
        <w:t xml:space="preserve"> te </w:t>
      </w:r>
      <w:r w:rsidR="00702402">
        <w:rPr>
          <w:lang w:eastAsia="hr-HR"/>
        </w:rPr>
        <w:t xml:space="preserve">ima zaduženja definirana </w:t>
      </w:r>
      <w:r w:rsidR="00702402" w:rsidRPr="00702402">
        <w:rPr>
          <w:lang w:eastAsia="hr-HR"/>
        </w:rPr>
        <w:t>Odluk</w:t>
      </w:r>
      <w:r w:rsidR="00702402">
        <w:rPr>
          <w:lang w:eastAsia="hr-HR"/>
        </w:rPr>
        <w:t>om</w:t>
      </w:r>
      <w:r w:rsidR="00702402" w:rsidRPr="00702402">
        <w:rPr>
          <w:lang w:eastAsia="hr-HR"/>
        </w:rPr>
        <w:t xml:space="preserve"> o sustavu upravljanja i praćenju provedbe aktivnosti u okviru Nacionalnog plana oporavka i otpornosti 2021. – 2026.</w:t>
      </w:r>
      <w:r w:rsidR="00450732">
        <w:rPr>
          <w:lang w:eastAsia="hr-HR"/>
        </w:rPr>
        <w:t xml:space="preserve"> (NN br. 78/2021)</w:t>
      </w:r>
      <w:r w:rsidR="00702402">
        <w:rPr>
          <w:rStyle w:val="Referencafusnote"/>
          <w:lang w:eastAsia="hr-HR"/>
        </w:rPr>
        <w:footnoteReference w:id="22"/>
      </w:r>
      <w:r w:rsidR="0081523E">
        <w:rPr>
          <w:lang w:eastAsia="hr-HR"/>
        </w:rPr>
        <w:t xml:space="preserve">. </w:t>
      </w:r>
      <w:r w:rsidR="00CC6201">
        <w:rPr>
          <w:lang w:eastAsia="hr-HR"/>
        </w:rPr>
        <w:t xml:space="preserve">Zaduženja </w:t>
      </w:r>
      <w:r w:rsidR="00583EF3">
        <w:rPr>
          <w:lang w:eastAsia="hr-HR"/>
        </w:rPr>
        <w:t>uključuj</w:t>
      </w:r>
      <w:r w:rsidR="00CC6201">
        <w:rPr>
          <w:lang w:eastAsia="hr-HR"/>
        </w:rPr>
        <w:t>u</w:t>
      </w:r>
      <w:r w:rsidR="00583EF3" w:rsidRPr="00D7774F">
        <w:rPr>
          <w:lang w:eastAsia="hr-HR"/>
        </w:rPr>
        <w:t xml:space="preserve"> utvrđivanje kriterija za dodjelu sredstva, </w:t>
      </w:r>
      <w:r w:rsidR="00DD4264">
        <w:rPr>
          <w:lang w:eastAsia="hr-HR"/>
        </w:rPr>
        <w:t xml:space="preserve">provedbu ulaganja, dodjelu bespovratnih sredstava za provedbu ulaganja, </w:t>
      </w:r>
      <w:r w:rsidR="00583EF3" w:rsidRPr="00D7774F">
        <w:rPr>
          <w:lang w:eastAsia="hr-HR"/>
        </w:rPr>
        <w:t>praćenje provedbe projekata,</w:t>
      </w:r>
      <w:r w:rsidR="00583EF3" w:rsidRPr="00631935">
        <w:rPr>
          <w:lang w:eastAsia="hr-HR"/>
        </w:rPr>
        <w:t xml:space="preserve"> </w:t>
      </w:r>
      <w:r w:rsidR="00583EF3" w:rsidRPr="00203A80">
        <w:rPr>
          <w:lang w:eastAsia="hr-HR"/>
        </w:rPr>
        <w:t>kontrolu pravilnog korištenj</w:t>
      </w:r>
      <w:r w:rsidR="00583EF3" w:rsidRPr="00A67250">
        <w:rPr>
          <w:lang w:eastAsia="hr-HR"/>
        </w:rPr>
        <w:t>a</w:t>
      </w:r>
      <w:r w:rsidR="00583EF3" w:rsidRPr="00CC7282">
        <w:rPr>
          <w:lang w:eastAsia="hr-HR"/>
        </w:rPr>
        <w:t xml:space="preserve"> sredstava i izvještavanje o provedbi reforme</w:t>
      </w:r>
      <w:r w:rsidR="00F92B18" w:rsidRPr="00CC7282">
        <w:rPr>
          <w:lang w:eastAsia="hr-HR"/>
        </w:rPr>
        <w:t>.</w:t>
      </w:r>
      <w:r w:rsidR="00032141" w:rsidRPr="00B03C9B">
        <w:rPr>
          <w:lang w:eastAsia="hr-HR"/>
        </w:rPr>
        <w:t xml:space="preserve"> </w:t>
      </w:r>
      <w:r w:rsidR="00903421">
        <w:rPr>
          <w:lang w:eastAsia="hr-HR"/>
        </w:rPr>
        <w:t xml:space="preserve">Prema </w:t>
      </w:r>
      <w:r w:rsidR="00903421" w:rsidRPr="00903421">
        <w:rPr>
          <w:lang w:eastAsia="hr-HR"/>
        </w:rPr>
        <w:t>Uredb</w:t>
      </w:r>
      <w:r w:rsidR="00903421">
        <w:rPr>
          <w:lang w:eastAsia="hr-HR"/>
        </w:rPr>
        <w:t>i</w:t>
      </w:r>
      <w:r w:rsidR="00903421" w:rsidRPr="00903421">
        <w:rPr>
          <w:lang w:eastAsia="hr-HR"/>
        </w:rPr>
        <w:t xml:space="preserve"> o unutarnjem ustrojstvu Ministarstva prostornoga uređenja, graditeljstva i državne imovine</w:t>
      </w:r>
      <w:r w:rsidR="009C522A">
        <w:rPr>
          <w:lang w:eastAsia="hr-HR"/>
        </w:rPr>
        <w:t xml:space="preserve"> (</w:t>
      </w:r>
      <w:r w:rsidR="009C522A" w:rsidRPr="009C522A">
        <w:rPr>
          <w:lang w:eastAsia="hr-HR"/>
        </w:rPr>
        <w:t>N</w:t>
      </w:r>
      <w:r w:rsidR="00B86571">
        <w:rPr>
          <w:lang w:eastAsia="hr-HR"/>
        </w:rPr>
        <w:t>arodne novine, broj</w:t>
      </w:r>
      <w:r w:rsidR="009C522A" w:rsidRPr="009C522A">
        <w:rPr>
          <w:lang w:eastAsia="hr-HR"/>
        </w:rPr>
        <w:t xml:space="preserve"> 131/2021</w:t>
      </w:r>
      <w:r w:rsidR="009C522A">
        <w:rPr>
          <w:lang w:eastAsia="hr-HR"/>
        </w:rPr>
        <w:t>)</w:t>
      </w:r>
      <w:r w:rsidR="00DD5621">
        <w:rPr>
          <w:lang w:eastAsia="hr-HR"/>
        </w:rPr>
        <w:t xml:space="preserve">, </w:t>
      </w:r>
      <w:r w:rsidR="004B0220">
        <w:rPr>
          <w:lang w:eastAsia="hr-HR"/>
        </w:rPr>
        <w:t xml:space="preserve">MPGI </w:t>
      </w:r>
      <w:r w:rsidR="0075486D" w:rsidRPr="0075486D">
        <w:rPr>
          <w:lang w:eastAsia="hr-HR"/>
        </w:rPr>
        <w:t>obavlja upravne, stručne i administrativne poslove koji osiguravaju koordinaciju korištenja sredstava financijske pomoći FSEU i provedbu NPOO</w:t>
      </w:r>
      <w:r w:rsidR="00B12AAA">
        <w:rPr>
          <w:lang w:eastAsia="hr-HR"/>
        </w:rPr>
        <w:t>,</w:t>
      </w:r>
      <w:r w:rsidR="0075486D" w:rsidRPr="0075486D">
        <w:rPr>
          <w:lang w:eastAsia="hr-HR"/>
        </w:rPr>
        <w:t xml:space="preserve"> poslove Nacionalnog koordinacijskog tijela za korištenje bespovratnih sredstava financijske pomoći (FSEU-a) te poslove iz nadležnosti tijela državne uprave nadležna za komponentu/podkomponentu </w:t>
      </w:r>
      <w:r w:rsidR="00FC3B48">
        <w:rPr>
          <w:lang w:eastAsia="hr-HR"/>
        </w:rPr>
        <w:t>NPOO-a,</w:t>
      </w:r>
      <w:r w:rsidR="0075486D" w:rsidRPr="0075486D">
        <w:rPr>
          <w:lang w:eastAsia="hr-HR"/>
        </w:rPr>
        <w:t xml:space="preserve"> koordinira i prati aktivnosti provedbe reformi i ulaganja unutar Inicijative 6. Obnova zgrada, prati napredak u ispunjavanju ciljnih vrijednosti i pokazatelja, priprema izvješća o provedbi te izjave o upravljanju, koordinira i prati rad Provedbenih tijela, obavlja nadzor nad delegiranim funkcijama</w:t>
      </w:r>
      <w:r w:rsidR="00C53DF9">
        <w:rPr>
          <w:lang w:eastAsia="hr-HR"/>
        </w:rPr>
        <w:t xml:space="preserve"> te</w:t>
      </w:r>
      <w:r w:rsidR="0075486D" w:rsidRPr="0075486D">
        <w:rPr>
          <w:lang w:eastAsia="hr-HR"/>
        </w:rPr>
        <w:t xml:space="preserve"> koordinira pripremu izmjene i dopune zakonskog okvira u skladu sa sektorskom nadležnošću.</w:t>
      </w:r>
    </w:p>
    <w:p w14:paraId="7DD06B6F" w14:textId="33DF7EC9" w:rsidR="00B3644D" w:rsidRPr="00B357F4" w:rsidRDefault="000158B4" w:rsidP="00B84D48">
      <w:pPr>
        <w:rPr>
          <w:lang w:eastAsia="hr-HR"/>
        </w:rPr>
      </w:pPr>
      <w:r w:rsidRPr="00971F9E">
        <w:rPr>
          <w:lang w:eastAsia="hr-HR"/>
        </w:rPr>
        <w:t xml:space="preserve">U višegodišnjem financijskom okviru 2014.-2020., </w:t>
      </w:r>
      <w:r w:rsidR="00DD4264" w:rsidRPr="00DD4264">
        <w:rPr>
          <w:lang w:eastAsia="hr-HR"/>
        </w:rPr>
        <w:t>min</w:t>
      </w:r>
      <w:r w:rsidR="00DD4264">
        <w:rPr>
          <w:lang w:eastAsia="hr-HR"/>
        </w:rPr>
        <w:t>istarstvo</w:t>
      </w:r>
      <w:r w:rsidR="00DD4264" w:rsidRPr="00DD4264">
        <w:rPr>
          <w:lang w:eastAsia="hr-HR"/>
        </w:rPr>
        <w:t xml:space="preserve"> nadležno za graditeljstvo</w:t>
      </w:r>
      <w:r w:rsidRPr="006734C7">
        <w:rPr>
          <w:lang w:eastAsia="hr-HR"/>
        </w:rPr>
        <w:t xml:space="preserve"> je imalo ulogu p</w:t>
      </w:r>
      <w:r w:rsidR="00B3644D" w:rsidRPr="00D7774F">
        <w:rPr>
          <w:lang w:eastAsia="hr-HR"/>
        </w:rPr>
        <w:t>osredničko</w:t>
      </w:r>
      <w:r w:rsidRPr="00631935">
        <w:rPr>
          <w:lang w:eastAsia="hr-HR"/>
        </w:rPr>
        <w:t>g</w:t>
      </w:r>
      <w:r w:rsidR="00B3644D" w:rsidRPr="00203A80">
        <w:rPr>
          <w:lang w:eastAsia="hr-HR"/>
        </w:rPr>
        <w:t xml:space="preserve"> tijel</w:t>
      </w:r>
      <w:r w:rsidRPr="00A67250">
        <w:rPr>
          <w:lang w:eastAsia="hr-HR"/>
        </w:rPr>
        <w:t>a</w:t>
      </w:r>
      <w:r w:rsidR="00B3644D" w:rsidRPr="00CC7282">
        <w:rPr>
          <w:lang w:eastAsia="hr-HR"/>
        </w:rPr>
        <w:t xml:space="preserve"> razine 1 </w:t>
      </w:r>
      <w:r w:rsidRPr="00B03C9B">
        <w:rPr>
          <w:lang w:eastAsia="hr-HR"/>
        </w:rPr>
        <w:t>za</w:t>
      </w:r>
      <w:r w:rsidR="00067BB2" w:rsidRPr="00B03C9B">
        <w:rPr>
          <w:lang w:eastAsia="hr-HR"/>
        </w:rPr>
        <w:t xml:space="preserve"> prioritete ulaganja povezane s </w:t>
      </w:r>
      <w:r w:rsidR="00354192" w:rsidRPr="00971F9E">
        <w:rPr>
          <w:lang w:eastAsia="hr-HR"/>
        </w:rPr>
        <w:t>ulaganjima u energetsku učinkovitost u zgradarstvu</w:t>
      </w:r>
      <w:r w:rsidR="00032141" w:rsidRPr="00B357F4">
        <w:rPr>
          <w:lang w:eastAsia="hr-HR"/>
        </w:rPr>
        <w:t>. PT1</w:t>
      </w:r>
      <w:r w:rsidRPr="00B357F4">
        <w:rPr>
          <w:lang w:eastAsia="hr-HR"/>
        </w:rPr>
        <w:t xml:space="preserve"> </w:t>
      </w:r>
      <w:r w:rsidR="00B3644D" w:rsidRPr="00B357F4">
        <w:rPr>
          <w:lang w:eastAsia="hr-HR"/>
        </w:rPr>
        <w:t xml:space="preserve">planira sredstva, provodi mjere informiranja i vidljivosti, priprema pozive na dostavu projektnih prijedloga, sudjeluje u izboru projekata koji će se </w:t>
      </w:r>
      <w:r w:rsidR="00FB458F" w:rsidRPr="00B357F4">
        <w:rPr>
          <w:lang w:eastAsia="hr-HR"/>
        </w:rPr>
        <w:t xml:space="preserve">financirati, </w:t>
      </w:r>
      <w:r w:rsidR="00DD4264" w:rsidRPr="00DD4264">
        <w:rPr>
          <w:lang w:eastAsia="hr-HR"/>
        </w:rPr>
        <w:t>donosi Odluke o financiranju, sklapa Ugovore o dodjeli bespovratnih sredstava s uspješnim prijaviteljima i PT2</w:t>
      </w:r>
      <w:r w:rsidR="00DD4264">
        <w:rPr>
          <w:lang w:eastAsia="hr-HR"/>
        </w:rPr>
        <w:t xml:space="preserve">, </w:t>
      </w:r>
      <w:r w:rsidR="00FB458F" w:rsidRPr="006734C7">
        <w:rPr>
          <w:lang w:eastAsia="hr-HR"/>
        </w:rPr>
        <w:t xml:space="preserve">sudjeluje </w:t>
      </w:r>
      <w:r w:rsidR="00B3644D" w:rsidRPr="00B357F4">
        <w:rPr>
          <w:lang w:eastAsia="hr-HR"/>
        </w:rPr>
        <w:t xml:space="preserve">u procesima plaćanja </w:t>
      </w:r>
      <w:r w:rsidR="00B3644D" w:rsidRPr="00B357F4">
        <w:rPr>
          <w:lang w:eastAsia="hr-HR"/>
        </w:rPr>
        <w:lastRenderedPageBreak/>
        <w:t>korisnicima i povrata sredstava kod nepravilnosti.</w:t>
      </w:r>
      <w:r w:rsidR="00350C3B">
        <w:rPr>
          <w:lang w:eastAsia="hr-HR"/>
        </w:rPr>
        <w:t xml:space="preserve"> Za VFO 2021-2027 Uredba o tijelima u sustavima upravljanja i kontrole 2021</w:t>
      </w:r>
      <w:r w:rsidR="000328EA">
        <w:rPr>
          <w:lang w:eastAsia="hr-HR"/>
        </w:rPr>
        <w:t>.</w:t>
      </w:r>
      <w:r w:rsidR="00350C3B">
        <w:rPr>
          <w:lang w:eastAsia="hr-HR"/>
        </w:rPr>
        <w:t>-2027</w:t>
      </w:r>
      <w:r w:rsidR="000328EA">
        <w:rPr>
          <w:lang w:eastAsia="hr-HR"/>
        </w:rPr>
        <w:t>.</w:t>
      </w:r>
      <w:r w:rsidR="00350C3B">
        <w:rPr>
          <w:lang w:eastAsia="hr-HR"/>
        </w:rPr>
        <w:t xml:space="preserve"> mora se donijeti u roku od 120 dana od stupanja na snagu Zakona o institucionalnom okviru za korištenje fondova Europske unije u Republici Hrvatskoj (Narodne novine 116/21)</w:t>
      </w:r>
      <w:r w:rsidR="00F13336">
        <w:rPr>
          <w:lang w:eastAsia="hr-HR"/>
        </w:rPr>
        <w:t xml:space="preserve"> </w:t>
      </w:r>
      <w:r w:rsidR="2187EEFA" w:rsidRPr="00B357F4">
        <w:rPr>
          <w:lang w:eastAsia="hr-HR"/>
        </w:rPr>
        <w:t>Ministarstvo regionalnog razvoja i fondova Europske unije (MRRFEU)</w:t>
      </w:r>
    </w:p>
    <w:p w14:paraId="5FE18A78" w14:textId="1ABEE96D" w:rsidR="00717A02" w:rsidRDefault="00A2602A" w:rsidP="0032584E">
      <w:pPr>
        <w:rPr>
          <w:lang w:eastAsia="hr-HR"/>
        </w:rPr>
      </w:pPr>
      <w:r>
        <w:rPr>
          <w:lang w:eastAsia="hr-HR"/>
        </w:rPr>
        <w:t>MRRFEU sudjeluje u pripremi i provedbi operativnih programa iz VFO-a kao koordinacijsko i u</w:t>
      </w:r>
      <w:r w:rsidR="00B3644D" w:rsidRPr="00B357F4">
        <w:rPr>
          <w:lang w:eastAsia="hr-HR"/>
        </w:rPr>
        <w:t>pravljačko tijelo</w:t>
      </w:r>
      <w:r>
        <w:rPr>
          <w:lang w:eastAsia="hr-HR"/>
        </w:rPr>
        <w:t>.</w:t>
      </w:r>
      <w:r w:rsidR="0032584E" w:rsidRPr="0032584E">
        <w:t xml:space="preserve"> </w:t>
      </w:r>
      <w:r w:rsidR="00717A02">
        <w:t>S</w:t>
      </w:r>
      <w:r w:rsidR="0032584E">
        <w:rPr>
          <w:lang w:eastAsia="hr-HR"/>
        </w:rPr>
        <w:t>ukladno članku 7. stavak 1. Zakona o institucionalnom okviru za korištenje fondova Europske</w:t>
      </w:r>
      <w:r w:rsidR="00C50318">
        <w:rPr>
          <w:lang w:eastAsia="hr-HR"/>
        </w:rPr>
        <w:t xml:space="preserve"> </w:t>
      </w:r>
      <w:r w:rsidR="0032584E">
        <w:rPr>
          <w:lang w:eastAsia="hr-HR"/>
        </w:rPr>
        <w:t>unije u Republici Hrvatskoj (Narodne novine 116/21),</w:t>
      </w:r>
      <w:r w:rsidR="00717A02">
        <w:rPr>
          <w:lang w:eastAsia="hr-HR"/>
        </w:rPr>
        <w:t xml:space="preserve"> upravljačko tijelo može delegirati dio svojih funkcija na jedno ili više tijela, pri čemu navedeno programsko tijelo zadržava cjelokupnu odgovornost za upravljanje programom i obnašanje svih funkcija upravljačkih tijela. S obzirom na to da Uredba o tijelima u sustavima upravljanja i kontrole 2021.-2027.</w:t>
      </w:r>
      <w:r w:rsidR="00717A02" w:rsidRPr="00717A02">
        <w:rPr>
          <w:lang w:eastAsia="hr-HR"/>
        </w:rPr>
        <w:t xml:space="preserve"> </w:t>
      </w:r>
      <w:r w:rsidR="00717A02">
        <w:rPr>
          <w:lang w:eastAsia="hr-HR"/>
        </w:rPr>
        <w:t>u trenutku izrade ovog Programa nije donesena</w:t>
      </w:r>
      <w:r w:rsidR="0028049F">
        <w:rPr>
          <w:lang w:eastAsia="hr-HR"/>
        </w:rPr>
        <w:t xml:space="preserve">, nije moguće </w:t>
      </w:r>
      <w:r w:rsidR="00B83CB2">
        <w:rPr>
          <w:lang w:eastAsia="hr-HR"/>
        </w:rPr>
        <w:t>prejudiciranje delegiranja uloge posredničkog tijela, kao niti broj i razina posredničkih tijela u razdoblju 2021.-2027.</w:t>
      </w:r>
    </w:p>
    <w:p w14:paraId="52C66ACD" w14:textId="15BE1CF2" w:rsidR="00CD7EF3" w:rsidRDefault="00717A02" w:rsidP="00CD7EF3">
      <w:pPr>
        <w:rPr>
          <w:lang w:eastAsia="hr-HR"/>
        </w:rPr>
      </w:pPr>
      <w:r>
        <w:rPr>
          <w:lang w:eastAsia="hr-HR"/>
        </w:rPr>
        <w:t>MRRFEU k</w:t>
      </w:r>
      <w:r w:rsidR="00A2602A">
        <w:rPr>
          <w:lang w:eastAsia="hr-HR"/>
        </w:rPr>
        <w:t xml:space="preserve">ao koordinacijsko tijelo </w:t>
      </w:r>
      <w:r w:rsidR="00CA0DD0">
        <w:rPr>
          <w:lang w:eastAsia="hr-HR"/>
        </w:rPr>
        <w:t xml:space="preserve">obavlja funkcije definirane člankom 5. stavkom 2. Zakona o institucionalnom okviru za korištenje fondova Europske unije u Republici Hrvatskoj (Narodne novine 116/21). </w:t>
      </w:r>
      <w:r w:rsidR="0056286E">
        <w:rPr>
          <w:lang w:eastAsia="hr-HR"/>
        </w:rPr>
        <w:t xml:space="preserve">Kao </w:t>
      </w:r>
      <w:r w:rsidR="0074652A">
        <w:rPr>
          <w:lang w:eastAsia="hr-HR"/>
        </w:rPr>
        <w:t>U</w:t>
      </w:r>
      <w:r w:rsidR="0056286E">
        <w:rPr>
          <w:lang w:eastAsia="hr-HR"/>
        </w:rPr>
        <w:t>pravljačko tijelo, MRRFEU će u</w:t>
      </w:r>
      <w:r w:rsidR="00E36C3A">
        <w:rPr>
          <w:lang w:eastAsia="hr-HR"/>
        </w:rPr>
        <w:t xml:space="preserve"> novome financijskom razdoblju </w:t>
      </w:r>
      <w:r w:rsidR="0056286E">
        <w:rPr>
          <w:lang w:eastAsia="hr-HR"/>
        </w:rPr>
        <w:t>biti odgovorno za</w:t>
      </w:r>
      <w:r w:rsidR="00621A54">
        <w:rPr>
          <w:lang w:eastAsia="hr-HR"/>
        </w:rPr>
        <w:t xml:space="preserve"> </w:t>
      </w:r>
      <w:r w:rsidR="00CD7EF3">
        <w:rPr>
          <w:lang w:eastAsia="hr-HR"/>
        </w:rPr>
        <w:t>programska tijela u Sustavu upravljanja i kontrole za provedbu Operativnog programa Konkurentnost i kohezija 2021. – 2027.</w:t>
      </w:r>
      <w:r w:rsidR="00001242">
        <w:rPr>
          <w:lang w:eastAsia="hr-HR"/>
        </w:rPr>
        <w:t xml:space="preserve">, </w:t>
      </w:r>
      <w:r w:rsidR="00CD7EF3">
        <w:rPr>
          <w:lang w:eastAsia="hr-HR"/>
        </w:rPr>
        <w:t>programska tijela u Sustavu upravljanja i kontrole za provedbu Integriranog teritorijalnog programa 2021. – 2027., programska tijela u Sustavu upravljanja i kontrole za provedbu IPA programa prekogranične suradnje Hrvatska – Bosna i Hercegovina – Crna Gora i IPA programa prekogranične suradnje Hrvatska – Srbija</w:t>
      </w:r>
      <w:r w:rsidR="005B459B">
        <w:rPr>
          <w:lang w:eastAsia="hr-HR"/>
        </w:rPr>
        <w:t xml:space="preserve"> te </w:t>
      </w:r>
      <w:r w:rsidR="00CD7EF3">
        <w:rPr>
          <w:lang w:eastAsia="hr-HR"/>
        </w:rPr>
        <w:t>programska tijela u Sustavu upravljanja i kontrole za provedbu Programa prekogranične suradnje Mađarska – Hrvatska, Programa prekogranične suradnje Slovenija – Hrvatska, Programa prekogranične suradnje Italija – Hrvatska, Programa transnacionalne suradnje Središnja Europa, Programa transnacionalne suradnje Euro-Mediteran, Programa transnacionalne suradnje Dunav, Jadransko-jonskog programa transnacionalne suradnje, Programa međuregionalne suradnje INTERREG EUROPE te Programa međuregionalne suradnje INTERACT</w:t>
      </w:r>
      <w:r w:rsidR="005B459B">
        <w:rPr>
          <w:lang w:eastAsia="hr-HR"/>
        </w:rPr>
        <w:t>.</w:t>
      </w:r>
    </w:p>
    <w:p w14:paraId="28181814" w14:textId="4DC6C373" w:rsidR="00715AC3" w:rsidRPr="00B357F4" w:rsidRDefault="00715AC3" w:rsidP="00715AC3">
      <w:pPr>
        <w:pStyle w:val="Uvlaka1"/>
        <w:rPr>
          <w:lang w:eastAsia="hr-HR"/>
        </w:rPr>
      </w:pPr>
      <w:r w:rsidRPr="00B357F4">
        <w:rPr>
          <w:lang w:eastAsia="hr-HR"/>
        </w:rPr>
        <w:t xml:space="preserve">Ministarstvo financija </w:t>
      </w:r>
      <w:r>
        <w:rPr>
          <w:lang w:eastAsia="hr-HR"/>
        </w:rPr>
        <w:t>(MF)</w:t>
      </w:r>
    </w:p>
    <w:p w14:paraId="5886C309" w14:textId="6D316D92" w:rsidR="00B3644D" w:rsidRPr="00B357F4" w:rsidRDefault="004D11BA" w:rsidP="00B3644D">
      <w:pPr>
        <w:rPr>
          <w:lang w:eastAsia="hr-HR"/>
        </w:rPr>
      </w:pPr>
      <w:r w:rsidRPr="004D11BA">
        <w:rPr>
          <w:lang w:eastAsia="hr-HR"/>
        </w:rPr>
        <w:t xml:space="preserve">U okviru Mehanizma za oporavak i otpornost, </w:t>
      </w:r>
      <w:r>
        <w:rPr>
          <w:lang w:eastAsia="hr-HR"/>
        </w:rPr>
        <w:t>MF</w:t>
      </w:r>
      <w:r w:rsidRPr="004D11BA">
        <w:rPr>
          <w:lang w:eastAsia="hr-HR"/>
        </w:rPr>
        <w:t xml:space="preserve"> je tijelo nadležno za koordinaciju NPOO</w:t>
      </w:r>
      <w:r>
        <w:rPr>
          <w:lang w:eastAsia="hr-HR"/>
        </w:rPr>
        <w:t>-</w:t>
      </w:r>
      <w:r w:rsidR="00A26B7B">
        <w:rPr>
          <w:lang w:eastAsia="hr-HR"/>
        </w:rPr>
        <w:t>a</w:t>
      </w:r>
      <w:r w:rsidRPr="004D11BA">
        <w:rPr>
          <w:lang w:eastAsia="hr-HR"/>
        </w:rPr>
        <w:t xml:space="preserve"> i </w:t>
      </w:r>
      <w:r>
        <w:rPr>
          <w:lang w:eastAsia="hr-HR"/>
        </w:rPr>
        <w:t>t</w:t>
      </w:r>
      <w:r w:rsidRPr="004D11BA">
        <w:rPr>
          <w:lang w:eastAsia="hr-HR"/>
        </w:rPr>
        <w:t>ijelo nadležno za slanje zahtjeva za plaćanje EK</w:t>
      </w:r>
      <w:r w:rsidR="00FE1446">
        <w:rPr>
          <w:lang w:eastAsia="hr-HR"/>
        </w:rPr>
        <w:t xml:space="preserve"> </w:t>
      </w:r>
      <w:r w:rsidR="00A26B7B">
        <w:rPr>
          <w:lang w:eastAsia="hr-HR"/>
        </w:rPr>
        <w:t xml:space="preserve">te ima zaduženja </w:t>
      </w:r>
      <w:r w:rsidR="00A26B7B" w:rsidRPr="004D11BA">
        <w:rPr>
          <w:lang w:eastAsia="hr-HR"/>
        </w:rPr>
        <w:t>definirana Odlukom o sustavu upravljanja i praćenju provedbe aktivnosti</w:t>
      </w:r>
      <w:r w:rsidR="00FE1446">
        <w:rPr>
          <w:lang w:eastAsia="hr-HR"/>
        </w:rPr>
        <w:t xml:space="preserve"> u okviru </w:t>
      </w:r>
      <w:r w:rsidR="00A26B7B" w:rsidRPr="004D11BA">
        <w:rPr>
          <w:lang w:eastAsia="hr-HR"/>
        </w:rPr>
        <w:t xml:space="preserve">Nacionalnog plana oporavka i otpornosti 2021. – 2026. </w:t>
      </w:r>
      <w:r w:rsidR="00A26B7B">
        <w:rPr>
          <w:lang w:eastAsia="hr-HR"/>
        </w:rPr>
        <w:t>U</w:t>
      </w:r>
      <w:r w:rsidR="00FE1446">
        <w:rPr>
          <w:lang w:eastAsia="hr-HR"/>
        </w:rPr>
        <w:t xml:space="preserve"> okviru VFO-a</w:t>
      </w:r>
      <w:r w:rsidR="00A26B7B">
        <w:rPr>
          <w:lang w:eastAsia="hr-HR"/>
        </w:rPr>
        <w:t>,</w:t>
      </w:r>
      <w:r w:rsidR="00FE1446">
        <w:rPr>
          <w:lang w:eastAsia="hr-HR"/>
        </w:rPr>
        <w:t xml:space="preserve"> MF</w:t>
      </w:r>
      <w:r w:rsidR="000B71FF">
        <w:rPr>
          <w:lang w:eastAsia="hr-HR"/>
        </w:rPr>
        <w:t xml:space="preserve"> </w:t>
      </w:r>
      <w:r w:rsidR="004D4E41">
        <w:rPr>
          <w:lang w:eastAsia="hr-HR"/>
        </w:rPr>
        <w:t>sudjeluje</w:t>
      </w:r>
      <w:r w:rsidR="00A26B7B">
        <w:rPr>
          <w:lang w:eastAsia="hr-HR"/>
        </w:rPr>
        <w:t xml:space="preserve"> kao </w:t>
      </w:r>
      <w:r w:rsidR="00997EDB">
        <w:rPr>
          <w:lang w:eastAsia="hr-HR"/>
        </w:rPr>
        <w:t>Tijelo n</w:t>
      </w:r>
      <w:r w:rsidR="00997EDB" w:rsidRPr="00997EDB">
        <w:rPr>
          <w:lang w:eastAsia="hr-HR"/>
        </w:rPr>
        <w:t>adležno za računovodstvenu funkciju</w:t>
      </w:r>
      <w:r w:rsidR="00A26B7B">
        <w:rPr>
          <w:lang w:eastAsia="hr-HR"/>
        </w:rPr>
        <w:t>.</w:t>
      </w:r>
      <w:r w:rsidRPr="004D11BA">
        <w:rPr>
          <w:lang w:eastAsia="hr-HR"/>
        </w:rPr>
        <w:t xml:space="preserve"> </w:t>
      </w:r>
      <w:r w:rsidR="00553B30">
        <w:rPr>
          <w:lang w:eastAsia="hr-HR"/>
        </w:rPr>
        <w:t>MF i</w:t>
      </w:r>
      <w:r w:rsidR="00B3644D" w:rsidRPr="00B357F4">
        <w:rPr>
          <w:lang w:eastAsia="hr-HR"/>
        </w:rPr>
        <w:t>zdaje naputke odnosno prethodnu suglasnost na prijedlog projekta javno privatnog partnerstva. Prvenstveno se to odnosi na sukladnost predviđenih neposrednih financijskih obveza javnog tijela sa financijskim planovima, projekcijama i uvjetima te ograničenjima propisanim posebnim propisima.</w:t>
      </w:r>
    </w:p>
    <w:p w14:paraId="44F5095C" w14:textId="1F4992C2" w:rsidR="00B3644D" w:rsidRPr="00B357F4" w:rsidRDefault="00B3644D" w:rsidP="00166B1A">
      <w:pPr>
        <w:pStyle w:val="Odlomakpopisa"/>
        <w:numPr>
          <w:ilvl w:val="0"/>
          <w:numId w:val="28"/>
        </w:numPr>
      </w:pPr>
      <w:r w:rsidRPr="00B357F4">
        <w:t>Ministarstvo gospodarstva</w:t>
      </w:r>
      <w:r w:rsidR="00CC26CA" w:rsidRPr="00B357F4">
        <w:t xml:space="preserve"> i održivog razvoja (MINGOR)</w:t>
      </w:r>
    </w:p>
    <w:p w14:paraId="0774E724" w14:textId="648FCE87" w:rsidR="00B3644D" w:rsidRPr="00B357F4" w:rsidRDefault="00553B30" w:rsidP="00B3644D">
      <w:pPr>
        <w:rPr>
          <w:lang w:eastAsia="hr-HR"/>
        </w:rPr>
      </w:pPr>
      <w:r>
        <w:rPr>
          <w:lang w:eastAsia="hr-HR"/>
        </w:rPr>
        <w:t xml:space="preserve">Ministarstvo nadležno za gospodarstvo </w:t>
      </w:r>
      <w:r w:rsidR="00037018">
        <w:rPr>
          <w:lang w:eastAsia="hr-HR"/>
        </w:rPr>
        <w:t>s</w:t>
      </w:r>
      <w:r w:rsidR="00B3644D" w:rsidRPr="00B357F4">
        <w:rPr>
          <w:lang w:eastAsia="hr-HR"/>
        </w:rPr>
        <w:t xml:space="preserve">udjeluje u unapređenju i razvoju sustava javno-privatnog partnerstva te sudjeluje u koordinaciji strategije upravljanja državnom imovinom. Sukladno Zakonu o javno-privatnom partnerstvu odobrava prijedloge projekata javno-privatnog partnerstva.  </w:t>
      </w:r>
    </w:p>
    <w:p w14:paraId="1FD615E1" w14:textId="534EFAE9" w:rsidR="005F14F7" w:rsidRPr="001155A4" w:rsidRDefault="006C4E1A" w:rsidP="00166B1A">
      <w:pPr>
        <w:pStyle w:val="Odlomakpopisa"/>
        <w:numPr>
          <w:ilvl w:val="0"/>
          <w:numId w:val="28"/>
        </w:numPr>
      </w:pPr>
      <w:r w:rsidRPr="001155A4">
        <w:t xml:space="preserve">Provedbena tijela </w:t>
      </w:r>
      <w:r w:rsidR="00B3644D" w:rsidRPr="001155A4">
        <w:t>(</w:t>
      </w:r>
      <w:r w:rsidR="005F14F7" w:rsidRPr="001155A4">
        <w:t>PT)</w:t>
      </w:r>
    </w:p>
    <w:p w14:paraId="2318229F" w14:textId="7F48FC76" w:rsidR="00C71D85" w:rsidRPr="00B357F4" w:rsidRDefault="00411BC8" w:rsidP="00795EFB">
      <w:r w:rsidRPr="001155A4">
        <w:t>Prema</w:t>
      </w:r>
      <w:r w:rsidR="0019729C" w:rsidRPr="001155A4">
        <w:t xml:space="preserve"> Odlu</w:t>
      </w:r>
      <w:r w:rsidRPr="001155A4">
        <w:t>ci</w:t>
      </w:r>
      <w:r w:rsidR="0019729C" w:rsidRPr="001155A4">
        <w:t xml:space="preserve"> o sustavu upravljanja i praćenju provedbe aktivnosti u okviru Nacionalnog plana oporavka i otpornosti 2021. – 2026</w:t>
      </w:r>
      <w:r w:rsidR="006C4E1A" w:rsidRPr="001155A4">
        <w:t xml:space="preserve"> koju je donijela Vlada RH</w:t>
      </w:r>
      <w:r w:rsidR="00AA38AE" w:rsidRPr="001155A4">
        <w:t xml:space="preserve"> 9</w:t>
      </w:r>
      <w:r w:rsidR="00051C81" w:rsidRPr="001155A4">
        <w:t>. srpnja 2021. godine</w:t>
      </w:r>
      <w:r w:rsidR="006C4E1A" w:rsidRPr="001155A4">
        <w:t xml:space="preserve"> </w:t>
      </w:r>
      <w:r w:rsidRPr="001155A4">
        <w:t xml:space="preserve">, provedbena tijela nadležna za inicijativu Obnova </w:t>
      </w:r>
      <w:r w:rsidR="00CD2232" w:rsidRPr="001155A4">
        <w:t xml:space="preserve">zgrada su </w:t>
      </w:r>
      <w:r w:rsidR="006C4E1A" w:rsidRPr="001155A4">
        <w:t>Ministarstvo zdravstva, Ministarstvo znanosti i obrazovanja</w:t>
      </w:r>
      <w:r w:rsidR="00F5219C" w:rsidRPr="001155A4">
        <w:t>,</w:t>
      </w:r>
      <w:r w:rsidR="006504D1" w:rsidRPr="001155A4">
        <w:t xml:space="preserve"> Ministarstvo </w:t>
      </w:r>
      <w:r w:rsidR="006504D1" w:rsidRPr="006504D1">
        <w:t>kulture i medija</w:t>
      </w:r>
      <w:r w:rsidR="006504D1">
        <w:t>,</w:t>
      </w:r>
      <w:r w:rsidR="006C4E1A">
        <w:t xml:space="preserve"> </w:t>
      </w:r>
      <w:r w:rsidR="00F07151" w:rsidRPr="00F07151">
        <w:t xml:space="preserve">Fond za zaštitu okoliša i energetsku učinkovitost (FZOEU), Fond za obnovu (FZO), , </w:t>
      </w:r>
      <w:r w:rsidR="00CD2232" w:rsidRPr="00CD2232">
        <w:t xml:space="preserve">Provedbena tijela obavljaju poslove u vezi s upravljanjem ugovorima o dodjeli bespovratnih sredstava, a u skladu s odredbama Sporazuma o delegiranim poslovima između </w:t>
      </w:r>
      <w:r w:rsidR="00780222">
        <w:t>MPGI kao t</w:t>
      </w:r>
      <w:r w:rsidR="00CD2232" w:rsidRPr="00CD2232">
        <w:t>ijela državne uprave nadležn</w:t>
      </w:r>
      <w:r w:rsidR="00780222">
        <w:t>og</w:t>
      </w:r>
      <w:r w:rsidR="00CD2232" w:rsidRPr="00CD2232">
        <w:t xml:space="preserve"> za </w:t>
      </w:r>
      <w:r w:rsidR="00780222">
        <w:t xml:space="preserve">inicijativu </w:t>
      </w:r>
      <w:r w:rsidR="007278CA">
        <w:t>Obnovu zgrada</w:t>
      </w:r>
      <w:r w:rsidR="00CD2232" w:rsidRPr="00CD2232">
        <w:t xml:space="preserve"> i </w:t>
      </w:r>
      <w:r w:rsidR="007278CA">
        <w:t>p</w:t>
      </w:r>
      <w:r w:rsidR="00CD2232" w:rsidRPr="00CD2232">
        <w:t>rovedbenih tijela.</w:t>
      </w:r>
      <w:r w:rsidR="00780222">
        <w:t xml:space="preserve"> </w:t>
      </w:r>
      <w:r w:rsidR="00780222" w:rsidRPr="00780222">
        <w:t>Prije isplate sredstava korisnicima za troškove nastale u provedbi projekata, Provedbeno tijelo obvezno je ponovno provjeriti postoji li dvostruko financiranje.</w:t>
      </w:r>
    </w:p>
    <w:p w14:paraId="1CCCB5CA" w14:textId="5055CCFF" w:rsidR="001E3AB4" w:rsidRDefault="005D5AB9" w:rsidP="00166B1A">
      <w:pPr>
        <w:pStyle w:val="Odlomakpopisa"/>
        <w:numPr>
          <w:ilvl w:val="0"/>
          <w:numId w:val="28"/>
        </w:numPr>
      </w:pPr>
      <w:r w:rsidRPr="005D5AB9">
        <w:t>Agencija za pravni promet i posredovanje nekretninama</w:t>
      </w:r>
      <w:r>
        <w:t xml:space="preserve"> (APN)</w:t>
      </w:r>
    </w:p>
    <w:p w14:paraId="2A70F7BD" w14:textId="641ED8F2" w:rsidR="005D5AB9" w:rsidRDefault="0010599F" w:rsidP="00C673F3">
      <w:r>
        <w:t>Prema</w:t>
      </w:r>
      <w:r w:rsidRPr="0010599F">
        <w:t xml:space="preserve"> Zakon</w:t>
      </w:r>
      <w:r>
        <w:t>u</w:t>
      </w:r>
      <w:r w:rsidRPr="0010599F">
        <w:t xml:space="preserve"> o energetskoj učinkovitosti</w:t>
      </w:r>
      <w:r>
        <w:t xml:space="preserve"> </w:t>
      </w:r>
      <w:r w:rsidRPr="0010599F">
        <w:t xml:space="preserve">APN je zadužen za provedbu postupka javne nabave za energetsku uslugu u zgradarstvu u ime i za račun proračunskih i izvanproračunskih korisnika državnog proračuna Republike Hrvatske te će zajedno s ministarstvom nadležnim za poslove graditeljstva provoditi Program energetske obnove zgrada javnog sektora u okviru svog djelovanja. </w:t>
      </w:r>
      <w:r w:rsidR="00837C6C">
        <w:t xml:space="preserve">APN će </w:t>
      </w:r>
      <w:r w:rsidR="00DC1192">
        <w:t>provoditi</w:t>
      </w:r>
      <w:r w:rsidR="002C35BB">
        <w:t xml:space="preserve"> dio</w:t>
      </w:r>
      <w:r w:rsidR="00DC1192">
        <w:t xml:space="preserve"> </w:t>
      </w:r>
      <w:r w:rsidR="00CE4135">
        <w:t>energetsk</w:t>
      </w:r>
      <w:r w:rsidR="002C35BB">
        <w:t>e</w:t>
      </w:r>
      <w:r w:rsidR="00CE4135">
        <w:t xml:space="preserve"> obnov</w:t>
      </w:r>
      <w:r w:rsidR="002C35BB">
        <w:t>e</w:t>
      </w:r>
      <w:r w:rsidR="00CE4135">
        <w:t xml:space="preserve"> </w:t>
      </w:r>
      <w:r w:rsidR="009D5DE3">
        <w:t>zgrada javnog sektora</w:t>
      </w:r>
      <w:r w:rsidR="002C35BB">
        <w:t>,</w:t>
      </w:r>
      <w:r w:rsidR="009D5DE3">
        <w:t xml:space="preserve"> p</w:t>
      </w:r>
      <w:r w:rsidR="00EF2B93">
        <w:t>o ESCO modelu</w:t>
      </w:r>
      <w:r w:rsidR="002C35BB">
        <w:t xml:space="preserve"> koja je sufinancirana </w:t>
      </w:r>
      <w:r w:rsidR="00D36FE1">
        <w:t xml:space="preserve">sredstvima alociranima u </w:t>
      </w:r>
      <w:r w:rsidR="008E1654">
        <w:t>inicijativi</w:t>
      </w:r>
      <w:r w:rsidR="004359F6">
        <w:t xml:space="preserve"> Obnova zgrada </w:t>
      </w:r>
      <w:r w:rsidR="008E1654">
        <w:rPr>
          <w:lang w:eastAsia="hr-HR"/>
        </w:rPr>
        <w:t>u okviru NPOO-a</w:t>
      </w:r>
      <w:r w:rsidR="00966992">
        <w:rPr>
          <w:lang w:eastAsia="hr-HR"/>
        </w:rPr>
        <w:t xml:space="preserve"> u prve tri godine provedbe, uz mogućnost primjene </w:t>
      </w:r>
      <w:r w:rsidR="002F0DA4">
        <w:rPr>
          <w:lang w:eastAsia="hr-HR"/>
        </w:rPr>
        <w:t xml:space="preserve">drugih </w:t>
      </w:r>
      <w:r w:rsidR="0023635D">
        <w:rPr>
          <w:lang w:eastAsia="hr-HR"/>
        </w:rPr>
        <w:t>izvora</w:t>
      </w:r>
      <w:r w:rsidR="002F0DA4">
        <w:rPr>
          <w:lang w:eastAsia="hr-HR"/>
        </w:rPr>
        <w:t xml:space="preserve"> financiranja</w:t>
      </w:r>
      <w:r w:rsidR="008E1654">
        <w:rPr>
          <w:lang w:eastAsia="hr-HR"/>
        </w:rPr>
        <w:t>.</w:t>
      </w:r>
    </w:p>
    <w:p w14:paraId="364CD9AF" w14:textId="5A9838ED" w:rsidR="00C71D85" w:rsidRPr="006734C7" w:rsidRDefault="00C71D85" w:rsidP="00166B1A">
      <w:pPr>
        <w:pStyle w:val="Odlomakpopisa"/>
        <w:numPr>
          <w:ilvl w:val="0"/>
          <w:numId w:val="28"/>
        </w:numPr>
      </w:pPr>
      <w:r w:rsidRPr="00B357F4">
        <w:lastRenderedPageBreak/>
        <w:t>Fond za zaštitu okoliša i energetsku učinkovitost (FZOEU)</w:t>
      </w:r>
    </w:p>
    <w:p w14:paraId="4EAC43DD" w14:textId="53085AF3" w:rsidR="00B3644D" w:rsidRPr="00B357F4" w:rsidRDefault="002247EC" w:rsidP="00FA2B81">
      <w:pPr>
        <w:rPr>
          <w:lang w:eastAsia="hr-HR"/>
        </w:rPr>
      </w:pPr>
      <w:r>
        <w:rPr>
          <w:lang w:eastAsia="hr-HR"/>
        </w:rPr>
        <w:t xml:space="preserve">FZOEU je jedno od provedbenih tijela </w:t>
      </w:r>
      <w:r w:rsidRPr="002247EC">
        <w:rPr>
          <w:lang w:eastAsia="hr-HR"/>
        </w:rPr>
        <w:t>nadležn</w:t>
      </w:r>
      <w:r>
        <w:rPr>
          <w:lang w:eastAsia="hr-HR"/>
        </w:rPr>
        <w:t>o</w:t>
      </w:r>
      <w:r w:rsidRPr="002247EC">
        <w:rPr>
          <w:lang w:eastAsia="hr-HR"/>
        </w:rPr>
        <w:t xml:space="preserve"> za inicijativu Obnova zgrada</w:t>
      </w:r>
      <w:r>
        <w:rPr>
          <w:lang w:eastAsia="hr-HR"/>
        </w:rPr>
        <w:t xml:space="preserve"> u okviru NPOO-a</w:t>
      </w:r>
      <w:r w:rsidR="00491398">
        <w:rPr>
          <w:lang w:eastAsia="hr-HR"/>
        </w:rPr>
        <w:t xml:space="preserve">. </w:t>
      </w:r>
      <w:r w:rsidR="00491398" w:rsidRPr="00491398">
        <w:rPr>
          <w:lang w:eastAsia="hr-HR"/>
        </w:rPr>
        <w:t xml:space="preserve">U višegodišnjem financijskom okviru 2014.-2020., </w:t>
      </w:r>
      <w:r w:rsidR="00491398">
        <w:rPr>
          <w:lang w:eastAsia="hr-HR"/>
        </w:rPr>
        <w:t>FZOEU</w:t>
      </w:r>
      <w:r w:rsidR="00491398" w:rsidRPr="00491398">
        <w:rPr>
          <w:lang w:eastAsia="hr-HR"/>
        </w:rPr>
        <w:t xml:space="preserve"> je imalo ulogu posredničkog tijela razine </w:t>
      </w:r>
      <w:r w:rsidR="00491398">
        <w:rPr>
          <w:lang w:eastAsia="hr-HR"/>
        </w:rPr>
        <w:t>2</w:t>
      </w:r>
      <w:r w:rsidR="00491398" w:rsidRPr="00491398">
        <w:rPr>
          <w:lang w:eastAsia="hr-HR"/>
        </w:rPr>
        <w:t xml:space="preserve"> za prioritete ulaganja povezane s </w:t>
      </w:r>
      <w:r w:rsidR="001013FB">
        <w:rPr>
          <w:lang w:eastAsia="hr-HR"/>
        </w:rPr>
        <w:t>povećanjem energetske učinkovitosti i obnovljivih izvora energije, zaštit</w:t>
      </w:r>
      <w:r w:rsidR="00A974A4">
        <w:rPr>
          <w:lang w:eastAsia="hr-HR"/>
        </w:rPr>
        <w:t>e</w:t>
      </w:r>
      <w:r w:rsidR="001013FB">
        <w:rPr>
          <w:lang w:eastAsia="hr-HR"/>
        </w:rPr>
        <w:t xml:space="preserve"> okoliša</w:t>
      </w:r>
      <w:r w:rsidR="00A974A4">
        <w:rPr>
          <w:lang w:eastAsia="hr-HR"/>
        </w:rPr>
        <w:t xml:space="preserve"> te k</w:t>
      </w:r>
      <w:r w:rsidR="001013FB">
        <w:rPr>
          <w:lang w:eastAsia="hr-HR"/>
        </w:rPr>
        <w:t>limatske promjene i upravljanje rizicima</w:t>
      </w:r>
      <w:r w:rsidR="00A974A4">
        <w:rPr>
          <w:lang w:eastAsia="hr-HR"/>
        </w:rPr>
        <w:t xml:space="preserve">. </w:t>
      </w:r>
      <w:r w:rsidR="00B3644D" w:rsidRPr="00B357F4">
        <w:rPr>
          <w:lang w:eastAsia="hr-HR"/>
        </w:rPr>
        <w:t>Posredničko tijelo razine 2 sudjeluje u pripremi javno-pozivne dokumentacije i izboru projekata, zaključuje ugovor o dodjeli bespovratnih sredstava s korisnikom, provjerava izvršenje ugovornih obveza korisnika i nadzire napredak projekta, ispituje sumnje na nepravilnosti, odlučuje o prihvatljivosti troškova tijekom provedbe i inicira financijske korekcije.</w:t>
      </w:r>
      <w:r w:rsidR="007B44D0">
        <w:rPr>
          <w:lang w:eastAsia="hr-HR"/>
        </w:rPr>
        <w:t xml:space="preserve"> </w:t>
      </w:r>
      <w:r w:rsidR="000F7993">
        <w:rPr>
          <w:lang w:eastAsia="hr-HR"/>
        </w:rPr>
        <w:t>S obzirom na to da Uredba o tijelima u sustavima upravljanja i kontrole 2021.-2027.</w:t>
      </w:r>
      <w:r w:rsidR="000F7993" w:rsidRPr="00717A02">
        <w:rPr>
          <w:lang w:eastAsia="hr-HR"/>
        </w:rPr>
        <w:t xml:space="preserve"> </w:t>
      </w:r>
      <w:r w:rsidR="000F7993">
        <w:rPr>
          <w:lang w:eastAsia="hr-HR"/>
        </w:rPr>
        <w:t>u trenutku izrade ovog Programa nije donesena, nije moguće prejudiciranje delegiranja uloge posredničkog tijela, kao niti broj i razina posredničkih tijela u razdoblju 2021.-2027.</w:t>
      </w:r>
      <w:r w:rsidR="007B44D0">
        <w:rPr>
          <w:lang w:eastAsia="hr-HR"/>
        </w:rPr>
        <w:t xml:space="preserve">, </w:t>
      </w:r>
    </w:p>
    <w:p w14:paraId="41B44370" w14:textId="28B86F78" w:rsidR="00B3644D" w:rsidRPr="00B357F4" w:rsidRDefault="00B3644D" w:rsidP="00166B1A">
      <w:pPr>
        <w:pStyle w:val="Odlomakpopisa"/>
        <w:numPr>
          <w:ilvl w:val="0"/>
          <w:numId w:val="28"/>
        </w:numPr>
      </w:pPr>
      <w:r w:rsidRPr="00B357F4">
        <w:t>Javni sektor</w:t>
      </w:r>
    </w:p>
    <w:p w14:paraId="3B8BE479" w14:textId="77777777" w:rsidR="00B3644D" w:rsidRPr="00B357F4" w:rsidRDefault="00B3644D" w:rsidP="00B3644D">
      <w:pPr>
        <w:rPr>
          <w:lang w:eastAsia="hr-HR"/>
        </w:rPr>
      </w:pPr>
      <w:r w:rsidRPr="00B357F4">
        <w:rPr>
          <w:lang w:eastAsia="hr-HR"/>
        </w:rPr>
        <w:t xml:space="preserve">Vlasnici/korisnici zgrada: ministarstva, tijela državne uprave, jedinice lokalne i područne (regionalne) samouprave (JLP(R)S) RH. </w:t>
      </w:r>
    </w:p>
    <w:p w14:paraId="00C8C60F" w14:textId="77777777" w:rsidR="00B3644D" w:rsidRPr="00B357F4" w:rsidRDefault="00B3644D" w:rsidP="00B3644D">
      <w:pPr>
        <w:rPr>
          <w:lang w:eastAsia="hr-HR"/>
        </w:rPr>
      </w:pPr>
      <w:r w:rsidRPr="00B357F4">
        <w:rPr>
          <w:lang w:eastAsia="hr-HR"/>
        </w:rPr>
        <w:t>Sudjeluje u provedbi Programa sukladno odlukama nadležnih tijela, pokreće proceduru prijave zgrade u Program, naručuje energetsku uslugu, potpisuje ugovor o energetskom učinku/ugovor o javno-privatnom partnerstvu.</w:t>
      </w:r>
    </w:p>
    <w:p w14:paraId="73CF394E" w14:textId="175985F4" w:rsidR="00B3644D" w:rsidRPr="006734C7" w:rsidRDefault="48ABCA51" w:rsidP="00B3644D">
      <w:pPr>
        <w:pStyle w:val="Naslov20"/>
      </w:pPr>
      <w:bookmarkStart w:id="126" w:name="_Toc94770005"/>
      <w:r w:rsidRPr="00B357F4">
        <w:t>Dijagram toka sa ključnim koracima</w:t>
      </w:r>
      <w:bookmarkEnd w:id="126"/>
    </w:p>
    <w:p w14:paraId="4B6D6B9E" w14:textId="2EA6426F" w:rsidR="00D17607" w:rsidRPr="00B357F4" w:rsidRDefault="00D17607" w:rsidP="00D17607">
      <w:r w:rsidRPr="00203A80">
        <w:t xml:space="preserve">U cilju stvaranja preduvjeta za provedbu Programa definirani su </w:t>
      </w:r>
      <w:r w:rsidRPr="00A67250">
        <w:t>sudionici</w:t>
      </w:r>
      <w:r w:rsidRPr="00B03C9B">
        <w:t xml:space="preserve"> i rokovi za provedbu aktivnosti predviđenih Program</w:t>
      </w:r>
      <w:r w:rsidRPr="00971F9E">
        <w:t>om što se posebno odnosi na aktivnosti dane u sljedećoj tablici.</w:t>
      </w:r>
    </w:p>
    <w:tbl>
      <w:tblPr>
        <w:tblStyle w:val="Reetkatablice"/>
        <w:tblW w:w="9094" w:type="dxa"/>
        <w:tblLayout w:type="fixed"/>
        <w:tblLook w:val="04A0" w:firstRow="1" w:lastRow="0" w:firstColumn="1" w:lastColumn="0" w:noHBand="0" w:noVBand="1"/>
      </w:tblPr>
      <w:tblGrid>
        <w:gridCol w:w="1271"/>
        <w:gridCol w:w="883"/>
        <w:gridCol w:w="3937"/>
        <w:gridCol w:w="1560"/>
        <w:gridCol w:w="1443"/>
      </w:tblGrid>
      <w:tr w:rsidR="007B3CB4" w:rsidRPr="00B357F4" w14:paraId="247AC6AE" w14:textId="77777777" w:rsidTr="7AEFCEA8">
        <w:trPr>
          <w:trHeight w:val="645"/>
        </w:trPr>
        <w:tc>
          <w:tcPr>
            <w:tcW w:w="1271" w:type="dxa"/>
            <w:hideMark/>
          </w:tcPr>
          <w:p w14:paraId="4E7442C3" w14:textId="77777777" w:rsidR="007B3CB4" w:rsidRPr="00B357F4" w:rsidRDefault="007B3CB4" w:rsidP="00ED65A9">
            <w:pPr>
              <w:jc w:val="left"/>
              <w:rPr>
                <w:b/>
                <w:lang w:eastAsia="hr-HR"/>
              </w:rPr>
            </w:pPr>
            <w:r w:rsidRPr="00B357F4">
              <w:rPr>
                <w:b/>
                <w:lang w:eastAsia="hr-HR"/>
              </w:rPr>
              <w:t>Etapa</w:t>
            </w:r>
          </w:p>
        </w:tc>
        <w:tc>
          <w:tcPr>
            <w:tcW w:w="883" w:type="dxa"/>
            <w:hideMark/>
          </w:tcPr>
          <w:p w14:paraId="5D3202B6" w14:textId="469909B6" w:rsidR="007B3CB4" w:rsidRPr="00B357F4" w:rsidRDefault="00D85F43" w:rsidP="00ED65A9">
            <w:pPr>
              <w:jc w:val="left"/>
              <w:rPr>
                <w:b/>
                <w:lang w:eastAsia="hr-HR"/>
              </w:rPr>
            </w:pPr>
            <w:r w:rsidRPr="00B357F4">
              <w:rPr>
                <w:b/>
                <w:lang w:eastAsia="hr-HR"/>
              </w:rPr>
              <w:t>Korak</w:t>
            </w:r>
          </w:p>
        </w:tc>
        <w:tc>
          <w:tcPr>
            <w:tcW w:w="3937" w:type="dxa"/>
            <w:hideMark/>
          </w:tcPr>
          <w:p w14:paraId="629EF215" w14:textId="77777777" w:rsidR="007B3CB4" w:rsidRPr="00B357F4" w:rsidRDefault="007B3CB4" w:rsidP="00ED65A9">
            <w:pPr>
              <w:jc w:val="left"/>
              <w:rPr>
                <w:b/>
                <w:lang w:eastAsia="hr-HR"/>
              </w:rPr>
            </w:pPr>
            <w:r w:rsidRPr="00B357F4">
              <w:rPr>
                <w:b/>
                <w:lang w:eastAsia="hr-HR"/>
              </w:rPr>
              <w:t>Aktivnost</w:t>
            </w:r>
          </w:p>
        </w:tc>
        <w:tc>
          <w:tcPr>
            <w:tcW w:w="1560" w:type="dxa"/>
            <w:hideMark/>
          </w:tcPr>
          <w:p w14:paraId="06B9F409" w14:textId="77777777" w:rsidR="007B3CB4" w:rsidRPr="00B357F4" w:rsidRDefault="007B3CB4" w:rsidP="00ED65A9">
            <w:pPr>
              <w:jc w:val="left"/>
              <w:rPr>
                <w:b/>
                <w:lang w:eastAsia="hr-HR"/>
              </w:rPr>
            </w:pPr>
            <w:r w:rsidRPr="00B357F4">
              <w:rPr>
                <w:b/>
                <w:lang w:eastAsia="hr-HR"/>
              </w:rPr>
              <w:t>Sudionici</w:t>
            </w:r>
          </w:p>
        </w:tc>
        <w:tc>
          <w:tcPr>
            <w:tcW w:w="1443" w:type="dxa"/>
            <w:hideMark/>
          </w:tcPr>
          <w:p w14:paraId="26D3C008" w14:textId="77777777" w:rsidR="007B3CB4" w:rsidRPr="00B357F4" w:rsidRDefault="007B3CB4" w:rsidP="00ED65A9">
            <w:pPr>
              <w:rPr>
                <w:b/>
                <w:lang w:eastAsia="hr-HR"/>
              </w:rPr>
            </w:pPr>
            <w:r w:rsidRPr="00B357F4">
              <w:rPr>
                <w:b/>
                <w:lang w:eastAsia="hr-HR"/>
              </w:rPr>
              <w:t>Vrijeme provedbe</w:t>
            </w:r>
          </w:p>
        </w:tc>
      </w:tr>
      <w:tr w:rsidR="007B3CB4" w:rsidRPr="00B357F4" w14:paraId="23D66A64" w14:textId="77777777" w:rsidTr="7AEFCEA8">
        <w:trPr>
          <w:trHeight w:val="900"/>
        </w:trPr>
        <w:tc>
          <w:tcPr>
            <w:tcW w:w="1271" w:type="dxa"/>
            <w:vMerge w:val="restart"/>
            <w:hideMark/>
          </w:tcPr>
          <w:p w14:paraId="1524B789" w14:textId="77777777" w:rsidR="007B3CB4" w:rsidRPr="00B357F4" w:rsidRDefault="007B3CB4" w:rsidP="00ED65A9">
            <w:pPr>
              <w:jc w:val="left"/>
              <w:rPr>
                <w:lang w:eastAsia="hr-HR"/>
              </w:rPr>
            </w:pPr>
            <w:r w:rsidRPr="00B357F4">
              <w:rPr>
                <w:lang w:eastAsia="hr-HR"/>
              </w:rPr>
              <w:t>I.  Inicijalna etapa</w:t>
            </w:r>
          </w:p>
        </w:tc>
        <w:tc>
          <w:tcPr>
            <w:tcW w:w="883" w:type="dxa"/>
            <w:hideMark/>
          </w:tcPr>
          <w:p w14:paraId="3CA1D0B2" w14:textId="77777777" w:rsidR="007B3CB4" w:rsidRPr="00B357F4" w:rsidRDefault="007B3CB4" w:rsidP="00ED65A9">
            <w:pPr>
              <w:jc w:val="left"/>
              <w:rPr>
                <w:lang w:eastAsia="hr-HR"/>
              </w:rPr>
            </w:pPr>
            <w:r w:rsidRPr="00B357F4">
              <w:rPr>
                <w:lang w:eastAsia="hr-HR"/>
              </w:rPr>
              <w:t>1.</w:t>
            </w:r>
          </w:p>
        </w:tc>
        <w:tc>
          <w:tcPr>
            <w:tcW w:w="3937" w:type="dxa"/>
            <w:hideMark/>
          </w:tcPr>
          <w:p w14:paraId="26D012E9" w14:textId="77777777" w:rsidR="007B3CB4" w:rsidRPr="00B357F4" w:rsidRDefault="007B3CB4" w:rsidP="00ED65A9">
            <w:pPr>
              <w:jc w:val="left"/>
              <w:rPr>
                <w:lang w:eastAsia="hr-HR"/>
              </w:rPr>
            </w:pPr>
            <w:r w:rsidRPr="00B357F4">
              <w:rPr>
                <w:b/>
                <w:lang w:eastAsia="hr-HR"/>
              </w:rPr>
              <w:t xml:space="preserve">Izrađuje se </w:t>
            </w:r>
            <w:r w:rsidRPr="00B357F4">
              <w:rPr>
                <w:b/>
                <w:i/>
                <w:lang w:eastAsia="hr-HR"/>
              </w:rPr>
              <w:t>Program energetske obnove zgrada javnog sektora</w:t>
            </w:r>
            <w:r w:rsidRPr="00B357F4">
              <w:rPr>
                <w:lang w:eastAsia="hr-HR"/>
              </w:rPr>
              <w:t xml:space="preserve"> (u daljnjem tekstu </w:t>
            </w:r>
            <w:r w:rsidRPr="00B357F4">
              <w:rPr>
                <w:i/>
                <w:lang w:eastAsia="hr-HR"/>
              </w:rPr>
              <w:t>Program</w:t>
            </w:r>
            <w:r w:rsidRPr="00B357F4">
              <w:rPr>
                <w:lang w:eastAsia="hr-HR"/>
              </w:rPr>
              <w:t>)</w:t>
            </w:r>
          </w:p>
        </w:tc>
        <w:tc>
          <w:tcPr>
            <w:tcW w:w="1560" w:type="dxa"/>
            <w:hideMark/>
          </w:tcPr>
          <w:p w14:paraId="17722ABF" w14:textId="77777777" w:rsidR="007B3CB4" w:rsidRPr="00B357F4" w:rsidRDefault="007B3CB4" w:rsidP="00ED65A9">
            <w:pPr>
              <w:jc w:val="left"/>
              <w:rPr>
                <w:lang w:eastAsia="hr-HR"/>
              </w:rPr>
            </w:pPr>
            <w:r w:rsidRPr="00B357F4">
              <w:rPr>
                <w:lang w:eastAsia="hr-HR"/>
              </w:rPr>
              <w:t>MPGI, Povjerenstvo, izrađivač</w:t>
            </w:r>
          </w:p>
        </w:tc>
        <w:tc>
          <w:tcPr>
            <w:tcW w:w="1443" w:type="dxa"/>
            <w:hideMark/>
          </w:tcPr>
          <w:p w14:paraId="11DE9A69" w14:textId="77777777" w:rsidR="007B3CB4" w:rsidRPr="00B357F4" w:rsidRDefault="007B3CB4" w:rsidP="00ED65A9">
            <w:pPr>
              <w:rPr>
                <w:lang w:eastAsia="hr-HR"/>
              </w:rPr>
            </w:pPr>
            <w:r w:rsidRPr="00B357F4">
              <w:rPr>
                <w:lang w:eastAsia="hr-HR"/>
              </w:rPr>
              <w:t>2021.</w:t>
            </w:r>
          </w:p>
        </w:tc>
      </w:tr>
      <w:tr w:rsidR="007B3CB4" w:rsidRPr="00B357F4" w14:paraId="0DC8F2FF" w14:textId="77777777" w:rsidTr="7AEFCEA8">
        <w:trPr>
          <w:trHeight w:val="300"/>
        </w:trPr>
        <w:tc>
          <w:tcPr>
            <w:tcW w:w="1271" w:type="dxa"/>
            <w:vMerge/>
            <w:hideMark/>
          </w:tcPr>
          <w:p w14:paraId="73BC334D" w14:textId="77777777" w:rsidR="007B3CB4" w:rsidRPr="00B357F4" w:rsidRDefault="007B3CB4" w:rsidP="00ED65A9">
            <w:pPr>
              <w:jc w:val="left"/>
              <w:rPr>
                <w:lang w:eastAsia="hr-HR"/>
              </w:rPr>
            </w:pPr>
          </w:p>
        </w:tc>
        <w:tc>
          <w:tcPr>
            <w:tcW w:w="883" w:type="dxa"/>
            <w:hideMark/>
          </w:tcPr>
          <w:p w14:paraId="1608FAED" w14:textId="77777777" w:rsidR="007B3CB4" w:rsidRPr="00B357F4" w:rsidRDefault="007B3CB4" w:rsidP="00ED65A9">
            <w:pPr>
              <w:jc w:val="left"/>
              <w:rPr>
                <w:lang w:eastAsia="hr-HR"/>
              </w:rPr>
            </w:pPr>
            <w:r w:rsidRPr="00B357F4">
              <w:rPr>
                <w:lang w:eastAsia="hr-HR"/>
              </w:rPr>
              <w:t>2.</w:t>
            </w:r>
          </w:p>
        </w:tc>
        <w:tc>
          <w:tcPr>
            <w:tcW w:w="3937" w:type="dxa"/>
            <w:hideMark/>
          </w:tcPr>
          <w:p w14:paraId="718F0394" w14:textId="43ED5AAF" w:rsidR="007B3CB4" w:rsidRPr="00B357F4" w:rsidRDefault="007B3CB4" w:rsidP="00ED65A9">
            <w:pPr>
              <w:jc w:val="left"/>
              <w:rPr>
                <w:lang w:eastAsia="hr-HR"/>
              </w:rPr>
            </w:pPr>
            <w:r w:rsidRPr="00B357F4">
              <w:rPr>
                <w:b/>
                <w:lang w:eastAsia="hr-HR"/>
              </w:rPr>
              <w:t>Vlada</w:t>
            </w:r>
            <w:r w:rsidRPr="00B357F4">
              <w:rPr>
                <w:lang w:eastAsia="hr-HR"/>
              </w:rPr>
              <w:t xml:space="preserve"> na prijedlog </w:t>
            </w:r>
            <w:r w:rsidR="006B423E">
              <w:rPr>
                <w:lang w:eastAsia="hr-HR"/>
              </w:rPr>
              <w:t>MPGI</w:t>
            </w:r>
            <w:r w:rsidR="006B423E" w:rsidRPr="00B357F4">
              <w:rPr>
                <w:lang w:eastAsia="hr-HR"/>
              </w:rPr>
              <w:t xml:space="preserve"> </w:t>
            </w:r>
            <w:r w:rsidRPr="00B357F4">
              <w:rPr>
                <w:b/>
                <w:lang w:eastAsia="hr-HR"/>
              </w:rPr>
              <w:t xml:space="preserve">donosi </w:t>
            </w:r>
            <w:r w:rsidRPr="00B357F4">
              <w:rPr>
                <w:i/>
                <w:lang w:eastAsia="hr-HR"/>
              </w:rPr>
              <w:t xml:space="preserve">Program </w:t>
            </w:r>
          </w:p>
        </w:tc>
        <w:tc>
          <w:tcPr>
            <w:tcW w:w="1560" w:type="dxa"/>
            <w:hideMark/>
          </w:tcPr>
          <w:p w14:paraId="1689286C" w14:textId="77777777" w:rsidR="007B3CB4" w:rsidRPr="00B357F4" w:rsidRDefault="007B3CB4" w:rsidP="00ED65A9">
            <w:pPr>
              <w:jc w:val="left"/>
              <w:rPr>
                <w:lang w:eastAsia="hr-HR"/>
              </w:rPr>
            </w:pPr>
            <w:r w:rsidRPr="00B357F4">
              <w:rPr>
                <w:lang w:eastAsia="hr-HR"/>
              </w:rPr>
              <w:t>Vlada RH, MPGI</w:t>
            </w:r>
          </w:p>
        </w:tc>
        <w:tc>
          <w:tcPr>
            <w:tcW w:w="1443" w:type="dxa"/>
            <w:hideMark/>
          </w:tcPr>
          <w:p w14:paraId="26E08131" w14:textId="77777777" w:rsidR="007B3CB4" w:rsidRPr="00B357F4" w:rsidRDefault="007B3CB4" w:rsidP="00ED65A9">
            <w:pPr>
              <w:rPr>
                <w:lang w:eastAsia="hr-HR"/>
              </w:rPr>
            </w:pPr>
            <w:r w:rsidRPr="00B357F4">
              <w:rPr>
                <w:lang w:eastAsia="hr-HR"/>
              </w:rPr>
              <w:t>2021.</w:t>
            </w:r>
          </w:p>
        </w:tc>
      </w:tr>
      <w:tr w:rsidR="007B3CB4" w:rsidRPr="00B357F4" w14:paraId="42A5BD44" w14:textId="77777777" w:rsidTr="7AEFCEA8">
        <w:trPr>
          <w:trHeight w:val="900"/>
        </w:trPr>
        <w:tc>
          <w:tcPr>
            <w:tcW w:w="1271" w:type="dxa"/>
            <w:vMerge/>
            <w:hideMark/>
          </w:tcPr>
          <w:p w14:paraId="711ECAF8" w14:textId="77777777" w:rsidR="007B3CB4" w:rsidRPr="00B357F4" w:rsidRDefault="007B3CB4" w:rsidP="00ED65A9">
            <w:pPr>
              <w:jc w:val="left"/>
              <w:rPr>
                <w:lang w:eastAsia="hr-HR"/>
              </w:rPr>
            </w:pPr>
          </w:p>
        </w:tc>
        <w:tc>
          <w:tcPr>
            <w:tcW w:w="883" w:type="dxa"/>
            <w:hideMark/>
          </w:tcPr>
          <w:p w14:paraId="455D7DFC" w14:textId="77777777" w:rsidR="007B3CB4" w:rsidRPr="00B357F4" w:rsidRDefault="007B3CB4" w:rsidP="00ED65A9">
            <w:pPr>
              <w:jc w:val="left"/>
              <w:rPr>
                <w:lang w:eastAsia="hr-HR"/>
              </w:rPr>
            </w:pPr>
            <w:r w:rsidRPr="00B357F4">
              <w:rPr>
                <w:lang w:eastAsia="hr-HR"/>
              </w:rPr>
              <w:t>3.</w:t>
            </w:r>
          </w:p>
        </w:tc>
        <w:tc>
          <w:tcPr>
            <w:tcW w:w="3937" w:type="dxa"/>
            <w:hideMark/>
          </w:tcPr>
          <w:p w14:paraId="2EB709FC" w14:textId="77777777" w:rsidR="007B3CB4" w:rsidRPr="00B357F4" w:rsidRDefault="007B3CB4" w:rsidP="00ED65A9">
            <w:pPr>
              <w:jc w:val="left"/>
              <w:rPr>
                <w:lang w:eastAsia="hr-HR"/>
              </w:rPr>
            </w:pPr>
            <w:r w:rsidRPr="00B357F4">
              <w:rPr>
                <w:b/>
                <w:lang w:eastAsia="hr-HR"/>
              </w:rPr>
              <w:t>Kreiranje financijskih instrumenata</w:t>
            </w:r>
            <w:r w:rsidRPr="00B357F4">
              <w:rPr>
                <w:lang w:eastAsia="hr-HR"/>
              </w:rPr>
              <w:t xml:space="preserve"> za višegodišnji financijski okvir 2021.-2027. potrebnih za provođenje </w:t>
            </w:r>
            <w:r w:rsidRPr="00B357F4">
              <w:rPr>
                <w:i/>
                <w:lang w:eastAsia="hr-HR"/>
              </w:rPr>
              <w:t>Programa</w:t>
            </w:r>
          </w:p>
        </w:tc>
        <w:tc>
          <w:tcPr>
            <w:tcW w:w="1560" w:type="dxa"/>
            <w:hideMark/>
          </w:tcPr>
          <w:p w14:paraId="3F06CF6E" w14:textId="71A26BF5" w:rsidR="007B3CB4" w:rsidRPr="00B357F4" w:rsidRDefault="007B3CB4" w:rsidP="00ED65A9">
            <w:pPr>
              <w:jc w:val="left"/>
              <w:rPr>
                <w:lang w:eastAsia="hr-HR"/>
              </w:rPr>
            </w:pPr>
            <w:r w:rsidRPr="00B357F4">
              <w:rPr>
                <w:lang w:eastAsia="hr-HR"/>
              </w:rPr>
              <w:t>MRRFEU, MPG</w:t>
            </w:r>
            <w:r w:rsidR="0078118F">
              <w:rPr>
                <w:lang w:eastAsia="hr-HR"/>
              </w:rPr>
              <w:t>I</w:t>
            </w:r>
            <w:r w:rsidR="001B52A2" w:rsidRPr="00B357F4">
              <w:rPr>
                <w:lang w:eastAsia="hr-HR"/>
              </w:rPr>
              <w:t>, APN</w:t>
            </w:r>
            <w:r w:rsidR="00EF562D">
              <w:rPr>
                <w:lang w:eastAsia="hr-HR"/>
              </w:rPr>
              <w:t>, HBOR</w:t>
            </w:r>
            <w:r w:rsidR="001B52A2" w:rsidRPr="00B357F4">
              <w:rPr>
                <w:lang w:eastAsia="hr-HR"/>
              </w:rPr>
              <w:t xml:space="preserve"> </w:t>
            </w:r>
            <w:r w:rsidRPr="00B357F4">
              <w:rPr>
                <w:lang w:eastAsia="hr-HR"/>
              </w:rPr>
              <w:t xml:space="preserve"> </w:t>
            </w:r>
          </w:p>
        </w:tc>
        <w:tc>
          <w:tcPr>
            <w:tcW w:w="1443" w:type="dxa"/>
            <w:hideMark/>
          </w:tcPr>
          <w:p w14:paraId="0350825C" w14:textId="5B5DBC09" w:rsidR="007B3CB4" w:rsidRPr="00B357F4" w:rsidRDefault="00613FA0" w:rsidP="00ED65A9">
            <w:pPr>
              <w:rPr>
                <w:lang w:eastAsia="hr-HR"/>
              </w:rPr>
            </w:pPr>
            <w:r w:rsidRPr="00B357F4">
              <w:rPr>
                <w:lang w:eastAsia="hr-HR"/>
              </w:rPr>
              <w:t>2022. – 202</w:t>
            </w:r>
            <w:r w:rsidR="00B549EE">
              <w:rPr>
                <w:lang w:eastAsia="hr-HR"/>
              </w:rPr>
              <w:t>4</w:t>
            </w:r>
            <w:r w:rsidRPr="00B357F4">
              <w:rPr>
                <w:lang w:eastAsia="hr-HR"/>
              </w:rPr>
              <w:t>.</w:t>
            </w:r>
          </w:p>
        </w:tc>
      </w:tr>
      <w:tr w:rsidR="007B3CB4" w:rsidRPr="00B357F4" w14:paraId="0DCDA120" w14:textId="77777777" w:rsidTr="7AEFCEA8">
        <w:trPr>
          <w:trHeight w:val="900"/>
        </w:trPr>
        <w:tc>
          <w:tcPr>
            <w:tcW w:w="1271" w:type="dxa"/>
            <w:vMerge/>
            <w:hideMark/>
          </w:tcPr>
          <w:p w14:paraId="0370A663" w14:textId="77777777" w:rsidR="007B3CB4" w:rsidRPr="00B357F4" w:rsidRDefault="007B3CB4" w:rsidP="00ED65A9">
            <w:pPr>
              <w:jc w:val="left"/>
              <w:rPr>
                <w:lang w:eastAsia="hr-HR"/>
              </w:rPr>
            </w:pPr>
          </w:p>
        </w:tc>
        <w:tc>
          <w:tcPr>
            <w:tcW w:w="883" w:type="dxa"/>
            <w:hideMark/>
          </w:tcPr>
          <w:p w14:paraId="13ABDA4A" w14:textId="36038448" w:rsidR="007B3CB4" w:rsidRPr="00B357F4" w:rsidRDefault="00B549EE" w:rsidP="00ED65A9">
            <w:pPr>
              <w:jc w:val="left"/>
              <w:rPr>
                <w:lang w:eastAsia="hr-HR"/>
              </w:rPr>
            </w:pPr>
            <w:r>
              <w:rPr>
                <w:lang w:eastAsia="hr-HR"/>
              </w:rPr>
              <w:t>4</w:t>
            </w:r>
            <w:r w:rsidR="007B3CB4" w:rsidRPr="00B357F4">
              <w:rPr>
                <w:lang w:eastAsia="hr-HR"/>
              </w:rPr>
              <w:t>.</w:t>
            </w:r>
          </w:p>
        </w:tc>
        <w:tc>
          <w:tcPr>
            <w:tcW w:w="3937" w:type="dxa"/>
            <w:hideMark/>
          </w:tcPr>
          <w:p w14:paraId="42E216CF" w14:textId="77777777" w:rsidR="007B3CB4" w:rsidRPr="00B357F4" w:rsidRDefault="007B3CB4" w:rsidP="00ED65A9">
            <w:pPr>
              <w:jc w:val="left"/>
              <w:rPr>
                <w:lang w:eastAsia="hr-HR"/>
              </w:rPr>
            </w:pPr>
            <w:r w:rsidRPr="00B357F4">
              <w:rPr>
                <w:b/>
                <w:lang w:eastAsia="hr-HR"/>
              </w:rPr>
              <w:t>Edukacija dionika</w:t>
            </w:r>
            <w:r w:rsidRPr="00B357F4">
              <w:rPr>
                <w:lang w:eastAsia="hr-HR"/>
              </w:rPr>
              <w:t xml:space="preserve"> u procesu energetske obnove zgrada javnog sektora</w:t>
            </w:r>
          </w:p>
        </w:tc>
        <w:tc>
          <w:tcPr>
            <w:tcW w:w="1560" w:type="dxa"/>
            <w:hideMark/>
          </w:tcPr>
          <w:p w14:paraId="7691D970" w14:textId="77777777" w:rsidR="007B3CB4" w:rsidRPr="00B357F4" w:rsidRDefault="007B3CB4" w:rsidP="00ED65A9">
            <w:pPr>
              <w:jc w:val="left"/>
              <w:rPr>
                <w:lang w:eastAsia="hr-HR"/>
              </w:rPr>
            </w:pPr>
            <w:r w:rsidRPr="00B357F4">
              <w:rPr>
                <w:lang w:eastAsia="hr-HR"/>
              </w:rPr>
              <w:t>MPGI, APN, provoditelji edukacije, svi dionici koji će biti educirani</w:t>
            </w:r>
          </w:p>
        </w:tc>
        <w:tc>
          <w:tcPr>
            <w:tcW w:w="1443" w:type="dxa"/>
            <w:hideMark/>
          </w:tcPr>
          <w:p w14:paraId="544FA083" w14:textId="77777777" w:rsidR="007B3CB4" w:rsidRPr="00B357F4" w:rsidRDefault="007B3CB4" w:rsidP="00ED65A9">
            <w:pPr>
              <w:rPr>
                <w:lang w:eastAsia="hr-HR"/>
              </w:rPr>
            </w:pPr>
            <w:r w:rsidRPr="00B357F4">
              <w:rPr>
                <w:lang w:eastAsia="hr-HR"/>
              </w:rPr>
              <w:t>kontinuirano 2022.-2030.</w:t>
            </w:r>
          </w:p>
        </w:tc>
      </w:tr>
      <w:tr w:rsidR="007B3CB4" w:rsidRPr="00B357F4" w14:paraId="0582819A" w14:textId="77777777" w:rsidTr="7AEFCEA8">
        <w:trPr>
          <w:trHeight w:val="900"/>
        </w:trPr>
        <w:tc>
          <w:tcPr>
            <w:tcW w:w="1271" w:type="dxa"/>
            <w:vMerge/>
            <w:hideMark/>
          </w:tcPr>
          <w:p w14:paraId="24AB12CE" w14:textId="77777777" w:rsidR="007B3CB4" w:rsidRPr="00B357F4" w:rsidRDefault="007B3CB4" w:rsidP="00ED65A9">
            <w:pPr>
              <w:jc w:val="left"/>
              <w:rPr>
                <w:lang w:eastAsia="hr-HR"/>
              </w:rPr>
            </w:pPr>
          </w:p>
        </w:tc>
        <w:tc>
          <w:tcPr>
            <w:tcW w:w="883" w:type="dxa"/>
            <w:hideMark/>
          </w:tcPr>
          <w:p w14:paraId="51FD3BEE" w14:textId="3FF67DEC" w:rsidR="007B3CB4" w:rsidRPr="00B357F4" w:rsidRDefault="00B549EE" w:rsidP="00ED65A9">
            <w:pPr>
              <w:jc w:val="left"/>
              <w:rPr>
                <w:lang w:eastAsia="hr-HR"/>
              </w:rPr>
            </w:pPr>
            <w:r>
              <w:rPr>
                <w:lang w:eastAsia="hr-HR"/>
              </w:rPr>
              <w:t>5</w:t>
            </w:r>
            <w:r w:rsidR="007B3CB4" w:rsidRPr="00B357F4">
              <w:rPr>
                <w:lang w:eastAsia="hr-HR"/>
              </w:rPr>
              <w:t>.</w:t>
            </w:r>
          </w:p>
        </w:tc>
        <w:tc>
          <w:tcPr>
            <w:tcW w:w="3937" w:type="dxa"/>
            <w:hideMark/>
          </w:tcPr>
          <w:p w14:paraId="7AF10428" w14:textId="77777777" w:rsidR="007B3CB4" w:rsidRPr="00B357F4" w:rsidRDefault="007B3CB4" w:rsidP="00ED65A9">
            <w:pPr>
              <w:jc w:val="left"/>
              <w:rPr>
                <w:lang w:eastAsia="hr-HR"/>
              </w:rPr>
            </w:pPr>
            <w:r w:rsidRPr="00B357F4">
              <w:rPr>
                <w:lang w:eastAsia="hr-HR"/>
              </w:rPr>
              <w:t xml:space="preserve">Unapređenje postojećih i izrada novih </w:t>
            </w:r>
            <w:r w:rsidRPr="00B357F4">
              <w:rPr>
                <w:b/>
                <w:lang w:eastAsia="hr-HR"/>
              </w:rPr>
              <w:t>baza podataka i informatičkih sustava</w:t>
            </w:r>
            <w:r w:rsidRPr="00B357F4">
              <w:rPr>
                <w:lang w:eastAsia="hr-HR"/>
              </w:rPr>
              <w:t xml:space="preserve"> koje će biti podrška provođenju </w:t>
            </w:r>
            <w:r w:rsidRPr="00B357F4">
              <w:rPr>
                <w:i/>
                <w:lang w:eastAsia="hr-HR"/>
              </w:rPr>
              <w:t>Programa</w:t>
            </w:r>
          </w:p>
        </w:tc>
        <w:tc>
          <w:tcPr>
            <w:tcW w:w="1560" w:type="dxa"/>
            <w:hideMark/>
          </w:tcPr>
          <w:p w14:paraId="0B39658D" w14:textId="77777777" w:rsidR="007B3CB4" w:rsidRPr="00B357F4" w:rsidRDefault="007B3CB4" w:rsidP="00ED65A9">
            <w:pPr>
              <w:jc w:val="left"/>
              <w:rPr>
                <w:lang w:eastAsia="hr-HR"/>
              </w:rPr>
            </w:pPr>
            <w:r w:rsidRPr="00B357F4">
              <w:rPr>
                <w:lang w:eastAsia="hr-HR"/>
              </w:rPr>
              <w:t>MPGI, izrađivač, ostali sudionici prema potrebi</w:t>
            </w:r>
          </w:p>
        </w:tc>
        <w:tc>
          <w:tcPr>
            <w:tcW w:w="1443" w:type="dxa"/>
            <w:hideMark/>
          </w:tcPr>
          <w:p w14:paraId="33F97ECE" w14:textId="12270AF4" w:rsidR="007B3CB4" w:rsidRPr="00B357F4" w:rsidRDefault="007B3CB4" w:rsidP="00ED65A9">
            <w:pPr>
              <w:rPr>
                <w:lang w:eastAsia="hr-HR"/>
              </w:rPr>
            </w:pPr>
            <w:r w:rsidRPr="00B357F4">
              <w:rPr>
                <w:lang w:eastAsia="hr-HR"/>
              </w:rPr>
              <w:t>2020.-20</w:t>
            </w:r>
            <w:r w:rsidR="008E1654">
              <w:rPr>
                <w:lang w:eastAsia="hr-HR"/>
              </w:rPr>
              <w:t>30</w:t>
            </w:r>
            <w:r w:rsidRPr="00B357F4">
              <w:rPr>
                <w:lang w:eastAsia="hr-HR"/>
              </w:rPr>
              <w:t>.</w:t>
            </w:r>
          </w:p>
        </w:tc>
      </w:tr>
      <w:tr w:rsidR="007B3CB4" w:rsidRPr="00B357F4" w14:paraId="28883D2A" w14:textId="77777777" w:rsidTr="00166B1A">
        <w:trPr>
          <w:trHeight w:val="413"/>
        </w:trPr>
        <w:tc>
          <w:tcPr>
            <w:tcW w:w="1271" w:type="dxa"/>
            <w:vMerge/>
            <w:hideMark/>
          </w:tcPr>
          <w:p w14:paraId="7AB29F79" w14:textId="77777777" w:rsidR="007B3CB4" w:rsidRPr="00B357F4" w:rsidRDefault="007B3CB4" w:rsidP="00ED65A9">
            <w:pPr>
              <w:jc w:val="left"/>
              <w:rPr>
                <w:lang w:eastAsia="hr-HR"/>
              </w:rPr>
            </w:pPr>
          </w:p>
        </w:tc>
        <w:tc>
          <w:tcPr>
            <w:tcW w:w="883" w:type="dxa"/>
            <w:hideMark/>
          </w:tcPr>
          <w:p w14:paraId="319CDD71" w14:textId="6E499050" w:rsidR="007B3CB4" w:rsidRPr="00B357F4" w:rsidRDefault="00B549EE" w:rsidP="00ED65A9">
            <w:pPr>
              <w:jc w:val="left"/>
              <w:rPr>
                <w:lang w:eastAsia="hr-HR"/>
              </w:rPr>
            </w:pPr>
            <w:r>
              <w:rPr>
                <w:lang w:eastAsia="hr-HR"/>
              </w:rPr>
              <w:t>6</w:t>
            </w:r>
            <w:r w:rsidR="007B3CB4" w:rsidRPr="00B357F4">
              <w:rPr>
                <w:lang w:eastAsia="hr-HR"/>
              </w:rPr>
              <w:t>.</w:t>
            </w:r>
          </w:p>
        </w:tc>
        <w:tc>
          <w:tcPr>
            <w:tcW w:w="3937" w:type="dxa"/>
            <w:hideMark/>
          </w:tcPr>
          <w:p w14:paraId="69E814E2" w14:textId="77777777" w:rsidR="007B3CB4" w:rsidRPr="00B357F4" w:rsidRDefault="007B3CB4" w:rsidP="00ED65A9">
            <w:pPr>
              <w:jc w:val="left"/>
              <w:rPr>
                <w:lang w:eastAsia="hr-HR"/>
              </w:rPr>
            </w:pPr>
            <w:r w:rsidRPr="00B357F4">
              <w:rPr>
                <w:b/>
                <w:lang w:eastAsia="hr-HR"/>
              </w:rPr>
              <w:t>Uspostava one-stop-shopa</w:t>
            </w:r>
            <w:r w:rsidRPr="00B357F4">
              <w:rPr>
                <w:lang w:eastAsia="hr-HR"/>
              </w:rPr>
              <w:t xml:space="preserve"> za pružanje tehničke pomoći potencijalnim prijaviteljima</w:t>
            </w:r>
          </w:p>
        </w:tc>
        <w:tc>
          <w:tcPr>
            <w:tcW w:w="1560" w:type="dxa"/>
            <w:hideMark/>
          </w:tcPr>
          <w:p w14:paraId="07762455" w14:textId="17323524" w:rsidR="007B3CB4" w:rsidRPr="00B357F4" w:rsidRDefault="58255ADE" w:rsidP="00ED65A9">
            <w:pPr>
              <w:jc w:val="left"/>
              <w:rPr>
                <w:lang w:eastAsia="hr-HR"/>
              </w:rPr>
            </w:pPr>
            <w:r w:rsidRPr="00B357F4">
              <w:rPr>
                <w:lang w:eastAsia="hr-HR"/>
              </w:rPr>
              <w:t xml:space="preserve">prijavitelji (jedinice lokalne i regionalne uprave, javne ustanove, korisnici zgrada, vlasnici </w:t>
            </w:r>
            <w:r w:rsidRPr="00B357F4">
              <w:rPr>
                <w:lang w:eastAsia="hr-HR"/>
              </w:rPr>
              <w:lastRenderedPageBreak/>
              <w:t>zgrada, i dr.), MPGI, FZOEU, regionalne energetske agencije</w:t>
            </w:r>
          </w:p>
        </w:tc>
        <w:tc>
          <w:tcPr>
            <w:tcW w:w="1443" w:type="dxa"/>
            <w:hideMark/>
          </w:tcPr>
          <w:p w14:paraId="5A5C7884" w14:textId="77777777" w:rsidR="007B3CB4" w:rsidRPr="00B357F4" w:rsidRDefault="007B3CB4" w:rsidP="00ED65A9">
            <w:pPr>
              <w:rPr>
                <w:lang w:eastAsia="hr-HR"/>
              </w:rPr>
            </w:pPr>
            <w:r w:rsidRPr="00B357F4">
              <w:rPr>
                <w:lang w:eastAsia="hr-HR"/>
              </w:rPr>
              <w:lastRenderedPageBreak/>
              <w:t>kontinuirano 2021.-2030.</w:t>
            </w:r>
          </w:p>
        </w:tc>
      </w:tr>
      <w:tr w:rsidR="007B3CB4" w:rsidRPr="00B357F4" w14:paraId="5133F5BF" w14:textId="77777777" w:rsidTr="7AEFCEA8">
        <w:trPr>
          <w:trHeight w:val="1500"/>
        </w:trPr>
        <w:tc>
          <w:tcPr>
            <w:tcW w:w="1271" w:type="dxa"/>
            <w:vMerge w:val="restart"/>
            <w:hideMark/>
          </w:tcPr>
          <w:p w14:paraId="0D9F4C9A" w14:textId="5A1BCDF1" w:rsidR="007B3CB4" w:rsidRPr="00B357F4" w:rsidRDefault="007B3CB4" w:rsidP="00ED65A9">
            <w:pPr>
              <w:jc w:val="left"/>
              <w:rPr>
                <w:lang w:eastAsia="hr-HR"/>
              </w:rPr>
            </w:pPr>
            <w:r w:rsidRPr="00B357F4">
              <w:rPr>
                <w:lang w:eastAsia="hr-HR"/>
              </w:rPr>
              <w:t xml:space="preserve">II. Izrada i priprema projektne i ostale potrebne dokumentacije za projekte koji će se financirati </w:t>
            </w:r>
            <w:r w:rsidR="00231371" w:rsidRPr="00B357F4">
              <w:rPr>
                <w:lang w:eastAsia="hr-HR"/>
              </w:rPr>
              <w:t xml:space="preserve">iz </w:t>
            </w:r>
            <w:r w:rsidR="004B2CD5">
              <w:rPr>
                <w:lang w:eastAsia="hr-HR"/>
              </w:rPr>
              <w:t xml:space="preserve">NPOO-a i </w:t>
            </w:r>
            <w:r w:rsidR="00231371" w:rsidRPr="00B357F4">
              <w:rPr>
                <w:lang w:eastAsia="hr-HR"/>
              </w:rPr>
              <w:t>VFO-a</w:t>
            </w:r>
          </w:p>
        </w:tc>
        <w:tc>
          <w:tcPr>
            <w:tcW w:w="883" w:type="dxa"/>
            <w:hideMark/>
          </w:tcPr>
          <w:p w14:paraId="334A6957" w14:textId="748C1A57" w:rsidR="007B3CB4" w:rsidRPr="00B357F4" w:rsidRDefault="009661D1" w:rsidP="00ED65A9">
            <w:pPr>
              <w:jc w:val="left"/>
              <w:rPr>
                <w:lang w:eastAsia="hr-HR"/>
              </w:rPr>
            </w:pPr>
            <w:r>
              <w:rPr>
                <w:lang w:eastAsia="hr-HR"/>
              </w:rPr>
              <w:t>7</w:t>
            </w:r>
            <w:r w:rsidR="007B3CB4" w:rsidRPr="00B357F4">
              <w:rPr>
                <w:lang w:eastAsia="hr-HR"/>
              </w:rPr>
              <w:t>.</w:t>
            </w:r>
          </w:p>
        </w:tc>
        <w:tc>
          <w:tcPr>
            <w:tcW w:w="3937" w:type="dxa"/>
            <w:hideMark/>
          </w:tcPr>
          <w:p w14:paraId="48B80DB0" w14:textId="1E60B210" w:rsidR="007B3CB4" w:rsidRPr="00B357F4" w:rsidRDefault="002C7BB3" w:rsidP="0A6E8DEC">
            <w:pPr>
              <w:jc w:val="left"/>
              <w:rPr>
                <w:lang w:eastAsia="hr-HR"/>
              </w:rPr>
            </w:pPr>
            <w:r w:rsidRPr="00B357F4">
              <w:rPr>
                <w:lang w:eastAsia="hr-HR"/>
              </w:rPr>
              <w:t xml:space="preserve">Pripremna etapa koja se odnosi na </w:t>
            </w:r>
            <w:r w:rsidRPr="00B357F4">
              <w:rPr>
                <w:b/>
                <w:lang w:eastAsia="hr-HR"/>
              </w:rPr>
              <w:t>analizu postojećeg stanja</w:t>
            </w:r>
            <w:r w:rsidR="009B77B0">
              <w:rPr>
                <w:b/>
                <w:lang w:eastAsia="hr-HR"/>
              </w:rPr>
              <w:t xml:space="preserve"> </w:t>
            </w:r>
            <w:r w:rsidR="009B77B0">
              <w:rPr>
                <w:bCs/>
                <w:lang w:eastAsia="hr-HR"/>
              </w:rPr>
              <w:t>te je u skladu s T</w:t>
            </w:r>
            <w:r w:rsidR="009B77B0" w:rsidRPr="009B77B0">
              <w:rPr>
                <w:bCs/>
                <w:lang w:eastAsia="hr-HR"/>
              </w:rPr>
              <w:t>ehničk</w:t>
            </w:r>
            <w:r w:rsidR="009B77B0">
              <w:rPr>
                <w:bCs/>
                <w:lang w:eastAsia="hr-HR"/>
              </w:rPr>
              <w:t>im</w:t>
            </w:r>
            <w:r w:rsidR="009B77B0" w:rsidRPr="009B77B0">
              <w:rPr>
                <w:bCs/>
                <w:lang w:eastAsia="hr-HR"/>
              </w:rPr>
              <w:t xml:space="preserve"> propis</w:t>
            </w:r>
            <w:r w:rsidR="009B77B0">
              <w:rPr>
                <w:bCs/>
                <w:lang w:eastAsia="hr-HR"/>
              </w:rPr>
              <w:t>om</w:t>
            </w:r>
            <w:r w:rsidR="009B77B0" w:rsidRPr="009B77B0">
              <w:rPr>
                <w:bCs/>
                <w:lang w:eastAsia="hr-HR"/>
              </w:rPr>
              <w:t xml:space="preserve"> o racionalnoj uporabi energije i toplinskoj zaštiti u zgradama</w:t>
            </w:r>
            <w:r w:rsidRPr="00B357F4">
              <w:rPr>
                <w:lang w:eastAsia="hr-HR"/>
              </w:rPr>
              <w:t xml:space="preserve">: </w:t>
            </w:r>
            <w:r w:rsidR="58255ADE" w:rsidRPr="00B357F4">
              <w:rPr>
                <w:lang w:eastAsia="hr-HR"/>
              </w:rPr>
              <w:t xml:space="preserve">provođenje energetskog pregleda i izrada energetskog certifikata, provođenje </w:t>
            </w:r>
            <w:r w:rsidR="007D21EB" w:rsidRPr="00B357F4">
              <w:rPr>
                <w:b/>
                <w:lang w:eastAsia="hr-HR"/>
              </w:rPr>
              <w:t>analiz</w:t>
            </w:r>
            <w:r w:rsidR="007D21EB">
              <w:rPr>
                <w:b/>
                <w:lang w:eastAsia="hr-HR"/>
              </w:rPr>
              <w:t>e</w:t>
            </w:r>
            <w:r w:rsidR="007D21EB" w:rsidRPr="00B357F4">
              <w:rPr>
                <w:b/>
                <w:lang w:eastAsia="hr-HR"/>
              </w:rPr>
              <w:t xml:space="preserve"> </w:t>
            </w:r>
            <w:r w:rsidR="3E6A5D88" w:rsidRPr="00B357F4">
              <w:rPr>
                <w:b/>
                <w:lang w:eastAsia="hr-HR"/>
              </w:rPr>
              <w:t>postojećeg stanja</w:t>
            </w:r>
            <w:r w:rsidR="006F51EB">
              <w:t xml:space="preserve"> </w:t>
            </w:r>
            <w:r w:rsidR="006F51EB" w:rsidRPr="00D40EBB">
              <w:t>te</w:t>
            </w:r>
            <w:r w:rsidR="00D40EBB" w:rsidRPr="00D40EBB">
              <w:t xml:space="preserve"> izrada p</w:t>
            </w:r>
            <w:r w:rsidR="006F51EB" w:rsidRPr="00C673F3">
              <w:rPr>
                <w:lang w:eastAsia="hr-HR"/>
              </w:rPr>
              <w:t>rikaz</w:t>
            </w:r>
            <w:r w:rsidR="00D40EBB" w:rsidRPr="00C673F3">
              <w:rPr>
                <w:lang w:eastAsia="hr-HR"/>
              </w:rPr>
              <w:t>a</w:t>
            </w:r>
            <w:r w:rsidR="006F51EB" w:rsidRPr="00C673F3">
              <w:rPr>
                <w:lang w:eastAsia="hr-HR"/>
              </w:rPr>
              <w:t xml:space="preserve"> mjera za poboljšanje postojećeg stanja cijele zgrade s procjenom investicije po pitanju zdravih unutarnjih klimatskih uvjeta, zaštite od požara i rizika povezanih s djelovanjem potresa</w:t>
            </w:r>
            <w:r w:rsidR="3E6A5D88" w:rsidRPr="00B357F4">
              <w:rPr>
                <w:lang w:eastAsia="hr-HR"/>
              </w:rPr>
              <w:t xml:space="preserve"> </w:t>
            </w:r>
            <w:r w:rsidR="58255ADE" w:rsidRPr="00B357F4">
              <w:rPr>
                <w:lang w:eastAsia="hr-HR"/>
              </w:rPr>
              <w:t xml:space="preserve"> </w:t>
            </w:r>
          </w:p>
        </w:tc>
        <w:tc>
          <w:tcPr>
            <w:tcW w:w="1560" w:type="dxa"/>
            <w:hideMark/>
          </w:tcPr>
          <w:p w14:paraId="57F20608" w14:textId="77777777" w:rsidR="007B3CB4" w:rsidRPr="00B357F4" w:rsidRDefault="007B3CB4" w:rsidP="00ED65A9">
            <w:pPr>
              <w:jc w:val="left"/>
              <w:rPr>
                <w:lang w:eastAsia="hr-HR"/>
              </w:rPr>
            </w:pPr>
            <w:r w:rsidRPr="00B357F4">
              <w:rPr>
                <w:lang w:eastAsia="hr-HR"/>
              </w:rPr>
              <w:t>energetski certifikatori, projektanti</w:t>
            </w:r>
          </w:p>
          <w:p w14:paraId="7ADE4CBA" w14:textId="77777777" w:rsidR="007B3CB4" w:rsidRPr="00B357F4" w:rsidRDefault="007B3CB4" w:rsidP="00ED65A9">
            <w:pPr>
              <w:jc w:val="left"/>
              <w:rPr>
                <w:lang w:eastAsia="hr-HR"/>
              </w:rPr>
            </w:pPr>
          </w:p>
        </w:tc>
        <w:tc>
          <w:tcPr>
            <w:tcW w:w="1443" w:type="dxa"/>
            <w:hideMark/>
          </w:tcPr>
          <w:p w14:paraId="3D326405" w14:textId="77777777" w:rsidR="007B3CB4" w:rsidRPr="00B357F4" w:rsidRDefault="007B3CB4" w:rsidP="00ED65A9">
            <w:pPr>
              <w:rPr>
                <w:lang w:eastAsia="hr-HR"/>
              </w:rPr>
            </w:pPr>
            <w:r w:rsidRPr="00B357F4">
              <w:rPr>
                <w:lang w:eastAsia="hr-HR"/>
              </w:rPr>
              <w:t>kontinuirano 2022.-2030.</w:t>
            </w:r>
          </w:p>
        </w:tc>
      </w:tr>
      <w:tr w:rsidR="007B3CB4" w:rsidRPr="00B357F4" w14:paraId="2CA6FC9D" w14:textId="77777777" w:rsidTr="7AEFCEA8">
        <w:trPr>
          <w:trHeight w:val="566"/>
        </w:trPr>
        <w:tc>
          <w:tcPr>
            <w:tcW w:w="1271" w:type="dxa"/>
            <w:vMerge/>
            <w:hideMark/>
          </w:tcPr>
          <w:p w14:paraId="702677E1" w14:textId="77777777" w:rsidR="007B3CB4" w:rsidRPr="00B357F4" w:rsidRDefault="007B3CB4" w:rsidP="00ED65A9">
            <w:pPr>
              <w:jc w:val="left"/>
              <w:rPr>
                <w:lang w:eastAsia="hr-HR"/>
              </w:rPr>
            </w:pPr>
          </w:p>
        </w:tc>
        <w:tc>
          <w:tcPr>
            <w:tcW w:w="883" w:type="dxa"/>
            <w:hideMark/>
          </w:tcPr>
          <w:p w14:paraId="0ED1ED40" w14:textId="3B5A3595" w:rsidR="007B3CB4" w:rsidRPr="00B357F4" w:rsidRDefault="009661D1" w:rsidP="00ED65A9">
            <w:pPr>
              <w:jc w:val="left"/>
              <w:rPr>
                <w:lang w:eastAsia="hr-HR"/>
              </w:rPr>
            </w:pPr>
            <w:r>
              <w:rPr>
                <w:lang w:eastAsia="hr-HR"/>
              </w:rPr>
              <w:t>8</w:t>
            </w:r>
            <w:r w:rsidR="007B3CB4" w:rsidRPr="00B357F4">
              <w:rPr>
                <w:lang w:eastAsia="hr-HR"/>
              </w:rPr>
              <w:t>.</w:t>
            </w:r>
          </w:p>
        </w:tc>
        <w:tc>
          <w:tcPr>
            <w:tcW w:w="3937" w:type="dxa"/>
            <w:hideMark/>
          </w:tcPr>
          <w:p w14:paraId="26876321" w14:textId="28CD50D8" w:rsidR="007B3CB4" w:rsidRPr="00B357F4" w:rsidRDefault="58255ADE" w:rsidP="00ED65A9">
            <w:pPr>
              <w:jc w:val="left"/>
              <w:rPr>
                <w:lang w:eastAsia="hr-HR"/>
              </w:rPr>
            </w:pPr>
            <w:r w:rsidRPr="00B357F4">
              <w:rPr>
                <w:lang w:eastAsia="hr-HR"/>
              </w:rPr>
              <w:t xml:space="preserve">Izrada </w:t>
            </w:r>
            <w:r w:rsidRPr="00B357F4">
              <w:rPr>
                <w:b/>
                <w:lang w:eastAsia="hr-HR"/>
              </w:rPr>
              <w:t>glavnog projekta energetske obnove zgrade</w:t>
            </w:r>
            <w:r w:rsidRPr="00B357F4">
              <w:rPr>
                <w:lang w:eastAsia="hr-HR"/>
              </w:rPr>
              <w:t xml:space="preserve"> i troškovnik</w:t>
            </w:r>
            <w:r w:rsidR="00C673F3">
              <w:rPr>
                <w:lang w:eastAsia="hr-HR"/>
              </w:rPr>
              <w:t>a</w:t>
            </w:r>
            <w:r w:rsidRPr="00B357F4">
              <w:rPr>
                <w:lang w:eastAsia="hr-HR"/>
              </w:rPr>
              <w:t xml:space="preserve"> obnove. </w:t>
            </w:r>
            <w:r w:rsidR="00A20D60">
              <w:rPr>
                <w:lang w:eastAsia="hr-HR"/>
              </w:rPr>
              <w:t xml:space="preserve">U slučaju </w:t>
            </w:r>
            <w:r w:rsidR="0A8875C8" w:rsidRPr="00B357F4">
              <w:rPr>
                <w:lang w:eastAsia="hr-HR"/>
              </w:rPr>
              <w:t>sveobuhvatne</w:t>
            </w:r>
            <w:r w:rsidRPr="00B357F4">
              <w:rPr>
                <w:lang w:eastAsia="hr-HR"/>
              </w:rPr>
              <w:t xml:space="preserve"> obnove u slučaju uključivanja radova koji utječu na temeljne zahtjeve na građevinu tako da ih poboljšavaju</w:t>
            </w:r>
            <w:r w:rsidR="5F861C6C" w:rsidRPr="00B357F4">
              <w:rPr>
                <w:lang w:eastAsia="hr-HR"/>
              </w:rPr>
              <w:t>/unapređuju</w:t>
            </w:r>
            <w:r w:rsidRPr="00B357F4">
              <w:rPr>
                <w:lang w:eastAsia="hr-HR"/>
              </w:rPr>
              <w:t xml:space="preserve"> (mehanička otpornost i stabilnost, zaštita od požara i dr.),</w:t>
            </w:r>
            <w:r w:rsidR="004F60F8" w:rsidRPr="00B357F4">
              <w:rPr>
                <w:lang w:eastAsia="hr-HR"/>
              </w:rPr>
              <w:t xml:space="preserve"> </w:t>
            </w:r>
            <w:r w:rsidR="00D10C0E">
              <w:rPr>
                <w:lang w:eastAsia="hr-HR"/>
              </w:rPr>
              <w:t>a</w:t>
            </w:r>
            <w:r w:rsidR="004F60F8" w:rsidRPr="00B357F4">
              <w:rPr>
                <w:lang w:eastAsia="hr-HR"/>
              </w:rPr>
              <w:t xml:space="preserve"> temeljem Pravilnika o jednostavnim građevinama i radovima</w:t>
            </w:r>
            <w:r w:rsidR="001F4998">
              <w:rPr>
                <w:lang w:eastAsia="hr-HR"/>
              </w:rPr>
              <w:t xml:space="preserve">, </w:t>
            </w:r>
            <w:r w:rsidR="00C673F3">
              <w:rPr>
                <w:lang w:eastAsia="hr-HR"/>
              </w:rPr>
              <w:t>nije potrebno</w:t>
            </w:r>
            <w:r w:rsidR="00EF7072">
              <w:rPr>
                <w:lang w:eastAsia="hr-HR"/>
              </w:rPr>
              <w:t xml:space="preserve"> </w:t>
            </w:r>
            <w:r w:rsidR="004F60F8" w:rsidRPr="00B357F4">
              <w:rPr>
                <w:lang w:eastAsia="hr-HR"/>
              </w:rPr>
              <w:t xml:space="preserve">ishođenje građevinske dozvole </w:t>
            </w:r>
            <w:r w:rsidR="00E03780">
              <w:rPr>
                <w:lang w:eastAsia="hr-HR"/>
              </w:rPr>
              <w:t>te</w:t>
            </w:r>
            <w:r w:rsidR="004C22A9">
              <w:rPr>
                <w:lang w:eastAsia="hr-HR"/>
              </w:rPr>
              <w:t xml:space="preserve"> je</w:t>
            </w:r>
            <w:r w:rsidRPr="00B357F4">
              <w:rPr>
                <w:lang w:eastAsia="hr-HR"/>
              </w:rPr>
              <w:t xml:space="preserve"> dovoljno temelje</w:t>
            </w:r>
            <w:r w:rsidR="7F3275ED" w:rsidRPr="00B357F4">
              <w:rPr>
                <w:lang w:eastAsia="hr-HR"/>
              </w:rPr>
              <w:t>m</w:t>
            </w:r>
            <w:r w:rsidRPr="00B357F4">
              <w:rPr>
                <w:lang w:eastAsia="hr-HR"/>
              </w:rPr>
              <w:t xml:space="preserve"> izrađenog Glavnog projekta ishoditi potvrde javnopravnih tijela</w:t>
            </w:r>
            <w:r w:rsidR="004C22A9">
              <w:rPr>
                <w:lang w:eastAsia="hr-HR"/>
              </w:rPr>
              <w:t>.</w:t>
            </w:r>
            <w:r w:rsidR="005869EE">
              <w:rPr>
                <w:lang w:eastAsia="hr-HR"/>
              </w:rPr>
              <w:t xml:space="preserve"> </w:t>
            </w:r>
            <w:r w:rsidR="007F4487">
              <w:rPr>
                <w:lang w:eastAsia="hr-HR"/>
              </w:rPr>
              <w:t xml:space="preserve">U slučaju energetske obnove </w:t>
            </w:r>
            <w:r w:rsidR="002852CA">
              <w:rPr>
                <w:lang w:eastAsia="hr-HR"/>
              </w:rPr>
              <w:t>zgrada sa statusom kult</w:t>
            </w:r>
            <w:r w:rsidR="0002033D">
              <w:rPr>
                <w:lang w:eastAsia="hr-HR"/>
              </w:rPr>
              <w:t xml:space="preserve">urnog dobra </w:t>
            </w:r>
            <w:r w:rsidR="003D746C">
              <w:rPr>
                <w:lang w:eastAsia="hr-HR"/>
              </w:rPr>
              <w:t xml:space="preserve">primjenjuje se postupak </w:t>
            </w:r>
            <w:r w:rsidR="00015C16">
              <w:rPr>
                <w:lang w:eastAsia="hr-HR"/>
              </w:rPr>
              <w:t>opisan Program</w:t>
            </w:r>
            <w:r w:rsidR="000F09DD">
              <w:rPr>
                <w:lang w:eastAsia="hr-HR"/>
              </w:rPr>
              <w:t xml:space="preserve">om </w:t>
            </w:r>
            <w:r w:rsidR="000F09DD" w:rsidRPr="000F09DD">
              <w:rPr>
                <w:lang w:eastAsia="hr-HR"/>
              </w:rPr>
              <w:t>energetske obnove zgrada koje imaju status kulturnog dobra za razdoblje do 2030</w:t>
            </w:r>
            <w:r w:rsidR="000F09DD">
              <w:rPr>
                <w:lang w:eastAsia="hr-HR"/>
              </w:rPr>
              <w:t>.</w:t>
            </w:r>
          </w:p>
        </w:tc>
        <w:tc>
          <w:tcPr>
            <w:tcW w:w="1560" w:type="dxa"/>
            <w:hideMark/>
          </w:tcPr>
          <w:p w14:paraId="32F2A947" w14:textId="77777777" w:rsidR="007B3CB4" w:rsidRPr="00B357F4" w:rsidRDefault="007B3CB4" w:rsidP="00ED65A9">
            <w:pPr>
              <w:jc w:val="left"/>
              <w:rPr>
                <w:lang w:eastAsia="hr-HR"/>
              </w:rPr>
            </w:pPr>
            <w:r w:rsidRPr="00B357F4">
              <w:rPr>
                <w:lang w:eastAsia="hr-HR"/>
              </w:rPr>
              <w:t>projektanti</w:t>
            </w:r>
          </w:p>
        </w:tc>
        <w:tc>
          <w:tcPr>
            <w:tcW w:w="1443" w:type="dxa"/>
            <w:hideMark/>
          </w:tcPr>
          <w:p w14:paraId="2254DCCA" w14:textId="34FB9E79" w:rsidR="007B3CB4" w:rsidRPr="00B357F4" w:rsidRDefault="00F81566" w:rsidP="00ED65A9">
            <w:pPr>
              <w:rPr>
                <w:lang w:eastAsia="hr-HR"/>
              </w:rPr>
            </w:pPr>
            <w:r w:rsidRPr="00B357F4">
              <w:rPr>
                <w:lang w:eastAsia="hr-HR"/>
              </w:rPr>
              <w:t>kontinuirano 202</w:t>
            </w:r>
            <w:r w:rsidR="009661D1">
              <w:rPr>
                <w:lang w:eastAsia="hr-HR"/>
              </w:rPr>
              <w:t>0</w:t>
            </w:r>
            <w:r w:rsidRPr="00B357F4">
              <w:rPr>
                <w:lang w:eastAsia="hr-HR"/>
              </w:rPr>
              <w:t>.-2030.</w:t>
            </w:r>
          </w:p>
        </w:tc>
      </w:tr>
      <w:tr w:rsidR="00B66F9F" w:rsidRPr="00B357F4" w14:paraId="08FC9646" w14:textId="77777777" w:rsidTr="7AEFCEA8">
        <w:trPr>
          <w:trHeight w:val="1800"/>
        </w:trPr>
        <w:tc>
          <w:tcPr>
            <w:tcW w:w="1271" w:type="dxa"/>
            <w:hideMark/>
          </w:tcPr>
          <w:p w14:paraId="20A9F814" w14:textId="77777777" w:rsidR="00B66F9F" w:rsidRPr="00B357F4" w:rsidRDefault="00B66F9F" w:rsidP="00B66F9F">
            <w:pPr>
              <w:jc w:val="left"/>
              <w:rPr>
                <w:lang w:eastAsia="hr-HR"/>
              </w:rPr>
            </w:pPr>
            <w:r w:rsidRPr="00B357F4">
              <w:rPr>
                <w:lang w:eastAsia="hr-HR"/>
              </w:rPr>
              <w:t>III.a</w:t>
            </w:r>
          </w:p>
          <w:p w14:paraId="339EE0B2" w14:textId="77777777" w:rsidR="00B66F9F" w:rsidRPr="00B357F4" w:rsidRDefault="00B66F9F" w:rsidP="00B66F9F">
            <w:pPr>
              <w:jc w:val="left"/>
              <w:rPr>
                <w:lang w:eastAsia="hr-HR"/>
              </w:rPr>
            </w:pPr>
            <w:r w:rsidRPr="00B357F4">
              <w:rPr>
                <w:lang w:eastAsia="hr-HR"/>
              </w:rPr>
              <w:t>Poziv na dostavu projektnih prijedloga koji se financiraju iz NPOO-a i FSEU-a</w:t>
            </w:r>
          </w:p>
        </w:tc>
        <w:tc>
          <w:tcPr>
            <w:tcW w:w="883" w:type="dxa"/>
            <w:hideMark/>
          </w:tcPr>
          <w:p w14:paraId="711EE6CD" w14:textId="33FB482C" w:rsidR="00B66F9F" w:rsidRPr="00B357F4" w:rsidRDefault="009661D1" w:rsidP="00B66F9F">
            <w:pPr>
              <w:jc w:val="left"/>
              <w:rPr>
                <w:lang w:eastAsia="hr-HR"/>
              </w:rPr>
            </w:pPr>
            <w:r>
              <w:rPr>
                <w:lang w:eastAsia="hr-HR"/>
              </w:rPr>
              <w:t>9</w:t>
            </w:r>
            <w:r w:rsidR="00B66F9F" w:rsidRPr="00B357F4">
              <w:rPr>
                <w:lang w:eastAsia="hr-HR"/>
              </w:rPr>
              <w:t>.</w:t>
            </w:r>
          </w:p>
        </w:tc>
        <w:tc>
          <w:tcPr>
            <w:tcW w:w="3937" w:type="dxa"/>
            <w:hideMark/>
          </w:tcPr>
          <w:p w14:paraId="49893404" w14:textId="3A38E52C" w:rsidR="00B66F9F" w:rsidRPr="00B357F4" w:rsidRDefault="00B66F9F" w:rsidP="00B66F9F">
            <w:pPr>
              <w:jc w:val="left"/>
              <w:rPr>
                <w:lang w:eastAsia="hr-HR"/>
              </w:rPr>
            </w:pPr>
            <w:r w:rsidRPr="00B357F4">
              <w:rPr>
                <w:b/>
                <w:lang w:eastAsia="hr-HR"/>
              </w:rPr>
              <w:t>Prijava projektnih prijedloga</w:t>
            </w:r>
            <w:r w:rsidRPr="00B357F4">
              <w:rPr>
                <w:lang w:eastAsia="hr-HR"/>
              </w:rPr>
              <w:t xml:space="preserve"> energetske obnove zgrada javnog sektora </w:t>
            </w:r>
            <w:r w:rsidRPr="00B357F4">
              <w:rPr>
                <w:b/>
                <w:lang w:eastAsia="hr-HR"/>
              </w:rPr>
              <w:t xml:space="preserve">na </w:t>
            </w:r>
            <w:r w:rsidRPr="006734C7">
              <w:rPr>
                <w:b/>
                <w:lang w:eastAsia="hr-HR"/>
              </w:rPr>
              <w:t>pozive za sufinanciranje</w:t>
            </w:r>
            <w:r w:rsidR="00E121AA">
              <w:rPr>
                <w:b/>
                <w:lang w:eastAsia="hr-HR"/>
              </w:rPr>
              <w:t xml:space="preserve"> </w:t>
            </w:r>
            <w:r w:rsidR="00E121AA" w:rsidRPr="00C300D1">
              <w:rPr>
                <w:bCs/>
                <w:lang w:eastAsia="hr-HR"/>
              </w:rPr>
              <w:t xml:space="preserve">i povezivanje s financiranjem </w:t>
            </w:r>
            <w:r w:rsidR="005F692C">
              <w:rPr>
                <w:bCs/>
                <w:lang w:eastAsia="hr-HR"/>
              </w:rPr>
              <w:t xml:space="preserve">iz </w:t>
            </w:r>
            <w:r w:rsidR="00E121AA" w:rsidRPr="00C300D1">
              <w:rPr>
                <w:bCs/>
                <w:lang w:eastAsia="hr-HR"/>
              </w:rPr>
              <w:t>FSEU</w:t>
            </w:r>
            <w:r w:rsidRPr="00203A80">
              <w:rPr>
                <w:lang w:eastAsia="hr-HR"/>
              </w:rPr>
              <w:t xml:space="preserve">. Nastavno na prijavu vrši se vrednovanje projektnih prijedloga te se sa odabranim predlagateljima potpisuje ugovor o </w:t>
            </w:r>
            <w:r w:rsidR="00276D3D">
              <w:t>dodjeli bespovratnih sredstava</w:t>
            </w:r>
            <w:r w:rsidRPr="00203A80">
              <w:rPr>
                <w:lang w:eastAsia="hr-HR"/>
              </w:rPr>
              <w:t>.</w:t>
            </w:r>
          </w:p>
        </w:tc>
        <w:tc>
          <w:tcPr>
            <w:tcW w:w="1560" w:type="dxa"/>
            <w:hideMark/>
          </w:tcPr>
          <w:p w14:paraId="2F9D6CDF" w14:textId="3445B374" w:rsidR="00B66F9F" w:rsidRPr="00B357F4" w:rsidRDefault="00B66F9F" w:rsidP="00B66F9F">
            <w:pPr>
              <w:jc w:val="left"/>
              <w:rPr>
                <w:lang w:eastAsia="hr-HR"/>
              </w:rPr>
            </w:pPr>
            <w:r w:rsidRPr="00B357F4">
              <w:rPr>
                <w:lang w:eastAsia="hr-HR"/>
              </w:rPr>
              <w:t>MPGI, APN, FZOEU</w:t>
            </w:r>
            <w:r w:rsidR="00080FBC">
              <w:rPr>
                <w:lang w:eastAsia="hr-HR"/>
              </w:rPr>
              <w:t xml:space="preserve"> i ostala provedbena tijela iz FSEU i NPOO</w:t>
            </w:r>
          </w:p>
        </w:tc>
        <w:tc>
          <w:tcPr>
            <w:tcW w:w="1443" w:type="dxa"/>
            <w:hideMark/>
          </w:tcPr>
          <w:p w14:paraId="456684AC" w14:textId="71022DB3" w:rsidR="00B66F9F" w:rsidRPr="00B357F4" w:rsidRDefault="00B66F9F" w:rsidP="00B66F9F">
            <w:pPr>
              <w:rPr>
                <w:lang w:eastAsia="hr-HR"/>
              </w:rPr>
            </w:pPr>
            <w:r w:rsidRPr="00B357F4">
              <w:rPr>
                <w:lang w:eastAsia="hr-HR"/>
              </w:rPr>
              <w:t>kontinuirano 2021.-2023.</w:t>
            </w:r>
          </w:p>
        </w:tc>
      </w:tr>
      <w:tr w:rsidR="007B3CB4" w:rsidRPr="00B357F4" w14:paraId="1C858538" w14:textId="77777777" w:rsidTr="7AEFCEA8">
        <w:trPr>
          <w:trHeight w:val="1800"/>
        </w:trPr>
        <w:tc>
          <w:tcPr>
            <w:tcW w:w="1271" w:type="dxa"/>
          </w:tcPr>
          <w:p w14:paraId="5D1DC276" w14:textId="77777777" w:rsidR="007B3CB4" w:rsidRPr="00B357F4" w:rsidRDefault="007B3CB4" w:rsidP="00ED65A9">
            <w:pPr>
              <w:jc w:val="left"/>
              <w:rPr>
                <w:lang w:eastAsia="hr-HR"/>
              </w:rPr>
            </w:pPr>
            <w:r w:rsidRPr="00B357F4">
              <w:rPr>
                <w:lang w:eastAsia="hr-HR"/>
              </w:rPr>
              <w:t>III.b</w:t>
            </w:r>
          </w:p>
          <w:p w14:paraId="59BA0A33" w14:textId="77777777" w:rsidR="007B3CB4" w:rsidRPr="00B357F4" w:rsidRDefault="007B3CB4" w:rsidP="00ED65A9">
            <w:pPr>
              <w:jc w:val="left"/>
              <w:rPr>
                <w:lang w:eastAsia="hr-HR"/>
              </w:rPr>
            </w:pPr>
            <w:r w:rsidRPr="00B357F4">
              <w:rPr>
                <w:lang w:eastAsia="hr-HR"/>
              </w:rPr>
              <w:t>Poziv na dostavu projektnih prijedloga koji se financiraju iz VFO-a</w:t>
            </w:r>
          </w:p>
        </w:tc>
        <w:tc>
          <w:tcPr>
            <w:tcW w:w="883" w:type="dxa"/>
          </w:tcPr>
          <w:p w14:paraId="51261E7E" w14:textId="7BA00D95" w:rsidR="007B3CB4" w:rsidRPr="00B357F4" w:rsidRDefault="007B3CB4" w:rsidP="00ED65A9">
            <w:pPr>
              <w:jc w:val="left"/>
              <w:rPr>
                <w:lang w:eastAsia="hr-HR"/>
              </w:rPr>
            </w:pPr>
            <w:r w:rsidRPr="00B357F4">
              <w:rPr>
                <w:lang w:eastAsia="hr-HR"/>
              </w:rPr>
              <w:t>1</w:t>
            </w:r>
            <w:r w:rsidR="009661D1">
              <w:rPr>
                <w:lang w:eastAsia="hr-HR"/>
              </w:rPr>
              <w:t>0</w:t>
            </w:r>
            <w:r w:rsidRPr="00B357F4">
              <w:rPr>
                <w:lang w:eastAsia="hr-HR"/>
              </w:rPr>
              <w:t>.</w:t>
            </w:r>
          </w:p>
        </w:tc>
        <w:tc>
          <w:tcPr>
            <w:tcW w:w="3937" w:type="dxa"/>
          </w:tcPr>
          <w:p w14:paraId="4BEF591E" w14:textId="5A330651" w:rsidR="007B3CB4" w:rsidRPr="00B357F4" w:rsidRDefault="007B3CB4" w:rsidP="00ED65A9">
            <w:pPr>
              <w:jc w:val="left"/>
              <w:rPr>
                <w:lang w:eastAsia="hr-HR"/>
              </w:rPr>
            </w:pPr>
            <w:r w:rsidRPr="00B357F4">
              <w:rPr>
                <w:b/>
                <w:lang w:eastAsia="hr-HR"/>
              </w:rPr>
              <w:t>Prijava projektnih prijedloga</w:t>
            </w:r>
            <w:r w:rsidRPr="00B357F4">
              <w:rPr>
                <w:lang w:eastAsia="hr-HR"/>
              </w:rPr>
              <w:t xml:space="preserve"> energetske obnove zgrada javnog sektora </w:t>
            </w:r>
            <w:r w:rsidRPr="00B357F4">
              <w:rPr>
                <w:b/>
                <w:lang w:eastAsia="hr-HR"/>
              </w:rPr>
              <w:t>na pozive za sufinanciranje</w:t>
            </w:r>
            <w:r w:rsidRPr="00B357F4">
              <w:rPr>
                <w:lang w:eastAsia="hr-HR"/>
              </w:rPr>
              <w:t xml:space="preserve">. Nastavno na prijavu vrši se vrednovanje projektnih prijedloga te se sa odabranim predlagateljima potpisuje ugovor o </w:t>
            </w:r>
            <w:r w:rsidR="00AB08EA">
              <w:rPr>
                <w:lang w:eastAsia="hr-HR"/>
              </w:rPr>
              <w:t>dodjeli bespovratnih sredstava</w:t>
            </w:r>
            <w:r w:rsidR="005F506E">
              <w:rPr>
                <w:lang w:eastAsia="hr-HR"/>
              </w:rPr>
              <w:t>.</w:t>
            </w:r>
          </w:p>
          <w:p w14:paraId="3E6CAB0E" w14:textId="0AAB1C3F" w:rsidR="000835A8" w:rsidRPr="006734C7" w:rsidRDefault="00441427" w:rsidP="00ED65A9">
            <w:pPr>
              <w:jc w:val="left"/>
              <w:rPr>
                <w:b/>
                <w:lang w:eastAsia="hr-HR"/>
              </w:rPr>
            </w:pPr>
            <w:r w:rsidRPr="00B357F4">
              <w:rPr>
                <w:b/>
                <w:lang w:eastAsia="hr-HR"/>
              </w:rPr>
              <w:t>Prijava projektnih prijedloga</w:t>
            </w:r>
            <w:r w:rsidRPr="00B357F4">
              <w:rPr>
                <w:lang w:eastAsia="hr-HR"/>
              </w:rPr>
              <w:t xml:space="preserve"> energetske obnove zgrada javnog sektora </w:t>
            </w:r>
            <w:r w:rsidRPr="00B357F4">
              <w:rPr>
                <w:b/>
                <w:lang w:eastAsia="hr-HR"/>
              </w:rPr>
              <w:lastRenderedPageBreak/>
              <w:t xml:space="preserve">na </w:t>
            </w:r>
            <w:r w:rsidRPr="006734C7">
              <w:rPr>
                <w:b/>
                <w:lang w:eastAsia="hr-HR"/>
              </w:rPr>
              <w:t>pozive za sufinanciranje</w:t>
            </w:r>
            <w:r w:rsidRPr="00203A80">
              <w:rPr>
                <w:lang w:eastAsia="hr-HR"/>
              </w:rPr>
              <w:t>. Nastavno na prijavu vrši se vrednovanje projektnih prijedloga te se sa odabranim predlagateljima p</w:t>
            </w:r>
            <w:r w:rsidRPr="00A67250">
              <w:rPr>
                <w:lang w:eastAsia="hr-HR"/>
              </w:rPr>
              <w:t xml:space="preserve">otpisuje ugovor o </w:t>
            </w:r>
            <w:r w:rsidR="00283D04" w:rsidRPr="00283D04">
              <w:rPr>
                <w:lang w:eastAsia="hr-HR"/>
              </w:rPr>
              <w:t>dodjeli bespovratnih sredstava</w:t>
            </w:r>
            <w:r w:rsidRPr="00A67250">
              <w:rPr>
                <w:lang w:eastAsia="hr-HR"/>
              </w:rPr>
              <w:t>.</w:t>
            </w:r>
          </w:p>
        </w:tc>
        <w:tc>
          <w:tcPr>
            <w:tcW w:w="1560" w:type="dxa"/>
          </w:tcPr>
          <w:p w14:paraId="69EB0569" w14:textId="1FA5FC06" w:rsidR="007B3CB4" w:rsidRPr="00971F9E" w:rsidRDefault="0040165B" w:rsidP="00ED65A9">
            <w:pPr>
              <w:jc w:val="left"/>
              <w:rPr>
                <w:lang w:eastAsia="hr-HR"/>
              </w:rPr>
            </w:pPr>
            <w:r>
              <w:rPr>
                <w:lang w:eastAsia="hr-HR"/>
              </w:rPr>
              <w:lastRenderedPageBreak/>
              <w:t xml:space="preserve">Posrednička i provedbena tijela definirana </w:t>
            </w:r>
            <w:r w:rsidRPr="0040165B">
              <w:rPr>
                <w:lang w:eastAsia="hr-HR"/>
              </w:rPr>
              <w:t>Uredb</w:t>
            </w:r>
            <w:r>
              <w:rPr>
                <w:lang w:eastAsia="hr-HR"/>
              </w:rPr>
              <w:t>om</w:t>
            </w:r>
            <w:r w:rsidRPr="0040165B">
              <w:rPr>
                <w:lang w:eastAsia="hr-HR"/>
              </w:rPr>
              <w:t xml:space="preserve"> o tijelima u sustavima upravljanja i </w:t>
            </w:r>
            <w:r w:rsidRPr="0040165B">
              <w:rPr>
                <w:lang w:eastAsia="hr-HR"/>
              </w:rPr>
              <w:lastRenderedPageBreak/>
              <w:t>kontrole 2021.-2027.</w:t>
            </w:r>
          </w:p>
        </w:tc>
        <w:tc>
          <w:tcPr>
            <w:tcW w:w="1443" w:type="dxa"/>
          </w:tcPr>
          <w:p w14:paraId="783B785D" w14:textId="0B2D3BC1" w:rsidR="007B3CB4" w:rsidRPr="006734C7" w:rsidRDefault="0012542E" w:rsidP="00ED65A9">
            <w:pPr>
              <w:rPr>
                <w:lang w:eastAsia="hr-HR"/>
              </w:rPr>
            </w:pPr>
            <w:r w:rsidRPr="00B357F4">
              <w:rPr>
                <w:lang w:eastAsia="hr-HR"/>
              </w:rPr>
              <w:lastRenderedPageBreak/>
              <w:t>kontinuirano 20</w:t>
            </w:r>
            <w:r w:rsidR="001C58B5">
              <w:rPr>
                <w:lang w:eastAsia="hr-HR"/>
              </w:rPr>
              <w:t>22</w:t>
            </w:r>
            <w:r w:rsidRPr="00B357F4">
              <w:rPr>
                <w:lang w:eastAsia="hr-HR"/>
              </w:rPr>
              <w:t>.-2027.</w:t>
            </w:r>
          </w:p>
        </w:tc>
      </w:tr>
      <w:tr w:rsidR="007B3CB4" w:rsidRPr="00B357F4" w14:paraId="0640EA51" w14:textId="77777777" w:rsidTr="7AEFCEA8">
        <w:trPr>
          <w:trHeight w:val="3300"/>
        </w:trPr>
        <w:tc>
          <w:tcPr>
            <w:tcW w:w="1271" w:type="dxa"/>
            <w:hideMark/>
          </w:tcPr>
          <w:p w14:paraId="49546B84" w14:textId="77777777" w:rsidR="007B3CB4" w:rsidRPr="00B357F4" w:rsidRDefault="007B3CB4" w:rsidP="00ED65A9">
            <w:pPr>
              <w:jc w:val="left"/>
              <w:rPr>
                <w:lang w:eastAsia="hr-HR"/>
              </w:rPr>
            </w:pPr>
            <w:r w:rsidRPr="00B357F4">
              <w:rPr>
                <w:lang w:eastAsia="hr-HR"/>
              </w:rPr>
              <w:t>IV.a</w:t>
            </w:r>
          </w:p>
          <w:p w14:paraId="46AD8D4E" w14:textId="43B58DE6" w:rsidR="007B3CB4" w:rsidRPr="00B357F4" w:rsidRDefault="007B3CB4" w:rsidP="00ED65A9">
            <w:pPr>
              <w:jc w:val="left"/>
              <w:rPr>
                <w:lang w:eastAsia="hr-HR"/>
              </w:rPr>
            </w:pPr>
            <w:r w:rsidRPr="00B357F4">
              <w:rPr>
                <w:lang w:eastAsia="hr-HR"/>
              </w:rPr>
              <w:t>Izvođenje radova projekata koji se financiraju iz NPOO-a i FSEU-a</w:t>
            </w:r>
          </w:p>
        </w:tc>
        <w:tc>
          <w:tcPr>
            <w:tcW w:w="883" w:type="dxa"/>
            <w:hideMark/>
          </w:tcPr>
          <w:p w14:paraId="0B12C7D3" w14:textId="616755D5" w:rsidR="007B3CB4" w:rsidRPr="00B357F4" w:rsidRDefault="007B3CB4" w:rsidP="00ED65A9">
            <w:pPr>
              <w:jc w:val="left"/>
              <w:rPr>
                <w:lang w:eastAsia="hr-HR"/>
              </w:rPr>
            </w:pPr>
            <w:r w:rsidRPr="00B357F4">
              <w:rPr>
                <w:lang w:eastAsia="hr-HR"/>
              </w:rPr>
              <w:t>1</w:t>
            </w:r>
            <w:r w:rsidR="009661D1">
              <w:rPr>
                <w:lang w:eastAsia="hr-HR"/>
              </w:rPr>
              <w:t>1</w:t>
            </w:r>
            <w:r w:rsidRPr="00B357F4">
              <w:rPr>
                <w:lang w:eastAsia="hr-HR"/>
              </w:rPr>
              <w:t>.</w:t>
            </w:r>
          </w:p>
        </w:tc>
        <w:tc>
          <w:tcPr>
            <w:tcW w:w="3937" w:type="dxa"/>
            <w:hideMark/>
          </w:tcPr>
          <w:p w14:paraId="6A889F00" w14:textId="1EEC056B" w:rsidR="007B3CB4" w:rsidRPr="00B357F4" w:rsidRDefault="007B3CB4" w:rsidP="00ED65A9">
            <w:pPr>
              <w:jc w:val="left"/>
              <w:rPr>
                <w:lang w:eastAsia="hr-HR"/>
              </w:rPr>
            </w:pPr>
            <w:r w:rsidRPr="00B357F4">
              <w:rPr>
                <w:b/>
                <w:lang w:eastAsia="hr-HR"/>
              </w:rPr>
              <w:t>Izvedba radova uz nadzor</w:t>
            </w:r>
            <w:r w:rsidRPr="00B357F4">
              <w:rPr>
                <w:lang w:eastAsia="hr-HR"/>
              </w:rPr>
              <w:t>. Tijekom izvedbe radova provodit će se stručni nadzor nad izvođenjem radova te projektantski nadzor</w:t>
            </w:r>
            <w:r w:rsidR="00B51E73">
              <w:rPr>
                <w:lang w:eastAsia="hr-HR"/>
              </w:rPr>
              <w:t xml:space="preserve"> i aktivnosti koordinatora zaštite na radu.</w:t>
            </w:r>
            <w:r w:rsidRPr="00B357F4">
              <w:rPr>
                <w:lang w:eastAsia="hr-HR"/>
              </w:rPr>
              <w:t xml:space="preserve"> </w:t>
            </w:r>
            <w:r w:rsidR="00670F13" w:rsidRPr="00670F13">
              <w:rPr>
                <w:lang w:eastAsia="hr-HR"/>
              </w:rPr>
              <w:t xml:space="preserve">Ako je ugovoreno </w:t>
            </w:r>
            <w:r w:rsidR="00670F13">
              <w:rPr>
                <w:lang w:eastAsia="hr-HR"/>
              </w:rPr>
              <w:t xml:space="preserve">provodi se i vođenje </w:t>
            </w:r>
            <w:r w:rsidR="00670F13" w:rsidRPr="00670F13">
              <w:rPr>
                <w:lang w:eastAsia="hr-HR"/>
              </w:rPr>
              <w:t xml:space="preserve">projekta </w:t>
            </w:r>
            <w:r w:rsidRPr="00B357F4">
              <w:rPr>
                <w:lang w:eastAsia="hr-HR"/>
              </w:rPr>
              <w:t>Sve nužne izmjene tijekom izvedbe moraju dokumentirati i odobriti projektant i stručni nadzor. Izvedba radova završava Pisanom izjavom izvođača o izvedenim radovima i uvjetima održavanja te Završnim izvješćem nadzornog inženjera. Nakon toga slijedi energetski pregled i izdavanje novog energetskog certifikata (nakon obnove). Po potrebi radi se i tehnički pregled odnosno ishodi uporabna dozvola.</w:t>
            </w:r>
          </w:p>
        </w:tc>
        <w:tc>
          <w:tcPr>
            <w:tcW w:w="1560" w:type="dxa"/>
            <w:hideMark/>
          </w:tcPr>
          <w:p w14:paraId="1648A96E" w14:textId="4EBE80E9" w:rsidR="007B3CB4" w:rsidRPr="00B357F4" w:rsidRDefault="007B3CB4" w:rsidP="00ED65A9">
            <w:pPr>
              <w:jc w:val="left"/>
              <w:rPr>
                <w:lang w:eastAsia="hr-HR"/>
              </w:rPr>
            </w:pPr>
            <w:r w:rsidRPr="00B357F4">
              <w:rPr>
                <w:lang w:eastAsia="hr-HR"/>
              </w:rPr>
              <w:t xml:space="preserve">FZOEU, izvođači, stručni nadzor, </w:t>
            </w:r>
            <w:r w:rsidR="006566F5" w:rsidRPr="00B357F4">
              <w:rPr>
                <w:lang w:eastAsia="hr-HR"/>
              </w:rPr>
              <w:t>korisnici</w:t>
            </w:r>
          </w:p>
        </w:tc>
        <w:tc>
          <w:tcPr>
            <w:tcW w:w="1443" w:type="dxa"/>
            <w:hideMark/>
          </w:tcPr>
          <w:p w14:paraId="7C98A00C" w14:textId="77777777" w:rsidR="007B3CB4" w:rsidRPr="00B357F4" w:rsidRDefault="007B3CB4" w:rsidP="00ED65A9">
            <w:pPr>
              <w:rPr>
                <w:lang w:eastAsia="hr-HR"/>
              </w:rPr>
            </w:pPr>
            <w:r w:rsidRPr="00B357F4">
              <w:rPr>
                <w:lang w:eastAsia="hr-HR"/>
              </w:rPr>
              <w:t>kontinuirano 2022.-2026.</w:t>
            </w:r>
          </w:p>
        </w:tc>
      </w:tr>
      <w:tr w:rsidR="00E026BF" w:rsidRPr="00B357F4" w14:paraId="6BE3FEE0" w14:textId="77777777" w:rsidTr="7AEFCEA8">
        <w:trPr>
          <w:trHeight w:val="900"/>
        </w:trPr>
        <w:tc>
          <w:tcPr>
            <w:tcW w:w="1271" w:type="dxa"/>
          </w:tcPr>
          <w:p w14:paraId="43CED4F4" w14:textId="531BA22A" w:rsidR="00E026BF" w:rsidRPr="00B357F4" w:rsidRDefault="00E026BF" w:rsidP="00E026BF">
            <w:pPr>
              <w:jc w:val="left"/>
              <w:rPr>
                <w:lang w:eastAsia="hr-HR"/>
              </w:rPr>
            </w:pPr>
            <w:r w:rsidRPr="00B357F4">
              <w:rPr>
                <w:lang w:eastAsia="hr-HR"/>
              </w:rPr>
              <w:t>IV.</w:t>
            </w:r>
            <w:r>
              <w:rPr>
                <w:lang w:eastAsia="hr-HR"/>
              </w:rPr>
              <w:t>b</w:t>
            </w:r>
          </w:p>
          <w:p w14:paraId="111BBD9F" w14:textId="4D5DC3C8" w:rsidR="00E026BF" w:rsidRPr="00B357F4" w:rsidRDefault="00E026BF" w:rsidP="00E026BF">
            <w:pPr>
              <w:jc w:val="left"/>
              <w:rPr>
                <w:lang w:eastAsia="hr-HR"/>
              </w:rPr>
            </w:pPr>
            <w:r w:rsidRPr="00B357F4">
              <w:rPr>
                <w:lang w:eastAsia="hr-HR"/>
              </w:rPr>
              <w:t xml:space="preserve">Izvođenje radova projekata koji se financiraju iz </w:t>
            </w:r>
            <w:r w:rsidR="004854DF">
              <w:rPr>
                <w:lang w:eastAsia="hr-HR"/>
              </w:rPr>
              <w:t>VFO-a</w:t>
            </w:r>
          </w:p>
        </w:tc>
        <w:tc>
          <w:tcPr>
            <w:tcW w:w="883" w:type="dxa"/>
          </w:tcPr>
          <w:p w14:paraId="704631F5" w14:textId="5EA55975" w:rsidR="00E026BF" w:rsidRPr="00B357F4" w:rsidRDefault="00E026BF" w:rsidP="00E026BF">
            <w:pPr>
              <w:jc w:val="left"/>
              <w:rPr>
                <w:lang w:eastAsia="hr-HR"/>
              </w:rPr>
            </w:pPr>
            <w:r w:rsidRPr="00B357F4">
              <w:rPr>
                <w:lang w:eastAsia="hr-HR"/>
              </w:rPr>
              <w:t>1</w:t>
            </w:r>
            <w:r>
              <w:rPr>
                <w:lang w:eastAsia="hr-HR"/>
              </w:rPr>
              <w:t>1</w:t>
            </w:r>
            <w:r w:rsidRPr="00B357F4">
              <w:rPr>
                <w:lang w:eastAsia="hr-HR"/>
              </w:rPr>
              <w:t>.</w:t>
            </w:r>
          </w:p>
        </w:tc>
        <w:tc>
          <w:tcPr>
            <w:tcW w:w="3937" w:type="dxa"/>
          </w:tcPr>
          <w:p w14:paraId="4FF782DB" w14:textId="0865CD00" w:rsidR="00E026BF" w:rsidRPr="00B357F4" w:rsidRDefault="00E026BF" w:rsidP="00E026BF">
            <w:pPr>
              <w:jc w:val="left"/>
              <w:rPr>
                <w:b/>
                <w:lang w:eastAsia="hr-HR"/>
              </w:rPr>
            </w:pPr>
            <w:r w:rsidRPr="00B357F4">
              <w:rPr>
                <w:b/>
                <w:lang w:eastAsia="hr-HR"/>
              </w:rPr>
              <w:t>Izvedba radova uz nadzor</w:t>
            </w:r>
            <w:r w:rsidRPr="00B357F4">
              <w:rPr>
                <w:lang w:eastAsia="hr-HR"/>
              </w:rPr>
              <w:t>. Tijekom izvedbe radova provodit će se stručni nadzor nad izvođenjem radova te projektantski nadzor</w:t>
            </w:r>
            <w:r>
              <w:rPr>
                <w:lang w:eastAsia="hr-HR"/>
              </w:rPr>
              <w:t xml:space="preserve"> i aktivnosti koordinatora zaštite na radu.</w:t>
            </w:r>
            <w:r w:rsidRPr="00B357F4">
              <w:rPr>
                <w:lang w:eastAsia="hr-HR"/>
              </w:rPr>
              <w:t xml:space="preserve"> </w:t>
            </w:r>
            <w:r w:rsidRPr="00670F13">
              <w:rPr>
                <w:lang w:eastAsia="hr-HR"/>
              </w:rPr>
              <w:t xml:space="preserve">Ako je ugovoreno </w:t>
            </w:r>
            <w:r>
              <w:rPr>
                <w:lang w:eastAsia="hr-HR"/>
              </w:rPr>
              <w:t xml:space="preserve">provodi se i vođenje </w:t>
            </w:r>
            <w:r w:rsidRPr="00670F13">
              <w:rPr>
                <w:lang w:eastAsia="hr-HR"/>
              </w:rPr>
              <w:t xml:space="preserve">projekta </w:t>
            </w:r>
            <w:r w:rsidRPr="00B357F4">
              <w:rPr>
                <w:lang w:eastAsia="hr-HR"/>
              </w:rPr>
              <w:t>Sve nužne izmjene tijekom izvedbe moraju dokumentirati i odobriti projektant i stručni nadzor. Izvedba radova završava Pisanom izjavom izvođača o izvedenim radovima i uvjetima održavanja te Završnim izvješćem nadzornog inženjera. Nakon toga slijedi energetski pregled i izdavanje novog energetskog certifikata (nakon obnove). Po potrebi radi se i tehnički pregled odnosno ishodi uporabna dozvola.</w:t>
            </w:r>
          </w:p>
        </w:tc>
        <w:tc>
          <w:tcPr>
            <w:tcW w:w="1560" w:type="dxa"/>
          </w:tcPr>
          <w:p w14:paraId="6563F954" w14:textId="0B54126C" w:rsidR="00E026BF" w:rsidRPr="00B357F4" w:rsidRDefault="0040165B" w:rsidP="00E026BF">
            <w:pPr>
              <w:jc w:val="left"/>
              <w:rPr>
                <w:lang w:eastAsia="hr-HR"/>
              </w:rPr>
            </w:pPr>
            <w:r>
              <w:rPr>
                <w:lang w:eastAsia="hr-HR"/>
              </w:rPr>
              <w:t xml:space="preserve">Posrednička i provedbena tijela definirana </w:t>
            </w:r>
            <w:r w:rsidRPr="0040165B">
              <w:rPr>
                <w:lang w:eastAsia="hr-HR"/>
              </w:rPr>
              <w:t>Uredb</w:t>
            </w:r>
            <w:r>
              <w:rPr>
                <w:lang w:eastAsia="hr-HR"/>
              </w:rPr>
              <w:t>om</w:t>
            </w:r>
            <w:r w:rsidRPr="0040165B">
              <w:rPr>
                <w:lang w:eastAsia="hr-HR"/>
              </w:rPr>
              <w:t xml:space="preserve"> o tijelima u sustavima upravljanja i kontrole 2021.-2027.</w:t>
            </w:r>
            <w:r>
              <w:rPr>
                <w:lang w:eastAsia="hr-HR"/>
              </w:rPr>
              <w:t xml:space="preserve">, </w:t>
            </w:r>
            <w:r w:rsidR="00E026BF" w:rsidRPr="00B357F4">
              <w:rPr>
                <w:lang w:eastAsia="hr-HR"/>
              </w:rPr>
              <w:t>izvođači, stručni nadzor, korisnici</w:t>
            </w:r>
          </w:p>
        </w:tc>
        <w:tc>
          <w:tcPr>
            <w:tcW w:w="1443" w:type="dxa"/>
          </w:tcPr>
          <w:p w14:paraId="4760E953" w14:textId="7DE86813" w:rsidR="00E026BF" w:rsidRPr="00B357F4" w:rsidRDefault="00E026BF" w:rsidP="00E026BF">
            <w:pPr>
              <w:rPr>
                <w:lang w:eastAsia="hr-HR"/>
              </w:rPr>
            </w:pPr>
            <w:r w:rsidRPr="00B357F4">
              <w:rPr>
                <w:lang w:eastAsia="hr-HR"/>
              </w:rPr>
              <w:t>kontinuirano 2022.-20</w:t>
            </w:r>
            <w:r w:rsidR="00A72E7A">
              <w:rPr>
                <w:lang w:eastAsia="hr-HR"/>
              </w:rPr>
              <w:t>30</w:t>
            </w:r>
            <w:r w:rsidRPr="00B357F4">
              <w:rPr>
                <w:lang w:eastAsia="hr-HR"/>
              </w:rPr>
              <w:t>.</w:t>
            </w:r>
          </w:p>
        </w:tc>
      </w:tr>
      <w:tr w:rsidR="008A1EB5" w:rsidRPr="00B357F4" w14:paraId="7542C4A6" w14:textId="77777777" w:rsidTr="7AEFCEA8">
        <w:trPr>
          <w:trHeight w:val="900"/>
        </w:trPr>
        <w:tc>
          <w:tcPr>
            <w:tcW w:w="1271" w:type="dxa"/>
            <w:vMerge w:val="restart"/>
            <w:hideMark/>
          </w:tcPr>
          <w:p w14:paraId="3794D446" w14:textId="77777777" w:rsidR="008A1EB5" w:rsidRPr="00B357F4" w:rsidRDefault="008A1EB5" w:rsidP="008A1EB5">
            <w:pPr>
              <w:jc w:val="left"/>
              <w:rPr>
                <w:lang w:eastAsia="hr-HR"/>
              </w:rPr>
            </w:pPr>
            <w:r w:rsidRPr="00B357F4">
              <w:rPr>
                <w:lang w:eastAsia="hr-HR"/>
              </w:rPr>
              <w:t>V. Aktivnosti nakon obnove</w:t>
            </w:r>
          </w:p>
        </w:tc>
        <w:tc>
          <w:tcPr>
            <w:tcW w:w="883" w:type="dxa"/>
            <w:hideMark/>
          </w:tcPr>
          <w:p w14:paraId="63A04576" w14:textId="7D645437" w:rsidR="008A1EB5" w:rsidRPr="00B357F4" w:rsidRDefault="008A1EB5" w:rsidP="008A1EB5">
            <w:pPr>
              <w:jc w:val="left"/>
              <w:rPr>
                <w:lang w:eastAsia="hr-HR"/>
              </w:rPr>
            </w:pPr>
            <w:r w:rsidRPr="00B357F4">
              <w:rPr>
                <w:lang w:eastAsia="hr-HR"/>
              </w:rPr>
              <w:t>1</w:t>
            </w:r>
            <w:r w:rsidR="009661D1">
              <w:rPr>
                <w:lang w:eastAsia="hr-HR"/>
              </w:rPr>
              <w:t>2</w:t>
            </w:r>
            <w:r w:rsidRPr="00B357F4">
              <w:rPr>
                <w:lang w:eastAsia="hr-HR"/>
              </w:rPr>
              <w:t>.</w:t>
            </w:r>
          </w:p>
        </w:tc>
        <w:tc>
          <w:tcPr>
            <w:tcW w:w="3937" w:type="dxa"/>
            <w:hideMark/>
          </w:tcPr>
          <w:p w14:paraId="1695BD60" w14:textId="77777777" w:rsidR="008A1EB5" w:rsidRPr="00B357F4" w:rsidRDefault="008A1EB5" w:rsidP="008A1EB5">
            <w:pPr>
              <w:jc w:val="left"/>
              <w:rPr>
                <w:lang w:eastAsia="hr-HR"/>
              </w:rPr>
            </w:pPr>
            <w:r w:rsidRPr="00B357F4">
              <w:rPr>
                <w:b/>
                <w:lang w:eastAsia="hr-HR"/>
              </w:rPr>
              <w:t xml:space="preserve">Unos podataka </w:t>
            </w:r>
            <w:r w:rsidRPr="00B357F4">
              <w:rPr>
                <w:lang w:eastAsia="hr-HR"/>
              </w:rPr>
              <w:t xml:space="preserve">o provedenoj energetskoj obnovi u relevantne baze podataka </w:t>
            </w:r>
          </w:p>
        </w:tc>
        <w:tc>
          <w:tcPr>
            <w:tcW w:w="1560" w:type="dxa"/>
            <w:hideMark/>
          </w:tcPr>
          <w:p w14:paraId="098EC8DF" w14:textId="0CFFBF90" w:rsidR="008A1EB5" w:rsidRPr="00B357F4" w:rsidRDefault="008A1EB5" w:rsidP="008A1EB5">
            <w:pPr>
              <w:jc w:val="left"/>
              <w:rPr>
                <w:lang w:eastAsia="hr-HR"/>
              </w:rPr>
            </w:pPr>
            <w:r w:rsidRPr="00B357F4">
              <w:rPr>
                <w:lang w:eastAsia="hr-HR"/>
              </w:rPr>
              <w:t>MPGI, APN, FZOEU</w:t>
            </w:r>
          </w:p>
        </w:tc>
        <w:tc>
          <w:tcPr>
            <w:tcW w:w="1443" w:type="dxa"/>
            <w:hideMark/>
          </w:tcPr>
          <w:p w14:paraId="45BCC0F1" w14:textId="77777777" w:rsidR="008A1EB5" w:rsidRPr="00B357F4" w:rsidRDefault="008A1EB5" w:rsidP="008A1EB5">
            <w:pPr>
              <w:rPr>
                <w:lang w:eastAsia="hr-HR"/>
              </w:rPr>
            </w:pPr>
            <w:r w:rsidRPr="00B357F4">
              <w:rPr>
                <w:lang w:eastAsia="hr-HR"/>
              </w:rPr>
              <w:t>kontinuirano 2022.-2030.</w:t>
            </w:r>
          </w:p>
        </w:tc>
      </w:tr>
      <w:tr w:rsidR="008A1EB5" w:rsidRPr="00B357F4" w14:paraId="6B45E3B7" w14:textId="77777777" w:rsidTr="7AEFCEA8">
        <w:trPr>
          <w:trHeight w:val="600"/>
        </w:trPr>
        <w:tc>
          <w:tcPr>
            <w:tcW w:w="1271" w:type="dxa"/>
            <w:vMerge/>
            <w:hideMark/>
          </w:tcPr>
          <w:p w14:paraId="1D7F121D" w14:textId="77777777" w:rsidR="008A1EB5" w:rsidRPr="00B357F4" w:rsidRDefault="008A1EB5" w:rsidP="008A1EB5">
            <w:pPr>
              <w:jc w:val="left"/>
              <w:rPr>
                <w:lang w:eastAsia="hr-HR"/>
              </w:rPr>
            </w:pPr>
          </w:p>
        </w:tc>
        <w:tc>
          <w:tcPr>
            <w:tcW w:w="883" w:type="dxa"/>
            <w:hideMark/>
          </w:tcPr>
          <w:p w14:paraId="2EE6951D" w14:textId="4A64BB46" w:rsidR="008A1EB5" w:rsidRPr="00B357F4" w:rsidRDefault="008A1EB5" w:rsidP="008A1EB5">
            <w:pPr>
              <w:jc w:val="left"/>
              <w:rPr>
                <w:lang w:eastAsia="hr-HR"/>
              </w:rPr>
            </w:pPr>
            <w:r w:rsidRPr="00B357F4">
              <w:rPr>
                <w:lang w:eastAsia="hr-HR"/>
              </w:rPr>
              <w:t>1</w:t>
            </w:r>
            <w:r w:rsidR="009661D1">
              <w:rPr>
                <w:lang w:eastAsia="hr-HR"/>
              </w:rPr>
              <w:t>3</w:t>
            </w:r>
            <w:r w:rsidRPr="00B357F4">
              <w:rPr>
                <w:lang w:eastAsia="hr-HR"/>
              </w:rPr>
              <w:t>.</w:t>
            </w:r>
          </w:p>
        </w:tc>
        <w:tc>
          <w:tcPr>
            <w:tcW w:w="3937" w:type="dxa"/>
            <w:hideMark/>
          </w:tcPr>
          <w:p w14:paraId="5EF34450" w14:textId="77777777" w:rsidR="008A1EB5" w:rsidRPr="00B357F4" w:rsidRDefault="008A1EB5" w:rsidP="008A1EB5">
            <w:pPr>
              <w:jc w:val="left"/>
              <w:rPr>
                <w:lang w:eastAsia="hr-HR"/>
              </w:rPr>
            </w:pPr>
            <w:r w:rsidRPr="00B357F4">
              <w:rPr>
                <w:b/>
                <w:lang w:eastAsia="hr-HR"/>
              </w:rPr>
              <w:t>Diseminacija informacija</w:t>
            </w:r>
            <w:r w:rsidRPr="00B357F4">
              <w:rPr>
                <w:lang w:eastAsia="hr-HR"/>
              </w:rPr>
              <w:t xml:space="preserve"> o provedenoj energetskoj obnovi</w:t>
            </w:r>
          </w:p>
        </w:tc>
        <w:tc>
          <w:tcPr>
            <w:tcW w:w="1560" w:type="dxa"/>
            <w:hideMark/>
          </w:tcPr>
          <w:p w14:paraId="3590958B" w14:textId="22B530F3" w:rsidR="008A1EB5" w:rsidRPr="00B357F4" w:rsidRDefault="008A1EB5" w:rsidP="008A1EB5">
            <w:pPr>
              <w:jc w:val="left"/>
              <w:rPr>
                <w:lang w:eastAsia="hr-HR"/>
              </w:rPr>
            </w:pPr>
            <w:r w:rsidRPr="00B357F4">
              <w:rPr>
                <w:lang w:eastAsia="hr-HR"/>
              </w:rPr>
              <w:t xml:space="preserve">MPGI, APN, FZOEU, </w:t>
            </w:r>
            <w:r w:rsidR="00AD69D1" w:rsidRPr="00B357F4">
              <w:rPr>
                <w:lang w:eastAsia="hr-HR"/>
              </w:rPr>
              <w:t>korisnici</w:t>
            </w:r>
          </w:p>
        </w:tc>
        <w:tc>
          <w:tcPr>
            <w:tcW w:w="1443" w:type="dxa"/>
            <w:hideMark/>
          </w:tcPr>
          <w:p w14:paraId="06C5BF3B" w14:textId="77777777" w:rsidR="008A1EB5" w:rsidRPr="00B357F4" w:rsidRDefault="008A1EB5" w:rsidP="008A1EB5">
            <w:pPr>
              <w:rPr>
                <w:lang w:eastAsia="hr-HR"/>
              </w:rPr>
            </w:pPr>
            <w:r w:rsidRPr="00B357F4">
              <w:rPr>
                <w:lang w:eastAsia="hr-HR"/>
              </w:rPr>
              <w:t>kontinuirano 2022.-2030.</w:t>
            </w:r>
          </w:p>
        </w:tc>
      </w:tr>
      <w:tr w:rsidR="007B3CB4" w:rsidRPr="00B357F4" w14:paraId="6A897DEF" w14:textId="77777777" w:rsidTr="00166B1A">
        <w:trPr>
          <w:trHeight w:val="2015"/>
        </w:trPr>
        <w:tc>
          <w:tcPr>
            <w:tcW w:w="1271" w:type="dxa"/>
            <w:vMerge/>
            <w:hideMark/>
          </w:tcPr>
          <w:p w14:paraId="733DE6E7" w14:textId="77777777" w:rsidR="007B3CB4" w:rsidRPr="00B357F4" w:rsidRDefault="007B3CB4" w:rsidP="00ED65A9">
            <w:pPr>
              <w:jc w:val="left"/>
              <w:rPr>
                <w:lang w:eastAsia="hr-HR"/>
              </w:rPr>
            </w:pPr>
          </w:p>
        </w:tc>
        <w:tc>
          <w:tcPr>
            <w:tcW w:w="883" w:type="dxa"/>
            <w:hideMark/>
          </w:tcPr>
          <w:p w14:paraId="28D01CD6" w14:textId="15713C9B" w:rsidR="007B3CB4" w:rsidRPr="00B357F4" w:rsidRDefault="007B3CB4" w:rsidP="00ED65A9">
            <w:pPr>
              <w:jc w:val="left"/>
              <w:rPr>
                <w:lang w:eastAsia="hr-HR"/>
              </w:rPr>
            </w:pPr>
            <w:r w:rsidRPr="00B357F4">
              <w:rPr>
                <w:lang w:eastAsia="hr-HR"/>
              </w:rPr>
              <w:t>1</w:t>
            </w:r>
            <w:r w:rsidR="009661D1">
              <w:rPr>
                <w:lang w:eastAsia="hr-HR"/>
              </w:rPr>
              <w:t>4</w:t>
            </w:r>
            <w:r w:rsidRPr="00B357F4">
              <w:rPr>
                <w:lang w:eastAsia="hr-HR"/>
              </w:rPr>
              <w:t>.</w:t>
            </w:r>
          </w:p>
        </w:tc>
        <w:tc>
          <w:tcPr>
            <w:tcW w:w="3937" w:type="dxa"/>
            <w:hideMark/>
          </w:tcPr>
          <w:p w14:paraId="52EF0D64" w14:textId="3E02BF2E" w:rsidR="007B3CB4" w:rsidRPr="00B357F4" w:rsidRDefault="4C985EA3" w:rsidP="00ED65A9">
            <w:pPr>
              <w:jc w:val="left"/>
              <w:rPr>
                <w:lang w:eastAsia="hr-HR"/>
              </w:rPr>
            </w:pPr>
            <w:r w:rsidRPr="00B357F4">
              <w:rPr>
                <w:lang w:eastAsia="hr-HR"/>
              </w:rPr>
              <w:t xml:space="preserve">Kontinuirana </w:t>
            </w:r>
            <w:r w:rsidRPr="00B357F4">
              <w:rPr>
                <w:b/>
                <w:lang w:eastAsia="hr-HR"/>
              </w:rPr>
              <w:t>edukacija i osvješćivanje</w:t>
            </w:r>
            <w:r w:rsidRPr="00B357F4">
              <w:rPr>
                <w:lang w:eastAsia="hr-HR"/>
              </w:rPr>
              <w:t xml:space="preserve"> prijavitelja, korisnika i ostalih dionika vezanih uz zgradu koja je prošla energetsku obnovu. </w:t>
            </w:r>
          </w:p>
        </w:tc>
        <w:tc>
          <w:tcPr>
            <w:tcW w:w="1560" w:type="dxa"/>
            <w:hideMark/>
          </w:tcPr>
          <w:p w14:paraId="37E19264" w14:textId="77777777" w:rsidR="007B3CB4" w:rsidRPr="00B357F4" w:rsidRDefault="007B3CB4" w:rsidP="00ED65A9">
            <w:pPr>
              <w:jc w:val="left"/>
              <w:rPr>
                <w:lang w:eastAsia="hr-HR"/>
              </w:rPr>
            </w:pPr>
            <w:r w:rsidRPr="00B357F4">
              <w:rPr>
                <w:lang w:eastAsia="hr-HR"/>
              </w:rPr>
              <w:t>MPGI, APN, FZOEU, prijavitelji, korisnici, projektanti, stručnjaci za energetiku</w:t>
            </w:r>
          </w:p>
        </w:tc>
        <w:tc>
          <w:tcPr>
            <w:tcW w:w="1443" w:type="dxa"/>
            <w:hideMark/>
          </w:tcPr>
          <w:p w14:paraId="63B9D0BB" w14:textId="77777777" w:rsidR="007B3CB4" w:rsidRPr="00B357F4" w:rsidRDefault="007B3CB4" w:rsidP="00ED65A9">
            <w:pPr>
              <w:rPr>
                <w:lang w:eastAsia="hr-HR"/>
              </w:rPr>
            </w:pPr>
            <w:r w:rsidRPr="00B357F4">
              <w:rPr>
                <w:lang w:eastAsia="hr-HR"/>
              </w:rPr>
              <w:t>kontinuirano 2022.-2030.</w:t>
            </w:r>
          </w:p>
        </w:tc>
      </w:tr>
    </w:tbl>
    <w:p w14:paraId="46A7E6FF" w14:textId="16A59806" w:rsidR="00181F7D" w:rsidRDefault="053E2499" w:rsidP="00181F7D">
      <w:pPr>
        <w:pStyle w:val="Naslov20"/>
      </w:pPr>
      <w:bookmarkStart w:id="127" w:name="_Toc94770006"/>
      <w:r w:rsidRPr="00B357F4">
        <w:t>Tehnička pomoć prijaviteljima (One-Stop-Shops)</w:t>
      </w:r>
      <w:bookmarkEnd w:id="127"/>
    </w:p>
    <w:p w14:paraId="2174E641" w14:textId="2D355721" w:rsidR="00C66637" w:rsidRPr="00B357F4" w:rsidRDefault="00C66637" w:rsidP="00C66637">
      <w:pPr>
        <w:rPr>
          <w:lang w:eastAsia="hr-HR"/>
        </w:rPr>
      </w:pPr>
      <w:r w:rsidRPr="00203A80">
        <w:rPr>
          <w:szCs w:val="20"/>
          <w:lang w:eastAsia="hr-HR"/>
        </w:rPr>
        <w:t>Iskustva zemalja Europske unije pokazala su da energetski uči</w:t>
      </w:r>
      <w:r w:rsidRPr="00A67250">
        <w:rPr>
          <w:szCs w:val="20"/>
          <w:lang w:eastAsia="hr-HR"/>
        </w:rPr>
        <w:t>nkovita obnova zgrada trenutno predstavlja podjednako veliki izazov za vlasnike zgrada kao i gradove koji su usvojenim akcijskim planovima energetski održivog razvitka (engl. SEAP i/ili SECAP) preuzeli obveze smanjenja energetske potrošnje u svim sektorima</w:t>
      </w:r>
      <w:r w:rsidRPr="00971F9E">
        <w:rPr>
          <w:szCs w:val="20"/>
          <w:lang w:eastAsia="hr-HR"/>
        </w:rPr>
        <w:t xml:space="preserve"> na svom teritoriju.</w:t>
      </w:r>
      <w:r w:rsidR="00E80DCC" w:rsidRPr="00B357F4">
        <w:rPr>
          <w:szCs w:val="20"/>
          <w:lang w:eastAsia="hr-HR"/>
        </w:rPr>
        <w:t xml:space="preserve"> </w:t>
      </w:r>
      <w:r w:rsidR="00993CED" w:rsidRPr="00B357F4">
        <w:rPr>
          <w:szCs w:val="20"/>
          <w:lang w:eastAsia="hr-HR"/>
        </w:rPr>
        <w:t xml:space="preserve">Isti zaključak primjenjiv je i za ostale jedinice lokalne i regionalne samouprave </w:t>
      </w:r>
      <w:r w:rsidR="00CE1CDE" w:rsidRPr="00B357F4">
        <w:rPr>
          <w:szCs w:val="20"/>
          <w:lang w:eastAsia="hr-HR"/>
        </w:rPr>
        <w:t>čiji administrativni kapaciteti</w:t>
      </w:r>
      <w:r w:rsidR="00834BA0" w:rsidRPr="00B357F4">
        <w:rPr>
          <w:szCs w:val="20"/>
          <w:lang w:eastAsia="hr-HR"/>
        </w:rPr>
        <w:t xml:space="preserve">, </w:t>
      </w:r>
      <w:r w:rsidR="00CE1CDE" w:rsidRPr="00B357F4">
        <w:rPr>
          <w:szCs w:val="20"/>
          <w:lang w:eastAsia="hr-HR"/>
        </w:rPr>
        <w:t>znanje</w:t>
      </w:r>
      <w:r w:rsidR="00834BA0" w:rsidRPr="00B357F4">
        <w:rPr>
          <w:szCs w:val="20"/>
          <w:lang w:eastAsia="hr-HR"/>
        </w:rPr>
        <w:t xml:space="preserve"> a često i proračunske</w:t>
      </w:r>
      <w:r w:rsidR="00142B38" w:rsidRPr="00B357F4">
        <w:rPr>
          <w:szCs w:val="20"/>
          <w:lang w:eastAsia="hr-HR"/>
        </w:rPr>
        <w:t xml:space="preserve"> mogućnosti čine prepreku u pripremi projekata</w:t>
      </w:r>
      <w:r w:rsidR="00142B38" w:rsidRPr="00B357F4">
        <w:rPr>
          <w:lang w:eastAsia="hr-HR"/>
        </w:rPr>
        <w:t xml:space="preserve"> energetske učinkovitosti. </w:t>
      </w:r>
      <w:r w:rsidRPr="00B357F4">
        <w:rPr>
          <w:lang w:eastAsia="hr-HR"/>
        </w:rPr>
        <w:t>Programi energetske obnove u Hrvatskoj rađeni su isključivo na nacionalnom nivou i predviđaju centralizirani sustav provedbe putem postojećih institucija. Iako se ovaj sustav zbog iznimno visoke potražnje pokazao uspješnim u apsorpciji sredstava Europskih strukturnih i investicijskih fondova (ESIF), ovi programi nisu uspostavili cjelovitu uslugu energetske obnove za krajnje korisnike. Cjelovita usluga energetske obnove zgrada pretpostavlja uspostavu institucije koja u suradnji s financijskim institucijama, projektantskim biroima i izvođačima radova pruža jedinstveni paket usluga energetske obnove od pripreme projekta do verifikacije energetskih ušteda (engl. one stop shop).</w:t>
      </w:r>
      <w:r w:rsidR="00B4541C" w:rsidRPr="00B357F4">
        <w:rPr>
          <w:lang w:eastAsia="hr-HR"/>
        </w:rPr>
        <w:t xml:space="preserve"> </w:t>
      </w:r>
    </w:p>
    <w:p w14:paraId="7D056D48" w14:textId="49711416" w:rsidR="00C66637" w:rsidRPr="00B357F4" w:rsidRDefault="00C66637" w:rsidP="00C66637">
      <w:pPr>
        <w:rPr>
          <w:lang w:eastAsia="hr-HR"/>
        </w:rPr>
      </w:pPr>
      <w:r w:rsidRPr="00B357F4">
        <w:rPr>
          <w:lang w:eastAsia="hr-HR"/>
        </w:rPr>
        <w:t>Navedeno je također prepoznato i u Nacrtu Dugoročne strategije obnove nacionalnog fonda zgrada do 2050. godine koja izričito predviđa uspostavu One stop shop-ova</w:t>
      </w:r>
      <w:r w:rsidR="0034503C">
        <w:rPr>
          <w:lang w:eastAsia="hr-HR"/>
        </w:rPr>
        <w:t xml:space="preserve"> (dalje u tekstu OSS)</w:t>
      </w:r>
      <w:r w:rsidRPr="00B357F4">
        <w:rPr>
          <w:lang w:eastAsia="hr-HR"/>
        </w:rPr>
        <w:t>, pri čemu se navodi kako je OS</w:t>
      </w:r>
      <w:r w:rsidR="00283A89">
        <w:rPr>
          <w:lang w:eastAsia="hr-HR"/>
        </w:rPr>
        <w:t>S j</w:t>
      </w:r>
      <w:r w:rsidRPr="00971F9E">
        <w:rPr>
          <w:lang w:eastAsia="hr-HR"/>
        </w:rPr>
        <w:t>edinstvena točka pristupa informacijama i uslugama omogućava jednostavni pristup informacijama o energetskoj obnovi i mogućnostima financiranja, kao</w:t>
      </w:r>
      <w:r w:rsidRPr="00B357F4">
        <w:rPr>
          <w:lang w:eastAsia="hr-HR"/>
        </w:rPr>
        <w:t xml:space="preserve"> i promociju energetske učinkovitosti za sve grupe korisnika. Baziraju se na savjetovanju u svim fazama procesa obnove, dok se financiranje takve usluge provodi iz proračuna JLS. Modeli organizacije </w:t>
      </w:r>
      <w:r w:rsidR="00283A89">
        <w:rPr>
          <w:lang w:eastAsia="hr-HR"/>
        </w:rPr>
        <w:t>OSS-a</w:t>
      </w:r>
      <w:r w:rsidRPr="00B357F4">
        <w:rPr>
          <w:lang w:eastAsia="hr-HR"/>
        </w:rPr>
        <w:t xml:space="preserve"> mogu biti fleksibilni i prilagodljivi</w:t>
      </w:r>
      <w:r w:rsidR="004F55C7">
        <w:rPr>
          <w:lang w:eastAsia="hr-HR"/>
        </w:rPr>
        <w:t xml:space="preserve">, </w:t>
      </w:r>
      <w:r w:rsidRPr="00B357F4">
        <w:rPr>
          <w:lang w:eastAsia="hr-HR"/>
        </w:rPr>
        <w:t xml:space="preserve"> optimalno ih je organizirati kroz regionalne i lokalne energetske agencije, koje u okviru svojih aktivnosti mogu pružiti i ovaj oblik usluge korisnicima. Ključno je na jednom mjestu objediniti informaciju o mogućnostima ušteda, potrebnim koracima i mogućim izvorima sufinanciranja i drugih oblika potpore projektima energetske obnove. Modeli razvoja OSS-a za povećanje energetske učinkovitosti su ispitani kroz niz EU financiranih projekata i nacionalnih inicijativa, različitih tipova i ciljnih grupa.</w:t>
      </w:r>
    </w:p>
    <w:p w14:paraId="3D7D433B" w14:textId="10DEDC95" w:rsidR="006F33E5" w:rsidRPr="00B357F4" w:rsidRDefault="006F33E5" w:rsidP="00C66637">
      <w:pPr>
        <w:rPr>
          <w:lang w:eastAsia="hr-HR"/>
        </w:rPr>
      </w:pPr>
      <w:r>
        <w:rPr>
          <w:lang w:eastAsia="hr-HR"/>
        </w:rPr>
        <w:t>OSS</w:t>
      </w:r>
      <w:r w:rsidRPr="006F33E5">
        <w:rPr>
          <w:lang w:eastAsia="hr-HR"/>
        </w:rPr>
        <w:t xml:space="preserve"> koncept je u primjeni diljem EU, a prepoznat je i u Direktivi 2018/844 kao koncept kojim se građanima i javnim tijelima pruža integrirana usluge energetske obnove te pojednostavljuje postupak obnove. Zaključci okruglih stolova o financiranju mjera energetske učinkovitosti i cjelovite obnove zgrada u Republici Hrvatskoj održanih u okviru SEIF inicijative i projekta </w:t>
      </w:r>
      <w:r w:rsidR="00D9728A" w:rsidRPr="00C300D1">
        <w:rPr>
          <w:i/>
          <w:lang w:eastAsia="hr-HR"/>
        </w:rPr>
        <w:t>Supporting smart financing implementation for energy efficient Balkan Buildings</w:t>
      </w:r>
      <w:r w:rsidRPr="006F33E5">
        <w:rPr>
          <w:lang w:eastAsia="hr-HR"/>
        </w:rPr>
        <w:t xml:space="preserve"> </w:t>
      </w:r>
      <w:r w:rsidR="00D9728A" w:rsidRPr="00C300D1">
        <w:rPr>
          <w:i/>
          <w:lang w:eastAsia="hr-HR"/>
        </w:rPr>
        <w:t>(</w:t>
      </w:r>
      <w:r w:rsidRPr="00C300D1">
        <w:rPr>
          <w:i/>
          <w:lang w:eastAsia="hr-HR"/>
        </w:rPr>
        <w:t>SMAFIN</w:t>
      </w:r>
      <w:r w:rsidR="00D9728A" w:rsidRPr="00C300D1">
        <w:rPr>
          <w:i/>
          <w:lang w:eastAsia="hr-HR"/>
        </w:rPr>
        <w:t>)</w:t>
      </w:r>
      <w:r w:rsidR="00D234AF">
        <w:rPr>
          <w:rStyle w:val="Referencafusnote"/>
          <w:lang w:eastAsia="hr-HR"/>
        </w:rPr>
        <w:footnoteReference w:id="23"/>
      </w:r>
      <w:r w:rsidRPr="006F33E5">
        <w:rPr>
          <w:lang w:eastAsia="hr-HR"/>
        </w:rPr>
        <w:t xml:space="preserve"> te podržani od strane Europske komisije također navode uspostavljanje one-stop-shop usluge kako bi se ojačali administrativni kapaciteti, povećala transparentnost te osigurala veća kvaliteta u pripremi i provedbi projekata obnove.</w:t>
      </w:r>
    </w:p>
    <w:p w14:paraId="543E5EDD" w14:textId="6B696C61" w:rsidR="00C66637" w:rsidRPr="00B357F4" w:rsidRDefault="00B274B9" w:rsidP="00C66637">
      <w:pPr>
        <w:rPr>
          <w:lang w:eastAsia="hr-HR"/>
        </w:rPr>
      </w:pPr>
      <w:r>
        <w:rPr>
          <w:lang w:eastAsia="hr-HR"/>
        </w:rPr>
        <w:t>OSS</w:t>
      </w:r>
      <w:r w:rsidR="00B25F38">
        <w:rPr>
          <w:lang w:eastAsia="hr-HR"/>
        </w:rPr>
        <w:t>-ovi</w:t>
      </w:r>
      <w:r w:rsidR="00C80785" w:rsidRPr="00B357F4">
        <w:rPr>
          <w:lang w:eastAsia="hr-HR"/>
        </w:rPr>
        <w:t xml:space="preserve"> pogotovo u kontekstu zgrada javne namjene posebno su atraktivni u slučajevima gdje manje jedinice lokalne samouprave nemaju znanja ni mogućnosti kvalitetno pripremiti projekte i gdje su ti projekti mali i neatraktivni na tržištu energetske usluge odnosno ESCO modelu. U ovim slučajevima, </w:t>
      </w:r>
      <w:r>
        <w:rPr>
          <w:lang w:eastAsia="hr-HR"/>
        </w:rPr>
        <w:t>OSS-ovi</w:t>
      </w:r>
      <w:r w:rsidR="00C80785" w:rsidRPr="00B357F4">
        <w:rPr>
          <w:lang w:eastAsia="hr-HR"/>
        </w:rPr>
        <w:t xml:space="preserve">, uz tehničku pomoć u kvalitetnoj pripremi projekta mogu djelovati kao svojevrsni agregator te pripremiti projekte na način koji bi osigurao veći interes tržišta te privukao izvođače i ESCO tvrtke.    </w:t>
      </w:r>
    </w:p>
    <w:p w14:paraId="305D069D" w14:textId="4CFDFCA4" w:rsidR="00C66637" w:rsidRDefault="00C66637" w:rsidP="00C66637">
      <w:pPr>
        <w:rPr>
          <w:lang w:eastAsia="hr-HR"/>
        </w:rPr>
      </w:pPr>
      <w:r w:rsidRPr="00B357F4">
        <w:rPr>
          <w:lang w:eastAsia="hr-HR"/>
        </w:rPr>
        <w:t xml:space="preserve">Europska unija </w:t>
      </w:r>
      <w:r w:rsidR="00C80785" w:rsidRPr="00B357F4">
        <w:rPr>
          <w:lang w:eastAsia="hr-HR"/>
        </w:rPr>
        <w:t xml:space="preserve">također </w:t>
      </w:r>
      <w:r w:rsidRPr="00B357F4">
        <w:rPr>
          <w:lang w:eastAsia="hr-HR"/>
        </w:rPr>
        <w:t xml:space="preserve">otvoreno podupire razvoj ovakvih integriranih usluga pripreme i provođenja energetske obnove zgrada na lokalnoj i regionalnoj razini kako bi se proces obnove ubrzao, uspostavila viša razina povjerenja između korisnika i izvođača radova, a samim time i ponudila kvalitetnija usluga </w:t>
      </w:r>
      <w:r w:rsidR="003A6B8D" w:rsidRPr="00B357F4">
        <w:rPr>
          <w:lang w:eastAsia="hr-HR"/>
        </w:rPr>
        <w:t>krajnjim korisnicima</w:t>
      </w:r>
      <w:r w:rsidRPr="00B357F4">
        <w:rPr>
          <w:lang w:eastAsia="hr-HR"/>
        </w:rPr>
        <w:t>.</w:t>
      </w:r>
    </w:p>
    <w:p w14:paraId="144E2872" w14:textId="77777777" w:rsidR="00FB13C0" w:rsidRDefault="00FB13C0" w:rsidP="00FB13C0">
      <w:pPr>
        <w:rPr>
          <w:lang w:eastAsia="hr-HR"/>
        </w:rPr>
      </w:pPr>
      <w:r>
        <w:rPr>
          <w:lang w:eastAsia="hr-HR"/>
        </w:rPr>
        <w:t xml:space="preserve">Prema Zakonu o institucionalnom okviru za korištenje fondova Europske unije u Republici Hrvatskoj (Narodne novine 116/21), Koordinacijsko tijelo (MRRFEU), u suradnji s nadležnim programskim tijelima te ministarstvom nadležnim za poslove uprave i prema potrebi drugim nadležnim resornim tijelima, provodit </w:t>
      </w:r>
      <w:r>
        <w:rPr>
          <w:lang w:eastAsia="hr-HR"/>
        </w:rPr>
        <w:lastRenderedPageBreak/>
        <w:t xml:space="preserve">će redovite analize stanja kapaciteta institucionalnog okvira za korištenje EU fondova te definirati aktivnosti za njihovo daljnje jačanje. Za provedbu navedenih aktivnosti izrađuje se Plan jačanja kapaciteta za korištenje fondova Europske unije (članak 8. Zakona), koji će obuhvaćati potrebe jačanja kapaciteta u svim sustavima upravljanja i kontrole korištenja EU fondova 2021.-2027. obuhvaćenih Zakonom. </w:t>
      </w:r>
    </w:p>
    <w:p w14:paraId="46D1FDEA" w14:textId="157250D1" w:rsidR="00FB13C0" w:rsidRPr="00B357F4" w:rsidRDefault="00FB13C0" w:rsidP="00FB13C0">
      <w:pPr>
        <w:rPr>
          <w:lang w:eastAsia="hr-HR"/>
        </w:rPr>
      </w:pPr>
      <w:r>
        <w:rPr>
          <w:lang w:eastAsia="hr-HR"/>
        </w:rPr>
        <w:t>Plan se izrađuje kroz suradnički pristup sa svim tijelima u svim sustavima upravljanja i kontrole, a za njegovu provedbu, ovisno o mjerama, nadležni su Koordinacijsko tijelo i nadležna upravljačka tijela. Potencijalna uspostava One-stop-shopa, odnosno pružanje tehničke pomoći prijaviteljima bit će definirano u suradnji s nadležnim upravljačkim tijelom kroz Plan jačanja kapaciteta za korištenje fondova Europske unije te ovisno o raspoloživosti tehničke pomoći za financijsko razdoblje 2021.-2027. po pojedinom Programu.</w:t>
      </w:r>
    </w:p>
    <w:p w14:paraId="7BD37DF0" w14:textId="76A83FEF" w:rsidR="00C66637" w:rsidRPr="006734C7" w:rsidRDefault="00C66637" w:rsidP="00920889">
      <w:pPr>
        <w:pStyle w:val="Naslov30"/>
      </w:pPr>
      <w:bookmarkStart w:id="128" w:name="_Toc94770007"/>
      <w:r w:rsidRPr="00B357F4">
        <w:t>One-Stop-Shop kao Integrirana usluga energetske obnove</w:t>
      </w:r>
      <w:r w:rsidR="00C52DCC">
        <w:t xml:space="preserve"> za javne zgrade</w:t>
      </w:r>
      <w:bookmarkEnd w:id="128"/>
    </w:p>
    <w:p w14:paraId="5E619F75" w14:textId="77777777" w:rsidR="00C66637" w:rsidRPr="00B357F4" w:rsidRDefault="00C66637" w:rsidP="00C66637">
      <w:pPr>
        <w:rPr>
          <w:b/>
          <w:lang w:eastAsia="hr-HR"/>
        </w:rPr>
      </w:pPr>
      <w:r w:rsidRPr="00971F9E">
        <w:rPr>
          <w:b/>
          <w:lang w:eastAsia="hr-HR"/>
        </w:rPr>
        <w:t>Vrste i obim usluga</w:t>
      </w:r>
    </w:p>
    <w:p w14:paraId="488CD20D" w14:textId="03EB1244" w:rsidR="00C66637" w:rsidRPr="00B357F4" w:rsidRDefault="00C66637" w:rsidP="00C66637">
      <w:pPr>
        <w:rPr>
          <w:lang w:eastAsia="hr-HR"/>
        </w:rPr>
      </w:pPr>
      <w:r w:rsidRPr="00B357F4">
        <w:rPr>
          <w:lang w:eastAsia="hr-HR"/>
        </w:rPr>
        <w:t xml:space="preserve">Integrirana usluga energetske obnove (One Stop Shop – OSS) </w:t>
      </w:r>
      <w:r w:rsidR="003A6B8D" w:rsidRPr="00B357F4">
        <w:rPr>
          <w:lang w:eastAsia="hr-HR"/>
        </w:rPr>
        <w:t xml:space="preserve">treba </w:t>
      </w:r>
      <w:r w:rsidRPr="00B357F4">
        <w:rPr>
          <w:lang w:eastAsia="hr-HR"/>
        </w:rPr>
        <w:t>ima</w:t>
      </w:r>
      <w:r w:rsidR="003A6B8D" w:rsidRPr="00B357F4">
        <w:rPr>
          <w:lang w:eastAsia="hr-HR"/>
        </w:rPr>
        <w:t>ti</w:t>
      </w:r>
      <w:r w:rsidRPr="00B357F4">
        <w:rPr>
          <w:lang w:eastAsia="hr-HR"/>
        </w:rPr>
        <w:t xml:space="preserve"> za cilj ukloniti nekoliko ključnih prepreka za bržu provedbu ulaganja u obnovu </w:t>
      </w:r>
      <w:r w:rsidR="003A6B8D" w:rsidRPr="00B357F4">
        <w:rPr>
          <w:lang w:eastAsia="hr-HR"/>
        </w:rPr>
        <w:t>javnih zgrada</w:t>
      </w:r>
      <w:r w:rsidRPr="00B357F4">
        <w:rPr>
          <w:lang w:eastAsia="hr-HR"/>
        </w:rPr>
        <w:t xml:space="preserve"> na području Republike Hrvatske, a temeljeno na regionalnom konceptu. Primaran problem nalazi se u disperziranosti svih usluga (savjetovanje, certificiranje, projektiranje, financiranje, izvedba) koje su neophodne krajnjim korisnicima koji nedovoljno poznaju samo tržište energetskih usluga, ali i tehničke, pravne i administrativne zahtjeve za provedbu energetske obnove. Zbog neiskustva korisnika te manjka povjerenja prema projektantima i izvođačima radova nužna je institucija koja će premostiti informacijski jaz i pratiti korisnike od početne do završne faze energetske obnove zgrada. Drugi značajan problem nalazi se u manjku stalno raspoloživog potpornog financijskog mehanizma koji bi omogućio povoljnije (su)financiranje energetske obnove. Dosadašnji državni potporni programi obnove, usprkos vrlo visokoj potražnji, nisu riješili ovaj problem već su dapače značajno cjenovno iskrivili tržište te </w:t>
      </w:r>
      <w:r w:rsidR="002E54E1" w:rsidRPr="00B357F4">
        <w:rPr>
          <w:lang w:eastAsia="hr-HR"/>
        </w:rPr>
        <w:t xml:space="preserve">unijeli </w:t>
      </w:r>
      <w:r w:rsidRPr="00B357F4">
        <w:rPr>
          <w:lang w:eastAsia="hr-HR"/>
        </w:rPr>
        <w:t xml:space="preserve">neizvjesnost oko raspoloživosti potpora među korisnike i izvođače radova. Glavna ideja integrirane usluge energetske obnove jest spojiti ponudu i potražnju na način da se pruži stalno raspoloživa i kvalitetna uslugu krajnjim korisnicima uz što manje administrativnih prepreka, a izvođačima usluga osigura konstantna potražnje za njihovim uslugama. </w:t>
      </w:r>
    </w:p>
    <w:p w14:paraId="3CECA96B" w14:textId="77777777" w:rsidR="00C66637" w:rsidRPr="00B357F4" w:rsidRDefault="00C66637" w:rsidP="00C66637">
      <w:pPr>
        <w:rPr>
          <w:lang w:eastAsia="hr-HR"/>
        </w:rPr>
      </w:pPr>
      <w:r w:rsidRPr="00B357F4">
        <w:rPr>
          <w:lang w:eastAsia="hr-HR"/>
        </w:rPr>
        <w:t>Integrirana usluga energetske obnove može obuhvatiti razne faze provedbe energetskih projekata od kojih su tri ključne:</w:t>
      </w:r>
    </w:p>
    <w:tbl>
      <w:tblPr>
        <w:tblStyle w:val="Svijetlatablicareetke110"/>
        <w:tblW w:w="5000" w:type="pct"/>
        <w:tblLayout w:type="fixed"/>
        <w:tblLook w:val="0420" w:firstRow="1" w:lastRow="0" w:firstColumn="0" w:lastColumn="0" w:noHBand="0" w:noVBand="1"/>
      </w:tblPr>
      <w:tblGrid>
        <w:gridCol w:w="3115"/>
        <w:gridCol w:w="3115"/>
        <w:gridCol w:w="3114"/>
      </w:tblGrid>
      <w:tr w:rsidR="00B131D3" w:rsidRPr="00C458B3" w14:paraId="4E0DEFFF" w14:textId="77777777" w:rsidTr="00C300D1">
        <w:trPr>
          <w:cnfStyle w:val="100000000000" w:firstRow="1" w:lastRow="0" w:firstColumn="0" w:lastColumn="0" w:oddVBand="0" w:evenVBand="0" w:oddHBand="0" w:evenHBand="0" w:firstRowFirstColumn="0" w:firstRowLastColumn="0" w:lastRowFirstColumn="0" w:lastRowLastColumn="0"/>
          <w:trHeight w:val="315"/>
        </w:trPr>
        <w:tc>
          <w:tcPr>
            <w:tcW w:w="0" w:type="pct"/>
            <w:hideMark/>
          </w:tcPr>
          <w:p w14:paraId="4737C1F0" w14:textId="64D88B2D" w:rsidR="00C458B3" w:rsidRPr="00C300D1" w:rsidRDefault="00C458B3" w:rsidP="00C300D1">
            <w:pPr>
              <w:spacing w:before="0" w:after="0"/>
              <w:jc w:val="left"/>
              <w:rPr>
                <w:rFonts w:cs="Tahoma"/>
                <w:color w:val="000000"/>
                <w:szCs w:val="20"/>
                <w:lang w:eastAsia="hr-HR"/>
              </w:rPr>
            </w:pPr>
            <w:r w:rsidRPr="00C300D1">
              <w:rPr>
                <w:rFonts w:cs="Tahoma"/>
                <w:color w:val="000000"/>
                <w:szCs w:val="20"/>
                <w:lang w:eastAsia="hr-HR"/>
              </w:rPr>
              <w:t>Pripremne aktivnosti</w:t>
            </w:r>
          </w:p>
        </w:tc>
        <w:tc>
          <w:tcPr>
            <w:tcW w:w="0" w:type="pct"/>
            <w:hideMark/>
          </w:tcPr>
          <w:p w14:paraId="4117F24C" w14:textId="0553BB0C" w:rsidR="00C458B3" w:rsidRPr="00C300D1" w:rsidRDefault="00C458B3" w:rsidP="00C300D1">
            <w:pPr>
              <w:spacing w:before="0" w:after="0"/>
              <w:jc w:val="left"/>
              <w:rPr>
                <w:rFonts w:cs="Tahoma"/>
                <w:color w:val="000000"/>
                <w:szCs w:val="20"/>
                <w:lang w:eastAsia="hr-HR"/>
              </w:rPr>
            </w:pPr>
            <w:r w:rsidRPr="00C300D1">
              <w:rPr>
                <w:rFonts w:cs="Tahoma"/>
                <w:color w:val="000000"/>
                <w:szCs w:val="20"/>
                <w:lang w:eastAsia="hr-HR"/>
              </w:rPr>
              <w:t>Provedbene aktivnosti</w:t>
            </w:r>
          </w:p>
        </w:tc>
        <w:tc>
          <w:tcPr>
            <w:tcW w:w="0" w:type="pct"/>
            <w:hideMark/>
          </w:tcPr>
          <w:p w14:paraId="4EB72CD8" w14:textId="324F77AC" w:rsidR="00C458B3" w:rsidRPr="00C300D1" w:rsidRDefault="00C458B3" w:rsidP="00C300D1">
            <w:pPr>
              <w:spacing w:before="0" w:after="0"/>
              <w:jc w:val="left"/>
              <w:rPr>
                <w:rFonts w:cs="Tahoma"/>
                <w:color w:val="000000"/>
                <w:szCs w:val="20"/>
                <w:lang w:eastAsia="hr-HR"/>
              </w:rPr>
            </w:pPr>
            <w:r w:rsidRPr="00C300D1">
              <w:rPr>
                <w:rFonts w:cs="Tahoma"/>
                <w:color w:val="000000"/>
                <w:szCs w:val="20"/>
                <w:lang w:eastAsia="hr-HR"/>
              </w:rPr>
              <w:t>Praćenje/vođenje investicije</w:t>
            </w:r>
          </w:p>
        </w:tc>
      </w:tr>
      <w:tr w:rsidR="00B131D3" w:rsidRPr="00C458B3" w14:paraId="17852495" w14:textId="77777777" w:rsidTr="00C300D1">
        <w:trPr>
          <w:trHeight w:val="330"/>
        </w:trPr>
        <w:tc>
          <w:tcPr>
            <w:tcW w:w="0" w:type="pct"/>
            <w:vAlign w:val="center"/>
            <w:hideMark/>
          </w:tcPr>
          <w:p w14:paraId="658C9253" w14:textId="5151CC64" w:rsidR="00256F06" w:rsidRDefault="00DE1AB2" w:rsidP="00C300D1">
            <w:pPr>
              <w:pStyle w:val="Odlomakpopisa"/>
              <w:numPr>
                <w:ilvl w:val="0"/>
                <w:numId w:val="91"/>
              </w:numPr>
              <w:spacing w:before="0" w:after="0"/>
              <w:ind w:left="454"/>
              <w:jc w:val="left"/>
              <w:rPr>
                <w:rFonts w:cs="Tahoma"/>
                <w:color w:val="000000"/>
                <w:szCs w:val="20"/>
              </w:rPr>
            </w:pPr>
            <w:r>
              <w:rPr>
                <w:rFonts w:cs="Tahoma"/>
                <w:color w:val="000000"/>
                <w:szCs w:val="20"/>
              </w:rPr>
              <w:t>Edukacija (radionice za korisnike)</w:t>
            </w:r>
          </w:p>
          <w:p w14:paraId="3275AFC7" w14:textId="64387926"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 xml:space="preserve">Tehnički (energetski) pregled </w:t>
            </w:r>
          </w:p>
          <w:p w14:paraId="67E52B46" w14:textId="3CDD1640"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Energetsko savjetovanje</w:t>
            </w:r>
          </w:p>
          <w:p w14:paraId="5DBA0F4B" w14:textId="480D1D1E"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Izrada financijskog plana</w:t>
            </w:r>
          </w:p>
          <w:p w14:paraId="27EDAA99" w14:textId="3E084029"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Izrada projektne dokumentacije</w:t>
            </w:r>
          </w:p>
        </w:tc>
        <w:tc>
          <w:tcPr>
            <w:tcW w:w="0" w:type="pct"/>
            <w:vAlign w:val="center"/>
            <w:hideMark/>
          </w:tcPr>
          <w:p w14:paraId="6C53B199" w14:textId="77777777" w:rsidR="00C458B3" w:rsidRPr="00C300D1" w:rsidRDefault="00C458B3" w:rsidP="00C300D1">
            <w:pPr>
              <w:pStyle w:val="Odlomakpopisa"/>
              <w:numPr>
                <w:ilvl w:val="0"/>
                <w:numId w:val="91"/>
              </w:numPr>
              <w:spacing w:before="0" w:after="0"/>
              <w:ind w:left="418"/>
              <w:jc w:val="left"/>
              <w:rPr>
                <w:rFonts w:cs="Tahoma"/>
                <w:color w:val="000000"/>
                <w:szCs w:val="20"/>
              </w:rPr>
            </w:pPr>
            <w:r w:rsidRPr="00C300D1">
              <w:rPr>
                <w:rFonts w:cs="Tahoma"/>
                <w:color w:val="000000"/>
                <w:szCs w:val="20"/>
              </w:rPr>
              <w:t>(Su)financiranje projekta</w:t>
            </w:r>
          </w:p>
          <w:p w14:paraId="61D119F7" w14:textId="113E9EAF" w:rsidR="00C458B3" w:rsidRPr="00C300D1" w:rsidRDefault="00C458B3" w:rsidP="00C300D1">
            <w:pPr>
              <w:pStyle w:val="Odlomakpopisa"/>
              <w:numPr>
                <w:ilvl w:val="0"/>
                <w:numId w:val="91"/>
              </w:numPr>
              <w:spacing w:before="0" w:after="0"/>
              <w:ind w:left="418"/>
              <w:jc w:val="left"/>
              <w:rPr>
                <w:rFonts w:cs="Tahoma"/>
                <w:color w:val="000000"/>
                <w:szCs w:val="20"/>
              </w:rPr>
            </w:pPr>
            <w:r w:rsidRPr="00C300D1">
              <w:rPr>
                <w:rFonts w:cs="Tahoma"/>
                <w:color w:val="000000"/>
                <w:szCs w:val="20"/>
              </w:rPr>
              <w:t>Ugovaranje radova</w:t>
            </w:r>
          </w:p>
          <w:p w14:paraId="63B67E8E" w14:textId="3011B47E" w:rsidR="00C458B3" w:rsidRPr="00C300D1" w:rsidRDefault="00C458B3" w:rsidP="00C300D1">
            <w:pPr>
              <w:pStyle w:val="Odlomakpopisa"/>
              <w:numPr>
                <w:ilvl w:val="0"/>
                <w:numId w:val="91"/>
              </w:numPr>
              <w:spacing w:before="0" w:after="0"/>
              <w:ind w:left="418"/>
              <w:jc w:val="left"/>
              <w:rPr>
                <w:rFonts w:cs="Tahoma"/>
                <w:color w:val="000000"/>
                <w:szCs w:val="20"/>
              </w:rPr>
            </w:pPr>
            <w:r w:rsidRPr="00C300D1">
              <w:rPr>
                <w:rFonts w:cs="Tahoma"/>
                <w:color w:val="000000"/>
                <w:szCs w:val="20"/>
              </w:rPr>
              <w:t>Praćenje izvođenja radova (nadzor) i osiguranje kvalitete</w:t>
            </w:r>
          </w:p>
        </w:tc>
        <w:tc>
          <w:tcPr>
            <w:tcW w:w="0" w:type="pct"/>
            <w:vAlign w:val="center"/>
            <w:hideMark/>
          </w:tcPr>
          <w:p w14:paraId="171FE251" w14:textId="77777777" w:rsidR="00C458B3" w:rsidRPr="00C300D1" w:rsidRDefault="00C458B3" w:rsidP="00C300D1">
            <w:pPr>
              <w:pStyle w:val="Odlomakpopisa"/>
              <w:numPr>
                <w:ilvl w:val="0"/>
                <w:numId w:val="91"/>
              </w:numPr>
              <w:spacing w:before="0" w:after="0"/>
              <w:ind w:left="443"/>
              <w:jc w:val="left"/>
              <w:rPr>
                <w:rFonts w:cs="Tahoma"/>
                <w:color w:val="000000"/>
                <w:szCs w:val="20"/>
              </w:rPr>
            </w:pPr>
            <w:r w:rsidRPr="00C300D1">
              <w:rPr>
                <w:rFonts w:cs="Tahoma"/>
                <w:color w:val="000000"/>
                <w:szCs w:val="20"/>
              </w:rPr>
              <w:t xml:space="preserve">Praćenje potrošnje energije </w:t>
            </w:r>
          </w:p>
          <w:p w14:paraId="6B21F8A8" w14:textId="43B9F7F8" w:rsidR="00C458B3" w:rsidRPr="00C300D1" w:rsidRDefault="00C458B3" w:rsidP="00C300D1">
            <w:pPr>
              <w:pStyle w:val="Odlomakpopisa"/>
              <w:numPr>
                <w:ilvl w:val="0"/>
                <w:numId w:val="91"/>
              </w:numPr>
              <w:spacing w:before="0" w:after="0"/>
              <w:ind w:left="443"/>
              <w:jc w:val="left"/>
              <w:rPr>
                <w:rFonts w:cs="Tahoma"/>
                <w:color w:val="000000"/>
                <w:szCs w:val="20"/>
              </w:rPr>
            </w:pPr>
            <w:r w:rsidRPr="00C300D1">
              <w:rPr>
                <w:rFonts w:cs="Tahoma"/>
                <w:color w:val="000000"/>
                <w:szCs w:val="20"/>
              </w:rPr>
              <w:t>Praćenje</w:t>
            </w:r>
            <w:r>
              <w:rPr>
                <w:rFonts w:cs="Tahoma"/>
                <w:color w:val="000000"/>
                <w:szCs w:val="20"/>
              </w:rPr>
              <w:t xml:space="preserve"> </w:t>
            </w:r>
            <w:r w:rsidRPr="00C300D1">
              <w:rPr>
                <w:rFonts w:cs="Tahoma"/>
                <w:color w:val="000000"/>
                <w:szCs w:val="20"/>
              </w:rPr>
              <w:t>zadovoljstva korisnika</w:t>
            </w:r>
          </w:p>
        </w:tc>
      </w:tr>
    </w:tbl>
    <w:p w14:paraId="254DC39A" w14:textId="393B8367" w:rsidR="00C66637" w:rsidRDefault="00C66637" w:rsidP="00C66637">
      <w:pPr>
        <w:rPr>
          <w:lang w:eastAsia="hr-HR"/>
        </w:rPr>
      </w:pPr>
      <w:r w:rsidRPr="00203A80">
        <w:rPr>
          <w:lang w:eastAsia="hr-HR"/>
        </w:rPr>
        <w:t xml:space="preserve">Na razini </w:t>
      </w:r>
      <w:r w:rsidR="00BF4B63" w:rsidRPr="00AB4B63">
        <w:rPr>
          <w:lang w:eastAsia="hr-HR"/>
        </w:rPr>
        <w:t xml:space="preserve">jedinica regionalne samouprave (ili </w:t>
      </w:r>
      <w:r w:rsidR="005B6939" w:rsidRPr="00971F9E">
        <w:rPr>
          <w:lang w:eastAsia="hr-HR"/>
        </w:rPr>
        <w:t>grupa jedinica regionalne samouprave)</w:t>
      </w:r>
      <w:r w:rsidRPr="00B357F4">
        <w:rPr>
          <w:lang w:eastAsia="hr-HR"/>
        </w:rPr>
        <w:t xml:space="preserve"> moguće je </w:t>
      </w:r>
      <w:r w:rsidR="00385477" w:rsidRPr="00B357F4">
        <w:rPr>
          <w:lang w:eastAsia="hr-HR"/>
        </w:rPr>
        <w:t xml:space="preserve">izraditi </w:t>
      </w:r>
      <w:r w:rsidRPr="00B357F4">
        <w:rPr>
          <w:lang w:eastAsia="hr-HR"/>
        </w:rPr>
        <w:t xml:space="preserve">više </w:t>
      </w:r>
      <w:r w:rsidR="008828EA" w:rsidRPr="00B357F4">
        <w:rPr>
          <w:lang w:eastAsia="hr-HR"/>
        </w:rPr>
        <w:t xml:space="preserve">organizacijskih </w:t>
      </w:r>
      <w:r w:rsidRPr="00B357F4">
        <w:rPr>
          <w:lang w:eastAsia="hr-HR"/>
        </w:rPr>
        <w:t xml:space="preserve">shema </w:t>
      </w:r>
      <w:r w:rsidR="009F146D">
        <w:rPr>
          <w:lang w:eastAsia="hr-HR"/>
        </w:rPr>
        <w:t>OSS-ova</w:t>
      </w:r>
      <w:r w:rsidR="008828EA" w:rsidRPr="00B357F4">
        <w:rPr>
          <w:lang w:eastAsia="hr-HR"/>
        </w:rPr>
        <w:t xml:space="preserve"> </w:t>
      </w:r>
      <w:r w:rsidRPr="006734C7">
        <w:rPr>
          <w:lang w:eastAsia="hr-HR"/>
        </w:rPr>
        <w:t xml:space="preserve">koje </w:t>
      </w:r>
      <w:r w:rsidR="008828EA" w:rsidRPr="00203A80">
        <w:rPr>
          <w:lang w:eastAsia="hr-HR"/>
        </w:rPr>
        <w:t xml:space="preserve">bi zadovoljile potrebe </w:t>
      </w:r>
      <w:r w:rsidR="008828EA" w:rsidRPr="00AB4B63">
        <w:rPr>
          <w:lang w:eastAsia="hr-HR"/>
        </w:rPr>
        <w:t>korisnika na tom području na najefikasniji način</w:t>
      </w:r>
      <w:r w:rsidR="00DF47F0" w:rsidRPr="00971F9E">
        <w:rPr>
          <w:lang w:eastAsia="hr-HR"/>
        </w:rPr>
        <w:t xml:space="preserve">. </w:t>
      </w:r>
      <w:r w:rsidR="00672900" w:rsidRPr="00B357F4">
        <w:rPr>
          <w:lang w:eastAsia="hr-HR"/>
        </w:rPr>
        <w:t xml:space="preserve">Ovo je posebno važno u kontekstu sveobuhvatne obnove gdje </w:t>
      </w:r>
      <w:r w:rsidR="00420EAB" w:rsidRPr="00B357F4">
        <w:rPr>
          <w:lang w:eastAsia="hr-HR"/>
        </w:rPr>
        <w:t xml:space="preserve">u različitim dijelovima Hrvatske fondovi zgrada imaju različite potrebe pogotovo u pogledu protupotresne </w:t>
      </w:r>
      <w:r w:rsidR="578F49F7" w:rsidRPr="00B357F4">
        <w:rPr>
          <w:lang w:eastAsia="hr-HR"/>
        </w:rPr>
        <w:t>otpornosti zgrada</w:t>
      </w:r>
      <w:r w:rsidR="00420EAB" w:rsidRPr="00B357F4">
        <w:rPr>
          <w:lang w:eastAsia="hr-HR"/>
        </w:rPr>
        <w:t xml:space="preserve"> i </w:t>
      </w:r>
      <w:r w:rsidR="0690C8EE" w:rsidRPr="00B357F4">
        <w:rPr>
          <w:lang w:eastAsia="hr-HR"/>
        </w:rPr>
        <w:t>pojačanja konstrukcije</w:t>
      </w:r>
      <w:r w:rsidR="00857974" w:rsidRPr="00B357F4">
        <w:rPr>
          <w:lang w:eastAsia="hr-HR"/>
        </w:rPr>
        <w:t xml:space="preserve">. Također, </w:t>
      </w:r>
      <w:r w:rsidR="009F146D">
        <w:rPr>
          <w:lang w:eastAsia="hr-HR"/>
        </w:rPr>
        <w:t>OSS-ovi</w:t>
      </w:r>
      <w:r w:rsidR="00857974" w:rsidRPr="00B357F4">
        <w:rPr>
          <w:lang w:eastAsia="hr-HR"/>
        </w:rPr>
        <w:t xml:space="preserve"> </w:t>
      </w:r>
      <w:r w:rsidR="00A32188" w:rsidRPr="00B357F4">
        <w:rPr>
          <w:lang w:eastAsia="hr-HR"/>
        </w:rPr>
        <w:t xml:space="preserve">za područje </w:t>
      </w:r>
      <w:r w:rsidR="00625D3E" w:rsidRPr="00B357F4">
        <w:rPr>
          <w:lang w:eastAsia="hr-HR"/>
        </w:rPr>
        <w:t xml:space="preserve">Grada Zagreba, Krapinsko-zagorske županije, Zagrebačke županije, Sisačko-moslavačke županije i Karlovačke županije omogućili bi korisnicima </w:t>
      </w:r>
      <w:r w:rsidR="00630F62" w:rsidRPr="00B357F4">
        <w:rPr>
          <w:lang w:eastAsia="hr-HR"/>
        </w:rPr>
        <w:t>lakšu i jednostavniju pripremu projekata koji kombiniraju sredstva FS</w:t>
      </w:r>
      <w:r w:rsidR="00A17A21">
        <w:rPr>
          <w:lang w:eastAsia="hr-HR"/>
        </w:rPr>
        <w:t>EU</w:t>
      </w:r>
      <w:r w:rsidR="006064E1">
        <w:rPr>
          <w:lang w:eastAsia="hr-HR"/>
        </w:rPr>
        <w:t>-</w:t>
      </w:r>
      <w:r w:rsidR="00630F62" w:rsidRPr="00B357F4">
        <w:rPr>
          <w:lang w:eastAsia="hr-HR"/>
        </w:rPr>
        <w:t>a i NPOO</w:t>
      </w:r>
      <w:r w:rsidR="006064E1">
        <w:rPr>
          <w:lang w:eastAsia="hr-HR"/>
        </w:rPr>
        <w:t>-</w:t>
      </w:r>
      <w:r w:rsidR="00630F62" w:rsidRPr="00B357F4">
        <w:rPr>
          <w:lang w:eastAsia="hr-HR"/>
        </w:rPr>
        <w:t>a.</w:t>
      </w:r>
      <w:r w:rsidR="00A32188" w:rsidRPr="00B357F4">
        <w:rPr>
          <w:lang w:eastAsia="hr-HR"/>
        </w:rPr>
        <w:t xml:space="preserve"> </w:t>
      </w:r>
    </w:p>
    <w:p w14:paraId="37490578" w14:textId="0934749D" w:rsidR="000D334C" w:rsidRPr="00B357F4" w:rsidRDefault="000D334C" w:rsidP="000D334C">
      <w:pPr>
        <w:rPr>
          <w:b/>
          <w:lang w:eastAsia="hr-HR"/>
        </w:rPr>
      </w:pPr>
      <w:r>
        <w:rPr>
          <w:b/>
          <w:lang w:eastAsia="hr-HR"/>
        </w:rPr>
        <w:t>Uloga One-Stop-Shopa</w:t>
      </w:r>
    </w:p>
    <w:p w14:paraId="2E72930B" w14:textId="29182A1A" w:rsidR="004349A5" w:rsidRPr="00B357F4" w:rsidRDefault="004349A5" w:rsidP="35396A93">
      <w:pPr>
        <w:rPr>
          <w:lang w:eastAsia="hr-HR"/>
        </w:rPr>
      </w:pPr>
      <w:r w:rsidRPr="00920889">
        <w:rPr>
          <w:lang w:eastAsia="hr-HR"/>
        </w:rPr>
        <w:t xml:space="preserve">OSS-ovi bi imali ulogu centralnog mjesta </w:t>
      </w:r>
      <w:r w:rsidR="00816446" w:rsidRPr="00920889">
        <w:rPr>
          <w:lang w:eastAsia="hr-HR"/>
        </w:rPr>
        <w:t>gdje bi</w:t>
      </w:r>
      <w:r w:rsidR="00C14AD0" w:rsidRPr="00920889">
        <w:rPr>
          <w:lang w:eastAsia="hr-HR"/>
        </w:rPr>
        <w:t xml:space="preserve"> se</w:t>
      </w:r>
      <w:r w:rsidR="00816446" w:rsidRPr="00920889">
        <w:rPr>
          <w:lang w:eastAsia="hr-HR"/>
        </w:rPr>
        <w:t xml:space="preserve"> korisnici </w:t>
      </w:r>
      <w:r w:rsidR="00797FA6" w:rsidRPr="00920889">
        <w:rPr>
          <w:lang w:eastAsia="hr-HR"/>
        </w:rPr>
        <w:t xml:space="preserve">informirali o mogućnostima energetske obnove građevina u svojem vlasništvu </w:t>
      </w:r>
      <w:r w:rsidR="00056CB0" w:rsidRPr="00920889">
        <w:rPr>
          <w:lang w:eastAsia="hr-HR"/>
        </w:rPr>
        <w:t>te gdje bi</w:t>
      </w:r>
      <w:r w:rsidR="00797FA6" w:rsidRPr="00920889">
        <w:rPr>
          <w:lang w:eastAsia="hr-HR"/>
        </w:rPr>
        <w:t xml:space="preserve"> </w:t>
      </w:r>
      <w:r w:rsidR="00816446" w:rsidRPr="00920889">
        <w:rPr>
          <w:lang w:eastAsia="hr-HR"/>
        </w:rPr>
        <w:t>prijavljivali</w:t>
      </w:r>
      <w:r w:rsidR="009513C7" w:rsidRPr="00920889">
        <w:rPr>
          <w:lang w:eastAsia="hr-HR"/>
        </w:rPr>
        <w:t xml:space="preserve"> i nominirali</w:t>
      </w:r>
      <w:r w:rsidR="00816446" w:rsidRPr="00920889">
        <w:rPr>
          <w:lang w:eastAsia="hr-HR"/>
        </w:rPr>
        <w:t xml:space="preserve"> svoje projekte</w:t>
      </w:r>
      <w:r w:rsidR="009513C7" w:rsidRPr="00920889">
        <w:rPr>
          <w:lang w:eastAsia="hr-HR"/>
        </w:rPr>
        <w:t xml:space="preserve">. OSS bi nadalje </w:t>
      </w:r>
      <w:r w:rsidR="00C77574" w:rsidRPr="00920889">
        <w:rPr>
          <w:lang w:eastAsia="hr-HR"/>
        </w:rPr>
        <w:t xml:space="preserve">proveo preliminarne analize te prezentirao korisnicima </w:t>
      </w:r>
      <w:r w:rsidR="00E608E8" w:rsidRPr="00920889">
        <w:rPr>
          <w:lang w:eastAsia="hr-HR"/>
        </w:rPr>
        <w:t>mogućnosti</w:t>
      </w:r>
      <w:r w:rsidR="4864553F" w:rsidRPr="00920889">
        <w:rPr>
          <w:lang w:eastAsia="hr-HR"/>
        </w:rPr>
        <w:t xml:space="preserve"> i modele</w:t>
      </w:r>
      <w:r w:rsidR="00E608E8" w:rsidRPr="00920889">
        <w:rPr>
          <w:lang w:eastAsia="hr-HR"/>
        </w:rPr>
        <w:t xml:space="preserve"> realizacije.</w:t>
      </w:r>
      <w:r w:rsidR="70C5E275" w:rsidRPr="00920889">
        <w:rPr>
          <w:lang w:eastAsia="hr-HR"/>
        </w:rPr>
        <w:t xml:space="preserve">. </w:t>
      </w:r>
    </w:p>
    <w:p w14:paraId="7ADD5CF8" w14:textId="179EED62" w:rsidR="005D3D7D" w:rsidRDefault="005D3D7D" w:rsidP="35396A93">
      <w:pPr>
        <w:rPr>
          <w:lang w:eastAsia="hr-HR"/>
        </w:rPr>
      </w:pPr>
      <w:r>
        <w:rPr>
          <w:lang w:eastAsia="hr-HR"/>
        </w:rPr>
        <w:t xml:space="preserve">U fazi praćenja OSS bi imao ulogu praćenja ostvarenih rezultata </w:t>
      </w:r>
      <w:r w:rsidR="00B545AE">
        <w:rPr>
          <w:lang w:eastAsia="hr-HR"/>
        </w:rPr>
        <w:t>sa aspekta zadovoljstva korisnika projektima energetske obnove zgrada te sa aspekta praćenja ostvarenih energetskih ušteda</w:t>
      </w:r>
      <w:r w:rsidR="00EA6A9E">
        <w:rPr>
          <w:lang w:eastAsia="hr-HR"/>
        </w:rPr>
        <w:t xml:space="preserve">. U ovom dijelu, OSS bi </w:t>
      </w:r>
      <w:r w:rsidR="00CC224E">
        <w:rPr>
          <w:lang w:eastAsia="hr-HR"/>
        </w:rPr>
        <w:t>koristio stečena iskustva k</w:t>
      </w:r>
      <w:r w:rsidR="00311453">
        <w:rPr>
          <w:lang w:eastAsia="hr-HR"/>
        </w:rPr>
        <w:t xml:space="preserve">ako bi kontinuirano podizao kvalitetu </w:t>
      </w:r>
      <w:r w:rsidR="00485A9D">
        <w:rPr>
          <w:lang w:eastAsia="hr-HR"/>
        </w:rPr>
        <w:t xml:space="preserve">u pripremi i provedbi projekta </w:t>
      </w:r>
      <w:r w:rsidR="00485A9D">
        <w:rPr>
          <w:lang w:eastAsia="hr-HR"/>
        </w:rPr>
        <w:lastRenderedPageBreak/>
        <w:t xml:space="preserve">odnosno kako bi implementirao stečena iskustva kroz razvoj </w:t>
      </w:r>
      <w:r w:rsidR="00840D2E">
        <w:rPr>
          <w:lang w:eastAsia="hr-HR"/>
        </w:rPr>
        <w:t xml:space="preserve">standardne dokumentacije i </w:t>
      </w:r>
      <w:r w:rsidR="00846BFD">
        <w:rPr>
          <w:lang w:eastAsia="hr-HR"/>
        </w:rPr>
        <w:t>unaprjeđenje procesa praćenja provedbe projekata.</w:t>
      </w:r>
      <w:r w:rsidR="00311453">
        <w:rPr>
          <w:lang w:eastAsia="hr-HR"/>
        </w:rPr>
        <w:t xml:space="preserve"> </w:t>
      </w:r>
      <w:r w:rsidR="00B545AE">
        <w:rPr>
          <w:lang w:eastAsia="hr-HR"/>
        </w:rPr>
        <w:t xml:space="preserve"> </w:t>
      </w:r>
    </w:p>
    <w:p w14:paraId="3B3DB46B" w14:textId="5BB54EE3" w:rsidR="00C66637" w:rsidRPr="006734C7" w:rsidRDefault="00C66637" w:rsidP="00522E47">
      <w:pPr>
        <w:rPr>
          <w:lang w:eastAsia="hr-HR"/>
        </w:rPr>
      </w:pPr>
    </w:p>
    <w:p w14:paraId="2D949CC6" w14:textId="662F451E" w:rsidR="00AF018F" w:rsidRPr="00B357F4" w:rsidRDefault="1554EE58" w:rsidP="00920889">
      <w:pPr>
        <w:pStyle w:val="Naslov10"/>
      </w:pPr>
      <w:bookmarkStart w:id="129" w:name="_Toc94770008"/>
      <w:bookmarkStart w:id="130" w:name="_Toc94770009"/>
      <w:bookmarkStart w:id="131" w:name="_Toc94770010"/>
      <w:bookmarkStart w:id="132" w:name="_Toc94770011"/>
      <w:bookmarkStart w:id="133" w:name="_Toc94770012"/>
      <w:bookmarkStart w:id="134" w:name="_Toc94770013"/>
      <w:bookmarkStart w:id="135" w:name="_Toc94770014"/>
      <w:bookmarkStart w:id="136" w:name="_Toc94770015"/>
      <w:bookmarkStart w:id="137" w:name="_Toc94770016"/>
      <w:bookmarkStart w:id="138" w:name="_Toc94770017"/>
      <w:bookmarkStart w:id="139" w:name="_Toc94770018"/>
      <w:bookmarkStart w:id="140" w:name="_Toc94770019"/>
      <w:bookmarkStart w:id="141" w:name="_Toc94770020"/>
      <w:bookmarkStart w:id="142" w:name="_Toc94770021"/>
      <w:bookmarkStart w:id="143" w:name="_Toc94770022"/>
      <w:bookmarkStart w:id="144" w:name="_Toc94770023"/>
      <w:bookmarkStart w:id="145" w:name="_Toc94770024"/>
      <w:bookmarkStart w:id="146" w:name="_Toc94770025"/>
      <w:bookmarkStart w:id="147" w:name="_Ref86238392"/>
      <w:bookmarkStart w:id="148" w:name="_Ref86238402"/>
      <w:bookmarkStart w:id="149" w:name="_Ref86238415"/>
      <w:bookmarkStart w:id="150" w:name="_Ref86238427"/>
      <w:bookmarkStart w:id="151" w:name="_Toc94770026"/>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B357F4">
        <w:lastRenderedPageBreak/>
        <w:t>Financijska analiza</w:t>
      </w:r>
      <w:bookmarkEnd w:id="147"/>
      <w:bookmarkEnd w:id="148"/>
      <w:bookmarkEnd w:id="149"/>
      <w:bookmarkEnd w:id="150"/>
      <w:bookmarkEnd w:id="151"/>
    </w:p>
    <w:p w14:paraId="6666229A" w14:textId="77777777" w:rsidR="00492F0C" w:rsidRPr="00B357F4" w:rsidRDefault="70D1CD6D" w:rsidP="00492F0C">
      <w:pPr>
        <w:pStyle w:val="Naslov20"/>
      </w:pPr>
      <w:bookmarkStart w:id="152" w:name="_Toc94770027"/>
      <w:r w:rsidRPr="00B357F4">
        <w:t>Analiza potrebnih investicija i utvrđivanje financijskog jaza</w:t>
      </w:r>
      <w:bookmarkEnd w:id="152"/>
    </w:p>
    <w:p w14:paraId="5B0B52BB" w14:textId="028D8FF8" w:rsidR="00557638" w:rsidRPr="00B357F4" w:rsidRDefault="4D843F27" w:rsidP="00557638">
      <w:r w:rsidRPr="00B357F4">
        <w:t xml:space="preserve">Investicija potrebna za postizanje nacionalnih ciljeva određena je prema ukupnoj površini zgrada javnog sektora, planiranoj stopi obnove fonda zgrada te podacima iz </w:t>
      </w:r>
      <w:bookmarkStart w:id="153" w:name="_Hlk79402064"/>
      <w:r w:rsidRPr="00B357F4">
        <w:t>Dugoročne strategije obnove nacionalnog fonda zgrada do 2050. godine</w:t>
      </w:r>
      <w:bookmarkEnd w:id="153"/>
      <w:r w:rsidRPr="00B357F4">
        <w:t>, gdje je prosječni investicijski trošak energetske obnove nestambenih zgrada izračunat korištenjem vrijednosti pretpostavljenih cijena obnove do nZEB standarda</w:t>
      </w:r>
      <w:r w:rsidR="637A43E8" w:rsidRPr="00B357F4">
        <w:t xml:space="preserve"> za rekonstrukciju</w:t>
      </w:r>
      <w:r w:rsidRPr="00B357F4">
        <w:t xml:space="preserve">, troškova </w:t>
      </w:r>
      <w:r w:rsidR="02F08DC0" w:rsidRPr="00B357F4">
        <w:t>konstrukcijske obnove</w:t>
      </w:r>
      <w:r w:rsidRPr="00B357F4">
        <w:t xml:space="preserve"> te troškova za  mjere </w:t>
      </w:r>
      <w:r w:rsidR="6A76D0F0" w:rsidRPr="00B357F4">
        <w:t>povećanja sigurnosti u slučaju požara.</w:t>
      </w:r>
    </w:p>
    <w:p w14:paraId="1B586C4D" w14:textId="629D175F" w:rsidR="001B7733" w:rsidRDefault="001B7733" w:rsidP="001B7733">
      <w:pPr>
        <w:spacing w:before="0" w:after="160" w:line="259" w:lineRule="auto"/>
      </w:pPr>
      <w:r>
        <w:rPr>
          <w:lang w:eastAsia="hr-HR"/>
        </w:rPr>
        <w:t xml:space="preserve">Za procjenu investicijskih troškova obnove korištene su vrijednosti ciljane površine obnovljenih ZJS koje prikazuje </w:t>
      </w:r>
      <w:r w:rsidRPr="006734C7">
        <w:rPr>
          <w:lang w:eastAsia="hr-HR"/>
        </w:rPr>
        <w:fldChar w:fldCharType="begin"/>
      </w:r>
      <w:r w:rsidRPr="00B357F4">
        <w:rPr>
          <w:lang w:eastAsia="hr-HR"/>
        </w:rPr>
        <w:instrText xml:space="preserve"> REF _Ref86238515 \h </w:instrText>
      </w:r>
      <w:r w:rsidRPr="006734C7">
        <w:rPr>
          <w:lang w:eastAsia="hr-HR"/>
        </w:rPr>
      </w:r>
      <w:r w:rsidRPr="006734C7">
        <w:rPr>
          <w:lang w:eastAsia="hr-HR"/>
        </w:rPr>
        <w:fldChar w:fldCharType="separate"/>
      </w:r>
      <w:r w:rsidR="0023635D" w:rsidRPr="00B357F4">
        <w:t xml:space="preserve">Tablica </w:t>
      </w:r>
      <w:r w:rsidR="0023635D">
        <w:rPr>
          <w:noProof/>
        </w:rPr>
        <w:t>5</w:t>
      </w:r>
      <w:r w:rsidR="0023635D">
        <w:noBreakHyphen/>
      </w:r>
      <w:r w:rsidR="0023635D">
        <w:rPr>
          <w:noProof/>
        </w:rPr>
        <w:t>1</w:t>
      </w:r>
      <w:r w:rsidR="0023635D" w:rsidRPr="003020E6">
        <w:t xml:space="preserve">: </w:t>
      </w:r>
      <w:r w:rsidR="0023635D" w:rsidRPr="006734C7">
        <w:rPr>
          <w:rFonts w:cs="Tahoma"/>
          <w:szCs w:val="16"/>
        </w:rPr>
        <w:t xml:space="preserve">Ciljane obnovljene površine nestambenih zgrada i ZJS za razdoblje od 2021. do 2030 </w:t>
      </w:r>
      <w:r w:rsidR="0023635D" w:rsidRPr="00373352">
        <w:rPr>
          <w:rFonts w:cs="Tahoma"/>
          <w:szCs w:val="16"/>
        </w:rPr>
        <w:t>prema Dugoročnoj strategiji</w:t>
      </w:r>
      <w:r w:rsidRPr="006734C7">
        <w:rPr>
          <w:lang w:eastAsia="hr-HR"/>
        </w:rPr>
        <w:fldChar w:fldCharType="end"/>
      </w:r>
      <w:r w:rsidRPr="00D7774F">
        <w:rPr>
          <w:lang w:eastAsia="hr-HR"/>
        </w:rPr>
        <w:t xml:space="preserve"> </w:t>
      </w:r>
      <w:r w:rsidRPr="00B357F4">
        <w:rPr>
          <w:lang w:eastAsia="hr-HR"/>
        </w:rPr>
        <w:t xml:space="preserve">u poglavlju </w:t>
      </w:r>
      <w:r w:rsidRPr="00B95E4F">
        <w:rPr>
          <w:lang w:eastAsia="hr-HR"/>
        </w:rPr>
        <w:fldChar w:fldCharType="begin"/>
      </w:r>
      <w:r w:rsidRPr="00B357F4">
        <w:rPr>
          <w:lang w:eastAsia="hr-HR"/>
        </w:rPr>
        <w:instrText xml:space="preserve"> REF _Ref86238567 \r \h </w:instrText>
      </w:r>
      <w:r w:rsidRPr="00B95E4F">
        <w:rPr>
          <w:lang w:eastAsia="hr-HR"/>
        </w:rPr>
      </w:r>
      <w:r w:rsidRPr="00B95E4F">
        <w:rPr>
          <w:lang w:eastAsia="hr-HR"/>
        </w:rPr>
        <w:fldChar w:fldCharType="separate"/>
      </w:r>
      <w:r w:rsidR="0023635D">
        <w:rPr>
          <w:lang w:eastAsia="hr-HR"/>
        </w:rPr>
        <w:t>5.2</w:t>
      </w:r>
      <w:r w:rsidRPr="00B95E4F">
        <w:rPr>
          <w:lang w:eastAsia="hr-HR"/>
        </w:rPr>
        <w:fldChar w:fldCharType="end"/>
      </w:r>
      <w:r w:rsidRPr="00B357F4">
        <w:rPr>
          <w:lang w:eastAsia="hr-HR"/>
        </w:rPr>
        <w:t>.</w:t>
      </w:r>
      <w:r>
        <w:rPr>
          <w:lang w:eastAsia="hr-HR"/>
        </w:rPr>
        <w:t xml:space="preserve"> te </w:t>
      </w:r>
      <w:r w:rsidRPr="008D5514">
        <w:rPr>
          <w:lang w:eastAsia="hr-HR"/>
        </w:rPr>
        <w:t>proc</w:t>
      </w:r>
      <w:r>
        <w:rPr>
          <w:lang w:eastAsia="hr-HR"/>
        </w:rPr>
        <w:t xml:space="preserve">ijenjeni jedinični troškovi različitih kategorija obnove koji su navedeni u poglavlju </w:t>
      </w:r>
      <w:r w:rsidR="00ED593C">
        <w:rPr>
          <w:lang w:eastAsia="hr-HR"/>
        </w:rPr>
        <w:fldChar w:fldCharType="begin"/>
      </w:r>
      <w:r w:rsidR="00ED593C">
        <w:rPr>
          <w:lang w:eastAsia="hr-HR"/>
        </w:rPr>
        <w:instrText xml:space="preserve"> REF _Ref87357325 \r \h </w:instrText>
      </w:r>
      <w:r w:rsidR="00ED593C">
        <w:rPr>
          <w:lang w:eastAsia="hr-HR"/>
        </w:rPr>
      </w:r>
      <w:r w:rsidR="00ED593C">
        <w:rPr>
          <w:lang w:eastAsia="hr-HR"/>
        </w:rPr>
        <w:fldChar w:fldCharType="separate"/>
      </w:r>
      <w:r w:rsidR="0023635D">
        <w:rPr>
          <w:lang w:eastAsia="hr-HR"/>
        </w:rPr>
        <w:t>6.2</w:t>
      </w:r>
      <w:r w:rsidR="00ED593C">
        <w:rPr>
          <w:lang w:eastAsia="hr-HR"/>
        </w:rPr>
        <w:fldChar w:fldCharType="end"/>
      </w:r>
      <w:r>
        <w:rPr>
          <w:lang w:eastAsia="hr-HR"/>
        </w:rPr>
        <w:t xml:space="preserve">. </w:t>
      </w:r>
    </w:p>
    <w:p w14:paraId="2A3F7961" w14:textId="1E25F639" w:rsidR="001B7733" w:rsidRDefault="001B7733" w:rsidP="001B7733">
      <w:pPr>
        <w:spacing w:before="0" w:after="160" w:line="259" w:lineRule="auto"/>
      </w:pPr>
      <w:r>
        <w:t>U skladu s NPOO, pretpostavlja se da će v</w:t>
      </w:r>
      <w:r w:rsidRPr="008D5514">
        <w:t>isoki investicijski troškov</w:t>
      </w:r>
      <w:r>
        <w:t>i za dubinsku i sveobuhvatnu obnovu ZJS</w:t>
      </w:r>
      <w:r w:rsidRPr="008D5514">
        <w:t xml:space="preserve"> </w:t>
      </w:r>
      <w:r>
        <w:t>utjecati na smanjen udjel ZJS obnovljenih u okviru tih kategorija te se</w:t>
      </w:r>
      <w:r w:rsidRPr="008D5514">
        <w:t xml:space="preserve"> </w:t>
      </w:r>
      <w:r>
        <w:t xml:space="preserve">za većinu ZJS </w:t>
      </w:r>
      <w:r w:rsidRPr="008D5514">
        <w:t xml:space="preserve">očekuje </w:t>
      </w:r>
      <w:r>
        <w:t>provođenje</w:t>
      </w:r>
      <w:r w:rsidRPr="008D5514">
        <w:t xml:space="preserve"> integraln</w:t>
      </w:r>
      <w:r>
        <w:t>e</w:t>
      </w:r>
      <w:r w:rsidRPr="008D5514">
        <w:t xml:space="preserve"> energetsk</w:t>
      </w:r>
      <w:r>
        <w:t>e</w:t>
      </w:r>
      <w:r w:rsidRPr="008D5514">
        <w:t xml:space="preserve"> obnov</w:t>
      </w:r>
      <w:r>
        <w:t>e</w:t>
      </w:r>
      <w:r w:rsidRPr="008D5514">
        <w:t xml:space="preserve">, bez obzira na visoke stope sufinanciranja. Stoga se pretpostavlja da će udio integralne energetske obnove biti 60%, dubinske obnove 20%, te da će se 20% ZJS odlučiti za sveobuhvatnu obnovu koja uključuje mjere vezane uz smanjenje rizika povezanih s djelovanjem potresa i troškovno je vrlo zahtjevna. </w:t>
      </w:r>
      <w:r>
        <w:t>Uvažavajući utvrđene maksimalne jedinične troškove pojedinih razina obnove, procjena investicijskih troškova obnove po kategorijama obnove u cijelom razdoblju prikazuje</w:t>
      </w:r>
      <w:r w:rsidR="00344B3C">
        <w:t xml:space="preserve"> </w:t>
      </w:r>
      <w:r w:rsidR="00344B3C">
        <w:fldChar w:fldCharType="begin"/>
      </w:r>
      <w:r w:rsidR="00344B3C">
        <w:instrText xml:space="preserve"> REF _Ref87950009 \h </w:instrText>
      </w:r>
      <w:r w:rsidR="00344B3C">
        <w:fldChar w:fldCharType="separate"/>
      </w:r>
      <w:r w:rsidR="0023635D">
        <w:t xml:space="preserve">Tablica </w:t>
      </w:r>
      <w:r w:rsidR="0023635D">
        <w:rPr>
          <w:noProof/>
        </w:rPr>
        <w:t>8</w:t>
      </w:r>
      <w:r w:rsidR="0023635D">
        <w:noBreakHyphen/>
      </w:r>
      <w:r w:rsidR="0023635D">
        <w:rPr>
          <w:noProof/>
        </w:rPr>
        <w:t>1</w:t>
      </w:r>
      <w:r w:rsidR="0023635D" w:rsidRPr="0084330C">
        <w:t xml:space="preserve"> Ciljane obnovljene površine ZJS do 2030. </w:t>
      </w:r>
      <w:r w:rsidR="0023635D" w:rsidRPr="0025764B">
        <w:t xml:space="preserve">uz pretpostavljene kategorije obnova </w:t>
      </w:r>
      <w:r w:rsidR="0023635D" w:rsidRPr="0084330C">
        <w:t xml:space="preserve">prema </w:t>
      </w:r>
      <w:r w:rsidR="0023635D">
        <w:t>NPOO-u</w:t>
      </w:r>
      <w:r w:rsidR="00344B3C">
        <w:fldChar w:fldCharType="end"/>
      </w:r>
      <w:r w:rsidR="0084330C">
        <w:t>.</w:t>
      </w:r>
    </w:p>
    <w:p w14:paraId="146EFA41" w14:textId="214128FB" w:rsidR="0051103A" w:rsidRDefault="0051103A" w:rsidP="000973A2">
      <w:pPr>
        <w:pStyle w:val="Opisslike"/>
      </w:pPr>
      <w:bookmarkStart w:id="154" w:name="_Toc87949899"/>
      <w:bookmarkStart w:id="155" w:name="_Ref87950009"/>
      <w:r>
        <w:t xml:space="preserve">Tablica </w:t>
      </w:r>
      <w:r>
        <w:fldChar w:fldCharType="begin"/>
      </w:r>
      <w:r>
        <w:instrText>STYLEREF 1 \s</w:instrText>
      </w:r>
      <w:r>
        <w:fldChar w:fldCharType="separate"/>
      </w:r>
      <w:r w:rsidR="0023635D">
        <w:rPr>
          <w:noProof/>
        </w:rPr>
        <w:t>8</w:t>
      </w:r>
      <w:r>
        <w:fldChar w:fldCharType="end"/>
      </w:r>
      <w:r>
        <w:noBreakHyphen/>
      </w:r>
      <w:r>
        <w:fldChar w:fldCharType="begin"/>
      </w:r>
      <w:r>
        <w:instrText>SEQ Tablica \* ARABIC \s 1</w:instrText>
      </w:r>
      <w:r>
        <w:fldChar w:fldCharType="separate"/>
      </w:r>
      <w:r w:rsidR="0023635D">
        <w:rPr>
          <w:noProof/>
        </w:rPr>
        <w:t>1</w:t>
      </w:r>
      <w:r>
        <w:fldChar w:fldCharType="end"/>
      </w:r>
      <w:r w:rsidRPr="0084330C">
        <w:t xml:space="preserve"> Ciljane obnovljene površine ZJS do 2030. </w:t>
      </w:r>
      <w:r w:rsidR="0025764B" w:rsidRPr="0025764B">
        <w:t xml:space="preserve">uz pretpostavljene kategorije obnova </w:t>
      </w:r>
      <w:r w:rsidR="008C5BD7" w:rsidRPr="0084330C">
        <w:t xml:space="preserve">prema </w:t>
      </w:r>
      <w:r w:rsidR="008C5BD7">
        <w:t>NPOO-u</w:t>
      </w:r>
      <w:bookmarkEnd w:id="154"/>
      <w:bookmarkEnd w:id="155"/>
    </w:p>
    <w:tbl>
      <w:tblPr>
        <w:tblStyle w:val="Svijetlatablicareetke11"/>
        <w:tblW w:w="5000" w:type="pct"/>
        <w:tblLook w:val="04A0" w:firstRow="1" w:lastRow="0" w:firstColumn="1" w:lastColumn="0" w:noHBand="0" w:noVBand="1"/>
      </w:tblPr>
      <w:tblGrid>
        <w:gridCol w:w="1247"/>
        <w:gridCol w:w="814"/>
        <w:gridCol w:w="809"/>
        <w:gridCol w:w="809"/>
        <w:gridCol w:w="809"/>
        <w:gridCol w:w="809"/>
        <w:gridCol w:w="809"/>
        <w:gridCol w:w="809"/>
        <w:gridCol w:w="809"/>
        <w:gridCol w:w="809"/>
        <w:gridCol w:w="811"/>
      </w:tblGrid>
      <w:tr w:rsidR="002B2BC2" w:rsidRPr="00904436" w14:paraId="0A881AFF" w14:textId="77777777" w:rsidTr="00816559">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67" w:type="pct"/>
            <w:hideMark/>
          </w:tcPr>
          <w:p w14:paraId="4F4DDD93" w14:textId="77777777" w:rsidR="001B7733" w:rsidRPr="00904436" w:rsidRDefault="001B7733" w:rsidP="00EA79D2">
            <w:pPr>
              <w:spacing w:before="0" w:after="0"/>
              <w:rPr>
                <w:rFonts w:cs="Tahoma"/>
                <w:color w:val="000000"/>
                <w:sz w:val="16"/>
                <w:szCs w:val="16"/>
                <w:lang w:eastAsia="hr-HR"/>
              </w:rPr>
            </w:pPr>
            <w:r w:rsidRPr="00904436">
              <w:rPr>
                <w:rFonts w:cs="Tahoma"/>
                <w:color w:val="000000"/>
                <w:sz w:val="16"/>
                <w:szCs w:val="16"/>
                <w:lang w:eastAsia="hr-HR"/>
              </w:rPr>
              <w:t> </w:t>
            </w:r>
          </w:p>
        </w:tc>
        <w:tc>
          <w:tcPr>
            <w:tcW w:w="435" w:type="pct"/>
            <w:hideMark/>
          </w:tcPr>
          <w:p w14:paraId="793A1F13"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2021.</w:t>
            </w:r>
          </w:p>
        </w:tc>
        <w:tc>
          <w:tcPr>
            <w:tcW w:w="433" w:type="pct"/>
            <w:hideMark/>
          </w:tcPr>
          <w:p w14:paraId="45C71177"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2022.</w:t>
            </w:r>
          </w:p>
        </w:tc>
        <w:tc>
          <w:tcPr>
            <w:tcW w:w="433" w:type="pct"/>
            <w:hideMark/>
          </w:tcPr>
          <w:p w14:paraId="00F5DBEC"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2023.</w:t>
            </w:r>
          </w:p>
        </w:tc>
        <w:tc>
          <w:tcPr>
            <w:tcW w:w="433" w:type="pct"/>
            <w:hideMark/>
          </w:tcPr>
          <w:p w14:paraId="7302B077"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2024.</w:t>
            </w:r>
          </w:p>
        </w:tc>
        <w:tc>
          <w:tcPr>
            <w:tcW w:w="433" w:type="pct"/>
            <w:hideMark/>
          </w:tcPr>
          <w:p w14:paraId="4938CD3A"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2025.</w:t>
            </w:r>
          </w:p>
        </w:tc>
        <w:tc>
          <w:tcPr>
            <w:tcW w:w="433" w:type="pct"/>
            <w:hideMark/>
          </w:tcPr>
          <w:p w14:paraId="2326032A"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2026.</w:t>
            </w:r>
          </w:p>
        </w:tc>
        <w:tc>
          <w:tcPr>
            <w:tcW w:w="433" w:type="pct"/>
            <w:hideMark/>
          </w:tcPr>
          <w:p w14:paraId="0454149D"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2027.</w:t>
            </w:r>
          </w:p>
        </w:tc>
        <w:tc>
          <w:tcPr>
            <w:tcW w:w="433" w:type="pct"/>
            <w:hideMark/>
          </w:tcPr>
          <w:p w14:paraId="28A780E9"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2028.</w:t>
            </w:r>
          </w:p>
        </w:tc>
        <w:tc>
          <w:tcPr>
            <w:tcW w:w="433" w:type="pct"/>
            <w:hideMark/>
          </w:tcPr>
          <w:p w14:paraId="3D093520"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2029.</w:t>
            </w:r>
          </w:p>
        </w:tc>
        <w:tc>
          <w:tcPr>
            <w:tcW w:w="435" w:type="pct"/>
            <w:hideMark/>
          </w:tcPr>
          <w:p w14:paraId="2547D53C" w14:textId="77777777" w:rsidR="001B7733" w:rsidRPr="00904436" w:rsidRDefault="001B7733"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2030.</w:t>
            </w:r>
          </w:p>
        </w:tc>
      </w:tr>
      <w:tr w:rsidR="002B2BC2" w:rsidRPr="00904436" w14:paraId="4D0E19B0" w14:textId="77777777" w:rsidTr="00816559">
        <w:trPr>
          <w:trHeight w:val="38"/>
        </w:trPr>
        <w:tc>
          <w:tcPr>
            <w:cnfStyle w:val="001000000000" w:firstRow="0" w:lastRow="0" w:firstColumn="1" w:lastColumn="0" w:oddVBand="0" w:evenVBand="0" w:oddHBand="0" w:evenHBand="0" w:firstRowFirstColumn="0" w:firstRowLastColumn="0" w:lastRowFirstColumn="0" w:lastRowLastColumn="0"/>
            <w:tcW w:w="667" w:type="pct"/>
            <w:vAlign w:val="center"/>
          </w:tcPr>
          <w:p w14:paraId="62F43874" w14:textId="77777777" w:rsidR="001B7733" w:rsidRPr="00904436" w:rsidRDefault="001B7733" w:rsidP="00EA79D2">
            <w:pPr>
              <w:spacing w:before="0" w:after="0"/>
              <w:jc w:val="left"/>
              <w:rPr>
                <w:rFonts w:cs="Tahoma"/>
                <w:color w:val="000000"/>
                <w:sz w:val="16"/>
                <w:szCs w:val="16"/>
                <w:lang w:eastAsia="hr-HR"/>
              </w:rPr>
            </w:pPr>
            <w:r w:rsidRPr="00904436">
              <w:rPr>
                <w:rFonts w:cs="Tahoma"/>
                <w:color w:val="000000"/>
                <w:sz w:val="16"/>
                <w:szCs w:val="16"/>
              </w:rPr>
              <w:t>Ciljana površina [m</w:t>
            </w:r>
            <w:r w:rsidRPr="00904436">
              <w:rPr>
                <w:rFonts w:cs="Tahoma"/>
                <w:color w:val="000000"/>
                <w:sz w:val="16"/>
                <w:szCs w:val="16"/>
                <w:vertAlign w:val="superscript"/>
              </w:rPr>
              <w:t>2</w:t>
            </w:r>
            <w:r w:rsidRPr="00904436">
              <w:rPr>
                <w:rFonts w:cs="Tahoma"/>
                <w:color w:val="000000"/>
                <w:sz w:val="16"/>
                <w:szCs w:val="16"/>
              </w:rPr>
              <w:t>]</w:t>
            </w:r>
          </w:p>
        </w:tc>
        <w:tc>
          <w:tcPr>
            <w:tcW w:w="435" w:type="pct"/>
            <w:vAlign w:val="center"/>
          </w:tcPr>
          <w:p w14:paraId="4E26A54A"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160.995</w:t>
            </w:r>
          </w:p>
        </w:tc>
        <w:tc>
          <w:tcPr>
            <w:tcW w:w="433" w:type="pct"/>
            <w:vAlign w:val="center"/>
          </w:tcPr>
          <w:p w14:paraId="3B9FD7FB"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158.977</w:t>
            </w:r>
          </w:p>
        </w:tc>
        <w:tc>
          <w:tcPr>
            <w:tcW w:w="433" w:type="pct"/>
            <w:vAlign w:val="center"/>
          </w:tcPr>
          <w:p w14:paraId="7E2D98B0"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235.779</w:t>
            </w:r>
          </w:p>
        </w:tc>
        <w:tc>
          <w:tcPr>
            <w:tcW w:w="433" w:type="pct"/>
            <w:vAlign w:val="center"/>
          </w:tcPr>
          <w:p w14:paraId="36479658"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231.944</w:t>
            </w:r>
          </w:p>
        </w:tc>
        <w:tc>
          <w:tcPr>
            <w:tcW w:w="433" w:type="pct"/>
            <w:vAlign w:val="center"/>
          </w:tcPr>
          <w:p w14:paraId="735F71ED"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304.228</w:t>
            </w:r>
          </w:p>
        </w:tc>
        <w:tc>
          <w:tcPr>
            <w:tcW w:w="433" w:type="pct"/>
            <w:vAlign w:val="center"/>
          </w:tcPr>
          <w:p w14:paraId="2FA287A3"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297.759</w:t>
            </w:r>
          </w:p>
        </w:tc>
        <w:tc>
          <w:tcPr>
            <w:tcW w:w="433" w:type="pct"/>
            <w:vAlign w:val="center"/>
          </w:tcPr>
          <w:p w14:paraId="093A397B"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364.285</w:t>
            </w:r>
          </w:p>
        </w:tc>
        <w:tc>
          <w:tcPr>
            <w:tcW w:w="433" w:type="pct"/>
            <w:vAlign w:val="center"/>
          </w:tcPr>
          <w:p w14:paraId="19BBDF2E"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354.719</w:t>
            </w:r>
          </w:p>
        </w:tc>
        <w:tc>
          <w:tcPr>
            <w:tcW w:w="433" w:type="pct"/>
            <w:vAlign w:val="center"/>
          </w:tcPr>
          <w:p w14:paraId="576DA3BA"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414.485</w:t>
            </w:r>
          </w:p>
        </w:tc>
        <w:tc>
          <w:tcPr>
            <w:tcW w:w="435" w:type="pct"/>
            <w:vAlign w:val="center"/>
          </w:tcPr>
          <w:p w14:paraId="242F035E"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401.530</w:t>
            </w:r>
          </w:p>
        </w:tc>
      </w:tr>
      <w:tr w:rsidR="002B2BC2" w:rsidRPr="00904436" w14:paraId="2C697CF5" w14:textId="77777777" w:rsidTr="00816559">
        <w:trPr>
          <w:trHeight w:val="38"/>
        </w:trPr>
        <w:tc>
          <w:tcPr>
            <w:cnfStyle w:val="001000000000" w:firstRow="0" w:lastRow="0" w:firstColumn="1" w:lastColumn="0" w:oddVBand="0" w:evenVBand="0" w:oddHBand="0" w:evenHBand="0" w:firstRowFirstColumn="0" w:firstRowLastColumn="0" w:lastRowFirstColumn="0" w:lastRowLastColumn="0"/>
            <w:tcW w:w="667" w:type="pct"/>
            <w:vAlign w:val="center"/>
          </w:tcPr>
          <w:p w14:paraId="4D1A7AA7" w14:textId="77777777" w:rsidR="001B7733" w:rsidRPr="008D5514" w:rsidRDefault="001B7733" w:rsidP="00EA79D2">
            <w:pPr>
              <w:spacing w:before="0" w:after="0"/>
              <w:jc w:val="left"/>
              <w:rPr>
                <w:rFonts w:cs="Tahoma"/>
                <w:b w:val="0"/>
                <w:bCs w:val="0"/>
                <w:color w:val="000000"/>
                <w:sz w:val="16"/>
                <w:szCs w:val="20"/>
              </w:rPr>
            </w:pPr>
            <w:r w:rsidRPr="008D5514">
              <w:rPr>
                <w:b w:val="0"/>
                <w:bCs w:val="0"/>
                <w:sz w:val="16"/>
                <w:szCs w:val="20"/>
              </w:rPr>
              <w:t>Integralna energetska obnova</w:t>
            </w:r>
          </w:p>
        </w:tc>
        <w:tc>
          <w:tcPr>
            <w:tcW w:w="435" w:type="pct"/>
            <w:vAlign w:val="center"/>
          </w:tcPr>
          <w:p w14:paraId="0BE038F4"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96.597</w:t>
            </w:r>
          </w:p>
        </w:tc>
        <w:tc>
          <w:tcPr>
            <w:tcW w:w="433" w:type="pct"/>
            <w:vAlign w:val="center"/>
          </w:tcPr>
          <w:p w14:paraId="33F5ABC7"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95.386</w:t>
            </w:r>
          </w:p>
        </w:tc>
        <w:tc>
          <w:tcPr>
            <w:tcW w:w="433" w:type="pct"/>
            <w:vAlign w:val="center"/>
          </w:tcPr>
          <w:p w14:paraId="72CBC18A"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141.467</w:t>
            </w:r>
          </w:p>
        </w:tc>
        <w:tc>
          <w:tcPr>
            <w:tcW w:w="433" w:type="pct"/>
            <w:vAlign w:val="center"/>
          </w:tcPr>
          <w:p w14:paraId="0DCCB995"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139.166</w:t>
            </w:r>
          </w:p>
        </w:tc>
        <w:tc>
          <w:tcPr>
            <w:tcW w:w="433" w:type="pct"/>
            <w:vAlign w:val="center"/>
          </w:tcPr>
          <w:p w14:paraId="01F832B8"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182.537</w:t>
            </w:r>
          </w:p>
        </w:tc>
        <w:tc>
          <w:tcPr>
            <w:tcW w:w="433" w:type="pct"/>
            <w:vAlign w:val="center"/>
          </w:tcPr>
          <w:p w14:paraId="29BE690E"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178.655</w:t>
            </w:r>
          </w:p>
        </w:tc>
        <w:tc>
          <w:tcPr>
            <w:tcW w:w="433" w:type="pct"/>
            <w:vAlign w:val="center"/>
          </w:tcPr>
          <w:p w14:paraId="08D0F803"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218.571</w:t>
            </w:r>
          </w:p>
        </w:tc>
        <w:tc>
          <w:tcPr>
            <w:tcW w:w="433" w:type="pct"/>
            <w:vAlign w:val="center"/>
          </w:tcPr>
          <w:p w14:paraId="53C73EDD"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212.831</w:t>
            </w:r>
          </w:p>
        </w:tc>
        <w:tc>
          <w:tcPr>
            <w:tcW w:w="433" w:type="pct"/>
            <w:vAlign w:val="center"/>
          </w:tcPr>
          <w:p w14:paraId="1DC391D5"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248.691</w:t>
            </w:r>
          </w:p>
        </w:tc>
        <w:tc>
          <w:tcPr>
            <w:tcW w:w="435" w:type="pct"/>
            <w:vAlign w:val="center"/>
          </w:tcPr>
          <w:p w14:paraId="72BE6148"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240.918</w:t>
            </w:r>
          </w:p>
        </w:tc>
      </w:tr>
      <w:tr w:rsidR="002B2BC2" w:rsidRPr="00904436" w14:paraId="1E0CA7F4" w14:textId="77777777" w:rsidTr="00816559">
        <w:trPr>
          <w:trHeight w:val="38"/>
        </w:trPr>
        <w:tc>
          <w:tcPr>
            <w:cnfStyle w:val="001000000000" w:firstRow="0" w:lastRow="0" w:firstColumn="1" w:lastColumn="0" w:oddVBand="0" w:evenVBand="0" w:oddHBand="0" w:evenHBand="0" w:firstRowFirstColumn="0" w:firstRowLastColumn="0" w:lastRowFirstColumn="0" w:lastRowLastColumn="0"/>
            <w:tcW w:w="667" w:type="pct"/>
            <w:vAlign w:val="center"/>
          </w:tcPr>
          <w:p w14:paraId="7D4E178D" w14:textId="77777777" w:rsidR="001B7733" w:rsidRPr="008D5514" w:rsidRDefault="001B7733" w:rsidP="00EA79D2">
            <w:pPr>
              <w:spacing w:before="0" w:after="0"/>
              <w:jc w:val="left"/>
              <w:rPr>
                <w:rFonts w:cs="Tahoma"/>
                <w:b w:val="0"/>
                <w:bCs w:val="0"/>
                <w:color w:val="000000"/>
                <w:sz w:val="16"/>
                <w:szCs w:val="20"/>
              </w:rPr>
            </w:pPr>
            <w:r w:rsidRPr="008D5514">
              <w:rPr>
                <w:b w:val="0"/>
                <w:bCs w:val="0"/>
                <w:sz w:val="16"/>
                <w:szCs w:val="20"/>
              </w:rPr>
              <w:t>Dubinska obnova</w:t>
            </w:r>
          </w:p>
        </w:tc>
        <w:tc>
          <w:tcPr>
            <w:tcW w:w="435" w:type="pct"/>
            <w:vAlign w:val="center"/>
          </w:tcPr>
          <w:p w14:paraId="37EA68DF"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32.199</w:t>
            </w:r>
          </w:p>
        </w:tc>
        <w:tc>
          <w:tcPr>
            <w:tcW w:w="433" w:type="pct"/>
            <w:vAlign w:val="center"/>
          </w:tcPr>
          <w:p w14:paraId="36C5F52D"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31.795</w:t>
            </w:r>
          </w:p>
        </w:tc>
        <w:tc>
          <w:tcPr>
            <w:tcW w:w="433" w:type="pct"/>
            <w:vAlign w:val="center"/>
          </w:tcPr>
          <w:p w14:paraId="635B81BB"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47.156</w:t>
            </w:r>
          </w:p>
        </w:tc>
        <w:tc>
          <w:tcPr>
            <w:tcW w:w="433" w:type="pct"/>
            <w:vAlign w:val="center"/>
          </w:tcPr>
          <w:p w14:paraId="488CE097"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46.389</w:t>
            </w:r>
          </w:p>
        </w:tc>
        <w:tc>
          <w:tcPr>
            <w:tcW w:w="433" w:type="pct"/>
            <w:vAlign w:val="center"/>
          </w:tcPr>
          <w:p w14:paraId="5F90CBC8"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60.846</w:t>
            </w:r>
          </w:p>
        </w:tc>
        <w:tc>
          <w:tcPr>
            <w:tcW w:w="433" w:type="pct"/>
            <w:vAlign w:val="center"/>
          </w:tcPr>
          <w:p w14:paraId="50E6AA12"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59.552</w:t>
            </w:r>
          </w:p>
        </w:tc>
        <w:tc>
          <w:tcPr>
            <w:tcW w:w="433" w:type="pct"/>
            <w:vAlign w:val="center"/>
          </w:tcPr>
          <w:p w14:paraId="3C175C64"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72.857</w:t>
            </w:r>
          </w:p>
        </w:tc>
        <w:tc>
          <w:tcPr>
            <w:tcW w:w="433" w:type="pct"/>
            <w:vAlign w:val="center"/>
          </w:tcPr>
          <w:p w14:paraId="674038B9"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70.944</w:t>
            </w:r>
          </w:p>
        </w:tc>
        <w:tc>
          <w:tcPr>
            <w:tcW w:w="433" w:type="pct"/>
            <w:vAlign w:val="center"/>
          </w:tcPr>
          <w:p w14:paraId="25CD0D97"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82.897</w:t>
            </w:r>
          </w:p>
        </w:tc>
        <w:tc>
          <w:tcPr>
            <w:tcW w:w="435" w:type="pct"/>
            <w:vAlign w:val="center"/>
          </w:tcPr>
          <w:p w14:paraId="468F2169"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80.306</w:t>
            </w:r>
          </w:p>
        </w:tc>
      </w:tr>
      <w:tr w:rsidR="002B2BC2" w:rsidRPr="00904436" w14:paraId="5EBE9154" w14:textId="77777777" w:rsidTr="00816559">
        <w:trPr>
          <w:trHeight w:val="38"/>
        </w:trPr>
        <w:tc>
          <w:tcPr>
            <w:cnfStyle w:val="001000000000" w:firstRow="0" w:lastRow="0" w:firstColumn="1" w:lastColumn="0" w:oddVBand="0" w:evenVBand="0" w:oddHBand="0" w:evenHBand="0" w:firstRowFirstColumn="0" w:firstRowLastColumn="0" w:lastRowFirstColumn="0" w:lastRowLastColumn="0"/>
            <w:tcW w:w="667" w:type="pct"/>
            <w:vAlign w:val="center"/>
          </w:tcPr>
          <w:p w14:paraId="661FA04F" w14:textId="77777777" w:rsidR="001B7733" w:rsidRPr="008D5514" w:rsidRDefault="001B7733" w:rsidP="00EA79D2">
            <w:pPr>
              <w:spacing w:before="0" w:after="0"/>
              <w:jc w:val="left"/>
              <w:rPr>
                <w:rFonts w:cs="Tahoma"/>
                <w:b w:val="0"/>
                <w:bCs w:val="0"/>
                <w:color w:val="000000"/>
                <w:sz w:val="16"/>
                <w:szCs w:val="20"/>
              </w:rPr>
            </w:pPr>
            <w:r w:rsidRPr="008D5514">
              <w:rPr>
                <w:b w:val="0"/>
                <w:bCs w:val="0"/>
                <w:sz w:val="16"/>
                <w:szCs w:val="20"/>
              </w:rPr>
              <w:t>Sveobuhvatna obnova</w:t>
            </w:r>
          </w:p>
        </w:tc>
        <w:tc>
          <w:tcPr>
            <w:tcW w:w="435" w:type="pct"/>
            <w:vAlign w:val="center"/>
          </w:tcPr>
          <w:p w14:paraId="6655DCAD"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32.199</w:t>
            </w:r>
          </w:p>
        </w:tc>
        <w:tc>
          <w:tcPr>
            <w:tcW w:w="433" w:type="pct"/>
            <w:vAlign w:val="center"/>
          </w:tcPr>
          <w:p w14:paraId="06FFBADC"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31.795</w:t>
            </w:r>
          </w:p>
        </w:tc>
        <w:tc>
          <w:tcPr>
            <w:tcW w:w="433" w:type="pct"/>
            <w:vAlign w:val="center"/>
          </w:tcPr>
          <w:p w14:paraId="1BB02D84"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47.156</w:t>
            </w:r>
          </w:p>
        </w:tc>
        <w:tc>
          <w:tcPr>
            <w:tcW w:w="433" w:type="pct"/>
            <w:vAlign w:val="center"/>
          </w:tcPr>
          <w:p w14:paraId="50CEDF25"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46.389</w:t>
            </w:r>
          </w:p>
        </w:tc>
        <w:tc>
          <w:tcPr>
            <w:tcW w:w="433" w:type="pct"/>
            <w:vAlign w:val="center"/>
          </w:tcPr>
          <w:p w14:paraId="2B535F24"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60.846</w:t>
            </w:r>
          </w:p>
        </w:tc>
        <w:tc>
          <w:tcPr>
            <w:tcW w:w="433" w:type="pct"/>
            <w:vAlign w:val="center"/>
          </w:tcPr>
          <w:p w14:paraId="3875B39B"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59.552</w:t>
            </w:r>
          </w:p>
        </w:tc>
        <w:tc>
          <w:tcPr>
            <w:tcW w:w="433" w:type="pct"/>
            <w:vAlign w:val="center"/>
          </w:tcPr>
          <w:p w14:paraId="16781EBF"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72.857</w:t>
            </w:r>
          </w:p>
        </w:tc>
        <w:tc>
          <w:tcPr>
            <w:tcW w:w="433" w:type="pct"/>
            <w:vAlign w:val="center"/>
          </w:tcPr>
          <w:p w14:paraId="19404C46"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70.944</w:t>
            </w:r>
          </w:p>
        </w:tc>
        <w:tc>
          <w:tcPr>
            <w:tcW w:w="433" w:type="pct"/>
            <w:vAlign w:val="center"/>
          </w:tcPr>
          <w:p w14:paraId="52BAC676"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82.897</w:t>
            </w:r>
          </w:p>
        </w:tc>
        <w:tc>
          <w:tcPr>
            <w:tcW w:w="435" w:type="pct"/>
            <w:vAlign w:val="center"/>
          </w:tcPr>
          <w:p w14:paraId="625C7D13" w14:textId="77777777" w:rsidR="001B7733" w:rsidRPr="008D5514" w:rsidRDefault="001B7733" w:rsidP="00EA79D2">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80.306</w:t>
            </w:r>
          </w:p>
        </w:tc>
      </w:tr>
      <w:tr w:rsidR="00F9138F" w:rsidRPr="00904436" w14:paraId="2B96E32F" w14:textId="77777777" w:rsidTr="00816559">
        <w:trPr>
          <w:trHeight w:val="58"/>
        </w:trPr>
        <w:tc>
          <w:tcPr>
            <w:cnfStyle w:val="001000000000" w:firstRow="0" w:lastRow="0" w:firstColumn="1" w:lastColumn="0" w:oddVBand="0" w:evenVBand="0" w:oddHBand="0" w:evenHBand="0" w:firstRowFirstColumn="0" w:firstRowLastColumn="0" w:lastRowFirstColumn="0" w:lastRowLastColumn="0"/>
            <w:tcW w:w="1102" w:type="pct"/>
            <w:gridSpan w:val="2"/>
            <w:vAlign w:val="center"/>
          </w:tcPr>
          <w:p w14:paraId="0B7D8AB2" w14:textId="77777777" w:rsidR="001B7733" w:rsidRPr="00904436" w:rsidRDefault="001B7733" w:rsidP="002D041B">
            <w:pPr>
              <w:spacing w:before="0" w:after="0"/>
              <w:jc w:val="left"/>
              <w:rPr>
                <w:rFonts w:cs="Tahoma"/>
                <w:b w:val="0"/>
                <w:bCs w:val="0"/>
                <w:color w:val="000000"/>
                <w:sz w:val="16"/>
                <w:szCs w:val="16"/>
                <w:lang w:eastAsia="hr-HR"/>
              </w:rPr>
            </w:pPr>
            <w:r w:rsidRPr="00904436">
              <w:rPr>
                <w:rFonts w:cs="Tahoma"/>
                <w:color w:val="000000"/>
                <w:sz w:val="16"/>
                <w:szCs w:val="16"/>
                <w:lang w:eastAsia="hr-HR"/>
              </w:rPr>
              <w:t>Ukupno 2021. -2030. [</w:t>
            </w:r>
            <w:r w:rsidRPr="00904436">
              <w:rPr>
                <w:rFonts w:cs="Tahoma"/>
                <w:color w:val="000000"/>
                <w:sz w:val="16"/>
                <w:szCs w:val="16"/>
              </w:rPr>
              <w:t>m</w:t>
            </w:r>
            <w:r w:rsidRPr="00904436">
              <w:rPr>
                <w:rFonts w:cs="Tahoma"/>
                <w:color w:val="000000"/>
                <w:sz w:val="16"/>
                <w:szCs w:val="16"/>
                <w:vertAlign w:val="superscript"/>
              </w:rPr>
              <w:t>2</w:t>
            </w:r>
            <w:r w:rsidRPr="00904436">
              <w:rPr>
                <w:rFonts w:cs="Tahoma"/>
                <w:color w:val="000000"/>
                <w:sz w:val="16"/>
                <w:szCs w:val="16"/>
                <w:lang w:eastAsia="hr-HR"/>
              </w:rPr>
              <w:t>]</w:t>
            </w:r>
          </w:p>
        </w:tc>
        <w:tc>
          <w:tcPr>
            <w:tcW w:w="3898" w:type="pct"/>
            <w:gridSpan w:val="9"/>
            <w:vAlign w:val="center"/>
          </w:tcPr>
          <w:p w14:paraId="6A3E965E" w14:textId="77777777" w:rsidR="001B7733" w:rsidRPr="00904436" w:rsidRDefault="001B7733" w:rsidP="002D041B">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sidRPr="008D5514">
              <w:rPr>
                <w:rFonts w:cs="Tahoma"/>
                <w:b/>
                <w:bCs/>
                <w:color w:val="000000"/>
                <w:sz w:val="16"/>
                <w:szCs w:val="16"/>
                <w:lang w:eastAsia="hr-HR"/>
              </w:rPr>
              <w:t>2.924.701</w:t>
            </w:r>
          </w:p>
        </w:tc>
      </w:tr>
      <w:tr w:rsidR="00F9138F" w:rsidRPr="00904436" w14:paraId="3841EA76" w14:textId="77777777" w:rsidTr="00816559">
        <w:trPr>
          <w:trHeight w:val="58"/>
        </w:trPr>
        <w:tc>
          <w:tcPr>
            <w:cnfStyle w:val="001000000000" w:firstRow="0" w:lastRow="0" w:firstColumn="1" w:lastColumn="0" w:oddVBand="0" w:evenVBand="0" w:oddHBand="0" w:evenHBand="0" w:firstRowFirstColumn="0" w:firstRowLastColumn="0" w:lastRowFirstColumn="0" w:lastRowLastColumn="0"/>
            <w:tcW w:w="1102" w:type="pct"/>
            <w:gridSpan w:val="2"/>
            <w:vAlign w:val="center"/>
          </w:tcPr>
          <w:p w14:paraId="021CFD9F" w14:textId="77777777" w:rsidR="001B7733" w:rsidRPr="00904436" w:rsidRDefault="001B7733" w:rsidP="002D041B">
            <w:pPr>
              <w:spacing w:before="0" w:after="0"/>
              <w:jc w:val="left"/>
              <w:rPr>
                <w:rFonts w:cs="Tahoma"/>
                <w:b w:val="0"/>
                <w:bCs w:val="0"/>
                <w:color w:val="000000"/>
                <w:sz w:val="16"/>
                <w:szCs w:val="16"/>
                <w:lang w:eastAsia="hr-HR"/>
              </w:rPr>
            </w:pPr>
            <w:r w:rsidRPr="00904436">
              <w:rPr>
                <w:rFonts w:cs="Tahoma"/>
                <w:color w:val="000000"/>
                <w:sz w:val="16"/>
                <w:szCs w:val="16"/>
                <w:lang w:eastAsia="hr-HR"/>
              </w:rPr>
              <w:t>Ukupno 2021. -2024. [</w:t>
            </w:r>
            <w:r w:rsidRPr="00904436">
              <w:rPr>
                <w:rFonts w:cs="Tahoma"/>
                <w:color w:val="000000"/>
                <w:sz w:val="16"/>
                <w:szCs w:val="16"/>
              </w:rPr>
              <w:t>m</w:t>
            </w:r>
            <w:r w:rsidRPr="00904436">
              <w:rPr>
                <w:rFonts w:cs="Tahoma"/>
                <w:color w:val="000000"/>
                <w:sz w:val="16"/>
                <w:szCs w:val="16"/>
                <w:vertAlign w:val="superscript"/>
              </w:rPr>
              <w:t>2</w:t>
            </w:r>
            <w:r w:rsidRPr="00904436">
              <w:rPr>
                <w:rFonts w:cs="Tahoma"/>
                <w:color w:val="000000"/>
                <w:sz w:val="16"/>
                <w:szCs w:val="16"/>
                <w:lang w:eastAsia="hr-HR"/>
              </w:rPr>
              <w:t>]</w:t>
            </w:r>
          </w:p>
        </w:tc>
        <w:tc>
          <w:tcPr>
            <w:tcW w:w="3898" w:type="pct"/>
            <w:gridSpan w:val="9"/>
            <w:vAlign w:val="center"/>
          </w:tcPr>
          <w:p w14:paraId="2D3A7D20" w14:textId="77777777" w:rsidR="001B7733" w:rsidRPr="00904436" w:rsidRDefault="001B7733" w:rsidP="002D041B">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sidRPr="008D5514">
              <w:rPr>
                <w:rFonts w:cs="Tahoma"/>
                <w:b/>
                <w:bCs/>
                <w:color w:val="000000"/>
                <w:sz w:val="16"/>
                <w:szCs w:val="16"/>
                <w:lang w:eastAsia="hr-HR"/>
              </w:rPr>
              <w:t>787.695</w:t>
            </w:r>
          </w:p>
        </w:tc>
      </w:tr>
    </w:tbl>
    <w:p w14:paraId="34A4DF4B" w14:textId="4888820A" w:rsidR="001B7733" w:rsidRDefault="001B7733" w:rsidP="001B7733">
      <w:r>
        <w:t xml:space="preserve">Procijenjene investicije za obnovu ZJS iznose </w:t>
      </w:r>
      <w:r>
        <w:rPr>
          <w:b/>
          <w:bCs/>
        </w:rPr>
        <w:t>nešto više od</w:t>
      </w:r>
      <w:r w:rsidRPr="00F16516">
        <w:rPr>
          <w:b/>
          <w:bCs/>
        </w:rPr>
        <w:t xml:space="preserve"> </w:t>
      </w:r>
      <w:r>
        <w:rPr>
          <w:b/>
          <w:bCs/>
        </w:rPr>
        <w:t>9</w:t>
      </w:r>
      <w:r w:rsidRPr="00F16516">
        <w:rPr>
          <w:b/>
          <w:bCs/>
        </w:rPr>
        <w:t xml:space="preserve"> milijardi kn</w:t>
      </w:r>
      <w:r>
        <w:t xml:space="preserve"> u razmatranom desetogodišnjem razdoblju. Do kraja 2024. godine, a kako bi se postigli ciljevi iz Dugoročne strategije, bit će potrebne investicije u ZJS od </w:t>
      </w:r>
      <w:r w:rsidR="00732977">
        <w:t xml:space="preserve">nešto više od </w:t>
      </w:r>
      <w:r w:rsidR="00732977" w:rsidRPr="000973A2">
        <w:rPr>
          <w:b/>
        </w:rPr>
        <w:t>2</w:t>
      </w:r>
      <w:r w:rsidRPr="00732977">
        <w:rPr>
          <w:b/>
          <w:bCs/>
        </w:rPr>
        <w:t>,</w:t>
      </w:r>
      <w:r w:rsidR="00732977">
        <w:rPr>
          <w:b/>
          <w:bCs/>
        </w:rPr>
        <w:t>4</w:t>
      </w:r>
      <w:r w:rsidRPr="00A92F71">
        <w:rPr>
          <w:b/>
          <w:bCs/>
        </w:rPr>
        <w:t xml:space="preserve"> milijard</w:t>
      </w:r>
      <w:r>
        <w:rPr>
          <w:b/>
          <w:bCs/>
        </w:rPr>
        <w:t>e</w:t>
      </w:r>
      <w:r w:rsidRPr="00A92F71">
        <w:rPr>
          <w:b/>
          <w:bCs/>
        </w:rPr>
        <w:t xml:space="preserve"> kn</w:t>
      </w:r>
      <w:r>
        <w:t>.</w:t>
      </w:r>
      <w:r w:rsidRPr="008D5514">
        <w:t xml:space="preserve"> </w:t>
      </w:r>
      <w:r w:rsidR="003F4950">
        <w:t xml:space="preserve">Program će se provoditi do 2030. godine, do kada je očekivano ostvarenje </w:t>
      </w:r>
      <w:r w:rsidRPr="008D5514">
        <w:t>srednjoročnih ciljeva</w:t>
      </w:r>
      <w:r w:rsidR="000B1900">
        <w:t xml:space="preserve"> navedenih u poglavlju </w:t>
      </w:r>
      <w:r w:rsidR="000B1900">
        <w:fldChar w:fldCharType="begin"/>
      </w:r>
      <w:r w:rsidR="000B1900">
        <w:instrText xml:space="preserve"> REF _Ref93585799 \h </w:instrText>
      </w:r>
      <w:r w:rsidR="000B1900">
        <w:fldChar w:fldCharType="separate"/>
      </w:r>
      <w:r w:rsidR="0023635D" w:rsidRPr="00B357F4">
        <w:t>Posebni ciljevi i ključni pokazatelji ishoda</w:t>
      </w:r>
      <w:r w:rsidR="000B1900">
        <w:fldChar w:fldCharType="end"/>
      </w:r>
      <w:r w:rsidRPr="008D5514">
        <w:t>.</w:t>
      </w:r>
      <w:r>
        <w:t xml:space="preserve"> </w:t>
      </w:r>
      <w:r w:rsidR="003C09D4">
        <w:fldChar w:fldCharType="begin"/>
      </w:r>
      <w:r w:rsidR="003C09D4">
        <w:instrText xml:space="preserve"> REF _Ref87950040 \h </w:instrText>
      </w:r>
      <w:r w:rsidR="003C09D4">
        <w:fldChar w:fldCharType="separate"/>
      </w:r>
      <w:r w:rsidR="0023635D">
        <w:t xml:space="preserve">Tablica </w:t>
      </w:r>
      <w:r w:rsidR="0023635D">
        <w:rPr>
          <w:noProof/>
        </w:rPr>
        <w:t>8</w:t>
      </w:r>
      <w:r w:rsidR="0023635D">
        <w:noBreakHyphen/>
      </w:r>
      <w:r w:rsidR="0023635D">
        <w:rPr>
          <w:noProof/>
        </w:rPr>
        <w:t>2</w:t>
      </w:r>
      <w:r w:rsidR="003C09D4">
        <w:fldChar w:fldCharType="end"/>
      </w:r>
      <w:r w:rsidR="003C09D4">
        <w:t xml:space="preserve"> </w:t>
      </w:r>
      <w:r>
        <w:t xml:space="preserve">sadrži </w:t>
      </w:r>
      <w:r w:rsidR="006B15B8">
        <w:t xml:space="preserve">procijenjeni </w:t>
      </w:r>
      <w:r>
        <w:t xml:space="preserve">trošak obnove ZJS </w:t>
      </w:r>
      <w:r w:rsidR="000B1900">
        <w:t>u razdoblju</w:t>
      </w:r>
      <w:r w:rsidR="006B15B8">
        <w:t xml:space="preserve"> do 2030. godine</w:t>
      </w:r>
      <w:r w:rsidR="00AB4751">
        <w:t xml:space="preserve"> u skladu sa</w:t>
      </w:r>
      <w:r w:rsidR="002C3423">
        <w:t xml:space="preserve"> ciljanim </w:t>
      </w:r>
      <w:r w:rsidR="00AB4751">
        <w:t xml:space="preserve">stopama obnove </w:t>
      </w:r>
      <w:r w:rsidR="002C3423">
        <w:t xml:space="preserve">prema </w:t>
      </w:r>
      <w:r w:rsidR="002C3423" w:rsidRPr="00EE1B6E">
        <w:rPr>
          <w:rFonts w:cs="Tahoma"/>
          <w:color w:val="000000"/>
          <w:szCs w:val="20"/>
        </w:rPr>
        <w:t>Dugoročnoj strategiji</w:t>
      </w:r>
      <w:r w:rsidR="002C3423">
        <w:rPr>
          <w:rFonts w:cs="Tahoma"/>
          <w:color w:val="000000"/>
          <w:szCs w:val="20"/>
        </w:rPr>
        <w:t xml:space="preserve">. </w:t>
      </w:r>
    </w:p>
    <w:p w14:paraId="317967CA" w14:textId="7C4BADDE" w:rsidR="0051103A" w:rsidRDefault="0051103A" w:rsidP="0051103A">
      <w:pPr>
        <w:pStyle w:val="Opisslike"/>
      </w:pPr>
      <w:bookmarkStart w:id="156" w:name="_Ref87950040"/>
      <w:bookmarkStart w:id="157" w:name="_Toc87949900"/>
      <w:r>
        <w:t xml:space="preserve">Tablica </w:t>
      </w:r>
      <w:r>
        <w:fldChar w:fldCharType="begin"/>
      </w:r>
      <w:r>
        <w:instrText>STYLEREF 1 \s</w:instrText>
      </w:r>
      <w:r>
        <w:fldChar w:fldCharType="separate"/>
      </w:r>
      <w:r w:rsidR="0023635D">
        <w:rPr>
          <w:noProof/>
        </w:rPr>
        <w:t>8</w:t>
      </w:r>
      <w:r>
        <w:fldChar w:fldCharType="end"/>
      </w:r>
      <w:r>
        <w:noBreakHyphen/>
      </w:r>
      <w:r>
        <w:fldChar w:fldCharType="begin"/>
      </w:r>
      <w:r>
        <w:instrText>SEQ Tablica \* ARABIC \s 1</w:instrText>
      </w:r>
      <w:r>
        <w:fldChar w:fldCharType="separate"/>
      </w:r>
      <w:r w:rsidR="0023635D">
        <w:rPr>
          <w:noProof/>
        </w:rPr>
        <w:t>2</w:t>
      </w:r>
      <w:r>
        <w:fldChar w:fldCharType="end"/>
      </w:r>
      <w:bookmarkEnd w:id="156"/>
      <w:r w:rsidRPr="00344AD8">
        <w:t xml:space="preserve"> Procjena investicijskog troška obnove ZJS </w:t>
      </w:r>
      <w:r w:rsidR="00816559" w:rsidRPr="00816559">
        <w:t>uz pretpostavljene kategorije obnova prema NPOO-u</w:t>
      </w:r>
      <w:r w:rsidR="00816559">
        <w:t xml:space="preserve"> </w:t>
      </w:r>
      <w:r w:rsidRPr="00344AD8">
        <w:t xml:space="preserve">do 2030. </w:t>
      </w:r>
      <w:r w:rsidR="000B1900">
        <w:t>godine</w:t>
      </w:r>
      <w:bookmarkEnd w:id="157"/>
    </w:p>
    <w:tbl>
      <w:tblPr>
        <w:tblStyle w:val="Svijetlatablicareetke11"/>
        <w:tblW w:w="5004" w:type="pct"/>
        <w:tblLayout w:type="fixed"/>
        <w:tblLook w:val="04A0" w:firstRow="1" w:lastRow="0" w:firstColumn="1" w:lastColumn="0" w:noHBand="0" w:noVBand="1"/>
      </w:tblPr>
      <w:tblGrid>
        <w:gridCol w:w="1983"/>
        <w:gridCol w:w="818"/>
        <w:gridCol w:w="818"/>
        <w:gridCol w:w="817"/>
        <w:gridCol w:w="817"/>
        <w:gridCol w:w="817"/>
        <w:gridCol w:w="817"/>
        <w:gridCol w:w="817"/>
        <w:gridCol w:w="817"/>
        <w:gridCol w:w="817"/>
        <w:gridCol w:w="13"/>
      </w:tblGrid>
      <w:tr w:rsidR="002B2BC2" w:rsidRPr="00904436" w14:paraId="164AA30D" w14:textId="77777777" w:rsidTr="000B1900">
        <w:trPr>
          <w:gridAfter w:val="1"/>
          <w:cnfStyle w:val="100000000000" w:firstRow="1" w:lastRow="0" w:firstColumn="0" w:lastColumn="0" w:oddVBand="0" w:evenVBand="0" w:oddHBand="0" w:evenHBand="0" w:firstRowFirstColumn="0" w:firstRowLastColumn="0" w:lastRowFirstColumn="0" w:lastRowLastColumn="0"/>
          <w:wAfter w:w="3" w:type="pct"/>
          <w:trHeight w:val="58"/>
        </w:trPr>
        <w:tc>
          <w:tcPr>
            <w:cnfStyle w:val="001000000000" w:firstRow="0" w:lastRow="0" w:firstColumn="1" w:lastColumn="0" w:oddVBand="0" w:evenVBand="0" w:oddHBand="0" w:evenHBand="0" w:firstRowFirstColumn="0" w:firstRowLastColumn="0" w:lastRowFirstColumn="0" w:lastRowLastColumn="0"/>
            <w:tcW w:w="1060" w:type="pct"/>
            <w:hideMark/>
          </w:tcPr>
          <w:p w14:paraId="72AD0E0E" w14:textId="77777777" w:rsidR="001B7733" w:rsidRPr="00904436" w:rsidRDefault="001B7733" w:rsidP="00E1204F">
            <w:pPr>
              <w:spacing w:before="0" w:after="0"/>
              <w:rPr>
                <w:rFonts w:cs="Tahoma"/>
                <w:color w:val="000000"/>
                <w:sz w:val="16"/>
                <w:szCs w:val="16"/>
                <w:lang w:eastAsia="hr-HR"/>
              </w:rPr>
            </w:pPr>
            <w:r w:rsidRPr="00904436">
              <w:rPr>
                <w:rFonts w:cs="Tahoma"/>
                <w:color w:val="000000"/>
                <w:sz w:val="16"/>
                <w:szCs w:val="16"/>
                <w:lang w:eastAsia="hr-HR"/>
              </w:rPr>
              <w:t> </w:t>
            </w:r>
          </w:p>
        </w:tc>
        <w:tc>
          <w:tcPr>
            <w:tcW w:w="437" w:type="pct"/>
            <w:hideMark/>
          </w:tcPr>
          <w:p w14:paraId="68164E87"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2022.</w:t>
            </w:r>
          </w:p>
        </w:tc>
        <w:tc>
          <w:tcPr>
            <w:tcW w:w="437" w:type="pct"/>
            <w:hideMark/>
          </w:tcPr>
          <w:p w14:paraId="3ACF80C3"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2023.</w:t>
            </w:r>
          </w:p>
        </w:tc>
        <w:tc>
          <w:tcPr>
            <w:tcW w:w="437" w:type="pct"/>
            <w:hideMark/>
          </w:tcPr>
          <w:p w14:paraId="458B8C03"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2024.</w:t>
            </w:r>
          </w:p>
        </w:tc>
        <w:tc>
          <w:tcPr>
            <w:tcW w:w="437" w:type="pct"/>
            <w:hideMark/>
          </w:tcPr>
          <w:p w14:paraId="15871A65"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2025.</w:t>
            </w:r>
          </w:p>
        </w:tc>
        <w:tc>
          <w:tcPr>
            <w:tcW w:w="437" w:type="pct"/>
            <w:hideMark/>
          </w:tcPr>
          <w:p w14:paraId="7B0C5D38"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2026.</w:t>
            </w:r>
          </w:p>
        </w:tc>
        <w:tc>
          <w:tcPr>
            <w:tcW w:w="437" w:type="pct"/>
            <w:hideMark/>
          </w:tcPr>
          <w:p w14:paraId="246126F4"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2027.</w:t>
            </w:r>
          </w:p>
        </w:tc>
        <w:tc>
          <w:tcPr>
            <w:tcW w:w="437" w:type="pct"/>
            <w:hideMark/>
          </w:tcPr>
          <w:p w14:paraId="3E2030FD"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2028.</w:t>
            </w:r>
          </w:p>
        </w:tc>
        <w:tc>
          <w:tcPr>
            <w:tcW w:w="437" w:type="pct"/>
            <w:hideMark/>
          </w:tcPr>
          <w:p w14:paraId="74042549"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2029.</w:t>
            </w:r>
          </w:p>
        </w:tc>
        <w:tc>
          <w:tcPr>
            <w:tcW w:w="437" w:type="pct"/>
            <w:hideMark/>
          </w:tcPr>
          <w:p w14:paraId="5E175761"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2030.</w:t>
            </w:r>
          </w:p>
        </w:tc>
      </w:tr>
      <w:tr w:rsidR="00C300D1" w:rsidRPr="00904436" w14:paraId="4E990F40"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hideMark/>
          </w:tcPr>
          <w:p w14:paraId="0D6AA717" w14:textId="77777777" w:rsidR="001B7733" w:rsidRPr="00904436" w:rsidRDefault="001B7733" w:rsidP="002D041B">
            <w:pPr>
              <w:spacing w:before="0" w:after="0"/>
              <w:jc w:val="left"/>
              <w:rPr>
                <w:rFonts w:cs="Tahoma"/>
                <w:color w:val="000000"/>
                <w:sz w:val="16"/>
                <w:szCs w:val="16"/>
                <w:lang w:eastAsia="hr-HR"/>
              </w:rPr>
            </w:pPr>
            <w:r w:rsidRPr="00904436">
              <w:rPr>
                <w:rFonts w:cs="Tahoma"/>
                <w:color w:val="000000"/>
                <w:sz w:val="16"/>
                <w:szCs w:val="16"/>
                <w:lang w:eastAsia="hr-HR"/>
              </w:rPr>
              <w:t>Trošak [</w:t>
            </w:r>
            <w:r>
              <w:rPr>
                <w:rFonts w:cs="Tahoma"/>
                <w:color w:val="000000"/>
                <w:sz w:val="16"/>
                <w:szCs w:val="16"/>
                <w:lang w:eastAsia="hr-HR"/>
              </w:rPr>
              <w:t>milijardi</w:t>
            </w:r>
            <w:r w:rsidRPr="00904436">
              <w:rPr>
                <w:rFonts w:cs="Tahoma"/>
                <w:color w:val="000000"/>
                <w:sz w:val="16"/>
                <w:szCs w:val="16"/>
                <w:lang w:eastAsia="hr-HR"/>
              </w:rPr>
              <w:t xml:space="preserve"> kn]</w:t>
            </w:r>
          </w:p>
        </w:tc>
        <w:tc>
          <w:tcPr>
            <w:tcW w:w="437" w:type="pct"/>
            <w:vAlign w:val="center"/>
            <w:hideMark/>
          </w:tcPr>
          <w:p w14:paraId="35F4BD04"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0,66</w:t>
            </w:r>
          </w:p>
        </w:tc>
        <w:tc>
          <w:tcPr>
            <w:tcW w:w="437" w:type="pct"/>
            <w:vAlign w:val="center"/>
            <w:hideMark/>
          </w:tcPr>
          <w:p w14:paraId="09040F8F"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0,90</w:t>
            </w:r>
          </w:p>
        </w:tc>
        <w:tc>
          <w:tcPr>
            <w:tcW w:w="437" w:type="pct"/>
            <w:vAlign w:val="center"/>
            <w:hideMark/>
          </w:tcPr>
          <w:p w14:paraId="7BD590E6"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0,89</w:t>
            </w:r>
          </w:p>
        </w:tc>
        <w:tc>
          <w:tcPr>
            <w:tcW w:w="437" w:type="pct"/>
            <w:vAlign w:val="center"/>
            <w:hideMark/>
          </w:tcPr>
          <w:p w14:paraId="4B24D159"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0,94</w:t>
            </w:r>
          </w:p>
        </w:tc>
        <w:tc>
          <w:tcPr>
            <w:tcW w:w="437" w:type="pct"/>
            <w:vAlign w:val="center"/>
            <w:hideMark/>
          </w:tcPr>
          <w:p w14:paraId="5E801EAB"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0,92</w:t>
            </w:r>
          </w:p>
        </w:tc>
        <w:tc>
          <w:tcPr>
            <w:tcW w:w="437" w:type="pct"/>
            <w:vAlign w:val="center"/>
            <w:hideMark/>
          </w:tcPr>
          <w:p w14:paraId="7425701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1,13</w:t>
            </w:r>
          </w:p>
        </w:tc>
        <w:tc>
          <w:tcPr>
            <w:tcW w:w="437" w:type="pct"/>
            <w:vAlign w:val="center"/>
            <w:hideMark/>
          </w:tcPr>
          <w:p w14:paraId="5B49363C"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1,10</w:t>
            </w:r>
          </w:p>
        </w:tc>
        <w:tc>
          <w:tcPr>
            <w:tcW w:w="437" w:type="pct"/>
            <w:vAlign w:val="center"/>
            <w:hideMark/>
          </w:tcPr>
          <w:p w14:paraId="22B27198"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1,28</w:t>
            </w:r>
          </w:p>
        </w:tc>
        <w:tc>
          <w:tcPr>
            <w:tcW w:w="437" w:type="pct"/>
            <w:vAlign w:val="center"/>
            <w:hideMark/>
          </w:tcPr>
          <w:p w14:paraId="32BC86DF"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1,24</w:t>
            </w:r>
          </w:p>
        </w:tc>
      </w:tr>
      <w:tr w:rsidR="002B2BC2" w:rsidRPr="00904436" w14:paraId="74EBB8A5"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56D0F4D5" w14:textId="77777777" w:rsidR="001B7733" w:rsidRPr="00904436" w:rsidRDefault="001B7733" w:rsidP="002D041B">
            <w:pPr>
              <w:spacing w:before="0" w:after="0"/>
              <w:jc w:val="left"/>
              <w:rPr>
                <w:rFonts w:cs="Tahoma"/>
                <w:color w:val="000000"/>
                <w:sz w:val="16"/>
                <w:szCs w:val="16"/>
                <w:lang w:eastAsia="hr-HR"/>
              </w:rPr>
            </w:pPr>
            <w:r w:rsidRPr="008D5514">
              <w:rPr>
                <w:b w:val="0"/>
                <w:bCs w:val="0"/>
                <w:sz w:val="16"/>
                <w:szCs w:val="20"/>
              </w:rPr>
              <w:t>Integralna energetska obnova</w:t>
            </w:r>
          </w:p>
        </w:tc>
        <w:tc>
          <w:tcPr>
            <w:tcW w:w="437" w:type="pct"/>
            <w:vAlign w:val="center"/>
          </w:tcPr>
          <w:p w14:paraId="1D2E73F6"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0,32</w:t>
            </w:r>
          </w:p>
        </w:tc>
        <w:tc>
          <w:tcPr>
            <w:tcW w:w="437" w:type="pct"/>
            <w:vAlign w:val="center"/>
          </w:tcPr>
          <w:p w14:paraId="1A236CD3"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0,43</w:t>
            </w:r>
          </w:p>
        </w:tc>
        <w:tc>
          <w:tcPr>
            <w:tcW w:w="437" w:type="pct"/>
            <w:vAlign w:val="center"/>
          </w:tcPr>
          <w:p w14:paraId="5C12A6EE"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0,43</w:t>
            </w:r>
          </w:p>
        </w:tc>
        <w:tc>
          <w:tcPr>
            <w:tcW w:w="437" w:type="pct"/>
            <w:vAlign w:val="center"/>
          </w:tcPr>
          <w:p w14:paraId="529ACEDA"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0,46</w:t>
            </w:r>
          </w:p>
        </w:tc>
        <w:tc>
          <w:tcPr>
            <w:tcW w:w="437" w:type="pct"/>
            <w:vAlign w:val="center"/>
          </w:tcPr>
          <w:p w14:paraId="17FE6B99"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0,45</w:t>
            </w:r>
          </w:p>
        </w:tc>
        <w:tc>
          <w:tcPr>
            <w:tcW w:w="437" w:type="pct"/>
            <w:vAlign w:val="center"/>
          </w:tcPr>
          <w:p w14:paraId="16727D5D"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0,55</w:t>
            </w:r>
          </w:p>
        </w:tc>
        <w:tc>
          <w:tcPr>
            <w:tcW w:w="437" w:type="pct"/>
            <w:vAlign w:val="center"/>
          </w:tcPr>
          <w:p w14:paraId="414015C7"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0,53</w:t>
            </w:r>
          </w:p>
        </w:tc>
        <w:tc>
          <w:tcPr>
            <w:tcW w:w="437" w:type="pct"/>
            <w:vAlign w:val="center"/>
          </w:tcPr>
          <w:p w14:paraId="52904796"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0,62</w:t>
            </w:r>
          </w:p>
        </w:tc>
        <w:tc>
          <w:tcPr>
            <w:tcW w:w="437" w:type="pct"/>
            <w:vAlign w:val="center"/>
          </w:tcPr>
          <w:p w14:paraId="04172C99"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0,60</w:t>
            </w:r>
          </w:p>
        </w:tc>
      </w:tr>
      <w:tr w:rsidR="002B2BC2" w:rsidRPr="00904436" w14:paraId="5D832D3B"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6381E42" w14:textId="77777777" w:rsidR="001B7733" w:rsidRPr="00904436" w:rsidRDefault="001B7733" w:rsidP="002D041B">
            <w:pPr>
              <w:spacing w:before="0" w:after="0"/>
              <w:jc w:val="left"/>
              <w:rPr>
                <w:rFonts w:cs="Tahoma"/>
                <w:color w:val="000000"/>
                <w:sz w:val="16"/>
                <w:szCs w:val="16"/>
                <w:lang w:eastAsia="hr-HR"/>
              </w:rPr>
            </w:pPr>
            <w:r w:rsidRPr="008D5514">
              <w:rPr>
                <w:b w:val="0"/>
                <w:bCs w:val="0"/>
                <w:sz w:val="16"/>
                <w:szCs w:val="20"/>
              </w:rPr>
              <w:t>Dubinska obnova</w:t>
            </w:r>
          </w:p>
        </w:tc>
        <w:tc>
          <w:tcPr>
            <w:tcW w:w="437" w:type="pct"/>
            <w:vAlign w:val="center"/>
          </w:tcPr>
          <w:p w14:paraId="6724FE67"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0,15</w:t>
            </w:r>
          </w:p>
        </w:tc>
        <w:tc>
          <w:tcPr>
            <w:tcW w:w="437" w:type="pct"/>
            <w:vAlign w:val="center"/>
          </w:tcPr>
          <w:p w14:paraId="1140A524"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0,20</w:t>
            </w:r>
          </w:p>
        </w:tc>
        <w:tc>
          <w:tcPr>
            <w:tcW w:w="437" w:type="pct"/>
            <w:vAlign w:val="center"/>
          </w:tcPr>
          <w:p w14:paraId="780C02E2"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0,20</w:t>
            </w:r>
          </w:p>
        </w:tc>
        <w:tc>
          <w:tcPr>
            <w:tcW w:w="437" w:type="pct"/>
            <w:vAlign w:val="center"/>
          </w:tcPr>
          <w:p w14:paraId="7FD789C4"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0,21</w:t>
            </w:r>
          </w:p>
        </w:tc>
        <w:tc>
          <w:tcPr>
            <w:tcW w:w="437" w:type="pct"/>
            <w:vAlign w:val="center"/>
          </w:tcPr>
          <w:p w14:paraId="0ACD132D"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0,21</w:t>
            </w:r>
          </w:p>
        </w:tc>
        <w:tc>
          <w:tcPr>
            <w:tcW w:w="437" w:type="pct"/>
            <w:vAlign w:val="center"/>
          </w:tcPr>
          <w:p w14:paraId="78655945"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0,25</w:t>
            </w:r>
          </w:p>
        </w:tc>
        <w:tc>
          <w:tcPr>
            <w:tcW w:w="437" w:type="pct"/>
            <w:vAlign w:val="center"/>
          </w:tcPr>
          <w:p w14:paraId="631EA78C"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0,25</w:t>
            </w:r>
          </w:p>
        </w:tc>
        <w:tc>
          <w:tcPr>
            <w:tcW w:w="437" w:type="pct"/>
            <w:vAlign w:val="center"/>
          </w:tcPr>
          <w:p w14:paraId="2A0E8CE3"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0,29</w:t>
            </w:r>
          </w:p>
        </w:tc>
        <w:tc>
          <w:tcPr>
            <w:tcW w:w="437" w:type="pct"/>
            <w:vAlign w:val="center"/>
          </w:tcPr>
          <w:p w14:paraId="0B3FB0F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0,28</w:t>
            </w:r>
          </w:p>
        </w:tc>
      </w:tr>
      <w:tr w:rsidR="002B2BC2" w:rsidRPr="00904436" w14:paraId="3BF858CC"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539B5C8" w14:textId="77777777" w:rsidR="001B7733" w:rsidRPr="00904436" w:rsidRDefault="001B7733" w:rsidP="002D041B">
            <w:pPr>
              <w:spacing w:before="0" w:after="0"/>
              <w:jc w:val="left"/>
              <w:rPr>
                <w:rFonts w:cs="Tahoma"/>
                <w:color w:val="000000"/>
                <w:sz w:val="16"/>
                <w:szCs w:val="16"/>
                <w:lang w:eastAsia="hr-HR"/>
              </w:rPr>
            </w:pPr>
            <w:r w:rsidRPr="008D5514">
              <w:rPr>
                <w:b w:val="0"/>
                <w:bCs w:val="0"/>
                <w:sz w:val="16"/>
                <w:szCs w:val="20"/>
              </w:rPr>
              <w:t>Sveobuhvatna obnova</w:t>
            </w:r>
          </w:p>
        </w:tc>
        <w:tc>
          <w:tcPr>
            <w:tcW w:w="437" w:type="pct"/>
            <w:vAlign w:val="center"/>
          </w:tcPr>
          <w:p w14:paraId="7787A140"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0,19</w:t>
            </w:r>
          </w:p>
        </w:tc>
        <w:tc>
          <w:tcPr>
            <w:tcW w:w="437" w:type="pct"/>
            <w:vAlign w:val="center"/>
          </w:tcPr>
          <w:p w14:paraId="29420C10"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0,26</w:t>
            </w:r>
          </w:p>
        </w:tc>
        <w:tc>
          <w:tcPr>
            <w:tcW w:w="437" w:type="pct"/>
            <w:vAlign w:val="center"/>
          </w:tcPr>
          <w:p w14:paraId="65D5865F"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0,26</w:t>
            </w:r>
          </w:p>
        </w:tc>
        <w:tc>
          <w:tcPr>
            <w:tcW w:w="437" w:type="pct"/>
            <w:vAlign w:val="center"/>
          </w:tcPr>
          <w:p w14:paraId="4B90CC1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0,27</w:t>
            </w:r>
          </w:p>
        </w:tc>
        <w:tc>
          <w:tcPr>
            <w:tcW w:w="437" w:type="pct"/>
            <w:vAlign w:val="center"/>
          </w:tcPr>
          <w:p w14:paraId="0CF1950D"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0,27</w:t>
            </w:r>
          </w:p>
        </w:tc>
        <w:tc>
          <w:tcPr>
            <w:tcW w:w="437" w:type="pct"/>
            <w:vAlign w:val="center"/>
          </w:tcPr>
          <w:p w14:paraId="2AEFC447"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0,33</w:t>
            </w:r>
          </w:p>
        </w:tc>
        <w:tc>
          <w:tcPr>
            <w:tcW w:w="437" w:type="pct"/>
            <w:vAlign w:val="center"/>
          </w:tcPr>
          <w:p w14:paraId="4B49A63E"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0,32</w:t>
            </w:r>
          </w:p>
        </w:tc>
        <w:tc>
          <w:tcPr>
            <w:tcW w:w="437" w:type="pct"/>
            <w:vAlign w:val="center"/>
          </w:tcPr>
          <w:p w14:paraId="637B792E"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0,37</w:t>
            </w:r>
          </w:p>
        </w:tc>
        <w:tc>
          <w:tcPr>
            <w:tcW w:w="437" w:type="pct"/>
            <w:vAlign w:val="center"/>
          </w:tcPr>
          <w:p w14:paraId="12E4BFB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0,36</w:t>
            </w:r>
          </w:p>
        </w:tc>
      </w:tr>
      <w:tr w:rsidR="00732612" w:rsidRPr="00904436" w14:paraId="554428D8" w14:textId="77777777" w:rsidTr="008D041F">
        <w:trPr>
          <w:trHeight w:val="58"/>
        </w:trPr>
        <w:tc>
          <w:tcPr>
            <w:cnfStyle w:val="001000000000" w:firstRow="0" w:lastRow="0" w:firstColumn="1" w:lastColumn="0" w:oddVBand="0" w:evenVBand="0" w:oddHBand="0" w:evenHBand="0" w:firstRowFirstColumn="0" w:firstRowLastColumn="0" w:lastRowFirstColumn="0" w:lastRowLastColumn="0"/>
            <w:tcW w:w="0" w:type="pct"/>
            <w:vAlign w:val="center"/>
          </w:tcPr>
          <w:p w14:paraId="4512EC92" w14:textId="6F94AF43" w:rsidR="000B1900" w:rsidRPr="00904436" w:rsidRDefault="000B1900" w:rsidP="002D041B">
            <w:pPr>
              <w:spacing w:before="0" w:after="0"/>
              <w:jc w:val="left"/>
              <w:rPr>
                <w:rFonts w:cs="Tahoma"/>
                <w:color w:val="000000"/>
                <w:sz w:val="16"/>
                <w:szCs w:val="16"/>
                <w:lang w:eastAsia="hr-HR"/>
              </w:rPr>
            </w:pPr>
            <w:r w:rsidRPr="00904436">
              <w:rPr>
                <w:rFonts w:cs="Tahoma"/>
                <w:color w:val="000000"/>
                <w:sz w:val="16"/>
                <w:szCs w:val="16"/>
                <w:lang w:eastAsia="hr-HR"/>
              </w:rPr>
              <w:t>Ukupno 202</w:t>
            </w:r>
            <w:r>
              <w:rPr>
                <w:rFonts w:cs="Tahoma"/>
                <w:color w:val="000000"/>
                <w:sz w:val="16"/>
                <w:szCs w:val="16"/>
                <w:lang w:eastAsia="hr-HR"/>
              </w:rPr>
              <w:t>2</w:t>
            </w:r>
            <w:r w:rsidRPr="00904436">
              <w:rPr>
                <w:rFonts w:cs="Tahoma"/>
                <w:color w:val="000000"/>
                <w:sz w:val="16"/>
                <w:szCs w:val="16"/>
                <w:lang w:eastAsia="hr-HR"/>
              </w:rPr>
              <w:t>. -2030.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106CA648" w14:textId="77777777" w:rsidR="001B7733" w:rsidRPr="00904436" w:rsidRDefault="001B7733" w:rsidP="002D041B">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sidRPr="008D5514">
              <w:rPr>
                <w:rFonts w:cs="Tahoma"/>
                <w:b/>
                <w:bCs/>
                <w:color w:val="000000"/>
                <w:sz w:val="16"/>
                <w:szCs w:val="16"/>
                <w:lang w:eastAsia="hr-HR"/>
              </w:rPr>
              <w:t>9,07</w:t>
            </w:r>
          </w:p>
        </w:tc>
      </w:tr>
      <w:tr w:rsidR="00732612" w:rsidRPr="00904436" w14:paraId="0FCA1CB1" w14:textId="77777777" w:rsidTr="008D041F">
        <w:trPr>
          <w:trHeight w:val="58"/>
        </w:trPr>
        <w:tc>
          <w:tcPr>
            <w:cnfStyle w:val="001000000000" w:firstRow="0" w:lastRow="0" w:firstColumn="1" w:lastColumn="0" w:oddVBand="0" w:evenVBand="0" w:oddHBand="0" w:evenHBand="0" w:firstRowFirstColumn="0" w:firstRowLastColumn="0" w:lastRowFirstColumn="0" w:lastRowLastColumn="0"/>
            <w:tcW w:w="0" w:type="pct"/>
            <w:vAlign w:val="center"/>
          </w:tcPr>
          <w:p w14:paraId="661A7E0F" w14:textId="3864015A" w:rsidR="000B1900" w:rsidRPr="00904436" w:rsidRDefault="000B1900" w:rsidP="002D041B">
            <w:pPr>
              <w:spacing w:before="0" w:after="0"/>
              <w:jc w:val="left"/>
              <w:rPr>
                <w:rFonts w:cs="Tahoma"/>
                <w:color w:val="000000"/>
                <w:sz w:val="16"/>
                <w:szCs w:val="16"/>
                <w:lang w:eastAsia="hr-HR"/>
              </w:rPr>
            </w:pPr>
            <w:r w:rsidRPr="00904436">
              <w:rPr>
                <w:rFonts w:cs="Tahoma"/>
                <w:color w:val="000000"/>
                <w:sz w:val="16"/>
                <w:szCs w:val="16"/>
                <w:lang w:eastAsia="hr-HR"/>
              </w:rPr>
              <w:t>Ukupno 202</w:t>
            </w:r>
            <w:r>
              <w:rPr>
                <w:rFonts w:cs="Tahoma"/>
                <w:color w:val="000000"/>
                <w:sz w:val="16"/>
                <w:szCs w:val="16"/>
                <w:lang w:eastAsia="hr-HR"/>
              </w:rPr>
              <w:t>2</w:t>
            </w:r>
            <w:r w:rsidRPr="00904436">
              <w:rPr>
                <w:rFonts w:cs="Tahoma"/>
                <w:color w:val="000000"/>
                <w:sz w:val="16"/>
                <w:szCs w:val="16"/>
                <w:lang w:eastAsia="hr-HR"/>
              </w:rPr>
              <w:t>. -2024.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60BA0A3D" w14:textId="77777777" w:rsidR="001B7733" w:rsidRPr="00904436" w:rsidRDefault="001B7733" w:rsidP="00C300D1">
            <w:pPr>
              <w:keepNext/>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Pr>
                <w:rFonts w:cs="Tahoma"/>
                <w:b/>
                <w:bCs/>
                <w:color w:val="000000"/>
                <w:sz w:val="16"/>
                <w:szCs w:val="16"/>
                <w:lang w:eastAsia="hr-HR"/>
              </w:rPr>
              <w:t>2,44</w:t>
            </w:r>
          </w:p>
        </w:tc>
      </w:tr>
    </w:tbl>
    <w:p w14:paraId="7061D08D" w14:textId="68867089" w:rsidR="00AC1A85" w:rsidRPr="00840AB1" w:rsidRDefault="00CE4106" w:rsidP="00AC1A85">
      <w:r>
        <w:lastRenderedPageBreak/>
        <w:t xml:space="preserve">Navedene procjene investicijskih troškova </w:t>
      </w:r>
      <w:r w:rsidR="006C4230">
        <w:t xml:space="preserve">ukazuju da </w:t>
      </w:r>
      <w:r w:rsidR="006E6861">
        <w:t xml:space="preserve">će biti </w:t>
      </w:r>
      <w:r w:rsidR="00190CCF">
        <w:t xml:space="preserve">potrebno osigurati značajna </w:t>
      </w:r>
      <w:r w:rsidR="006E6861">
        <w:t xml:space="preserve">bespovratna </w:t>
      </w:r>
      <w:r w:rsidR="00190CCF">
        <w:t>sredstva za energetsku obnovu ZJS</w:t>
      </w:r>
      <w:r w:rsidR="006E6861">
        <w:t xml:space="preserve">. </w:t>
      </w:r>
      <w:r w:rsidR="00E004B9">
        <w:t>Scenariji i modeli financiranja navedeni ovim</w:t>
      </w:r>
      <w:r w:rsidR="006E6861">
        <w:t xml:space="preserve"> </w:t>
      </w:r>
      <w:r w:rsidR="00E004B9">
        <w:t xml:space="preserve">Programom su usklađeni s NPOO-om te </w:t>
      </w:r>
      <w:r w:rsidR="00953355">
        <w:t xml:space="preserve">obnova ZJS podrazumijeva </w:t>
      </w:r>
      <w:r w:rsidR="00953355" w:rsidRPr="00B357F4">
        <w:t>bespovratn</w:t>
      </w:r>
      <w:r w:rsidR="00953355">
        <w:t>a</w:t>
      </w:r>
      <w:r w:rsidR="00953355" w:rsidRPr="00B357F4">
        <w:t xml:space="preserve"> sredstva u iznosima od 60 do 80%</w:t>
      </w:r>
      <w:r w:rsidR="007325E8">
        <w:t xml:space="preserve"> investicijskih troškova</w:t>
      </w:r>
      <w:r w:rsidR="005E77A6">
        <w:t xml:space="preserve"> u razdoblju od 2022. do 2024. godine</w:t>
      </w:r>
      <w:r w:rsidR="007325E8">
        <w:t>.</w:t>
      </w:r>
      <w:r w:rsidR="00C773B2">
        <w:t xml:space="preserve"> P</w:t>
      </w:r>
      <w:r w:rsidR="009C604A">
        <w:t>ritom će se primarno koristiti sredstva dostupna u okviru Mehanizma za oporavak i otpornost te iz ESI</w:t>
      </w:r>
      <w:r w:rsidR="00FE732F">
        <w:t>F-a</w:t>
      </w:r>
      <w:r w:rsidR="009C604A">
        <w:t xml:space="preserve">, odnosno sredstva alocirana kroz NPOO i </w:t>
      </w:r>
      <w:r w:rsidR="00F91297">
        <w:t xml:space="preserve">buduće operativne programe za programsko razdoblje od 2021. do 2027. godine. </w:t>
      </w:r>
      <w:r w:rsidR="00AC1A85">
        <w:t xml:space="preserve">Tablica niže daje indikativan pregled </w:t>
      </w:r>
      <w:r w:rsidR="00A36257">
        <w:t xml:space="preserve">potrebnog udjela </w:t>
      </w:r>
      <w:r w:rsidR="00FE732F">
        <w:t xml:space="preserve">bespovratnih </w:t>
      </w:r>
      <w:r w:rsidR="00A36257">
        <w:t xml:space="preserve">sredstava s obzirom na iskazane investicijske potrebe </w:t>
      </w:r>
      <w:r w:rsidR="00BC4FEF">
        <w:t>te očekivane udjele obnove po kategorijama</w:t>
      </w:r>
      <w:r w:rsidR="009952C3">
        <w:t xml:space="preserve">, a udio potrebnih javnih sredstava do 2024. godine iznosi oko 1,7 milijardi </w:t>
      </w:r>
      <w:r w:rsidR="000E1A77">
        <w:t>kn</w:t>
      </w:r>
      <w:r w:rsidR="009952C3">
        <w:t xml:space="preserve">. </w:t>
      </w:r>
    </w:p>
    <w:p w14:paraId="2F3EDDE7" w14:textId="03E834EB" w:rsidR="002B34B7" w:rsidRPr="00840AB1" w:rsidRDefault="002B34B7" w:rsidP="002B34B7">
      <w:pPr>
        <w:pStyle w:val="Opisslike"/>
      </w:pPr>
      <w:bookmarkStart w:id="158" w:name="_Toc87949901"/>
      <w:r>
        <w:t xml:space="preserve">Tablica </w:t>
      </w:r>
      <w:r>
        <w:fldChar w:fldCharType="begin"/>
      </w:r>
      <w:r>
        <w:instrText>STYLEREF 1 \s</w:instrText>
      </w:r>
      <w:r>
        <w:fldChar w:fldCharType="separate"/>
      </w:r>
      <w:r w:rsidR="0023635D">
        <w:rPr>
          <w:noProof/>
        </w:rPr>
        <w:t>8</w:t>
      </w:r>
      <w:r>
        <w:fldChar w:fldCharType="end"/>
      </w:r>
      <w:r>
        <w:noBreakHyphen/>
      </w:r>
      <w:r>
        <w:fldChar w:fldCharType="begin"/>
      </w:r>
      <w:r>
        <w:instrText>SEQ Tablica \* ARABIC \s 1</w:instrText>
      </w:r>
      <w:r>
        <w:fldChar w:fldCharType="separate"/>
      </w:r>
      <w:r w:rsidR="0023635D">
        <w:rPr>
          <w:noProof/>
        </w:rPr>
        <w:t>3</w:t>
      </w:r>
      <w:r>
        <w:fldChar w:fldCharType="end"/>
      </w:r>
      <w:r>
        <w:t xml:space="preserve"> </w:t>
      </w:r>
      <w:r w:rsidRPr="00344AD8">
        <w:t xml:space="preserve">Procjena </w:t>
      </w:r>
      <w:r>
        <w:t xml:space="preserve">iznosa </w:t>
      </w:r>
      <w:r w:rsidR="00FE732F">
        <w:t xml:space="preserve">bespovratnih </w:t>
      </w:r>
      <w:r>
        <w:t>sredstava za</w:t>
      </w:r>
      <w:r w:rsidRPr="00344AD8">
        <w:t xml:space="preserve"> troš</w:t>
      </w:r>
      <w:r>
        <w:t>a</w:t>
      </w:r>
      <w:r w:rsidRPr="00344AD8">
        <w:t xml:space="preserve">k obnove ZJS do 2030. </w:t>
      </w:r>
      <w:r>
        <w:t>godine</w:t>
      </w:r>
      <w:bookmarkEnd w:id="158"/>
    </w:p>
    <w:tbl>
      <w:tblPr>
        <w:tblStyle w:val="Svijetlatablicareetke11"/>
        <w:tblW w:w="5007" w:type="pct"/>
        <w:tblLayout w:type="fixed"/>
        <w:tblLook w:val="04A0" w:firstRow="1" w:lastRow="0" w:firstColumn="1" w:lastColumn="0" w:noHBand="0" w:noVBand="1"/>
      </w:tblPr>
      <w:tblGrid>
        <w:gridCol w:w="1983"/>
        <w:gridCol w:w="817"/>
        <w:gridCol w:w="818"/>
        <w:gridCol w:w="818"/>
        <w:gridCol w:w="818"/>
        <w:gridCol w:w="818"/>
        <w:gridCol w:w="818"/>
        <w:gridCol w:w="818"/>
        <w:gridCol w:w="818"/>
        <w:gridCol w:w="818"/>
        <w:gridCol w:w="13"/>
      </w:tblGrid>
      <w:tr w:rsidR="00FE732F" w:rsidRPr="00904436" w14:paraId="52C83EDB" w14:textId="77777777" w:rsidTr="00FE732F">
        <w:trPr>
          <w:gridAfter w:val="1"/>
          <w:cnfStyle w:val="100000000000" w:firstRow="1" w:lastRow="0" w:firstColumn="0" w:lastColumn="0" w:oddVBand="0" w:evenVBand="0" w:oddHBand="0" w:evenHBand="0" w:firstRowFirstColumn="0" w:firstRowLastColumn="0" w:lastRowFirstColumn="0" w:lastRowLastColumn="0"/>
          <w:wAfter w:w="7" w:type="pct"/>
          <w:trHeight w:val="58"/>
        </w:trPr>
        <w:tc>
          <w:tcPr>
            <w:cnfStyle w:val="001000000000" w:firstRow="0" w:lastRow="0" w:firstColumn="1" w:lastColumn="0" w:oddVBand="0" w:evenVBand="0" w:oddHBand="0" w:evenHBand="0" w:firstRowFirstColumn="0" w:firstRowLastColumn="0" w:lastRowFirstColumn="0" w:lastRowLastColumn="0"/>
            <w:tcW w:w="1060" w:type="pct"/>
            <w:hideMark/>
          </w:tcPr>
          <w:p w14:paraId="646F2FF0" w14:textId="77777777" w:rsidR="00FE732F" w:rsidRPr="00904436" w:rsidRDefault="00FE732F" w:rsidP="000C488B">
            <w:pPr>
              <w:spacing w:before="0" w:after="0"/>
              <w:rPr>
                <w:rFonts w:cs="Tahoma"/>
                <w:color w:val="000000"/>
                <w:sz w:val="16"/>
                <w:szCs w:val="16"/>
                <w:lang w:eastAsia="hr-HR"/>
              </w:rPr>
            </w:pPr>
            <w:r w:rsidRPr="00904436">
              <w:rPr>
                <w:rFonts w:cs="Tahoma"/>
                <w:color w:val="000000"/>
                <w:sz w:val="16"/>
                <w:szCs w:val="16"/>
                <w:lang w:eastAsia="hr-HR"/>
              </w:rPr>
              <w:t> </w:t>
            </w:r>
          </w:p>
        </w:tc>
        <w:tc>
          <w:tcPr>
            <w:tcW w:w="437" w:type="pct"/>
            <w:hideMark/>
          </w:tcPr>
          <w:p w14:paraId="188F067F"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2022.</w:t>
            </w:r>
          </w:p>
        </w:tc>
        <w:tc>
          <w:tcPr>
            <w:tcW w:w="437" w:type="pct"/>
            <w:hideMark/>
          </w:tcPr>
          <w:p w14:paraId="41F8F6BA"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2023.</w:t>
            </w:r>
          </w:p>
        </w:tc>
        <w:tc>
          <w:tcPr>
            <w:tcW w:w="437" w:type="pct"/>
            <w:hideMark/>
          </w:tcPr>
          <w:p w14:paraId="071E0714"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2024.</w:t>
            </w:r>
          </w:p>
        </w:tc>
        <w:tc>
          <w:tcPr>
            <w:tcW w:w="437" w:type="pct"/>
            <w:hideMark/>
          </w:tcPr>
          <w:p w14:paraId="26024503"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2025.</w:t>
            </w:r>
          </w:p>
        </w:tc>
        <w:tc>
          <w:tcPr>
            <w:tcW w:w="437" w:type="pct"/>
            <w:hideMark/>
          </w:tcPr>
          <w:p w14:paraId="401E4727"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2026.</w:t>
            </w:r>
          </w:p>
        </w:tc>
        <w:tc>
          <w:tcPr>
            <w:tcW w:w="437" w:type="pct"/>
            <w:hideMark/>
          </w:tcPr>
          <w:p w14:paraId="649C6C72"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2027.</w:t>
            </w:r>
          </w:p>
        </w:tc>
        <w:tc>
          <w:tcPr>
            <w:tcW w:w="437" w:type="pct"/>
            <w:hideMark/>
          </w:tcPr>
          <w:p w14:paraId="5FF943FA"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2028.</w:t>
            </w:r>
          </w:p>
        </w:tc>
        <w:tc>
          <w:tcPr>
            <w:tcW w:w="437" w:type="pct"/>
            <w:hideMark/>
          </w:tcPr>
          <w:p w14:paraId="78B1C39B"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2029.</w:t>
            </w:r>
          </w:p>
        </w:tc>
        <w:tc>
          <w:tcPr>
            <w:tcW w:w="437" w:type="pct"/>
            <w:hideMark/>
          </w:tcPr>
          <w:p w14:paraId="56A9FFD4"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2030.</w:t>
            </w:r>
          </w:p>
        </w:tc>
      </w:tr>
      <w:tr w:rsidR="00FE732F" w:rsidRPr="00904436" w14:paraId="22ECEEC9"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hideMark/>
          </w:tcPr>
          <w:p w14:paraId="67204567" w14:textId="77777777" w:rsidR="00FE732F" w:rsidRPr="00904436" w:rsidRDefault="00FE732F" w:rsidP="00FE732F">
            <w:pPr>
              <w:spacing w:before="0" w:after="0"/>
              <w:jc w:val="left"/>
              <w:rPr>
                <w:rFonts w:cs="Tahoma"/>
                <w:color w:val="000000"/>
                <w:sz w:val="16"/>
                <w:szCs w:val="16"/>
                <w:lang w:eastAsia="hr-HR"/>
              </w:rPr>
            </w:pPr>
            <w:r w:rsidRPr="00904436">
              <w:rPr>
                <w:rFonts w:cs="Tahoma"/>
                <w:color w:val="000000"/>
                <w:sz w:val="16"/>
                <w:szCs w:val="16"/>
                <w:lang w:eastAsia="hr-HR"/>
              </w:rPr>
              <w:t>Trošak [</w:t>
            </w:r>
            <w:r>
              <w:rPr>
                <w:rFonts w:cs="Tahoma"/>
                <w:color w:val="000000"/>
                <w:sz w:val="16"/>
                <w:szCs w:val="16"/>
                <w:lang w:eastAsia="hr-HR"/>
              </w:rPr>
              <w:t>milijardi</w:t>
            </w:r>
            <w:r w:rsidRPr="00904436">
              <w:rPr>
                <w:rFonts w:cs="Tahoma"/>
                <w:color w:val="000000"/>
                <w:sz w:val="16"/>
                <w:szCs w:val="16"/>
                <w:lang w:eastAsia="hr-HR"/>
              </w:rPr>
              <w:t xml:space="preserve"> kn]</w:t>
            </w:r>
          </w:p>
        </w:tc>
        <w:tc>
          <w:tcPr>
            <w:tcW w:w="437" w:type="pct"/>
            <w:vAlign w:val="center"/>
            <w:hideMark/>
          </w:tcPr>
          <w:p w14:paraId="5C136532" w14:textId="51796268"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46</w:t>
            </w:r>
          </w:p>
        </w:tc>
        <w:tc>
          <w:tcPr>
            <w:tcW w:w="437" w:type="pct"/>
            <w:vAlign w:val="center"/>
            <w:hideMark/>
          </w:tcPr>
          <w:p w14:paraId="6F1E14C4" w14:textId="2FFDDAF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63</w:t>
            </w:r>
          </w:p>
        </w:tc>
        <w:tc>
          <w:tcPr>
            <w:tcW w:w="437" w:type="pct"/>
            <w:vAlign w:val="center"/>
            <w:hideMark/>
          </w:tcPr>
          <w:p w14:paraId="700F88BA" w14:textId="3DF40B7C"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62</w:t>
            </w:r>
          </w:p>
        </w:tc>
        <w:tc>
          <w:tcPr>
            <w:tcW w:w="437" w:type="pct"/>
            <w:vAlign w:val="center"/>
            <w:hideMark/>
          </w:tcPr>
          <w:p w14:paraId="1EFD4C92" w14:textId="5669790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66</w:t>
            </w:r>
          </w:p>
        </w:tc>
        <w:tc>
          <w:tcPr>
            <w:tcW w:w="437" w:type="pct"/>
            <w:vAlign w:val="center"/>
            <w:hideMark/>
          </w:tcPr>
          <w:p w14:paraId="766F4066" w14:textId="7C5FD732"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65</w:t>
            </w:r>
          </w:p>
        </w:tc>
        <w:tc>
          <w:tcPr>
            <w:tcW w:w="437" w:type="pct"/>
            <w:vAlign w:val="center"/>
            <w:hideMark/>
          </w:tcPr>
          <w:p w14:paraId="25066E36" w14:textId="513454C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0,79</w:t>
            </w:r>
          </w:p>
        </w:tc>
        <w:tc>
          <w:tcPr>
            <w:tcW w:w="437" w:type="pct"/>
            <w:vAlign w:val="center"/>
            <w:hideMark/>
          </w:tcPr>
          <w:p w14:paraId="02BEC97D" w14:textId="38C6974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0,77</w:t>
            </w:r>
          </w:p>
        </w:tc>
        <w:tc>
          <w:tcPr>
            <w:tcW w:w="437" w:type="pct"/>
            <w:vAlign w:val="center"/>
            <w:hideMark/>
          </w:tcPr>
          <w:p w14:paraId="6C4478E7" w14:textId="5FA6248C"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0,90</w:t>
            </w:r>
          </w:p>
        </w:tc>
        <w:tc>
          <w:tcPr>
            <w:tcW w:w="437" w:type="pct"/>
            <w:vAlign w:val="center"/>
            <w:hideMark/>
          </w:tcPr>
          <w:p w14:paraId="19DF347A" w14:textId="03D4F42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0,88</w:t>
            </w:r>
          </w:p>
        </w:tc>
      </w:tr>
      <w:tr w:rsidR="00FE732F" w:rsidRPr="00904436" w14:paraId="5BA4FD16"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76914CEA" w14:textId="77777777" w:rsidR="00FE732F" w:rsidRPr="00904436" w:rsidRDefault="00FE732F" w:rsidP="00FE732F">
            <w:pPr>
              <w:spacing w:before="0" w:after="0"/>
              <w:jc w:val="left"/>
              <w:rPr>
                <w:rFonts w:cs="Tahoma"/>
                <w:color w:val="000000"/>
                <w:sz w:val="16"/>
                <w:szCs w:val="16"/>
                <w:lang w:eastAsia="hr-HR"/>
              </w:rPr>
            </w:pPr>
            <w:r w:rsidRPr="008D5514">
              <w:rPr>
                <w:b w:val="0"/>
                <w:bCs w:val="0"/>
                <w:sz w:val="16"/>
                <w:szCs w:val="20"/>
              </w:rPr>
              <w:t>Integralna energetska obnova</w:t>
            </w:r>
          </w:p>
        </w:tc>
        <w:tc>
          <w:tcPr>
            <w:tcW w:w="437" w:type="pct"/>
            <w:vAlign w:val="center"/>
          </w:tcPr>
          <w:p w14:paraId="3F409A2E" w14:textId="734F8A0F"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19</w:t>
            </w:r>
          </w:p>
        </w:tc>
        <w:tc>
          <w:tcPr>
            <w:tcW w:w="437" w:type="pct"/>
            <w:vAlign w:val="center"/>
          </w:tcPr>
          <w:p w14:paraId="2C67A337" w14:textId="4D70443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1EED39EB" w14:textId="66F56850"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0DD3A40C" w14:textId="6FAFB4B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27</w:t>
            </w:r>
          </w:p>
        </w:tc>
        <w:tc>
          <w:tcPr>
            <w:tcW w:w="437" w:type="pct"/>
            <w:vAlign w:val="center"/>
          </w:tcPr>
          <w:p w14:paraId="0B491244" w14:textId="42B44FF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27</w:t>
            </w:r>
          </w:p>
        </w:tc>
        <w:tc>
          <w:tcPr>
            <w:tcW w:w="437" w:type="pct"/>
            <w:vAlign w:val="center"/>
          </w:tcPr>
          <w:p w14:paraId="0D4E6D22" w14:textId="1A6C398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33</w:t>
            </w:r>
          </w:p>
        </w:tc>
        <w:tc>
          <w:tcPr>
            <w:tcW w:w="437" w:type="pct"/>
            <w:vAlign w:val="center"/>
          </w:tcPr>
          <w:p w14:paraId="14BD6E32" w14:textId="44E6D8F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32</w:t>
            </w:r>
          </w:p>
        </w:tc>
        <w:tc>
          <w:tcPr>
            <w:tcW w:w="437" w:type="pct"/>
            <w:vAlign w:val="center"/>
          </w:tcPr>
          <w:p w14:paraId="42393A86" w14:textId="671F348E"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37</w:t>
            </w:r>
          </w:p>
        </w:tc>
        <w:tc>
          <w:tcPr>
            <w:tcW w:w="437" w:type="pct"/>
            <w:vAlign w:val="center"/>
          </w:tcPr>
          <w:p w14:paraId="2886EFA9" w14:textId="333012D7"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36</w:t>
            </w:r>
          </w:p>
        </w:tc>
      </w:tr>
      <w:tr w:rsidR="00FE732F" w:rsidRPr="00904436" w14:paraId="0113C90F"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38E14E6" w14:textId="77777777" w:rsidR="00FE732F" w:rsidRPr="00904436" w:rsidRDefault="00FE732F" w:rsidP="00FE732F">
            <w:pPr>
              <w:spacing w:before="0" w:after="0"/>
              <w:jc w:val="left"/>
              <w:rPr>
                <w:rFonts w:cs="Tahoma"/>
                <w:color w:val="000000"/>
                <w:sz w:val="16"/>
                <w:szCs w:val="16"/>
                <w:lang w:eastAsia="hr-HR"/>
              </w:rPr>
            </w:pPr>
            <w:r w:rsidRPr="008D5514">
              <w:rPr>
                <w:b w:val="0"/>
                <w:bCs w:val="0"/>
                <w:sz w:val="16"/>
                <w:szCs w:val="20"/>
              </w:rPr>
              <w:t>Dubinska obnova</w:t>
            </w:r>
          </w:p>
        </w:tc>
        <w:tc>
          <w:tcPr>
            <w:tcW w:w="437" w:type="pct"/>
            <w:vAlign w:val="center"/>
          </w:tcPr>
          <w:p w14:paraId="5CC4A893" w14:textId="0B4814F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12</w:t>
            </w:r>
          </w:p>
        </w:tc>
        <w:tc>
          <w:tcPr>
            <w:tcW w:w="437" w:type="pct"/>
            <w:vAlign w:val="center"/>
          </w:tcPr>
          <w:p w14:paraId="7F83F441" w14:textId="6759873F"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16</w:t>
            </w:r>
          </w:p>
        </w:tc>
        <w:tc>
          <w:tcPr>
            <w:tcW w:w="437" w:type="pct"/>
            <w:vAlign w:val="center"/>
          </w:tcPr>
          <w:p w14:paraId="043E4E30" w14:textId="70A66037"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16</w:t>
            </w:r>
          </w:p>
        </w:tc>
        <w:tc>
          <w:tcPr>
            <w:tcW w:w="437" w:type="pct"/>
            <w:vAlign w:val="center"/>
          </w:tcPr>
          <w:p w14:paraId="654A428E" w14:textId="39C60023"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17</w:t>
            </w:r>
          </w:p>
        </w:tc>
        <w:tc>
          <w:tcPr>
            <w:tcW w:w="437" w:type="pct"/>
            <w:vAlign w:val="center"/>
          </w:tcPr>
          <w:p w14:paraId="6CE8277C" w14:textId="7C0016C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17</w:t>
            </w:r>
          </w:p>
        </w:tc>
        <w:tc>
          <w:tcPr>
            <w:tcW w:w="437" w:type="pct"/>
            <w:vAlign w:val="center"/>
          </w:tcPr>
          <w:p w14:paraId="213FC173" w14:textId="2A75D45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20</w:t>
            </w:r>
          </w:p>
        </w:tc>
        <w:tc>
          <w:tcPr>
            <w:tcW w:w="437" w:type="pct"/>
            <w:vAlign w:val="center"/>
          </w:tcPr>
          <w:p w14:paraId="25ED26EE" w14:textId="0560BD2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20</w:t>
            </w:r>
          </w:p>
        </w:tc>
        <w:tc>
          <w:tcPr>
            <w:tcW w:w="437" w:type="pct"/>
            <w:vAlign w:val="center"/>
          </w:tcPr>
          <w:p w14:paraId="15FB3D3F" w14:textId="4C821F8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23</w:t>
            </w:r>
          </w:p>
        </w:tc>
        <w:tc>
          <w:tcPr>
            <w:tcW w:w="437" w:type="pct"/>
            <w:vAlign w:val="center"/>
          </w:tcPr>
          <w:p w14:paraId="626969FC" w14:textId="3701533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22</w:t>
            </w:r>
          </w:p>
        </w:tc>
      </w:tr>
      <w:tr w:rsidR="00FE732F" w:rsidRPr="00904436" w14:paraId="71A926F6"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F14F620" w14:textId="77777777" w:rsidR="00FE732F" w:rsidRPr="00904436" w:rsidRDefault="00FE732F" w:rsidP="00FE732F">
            <w:pPr>
              <w:spacing w:before="0" w:after="0"/>
              <w:jc w:val="left"/>
              <w:rPr>
                <w:rFonts w:cs="Tahoma"/>
                <w:color w:val="000000"/>
                <w:sz w:val="16"/>
                <w:szCs w:val="16"/>
                <w:lang w:eastAsia="hr-HR"/>
              </w:rPr>
            </w:pPr>
            <w:r w:rsidRPr="008D5514">
              <w:rPr>
                <w:b w:val="0"/>
                <w:bCs w:val="0"/>
                <w:sz w:val="16"/>
                <w:szCs w:val="20"/>
              </w:rPr>
              <w:t>Sveobuhvatna obnova</w:t>
            </w:r>
          </w:p>
        </w:tc>
        <w:tc>
          <w:tcPr>
            <w:tcW w:w="437" w:type="pct"/>
            <w:vAlign w:val="center"/>
          </w:tcPr>
          <w:p w14:paraId="123313E1" w14:textId="48E1590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15</w:t>
            </w:r>
          </w:p>
        </w:tc>
        <w:tc>
          <w:tcPr>
            <w:tcW w:w="437" w:type="pct"/>
            <w:vAlign w:val="center"/>
          </w:tcPr>
          <w:p w14:paraId="4C8E4D1E" w14:textId="48C9675E"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21</w:t>
            </w:r>
          </w:p>
        </w:tc>
        <w:tc>
          <w:tcPr>
            <w:tcW w:w="437" w:type="pct"/>
            <w:vAlign w:val="center"/>
          </w:tcPr>
          <w:p w14:paraId="0A316273" w14:textId="718F618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21</w:t>
            </w:r>
          </w:p>
        </w:tc>
        <w:tc>
          <w:tcPr>
            <w:tcW w:w="437" w:type="pct"/>
            <w:vAlign w:val="center"/>
          </w:tcPr>
          <w:p w14:paraId="239A947F" w14:textId="249C825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22</w:t>
            </w:r>
          </w:p>
        </w:tc>
        <w:tc>
          <w:tcPr>
            <w:tcW w:w="437" w:type="pct"/>
            <w:vAlign w:val="center"/>
          </w:tcPr>
          <w:p w14:paraId="7C3F80E2" w14:textId="2340C31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21</w:t>
            </w:r>
          </w:p>
        </w:tc>
        <w:tc>
          <w:tcPr>
            <w:tcW w:w="437" w:type="pct"/>
            <w:vAlign w:val="center"/>
          </w:tcPr>
          <w:p w14:paraId="2B405983" w14:textId="7D284180"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5EB6B05C" w14:textId="37EE4E0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219894FD" w14:textId="5A1DB5CE"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30</w:t>
            </w:r>
          </w:p>
        </w:tc>
        <w:tc>
          <w:tcPr>
            <w:tcW w:w="437" w:type="pct"/>
            <w:vAlign w:val="center"/>
          </w:tcPr>
          <w:p w14:paraId="75986009" w14:textId="6E13D79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29</w:t>
            </w:r>
          </w:p>
        </w:tc>
      </w:tr>
      <w:tr w:rsidR="00CF4F20" w:rsidRPr="00904436" w14:paraId="1F7E60C1" w14:textId="77777777" w:rsidTr="00FE732F">
        <w:trPr>
          <w:trHeight w:val="58"/>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0148A894" w14:textId="77777777" w:rsidR="00CF4F20" w:rsidRPr="00904436" w:rsidRDefault="00CF4F20" w:rsidP="00CF4F20">
            <w:pPr>
              <w:spacing w:before="0" w:after="0"/>
              <w:jc w:val="left"/>
              <w:rPr>
                <w:rFonts w:cs="Tahoma"/>
                <w:color w:val="000000"/>
                <w:sz w:val="16"/>
                <w:szCs w:val="16"/>
                <w:lang w:eastAsia="hr-HR"/>
              </w:rPr>
            </w:pPr>
            <w:r w:rsidRPr="00904436">
              <w:rPr>
                <w:rFonts w:cs="Tahoma"/>
                <w:color w:val="000000"/>
                <w:sz w:val="16"/>
                <w:szCs w:val="16"/>
                <w:lang w:eastAsia="hr-HR"/>
              </w:rPr>
              <w:t>Ukupno 202</w:t>
            </w:r>
            <w:r>
              <w:rPr>
                <w:rFonts w:cs="Tahoma"/>
                <w:color w:val="000000"/>
                <w:sz w:val="16"/>
                <w:szCs w:val="16"/>
                <w:lang w:eastAsia="hr-HR"/>
              </w:rPr>
              <w:t>2</w:t>
            </w:r>
            <w:r w:rsidRPr="00904436">
              <w:rPr>
                <w:rFonts w:cs="Tahoma"/>
                <w:color w:val="000000"/>
                <w:sz w:val="16"/>
                <w:szCs w:val="16"/>
                <w:lang w:eastAsia="hr-HR"/>
              </w:rPr>
              <w:t>. -2030.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5B77D6F5" w14:textId="6DBBE3B6" w:rsidR="00CF4F20" w:rsidRPr="00904436" w:rsidRDefault="00CF4F20" w:rsidP="00CF4F20">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Pr>
                <w:rFonts w:cs="Tahoma"/>
                <w:b/>
                <w:bCs/>
                <w:color w:val="000000"/>
                <w:sz w:val="16"/>
                <w:szCs w:val="16"/>
                <w:lang w:eastAsia="hr-HR"/>
              </w:rPr>
              <w:t>6,38</w:t>
            </w:r>
          </w:p>
        </w:tc>
      </w:tr>
      <w:tr w:rsidR="00CF4F20" w:rsidRPr="00904436" w14:paraId="3999AF8D" w14:textId="77777777" w:rsidTr="00FE732F">
        <w:trPr>
          <w:trHeight w:val="58"/>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4E5292B2" w14:textId="77777777" w:rsidR="00CF4F20" w:rsidRPr="00904436" w:rsidRDefault="00CF4F20" w:rsidP="00CF4F20">
            <w:pPr>
              <w:spacing w:before="0" w:after="0"/>
              <w:jc w:val="left"/>
              <w:rPr>
                <w:rFonts w:cs="Tahoma"/>
                <w:color w:val="000000"/>
                <w:sz w:val="16"/>
                <w:szCs w:val="16"/>
                <w:lang w:eastAsia="hr-HR"/>
              </w:rPr>
            </w:pPr>
            <w:r w:rsidRPr="00904436">
              <w:rPr>
                <w:rFonts w:cs="Tahoma"/>
                <w:color w:val="000000"/>
                <w:sz w:val="16"/>
                <w:szCs w:val="16"/>
                <w:lang w:eastAsia="hr-HR"/>
              </w:rPr>
              <w:t>Ukupno 202</w:t>
            </w:r>
            <w:r>
              <w:rPr>
                <w:rFonts w:cs="Tahoma"/>
                <w:color w:val="000000"/>
                <w:sz w:val="16"/>
                <w:szCs w:val="16"/>
                <w:lang w:eastAsia="hr-HR"/>
              </w:rPr>
              <w:t>2</w:t>
            </w:r>
            <w:r w:rsidRPr="00904436">
              <w:rPr>
                <w:rFonts w:cs="Tahoma"/>
                <w:color w:val="000000"/>
                <w:sz w:val="16"/>
                <w:szCs w:val="16"/>
                <w:lang w:eastAsia="hr-HR"/>
              </w:rPr>
              <w:t>. -2024.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50D2948C" w14:textId="5E16CC5A" w:rsidR="00CF4F20" w:rsidRPr="00904436" w:rsidRDefault="00CF4F20" w:rsidP="00CF4F20">
            <w:pPr>
              <w:keepNext/>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Pr>
                <w:rFonts w:cs="Tahoma"/>
                <w:b/>
                <w:bCs/>
                <w:color w:val="000000"/>
                <w:sz w:val="16"/>
                <w:szCs w:val="16"/>
                <w:lang w:eastAsia="hr-HR"/>
              </w:rPr>
              <w:t>1,72</w:t>
            </w:r>
          </w:p>
        </w:tc>
      </w:tr>
    </w:tbl>
    <w:p w14:paraId="6F8E844B" w14:textId="77777777" w:rsidR="00492F0C" w:rsidRPr="00B357F4" w:rsidRDefault="70D1CD6D" w:rsidP="00492F0C">
      <w:pPr>
        <w:pStyle w:val="Naslov20"/>
      </w:pPr>
      <w:bookmarkStart w:id="159" w:name="_Ref82873979"/>
      <w:bookmarkStart w:id="160" w:name="_Toc94770028"/>
      <w:r w:rsidRPr="00971F9E">
        <w:t>Mogućnosti financiranja iz dostupnih sredstava</w:t>
      </w:r>
      <w:bookmarkEnd w:id="159"/>
      <w:bookmarkEnd w:id="160"/>
    </w:p>
    <w:p w14:paraId="391E4B02" w14:textId="0829772B" w:rsidR="00253877" w:rsidRPr="00B357F4" w:rsidRDefault="00253877" w:rsidP="00253877">
      <w:pPr>
        <w:rPr>
          <w:lang w:eastAsia="hr-HR"/>
        </w:rPr>
      </w:pPr>
      <w:r w:rsidRPr="00B357F4">
        <w:rPr>
          <w:lang w:eastAsia="hr-HR"/>
        </w:rPr>
        <w:t xml:space="preserve">Dosadašnja iskustva obnove, osobito u javnom sektoru, ukazuju na postojanje velikog broja prepreka koje sprječavaju bržu provedbu energetske obnove te su detaljnije opisane u poglavlju 4. Osim administrativnog opterećenja, provedbu obnove zgrada javnog sektora vrlo često koče i financijska ograničenja koja se najčešće očituju kroz ograničena javna sredstva, visok stupanj zaduženosti javnog sektora i pružatelja energetske usluge te manjak adekvatnih financijskih instrumenata kojima bi se potaknula ulaganja. Dodatno, dostupna javna sredstva, kao niti njihova bespovratna komponenta, se do sada nisu pokazala kao dovoljna za značajniju mobilizaciju privatnih sredstava u projekte energetske obnove, a slična iskustva dijele i druge članice EU. </w:t>
      </w:r>
    </w:p>
    <w:p w14:paraId="5A305980" w14:textId="77777777" w:rsidR="00253877" w:rsidRPr="005233CF" w:rsidRDefault="00253877" w:rsidP="00253877">
      <w:pPr>
        <w:rPr>
          <w:lang w:eastAsia="hr-HR"/>
        </w:rPr>
      </w:pPr>
      <w:r w:rsidRPr="00B357F4">
        <w:rPr>
          <w:lang w:eastAsia="hr-HR"/>
        </w:rPr>
        <w:t>Plan ulaganja za održivu Europu</w:t>
      </w:r>
      <w:r w:rsidRPr="006734C7">
        <w:rPr>
          <w:vertAlign w:val="superscript"/>
          <w:lang w:eastAsia="hr-HR"/>
        </w:rPr>
        <w:footnoteReference w:id="24"/>
      </w:r>
      <w:r w:rsidRPr="006734C7">
        <w:rPr>
          <w:lang w:eastAsia="hr-HR"/>
        </w:rPr>
        <w:t>, koji čini investicijsku komponentu europskog zelenog plana, stavlja naglasak na poticanje mobilizacije sredstava privatnog sektora za održiva ulaganja putem EU proračuna i povezanih instrumenata koji osim atraktivnih financijskih proizvoda u</w:t>
      </w:r>
      <w:r w:rsidRPr="00203A80">
        <w:rPr>
          <w:lang w:eastAsia="hr-HR"/>
        </w:rPr>
        <w:t xml:space="preserve">ključuju i proračunska jamstva. </w:t>
      </w:r>
    </w:p>
    <w:p w14:paraId="0BE6722C" w14:textId="77777777" w:rsidR="00253877" w:rsidRPr="00B357F4" w:rsidRDefault="00253877" w:rsidP="00253877">
      <w:pPr>
        <w:rPr>
          <w:lang w:eastAsia="hr-HR"/>
        </w:rPr>
      </w:pPr>
      <w:r w:rsidRPr="00971F9E">
        <w:rPr>
          <w:lang w:eastAsia="hr-HR"/>
        </w:rPr>
        <w:t>Dostupna bespovratna sredstva dodijeljena Hrvatskoj kroz VFO i NPOO neće biti dostatna za provedbu investicije predviđene ovim Programom pa se korištenje financijskih instrumenata djelomično financiranih iz dostupnih EU sre</w:t>
      </w:r>
      <w:r w:rsidRPr="00B357F4">
        <w:rPr>
          <w:lang w:eastAsia="hr-HR"/>
        </w:rPr>
        <w:t xml:space="preserve">dstava nameće kao rješenje za postizanje zacrtanih ciljeva. </w:t>
      </w:r>
    </w:p>
    <w:p w14:paraId="22B6C054" w14:textId="28EA19D7" w:rsidR="00253877" w:rsidRPr="00B357F4" w:rsidRDefault="00253877" w:rsidP="00253877">
      <w:pPr>
        <w:rPr>
          <w:lang w:eastAsia="hr-HR"/>
        </w:rPr>
      </w:pPr>
      <w:r w:rsidRPr="00B357F4">
        <w:rPr>
          <w:lang w:eastAsia="hr-HR"/>
        </w:rPr>
        <w:t xml:space="preserve">Mogući načini financiranja i sufinanciranja obnove zgrada javnog sektora, a koji nisu bespovratna sredstva, kao i inozemna iskustva financiranja su navedena u nastavku. </w:t>
      </w:r>
    </w:p>
    <w:p w14:paraId="73B0A402" w14:textId="139CB95E" w:rsidR="00253877" w:rsidRPr="00B357F4" w:rsidRDefault="009B1E36" w:rsidP="00253877">
      <w:pPr>
        <w:rPr>
          <w:b/>
          <w:color w:val="C00000"/>
          <w:sz w:val="24"/>
          <w:lang w:eastAsia="hr-HR"/>
        </w:rPr>
      </w:pPr>
      <w:r w:rsidRPr="00B357F4">
        <w:rPr>
          <w:b/>
          <w:color w:val="C00000"/>
          <w:sz w:val="24"/>
          <w:lang w:eastAsia="hr-HR"/>
        </w:rPr>
        <w:t>8.2.1</w:t>
      </w:r>
      <w:r w:rsidRPr="00B357F4">
        <w:rPr>
          <w:b/>
          <w:color w:val="C00000"/>
          <w:sz w:val="24"/>
          <w:lang w:eastAsia="hr-HR"/>
        </w:rPr>
        <w:tab/>
        <w:t>Izvori financiranja energetske obnove zgrada javnog sektora u Republici Hrvatskoj</w:t>
      </w:r>
    </w:p>
    <w:p w14:paraId="2F86BE1D" w14:textId="77777777" w:rsidR="00DF5CE6" w:rsidRPr="00B357F4" w:rsidRDefault="56B2E153" w:rsidP="00DF5CE6">
      <w:pPr>
        <w:numPr>
          <w:ilvl w:val="0"/>
          <w:numId w:val="70"/>
        </w:numPr>
        <w:rPr>
          <w:b/>
          <w:lang w:eastAsia="hr-HR"/>
        </w:rPr>
      </w:pPr>
      <w:r w:rsidRPr="00B357F4">
        <w:rPr>
          <w:b/>
          <w:lang w:eastAsia="hr-HR"/>
        </w:rPr>
        <w:t xml:space="preserve">Hrvatska banka za obnovu i razvitak (HBOR) </w:t>
      </w:r>
    </w:p>
    <w:p w14:paraId="008583C7" w14:textId="0F1A8DF5" w:rsidR="00F63ADD" w:rsidRPr="00B357F4" w:rsidRDefault="00DF5CE6" w:rsidP="00F63ADD">
      <w:pPr>
        <w:rPr>
          <w:b/>
        </w:rPr>
      </w:pPr>
      <w:r w:rsidRPr="00B357F4">
        <w:rPr>
          <w:lang w:eastAsia="hr-HR"/>
        </w:rPr>
        <w:t xml:space="preserve">HBOR je razvojna i izvozna banka osnovana sa svrhom kreditiranja obnove i razvitka hrvatskog gospodarstva. Za pružanje financijske potpore i poticanje ulaganja u projekte zaštite okoliša, energetske učinkovitosti i korištenja obnovljivih izvora energije tijekom proteklog višegodišnjeg proračunskog razdoblja (2014. – 2020.) uvedeni su posebni financijski instrumenti, tzv. ESIF krediti, čija je provedba financirana iz Operativnog programa Konkurentnost i kohezija 2014.-2020. Od posebnog interesa za ovaj Program je ESIF kredit za energetsku učinkovitost u zgradama javnog sektora namijenjen korisnicima iz javnog sektora za financiranje vlastite komponente troškova provedbe projekata odobrenih u okviru Poziva „Energetska obnova i korištenje obnovljivih izvora energije u zgradama javnog sektora“. Osim navedenog kredita, javnom sektoru su bili dostupni i krediti za financiranje vlastite komponente investicijskih ulaganja s ciljevima poticanja projekata zaštite okoliša, energetske učinkovitosti i obnovljivih izvora energije te općenito izgradnje društvene i poslovne infrastrukture. </w:t>
      </w:r>
    </w:p>
    <w:p w14:paraId="1D1D082A" w14:textId="77777777" w:rsidR="00F63ADD" w:rsidRPr="00B357F4" w:rsidRDefault="3C9A4BC4" w:rsidP="00F63ADD">
      <w:pPr>
        <w:keepLines/>
        <w:numPr>
          <w:ilvl w:val="0"/>
          <w:numId w:val="71"/>
        </w:numPr>
        <w:suppressAutoHyphens/>
        <w:spacing w:before="60" w:after="60"/>
        <w:rPr>
          <w:b/>
          <w:lang w:eastAsia="hr-HR"/>
        </w:rPr>
      </w:pPr>
      <w:r w:rsidRPr="00B357F4">
        <w:rPr>
          <w:b/>
          <w:lang w:eastAsia="hr-HR"/>
        </w:rPr>
        <w:t xml:space="preserve">Fond za zaštitu okoliša i energetsku učinkovitost (FZOEU) </w:t>
      </w:r>
    </w:p>
    <w:p w14:paraId="7DCF06CD" w14:textId="77777777" w:rsidR="00F63ADD" w:rsidRPr="00B357F4" w:rsidRDefault="00F63ADD" w:rsidP="00F63ADD">
      <w:r w:rsidRPr="00B357F4">
        <w:lastRenderedPageBreak/>
        <w:t xml:space="preserve">Fond za zaštitu okoliša i energetsku učinkovitost osnovan je kao izvanproračunski fond sa ciljem sudjelovanja svojim sredstvima u financiranju nacionalnih energetskih programa imajući u vidu postizanje energetske učinkovitosti, odnosno korištenja obnovljivih izvora energije te zaštitu okoliša.  </w:t>
      </w:r>
    </w:p>
    <w:p w14:paraId="0A44E01F" w14:textId="58CC4FAE" w:rsidR="00F63ADD" w:rsidRPr="006734C7" w:rsidRDefault="681FA09D" w:rsidP="00F63ADD">
      <w:r w:rsidRPr="00B357F4">
        <w:t xml:space="preserve">U energetskoj učinkovitosti zgrada javnog sektora Fond sudjeluje na dva načina: putem javnog natječaja za sufinanciranje energetske obnove nestambenih zgrada te putem sufinanciranja pružatelja energetske usluge prema Programu energetske obnove zgrada javnog sektora kojeg </w:t>
      </w:r>
      <w:r w:rsidR="006B70A6">
        <w:t xml:space="preserve">zajedno s ministarstvom nadležnim za graditeljstvo </w:t>
      </w:r>
      <w:r w:rsidRPr="00B357F4">
        <w:t>provodi APN.</w:t>
      </w:r>
      <w:r w:rsidR="00C63BA3">
        <w:t xml:space="preserve"> U okviru NPOO, FZOEU je provedbeno tijelo </w:t>
      </w:r>
      <w:r w:rsidR="0050740D">
        <w:t xml:space="preserve">te </w:t>
      </w:r>
      <w:r w:rsidR="00DF218E" w:rsidRPr="00DF218E">
        <w:t>obavlja poslove u vezi s upravljanjem ugovorima o dodjeli bespovratnih sredstava</w:t>
      </w:r>
      <w:r w:rsidR="00DF218E">
        <w:t xml:space="preserve"> za investicije nastale u okviru inicijative Obnova zgrada</w:t>
      </w:r>
      <w:r w:rsidR="00DF218E" w:rsidRPr="00DF218E">
        <w:t xml:space="preserve">, a u skladu s odredbama Sporazuma o delegiranim poslovima između MPGI </w:t>
      </w:r>
      <w:r w:rsidR="004A7C0C">
        <w:t>i FZOEU.</w:t>
      </w:r>
    </w:p>
    <w:p w14:paraId="6B094147" w14:textId="4F866544" w:rsidR="00E85E71" w:rsidRPr="00B357F4" w:rsidRDefault="00F02F99" w:rsidP="00253877">
      <w:pPr>
        <w:rPr>
          <w:lang w:eastAsia="hr-HR"/>
        </w:rPr>
      </w:pPr>
      <w:r>
        <w:t>Nacionalna s</w:t>
      </w:r>
      <w:r w:rsidR="00F63ADD" w:rsidRPr="00203A80">
        <w:t xml:space="preserve">redstva Fonda dodjeljuju </w:t>
      </w:r>
      <w:r>
        <w:t xml:space="preserve"> se </w:t>
      </w:r>
      <w:r w:rsidR="00F63ADD" w:rsidRPr="00203A80">
        <w:t xml:space="preserve">na temelju javnih poziva i javnih natječaja objavljenih u Narodnim novinama, na Internet stranicama Fonda, te u javnim glasilima. </w:t>
      </w:r>
      <w:r w:rsidR="00287FE6">
        <w:t>Fond je dužan svoj godišnji program rada i financijski plan za područje energetske učinkovitosti uskladiti s</w:t>
      </w:r>
      <w:r w:rsidR="00276132">
        <w:t xml:space="preserve"> relevantnim</w:t>
      </w:r>
      <w:r w:rsidR="00287FE6">
        <w:t xml:space="preserve"> planovima i programima te ih dostaviti </w:t>
      </w:r>
      <w:r w:rsidR="00407D0A">
        <w:t>m</w:t>
      </w:r>
      <w:r w:rsidR="00287FE6">
        <w:t>inistarstvu</w:t>
      </w:r>
      <w:r w:rsidR="00407D0A">
        <w:t xml:space="preserve"> nadležnom za energetiku</w:t>
      </w:r>
      <w:r w:rsidR="00287FE6">
        <w:t xml:space="preserve"> i ministarstvu nadležnom za poslove graditeljstva najkasnije do kraja veljače za</w:t>
      </w:r>
      <w:r w:rsidR="004F77F1">
        <w:t xml:space="preserve"> </w:t>
      </w:r>
      <w:r w:rsidR="00287FE6">
        <w:t>tekuću godinu.</w:t>
      </w:r>
      <w:r w:rsidR="00F63ADD" w:rsidRPr="00203A80">
        <w:t xml:space="preserve"> Fond</w:t>
      </w:r>
      <w:r w:rsidR="00276132">
        <w:t xml:space="preserve"> je dužan do početka veljače tekuće godine za prethodnu godinu dostaviti ministarstvu nadležnom za energetiku i ministarstvu nadležnom za poslove graditeljstva izvješće o svim mjerama koje je sufinancirao i za koje je sudjelovao u postupku dodjele subvencija, s iskazanom ukupnom visinom investicije, iznosom sufinanciranja i ostvarenim uštedama energije.</w:t>
      </w:r>
      <w:r w:rsidR="00F63ADD" w:rsidRPr="00971F9E">
        <w:t xml:space="preserve"> </w:t>
      </w:r>
    </w:p>
    <w:p w14:paraId="52877657" w14:textId="4D6CA202" w:rsidR="00786703" w:rsidRPr="00B357F4" w:rsidRDefault="00BD103F" w:rsidP="00786703">
      <w:pPr>
        <w:pStyle w:val="Odlomakpopisa"/>
        <w:numPr>
          <w:ilvl w:val="2"/>
          <w:numId w:val="73"/>
        </w:numPr>
        <w:rPr>
          <w:b/>
          <w:color w:val="C00000"/>
          <w:sz w:val="24"/>
        </w:rPr>
      </w:pPr>
      <w:r w:rsidRPr="00B357F4">
        <w:rPr>
          <w:b/>
          <w:color w:val="C00000"/>
          <w:sz w:val="24"/>
        </w:rPr>
        <w:t>Izvori financiranja energetske obnove zgrada javnog sektora u zemljama Europske unije</w:t>
      </w:r>
    </w:p>
    <w:p w14:paraId="41976823" w14:textId="77777777" w:rsidR="00EE652C" w:rsidRPr="00EE652C" w:rsidRDefault="00EE652C" w:rsidP="00EE652C">
      <w:pPr>
        <w:pStyle w:val="Odlomakpopisa"/>
        <w:numPr>
          <w:ilvl w:val="0"/>
          <w:numId w:val="0"/>
        </w:numPr>
        <w:ind w:left="720"/>
        <w:rPr>
          <w:b/>
          <w:color w:val="C00000"/>
          <w:sz w:val="24"/>
        </w:rPr>
      </w:pPr>
    </w:p>
    <w:p w14:paraId="23FFD0B2" w14:textId="7A824240" w:rsidR="00786703" w:rsidRPr="006734C7" w:rsidRDefault="74E5FA10" w:rsidP="00786703">
      <w:pPr>
        <w:keepLines/>
        <w:numPr>
          <w:ilvl w:val="0"/>
          <w:numId w:val="71"/>
        </w:numPr>
        <w:suppressAutoHyphens/>
        <w:spacing w:before="60" w:after="60"/>
        <w:rPr>
          <w:lang w:eastAsia="hr-HR"/>
        </w:rPr>
      </w:pPr>
      <w:r w:rsidRPr="00B357F4">
        <w:rPr>
          <w:b/>
          <w:lang w:eastAsia="hr-HR"/>
        </w:rPr>
        <w:t>European Energy Efficiency Fund (</w:t>
      </w:r>
      <w:r w:rsidR="00335954">
        <w:rPr>
          <w:b/>
          <w:bCs/>
          <w:lang w:eastAsia="hr-HR"/>
        </w:rPr>
        <w:t>EEEF</w:t>
      </w:r>
      <w:r w:rsidRPr="00B357F4">
        <w:rPr>
          <w:b/>
          <w:lang w:eastAsia="hr-HR"/>
        </w:rPr>
        <w:t>)</w:t>
      </w:r>
      <w:r w:rsidR="00786703" w:rsidRPr="006734C7">
        <w:rPr>
          <w:b/>
          <w:vertAlign w:val="superscript"/>
          <w:lang w:eastAsia="hr-HR"/>
        </w:rPr>
        <w:footnoteReference w:id="25"/>
      </w:r>
    </w:p>
    <w:p w14:paraId="27F61442" w14:textId="4A396004" w:rsidR="00786703" w:rsidRPr="00B357F4" w:rsidRDefault="00786703" w:rsidP="00786703">
      <w:r w:rsidRPr="00203A80">
        <w:t>European Energy Efficiency Fund (hrv. Europski fond</w:t>
      </w:r>
      <w:r w:rsidRPr="00971F9E">
        <w:t xml:space="preserve"> za energetsku učinkovitost, eeef) je alternativni investicijski fond s promjenjivim kapitalom,  osnovano u obliku društva s ograničenom odgovornošću sa sjedištem u Luksemburgu. Cilj eeef-a je podržati klimatske ciljeve EU, promicati održivo energetsko trž</w:t>
      </w:r>
      <w:r w:rsidRPr="00B357F4">
        <w:t>ište te kroz svoja ulaganja doprinijeti ublažavanju klimatskih promjena kombinirajući privatni i javni kapital. Jedni od ulagača u fond su Europska komisija i EIB, kao i niz drugih dioničkih društava te investicijskih tvrtki. Većina investicija ovog fonda se nalazi u zemljama zapadne i južne Europe (Francuska, Njemačka, Španjolska, Italija, Portugal), a sredstva eeef-a su se koristila za energetsku obnovu (javnih) zgrada, modernizaciju javne rasvjete, nabavu električnih vozila u javnom prometu.</w:t>
      </w:r>
    </w:p>
    <w:tbl>
      <w:tblPr>
        <w:tblStyle w:val="GridTable1Light3"/>
        <w:tblW w:w="0" w:type="auto"/>
        <w:tblLook w:val="0680" w:firstRow="0" w:lastRow="0" w:firstColumn="1" w:lastColumn="0" w:noHBand="1" w:noVBand="1"/>
      </w:tblPr>
      <w:tblGrid>
        <w:gridCol w:w="2689"/>
        <w:gridCol w:w="6655"/>
      </w:tblGrid>
      <w:tr w:rsidR="0066143B" w:rsidRPr="00B357F4" w14:paraId="2E604B23"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31B33B6F" w14:textId="77777777" w:rsidR="0066143B" w:rsidRPr="00B357F4" w:rsidRDefault="0066143B" w:rsidP="008209A4">
            <w:pPr>
              <w:spacing w:before="0" w:after="0"/>
              <w:jc w:val="left"/>
              <w:rPr>
                <w:lang w:eastAsia="hr-HR"/>
              </w:rPr>
            </w:pPr>
            <w:r w:rsidRPr="00B357F4">
              <w:rPr>
                <w:lang w:eastAsia="hr-HR"/>
              </w:rPr>
              <w:t>Naziv programa</w:t>
            </w:r>
          </w:p>
        </w:tc>
        <w:tc>
          <w:tcPr>
            <w:tcW w:w="6655" w:type="dxa"/>
          </w:tcPr>
          <w:p w14:paraId="43FBCFD1" w14:textId="7234804A" w:rsidR="0066143B" w:rsidRPr="00B357F4" w:rsidRDefault="00335954" w:rsidP="008209A4">
            <w:pPr>
              <w:spacing w:before="0" w:after="0"/>
              <w:cnfStyle w:val="000000000000" w:firstRow="0" w:lastRow="0" w:firstColumn="0" w:lastColumn="0" w:oddVBand="0" w:evenVBand="0" w:oddHBand="0" w:evenHBand="0" w:firstRowFirstColumn="0" w:firstRowLastColumn="0" w:lastRowFirstColumn="0" w:lastRowLastColumn="0"/>
              <w:rPr>
                <w:b/>
                <w:lang w:eastAsia="hr-HR"/>
              </w:rPr>
            </w:pPr>
            <w:r>
              <w:rPr>
                <w:b/>
                <w:bCs/>
                <w:lang w:eastAsia="hr-HR"/>
              </w:rPr>
              <w:t>EEEF</w:t>
            </w:r>
            <w:r w:rsidRPr="00B357F4">
              <w:rPr>
                <w:b/>
                <w:bCs/>
                <w:lang w:eastAsia="hr-HR"/>
              </w:rPr>
              <w:t xml:space="preserve"> </w:t>
            </w:r>
            <w:r w:rsidR="0066143B" w:rsidRPr="00B357F4">
              <w:rPr>
                <w:b/>
                <w:lang w:eastAsia="hr-HR"/>
              </w:rPr>
              <w:t xml:space="preserve">program </w:t>
            </w:r>
          </w:p>
        </w:tc>
      </w:tr>
      <w:tr w:rsidR="0066143B" w:rsidRPr="00B357F4" w14:paraId="738A204D"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3F2F38C2" w14:textId="77777777" w:rsidR="0066143B" w:rsidRPr="00B357F4" w:rsidRDefault="0066143B" w:rsidP="008209A4">
            <w:pPr>
              <w:spacing w:before="0" w:after="0"/>
              <w:jc w:val="left"/>
              <w:rPr>
                <w:lang w:eastAsia="hr-HR"/>
              </w:rPr>
            </w:pPr>
            <w:r w:rsidRPr="00B357F4">
              <w:rPr>
                <w:lang w:eastAsia="hr-HR"/>
              </w:rPr>
              <w:t xml:space="preserve">Namjena </w:t>
            </w:r>
          </w:p>
        </w:tc>
        <w:tc>
          <w:tcPr>
            <w:tcW w:w="6655" w:type="dxa"/>
          </w:tcPr>
          <w:p w14:paraId="11A1496A" w14:textId="77777777" w:rsidR="0066143B" w:rsidRPr="00B357F4" w:rsidRDefault="5C892AB7" w:rsidP="008209A4">
            <w:pPr>
              <w:keepLines/>
              <w:numPr>
                <w:ilvl w:val="0"/>
                <w:numId w:val="70"/>
              </w:numPr>
              <w:suppressAutoHyphens/>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Ulaganja u projekte energetske učinkovitosti i obnovljive energije</w:t>
            </w:r>
          </w:p>
        </w:tc>
      </w:tr>
      <w:tr w:rsidR="0066143B" w:rsidRPr="00B357F4" w14:paraId="74D5C0C9"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15061E0A" w14:textId="77777777" w:rsidR="0066143B" w:rsidRPr="00B357F4" w:rsidRDefault="0066143B" w:rsidP="008209A4">
            <w:pPr>
              <w:spacing w:before="0" w:after="0"/>
              <w:jc w:val="left"/>
              <w:rPr>
                <w:lang w:eastAsia="hr-HR"/>
              </w:rPr>
            </w:pPr>
            <w:r w:rsidRPr="00B357F4">
              <w:rPr>
                <w:lang w:eastAsia="hr-HR"/>
              </w:rPr>
              <w:t>Korisnici</w:t>
            </w:r>
          </w:p>
        </w:tc>
        <w:tc>
          <w:tcPr>
            <w:tcW w:w="6655" w:type="dxa"/>
          </w:tcPr>
          <w:p w14:paraId="26BB270C" w14:textId="77777777" w:rsidR="0066143B" w:rsidRPr="00B357F4" w:rsidRDefault="5C892AB7" w:rsidP="008209A4">
            <w:pPr>
              <w:keepLines/>
              <w:numPr>
                <w:ilvl w:val="0"/>
                <w:numId w:val="72"/>
              </w:numPr>
              <w:suppressAutoHyphens/>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jedinice lokalne i regionalne samouprave, kao i javni i privatni subjekti koji djeluju u ime tih tijela, npr. komunalna poduzeća, pružatelji usluga javnog prijevoza i dr.</w:t>
            </w:r>
          </w:p>
        </w:tc>
      </w:tr>
      <w:tr w:rsidR="0066143B" w:rsidRPr="00B357F4" w14:paraId="288D6D10"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4751DF85" w14:textId="77777777" w:rsidR="0066143B" w:rsidRPr="00B357F4" w:rsidRDefault="0066143B" w:rsidP="008209A4">
            <w:pPr>
              <w:spacing w:before="0" w:after="0"/>
              <w:jc w:val="left"/>
              <w:rPr>
                <w:lang w:eastAsia="hr-HR"/>
              </w:rPr>
            </w:pPr>
            <w:r w:rsidRPr="00B357F4">
              <w:rPr>
                <w:lang w:eastAsia="hr-HR"/>
              </w:rPr>
              <w:t>Vrsta sredstava</w:t>
            </w:r>
          </w:p>
        </w:tc>
        <w:tc>
          <w:tcPr>
            <w:tcW w:w="6655" w:type="dxa"/>
          </w:tcPr>
          <w:p w14:paraId="2AF8DEF0" w14:textId="77777777" w:rsidR="0066143B" w:rsidRPr="00B357F4" w:rsidRDefault="0066143B" w:rsidP="008209A4">
            <w:pPr>
              <w:keepLines/>
              <w:suppressAutoHyphens/>
              <w:spacing w:before="0" w:after="0"/>
              <w:ind w:left="72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Kredit, mezzanine financiranje, leasing, forfeiting krediti (u suradnji s industrijskim partnerima), equity financiranje.</w:t>
            </w:r>
          </w:p>
        </w:tc>
      </w:tr>
      <w:tr w:rsidR="0066143B" w:rsidRPr="00B357F4" w14:paraId="5E0D5BC4"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549DCA6A" w14:textId="77777777" w:rsidR="0066143B" w:rsidRPr="00B357F4" w:rsidRDefault="0066143B" w:rsidP="008209A4">
            <w:pPr>
              <w:spacing w:before="0" w:after="0"/>
              <w:jc w:val="left"/>
              <w:rPr>
                <w:lang w:eastAsia="hr-HR"/>
              </w:rPr>
            </w:pPr>
            <w:r w:rsidRPr="00B357F4">
              <w:rPr>
                <w:lang w:eastAsia="hr-HR"/>
              </w:rPr>
              <w:t>Iznos ukupnog proračuna i pojedinačne investicije</w:t>
            </w:r>
          </w:p>
        </w:tc>
        <w:tc>
          <w:tcPr>
            <w:tcW w:w="6655" w:type="dxa"/>
          </w:tcPr>
          <w:p w14:paraId="446B28E9" w14:textId="77777777" w:rsidR="0066143B" w:rsidRPr="00B357F4" w:rsidRDefault="0066143B" w:rsidP="008209A4">
            <w:pPr>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Najniži iznos investicije je 5 milijuna EUR, a najviši 25 milijuna EUR.</w:t>
            </w:r>
          </w:p>
        </w:tc>
      </w:tr>
      <w:tr w:rsidR="0066143B" w:rsidRPr="00B357F4" w14:paraId="0B348364"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41866856" w14:textId="77777777" w:rsidR="0066143B" w:rsidRPr="00B357F4" w:rsidRDefault="0066143B" w:rsidP="008209A4">
            <w:pPr>
              <w:spacing w:before="0" w:after="0"/>
              <w:jc w:val="left"/>
              <w:rPr>
                <w:lang w:eastAsia="hr-HR"/>
              </w:rPr>
            </w:pPr>
            <w:r w:rsidRPr="00B357F4">
              <w:rPr>
                <w:lang w:eastAsia="hr-HR"/>
              </w:rPr>
              <w:t>Uvjeti financiranja</w:t>
            </w:r>
          </w:p>
        </w:tc>
        <w:tc>
          <w:tcPr>
            <w:tcW w:w="6655" w:type="dxa"/>
          </w:tcPr>
          <w:p w14:paraId="5C5D87ED" w14:textId="77777777" w:rsidR="0066143B" w:rsidRPr="00B357F4" w:rsidRDefault="0066143B" w:rsidP="008209A4">
            <w:pPr>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 xml:space="preserve">Rok otplate kredita je do 15 godina, dok se uvjeti financiranja za ulaganja u vlasnički kapital mogu prilagoditi različitim projektnim fazama. </w:t>
            </w:r>
          </w:p>
        </w:tc>
      </w:tr>
    </w:tbl>
    <w:p w14:paraId="4892C02B" w14:textId="2894D08F" w:rsidR="00E97246" w:rsidRPr="00B357F4" w:rsidRDefault="6E32F341" w:rsidP="00E97246">
      <w:pPr>
        <w:pStyle w:val="Naslov20"/>
      </w:pPr>
      <w:bookmarkStart w:id="161" w:name="_Toc18322117"/>
      <w:bookmarkStart w:id="162" w:name="_Toc47365831"/>
      <w:bookmarkStart w:id="163" w:name="_Toc94770029"/>
      <w:r w:rsidRPr="00B357F4">
        <w:t>Dugoročni planovi financiranja</w:t>
      </w:r>
      <w:bookmarkEnd w:id="161"/>
      <w:bookmarkEnd w:id="162"/>
      <w:bookmarkEnd w:id="163"/>
    </w:p>
    <w:p w14:paraId="1C14F307" w14:textId="24603D77" w:rsidR="001219C7" w:rsidRPr="00B357F4" w:rsidRDefault="001219C7" w:rsidP="008209A4">
      <w:pPr>
        <w:pStyle w:val="Naslov30"/>
      </w:pPr>
      <w:bookmarkStart w:id="164" w:name="_Toc94770030"/>
      <w:r w:rsidRPr="00B357F4">
        <w:t>Dugoročni planovi financiranja</w:t>
      </w:r>
      <w:bookmarkEnd w:id="164"/>
    </w:p>
    <w:p w14:paraId="6D6935A3" w14:textId="55D639A1" w:rsidR="003B7C04" w:rsidRDefault="43CD4386" w:rsidP="001219C7">
      <w:r w:rsidRPr="00B357F4">
        <w:t xml:space="preserve">Potrebne investicije </w:t>
      </w:r>
      <w:r w:rsidR="003B7C04">
        <w:t>za</w:t>
      </w:r>
      <w:r w:rsidRPr="00B357F4">
        <w:t xml:space="preserve"> obnovu </w:t>
      </w:r>
      <w:r w:rsidR="003B7C04">
        <w:t>ZJS</w:t>
      </w:r>
      <w:r w:rsidRPr="00B357F4">
        <w:t xml:space="preserve"> za dostizanje nacionalnih ciljeva iziskuju znatna financijska sredstva</w:t>
      </w:r>
      <w:r w:rsidR="224FA37B" w:rsidRPr="00B357F4">
        <w:t xml:space="preserve"> te </w:t>
      </w:r>
      <w:r w:rsidR="003B7C04" w:rsidRPr="003B7C04">
        <w:t>procjena investicijskih troškova obnove u razdoblju</w:t>
      </w:r>
      <w:r w:rsidR="003B7C04">
        <w:t xml:space="preserve"> do 2030. godine</w:t>
      </w:r>
      <w:r w:rsidR="003B7C04" w:rsidRPr="003B7C04">
        <w:t xml:space="preserve"> uz pretpostavke usklađene s NPOO</w:t>
      </w:r>
      <w:r w:rsidR="003B7C04">
        <w:t xml:space="preserve"> </w:t>
      </w:r>
      <w:r w:rsidR="00312CEB">
        <w:t>(</w:t>
      </w:r>
      <w:r w:rsidR="003C09D4">
        <w:fldChar w:fldCharType="begin"/>
      </w:r>
      <w:r w:rsidR="003C09D4">
        <w:instrText xml:space="preserve"> REF _Ref87950082 \h </w:instrText>
      </w:r>
      <w:r w:rsidR="003C09D4">
        <w:fldChar w:fldCharType="separate"/>
      </w:r>
      <w:r w:rsidR="0023635D">
        <w:t xml:space="preserve">Tablica </w:t>
      </w:r>
      <w:r w:rsidR="0023635D">
        <w:rPr>
          <w:noProof/>
        </w:rPr>
        <w:t>8</w:t>
      </w:r>
      <w:r w:rsidR="0023635D">
        <w:noBreakHyphen/>
      </w:r>
      <w:r w:rsidR="0023635D">
        <w:rPr>
          <w:noProof/>
        </w:rPr>
        <w:t>4</w:t>
      </w:r>
      <w:r w:rsidR="003C09D4">
        <w:fldChar w:fldCharType="end"/>
      </w:r>
      <w:r w:rsidR="00312CEB">
        <w:t>)</w:t>
      </w:r>
      <w:r w:rsidR="003C09D4">
        <w:t xml:space="preserve"> </w:t>
      </w:r>
      <w:r w:rsidR="00B354CC">
        <w:t xml:space="preserve">iznose </w:t>
      </w:r>
      <w:r w:rsidR="00266F99">
        <w:t>više od</w:t>
      </w:r>
      <w:r w:rsidR="00B354CC">
        <w:t xml:space="preserve"> 9 milijardi kn. </w:t>
      </w:r>
    </w:p>
    <w:p w14:paraId="6ABC03F2" w14:textId="0B811D72" w:rsidR="001219C7" w:rsidRPr="00B357F4" w:rsidRDefault="43CD4386" w:rsidP="001219C7">
      <w:r w:rsidRPr="00B357F4">
        <w:t xml:space="preserve">U </w:t>
      </w:r>
      <w:r w:rsidR="00C83B53">
        <w:t>p</w:t>
      </w:r>
      <w:r w:rsidRPr="00B357F4">
        <w:t xml:space="preserve">oglavlju </w:t>
      </w:r>
      <w:r w:rsidR="001A7BE0" w:rsidRPr="00203A80">
        <w:rPr>
          <w:highlight w:val="yellow"/>
        </w:rPr>
        <w:fldChar w:fldCharType="begin"/>
      </w:r>
      <w:r w:rsidR="001A7BE0" w:rsidRPr="00B357F4">
        <w:instrText xml:space="preserve"> REF _Ref82873979 \r \h </w:instrText>
      </w:r>
      <w:r w:rsidR="001A7BE0" w:rsidRPr="00203A80">
        <w:rPr>
          <w:highlight w:val="yellow"/>
        </w:rPr>
      </w:r>
      <w:r w:rsidR="001A7BE0" w:rsidRPr="00203A80">
        <w:rPr>
          <w:highlight w:val="yellow"/>
        </w:rPr>
        <w:fldChar w:fldCharType="separate"/>
      </w:r>
      <w:r w:rsidR="0023635D">
        <w:t>8.2</w:t>
      </w:r>
      <w:r w:rsidR="001A7BE0" w:rsidRPr="00203A80">
        <w:rPr>
          <w:highlight w:val="yellow"/>
        </w:rPr>
        <w:fldChar w:fldCharType="end"/>
      </w:r>
      <w:r w:rsidRPr="006734C7">
        <w:t xml:space="preserve">. navedeni su neki od izvora financiranja koji je moguće koristiti uz </w:t>
      </w:r>
      <w:r w:rsidR="6053B314" w:rsidRPr="00203A80">
        <w:t xml:space="preserve">kombinirano </w:t>
      </w:r>
      <w:r w:rsidRPr="00971F9E">
        <w:t xml:space="preserve">financiranje </w:t>
      </w:r>
      <w:r w:rsidR="6053B314" w:rsidRPr="00B357F4">
        <w:t>sa</w:t>
      </w:r>
      <w:r w:rsidR="66F087C6" w:rsidRPr="00B357F4">
        <w:t xml:space="preserve"> sredstvima privatnog kapitala</w:t>
      </w:r>
      <w:r w:rsidRPr="00B357F4">
        <w:t xml:space="preserve">. Kako bi realizacija programa i dostizanje nacionalnih ciljeva bilo financijski </w:t>
      </w:r>
      <w:r w:rsidRPr="00B357F4">
        <w:lastRenderedPageBreak/>
        <w:t xml:space="preserve">održivo potrebno je racionalno trošiti sredstva te osigurati sinergiju između financiranja iz EU i ostalih stranih fondova te komercijalnih banaka. </w:t>
      </w:r>
      <w:r w:rsidR="66F087C6" w:rsidRPr="00B357F4">
        <w:t>O</w:t>
      </w:r>
      <w:r w:rsidRPr="00B357F4">
        <w:t>sim korištenja bespovratnih sredstava za sufinanciranje programa obnove, Programom je u dugoročnom razdoblju predviđeno korištenje EU sredstava kao financijske poluge kojom će se potaknuti  povoljnije</w:t>
      </w:r>
      <w:r w:rsidR="2D9B46A1" w:rsidRPr="00B357F4">
        <w:t xml:space="preserve"> </w:t>
      </w:r>
      <w:r w:rsidRPr="00B357F4">
        <w:t>financiranje komercijalnih banaka te za  uklanjanje barijera u provedbi Programa</w:t>
      </w:r>
      <w:r w:rsidR="4B1294EB" w:rsidRPr="00B357F4">
        <w:t>.</w:t>
      </w:r>
    </w:p>
    <w:p w14:paraId="2118CB49" w14:textId="77777777" w:rsidR="001219C7" w:rsidRPr="00B357F4" w:rsidRDefault="001219C7" w:rsidP="001219C7">
      <w:r w:rsidRPr="00B357F4">
        <w:t>U skladu sa navedenim glavni ciljevi koji se žele postići dugoročnim planovima financiranja ovog programa su:</w:t>
      </w:r>
    </w:p>
    <w:p w14:paraId="4F3B6E62" w14:textId="5E727663" w:rsidR="001219C7" w:rsidRPr="00B357F4" w:rsidRDefault="001219C7" w:rsidP="00C300D1">
      <w:pPr>
        <w:pStyle w:val="Odlomakpopisa"/>
        <w:numPr>
          <w:ilvl w:val="0"/>
          <w:numId w:val="95"/>
        </w:numPr>
      </w:pPr>
      <w:r w:rsidRPr="00B357F4">
        <w:t>Financijska održivost;</w:t>
      </w:r>
    </w:p>
    <w:p w14:paraId="36068EA7" w14:textId="68348A35" w:rsidR="001219C7" w:rsidRPr="00B357F4" w:rsidRDefault="001219C7" w:rsidP="00C300D1">
      <w:pPr>
        <w:pStyle w:val="Odlomakpopisa"/>
        <w:numPr>
          <w:ilvl w:val="0"/>
          <w:numId w:val="95"/>
        </w:numPr>
      </w:pPr>
      <w:r w:rsidRPr="00B357F4">
        <w:t>Racionalnost pri dodjeli bespovratnih sredstava s ciljem poticanja projekata sveobuhvatne energetske obnove, a koji ostvaruju ambiciozne energetske uštede;</w:t>
      </w:r>
    </w:p>
    <w:p w14:paraId="349B6978" w14:textId="42A6EFB7" w:rsidR="001219C7" w:rsidRPr="00B357F4" w:rsidRDefault="001219C7" w:rsidP="00C300D1">
      <w:pPr>
        <w:pStyle w:val="Odlomakpopisa"/>
        <w:numPr>
          <w:ilvl w:val="0"/>
          <w:numId w:val="95"/>
        </w:numPr>
      </w:pPr>
      <w:r w:rsidRPr="00B357F4">
        <w:t>Uključenost privatnog sektora i tržišnih mehanizama u financiranje projekata.</w:t>
      </w:r>
    </w:p>
    <w:p w14:paraId="51757F63" w14:textId="4C476BFF" w:rsidR="000C6AA0" w:rsidRDefault="001219C7" w:rsidP="001219C7">
      <w:r w:rsidRPr="00B357F4">
        <w:t xml:space="preserve">Planovi financiranja u periodu do 2030. uključuju korištenje raspoloživih financijskih sredstava </w:t>
      </w:r>
      <w:r w:rsidR="00720C63">
        <w:t xml:space="preserve">što prikazuje </w:t>
      </w:r>
      <w:r w:rsidR="00717AE8">
        <w:fldChar w:fldCharType="begin"/>
      </w:r>
      <w:r w:rsidR="00717AE8">
        <w:instrText xml:space="preserve"> REF _Ref87949963 \h </w:instrText>
      </w:r>
      <w:r w:rsidR="00717AE8">
        <w:fldChar w:fldCharType="separate"/>
      </w:r>
      <w:r w:rsidR="0023635D">
        <w:t xml:space="preserve">Tablica </w:t>
      </w:r>
      <w:r w:rsidR="0023635D">
        <w:rPr>
          <w:noProof/>
        </w:rPr>
        <w:t>8</w:t>
      </w:r>
      <w:r w:rsidR="0023635D">
        <w:noBreakHyphen/>
      </w:r>
      <w:r w:rsidR="0023635D">
        <w:rPr>
          <w:noProof/>
        </w:rPr>
        <w:t>4</w:t>
      </w:r>
      <w:r w:rsidR="0023635D">
        <w:t xml:space="preserve"> Pregled dostupnih javnih sredstava u razdoblju do 2030. godine</w:t>
      </w:r>
      <w:r w:rsidR="00717AE8">
        <w:fldChar w:fldCharType="end"/>
      </w:r>
      <w:r w:rsidR="00D556F8">
        <w:t>.</w:t>
      </w:r>
    </w:p>
    <w:p w14:paraId="523F39C6" w14:textId="537398FC" w:rsidR="00310264" w:rsidRDefault="00310264" w:rsidP="00310264">
      <w:pPr>
        <w:pStyle w:val="Opisslike"/>
        <w:rPr>
          <w:noProof/>
          <w:lang w:eastAsia="hr-HR"/>
        </w:rPr>
      </w:pPr>
      <w:bookmarkStart w:id="165" w:name="_Ref87950082"/>
      <w:bookmarkStart w:id="166" w:name="_Toc87949902"/>
      <w:bookmarkStart w:id="167" w:name="_Ref87949963"/>
      <w:r>
        <w:t xml:space="preserve">Tablica </w:t>
      </w:r>
      <w:r>
        <w:fldChar w:fldCharType="begin"/>
      </w:r>
      <w:r>
        <w:instrText>STYLEREF 1 \s</w:instrText>
      </w:r>
      <w:r>
        <w:fldChar w:fldCharType="separate"/>
      </w:r>
      <w:r w:rsidR="0023635D">
        <w:rPr>
          <w:noProof/>
        </w:rPr>
        <w:t>8</w:t>
      </w:r>
      <w:r>
        <w:fldChar w:fldCharType="end"/>
      </w:r>
      <w:r>
        <w:noBreakHyphen/>
      </w:r>
      <w:r>
        <w:fldChar w:fldCharType="begin"/>
      </w:r>
      <w:r>
        <w:instrText>SEQ Tablica \* ARABIC \s 1</w:instrText>
      </w:r>
      <w:r>
        <w:fldChar w:fldCharType="separate"/>
      </w:r>
      <w:r w:rsidR="0023635D">
        <w:rPr>
          <w:noProof/>
        </w:rPr>
        <w:t>4</w:t>
      </w:r>
      <w:r>
        <w:fldChar w:fldCharType="end"/>
      </w:r>
      <w:bookmarkEnd w:id="165"/>
      <w:r>
        <w:t xml:space="preserve"> Pregled dostupnih javnih sredstava u razdoblju do 2030. godine</w:t>
      </w:r>
      <w:bookmarkEnd w:id="166"/>
      <w:bookmarkEnd w:id="167"/>
    </w:p>
    <w:tbl>
      <w:tblPr>
        <w:tblStyle w:val="Svijetlatablicareetke11"/>
        <w:tblW w:w="5000" w:type="pct"/>
        <w:tblLayout w:type="fixed"/>
        <w:tblLook w:val="06A0" w:firstRow="1" w:lastRow="0" w:firstColumn="1" w:lastColumn="0" w:noHBand="1" w:noVBand="1"/>
      </w:tblPr>
      <w:tblGrid>
        <w:gridCol w:w="694"/>
        <w:gridCol w:w="6247"/>
        <w:gridCol w:w="2403"/>
      </w:tblGrid>
      <w:tr w:rsidR="00AD2074" w:rsidRPr="00661A2B" w14:paraId="221429C5" w14:textId="77777777" w:rsidTr="00FB127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tcPr>
          <w:p w14:paraId="0E4BBE12" w14:textId="4BF544EB" w:rsidR="00AD2074" w:rsidRPr="00C300D1" w:rsidRDefault="00AD2074" w:rsidP="00D50CCC">
            <w:pPr>
              <w:spacing w:before="0" w:after="0"/>
              <w:jc w:val="left"/>
              <w:rPr>
                <w:rFonts w:cs="Tahoma"/>
                <w:b w:val="0"/>
                <w:bCs w:val="0"/>
                <w:sz w:val="16"/>
                <w:szCs w:val="16"/>
                <w:lang w:eastAsia="en-US"/>
              </w:rPr>
            </w:pPr>
            <w:r w:rsidRPr="00AD2074">
              <w:rPr>
                <w:rFonts w:cs="Tahoma"/>
                <w:sz w:val="16"/>
                <w:szCs w:val="16"/>
                <w:lang w:eastAsia="en-US"/>
              </w:rPr>
              <w:t>Izvor financiranja</w:t>
            </w:r>
            <w:r w:rsidRPr="00AD2074">
              <w:rPr>
                <w:rFonts w:cs="Tahoma"/>
                <w:sz w:val="16"/>
                <w:szCs w:val="16"/>
                <w:lang w:eastAsia="en-US"/>
              </w:rPr>
              <w:tab/>
            </w:r>
            <w:r w:rsidRPr="00AD2074">
              <w:rPr>
                <w:rFonts w:cs="Tahoma"/>
                <w:sz w:val="16"/>
                <w:szCs w:val="16"/>
                <w:lang w:eastAsia="en-US"/>
              </w:rPr>
              <w:tab/>
            </w:r>
          </w:p>
        </w:tc>
        <w:tc>
          <w:tcPr>
            <w:tcW w:w="1286" w:type="pct"/>
          </w:tcPr>
          <w:p w14:paraId="0AC77D07" w14:textId="7A7877F7" w:rsidR="00AD2074" w:rsidRPr="00C300D1" w:rsidRDefault="00AD2074" w:rsidP="00D50CCC">
            <w:pPr>
              <w:spacing w:before="0" w:after="0"/>
              <w:jc w:val="left"/>
              <w:cnfStyle w:val="100000000000" w:firstRow="1" w:lastRow="0" w:firstColumn="0" w:lastColumn="0" w:oddVBand="0" w:evenVBand="0" w:oddHBand="0" w:evenHBand="0" w:firstRowFirstColumn="0" w:firstRowLastColumn="0" w:lastRowFirstColumn="0" w:lastRowLastColumn="0"/>
              <w:rPr>
                <w:rFonts w:cs="Tahoma"/>
                <w:b w:val="0"/>
                <w:bCs w:val="0"/>
                <w:sz w:val="16"/>
                <w:szCs w:val="16"/>
                <w:lang w:eastAsia="en-US"/>
              </w:rPr>
            </w:pPr>
            <w:r w:rsidRPr="00AD2074">
              <w:rPr>
                <w:rFonts w:cs="Tahoma"/>
                <w:sz w:val="16"/>
                <w:szCs w:val="16"/>
                <w:lang w:eastAsia="en-US"/>
              </w:rPr>
              <w:t>Ukupno (mil. kn)</w:t>
            </w:r>
          </w:p>
        </w:tc>
      </w:tr>
      <w:tr w:rsidR="00166B1A" w:rsidRPr="00661A2B" w14:paraId="5B61EB7D"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371" w:type="pct"/>
            <w:vMerge w:val="restart"/>
            <w:tcBorders>
              <w:top w:val="single" w:sz="12" w:space="0" w:color="808080" w:themeColor="background1" w:themeShade="80"/>
            </w:tcBorders>
            <w:noWrap/>
            <w:vAlign w:val="center"/>
            <w:hideMark/>
          </w:tcPr>
          <w:p w14:paraId="3F60B741" w14:textId="77777777" w:rsidR="008B4DF0" w:rsidRPr="00D50CCC" w:rsidRDefault="008B4DF0" w:rsidP="00D50CCC">
            <w:pPr>
              <w:spacing w:before="0" w:after="0"/>
              <w:jc w:val="left"/>
              <w:rPr>
                <w:rFonts w:cs="Tahoma"/>
                <w:sz w:val="16"/>
                <w:szCs w:val="16"/>
                <w:lang w:eastAsia="en-US"/>
              </w:rPr>
            </w:pPr>
            <w:r w:rsidRPr="00D50CCC">
              <w:rPr>
                <w:rFonts w:cs="Tahoma"/>
                <w:sz w:val="16"/>
                <w:szCs w:val="16"/>
                <w:lang w:eastAsia="en-US"/>
              </w:rPr>
              <w:t>NPOO</w:t>
            </w:r>
          </w:p>
        </w:tc>
        <w:tc>
          <w:tcPr>
            <w:tcW w:w="3343" w:type="pct"/>
            <w:tcBorders>
              <w:top w:val="single" w:sz="12" w:space="0" w:color="808080" w:themeColor="background1" w:themeShade="80"/>
            </w:tcBorders>
            <w:vAlign w:val="center"/>
            <w:hideMark/>
          </w:tcPr>
          <w:p w14:paraId="7C63142C"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Investicija C6.1. R1-I1:</w:t>
            </w:r>
            <w:r w:rsidRPr="00C300D1">
              <w:rPr>
                <w:rFonts w:cs="Tahoma"/>
                <w:sz w:val="16"/>
                <w:szCs w:val="16"/>
                <w:lang w:eastAsia="en-US"/>
              </w:rPr>
              <w:t xml:space="preserve"> Energetska obnova zgrada</w:t>
            </w:r>
          </w:p>
        </w:tc>
        <w:tc>
          <w:tcPr>
            <w:tcW w:w="1286" w:type="pct"/>
            <w:tcBorders>
              <w:top w:val="single" w:sz="12" w:space="0" w:color="808080" w:themeColor="background1" w:themeShade="80"/>
            </w:tcBorders>
            <w:vAlign w:val="center"/>
            <w:hideMark/>
          </w:tcPr>
          <w:p w14:paraId="0009DAD8" w14:textId="77777777" w:rsidR="008B4DF0" w:rsidRPr="00D50CCC"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700,00</w:t>
            </w:r>
          </w:p>
        </w:tc>
      </w:tr>
      <w:tr w:rsidR="00166B1A" w:rsidRPr="00661A2B" w14:paraId="296FBA6D"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0" w:type="pct"/>
            <w:vMerge/>
            <w:vAlign w:val="center"/>
            <w:hideMark/>
          </w:tcPr>
          <w:p w14:paraId="43B53EFA" w14:textId="77777777" w:rsidR="008B4DF0" w:rsidRPr="00D50CCC" w:rsidRDefault="008B4DF0" w:rsidP="008B4DF0">
            <w:pPr>
              <w:spacing w:before="0" w:after="0"/>
              <w:jc w:val="left"/>
              <w:rPr>
                <w:rFonts w:cs="Tahoma"/>
                <w:sz w:val="16"/>
                <w:szCs w:val="16"/>
                <w:lang w:eastAsia="en-US"/>
              </w:rPr>
            </w:pPr>
          </w:p>
        </w:tc>
        <w:tc>
          <w:tcPr>
            <w:tcW w:w="3343" w:type="pct"/>
            <w:vAlign w:val="center"/>
            <w:hideMark/>
          </w:tcPr>
          <w:p w14:paraId="1B3DC3EE"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Investicija C6.1. R1-I2:</w:t>
            </w:r>
            <w:r w:rsidRPr="00C300D1">
              <w:rPr>
                <w:rFonts w:cs="Tahoma"/>
                <w:sz w:val="16"/>
                <w:szCs w:val="16"/>
                <w:lang w:eastAsia="en-US"/>
              </w:rPr>
              <w:t xml:space="preserve"> Obnova zgrada oštećenih u potresu</w:t>
            </w:r>
          </w:p>
        </w:tc>
        <w:tc>
          <w:tcPr>
            <w:tcW w:w="1286" w:type="pct"/>
            <w:noWrap/>
            <w:vAlign w:val="center"/>
            <w:hideMark/>
          </w:tcPr>
          <w:p w14:paraId="2B924366" w14:textId="77777777" w:rsidR="008B4DF0" w:rsidRPr="00D50CCC"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3.819,43</w:t>
            </w:r>
          </w:p>
        </w:tc>
      </w:tr>
      <w:tr w:rsidR="00166B1A" w:rsidRPr="00661A2B" w14:paraId="6D8A4C09"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0" w:type="pct"/>
            <w:vMerge w:val="restart"/>
            <w:noWrap/>
            <w:vAlign w:val="center"/>
            <w:hideMark/>
          </w:tcPr>
          <w:p w14:paraId="0721CE59" w14:textId="6FC8B489" w:rsidR="008B4DF0" w:rsidRPr="00D50CCC" w:rsidRDefault="008B4DF0" w:rsidP="00D50CCC">
            <w:pPr>
              <w:spacing w:before="0" w:after="0"/>
              <w:jc w:val="left"/>
              <w:rPr>
                <w:rFonts w:cs="Tahoma"/>
                <w:sz w:val="16"/>
                <w:szCs w:val="16"/>
                <w:lang w:eastAsia="en-US"/>
              </w:rPr>
            </w:pPr>
            <w:r w:rsidRPr="00D50CCC">
              <w:rPr>
                <w:rFonts w:cs="Tahoma"/>
                <w:sz w:val="16"/>
                <w:szCs w:val="16"/>
                <w:lang w:eastAsia="en-US"/>
              </w:rPr>
              <w:t>VFO</w:t>
            </w:r>
          </w:p>
        </w:tc>
        <w:tc>
          <w:tcPr>
            <w:tcW w:w="3343" w:type="pct"/>
            <w:vAlign w:val="center"/>
            <w:hideMark/>
          </w:tcPr>
          <w:p w14:paraId="36F5D59E"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C300D1">
              <w:rPr>
                <w:rFonts w:cs="Tahoma"/>
                <w:sz w:val="16"/>
                <w:szCs w:val="16"/>
                <w:lang w:eastAsia="en-US"/>
              </w:rPr>
              <w:t>Energetska, sveobuhvatna i kružna obnova zgrada javnog sektora</w:t>
            </w:r>
          </w:p>
        </w:tc>
        <w:tc>
          <w:tcPr>
            <w:tcW w:w="1286" w:type="pct"/>
            <w:noWrap/>
            <w:vAlign w:val="center"/>
            <w:hideMark/>
          </w:tcPr>
          <w:p w14:paraId="1010EB76" w14:textId="77777777" w:rsidR="008B4DF0" w:rsidRPr="00D50CCC"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795,00</w:t>
            </w:r>
          </w:p>
        </w:tc>
      </w:tr>
      <w:tr w:rsidR="00166B1A" w:rsidRPr="00661A2B" w14:paraId="46A095CF"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0" w:type="pct"/>
            <w:vMerge/>
            <w:vAlign w:val="center"/>
            <w:hideMark/>
          </w:tcPr>
          <w:p w14:paraId="0B10BB77" w14:textId="77777777" w:rsidR="008B4DF0" w:rsidRPr="00D50CCC" w:rsidRDefault="008B4DF0" w:rsidP="008B4DF0">
            <w:pPr>
              <w:spacing w:before="0" w:after="0"/>
              <w:jc w:val="left"/>
              <w:rPr>
                <w:rFonts w:cs="Tahoma"/>
                <w:sz w:val="16"/>
                <w:szCs w:val="16"/>
                <w:lang w:eastAsia="en-US"/>
              </w:rPr>
            </w:pPr>
          </w:p>
        </w:tc>
        <w:tc>
          <w:tcPr>
            <w:tcW w:w="3343" w:type="pct"/>
            <w:vAlign w:val="center"/>
            <w:hideMark/>
          </w:tcPr>
          <w:p w14:paraId="1BF48DD0"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C300D1">
              <w:rPr>
                <w:rFonts w:cs="Tahoma"/>
                <w:sz w:val="16"/>
                <w:szCs w:val="16"/>
                <w:lang w:eastAsia="en-US"/>
              </w:rPr>
              <w:t>Sveobuhvatna obnova zgrada javnog sektora oštećenih u potresu</w:t>
            </w:r>
          </w:p>
        </w:tc>
        <w:tc>
          <w:tcPr>
            <w:tcW w:w="1286" w:type="pct"/>
            <w:noWrap/>
            <w:vAlign w:val="center"/>
            <w:hideMark/>
          </w:tcPr>
          <w:p w14:paraId="0FF12647" w14:textId="77777777" w:rsidR="008B4DF0" w:rsidRPr="00D50CCC"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195,00</w:t>
            </w:r>
          </w:p>
        </w:tc>
      </w:tr>
      <w:tr w:rsidR="00166B1A" w:rsidRPr="00661A2B" w14:paraId="5B952034"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vAlign w:val="center"/>
            <w:hideMark/>
          </w:tcPr>
          <w:p w14:paraId="075FE074" w14:textId="77777777" w:rsidR="008B4DF0" w:rsidRPr="00D50CCC" w:rsidRDefault="008B4DF0" w:rsidP="008B4DF0">
            <w:pPr>
              <w:spacing w:before="0" w:after="0"/>
              <w:jc w:val="left"/>
              <w:rPr>
                <w:rFonts w:cs="Tahoma"/>
                <w:sz w:val="16"/>
                <w:szCs w:val="16"/>
                <w:lang w:eastAsia="en-US"/>
              </w:rPr>
            </w:pPr>
            <w:r w:rsidRPr="00D50CCC">
              <w:rPr>
                <w:rFonts w:cs="Tahoma"/>
                <w:sz w:val="16"/>
                <w:szCs w:val="16"/>
                <w:lang w:eastAsia="en-US"/>
              </w:rPr>
              <w:t>Ukupno raspoloživo</w:t>
            </w:r>
          </w:p>
        </w:tc>
        <w:tc>
          <w:tcPr>
            <w:tcW w:w="1286" w:type="pct"/>
            <w:noWrap/>
            <w:vAlign w:val="center"/>
            <w:hideMark/>
          </w:tcPr>
          <w:p w14:paraId="043283A2" w14:textId="77777777" w:rsidR="008B4DF0" w:rsidRPr="00C300D1"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eastAsia="en-US"/>
              </w:rPr>
            </w:pPr>
            <w:r w:rsidRPr="00C300D1">
              <w:rPr>
                <w:rFonts w:cs="Tahoma"/>
                <w:b/>
                <w:bCs/>
                <w:sz w:val="16"/>
                <w:szCs w:val="16"/>
                <w:lang w:eastAsia="en-US"/>
              </w:rPr>
              <w:t>5.509,43</w:t>
            </w:r>
          </w:p>
        </w:tc>
      </w:tr>
      <w:tr w:rsidR="00166B1A" w:rsidRPr="00661A2B" w14:paraId="5B9C12E7"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vAlign w:val="center"/>
            <w:hideMark/>
          </w:tcPr>
          <w:p w14:paraId="76CDE90F" w14:textId="77777777" w:rsidR="008B4DF0" w:rsidRPr="00D50CCC" w:rsidRDefault="008B4DF0" w:rsidP="008B4DF0">
            <w:pPr>
              <w:spacing w:before="0" w:after="0"/>
              <w:jc w:val="left"/>
              <w:rPr>
                <w:rFonts w:cs="Tahoma"/>
                <w:sz w:val="16"/>
                <w:szCs w:val="16"/>
                <w:lang w:eastAsia="en-US"/>
              </w:rPr>
            </w:pPr>
            <w:r w:rsidRPr="00D50CCC">
              <w:rPr>
                <w:rFonts w:cs="Tahoma"/>
                <w:sz w:val="16"/>
                <w:szCs w:val="16"/>
                <w:lang w:eastAsia="en-US"/>
              </w:rPr>
              <w:t>Ukupno potrebno</w:t>
            </w:r>
          </w:p>
        </w:tc>
        <w:tc>
          <w:tcPr>
            <w:tcW w:w="1286" w:type="pct"/>
            <w:noWrap/>
            <w:vAlign w:val="center"/>
            <w:hideMark/>
          </w:tcPr>
          <w:p w14:paraId="5472CF99" w14:textId="77777777" w:rsidR="008B4DF0" w:rsidRPr="00C300D1"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eastAsia="en-US"/>
              </w:rPr>
            </w:pPr>
            <w:r w:rsidRPr="00C300D1">
              <w:rPr>
                <w:rFonts w:cs="Tahoma"/>
                <w:b/>
                <w:bCs/>
                <w:sz w:val="16"/>
                <w:szCs w:val="16"/>
                <w:lang w:eastAsia="en-US"/>
              </w:rPr>
              <w:t>9.066,57</w:t>
            </w:r>
          </w:p>
        </w:tc>
      </w:tr>
      <w:tr w:rsidR="00166B1A" w:rsidRPr="00661A2B" w14:paraId="09372E4F"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vAlign w:val="center"/>
            <w:hideMark/>
          </w:tcPr>
          <w:p w14:paraId="0A6F961D" w14:textId="68CFCB3D" w:rsidR="008B4DF0" w:rsidRPr="008D041F" w:rsidRDefault="00BF1BA4" w:rsidP="008B4DF0">
            <w:pPr>
              <w:spacing w:before="0" w:after="0"/>
              <w:jc w:val="left"/>
              <w:rPr>
                <w:rFonts w:cs="Tahoma"/>
                <w:sz w:val="16"/>
                <w:szCs w:val="16"/>
                <w:lang w:eastAsia="en-US"/>
              </w:rPr>
            </w:pPr>
            <w:r w:rsidRPr="00D50CCC">
              <w:rPr>
                <w:rFonts w:cs="Tahoma"/>
                <w:sz w:val="16"/>
                <w:szCs w:val="16"/>
                <w:lang w:eastAsia="en-US"/>
              </w:rPr>
              <w:t xml:space="preserve">Razlika potrebnih i </w:t>
            </w:r>
            <w:r w:rsidR="00D50CCC" w:rsidRPr="00D50CCC">
              <w:rPr>
                <w:rFonts w:cs="Tahoma"/>
                <w:sz w:val="16"/>
                <w:szCs w:val="16"/>
                <w:lang w:eastAsia="en-US"/>
              </w:rPr>
              <w:t>raspoloživih</w:t>
            </w:r>
            <w:r w:rsidRPr="00D50CCC">
              <w:rPr>
                <w:rFonts w:cs="Tahoma"/>
                <w:sz w:val="16"/>
                <w:szCs w:val="16"/>
                <w:lang w:eastAsia="en-US"/>
              </w:rPr>
              <w:t xml:space="preserve"> sredstava</w:t>
            </w:r>
          </w:p>
        </w:tc>
        <w:tc>
          <w:tcPr>
            <w:tcW w:w="1286" w:type="pct"/>
            <w:noWrap/>
            <w:vAlign w:val="center"/>
            <w:hideMark/>
          </w:tcPr>
          <w:p w14:paraId="75DE7C39" w14:textId="77777777" w:rsidR="008B4DF0" w:rsidRPr="00C300D1"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eastAsia="en-US"/>
              </w:rPr>
            </w:pPr>
            <w:r w:rsidRPr="00C300D1">
              <w:rPr>
                <w:rFonts w:cs="Tahoma"/>
                <w:b/>
                <w:bCs/>
                <w:sz w:val="16"/>
                <w:szCs w:val="16"/>
                <w:lang w:eastAsia="en-US"/>
              </w:rPr>
              <w:t>3.557,14</w:t>
            </w:r>
          </w:p>
        </w:tc>
      </w:tr>
    </w:tbl>
    <w:p w14:paraId="74F4750D" w14:textId="3C958CC5" w:rsidR="0075649F" w:rsidRPr="00B357F4" w:rsidRDefault="00B67B10" w:rsidP="001219C7">
      <w:r w:rsidRPr="00B67B10">
        <w:t xml:space="preserve">Za postizanje ciljeva Dugoročne strategije u segmentu </w:t>
      </w:r>
      <w:r>
        <w:t>JSZ</w:t>
      </w:r>
      <w:r w:rsidRPr="00B67B10">
        <w:t xml:space="preserve"> potrebno je do 2030. godine osigurati</w:t>
      </w:r>
      <w:r w:rsidR="00ED1531">
        <w:t xml:space="preserve"> dodatnih</w:t>
      </w:r>
      <w:r w:rsidRPr="00B67B10">
        <w:t xml:space="preserve"> </w:t>
      </w:r>
      <w:r w:rsidR="00ED1531">
        <w:t xml:space="preserve">3,56 milijardi </w:t>
      </w:r>
      <w:r w:rsidRPr="00B67B10">
        <w:t>kn. Tijekom prvog trogodišnjeg razdoblja nužno je raditi na pronalaženju novih izvora financiranja, što je primarni zadatak MPGI-a. Posebno je potrebno istražiti mogućnosti ostvarivanja suradnje s domaćim i međunarodnim financijskim institucijama, kako bi se uz raspoloživa javna osigurala i dodatna sredstva.</w:t>
      </w:r>
    </w:p>
    <w:p w14:paraId="7F6E0462" w14:textId="4EEF8E9D" w:rsidR="00162DC4" w:rsidRPr="00B357F4" w:rsidRDefault="00B94F17" w:rsidP="00B94F17">
      <w:r>
        <w:t xml:space="preserve">Sufinanciranje energetske obnove zgrada javnog sektora u razdoblju do 2030. godine, </w:t>
      </w:r>
      <w:r w:rsidR="002F4E36">
        <w:t xml:space="preserve">moguće je </w:t>
      </w:r>
      <w:r>
        <w:t>i uspostavom financijskog instrumenta za osiguranje vlastitog učešća korisnika novih PKK 2021-2027 poziva za javne zgrade, a koji bi bili uspostavljeni u obliku financijskih instrumenata financiranih isključivo nacionalnim sredstvima.</w:t>
      </w:r>
      <w:r w:rsidR="007C13F9">
        <w:t xml:space="preserve"> </w:t>
      </w:r>
      <w:r>
        <w:t>Za ovaj financijski instrument koristila bi se vraćena sredstva po povratima od strane krajnjih primatelja, a koja su dodijeljena u okviru postojećeg ESIF financijskog instrumenta „ESIF krediti za energetsku učinkovitost za javne zgrade“ u iznosu 408 milijuna kuna (53 milijuna eura). Prema članku 45. Uredbe (EU) 1303/2013, u razdoblju od osam godina od isteka razdoblja prihvatljivosti, tj. nakon 31.12. 2023.</w:t>
      </w:r>
      <w:r w:rsidR="00CC7F96">
        <w:t xml:space="preserve"> i do 2031. godine</w:t>
      </w:r>
      <w:r>
        <w:t>, sva vraćena sredstva moraju se koristiti za ist</w:t>
      </w:r>
      <w:r w:rsidR="00D60886">
        <w:t>i</w:t>
      </w:r>
      <w:r>
        <w:t xml:space="preserve"> cilj</w:t>
      </w:r>
      <w:r w:rsidR="00D60886">
        <w:t xml:space="preserve"> – povećanje energetske učinkovitosti, nakon čega </w:t>
      </w:r>
      <w:r>
        <w:t xml:space="preserve">postaju slobodna nacionalna sredstva. </w:t>
      </w:r>
      <w:r w:rsidR="00B8746C">
        <w:t>O</w:t>
      </w:r>
      <w:r>
        <w:t xml:space="preserve"> ponovnom korištenju tih sredstava odlučuje Upravljačka skupina za financijski instrument „ESIF Krediti za energetsku učinkovitost za javne zgrade“ Operativnoga programa „Konkurentnost i kohezija 2014.-2020.“ (USFI), koju vodi MRRFEU, a </w:t>
      </w:r>
      <w:r w:rsidR="005017E2">
        <w:t xml:space="preserve">čiji su </w:t>
      </w:r>
      <w:r>
        <w:t>članovi predstavnici HBOR</w:t>
      </w:r>
      <w:r w:rsidR="005017E2">
        <w:t>-a</w:t>
      </w:r>
      <w:r>
        <w:t>, MPGI</w:t>
      </w:r>
      <w:r w:rsidR="005017E2">
        <w:t>-a</w:t>
      </w:r>
      <w:r>
        <w:t xml:space="preserve"> i FZOEU</w:t>
      </w:r>
      <w:r w:rsidR="005017E2">
        <w:t>-a</w:t>
      </w:r>
      <w:r>
        <w:t>.</w:t>
      </w:r>
      <w:r w:rsidR="005017E2">
        <w:t xml:space="preserve"> </w:t>
      </w:r>
      <w:r>
        <w:t xml:space="preserve">USFI će odlučivati o </w:t>
      </w:r>
      <w:r w:rsidR="005017E2">
        <w:t xml:space="preserve">ponovnom </w:t>
      </w:r>
      <w:r>
        <w:t>plasmanu</w:t>
      </w:r>
      <w:r w:rsidR="005017E2">
        <w:t xml:space="preserve"> sredstava </w:t>
      </w:r>
      <w:r>
        <w:t xml:space="preserve">sukladno polugodišnjim izvješćima HBOR-a o otplaćenim iznosima. Za uspostavu </w:t>
      </w:r>
      <w:r w:rsidR="005017E2">
        <w:t xml:space="preserve">ovakvog financijskog instrumenta </w:t>
      </w:r>
      <w:r>
        <w:t>bila bi zadužena tijela koja su članovi USFI</w:t>
      </w:r>
      <w:r w:rsidR="005017E2">
        <w:t>-a.</w:t>
      </w:r>
    </w:p>
    <w:p w14:paraId="48E1ED3E" w14:textId="5FC05507" w:rsidR="001219C7" w:rsidRPr="00B357F4" w:rsidRDefault="001219C7" w:rsidP="00310264">
      <w:pPr>
        <w:pStyle w:val="Naslov30"/>
      </w:pPr>
      <w:bookmarkStart w:id="168" w:name="_Toc94770031"/>
      <w:r w:rsidRPr="00B357F4">
        <w:t>Financijska održivost</w:t>
      </w:r>
      <w:bookmarkEnd w:id="168"/>
    </w:p>
    <w:p w14:paraId="16410EC9" w14:textId="3F56EEC8" w:rsidR="001219C7" w:rsidRPr="00B357F4" w:rsidRDefault="43CD4386" w:rsidP="001219C7">
      <w:r w:rsidRPr="00B357F4">
        <w:t xml:space="preserve">Financiranje energetske obnove </w:t>
      </w:r>
      <w:r w:rsidR="4B6AF164" w:rsidRPr="00B357F4">
        <w:t>ZJS</w:t>
      </w:r>
      <w:r w:rsidRPr="00B357F4">
        <w:t xml:space="preserve"> samo putem dodjele bespovratnih sredstava svakako ne čini dugoročno održiv plan financiranja programa. Naime, potrebe za ulaganjem u energetsku obnovu ovakvih zgrada su izuzetno velike te je potrebno osigurati dostupnost izvora financiranja kroz cjelokupni promatrani period od 10 godina. Jedan od načina održivog financiranja jest osiguravanje povoljnih dugoročnih  kredita za energetsku obnovu </w:t>
      </w:r>
      <w:r w:rsidR="71A9699C" w:rsidRPr="00B357F4">
        <w:t>ZJS</w:t>
      </w:r>
      <w:r w:rsidRPr="00B357F4">
        <w:t xml:space="preserve">. Navedeni krediti trebali bi biti dostupni javnim vlasnicima </w:t>
      </w:r>
      <w:r w:rsidR="637859EF" w:rsidRPr="00B357F4">
        <w:t>ali i privatnim korisnicima u realizacij</w:t>
      </w:r>
      <w:r w:rsidR="00D50CCC">
        <w:t>i</w:t>
      </w:r>
      <w:r w:rsidR="637859EF" w:rsidRPr="00B357F4">
        <w:t xml:space="preserve"> energetske obnove </w:t>
      </w:r>
      <w:r w:rsidR="4C7C070B" w:rsidRPr="00B357F4">
        <w:t>ZJS</w:t>
      </w:r>
      <w:r w:rsidR="637859EF" w:rsidRPr="00B357F4">
        <w:t xml:space="preserve"> odnosno ESCO tvrtkama</w:t>
      </w:r>
      <w:r w:rsidRPr="00B357F4">
        <w:t xml:space="preserve">. Navedeno se može osigurati kroz različite financijske instrumente. Financijski instrument u obliku garancija za osiguravanje redovnog plaćanja obveza zajmoprimca i financijski instrument u obliku garancija za otplatu preostalog iznosa </w:t>
      </w:r>
      <w:r w:rsidRPr="00B357F4">
        <w:lastRenderedPageBreak/>
        <w:t>glavnice dužnika (zamjene za klasične hipoteke) predstavljaju financijske instrumente putem kojih se potiče financijski sektor da ulaže u realizaciju ovakvog programa</w:t>
      </w:r>
      <w:r w:rsidR="00A9794F">
        <w:t>,</w:t>
      </w:r>
      <w:r w:rsidR="0ED54EA0" w:rsidRPr="00B357F4">
        <w:t xml:space="preserve"> a da pri tome osigura jednake troškove financiranja za javne vlasnike i ESCO tvrtke u obnovi javnih građevina </w:t>
      </w:r>
      <w:r w:rsidR="623114C3" w:rsidRPr="00B357F4">
        <w:t>odnosno da smanji jaz između istih</w:t>
      </w:r>
      <w:r w:rsidRPr="00B357F4">
        <w:t xml:space="preserve">. Omjer sredstava koji je potrebno uložiti u osnivanje ovakvih fondova i sredstava financijskog sektora koja se aktiviraju kroz davanje zajmova je višestruki. S obzirom na cjelokupne potrebe za ulaganjem u energetsku obnovu </w:t>
      </w:r>
      <w:r w:rsidR="4A98D8DE" w:rsidRPr="00B357F4">
        <w:t xml:space="preserve">ZJS </w:t>
      </w:r>
      <w:r w:rsidRPr="00B357F4">
        <w:t>te potrebom za dugotrajnim kreditima, uspostava financijskog instrumenta u obliku povoljnih kredita</w:t>
      </w:r>
      <w:r w:rsidR="0074471A">
        <w:t xml:space="preserve"> za vlasnike zgrada</w:t>
      </w:r>
      <w:r w:rsidRPr="00B357F4">
        <w:t xml:space="preserve"> ne bi bio dostatan za financiranje ukupnih potreba </w:t>
      </w:r>
      <w:r w:rsidR="00AC2470">
        <w:t>te</w:t>
      </w:r>
      <w:r w:rsidRPr="00B357F4">
        <w:t xml:space="preserve"> ne bi potaknuo uključenost privatnog financijskog sektora kao što to čine financijski instrumenti u obliku garancija</w:t>
      </w:r>
      <w:r w:rsidR="0074471A">
        <w:t xml:space="preserve"> čiji </w:t>
      </w:r>
      <w:r w:rsidR="00952FAD">
        <w:t>bi</w:t>
      </w:r>
      <w:r w:rsidR="0074471A">
        <w:t xml:space="preserve"> prihvatljivi korisnici </w:t>
      </w:r>
      <w:r w:rsidR="00952FAD">
        <w:t xml:space="preserve">bili </w:t>
      </w:r>
      <w:r w:rsidR="0074471A">
        <w:t xml:space="preserve">i </w:t>
      </w:r>
      <w:r w:rsidR="00952FAD">
        <w:t xml:space="preserve">iz </w:t>
      </w:r>
      <w:r w:rsidR="0074471A">
        <w:t>privatn</w:t>
      </w:r>
      <w:r w:rsidR="00952FAD">
        <w:t>og (npr. ESCO)</w:t>
      </w:r>
      <w:r w:rsidR="0074471A">
        <w:t xml:space="preserve"> i</w:t>
      </w:r>
      <w:r w:rsidR="00952FAD">
        <w:t xml:space="preserve"> iz</w:t>
      </w:r>
      <w:r w:rsidR="0074471A">
        <w:t xml:space="preserve"> javn</w:t>
      </w:r>
      <w:r w:rsidR="00952FAD">
        <w:t>og</w:t>
      </w:r>
      <w:r w:rsidR="0074471A">
        <w:t xml:space="preserve"> </w:t>
      </w:r>
      <w:r w:rsidR="00952FAD">
        <w:t>sektora</w:t>
      </w:r>
      <w:r w:rsidRPr="00B357F4">
        <w:t xml:space="preserve">.   </w:t>
      </w:r>
    </w:p>
    <w:p w14:paraId="474421CF" w14:textId="27DE52E0" w:rsidR="001219C7" w:rsidRPr="00B357F4" w:rsidRDefault="001219C7" w:rsidP="00310264">
      <w:pPr>
        <w:pStyle w:val="Naslov30"/>
      </w:pPr>
      <w:bookmarkStart w:id="169" w:name="_Toc94770032"/>
      <w:r w:rsidRPr="00B357F4">
        <w:t>Racionalnost pri dodjeli bespovratnih sredstava</w:t>
      </w:r>
      <w:bookmarkEnd w:id="169"/>
    </w:p>
    <w:p w14:paraId="5CE1FE14" w14:textId="1F227468" w:rsidR="001219C7" w:rsidRPr="00B357F4" w:rsidRDefault="43CD4386" w:rsidP="001219C7">
      <w:r w:rsidRPr="00B357F4">
        <w:t xml:space="preserve">Bez obzira na osiguravanje financijskih instrumenata za financiranje energetske obnove </w:t>
      </w:r>
      <w:r w:rsidR="45879F60" w:rsidRPr="00B357F4">
        <w:t>ZJS</w:t>
      </w:r>
      <w:r w:rsidRPr="00B357F4">
        <w:t xml:space="preserve"> isto neće biti dostatno da se potakne i ubrza dinamika obnove ovih zgrada. </w:t>
      </w:r>
      <w:r w:rsidR="23B196AC" w:rsidRPr="00B357F4">
        <w:t>P</w:t>
      </w:r>
      <w:r w:rsidRPr="00B357F4">
        <w:t xml:space="preserve">otrebe </w:t>
      </w:r>
      <w:r w:rsidR="700FF434" w:rsidRPr="00B357F4">
        <w:t xml:space="preserve">i obveza </w:t>
      </w:r>
      <w:r w:rsidRPr="00B357F4">
        <w:t xml:space="preserve">sveobuhvatne obnove </w:t>
      </w:r>
      <w:r w:rsidR="11B55D81" w:rsidRPr="00B357F4">
        <w:t>ZJS</w:t>
      </w:r>
      <w:r w:rsidR="700FF434" w:rsidRPr="00B357F4">
        <w:t xml:space="preserve"> stradalih ili oštećenih u potresu</w:t>
      </w:r>
      <w:r w:rsidR="4B4A468E" w:rsidRPr="00B357F4">
        <w:t>,</w:t>
      </w:r>
      <w:r w:rsidRPr="00B357F4">
        <w:t xml:space="preserve"> kako bi se zadovoljilo ispunjavanje </w:t>
      </w:r>
      <w:r w:rsidR="1AAA109F" w:rsidRPr="00B357F4">
        <w:t xml:space="preserve">temeljnih </w:t>
      </w:r>
      <w:r w:rsidRPr="00B357F4">
        <w:t xml:space="preserve">zahtjeva za građevinu </w:t>
      </w:r>
      <w:r w:rsidR="68274FF2" w:rsidRPr="00B357F4">
        <w:t>kao</w:t>
      </w:r>
      <w:r w:rsidRPr="00B357F4">
        <w:t xml:space="preserve"> mehaničke otpornosti i stabilnosti (pogotovo u dijelu seizmike) te </w:t>
      </w:r>
      <w:r w:rsidR="63FFB8EA" w:rsidRPr="00B357F4">
        <w:t xml:space="preserve">temeljnog </w:t>
      </w:r>
      <w:r w:rsidRPr="00B357F4">
        <w:t xml:space="preserve"> zahtjeva </w:t>
      </w:r>
      <w:r w:rsidR="3AF72747" w:rsidRPr="00B357F4">
        <w:t>sigurnosti u slučaju</w:t>
      </w:r>
      <w:r w:rsidRPr="00B357F4">
        <w:t xml:space="preserve"> požara dodatno povećava iznos potrebnih ulaganja koja se ne mogu isplatiti kroz uštede u periodu od 10 do 15 godina. Energetska </w:t>
      </w:r>
      <w:r w:rsidR="6B5414FF" w:rsidRPr="00B357F4">
        <w:t xml:space="preserve">odnosno sveobuhvatna </w:t>
      </w:r>
      <w:r w:rsidRPr="00B357F4">
        <w:t xml:space="preserve">obnova </w:t>
      </w:r>
      <w:r w:rsidR="059DC59C" w:rsidRPr="00B357F4">
        <w:t>ZJS</w:t>
      </w:r>
      <w:r w:rsidRPr="00B357F4">
        <w:t xml:space="preserve"> sufinancirat će se </w:t>
      </w:r>
      <w:r w:rsidR="00974E01">
        <w:t>iz</w:t>
      </w:r>
      <w:r w:rsidRPr="00B357F4">
        <w:t xml:space="preserve"> NPOO kako bi se smanjili jednostavni periodi povrata takve investicije i potaknula obnova takvih zgrada. Osim sredstava iz NPOO-a, </w:t>
      </w:r>
      <w:r w:rsidR="36A1CBFE" w:rsidRPr="00B357F4">
        <w:t>zgradama javnog sektora</w:t>
      </w:r>
      <w:r w:rsidRPr="00B357F4">
        <w:t xml:space="preserve"> bit će omogućeno i korištenje sredstava iz VFO-a kako bi se povećala stopa obnove ove vrste zgrada.  Iznosi sredstava, bilo u vidu bespovratnih sredstava ili financijskih instrumenata, bi trebali biti stimulativni kako bi se osigurala veća zainteresiranost vlasnika ali isti bi trebali biti razmjerni isplativosti mjera. Pri navedenom, smatra se racionalnim strukturirati programe dodjele bespovratnih sredstava na način da se sa većim udjelom sufinanciraju oni projekti koji imaju manju isplativost a sve kako bi se ujednačila isplativosti provedbe energetske obnove različitih </w:t>
      </w:r>
      <w:r w:rsidR="4DAE88DB" w:rsidRPr="00B357F4">
        <w:t xml:space="preserve">tipova </w:t>
      </w:r>
      <w:r w:rsidR="31E4F56C" w:rsidRPr="00B357F4">
        <w:t>ZJS</w:t>
      </w:r>
      <w:r w:rsidRPr="00B357F4">
        <w:t>.</w:t>
      </w:r>
    </w:p>
    <w:p w14:paraId="15A27695" w14:textId="517D2647" w:rsidR="001219C7" w:rsidRPr="00B357F4" w:rsidRDefault="001219C7" w:rsidP="00310264">
      <w:pPr>
        <w:pStyle w:val="Naslov30"/>
      </w:pPr>
      <w:bookmarkStart w:id="170" w:name="_Toc94770033"/>
      <w:r w:rsidRPr="00B357F4">
        <w:t>Uključenost privatnog sektora i tržišnih mehanizama</w:t>
      </w:r>
      <w:bookmarkEnd w:id="170"/>
    </w:p>
    <w:p w14:paraId="22A270D3" w14:textId="6095AA76" w:rsidR="001219C7" w:rsidRPr="00B357F4" w:rsidRDefault="43CD4386" w:rsidP="001219C7">
      <w:r w:rsidRPr="00B357F4">
        <w:t xml:space="preserve">U financiranju energetske obnove </w:t>
      </w:r>
      <w:r w:rsidR="6CBAA568" w:rsidRPr="00B357F4">
        <w:t>ZJS</w:t>
      </w:r>
      <w:r w:rsidRPr="00B357F4">
        <w:t xml:space="preserve"> potrebno je osigurati što veću uključenost privatnog sektora i tržišnih mehanizama. U slučaju uspostave financijskih instrumenata u obliku garancija za osiguravanje redovne otplate zajmova i osiguravanja preostalog dijela glavnice osigurava se uključenost privatnog financijskog sektora te tržišnih mehanizama. Navedeni</w:t>
      </w:r>
      <w:r w:rsidR="000C2672">
        <w:t xml:space="preserve"> mogući modeli</w:t>
      </w:r>
      <w:r w:rsidRPr="00B357F4">
        <w:t xml:space="preserve"> financijski</w:t>
      </w:r>
      <w:r w:rsidR="000C2672">
        <w:t>h</w:t>
      </w:r>
      <w:r w:rsidRPr="00B357F4">
        <w:t xml:space="preserve"> instrumen</w:t>
      </w:r>
      <w:r w:rsidR="000C2672">
        <w:t>a</w:t>
      </w:r>
      <w:r w:rsidRPr="00B357F4">
        <w:t>ta osigural</w:t>
      </w:r>
      <w:r w:rsidR="008718CA">
        <w:t xml:space="preserve">i bi prihvatljivost svih </w:t>
      </w:r>
      <w:r w:rsidRPr="00B357F4">
        <w:t>financijsk</w:t>
      </w:r>
      <w:r w:rsidR="008718CA">
        <w:t>ih</w:t>
      </w:r>
      <w:r w:rsidRPr="00B357F4">
        <w:t xml:space="preserve"> institucij</w:t>
      </w:r>
      <w:r w:rsidR="008718CA">
        <w:t>a</w:t>
      </w:r>
      <w:r w:rsidRPr="00B357F4">
        <w:t xml:space="preserve"> koje djeluju na tržištu </w:t>
      </w:r>
      <w:r w:rsidR="008718CA">
        <w:t xml:space="preserve">na način </w:t>
      </w:r>
      <w:r w:rsidRPr="00B357F4">
        <w:t xml:space="preserve">da i dalje mogu nuditi financijske proizvode u obliku namjenskih zajmova za energetsku obnovu zgrada, koji su i sada prisutni, samo uz još povoljnije uvjete i uz manje kolaterala koje korisnici trebaju osigurati. </w:t>
      </w:r>
      <w:r w:rsidR="39F0BBA9" w:rsidRPr="00B357F4">
        <w:t xml:space="preserve">Ovakva jamstva bi trebala biti </w:t>
      </w:r>
      <w:r w:rsidR="003B3570" w:rsidRPr="00B357F4">
        <w:t>osigurana za sve vrste financiranja energetske obnove javnih građevina uključujući i one financirane od strane ESCO</w:t>
      </w:r>
      <w:r w:rsidR="3CB3A39A" w:rsidRPr="00B357F4">
        <w:t xml:space="preserve"> tvrtki u obnovi javnih zgrada</w:t>
      </w:r>
      <w:r w:rsidRPr="00B357F4">
        <w:t xml:space="preserve">. </w:t>
      </w:r>
    </w:p>
    <w:p w14:paraId="41B042B0" w14:textId="4C0B8B3A" w:rsidR="001219C7" w:rsidRPr="00B357F4" w:rsidRDefault="001219C7" w:rsidP="001219C7">
      <w:r w:rsidRPr="00B357F4">
        <w:t xml:space="preserve">U slučaju energetske obnove javnih zgrada uključenost privatnog sektora dodatno je moguća kroz uporabu </w:t>
      </w:r>
      <w:r w:rsidR="0090386C" w:rsidRPr="00B357F4">
        <w:t>JPP modela</w:t>
      </w:r>
      <w:r w:rsidRPr="00B357F4">
        <w:t xml:space="preserve"> i </w:t>
      </w:r>
      <w:r w:rsidR="007A4BF7" w:rsidRPr="00B357F4">
        <w:t xml:space="preserve">ESCO </w:t>
      </w:r>
      <w:r w:rsidRPr="00B357F4">
        <w:t xml:space="preserve">modela. Ovi modeli posebno su važni za realizaciju energetske obnove javnih zgrada gdje se javni naručitelji ne mogu više zadužiti zbog fiskalnih ograničenja odnosno u slučajevima gdje se treba ograničiti utjecaj na javni dug. Putem ovih modela, ulogu investitora preuzimaju privatni partneri ili ESCO tvrtke te financiraju cjelokupni projekt energetske obnove a za što im tijekom godina javni naručitelji plaćaju ugovorenu naknadu. U realizaciji ovakvih modela potrebno je osigurati jednaku dostupnost bespovratnim sredstvima kao i u ostalim slučajevima na način da se istima osiguravaju jednostavni periodi povrata investicije u razumnim rokovima kao što je potrebno učiniti dostupnima i financijske instrumente u obliku garancijskih fondova i povoljnih kredita a sve kako bi se osigurala što manja razlika u cijeni kapitala u odnosu na tradicionalni način realizacije projekta.   </w:t>
      </w:r>
    </w:p>
    <w:p w14:paraId="694EAFAF" w14:textId="77777777" w:rsidR="00885EC1" w:rsidRPr="00B357F4" w:rsidRDefault="7B18FD22" w:rsidP="00885EC1">
      <w:pPr>
        <w:pStyle w:val="Naslov20"/>
      </w:pPr>
      <w:bookmarkStart w:id="171" w:name="_Toc94770034"/>
      <w:bookmarkStart w:id="172" w:name="_Toc18322118"/>
      <w:bookmarkStart w:id="173" w:name="_Toc47365832"/>
      <w:r w:rsidRPr="00B357F4">
        <w:t>Postojanje državne potpore</w:t>
      </w:r>
      <w:bookmarkEnd w:id="171"/>
    </w:p>
    <w:p w14:paraId="65936732" w14:textId="5BD36802" w:rsidR="008479E9" w:rsidRPr="00B357F4" w:rsidRDefault="008479E9" w:rsidP="008479E9">
      <w:pPr>
        <w:rPr>
          <w:lang w:eastAsia="hr-HR"/>
        </w:rPr>
      </w:pPr>
      <w:r w:rsidRPr="00B357F4">
        <w:rPr>
          <w:lang w:eastAsia="hr-HR"/>
        </w:rPr>
        <w:t>Državne potpore podliježu zakonodavstvu EU. Ugovorom o funkcioniranju Europske unije (u nastavku: UFEU) utvrđuju se područja, razgraničenja i aranžmani za izvršavanje njezinih nadležnosti te je jedan od dva ugovora na kojima se temelji Europska Unija. Članak 107. UFEU-a odnosi se na državne potpore te navodi da je svaka potpora koju dodijeli država članica ili koja se dodjeljuje putem državnih sredstava u bilo kojem obliku koji narušava ili prijeti da će narušiti tržišno natjecanje stavljanjem određenih poduzetnika ili proizvodnje određene robe u povoljniji položaj, nespojiva s unutarnjim tržištem u mjeri u kojoj utječe na trgovinu među državama članicama. Navedene su sljedeće vrste potpora koje se mogu smatrati spojivima s unutarnjim tržištem:</w:t>
      </w:r>
    </w:p>
    <w:p w14:paraId="62EAE29F" w14:textId="71E8FAD9" w:rsidR="008479E9" w:rsidRPr="00B357F4" w:rsidRDefault="008479E9" w:rsidP="00C300D1">
      <w:pPr>
        <w:pStyle w:val="Odlomakpopisa"/>
        <w:numPr>
          <w:ilvl w:val="0"/>
          <w:numId w:val="72"/>
        </w:numPr>
      </w:pPr>
      <w:r w:rsidRPr="00B357F4">
        <w:lastRenderedPageBreak/>
        <w:t>Potpore za promicanje gospodarskog razvoja područja na kojima je životni standard neuobičajeno nizak ili na kojima postoji velika podzaposlenost te regija iz članka 349. s obzirom na njihovo strukturno, gospodarsko i socijalno stanje;</w:t>
      </w:r>
    </w:p>
    <w:p w14:paraId="6804D875" w14:textId="11EC3B50" w:rsidR="008479E9" w:rsidRPr="00B357F4" w:rsidRDefault="008479E9" w:rsidP="00C300D1">
      <w:pPr>
        <w:pStyle w:val="Odlomakpopisa"/>
        <w:numPr>
          <w:ilvl w:val="0"/>
          <w:numId w:val="72"/>
        </w:numPr>
      </w:pPr>
      <w:r w:rsidRPr="00B357F4">
        <w:t>Potpore za promicanje provedbe važnog projekta od zajedničkog europskog interesa ili za otklanjanje ozbiljnih poremećaja u gospodarstvu neke države članice;</w:t>
      </w:r>
    </w:p>
    <w:p w14:paraId="1CF0F385" w14:textId="2EAC35DE" w:rsidR="008479E9" w:rsidRPr="00B357F4" w:rsidRDefault="008479E9" w:rsidP="00C300D1">
      <w:pPr>
        <w:pStyle w:val="Odlomakpopisa"/>
        <w:numPr>
          <w:ilvl w:val="0"/>
          <w:numId w:val="72"/>
        </w:numPr>
      </w:pPr>
      <w:r w:rsidRPr="00B357F4">
        <w:t>Potpore za olakšavanje razvoja određenih gospodarskih djelatnosti ili određenih gospodarskih područja ako takve potpore ne utječu negativno na trgovinske uvjete u mjeri u kojoj bi to bilo suprotno zajedničkom interesu;</w:t>
      </w:r>
    </w:p>
    <w:p w14:paraId="62BB082F" w14:textId="1F9B5C45" w:rsidR="008479E9" w:rsidRPr="00B357F4" w:rsidRDefault="008479E9" w:rsidP="00C300D1">
      <w:pPr>
        <w:pStyle w:val="Odlomakpopisa"/>
        <w:numPr>
          <w:ilvl w:val="0"/>
          <w:numId w:val="72"/>
        </w:numPr>
      </w:pPr>
      <w:r w:rsidRPr="00B357F4">
        <w:t>Potpore za promicanje kulture i očuvanje baštine ako takve potpore ne utječu na trgovinske uvjete i tržišno natjecanje u Uniji u mjeri u kojoj bi to bilo suprotno zajedničkom interesu;</w:t>
      </w:r>
    </w:p>
    <w:p w14:paraId="3C35EF3B" w14:textId="262F75A5" w:rsidR="008479E9" w:rsidRPr="00B357F4" w:rsidRDefault="008479E9" w:rsidP="00C300D1">
      <w:pPr>
        <w:pStyle w:val="Odlomakpopisa"/>
        <w:numPr>
          <w:ilvl w:val="0"/>
          <w:numId w:val="72"/>
        </w:numPr>
      </w:pPr>
      <w:r w:rsidRPr="00B357F4">
        <w:t>Druge vrste potpora koje Vijeće odredi svojom odlukom na prijedlog Komisije.</w:t>
      </w:r>
    </w:p>
    <w:p w14:paraId="36730820" w14:textId="77777777" w:rsidR="00AE6B3A" w:rsidRDefault="00AE6B3A" w:rsidP="00AE6B3A">
      <w:pPr>
        <w:rPr>
          <w:lang w:eastAsia="hr-HR"/>
        </w:rPr>
      </w:pPr>
      <w:r w:rsidRPr="007365F4">
        <w:rPr>
          <w:lang w:eastAsia="hr-HR"/>
        </w:rPr>
        <w:t xml:space="preserve">Uredbom </w:t>
      </w:r>
      <w:r w:rsidRPr="007365F4">
        <w:t>Europsk</w:t>
      </w:r>
      <w:r>
        <w:t>e</w:t>
      </w:r>
      <w:r w:rsidRPr="007365F4">
        <w:t xml:space="preserve"> komisij</w:t>
      </w:r>
      <w:r>
        <w:t>e</w:t>
      </w:r>
      <w:r w:rsidRPr="007365F4">
        <w:rPr>
          <w:lang w:eastAsia="hr-HR"/>
        </w:rPr>
        <w:t xml:space="preserve"> br</w:t>
      </w:r>
      <w:r>
        <w:rPr>
          <w:lang w:eastAsia="hr-HR"/>
        </w:rPr>
        <w:t>.</w:t>
      </w:r>
      <w:r w:rsidRPr="007365F4">
        <w:rPr>
          <w:lang w:eastAsia="hr-HR"/>
        </w:rPr>
        <w:t xml:space="preserve"> 651/2014 o ocjenjivanju određenih kategorija potpora spojivima s unutarnjim tržištem u primjeni članaka 107. i 108. UFEU</w:t>
      </w:r>
      <w:r>
        <w:rPr>
          <w:lang w:eastAsia="hr-HR"/>
        </w:rPr>
        <w:t xml:space="preserve"> (dalje: Uredba 651/2014)</w:t>
      </w:r>
      <w:r w:rsidRPr="007365F4">
        <w:rPr>
          <w:lang w:eastAsia="hr-HR"/>
        </w:rPr>
        <w:t>, omoguć</w:t>
      </w:r>
      <w:r>
        <w:rPr>
          <w:lang w:eastAsia="hr-HR"/>
        </w:rPr>
        <w:t>uje se</w:t>
      </w:r>
      <w:r w:rsidRPr="007365F4">
        <w:rPr>
          <w:lang w:eastAsia="hr-HR"/>
        </w:rPr>
        <w:t xml:space="preserve"> bolje raspoređivanje prioriteta pri provedbi državnih potpora, njezino pojednostavnjenje te povećanje transparentnosti, učinkovite evaluacije i kontrole usklađenosti s pravilima o državnim potporama na nacionalnoj razini i na razini EU.</w:t>
      </w:r>
      <w:r>
        <w:rPr>
          <w:lang w:eastAsia="hr-HR"/>
        </w:rPr>
        <w:t xml:space="preserve"> </w:t>
      </w:r>
    </w:p>
    <w:p w14:paraId="760B8046" w14:textId="77777777" w:rsidR="00AE6B3A" w:rsidRDefault="00AE6B3A" w:rsidP="00AE6B3A">
      <w:r>
        <w:t>Pravila o dodjeli potpora se primjenjuju samo na javno financiranje obnove onih zgrada u kojima se obavljaju gospodarske djelatnosti, dok se na financiranje obnove zgrada u kojima se obavljaju negospodarske djelatnosti ne primjenjuju pravila o državnim potporama.</w:t>
      </w:r>
    </w:p>
    <w:p w14:paraId="1AB7ADB4" w14:textId="77777777" w:rsidR="00AE6B3A" w:rsidRDefault="00AE6B3A" w:rsidP="00AE6B3A">
      <w:r>
        <w:rPr>
          <w:lang w:eastAsia="hr-HR"/>
        </w:rPr>
        <w:t xml:space="preserve">Uslijed </w:t>
      </w:r>
      <w:r>
        <w:t xml:space="preserve">gospodarskih i financijskih posljedica pandemije bolesti COVID-19 na poduzetnike i radi usklađivanja s općim odgovorom politike Komisije, posebno u razdoblju 2020.–2021., Uredba 651/2014 je izmijenjena i dopunjena još u dva navrata, i to: Uredbom Komisije 2020/972 od 2. srpnja 2020. o izmjeni Uredbe br. 1407/2013 u pogledu njezina produljenja i o izmjeni Uredbe br. 651/2014 u pogledu njezina produljenja i odgovarajućih prilagodbi (dalje: Uredba 2020/972) te Uredbom Komisije (EU) 2021/1237 od 23. srpnja 2021. o izmjeni Uredbe (EU) br. 651/ 2014 o ocjenjivanju određenih kategorija potpora spojivima s unutarnjim tržištem u primjeni članaka 107. i 108. Ugovora (dalje: Uredba 2021/1237). </w:t>
      </w:r>
    </w:p>
    <w:p w14:paraId="138F92FB" w14:textId="77777777" w:rsidR="00AE6B3A" w:rsidRDefault="00AE6B3A" w:rsidP="00AE6B3A">
      <w:r>
        <w:t>Izmjene i dopune sadržane u Uredbi 2021/1237, između ostalog, sadrže izmjenu i dopunu pojedinih odredaba članka 38. koji se odnosi na potpore za ulaganje u mjere energetske učinkovitosti te izmjenu i dopunu odredaba članka 39. koji se odnosi na potpore za ulaganje u projekte energetske učinkovitosti zgrada.</w:t>
      </w:r>
    </w:p>
    <w:p w14:paraId="060670B1" w14:textId="77777777" w:rsidR="00AE6B3A" w:rsidRDefault="00AE6B3A" w:rsidP="00AE6B3A">
      <w:r>
        <w:t>Izmjenama i dopunama Uredbe 651/2014, ukupni troškovi ulaganja nužni za postizanje više razine energetske učinkovitosti:</w:t>
      </w:r>
    </w:p>
    <w:p w14:paraId="401DF10B" w14:textId="77777777" w:rsidR="00AE6B3A" w:rsidRDefault="00AE6B3A" w:rsidP="00AE6B3A">
      <w:pPr>
        <w:pStyle w:val="Odlomakpopisa"/>
        <w:keepLines w:val="0"/>
        <w:numPr>
          <w:ilvl w:val="0"/>
          <w:numId w:val="96"/>
        </w:numPr>
        <w:suppressAutoHyphens w:val="0"/>
        <w:spacing w:before="0" w:after="0"/>
        <w:contextualSpacing/>
      </w:pPr>
      <w:r>
        <w:t xml:space="preserve">stambenih zgrada, </w:t>
      </w:r>
    </w:p>
    <w:p w14:paraId="57B51C6B" w14:textId="77777777" w:rsidR="00AE6B3A" w:rsidRDefault="00AE6B3A" w:rsidP="00AE6B3A">
      <w:pPr>
        <w:pStyle w:val="Odlomakpopisa"/>
        <w:keepLines w:val="0"/>
        <w:numPr>
          <w:ilvl w:val="0"/>
          <w:numId w:val="96"/>
        </w:numPr>
        <w:suppressAutoHyphens w:val="0"/>
        <w:spacing w:before="0" w:after="0"/>
        <w:contextualSpacing/>
      </w:pPr>
      <w:r>
        <w:t xml:space="preserve">zgrada namijenjenih pružanju usluga obrazovanja ili socijalnih usluga, </w:t>
      </w:r>
    </w:p>
    <w:p w14:paraId="5A102483" w14:textId="77777777" w:rsidR="00AE6B3A" w:rsidRDefault="00AE6B3A" w:rsidP="00AE6B3A">
      <w:pPr>
        <w:pStyle w:val="Odlomakpopisa"/>
        <w:keepLines w:val="0"/>
        <w:numPr>
          <w:ilvl w:val="0"/>
          <w:numId w:val="96"/>
        </w:numPr>
        <w:suppressAutoHyphens w:val="0"/>
        <w:spacing w:before="0" w:after="0"/>
        <w:contextualSpacing/>
      </w:pPr>
      <w:r>
        <w:t xml:space="preserve">zgrada namijenjenih aktivnostima povezanima s javnom upravom ili pravosuđem, policijom ili vatrogasnim uslugama ili </w:t>
      </w:r>
    </w:p>
    <w:p w14:paraId="3855A828" w14:textId="77777777" w:rsidR="00AE6B3A" w:rsidRDefault="00AE6B3A" w:rsidP="00AE6B3A">
      <w:pPr>
        <w:pStyle w:val="Odlomakpopisa"/>
        <w:keepLines w:val="0"/>
        <w:numPr>
          <w:ilvl w:val="0"/>
          <w:numId w:val="96"/>
        </w:numPr>
        <w:suppressAutoHyphens w:val="0"/>
        <w:spacing w:before="0" w:after="0"/>
        <w:contextualSpacing/>
      </w:pPr>
      <w:r>
        <w:t xml:space="preserve">svih navedenih zgrada u kojima aktivnosti koje nisu navedene zauzimaju manje od 35 % površine unutrašnjeg prostora, </w:t>
      </w:r>
    </w:p>
    <w:p w14:paraId="4920D5F4" w14:textId="77777777" w:rsidR="00AE6B3A" w:rsidRDefault="00AE6B3A" w:rsidP="00AE6B3A">
      <w:r>
        <w:t>smatraju se prihvatljivim troškovima</w:t>
      </w:r>
      <w:r w:rsidRPr="00ED3658">
        <w:t xml:space="preserve"> </w:t>
      </w:r>
      <w:r>
        <w:t xml:space="preserve">ako se zbog poboljšanja energetske učinkovitosti smanji početna potražnja za primarnom energijom za barem 20 % u slučaju renovacije, odnosno ako dođe do uštede primarne energije od barem 10 % u odnosu na prag iz zahtjeva za zgrade gotovo nulte energije u nacionalnim mjerama za provedbu Direktive 2010/31/EU Europskog parlamenta i Vijeća, u slučaju novih zgrada. </w:t>
      </w:r>
    </w:p>
    <w:p w14:paraId="0BBCE02A" w14:textId="77777777" w:rsidR="00AE6B3A" w:rsidRDefault="00AE6B3A" w:rsidP="00AE6B3A">
      <w:r>
        <w:t xml:space="preserve">Pritom se ulaganje u poboljšanje energetske učinkovitosti zgrade može kombinirati s ulaganjima u integrirana postrojenja za proizvodnju energije iz obnovljivih izvora na lokaciji za proizvodnju električne i/ili toplinske energije, opremu za skladištenje energije koju proizvodi postrojenje za proizvodnju energije iz obnovljivih izvora na lokaciji, opremu i povezanu infrastrukturu ugrađenu u zgradu za punjenje električnih vozila korisnika zgrade te ulaganja za digitalizaciju zgrade, osobito za povećanje njezine pripremljenosti za pametne tehnologije. </w:t>
      </w:r>
    </w:p>
    <w:p w14:paraId="67F05BA9" w14:textId="77777777" w:rsidR="00AE6B3A" w:rsidRDefault="00AE6B3A" w:rsidP="00AE6B3A">
      <w:r>
        <w:t>Izmjenom Uredbe 651/2014 je dodatno omogućeno i provođenje mjera za poboljšanje energetske učinkovitosti na temelju ugovoru o energetskom učinku ili korištenjem financijskog proizvoda čiji je cilj refinanciranje predmetnog pružatelja (npr. faktoring, forfeiting), uz uvjet da nominalni iznos ukupnog preostalog financiranja po korisniku ne premašuje 30 milijuna eura.</w:t>
      </w:r>
    </w:p>
    <w:p w14:paraId="7E135E8C" w14:textId="351BEAC0" w:rsidR="008479E9" w:rsidRPr="00B357F4" w:rsidRDefault="008479E9" w:rsidP="008479E9">
      <w:pPr>
        <w:rPr>
          <w:lang w:eastAsia="hr-HR"/>
        </w:rPr>
      </w:pPr>
      <w:r w:rsidRPr="00B357F4">
        <w:rPr>
          <w:lang w:eastAsia="hr-HR"/>
        </w:rPr>
        <w:lastRenderedPageBreak/>
        <w:t>Državno financiranje koje ispunjava kriterije iz članka 107. stavka 1. UFEU čini državnu potporu i podložno je obvezi prijave Europskoj komisiji na temelju članka 108. stavka 3. UFEU. Međutim, u skladu s člankom 109. UFEU, Vijeće može odrediti kategorije potpora koje se izuzimaju od te obveze prijave. Na temelju Uredbe Vijeća (EZ) br. 994/98 o primjeni članaka 107. i 108. UFEU na određene kategorije horizontalnih državnih potpora (kodifikacija) (Tekst značajan za EGP) (Europska komisija, COM(2014) 377 final, 25.6.2014.) (</w:t>
      </w:r>
      <w:r w:rsidR="00AE6B3A">
        <w:rPr>
          <w:lang w:eastAsia="hr-HR"/>
        </w:rPr>
        <w:t>dalje</w:t>
      </w:r>
      <w:r w:rsidRPr="00B357F4">
        <w:rPr>
          <w:lang w:eastAsia="hr-HR"/>
        </w:rPr>
        <w:t xml:space="preserve">: Uredba Vijeća (EZ) br. 994/98), Komisija je, u skladu s člankom 109. UFEU, ovlaštena ocijeniti da se pod određenim uvjetima sljedeće kategorije potpora mogu izuzeti od obveze prijave: </w:t>
      </w:r>
    </w:p>
    <w:p w14:paraId="481F1047" w14:textId="0B09A4D1" w:rsidR="008479E9" w:rsidRPr="00B357F4" w:rsidRDefault="008479E9" w:rsidP="00C300D1">
      <w:pPr>
        <w:pStyle w:val="Odlomakpopisa"/>
        <w:numPr>
          <w:ilvl w:val="0"/>
          <w:numId w:val="98"/>
        </w:numPr>
      </w:pPr>
      <w:r w:rsidRPr="00B357F4">
        <w:t xml:space="preserve">Potpore malim i srednjim poduzećima (MSP-ovi); </w:t>
      </w:r>
    </w:p>
    <w:p w14:paraId="6AC05187" w14:textId="0C0489F8" w:rsidR="008479E9" w:rsidRPr="00B357F4" w:rsidRDefault="008479E9" w:rsidP="00C300D1">
      <w:pPr>
        <w:pStyle w:val="Odlomakpopisa"/>
        <w:numPr>
          <w:ilvl w:val="0"/>
          <w:numId w:val="98"/>
        </w:numPr>
      </w:pPr>
      <w:r w:rsidRPr="00B357F4">
        <w:t>Potpore u korist istraživanja i razvoja;</w:t>
      </w:r>
    </w:p>
    <w:p w14:paraId="6F048ACC" w14:textId="252DB0BC" w:rsidR="008479E9" w:rsidRPr="00B357F4" w:rsidRDefault="008479E9" w:rsidP="00C300D1">
      <w:pPr>
        <w:pStyle w:val="Odlomakpopisa"/>
        <w:numPr>
          <w:ilvl w:val="0"/>
          <w:numId w:val="98"/>
        </w:numPr>
      </w:pPr>
      <w:r w:rsidRPr="00B357F4">
        <w:t xml:space="preserve">Potpore u korist zaštite okoliša; </w:t>
      </w:r>
    </w:p>
    <w:p w14:paraId="1C4D9D63" w14:textId="64E1D444" w:rsidR="008479E9" w:rsidRPr="00B357F4" w:rsidRDefault="008479E9" w:rsidP="00C300D1">
      <w:pPr>
        <w:pStyle w:val="Odlomakpopisa"/>
        <w:numPr>
          <w:ilvl w:val="0"/>
          <w:numId w:val="98"/>
        </w:numPr>
      </w:pPr>
      <w:r w:rsidRPr="00B357F4">
        <w:t xml:space="preserve">Potpore za zapošljavanje i usavršavanje i </w:t>
      </w:r>
    </w:p>
    <w:p w14:paraId="689B9A61" w14:textId="469928D8" w:rsidR="008479E9" w:rsidRPr="00B357F4" w:rsidRDefault="008479E9" w:rsidP="00C300D1">
      <w:pPr>
        <w:pStyle w:val="Odlomakpopisa"/>
        <w:numPr>
          <w:ilvl w:val="0"/>
          <w:numId w:val="98"/>
        </w:numPr>
      </w:pPr>
      <w:r w:rsidRPr="00B357F4">
        <w:t xml:space="preserve">Potpore koje su u skladu s kartom koju je Komisija odobrila za svaku državu članicu za dodjelu regionalnih potpora. </w:t>
      </w:r>
    </w:p>
    <w:p w14:paraId="738ECD01" w14:textId="77777777" w:rsidR="008479E9" w:rsidRPr="00B357F4" w:rsidRDefault="008479E9" w:rsidP="008479E9">
      <w:pPr>
        <w:rPr>
          <w:lang w:eastAsia="hr-HR"/>
        </w:rPr>
      </w:pPr>
      <w:r w:rsidRPr="00B357F4">
        <w:rPr>
          <w:lang w:eastAsia="hr-HR"/>
        </w:rPr>
        <w:t xml:space="preserve">Dana 22. srpnja 2013. Uredba Vijeća (EZ) br. 994/98 izmijenjena je Uredbom Vijeća (EU) br. 733/2013 od 22. srpnja 2013. o izmjeni Uredbe (EZ) br. 994/98 o primjeni članaka 92. i 93. Ugovora o osnivanju Europske zajednice na određene kategorije horizontalnih državnih potpora (Tekst značajan za EGP), SL L 204/3, 31.7.2013.) kako bi se Komisiju ovlastilo da skupno izuzeće proširi na nove kategorije potpora, za koje je moguće utvrditi jasne uvjete spojivosti. Nove kategorije potpora na koje se primjenjuje skupno izuzeće uključuju: </w:t>
      </w:r>
    </w:p>
    <w:p w14:paraId="485B954D" w14:textId="7CC0AEC5" w:rsidR="008479E9" w:rsidRPr="00B357F4" w:rsidRDefault="008479E9" w:rsidP="00C300D1">
      <w:pPr>
        <w:pStyle w:val="Odlomakpopisa"/>
        <w:numPr>
          <w:ilvl w:val="0"/>
          <w:numId w:val="100"/>
        </w:numPr>
      </w:pPr>
      <w:r w:rsidRPr="00B357F4">
        <w:t xml:space="preserve">Potpore za nadoknadu štete prouzročene određenim prirodnim katastrofama; </w:t>
      </w:r>
    </w:p>
    <w:p w14:paraId="7C7B8136" w14:textId="06FDC6A3" w:rsidR="008479E9" w:rsidRPr="00B357F4" w:rsidRDefault="008479E9" w:rsidP="00C300D1">
      <w:pPr>
        <w:pStyle w:val="Odlomakpopisa"/>
        <w:numPr>
          <w:ilvl w:val="0"/>
          <w:numId w:val="100"/>
        </w:numPr>
      </w:pPr>
      <w:r w:rsidRPr="00B357F4">
        <w:t>Socijalne potpore za prijevoz stanovnika udaljenih regija;</w:t>
      </w:r>
    </w:p>
    <w:p w14:paraId="2918F772" w14:textId="50BA137C" w:rsidR="008479E9" w:rsidRPr="00B357F4" w:rsidRDefault="008479E9" w:rsidP="00C300D1">
      <w:pPr>
        <w:pStyle w:val="Odlomakpopisa"/>
        <w:numPr>
          <w:ilvl w:val="0"/>
          <w:numId w:val="100"/>
        </w:numPr>
      </w:pPr>
      <w:r w:rsidRPr="00B357F4">
        <w:t xml:space="preserve">Potpore za širokopojasne infrastrukture, potpore za inovacije; </w:t>
      </w:r>
    </w:p>
    <w:p w14:paraId="3DD98996" w14:textId="0D8A65B3" w:rsidR="008479E9" w:rsidRPr="00B357F4" w:rsidRDefault="008479E9" w:rsidP="00C300D1">
      <w:pPr>
        <w:pStyle w:val="Odlomakpopisa"/>
        <w:numPr>
          <w:ilvl w:val="0"/>
          <w:numId w:val="100"/>
        </w:numPr>
      </w:pPr>
      <w:r w:rsidRPr="00B357F4">
        <w:t xml:space="preserve">Potpore za kulturu i očuvanje baštine; </w:t>
      </w:r>
    </w:p>
    <w:p w14:paraId="5D8009AB" w14:textId="116C3BDA" w:rsidR="008479E9" w:rsidRPr="00B357F4" w:rsidRDefault="008479E9" w:rsidP="00C300D1">
      <w:pPr>
        <w:pStyle w:val="Odlomakpopisa"/>
        <w:numPr>
          <w:ilvl w:val="0"/>
          <w:numId w:val="100"/>
        </w:numPr>
      </w:pPr>
      <w:r w:rsidRPr="00B357F4">
        <w:t xml:space="preserve">Potpore za sportske i višenamjenske rekreativne infrastrukture. </w:t>
      </w:r>
    </w:p>
    <w:p w14:paraId="5A0ABE76" w14:textId="434444E2" w:rsidR="008479E9" w:rsidRPr="00B357F4" w:rsidRDefault="008479E9" w:rsidP="008479E9">
      <w:pPr>
        <w:rPr>
          <w:lang w:eastAsia="hr-HR"/>
        </w:rPr>
      </w:pPr>
      <w:r w:rsidRPr="00B357F4">
        <w:rPr>
          <w:lang w:eastAsia="hr-HR"/>
        </w:rPr>
        <w:t>Zahtjev u pogledu postojanja učinka poticaja ne primjenjuje se ili bi se trebalo pretpostaviti da je ispunjen ako su ispunjeni posebni uvjeti za te kategorije potpora utvrđeni u Uredbi Komisije 651/2014.</w:t>
      </w:r>
    </w:p>
    <w:p w14:paraId="662FA741" w14:textId="142A600F" w:rsidR="008479E9" w:rsidRPr="00971F9E" w:rsidRDefault="008479E9" w:rsidP="008479E9">
      <w:pPr>
        <w:rPr>
          <w:lang w:eastAsia="hr-HR"/>
        </w:rPr>
      </w:pPr>
      <w:r w:rsidRPr="00B357F4">
        <w:rPr>
          <w:lang w:eastAsia="hr-HR"/>
        </w:rPr>
        <w:t>Prema Z</w:t>
      </w:r>
      <w:r w:rsidR="00854E5C">
        <w:rPr>
          <w:lang w:eastAsia="hr-HR"/>
        </w:rPr>
        <w:t>akonu o državnim potporama</w:t>
      </w:r>
      <w:r w:rsidR="00274F67">
        <w:rPr>
          <w:lang w:eastAsia="hr-HR"/>
        </w:rPr>
        <w:t xml:space="preserve"> (NN</w:t>
      </w:r>
      <w:r w:rsidR="00F37A40" w:rsidRPr="00F37A40">
        <w:t xml:space="preserve"> </w:t>
      </w:r>
      <w:r w:rsidR="00F37A40" w:rsidRPr="00F37A40">
        <w:rPr>
          <w:lang w:eastAsia="hr-HR"/>
        </w:rPr>
        <w:t>47/14 , 69/17</w:t>
      </w:r>
      <w:r w:rsidR="00F37A40">
        <w:rPr>
          <w:lang w:eastAsia="hr-HR"/>
        </w:rPr>
        <w:t>, dalje:</w:t>
      </w:r>
      <w:r w:rsidR="00F37A40" w:rsidRPr="00F37A40">
        <w:rPr>
          <w:lang w:eastAsia="hr-HR"/>
        </w:rPr>
        <w:t xml:space="preserve"> </w:t>
      </w:r>
      <w:r w:rsidR="00274F67">
        <w:rPr>
          <w:lang w:eastAsia="hr-HR"/>
        </w:rPr>
        <w:t>Z</w:t>
      </w:r>
      <w:r w:rsidRPr="00B357F4">
        <w:rPr>
          <w:lang w:eastAsia="hr-HR"/>
        </w:rPr>
        <w:t>DP</w:t>
      </w:r>
      <w:r w:rsidR="00274F67">
        <w:rPr>
          <w:lang w:eastAsia="hr-HR"/>
        </w:rPr>
        <w:t>)</w:t>
      </w:r>
      <w:r w:rsidRPr="00B357F4">
        <w:rPr>
          <w:lang w:eastAsia="hr-HR"/>
        </w:rPr>
        <w:t>,</w:t>
      </w:r>
      <w:r w:rsidRPr="006734C7">
        <w:rPr>
          <w:lang w:eastAsia="hr-HR"/>
        </w:rPr>
        <w:t xml:space="preserve"> državna potpora je stvarni i potencijalni rashod ili umanjeni prihod države dodijeljen od strane davatelja državne potpore u bilo kojem obliku koji narušava ili prijeti narušavanjem tržišnog natjecanja stavljajući i povoljniji položaj određenog poduzetnik</w:t>
      </w:r>
      <w:r w:rsidRPr="00203A80">
        <w:rPr>
          <w:lang w:eastAsia="hr-HR"/>
        </w:rPr>
        <w:t>a ili proizvodnju određene robe i/ili usluge utoliko što utječe na trgovinu između država članica europske unije. Državnu potporu predstavljaju kumulativno ispunjeni uvjeti:</w:t>
      </w:r>
    </w:p>
    <w:p w14:paraId="4D305ACE" w14:textId="2D135FCE" w:rsidR="008479E9" w:rsidRPr="00B357F4" w:rsidRDefault="008479E9" w:rsidP="00C300D1">
      <w:pPr>
        <w:pStyle w:val="Odlomakpopisa"/>
        <w:numPr>
          <w:ilvl w:val="0"/>
          <w:numId w:val="102"/>
        </w:numPr>
      </w:pPr>
      <w:r w:rsidRPr="00B357F4">
        <w:t>Mjera uključuje sredstva dodijeljena iz državnog proračuna, proračuna županije, grada ili općine, fondova i pravnih osoba u vlasništvu države. Pored izravnih proračunskih izdataka, državnom potporom se smatra i manji, odnosno neostvareni prihod države zbog neplaćenog poreza, doprinosa ili drugog nepodmirenog dugovanja, odnosno neizvršene financijske obveze prema državi, otpis duga, prodaja zemljišta, odnosno nekretnina ispod tržišne cijene i bez provedenog natječaja, darovanje zemljišta i sl.</w:t>
      </w:r>
    </w:p>
    <w:p w14:paraId="531863C8" w14:textId="5B4F232C" w:rsidR="008479E9" w:rsidRPr="00B357F4" w:rsidRDefault="008479E9" w:rsidP="00C300D1">
      <w:pPr>
        <w:pStyle w:val="Odlomakpopisa"/>
        <w:numPr>
          <w:ilvl w:val="0"/>
          <w:numId w:val="102"/>
        </w:numPr>
      </w:pPr>
      <w:r w:rsidRPr="00B357F4">
        <w:t>Prednost na tržištu ostvaruje se činjenicom da je korisnik potpore primio sredstva koja ne bi mogao ostvariti u svom redovnom poslovanju. Pored očitih državnih potpora kao što su subvencije, oslobađanje od plaćanja poreza, državna jamstva, postoje i ostale državne potpore koje su manje očite, a također osiguravaju ekonomsku prednost, a to su kupnja/iznajmljivanje zemljišta u državnom vlasništvu poduzetniku po povoljnijoj cijeni od tržišne, darovanje zemljišta, otpis duga, omogućavanje pristupa javnoj infrastrukturi bez plaćanja doprinosa za istu te dokapitalizacija poduzetnika od strane države pod uvjetima povoljnijim nego što bi to učinio privatni investitor.</w:t>
      </w:r>
    </w:p>
    <w:p w14:paraId="69B8CC6A" w14:textId="060537D0" w:rsidR="008479E9" w:rsidRPr="00B357F4" w:rsidRDefault="008479E9" w:rsidP="00C300D1">
      <w:pPr>
        <w:pStyle w:val="Odlomakpopisa"/>
        <w:numPr>
          <w:ilvl w:val="0"/>
          <w:numId w:val="102"/>
        </w:numPr>
      </w:pPr>
      <w:r w:rsidRPr="00B357F4">
        <w:t>Potpora mora biti selektivna, odnosno potrebno je utvrditi je li određeni poduzetnik, sektor ili regija dobio određena sredstva iz proračuna države, jedinice lokalne ili područne samouprave ili druge pravne osobe davatelja potpore pa je time doveden u povoljniji tržišni položaj u odnosu na konkurenciju. O selektivnosti se može raditi i kada postoji određeno diskrecijsko pravo odlučivanja prilikom dodjele potpore od strane davatelja potpore.</w:t>
      </w:r>
    </w:p>
    <w:p w14:paraId="7186F9C3" w14:textId="113ADE76" w:rsidR="008479E9" w:rsidRPr="00B357F4" w:rsidRDefault="008479E9" w:rsidP="00C300D1">
      <w:pPr>
        <w:pStyle w:val="Odlomakpopisa"/>
        <w:numPr>
          <w:ilvl w:val="0"/>
          <w:numId w:val="102"/>
        </w:numPr>
      </w:pPr>
      <w:r w:rsidRPr="00B357F4">
        <w:t>Potrebno je provjeriti ima li djelatnost koju obavlja korisnik potpore stvarno ili potencijalno učinak na trgovinu između RH i članica Europske unije, odnosno dolazi li do narušavanja tržišnog natjecanja, s obzirom da UFEU propisuje zabranu dodjele državnih potpora koje utječu (ili bi mogle utjecati) na trgovinu među državama članicama Europske unije.</w:t>
      </w:r>
    </w:p>
    <w:p w14:paraId="4C819AFD" w14:textId="1A751BAD" w:rsidR="008479E9" w:rsidRPr="00B357F4" w:rsidRDefault="008479E9" w:rsidP="008479E9">
      <w:pPr>
        <w:rPr>
          <w:lang w:eastAsia="hr-HR"/>
        </w:rPr>
      </w:pPr>
      <w:r w:rsidRPr="00B357F4">
        <w:rPr>
          <w:lang w:eastAsia="hr-HR"/>
        </w:rPr>
        <w:lastRenderedPageBreak/>
        <w:t xml:space="preserve">Ukoliko samo jedan od navedenih uvjeta nije ispunjen, </w:t>
      </w:r>
      <w:r w:rsidR="005C400F">
        <w:rPr>
          <w:lang w:eastAsia="hr-HR"/>
        </w:rPr>
        <w:t xml:space="preserve">utoliko se </w:t>
      </w:r>
      <w:r w:rsidRPr="00B357F4">
        <w:rPr>
          <w:lang w:eastAsia="hr-HR"/>
        </w:rPr>
        <w:t>mjera ne smatra državnom potporom.</w:t>
      </w:r>
    </w:p>
    <w:p w14:paraId="2C4DF4EE" w14:textId="77777777" w:rsidR="008479E9" w:rsidRPr="00B357F4" w:rsidRDefault="008479E9" w:rsidP="008479E9">
      <w:pPr>
        <w:rPr>
          <w:lang w:eastAsia="hr-HR"/>
        </w:rPr>
      </w:pPr>
      <w:r w:rsidRPr="00B357F4">
        <w:rPr>
          <w:lang w:eastAsia="hr-HR"/>
        </w:rPr>
        <w:t>Sukladno Obavijesti Komisije o pojmu državne potpore iz članka 107. stavka 1. UFEU (2016/C od 19. srpnja 2016.), korisnik mora zadovoljavati uvjete za poduzetnika, ali ti uvjeti ne ovise o njegovom pravnom statusu, odnosno o tome je li osnovan u skladu s javnim ili privatnim pravom, ili o njegovoj ekonomskoj prirodi, odnosno o tome nastoji li ostvariti dobit ili ne. Ono što je odlučujuće za ispunjavanje uvjeta iz definicije poduzetnika jest činjenica da se bavi ekonomskom djelatnošću koja se sastoji od ponude proizvoda ili usluga na određenom tržištu. Za definiranje pojma poduzetnika nije mjerodavno nacionalno pravo, jer ponekad subjekt koji je klasificiran kao udruženje ili sportski klub na temelju nacionalnog prava, može se smatrati poduzetnikom u pogledu pravila o državnim potporama.</w:t>
      </w:r>
    </w:p>
    <w:p w14:paraId="122A3DD4" w14:textId="77777777" w:rsidR="008479E9" w:rsidRPr="00B357F4" w:rsidRDefault="008479E9" w:rsidP="008479E9">
      <w:pPr>
        <w:rPr>
          <w:lang w:eastAsia="hr-HR"/>
        </w:rPr>
      </w:pPr>
      <w:r w:rsidRPr="00B357F4">
        <w:rPr>
          <w:lang w:eastAsia="hr-HR"/>
        </w:rPr>
        <w:t>Sam ZDP u članku 2. podstavku 7. korisnika potpore definira kao svaku pravnu i fizičku osobu koja, obavljajući gospodarsku djelatnost, sudjeluje u prometu roba i usluga, a prima državnu potporu bez obzira na njezin oblik i namjenu. Ukoliko je riječ o neekonomskim/negospodarskim aktivnostima, korisnik sredstava tada se ne bi smatrao korisnikom potpore. U slučaju da se isti subjekt bavi i ekonomskim i neekonomskim djelatnostima, javno financiranje neekonomskih djelatnosti neće biti obuhvaćeno člankom 107. stavkom 1. UFEU, ako je moguće jednoznačno odvojiti dvije vrste aktivnosti, njihove troškove, financiranje i prihode kako bi se djelotvorno izbjeglo unakrsno subvencioniranje ekonomske djelatnosti. Kao dokaz o prikladnoj raspodjeli troškova, financijskih sredstava i prihoda mogu služiti godišnji financijski izvještaji mjerodavnog subjekta.</w:t>
      </w:r>
    </w:p>
    <w:p w14:paraId="0A2D463B" w14:textId="27CD81E1" w:rsidR="008479E9" w:rsidRPr="00B357F4" w:rsidRDefault="008479E9" w:rsidP="008479E9">
      <w:pPr>
        <w:rPr>
          <w:lang w:eastAsia="hr-HR"/>
        </w:rPr>
      </w:pPr>
      <w:r w:rsidRPr="00B357F4">
        <w:rPr>
          <w:lang w:eastAsia="hr-HR"/>
        </w:rPr>
        <w:t>Temeljem članka 4. podstavka 1. ZDP-a, davatelj državne potpore, između ostaloga, izrađuje prijedloge programa državnih potpora i pojedinačnih državnih potpora iz svojeg djelokruga te dodjeljuje državne potpore po primitku mišljenja, odnosno odobrenja nadležnih tijela i nakon objave na svojim mrežnim stranicama. Davatelj državne potpore prilikom izrade prijedloga programa državnih potpora mora uzeti obzir sljedeće činjenice: predstavljaju li sredstva koja se dodjeljuju temeljem prijedloga programa ili pojedinačne potpore državna sredstva te da li se dodjeljuju poduzetnicima (kao korisnicima državne potpore), jer dodjeljivanje takvih sredstava fizičkim osobama ne predstavlja državnu potporu.</w:t>
      </w:r>
    </w:p>
    <w:p w14:paraId="4B9E72F3" w14:textId="77777777" w:rsidR="008479E9" w:rsidRPr="00B357F4" w:rsidRDefault="008479E9" w:rsidP="008479E9">
      <w:pPr>
        <w:rPr>
          <w:lang w:eastAsia="hr-HR"/>
        </w:rPr>
      </w:pPr>
      <w:r w:rsidRPr="00B357F4">
        <w:rPr>
          <w:lang w:eastAsia="hr-HR"/>
        </w:rPr>
        <w:t>U slučaju dodjele sredstava izvan režima potpora (npr. u slučaju kada se radi o korisnicima koji ne obavljaju gospodarsku djelatnost, odnosno fizičke osobe, vlasnici kuća za stanovanje, javne bolnice, javne škole) na takve programe Ministarstvo financija ne izdaje mišljenje, ali pritom je potrebno uzeti u obzir primjenu ostalih propisa (primjerice propise o javnoj nabavi ili osiguravanja odgovarajućeg vlastitog doprinosa kod obnove privatne kuće).</w:t>
      </w:r>
    </w:p>
    <w:p w14:paraId="3532F477" w14:textId="77777777" w:rsidR="008479E9" w:rsidRPr="00B357F4" w:rsidRDefault="008479E9" w:rsidP="008479E9">
      <w:pPr>
        <w:rPr>
          <w:lang w:eastAsia="hr-HR"/>
        </w:rPr>
      </w:pPr>
      <w:r w:rsidRPr="00B357F4">
        <w:rPr>
          <w:lang w:eastAsia="hr-HR"/>
        </w:rPr>
        <w:t>Nadalje, Ministarstvo financija ukazuje da je nakon pristupanja RH Europskoj uniji, tj. nakon 1. srpnja 2013. godine, ocjena, sadrži li neka mjera državnu potporu ili ne, isključivo u nadležnosti Europske komisije, stoga svaki predlagatelj mjere, može, radi pravne sigurnosti, mjeru prijaviti Europskoj komisiji putem Ministarstva financija. Pritom je mišljenje Ministarstva financija o isključenju postojanja državne potpore samo savjetodavnog karaktera jer odluku o postojanju i nepostojanju donosi Europska komisija.</w:t>
      </w:r>
    </w:p>
    <w:p w14:paraId="7209EE92" w14:textId="177FC9C3" w:rsidR="008479E9" w:rsidRPr="00B357F4" w:rsidRDefault="000652EB" w:rsidP="008479E9">
      <w:pPr>
        <w:rPr>
          <w:lang w:eastAsia="hr-HR"/>
        </w:rPr>
      </w:pPr>
      <w:r w:rsidRPr="007365F4">
        <w:rPr>
          <w:lang w:eastAsia="hr-HR"/>
        </w:rPr>
        <w:t>Smjernice politike državnih potpora za razdoblje 202</w:t>
      </w:r>
      <w:r>
        <w:rPr>
          <w:lang w:eastAsia="hr-HR"/>
        </w:rPr>
        <w:t>1</w:t>
      </w:r>
      <w:r w:rsidRPr="007365F4">
        <w:rPr>
          <w:lang w:eastAsia="hr-HR"/>
        </w:rPr>
        <w:t>. – 202</w:t>
      </w:r>
      <w:r>
        <w:rPr>
          <w:lang w:eastAsia="hr-HR"/>
        </w:rPr>
        <w:t>3</w:t>
      </w:r>
      <w:r w:rsidRPr="007365F4">
        <w:rPr>
          <w:lang w:eastAsia="hr-HR"/>
        </w:rPr>
        <w:t>. (N</w:t>
      </w:r>
      <w:r>
        <w:rPr>
          <w:lang w:eastAsia="hr-HR"/>
        </w:rPr>
        <w:t>N</w:t>
      </w:r>
      <w:r w:rsidRPr="007365F4">
        <w:rPr>
          <w:lang w:eastAsia="hr-HR"/>
        </w:rPr>
        <w:t>, br</w:t>
      </w:r>
      <w:r>
        <w:rPr>
          <w:lang w:eastAsia="hr-HR"/>
        </w:rPr>
        <w:t>.</w:t>
      </w:r>
      <w:r w:rsidRPr="007365F4">
        <w:rPr>
          <w:lang w:eastAsia="hr-HR"/>
        </w:rPr>
        <w:t xml:space="preserve"> 1</w:t>
      </w:r>
      <w:r>
        <w:rPr>
          <w:lang w:eastAsia="hr-HR"/>
        </w:rPr>
        <w:t>48</w:t>
      </w:r>
      <w:r w:rsidRPr="007365F4">
        <w:rPr>
          <w:lang w:eastAsia="hr-HR"/>
        </w:rPr>
        <w:t>/</w:t>
      </w:r>
      <w:r>
        <w:rPr>
          <w:lang w:eastAsia="hr-HR"/>
        </w:rPr>
        <w:t>20</w:t>
      </w:r>
      <w:r w:rsidRPr="007365F4">
        <w:rPr>
          <w:lang w:eastAsia="hr-HR"/>
        </w:rPr>
        <w:t xml:space="preserve">) </w:t>
      </w:r>
      <w:r w:rsidR="008479E9" w:rsidRPr="00B357F4">
        <w:rPr>
          <w:lang w:eastAsia="hr-HR"/>
        </w:rPr>
        <w:t>koje navode vrste državnih potpora koje je moguće dodijeliti u skladu s pravilima o državnim potporama:</w:t>
      </w:r>
    </w:p>
    <w:p w14:paraId="02124EDA" w14:textId="1C6BF9A3" w:rsidR="008479E9" w:rsidRPr="00B357F4" w:rsidRDefault="008479E9" w:rsidP="00C300D1">
      <w:pPr>
        <w:pStyle w:val="Odlomakpopisa"/>
        <w:numPr>
          <w:ilvl w:val="0"/>
          <w:numId w:val="104"/>
        </w:numPr>
      </w:pPr>
      <w:r w:rsidRPr="00B357F4">
        <w:t>Regionalne potpore;</w:t>
      </w:r>
    </w:p>
    <w:p w14:paraId="1367C5C2" w14:textId="755493BD" w:rsidR="008479E9" w:rsidRPr="00B357F4" w:rsidRDefault="008479E9" w:rsidP="00C300D1">
      <w:pPr>
        <w:pStyle w:val="Odlomakpopisa"/>
        <w:numPr>
          <w:ilvl w:val="0"/>
          <w:numId w:val="104"/>
        </w:numPr>
      </w:pPr>
      <w:r w:rsidRPr="00B357F4">
        <w:t>Državne potpore za male i srednje poduzetnike;</w:t>
      </w:r>
    </w:p>
    <w:p w14:paraId="0F1A5EAD" w14:textId="48B4BC56" w:rsidR="008479E9" w:rsidRPr="00B357F4" w:rsidRDefault="008479E9" w:rsidP="00C300D1">
      <w:pPr>
        <w:pStyle w:val="Odlomakpopisa"/>
        <w:numPr>
          <w:ilvl w:val="0"/>
          <w:numId w:val="104"/>
        </w:numPr>
      </w:pPr>
      <w:r w:rsidRPr="00B357F4">
        <w:t>Državne potpore za zapošljavanje;</w:t>
      </w:r>
    </w:p>
    <w:p w14:paraId="01AECA00" w14:textId="58AA00B0" w:rsidR="008479E9" w:rsidRPr="00B357F4" w:rsidRDefault="008479E9" w:rsidP="00C300D1">
      <w:pPr>
        <w:pStyle w:val="Odlomakpopisa"/>
        <w:numPr>
          <w:ilvl w:val="0"/>
          <w:numId w:val="104"/>
        </w:numPr>
      </w:pPr>
      <w:r w:rsidRPr="00B357F4">
        <w:t>Državne potpore za usavršavanje;</w:t>
      </w:r>
    </w:p>
    <w:p w14:paraId="2988097D" w14:textId="0CE94ACA" w:rsidR="008479E9" w:rsidRPr="00B357F4" w:rsidRDefault="008479E9" w:rsidP="00C300D1">
      <w:pPr>
        <w:pStyle w:val="Odlomakpopisa"/>
        <w:numPr>
          <w:ilvl w:val="0"/>
          <w:numId w:val="104"/>
        </w:numPr>
      </w:pPr>
      <w:r w:rsidRPr="00B357F4">
        <w:t>Državne potpore za zaštitu okoliša;</w:t>
      </w:r>
    </w:p>
    <w:p w14:paraId="62E0CFAF" w14:textId="6CE6DB9B" w:rsidR="008479E9" w:rsidRPr="00B357F4" w:rsidRDefault="008479E9" w:rsidP="00C300D1">
      <w:pPr>
        <w:pStyle w:val="Odlomakpopisa"/>
        <w:numPr>
          <w:ilvl w:val="0"/>
          <w:numId w:val="104"/>
        </w:numPr>
      </w:pPr>
      <w:r w:rsidRPr="00B357F4">
        <w:t>Državne potpore za istraživanje i razvoj i inovacije;</w:t>
      </w:r>
    </w:p>
    <w:p w14:paraId="658C6428" w14:textId="6F83BA4C" w:rsidR="008479E9" w:rsidRPr="00B357F4" w:rsidRDefault="008479E9" w:rsidP="00C300D1">
      <w:pPr>
        <w:pStyle w:val="Odlomakpopisa"/>
        <w:numPr>
          <w:ilvl w:val="0"/>
          <w:numId w:val="104"/>
        </w:numPr>
      </w:pPr>
      <w:r w:rsidRPr="00B357F4">
        <w:t>Državne potpore za rizično financiranje;</w:t>
      </w:r>
    </w:p>
    <w:p w14:paraId="55EB4ED6" w14:textId="2B8EF284" w:rsidR="008479E9" w:rsidRPr="00B357F4" w:rsidRDefault="008479E9" w:rsidP="00C300D1">
      <w:pPr>
        <w:pStyle w:val="Odlomakpopisa"/>
        <w:numPr>
          <w:ilvl w:val="0"/>
          <w:numId w:val="104"/>
        </w:numPr>
      </w:pPr>
      <w:r w:rsidRPr="00B357F4">
        <w:t>Državne potpore za sanaciju i restrukturiranje;</w:t>
      </w:r>
    </w:p>
    <w:p w14:paraId="3F3C4EB2" w14:textId="25FA8400" w:rsidR="008479E9" w:rsidRPr="00B357F4" w:rsidRDefault="008479E9" w:rsidP="00C300D1">
      <w:pPr>
        <w:pStyle w:val="Odlomakpopisa"/>
        <w:numPr>
          <w:ilvl w:val="0"/>
          <w:numId w:val="104"/>
        </w:numPr>
      </w:pPr>
      <w:r w:rsidRPr="00B357F4">
        <w:t>Državne potpore za kulturu i očuvanje baštine, uključujući audiovizualna djela;</w:t>
      </w:r>
    </w:p>
    <w:p w14:paraId="07A3CC2C" w14:textId="16A6C9DF" w:rsidR="008479E9" w:rsidRPr="00B357F4" w:rsidRDefault="008479E9" w:rsidP="00C300D1">
      <w:pPr>
        <w:pStyle w:val="Odlomakpopisa"/>
        <w:numPr>
          <w:ilvl w:val="0"/>
          <w:numId w:val="104"/>
        </w:numPr>
      </w:pPr>
      <w:r w:rsidRPr="00B357F4">
        <w:t>Državne potpore za radiodifuzijske usluge;</w:t>
      </w:r>
    </w:p>
    <w:p w14:paraId="31DC6EBB" w14:textId="179B29A2" w:rsidR="008479E9" w:rsidRPr="00B357F4" w:rsidRDefault="008479E9" w:rsidP="00C300D1">
      <w:pPr>
        <w:pStyle w:val="Odlomakpopisa"/>
        <w:numPr>
          <w:ilvl w:val="0"/>
          <w:numId w:val="104"/>
        </w:numPr>
      </w:pPr>
      <w:r w:rsidRPr="00B357F4">
        <w:t>Državne potpore dodijeljene za troškove nastale uslijed liberalizacije tržišta električne energije;</w:t>
      </w:r>
    </w:p>
    <w:p w14:paraId="7090BEFE" w14:textId="3698F97A" w:rsidR="008479E9" w:rsidRPr="00B357F4" w:rsidRDefault="008479E9" w:rsidP="00C300D1">
      <w:pPr>
        <w:pStyle w:val="Odlomakpopisa"/>
        <w:numPr>
          <w:ilvl w:val="0"/>
          <w:numId w:val="104"/>
        </w:numPr>
      </w:pPr>
      <w:r w:rsidRPr="00B357F4">
        <w:t>Državne potpore za poštanske usluge;</w:t>
      </w:r>
    </w:p>
    <w:p w14:paraId="7BFC05EA" w14:textId="25A79E0E" w:rsidR="008479E9" w:rsidRPr="00B357F4" w:rsidRDefault="008479E9" w:rsidP="00C300D1">
      <w:pPr>
        <w:pStyle w:val="Odlomakpopisa"/>
        <w:numPr>
          <w:ilvl w:val="0"/>
          <w:numId w:val="104"/>
        </w:numPr>
      </w:pPr>
      <w:r w:rsidRPr="00B357F4">
        <w:t>Državne potpore za razvoj širokopojasne mreže;</w:t>
      </w:r>
    </w:p>
    <w:p w14:paraId="0E7BD4BA" w14:textId="2A6745AC" w:rsidR="008479E9" w:rsidRPr="00B357F4" w:rsidRDefault="008479E9" w:rsidP="00C300D1">
      <w:pPr>
        <w:pStyle w:val="Odlomakpopisa"/>
        <w:numPr>
          <w:ilvl w:val="0"/>
          <w:numId w:val="104"/>
        </w:numPr>
      </w:pPr>
      <w:r w:rsidRPr="00B357F4">
        <w:t>Državne potpore sektoru prometa;</w:t>
      </w:r>
    </w:p>
    <w:p w14:paraId="3F9C9AA5" w14:textId="56E88F01" w:rsidR="008479E9" w:rsidRPr="00B357F4" w:rsidRDefault="008479E9" w:rsidP="00C300D1">
      <w:pPr>
        <w:pStyle w:val="Odlomakpopisa"/>
        <w:numPr>
          <w:ilvl w:val="0"/>
          <w:numId w:val="104"/>
        </w:numPr>
      </w:pPr>
      <w:r w:rsidRPr="00B357F4">
        <w:t>Državne potpore financijskom sektoru;</w:t>
      </w:r>
    </w:p>
    <w:p w14:paraId="75E572D2" w14:textId="32C30A0E" w:rsidR="008479E9" w:rsidRPr="00B357F4" w:rsidRDefault="008479E9" w:rsidP="00C300D1">
      <w:pPr>
        <w:pStyle w:val="Odlomakpopisa"/>
        <w:numPr>
          <w:ilvl w:val="0"/>
          <w:numId w:val="104"/>
        </w:numPr>
      </w:pPr>
      <w:r w:rsidRPr="00B357F4">
        <w:lastRenderedPageBreak/>
        <w:t>Državne potpore za usluge od općeg gospodarskog interesa;</w:t>
      </w:r>
    </w:p>
    <w:p w14:paraId="7E72DC0B" w14:textId="7F659C1D" w:rsidR="008479E9" w:rsidRPr="00B357F4" w:rsidRDefault="008479E9" w:rsidP="00C300D1">
      <w:pPr>
        <w:pStyle w:val="Odlomakpopisa"/>
        <w:numPr>
          <w:ilvl w:val="0"/>
          <w:numId w:val="104"/>
        </w:numPr>
      </w:pPr>
      <w:r w:rsidRPr="00B357F4">
        <w:t>Državne potpore za prijevoz stanovnika udaljenih regija;</w:t>
      </w:r>
    </w:p>
    <w:p w14:paraId="177098A5" w14:textId="78230D5A" w:rsidR="008479E9" w:rsidRPr="00B357F4" w:rsidRDefault="008479E9" w:rsidP="00C300D1">
      <w:pPr>
        <w:pStyle w:val="Odlomakpopisa"/>
        <w:numPr>
          <w:ilvl w:val="0"/>
          <w:numId w:val="104"/>
        </w:numPr>
      </w:pPr>
      <w:r w:rsidRPr="00B357F4">
        <w:t>Državne potpore za infrastrukturu;</w:t>
      </w:r>
    </w:p>
    <w:p w14:paraId="559CB527" w14:textId="73C4299B" w:rsidR="008479E9" w:rsidRPr="00B357F4" w:rsidRDefault="008479E9" w:rsidP="00C300D1">
      <w:pPr>
        <w:pStyle w:val="Odlomakpopisa"/>
        <w:numPr>
          <w:ilvl w:val="0"/>
          <w:numId w:val="104"/>
        </w:numPr>
      </w:pPr>
      <w:r w:rsidRPr="00B357F4">
        <w:t>Državne potpore u slučaju određenih prirodnih katastrofa.</w:t>
      </w:r>
    </w:p>
    <w:p w14:paraId="2B8A49ED" w14:textId="77777777" w:rsidR="008479E9" w:rsidRPr="00B357F4" w:rsidRDefault="008479E9" w:rsidP="008479E9">
      <w:pPr>
        <w:rPr>
          <w:lang w:eastAsia="hr-HR"/>
        </w:rPr>
      </w:pPr>
      <w:r w:rsidRPr="00B357F4">
        <w:rPr>
          <w:lang w:eastAsia="hr-HR"/>
        </w:rPr>
        <w:t>Potiču se davatelji državnih potpora da nastoje da sredstva koja namjeravaju dodijeliti kao državne potpore budu posebno namijenjena:</w:t>
      </w:r>
    </w:p>
    <w:p w14:paraId="7342D958" w14:textId="477D1F83" w:rsidR="008479E9" w:rsidRPr="00B357F4" w:rsidRDefault="008479E9" w:rsidP="00C300D1">
      <w:pPr>
        <w:pStyle w:val="Odlomakpopisa"/>
        <w:numPr>
          <w:ilvl w:val="0"/>
          <w:numId w:val="106"/>
        </w:numPr>
      </w:pPr>
      <w:r w:rsidRPr="00B357F4">
        <w:t>Istraživanju, razvoju i inovacijama;</w:t>
      </w:r>
    </w:p>
    <w:p w14:paraId="6698F369" w14:textId="262EB657" w:rsidR="008479E9" w:rsidRPr="00B357F4" w:rsidRDefault="008479E9" w:rsidP="00C300D1">
      <w:pPr>
        <w:pStyle w:val="Odlomakpopisa"/>
        <w:numPr>
          <w:ilvl w:val="0"/>
          <w:numId w:val="106"/>
        </w:numPr>
      </w:pPr>
      <w:r w:rsidRPr="00B357F4">
        <w:t>Zaštiti okoliša;</w:t>
      </w:r>
    </w:p>
    <w:p w14:paraId="14BEF976" w14:textId="6915E199" w:rsidR="008479E9" w:rsidRPr="00B357F4" w:rsidRDefault="008479E9" w:rsidP="00C300D1">
      <w:pPr>
        <w:pStyle w:val="Odlomakpopisa"/>
        <w:numPr>
          <w:ilvl w:val="0"/>
          <w:numId w:val="106"/>
        </w:numPr>
      </w:pPr>
      <w:r w:rsidRPr="00B357F4">
        <w:t>Usavršavanju;</w:t>
      </w:r>
    </w:p>
    <w:p w14:paraId="7D74D012" w14:textId="077C9B0E" w:rsidR="008479E9" w:rsidRPr="00B357F4" w:rsidRDefault="008479E9" w:rsidP="00C300D1">
      <w:pPr>
        <w:pStyle w:val="Odlomakpopisa"/>
        <w:numPr>
          <w:ilvl w:val="0"/>
          <w:numId w:val="106"/>
        </w:numPr>
      </w:pPr>
      <w:r w:rsidRPr="00B357F4">
        <w:t>Zapošljavanju;</w:t>
      </w:r>
    </w:p>
    <w:p w14:paraId="055F4930" w14:textId="52550DD9" w:rsidR="008479E9" w:rsidRPr="00B357F4" w:rsidRDefault="008479E9" w:rsidP="00C300D1">
      <w:pPr>
        <w:pStyle w:val="Odlomakpopisa"/>
        <w:numPr>
          <w:ilvl w:val="0"/>
          <w:numId w:val="106"/>
        </w:numPr>
      </w:pPr>
      <w:r w:rsidRPr="00B357F4">
        <w:t>Ulaganjima, posebno u obliku regionalnih potpora.</w:t>
      </w:r>
    </w:p>
    <w:p w14:paraId="6F52AC85" w14:textId="0AA6E120" w:rsidR="008479E9" w:rsidRPr="00B357F4" w:rsidRDefault="008479E9" w:rsidP="008479E9">
      <w:pPr>
        <w:rPr>
          <w:lang w:eastAsia="hr-HR"/>
        </w:rPr>
      </w:pPr>
      <w:r w:rsidRPr="00B357F4">
        <w:rPr>
          <w:lang w:eastAsia="hr-HR"/>
        </w:rPr>
        <w:t>Davatelji državnih potpora mogli bi putem državnih potpora olakšati poduzetniku – korisniku državne potpore – premašivanje normi Europske unije za zaštitu okoliša, odnosno u slučaju nepostojanja normi Europske unije, povećanje razine zaštite okoliša te time pomoći stvaranju održivog razvoja gospodarstva. Posebna pozornost trebala bi se usmjeriti stvaranju mjera energetske učinkovitosti, posebno energetske učinkovitosti zgrada. Primarni ciljevi čijem bi ostvarenju davatelji državnih potpora osobito trebali težiti su za sektor zaštite okoliša:</w:t>
      </w:r>
    </w:p>
    <w:p w14:paraId="51B154A4" w14:textId="24012CA7" w:rsidR="008479E9" w:rsidRPr="00B357F4" w:rsidRDefault="008479E9" w:rsidP="00C300D1">
      <w:pPr>
        <w:pStyle w:val="Odlomakpopisa"/>
        <w:numPr>
          <w:ilvl w:val="0"/>
          <w:numId w:val="108"/>
        </w:numPr>
      </w:pPr>
      <w:r w:rsidRPr="00B357F4">
        <w:t>Premašenje normi Europske unije za zaštitu okoliša, odnosno u slučaju nepostojanja normi Europske unije, povećanje razine zaštite okoliša;</w:t>
      </w:r>
    </w:p>
    <w:p w14:paraId="1B08E7D4" w14:textId="5C1ACEF2" w:rsidR="008479E9" w:rsidRPr="00B357F4" w:rsidRDefault="008479E9" w:rsidP="00C300D1">
      <w:pPr>
        <w:pStyle w:val="Odlomakpopisa"/>
        <w:numPr>
          <w:ilvl w:val="0"/>
          <w:numId w:val="108"/>
        </w:numPr>
      </w:pPr>
      <w:r w:rsidRPr="00B357F4">
        <w:t>Rana prilagodba budućim normama Europske unije;</w:t>
      </w:r>
    </w:p>
    <w:p w14:paraId="3FB27819" w14:textId="0B81F04F" w:rsidR="008479E9" w:rsidRPr="00B357F4" w:rsidRDefault="008479E9" w:rsidP="00C300D1">
      <w:pPr>
        <w:pStyle w:val="Odlomakpopisa"/>
        <w:numPr>
          <w:ilvl w:val="0"/>
          <w:numId w:val="108"/>
        </w:numPr>
      </w:pPr>
      <w:r w:rsidRPr="00B357F4">
        <w:t>Ulaganje u mjere energetske učinkovitosti, posebno u projekte energetske učinkovitosti zgrada;</w:t>
      </w:r>
    </w:p>
    <w:p w14:paraId="3CB626E2" w14:textId="12ECCABD" w:rsidR="008479E9" w:rsidRPr="00B357F4" w:rsidRDefault="008479E9" w:rsidP="00C300D1">
      <w:pPr>
        <w:pStyle w:val="Odlomakpopisa"/>
        <w:numPr>
          <w:ilvl w:val="0"/>
          <w:numId w:val="108"/>
        </w:numPr>
      </w:pPr>
      <w:r w:rsidRPr="00B357F4">
        <w:t>Ulaganje u energetski učinkovito centralizirano grijanje i hlađenje;</w:t>
      </w:r>
    </w:p>
    <w:p w14:paraId="32FE70BD" w14:textId="212A6571" w:rsidR="008479E9" w:rsidRPr="00B357F4" w:rsidRDefault="008479E9" w:rsidP="00C300D1">
      <w:pPr>
        <w:pStyle w:val="Odlomakpopisa"/>
        <w:numPr>
          <w:ilvl w:val="0"/>
          <w:numId w:val="108"/>
        </w:numPr>
      </w:pPr>
      <w:r w:rsidRPr="00B357F4">
        <w:t>Ulaganje u visokoučinkovitu kogeneraciju;</w:t>
      </w:r>
    </w:p>
    <w:p w14:paraId="6637C4D2" w14:textId="72825D0A" w:rsidR="008479E9" w:rsidRPr="00B357F4" w:rsidRDefault="008479E9" w:rsidP="00C300D1">
      <w:pPr>
        <w:pStyle w:val="Odlomakpopisa"/>
        <w:numPr>
          <w:ilvl w:val="0"/>
          <w:numId w:val="108"/>
        </w:numPr>
      </w:pPr>
      <w:r w:rsidRPr="00B357F4">
        <w:t>Ulaganje u promicanje energije iz obnovljivih izvora energije;</w:t>
      </w:r>
    </w:p>
    <w:p w14:paraId="0486950B" w14:textId="0E38434B" w:rsidR="008479E9" w:rsidRPr="00B357F4" w:rsidRDefault="008479E9" w:rsidP="00C300D1">
      <w:pPr>
        <w:pStyle w:val="Odlomakpopisa"/>
        <w:numPr>
          <w:ilvl w:val="0"/>
          <w:numId w:val="108"/>
        </w:numPr>
      </w:pPr>
      <w:r w:rsidRPr="00B357F4">
        <w:t>Ulaganje u zbrinjavanje onečišćenih lokacija;</w:t>
      </w:r>
    </w:p>
    <w:p w14:paraId="3A1077ED" w14:textId="1F7A5510" w:rsidR="008479E9" w:rsidRPr="00B357F4" w:rsidRDefault="008479E9" w:rsidP="00C300D1">
      <w:pPr>
        <w:pStyle w:val="Odlomakpopisa"/>
        <w:numPr>
          <w:ilvl w:val="0"/>
          <w:numId w:val="108"/>
        </w:numPr>
      </w:pPr>
      <w:r w:rsidRPr="00B357F4">
        <w:t>Ulaganje u recikliranje i ponovnu uporabu otpada;</w:t>
      </w:r>
    </w:p>
    <w:p w14:paraId="24D58A07" w14:textId="331DFEDC" w:rsidR="008479E9" w:rsidRPr="00B357F4" w:rsidRDefault="008479E9" w:rsidP="00C300D1">
      <w:pPr>
        <w:pStyle w:val="Odlomakpopisa"/>
        <w:numPr>
          <w:ilvl w:val="0"/>
          <w:numId w:val="108"/>
        </w:numPr>
      </w:pPr>
      <w:r w:rsidRPr="00B357F4">
        <w:t>Troškovi studije zaštite okoliša.</w:t>
      </w:r>
    </w:p>
    <w:p w14:paraId="588098F2" w14:textId="77777777" w:rsidR="008479E9" w:rsidRPr="00B357F4" w:rsidRDefault="008479E9" w:rsidP="008479E9">
      <w:pPr>
        <w:rPr>
          <w:lang w:eastAsia="hr-HR"/>
        </w:rPr>
      </w:pPr>
      <w:r w:rsidRPr="00B357F4">
        <w:rPr>
          <w:lang w:eastAsia="hr-HR"/>
        </w:rPr>
        <w:t>Najvažniju ulogu u ostvarenju zadanih ciljeva imaju sami davatelji državnih potpora, koji prilikom izrade prijedloga državnih potpora trebaju voditi računa te iskazivati u prijedlozima državnih potpora koje dostavljaju Ministarstvu financija na mišljenje, u skladu sa Zakonom o državnim potporama:</w:t>
      </w:r>
    </w:p>
    <w:p w14:paraId="58785D8B" w14:textId="20C712AB" w:rsidR="008479E9" w:rsidRPr="00B357F4" w:rsidRDefault="008479E9" w:rsidP="00C300D1">
      <w:pPr>
        <w:pStyle w:val="Odlomakpopisa"/>
        <w:numPr>
          <w:ilvl w:val="0"/>
          <w:numId w:val="110"/>
        </w:numPr>
      </w:pPr>
      <w:r w:rsidRPr="00B357F4">
        <w:t>usklađenost glavnih ciljeva dodjele državne potpore s ciljevima odgovarajuće kategorije državnih potpora iz Smjernica</w:t>
      </w:r>
    </w:p>
    <w:p w14:paraId="1CA99156" w14:textId="1023EE4F" w:rsidR="008479E9" w:rsidRPr="00B357F4" w:rsidRDefault="008479E9" w:rsidP="00C300D1">
      <w:pPr>
        <w:pStyle w:val="Odlomakpopisa"/>
        <w:numPr>
          <w:ilvl w:val="0"/>
          <w:numId w:val="110"/>
        </w:numPr>
      </w:pPr>
      <w:r w:rsidRPr="00B357F4">
        <w:t>jasno određenje pokazatelja učinkovitosti državne potpore</w:t>
      </w:r>
    </w:p>
    <w:p w14:paraId="3039630A" w14:textId="4D7A0B6A" w:rsidR="008479E9" w:rsidRPr="00B357F4" w:rsidRDefault="008479E9" w:rsidP="00C300D1">
      <w:pPr>
        <w:pStyle w:val="Odlomakpopisa"/>
        <w:numPr>
          <w:ilvl w:val="0"/>
          <w:numId w:val="110"/>
        </w:numPr>
      </w:pPr>
      <w:r w:rsidRPr="00B357F4">
        <w:t>ako je moguće, brojčani prikaz očekivanih ostvarenja nakon dodjele državnih potpora te mjerljivih pokazatelja učinkovitosti</w:t>
      </w:r>
    </w:p>
    <w:p w14:paraId="24994576" w14:textId="5E14BC9E" w:rsidR="008479E9" w:rsidRPr="00B357F4" w:rsidRDefault="008479E9" w:rsidP="00C300D1">
      <w:pPr>
        <w:pStyle w:val="Odlomakpopisa"/>
        <w:numPr>
          <w:ilvl w:val="0"/>
          <w:numId w:val="110"/>
        </w:numPr>
      </w:pPr>
      <w:r w:rsidRPr="00B357F4">
        <w:t>procjenu potrebnih i raspoloživih proračunskih sredstava (po izvorima financiranja) za mjere državnih potpora, odnosno procjenu utjecaja na prihode državnog proračuna u slučajevima u kojima je primjenjivo</w:t>
      </w:r>
    </w:p>
    <w:p w14:paraId="270A76A4" w14:textId="5C94F4CE" w:rsidR="008479E9" w:rsidRPr="00B357F4" w:rsidRDefault="008479E9" w:rsidP="00C300D1">
      <w:pPr>
        <w:pStyle w:val="Odlomakpopisa"/>
        <w:numPr>
          <w:ilvl w:val="0"/>
          <w:numId w:val="110"/>
        </w:numPr>
      </w:pPr>
      <w:r w:rsidRPr="00B357F4">
        <w:t>ako je moguće, opis učinkovitosti dodijeljenih državnih potpora u prethodnim godinama u svrhu izbjegavanja dodjele državnih potpora kojima se ne ostvaruju željeni učinci.</w:t>
      </w:r>
    </w:p>
    <w:p w14:paraId="6EF34827" w14:textId="77777777" w:rsidR="008479E9" w:rsidRPr="00B357F4" w:rsidRDefault="008479E9" w:rsidP="008479E9">
      <w:pPr>
        <w:rPr>
          <w:lang w:eastAsia="hr-HR"/>
        </w:rPr>
      </w:pPr>
      <w:r w:rsidRPr="00B357F4">
        <w:rPr>
          <w:lang w:eastAsia="hr-HR"/>
        </w:rPr>
        <w:t>Državne potpore instrument su čijom se pravilnom i pametnom upotrebom može u značajnoj mjeri doprinijeti jačanju gospodarstva Republike Hrvatske. Stoga je nužno pomno planirati dodjele državnih potpora, izabrati najučinkovitije mjere te pratiti njihovu provedbu i ostvarenje prethodno postavljenih ciljeva. Slijedeći Smjernice i postupajući u skladu s njima, davatelji državnih potpora će prilikom planiranja i izrade prijedloga državnih potpora, a Ministarstvo financija prilikom ocjene prijedloga državnih potpora, moći osigurati prijeko potrebnu pravilnu i razumnu upotrebu državnih potpora.</w:t>
      </w:r>
    </w:p>
    <w:p w14:paraId="2EE9E5C7" w14:textId="77777777" w:rsidR="008479E9" w:rsidRPr="00B357F4" w:rsidRDefault="008479E9" w:rsidP="008479E9">
      <w:pPr>
        <w:rPr>
          <w:lang w:eastAsia="hr-HR"/>
        </w:rPr>
      </w:pPr>
      <w:r w:rsidRPr="00B357F4">
        <w:rPr>
          <w:lang w:eastAsia="hr-HR"/>
        </w:rPr>
        <w:t xml:space="preserve">Najveća odgovornost ostaje na davateljima državnih potpora koji u svrhu ostvarenja ciljeva zadanih Smjernicama, a pazeći na ograničenja proračunskih sredstava, moraju uložiti napore radi pravilnog određenja intenziteta i usmjerenja pojedinih državnih potpora k postavljenim ciljevima. Provedba politike državnih potpora u Republici Hrvatskoj, usklađena s politikom državnih potpora Europske unije, trebala bi </w:t>
      </w:r>
      <w:r w:rsidRPr="00B357F4">
        <w:rPr>
          <w:lang w:eastAsia="hr-HR"/>
        </w:rPr>
        <w:lastRenderedPageBreak/>
        <w:t>omogućiti ostvarenje krajnjeg cilja – promjene u strukturi državnih potpora povećanjem udjela horizontalnih državnih potpora uz istodobno smanjenje sektorskih državnih potpora.</w:t>
      </w:r>
    </w:p>
    <w:p w14:paraId="2DD8D2A3" w14:textId="77777777" w:rsidR="008479E9" w:rsidRPr="00B357F4" w:rsidRDefault="008479E9" w:rsidP="008479E9">
      <w:pPr>
        <w:rPr>
          <w:lang w:eastAsia="hr-HR"/>
        </w:rPr>
      </w:pPr>
      <w:r w:rsidRPr="00B357F4">
        <w:rPr>
          <w:lang w:eastAsia="hr-HR"/>
        </w:rPr>
        <w:t>Prilikom planiranja bilo koje mjere državnih potpora, davatelji državnih potpora trebaju se voditi sljedećim općim smjernicama:</w:t>
      </w:r>
    </w:p>
    <w:p w14:paraId="7215843D" w14:textId="598062E5" w:rsidR="008479E9" w:rsidRPr="00B357F4" w:rsidRDefault="008479E9" w:rsidP="00C300D1">
      <w:pPr>
        <w:pStyle w:val="Odlomakpopisa"/>
        <w:numPr>
          <w:ilvl w:val="0"/>
          <w:numId w:val="111"/>
        </w:numPr>
      </w:pPr>
      <w:r w:rsidRPr="00B357F4">
        <w:t>Dodjela državnih potpora, u pravilu, ne bi smjela predstavljati zamjenu privatnom financiranju, već nadopunu. Svaka državna potpora mora imati poticajni učinak, odnosno mora, u načelu, navesti korisnika na aktivnosti koje ne bi poduzeo bez primanja državne potpore.</w:t>
      </w:r>
    </w:p>
    <w:p w14:paraId="3E7F0DDF" w14:textId="2D5EBFC9" w:rsidR="008479E9" w:rsidRPr="00B357F4" w:rsidRDefault="008479E9" w:rsidP="00C300D1">
      <w:pPr>
        <w:pStyle w:val="Odlomakpopisa"/>
        <w:numPr>
          <w:ilvl w:val="0"/>
          <w:numId w:val="111"/>
        </w:numPr>
      </w:pPr>
      <w:r w:rsidRPr="00B357F4">
        <w:t>Državna potpora trebala bi predstavljati instrument uspješnog i učinkovitog raspolaganja javnim sredstvima.</w:t>
      </w:r>
    </w:p>
    <w:p w14:paraId="2B440BA4" w14:textId="21AF6691" w:rsidR="008479E9" w:rsidRPr="00B357F4" w:rsidRDefault="008479E9" w:rsidP="00C300D1">
      <w:pPr>
        <w:pStyle w:val="Odlomakpopisa"/>
        <w:numPr>
          <w:ilvl w:val="0"/>
          <w:numId w:val="111"/>
        </w:numPr>
      </w:pPr>
      <w:r w:rsidRPr="00B357F4">
        <w:t>Davatelji državnih potpora trebaju osobito oprezno postupati pri odlučivanju o dodjeli državnih potpora koje, po svojoj prirodi, imaju negativniji učinak na tržišno natjecanje. To su sektorske državne potpore, za koje iznos i učestalost dodjele u razdoblju 202</w:t>
      </w:r>
      <w:r w:rsidR="002E5F34">
        <w:t>1</w:t>
      </w:r>
      <w:r w:rsidRPr="00B357F4">
        <w:t>. – 202</w:t>
      </w:r>
      <w:r w:rsidR="002E5F34">
        <w:t>3</w:t>
      </w:r>
      <w:r w:rsidRPr="00B357F4">
        <w:t>. treba smanjiti na najmanju moguću mjeru.</w:t>
      </w:r>
    </w:p>
    <w:p w14:paraId="0AB6C417" w14:textId="011B9CA8" w:rsidR="00885EC1" w:rsidRPr="00B357F4" w:rsidRDefault="008479E9" w:rsidP="000652EB">
      <w:pPr>
        <w:pStyle w:val="Odlomakpopisa"/>
        <w:numPr>
          <w:ilvl w:val="0"/>
          <w:numId w:val="111"/>
        </w:numPr>
      </w:pPr>
      <w:r w:rsidRPr="00B357F4">
        <w:t xml:space="preserve">Davatelji državnih potpora trebali bi nastojati planirati dodjelu državnih potpora temeljem programa državnih potpora (a u što manjoj mjeri pojedinačnih državnih potpora), posebno onih izrađenih u skladu s Uredbom </w:t>
      </w:r>
      <w:r w:rsidR="000D70E5" w:rsidRPr="00B357F4">
        <w:t xml:space="preserve">651/2014 </w:t>
      </w:r>
      <w:r w:rsidR="00A11A80">
        <w:t xml:space="preserve">i </w:t>
      </w:r>
      <w:r w:rsidR="002706C2">
        <w:t>njezinim izmjenama</w:t>
      </w:r>
      <w:r w:rsidRPr="00B357F4">
        <w:t xml:space="preserve"> </w:t>
      </w:r>
      <w:r w:rsidR="00521A86">
        <w:t xml:space="preserve">i dopunama </w:t>
      </w:r>
      <w:r w:rsidR="00B24CC4">
        <w:t>(Uredba Komisije (EU) 2017/108</w:t>
      </w:r>
      <w:r w:rsidR="00864B58">
        <w:t>4, Uredba Kom</w:t>
      </w:r>
      <w:r w:rsidR="00B24CC4">
        <w:t>isije (EU) 2020/972</w:t>
      </w:r>
      <w:r w:rsidR="00864B58">
        <w:t xml:space="preserve">, </w:t>
      </w:r>
      <w:r w:rsidR="00B24CC4">
        <w:t xml:space="preserve">Uredba Komisije (EU) 2021/452 </w:t>
      </w:r>
      <w:r w:rsidR="00864B58">
        <w:t xml:space="preserve">i </w:t>
      </w:r>
      <w:r w:rsidR="00B24CC4">
        <w:t>Uredba Komisije (EU) 2021/1237 оd 23. srpnja 2021</w:t>
      </w:r>
      <w:r w:rsidR="00864B58">
        <w:t>)</w:t>
      </w:r>
      <w:r w:rsidR="00521A86">
        <w:t xml:space="preserve"> </w:t>
      </w:r>
      <w:r w:rsidRPr="00B357F4">
        <w:t>te Uredb</w:t>
      </w:r>
      <w:r w:rsidR="00521A86">
        <w:t>om</w:t>
      </w:r>
      <w:r w:rsidRPr="00B357F4">
        <w:t xml:space="preserve">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(Tekst značajan za EGP) (SL L 156/1, 20.6.2017.), a koje Europska komisija ne odobrava prije njihove provedbe (tzv. državne potpore izuzete od obveze prijave Europskoj komisiji).</w:t>
      </w:r>
    </w:p>
    <w:p w14:paraId="1671503F" w14:textId="0D333089" w:rsidR="00692D37" w:rsidRDefault="00692D37" w:rsidP="00692D37">
      <w:pPr>
        <w:rPr>
          <w:bCs/>
          <w:lang w:eastAsia="hr-HR"/>
        </w:rPr>
      </w:pPr>
      <w:r>
        <w:t xml:space="preserve">Pravila iz Uredbe 651/2014, uključujući njezine izmjene i dopune, vrijede do kraja prosinca 2023. godine te je davatelj mogućih budućih potpora dužan voditi računa o potencijalnom vremenskom ograničenju s obzirom da se energetska obnova </w:t>
      </w:r>
      <w:r w:rsidR="0010573A">
        <w:t>ZJS</w:t>
      </w:r>
      <w:r>
        <w:t xml:space="preserve"> planira realizirati u razdoblju do 2030. godine.</w:t>
      </w:r>
    </w:p>
    <w:p w14:paraId="14204A18" w14:textId="77777777" w:rsidR="00692D37" w:rsidRDefault="00692D37" w:rsidP="00692D37">
      <w:pPr>
        <w:rPr>
          <w:bCs/>
          <w:lang w:eastAsia="hr-HR"/>
        </w:rPr>
      </w:pPr>
      <w:r>
        <w:rPr>
          <w:bCs/>
          <w:lang w:eastAsia="hr-HR"/>
        </w:rPr>
        <w:t>P</w:t>
      </w:r>
      <w:r w:rsidRPr="009E503E">
        <w:rPr>
          <w:bCs/>
          <w:lang w:eastAsia="hr-HR"/>
        </w:rPr>
        <w:t>ravila iz Uredbe 651/2014 te njezinih izmjena i dopuna</w:t>
      </w:r>
      <w:r>
        <w:rPr>
          <w:bCs/>
          <w:lang w:eastAsia="hr-HR"/>
        </w:rPr>
        <w:t xml:space="preserve"> </w:t>
      </w:r>
      <w:r w:rsidRPr="009E503E">
        <w:rPr>
          <w:bCs/>
          <w:lang w:eastAsia="hr-HR"/>
        </w:rPr>
        <w:t>sadržanih u Uredbama 2017/1084, 2020/972 i 2021/1237 primjenjuju</w:t>
      </w:r>
      <w:r>
        <w:rPr>
          <w:bCs/>
          <w:lang w:eastAsia="hr-HR"/>
        </w:rPr>
        <w:t xml:space="preserve"> se ako je </w:t>
      </w:r>
      <w:r w:rsidRPr="009E503E">
        <w:rPr>
          <w:bCs/>
          <w:lang w:eastAsia="hr-HR"/>
        </w:rPr>
        <w:t>planira</w:t>
      </w:r>
      <w:r>
        <w:rPr>
          <w:bCs/>
          <w:lang w:eastAsia="hr-HR"/>
        </w:rPr>
        <w:t xml:space="preserve">na </w:t>
      </w:r>
      <w:r w:rsidRPr="009E503E">
        <w:rPr>
          <w:bCs/>
          <w:lang w:eastAsia="hr-HR"/>
        </w:rPr>
        <w:t>dodjela državnih potpora za koje ne</w:t>
      </w:r>
      <w:r>
        <w:rPr>
          <w:bCs/>
          <w:lang w:eastAsia="hr-HR"/>
        </w:rPr>
        <w:t xml:space="preserve"> p</w:t>
      </w:r>
      <w:r w:rsidRPr="009E503E">
        <w:rPr>
          <w:bCs/>
          <w:lang w:eastAsia="hr-HR"/>
        </w:rPr>
        <w:t>ostoji obveza prijave Europskoj komisiji na prethodno</w:t>
      </w:r>
      <w:r>
        <w:rPr>
          <w:bCs/>
          <w:lang w:eastAsia="hr-HR"/>
        </w:rPr>
        <w:t xml:space="preserve"> </w:t>
      </w:r>
      <w:r w:rsidRPr="009E503E">
        <w:rPr>
          <w:bCs/>
          <w:lang w:eastAsia="hr-HR"/>
        </w:rPr>
        <w:t>odobrenje. U tom slučaju, davatelji potpora dužni su izraditi prijedlog programa ili</w:t>
      </w:r>
      <w:r>
        <w:rPr>
          <w:bCs/>
          <w:lang w:eastAsia="hr-HR"/>
        </w:rPr>
        <w:t xml:space="preserve"> </w:t>
      </w:r>
      <w:r w:rsidRPr="009E503E">
        <w:rPr>
          <w:bCs/>
          <w:lang w:eastAsia="hr-HR"/>
        </w:rPr>
        <w:t>pojedinačne državne potpore te ga, sukladno odredbama članka 9. ZDP-a, dostaviti</w:t>
      </w:r>
      <w:r>
        <w:rPr>
          <w:bCs/>
          <w:lang w:eastAsia="hr-HR"/>
        </w:rPr>
        <w:t xml:space="preserve"> </w:t>
      </w:r>
      <w:r w:rsidRPr="009E503E">
        <w:rPr>
          <w:bCs/>
          <w:lang w:eastAsia="hr-HR"/>
        </w:rPr>
        <w:t>Ministarstvu financija radi davanja mišljenja o usklađenosti sadržaja prijedloga programa ili</w:t>
      </w:r>
      <w:r>
        <w:rPr>
          <w:bCs/>
          <w:lang w:eastAsia="hr-HR"/>
        </w:rPr>
        <w:t xml:space="preserve"> </w:t>
      </w:r>
      <w:r w:rsidRPr="009E503E">
        <w:rPr>
          <w:bCs/>
          <w:lang w:eastAsia="hr-HR"/>
        </w:rPr>
        <w:t>pojedinačne državne potpore s pravilima o državnim potporama i smjernicama politike</w:t>
      </w:r>
      <w:r>
        <w:rPr>
          <w:bCs/>
          <w:lang w:eastAsia="hr-HR"/>
        </w:rPr>
        <w:t xml:space="preserve"> </w:t>
      </w:r>
      <w:r w:rsidRPr="009E503E">
        <w:rPr>
          <w:bCs/>
          <w:lang w:eastAsia="hr-HR"/>
        </w:rPr>
        <w:t xml:space="preserve">državnih potpora Republike Hrvatske. </w:t>
      </w:r>
    </w:p>
    <w:p w14:paraId="37ED4730" w14:textId="12D5653C" w:rsidR="00692D37" w:rsidRDefault="00692D37" w:rsidP="00692D37">
      <w:pPr>
        <w:rPr>
          <w:bCs/>
          <w:lang w:eastAsia="hr-HR"/>
        </w:rPr>
      </w:pPr>
      <w:r w:rsidRPr="009E503E">
        <w:rPr>
          <w:bCs/>
          <w:lang w:eastAsia="hr-HR"/>
        </w:rPr>
        <w:t>Prijedlog programa državne potpore ili pojedinačne</w:t>
      </w:r>
      <w:r>
        <w:rPr>
          <w:bCs/>
          <w:lang w:eastAsia="hr-HR"/>
        </w:rPr>
        <w:t xml:space="preserve"> </w:t>
      </w:r>
      <w:r w:rsidRPr="009E503E">
        <w:rPr>
          <w:bCs/>
          <w:lang w:eastAsia="hr-HR"/>
        </w:rPr>
        <w:t>državne potpore treba sadržavati sve opće uvjete iz Poglavlja I. i II. Uredbe br. 651/2014 te</w:t>
      </w:r>
      <w:r>
        <w:rPr>
          <w:bCs/>
          <w:lang w:eastAsia="hr-HR"/>
        </w:rPr>
        <w:t xml:space="preserve"> </w:t>
      </w:r>
      <w:r w:rsidRPr="009E503E">
        <w:rPr>
          <w:bCs/>
          <w:lang w:eastAsia="hr-HR"/>
        </w:rPr>
        <w:t>njezinih izmjena i dopuna, kao i sve posebne uvjete iz Poglavlja III. navedenih Uredbi, a koje</w:t>
      </w:r>
      <w:r>
        <w:rPr>
          <w:bCs/>
          <w:lang w:eastAsia="hr-HR"/>
        </w:rPr>
        <w:t xml:space="preserve"> </w:t>
      </w:r>
      <w:r w:rsidRPr="009E503E">
        <w:rPr>
          <w:bCs/>
          <w:lang w:eastAsia="hr-HR"/>
        </w:rPr>
        <w:t>se odnose na posebne kategorije potpora koje se planiraju dodjeljivati u okviru projekta</w:t>
      </w:r>
      <w:r>
        <w:rPr>
          <w:bCs/>
          <w:lang w:eastAsia="hr-HR"/>
        </w:rPr>
        <w:t xml:space="preserve"> </w:t>
      </w:r>
      <w:r w:rsidRPr="009E503E">
        <w:rPr>
          <w:bCs/>
          <w:lang w:eastAsia="hr-HR"/>
        </w:rPr>
        <w:t xml:space="preserve">financiranja energetske obnove </w:t>
      </w:r>
      <w:r w:rsidR="0010573A">
        <w:rPr>
          <w:bCs/>
          <w:lang w:eastAsia="hr-HR"/>
        </w:rPr>
        <w:t>ZJS</w:t>
      </w:r>
      <w:r w:rsidRPr="009E503E">
        <w:rPr>
          <w:bCs/>
          <w:lang w:eastAsia="hr-HR"/>
        </w:rPr>
        <w:t>.</w:t>
      </w:r>
    </w:p>
    <w:p w14:paraId="24D0C439" w14:textId="77777777" w:rsidR="00692D37" w:rsidRPr="00DE59E9" w:rsidRDefault="00692D37" w:rsidP="00692D37">
      <w:pPr>
        <w:rPr>
          <w:bCs/>
          <w:lang w:eastAsia="hr-HR"/>
        </w:rPr>
      </w:pPr>
      <w:r w:rsidRPr="00DE59E9">
        <w:rPr>
          <w:bCs/>
          <w:lang w:eastAsia="hr-HR"/>
        </w:rPr>
        <w:t xml:space="preserve">Osim primjene pravila iz Uredbe br. 651/2014, uključujući njezine izmjene i dopune, </w:t>
      </w:r>
      <w:r>
        <w:rPr>
          <w:bCs/>
          <w:lang w:eastAsia="hr-HR"/>
        </w:rPr>
        <w:t>moguća je</w:t>
      </w:r>
      <w:r w:rsidRPr="00DE59E9">
        <w:rPr>
          <w:bCs/>
          <w:lang w:eastAsia="hr-HR"/>
        </w:rPr>
        <w:t xml:space="preserve"> i primjena pravila iz Komunikacija Komisije - Smjernice o državnim potporama za</w:t>
      </w:r>
      <w:r>
        <w:rPr>
          <w:bCs/>
          <w:lang w:eastAsia="hr-HR"/>
        </w:rPr>
        <w:t xml:space="preserve"> </w:t>
      </w:r>
      <w:r w:rsidRPr="00DE59E9">
        <w:rPr>
          <w:bCs/>
          <w:lang w:eastAsia="hr-HR"/>
        </w:rPr>
        <w:t>zaštitu okoliša i energiju za razdoblje 2014.-2020. (Službeni list EU, C 200, 28.6.2014., dalje:</w:t>
      </w:r>
      <w:r>
        <w:rPr>
          <w:bCs/>
          <w:lang w:eastAsia="hr-HR"/>
        </w:rPr>
        <w:t xml:space="preserve"> </w:t>
      </w:r>
      <w:r w:rsidRPr="00DE59E9">
        <w:rPr>
          <w:bCs/>
          <w:lang w:eastAsia="hr-HR"/>
        </w:rPr>
        <w:t>Smjernice), i to u slučajevima u kojima bi bili premašeni najviši pragovi za dodjelu potpora u</w:t>
      </w:r>
      <w:r>
        <w:rPr>
          <w:bCs/>
          <w:lang w:eastAsia="hr-HR"/>
        </w:rPr>
        <w:t xml:space="preserve"> </w:t>
      </w:r>
      <w:r w:rsidRPr="00DE59E9">
        <w:rPr>
          <w:bCs/>
          <w:lang w:eastAsia="hr-HR"/>
        </w:rPr>
        <w:t>području zaštite okoliša propisani Uredbom br. 651/2014 te njezinim izmjenama i dopunama.</w:t>
      </w:r>
    </w:p>
    <w:p w14:paraId="5DAE85F8" w14:textId="242E731D" w:rsidR="00692D37" w:rsidRDefault="00692D37" w:rsidP="00692D37">
      <w:pPr>
        <w:rPr>
          <w:bCs/>
          <w:lang w:eastAsia="hr-HR"/>
        </w:rPr>
      </w:pPr>
      <w:r w:rsidRPr="00DE59E9">
        <w:rPr>
          <w:bCs/>
          <w:lang w:eastAsia="hr-HR"/>
        </w:rPr>
        <w:t>Navedene Smjernice primjenjivale su se do 31. prosinca 2020. godine, ali je temeljem</w:t>
      </w:r>
      <w:r>
        <w:rPr>
          <w:bCs/>
          <w:lang w:eastAsia="hr-HR"/>
        </w:rPr>
        <w:t xml:space="preserve"> </w:t>
      </w:r>
      <w:r w:rsidRPr="00DE59E9">
        <w:rPr>
          <w:bCs/>
          <w:lang w:eastAsia="hr-HR"/>
        </w:rPr>
        <w:t>Komunikacije Komisije (Službeni list EU, C 224, 8.7.2020.), njihova primjena produljena do</w:t>
      </w:r>
      <w:r w:rsidR="00C45E57">
        <w:rPr>
          <w:bCs/>
          <w:lang w:eastAsia="hr-HR"/>
        </w:rPr>
        <w:t xml:space="preserve"> </w:t>
      </w:r>
      <w:r w:rsidRPr="00DE59E9">
        <w:rPr>
          <w:bCs/>
          <w:lang w:eastAsia="hr-HR"/>
        </w:rPr>
        <w:t>31 . prosinca 2021. godine.</w:t>
      </w:r>
      <w:r>
        <w:rPr>
          <w:bCs/>
          <w:lang w:eastAsia="hr-HR"/>
        </w:rPr>
        <w:t xml:space="preserve"> </w:t>
      </w:r>
      <w:r w:rsidRPr="00DE59E9">
        <w:rPr>
          <w:bCs/>
          <w:lang w:eastAsia="hr-HR"/>
        </w:rPr>
        <w:t>Nakon isteka važenja postojećih Smjernica, u primjeni će od 1. siječnja 2022. godine biti nove</w:t>
      </w:r>
      <w:r>
        <w:rPr>
          <w:bCs/>
          <w:lang w:eastAsia="hr-HR"/>
        </w:rPr>
        <w:t xml:space="preserve"> </w:t>
      </w:r>
      <w:r w:rsidRPr="00DE59E9">
        <w:rPr>
          <w:bCs/>
          <w:lang w:eastAsia="hr-HR"/>
        </w:rPr>
        <w:t xml:space="preserve">smjernice - Smjernice za državne potpore za klimu, zaštitu okoliša i energiju 2022. </w:t>
      </w:r>
      <w:r>
        <w:rPr>
          <w:bCs/>
          <w:lang w:eastAsia="hr-HR"/>
        </w:rPr>
        <w:t>koje će biti potrebno primijeniti ako s</w:t>
      </w:r>
      <w:r w:rsidRPr="00DE59E9">
        <w:rPr>
          <w:bCs/>
          <w:lang w:eastAsia="hr-HR"/>
        </w:rPr>
        <w:t>e</w:t>
      </w:r>
      <w:r>
        <w:rPr>
          <w:bCs/>
          <w:lang w:eastAsia="hr-HR"/>
        </w:rPr>
        <w:t xml:space="preserve"> </w:t>
      </w:r>
      <w:r w:rsidRPr="00DE59E9">
        <w:rPr>
          <w:bCs/>
          <w:lang w:eastAsia="hr-HR"/>
        </w:rPr>
        <w:t xml:space="preserve">dodjela potpora </w:t>
      </w:r>
      <w:r>
        <w:rPr>
          <w:bCs/>
          <w:lang w:eastAsia="hr-HR"/>
        </w:rPr>
        <w:t xml:space="preserve"> bude </w:t>
      </w:r>
      <w:r w:rsidRPr="00DE59E9">
        <w:rPr>
          <w:bCs/>
          <w:lang w:eastAsia="hr-HR"/>
        </w:rPr>
        <w:t>temelji</w:t>
      </w:r>
      <w:r>
        <w:rPr>
          <w:bCs/>
          <w:lang w:eastAsia="hr-HR"/>
        </w:rPr>
        <w:t xml:space="preserve">la </w:t>
      </w:r>
      <w:r w:rsidRPr="00DE59E9">
        <w:rPr>
          <w:bCs/>
          <w:lang w:eastAsia="hr-HR"/>
        </w:rPr>
        <w:t xml:space="preserve">na uvjetima iz tih Smjernica. </w:t>
      </w:r>
      <w:r>
        <w:rPr>
          <w:bCs/>
          <w:lang w:eastAsia="hr-HR"/>
        </w:rPr>
        <w:t>N</w:t>
      </w:r>
      <w:r w:rsidRPr="00DE59E9">
        <w:rPr>
          <w:bCs/>
          <w:lang w:eastAsia="hr-HR"/>
        </w:rPr>
        <w:t>ove Smjernice za državne potpore za klimu, zaštitu okoliša i</w:t>
      </w:r>
      <w:r>
        <w:rPr>
          <w:bCs/>
          <w:lang w:eastAsia="hr-HR"/>
        </w:rPr>
        <w:t xml:space="preserve"> </w:t>
      </w:r>
      <w:r w:rsidRPr="00DE59E9">
        <w:rPr>
          <w:bCs/>
          <w:lang w:eastAsia="hr-HR"/>
        </w:rPr>
        <w:t>energiju 2022. godine predviđaju, kao novu kategoriju potpora, potpore za poboljšanje</w:t>
      </w:r>
      <w:r>
        <w:rPr>
          <w:bCs/>
          <w:lang w:eastAsia="hr-HR"/>
        </w:rPr>
        <w:t xml:space="preserve"> </w:t>
      </w:r>
      <w:r w:rsidRPr="00DE59E9">
        <w:rPr>
          <w:bCs/>
          <w:lang w:eastAsia="hr-HR"/>
        </w:rPr>
        <w:t>energetskih i okolišnih svojstava zgrada te propisuju uvjete pod kojim se takve potpore</w:t>
      </w:r>
      <w:r>
        <w:rPr>
          <w:bCs/>
          <w:lang w:eastAsia="hr-HR"/>
        </w:rPr>
        <w:t xml:space="preserve"> </w:t>
      </w:r>
      <w:r w:rsidRPr="00DE59E9">
        <w:rPr>
          <w:bCs/>
          <w:lang w:eastAsia="hr-HR"/>
        </w:rPr>
        <w:t>smatraju spojivima s unutarnjim tržištem</w:t>
      </w:r>
      <w:r>
        <w:rPr>
          <w:bCs/>
          <w:lang w:eastAsia="hr-HR"/>
        </w:rPr>
        <w:t xml:space="preserve">. </w:t>
      </w:r>
      <w:r w:rsidRPr="00DE59E9">
        <w:rPr>
          <w:bCs/>
          <w:lang w:eastAsia="hr-HR"/>
        </w:rPr>
        <w:t>U slučaju</w:t>
      </w:r>
      <w:r>
        <w:rPr>
          <w:bCs/>
          <w:lang w:eastAsia="hr-HR"/>
        </w:rPr>
        <w:t xml:space="preserve"> primjene navedenih smjernica</w:t>
      </w:r>
      <w:r w:rsidRPr="00DE59E9">
        <w:rPr>
          <w:bCs/>
          <w:lang w:eastAsia="hr-HR"/>
        </w:rPr>
        <w:t xml:space="preserve"> davatelj potpora će biti</w:t>
      </w:r>
      <w:r>
        <w:rPr>
          <w:bCs/>
          <w:lang w:eastAsia="hr-HR"/>
        </w:rPr>
        <w:t xml:space="preserve"> </w:t>
      </w:r>
      <w:r w:rsidRPr="00DE59E9">
        <w:rPr>
          <w:bCs/>
          <w:lang w:eastAsia="hr-HR"/>
        </w:rPr>
        <w:t>obvezan</w:t>
      </w:r>
      <w:r>
        <w:rPr>
          <w:bCs/>
          <w:lang w:eastAsia="hr-HR"/>
        </w:rPr>
        <w:t xml:space="preserve"> dostaviti</w:t>
      </w:r>
      <w:r w:rsidRPr="00DE59E9">
        <w:rPr>
          <w:bCs/>
          <w:lang w:eastAsia="hr-HR"/>
        </w:rPr>
        <w:t xml:space="preserve"> prijedlog programa državne potpore ili pojedinačne državne potpore, sukladno</w:t>
      </w:r>
      <w:r>
        <w:rPr>
          <w:bCs/>
          <w:lang w:eastAsia="hr-HR"/>
        </w:rPr>
        <w:t xml:space="preserve"> </w:t>
      </w:r>
      <w:r w:rsidRPr="00DE59E9">
        <w:rPr>
          <w:bCs/>
          <w:lang w:eastAsia="hr-HR"/>
        </w:rPr>
        <w:t>odredbama članka 8. ZDP-a, Ministarstvu financija radi davanja mišljenja o njegovoj</w:t>
      </w:r>
      <w:r>
        <w:rPr>
          <w:bCs/>
          <w:lang w:eastAsia="hr-HR"/>
        </w:rPr>
        <w:t xml:space="preserve"> </w:t>
      </w:r>
      <w:r w:rsidRPr="00DE59E9">
        <w:rPr>
          <w:bCs/>
          <w:lang w:eastAsia="hr-HR"/>
        </w:rPr>
        <w:t>usklađenosti s pravilima o državnim potporama i smjernicama politike državnih potpora</w:t>
      </w:r>
      <w:r>
        <w:rPr>
          <w:bCs/>
          <w:lang w:eastAsia="hr-HR"/>
        </w:rPr>
        <w:t xml:space="preserve"> </w:t>
      </w:r>
      <w:r w:rsidRPr="00DE59E9">
        <w:rPr>
          <w:bCs/>
          <w:lang w:eastAsia="hr-HR"/>
        </w:rPr>
        <w:t xml:space="preserve">Republike Hrvatske. </w:t>
      </w:r>
    </w:p>
    <w:p w14:paraId="0BFF0FBD" w14:textId="714CCC14" w:rsidR="00692D37" w:rsidRPr="005C5A60" w:rsidRDefault="00692D37" w:rsidP="00692D37">
      <w:pPr>
        <w:rPr>
          <w:bCs/>
          <w:lang w:eastAsia="hr-HR"/>
        </w:rPr>
      </w:pPr>
      <w:r>
        <w:rPr>
          <w:bCs/>
          <w:lang w:eastAsia="hr-HR"/>
        </w:rPr>
        <w:lastRenderedPageBreak/>
        <w:t xml:space="preserve">S obzirom na značajna financijska sredstva namijenjena za energetsku obnovu </w:t>
      </w:r>
      <w:r w:rsidR="00C45E57">
        <w:rPr>
          <w:bCs/>
          <w:lang w:eastAsia="hr-HR"/>
        </w:rPr>
        <w:t>ZJS</w:t>
      </w:r>
      <w:r>
        <w:rPr>
          <w:bCs/>
          <w:lang w:eastAsia="hr-HR"/>
        </w:rPr>
        <w:t xml:space="preserve">, a koja su alocirana u </w:t>
      </w:r>
      <w:r w:rsidR="00C45E57">
        <w:rPr>
          <w:bCs/>
          <w:lang w:eastAsia="hr-HR"/>
        </w:rPr>
        <w:t>NPOO-u</w:t>
      </w:r>
      <w:r>
        <w:rPr>
          <w:bCs/>
          <w:lang w:eastAsia="hr-HR"/>
        </w:rPr>
        <w:t xml:space="preserve">, davatelj potpora može koristiti i </w:t>
      </w:r>
      <w:r w:rsidRPr="005C5A60">
        <w:rPr>
          <w:bCs/>
          <w:lang w:eastAsia="hr-HR"/>
        </w:rPr>
        <w:t>predloške koje je objavila Europska komisija, a koji služe kao</w:t>
      </w:r>
      <w:r w:rsidR="00C45E57">
        <w:rPr>
          <w:bCs/>
          <w:lang w:eastAsia="hr-HR"/>
        </w:rPr>
        <w:t xml:space="preserve"> </w:t>
      </w:r>
      <w:r w:rsidRPr="005C5A60">
        <w:rPr>
          <w:bCs/>
          <w:lang w:eastAsia="hr-HR"/>
        </w:rPr>
        <w:t>smjernice za državne potpore odnosno predstavljaju tehničke dokumente čiji je cilj pružiti</w:t>
      </w:r>
      <w:r>
        <w:rPr>
          <w:bCs/>
          <w:lang w:eastAsia="hr-HR"/>
        </w:rPr>
        <w:t xml:space="preserve"> </w:t>
      </w:r>
      <w:r w:rsidRPr="005C5A60">
        <w:rPr>
          <w:bCs/>
          <w:lang w:eastAsia="hr-HR"/>
        </w:rPr>
        <w:t>pomoć državama članicama u dizajniranju njihovih nacionalnih planova oporavka i otpornosti</w:t>
      </w:r>
    </w:p>
    <w:p w14:paraId="530B7C48" w14:textId="77777777" w:rsidR="00692D37" w:rsidRDefault="00692D37" w:rsidP="00692D37">
      <w:pPr>
        <w:tabs>
          <w:tab w:val="left" w:pos="6190"/>
        </w:tabs>
        <w:rPr>
          <w:bCs/>
          <w:lang w:eastAsia="hr-HR"/>
        </w:rPr>
      </w:pPr>
      <w:r w:rsidRPr="005C5A60">
        <w:rPr>
          <w:bCs/>
          <w:lang w:eastAsia="hr-HR"/>
        </w:rPr>
        <w:t>u skladu s pravilima Europske unije o državnim potporama.</w:t>
      </w:r>
    </w:p>
    <w:p w14:paraId="10E85C6D" w14:textId="089E82DA" w:rsidR="00692D37" w:rsidRPr="00B357F4" w:rsidRDefault="00692D37" w:rsidP="00692D37">
      <w:r>
        <w:rPr>
          <w:bCs/>
          <w:lang w:eastAsia="hr-HR"/>
        </w:rPr>
        <w:t xml:space="preserve">Ovaj </w:t>
      </w:r>
      <w:r w:rsidRPr="00617792">
        <w:rPr>
          <w:bCs/>
          <w:lang w:eastAsia="hr-HR"/>
        </w:rPr>
        <w:t>Program predstavlja temelj</w:t>
      </w:r>
      <w:r>
        <w:rPr>
          <w:bCs/>
          <w:lang w:eastAsia="hr-HR"/>
        </w:rPr>
        <w:t xml:space="preserve"> </w:t>
      </w:r>
      <w:r w:rsidRPr="00617792">
        <w:rPr>
          <w:bCs/>
          <w:lang w:eastAsia="hr-HR"/>
        </w:rPr>
        <w:t>za donošenje mogućih budućih programa dodjele državnih potpora s ciljem financiranja</w:t>
      </w:r>
      <w:r>
        <w:rPr>
          <w:bCs/>
          <w:lang w:eastAsia="hr-HR"/>
        </w:rPr>
        <w:t xml:space="preserve"> </w:t>
      </w:r>
      <w:r w:rsidRPr="00617792">
        <w:rPr>
          <w:bCs/>
          <w:lang w:eastAsia="hr-HR"/>
        </w:rPr>
        <w:t xml:space="preserve">obnove </w:t>
      </w:r>
      <w:r w:rsidR="00C45E57">
        <w:rPr>
          <w:bCs/>
          <w:lang w:eastAsia="hr-HR"/>
        </w:rPr>
        <w:t>ZJS</w:t>
      </w:r>
      <w:r w:rsidRPr="00617792">
        <w:rPr>
          <w:bCs/>
          <w:lang w:eastAsia="hr-HR"/>
        </w:rPr>
        <w:t>, i to isključivo zgrada u kojima se obavljaju</w:t>
      </w:r>
      <w:r>
        <w:rPr>
          <w:bCs/>
          <w:lang w:eastAsia="hr-HR"/>
        </w:rPr>
        <w:t xml:space="preserve"> </w:t>
      </w:r>
      <w:r w:rsidRPr="00617792">
        <w:rPr>
          <w:bCs/>
          <w:lang w:eastAsia="hr-HR"/>
        </w:rPr>
        <w:t>gospodarske djelatnosti. Takvi programi trebali bi sadržavati konkretne uvjete za dodjelu</w:t>
      </w:r>
      <w:r>
        <w:rPr>
          <w:bCs/>
          <w:lang w:eastAsia="hr-HR"/>
        </w:rPr>
        <w:t xml:space="preserve"> </w:t>
      </w:r>
      <w:r w:rsidRPr="00617792">
        <w:rPr>
          <w:bCs/>
          <w:lang w:eastAsia="hr-HR"/>
        </w:rPr>
        <w:t>potpora, bilo temeljem pravila iz Uredbe br. 651/2014 te njezinih izmjena i dopuna, bilo</w:t>
      </w:r>
      <w:r>
        <w:rPr>
          <w:bCs/>
          <w:lang w:eastAsia="hr-HR"/>
        </w:rPr>
        <w:t xml:space="preserve"> temeljem pravila iz važećih Smjernica koje davatelj potpore odluči koristiti</w:t>
      </w:r>
      <w:r w:rsidR="00C45E57">
        <w:rPr>
          <w:bCs/>
          <w:lang w:eastAsia="hr-HR"/>
        </w:rPr>
        <w:t>.</w:t>
      </w:r>
    </w:p>
    <w:p w14:paraId="208D4EF8" w14:textId="77777777" w:rsidR="00885EC1" w:rsidRPr="00B357F4" w:rsidRDefault="7B18FD22" w:rsidP="00885EC1">
      <w:pPr>
        <w:pStyle w:val="Naslov20"/>
      </w:pPr>
      <w:bookmarkStart w:id="174" w:name="_Toc94770035"/>
      <w:r w:rsidRPr="00B357F4">
        <w:t>Konkretne preporuke za primjenu financijskih instrumenata primjenjivih u Republici Hrvatskoj</w:t>
      </w:r>
      <w:bookmarkEnd w:id="172"/>
      <w:bookmarkEnd w:id="173"/>
      <w:bookmarkEnd w:id="174"/>
    </w:p>
    <w:p w14:paraId="2A77C5E3" w14:textId="16456220" w:rsidR="007A6D1F" w:rsidRPr="00B357F4" w:rsidRDefault="007A6D1F" w:rsidP="007A6D1F">
      <w:r w:rsidRPr="00B357F4">
        <w:t xml:space="preserve">U RH trenutno postoji više financijskih instrumenata iz ESI fondova koje provode Hrvatska banka za obnovu i razvitak (HBOR), Hrvatska agencija za malo gospodarstvo, inovacije i investicije (HAMAG–BICRO) i Europski investicijski fond (EIF), a koji su djelomično ili u cijelosti financirani iz ESIF sredstava dodijeljenih Hrvatskoj za razdoblje 2014. – 2020. </w:t>
      </w:r>
    </w:p>
    <w:p w14:paraId="4FEF6C75" w14:textId="77777777" w:rsidR="007A6D1F" w:rsidRPr="00B357F4" w:rsidRDefault="007A6D1F" w:rsidP="007A6D1F">
      <w:r w:rsidRPr="00B357F4">
        <w:t xml:space="preserve">Od financijskih instrumenata tri su namijenjena poticanju energetske učinkovitosti u okviru Prioritetne osi 4 „Promicanje energetske učinkovitosti i obnovljivih izvora energije“ OPKK, no samo su dva u provedbi: ESIF Krediti za energetsku učinkovitost za javne zgrade te ESIF Krediti za javnu rasvjetu. Najavljeni financijski instrument ESIF Krediti za energetsku učinkovitost za poduzetnike iz iste prioritetne osi nije došao do faze provedbe uslijed izbijanja epidemije koronavirusa. Navedeni financijski instrumenti ciljano su oformljeni za poticanje energetske učinkovitosti u pojedinom sektoru odnosno za pojedini tip infrastrukture. </w:t>
      </w:r>
    </w:p>
    <w:p w14:paraId="10BDCF46" w14:textId="2CB25C9F" w:rsidR="007A6D1F" w:rsidRPr="00B357F4" w:rsidRDefault="00A86CDA" w:rsidP="007A6D1F">
      <w:r>
        <w:t>Model provedbe u prvom trogodišnjem razdoblju ovog Programa predviđa nastavak dosadašnje prakse, odnosno korištenja bespovratnih sredstava iz EU izvora te provedbu javnih poziva za sufinanciranje obnove u iznosima od 60 do 80%</w:t>
      </w:r>
      <w:r w:rsidR="002A5EE2" w:rsidRPr="002A5EE2">
        <w:t xml:space="preserve"> prihvatljivih troškova</w:t>
      </w:r>
      <w:r w:rsidR="003448C8">
        <w:t xml:space="preserve">, odnosno 100% za </w:t>
      </w:r>
      <w:r w:rsidR="007C61C6">
        <w:t>sveobuhvatnu obnovu</w:t>
      </w:r>
      <w:r w:rsidR="003448C8">
        <w:t xml:space="preserve"> zgrada oštećenih u potresu</w:t>
      </w:r>
      <w:r>
        <w:t xml:space="preserve">. </w:t>
      </w:r>
      <w:r w:rsidR="007A6D1F" w:rsidRPr="00B357F4">
        <w:t>Kako bi se</w:t>
      </w:r>
      <w:r w:rsidR="0045349D">
        <w:t xml:space="preserve"> spriječio pad interesa za energetsku obnovu </w:t>
      </w:r>
      <w:r w:rsidR="00907CA1" w:rsidRPr="00B357F4">
        <w:t>nakon iscrpljivanja dostupnih bespovratnih sredstava</w:t>
      </w:r>
      <w:r w:rsidR="00907CA1">
        <w:t xml:space="preserve"> </w:t>
      </w:r>
      <w:r w:rsidR="0045349D">
        <w:t xml:space="preserve">te </w:t>
      </w:r>
      <w:r w:rsidR="007A6D1F" w:rsidRPr="00B357F4">
        <w:t xml:space="preserve">potaknula kontinuirana energetska obnova </w:t>
      </w:r>
      <w:r w:rsidR="003C5B2E" w:rsidRPr="00B357F4">
        <w:t xml:space="preserve">javnih </w:t>
      </w:r>
      <w:r w:rsidR="007A6D1F" w:rsidRPr="00B357F4">
        <w:t>zgrada</w:t>
      </w:r>
      <w:r w:rsidR="004E3821" w:rsidRPr="00B357F4">
        <w:t>,</w:t>
      </w:r>
      <w:r w:rsidR="007A6D1F" w:rsidRPr="00B357F4">
        <w:t xml:space="preserve"> </w:t>
      </w:r>
      <w:r w:rsidR="00A91094">
        <w:t xml:space="preserve">ministarstvo nadležno za </w:t>
      </w:r>
      <w:r w:rsidR="003C0DC2">
        <w:t xml:space="preserve">graditeljstvo zajedno s ministarstvom nadležnim za EU fondove te </w:t>
      </w:r>
      <w:r w:rsidR="00D00083">
        <w:t xml:space="preserve">HBOR-om </w:t>
      </w:r>
      <w:r w:rsidR="00ED4003">
        <w:t>se zadužuje za razradu</w:t>
      </w:r>
      <w:r w:rsidR="00486A9A">
        <w:t xml:space="preserve"> </w:t>
      </w:r>
      <w:r w:rsidR="007A6D1F" w:rsidRPr="00B357F4">
        <w:t>financijsk</w:t>
      </w:r>
      <w:r w:rsidR="00E11730">
        <w:t>ih</w:t>
      </w:r>
      <w:r w:rsidR="007A6D1F" w:rsidRPr="00B357F4">
        <w:t xml:space="preserve"> instrumen</w:t>
      </w:r>
      <w:r w:rsidR="00E11730">
        <w:t>a</w:t>
      </w:r>
      <w:r w:rsidR="007A6D1F" w:rsidRPr="00B357F4">
        <w:t>t</w:t>
      </w:r>
      <w:r w:rsidR="00ED4003">
        <w:t>a</w:t>
      </w:r>
      <w:r w:rsidR="007A6D1F" w:rsidRPr="00B357F4">
        <w:t xml:space="preserve"> </w:t>
      </w:r>
      <w:r w:rsidR="007A6D1F" w:rsidRPr="006734C7">
        <w:t>ciljan</w:t>
      </w:r>
      <w:r w:rsidR="00E11730">
        <w:t>ih</w:t>
      </w:r>
      <w:r w:rsidR="007A6D1F" w:rsidRPr="00971F9E">
        <w:t xml:space="preserve"> za </w:t>
      </w:r>
      <w:r w:rsidR="00712E07" w:rsidRPr="00B357F4">
        <w:t>poticanje</w:t>
      </w:r>
      <w:r w:rsidR="007A6D1F" w:rsidRPr="00B357F4">
        <w:t xml:space="preserve"> energetsk</w:t>
      </w:r>
      <w:r w:rsidR="00712E07" w:rsidRPr="00B357F4">
        <w:t>e</w:t>
      </w:r>
      <w:r w:rsidR="007A6D1F" w:rsidRPr="00B357F4">
        <w:t xml:space="preserve"> obnov</w:t>
      </w:r>
      <w:r w:rsidR="00712E07" w:rsidRPr="00B357F4">
        <w:t>e</w:t>
      </w:r>
      <w:r w:rsidR="007A6D1F" w:rsidRPr="00B357F4">
        <w:t xml:space="preserve"> zgrada</w:t>
      </w:r>
      <w:r w:rsidR="009574A3" w:rsidRPr="00B357F4">
        <w:t>.</w:t>
      </w:r>
      <w:r w:rsidR="00631D5D">
        <w:t xml:space="preserve"> </w:t>
      </w:r>
      <w:r w:rsidR="00FB11E5">
        <w:t>Na uspostavi financijskog instrumenta potrebno je intenzivno raditi tijekom prvog trogodišnjeg razdoblja ovog Programa kako</w:t>
      </w:r>
      <w:r w:rsidR="00E46BD9">
        <w:t xml:space="preserve"> bi financijski instrument bio dostupan za korištenje </w:t>
      </w:r>
      <w:r w:rsidR="001D0903">
        <w:t>nakon 2024. godine, odnosno nakon istek</w:t>
      </w:r>
      <w:r w:rsidR="00DD76FA">
        <w:t xml:space="preserve">a mogućnosti financiranja bespovratnim sredstvima alociranima kroz NPOO. </w:t>
      </w:r>
      <w:r w:rsidR="001D0903">
        <w:t xml:space="preserve"> </w:t>
      </w:r>
      <w:r w:rsidR="00AE0A62" w:rsidRPr="00B357F4">
        <w:t>Finan</w:t>
      </w:r>
      <w:r w:rsidR="0088726B" w:rsidRPr="00B357F4">
        <w:t xml:space="preserve">cijski instrumenti trebali bi biti </w:t>
      </w:r>
      <w:r w:rsidR="00E27B68" w:rsidRPr="00B357F4">
        <w:t>neutralni u pogledu prihvatljivih prij</w:t>
      </w:r>
      <w:r w:rsidR="00B9302E" w:rsidRPr="00B357F4">
        <w:t>a</w:t>
      </w:r>
      <w:r w:rsidR="00DA4E48" w:rsidRPr="00B357F4">
        <w:t>vitelja</w:t>
      </w:r>
      <w:r w:rsidR="00B9302E" w:rsidRPr="00B357F4">
        <w:t xml:space="preserve">/korisnika kako bi omogućili </w:t>
      </w:r>
      <w:r w:rsidR="00262912" w:rsidRPr="00B357F4">
        <w:t>smanji</w:t>
      </w:r>
      <w:r w:rsidR="00A006DB" w:rsidRPr="00B357F4">
        <w:t xml:space="preserve">vanje jaza između troškova financiranja </w:t>
      </w:r>
      <w:r w:rsidR="00F31CF9" w:rsidRPr="00B357F4">
        <w:t>p</w:t>
      </w:r>
      <w:r w:rsidR="00CE4499" w:rsidRPr="00B357F4">
        <w:t xml:space="preserve">utem tradicionalnih modela u odnosu na </w:t>
      </w:r>
      <w:r w:rsidR="000A2C31" w:rsidRPr="00B357F4">
        <w:t>ESCO</w:t>
      </w:r>
      <w:r w:rsidR="00BE182D" w:rsidRPr="00B357F4">
        <w:t>/JPP</w:t>
      </w:r>
      <w:r w:rsidR="000A2C31" w:rsidRPr="00B357F4">
        <w:t xml:space="preserve"> modele </w:t>
      </w:r>
      <w:r w:rsidR="00A86244" w:rsidRPr="00B357F4">
        <w:t>realizacije energetske obnove</w:t>
      </w:r>
      <w:r w:rsidR="007A6D1F" w:rsidRPr="00B357F4">
        <w:t>. Ovakv</w:t>
      </w:r>
      <w:r w:rsidR="00CE7C0A" w:rsidRPr="00B357F4">
        <w:t>i</w:t>
      </w:r>
      <w:r w:rsidR="007A6D1F" w:rsidRPr="00B357F4">
        <w:t xml:space="preserve"> financijski instrument</w:t>
      </w:r>
      <w:r w:rsidR="00CE7C0A" w:rsidRPr="00B357F4">
        <w:t>i</w:t>
      </w:r>
      <w:r w:rsidR="007A6D1F" w:rsidRPr="00B357F4">
        <w:t xml:space="preserve"> bi treba</w:t>
      </w:r>
      <w:r w:rsidR="00CE7C0A" w:rsidRPr="00B357F4">
        <w:t>li</w:t>
      </w:r>
      <w:r w:rsidR="007A6D1F" w:rsidRPr="00B357F4">
        <w:t xml:space="preserve"> biti dostupn</w:t>
      </w:r>
      <w:r w:rsidR="00EB3AD7" w:rsidRPr="00B357F4">
        <w:t>i</w:t>
      </w:r>
      <w:r w:rsidR="007A6D1F" w:rsidRPr="00B357F4">
        <w:t xml:space="preserve"> javnim vlasnicima zgrada ali i ESCO tvrtkama ili privatnim partnerima u slučaju provedbe energetske obnove putem nekog od oblika privatnog financiranja (poput ugovora o energetskom učinku ili putem modela javno-privatnog partnerstva). Također, ovi financijski instrumenti trebali bi potaknuti integralnu energetsku obnovu i sveobuhvatnu obnovu, odnosno svi troškovi sveobuhvatne obnove bi trebali biti prihvatljivi. </w:t>
      </w:r>
    </w:p>
    <w:p w14:paraId="55DB84B6" w14:textId="34ADA385" w:rsidR="0099362A" w:rsidRPr="00B357F4" w:rsidRDefault="0099362A" w:rsidP="007A6D1F">
      <w:r>
        <w:t>F</w:t>
      </w:r>
      <w:r w:rsidRPr="00B357F4">
        <w:t>inancijski instrumenti poput garancijskih fondova ili poticanja forfaiting mehanizma dodatno bi smanjili rizike u projektima i cijenu kapitala</w:t>
      </w:r>
      <w:r>
        <w:t xml:space="preserve">, osobito nakon prvog trogodišnjeg razdoblja ovog Programa. </w:t>
      </w:r>
      <w:r w:rsidRPr="00203A80">
        <w:t>Forfaiting mehanizmi omogućuju prodaju nedospjelih potraživanja ESCO tvrtki i Društva posebne namjene na način da se putem forfaiting fondova otkupljuju naknade za uslugu energetske učinkovitosti koje će tek dospjeti. Prodajom budućih nedospjelih nakn</w:t>
      </w:r>
      <w:r w:rsidRPr="00971F9E">
        <w:t>ada ESCO tvrtke i Društva posebne namjene otplaćuju dugoročne kredite te „čiste“ svoje bilance</w:t>
      </w:r>
      <w:r>
        <w:t xml:space="preserve"> što im omogućuje ulazak u daljnje projekte energetske obnove</w:t>
      </w:r>
      <w:r w:rsidRPr="00971F9E">
        <w:t>.</w:t>
      </w:r>
      <w:r>
        <w:t xml:space="preserve"> Navedeni mehanizmi refinanciranja postojećih ugovora o energetskom učinku su od posebne važnosti za tržišta na kojima postoji manjak ESCO tvrtki u odnosu na potražnju za ovakvim modelima realizacije jer se potencijal pojedine ESCO tvrtke za ulaskom u projekte energetske obnove relativno brzo iskoristi. </w:t>
      </w:r>
      <w:r w:rsidRPr="00971F9E">
        <w:t xml:space="preserve">Ovakvi mehanizmi </w:t>
      </w:r>
      <w:r>
        <w:t>su već u primjeni diljem Europe</w:t>
      </w:r>
      <w:r>
        <w:rPr>
          <w:rStyle w:val="Referencafusnote"/>
        </w:rPr>
        <w:footnoteReference w:id="26"/>
      </w:r>
      <w:r>
        <w:t xml:space="preserve"> te </w:t>
      </w:r>
      <w:r w:rsidRPr="00971F9E">
        <w:t xml:space="preserve">omogućavaju ESCO tvrtkama i Društvima posebne namjene da </w:t>
      </w:r>
      <w:r w:rsidRPr="00971F9E">
        <w:lastRenderedPageBreak/>
        <w:t xml:space="preserve">rasterete svoje bilance dugoročnih obveza te da budu financijski sposobni dobiti nove </w:t>
      </w:r>
      <w:r w:rsidRPr="00B357F4">
        <w:t>dugoročne kredite i ući u nove projekte energetske učinkovitosti</w:t>
      </w:r>
      <w:r>
        <w:t xml:space="preserve"> što povoljno djeluje na razvoj ESCO tržišta</w:t>
      </w:r>
      <w:r w:rsidRPr="00B357F4">
        <w:t>.</w:t>
      </w:r>
    </w:p>
    <w:p w14:paraId="1D76975C" w14:textId="201C9BBF" w:rsidR="007A6D1F" w:rsidRPr="00B357F4" w:rsidRDefault="007A6D1F" w:rsidP="007A6D1F">
      <w:r w:rsidRPr="00B357F4">
        <w:t>Navedeni financijski instrument</w:t>
      </w:r>
      <w:r w:rsidR="00EC253A" w:rsidRPr="00B357F4">
        <w:t>i</w:t>
      </w:r>
      <w:r w:rsidRPr="00B357F4">
        <w:t xml:space="preserve"> treba</w:t>
      </w:r>
      <w:r w:rsidR="00EC253A" w:rsidRPr="00B357F4">
        <w:t>li</w:t>
      </w:r>
      <w:r w:rsidRPr="00B357F4">
        <w:t xml:space="preserve"> bi biti otvoren</w:t>
      </w:r>
      <w:r w:rsidR="00EC253A" w:rsidRPr="00B357F4">
        <w:t>i</w:t>
      </w:r>
      <w:r w:rsidRPr="00B357F4">
        <w:t xml:space="preserve"> i korisnicima koji samostalno pokrenu projekte sveobuhvatne obnove zgrada ali i korisnicima koji su dobili bespovratna sredstva iz EU fondova. Ovakv</w:t>
      </w:r>
      <w:r w:rsidR="00B167F9" w:rsidRPr="00B357F4">
        <w:t>e</w:t>
      </w:r>
      <w:r w:rsidRPr="00B357F4">
        <w:t xml:space="preserve"> financijsk</w:t>
      </w:r>
      <w:r w:rsidR="00B96492" w:rsidRPr="00B357F4">
        <w:t>e</w:t>
      </w:r>
      <w:r w:rsidRPr="00B357F4">
        <w:t xml:space="preserve"> instrument</w:t>
      </w:r>
      <w:r w:rsidR="00B96492" w:rsidRPr="00B357F4">
        <w:t>e</w:t>
      </w:r>
      <w:r w:rsidRPr="00B357F4">
        <w:t xml:space="preserve"> moguće je financirati iz ESIF sredstava ako se </w:t>
      </w:r>
      <w:r w:rsidR="00335727">
        <w:t xml:space="preserve">programskim dokumentima </w:t>
      </w:r>
      <w:r w:rsidR="00925D7F">
        <w:t>dokažu tržišni nedostaci</w:t>
      </w:r>
      <w:r w:rsidR="003C0F94">
        <w:t>, a</w:t>
      </w:r>
      <w:r w:rsidR="00EA4555" w:rsidRPr="00EA4555">
        <w:t xml:space="preserve"> </w:t>
      </w:r>
      <w:r w:rsidR="004468AC">
        <w:t xml:space="preserve">resorno </w:t>
      </w:r>
      <w:r w:rsidR="00EA4555">
        <w:t>nadležn</w:t>
      </w:r>
      <w:r w:rsidR="004468AC">
        <w:t>a tijela</w:t>
      </w:r>
      <w:r w:rsidR="00EA4555">
        <w:t xml:space="preserve"> dobij</w:t>
      </w:r>
      <w:r w:rsidR="004468AC">
        <w:t>u</w:t>
      </w:r>
      <w:r w:rsidR="00EA4555">
        <w:t xml:space="preserve"> pozitivno mišljenje Europske komisije o </w:t>
      </w:r>
      <w:r w:rsidR="00544F6B">
        <w:t xml:space="preserve">upotrebi financijskih instrumenata za </w:t>
      </w:r>
      <w:r w:rsidR="00906654">
        <w:t>ovakav tip operacije</w:t>
      </w:r>
      <w:r w:rsidR="003C0F94">
        <w:t xml:space="preserve">. </w:t>
      </w:r>
      <w:r w:rsidR="005E51BC">
        <w:t>E</w:t>
      </w:r>
      <w:r w:rsidRPr="00B357F4">
        <w:t xml:space="preserve">x ante </w:t>
      </w:r>
      <w:r w:rsidR="000D7C92">
        <w:t>analizom</w:t>
      </w:r>
      <w:r w:rsidR="000D7C92" w:rsidRPr="00B357F4">
        <w:t xml:space="preserve"> </w:t>
      </w:r>
      <w:r w:rsidRPr="00B357F4">
        <w:t xml:space="preserve">koju izrađuje upravljačko tijelo </w:t>
      </w:r>
      <w:r w:rsidR="005E51BC">
        <w:t xml:space="preserve">po zaprimanju pozitivne odluke o </w:t>
      </w:r>
      <w:r w:rsidR="002B32D9">
        <w:t>korištenju financijskih instrumenata</w:t>
      </w:r>
      <w:r w:rsidR="003050A3">
        <w:t xml:space="preserve"> određuje se vrsta financijskih instrumenata te indikativni iznosi. </w:t>
      </w:r>
      <w:r w:rsidR="00973078">
        <w:t xml:space="preserve"> </w:t>
      </w:r>
      <w:r w:rsidRPr="00B357F4">
        <w:t>Ex ante procjena treba obuhvatiti najmanje sljedeće elemente:</w:t>
      </w:r>
    </w:p>
    <w:p w14:paraId="699959C5" w14:textId="08DCF6E8" w:rsidR="007A6D1F" w:rsidRPr="00B357F4" w:rsidRDefault="007A6D1F" w:rsidP="00C300D1">
      <w:pPr>
        <w:pStyle w:val="Odlomakpopisa"/>
        <w:numPr>
          <w:ilvl w:val="0"/>
          <w:numId w:val="112"/>
        </w:numPr>
      </w:pPr>
      <w:r w:rsidRPr="00B357F4">
        <w:t>predloženi iznos programskog doprinosa financijskom instrumentu i procijenjeni učinak poluge, koji su popraćeni kratkim obrazloženjem;</w:t>
      </w:r>
    </w:p>
    <w:p w14:paraId="3B15C0FE" w14:textId="1FF8C62D" w:rsidR="007A6D1F" w:rsidRPr="00B357F4" w:rsidRDefault="007A6D1F" w:rsidP="00C300D1">
      <w:pPr>
        <w:pStyle w:val="Odlomakpopisa"/>
        <w:numPr>
          <w:ilvl w:val="0"/>
          <w:numId w:val="112"/>
        </w:numPr>
      </w:pPr>
      <w:r w:rsidRPr="00B357F4">
        <w:t>predložene financijske proizvode koji će biti ponuđeni, uključujući moguću potrebu za različitim postupanjem prema ulagateljima;</w:t>
      </w:r>
    </w:p>
    <w:p w14:paraId="4C99B5BA" w14:textId="25D7600D" w:rsidR="007A6D1F" w:rsidRPr="00B357F4" w:rsidRDefault="007A6D1F" w:rsidP="00C300D1">
      <w:pPr>
        <w:pStyle w:val="Odlomakpopisa"/>
        <w:numPr>
          <w:ilvl w:val="0"/>
          <w:numId w:val="112"/>
        </w:numPr>
      </w:pPr>
      <w:r w:rsidRPr="00B357F4">
        <w:t>predloženu ciljnu skupinu krajnjih primatelja;</w:t>
      </w:r>
    </w:p>
    <w:p w14:paraId="3FDD7829" w14:textId="528C92EF" w:rsidR="007A6D1F" w:rsidRPr="00B357F4" w:rsidRDefault="007A6D1F" w:rsidP="00C300D1">
      <w:pPr>
        <w:pStyle w:val="Odlomakpopisa"/>
        <w:numPr>
          <w:ilvl w:val="0"/>
          <w:numId w:val="112"/>
        </w:numPr>
      </w:pPr>
      <w:r w:rsidRPr="00B357F4">
        <w:t>očekivani doprinos financijskog instrumenta ostvarenju specifičnih ciljeva.</w:t>
      </w:r>
    </w:p>
    <w:p w14:paraId="2E57A3B3" w14:textId="77777777" w:rsidR="007A6D1F" w:rsidRPr="00B357F4" w:rsidRDefault="007A6D1F" w:rsidP="007A6D1F">
      <w:r w:rsidRPr="00B357F4">
        <w:t>Ex ante procjena mora biti dovršena prije nego što upravljačko tijelo dodijeli programske doprinose financijskim instrumentima.</w:t>
      </w:r>
    </w:p>
    <w:p w14:paraId="732FC598" w14:textId="57E9071D" w:rsidR="007A6D1F" w:rsidRPr="00203A80" w:rsidRDefault="007A6D1F" w:rsidP="007A6D1F">
      <w:r w:rsidRPr="00B357F4">
        <w:t>Ovisno o rezultatima ex ante procjene u dijelu koji se odnosi na predložene financijske proizvode, upravljačko tijelo može izravno provoditi financijski instrument ako se radi o jamstvu ili zajmu, dok za druge financijske proizvode odabire tijelo za provedbu financijskog instrumenta. U tom slučaju upravljačko tijelo može izravno dodijeliti ugovor za provedbu financijskog instrumenta Europskoj investicijskoj banci, međunarodnoj financijskoj instituciji čiji je dioničar Hrvatska, banci u javnom vlasništvu te drugim tijelima koja su obuhvaćena područjem primjene članka 12. Direktive 2014/24/EU</w:t>
      </w:r>
      <w:r w:rsidR="00A765B2" w:rsidRPr="006734C7">
        <w:rPr>
          <w:rStyle w:val="Referencafusnote"/>
        </w:rPr>
        <w:footnoteReference w:id="27"/>
      </w:r>
      <w:r w:rsidRPr="006734C7">
        <w:t xml:space="preserve">.  </w:t>
      </w:r>
    </w:p>
    <w:p w14:paraId="3029BB79" w14:textId="6041F2F2" w:rsidR="007A6D1F" w:rsidRPr="00B357F4" w:rsidRDefault="007A6D1F" w:rsidP="007A6D1F">
      <w:r w:rsidRPr="00971F9E">
        <w:t>Kombiniranje financijskih instrumenata i bespovratnih sredstava za poticanje invest</w:t>
      </w:r>
      <w:r w:rsidRPr="00B357F4">
        <w:t xml:space="preserve">icija u energetsku obnovu je nužno kako bi se takve investicije učinile isplativijima privatnim investitorima kroz kraći period povrata ili veći prinos. Ovo je osobito bitno </w:t>
      </w:r>
      <w:r w:rsidR="00442816" w:rsidRPr="00B357F4">
        <w:t>u slučajevima integralne i sveobuhvatne obnove</w:t>
      </w:r>
      <w:r w:rsidRPr="00B357F4">
        <w:t xml:space="preserve"> zgrad</w:t>
      </w:r>
      <w:r w:rsidR="00A967EF" w:rsidRPr="00B357F4">
        <w:t>a</w:t>
      </w:r>
      <w:r w:rsidRPr="00B357F4">
        <w:t xml:space="preserve"> </w:t>
      </w:r>
      <w:r w:rsidR="005D356A" w:rsidRPr="00B357F4">
        <w:t xml:space="preserve">putem ESCO </w:t>
      </w:r>
      <w:r w:rsidR="00EE7D2B" w:rsidRPr="00B357F4">
        <w:t>i JPP modela</w:t>
      </w:r>
      <w:r w:rsidR="005D356A" w:rsidRPr="00B357F4">
        <w:t xml:space="preserve"> </w:t>
      </w:r>
      <w:r w:rsidR="008541E4" w:rsidRPr="00B357F4">
        <w:t xml:space="preserve">gdje </w:t>
      </w:r>
      <w:r w:rsidR="007C1B14" w:rsidRPr="00B357F4">
        <w:t xml:space="preserve">se bez </w:t>
      </w:r>
      <w:r w:rsidR="007A50CA" w:rsidRPr="00B357F4">
        <w:t xml:space="preserve">značajnijeg </w:t>
      </w:r>
      <w:r w:rsidR="00441D49" w:rsidRPr="00B357F4">
        <w:t>udjela</w:t>
      </w:r>
      <w:r w:rsidR="007A50CA" w:rsidRPr="00B357F4">
        <w:t xml:space="preserve"> bespovratnih sredstava </w:t>
      </w:r>
      <w:r w:rsidR="0051270A" w:rsidRPr="00B357F4">
        <w:t xml:space="preserve">ne može očekivati </w:t>
      </w:r>
      <w:r w:rsidR="00AC44F5" w:rsidRPr="00B357F4">
        <w:t>povrat investicije iz ostvarenih ušte</w:t>
      </w:r>
      <w:r w:rsidR="007C15E0" w:rsidRPr="00B357F4">
        <w:t>da.</w:t>
      </w:r>
    </w:p>
    <w:p w14:paraId="2882072A" w14:textId="21C2D966" w:rsidR="000A32CA" w:rsidRPr="00C300D1" w:rsidRDefault="000A32CA" w:rsidP="00A27C7D">
      <w:pPr>
        <w:rPr>
          <w:rFonts w:cs="Tahoma"/>
          <w:szCs w:val="20"/>
        </w:rPr>
      </w:pPr>
      <w:r w:rsidRPr="00C300D1">
        <w:rPr>
          <w:rFonts w:cs="Tahoma"/>
          <w:szCs w:val="20"/>
        </w:rPr>
        <w:t>Financijski instrumenti moraju biti usklađeni sa sljedećim načelima:</w:t>
      </w:r>
    </w:p>
    <w:p w14:paraId="1F59AFCD" w14:textId="0A8B1A50"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 xml:space="preserve">Odnose se na situacije neuspjeha tržišta ili sub-optimalne investicije, tj. </w:t>
      </w:r>
      <w:r w:rsidR="00151F97">
        <w:rPr>
          <w:rFonts w:cs="Tahoma"/>
          <w:szCs w:val="20"/>
        </w:rPr>
        <w:t>u</w:t>
      </w:r>
      <w:r w:rsidRPr="00C300D1">
        <w:rPr>
          <w:rFonts w:cs="Tahoma"/>
          <w:szCs w:val="20"/>
        </w:rPr>
        <w:t xml:space="preserve"> slučajevima kada tržište nije zainteresirano za financiranje projekata koji su načelno bankabilni zbog specifične strukture rizika</w:t>
      </w:r>
    </w:p>
    <w:p w14:paraId="4EBA0145"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Osiguravaju aditivnost financiranja, odnosno ne istiskuju privatno financiranje ili intervencije države ili Europske Unije</w:t>
      </w:r>
    </w:p>
    <w:p w14:paraId="50CF9DF0"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 xml:space="preserve">Ne utječu na tržišnu utakmicu i u skladu su sa pravilima vezanim uz državne potpore </w:t>
      </w:r>
    </w:p>
    <w:p w14:paraId="47EAF347"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Sadrže učinak poluge – ukupno ulaganje je veće od doprinosa financijskog instrumenta</w:t>
      </w:r>
    </w:p>
    <w:p w14:paraId="1B83C4A2"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 xml:space="preserve">Ne stvaraju okolnosti koje bi dovele do sukoba interesa, odnosno, u skladu su sa zajedničkim interesima i ciljevima politika Europske Unije </w:t>
      </w:r>
    </w:p>
    <w:p w14:paraId="291B4C86"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Uspostavljaju se na temelju ex-ante analize kojom je utvrđena tržišna potreba u smislu nesavršenosti i neuspjeha tržišta koja se ne može prevladati korištenjem postojećih dostupnih financijskih instrumenata.</w:t>
      </w:r>
    </w:p>
    <w:p w14:paraId="17538A12" w14:textId="77777777" w:rsidR="000A32CA" w:rsidRPr="00C300D1" w:rsidRDefault="000A32CA" w:rsidP="00A27C7D">
      <w:pPr>
        <w:rPr>
          <w:rFonts w:cs="Tahoma"/>
          <w:szCs w:val="20"/>
        </w:rPr>
      </w:pPr>
      <w:r w:rsidRPr="00C300D1">
        <w:rPr>
          <w:rFonts w:cs="Tahoma"/>
          <w:szCs w:val="20"/>
        </w:rPr>
        <w:t xml:space="preserve">Tržišni neuspjeh koji se rješava uspostavom financijskog instrumenta jamstvenog fonda: </w:t>
      </w:r>
    </w:p>
    <w:p w14:paraId="7AE4A2C3" w14:textId="77777777" w:rsidR="000A32CA" w:rsidRPr="00C300D1" w:rsidRDefault="000A32CA" w:rsidP="00A27C7D">
      <w:pPr>
        <w:pStyle w:val="Odlomakpopisa"/>
        <w:keepLines w:val="0"/>
        <w:numPr>
          <w:ilvl w:val="0"/>
          <w:numId w:val="122"/>
        </w:numPr>
        <w:suppressAutoHyphens w:val="0"/>
        <w:spacing w:before="120" w:after="120"/>
        <w:contextualSpacing/>
        <w:rPr>
          <w:rFonts w:cs="Tahoma"/>
          <w:szCs w:val="20"/>
        </w:rPr>
      </w:pPr>
      <w:r w:rsidRPr="00C300D1">
        <w:rPr>
          <w:rFonts w:cs="Tahoma"/>
          <w:szCs w:val="20"/>
        </w:rPr>
        <w:t xml:space="preserve">Komercijalne banke na projekte energetske obnove zgrada po modelu energetske usluge gledaju kao visoko rizične i koji zahtijevaju visoku razinu kolaterala i/ili jamstava. </w:t>
      </w:r>
    </w:p>
    <w:p w14:paraId="304504F5" w14:textId="77777777" w:rsidR="000A32CA" w:rsidRPr="00C300D1" w:rsidRDefault="000A32CA" w:rsidP="00A27C7D">
      <w:pPr>
        <w:pStyle w:val="Odlomakpopisa"/>
        <w:keepLines w:val="0"/>
        <w:numPr>
          <w:ilvl w:val="0"/>
          <w:numId w:val="122"/>
        </w:numPr>
        <w:suppressAutoHyphens w:val="0"/>
        <w:spacing w:before="120" w:after="120"/>
        <w:contextualSpacing/>
        <w:rPr>
          <w:rFonts w:cs="Tahoma"/>
          <w:szCs w:val="20"/>
        </w:rPr>
      </w:pPr>
      <w:r w:rsidRPr="00C300D1">
        <w:rPr>
          <w:rFonts w:cs="Tahoma"/>
          <w:szCs w:val="20"/>
        </w:rPr>
        <w:lastRenderedPageBreak/>
        <w:t>Ulaganje temeljem ugovora o energetskom učinku ne stvara imovinu koja se može koristiti kao kolateral, što ograničava mogućnosti ulaganja pružatelja energetske usluge.</w:t>
      </w:r>
    </w:p>
    <w:p w14:paraId="2BA1BBF0" w14:textId="504D87B2" w:rsidR="000A32CA" w:rsidRPr="00C300D1" w:rsidRDefault="000A32CA" w:rsidP="00A27C7D">
      <w:pPr>
        <w:rPr>
          <w:rFonts w:cs="Tahoma"/>
          <w:szCs w:val="20"/>
        </w:rPr>
      </w:pPr>
      <w:r w:rsidRPr="00C300D1">
        <w:rPr>
          <w:rFonts w:cs="Tahoma"/>
          <w:szCs w:val="20"/>
        </w:rPr>
        <w:t xml:space="preserve">Vrsta instrumenta: </w:t>
      </w:r>
      <w:r w:rsidRPr="00C300D1">
        <w:rPr>
          <w:rFonts w:cs="Tahoma"/>
          <w:szCs w:val="20"/>
        </w:rPr>
        <w:tab/>
      </w:r>
      <w:r w:rsidRPr="00C300D1">
        <w:rPr>
          <w:rFonts w:cs="Tahoma"/>
          <w:szCs w:val="20"/>
        </w:rPr>
        <w:tab/>
      </w:r>
      <w:r w:rsidRPr="00C300D1">
        <w:rPr>
          <w:rFonts w:cs="Tahoma"/>
          <w:szCs w:val="20"/>
        </w:rPr>
        <w:tab/>
        <w:t>jamstva</w:t>
      </w:r>
    </w:p>
    <w:p w14:paraId="76B3B695" w14:textId="4C4F72EE" w:rsidR="000A32CA" w:rsidRPr="00C300D1" w:rsidRDefault="000A32CA" w:rsidP="00A27C7D">
      <w:pPr>
        <w:rPr>
          <w:rFonts w:cs="Tahoma"/>
          <w:szCs w:val="20"/>
        </w:rPr>
      </w:pPr>
      <w:r w:rsidRPr="00C300D1">
        <w:rPr>
          <w:rFonts w:cs="Tahoma"/>
          <w:szCs w:val="20"/>
        </w:rPr>
        <w:t>Korisnici:</w:t>
      </w:r>
      <w:r w:rsidRPr="00C300D1">
        <w:rPr>
          <w:rFonts w:cs="Tahoma"/>
          <w:szCs w:val="20"/>
        </w:rPr>
        <w:tab/>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pružatelji energetske usluge</w:t>
      </w:r>
      <w:r w:rsidRPr="00C300D1">
        <w:rPr>
          <w:rFonts w:cs="Tahoma"/>
          <w:szCs w:val="20"/>
        </w:rPr>
        <w:tab/>
      </w:r>
      <w:r w:rsidRPr="00C300D1">
        <w:rPr>
          <w:rFonts w:cs="Tahoma"/>
          <w:szCs w:val="20"/>
        </w:rPr>
        <w:tab/>
      </w:r>
    </w:p>
    <w:p w14:paraId="67706E82" w14:textId="243ECD69" w:rsidR="000A32CA" w:rsidRPr="00C300D1" w:rsidRDefault="000A32CA" w:rsidP="00A27C7D">
      <w:pPr>
        <w:ind w:left="3402" w:hanging="3402"/>
        <w:rPr>
          <w:rFonts w:cs="Tahoma"/>
          <w:szCs w:val="20"/>
        </w:rPr>
      </w:pPr>
      <w:r w:rsidRPr="00C300D1">
        <w:rPr>
          <w:rFonts w:cs="Tahoma"/>
          <w:szCs w:val="20"/>
        </w:rPr>
        <w:t>Tijelo za implementaciju:</w:t>
      </w:r>
      <w:r w:rsidRPr="00C300D1">
        <w:rPr>
          <w:rFonts w:cs="Tahoma"/>
          <w:szCs w:val="20"/>
        </w:rPr>
        <w:tab/>
        <w:t>privatni ulagači (investicijski fondovi, banke, osiguravajuća društva), nadzor javne strane (nacionalne i EU)</w:t>
      </w:r>
    </w:p>
    <w:p w14:paraId="5F4C5F25" w14:textId="20C45276" w:rsidR="000A32CA" w:rsidRPr="00C300D1" w:rsidRDefault="000A32CA" w:rsidP="00A27C7D">
      <w:pPr>
        <w:rPr>
          <w:rFonts w:cs="Tahoma"/>
          <w:szCs w:val="20"/>
        </w:rPr>
      </w:pPr>
      <w:r w:rsidRPr="00C300D1">
        <w:rPr>
          <w:rFonts w:cs="Tahoma"/>
          <w:szCs w:val="20"/>
        </w:rPr>
        <w:t>Trajanje:</w:t>
      </w:r>
      <w:r w:rsidRPr="00C300D1">
        <w:rPr>
          <w:rFonts w:cs="Tahoma"/>
          <w:szCs w:val="20"/>
        </w:rPr>
        <w:tab/>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trajno (revolving)</w:t>
      </w:r>
    </w:p>
    <w:p w14:paraId="0FEAFA31" w14:textId="77777777" w:rsidR="000A32CA" w:rsidRPr="00C300D1" w:rsidRDefault="000A32CA" w:rsidP="00A27C7D">
      <w:pPr>
        <w:rPr>
          <w:rFonts w:cs="Tahoma"/>
          <w:szCs w:val="20"/>
        </w:rPr>
      </w:pPr>
      <w:r w:rsidRPr="00C300D1">
        <w:rPr>
          <w:rFonts w:cs="Tahoma"/>
          <w:szCs w:val="20"/>
        </w:rPr>
        <w:t>Sredstva iz ESIF (%):</w:t>
      </w:r>
      <w:r w:rsidRPr="00C300D1">
        <w:rPr>
          <w:rFonts w:cs="Tahoma"/>
          <w:szCs w:val="20"/>
        </w:rPr>
        <w:tab/>
      </w:r>
      <w:r w:rsidRPr="00C300D1">
        <w:rPr>
          <w:rFonts w:cs="Tahoma"/>
          <w:szCs w:val="20"/>
        </w:rPr>
        <w:tab/>
      </w:r>
      <w:r w:rsidRPr="00C300D1">
        <w:rPr>
          <w:rFonts w:cs="Tahoma"/>
          <w:szCs w:val="20"/>
        </w:rPr>
        <w:tab/>
        <w:t>70%</w:t>
      </w:r>
    </w:p>
    <w:p w14:paraId="448CE4EB" w14:textId="77777777" w:rsidR="000A32CA" w:rsidRPr="00C300D1" w:rsidRDefault="000A32CA" w:rsidP="00A27C7D">
      <w:pPr>
        <w:rPr>
          <w:rFonts w:cs="Tahoma"/>
          <w:szCs w:val="20"/>
        </w:rPr>
      </w:pPr>
      <w:r w:rsidRPr="00C300D1">
        <w:rPr>
          <w:rFonts w:cs="Tahoma"/>
          <w:szCs w:val="20"/>
        </w:rPr>
        <w:t>Sredstva privatnog sektora:</w:t>
      </w:r>
      <w:r w:rsidRPr="00C300D1">
        <w:rPr>
          <w:rFonts w:cs="Tahoma"/>
          <w:szCs w:val="20"/>
        </w:rPr>
        <w:tab/>
      </w:r>
      <w:r w:rsidRPr="00C300D1">
        <w:rPr>
          <w:rFonts w:cs="Tahoma"/>
          <w:szCs w:val="20"/>
        </w:rPr>
        <w:tab/>
        <w:t>30%</w:t>
      </w:r>
    </w:p>
    <w:p w14:paraId="6C36F145" w14:textId="269C4466" w:rsidR="000A32CA" w:rsidRPr="00C300D1" w:rsidRDefault="000A32CA" w:rsidP="00A27C7D">
      <w:pPr>
        <w:rPr>
          <w:rFonts w:cs="Tahoma"/>
          <w:szCs w:val="20"/>
        </w:rPr>
      </w:pPr>
      <w:r w:rsidRPr="00C300D1">
        <w:rPr>
          <w:rFonts w:cs="Tahoma"/>
          <w:szCs w:val="20"/>
        </w:rPr>
        <w:t>Pokriće investicije:</w:t>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50 - 85%</w:t>
      </w:r>
    </w:p>
    <w:p w14:paraId="12D2E578" w14:textId="77777777" w:rsidR="000A32CA" w:rsidRPr="00C300D1" w:rsidRDefault="000A32CA" w:rsidP="00A27C7D">
      <w:pPr>
        <w:rPr>
          <w:rFonts w:cs="Tahoma"/>
          <w:szCs w:val="20"/>
        </w:rPr>
      </w:pPr>
      <w:r w:rsidRPr="00C300D1">
        <w:rPr>
          <w:rFonts w:cs="Tahoma"/>
          <w:szCs w:val="20"/>
        </w:rPr>
        <w:t>Rezervirana sredstva:</w:t>
      </w:r>
      <w:r w:rsidRPr="00C300D1">
        <w:rPr>
          <w:rFonts w:cs="Tahoma"/>
          <w:szCs w:val="20"/>
        </w:rPr>
        <w:tab/>
      </w:r>
      <w:r w:rsidRPr="00C300D1">
        <w:rPr>
          <w:rFonts w:cs="Tahoma"/>
          <w:szCs w:val="20"/>
        </w:rPr>
        <w:tab/>
      </w:r>
      <w:r w:rsidRPr="00C300D1">
        <w:rPr>
          <w:rFonts w:cs="Tahoma"/>
          <w:szCs w:val="20"/>
        </w:rPr>
        <w:tab/>
        <w:t>10% izloženosti</w:t>
      </w:r>
    </w:p>
    <w:p w14:paraId="3FB9FABF" w14:textId="53F8B420" w:rsidR="000A32CA" w:rsidRPr="00C300D1" w:rsidRDefault="000A32CA" w:rsidP="00A27C7D">
      <w:pPr>
        <w:rPr>
          <w:rFonts w:cs="Tahoma"/>
          <w:szCs w:val="20"/>
        </w:rPr>
      </w:pPr>
      <w:r w:rsidRPr="00C300D1">
        <w:rPr>
          <w:rFonts w:cs="Tahoma"/>
          <w:szCs w:val="20"/>
        </w:rPr>
        <w:t>Trošak jamstva:</w:t>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1-6,5% izloženosti</w:t>
      </w:r>
    </w:p>
    <w:p w14:paraId="5CD5362B" w14:textId="77777777" w:rsidR="000A32CA" w:rsidRPr="00C300D1" w:rsidRDefault="000A32CA" w:rsidP="00A27C7D">
      <w:pPr>
        <w:rPr>
          <w:rFonts w:cs="Tahoma"/>
          <w:szCs w:val="20"/>
        </w:rPr>
      </w:pPr>
      <w:r w:rsidRPr="00C300D1">
        <w:rPr>
          <w:rFonts w:cs="Tahoma"/>
          <w:szCs w:val="20"/>
        </w:rPr>
        <w:t>Učinak poluge:</w:t>
      </w:r>
      <w:r w:rsidRPr="00C300D1">
        <w:rPr>
          <w:rFonts w:cs="Tahoma"/>
          <w:szCs w:val="20"/>
        </w:rPr>
        <w:tab/>
      </w:r>
      <w:r w:rsidRPr="00C300D1">
        <w:rPr>
          <w:rFonts w:cs="Tahoma"/>
          <w:szCs w:val="20"/>
        </w:rPr>
        <w:tab/>
      </w:r>
      <w:r w:rsidRPr="00C300D1">
        <w:rPr>
          <w:rFonts w:cs="Tahoma"/>
          <w:szCs w:val="20"/>
        </w:rPr>
        <w:tab/>
      </w:r>
      <w:r w:rsidRPr="00C300D1">
        <w:rPr>
          <w:rFonts w:cs="Tahoma"/>
          <w:szCs w:val="20"/>
        </w:rPr>
        <w:tab/>
        <w:t>28</w:t>
      </w:r>
    </w:p>
    <w:p w14:paraId="7A8C0614" w14:textId="4259F7FD" w:rsidR="000A32CA" w:rsidRPr="00C300D1" w:rsidRDefault="000A32CA" w:rsidP="00A27C7D">
      <w:pPr>
        <w:ind w:left="2160" w:hanging="2160"/>
        <w:rPr>
          <w:rFonts w:cs="Tahoma"/>
          <w:szCs w:val="20"/>
        </w:rPr>
      </w:pPr>
      <w:r w:rsidRPr="00C300D1">
        <w:rPr>
          <w:rFonts w:cs="Tahoma"/>
          <w:szCs w:val="20"/>
        </w:rPr>
        <w:t>Ostali uvjeti:</w:t>
      </w:r>
      <w:r w:rsidRPr="00C300D1">
        <w:rPr>
          <w:rFonts w:cs="Tahoma"/>
          <w:szCs w:val="20"/>
        </w:rPr>
        <w:tab/>
      </w:r>
      <w:r w:rsidR="001F728F">
        <w:rPr>
          <w:rFonts w:cs="Tahoma"/>
          <w:szCs w:val="20"/>
        </w:rPr>
        <w:tab/>
      </w:r>
      <w:r w:rsidR="001F728F">
        <w:rPr>
          <w:rFonts w:cs="Tahoma"/>
          <w:szCs w:val="20"/>
        </w:rPr>
        <w:tab/>
      </w:r>
      <w:r w:rsidR="001F728F">
        <w:rPr>
          <w:rFonts w:cs="Tahoma"/>
          <w:szCs w:val="20"/>
        </w:rPr>
        <w:tab/>
      </w:r>
      <w:r w:rsidRPr="00C300D1">
        <w:rPr>
          <w:rFonts w:cs="Tahoma"/>
          <w:szCs w:val="20"/>
        </w:rPr>
        <w:t xml:space="preserve">važeći ugovor o energetskom učinku za zgradu javnog sektora </w:t>
      </w:r>
    </w:p>
    <w:p w14:paraId="6326FAC1" w14:textId="77777777" w:rsidR="000A32CA" w:rsidRPr="00C300D1" w:rsidRDefault="000A32CA" w:rsidP="00A27C7D">
      <w:pPr>
        <w:rPr>
          <w:rFonts w:cs="Tahoma"/>
          <w:szCs w:val="20"/>
        </w:rPr>
      </w:pPr>
      <w:r w:rsidRPr="00C300D1">
        <w:rPr>
          <w:rFonts w:cs="Tahoma"/>
          <w:szCs w:val="20"/>
        </w:rPr>
        <w:t>Opis intervencije:</w:t>
      </w:r>
      <w:r w:rsidRPr="00C300D1">
        <w:rPr>
          <w:rFonts w:cs="Tahoma"/>
          <w:szCs w:val="20"/>
        </w:rPr>
        <w:tab/>
      </w:r>
    </w:p>
    <w:p w14:paraId="696EA85C" w14:textId="77777777" w:rsidR="000A32CA" w:rsidRPr="001F728F" w:rsidRDefault="000A32CA" w:rsidP="001F728F">
      <w:r w:rsidRPr="001F728F">
        <w:t>Jamstveni fond osigurava jamstva HBOR-u i komercijalnim bankama koje financiraju pružatelje energetske usluge, nadomještajući potrebu za nekretninskim kolateralom.</w:t>
      </w:r>
    </w:p>
    <w:p w14:paraId="3D219582" w14:textId="77777777" w:rsidR="000A32CA" w:rsidRPr="001F728F" w:rsidRDefault="000A32CA" w:rsidP="001F728F">
      <w:r w:rsidRPr="001F728F">
        <w:t>Fond se sufinancira sredstvima privatnih investitora, a ESIF koristi model preferencijalne naplate kako bi ulaganje u jamstveni fond bilo atraktivnije, a jamstva se izdala po nižim cijenama.</w:t>
      </w:r>
    </w:p>
    <w:p w14:paraId="36D9C6B6" w14:textId="77777777" w:rsidR="000A32CA" w:rsidRPr="001F728F" w:rsidRDefault="000A32CA" w:rsidP="001F728F">
      <w:r w:rsidRPr="001F728F">
        <w:t>Minimalno 30% privatnog kapitala trebalo bi uključiti u jamstveni fond, kojima bi preferencijalni model naplate učinio takvo ulaganje atraktivnim. Najviši trošak jamstva iznosi 6,5 % za tvrtke koje nemaju reference.</w:t>
      </w:r>
    </w:p>
    <w:p w14:paraId="7F9A80E5" w14:textId="77777777" w:rsidR="000A32CA" w:rsidRPr="001F728F" w:rsidRDefault="000A32CA" w:rsidP="001F728F">
      <w:r w:rsidRPr="001F728F">
        <w:t>Jamstvima se pokriva dio kredita, ovisno o ukupnom portfelju pojedinog korisnika. Najniži iznos jamstva je 50% kredita, a najviši 85% za tvrtke koje izvršavaju više ugovora o energetskom učinku.</w:t>
      </w:r>
    </w:p>
    <w:p w14:paraId="441ACAAD" w14:textId="77777777" w:rsidR="000A32CA" w:rsidRPr="001F728F" w:rsidRDefault="000A32CA" w:rsidP="001F728F">
      <w:r w:rsidRPr="001F728F">
        <w:t>Ulaganje privatnog kapitala osigurava pouzdanu procjenu rizika projekta za kojeg se jamstvo izdaje. Privatni ulagači moraju dokazati tehničku stručnost i biti u stanju provesti potrebne ocjene tehničkih rizika projekta.</w:t>
      </w:r>
    </w:p>
    <w:p w14:paraId="314FC827" w14:textId="77777777" w:rsidR="000A32CA" w:rsidRPr="001F728F" w:rsidRDefault="000A32CA" w:rsidP="001F728F">
      <w:r w:rsidRPr="001F728F">
        <w:t xml:space="preserve">U slučaju raskida ugovora o energetskom učinku krivnjom pružatelja usluge, naručitelj energetske usluge obvezan je provesti novi postupak javne nabave u kojem zainteresirani ponuditelji otkupljuju prava iz prvotnog ugovora, a u ponudama se ocjenjuje najviši iznos koji se plaća kreditnoj instituciji za otkup prava iz ugovora o energetskom učinku. </w:t>
      </w:r>
    </w:p>
    <w:p w14:paraId="0A9BD26A" w14:textId="77777777" w:rsidR="000A32CA" w:rsidRPr="001F728F" w:rsidRDefault="000A32CA" w:rsidP="001F728F">
      <w:r w:rsidRPr="001F728F">
        <w:t>Jamstva se odnose na refinanciranje obveza nakon dovršenja energetske obnove zgrade – jamstveni fond ne preuzima rizike građenja.</w:t>
      </w:r>
    </w:p>
    <w:p w14:paraId="40762850" w14:textId="77777777" w:rsidR="000A32CA" w:rsidRPr="001F728F" w:rsidRDefault="000A32CA" w:rsidP="001F728F">
      <w:r w:rsidRPr="001F728F">
        <w:t>Rezervirana sredstva položena su na escrow računu za pokriće izdanih jamstava. Razina rezervacije sredstava ugovara se sa bankama koje financiraju pružatelje energetske usluge temeljem jamstava jamstvenog fonda.</w:t>
      </w:r>
    </w:p>
    <w:p w14:paraId="51FC0476" w14:textId="77777777" w:rsidR="000A32CA" w:rsidRPr="001F728F" w:rsidRDefault="000A32CA" w:rsidP="001F728F">
      <w:r w:rsidRPr="001F728F">
        <w:t>ESIF osiguravaju sredstva do trenutka kada jamstveni fond postane samoodrživ u tržišnim uvjetima, te se unaprijed ugovaraju uvjeti otkupa udjela ESIF.</w:t>
      </w:r>
    </w:p>
    <w:p w14:paraId="693986CB" w14:textId="77777777" w:rsidR="000A32CA" w:rsidRPr="001F728F" w:rsidRDefault="000A32CA" w:rsidP="001F728F">
      <w:r w:rsidRPr="001F728F">
        <w:t>Korištenje privatnog kapitala je posebno poželjan način uspostave financijskih instrumenata, kojim se osigurava tržišno postupanje (uvjeti vezani uz državne potpore) kao i razina stručnosti i opreza pri upravljanju jamstvenim fondom.</w:t>
      </w:r>
    </w:p>
    <w:p w14:paraId="7748669E" w14:textId="77777777" w:rsidR="000A32CA" w:rsidRPr="001F728F" w:rsidRDefault="000A32CA" w:rsidP="001F728F">
      <w:r w:rsidRPr="001F728F">
        <w:t>Preferencijalni tretman znači da se sredstva ESIF vraćaju sa prinosom od najviše 5% godišnje. Takav model osigurava da su privatni ulagači zainteresirani za postizanje boljih rezultata (povećavaju stopu povrata na vlastito ulaganje), te da izdana jamstva ne podliježu pravilima o državnim potporama, jer se dodjeljuju po tržišnim uvjetima.</w:t>
      </w:r>
    </w:p>
    <w:p w14:paraId="02B06340" w14:textId="797EE1BC" w:rsidR="000A32CA" w:rsidRPr="00C300D1" w:rsidRDefault="000A32CA" w:rsidP="00A27C7D">
      <w:pPr>
        <w:pStyle w:val="Naslov30"/>
      </w:pPr>
      <w:bookmarkStart w:id="175" w:name="_Toc510432217"/>
      <w:bookmarkStart w:id="176" w:name="_Toc94770036"/>
      <w:r w:rsidRPr="00C300D1">
        <w:lastRenderedPageBreak/>
        <w:t>Equity fond</w:t>
      </w:r>
      <w:bookmarkEnd w:id="175"/>
      <w:bookmarkEnd w:id="176"/>
    </w:p>
    <w:p w14:paraId="43DC2FAB" w14:textId="77777777" w:rsidR="000A32CA" w:rsidRPr="0053092B" w:rsidRDefault="000A32CA" w:rsidP="00A27C7D">
      <w:r w:rsidRPr="000008E4">
        <w:t>Financijskim instrumentima podupiru se tvrtke čiji je DSCR (Omjer pokrića duga prihodima projekta) uključujući predloženo ulaganje veći od 1, a manji od 1,25. Ovaj kriterij odnosi se na equity fond.</w:t>
      </w:r>
    </w:p>
    <w:p w14:paraId="15C6E145" w14:textId="77777777" w:rsidR="000A32CA" w:rsidRPr="00C300D1" w:rsidRDefault="000A32CA" w:rsidP="000A32CA">
      <w:pPr>
        <w:spacing w:after="0" w:line="360" w:lineRule="auto"/>
        <w:rPr>
          <w:rFonts w:cs="Tahoma"/>
          <w:b/>
          <w:bCs/>
          <w:szCs w:val="20"/>
        </w:rPr>
      </w:pPr>
      <w:r w:rsidRPr="00C300D1">
        <w:rPr>
          <w:rFonts w:cs="Tahoma"/>
          <w:b/>
          <w:bCs/>
          <w:szCs w:val="20"/>
        </w:rPr>
        <w:t>Jamstveni fond</w:t>
      </w:r>
    </w:p>
    <w:p w14:paraId="09BCCBBE" w14:textId="77777777" w:rsidR="000A32CA" w:rsidRPr="0053092B" w:rsidRDefault="000A32CA" w:rsidP="00A27C7D">
      <w:r w:rsidRPr="000008E4">
        <w:t>Pri određivanju razine potpore koriste se kumulativni kriteriji najniže stope povrata na vlastita sredstva (ROE) od 10%, te najniže stope povrata na ukupnu investiciju od 5%.</w:t>
      </w:r>
    </w:p>
    <w:p w14:paraId="117B01E4" w14:textId="77777777" w:rsidR="000A32CA" w:rsidRPr="00C300D1" w:rsidRDefault="000A32CA" w:rsidP="000A32CA">
      <w:pPr>
        <w:spacing w:after="0" w:line="360" w:lineRule="auto"/>
        <w:rPr>
          <w:rFonts w:cs="Tahoma"/>
          <w:szCs w:val="20"/>
        </w:rPr>
      </w:pPr>
      <w:r w:rsidRPr="00C300D1">
        <w:rPr>
          <w:rFonts w:cs="Tahoma"/>
          <w:szCs w:val="20"/>
        </w:rPr>
        <w:t>ROI = neto prihodi/ukupni troškovi tijekom projekta</w:t>
      </w:r>
    </w:p>
    <w:p w14:paraId="370444AC" w14:textId="77777777" w:rsidR="000A32CA" w:rsidRPr="00C300D1" w:rsidRDefault="000A32CA" w:rsidP="000A32CA">
      <w:pPr>
        <w:spacing w:after="0" w:line="360" w:lineRule="auto"/>
        <w:rPr>
          <w:rFonts w:cs="Tahoma"/>
          <w:szCs w:val="20"/>
        </w:rPr>
      </w:pPr>
      <w:r w:rsidRPr="00C300D1">
        <w:rPr>
          <w:rFonts w:cs="Tahoma"/>
          <w:szCs w:val="20"/>
        </w:rPr>
        <w:t>ROE =  neto prihodi/(trošak investicije – kreditna sredstva)</w:t>
      </w:r>
    </w:p>
    <w:p w14:paraId="45836773" w14:textId="77777777" w:rsidR="000A32CA" w:rsidRPr="0053092B" w:rsidRDefault="000A32CA" w:rsidP="00A27C7D">
      <w:r w:rsidRPr="000008E4">
        <w:t>Neto prihod računa se kao vrijednost ušteda energije koje se postižu ulaganjem, a u slučaju ugovora o energetskom učinku taj parametar potrebno je računati kao prihod pružatelja energetske usluge od naknade za ostvarenu uštedu, kako bi se realno prikazao financijski tok projekta.</w:t>
      </w:r>
    </w:p>
    <w:p w14:paraId="5BEE4480" w14:textId="77777777" w:rsidR="000A32CA" w:rsidRPr="00A27C7D" w:rsidRDefault="000A32CA" w:rsidP="00A27C7D">
      <w:r w:rsidRPr="0053092B">
        <w:t xml:space="preserve">Kao period izračuna treba koristiti </w:t>
      </w:r>
      <w:r w:rsidRPr="0050031F">
        <w:t xml:space="preserve">trajanje ugovora o energetskom učinku, što je odmak od standardne procedure u kojoj se kao period izračuna koristi vijek tehničke amortizacije ulaganja. </w:t>
      </w:r>
    </w:p>
    <w:p w14:paraId="0C14062C" w14:textId="77777777" w:rsidR="000A32CA" w:rsidRPr="00A27C7D" w:rsidRDefault="000A32CA" w:rsidP="00A27C7D">
      <w:r w:rsidRPr="00A27C7D">
        <w:t>Pri izračunu ovih indikatora kao trošak kapitala koristi se referentna kamatna stopa koju objavljuje HNB.</w:t>
      </w:r>
    </w:p>
    <w:p w14:paraId="0F381536" w14:textId="77777777" w:rsidR="000A32CA" w:rsidRPr="00A27C7D" w:rsidRDefault="000A32CA" w:rsidP="00A27C7D">
      <w:r w:rsidRPr="00A27C7D">
        <w:t>Bespovratna sredstva koristit će se na razina 40% troškova projekta, kako je predloženo ex-ante analizom.</w:t>
      </w:r>
    </w:p>
    <w:p w14:paraId="7592712F" w14:textId="77777777" w:rsidR="000A32CA" w:rsidRPr="00A27C7D" w:rsidRDefault="000A32CA" w:rsidP="00A27C7D">
      <w:r w:rsidRPr="00A27C7D">
        <w:t>Financijskim instrumentima podupiru se tvrtke čiji je DSCR, uključujući predloženo ulaganje veći od 1, a manji od 1,25. Ovaj kriterij odnosi se na equity fond.</w:t>
      </w:r>
    </w:p>
    <w:p w14:paraId="71C47112" w14:textId="4B6A03AC" w:rsidR="00E946EC" w:rsidRPr="00C300D1" w:rsidRDefault="00E946EC" w:rsidP="000008E4">
      <w:pPr>
        <w:pStyle w:val="Naslov30"/>
        <w:rPr>
          <w:rFonts w:cs="Tahoma"/>
          <w:szCs w:val="20"/>
        </w:rPr>
      </w:pPr>
      <w:bookmarkStart w:id="177" w:name="_Toc94770037"/>
      <w:bookmarkStart w:id="178" w:name="_Toc510432218"/>
      <w:r w:rsidRPr="001B6FC0">
        <w:t>Kombiniranje financijskih instrumenata i bespovratnih sredstava</w:t>
      </w:r>
      <w:bookmarkEnd w:id="177"/>
    </w:p>
    <w:p w14:paraId="6C18632E" w14:textId="77777777" w:rsidR="00E946EC" w:rsidRPr="000008E4" w:rsidRDefault="00E946EC" w:rsidP="000008E4">
      <w:r w:rsidRPr="000008E4">
        <w:t>Pri upotrebi instrumenta potpore, prednost se daje financijskim instrumentima, zbog mogućnosti ponovnog korištenja.</w:t>
      </w:r>
    </w:p>
    <w:p w14:paraId="22EE8CCA" w14:textId="168D932D" w:rsidR="00E946EC" w:rsidRPr="000008E4" w:rsidRDefault="00E946EC" w:rsidP="000008E4">
      <w:r w:rsidRPr="000008E4">
        <w:t xml:space="preserve">Primjena modela energetske usluge (ESCO modela) </w:t>
      </w:r>
      <w:r w:rsidR="001D2D80" w:rsidRPr="001D2D80">
        <w:t>kao i primjena tradicionalni</w:t>
      </w:r>
      <w:r w:rsidR="001D2D80">
        <w:t>h oblika</w:t>
      </w:r>
      <w:r w:rsidR="001D2D80" w:rsidRPr="001D2D80">
        <w:t xml:space="preserve"> financiranja</w:t>
      </w:r>
      <w:r w:rsidR="001D2D80">
        <w:t xml:space="preserve"> </w:t>
      </w:r>
      <w:r w:rsidRPr="000008E4">
        <w:t>omogućuje kombiniranje financijskih instrumenata i bespovratnih sredstava.</w:t>
      </w:r>
    </w:p>
    <w:p w14:paraId="5A3342BB" w14:textId="38023CEE" w:rsidR="00E946EC" w:rsidRPr="000008E4" w:rsidRDefault="00E946EC" w:rsidP="000008E4">
      <w:r w:rsidRPr="000008E4">
        <w:t>S obzirom na model dodjele bespovratnih sre</w:t>
      </w:r>
      <w:r w:rsidR="00CD5D87">
        <w:t>d</w:t>
      </w:r>
      <w:r w:rsidRPr="000008E4">
        <w:t>stava kroz obvezu provođenja postupka javne nabave, nije potrebno dokazivati potrebu za sufinanciranjem. Pružatelji energetske usluge motivirani su da iskoriste sve dostupne mehanizme potpore kako bi dali najbolju ponudu u postupku, čime se primjenom tržišnih mehanizama osigurava najracionalnija upotreba resursa.</w:t>
      </w:r>
    </w:p>
    <w:p w14:paraId="4D0788E4" w14:textId="5F1F1984" w:rsidR="00E946EC" w:rsidRPr="000008E4" w:rsidRDefault="00E946EC" w:rsidP="000008E4">
      <w:r w:rsidRPr="000008E4">
        <w:t>U tom kontekstu, radi uspostave financijskih instrumenata potrebno je osigurati unaprijed poznate razine bespovratnih sredstava, uvjete korištenja financijskih instrumenata te uvjete ugovora o energetskom učinku. Nije potrebno provoditi cost-benefit analizu za svaki pojedinačni projekt.</w:t>
      </w:r>
    </w:p>
    <w:p w14:paraId="351B7E93" w14:textId="4722BF55" w:rsidR="00E946EC" w:rsidRPr="000008E4" w:rsidRDefault="00E946EC" w:rsidP="000008E4">
      <w:r w:rsidRPr="000008E4">
        <w:t>Provedba cost-benefit analize bila bi i kontraproduktivna, ne samo sa aspekta administrativnog opterećenja, nego i zbog činjenice da bi teoretski svi projekti, odnosno ponude u postupku javne nabave postali jednako isplativi. Uspostavljeni model osigurava tržišno natjecanje u kojem upravo tržišni sudionici sami osiguravaju da razina potpore ne prelazi one koji su minimalno potrebni da bi povrati odgovarali preuzetim rizicima, bez iskrivljavanja tržišta.</w:t>
      </w:r>
    </w:p>
    <w:p w14:paraId="25E8FA02" w14:textId="77777777" w:rsidR="00E946EC" w:rsidRPr="000008E4" w:rsidRDefault="00E946EC" w:rsidP="000008E4">
      <w:r w:rsidRPr="000008E4">
        <w:t>Uvjet za kombinaciju bespovratnih sredstava i financijskih instrumenata je transparentnost i dostupnost oba instrumenta u trenutku pokretanja postupka javne nabave.</w:t>
      </w:r>
    </w:p>
    <w:p w14:paraId="2835446F" w14:textId="49311662" w:rsidR="000A32CA" w:rsidRPr="000008E4" w:rsidRDefault="000A32CA" w:rsidP="000008E4">
      <w:pPr>
        <w:pStyle w:val="Naslov30"/>
      </w:pPr>
      <w:bookmarkStart w:id="179" w:name="_Toc94770038"/>
      <w:r w:rsidRPr="000008E4">
        <w:t>Prateće aktivnosti</w:t>
      </w:r>
      <w:bookmarkEnd w:id="178"/>
      <w:bookmarkEnd w:id="179"/>
    </w:p>
    <w:p w14:paraId="74A23F29" w14:textId="77777777" w:rsidR="000A32CA" w:rsidRPr="000008E4" w:rsidRDefault="000A32CA" w:rsidP="000008E4">
      <w:r w:rsidRPr="000008E4">
        <w:t>Osim samih financijskih mehanizama za konkretna ulaganja u zgrade, programi mogu sadržavati i druge aktivnosti kao što je pomoć u pripremi projekata ili sustavi certificiranja kojima se pomaže razvoj lanca ponude na razini opće sposobnosti na domaćem tržištu, primjerice obučavanjem zaposlenih radi stjecanja vještina potrebnih za uspješnu provedbu zahtjevnih energetskih obnova zgrada.</w:t>
      </w:r>
    </w:p>
    <w:p w14:paraId="262FCFD5" w14:textId="077C9835" w:rsidR="000A32CA" w:rsidRPr="000008E4" w:rsidRDefault="000A32CA" w:rsidP="000008E4">
      <w:pPr>
        <w:pStyle w:val="Naslov30"/>
      </w:pPr>
      <w:bookmarkStart w:id="180" w:name="_Toc510432219"/>
      <w:bookmarkStart w:id="181" w:name="_Toc94770039"/>
      <w:r w:rsidRPr="000008E4">
        <w:t>Pomoć u pripremi projekata</w:t>
      </w:r>
      <w:bookmarkEnd w:id="180"/>
      <w:bookmarkEnd w:id="181"/>
    </w:p>
    <w:p w14:paraId="55838A14" w14:textId="77777777" w:rsidR="000A32CA" w:rsidRPr="000008E4" w:rsidRDefault="000A32CA" w:rsidP="000008E4">
      <w:r w:rsidRPr="000008E4">
        <w:t xml:space="preserve">Sheme za pomoć u pripremi projekata mogu se uspostaviti radi pomoći u razvoju inovativnih i bankabilnih projekata, kao i radi pomoći u provedbi projekata u različitim stadijima razvoja projekata. Osim mogućnosti </w:t>
      </w:r>
      <w:r w:rsidRPr="000008E4">
        <w:lastRenderedPageBreak/>
        <w:t>razvoja vlastitih programa pomoći u pripremi projekata, mogu se koristiti postojeći i dostupni programi koji se provode na razini Europske Unije.</w:t>
      </w:r>
    </w:p>
    <w:p w14:paraId="02E9D8B3" w14:textId="19D44B7A" w:rsidR="000A32CA" w:rsidRPr="00C300D1" w:rsidRDefault="000A32CA" w:rsidP="000A32CA">
      <w:pPr>
        <w:spacing w:after="0" w:line="360" w:lineRule="auto"/>
        <w:rPr>
          <w:rFonts w:eastAsiaTheme="majorEastAsia" w:cs="Tahoma"/>
          <w:b/>
          <w:bCs/>
          <w:i/>
          <w:iCs/>
          <w:szCs w:val="20"/>
        </w:rPr>
      </w:pPr>
      <w:bookmarkStart w:id="182" w:name="_Toc510432220"/>
      <w:r w:rsidRPr="00C300D1">
        <w:rPr>
          <w:rFonts w:cs="Tahoma"/>
          <w:b/>
          <w:bCs/>
          <w:szCs w:val="20"/>
        </w:rPr>
        <w:t>Paketi pomoći u razvoju projekata radi povećanja kapaciteta sudionika</w:t>
      </w:r>
      <w:bookmarkEnd w:id="182"/>
    </w:p>
    <w:p w14:paraId="69E02A27" w14:textId="77777777" w:rsidR="000A32CA" w:rsidRPr="000008E4" w:rsidRDefault="000A32CA" w:rsidP="000008E4">
      <w:r w:rsidRPr="000008E4">
        <w:t>Pomoć u razvoju projekata odnosi se na niz mogućih aktivnosti koje u sklopu uspostave financijskog instrumenta pružaju vanjski stručnjaci ili sudionici provedbe kako bi dali podršku sudionicima za razvoj projekta, financiranje i implementaciju.</w:t>
      </w:r>
    </w:p>
    <w:p w14:paraId="57BDFB33" w14:textId="77777777" w:rsidR="000A32CA" w:rsidRPr="000008E4" w:rsidRDefault="000A32CA" w:rsidP="000008E4">
      <w:r w:rsidRPr="000008E4">
        <w:t>Ciljana područja određuju se u suradnji sa sudionicima – financijskim institucijama, projektantima, naručiteljima, javnim tijelima i slično.</w:t>
      </w:r>
    </w:p>
    <w:p w14:paraId="5D2615C1" w14:textId="3BD4D856" w:rsidR="000A32CA" w:rsidRPr="000008E4" w:rsidRDefault="000A32CA" w:rsidP="000008E4">
      <w:r w:rsidRPr="000008E4">
        <w:t>Preliminarno, pomoć u razvoju projekata u kontekstu financijskih instrumenata za provedbu bi se mogla odnositi na slijedeće:</w:t>
      </w:r>
    </w:p>
    <w:tbl>
      <w:tblPr>
        <w:tblStyle w:val="Svijetlatablicareetke1"/>
        <w:tblW w:w="0" w:type="auto"/>
        <w:tblLook w:val="04A0" w:firstRow="1" w:lastRow="0" w:firstColumn="1" w:lastColumn="0" w:noHBand="0" w:noVBand="1"/>
      </w:tblPr>
      <w:tblGrid>
        <w:gridCol w:w="1980"/>
        <w:gridCol w:w="1497"/>
        <w:gridCol w:w="5585"/>
      </w:tblGrid>
      <w:tr w:rsidR="000A32CA" w:rsidRPr="00BF3F8E" w14:paraId="30C2574B" w14:textId="77777777" w:rsidTr="00717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18738B46" w14:textId="77777777" w:rsidR="000A32CA" w:rsidRPr="00C300D1" w:rsidRDefault="000A32CA" w:rsidP="00DE6A07">
            <w:pPr>
              <w:spacing w:before="0" w:after="0"/>
              <w:rPr>
                <w:rFonts w:cs="Tahoma"/>
                <w:b w:val="0"/>
                <w:szCs w:val="20"/>
              </w:rPr>
            </w:pPr>
            <w:r w:rsidRPr="00C300D1">
              <w:rPr>
                <w:rFonts w:cs="Tahoma"/>
                <w:szCs w:val="20"/>
              </w:rPr>
              <w:t>Naziv programa</w:t>
            </w:r>
          </w:p>
        </w:tc>
        <w:tc>
          <w:tcPr>
            <w:tcW w:w="1497" w:type="dxa"/>
          </w:tcPr>
          <w:p w14:paraId="23B2A831" w14:textId="77777777" w:rsidR="000A32CA" w:rsidRPr="00C300D1" w:rsidRDefault="000A32CA" w:rsidP="00DE6A07">
            <w:pPr>
              <w:spacing w:before="0" w:after="0"/>
              <w:cnfStyle w:val="100000000000" w:firstRow="1" w:lastRow="0" w:firstColumn="0" w:lastColumn="0" w:oddVBand="0" w:evenVBand="0" w:oddHBand="0" w:evenHBand="0" w:firstRowFirstColumn="0" w:firstRowLastColumn="0" w:lastRowFirstColumn="0" w:lastRowLastColumn="0"/>
              <w:rPr>
                <w:rFonts w:cs="Tahoma"/>
                <w:b w:val="0"/>
                <w:szCs w:val="20"/>
              </w:rPr>
            </w:pPr>
            <w:r w:rsidRPr="00C300D1">
              <w:rPr>
                <w:rFonts w:cs="Tahoma"/>
                <w:szCs w:val="20"/>
              </w:rPr>
              <w:t>Korisnik</w:t>
            </w:r>
          </w:p>
        </w:tc>
        <w:tc>
          <w:tcPr>
            <w:tcW w:w="5585" w:type="dxa"/>
          </w:tcPr>
          <w:p w14:paraId="17EB1647" w14:textId="77777777" w:rsidR="000A32CA" w:rsidRPr="00C300D1" w:rsidRDefault="000A32CA" w:rsidP="00DE6A07">
            <w:pPr>
              <w:spacing w:before="0" w:after="0"/>
              <w:cnfStyle w:val="100000000000" w:firstRow="1" w:lastRow="0" w:firstColumn="0" w:lastColumn="0" w:oddVBand="0" w:evenVBand="0" w:oddHBand="0" w:evenHBand="0" w:firstRowFirstColumn="0" w:firstRowLastColumn="0" w:lastRowFirstColumn="0" w:lastRowLastColumn="0"/>
              <w:rPr>
                <w:rFonts w:cs="Tahoma"/>
                <w:b w:val="0"/>
                <w:szCs w:val="20"/>
              </w:rPr>
            </w:pPr>
            <w:r w:rsidRPr="00C300D1">
              <w:rPr>
                <w:rFonts w:cs="Tahoma"/>
                <w:szCs w:val="20"/>
              </w:rPr>
              <w:t>Opis</w:t>
            </w:r>
          </w:p>
        </w:tc>
      </w:tr>
      <w:tr w:rsidR="000A32CA" w:rsidRPr="00BF3F8E" w14:paraId="5492A082"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2A9BA640" w14:textId="77777777" w:rsidR="000A32CA" w:rsidRPr="00C300D1" w:rsidRDefault="000A32CA" w:rsidP="00E941E2">
            <w:pPr>
              <w:spacing w:before="0" w:after="0"/>
              <w:jc w:val="left"/>
              <w:rPr>
                <w:rFonts w:cs="Tahoma"/>
                <w:szCs w:val="20"/>
              </w:rPr>
            </w:pPr>
            <w:r w:rsidRPr="00C300D1">
              <w:rPr>
                <w:rFonts w:cs="Tahoma"/>
                <w:szCs w:val="20"/>
              </w:rPr>
              <w:t>Pomoć javnim tijelima za pripremu i provedbu projekata energetske obnove</w:t>
            </w:r>
          </w:p>
        </w:tc>
        <w:tc>
          <w:tcPr>
            <w:tcW w:w="1497" w:type="dxa"/>
          </w:tcPr>
          <w:p w14:paraId="30459C19"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Javna tijela</w:t>
            </w:r>
          </w:p>
        </w:tc>
        <w:tc>
          <w:tcPr>
            <w:tcW w:w="5585" w:type="dxa"/>
          </w:tcPr>
          <w:p w14:paraId="156165FF" w14:textId="434880E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Edukacije za javna tijela o iskustvima iz provedbe, načinima određivanja minimalnog obuhvata obnove, obveze za vrijeme izvođenja radova, obveze tijekom izvršenja ugovora. Prenošenjem iskustava iz provedenih energetskih obnova naručitelji se pripremaju za pitanja koja se mogu pojaviti tijekom provedbe.</w:t>
            </w:r>
          </w:p>
        </w:tc>
      </w:tr>
      <w:tr w:rsidR="000A32CA" w:rsidRPr="00BF3F8E" w14:paraId="7A77AC1D"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18246FE6" w14:textId="77777777" w:rsidR="000A32CA" w:rsidRPr="00C300D1" w:rsidRDefault="000A32CA" w:rsidP="00E941E2">
            <w:pPr>
              <w:spacing w:before="0" w:after="0"/>
              <w:jc w:val="left"/>
              <w:rPr>
                <w:rFonts w:cs="Tahoma"/>
                <w:szCs w:val="20"/>
              </w:rPr>
            </w:pPr>
            <w:r w:rsidRPr="00C300D1">
              <w:rPr>
                <w:rFonts w:cs="Tahoma"/>
                <w:szCs w:val="20"/>
              </w:rPr>
              <w:t>Pomoć pružateljima energetske usluge u pripremi projekata i izradi ponuda</w:t>
            </w:r>
          </w:p>
        </w:tc>
        <w:tc>
          <w:tcPr>
            <w:tcW w:w="1497" w:type="dxa"/>
          </w:tcPr>
          <w:p w14:paraId="48E587C5"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Pružatelji energetskih usluga</w:t>
            </w:r>
          </w:p>
        </w:tc>
        <w:tc>
          <w:tcPr>
            <w:tcW w:w="5585" w:type="dxa"/>
          </w:tcPr>
          <w:p w14:paraId="2FCA2EF1" w14:textId="53D16C79"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Edukacije o načinu planiranja i izrade projekata energetske obnove, načinu verifikacije projekata i dostupnim mehanizmima za financiranje. Ovim edukacijama razvija se sposobnost postojećih i potencijalnih pružatelja energetske usluge u procjeni očekivanja u provedbi projekata energetske obnove.</w:t>
            </w:r>
          </w:p>
        </w:tc>
      </w:tr>
      <w:tr w:rsidR="000A32CA" w:rsidRPr="00BF3F8E" w14:paraId="13F6C961"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5C12C932" w14:textId="77777777" w:rsidR="000A32CA" w:rsidRPr="00C300D1" w:rsidRDefault="000A32CA" w:rsidP="00E941E2">
            <w:pPr>
              <w:spacing w:before="0" w:after="0"/>
              <w:jc w:val="left"/>
              <w:rPr>
                <w:rFonts w:cs="Tahoma"/>
                <w:szCs w:val="20"/>
              </w:rPr>
            </w:pPr>
            <w:r w:rsidRPr="00C300D1">
              <w:rPr>
                <w:rFonts w:cs="Tahoma"/>
                <w:szCs w:val="20"/>
              </w:rPr>
              <w:t>Pomoć financijskim institucijama</w:t>
            </w:r>
          </w:p>
        </w:tc>
        <w:tc>
          <w:tcPr>
            <w:tcW w:w="1497" w:type="dxa"/>
          </w:tcPr>
          <w:p w14:paraId="57BD7C52"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Financijske institucije</w:t>
            </w:r>
          </w:p>
        </w:tc>
        <w:tc>
          <w:tcPr>
            <w:tcW w:w="5585" w:type="dxa"/>
          </w:tcPr>
          <w:p w14:paraId="7EE435F4" w14:textId="70A43A66"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Edukacija financijskih institucija o pitanjima vezanim uz ocjenu projekata sa aspekta financiranja, specifičnim rizicima i sredstvima osiguranja. Poseban naglasak na koristi od financijskih instrumenata.</w:t>
            </w:r>
          </w:p>
        </w:tc>
      </w:tr>
      <w:tr w:rsidR="000A32CA" w:rsidRPr="00BF3F8E" w14:paraId="0871D412"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7D984BE7" w14:textId="77777777" w:rsidR="000A32CA" w:rsidRPr="00C300D1" w:rsidRDefault="000A32CA" w:rsidP="00E941E2">
            <w:pPr>
              <w:spacing w:before="0" w:after="0"/>
              <w:jc w:val="left"/>
              <w:rPr>
                <w:rFonts w:cs="Tahoma"/>
                <w:szCs w:val="20"/>
              </w:rPr>
            </w:pPr>
            <w:r w:rsidRPr="00C300D1">
              <w:rPr>
                <w:rFonts w:cs="Tahoma"/>
                <w:szCs w:val="20"/>
              </w:rPr>
              <w:t>Povećanje kapaciteta izvođača</w:t>
            </w:r>
          </w:p>
        </w:tc>
        <w:tc>
          <w:tcPr>
            <w:tcW w:w="1497" w:type="dxa"/>
          </w:tcPr>
          <w:p w14:paraId="56A4C990"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Tvrtke u građevinskom sektoru</w:t>
            </w:r>
          </w:p>
        </w:tc>
        <w:tc>
          <w:tcPr>
            <w:tcW w:w="5585" w:type="dxa"/>
          </w:tcPr>
          <w:p w14:paraId="3BE2D77E" w14:textId="28AFC44F"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Cilj ovog programa je edukacija i obuka izvođača o primjeni tehnologija koje se koriste kod energetske obnove zgrada</w:t>
            </w:r>
          </w:p>
        </w:tc>
      </w:tr>
      <w:tr w:rsidR="000A32CA" w:rsidRPr="00BF3F8E" w14:paraId="667C0D88"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11E15B1B" w14:textId="77777777" w:rsidR="000A32CA" w:rsidRPr="00C300D1" w:rsidRDefault="000A32CA" w:rsidP="00E941E2">
            <w:pPr>
              <w:spacing w:before="0" w:after="0"/>
              <w:jc w:val="left"/>
              <w:rPr>
                <w:rFonts w:cs="Tahoma"/>
                <w:szCs w:val="20"/>
              </w:rPr>
            </w:pPr>
            <w:r w:rsidRPr="00C300D1">
              <w:rPr>
                <w:rFonts w:cs="Tahoma"/>
                <w:szCs w:val="20"/>
              </w:rPr>
              <w:t>Povećanje kapaciteta projektanata</w:t>
            </w:r>
          </w:p>
        </w:tc>
        <w:tc>
          <w:tcPr>
            <w:tcW w:w="1497" w:type="dxa"/>
          </w:tcPr>
          <w:p w14:paraId="0D70E6DD"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Projektanti</w:t>
            </w:r>
          </w:p>
        </w:tc>
        <w:tc>
          <w:tcPr>
            <w:tcW w:w="5585" w:type="dxa"/>
          </w:tcPr>
          <w:p w14:paraId="4B611554" w14:textId="0DE863F0"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 xml:space="preserve">Program edukacije projektanata sa aspekta dokazivanja i verifikacije ušteda energije u fazi potvrđivanja projekata. </w:t>
            </w:r>
          </w:p>
        </w:tc>
      </w:tr>
      <w:tr w:rsidR="000A32CA" w:rsidRPr="00BF3F8E" w14:paraId="55718605"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40200854" w14:textId="77777777" w:rsidR="000A32CA" w:rsidRPr="00C300D1" w:rsidRDefault="000A32CA" w:rsidP="00E941E2">
            <w:pPr>
              <w:spacing w:before="0" w:after="0"/>
              <w:jc w:val="left"/>
              <w:rPr>
                <w:rFonts w:cs="Tahoma"/>
                <w:szCs w:val="20"/>
              </w:rPr>
            </w:pPr>
            <w:r w:rsidRPr="00C300D1">
              <w:rPr>
                <w:rFonts w:cs="Tahoma"/>
                <w:szCs w:val="20"/>
              </w:rPr>
              <w:t>Tehnička pomoć za pripremu projekata</w:t>
            </w:r>
          </w:p>
        </w:tc>
        <w:tc>
          <w:tcPr>
            <w:tcW w:w="1497" w:type="dxa"/>
          </w:tcPr>
          <w:p w14:paraId="27EC43E7"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APN, javna tijela</w:t>
            </w:r>
          </w:p>
        </w:tc>
        <w:tc>
          <w:tcPr>
            <w:tcW w:w="5585" w:type="dxa"/>
          </w:tcPr>
          <w:p w14:paraId="456F2F2C" w14:textId="4ECBCFE8"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Pomoć se može koristiti za sufinanciranje izrade tehničkih podloga i utvrđivanje minimalnih obuhvata obnove. Moguće je uključiti i razradu specifičnih pitanja za obnovu zgradu koje su zaštićeno kulturno dobro.</w:t>
            </w:r>
          </w:p>
        </w:tc>
      </w:tr>
    </w:tbl>
    <w:p w14:paraId="0EEDBF70" w14:textId="77777777" w:rsidR="00EF44C5" w:rsidRPr="00474EC2" w:rsidRDefault="00EF44C5" w:rsidP="007A6D1F">
      <w:pPr>
        <w:rPr>
          <w:rFonts w:cs="Tahoma"/>
          <w:szCs w:val="20"/>
        </w:rPr>
      </w:pPr>
    </w:p>
    <w:p w14:paraId="00E1D628" w14:textId="02D15FC1" w:rsidR="00F221FC" w:rsidRPr="004B09BD" w:rsidRDefault="004B09BD" w:rsidP="00BB3C57">
      <w:pPr>
        <w:pStyle w:val="Naslov10"/>
      </w:pPr>
      <w:bookmarkStart w:id="183" w:name="_Toc94770040"/>
      <w:r w:rsidRPr="00BB3C57">
        <w:lastRenderedPageBreak/>
        <w:t>Procjena očekivane uštede energije i širih koristi</w:t>
      </w:r>
      <w:bookmarkEnd w:id="183"/>
      <w:r w:rsidRPr="00BB3C57">
        <w:t xml:space="preserve"> </w:t>
      </w:r>
    </w:p>
    <w:p w14:paraId="1EE5F869" w14:textId="72B2E847" w:rsidR="00DE7976" w:rsidRPr="00B357F4" w:rsidRDefault="00DE7976" w:rsidP="00DE7976">
      <w:bookmarkStart w:id="184" w:name="_Toc491179057"/>
      <w:r w:rsidRPr="00B357F4">
        <w:t>U ovom poglavlju navedena je procjena očekivane energetske uštede i smanjenja emisija CO</w:t>
      </w:r>
      <w:r w:rsidRPr="00B357F4">
        <w:rPr>
          <w:vertAlign w:val="subscript"/>
        </w:rPr>
        <w:t>2</w:t>
      </w:r>
      <w:r w:rsidRPr="00B357F4">
        <w:t xml:space="preserve"> koje će se ostvariti provedbom predloženog programa energetske obnove zgrada javnog sektora do 2030. godine. Također, analiziran je utjecaj energetske obnove zgrada javnog sektora na povećanje proizvodnje toplinsko-izolacijskih materijala i učinkovitih sustava pri korištenju alternativnih i obnovljivih izvora energije. Zaključno, navedene su i opisane šire koristi od provedbe programa obnove navedenih zgrada uključujući jačanje građevinskog sektora, produktivnost zaposlenih, urbanu regeneraciju, sigurnost, zaštitu okoliša, primjenu pametnih rješenja, i dr. Naglasak je stavljen na jačanje građevinskog sektora, kako bi se ukazalo na potrebe povećanja resursa u ovom sektoru u svrhu ostvarenja ciljeva ovog Programa.</w:t>
      </w:r>
    </w:p>
    <w:p w14:paraId="115F50E3" w14:textId="380C5E03" w:rsidR="008E7FB7" w:rsidRPr="00B357F4" w:rsidRDefault="0AFA74C1" w:rsidP="008E7FB7">
      <w:pPr>
        <w:pStyle w:val="Naslov20"/>
      </w:pPr>
      <w:bookmarkStart w:id="185" w:name="_Toc72156291"/>
      <w:bookmarkStart w:id="186" w:name="_Toc94770041"/>
      <w:bookmarkEnd w:id="184"/>
      <w:r w:rsidRPr="00B357F4">
        <w:t>Očekivane uštede energije, smanjenje emisija CO</w:t>
      </w:r>
      <w:r w:rsidRPr="00B357F4">
        <w:rPr>
          <w:vertAlign w:val="subscript"/>
        </w:rPr>
        <w:t>2</w:t>
      </w:r>
      <w:r w:rsidRPr="00B357F4">
        <w:t xml:space="preserve"> i doprinos nacionalnim energetskim i klimatskim ciljevima do 2030. godine</w:t>
      </w:r>
      <w:bookmarkEnd w:id="185"/>
      <w:bookmarkEnd w:id="186"/>
      <w:r w:rsidR="3712FCB7" w:rsidRPr="00B357F4">
        <w:t xml:space="preserve"> </w:t>
      </w:r>
    </w:p>
    <w:p w14:paraId="0B133F65" w14:textId="14A695D1" w:rsidR="0070076B" w:rsidRPr="00F54AA9" w:rsidRDefault="000D1B0B" w:rsidP="0070076B">
      <w:pPr>
        <w:rPr>
          <w:szCs w:val="20"/>
        </w:rPr>
      </w:pPr>
      <w:r w:rsidRPr="00EE1B6E">
        <w:rPr>
          <w:rFonts w:cs="Tahoma"/>
          <w:szCs w:val="20"/>
          <w:lang w:eastAsia="hr-HR"/>
        </w:rPr>
        <w:t>U poglavlju 3.</w:t>
      </w:r>
      <w:r>
        <w:rPr>
          <w:rFonts w:cs="Tahoma"/>
          <w:szCs w:val="20"/>
          <w:lang w:eastAsia="hr-HR"/>
        </w:rPr>
        <w:t>8</w:t>
      </w:r>
      <w:r w:rsidRPr="00EE1B6E">
        <w:rPr>
          <w:rFonts w:cs="Tahoma"/>
          <w:szCs w:val="20"/>
          <w:lang w:eastAsia="hr-HR"/>
        </w:rPr>
        <w:t xml:space="preserve">. utvrđeno je da se provedbom ovog Programa na način da se ostvare ciljane površine obnovljenih </w:t>
      </w:r>
      <w:r>
        <w:rPr>
          <w:rFonts w:cs="Tahoma"/>
          <w:szCs w:val="20"/>
          <w:lang w:eastAsia="hr-HR"/>
        </w:rPr>
        <w:t>ZJS</w:t>
      </w:r>
      <w:r w:rsidRPr="00EE1B6E">
        <w:rPr>
          <w:rFonts w:cs="Tahoma"/>
          <w:szCs w:val="20"/>
          <w:lang w:eastAsia="hr-HR"/>
        </w:rPr>
        <w:t xml:space="preserve"> prema Dugoročnoj strategiji mogu ostvariti uštede u neposrednoj potrošnji energije u 2030. godine u iznosu od </w:t>
      </w:r>
      <w:r w:rsidR="009F50CE">
        <w:rPr>
          <w:rFonts w:cs="Tahoma"/>
          <w:szCs w:val="20"/>
          <w:lang w:eastAsia="hr-HR"/>
        </w:rPr>
        <w:t>359</w:t>
      </w:r>
      <w:r w:rsidRPr="00EE1B6E">
        <w:rPr>
          <w:rFonts w:cs="Tahoma"/>
          <w:szCs w:val="20"/>
          <w:lang w:eastAsia="hr-HR"/>
        </w:rPr>
        <w:t xml:space="preserve"> GWh</w:t>
      </w:r>
      <w:r w:rsidR="009F50CE">
        <w:rPr>
          <w:rFonts w:cs="Tahoma"/>
          <w:szCs w:val="20"/>
          <w:lang w:eastAsia="hr-HR"/>
        </w:rPr>
        <w:t xml:space="preserve"> (35,9 GWh godišnje)</w:t>
      </w:r>
      <w:r w:rsidRPr="00EE1B6E">
        <w:rPr>
          <w:rFonts w:cs="Tahoma"/>
          <w:szCs w:val="20"/>
          <w:lang w:eastAsia="hr-HR"/>
        </w:rPr>
        <w:t xml:space="preserve">, a primarne energije u iznosu </w:t>
      </w:r>
      <w:r w:rsidR="00973B18">
        <w:rPr>
          <w:szCs w:val="20"/>
        </w:rPr>
        <w:t>427 GWh</w:t>
      </w:r>
      <w:r w:rsidR="00973B18" w:rsidRPr="00EE1B6E">
        <w:rPr>
          <w:rFonts w:cs="Tahoma"/>
          <w:szCs w:val="20"/>
          <w:lang w:eastAsia="hr-HR"/>
        </w:rPr>
        <w:t xml:space="preserve"> </w:t>
      </w:r>
      <w:r w:rsidRPr="00EE1B6E">
        <w:rPr>
          <w:rFonts w:cs="Tahoma"/>
          <w:szCs w:val="20"/>
          <w:lang w:eastAsia="hr-HR"/>
        </w:rPr>
        <w:t>(</w:t>
      </w:r>
      <w:r w:rsidR="00973B18">
        <w:rPr>
          <w:rFonts w:cs="Tahoma"/>
          <w:szCs w:val="20"/>
          <w:lang w:eastAsia="hr-HR"/>
        </w:rPr>
        <w:fldChar w:fldCharType="begin"/>
      </w:r>
      <w:r w:rsidR="00973B18">
        <w:rPr>
          <w:rFonts w:cs="Tahoma"/>
          <w:szCs w:val="20"/>
          <w:lang w:eastAsia="hr-HR"/>
        </w:rPr>
        <w:instrText xml:space="preserve"> REF _Ref87864718 \h </w:instrText>
      </w:r>
      <w:r w:rsidR="00973B18">
        <w:rPr>
          <w:rFonts w:cs="Tahoma"/>
          <w:szCs w:val="20"/>
          <w:lang w:eastAsia="hr-HR"/>
        </w:rPr>
      </w:r>
      <w:r w:rsidR="00973B18">
        <w:rPr>
          <w:rFonts w:cs="Tahoma"/>
          <w:szCs w:val="20"/>
          <w:lang w:eastAsia="hr-HR"/>
        </w:rPr>
        <w:fldChar w:fldCharType="separate"/>
      </w:r>
      <w:r w:rsidR="0023635D" w:rsidRPr="00B357F4">
        <w:t xml:space="preserve">Tablica </w:t>
      </w:r>
      <w:r w:rsidR="0023635D">
        <w:rPr>
          <w:noProof/>
        </w:rPr>
        <w:t>3</w:t>
      </w:r>
      <w:r w:rsidR="0023635D">
        <w:noBreakHyphen/>
      </w:r>
      <w:r w:rsidR="0023635D">
        <w:rPr>
          <w:noProof/>
        </w:rPr>
        <w:t>9</w:t>
      </w:r>
      <w:r w:rsidR="00973B18">
        <w:rPr>
          <w:rFonts w:cs="Tahoma"/>
          <w:szCs w:val="20"/>
          <w:lang w:eastAsia="hr-HR"/>
        </w:rPr>
        <w:fldChar w:fldCharType="end"/>
      </w:r>
      <w:r w:rsidRPr="00EE1B6E">
        <w:rPr>
          <w:rFonts w:cs="Tahoma"/>
          <w:szCs w:val="20"/>
          <w:lang w:eastAsia="hr-HR"/>
        </w:rPr>
        <w:t>).</w:t>
      </w:r>
      <w:r w:rsidR="0070076B">
        <w:rPr>
          <w:rFonts w:cs="Tahoma"/>
          <w:szCs w:val="20"/>
          <w:lang w:eastAsia="hr-HR"/>
        </w:rPr>
        <w:t xml:space="preserve"> </w:t>
      </w:r>
      <w:r w:rsidR="0027148D">
        <w:rPr>
          <w:rFonts w:cs="Tahoma"/>
          <w:szCs w:val="20"/>
          <w:lang w:eastAsia="hr-HR"/>
        </w:rPr>
        <w:t>S</w:t>
      </w:r>
      <w:r w:rsidR="0070076B" w:rsidRPr="00B357F4">
        <w:rPr>
          <w:szCs w:val="20"/>
        </w:rPr>
        <w:t>manjenje CO</w:t>
      </w:r>
      <w:r w:rsidR="0070076B" w:rsidRPr="00760C3F">
        <w:rPr>
          <w:szCs w:val="20"/>
          <w:vertAlign w:val="subscript"/>
        </w:rPr>
        <w:t>2</w:t>
      </w:r>
      <w:r w:rsidR="0070076B" w:rsidRPr="003020E6">
        <w:rPr>
          <w:szCs w:val="20"/>
        </w:rPr>
        <w:t xml:space="preserve"> emisija </w:t>
      </w:r>
      <w:r w:rsidR="009F1210">
        <w:rPr>
          <w:szCs w:val="20"/>
        </w:rPr>
        <w:t>do 2030. godine procijenjeno je na</w:t>
      </w:r>
      <w:r w:rsidR="0070076B" w:rsidRPr="003020E6">
        <w:rPr>
          <w:szCs w:val="20"/>
        </w:rPr>
        <w:t xml:space="preserve"> </w:t>
      </w:r>
      <w:r w:rsidR="0070076B" w:rsidRPr="006734C7">
        <w:rPr>
          <w:szCs w:val="20"/>
        </w:rPr>
        <w:t>30.851 t</w:t>
      </w:r>
      <w:r w:rsidR="0070076B" w:rsidRPr="003245C1">
        <w:rPr>
          <w:szCs w:val="20"/>
        </w:rPr>
        <w:t>CO</w:t>
      </w:r>
      <w:r w:rsidR="0070076B" w:rsidRPr="00760C3F">
        <w:rPr>
          <w:szCs w:val="20"/>
          <w:vertAlign w:val="subscript"/>
        </w:rPr>
        <w:t>2</w:t>
      </w:r>
      <w:r w:rsidR="0070076B" w:rsidRPr="006734C7">
        <w:rPr>
          <w:szCs w:val="20"/>
        </w:rPr>
        <w:t xml:space="preserve">. </w:t>
      </w:r>
    </w:p>
    <w:p w14:paraId="2CAA8EB6" w14:textId="70C7775A" w:rsidR="000D1B0B" w:rsidRDefault="000D1B0B" w:rsidP="000D1B0B">
      <w:pPr>
        <w:rPr>
          <w:rFonts w:cs="Tahoma"/>
          <w:szCs w:val="20"/>
          <w:lang w:eastAsia="hr-HR"/>
        </w:rPr>
      </w:pPr>
      <w:r w:rsidRPr="00EE1B6E">
        <w:rPr>
          <w:rFonts w:cs="Tahoma"/>
          <w:szCs w:val="20"/>
          <w:lang w:eastAsia="hr-HR"/>
        </w:rPr>
        <w:t xml:space="preserve">Također je utvrđeno da bi kumulativne uštede energije u razdoblju od 2021. do 2030. godine u tom slučaju mogle iznositi </w:t>
      </w:r>
      <w:r w:rsidR="00D729F5" w:rsidRPr="00D729F5">
        <w:rPr>
          <w:rFonts w:cs="Tahoma"/>
          <w:szCs w:val="20"/>
          <w:lang w:eastAsia="hr-HR"/>
        </w:rPr>
        <w:t>1.671,4</w:t>
      </w:r>
      <w:r w:rsidR="00D729F5">
        <w:rPr>
          <w:rFonts w:cs="Tahoma"/>
          <w:szCs w:val="20"/>
          <w:lang w:eastAsia="hr-HR"/>
        </w:rPr>
        <w:t xml:space="preserve"> </w:t>
      </w:r>
      <w:r w:rsidRPr="00D729F5">
        <w:rPr>
          <w:rFonts w:cs="Tahoma"/>
          <w:szCs w:val="20"/>
          <w:lang w:eastAsia="hr-HR"/>
        </w:rPr>
        <w:t>GWh</w:t>
      </w:r>
      <w:r w:rsidRPr="00EE1B6E">
        <w:rPr>
          <w:rFonts w:cs="Tahoma"/>
          <w:szCs w:val="20"/>
          <w:lang w:eastAsia="hr-HR"/>
        </w:rPr>
        <w:t xml:space="preserve">, što predstavlja oko </w:t>
      </w:r>
      <w:r w:rsidR="006D0217">
        <w:rPr>
          <w:rFonts w:cs="Tahoma"/>
          <w:szCs w:val="20"/>
          <w:lang w:eastAsia="hr-HR"/>
        </w:rPr>
        <w:t>16</w:t>
      </w:r>
      <w:r w:rsidRPr="00EE1B6E">
        <w:rPr>
          <w:rFonts w:cs="Tahoma"/>
          <w:szCs w:val="20"/>
          <w:lang w:eastAsia="hr-HR"/>
        </w:rPr>
        <w:t xml:space="preserve">% nacionalnog cilja kumulativnih ušteda energije iz alternativnih mjera politike odnosno </w:t>
      </w:r>
      <w:r w:rsidR="00113908">
        <w:rPr>
          <w:rFonts w:cs="Tahoma"/>
          <w:szCs w:val="20"/>
          <w:lang w:eastAsia="hr-HR"/>
        </w:rPr>
        <w:t>4</w:t>
      </w:r>
      <w:r w:rsidRPr="00EE1B6E">
        <w:rPr>
          <w:rFonts w:cs="Tahoma"/>
          <w:szCs w:val="20"/>
          <w:lang w:eastAsia="hr-HR"/>
        </w:rPr>
        <w:t>,8% ukupnog nacionalnog cilja, prema članku 7. Direktive o energetskoj učinkovitosti (</w:t>
      </w:r>
      <w:r w:rsidR="00C030F4">
        <w:rPr>
          <w:rFonts w:cs="Tahoma"/>
          <w:szCs w:val="20"/>
          <w:lang w:eastAsia="hr-HR"/>
        </w:rPr>
        <w:fldChar w:fldCharType="begin"/>
      </w:r>
      <w:r w:rsidR="00C030F4">
        <w:rPr>
          <w:rFonts w:cs="Tahoma"/>
          <w:szCs w:val="20"/>
          <w:lang w:eastAsia="hr-HR"/>
        </w:rPr>
        <w:instrText xml:space="preserve"> REF _Ref72063343 \h </w:instrText>
      </w:r>
      <w:r w:rsidR="00C030F4">
        <w:rPr>
          <w:rFonts w:cs="Tahoma"/>
          <w:szCs w:val="20"/>
          <w:lang w:eastAsia="hr-HR"/>
        </w:rPr>
      </w:r>
      <w:r w:rsidR="00C030F4">
        <w:rPr>
          <w:rFonts w:cs="Tahoma"/>
          <w:szCs w:val="20"/>
          <w:lang w:eastAsia="hr-HR"/>
        </w:rPr>
        <w:fldChar w:fldCharType="separate"/>
      </w:r>
      <w:r w:rsidR="0023635D" w:rsidRPr="003245C1">
        <w:t xml:space="preserve">Tablica </w:t>
      </w:r>
      <w:r w:rsidR="0023635D">
        <w:rPr>
          <w:noProof/>
        </w:rPr>
        <w:t>3</w:t>
      </w:r>
      <w:r w:rsidR="0023635D">
        <w:noBreakHyphen/>
      </w:r>
      <w:r w:rsidR="0023635D">
        <w:rPr>
          <w:noProof/>
        </w:rPr>
        <w:t>10</w:t>
      </w:r>
      <w:r w:rsidR="00C030F4">
        <w:rPr>
          <w:rFonts w:cs="Tahoma"/>
          <w:szCs w:val="20"/>
          <w:lang w:eastAsia="hr-HR"/>
        </w:rPr>
        <w:fldChar w:fldCharType="end"/>
      </w:r>
      <w:r w:rsidRPr="00EE1B6E">
        <w:rPr>
          <w:rFonts w:cs="Tahoma"/>
          <w:szCs w:val="20"/>
          <w:lang w:eastAsia="hr-HR"/>
        </w:rPr>
        <w:t xml:space="preserve">). </w:t>
      </w:r>
    </w:p>
    <w:p w14:paraId="2631A94C" w14:textId="77777777" w:rsidR="000D1B0B" w:rsidRPr="00EE1B6E" w:rsidRDefault="000D1B0B" w:rsidP="000D1B0B">
      <w:pPr>
        <w:rPr>
          <w:rFonts w:cs="Tahoma"/>
          <w:szCs w:val="20"/>
          <w:lang w:eastAsia="hr-HR"/>
        </w:rPr>
      </w:pPr>
      <w:r w:rsidRPr="00EE1B6E">
        <w:rPr>
          <w:rFonts w:cs="Tahoma"/>
          <w:szCs w:val="20"/>
          <w:lang w:eastAsia="hr-HR"/>
        </w:rPr>
        <w:t xml:space="preserve">No, temeljna pretpostavka za dobivanje ovih rezultata bila je da će se ostvarivati stope obnove predviđene Dugoročnom strategijom. </w:t>
      </w:r>
    </w:p>
    <w:p w14:paraId="328058EF" w14:textId="5A527B43" w:rsidR="000E48F6" w:rsidRPr="00EE1B6E" w:rsidRDefault="000D1B0B" w:rsidP="00451061">
      <w:pPr>
        <w:rPr>
          <w:rFonts w:cs="Tahoma"/>
          <w:color w:val="000000"/>
          <w:szCs w:val="20"/>
        </w:rPr>
      </w:pPr>
      <w:r w:rsidRPr="00EE1B6E">
        <w:rPr>
          <w:rFonts w:cs="Tahoma"/>
          <w:szCs w:val="20"/>
          <w:lang w:eastAsia="hr-HR"/>
        </w:rPr>
        <w:t xml:space="preserve">Analiza dostupnih financijskih sredstva u poglavlju </w:t>
      </w:r>
      <w:r w:rsidR="002C5872">
        <w:rPr>
          <w:rFonts w:cs="Tahoma"/>
          <w:szCs w:val="20"/>
          <w:lang w:eastAsia="hr-HR"/>
        </w:rPr>
        <w:t>5</w:t>
      </w:r>
      <w:r>
        <w:rPr>
          <w:rFonts w:cs="Tahoma"/>
          <w:szCs w:val="20"/>
          <w:lang w:eastAsia="hr-HR"/>
        </w:rPr>
        <w:t>.</w:t>
      </w:r>
      <w:r w:rsidRPr="00EE1B6E">
        <w:rPr>
          <w:rFonts w:cs="Tahoma"/>
          <w:szCs w:val="20"/>
          <w:lang w:eastAsia="hr-HR"/>
        </w:rPr>
        <w:t>, pokazala je da su ona, prema trenutno raspoloživim podatcima, znatno manja od potrebnih</w:t>
      </w:r>
      <w:r w:rsidRPr="00D30240">
        <w:rPr>
          <w:rFonts w:cs="Tahoma"/>
          <w:szCs w:val="20"/>
          <w:lang w:eastAsia="hr-HR"/>
        </w:rPr>
        <w:t>.</w:t>
      </w:r>
      <w:r w:rsidRPr="00EE1B6E">
        <w:rPr>
          <w:rFonts w:cs="Tahoma"/>
          <w:color w:val="FF0000"/>
          <w:szCs w:val="20"/>
          <w:lang w:eastAsia="hr-HR"/>
        </w:rPr>
        <w:t xml:space="preserve"> </w:t>
      </w:r>
      <w:r w:rsidRPr="00EE1B6E">
        <w:rPr>
          <w:rFonts w:cs="Tahoma"/>
          <w:szCs w:val="20"/>
          <w:lang w:eastAsia="hr-HR"/>
        </w:rPr>
        <w:t>Zbog toga će se izračun ušteda ponoviti uz pretpostavljene obnovljene površine koje odgovaraju trenutno raspoloživim sredstvima</w:t>
      </w:r>
      <w:r w:rsidR="00E71EB1">
        <w:rPr>
          <w:rFonts w:cs="Tahoma"/>
          <w:szCs w:val="20"/>
          <w:lang w:eastAsia="hr-HR"/>
        </w:rPr>
        <w:t xml:space="preserve"> (</w:t>
      </w:r>
      <w:r w:rsidR="005F74C2">
        <w:rPr>
          <w:rFonts w:cs="Tahoma"/>
          <w:szCs w:val="20"/>
          <w:lang w:eastAsia="hr-HR"/>
        </w:rPr>
        <w:fldChar w:fldCharType="begin"/>
      </w:r>
      <w:r w:rsidR="005F74C2">
        <w:rPr>
          <w:rFonts w:cs="Tahoma"/>
          <w:szCs w:val="20"/>
          <w:lang w:eastAsia="hr-HR"/>
        </w:rPr>
        <w:instrText xml:space="preserve"> REF _Ref71877027 \h </w:instrText>
      </w:r>
      <w:r w:rsidR="005F74C2">
        <w:rPr>
          <w:rFonts w:cs="Tahoma"/>
          <w:szCs w:val="20"/>
          <w:lang w:eastAsia="hr-HR"/>
        </w:rPr>
      </w:r>
      <w:r w:rsidR="005F74C2">
        <w:rPr>
          <w:rFonts w:cs="Tahoma"/>
          <w:szCs w:val="20"/>
          <w:lang w:eastAsia="hr-HR"/>
        </w:rPr>
        <w:fldChar w:fldCharType="separate"/>
      </w:r>
      <w:r w:rsidR="0023635D" w:rsidRPr="00B357F4">
        <w:t xml:space="preserve">Tablica </w:t>
      </w:r>
      <w:r w:rsidR="0023635D">
        <w:rPr>
          <w:noProof/>
        </w:rPr>
        <w:t>5</w:t>
      </w:r>
      <w:r w:rsidR="0023635D">
        <w:noBreakHyphen/>
      </w:r>
      <w:r w:rsidR="0023635D">
        <w:rPr>
          <w:noProof/>
        </w:rPr>
        <w:t>4</w:t>
      </w:r>
      <w:r w:rsidR="005F74C2">
        <w:rPr>
          <w:rFonts w:cs="Tahoma"/>
          <w:szCs w:val="20"/>
          <w:lang w:eastAsia="hr-HR"/>
        </w:rPr>
        <w:fldChar w:fldCharType="end"/>
      </w:r>
      <w:r w:rsidR="00194BF8">
        <w:rPr>
          <w:rFonts w:cs="Tahoma"/>
          <w:szCs w:val="20"/>
          <w:lang w:eastAsia="hr-HR"/>
        </w:rPr>
        <w:t>)</w:t>
      </w:r>
      <w:r w:rsidRPr="00EE1B6E">
        <w:rPr>
          <w:rFonts w:cs="Tahoma"/>
          <w:szCs w:val="20"/>
          <w:lang w:eastAsia="hr-HR"/>
        </w:rPr>
        <w:t xml:space="preserve">. </w:t>
      </w:r>
      <w:r w:rsidR="00977243">
        <w:rPr>
          <w:rFonts w:cs="Tahoma"/>
          <w:szCs w:val="20"/>
          <w:lang w:eastAsia="hr-HR"/>
        </w:rPr>
        <w:t xml:space="preserve">Uz </w:t>
      </w:r>
      <w:r w:rsidR="00115C44">
        <w:rPr>
          <w:rFonts w:cs="Tahoma"/>
          <w:szCs w:val="20"/>
          <w:lang w:eastAsia="hr-HR"/>
        </w:rPr>
        <w:t xml:space="preserve">dostupna </w:t>
      </w:r>
      <w:r w:rsidR="00977243">
        <w:rPr>
          <w:rFonts w:cs="Tahoma"/>
          <w:szCs w:val="20"/>
          <w:lang w:eastAsia="hr-HR"/>
        </w:rPr>
        <w:t xml:space="preserve">sredstva, očekivane uštede </w:t>
      </w:r>
      <w:r w:rsidR="00451061">
        <w:rPr>
          <w:rFonts w:cs="Tahoma"/>
          <w:szCs w:val="20"/>
          <w:lang w:eastAsia="hr-HR"/>
        </w:rPr>
        <w:t xml:space="preserve">energije iznosit će </w:t>
      </w:r>
      <w:r w:rsidR="003A45AD">
        <w:rPr>
          <w:rFonts w:cs="Tahoma"/>
          <w:color w:val="000000"/>
          <w:szCs w:val="20"/>
        </w:rPr>
        <w:t>61,8</w:t>
      </w:r>
      <w:r w:rsidR="000E48F6" w:rsidRPr="00EE1B6E">
        <w:rPr>
          <w:rFonts w:cs="Tahoma"/>
          <w:color w:val="000000"/>
          <w:szCs w:val="20"/>
        </w:rPr>
        <w:t xml:space="preserve"> GWh u 2024. godini.</w:t>
      </w:r>
    </w:p>
    <w:p w14:paraId="00E08AB1" w14:textId="1E7ADCF9" w:rsidR="000E48F6" w:rsidRDefault="000E48F6" w:rsidP="000E48F6">
      <w:pPr>
        <w:pStyle w:val="Opisslike"/>
      </w:pPr>
      <w:bookmarkStart w:id="187" w:name="_Toc72081566"/>
      <w:bookmarkStart w:id="188" w:name="_Toc84240514"/>
      <w:bookmarkStart w:id="189" w:name="_Toc87949903"/>
      <w:r>
        <w:t xml:space="preserve">Tablica </w:t>
      </w:r>
      <w:r>
        <w:fldChar w:fldCharType="begin"/>
      </w:r>
      <w:r>
        <w:instrText>STYLEREF 1 \s</w:instrText>
      </w:r>
      <w:r>
        <w:fldChar w:fldCharType="separate"/>
      </w:r>
      <w:r w:rsidR="0023635D">
        <w:rPr>
          <w:noProof/>
        </w:rPr>
        <w:t>9</w:t>
      </w:r>
      <w:r>
        <w:fldChar w:fldCharType="end"/>
      </w:r>
      <w:r>
        <w:noBreakHyphen/>
      </w:r>
      <w:r>
        <w:fldChar w:fldCharType="begin"/>
      </w:r>
      <w:r>
        <w:instrText>SEQ Tablica \* ARABIC \s 1</w:instrText>
      </w:r>
      <w:r>
        <w:fldChar w:fldCharType="separate"/>
      </w:r>
      <w:r w:rsidR="0023635D">
        <w:rPr>
          <w:noProof/>
        </w:rPr>
        <w:t>1</w:t>
      </w:r>
      <w:r>
        <w:fldChar w:fldCharType="end"/>
      </w:r>
      <w:r>
        <w:rPr>
          <w:noProof/>
        </w:rPr>
        <w:t>:</w:t>
      </w:r>
      <w:r>
        <w:t xml:space="preserve"> Izračun kumulativnih ušteda energije u neposrednoj potrošnji (isporučena energija) za obnovu </w:t>
      </w:r>
      <w:r w:rsidR="005F6820">
        <w:t xml:space="preserve">ZJS </w:t>
      </w:r>
      <w:r>
        <w:t>u prvom trogodišnjem razdoblju (do kraja 2024.) uz raspoloživa sredstva iz NPOO</w:t>
      </w:r>
      <w:bookmarkEnd w:id="187"/>
      <w:bookmarkEnd w:id="188"/>
      <w:bookmarkEnd w:id="189"/>
    </w:p>
    <w:tbl>
      <w:tblPr>
        <w:tblStyle w:val="Svijetlatablicareetke110"/>
        <w:tblW w:w="5000" w:type="pct"/>
        <w:tblLook w:val="04A0" w:firstRow="1" w:lastRow="0" w:firstColumn="1" w:lastColumn="0" w:noHBand="0" w:noVBand="1"/>
      </w:tblPr>
      <w:tblGrid>
        <w:gridCol w:w="1296"/>
        <w:gridCol w:w="1060"/>
        <w:gridCol w:w="858"/>
        <w:gridCol w:w="858"/>
        <w:gridCol w:w="858"/>
        <w:gridCol w:w="564"/>
        <w:gridCol w:w="564"/>
        <w:gridCol w:w="564"/>
        <w:gridCol w:w="564"/>
        <w:gridCol w:w="564"/>
        <w:gridCol w:w="577"/>
        <w:gridCol w:w="1017"/>
      </w:tblGrid>
      <w:tr w:rsidR="00912779" w:rsidRPr="00491890" w14:paraId="06615565" w14:textId="77777777" w:rsidTr="008D4971">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41354ED0" w14:textId="77777777" w:rsidR="000E48F6" w:rsidRPr="00491890" w:rsidRDefault="000E48F6" w:rsidP="000E48F6">
            <w:pPr>
              <w:spacing w:before="0" w:after="0"/>
              <w:rPr>
                <w:rFonts w:cs="Tahoma"/>
                <w:color w:val="000000"/>
                <w:sz w:val="18"/>
                <w:szCs w:val="18"/>
                <w:lang w:eastAsia="hr-HR"/>
              </w:rPr>
            </w:pPr>
            <w:r w:rsidRPr="00491890">
              <w:rPr>
                <w:rFonts w:cs="Tahoma"/>
                <w:color w:val="000000"/>
                <w:sz w:val="18"/>
                <w:szCs w:val="18"/>
                <w:lang w:eastAsia="hr-HR"/>
              </w:rPr>
              <w:t>Godišnje uštede [</w:t>
            </w:r>
            <w:r>
              <w:rPr>
                <w:rFonts w:cs="Tahoma"/>
                <w:color w:val="000000"/>
                <w:sz w:val="18"/>
                <w:szCs w:val="18"/>
                <w:lang w:eastAsia="hr-HR"/>
              </w:rPr>
              <w:t>GWh</w:t>
            </w:r>
            <w:r w:rsidRPr="00491890">
              <w:rPr>
                <w:rFonts w:cs="Tahoma"/>
                <w:color w:val="000000"/>
                <w:sz w:val="18"/>
                <w:szCs w:val="18"/>
                <w:lang w:eastAsia="hr-HR"/>
              </w:rPr>
              <w:t>]</w:t>
            </w:r>
          </w:p>
        </w:tc>
        <w:tc>
          <w:tcPr>
            <w:tcW w:w="567" w:type="pct"/>
            <w:hideMark/>
          </w:tcPr>
          <w:p w14:paraId="351D6957"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445F0380"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0C1617A0"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46950B99"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5EEAC871"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0188B69"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8A93EB7"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0FD7F130"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A4C77E8"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12A0E556"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hideMark/>
          </w:tcPr>
          <w:p w14:paraId="418AD6DB"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r>
      <w:tr w:rsidR="00912779" w:rsidRPr="00491890" w14:paraId="226968F1" w14:textId="77777777" w:rsidTr="008D4971">
        <w:trPr>
          <w:trHeight w:val="40"/>
        </w:trPr>
        <w:tc>
          <w:tcPr>
            <w:cnfStyle w:val="001000000000" w:firstRow="0" w:lastRow="0" w:firstColumn="1" w:lastColumn="0" w:oddVBand="0" w:evenVBand="0" w:oddHBand="0" w:evenHBand="0" w:firstRowFirstColumn="0" w:firstRowLastColumn="0" w:lastRowFirstColumn="0" w:lastRowLastColumn="0"/>
            <w:tcW w:w="693" w:type="pct"/>
            <w:hideMark/>
          </w:tcPr>
          <w:p w14:paraId="5F15C241" w14:textId="77777777" w:rsidR="000E48F6" w:rsidRPr="00491890" w:rsidRDefault="000E48F6" w:rsidP="000E48F6">
            <w:pPr>
              <w:spacing w:before="0" w:after="0"/>
              <w:jc w:val="right"/>
              <w:rPr>
                <w:rFonts w:cs="Tahoma"/>
                <w:color w:val="000000"/>
                <w:sz w:val="18"/>
                <w:szCs w:val="18"/>
                <w:lang w:eastAsia="hr-HR"/>
              </w:rPr>
            </w:pPr>
            <w:r w:rsidRPr="00491890">
              <w:rPr>
                <w:rFonts w:cs="Tahoma"/>
                <w:color w:val="000000"/>
                <w:sz w:val="18"/>
                <w:szCs w:val="18"/>
                <w:lang w:eastAsia="hr-HR"/>
              </w:rPr>
              <w:t>2021</w:t>
            </w:r>
          </w:p>
        </w:tc>
        <w:tc>
          <w:tcPr>
            <w:tcW w:w="567" w:type="pct"/>
          </w:tcPr>
          <w:p w14:paraId="60CA2B27"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459" w:type="pct"/>
          </w:tcPr>
          <w:p w14:paraId="46E65474"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0D42C574"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559DA86A"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C52C9F8"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F1AF24E"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7CE718E"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5E7188D"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DA58309"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21A0B162"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2CC1D086"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0,0</w:t>
            </w:r>
          </w:p>
        </w:tc>
      </w:tr>
      <w:tr w:rsidR="00912779" w:rsidRPr="00491890" w14:paraId="5EE14F09" w14:textId="77777777" w:rsidTr="008D4971">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40EBAB3C" w14:textId="77777777" w:rsidR="000E48F6" w:rsidRPr="00491890" w:rsidRDefault="000E48F6" w:rsidP="000E48F6">
            <w:pPr>
              <w:spacing w:before="0" w:after="0"/>
              <w:jc w:val="right"/>
              <w:rPr>
                <w:rFonts w:cs="Tahoma"/>
                <w:color w:val="000000"/>
                <w:sz w:val="18"/>
                <w:szCs w:val="18"/>
                <w:lang w:eastAsia="hr-HR"/>
              </w:rPr>
            </w:pPr>
            <w:r w:rsidRPr="00491890">
              <w:rPr>
                <w:rFonts w:cs="Tahoma"/>
                <w:color w:val="000000"/>
                <w:sz w:val="18"/>
                <w:szCs w:val="18"/>
                <w:lang w:eastAsia="hr-HR"/>
              </w:rPr>
              <w:t>2022</w:t>
            </w:r>
          </w:p>
        </w:tc>
        <w:tc>
          <w:tcPr>
            <w:tcW w:w="567" w:type="pct"/>
            <w:hideMark/>
          </w:tcPr>
          <w:p w14:paraId="2C14F3CA"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459" w:type="pct"/>
          </w:tcPr>
          <w:p w14:paraId="3AD961CD" w14:textId="1972E797" w:rsidR="000E48F6" w:rsidRPr="00491890" w:rsidRDefault="008D4971"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20</w:t>
            </w:r>
            <w:r w:rsidR="000E48F6">
              <w:rPr>
                <w:rFonts w:cs="Tahoma"/>
                <w:color w:val="000000"/>
                <w:sz w:val="18"/>
                <w:szCs w:val="18"/>
                <w:lang w:eastAsia="hr-HR"/>
              </w:rPr>
              <w:t>,</w:t>
            </w:r>
            <w:r>
              <w:rPr>
                <w:rFonts w:cs="Tahoma"/>
                <w:color w:val="000000"/>
                <w:sz w:val="18"/>
                <w:szCs w:val="18"/>
                <w:lang w:eastAsia="hr-HR"/>
              </w:rPr>
              <w:t>6</w:t>
            </w:r>
          </w:p>
        </w:tc>
        <w:tc>
          <w:tcPr>
            <w:tcW w:w="459" w:type="pct"/>
          </w:tcPr>
          <w:p w14:paraId="4089D202"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024A7D15"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7EAD46BF"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58800F77"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3DE1F5F"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B6662DE"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1EBB2F1"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2A3CAEA7"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7505141B" w14:textId="198D21F0" w:rsidR="000E48F6" w:rsidRPr="00491890" w:rsidRDefault="008D4971"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20</w:t>
            </w:r>
            <w:r w:rsidR="000E48F6">
              <w:rPr>
                <w:rFonts w:ascii="Arial" w:hAnsi="Arial" w:cs="Arial"/>
                <w:color w:val="000000"/>
                <w:sz w:val="18"/>
                <w:szCs w:val="18"/>
              </w:rPr>
              <w:t>,</w:t>
            </w:r>
            <w:r>
              <w:rPr>
                <w:rFonts w:ascii="Arial" w:hAnsi="Arial" w:cs="Arial"/>
                <w:color w:val="000000"/>
                <w:sz w:val="18"/>
                <w:szCs w:val="18"/>
              </w:rPr>
              <w:t>6</w:t>
            </w:r>
          </w:p>
        </w:tc>
      </w:tr>
      <w:tr w:rsidR="00912779" w:rsidRPr="00491890" w14:paraId="3675A398" w14:textId="77777777" w:rsidTr="008D4971">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04A1F699" w14:textId="77777777" w:rsidR="008D4971" w:rsidRPr="00491890" w:rsidRDefault="008D4971" w:rsidP="008D4971">
            <w:pPr>
              <w:spacing w:before="0" w:after="0"/>
              <w:jc w:val="right"/>
              <w:rPr>
                <w:rFonts w:cs="Tahoma"/>
                <w:color w:val="000000"/>
                <w:sz w:val="18"/>
                <w:szCs w:val="18"/>
                <w:lang w:eastAsia="hr-HR"/>
              </w:rPr>
            </w:pPr>
            <w:r w:rsidRPr="00491890">
              <w:rPr>
                <w:rFonts w:cs="Tahoma"/>
                <w:color w:val="000000"/>
                <w:sz w:val="18"/>
                <w:szCs w:val="18"/>
                <w:lang w:eastAsia="hr-HR"/>
              </w:rPr>
              <w:t>2023</w:t>
            </w:r>
          </w:p>
        </w:tc>
        <w:tc>
          <w:tcPr>
            <w:tcW w:w="567" w:type="pct"/>
          </w:tcPr>
          <w:p w14:paraId="547DF564"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7F3BE4CD" w14:textId="51387EE3"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37C586C2" w14:textId="212F90E6"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2FCF84BD"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47240C58"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CFA62F6"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CB34CC9"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595978E"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6E408F1"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4537BDAC"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06744B33" w14:textId="68A4417B"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41,2</w:t>
            </w:r>
          </w:p>
        </w:tc>
      </w:tr>
      <w:tr w:rsidR="00912779" w:rsidRPr="00491890" w14:paraId="3BE64094" w14:textId="77777777" w:rsidTr="008D497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5A11BD4F" w14:textId="77777777" w:rsidR="008D4971" w:rsidRPr="00491890" w:rsidRDefault="008D4971" w:rsidP="008D4971">
            <w:pPr>
              <w:spacing w:before="0" w:after="0"/>
              <w:jc w:val="right"/>
              <w:rPr>
                <w:rFonts w:cs="Tahoma"/>
                <w:b w:val="0"/>
                <w:bCs w:val="0"/>
                <w:color w:val="000000"/>
                <w:sz w:val="18"/>
                <w:szCs w:val="18"/>
                <w:lang w:eastAsia="hr-HR"/>
              </w:rPr>
            </w:pPr>
            <w:r w:rsidRPr="00491890">
              <w:rPr>
                <w:rFonts w:cs="Tahoma"/>
                <w:color w:val="000000"/>
                <w:sz w:val="18"/>
                <w:szCs w:val="18"/>
                <w:lang w:eastAsia="hr-HR"/>
              </w:rPr>
              <w:t>2024</w:t>
            </w:r>
          </w:p>
        </w:tc>
        <w:tc>
          <w:tcPr>
            <w:tcW w:w="567" w:type="pct"/>
          </w:tcPr>
          <w:p w14:paraId="7598574A" w14:textId="77777777" w:rsidR="008D4971" w:rsidRPr="00D82E72"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705998AF" w14:textId="7F68B589" w:rsidR="008D4971" w:rsidRPr="00D82E72"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38435382" w14:textId="17E44BF3" w:rsidR="008D4971" w:rsidRPr="00D82E72"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09E7654A" w14:textId="3995CD71"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0D25912B"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53EC475"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403B24C"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CDBAF68"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2E4D930"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106CC6F4"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3819412E" w14:textId="69C78B5C" w:rsidR="008D4971"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r w:rsidR="00A6282C">
              <w:rPr>
                <w:rFonts w:ascii="Arial" w:hAnsi="Arial" w:cs="Arial"/>
                <w:color w:val="000000"/>
                <w:sz w:val="18"/>
                <w:szCs w:val="18"/>
              </w:rPr>
              <w:t>8</w:t>
            </w:r>
          </w:p>
        </w:tc>
      </w:tr>
      <w:tr w:rsidR="00912779" w:rsidRPr="00491890" w14:paraId="66B7DA6C"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0B483075"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2025</w:t>
            </w:r>
          </w:p>
        </w:tc>
        <w:tc>
          <w:tcPr>
            <w:tcW w:w="567" w:type="pct"/>
          </w:tcPr>
          <w:p w14:paraId="6B779EF1"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6719645B" w14:textId="6F093843"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542BEAF9" w14:textId="0CAA5EB9"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33E22C39" w14:textId="222EDEEF"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06C7516A"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78B06A8"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B8B28E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4AC3560"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D888476"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194E5B84"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6E1996B7" w14:textId="4FFA5FDF"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3592668C"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36434976"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2026</w:t>
            </w:r>
          </w:p>
        </w:tc>
        <w:tc>
          <w:tcPr>
            <w:tcW w:w="567" w:type="pct"/>
          </w:tcPr>
          <w:p w14:paraId="4E6600BE"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3A3760CD" w14:textId="4FC046F8"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798961E6" w14:textId="554726E4"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267DB50F" w14:textId="44E27C8A"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3F97C7B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CD53AA1"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B36FE1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7BE9CC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690A79B"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467A92B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675B532A" w14:textId="5EFF5A07"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05ECBB49"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4C74DF1A"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2027</w:t>
            </w:r>
          </w:p>
        </w:tc>
        <w:tc>
          <w:tcPr>
            <w:tcW w:w="567" w:type="pct"/>
          </w:tcPr>
          <w:p w14:paraId="3A9FC4E8"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1E51D7AB" w14:textId="1E6F6FD6"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44CB775D" w14:textId="4C1F7765"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4CAF061F" w14:textId="3CDE2AC1"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718ABD3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289944F"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30B96DC"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EA728A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DCF410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52FE390D"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7DDF9890" w14:textId="4412F88E"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2066F7C2"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65D99371"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2028</w:t>
            </w:r>
          </w:p>
        </w:tc>
        <w:tc>
          <w:tcPr>
            <w:tcW w:w="567" w:type="pct"/>
          </w:tcPr>
          <w:p w14:paraId="66FA5188"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C16B56F" w14:textId="659D87E1"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7E3B33CB" w14:textId="663197D5"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403EF619" w14:textId="519432BE"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4A73E098"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A7BF3F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04A64C0"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10811CA"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D9F2569"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6D6AFB5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3C3A3744" w14:textId="024F08D1"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4F83179F"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293B8EF7" w14:textId="77777777" w:rsidR="00A6282C" w:rsidRPr="00491890" w:rsidRDefault="00A6282C" w:rsidP="00A6282C">
            <w:pPr>
              <w:spacing w:before="0" w:after="0"/>
              <w:jc w:val="right"/>
              <w:rPr>
                <w:rFonts w:cs="Tahoma"/>
                <w:color w:val="000000"/>
                <w:sz w:val="18"/>
                <w:szCs w:val="18"/>
                <w:lang w:eastAsia="hr-HR"/>
              </w:rPr>
            </w:pPr>
            <w:r>
              <w:rPr>
                <w:rFonts w:cs="Tahoma"/>
                <w:color w:val="000000"/>
                <w:sz w:val="18"/>
                <w:szCs w:val="18"/>
                <w:lang w:eastAsia="hr-HR"/>
              </w:rPr>
              <w:t>2029</w:t>
            </w:r>
          </w:p>
        </w:tc>
        <w:tc>
          <w:tcPr>
            <w:tcW w:w="567" w:type="pct"/>
          </w:tcPr>
          <w:p w14:paraId="6CE86A20"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B3C4A02" w14:textId="3422331E"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42EFF649" w14:textId="24F833E0"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0AC813E8" w14:textId="6281DAD9"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hideMark/>
          </w:tcPr>
          <w:p w14:paraId="38B0666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2553CF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B105E0A"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DF49A1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BC788D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60DA8EC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tcPr>
          <w:p w14:paraId="3BA54CE1" w14:textId="26261F11"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E023D">
              <w:rPr>
                <w:rFonts w:ascii="Arial" w:hAnsi="Arial" w:cs="Arial"/>
                <w:color w:val="000000"/>
                <w:sz w:val="18"/>
                <w:szCs w:val="18"/>
              </w:rPr>
              <w:t>61,8</w:t>
            </w:r>
          </w:p>
        </w:tc>
      </w:tr>
      <w:tr w:rsidR="00912779" w:rsidRPr="00491890" w14:paraId="13C426C3"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732E1E54" w14:textId="77777777" w:rsidR="00A6282C" w:rsidRDefault="00A6282C" w:rsidP="00A6282C">
            <w:pPr>
              <w:spacing w:before="0" w:after="0"/>
              <w:jc w:val="right"/>
              <w:rPr>
                <w:rFonts w:cs="Tahoma"/>
                <w:color w:val="000000"/>
                <w:sz w:val="18"/>
                <w:szCs w:val="18"/>
                <w:lang w:eastAsia="hr-HR"/>
              </w:rPr>
            </w:pPr>
            <w:r>
              <w:rPr>
                <w:rFonts w:cs="Tahoma"/>
                <w:color w:val="000000"/>
                <w:sz w:val="18"/>
                <w:szCs w:val="18"/>
                <w:lang w:eastAsia="hr-HR"/>
              </w:rPr>
              <w:t>2030</w:t>
            </w:r>
          </w:p>
        </w:tc>
        <w:tc>
          <w:tcPr>
            <w:tcW w:w="567" w:type="pct"/>
          </w:tcPr>
          <w:p w14:paraId="4B4E681D"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19FCF415" w14:textId="1E901685"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182C916A" w14:textId="2E38D23A"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00D34370" w14:textId="154A87D4"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43CECE71"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FD2AC13"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020573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3BE3AE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3E7C2E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4D2C3B1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34E36C72" w14:textId="6DA44949"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0E48F6" w:rsidRPr="00491890" w14:paraId="677D0FB4"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670FB60B" w14:textId="77777777" w:rsidR="000E48F6" w:rsidRPr="00491890" w:rsidRDefault="000E48F6" w:rsidP="000E48F6">
            <w:pPr>
              <w:spacing w:before="0" w:after="0"/>
              <w:jc w:val="right"/>
              <w:rPr>
                <w:rFonts w:cs="Tahoma"/>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2024</w:t>
            </w:r>
            <w:r w:rsidRPr="00491890">
              <w:rPr>
                <w:rFonts w:cs="Tahoma"/>
                <w:color w:val="000000"/>
                <w:sz w:val="18"/>
                <w:szCs w:val="18"/>
                <w:lang w:eastAsia="hr-HR"/>
              </w:rPr>
              <w:t>. [GWh] </w:t>
            </w:r>
          </w:p>
        </w:tc>
        <w:tc>
          <w:tcPr>
            <w:tcW w:w="544" w:type="pct"/>
          </w:tcPr>
          <w:p w14:paraId="60C7AE78" w14:textId="6B57B38D" w:rsidR="000E48F6" w:rsidRPr="009F463A" w:rsidRDefault="007F7C97"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color w:val="000000"/>
                <w:sz w:val="18"/>
                <w:szCs w:val="18"/>
                <w:lang w:eastAsia="hr-HR"/>
              </w:rPr>
            </w:pPr>
            <w:r>
              <w:rPr>
                <w:rFonts w:cs="Tahoma"/>
                <w:b/>
                <w:bCs/>
                <w:color w:val="000000"/>
                <w:sz w:val="18"/>
                <w:szCs w:val="18"/>
                <w:lang w:eastAsia="hr-HR"/>
              </w:rPr>
              <w:t>103</w:t>
            </w:r>
            <w:r w:rsidR="000E48F6" w:rsidRPr="009F463A">
              <w:rPr>
                <w:rFonts w:cs="Tahoma"/>
                <w:b/>
                <w:bCs/>
                <w:color w:val="000000"/>
                <w:sz w:val="18"/>
                <w:szCs w:val="18"/>
                <w:lang w:eastAsia="hr-HR"/>
              </w:rPr>
              <w:t>,</w:t>
            </w:r>
            <w:r>
              <w:rPr>
                <w:rFonts w:cs="Tahoma"/>
                <w:b/>
                <w:bCs/>
                <w:color w:val="000000"/>
                <w:sz w:val="18"/>
                <w:szCs w:val="18"/>
                <w:lang w:eastAsia="hr-HR"/>
              </w:rPr>
              <w:t>0</w:t>
            </w:r>
          </w:p>
        </w:tc>
      </w:tr>
      <w:tr w:rsidR="000E48F6" w:rsidRPr="00491890" w14:paraId="69080853"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43D04BA0" w14:textId="77777777" w:rsidR="000E48F6" w:rsidRPr="00491890" w:rsidRDefault="000E48F6" w:rsidP="000E48F6">
            <w:pPr>
              <w:spacing w:before="0" w:after="0"/>
              <w:jc w:val="right"/>
              <w:rPr>
                <w:rFonts w:cs="Tahoma"/>
                <w:b w:val="0"/>
                <w:bCs w:val="0"/>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2030</w:t>
            </w:r>
            <w:r w:rsidRPr="00491890">
              <w:rPr>
                <w:rFonts w:cs="Tahoma"/>
                <w:color w:val="000000"/>
                <w:sz w:val="18"/>
                <w:szCs w:val="18"/>
                <w:lang w:eastAsia="hr-HR"/>
              </w:rPr>
              <w:t>. [GWh] </w:t>
            </w:r>
          </w:p>
        </w:tc>
        <w:tc>
          <w:tcPr>
            <w:tcW w:w="544" w:type="pct"/>
          </w:tcPr>
          <w:p w14:paraId="28F20DCC" w14:textId="41A74572" w:rsidR="000E48F6" w:rsidRDefault="00912779"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lang w:eastAsia="hr-HR"/>
              </w:rPr>
            </w:pPr>
            <w:r>
              <w:rPr>
                <w:rFonts w:cs="Tahoma"/>
                <w:b/>
                <w:bCs/>
                <w:sz w:val="18"/>
                <w:szCs w:val="18"/>
                <w:lang w:eastAsia="hr-HR"/>
              </w:rPr>
              <w:t>494,4</w:t>
            </w:r>
          </w:p>
        </w:tc>
      </w:tr>
    </w:tbl>
    <w:p w14:paraId="74344159" w14:textId="77D00819" w:rsidR="000E48F6" w:rsidRPr="00EE1B6E" w:rsidRDefault="000E48F6" w:rsidP="000E48F6">
      <w:pPr>
        <w:rPr>
          <w:rFonts w:cs="Tahoma"/>
          <w:color w:val="000000"/>
          <w:szCs w:val="20"/>
        </w:rPr>
      </w:pPr>
      <w:r w:rsidRPr="00EE1B6E">
        <w:rPr>
          <w:rFonts w:cs="Tahoma"/>
          <w:color w:val="000000"/>
          <w:szCs w:val="20"/>
        </w:rPr>
        <w:t xml:space="preserve">Kumulativne uštede uz raspoloživa sredstva u razdoblju do 2024. godine iznosit će </w:t>
      </w:r>
      <w:r w:rsidR="005125F9">
        <w:rPr>
          <w:rFonts w:cs="Tahoma"/>
          <w:color w:val="000000"/>
          <w:szCs w:val="20"/>
        </w:rPr>
        <w:t>103</w:t>
      </w:r>
      <w:r w:rsidRPr="00EE1B6E">
        <w:rPr>
          <w:rFonts w:cs="Tahoma"/>
          <w:color w:val="000000"/>
          <w:szCs w:val="20"/>
        </w:rPr>
        <w:t xml:space="preserve"> GWh, što je </w:t>
      </w:r>
      <w:r w:rsidR="00E62880">
        <w:rPr>
          <w:rFonts w:cs="Tahoma"/>
          <w:color w:val="000000"/>
          <w:szCs w:val="20"/>
        </w:rPr>
        <w:t>oko</w:t>
      </w:r>
      <w:r w:rsidRPr="00EE1B6E">
        <w:rPr>
          <w:rFonts w:cs="Tahoma"/>
          <w:color w:val="000000"/>
          <w:szCs w:val="20"/>
        </w:rPr>
        <w:t xml:space="preserve"> </w:t>
      </w:r>
      <w:r w:rsidR="00E62880">
        <w:rPr>
          <w:rFonts w:cs="Tahoma"/>
          <w:color w:val="000000"/>
          <w:szCs w:val="20"/>
        </w:rPr>
        <w:t>46</w:t>
      </w:r>
      <w:r w:rsidRPr="00EE1B6E">
        <w:rPr>
          <w:rFonts w:cs="Tahoma"/>
          <w:color w:val="000000"/>
          <w:szCs w:val="20"/>
        </w:rPr>
        <w:t xml:space="preserve">% vrijednosti koja bi se ostvarila u tom razdoblju uz praćenje stopa obnove prema Dugoročnoj strategiji </w:t>
      </w:r>
      <w:r w:rsidRPr="00EE1B6E">
        <w:rPr>
          <w:rFonts w:cs="Tahoma"/>
          <w:color w:val="000000"/>
          <w:szCs w:val="20"/>
        </w:rPr>
        <w:lastRenderedPageBreak/>
        <w:t>(</w:t>
      </w:r>
      <w:r w:rsidR="00A54177">
        <w:rPr>
          <w:rFonts w:cs="Tahoma"/>
          <w:color w:val="000000"/>
          <w:szCs w:val="20"/>
        </w:rPr>
        <w:t>224</w:t>
      </w:r>
      <w:r w:rsidRPr="00EE1B6E">
        <w:rPr>
          <w:rFonts w:cs="Tahoma"/>
          <w:color w:val="000000"/>
          <w:szCs w:val="20"/>
        </w:rPr>
        <w:t xml:space="preserve"> GWh) odnosno to predstavlja svega 0,</w:t>
      </w:r>
      <w:r w:rsidR="00807205">
        <w:rPr>
          <w:rFonts w:cs="Tahoma"/>
          <w:color w:val="000000"/>
          <w:szCs w:val="20"/>
        </w:rPr>
        <w:t>3</w:t>
      </w:r>
      <w:r w:rsidRPr="00EE1B6E">
        <w:rPr>
          <w:rFonts w:cs="Tahoma"/>
          <w:color w:val="000000"/>
          <w:szCs w:val="20"/>
        </w:rPr>
        <w:t>% ukupnog kumulativnog cilja za razdoblje do 2030. godine (34.805,56 GWh).</w:t>
      </w:r>
    </w:p>
    <w:p w14:paraId="13BBF470" w14:textId="77777777" w:rsidR="000E48F6" w:rsidRPr="00EE1B6E" w:rsidRDefault="000E48F6" w:rsidP="000E48F6">
      <w:pPr>
        <w:rPr>
          <w:rFonts w:cs="Tahoma"/>
          <w:color w:val="000000"/>
          <w:szCs w:val="20"/>
        </w:rPr>
      </w:pPr>
      <w:r w:rsidRPr="00EE1B6E">
        <w:rPr>
          <w:rFonts w:cs="Tahoma"/>
          <w:color w:val="000000"/>
          <w:szCs w:val="20"/>
        </w:rPr>
        <w:t xml:space="preserve">Ova analiza još jednom pokazuje koliki je značaj Programa i koliko je važno pronaći dodatna sredstva za njegovu provedbu. </w:t>
      </w:r>
    </w:p>
    <w:p w14:paraId="18B5E285" w14:textId="4AE096FD" w:rsidR="00385FA9" w:rsidRDefault="00EC0374" w:rsidP="00EC0374">
      <w:pPr>
        <w:rPr>
          <w:lang w:eastAsia="hr-HR"/>
        </w:rPr>
      </w:pPr>
      <w:r w:rsidRPr="00EC0374">
        <w:rPr>
          <w:lang w:eastAsia="hr-HR"/>
        </w:rPr>
        <w:t>Na osnovu procijenjenih energetskih ušteda kao rezultata obnove zgrada javnog sektora, procijenjeni učinak obnove na smanjenje emisija CO</w:t>
      </w:r>
      <w:r w:rsidRPr="00EC0374">
        <w:rPr>
          <w:vertAlign w:val="subscript"/>
          <w:lang w:eastAsia="hr-HR"/>
        </w:rPr>
        <w:t>2</w:t>
      </w:r>
      <w:r w:rsidRPr="00EC0374">
        <w:rPr>
          <w:lang w:eastAsia="hr-HR"/>
        </w:rPr>
        <w:t xml:space="preserve"> do 2030. godine iznosi oko 30,9 kt. Za izračun uštede emisija CO</w:t>
      </w:r>
      <w:r w:rsidRPr="00EC0374">
        <w:rPr>
          <w:vertAlign w:val="subscript"/>
          <w:lang w:eastAsia="hr-HR"/>
        </w:rPr>
        <w:t>2</w:t>
      </w:r>
      <w:r w:rsidRPr="00EC0374">
        <w:rPr>
          <w:lang w:eastAsia="hr-HR"/>
        </w:rPr>
        <w:t xml:space="preserve"> korišteni su specifični faktori emisije CO</w:t>
      </w:r>
      <w:r w:rsidRPr="00EC0374">
        <w:rPr>
          <w:vertAlign w:val="subscript"/>
          <w:lang w:eastAsia="hr-HR"/>
        </w:rPr>
        <w:t>2</w:t>
      </w:r>
      <w:r w:rsidRPr="00EC0374">
        <w:rPr>
          <w:lang w:eastAsia="hr-HR"/>
        </w:rPr>
        <w:t xml:space="preserve"> po energetskoj jedinici goriva (kgCO</w:t>
      </w:r>
      <w:r w:rsidRPr="00EC0374">
        <w:rPr>
          <w:vertAlign w:val="subscript"/>
          <w:lang w:eastAsia="hr-HR"/>
        </w:rPr>
        <w:t>2</w:t>
      </w:r>
      <w:r w:rsidRPr="00EC0374">
        <w:rPr>
          <w:lang w:eastAsia="hr-HR"/>
        </w:rPr>
        <w:t xml:space="preserve">/MWh), preuzeti sa službene stranice Ministarstva prostornoga uređenja, graditeljstva i državne imovine. Dobiveni podaci odgovaraju energetskim uštedama pojedinih kategorija zgrada te su u skladu s distribucijom energenata u potrošnji energije baziranih na podacima baze podataka </w:t>
      </w:r>
      <w:r w:rsidRPr="00EC0374">
        <w:rPr>
          <w:i/>
          <w:lang w:eastAsia="hr-HR"/>
        </w:rPr>
        <w:t xml:space="preserve">International Energy Agency </w:t>
      </w:r>
      <w:r w:rsidRPr="00EC0374">
        <w:rPr>
          <w:lang w:eastAsia="hr-HR"/>
        </w:rPr>
        <w:t xml:space="preserve">- </w:t>
      </w:r>
      <w:r w:rsidRPr="00EC0374">
        <w:rPr>
          <w:i/>
          <w:lang w:eastAsia="hr-HR"/>
        </w:rPr>
        <w:t>IEA Statistics</w:t>
      </w:r>
      <w:r w:rsidRPr="00EC0374">
        <w:rPr>
          <w:lang w:eastAsia="hr-HR"/>
        </w:rPr>
        <w:t xml:space="preserve"> u RH.</w:t>
      </w:r>
    </w:p>
    <w:p w14:paraId="2FAD518E" w14:textId="109B861C" w:rsidR="00D624E8" w:rsidRPr="00B357F4" w:rsidRDefault="0AFA74C1" w:rsidP="00D624E8">
      <w:pPr>
        <w:pStyle w:val="Naslov20"/>
      </w:pPr>
      <w:bookmarkStart w:id="190" w:name="_Toc87944316"/>
      <w:bookmarkStart w:id="191" w:name="_Toc87944317"/>
      <w:bookmarkStart w:id="192" w:name="_Toc87944318"/>
      <w:bookmarkStart w:id="193" w:name="_Toc87944319"/>
      <w:bookmarkStart w:id="194" w:name="_Toc87944320"/>
      <w:bookmarkStart w:id="195" w:name="_Toc87944321"/>
      <w:bookmarkStart w:id="196" w:name="_Toc87944322"/>
      <w:bookmarkStart w:id="197" w:name="_Toc72156292"/>
      <w:bookmarkStart w:id="198" w:name="_Toc94770042"/>
      <w:bookmarkEnd w:id="190"/>
      <w:bookmarkEnd w:id="191"/>
      <w:bookmarkEnd w:id="192"/>
      <w:bookmarkEnd w:id="193"/>
      <w:bookmarkEnd w:id="194"/>
      <w:bookmarkEnd w:id="195"/>
      <w:bookmarkEnd w:id="196"/>
      <w:r w:rsidRPr="00B357F4">
        <w:t>Analiza utjecaja na proizvodnju toplinsko-izolacijskih materijala i učinkovitih sustava</w:t>
      </w:r>
      <w:bookmarkEnd w:id="197"/>
      <w:bookmarkEnd w:id="198"/>
    </w:p>
    <w:p w14:paraId="6755D9EC" w14:textId="4B2AAC3F" w:rsidR="00D5637B" w:rsidRPr="00B357F4" w:rsidRDefault="006668A0" w:rsidP="00D5637B">
      <w:pPr>
        <w:rPr>
          <w:lang w:eastAsia="hr-HR"/>
        </w:rPr>
      </w:pPr>
      <w:r>
        <w:rPr>
          <w:lang w:eastAsia="hr-HR"/>
        </w:rPr>
        <w:t>Svi scenariji obnove temeljito opisani u poglavlju 6.</w:t>
      </w:r>
      <w:r w:rsidR="00476A6E">
        <w:rPr>
          <w:lang w:eastAsia="hr-HR"/>
        </w:rPr>
        <w:t xml:space="preserve"> uključuju obnovu vanjske ovojnice zgrade. Pri</w:t>
      </w:r>
      <w:r w:rsidR="00C00703">
        <w:rPr>
          <w:lang w:eastAsia="hr-HR"/>
        </w:rPr>
        <w:t>tom</w:t>
      </w:r>
      <w:r w:rsidR="3CB17A58" w:rsidRPr="00B357F4">
        <w:rPr>
          <w:lang w:eastAsia="hr-HR"/>
        </w:rPr>
        <w:t xml:space="preserve">, element koji najviše utječe na </w:t>
      </w:r>
      <w:r w:rsidR="49E9FCF3" w:rsidRPr="00B357F4">
        <w:rPr>
          <w:lang w:eastAsia="hr-HR"/>
        </w:rPr>
        <w:t>ispunjavanje zahtjeva</w:t>
      </w:r>
      <w:r w:rsidR="3CB17A58" w:rsidRPr="00B357F4">
        <w:rPr>
          <w:lang w:eastAsia="hr-HR"/>
        </w:rPr>
        <w:t xml:space="preserve"> </w:t>
      </w:r>
      <w:r w:rsidR="5AEEF506" w:rsidRPr="00C300D1">
        <w:rPr>
          <w:i/>
        </w:rPr>
        <w:t>Tehničkog propisa o racionalnoj uporabi energije i toplinskoj zaštiti u zgradama</w:t>
      </w:r>
      <w:r w:rsidR="5AEEF506" w:rsidRPr="00B357F4">
        <w:rPr>
          <w:lang w:eastAsia="hr-HR"/>
        </w:rPr>
        <w:t xml:space="preserve"> u </w:t>
      </w:r>
      <w:r w:rsidR="3CB17A58" w:rsidRPr="00B357F4">
        <w:rPr>
          <w:lang w:eastAsia="hr-HR"/>
        </w:rPr>
        <w:t xml:space="preserve">pogledu toplinske zaštite je toplinska izolacija. Kvalitetna toplinska izolacija jednako je važna na području kontinentalne i primorske Hrvatske, pri čemu je u kontinentalnoj Hrvatskoj </w:t>
      </w:r>
      <w:r w:rsidR="00AA285E">
        <w:rPr>
          <w:lang w:eastAsia="hr-HR"/>
        </w:rPr>
        <w:t>njena uloga važnija tijekom</w:t>
      </w:r>
      <w:r w:rsidR="3CB17A58" w:rsidRPr="00B357F4">
        <w:rPr>
          <w:lang w:eastAsia="hr-HR"/>
        </w:rPr>
        <w:t xml:space="preserve"> </w:t>
      </w:r>
      <w:r w:rsidR="00AA285E">
        <w:rPr>
          <w:lang w:eastAsia="hr-HR"/>
        </w:rPr>
        <w:t>s</w:t>
      </w:r>
      <w:r w:rsidR="3CB17A58" w:rsidRPr="00B357F4">
        <w:rPr>
          <w:lang w:eastAsia="hr-HR"/>
        </w:rPr>
        <w:t>ezon</w:t>
      </w:r>
      <w:r w:rsidR="00AA285E">
        <w:rPr>
          <w:lang w:eastAsia="hr-HR"/>
        </w:rPr>
        <w:t>e</w:t>
      </w:r>
      <w:r w:rsidR="3CB17A58" w:rsidRPr="00B357F4">
        <w:rPr>
          <w:lang w:eastAsia="hr-HR"/>
        </w:rPr>
        <w:t xml:space="preserve"> grijanja, </w:t>
      </w:r>
      <w:r w:rsidR="00120B1E">
        <w:rPr>
          <w:lang w:eastAsia="hr-HR"/>
        </w:rPr>
        <w:t xml:space="preserve">dok je </w:t>
      </w:r>
      <w:r w:rsidR="3CB17A58" w:rsidRPr="00B357F4">
        <w:rPr>
          <w:lang w:eastAsia="hr-HR"/>
        </w:rPr>
        <w:t xml:space="preserve"> u primorskoj Hrvatskoj </w:t>
      </w:r>
      <w:r w:rsidR="00D6658C">
        <w:rPr>
          <w:lang w:eastAsia="hr-HR"/>
        </w:rPr>
        <w:t xml:space="preserve">važnija </w:t>
      </w:r>
      <w:r w:rsidR="3CB17A58" w:rsidRPr="00B357F4">
        <w:rPr>
          <w:lang w:eastAsia="hr-HR"/>
        </w:rPr>
        <w:t xml:space="preserve">u sezoni hlađenja. </w:t>
      </w:r>
      <w:r w:rsidR="000D4101">
        <w:rPr>
          <w:lang w:eastAsia="hr-HR"/>
        </w:rPr>
        <w:t>Ugradnja</w:t>
      </w:r>
      <w:r w:rsidR="000D4101" w:rsidRPr="00B357F4">
        <w:rPr>
          <w:lang w:eastAsia="hr-HR"/>
        </w:rPr>
        <w:t xml:space="preserve"> </w:t>
      </w:r>
      <w:r w:rsidR="3CB17A58" w:rsidRPr="00B357F4">
        <w:rPr>
          <w:lang w:eastAsia="hr-HR"/>
        </w:rPr>
        <w:t xml:space="preserve">toplinske izolacije smanjuje </w:t>
      </w:r>
      <w:r w:rsidR="000D4101">
        <w:rPr>
          <w:lang w:eastAsia="hr-HR"/>
        </w:rPr>
        <w:t xml:space="preserve">energetske </w:t>
      </w:r>
      <w:r w:rsidR="3CB17A58" w:rsidRPr="00B357F4">
        <w:rPr>
          <w:lang w:eastAsia="hr-HR"/>
        </w:rPr>
        <w:t xml:space="preserve">potrebe tehničkih sustava u zgradi te </w:t>
      </w:r>
      <w:r w:rsidR="000D4101">
        <w:rPr>
          <w:lang w:eastAsia="hr-HR"/>
        </w:rPr>
        <w:t>j</w:t>
      </w:r>
      <w:r w:rsidR="3CB17A58" w:rsidRPr="00B357F4">
        <w:rPr>
          <w:lang w:eastAsia="hr-HR"/>
        </w:rPr>
        <w:t xml:space="preserve">e nastavno </w:t>
      </w:r>
      <w:r w:rsidR="000D4101">
        <w:rPr>
          <w:lang w:eastAsia="hr-HR"/>
        </w:rPr>
        <w:t>najčešće potrebno</w:t>
      </w:r>
      <w:r w:rsidR="000D4101" w:rsidRPr="00B357F4">
        <w:rPr>
          <w:lang w:eastAsia="hr-HR"/>
        </w:rPr>
        <w:t xml:space="preserve"> </w:t>
      </w:r>
      <w:r w:rsidR="3CB17A58" w:rsidRPr="00B357F4">
        <w:rPr>
          <w:lang w:eastAsia="hr-HR"/>
        </w:rPr>
        <w:t>redimenzioniranje navedenih sustava uz povećanje njihove učinkovitosti i korištenja obnovljivih izvora energije</w:t>
      </w:r>
      <w:r w:rsidR="00FE5655">
        <w:rPr>
          <w:lang w:eastAsia="hr-HR"/>
        </w:rPr>
        <w:t xml:space="preserve"> u najvećoj mogućoj mjeri</w:t>
      </w:r>
      <w:r w:rsidR="3CB17A58" w:rsidRPr="00B357F4">
        <w:rPr>
          <w:lang w:eastAsia="hr-HR"/>
        </w:rPr>
        <w:t xml:space="preserve">. </w:t>
      </w:r>
    </w:p>
    <w:p w14:paraId="0F44CB61" w14:textId="05604C89" w:rsidR="00D5637B" w:rsidRPr="00203A80" w:rsidRDefault="00D5637B" w:rsidP="00D5637B">
      <w:pPr>
        <w:rPr>
          <w:lang w:eastAsia="hr-HR"/>
        </w:rPr>
      </w:pPr>
      <w:r w:rsidRPr="00B357F4">
        <w:rPr>
          <w:lang w:eastAsia="hr-HR"/>
        </w:rPr>
        <w:t xml:space="preserve">Sukladno </w:t>
      </w:r>
      <w:r w:rsidR="00FE5655">
        <w:rPr>
          <w:lang w:eastAsia="hr-HR"/>
        </w:rPr>
        <w:t xml:space="preserve">danoj dinamici </w:t>
      </w:r>
      <w:r w:rsidR="00776B2D">
        <w:rPr>
          <w:lang w:eastAsia="hr-HR"/>
        </w:rPr>
        <w:t>obnove</w:t>
      </w:r>
      <w:r w:rsidRPr="00B357F4">
        <w:rPr>
          <w:lang w:eastAsia="hr-HR"/>
        </w:rPr>
        <w:t xml:space="preserve"> zgrada </w:t>
      </w:r>
      <w:r w:rsidR="009256FC" w:rsidRPr="00B357F4">
        <w:rPr>
          <w:lang w:eastAsia="hr-HR"/>
        </w:rPr>
        <w:t>javnog sektora</w:t>
      </w:r>
      <w:r w:rsidRPr="00B357F4">
        <w:rPr>
          <w:lang w:eastAsia="hr-HR"/>
        </w:rPr>
        <w:t>, u nastavku je dan pregled investicije u toplinsko-izolacijske materijale pri primjeni navedene mjere u periodu do 2030. godine, što će rezultirati povećanjem proizvodnje ili uvoza istih (</w:t>
      </w:r>
      <w:r w:rsidRPr="00203A80">
        <w:rPr>
          <w:lang w:eastAsia="hr-HR"/>
        </w:rPr>
        <w:fldChar w:fldCharType="begin"/>
      </w:r>
      <w:r w:rsidRPr="00B357F4">
        <w:rPr>
          <w:lang w:eastAsia="hr-HR"/>
        </w:rPr>
        <w:instrText xml:space="preserve"> REF _Ref25656405 \h  \* MERGEFORMAT </w:instrText>
      </w:r>
      <w:r w:rsidRPr="00203A80">
        <w:rPr>
          <w:lang w:eastAsia="hr-HR"/>
        </w:rPr>
      </w:r>
      <w:r w:rsidRPr="00203A80">
        <w:rPr>
          <w:lang w:eastAsia="hr-HR"/>
        </w:rPr>
        <w:fldChar w:fldCharType="separate"/>
      </w:r>
      <w:r w:rsidR="0023635D" w:rsidRPr="00B357F4">
        <w:t xml:space="preserve">Tablica </w:t>
      </w:r>
      <w:r w:rsidR="0023635D">
        <w:rPr>
          <w:lang w:eastAsia="hr-HR"/>
        </w:rPr>
        <w:t>9</w:t>
      </w:r>
      <w:r w:rsidR="0023635D">
        <w:rPr>
          <w:lang w:eastAsia="hr-HR"/>
        </w:rPr>
        <w:noBreakHyphen/>
        <w:t>2</w:t>
      </w:r>
      <w:r w:rsidRPr="00203A80">
        <w:rPr>
          <w:lang w:eastAsia="hr-HR"/>
        </w:rPr>
        <w:fldChar w:fldCharType="end"/>
      </w:r>
      <w:r w:rsidRPr="006734C7">
        <w:rPr>
          <w:lang w:eastAsia="hr-HR"/>
        </w:rPr>
        <w:t>).</w:t>
      </w:r>
    </w:p>
    <w:p w14:paraId="61E2D062" w14:textId="07E88C7A" w:rsidR="00D5637B" w:rsidRPr="00203A80" w:rsidRDefault="00D5637B" w:rsidP="00D5637B">
      <w:pPr>
        <w:pStyle w:val="Opisslike"/>
        <w:keepNext/>
      </w:pPr>
      <w:bookmarkStart w:id="199" w:name="_Ref25656405"/>
      <w:bookmarkStart w:id="200" w:name="_Toc64962044"/>
      <w:bookmarkStart w:id="201" w:name="_Toc87949904"/>
      <w:r w:rsidRPr="00B357F4">
        <w:t xml:space="preserve">Tablica </w:t>
      </w:r>
      <w:r>
        <w:fldChar w:fldCharType="begin"/>
      </w:r>
      <w:r>
        <w:instrText>STYLEREF 1 \s</w:instrText>
      </w:r>
      <w:r>
        <w:fldChar w:fldCharType="separate"/>
      </w:r>
      <w:r w:rsidR="0023635D">
        <w:rPr>
          <w:noProof/>
        </w:rPr>
        <w:t>9</w:t>
      </w:r>
      <w:r>
        <w:fldChar w:fldCharType="end"/>
      </w:r>
      <w:r w:rsidR="00166B1A">
        <w:noBreakHyphen/>
      </w:r>
      <w:r>
        <w:fldChar w:fldCharType="begin"/>
      </w:r>
      <w:r>
        <w:instrText>SEQ Tablica \* ARABIC \s 1</w:instrText>
      </w:r>
      <w:r>
        <w:fldChar w:fldCharType="separate"/>
      </w:r>
      <w:r w:rsidR="0023635D">
        <w:rPr>
          <w:noProof/>
        </w:rPr>
        <w:t>2</w:t>
      </w:r>
      <w:r>
        <w:fldChar w:fldCharType="end"/>
      </w:r>
      <w:bookmarkEnd w:id="199"/>
      <w:r w:rsidRPr="006734C7">
        <w:rPr>
          <w:szCs w:val="24"/>
          <w:lang w:eastAsia="hr-HR"/>
        </w:rPr>
        <w:t xml:space="preserve"> Prikaz potrebnih ulaganja u toplinsku izolaciju u periodu od 2021. do 2030. godine</w:t>
      </w:r>
      <w:bookmarkEnd w:id="200"/>
      <w:bookmarkEnd w:id="201"/>
    </w:p>
    <w:tbl>
      <w:tblPr>
        <w:tblW w:w="7645" w:type="dxa"/>
        <w:jc w:val="center"/>
        <w:tblCellMar>
          <w:top w:w="15" w:type="dxa"/>
          <w:bottom w:w="15" w:type="dxa"/>
        </w:tblCellMar>
        <w:tblLook w:val="04A0" w:firstRow="1" w:lastRow="0" w:firstColumn="1" w:lastColumn="0" w:noHBand="0" w:noVBand="1"/>
      </w:tblPr>
      <w:tblGrid>
        <w:gridCol w:w="4585"/>
        <w:gridCol w:w="3060"/>
      </w:tblGrid>
      <w:tr w:rsidR="00D5637B" w:rsidRPr="00B357F4" w14:paraId="25383BB3" w14:textId="77777777" w:rsidTr="00ED65A9">
        <w:trPr>
          <w:trHeight w:val="301"/>
          <w:jc w:val="center"/>
        </w:trPr>
        <w:tc>
          <w:tcPr>
            <w:tcW w:w="4585"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5612714" w14:textId="77777777" w:rsidR="00D5637B" w:rsidRPr="00C300D1" w:rsidRDefault="00D5637B" w:rsidP="003729B3">
            <w:pPr>
              <w:spacing w:before="0" w:after="0"/>
              <w:rPr>
                <w:b/>
              </w:rPr>
            </w:pPr>
            <w:r w:rsidRPr="00C300D1">
              <w:rPr>
                <w:b/>
              </w:rPr>
              <w:t>Stavka</w:t>
            </w:r>
          </w:p>
        </w:tc>
        <w:tc>
          <w:tcPr>
            <w:tcW w:w="306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0B24FE30" w14:textId="6B2E8F7F" w:rsidR="00D5637B" w:rsidRPr="00C300D1" w:rsidRDefault="00D5637B" w:rsidP="003729B3">
            <w:pPr>
              <w:spacing w:before="0" w:after="0"/>
              <w:rPr>
                <w:b/>
              </w:rPr>
            </w:pPr>
            <w:r w:rsidRPr="00C300D1">
              <w:rPr>
                <w:b/>
              </w:rPr>
              <w:t>Kumulativ 202</w:t>
            </w:r>
            <w:r w:rsidR="004623B6" w:rsidRPr="00C300D1">
              <w:rPr>
                <w:b/>
              </w:rPr>
              <w:t>2</w:t>
            </w:r>
            <w:r w:rsidRPr="00C300D1">
              <w:rPr>
                <w:b/>
              </w:rPr>
              <w:t>. do 2030. godine</w:t>
            </w:r>
          </w:p>
        </w:tc>
      </w:tr>
      <w:tr w:rsidR="00D5637B" w:rsidRPr="00B357F4" w14:paraId="2B710FAB" w14:textId="77777777" w:rsidTr="00ED65A9">
        <w:trPr>
          <w:trHeight w:val="301"/>
          <w:jc w:val="center"/>
        </w:trPr>
        <w:tc>
          <w:tcPr>
            <w:tcW w:w="4585" w:type="dxa"/>
            <w:tcBorders>
              <w:top w:val="single" w:sz="4" w:space="0" w:color="auto"/>
              <w:left w:val="single" w:sz="4" w:space="0" w:color="auto"/>
              <w:bottom w:val="single" w:sz="4" w:space="0" w:color="000000"/>
              <w:right w:val="single" w:sz="4" w:space="0" w:color="000000"/>
            </w:tcBorders>
            <w:shd w:val="clear" w:color="auto" w:fill="auto"/>
            <w:vAlign w:val="center"/>
          </w:tcPr>
          <w:p w14:paraId="795707B5" w14:textId="45AEBEF0" w:rsidR="00D5637B" w:rsidRPr="00C300D1" w:rsidRDefault="00D5637B" w:rsidP="003729B3">
            <w:pPr>
              <w:spacing w:before="0" w:after="0"/>
            </w:pPr>
            <w:r w:rsidRPr="00C300D1">
              <w:t>Toplinska izolacija krova/stropa prema negrijanom potkrovlju (</w:t>
            </w:r>
            <w:r w:rsidR="00F772DA" w:rsidRPr="00C300D1">
              <w:t>kuna</w:t>
            </w:r>
            <w:r w:rsidRPr="00C300D1">
              <w:t>)*</w:t>
            </w:r>
          </w:p>
        </w:tc>
        <w:tc>
          <w:tcPr>
            <w:tcW w:w="3060" w:type="dxa"/>
            <w:tcBorders>
              <w:top w:val="single" w:sz="4" w:space="0" w:color="auto"/>
              <w:left w:val="single" w:sz="4" w:space="0" w:color="000000"/>
              <w:bottom w:val="single" w:sz="4" w:space="0" w:color="000000"/>
              <w:right w:val="single" w:sz="4" w:space="0" w:color="000000"/>
            </w:tcBorders>
            <w:shd w:val="clear" w:color="auto" w:fill="auto"/>
            <w:vAlign w:val="center"/>
          </w:tcPr>
          <w:p w14:paraId="1ACFA81D" w14:textId="3C775683" w:rsidR="00D5637B" w:rsidRPr="00C300D1" w:rsidRDefault="00F117C3" w:rsidP="003729B3">
            <w:pPr>
              <w:spacing w:before="0" w:after="0"/>
              <w:jc w:val="center"/>
            </w:pPr>
            <w:r w:rsidRPr="00C300D1">
              <w:t>670.207.968</w:t>
            </w:r>
          </w:p>
        </w:tc>
      </w:tr>
      <w:tr w:rsidR="00D5637B" w:rsidRPr="00B357F4" w14:paraId="6A33CBE5" w14:textId="77777777" w:rsidTr="00ED65A9">
        <w:trPr>
          <w:trHeight w:val="301"/>
          <w:jc w:val="center"/>
        </w:trPr>
        <w:tc>
          <w:tcPr>
            <w:tcW w:w="4585" w:type="dxa"/>
            <w:tcBorders>
              <w:top w:val="single" w:sz="4" w:space="0" w:color="auto"/>
              <w:left w:val="single" w:sz="4" w:space="0" w:color="auto"/>
              <w:bottom w:val="single" w:sz="4" w:space="0" w:color="000000"/>
              <w:right w:val="single" w:sz="4" w:space="0" w:color="000000"/>
            </w:tcBorders>
            <w:shd w:val="clear" w:color="auto" w:fill="auto"/>
            <w:vAlign w:val="center"/>
          </w:tcPr>
          <w:p w14:paraId="2B72D044" w14:textId="5BDFD321" w:rsidR="00D5637B" w:rsidRPr="00C300D1" w:rsidRDefault="00D5637B" w:rsidP="003729B3">
            <w:pPr>
              <w:spacing w:before="0" w:after="0"/>
            </w:pPr>
            <w:r w:rsidRPr="00C300D1">
              <w:t>Toplinska izolacija vanjskog zida (</w:t>
            </w:r>
            <w:r w:rsidR="00F772DA" w:rsidRPr="00C300D1">
              <w:t>kuna</w:t>
            </w:r>
            <w:r w:rsidRPr="00C300D1">
              <w:t>)*</w:t>
            </w:r>
          </w:p>
        </w:tc>
        <w:tc>
          <w:tcPr>
            <w:tcW w:w="3060" w:type="dxa"/>
            <w:tcBorders>
              <w:top w:val="single" w:sz="4" w:space="0" w:color="auto"/>
              <w:left w:val="single" w:sz="4" w:space="0" w:color="000000"/>
              <w:bottom w:val="single" w:sz="4" w:space="0" w:color="000000"/>
              <w:right w:val="single" w:sz="4" w:space="0" w:color="000000"/>
            </w:tcBorders>
            <w:shd w:val="clear" w:color="auto" w:fill="auto"/>
            <w:vAlign w:val="center"/>
          </w:tcPr>
          <w:p w14:paraId="6EAC7C91" w14:textId="53A31255" w:rsidR="00D5637B" w:rsidRPr="00C300D1" w:rsidRDefault="00044EE5" w:rsidP="003729B3">
            <w:pPr>
              <w:spacing w:before="0" w:after="0"/>
              <w:jc w:val="center"/>
            </w:pPr>
            <w:r w:rsidRPr="00C300D1">
              <w:t>389.249.055</w:t>
            </w:r>
          </w:p>
        </w:tc>
      </w:tr>
      <w:tr w:rsidR="00D5637B" w:rsidRPr="00B357F4" w14:paraId="0D88B75D" w14:textId="77777777" w:rsidTr="00ED65A9">
        <w:trPr>
          <w:trHeight w:val="301"/>
          <w:jc w:val="center"/>
        </w:trPr>
        <w:tc>
          <w:tcPr>
            <w:tcW w:w="4585" w:type="dxa"/>
            <w:tcBorders>
              <w:top w:val="single" w:sz="4" w:space="0" w:color="auto"/>
              <w:left w:val="single" w:sz="4" w:space="0" w:color="auto"/>
              <w:bottom w:val="single" w:sz="4" w:space="0" w:color="000000"/>
              <w:right w:val="single" w:sz="4" w:space="0" w:color="000000"/>
            </w:tcBorders>
            <w:shd w:val="clear" w:color="auto" w:fill="auto"/>
            <w:vAlign w:val="center"/>
          </w:tcPr>
          <w:p w14:paraId="60220EE5" w14:textId="34B37FF1" w:rsidR="00D5637B" w:rsidRPr="00C300D1" w:rsidRDefault="00D5637B" w:rsidP="003729B3">
            <w:pPr>
              <w:spacing w:before="0" w:after="0"/>
            </w:pPr>
            <w:r w:rsidRPr="00C300D1">
              <w:t>Toplinska izolacija stropa prema negrijanom podrumu/poda (</w:t>
            </w:r>
            <w:r w:rsidR="00F772DA" w:rsidRPr="00C300D1">
              <w:t>kuna</w:t>
            </w:r>
            <w:r w:rsidRPr="00C300D1">
              <w:t>)*</w:t>
            </w:r>
          </w:p>
        </w:tc>
        <w:tc>
          <w:tcPr>
            <w:tcW w:w="3060" w:type="dxa"/>
            <w:tcBorders>
              <w:top w:val="single" w:sz="4" w:space="0" w:color="auto"/>
              <w:left w:val="single" w:sz="4" w:space="0" w:color="000000"/>
              <w:bottom w:val="single" w:sz="4" w:space="0" w:color="000000"/>
              <w:right w:val="single" w:sz="4" w:space="0" w:color="000000"/>
            </w:tcBorders>
            <w:shd w:val="clear" w:color="auto" w:fill="auto"/>
            <w:vAlign w:val="center"/>
          </w:tcPr>
          <w:p w14:paraId="15A246F4" w14:textId="37C37077" w:rsidR="00D5637B" w:rsidRPr="00C300D1" w:rsidRDefault="00934B70" w:rsidP="003729B3">
            <w:pPr>
              <w:spacing w:before="0" w:after="0"/>
              <w:jc w:val="center"/>
            </w:pPr>
            <w:r w:rsidRPr="00C300D1">
              <w:t>234.856.338</w:t>
            </w:r>
          </w:p>
        </w:tc>
      </w:tr>
      <w:tr w:rsidR="00D5637B" w:rsidRPr="00B357F4" w14:paraId="02981462" w14:textId="77777777" w:rsidTr="00ED65A9">
        <w:trPr>
          <w:trHeight w:val="301"/>
          <w:jc w:val="center"/>
        </w:trPr>
        <w:tc>
          <w:tcPr>
            <w:tcW w:w="458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EF3184" w14:textId="65400A0E" w:rsidR="00D5637B" w:rsidRPr="00C300D1" w:rsidRDefault="00D5637B" w:rsidP="003729B3">
            <w:pPr>
              <w:spacing w:before="0" w:after="0"/>
              <w:rPr>
                <w:b/>
              </w:rPr>
            </w:pPr>
            <w:r w:rsidRPr="00C300D1">
              <w:rPr>
                <w:b/>
              </w:rPr>
              <w:t>Ukupan trošak toplinske izolacije (</w:t>
            </w:r>
            <w:r w:rsidR="00F772DA" w:rsidRPr="00C300D1">
              <w:rPr>
                <w:b/>
              </w:rPr>
              <w:t>kuna</w:t>
            </w:r>
            <w:r w:rsidRPr="00C300D1">
              <w:rPr>
                <w:b/>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80C7" w14:textId="2AE02A65" w:rsidR="00D5637B" w:rsidRPr="00C300D1" w:rsidRDefault="00760CB5" w:rsidP="003729B3">
            <w:pPr>
              <w:spacing w:before="0" w:after="0"/>
              <w:jc w:val="center"/>
              <w:rPr>
                <w:b/>
              </w:rPr>
            </w:pPr>
            <w:r w:rsidRPr="00C300D1">
              <w:rPr>
                <w:b/>
              </w:rPr>
              <w:t>1.294.313.361</w:t>
            </w:r>
          </w:p>
        </w:tc>
      </w:tr>
      <w:tr w:rsidR="00D5637B" w:rsidRPr="00B357F4" w14:paraId="4211453A" w14:textId="77777777" w:rsidTr="00ED65A9">
        <w:trPr>
          <w:trHeight w:val="301"/>
          <w:jc w:val="center"/>
        </w:trPr>
        <w:tc>
          <w:tcPr>
            <w:tcW w:w="7645" w:type="dxa"/>
            <w:gridSpan w:val="2"/>
            <w:tcBorders>
              <w:top w:val="single" w:sz="4" w:space="0" w:color="000000"/>
            </w:tcBorders>
            <w:shd w:val="clear" w:color="auto" w:fill="auto"/>
            <w:vAlign w:val="center"/>
          </w:tcPr>
          <w:p w14:paraId="1F52AF06" w14:textId="77777777" w:rsidR="00D5637B" w:rsidRPr="00C300D1" w:rsidRDefault="00D5637B" w:rsidP="003729B3">
            <w:pPr>
              <w:spacing w:before="0" w:after="0"/>
              <w:jc w:val="left"/>
            </w:pPr>
            <w:r w:rsidRPr="00C300D1">
              <w:t>*Napomena: PDV nije uključen</w:t>
            </w:r>
          </w:p>
        </w:tc>
      </w:tr>
    </w:tbl>
    <w:p w14:paraId="3FF36053" w14:textId="0D0F85C5" w:rsidR="00D5637B" w:rsidRPr="00B357F4" w:rsidRDefault="009D589E" w:rsidP="00D5637B">
      <w:pPr>
        <w:rPr>
          <w:lang w:eastAsia="hr-HR"/>
        </w:rPr>
      </w:pPr>
      <w:r>
        <w:rPr>
          <w:lang w:eastAsia="hr-HR"/>
        </w:rPr>
        <w:t>Obnova vanjske ovojnice zgrade uz ugradnju toplinske izolacije</w:t>
      </w:r>
      <w:r w:rsidR="002A79B2">
        <w:rPr>
          <w:lang w:eastAsia="hr-HR"/>
        </w:rPr>
        <w:t xml:space="preserve"> najčešće rezultira potrebom za redimenzioniranje tehničkih sustava u zgradi, s obzirom na smanjene energetske potrebe.</w:t>
      </w:r>
      <w:r>
        <w:rPr>
          <w:lang w:eastAsia="hr-HR"/>
        </w:rPr>
        <w:t xml:space="preserve"> </w:t>
      </w:r>
      <w:r w:rsidR="3CB17A58" w:rsidRPr="00B357F4">
        <w:rPr>
          <w:lang w:eastAsia="hr-HR"/>
        </w:rPr>
        <w:t>Modernizacija</w:t>
      </w:r>
      <w:r w:rsidR="6A0BE537" w:rsidRPr="00B357F4">
        <w:rPr>
          <w:lang w:eastAsia="hr-HR"/>
        </w:rPr>
        <w:t>/</w:t>
      </w:r>
      <w:r w:rsidR="16FE3CDD" w:rsidRPr="00B357F4">
        <w:rPr>
          <w:lang w:eastAsia="hr-HR"/>
        </w:rPr>
        <w:t>zamjena</w:t>
      </w:r>
      <w:r w:rsidR="3CB17A58" w:rsidRPr="00B357F4">
        <w:rPr>
          <w:lang w:eastAsia="hr-HR"/>
        </w:rPr>
        <w:t xml:space="preserve"> tehničkih sustava u zgradi </w:t>
      </w:r>
      <w:r w:rsidR="00AA48EC">
        <w:rPr>
          <w:lang w:eastAsia="hr-HR"/>
        </w:rPr>
        <w:t>uključena je u gotovo sve scenarije obnove dane u poglavlju</w:t>
      </w:r>
      <w:r w:rsidR="00066315">
        <w:rPr>
          <w:lang w:eastAsia="hr-HR"/>
        </w:rPr>
        <w:t xml:space="preserve"> 6. </w:t>
      </w:r>
      <w:r w:rsidR="00B44D60">
        <w:rPr>
          <w:lang w:eastAsia="hr-HR"/>
        </w:rPr>
        <w:t xml:space="preserve">a osim </w:t>
      </w:r>
      <w:r w:rsidR="00D234E6">
        <w:rPr>
          <w:lang w:eastAsia="hr-HR"/>
        </w:rPr>
        <w:t>veće učinkovitosti sustava podrazumijeva i korištenje obnovljivih izvora energije u najvećoj mogućoj mjeri</w:t>
      </w:r>
      <w:r w:rsidR="00132045">
        <w:rPr>
          <w:lang w:eastAsia="hr-HR"/>
        </w:rPr>
        <w:t xml:space="preserve">. </w:t>
      </w:r>
      <w:r w:rsidR="00500267">
        <w:rPr>
          <w:lang w:eastAsia="hr-HR"/>
        </w:rPr>
        <w:t>U</w:t>
      </w:r>
      <w:r w:rsidR="3CB17A58" w:rsidRPr="00B357F4">
        <w:rPr>
          <w:lang w:eastAsia="hr-HR"/>
        </w:rPr>
        <w:t xml:space="preserve"> nastavku</w:t>
      </w:r>
      <w:r w:rsidR="00132045">
        <w:rPr>
          <w:lang w:eastAsia="hr-HR"/>
        </w:rPr>
        <w:t xml:space="preserve"> </w:t>
      </w:r>
      <w:r w:rsidR="3CB17A58" w:rsidRPr="00B357F4">
        <w:rPr>
          <w:lang w:eastAsia="hr-HR"/>
        </w:rPr>
        <w:t>je dan pregled investicije u modernizaciju</w:t>
      </w:r>
      <w:r w:rsidR="0845BC2D" w:rsidRPr="00B357F4">
        <w:rPr>
          <w:lang w:eastAsia="hr-HR"/>
        </w:rPr>
        <w:t>/zamjenu</w:t>
      </w:r>
      <w:r w:rsidR="3CB17A58" w:rsidRPr="00B357F4">
        <w:rPr>
          <w:lang w:eastAsia="hr-HR"/>
        </w:rPr>
        <w:t xml:space="preserve"> tehničkih sustava u zgradama pri primjeni navedene mjere u periodu do 2030. godine, što će rezultirati povećanjem proizvodnje ili uvoza istih (</w:t>
      </w:r>
      <w:r w:rsidR="00D5637B" w:rsidRPr="00203A80">
        <w:rPr>
          <w:lang w:eastAsia="hr-HR"/>
        </w:rPr>
        <w:fldChar w:fldCharType="begin"/>
      </w:r>
      <w:r w:rsidR="00D5637B" w:rsidRPr="00B357F4">
        <w:rPr>
          <w:lang w:eastAsia="hr-HR"/>
        </w:rPr>
        <w:instrText xml:space="preserve"> REF _Ref25656408 \h  \* MERGEFORMAT </w:instrText>
      </w:r>
      <w:r w:rsidR="00D5637B" w:rsidRPr="00203A80">
        <w:rPr>
          <w:lang w:eastAsia="hr-HR"/>
        </w:rPr>
      </w:r>
      <w:r w:rsidR="00D5637B" w:rsidRPr="00203A80">
        <w:rPr>
          <w:lang w:eastAsia="hr-HR"/>
        </w:rPr>
        <w:fldChar w:fldCharType="separate"/>
      </w:r>
      <w:r w:rsidR="0023635D" w:rsidRPr="00B357F4">
        <w:t xml:space="preserve">Tablica </w:t>
      </w:r>
      <w:r w:rsidR="0023635D">
        <w:rPr>
          <w:lang w:eastAsia="hr-HR"/>
        </w:rPr>
        <w:t>9</w:t>
      </w:r>
      <w:r w:rsidR="0023635D">
        <w:rPr>
          <w:lang w:eastAsia="hr-HR"/>
        </w:rPr>
        <w:noBreakHyphen/>
        <w:t>3</w:t>
      </w:r>
      <w:r w:rsidR="00D5637B" w:rsidRPr="00203A80">
        <w:rPr>
          <w:lang w:eastAsia="hr-HR"/>
        </w:rPr>
        <w:fldChar w:fldCharType="end"/>
      </w:r>
      <w:r w:rsidR="3CB17A58" w:rsidRPr="006734C7">
        <w:rPr>
          <w:lang w:eastAsia="hr-HR"/>
        </w:rPr>
        <w:t>). Najveći udio investicije predviđen je za centralizaciju i modernizaciju</w:t>
      </w:r>
      <w:r w:rsidR="6BB37D5A" w:rsidRPr="00203A80">
        <w:rPr>
          <w:lang w:eastAsia="hr-HR"/>
        </w:rPr>
        <w:t>/zamjenu</w:t>
      </w:r>
      <w:r w:rsidR="3CB17A58" w:rsidRPr="00971F9E">
        <w:rPr>
          <w:lang w:eastAsia="hr-HR"/>
        </w:rPr>
        <w:t xml:space="preserve"> sustava grijanja, dok se značajan udio odnosi na modernizaciju</w:t>
      </w:r>
      <w:r w:rsidR="446E09F1" w:rsidRPr="00B357F4">
        <w:rPr>
          <w:lang w:eastAsia="hr-HR"/>
        </w:rPr>
        <w:t>/zamjenu</w:t>
      </w:r>
      <w:r w:rsidR="3CB17A58" w:rsidRPr="00B357F4">
        <w:rPr>
          <w:lang w:eastAsia="hr-HR"/>
        </w:rPr>
        <w:t xml:space="preserve"> sustava rasvjete</w:t>
      </w:r>
      <w:r w:rsidR="002646C6">
        <w:rPr>
          <w:lang w:eastAsia="hr-HR"/>
        </w:rPr>
        <w:t>, kao i na modernizaciju/zamjenu sustava hlađenja i ventilacije</w:t>
      </w:r>
      <w:r w:rsidR="00D855BB">
        <w:rPr>
          <w:lang w:eastAsia="hr-HR"/>
        </w:rPr>
        <w:t xml:space="preserve"> uz primjenu OIE</w:t>
      </w:r>
    </w:p>
    <w:p w14:paraId="375CF063" w14:textId="343BACA2" w:rsidR="00D5637B" w:rsidRPr="00971F9E" w:rsidRDefault="00D5637B" w:rsidP="00D5637B">
      <w:pPr>
        <w:pStyle w:val="Opisslike"/>
        <w:keepNext/>
      </w:pPr>
      <w:bookmarkStart w:id="202" w:name="_Ref25656408"/>
      <w:bookmarkStart w:id="203" w:name="_Toc64962045"/>
      <w:bookmarkStart w:id="204" w:name="_Toc87949905"/>
      <w:r w:rsidRPr="00B357F4">
        <w:t xml:space="preserve">Tablica </w:t>
      </w:r>
      <w:r>
        <w:fldChar w:fldCharType="begin"/>
      </w:r>
      <w:r>
        <w:instrText>STYLEREF 1 \s</w:instrText>
      </w:r>
      <w:r>
        <w:fldChar w:fldCharType="separate"/>
      </w:r>
      <w:r w:rsidR="0023635D">
        <w:rPr>
          <w:noProof/>
        </w:rPr>
        <w:t>9</w:t>
      </w:r>
      <w:r>
        <w:fldChar w:fldCharType="end"/>
      </w:r>
      <w:r w:rsidR="00166B1A">
        <w:noBreakHyphen/>
      </w:r>
      <w:r>
        <w:fldChar w:fldCharType="begin"/>
      </w:r>
      <w:r>
        <w:instrText>SEQ Tablica \* ARABIC \s 1</w:instrText>
      </w:r>
      <w:r>
        <w:fldChar w:fldCharType="separate"/>
      </w:r>
      <w:r w:rsidR="0023635D">
        <w:rPr>
          <w:noProof/>
        </w:rPr>
        <w:t>3</w:t>
      </w:r>
      <w:r>
        <w:fldChar w:fldCharType="end"/>
      </w:r>
      <w:bookmarkEnd w:id="202"/>
      <w:r w:rsidRPr="006734C7">
        <w:t xml:space="preserve"> </w:t>
      </w:r>
      <w:r w:rsidRPr="00203A80">
        <w:rPr>
          <w:szCs w:val="24"/>
          <w:lang w:eastAsia="hr-HR"/>
        </w:rPr>
        <w:t>Prikaz potrebnih ulaganja u modernizaciju tehničkih sustava u periodu do 2030. godine</w:t>
      </w:r>
      <w:bookmarkEnd w:id="203"/>
      <w:bookmarkEnd w:id="204"/>
    </w:p>
    <w:tbl>
      <w:tblPr>
        <w:tblW w:w="7830" w:type="dxa"/>
        <w:jc w:val="center"/>
        <w:tblCellMar>
          <w:top w:w="15" w:type="dxa"/>
          <w:left w:w="115" w:type="dxa"/>
          <w:bottom w:w="15" w:type="dxa"/>
          <w:right w:w="115" w:type="dxa"/>
        </w:tblCellMar>
        <w:tblLook w:val="04A0" w:firstRow="1" w:lastRow="0" w:firstColumn="1" w:lastColumn="0" w:noHBand="0" w:noVBand="1"/>
      </w:tblPr>
      <w:tblGrid>
        <w:gridCol w:w="5040"/>
        <w:gridCol w:w="2790"/>
      </w:tblGrid>
      <w:tr w:rsidR="00D5637B" w:rsidRPr="00B357F4" w14:paraId="34B7C905" w14:textId="77777777" w:rsidTr="00717AE8">
        <w:trPr>
          <w:trHeight w:val="301"/>
          <w:tblHeader/>
          <w:jc w:val="center"/>
        </w:trPr>
        <w:tc>
          <w:tcPr>
            <w:tcW w:w="5040" w:type="dxa"/>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hideMark/>
          </w:tcPr>
          <w:p w14:paraId="037ED95D" w14:textId="77777777" w:rsidR="00D5637B" w:rsidRPr="00C300D1" w:rsidRDefault="00D5637B" w:rsidP="00132045">
            <w:pPr>
              <w:spacing w:before="0" w:after="0"/>
              <w:rPr>
                <w:b/>
              </w:rPr>
            </w:pPr>
            <w:r w:rsidRPr="00C300D1">
              <w:rPr>
                <w:b/>
              </w:rPr>
              <w:t>Stavka</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hideMark/>
          </w:tcPr>
          <w:p w14:paraId="34657EA1" w14:textId="77777777" w:rsidR="00D5637B" w:rsidRPr="00C300D1" w:rsidRDefault="00D5637B" w:rsidP="00132045">
            <w:pPr>
              <w:spacing w:before="0" w:after="0"/>
              <w:rPr>
                <w:b/>
              </w:rPr>
            </w:pPr>
            <w:r w:rsidRPr="00C300D1">
              <w:rPr>
                <w:b/>
              </w:rPr>
              <w:t>Kumulativ razdoblja do 2030. godine</w:t>
            </w:r>
          </w:p>
        </w:tc>
      </w:tr>
      <w:tr w:rsidR="00D5637B" w:rsidRPr="00B357F4" w14:paraId="5FD5F4C3"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09A79930" w14:textId="6AA5CD08" w:rsidR="00D5637B" w:rsidRPr="00C300D1" w:rsidRDefault="3CB17A58" w:rsidP="00132045">
            <w:pPr>
              <w:spacing w:before="0" w:after="0"/>
            </w:pPr>
            <w:r w:rsidRPr="00C300D1">
              <w:t>Centralizacija i modernizacija</w:t>
            </w:r>
            <w:r w:rsidR="0B7684F1" w:rsidRPr="00C300D1">
              <w:t>/zamjena</w:t>
            </w:r>
            <w:r w:rsidRPr="00C300D1">
              <w:t xml:space="preserve"> sustava grijanja uz, ukoliko je moguće, primjenu OIE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7DAC8E24" w14:textId="5260EC86" w:rsidR="00D5637B" w:rsidRPr="00C300D1" w:rsidRDefault="007B2C45" w:rsidP="00132045">
            <w:pPr>
              <w:spacing w:before="0" w:after="0"/>
              <w:jc w:val="center"/>
            </w:pPr>
            <w:r w:rsidRPr="00C300D1">
              <w:t>1.104.286</w:t>
            </w:r>
            <w:r w:rsidR="00BE2E5B" w:rsidRPr="00C300D1">
              <w:t>.345</w:t>
            </w:r>
          </w:p>
        </w:tc>
      </w:tr>
      <w:tr w:rsidR="00D5637B" w:rsidRPr="00B357F4" w14:paraId="3F14225E"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2E1BB615" w14:textId="75B7AD28" w:rsidR="00D5637B" w:rsidRPr="00C300D1" w:rsidRDefault="00D5637B" w:rsidP="00132045">
            <w:pPr>
              <w:spacing w:before="0" w:after="0"/>
            </w:pPr>
            <w:r w:rsidRPr="00C300D1">
              <w:t>Primjena regulacije i balansiranja sustava grijanja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782503EA" w14:textId="1892E046" w:rsidR="00D5637B" w:rsidRPr="00C300D1" w:rsidRDefault="00E64535" w:rsidP="00132045">
            <w:pPr>
              <w:spacing w:before="0" w:after="0"/>
              <w:jc w:val="center"/>
            </w:pPr>
            <w:r w:rsidRPr="00C300D1">
              <w:t>222.470.379</w:t>
            </w:r>
          </w:p>
        </w:tc>
      </w:tr>
      <w:tr w:rsidR="00D5637B" w:rsidRPr="00B357F4" w14:paraId="6A842EBB"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02773B75" w14:textId="227ABE09" w:rsidR="00D5637B" w:rsidRPr="00C300D1" w:rsidRDefault="3CB17A58" w:rsidP="00132045">
            <w:pPr>
              <w:spacing w:before="0" w:after="0"/>
            </w:pPr>
            <w:r w:rsidRPr="00C300D1">
              <w:t>Centralizacija i modernizacija</w:t>
            </w:r>
            <w:r w:rsidR="53BD4F51" w:rsidRPr="00C300D1">
              <w:t>/zamjena</w:t>
            </w:r>
            <w:r w:rsidRPr="00C300D1">
              <w:t xml:space="preserve"> sustava hlađenja i ventilacije uz primjenu OIE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333099AC" w14:textId="14CFBC77" w:rsidR="00D5637B" w:rsidRPr="00C300D1" w:rsidRDefault="003D70C3" w:rsidP="00132045">
            <w:pPr>
              <w:spacing w:before="0" w:after="0"/>
              <w:jc w:val="center"/>
            </w:pPr>
            <w:r w:rsidRPr="00C300D1">
              <w:t>638.424.644</w:t>
            </w:r>
          </w:p>
        </w:tc>
      </w:tr>
      <w:tr w:rsidR="00D5637B" w:rsidRPr="00B357F4" w14:paraId="280988D0"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6C01A535" w14:textId="59D92554" w:rsidR="00D5637B" w:rsidRPr="00C300D1" w:rsidRDefault="3CB17A58" w:rsidP="00132045">
            <w:pPr>
              <w:spacing w:before="0" w:after="0"/>
            </w:pPr>
            <w:r w:rsidRPr="00C300D1">
              <w:lastRenderedPageBreak/>
              <w:t>Centralizacija i modernizacija</w:t>
            </w:r>
            <w:r w:rsidR="472F121C" w:rsidRPr="00C300D1">
              <w:t>/zamjena</w:t>
            </w:r>
            <w:r w:rsidRPr="00C300D1">
              <w:t xml:space="preserve"> sustava pripreme potrošne tople vode uz primjenu OIE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162BC3F7" w14:textId="0105E36E" w:rsidR="00D5637B" w:rsidRPr="00C300D1" w:rsidRDefault="00013368" w:rsidP="00132045">
            <w:pPr>
              <w:spacing w:before="0" w:after="0"/>
              <w:jc w:val="center"/>
            </w:pPr>
            <w:r w:rsidRPr="00C300D1">
              <w:t>279.682.940</w:t>
            </w:r>
          </w:p>
        </w:tc>
      </w:tr>
      <w:tr w:rsidR="00D5637B" w:rsidRPr="00B357F4" w14:paraId="59AEDC09"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10D2623E" w14:textId="7A79DAFC" w:rsidR="00D5637B" w:rsidRPr="00C300D1" w:rsidRDefault="3CB17A58" w:rsidP="00132045">
            <w:pPr>
              <w:spacing w:before="0" w:after="0"/>
            </w:pPr>
            <w:r w:rsidRPr="00C300D1">
              <w:t>Modernizacija</w:t>
            </w:r>
            <w:r w:rsidR="57055CEC" w:rsidRPr="00C300D1">
              <w:t>/zamjena</w:t>
            </w:r>
            <w:r w:rsidRPr="00C300D1">
              <w:t xml:space="preserve"> sustava rasvjete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720F8D5B" w14:textId="3AD394ED" w:rsidR="00D5637B" w:rsidRPr="00C300D1" w:rsidRDefault="00013368" w:rsidP="00132045">
            <w:pPr>
              <w:spacing w:before="0" w:after="0"/>
              <w:jc w:val="center"/>
            </w:pPr>
            <w:r w:rsidRPr="00C300D1">
              <w:t>849.359.714</w:t>
            </w:r>
          </w:p>
        </w:tc>
      </w:tr>
      <w:tr w:rsidR="00D5637B" w:rsidRPr="00B357F4" w14:paraId="57FFF04D" w14:textId="77777777" w:rsidTr="7082C09D">
        <w:trPr>
          <w:trHeight w:val="301"/>
          <w:jc w:val="center"/>
        </w:trPr>
        <w:tc>
          <w:tcPr>
            <w:tcW w:w="504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hideMark/>
          </w:tcPr>
          <w:p w14:paraId="243C2867" w14:textId="2FD2DCB9" w:rsidR="00D5637B" w:rsidRPr="00C300D1" w:rsidRDefault="00D5637B" w:rsidP="00132045">
            <w:pPr>
              <w:spacing w:before="0" w:after="0"/>
              <w:rPr>
                <w:b/>
              </w:rPr>
            </w:pPr>
            <w:r w:rsidRPr="00C300D1">
              <w:rPr>
                <w:b/>
              </w:rPr>
              <w:t>Ukupan trošak modernizacije tehničkih sustava (</w:t>
            </w:r>
            <w:r w:rsidR="00F772DA" w:rsidRPr="00C300D1">
              <w:rPr>
                <w:b/>
              </w:rPr>
              <w:t>kuna</w:t>
            </w:r>
            <w:r w:rsidRPr="00C300D1">
              <w:rPr>
                <w:b/>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2E6B6CF" w14:textId="2AB6B57B" w:rsidR="00D5637B" w:rsidRPr="00C300D1" w:rsidRDefault="002C4AB4" w:rsidP="00132045">
            <w:pPr>
              <w:spacing w:before="0" w:after="0"/>
              <w:jc w:val="center"/>
              <w:rPr>
                <w:b/>
              </w:rPr>
            </w:pPr>
            <w:r w:rsidRPr="00C300D1">
              <w:rPr>
                <w:b/>
              </w:rPr>
              <w:t>3.094.224.022</w:t>
            </w:r>
          </w:p>
        </w:tc>
      </w:tr>
      <w:tr w:rsidR="00D5637B" w:rsidRPr="00B357F4" w14:paraId="2D564A50" w14:textId="77777777" w:rsidTr="7082C09D">
        <w:trPr>
          <w:trHeight w:val="301"/>
          <w:jc w:val="center"/>
        </w:trPr>
        <w:tc>
          <w:tcPr>
            <w:tcW w:w="7830" w:type="dxa"/>
            <w:gridSpan w:val="2"/>
            <w:tcBorders>
              <w:top w:val="single" w:sz="4" w:space="0" w:color="000000" w:themeColor="text1"/>
            </w:tcBorders>
            <w:shd w:val="clear" w:color="auto" w:fill="auto"/>
            <w:vAlign w:val="center"/>
          </w:tcPr>
          <w:p w14:paraId="10B2904B" w14:textId="77777777" w:rsidR="00D5637B" w:rsidRPr="00C300D1" w:rsidRDefault="00D5637B" w:rsidP="00132045">
            <w:pPr>
              <w:spacing w:before="0" w:after="0"/>
            </w:pPr>
            <w:r w:rsidRPr="00C300D1">
              <w:t>*Napomena: PDV nije uključen</w:t>
            </w:r>
          </w:p>
        </w:tc>
      </w:tr>
    </w:tbl>
    <w:p w14:paraId="5A7B607E" w14:textId="77777777" w:rsidR="008E7FB7" w:rsidRPr="00B357F4" w:rsidRDefault="0AFA74C1" w:rsidP="008E7FB7">
      <w:pPr>
        <w:pStyle w:val="Naslov20"/>
      </w:pPr>
      <w:bookmarkStart w:id="205" w:name="_Toc72156293"/>
      <w:bookmarkStart w:id="206" w:name="_Toc94770043"/>
      <w:r w:rsidRPr="00B357F4">
        <w:t>Procjena učinka na državni proračun</w:t>
      </w:r>
      <w:bookmarkEnd w:id="205"/>
      <w:bookmarkEnd w:id="206"/>
    </w:p>
    <w:p w14:paraId="49AFA9A5" w14:textId="1D7B0398" w:rsidR="00927288" w:rsidRPr="00B357F4" w:rsidRDefault="00DE5A5E" w:rsidP="00927288">
      <w:pPr>
        <w:rPr>
          <w:lang w:eastAsia="hr-HR"/>
        </w:rPr>
      </w:pPr>
      <w:r>
        <w:rPr>
          <w:lang w:eastAsia="hr-HR"/>
        </w:rPr>
        <w:t xml:space="preserve">S obzirom na </w:t>
      </w:r>
      <w:r w:rsidR="00927288" w:rsidRPr="00B357F4">
        <w:rPr>
          <w:lang w:eastAsia="hr-HR"/>
        </w:rPr>
        <w:t xml:space="preserve">iskustva drugih država, investicije u energetsku obnovu zgrada pozitivno utječu na zapošljavanje, </w:t>
      </w:r>
      <w:r w:rsidR="00064E30">
        <w:rPr>
          <w:lang w:eastAsia="hr-HR"/>
        </w:rPr>
        <w:t xml:space="preserve">što se </w:t>
      </w:r>
      <w:r w:rsidR="00927288" w:rsidRPr="00B357F4">
        <w:rPr>
          <w:lang w:eastAsia="hr-HR"/>
        </w:rPr>
        <w:t xml:space="preserve">pogotovo </w:t>
      </w:r>
      <w:r w:rsidR="00064E30">
        <w:rPr>
          <w:lang w:eastAsia="hr-HR"/>
        </w:rPr>
        <w:t xml:space="preserve">odnosi na </w:t>
      </w:r>
      <w:r w:rsidR="00927288" w:rsidRPr="00B357F4">
        <w:rPr>
          <w:lang w:eastAsia="hr-HR"/>
        </w:rPr>
        <w:t xml:space="preserve"> građevinsk</w:t>
      </w:r>
      <w:r w:rsidR="00064E30">
        <w:rPr>
          <w:lang w:eastAsia="hr-HR"/>
        </w:rPr>
        <w:t>i</w:t>
      </w:r>
      <w:r w:rsidR="00927288" w:rsidRPr="00B357F4">
        <w:rPr>
          <w:lang w:eastAsia="hr-HR"/>
        </w:rPr>
        <w:t xml:space="preserve"> sektor</w:t>
      </w:r>
      <w:r w:rsidR="00D4367E">
        <w:rPr>
          <w:lang w:eastAsia="hr-HR"/>
        </w:rPr>
        <w:t xml:space="preserve">. Uz </w:t>
      </w:r>
      <w:r w:rsidR="000447C0">
        <w:rPr>
          <w:lang w:eastAsia="hr-HR"/>
        </w:rPr>
        <w:t xml:space="preserve">direktno zapošljavanje </w:t>
      </w:r>
      <w:r w:rsidR="000447C0" w:rsidRPr="000447C0">
        <w:rPr>
          <w:lang w:eastAsia="hr-HR"/>
        </w:rPr>
        <w:t>zbog potrebe za novim radnim mjestima</w:t>
      </w:r>
      <w:r w:rsidR="00927288" w:rsidRPr="00B357F4">
        <w:rPr>
          <w:lang w:eastAsia="hr-HR"/>
        </w:rPr>
        <w:t xml:space="preserve"> u građevinskom sektoru, </w:t>
      </w:r>
      <w:r w:rsidR="000447C0">
        <w:rPr>
          <w:lang w:eastAsia="hr-HR"/>
        </w:rPr>
        <w:t xml:space="preserve">potrebno je uzeti u obzir i </w:t>
      </w:r>
      <w:r w:rsidR="000447C0" w:rsidRPr="000447C0">
        <w:rPr>
          <w:lang w:eastAsia="hr-HR"/>
        </w:rPr>
        <w:t>zapošljavanje u pratećim industrijama (građevinski materijal, usluge).</w:t>
      </w:r>
      <w:r w:rsidR="00B5679C" w:rsidRPr="00B5679C">
        <w:t xml:space="preserve"> </w:t>
      </w:r>
      <w:r w:rsidR="00B5679C" w:rsidRPr="00B5679C">
        <w:rPr>
          <w:lang w:eastAsia="hr-HR"/>
        </w:rPr>
        <w:t xml:space="preserve">Ulaganja u energetsku obnovu zgrada utječu i na poslovanje različitih drugih sektora kao što su industrija, prijevoz, uslužni sektor i drugo, </w:t>
      </w:r>
      <w:r w:rsidR="000C15FD">
        <w:rPr>
          <w:lang w:eastAsia="hr-HR"/>
        </w:rPr>
        <w:t>što</w:t>
      </w:r>
      <w:r w:rsidR="00B5679C" w:rsidRPr="00B5679C">
        <w:rPr>
          <w:lang w:eastAsia="hr-HR"/>
        </w:rPr>
        <w:t xml:space="preserve"> se očituj</w:t>
      </w:r>
      <w:r w:rsidR="000C15FD">
        <w:rPr>
          <w:lang w:eastAsia="hr-HR"/>
        </w:rPr>
        <w:t>e</w:t>
      </w:r>
      <w:r w:rsidR="00B5679C" w:rsidRPr="00B5679C">
        <w:rPr>
          <w:lang w:eastAsia="hr-HR"/>
        </w:rPr>
        <w:t xml:space="preserve"> u povećanju konkurentnosti, industrijske produktivnosti, kao i povećane kvalitete pruženih usluga.</w:t>
      </w:r>
    </w:p>
    <w:p w14:paraId="2FC1BFBE" w14:textId="420A9627" w:rsidR="00927288" w:rsidRPr="00B357F4" w:rsidRDefault="00BC0A83" w:rsidP="00927288">
      <w:r>
        <w:t xml:space="preserve">Provedba </w:t>
      </w:r>
      <w:r w:rsidR="005713AD">
        <w:t>Program</w:t>
      </w:r>
      <w:r>
        <w:t>a</w:t>
      </w:r>
      <w:r w:rsidR="005713AD">
        <w:t xml:space="preserve"> obnove </w:t>
      </w:r>
      <w:r>
        <w:t>ZJS djelomično ostvaruje ciljeve o</w:t>
      </w:r>
      <w:r w:rsidR="00927288" w:rsidRPr="00B357F4">
        <w:t>bnov</w:t>
      </w:r>
      <w:r>
        <w:t>e</w:t>
      </w:r>
      <w:r w:rsidR="00927288" w:rsidRPr="00B357F4">
        <w:t xml:space="preserve"> nacionalnog fonda zgrada može predstavljati jednu od ključnih politika za poticanje održivog gospodarskog rasta u uvjetima smanjenja broja stanovnika. Poticanjem energetske obnove može se potaknuti smanjenje nezaposlenosti aktiviranjem neaktivnog dijela radno sposobnog stanovništva</w:t>
      </w:r>
      <w:r w:rsidR="00133BC0">
        <w:t xml:space="preserve">, kao i </w:t>
      </w:r>
      <w:r w:rsidR="003C730F">
        <w:t>smanjenje iseljavanja</w:t>
      </w:r>
      <w:r w:rsidR="0055279C">
        <w:t xml:space="preserve"> radno sposobnog stanovništva</w:t>
      </w:r>
      <w:r w:rsidR="00927288" w:rsidRPr="00B357F4">
        <w:t>.</w:t>
      </w:r>
    </w:p>
    <w:p w14:paraId="5D48C3EB" w14:textId="49776F3F" w:rsidR="00927288" w:rsidRPr="00971F9E" w:rsidRDefault="00927288" w:rsidP="00927288">
      <w:r w:rsidRPr="00B357F4">
        <w:t>Troškovi ulaganja u obnovu zgrada javnog sektora sastoje se od dva elementa</w:t>
      </w:r>
      <w:r w:rsidR="00646AF3">
        <w:t>.</w:t>
      </w:r>
      <w:r w:rsidRPr="00B357F4">
        <w:t xml:space="preserve"> Početno ulaganje predstavlja umnožak obuhvaćene površine zgrada i investicijskih </w:t>
      </w:r>
      <w:r w:rsidR="00646AF3">
        <w:t>ulaganja</w:t>
      </w:r>
      <w:r w:rsidR="00646AF3" w:rsidRPr="00B357F4">
        <w:t xml:space="preserve"> </w:t>
      </w:r>
      <w:r w:rsidRPr="00B357F4">
        <w:t xml:space="preserve">za obnovu prema </w:t>
      </w:r>
      <w:r w:rsidR="00646AF3">
        <w:t>predloženim scenarijima</w:t>
      </w:r>
      <w:r w:rsidRPr="00B357F4">
        <w:t xml:space="preserve"> obnove. Troškovi održavanja procijenjeni su na 5,5% </w:t>
      </w:r>
      <w:r w:rsidRPr="006734C7">
        <w:t xml:space="preserve">kumulativnog iznosa ulaganja. Investicije u </w:t>
      </w:r>
      <w:r w:rsidR="0032028A">
        <w:t>modernizaciju/</w:t>
      </w:r>
      <w:r w:rsidRPr="006734C7">
        <w:t>zamjenu sustava nisu obuhvaćene potrebnim ulaganjem unutar ovog Programa zbog njegove kratkoroč</w:t>
      </w:r>
      <w:r w:rsidRPr="00203A80">
        <w:t>nosti. Tekuće investicijsko održavanje s vremenom postaje važnija odrednica ukupnih ulaganja od početnih investicija.</w:t>
      </w:r>
    </w:p>
    <w:p w14:paraId="12F23CBB" w14:textId="36D4AC60" w:rsidR="00927288" w:rsidRPr="00B357F4" w:rsidRDefault="00927288" w:rsidP="00927288">
      <w:r w:rsidRPr="00B357F4">
        <w:t xml:space="preserve">Ulaganja </w:t>
      </w:r>
      <w:r w:rsidR="00BD6989">
        <w:t>u obnovu ZJS</w:t>
      </w:r>
      <w:r w:rsidRPr="00B357F4">
        <w:t xml:space="preserve"> znatno utječu na BDP, zaposlenost i prihode državnog proračuna, s izravnim utjecajem na zapošljavanje u građevinskom sektoru. Utjecaj je naj</w:t>
      </w:r>
      <w:r w:rsidR="00511619">
        <w:t>manj</w:t>
      </w:r>
      <w:r w:rsidRPr="00B357F4">
        <w:t xml:space="preserve">i na početku razdoblja  ulaganja, s obzirom na </w:t>
      </w:r>
      <w:r w:rsidR="000C7D6A">
        <w:t xml:space="preserve">postepenu </w:t>
      </w:r>
      <w:r w:rsidRPr="00B357F4">
        <w:t xml:space="preserve">mobilizaciju poduzetnika i radnika. S vremenom se </w:t>
      </w:r>
      <w:r w:rsidR="000C7D6A">
        <w:t>povećava</w:t>
      </w:r>
      <w:r w:rsidRPr="00B357F4">
        <w:t xml:space="preserve">, </w:t>
      </w:r>
      <w:r w:rsidR="00E66422">
        <w:t xml:space="preserve">s obzirom na </w:t>
      </w:r>
      <w:r w:rsidR="003A38E9">
        <w:t>već</w:t>
      </w:r>
      <w:r w:rsidR="00E66422">
        <w:t>u</w:t>
      </w:r>
      <w:r w:rsidR="003A38E9">
        <w:t xml:space="preserve"> stop</w:t>
      </w:r>
      <w:r w:rsidR="00E66422">
        <w:t>u</w:t>
      </w:r>
      <w:r w:rsidR="003A38E9">
        <w:t xml:space="preserve"> obnove i</w:t>
      </w:r>
      <w:r w:rsidR="00E66422">
        <w:t xml:space="preserve"> sve većim potrebama za održavanjem</w:t>
      </w:r>
      <w:r w:rsidRPr="00B357F4">
        <w:t xml:space="preserve"> sukladno promjenama strukture ulaganja. Također, s vremenom dolazi do tehnološkog napretka, što uzrokuje smanjuje broja novih radnih mjesta koja se otvaraju po novčanoj jedinici novih ulaganja</w:t>
      </w:r>
      <w:r w:rsidR="000F2ED8">
        <w:t>.</w:t>
      </w:r>
      <w:r w:rsidRPr="00B357F4">
        <w:t xml:space="preserve"> </w:t>
      </w:r>
    </w:p>
    <w:p w14:paraId="7E53C4E4" w14:textId="2A75D860" w:rsidR="00927288" w:rsidRPr="00B357F4" w:rsidRDefault="00927288" w:rsidP="00927288">
      <w:r w:rsidRPr="00B357F4">
        <w:t xml:space="preserve">Prema podacima iz Dugoročne strategije obnove nacionalnog fonda zgrada Republike Hrvatske do 2050. godine, zbog investicija u obnovu zgrada očekuje se da projicirani porast bruto dodane vrijednosti građevinarstva čini čak 34% i 42% ukupnog porasta bruto dodane vrijednosti u prvom (2021.-2030.), odnosno drugom, analiziranom razdoblju (2031.-2050.). Ukupan broj zaposlenih u navedenom sektoru povećat će se, procjenjuje se za 49.066 u razdoblju od 2021. godine do 2030. godine, odnosno za 44.083 u razdoblju od 2031. godine do 2050. godine. Pritom projicirani porast zaposlenosti građevinarstva čini čak 47% i 56% ukupnog porasta zaposlenosti u prvom, odnosno drugom, analiziranom razdoblju. </w:t>
      </w:r>
    </w:p>
    <w:p w14:paraId="3F450511" w14:textId="478EE196" w:rsidR="00927288" w:rsidRPr="00B357F4" w:rsidRDefault="00927288" w:rsidP="00927288">
      <w:r w:rsidRPr="00B357F4">
        <w:t xml:space="preserve">Prije prikaza ostalih koristi obnove zgrada javnog sektora, treba skrenuti pažnju na potencijale i ograničenja građevinske industrije. Građevinarstvo i srodne tehnološke industrije koje proizvode instalacijske proizvode i usluge određuju reakciju ponude na investicijsku potražnju u slučaju provedbe ovog Programa. </w:t>
      </w:r>
      <w:r w:rsidR="00722AE0">
        <w:t>Prema Dugoročnoj st</w:t>
      </w:r>
      <w:r w:rsidR="00245795">
        <w:t>rategiji, t</w:t>
      </w:r>
      <w:r w:rsidRPr="00B357F4">
        <w:t xml:space="preserve">reba uzeti u obzir da su građevinske aktivnosti na zgradama i dalje koncentrirane u novogradnji, iako aktivnost u sektoru obnove raste brže nego u novogradnjama zadnjih godina, što je prirodna posljedica smanjenje potražnje za novogradnjama (zbog smanjenja broja i starenja stanovništva) te provođenja postojećih programa obnove zgrada. Međutim, sukladno ciljevima Dugoročne strategije i postojećim programima obnove, u ovom segmentu treba doći do </w:t>
      </w:r>
      <w:r w:rsidR="009A6FA5">
        <w:t>znatnog</w:t>
      </w:r>
      <w:r w:rsidRPr="00B357F4">
        <w:t xml:space="preserve"> povećanja aktivnosti u dugom roku. Potrebna je velika mobilizacija resursa koja se neće dogoditi spontanim tržišnim procesima, već su nužne koordinirane mjere koje će na strani potražnje stvoriti poticaje za ulaganja u obnovu zgrada, a na strani ponude poticaje za premještanje resursa u građevinske aktivnosti u zgradarstvu.</w:t>
      </w:r>
      <w:r w:rsidR="00392933">
        <w:t xml:space="preserve"> Dodatni poticaj</w:t>
      </w:r>
      <w:r w:rsidR="009759E1">
        <w:t xml:space="preserve"> ulaganju u obnovu zgrada</w:t>
      </w:r>
      <w:r w:rsidR="002055AC">
        <w:t xml:space="preserve">, s obzirom na scenarije sveobuhvatne obnove detaljno opisane u Poglavlju 6., </w:t>
      </w:r>
      <w:r w:rsidR="009759E1">
        <w:t xml:space="preserve">svakako </w:t>
      </w:r>
      <w:r w:rsidR="006D627E">
        <w:t>su</w:t>
      </w:r>
      <w:r w:rsidR="00B85589">
        <w:t xml:space="preserve"> </w:t>
      </w:r>
      <w:r w:rsidR="00067857">
        <w:t>zahtjevi</w:t>
      </w:r>
      <w:r w:rsidR="006D627E">
        <w:t xml:space="preserve"> vezani uz protupožarnu zaštitu</w:t>
      </w:r>
      <w:r w:rsidR="005C4866">
        <w:t xml:space="preserve"> te pogotovo zahtjevi vezani uz protupotresno ojačanje </w:t>
      </w:r>
      <w:r w:rsidR="007E2262">
        <w:lastRenderedPageBreak/>
        <w:t xml:space="preserve">koje je, sukladno </w:t>
      </w:r>
      <w:r w:rsidR="007E2262" w:rsidRPr="00C300D1">
        <w:rPr>
          <w:i/>
          <w:iCs/>
        </w:rPr>
        <w:t>Direktivi</w:t>
      </w:r>
      <w:r w:rsidR="009E74D9" w:rsidRPr="00C300D1">
        <w:rPr>
          <w:i/>
          <w:iCs/>
        </w:rPr>
        <w:t xml:space="preserve"> (EU) 2018/844</w:t>
      </w:r>
      <w:r w:rsidR="007E2262">
        <w:t xml:space="preserve">, potrebno u što većoj mjeri </w:t>
      </w:r>
      <w:r w:rsidR="009E74D9">
        <w:t>uključiti kod energetske obnove zgrada</w:t>
      </w:r>
      <w:r w:rsidR="005654E4">
        <w:t xml:space="preserve"> te za kojima se i u praksi u zadnje vrijeme pokazala nužna potreba</w:t>
      </w:r>
      <w:r w:rsidR="009E74D9">
        <w:t xml:space="preserve">. </w:t>
      </w:r>
    </w:p>
    <w:p w14:paraId="15CDE493" w14:textId="4092F177" w:rsidR="00927288" w:rsidRPr="00B357F4" w:rsidRDefault="00420016" w:rsidP="00927288">
      <w:r>
        <w:t>Veći dio</w:t>
      </w:r>
      <w:r w:rsidR="00927288" w:rsidRPr="00B357F4">
        <w:t xml:space="preserve"> koristi obnove zgrada </w:t>
      </w:r>
      <w:r w:rsidR="00101E13" w:rsidRPr="00B357F4">
        <w:t>javnog sektora</w:t>
      </w:r>
      <w:r w:rsidR="00927288" w:rsidRPr="00B357F4">
        <w:t xml:space="preserve"> nije moguće kvantitativno procijeniti, međutim može ih se </w:t>
      </w:r>
      <w:r w:rsidR="002335F3">
        <w:t>navesti</w:t>
      </w:r>
      <w:r w:rsidR="002335F3" w:rsidRPr="00B357F4">
        <w:t xml:space="preserve"> </w:t>
      </w:r>
      <w:r w:rsidR="00927288" w:rsidRPr="00B357F4">
        <w:t>s obzirom na pozitivni utjecaj na okoliš, zdravlje ljudi, energetsku sigurnost, urbanu regeneraciju, primjenu naprednih tehnoloških rješenja i smanjenje energetskog siromaštva.</w:t>
      </w:r>
    </w:p>
    <w:p w14:paraId="5E69311C" w14:textId="75262C44" w:rsidR="00927288" w:rsidRPr="00B357F4" w:rsidRDefault="00927288" w:rsidP="00927288">
      <w:r w:rsidRPr="00B357F4">
        <w:t xml:space="preserve">Očekuje se da će Program obnove zgrada </w:t>
      </w:r>
      <w:r w:rsidR="00101E13" w:rsidRPr="00B357F4">
        <w:t>javnog sektora</w:t>
      </w:r>
      <w:r w:rsidRPr="00B357F4">
        <w:t xml:space="preserve"> imati ulogu katalizatora u porastu </w:t>
      </w:r>
      <w:r w:rsidR="00387397">
        <w:t>vrijednosti</w:t>
      </w:r>
      <w:r w:rsidR="00387397" w:rsidRPr="00B357F4">
        <w:t xml:space="preserve"> </w:t>
      </w:r>
      <w:r w:rsidRPr="00B357F4">
        <w:t>nekretnina. Energetska obnova zgrada dovodi do energetskih i troškovnih ušteda</w:t>
      </w:r>
      <w:r w:rsidR="006E4EFD">
        <w:t xml:space="preserve"> te</w:t>
      </w:r>
      <w:r w:rsidRPr="00B357F4">
        <w:t xml:space="preserve"> povećanja </w:t>
      </w:r>
      <w:r w:rsidR="006C1A1B">
        <w:t>osjećaja ugode</w:t>
      </w:r>
      <w:r w:rsidRPr="00B357F4">
        <w:t xml:space="preserve"> </w:t>
      </w:r>
      <w:r w:rsidR="00F17E88">
        <w:t>korisnika</w:t>
      </w:r>
      <w:r w:rsidR="006E4EFD">
        <w:t xml:space="preserve"> zgrada</w:t>
      </w:r>
      <w:r w:rsidRPr="00B357F4">
        <w:t xml:space="preserve">, što se može odražavati u vrijednosti nekretnina. Pozitivni učinci </w:t>
      </w:r>
      <w:r w:rsidR="001B395E">
        <w:t>mogu imati još i veći utjecaj</w:t>
      </w:r>
      <w:r w:rsidRPr="00B357F4">
        <w:t xml:space="preserve">, osobito u krajevima koji žive od turizma, gdje opći dojam o zgradama također može funkcionirati kao faktor privlačnosti određene lokacije. </w:t>
      </w:r>
    </w:p>
    <w:p w14:paraId="53D8F696" w14:textId="77777777" w:rsidR="00927288" w:rsidRPr="00B357F4" w:rsidRDefault="00927288" w:rsidP="00927288">
      <w:r w:rsidRPr="00B357F4">
        <w:t xml:space="preserve">Među pozitivnim utjecajima obnove zgrada ističu se sigurnost i smanjenje rizika za zdravlje ljudi, s obzirom na dugoročni trend smanjenja broja stanovnika i potrebe aktiviranja neaktivnog dijela radno sposobnog stanovništva. Poboljšanje zdravlja stanovništva i porast ekonomske aktivnosti imaju pozitivan utjecaj na proračun uslijed smanjenja rashoda za nezaposlene i subvencija za potrošnju fosilnih goriva i tehnologija obnovljivih izvora energije, kao i porasta poreznih prihoda (PDV, porez na dobit, porez na dohodak). Unaprjeđenje kvalitete života i zdravlja, najviše je posljedica poboljšanja kvalitete zraka u zgradama uzrokovanog poboljšanjem vanjske ovojnice zgrade i tehničkih sustava u zgradama. Ukoliko se uz unaprjeđenje kvalitete života na osnovu ovog Programa postigne i vraćanje aktivnosti u prethodno zapuštene dijelove grada, može se reći da se radi o urbanoj regeneraciji takvih područja. </w:t>
      </w:r>
    </w:p>
    <w:p w14:paraId="541024B0" w14:textId="384B56FE" w:rsidR="00927288" w:rsidRPr="00B357F4" w:rsidRDefault="00927288" w:rsidP="00927288">
      <w:pPr>
        <w:rPr>
          <w:rStyle w:val="normaltextrun"/>
        </w:rPr>
      </w:pPr>
      <w:r w:rsidRPr="00B357F4">
        <w:rPr>
          <w:rStyle w:val="normaltextrun"/>
        </w:rPr>
        <w:t xml:space="preserve">Provedba energetske obnove zgrada smanjuje energetske potrebe, čime se smanjuje ovisnost o uvozu energije, povećava sigurnost opskrbe energijom, smanjuje potreba za izgradnjom novih postrojenja za proizvodnju energije te pridonosi ispunjavanju nacionalnih ciljeva povećanja energetske učinkovitosti. </w:t>
      </w:r>
    </w:p>
    <w:p w14:paraId="3CB2A2D0" w14:textId="77777777" w:rsidR="00927288" w:rsidRPr="00B357F4" w:rsidRDefault="00927288" w:rsidP="00927288">
      <w:r w:rsidRPr="00B357F4">
        <w:t xml:space="preserve">Potrebno je istaknuti kako energetska obnova znatno utječe na integraciju pametnih rješenja u zgrade, sukladno budućim obvezama koje nalaže </w:t>
      </w:r>
      <w:r w:rsidRPr="00B357F4">
        <w:rPr>
          <w:i/>
        </w:rPr>
        <w:t>Direktiva (EU) 2018/844.</w:t>
      </w:r>
      <w:r w:rsidRPr="00B357F4">
        <w:t xml:space="preserve"> Pri energetskoj obnovi svake zgrade moguće je implementirati sustav praćenja i upravljanja potrošnjom energije i vode, ugradnju digitalne infrastrukture (svjetlovodno kabliranje), dok je, ukoliko je obnovom zgrade uključeno i parkiralište, potrebno obratiti pozornost na nove zahtjeve Direktive vezane uz osiguranje mjesta za punjenje električnih automobila.</w:t>
      </w:r>
    </w:p>
    <w:p w14:paraId="056ED12D" w14:textId="0433E1EE" w:rsidR="008E7FB7" w:rsidRPr="00B357F4" w:rsidRDefault="008E7FB7" w:rsidP="008E7FB7">
      <w:pPr>
        <w:rPr>
          <w:lang w:eastAsia="hr-HR"/>
        </w:rPr>
      </w:pPr>
    </w:p>
    <w:p w14:paraId="2A797A8E" w14:textId="77777777" w:rsidR="008E7FB7" w:rsidRPr="00B357F4" w:rsidRDefault="008E7FB7" w:rsidP="008E7FB7">
      <w:pPr>
        <w:rPr>
          <w:lang w:eastAsia="hr-HR"/>
        </w:rPr>
      </w:pPr>
    </w:p>
    <w:p w14:paraId="431FAEF4" w14:textId="5CB581F7" w:rsidR="001A0B66" w:rsidRPr="004B09BD" w:rsidRDefault="004B09BD" w:rsidP="009F295F">
      <w:pPr>
        <w:pStyle w:val="Naslov10"/>
      </w:pPr>
      <w:bookmarkStart w:id="207" w:name="_Toc94770044"/>
      <w:r w:rsidRPr="009F295F">
        <w:lastRenderedPageBreak/>
        <w:t>Praćenje, mjerenje i verifikacija</w:t>
      </w:r>
      <w:bookmarkEnd w:id="207"/>
    </w:p>
    <w:p w14:paraId="42D05788" w14:textId="48D14127" w:rsidR="005B53E9" w:rsidRPr="00B357F4" w:rsidRDefault="005B53E9" w:rsidP="005B53E9">
      <w:pPr>
        <w:rPr>
          <w:lang w:eastAsia="hr-HR"/>
        </w:rPr>
      </w:pPr>
      <w:r w:rsidRPr="00B357F4">
        <w:rPr>
          <w:lang w:eastAsia="hr-HR"/>
        </w:rPr>
        <w:t>Okvir za praćenje i vrednovanje akata strateškog planiranja definiran je Pravilnikom o rokovima i postupcima praćenja i izvještavanja o provedbi akata strateškog planiranja od nacionalnog značaja i od značaja za jedinice lokalne i područne (regionalne) samouprave (</w:t>
      </w:r>
      <w:r w:rsidR="003957FA">
        <w:rPr>
          <w:lang w:eastAsia="hr-HR"/>
        </w:rPr>
        <w:t>Narodne novine</w:t>
      </w:r>
      <w:r w:rsidR="00FE0509">
        <w:rPr>
          <w:lang w:eastAsia="hr-HR"/>
        </w:rPr>
        <w:t>,</w:t>
      </w:r>
      <w:r w:rsidR="003957FA">
        <w:rPr>
          <w:lang w:eastAsia="hr-HR"/>
        </w:rPr>
        <w:t xml:space="preserve"> broj</w:t>
      </w:r>
      <w:r w:rsidRPr="00B357F4">
        <w:rPr>
          <w:lang w:eastAsia="hr-HR"/>
        </w:rPr>
        <w:t xml:space="preserve"> 6/19) te Pravilnikom o provedbi postupka vrednovanja (</w:t>
      </w:r>
      <w:r w:rsidR="003957FA">
        <w:rPr>
          <w:lang w:eastAsia="hr-HR"/>
        </w:rPr>
        <w:t>Narodne novine</w:t>
      </w:r>
      <w:r w:rsidR="00FE0509">
        <w:rPr>
          <w:lang w:eastAsia="hr-HR"/>
        </w:rPr>
        <w:t>,</w:t>
      </w:r>
      <w:r w:rsidR="003957FA">
        <w:rPr>
          <w:lang w:eastAsia="hr-HR"/>
        </w:rPr>
        <w:t xml:space="preserve"> broj</w:t>
      </w:r>
      <w:r w:rsidRPr="00B357F4">
        <w:rPr>
          <w:lang w:eastAsia="hr-HR"/>
        </w:rPr>
        <w:t xml:space="preserve"> 66/19). Tri su ključna elementa ovog okvira:</w:t>
      </w:r>
    </w:p>
    <w:p w14:paraId="4DBAC982" w14:textId="77777777" w:rsidR="005B53E9" w:rsidRPr="00B357F4" w:rsidRDefault="0D425FD6" w:rsidP="00725AB0">
      <w:pPr>
        <w:pStyle w:val="Odlomakpopisa"/>
        <w:numPr>
          <w:ilvl w:val="0"/>
          <w:numId w:val="37"/>
        </w:numPr>
      </w:pPr>
      <w:r w:rsidRPr="00B357F4">
        <w:t xml:space="preserve">Praćenje provedbe akata strateškog planiranja - proces prikupljanja, analize i usporedbe pokazatelja kojima se sustavno prati uspješnost provedbe ciljeva i mjera akata strateškog planiranja; </w:t>
      </w:r>
    </w:p>
    <w:p w14:paraId="11D1568C" w14:textId="77777777" w:rsidR="005B53E9" w:rsidRPr="00B357F4" w:rsidRDefault="0D425FD6" w:rsidP="00725AB0">
      <w:pPr>
        <w:pStyle w:val="Odlomakpopisa"/>
        <w:numPr>
          <w:ilvl w:val="0"/>
          <w:numId w:val="37"/>
        </w:numPr>
      </w:pPr>
      <w:r w:rsidRPr="00B357F4">
        <w:t>Izvještavanje o provedbi akata strateškog planiranja -  proces pružanja pravovremenih i relevantnih informacija ključnim nositeljima strateškog planiranja na nacionalnoj razini i razini lokalne i područne (regionalne) samouprave te široj javnosti o statusu provedbe akata strateškog planiranja;</w:t>
      </w:r>
    </w:p>
    <w:p w14:paraId="26F1F5EE" w14:textId="77777777" w:rsidR="005B53E9" w:rsidRPr="00B357F4" w:rsidRDefault="0D425FD6" w:rsidP="00725AB0">
      <w:pPr>
        <w:pStyle w:val="Odlomakpopisa"/>
        <w:numPr>
          <w:ilvl w:val="0"/>
          <w:numId w:val="37"/>
        </w:numPr>
      </w:pPr>
      <w:r w:rsidRPr="00B357F4">
        <w:t>Vrednovanje akata strateškog planiranja - neovisna usporedba i ocjena očekivanih i ostvarenih rezultata, ishoda i učinaka provedbe akata strateškog planiranja.</w:t>
      </w:r>
    </w:p>
    <w:p w14:paraId="2B74605D" w14:textId="730C60DB" w:rsidR="005B53E9" w:rsidRPr="00B357F4" w:rsidRDefault="005B53E9" w:rsidP="005B53E9">
      <w:pPr>
        <w:rPr>
          <w:lang w:eastAsia="hr-HR"/>
        </w:rPr>
      </w:pPr>
      <w:r w:rsidRPr="00B357F4">
        <w:rPr>
          <w:lang w:eastAsia="hr-HR"/>
        </w:rPr>
        <w:t xml:space="preserve">Ovaj Program predstavlja detaljniju razradu mjere politike definirane u strateškim dokumentima višeg reda, misleći pri tome primarno na Dugoročnu strategiju obnove </w:t>
      </w:r>
      <w:r w:rsidR="0055629B">
        <w:rPr>
          <w:lang w:eastAsia="hr-HR"/>
        </w:rPr>
        <w:t xml:space="preserve">nacionalnog </w:t>
      </w:r>
      <w:r w:rsidRPr="00B357F4">
        <w:rPr>
          <w:lang w:eastAsia="hr-HR"/>
        </w:rPr>
        <w:t>fonda zgrada do 2050. godine kao Integriranog nacionalnog energetskog i klimatskog plana, u kojemu je izrijekom definiran kao alternativna mjera politike u skladu s člankom 12.a, stavkom 4. Zakona o energetskoj učinkovitosti (</w:t>
      </w:r>
      <w:r w:rsidR="0055629B">
        <w:rPr>
          <w:lang w:eastAsia="hr-HR"/>
        </w:rPr>
        <w:t>Narodne novine</w:t>
      </w:r>
      <w:r w:rsidR="00FE0509">
        <w:rPr>
          <w:lang w:eastAsia="hr-HR"/>
        </w:rPr>
        <w:t>,</w:t>
      </w:r>
      <w:r w:rsidR="0055629B" w:rsidRPr="00B357F4">
        <w:rPr>
          <w:lang w:eastAsia="hr-HR"/>
        </w:rPr>
        <w:t xml:space="preserve"> </w:t>
      </w:r>
      <w:r w:rsidRPr="00B357F4">
        <w:rPr>
          <w:lang w:eastAsia="hr-HR"/>
        </w:rPr>
        <w:t>br</w:t>
      </w:r>
      <w:r w:rsidR="00FE0509">
        <w:rPr>
          <w:lang w:eastAsia="hr-HR"/>
        </w:rPr>
        <w:t>oj</w:t>
      </w:r>
      <w:r w:rsidR="00FE0509" w:rsidRPr="00B357F4">
        <w:rPr>
          <w:lang w:eastAsia="hr-HR"/>
        </w:rPr>
        <w:t xml:space="preserve"> </w:t>
      </w:r>
      <w:r w:rsidRPr="00B357F4">
        <w:rPr>
          <w:lang w:eastAsia="hr-HR"/>
        </w:rPr>
        <w:t xml:space="preserve">127/14, 116/18, 25/20, 32/21, 41/21). Stoga, osim gore navedenih pravilnika iz domene strateškog planiranja, okvir za praćenje, izvještavanje i vrednovanje ovog Programa utemeljen je i u Zakonu o energetskoj učinkovitosti kao i Pravilniku o sustavu za praćenje, mjerenje i verifikaciju ušteda energije koji proizlazi iz ovoga Zakona. </w:t>
      </w:r>
    </w:p>
    <w:p w14:paraId="2AA18C67" w14:textId="3CEC991C" w:rsidR="005B53E9" w:rsidRPr="00B357F4" w:rsidRDefault="005B53E9" w:rsidP="005B53E9">
      <w:r w:rsidRPr="00B357F4">
        <w:t xml:space="preserve">Zakonom i Pravilnikom uspostavljena je internetska platforma (SMiV – Sustav za mjerenje i </w:t>
      </w:r>
      <w:r w:rsidR="0055629B" w:rsidRPr="00B357F4">
        <w:t>verifikaciju</w:t>
      </w:r>
      <w:r w:rsidRPr="00B357F4">
        <w:t xml:space="preserve"> ušteda energije) predstavlja bazu provedenih projekata energetske učinkovitosti te omogućava izračun ušteda energije na temelju propisane metodologije odozdo-prema-gore. Vođenje SMiV-a u nadležnosti je Nacionalnog koordinacijskog tijela(NKT) za energetsku učinkovitosti, koje je ustrojeno u sklopu Ministarstva gospodarstva i održivoga razvoja (MINGOR).</w:t>
      </w:r>
    </w:p>
    <w:p w14:paraId="1294233D" w14:textId="325B1371" w:rsidR="005B53E9" w:rsidRPr="00B357F4" w:rsidRDefault="005B53E9" w:rsidP="005B53E9">
      <w:r w:rsidRPr="00B357F4">
        <w:t>Za unos podataka o provedenim projektima energetske obnove u sklopu ovog Programa u SMiV, a u skladu sa Zakonom, odgovoran je davatelj subvencije</w:t>
      </w:r>
      <w:r w:rsidR="006F001F" w:rsidRPr="00B357F4">
        <w:t xml:space="preserve"> (u širokom smislu te riječi, tj. ne radi se isključivo o davanju bespovratnih sredstava, već i o primjeni financijskog instrumenta)</w:t>
      </w:r>
      <w:r w:rsidR="00064A3B" w:rsidRPr="00B357F4">
        <w:t xml:space="preserve">, bilo FZOEU bilo drugo tijelo koje </w:t>
      </w:r>
      <w:r w:rsidR="00642CBB" w:rsidRPr="00B357F4">
        <w:t>osigurava financijska sredstva</w:t>
      </w:r>
      <w:r w:rsidRPr="00B357F4">
        <w:t xml:space="preserve">. Zaposlenici FZOEU-a obučeni su za rad u SMiV-u i od 2015. godine aktivno unose podatke o projektima koje je FZOEU sufinancirao. </w:t>
      </w:r>
      <w:r w:rsidR="00642CBB" w:rsidRPr="00B357F4">
        <w:t>Kroz</w:t>
      </w:r>
      <w:r w:rsidRPr="00B357F4">
        <w:t xml:space="preserve"> ugovore s korisnicima subvencije </w:t>
      </w:r>
      <w:r w:rsidR="00B9135F" w:rsidRPr="00B357F4">
        <w:t xml:space="preserve">potrebno je </w:t>
      </w:r>
      <w:r w:rsidRPr="00B357F4">
        <w:t>osigurati raspoloživost svih podataka i dokumenata nužnih za unos u SMiV, što posebice uključuje:</w:t>
      </w:r>
    </w:p>
    <w:p w14:paraId="58188A24" w14:textId="77777777" w:rsidR="005B53E9" w:rsidRPr="00B357F4" w:rsidRDefault="0D425FD6" w:rsidP="00725AB0">
      <w:pPr>
        <w:pStyle w:val="Odlomakpopisa"/>
        <w:numPr>
          <w:ilvl w:val="0"/>
          <w:numId w:val="36"/>
        </w:numPr>
        <w:tabs>
          <w:tab w:val="left" w:pos="431"/>
        </w:tabs>
        <w:spacing w:line="259" w:lineRule="auto"/>
      </w:pPr>
      <w:r w:rsidRPr="00B357F4">
        <w:t>Energetski certifikat zgrade prije i nakon obnove;</w:t>
      </w:r>
    </w:p>
    <w:p w14:paraId="40785CA6" w14:textId="5BBAA235" w:rsidR="005B53E9" w:rsidRPr="00B357F4" w:rsidRDefault="0D425FD6" w:rsidP="00725AB0">
      <w:pPr>
        <w:pStyle w:val="Odlomakpopisa"/>
        <w:numPr>
          <w:ilvl w:val="0"/>
          <w:numId w:val="36"/>
        </w:numPr>
        <w:tabs>
          <w:tab w:val="left" w:pos="431"/>
        </w:tabs>
        <w:spacing w:line="259" w:lineRule="auto"/>
      </w:pPr>
      <w:r w:rsidRPr="00B357F4">
        <w:t xml:space="preserve">Projektnu </w:t>
      </w:r>
      <w:r w:rsidR="0055629B" w:rsidRPr="00B357F4">
        <w:t>dokumentacij</w:t>
      </w:r>
      <w:r w:rsidR="0055629B">
        <w:t>u</w:t>
      </w:r>
      <w:r w:rsidR="0055629B" w:rsidRPr="00B357F4">
        <w:t xml:space="preserve"> </w:t>
      </w:r>
      <w:r w:rsidRPr="00B357F4">
        <w:t>(glavni projekt</w:t>
      </w:r>
      <w:r w:rsidR="1A39811F" w:rsidRPr="00B357F4">
        <w:t>)</w:t>
      </w:r>
      <w:r w:rsidRPr="00B357F4">
        <w:t>;</w:t>
      </w:r>
    </w:p>
    <w:p w14:paraId="6487106A" w14:textId="461F879F" w:rsidR="005B53E9" w:rsidRPr="00B357F4" w:rsidRDefault="0D425FD6" w:rsidP="00725AB0">
      <w:pPr>
        <w:pStyle w:val="Odlomakpopisa"/>
        <w:numPr>
          <w:ilvl w:val="0"/>
          <w:numId w:val="36"/>
        </w:numPr>
        <w:tabs>
          <w:tab w:val="left" w:pos="431"/>
        </w:tabs>
        <w:spacing w:line="259" w:lineRule="auto"/>
      </w:pPr>
      <w:r w:rsidRPr="00B357F4">
        <w:t xml:space="preserve">Ispunjena izvješća o ostvarenim učincima projekta (priprema ih </w:t>
      </w:r>
      <w:r w:rsidR="0D73E53F" w:rsidRPr="00B357F4">
        <w:t>davatelj subvencije</w:t>
      </w:r>
      <w:r w:rsidRPr="00B357F4">
        <w:t xml:space="preserve">, a korisnici subvencije su ih obavezni ispuniti i dostaviti </w:t>
      </w:r>
      <w:r w:rsidR="605621EF" w:rsidRPr="00B357F4">
        <w:t>davatelju subvencije</w:t>
      </w:r>
      <w:r w:rsidRPr="00B357F4">
        <w:t xml:space="preserve"> prije završne isplate sredstava). </w:t>
      </w:r>
    </w:p>
    <w:p w14:paraId="2C8D909F" w14:textId="77777777" w:rsidR="005B53E9" w:rsidRPr="00B357F4" w:rsidRDefault="005B53E9" w:rsidP="005B53E9">
      <w:r w:rsidRPr="00B357F4">
        <w:t>Ovim se Programom omogućava provedba:</w:t>
      </w:r>
    </w:p>
    <w:p w14:paraId="52AA0785" w14:textId="58DAED87" w:rsidR="005B53E9" w:rsidRPr="00B357F4" w:rsidRDefault="005B53E9" w:rsidP="00725AB0">
      <w:pPr>
        <w:pStyle w:val="Odlomakpopisa"/>
        <w:numPr>
          <w:ilvl w:val="0"/>
          <w:numId w:val="38"/>
        </w:numPr>
      </w:pPr>
      <w:r w:rsidRPr="00B357F4">
        <w:t>integralne energetsk</w:t>
      </w:r>
      <w:r w:rsidR="009D7BB2" w:rsidRPr="00B357F4">
        <w:t>e</w:t>
      </w:r>
      <w:r w:rsidRPr="00B357F4">
        <w:t xml:space="preserve"> obnov</w:t>
      </w:r>
      <w:r w:rsidR="009D7BB2" w:rsidRPr="00B357F4">
        <w:t>e</w:t>
      </w:r>
      <w:r w:rsidRPr="00B357F4">
        <w:t>;</w:t>
      </w:r>
    </w:p>
    <w:p w14:paraId="5FEF5CE5" w14:textId="42EB2B17" w:rsidR="005B53E9" w:rsidRPr="00B357F4" w:rsidRDefault="1CC842E1" w:rsidP="00725AB0">
      <w:pPr>
        <w:pStyle w:val="Odlomakpopisa"/>
        <w:numPr>
          <w:ilvl w:val="0"/>
          <w:numId w:val="38"/>
        </w:numPr>
      </w:pPr>
      <w:r w:rsidRPr="00B357F4">
        <w:t>dubinske obnov</w:t>
      </w:r>
      <w:r w:rsidR="7C53FA29" w:rsidRPr="00B357F4">
        <w:t>e</w:t>
      </w:r>
      <w:r w:rsidRPr="00B357F4">
        <w:t xml:space="preserve"> (uključivo do nZEB standarda</w:t>
      </w:r>
      <w:r w:rsidR="2BF9607F" w:rsidRPr="00B357F4">
        <w:t xml:space="preserve"> za rekonstrukciju</w:t>
      </w:r>
      <w:r w:rsidRPr="00B357F4">
        <w:t>) i</w:t>
      </w:r>
    </w:p>
    <w:p w14:paraId="7CCBA663" w14:textId="77777777" w:rsidR="005B53E9" w:rsidRPr="00B357F4" w:rsidRDefault="005B53E9" w:rsidP="00725AB0">
      <w:pPr>
        <w:pStyle w:val="Odlomakpopisa"/>
        <w:numPr>
          <w:ilvl w:val="0"/>
          <w:numId w:val="38"/>
        </w:numPr>
      </w:pPr>
      <w:r w:rsidRPr="00B357F4">
        <w:t xml:space="preserve">sveobuhvatne obnove. </w:t>
      </w:r>
    </w:p>
    <w:p w14:paraId="2BBB2511" w14:textId="6892010D" w:rsidR="005B53E9" w:rsidRPr="00971F9E" w:rsidRDefault="005B53E9" w:rsidP="005B53E9">
      <w:r w:rsidRPr="00B357F4">
        <w:rPr>
          <w:lang w:eastAsia="hr-HR"/>
        </w:rPr>
        <w:t xml:space="preserve">U svim </w:t>
      </w:r>
      <w:r w:rsidR="009D7BB2" w:rsidRPr="00B357F4">
        <w:rPr>
          <w:lang w:eastAsia="hr-HR"/>
        </w:rPr>
        <w:t>ovim</w:t>
      </w:r>
      <w:r w:rsidRPr="00B357F4">
        <w:rPr>
          <w:lang w:eastAsia="hr-HR"/>
        </w:rPr>
        <w:t xml:space="preserve"> slučajevima potrebno je odabrati </w:t>
      </w:r>
      <w:r w:rsidRPr="00B357F4">
        <w:t xml:space="preserve">metodu  „Integralna  obnova  postojećih  stambenih  zgrada  i  zgrada uslužnog  sektora“ iz predmetnog Pravilnika koja se temelji na formuli za izračun i vrijednostima, koje prikazuje </w:t>
      </w:r>
      <w:r w:rsidRPr="00203A80">
        <w:fldChar w:fldCharType="begin"/>
      </w:r>
      <w:r w:rsidRPr="00B357F4">
        <w:instrText xml:space="preserve"> REF _Ref5124970 \h </w:instrText>
      </w:r>
      <w:r w:rsidRPr="00203A80">
        <w:fldChar w:fldCharType="separate"/>
      </w:r>
      <w:r w:rsidR="0023635D" w:rsidRPr="00B357F4">
        <w:t xml:space="preserve">Tablica </w:t>
      </w:r>
      <w:r w:rsidR="0023635D">
        <w:rPr>
          <w:noProof/>
        </w:rPr>
        <w:t>10</w:t>
      </w:r>
      <w:r w:rsidR="0023635D">
        <w:noBreakHyphen/>
      </w:r>
      <w:r w:rsidR="0023635D">
        <w:rPr>
          <w:noProof/>
        </w:rPr>
        <w:t>1</w:t>
      </w:r>
      <w:r w:rsidRPr="00203A80">
        <w:fldChar w:fldCharType="end"/>
      </w:r>
      <w:r w:rsidRPr="006734C7">
        <w:t>.</w:t>
      </w:r>
      <w:r w:rsidRPr="00203A80">
        <w:t xml:space="preserve"> </w:t>
      </w:r>
    </w:p>
    <w:p w14:paraId="4589D5D1" w14:textId="2F6DD845" w:rsidR="005B53E9" w:rsidRPr="00B357F4" w:rsidRDefault="005B53E9" w:rsidP="005B53E9">
      <w:pPr>
        <w:pStyle w:val="Opisslike"/>
      </w:pPr>
      <w:bookmarkStart w:id="208" w:name="_Ref5124970"/>
      <w:bookmarkStart w:id="209" w:name="_Toc14786206"/>
      <w:bookmarkStart w:id="210" w:name="_Toc72081568"/>
      <w:bookmarkStart w:id="211" w:name="_Toc87949906"/>
      <w:r w:rsidRPr="00B357F4">
        <w:t xml:space="preserve">Tablica </w:t>
      </w:r>
      <w:r>
        <w:fldChar w:fldCharType="begin"/>
      </w:r>
      <w:r>
        <w:instrText>STYLEREF 1 \s</w:instrText>
      </w:r>
      <w:r>
        <w:fldChar w:fldCharType="separate"/>
      </w:r>
      <w:r w:rsidR="0023635D">
        <w:rPr>
          <w:noProof/>
        </w:rPr>
        <w:t>10</w:t>
      </w:r>
      <w:r>
        <w:fldChar w:fldCharType="end"/>
      </w:r>
      <w:r w:rsidR="00166B1A">
        <w:noBreakHyphen/>
      </w:r>
      <w:r>
        <w:fldChar w:fldCharType="begin"/>
      </w:r>
      <w:r>
        <w:instrText>SEQ Tablica \* ARABIC \s 1</w:instrText>
      </w:r>
      <w:r>
        <w:fldChar w:fldCharType="separate"/>
      </w:r>
      <w:r w:rsidR="0023635D">
        <w:rPr>
          <w:noProof/>
        </w:rPr>
        <w:t>1</w:t>
      </w:r>
      <w:r>
        <w:fldChar w:fldCharType="end"/>
      </w:r>
      <w:bookmarkEnd w:id="208"/>
      <w:r w:rsidRPr="006734C7">
        <w:t xml:space="preserve">: Metoda za izračun ušteda energije </w:t>
      </w:r>
      <w:r w:rsidRPr="00203A80">
        <w:t>projekata</w:t>
      </w:r>
      <w:r w:rsidRPr="00971F9E">
        <w:t xml:space="preserve"> energetske obnove zgrada</w:t>
      </w:r>
      <w:bookmarkEnd w:id="209"/>
      <w:bookmarkEnd w:id="210"/>
      <w:bookmarkEnd w:id="211"/>
    </w:p>
    <w:tbl>
      <w:tblPr>
        <w:tblStyle w:val="Svijetlatablicareetke11"/>
        <w:tblW w:w="5000" w:type="pct"/>
        <w:tblLook w:val="00A0" w:firstRow="1" w:lastRow="0" w:firstColumn="1" w:lastColumn="0" w:noHBand="0" w:noVBand="0"/>
      </w:tblPr>
      <w:tblGrid>
        <w:gridCol w:w="3052"/>
        <w:gridCol w:w="2216"/>
        <w:gridCol w:w="2817"/>
        <w:gridCol w:w="1259"/>
      </w:tblGrid>
      <w:tr w:rsidR="005B53E9" w:rsidRPr="00B357F4" w14:paraId="1A32C535" w14:textId="77777777" w:rsidTr="7082C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53DC8831" w14:textId="77777777" w:rsidR="005B53E9" w:rsidRPr="00B357F4" w:rsidRDefault="005B53E9" w:rsidP="001827BE">
            <w:pPr>
              <w:spacing w:before="0" w:after="0"/>
              <w:ind w:left="360"/>
              <w:rPr>
                <w:b w:val="0"/>
                <w:sz w:val="18"/>
                <w:szCs w:val="18"/>
              </w:rPr>
            </w:pPr>
            <w:r w:rsidRPr="00B357F4">
              <w:rPr>
                <w:sz w:val="18"/>
                <w:szCs w:val="18"/>
              </w:rPr>
              <w:t>UFES / FES</w:t>
            </w:r>
          </w:p>
        </w:tc>
        <w:tc>
          <w:tcPr>
            <w:tcW w:w="1194" w:type="pct"/>
          </w:tcPr>
          <w:p w14:paraId="4E61B4C3" w14:textId="77777777" w:rsidR="005B53E9" w:rsidRPr="00B357F4" w:rsidRDefault="005B53E9" w:rsidP="001827BE">
            <w:pPr>
              <w:spacing w:before="0" w:after="0"/>
              <w:ind w:left="360"/>
              <w:cnfStyle w:val="100000000000" w:firstRow="1" w:lastRow="0" w:firstColumn="0" w:lastColumn="0" w:oddVBand="0" w:evenVBand="0" w:oddHBand="0" w:evenHBand="0" w:firstRowFirstColumn="0" w:firstRowLastColumn="0" w:lastRowFirstColumn="0" w:lastRowLastColumn="0"/>
              <w:rPr>
                <w:b w:val="0"/>
                <w:sz w:val="18"/>
                <w:szCs w:val="18"/>
              </w:rPr>
            </w:pPr>
            <w:r w:rsidRPr="00B357F4">
              <w:rPr>
                <w:sz w:val="18"/>
                <w:szCs w:val="18"/>
              </w:rPr>
              <w:t xml:space="preserve">Definicije </w:t>
            </w:r>
          </w:p>
        </w:tc>
        <w:tc>
          <w:tcPr>
            <w:tcW w:w="1515" w:type="pct"/>
          </w:tcPr>
          <w:p w14:paraId="15608B70" w14:textId="77777777" w:rsidR="005B53E9" w:rsidRPr="00B357F4" w:rsidRDefault="005B53E9" w:rsidP="001827BE">
            <w:pPr>
              <w:spacing w:before="0" w:after="0"/>
              <w:ind w:left="360"/>
              <w:cnfStyle w:val="100000000000" w:firstRow="1" w:lastRow="0" w:firstColumn="0" w:lastColumn="0" w:oddVBand="0" w:evenVBand="0" w:oddHBand="0" w:evenHBand="0" w:firstRowFirstColumn="0" w:firstRowLastColumn="0" w:lastRowFirstColumn="0" w:lastRowLastColumn="0"/>
              <w:rPr>
                <w:b w:val="0"/>
                <w:sz w:val="18"/>
                <w:szCs w:val="18"/>
              </w:rPr>
            </w:pPr>
            <w:r w:rsidRPr="00B357F4">
              <w:rPr>
                <w:sz w:val="18"/>
                <w:szCs w:val="18"/>
              </w:rPr>
              <w:t>Stvarne vrijednosti</w:t>
            </w:r>
          </w:p>
        </w:tc>
        <w:tc>
          <w:tcPr>
            <w:tcW w:w="681" w:type="pct"/>
          </w:tcPr>
          <w:p w14:paraId="33D1FF10" w14:textId="77777777" w:rsidR="005B53E9" w:rsidRPr="00B357F4" w:rsidRDefault="005B53E9" w:rsidP="001827BE">
            <w:pPr>
              <w:spacing w:before="0" w:after="0"/>
              <w:ind w:left="360"/>
              <w:cnfStyle w:val="100000000000" w:firstRow="1" w:lastRow="0" w:firstColumn="0" w:lastColumn="0" w:oddVBand="0" w:evenVBand="0" w:oddHBand="0" w:evenHBand="0" w:firstRowFirstColumn="0" w:firstRowLastColumn="0" w:lastRowFirstColumn="0" w:lastRowLastColumn="0"/>
              <w:rPr>
                <w:b w:val="0"/>
                <w:sz w:val="18"/>
                <w:szCs w:val="18"/>
              </w:rPr>
            </w:pPr>
            <w:r w:rsidRPr="00B357F4">
              <w:rPr>
                <w:sz w:val="18"/>
                <w:szCs w:val="18"/>
              </w:rPr>
              <w:t xml:space="preserve">Životni vijek </w:t>
            </w:r>
          </w:p>
        </w:tc>
      </w:tr>
      <w:tr w:rsidR="005B53E9" w:rsidRPr="00B357F4" w14:paraId="1D43DBA5" w14:textId="77777777" w:rsidTr="7082C09D">
        <w:trPr>
          <w:trHeight w:val="1320"/>
        </w:trPr>
        <w:tc>
          <w:tcPr>
            <w:cnfStyle w:val="001000000000" w:firstRow="0" w:lastRow="0" w:firstColumn="1" w:lastColumn="0" w:oddVBand="0" w:evenVBand="0" w:oddHBand="0" w:evenHBand="0" w:firstRowFirstColumn="0" w:firstRowLastColumn="0" w:lastRowFirstColumn="0" w:lastRowLastColumn="0"/>
            <w:tcW w:w="1610" w:type="pct"/>
            <w:vMerge w:val="restart"/>
          </w:tcPr>
          <w:p w14:paraId="28C4452B" w14:textId="77777777" w:rsidR="005B53E9" w:rsidRPr="006734C7" w:rsidRDefault="005B53E9" w:rsidP="001827BE">
            <w:pPr>
              <w:spacing w:before="0" w:after="0"/>
              <w:ind w:left="360"/>
              <w:rPr>
                <w:sz w:val="18"/>
                <w:szCs w:val="18"/>
              </w:rPr>
            </w:pPr>
            <w:r w:rsidRPr="00203A80">
              <w:rPr>
                <w:b w:val="0"/>
                <w:bCs w:val="0"/>
                <w:sz w:val="18"/>
                <w:szCs w:val="18"/>
              </w:rPr>
              <w:object w:dxaOrig="2600" w:dyaOrig="680" w14:anchorId="61105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2.25pt" o:ole="">
                  <v:imagedata r:id="rId20" o:title=""/>
                </v:shape>
                <o:OLEObject Type="Embed" ProgID="Equation.3" ShapeID="_x0000_i1025" DrawAspect="Content" ObjectID="_1708174857" r:id="rId21"/>
              </w:object>
            </w:r>
          </w:p>
          <w:p w14:paraId="0C9E3DF8" w14:textId="77777777" w:rsidR="005B53E9" w:rsidRPr="00B357F4" w:rsidRDefault="005B53E9" w:rsidP="001827BE">
            <w:pPr>
              <w:spacing w:before="0" w:after="0"/>
              <w:ind w:left="360"/>
              <w:rPr>
                <w:sz w:val="18"/>
                <w:szCs w:val="18"/>
              </w:rPr>
            </w:pPr>
            <w:r w:rsidRPr="00203A80">
              <w:rPr>
                <w:sz w:val="18"/>
                <w:szCs w:val="18"/>
              </w:rPr>
              <w:t>[kWh/m</w:t>
            </w:r>
            <w:r w:rsidRPr="00971F9E">
              <w:rPr>
                <w:sz w:val="18"/>
                <w:szCs w:val="18"/>
                <w:vertAlign w:val="superscript"/>
              </w:rPr>
              <w:t>2</w:t>
            </w:r>
            <w:r w:rsidRPr="00B357F4">
              <w:rPr>
                <w:sz w:val="18"/>
                <w:szCs w:val="18"/>
              </w:rPr>
              <w:t>/god]</w:t>
            </w:r>
          </w:p>
          <w:p w14:paraId="2DBC012D" w14:textId="77777777" w:rsidR="005B53E9" w:rsidRPr="00B357F4" w:rsidRDefault="005B53E9" w:rsidP="001827BE">
            <w:pPr>
              <w:spacing w:before="0" w:after="0"/>
              <w:rPr>
                <w:sz w:val="18"/>
                <w:szCs w:val="18"/>
              </w:rPr>
            </w:pPr>
          </w:p>
          <w:p w14:paraId="2085EA06" w14:textId="77777777" w:rsidR="005B53E9" w:rsidRPr="00B357F4" w:rsidRDefault="005B53E9" w:rsidP="001827BE">
            <w:pPr>
              <w:spacing w:before="0" w:after="0"/>
              <w:rPr>
                <w:sz w:val="18"/>
                <w:szCs w:val="18"/>
              </w:rPr>
            </w:pPr>
          </w:p>
          <w:p w14:paraId="4C6FB761" w14:textId="77777777" w:rsidR="005B53E9" w:rsidRPr="006734C7" w:rsidRDefault="005B53E9" w:rsidP="001827BE">
            <w:pPr>
              <w:spacing w:before="0" w:after="0"/>
              <w:ind w:left="360"/>
              <w:rPr>
                <w:sz w:val="18"/>
                <w:szCs w:val="18"/>
              </w:rPr>
            </w:pPr>
            <w:r w:rsidRPr="00203A80">
              <w:rPr>
                <w:b w:val="0"/>
                <w:bCs w:val="0"/>
                <w:sz w:val="18"/>
                <w:szCs w:val="18"/>
              </w:rPr>
              <w:object w:dxaOrig="1700" w:dyaOrig="279" w14:anchorId="4C2BAE73">
                <v:shape id="_x0000_i1026" type="#_x0000_t75" style="width:89.25pt;height:15pt" o:ole="">
                  <v:imagedata r:id="rId22" o:title=""/>
                </v:shape>
                <o:OLEObject Type="Embed" ProgID="Equation.3" ShapeID="_x0000_i1026" DrawAspect="Content" ObjectID="_1708174858" r:id="rId23"/>
              </w:object>
            </w:r>
          </w:p>
          <w:p w14:paraId="74DADDDA" w14:textId="77777777" w:rsidR="005B53E9" w:rsidRPr="00971F9E" w:rsidRDefault="005B53E9" w:rsidP="001827BE">
            <w:pPr>
              <w:spacing w:before="0" w:after="0"/>
              <w:ind w:left="360"/>
              <w:rPr>
                <w:b w:val="0"/>
                <w:sz w:val="18"/>
                <w:szCs w:val="18"/>
              </w:rPr>
            </w:pPr>
            <w:r w:rsidRPr="00203A80">
              <w:rPr>
                <w:sz w:val="18"/>
                <w:szCs w:val="18"/>
              </w:rPr>
              <w:t>[kWh/god]</w:t>
            </w:r>
          </w:p>
          <w:p w14:paraId="0B7DD754" w14:textId="77777777" w:rsidR="005B53E9" w:rsidRPr="00B357F4" w:rsidRDefault="005B53E9" w:rsidP="001827BE">
            <w:pPr>
              <w:spacing w:before="0" w:after="0"/>
              <w:rPr>
                <w:sz w:val="18"/>
                <w:szCs w:val="18"/>
              </w:rPr>
            </w:pPr>
          </w:p>
        </w:tc>
        <w:tc>
          <w:tcPr>
            <w:tcW w:w="1194" w:type="pct"/>
          </w:tcPr>
          <w:p w14:paraId="75BA70FA"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rStyle w:val="hps"/>
                <w:sz w:val="18"/>
                <w:szCs w:val="18"/>
              </w:rPr>
              <w:t>η</w:t>
            </w:r>
            <w:r w:rsidRPr="00B357F4">
              <w:rPr>
                <w:sz w:val="18"/>
                <w:szCs w:val="18"/>
                <w:vertAlign w:val="subscript"/>
              </w:rPr>
              <w:t>init</w:t>
            </w:r>
            <w:r w:rsidRPr="00B357F4">
              <w:rPr>
                <w:sz w:val="18"/>
                <w:szCs w:val="18"/>
              </w:rPr>
              <w:t xml:space="preserve"> =</w:t>
            </w:r>
          </w:p>
          <w:p w14:paraId="0C8D2142"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učinkovitost starog sustava grijanja prije obnove</w:t>
            </w:r>
          </w:p>
          <w:p w14:paraId="1D418CF6"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rStyle w:val="hps"/>
                <w:sz w:val="18"/>
                <w:szCs w:val="18"/>
              </w:rPr>
              <w:t>η</w:t>
            </w:r>
            <w:r w:rsidRPr="00B357F4">
              <w:rPr>
                <w:sz w:val="18"/>
                <w:szCs w:val="18"/>
                <w:vertAlign w:val="subscript"/>
              </w:rPr>
              <w:t>new</w:t>
            </w:r>
            <w:r w:rsidRPr="00B357F4">
              <w:rPr>
                <w:sz w:val="18"/>
                <w:szCs w:val="18"/>
              </w:rPr>
              <w:t>=</w:t>
            </w:r>
          </w:p>
          <w:p w14:paraId="76C984BE"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učinkovitost novog sustava grijanja nakon obnove</w:t>
            </w:r>
          </w:p>
        </w:tc>
        <w:tc>
          <w:tcPr>
            <w:tcW w:w="1515" w:type="pct"/>
          </w:tcPr>
          <w:p w14:paraId="2BF662E3"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Prosječna učinkovitost sustava grijanja prije i nakon obnove (stvarna vrijednost iz projektne dokumentacije) – ukoliko se sustav grijanja ne mijenja, ove dvije vrijednosti ostaju iste</w:t>
            </w:r>
          </w:p>
        </w:tc>
        <w:tc>
          <w:tcPr>
            <w:tcW w:w="681" w:type="pct"/>
            <w:vMerge w:val="restart"/>
          </w:tcPr>
          <w:p w14:paraId="263C6DAA" w14:textId="77777777" w:rsidR="005B53E9" w:rsidRPr="00B357F4"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sz w:val="18"/>
                <w:szCs w:val="18"/>
              </w:rPr>
            </w:pPr>
          </w:p>
          <w:p w14:paraId="7747EC5E"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 xml:space="preserve">20 godina </w:t>
            </w:r>
          </w:p>
        </w:tc>
      </w:tr>
      <w:tr w:rsidR="005B53E9" w:rsidRPr="00B357F4" w14:paraId="77D772FB" w14:textId="77777777" w:rsidTr="7082C09D">
        <w:trPr>
          <w:trHeight w:val="1280"/>
        </w:trPr>
        <w:tc>
          <w:tcPr>
            <w:cnfStyle w:val="001000000000" w:firstRow="0" w:lastRow="0" w:firstColumn="1" w:lastColumn="0" w:oddVBand="0" w:evenVBand="0" w:oddHBand="0" w:evenHBand="0" w:firstRowFirstColumn="0" w:firstRowLastColumn="0" w:lastRowFirstColumn="0" w:lastRowLastColumn="0"/>
            <w:tcW w:w="1610" w:type="pct"/>
            <w:vMerge/>
          </w:tcPr>
          <w:p w14:paraId="4F4E0868" w14:textId="77777777" w:rsidR="005B53E9" w:rsidRPr="00B357F4" w:rsidRDefault="005B53E9" w:rsidP="001827BE">
            <w:pPr>
              <w:spacing w:before="0" w:after="0"/>
              <w:ind w:left="360"/>
              <w:rPr>
                <w:sz w:val="24"/>
              </w:rPr>
            </w:pPr>
          </w:p>
        </w:tc>
        <w:tc>
          <w:tcPr>
            <w:tcW w:w="1194" w:type="pct"/>
          </w:tcPr>
          <w:p w14:paraId="7FA551D9" w14:textId="13B36830"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SHD</w:t>
            </w:r>
            <w:r w:rsidRPr="00B357F4">
              <w:rPr>
                <w:sz w:val="18"/>
                <w:szCs w:val="18"/>
                <w:vertAlign w:val="subscript"/>
              </w:rPr>
              <w:t>init</w:t>
            </w:r>
            <w:r w:rsidRPr="00B357F4">
              <w:rPr>
                <w:sz w:val="18"/>
                <w:szCs w:val="18"/>
              </w:rPr>
              <w:t xml:space="preserve"> = specifične toplinske potrebe građevine prije obnove [kWh/m</w:t>
            </w:r>
            <w:r w:rsidRPr="00B357F4">
              <w:rPr>
                <w:sz w:val="18"/>
                <w:szCs w:val="18"/>
                <w:vertAlign w:val="superscript"/>
              </w:rPr>
              <w:t>2</w:t>
            </w:r>
            <w:r w:rsidRPr="00B357F4">
              <w:rPr>
                <w:rStyle w:val="hps"/>
                <w:rFonts w:cs="Calibri"/>
                <w:sz w:val="18"/>
                <w:szCs w:val="18"/>
              </w:rPr>
              <w:t>god</w:t>
            </w:r>
            <w:r w:rsidRPr="00B357F4">
              <w:rPr>
                <w:sz w:val="18"/>
                <w:szCs w:val="18"/>
              </w:rPr>
              <w:t>]</w:t>
            </w:r>
          </w:p>
          <w:p w14:paraId="0441EA65" w14:textId="64B0A651"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rStyle w:val="hps"/>
                <w:sz w:val="18"/>
                <w:szCs w:val="18"/>
              </w:rPr>
            </w:pPr>
            <w:r w:rsidRPr="00B357F4">
              <w:rPr>
                <w:sz w:val="18"/>
                <w:szCs w:val="18"/>
              </w:rPr>
              <w:t>SHD</w:t>
            </w:r>
            <w:r w:rsidRPr="00B357F4">
              <w:rPr>
                <w:sz w:val="18"/>
                <w:szCs w:val="18"/>
                <w:vertAlign w:val="subscript"/>
              </w:rPr>
              <w:t>new</w:t>
            </w:r>
            <w:r w:rsidRPr="00B357F4">
              <w:rPr>
                <w:sz w:val="18"/>
                <w:szCs w:val="18"/>
              </w:rPr>
              <w:t xml:space="preserve"> = specifične toplinske potrebe građevine nakon </w:t>
            </w:r>
            <w:r w:rsidRPr="00B357F4">
              <w:rPr>
                <w:rStyle w:val="hps"/>
                <w:rFonts w:cs="Calibri"/>
                <w:sz w:val="18"/>
                <w:szCs w:val="18"/>
              </w:rPr>
              <w:t>obnove</w:t>
            </w:r>
            <w:r w:rsidRPr="00B357F4">
              <w:rPr>
                <w:sz w:val="18"/>
                <w:szCs w:val="18"/>
              </w:rPr>
              <w:t xml:space="preserve"> [kWh/m</w:t>
            </w:r>
            <w:r w:rsidRPr="00B357F4">
              <w:rPr>
                <w:sz w:val="18"/>
                <w:szCs w:val="18"/>
                <w:vertAlign w:val="superscript"/>
              </w:rPr>
              <w:t>2</w:t>
            </w:r>
            <w:r w:rsidRPr="00B357F4">
              <w:rPr>
                <w:sz w:val="18"/>
                <w:szCs w:val="18"/>
              </w:rPr>
              <w:t>god]</w:t>
            </w:r>
          </w:p>
        </w:tc>
        <w:tc>
          <w:tcPr>
            <w:tcW w:w="1515" w:type="pct"/>
          </w:tcPr>
          <w:p w14:paraId="6FC9E234"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Specifične   godišnje   toplinske  potrebe za grijanje - stvarne vrijednosti iz energetskog certifikata ili projektne dokumentacije</w:t>
            </w:r>
          </w:p>
        </w:tc>
        <w:tc>
          <w:tcPr>
            <w:tcW w:w="681" w:type="pct"/>
            <w:vMerge/>
          </w:tcPr>
          <w:p w14:paraId="2EF7E9F7" w14:textId="77777777" w:rsidR="005B53E9" w:rsidRPr="00B357F4"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sz w:val="18"/>
                <w:szCs w:val="18"/>
              </w:rPr>
            </w:pPr>
          </w:p>
        </w:tc>
      </w:tr>
      <w:tr w:rsidR="005B53E9" w:rsidRPr="00B357F4" w14:paraId="3434F71E" w14:textId="77777777" w:rsidTr="7082C09D">
        <w:trPr>
          <w:trHeight w:val="344"/>
        </w:trPr>
        <w:tc>
          <w:tcPr>
            <w:cnfStyle w:val="001000000000" w:firstRow="0" w:lastRow="0" w:firstColumn="1" w:lastColumn="0" w:oddVBand="0" w:evenVBand="0" w:oddHBand="0" w:evenHBand="0" w:firstRowFirstColumn="0" w:firstRowLastColumn="0" w:lastRowFirstColumn="0" w:lastRowLastColumn="0"/>
            <w:tcW w:w="0" w:type="pct"/>
            <w:vMerge/>
          </w:tcPr>
          <w:p w14:paraId="1F63079D" w14:textId="77777777" w:rsidR="005B53E9" w:rsidRPr="00B357F4" w:rsidRDefault="005B53E9" w:rsidP="001827BE">
            <w:pPr>
              <w:spacing w:before="0" w:after="0"/>
              <w:ind w:left="360"/>
              <w:rPr>
                <w:sz w:val="24"/>
              </w:rPr>
            </w:pPr>
          </w:p>
        </w:tc>
        <w:tc>
          <w:tcPr>
            <w:tcW w:w="0" w:type="pct"/>
          </w:tcPr>
          <w:p w14:paraId="3527D266" w14:textId="7ED10BE9" w:rsidR="005B53E9" w:rsidRPr="006734C7" w:rsidRDefault="1CC842E1" w:rsidP="7082C09D">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 xml:space="preserve">A = korisna površina </w:t>
            </w:r>
            <w:r w:rsidR="00D90F59" w:rsidRPr="00B357F4">
              <w:rPr>
                <w:sz w:val="18"/>
                <w:szCs w:val="18"/>
              </w:rPr>
              <w:t xml:space="preserve">grijanog dijela </w:t>
            </w:r>
            <w:r w:rsidRPr="00B357F4">
              <w:rPr>
                <w:sz w:val="18"/>
                <w:szCs w:val="18"/>
              </w:rPr>
              <w:t>zgrade [m</w:t>
            </w:r>
            <w:r w:rsidRPr="00B357F4">
              <w:rPr>
                <w:sz w:val="18"/>
                <w:szCs w:val="18"/>
                <w:vertAlign w:val="superscript"/>
              </w:rPr>
              <w:t>2</w:t>
            </w:r>
            <w:r w:rsidRPr="00B357F4">
              <w:rPr>
                <w:sz w:val="18"/>
                <w:szCs w:val="18"/>
              </w:rPr>
              <w:t>]</w:t>
            </w:r>
          </w:p>
          <w:p w14:paraId="53BF6E04" w14:textId="77777777" w:rsidR="005B53E9" w:rsidRPr="00203A80"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rStyle w:val="hps"/>
                <w:sz w:val="18"/>
                <w:szCs w:val="18"/>
              </w:rPr>
            </w:pPr>
          </w:p>
        </w:tc>
        <w:tc>
          <w:tcPr>
            <w:tcW w:w="0" w:type="pct"/>
          </w:tcPr>
          <w:p w14:paraId="71EC7CEC"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971F9E">
              <w:rPr>
                <w:sz w:val="18"/>
                <w:szCs w:val="18"/>
              </w:rPr>
              <w:t xml:space="preserve">Stvarni podatak iz energetskog </w:t>
            </w:r>
            <w:r w:rsidRPr="00B357F4">
              <w:rPr>
                <w:sz w:val="18"/>
                <w:szCs w:val="18"/>
              </w:rPr>
              <w:t>certifikata ili projektne dokumentacije</w:t>
            </w:r>
          </w:p>
        </w:tc>
        <w:tc>
          <w:tcPr>
            <w:tcW w:w="0" w:type="pct"/>
            <w:vMerge/>
          </w:tcPr>
          <w:p w14:paraId="1881520A" w14:textId="77777777" w:rsidR="005B53E9" w:rsidRPr="00B357F4"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sz w:val="24"/>
              </w:rPr>
            </w:pPr>
          </w:p>
        </w:tc>
      </w:tr>
    </w:tbl>
    <w:p w14:paraId="5FA8B84B" w14:textId="4D1046B8" w:rsidR="0003267C" w:rsidRPr="0003267C" w:rsidRDefault="005B53E9" w:rsidP="0003267C">
      <w:r w:rsidRPr="00B357F4">
        <w:t xml:space="preserve">Potrebno je istaknuti da je ovu metodu potrebno odabrati uvijek kada se projekt sastoji od više mjera, čak i u slučaju kada se provode dvije ili više mjera na ovojnici </w:t>
      </w:r>
      <w:r w:rsidR="00832B96" w:rsidRPr="00B357F4">
        <w:t>ZJS</w:t>
      </w:r>
      <w:r w:rsidRPr="00B357F4">
        <w:t xml:space="preserve"> ili u slučaju kada se uz neke druge mjere uvodi i sustav automatizacije i upravljanja za kojega postoji zasebna metoda. Ovakav pristup je nužan radi izbjegavanja dvostrukog i nerealnog izračunavanja ušteda energije. Osnovno načelo za unos projekata energetske obnove u SMIV je da jedan projekt treba biti jedan zapis u SMIV-u. Iznimka je jedino slučaj kada se uz mjere koje se odnose na ovojnicu i/ili termotehnički sustav u </w:t>
      </w:r>
      <w:r w:rsidR="00085CD4" w:rsidRPr="00B357F4">
        <w:t>ZJS</w:t>
      </w:r>
      <w:r w:rsidRPr="00B357F4">
        <w:t xml:space="preserve"> instalira i fotonaponski sustav za vlastitu proizvodnju električne energije, pa je u tom slučaju moguće da jedan projekt, tj</w:t>
      </w:r>
      <w:r w:rsidR="00313119">
        <w:t>.</w:t>
      </w:r>
      <w:r w:rsidRPr="00B357F4">
        <w:t xml:space="preserve"> jedna obnovljena </w:t>
      </w:r>
      <w:r w:rsidR="00FC5D75" w:rsidRPr="00B357F4">
        <w:t>ZJS</w:t>
      </w:r>
      <w:r w:rsidRPr="00B357F4">
        <w:t xml:space="preserve"> ima dva zapisa u SMIV-u. </w:t>
      </w:r>
      <w:r w:rsidR="0003267C" w:rsidRPr="0003267C">
        <w:t>Za izračun se uvijek koriste stvarne vrijednosti ulaznih podataka iz izvora (dokaza) navedenih u gornjoj tablici, a ne referentne vrijednosti navedene u Pravilniku i SMIV-u.</w:t>
      </w:r>
    </w:p>
    <w:p w14:paraId="272EFD01" w14:textId="47A372B2" w:rsidR="005B53E9" w:rsidRPr="00B357F4" w:rsidRDefault="005B53E9" w:rsidP="005B53E9">
      <w:pPr>
        <w:rPr>
          <w:lang w:eastAsia="hr-HR"/>
        </w:rPr>
      </w:pPr>
      <w:r w:rsidRPr="00B357F4">
        <w:rPr>
          <w:lang w:eastAsia="hr-HR"/>
        </w:rPr>
        <w:t xml:space="preserve">Prema tome, SMiV je alat kojim će se pratiti provedba ovog </w:t>
      </w:r>
      <w:r w:rsidRPr="00313119">
        <w:rPr>
          <w:lang w:eastAsia="hr-HR"/>
        </w:rPr>
        <w:t xml:space="preserve">Programa. U njemu će biti raspoloživi svi podatci za utvrđivanje pokazatelja ishoda utvrđenih u poglavlju </w:t>
      </w:r>
      <w:r w:rsidR="007E569D" w:rsidRPr="00313119">
        <w:rPr>
          <w:lang w:eastAsia="hr-HR"/>
        </w:rPr>
        <w:t>5</w:t>
      </w:r>
      <w:r w:rsidRPr="00313119">
        <w:rPr>
          <w:lang w:eastAsia="hr-HR"/>
        </w:rPr>
        <w:t xml:space="preserve">. ovog Programa. U prvom redu se to odnosi na površinu obnovljenih zgrada te godišnje uštede energije koje su rezultat provedenog pojedinog projekta obnove </w:t>
      </w:r>
      <w:r w:rsidR="00904203" w:rsidRPr="00313119">
        <w:rPr>
          <w:lang w:eastAsia="hr-HR"/>
        </w:rPr>
        <w:t>ZJS</w:t>
      </w:r>
      <w:r w:rsidRPr="00313119">
        <w:rPr>
          <w:lang w:eastAsia="hr-HR"/>
        </w:rPr>
        <w:t>. Na temelju ovih podataka, NKT će utvrđivati ostvarenu</w:t>
      </w:r>
      <w:r w:rsidRPr="00971F9E">
        <w:rPr>
          <w:lang w:eastAsia="hr-HR"/>
        </w:rPr>
        <w:t xml:space="preserve"> stopu obnove te kumulativne uštede energije u razmatranom razdoblju, uzimajući u obzir životni vijek mjere definiran u Pravilniku o sustavu za praćenje, mjerenje i verifikaciju ušteda energije. </w:t>
      </w:r>
    </w:p>
    <w:p w14:paraId="50ACC8E8" w14:textId="77777777" w:rsidR="005B53E9" w:rsidRPr="00B357F4" w:rsidRDefault="005B53E9" w:rsidP="005B53E9">
      <w:pPr>
        <w:rPr>
          <w:lang w:eastAsia="hr-HR"/>
        </w:rPr>
      </w:pPr>
      <w:r w:rsidRPr="00B357F4">
        <w:rPr>
          <w:lang w:eastAsia="hr-HR"/>
        </w:rPr>
        <w:t xml:space="preserve">Ovakvo praćenje u potpunosti je sukladno ciljevima definiranima u članku 6. Pravilnika o rokovima i postupcima praćenja i izvještavanja o provedbi akata strateškog planiranja od nacionalnog značaja i od značaja za jedinice lokalne i područne (regionalne) samouprave, jer osigurava sustavno praćenje te podlogu za kontinuirano unaprjeđenje Programa, u slučaju uočenih odstupanja od putanje ostvarivanja cilja. </w:t>
      </w:r>
    </w:p>
    <w:p w14:paraId="0FA4594E" w14:textId="3FD80659" w:rsidR="005B53E9" w:rsidRPr="00B357F4" w:rsidRDefault="005B53E9" w:rsidP="005B53E9">
      <w:pPr>
        <w:rPr>
          <w:lang w:eastAsia="hr-HR"/>
        </w:rPr>
      </w:pPr>
      <w:r w:rsidRPr="00B357F4">
        <w:rPr>
          <w:lang w:eastAsia="hr-HR"/>
        </w:rPr>
        <w:t>Izvještavanje je također uređeno Zakonom o energetskoj učinkovitosti, čiji članak 9. utvrđuje obvezu izrade godišnjeg izvješća o napretku postignutom u ostvarenju nacionalnih ciljeva energetske učinkovitosti do 15. ožujka tekuće godine za prethodnu godinu. U točki 4. stavka 2. toga članka utvrđuje se da ovo godišnje izvješće mora sadržavati analizu ušteda energije ostvarenih provedbom alternativnih mjera politike, što ovaj Program jest, te doprinos ostvarenju ukupnog nacionalnog kumulativnog cilja uštede u neposrednoj potrošnji energije. Ovo izvješće se prema Zakonu objavljuje na nacionalnom portalu energetske učinkovitosti (</w:t>
      </w:r>
      <w:hyperlink r:id="rId24" w:history="1">
        <w:r w:rsidRPr="00203A80">
          <w:rPr>
            <w:rStyle w:val="Hiperveza"/>
            <w:rFonts w:cs="Myriad Pro"/>
            <w:lang w:eastAsia="hr-HR"/>
          </w:rPr>
          <w:t>www.enu.hr</w:t>
        </w:r>
      </w:hyperlink>
      <w:r w:rsidRPr="006734C7">
        <w:rPr>
          <w:lang w:eastAsia="hr-HR"/>
        </w:rPr>
        <w:t xml:space="preserve">), čime je zadovoljen i cilj obavješćivanja šire javnosti o učincima potrošnje javnih sredstava iz članka 6. </w:t>
      </w:r>
      <w:r w:rsidRPr="00203A80">
        <w:rPr>
          <w:lang w:eastAsia="hr-HR"/>
        </w:rPr>
        <w:t>Pravilnik</w:t>
      </w:r>
      <w:r w:rsidRPr="00971F9E">
        <w:rPr>
          <w:lang w:eastAsia="hr-HR"/>
        </w:rPr>
        <w:t>a</w:t>
      </w:r>
      <w:r w:rsidRPr="00B357F4">
        <w:rPr>
          <w:lang w:eastAsia="hr-HR"/>
        </w:rPr>
        <w:t xml:space="preserve"> o rokovima i postupcima praćenja i izvještavanja o provedbi akata strateškog planiranja od nacionalnog značaja i od značaja za jedinice lokalne i područne (regionalne) samouprave.</w:t>
      </w:r>
    </w:p>
    <w:p w14:paraId="2F02C3D4" w14:textId="24BB8466" w:rsidR="005B53E9" w:rsidRPr="00B357F4" w:rsidRDefault="005B53E9" w:rsidP="005B53E9">
      <w:pPr>
        <w:rPr>
          <w:lang w:eastAsia="hr-HR"/>
        </w:rPr>
      </w:pPr>
      <w:r w:rsidRPr="00B357F4">
        <w:rPr>
          <w:lang w:eastAsia="hr-HR"/>
        </w:rPr>
        <w:t>Ovako organiziran sustav praćenja i izvještavanja omogućava vrednovanje provedbe Programa u skladu s Pravilnikom o provedbi postupka vrednovanja (</w:t>
      </w:r>
      <w:r w:rsidR="00653037">
        <w:rPr>
          <w:lang w:eastAsia="hr-HR"/>
        </w:rPr>
        <w:t>Narodne novine</w:t>
      </w:r>
      <w:r w:rsidR="00D70C2E">
        <w:rPr>
          <w:lang w:eastAsia="hr-HR"/>
        </w:rPr>
        <w:t>,</w:t>
      </w:r>
      <w:r w:rsidR="00653037">
        <w:rPr>
          <w:lang w:eastAsia="hr-HR"/>
        </w:rPr>
        <w:t xml:space="preserve"> broj</w:t>
      </w:r>
      <w:r w:rsidRPr="00B357F4">
        <w:rPr>
          <w:lang w:eastAsia="hr-HR"/>
        </w:rPr>
        <w:t xml:space="preserve"> 66/19). S obzirom da je praćenje i izvještavanje, koji su temelj za vrednovanje, u nadležnosti NKT-MINGOR, zadovoljen je uvjet neovisnosti vrednovanja iz članka 7. Pravilnika, a MPGI može dodatno angažirati vanjskog vrednovatelja. Izvješće o vrednovanju s preporukama mora biti sastavni dio revidiranog Programa </w:t>
      </w:r>
      <w:r w:rsidR="00E81715" w:rsidRPr="00EB30FE">
        <w:rPr>
          <w:rFonts w:cs="Tahoma"/>
          <w:szCs w:val="20"/>
        </w:rPr>
        <w:t>odnosno temelj za svaki sljedeći trogodišnji akcijski plan ovoga Programa.</w:t>
      </w:r>
    </w:p>
    <w:p w14:paraId="536E5A44" w14:textId="37D9C328" w:rsidR="00B515A3" w:rsidRPr="00B357F4" w:rsidRDefault="00A210EF" w:rsidP="005B53E9">
      <w:pPr>
        <w:rPr>
          <w:lang w:eastAsia="hr-HR"/>
        </w:rPr>
      </w:pPr>
      <w:r>
        <w:rPr>
          <w:lang w:eastAsia="hr-HR"/>
        </w:rPr>
        <w:t xml:space="preserve">No, ovdje se svakako treba istaknuti da se kroz ovaj Program potiče i </w:t>
      </w:r>
      <w:r w:rsidR="00FB48BD">
        <w:rPr>
          <w:lang w:eastAsia="hr-HR"/>
        </w:rPr>
        <w:t>sustavno praćenje potrošnje energije prije i poslije energetske obnove u zgradama javnoga sektora</w:t>
      </w:r>
      <w:r w:rsidR="00535AFF">
        <w:rPr>
          <w:lang w:eastAsia="hr-HR"/>
        </w:rPr>
        <w:t xml:space="preserve"> mjerenjem. Naime, </w:t>
      </w:r>
      <w:r w:rsidR="00571232">
        <w:t xml:space="preserve">na temelju izravnog praćenja potrošnje energije i vode putem Informacijskog sustava za gospodarenje energijom (ISGE) </w:t>
      </w:r>
      <w:r w:rsidR="00571232">
        <w:lastRenderedPageBreak/>
        <w:t xml:space="preserve">dobivaju se kvalitetni pokazatelji energetskih potreba te se prema njima može bolje planirati i raspolagati sredstvima. </w:t>
      </w:r>
      <w:r w:rsidR="00D80E8F">
        <w:t xml:space="preserve">Osim same potrošnje energije, </w:t>
      </w:r>
      <w:r w:rsidR="00BC3B93">
        <w:t>praćenje faktora</w:t>
      </w:r>
      <w:r w:rsidR="00146616">
        <w:t xml:space="preserve"> koji utječu na tu potrošnju</w:t>
      </w:r>
      <w:r w:rsidR="00A86ECD">
        <w:t xml:space="preserve"> (parametri unutarnjih i vanjskih klimatski uvjeta, okupiranosti i dr.)</w:t>
      </w:r>
      <w:r w:rsidR="00146616">
        <w:t xml:space="preserve"> </w:t>
      </w:r>
      <w:r w:rsidR="00F0798B">
        <w:t xml:space="preserve">će pružiti potpunu informaciju </w:t>
      </w:r>
      <w:r w:rsidR="002A0581">
        <w:t xml:space="preserve">o </w:t>
      </w:r>
      <w:r w:rsidR="00AB5797">
        <w:t>ponašanju zgrade</w:t>
      </w:r>
      <w:r w:rsidR="00A86ECD">
        <w:t xml:space="preserve">. </w:t>
      </w:r>
      <w:r w:rsidR="00D36447">
        <w:t>Dodatni razvoj i adaptacija strukture ISGE-a te razvoj novih modela</w:t>
      </w:r>
      <w:r w:rsidR="00531185">
        <w:t xml:space="preserve"> </w:t>
      </w:r>
      <w:r w:rsidR="00F544CB">
        <w:t xml:space="preserve">financiranja obnove </w:t>
      </w:r>
      <w:r w:rsidR="002B1449">
        <w:t xml:space="preserve">temeljenih na </w:t>
      </w:r>
      <w:r w:rsidR="00B65475">
        <w:t xml:space="preserve">praćenju potrošnje predviđen je </w:t>
      </w:r>
      <w:r w:rsidR="003213FE">
        <w:t xml:space="preserve">u NPOO-u kroz mjeru C6.1. R6 Pilot projekt uspostave i provedbe sustavnog gospodarenja energijom te razvoj novog modela financiranja. </w:t>
      </w:r>
      <w:r w:rsidR="00052AFE">
        <w:t>U obnovljenim zgradama nužno je osigurati mjerenje i praćenje potrošnje energije i utjecajnih faktora te anali</w:t>
      </w:r>
      <w:r w:rsidR="00BB216F">
        <w:t xml:space="preserve">zirati </w:t>
      </w:r>
      <w:r w:rsidR="00741221">
        <w:t xml:space="preserve">učinke obnove prema stvarnim podacima. </w:t>
      </w:r>
    </w:p>
    <w:p w14:paraId="694A2F02" w14:textId="77777777" w:rsidR="00BE7B72" w:rsidRPr="00B357F4" w:rsidRDefault="00BE7B72" w:rsidP="005B53E9">
      <w:pPr>
        <w:rPr>
          <w:lang w:eastAsia="hr-HR"/>
        </w:rPr>
      </w:pPr>
    </w:p>
    <w:p w14:paraId="49C7BBAF" w14:textId="66EC78AE" w:rsidR="009A2C44" w:rsidRPr="004B09BD" w:rsidRDefault="004B09BD" w:rsidP="009F295F">
      <w:pPr>
        <w:pStyle w:val="Naslov10"/>
      </w:pPr>
      <w:bookmarkStart w:id="212" w:name="_Toc94770045"/>
      <w:r w:rsidRPr="009F295F">
        <w:lastRenderedPageBreak/>
        <w:t>Zaključak</w:t>
      </w:r>
      <w:bookmarkEnd w:id="212"/>
    </w:p>
    <w:p w14:paraId="6607D68B" w14:textId="46B43222" w:rsidR="00E818A8" w:rsidRPr="00B357F4" w:rsidRDefault="00E818A8" w:rsidP="00E818A8">
      <w:r w:rsidRPr="00B357F4">
        <w:t xml:space="preserve">Zgrade javnog sektora (ZJS) </w:t>
      </w:r>
      <w:r w:rsidR="00621794" w:rsidRPr="00B357F4">
        <w:t>imaju ukupnu korisnu pov</w:t>
      </w:r>
      <w:r w:rsidR="00717AE8">
        <w:t>rš</w:t>
      </w:r>
      <w:r w:rsidR="00621794" w:rsidRPr="00B357F4">
        <w:t>inu 16.099.527 m²</w:t>
      </w:r>
      <w:r w:rsidR="00293CE8" w:rsidRPr="00B357F4">
        <w:t xml:space="preserve"> što</w:t>
      </w:r>
      <w:r w:rsidRPr="00B357F4">
        <w:t xml:space="preserve"> predstavlja 27,4% ukupnog nestambenog fonda odnosno 9,5% ukupnog fonda zgrada u RH. </w:t>
      </w:r>
      <w:r w:rsidR="00293CE8" w:rsidRPr="00B357F4">
        <w:t xml:space="preserve">Dugoročnom strategijom  previđeno je </w:t>
      </w:r>
      <w:r w:rsidR="00EB7D9C" w:rsidRPr="00B357F4">
        <w:t>provest</w:t>
      </w:r>
      <w:r w:rsidR="00A871D6" w:rsidRPr="00B357F4">
        <w:t xml:space="preserve">i obnovu zgrada javnog sektora u opsegu od </w:t>
      </w:r>
      <w:r w:rsidR="003B48B4" w:rsidRPr="00B357F4">
        <w:t>3.027.321 m²</w:t>
      </w:r>
      <w:r w:rsidR="00DD6E19" w:rsidRPr="00B357F4">
        <w:t xml:space="preserve"> do 2030. godine, što odgovara postupnom rastu stope obnove fonda od 1.0% do 3.0 % u 2030. godini. </w:t>
      </w:r>
    </w:p>
    <w:p w14:paraId="6D59DE9B" w14:textId="3E569D0C" w:rsidR="00582B1F" w:rsidRPr="00B357F4" w:rsidRDefault="00561D68" w:rsidP="00E818A8">
      <w:r w:rsidRPr="00B357F4">
        <w:t>Program energetske obnove zgrada javnog sektora od 2</w:t>
      </w:r>
      <w:r w:rsidR="00582B1F" w:rsidRPr="00B357F4">
        <w:t>0</w:t>
      </w:r>
      <w:r w:rsidR="001745ED" w:rsidRPr="00B357F4">
        <w:t xml:space="preserve">14. do 2020. godine rezultirao je uštedama od </w:t>
      </w:r>
      <w:r w:rsidR="00A17305" w:rsidRPr="00B357F4">
        <w:t xml:space="preserve">202,7 GWh </w:t>
      </w:r>
      <w:r w:rsidR="00E65151" w:rsidRPr="00B357F4">
        <w:t>u 2020. godini, odnosno 657 GWh kumulativnih u</w:t>
      </w:r>
      <w:r w:rsidR="00582B1F" w:rsidRPr="00B357F4">
        <w:t xml:space="preserve">šteda od 2014. do 2020. godine. Ovim programom će se do 2030. godine generirati dodatnih 1.671,4 GWh </w:t>
      </w:r>
      <w:r w:rsidR="00DD32D4" w:rsidRPr="00B357F4">
        <w:t xml:space="preserve">ušteda, odnosno 358,7 GWh ušteda godišnje. </w:t>
      </w:r>
    </w:p>
    <w:p w14:paraId="14D4325E" w14:textId="732E96A3" w:rsidR="00984B8C" w:rsidRDefault="00E818A8" w:rsidP="00984B8C">
      <w:r w:rsidRPr="00B357F4">
        <w:t xml:space="preserve">Fokus Programa je </w:t>
      </w:r>
      <w:r w:rsidR="00DD32D4" w:rsidRPr="00B357F4">
        <w:t>pr</w:t>
      </w:r>
      <w:r w:rsidR="00671862" w:rsidRPr="00B357F4">
        <w:t>venstveno na zgradama loših energetskih svojstava,</w:t>
      </w:r>
      <w:r w:rsidR="000A377E">
        <w:t xml:space="preserve"> posebice na  zgradama oštećenim u potresu </w:t>
      </w:r>
      <w:r w:rsidR="00671862" w:rsidRPr="00B357F4">
        <w:t xml:space="preserve"> s te se u </w:t>
      </w:r>
      <w:r w:rsidR="00F274D9" w:rsidRPr="00B357F4">
        <w:t>raspodjeli oblika obnove na  50% zgrada predviđa sveobuhvatna obnova</w:t>
      </w:r>
      <w:r w:rsidR="0098323D" w:rsidRPr="00B357F4">
        <w:t xml:space="preserve">. </w:t>
      </w:r>
      <w:r w:rsidR="00806297" w:rsidRPr="00964C92">
        <w:t xml:space="preserve">Procijenjene investicije u obnovu iznose </w:t>
      </w:r>
      <w:r w:rsidR="00A724AF" w:rsidRPr="00964C92">
        <w:t xml:space="preserve">10,97 milijardi kuna za desetogodišnje razdoblje, a do kraja 2024. godine potrebna je investicija </w:t>
      </w:r>
      <w:r w:rsidR="00A742DB" w:rsidRPr="00964C92">
        <w:t xml:space="preserve">od gotovo 3 milijarde kuna. </w:t>
      </w:r>
      <w:r w:rsidR="007A4540" w:rsidRPr="00964C92">
        <w:t xml:space="preserve">Indikativni financijski plan prati raspoloživa sredstva iz NPOO za </w:t>
      </w:r>
      <w:r w:rsidR="006470BB" w:rsidRPr="00964C92">
        <w:t xml:space="preserve">energetsku obnovu zgrada (C.6.1.R1) </w:t>
      </w:r>
      <w:r w:rsidR="000F3692" w:rsidRPr="00964C92">
        <w:t xml:space="preserve">s alokacijom od 1 milijarde kuna </w:t>
      </w:r>
      <w:r w:rsidR="006470BB" w:rsidRPr="00964C92">
        <w:t>i za obnovu zgrada oštećenih u potresu s energetskom obnovom (C.6.1.R1-I2)</w:t>
      </w:r>
      <w:r w:rsidR="000F3692" w:rsidRPr="00964C92">
        <w:t xml:space="preserve"> s alokacijom 4,456 milijardi kuna</w:t>
      </w:r>
      <w:r w:rsidR="006470BB" w:rsidRPr="00964C92">
        <w:t xml:space="preserve">. </w:t>
      </w:r>
      <w:r w:rsidR="00FA5ED8" w:rsidRPr="00964C92">
        <w:t>Alokacija</w:t>
      </w:r>
      <w:r w:rsidR="0033617C" w:rsidRPr="00964C92">
        <w:t xml:space="preserve"> sredstava iz PKK</w:t>
      </w:r>
      <w:r w:rsidR="002F7A6B" w:rsidRPr="00964C92">
        <w:t xml:space="preserve"> 2021-2027</w:t>
      </w:r>
      <w:r w:rsidR="0033617C" w:rsidRPr="00964C92">
        <w:t xml:space="preserve"> </w:t>
      </w:r>
      <w:r w:rsidR="00FA5ED8" w:rsidRPr="00964C92">
        <w:t xml:space="preserve">će biti </w:t>
      </w:r>
      <w:r w:rsidR="00964C92">
        <w:t xml:space="preserve">poznata </w:t>
      </w:r>
      <w:r w:rsidR="00964C92" w:rsidRPr="00964C92">
        <w:t>tijekom</w:t>
      </w:r>
      <w:r w:rsidR="00964C92">
        <w:t xml:space="preserve"> </w:t>
      </w:r>
      <w:r w:rsidR="00406324" w:rsidRPr="00964C92">
        <w:t>2022. godine</w:t>
      </w:r>
      <w:r w:rsidR="00FD33F3">
        <w:t>.</w:t>
      </w:r>
      <w:r w:rsidR="00FC67B2" w:rsidRPr="00964C92">
        <w:t xml:space="preserve"> </w:t>
      </w:r>
      <w:r w:rsidR="00FD33F3">
        <w:t>P</w:t>
      </w:r>
      <w:r w:rsidR="00FC67B2" w:rsidRPr="00964C92">
        <w:t>redviđa</w:t>
      </w:r>
      <w:r w:rsidR="00FD33F3">
        <w:t xml:space="preserve"> se</w:t>
      </w:r>
      <w:r w:rsidR="00FC67B2" w:rsidRPr="00964C92">
        <w:t xml:space="preserve"> sva raspoloživa sredstva iz NPOO utrošiti u trogodišnjem razdoblju od 2022. do 2024. godine. Sredstva koja će biti </w:t>
      </w:r>
      <w:r w:rsidR="006023AD" w:rsidRPr="00964C92">
        <w:t xml:space="preserve">raspoloživa iz </w:t>
      </w:r>
      <w:r w:rsidR="00653016">
        <w:t>O</w:t>
      </w:r>
      <w:r w:rsidR="006023AD" w:rsidRPr="00964C92">
        <w:t xml:space="preserve">PKK </w:t>
      </w:r>
      <w:r w:rsidR="00ED063C" w:rsidRPr="00964C92">
        <w:t xml:space="preserve"> (</w:t>
      </w:r>
      <w:r w:rsidR="00916DCF">
        <w:t>u</w:t>
      </w:r>
      <w:r w:rsidR="00916DCF" w:rsidRPr="00964C92">
        <w:t xml:space="preserve"> iznos</w:t>
      </w:r>
      <w:r w:rsidR="00916DCF">
        <w:t>u</w:t>
      </w:r>
      <w:r w:rsidR="00916DCF" w:rsidRPr="00964C92">
        <w:t xml:space="preserve"> od 130 milijuna eura </w:t>
      </w:r>
      <w:r w:rsidR="00ED063C" w:rsidRPr="00964C92">
        <w:t xml:space="preserve">prema radnoj verziji </w:t>
      </w:r>
      <w:r w:rsidR="00653016">
        <w:t>O</w:t>
      </w:r>
      <w:r w:rsidR="00ED063C" w:rsidRPr="00964C92">
        <w:t xml:space="preserve">PKK 2021 – 2027) </w:t>
      </w:r>
      <w:r w:rsidR="00916DCF">
        <w:t xml:space="preserve">će se </w:t>
      </w:r>
      <w:r w:rsidR="00ED063C" w:rsidRPr="00964C92">
        <w:t xml:space="preserve">koristiti </w:t>
      </w:r>
      <w:r w:rsidR="009947BD" w:rsidRPr="00964C92">
        <w:t xml:space="preserve">u predloženim oblicima financiranja </w:t>
      </w:r>
      <w:r w:rsidR="009B1377" w:rsidRPr="00964C92">
        <w:t>–</w:t>
      </w:r>
      <w:r w:rsidR="009947BD" w:rsidRPr="00964C92">
        <w:t xml:space="preserve"> </w:t>
      </w:r>
      <w:r w:rsidR="009B1377" w:rsidRPr="00964C92">
        <w:t xml:space="preserve">grantovi, ESCO, JPP. </w:t>
      </w:r>
      <w:r w:rsidR="00984B8C" w:rsidRPr="00964C92">
        <w:t>Za energetsku</w:t>
      </w:r>
      <w:r w:rsidR="00984B8C">
        <w:t xml:space="preserve"> obnovu ZJS primarno je potrebno koristiti EU sredstva. Korištenje nacionalnih sredstava se može razmotriti u sljedećim razdobljima, ovisno o utrošenosti EU sredstava i raspoloživosti nacionalnih sredstava, posebice od prodaje emisijskih jedinica na dražbama </w:t>
      </w:r>
      <w:r w:rsidR="00916DCF">
        <w:t>. Korištenje ESIF sredstava sredstava očekuje se po odobrenju OPKK</w:t>
      </w:r>
      <w:r w:rsidR="00984B8C">
        <w:t xml:space="preserve"> </w:t>
      </w:r>
    </w:p>
    <w:p w14:paraId="55BE88CF" w14:textId="3FE1CB4C" w:rsidR="00E818A8" w:rsidRDefault="00E87D97" w:rsidP="00E818A8">
      <w:r w:rsidRPr="00E87D97">
        <w:t xml:space="preserve">Kako bi se spriječio pad interesa za energetsku obnovu nakon iscrpljivanja dostupnih bespovratnih sredstava te potaknula kontinuirana energetska obnova javnih zgrada tijekom prvog trogodišnjeg razdoblja ovog Programa potrebno je intenzivno raditi </w:t>
      </w:r>
      <w:r>
        <w:t xml:space="preserve">na razvoju financijskih instrumenata </w:t>
      </w:r>
      <w:r w:rsidRPr="00E87D97">
        <w:t xml:space="preserve">kako bi financijski instrument bio dostupan za korištenje nakon 2024. godine, odnosno nakon isteka mogućnosti financiranja bespovratnim sredstvima alociranima kroz NPOO.  </w:t>
      </w:r>
    </w:p>
    <w:p w14:paraId="138D7EBC" w14:textId="0BF82F03" w:rsidR="002B133B" w:rsidRDefault="002B133B" w:rsidP="00E818A8">
      <w:r>
        <w:t>Svi podaci o pojedinačnoj zgradi bi trebali biti na jednom mjest</w:t>
      </w:r>
      <w:r w:rsidR="00943BF6">
        <w:t>u (projekti, akti o građenju,</w:t>
      </w:r>
      <w:r w:rsidR="000D2740">
        <w:t xml:space="preserve"> podaci o provedenim obnovama, energetska svojstva zgrade, </w:t>
      </w:r>
      <w:r w:rsidR="008E06D7">
        <w:t>razine potresne otpornosti</w:t>
      </w:r>
      <w:r w:rsidR="000D2740">
        <w:t>, svojstva zaštite od požara, certifikati</w:t>
      </w:r>
      <w:r w:rsidR="008E06D7">
        <w:t xml:space="preserve"> i dr.)</w:t>
      </w:r>
      <w:r w:rsidR="00850D4E">
        <w:t xml:space="preserve"> dovodeći isto u vezu s </w:t>
      </w:r>
      <w:r w:rsidR="00893DDA">
        <w:t>Building Renovation Passport</w:t>
      </w:r>
      <w:r w:rsidR="00850D4E">
        <w:t xml:space="preserve">, </w:t>
      </w:r>
      <w:r w:rsidR="00893DDA">
        <w:t>Digital Building Logbook</w:t>
      </w:r>
      <w:r w:rsidR="00850D4E">
        <w:t xml:space="preserve"> i sličnim </w:t>
      </w:r>
      <w:r w:rsidR="003D73BF">
        <w:t>sustavima i bazama podataka.</w:t>
      </w:r>
      <w:r w:rsidR="00850D4E">
        <w:t xml:space="preserve"> </w:t>
      </w:r>
    </w:p>
    <w:p w14:paraId="7A5C4B92" w14:textId="77777777" w:rsidR="00526120" w:rsidRPr="00B357F4" w:rsidRDefault="00526120" w:rsidP="00E818A8"/>
    <w:p w14:paraId="693236CC" w14:textId="77777777" w:rsidR="009B1377" w:rsidRPr="00B357F4" w:rsidRDefault="009B1377" w:rsidP="00E818A8">
      <w:pPr>
        <w:rPr>
          <w:lang w:eastAsia="hr-HR"/>
        </w:rPr>
      </w:pPr>
    </w:p>
    <w:p w14:paraId="64D7E70D" w14:textId="77777777" w:rsidR="009A2C44" w:rsidRPr="00B357F4" w:rsidRDefault="009A2C44" w:rsidP="007C724A">
      <w:pPr>
        <w:rPr>
          <w:lang w:eastAsia="hr-HR"/>
        </w:rPr>
      </w:pPr>
    </w:p>
    <w:p w14:paraId="552876C0" w14:textId="7CA330E3" w:rsidR="008412D1" w:rsidRPr="00B357F4" w:rsidRDefault="0317BA8E" w:rsidP="004B09BD">
      <w:pPr>
        <w:pStyle w:val="Naslov10"/>
      </w:pPr>
      <w:bookmarkStart w:id="213" w:name="_Toc409005244"/>
      <w:bookmarkStart w:id="214" w:name="_Toc431378541"/>
      <w:bookmarkStart w:id="215" w:name="_Toc94770046"/>
      <w:r w:rsidRPr="00B357F4">
        <w:lastRenderedPageBreak/>
        <w:t xml:space="preserve">Popis </w:t>
      </w:r>
      <w:r w:rsidR="46B1DECE" w:rsidRPr="00B357F4">
        <w:t xml:space="preserve">slika i </w:t>
      </w:r>
      <w:r w:rsidRPr="00B357F4">
        <w:t>tablica</w:t>
      </w:r>
      <w:bookmarkEnd w:id="213"/>
      <w:bookmarkEnd w:id="214"/>
      <w:bookmarkEnd w:id="215"/>
    </w:p>
    <w:p w14:paraId="1ADCA775" w14:textId="03A34F86" w:rsidR="00484004" w:rsidRPr="006734C7" w:rsidRDefault="00933965">
      <w:pPr>
        <w:pStyle w:val="Tablicaslika"/>
        <w:tabs>
          <w:tab w:val="right" w:leader="dot" w:pos="9344"/>
        </w:tabs>
      </w:pPr>
      <w:r w:rsidRPr="00203A80">
        <w:fldChar w:fldCharType="begin"/>
      </w:r>
      <w:r w:rsidRPr="00B357F4">
        <w:instrText xml:space="preserve"> TOC \h \z \c "Slika" </w:instrText>
      </w:r>
      <w:r w:rsidRPr="00203A80">
        <w:fldChar w:fldCharType="separate"/>
      </w:r>
      <w:r w:rsidR="0009022D">
        <w:rPr>
          <w:b/>
          <w:bCs/>
          <w:noProof/>
          <w:lang w:val="en-US"/>
        </w:rPr>
        <w:t>No table of figures entries found.</w:t>
      </w:r>
      <w:r w:rsidRPr="00203A80">
        <w:fldChar w:fldCharType="end"/>
      </w:r>
    </w:p>
    <w:p w14:paraId="7889C320" w14:textId="48D38C55" w:rsidR="00717AE8" w:rsidRDefault="00FD64AB">
      <w:pPr>
        <w:pStyle w:val="Tablicaslika"/>
        <w:tabs>
          <w:tab w:val="right" w:leader="dot" w:pos="9344"/>
        </w:tabs>
        <w:rPr>
          <w:rFonts w:asciiTheme="minorHAnsi" w:eastAsiaTheme="minorEastAsia" w:hAnsiTheme="minorHAnsi" w:cstheme="minorBidi"/>
          <w:noProof/>
          <w:sz w:val="22"/>
          <w:szCs w:val="22"/>
          <w:lang w:eastAsia="hr-HR"/>
        </w:rPr>
      </w:pPr>
      <w:r w:rsidRPr="0009022D">
        <w:fldChar w:fldCharType="begin"/>
      </w:r>
      <w:r w:rsidRPr="00B357F4">
        <w:instrText xml:space="preserve"> TOC \h \z \c "Tablica" </w:instrText>
      </w:r>
      <w:r w:rsidRPr="0009022D">
        <w:fldChar w:fldCharType="separate"/>
      </w:r>
      <w:hyperlink w:anchor="_Toc87949880" w:history="1">
        <w:r w:rsidR="00717AE8" w:rsidRPr="002B284C">
          <w:rPr>
            <w:rStyle w:val="Hiperveza"/>
            <w:noProof/>
          </w:rPr>
          <w:t>Tablica 2</w:t>
        </w:r>
        <w:r w:rsidR="00717AE8" w:rsidRPr="002B284C">
          <w:rPr>
            <w:rStyle w:val="Hiperveza"/>
            <w:noProof/>
          </w:rPr>
          <w:noBreakHyphen/>
          <w:t>1: Pregled zakonskih odredbi i podzakonskih akata energetske učinkovitosti u Hrvatskoj</w:t>
        </w:r>
        <w:r w:rsidR="00717AE8">
          <w:rPr>
            <w:noProof/>
            <w:webHidden/>
          </w:rPr>
          <w:tab/>
        </w:r>
        <w:r w:rsidR="00717AE8">
          <w:rPr>
            <w:noProof/>
            <w:webHidden/>
          </w:rPr>
          <w:fldChar w:fldCharType="begin"/>
        </w:r>
        <w:r w:rsidR="00717AE8">
          <w:rPr>
            <w:noProof/>
            <w:webHidden/>
          </w:rPr>
          <w:instrText xml:space="preserve"> PAGEREF _Toc87949880 \h </w:instrText>
        </w:r>
        <w:r w:rsidR="00717AE8">
          <w:rPr>
            <w:noProof/>
            <w:webHidden/>
          </w:rPr>
        </w:r>
        <w:r w:rsidR="00717AE8">
          <w:rPr>
            <w:noProof/>
            <w:webHidden/>
          </w:rPr>
          <w:fldChar w:fldCharType="separate"/>
        </w:r>
        <w:r w:rsidR="0023635D">
          <w:rPr>
            <w:noProof/>
            <w:webHidden/>
          </w:rPr>
          <w:t>15</w:t>
        </w:r>
        <w:r w:rsidR="00717AE8">
          <w:rPr>
            <w:noProof/>
            <w:webHidden/>
          </w:rPr>
          <w:fldChar w:fldCharType="end"/>
        </w:r>
      </w:hyperlink>
    </w:p>
    <w:p w14:paraId="580F9B09" w14:textId="1337CB79"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1" w:history="1">
        <w:r w:rsidR="00717AE8" w:rsidRPr="002B284C">
          <w:rPr>
            <w:rStyle w:val="Hiperveza"/>
            <w:noProof/>
          </w:rPr>
          <w:t>Tablica 2</w:t>
        </w:r>
        <w:r w:rsidR="00717AE8" w:rsidRPr="002B284C">
          <w:rPr>
            <w:rStyle w:val="Hiperveza"/>
            <w:noProof/>
          </w:rPr>
          <w:noBreakHyphen/>
          <w:t>2: Pregled odredbi strateških dokumenata RH</w:t>
        </w:r>
        <w:r w:rsidR="00717AE8">
          <w:rPr>
            <w:noProof/>
            <w:webHidden/>
          </w:rPr>
          <w:tab/>
        </w:r>
        <w:r w:rsidR="00717AE8">
          <w:rPr>
            <w:noProof/>
            <w:webHidden/>
          </w:rPr>
          <w:fldChar w:fldCharType="begin"/>
        </w:r>
        <w:r w:rsidR="00717AE8">
          <w:rPr>
            <w:noProof/>
            <w:webHidden/>
          </w:rPr>
          <w:instrText xml:space="preserve"> PAGEREF _Toc87949881 \h </w:instrText>
        </w:r>
        <w:r w:rsidR="00717AE8">
          <w:rPr>
            <w:noProof/>
            <w:webHidden/>
          </w:rPr>
        </w:r>
        <w:r w:rsidR="00717AE8">
          <w:rPr>
            <w:noProof/>
            <w:webHidden/>
          </w:rPr>
          <w:fldChar w:fldCharType="separate"/>
        </w:r>
        <w:r w:rsidR="0023635D">
          <w:rPr>
            <w:noProof/>
            <w:webHidden/>
          </w:rPr>
          <w:t>17</w:t>
        </w:r>
        <w:r w:rsidR="00717AE8">
          <w:rPr>
            <w:noProof/>
            <w:webHidden/>
          </w:rPr>
          <w:fldChar w:fldCharType="end"/>
        </w:r>
      </w:hyperlink>
    </w:p>
    <w:p w14:paraId="69BB7E36" w14:textId="44EA0004"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2" w:history="1">
        <w:r w:rsidR="00717AE8" w:rsidRPr="002B284C">
          <w:rPr>
            <w:rStyle w:val="Hiperveza"/>
            <w:noProof/>
          </w:rPr>
          <w:t>Tablica 3</w:t>
        </w:r>
        <w:r w:rsidR="00717AE8" w:rsidRPr="002B284C">
          <w:rPr>
            <w:rStyle w:val="Hiperveza"/>
            <w:noProof/>
          </w:rPr>
          <w:noBreakHyphen/>
          <w:t>1 Ukupna korisna površina fonda zgrada  2020. godine</w:t>
        </w:r>
        <w:r w:rsidR="00717AE8">
          <w:rPr>
            <w:noProof/>
            <w:webHidden/>
          </w:rPr>
          <w:tab/>
        </w:r>
        <w:r w:rsidR="00717AE8">
          <w:rPr>
            <w:noProof/>
            <w:webHidden/>
          </w:rPr>
          <w:fldChar w:fldCharType="begin"/>
        </w:r>
        <w:r w:rsidR="00717AE8">
          <w:rPr>
            <w:noProof/>
            <w:webHidden/>
          </w:rPr>
          <w:instrText xml:space="preserve"> PAGEREF _Toc87949882 \h </w:instrText>
        </w:r>
        <w:r w:rsidR="00717AE8">
          <w:rPr>
            <w:noProof/>
            <w:webHidden/>
          </w:rPr>
        </w:r>
        <w:r w:rsidR="00717AE8">
          <w:rPr>
            <w:noProof/>
            <w:webHidden/>
          </w:rPr>
          <w:fldChar w:fldCharType="separate"/>
        </w:r>
        <w:r w:rsidR="0023635D">
          <w:rPr>
            <w:noProof/>
            <w:webHidden/>
          </w:rPr>
          <w:t>20</w:t>
        </w:r>
        <w:r w:rsidR="00717AE8">
          <w:rPr>
            <w:noProof/>
            <w:webHidden/>
          </w:rPr>
          <w:fldChar w:fldCharType="end"/>
        </w:r>
      </w:hyperlink>
    </w:p>
    <w:p w14:paraId="58E5C491" w14:textId="49C16D32"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3" w:history="1">
        <w:r w:rsidR="00717AE8" w:rsidRPr="002B284C">
          <w:rPr>
            <w:rStyle w:val="Hiperveza"/>
            <w:noProof/>
          </w:rPr>
          <w:t>Tablica 3</w:t>
        </w:r>
        <w:r w:rsidR="00717AE8" w:rsidRPr="002B284C">
          <w:rPr>
            <w:rStyle w:val="Hiperveza"/>
            <w:noProof/>
          </w:rPr>
          <w:noBreakHyphen/>
          <w:t>2 Ploština korisne površina grijanog dijela zgrada (A</w:t>
        </w:r>
        <w:r w:rsidR="00717AE8" w:rsidRPr="002B284C">
          <w:rPr>
            <w:rStyle w:val="Hiperveza"/>
            <w:noProof/>
            <w:vertAlign w:val="subscript"/>
          </w:rPr>
          <w:t>k</w:t>
        </w:r>
        <w:r w:rsidR="00717AE8" w:rsidRPr="002B284C">
          <w:rPr>
            <w:rStyle w:val="Hiperveza"/>
            <w:noProof/>
          </w:rPr>
          <w:t>) prema namjeni i razdoblju gradnje u m²</w:t>
        </w:r>
        <w:r w:rsidR="00717AE8">
          <w:rPr>
            <w:noProof/>
            <w:webHidden/>
          </w:rPr>
          <w:tab/>
        </w:r>
        <w:r w:rsidR="00717AE8">
          <w:rPr>
            <w:noProof/>
            <w:webHidden/>
          </w:rPr>
          <w:fldChar w:fldCharType="begin"/>
        </w:r>
        <w:r w:rsidR="00717AE8">
          <w:rPr>
            <w:noProof/>
            <w:webHidden/>
          </w:rPr>
          <w:instrText xml:space="preserve"> PAGEREF _Toc87949883 \h </w:instrText>
        </w:r>
        <w:r w:rsidR="00717AE8">
          <w:rPr>
            <w:noProof/>
            <w:webHidden/>
          </w:rPr>
        </w:r>
        <w:r w:rsidR="00717AE8">
          <w:rPr>
            <w:noProof/>
            <w:webHidden/>
          </w:rPr>
          <w:fldChar w:fldCharType="separate"/>
        </w:r>
        <w:r w:rsidR="0023635D">
          <w:rPr>
            <w:noProof/>
            <w:webHidden/>
          </w:rPr>
          <w:t>21</w:t>
        </w:r>
        <w:r w:rsidR="00717AE8">
          <w:rPr>
            <w:noProof/>
            <w:webHidden/>
          </w:rPr>
          <w:fldChar w:fldCharType="end"/>
        </w:r>
      </w:hyperlink>
    </w:p>
    <w:p w14:paraId="01B2DE8C" w14:textId="01B5AF92"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4" w:history="1">
        <w:r w:rsidR="00717AE8" w:rsidRPr="002B284C">
          <w:rPr>
            <w:rStyle w:val="Hiperveza"/>
            <w:noProof/>
          </w:rPr>
          <w:t>Tablica 3</w:t>
        </w:r>
        <w:r w:rsidR="00717AE8" w:rsidRPr="002B284C">
          <w:rPr>
            <w:rStyle w:val="Hiperveza"/>
            <w:noProof/>
          </w:rPr>
          <w:noBreakHyphen/>
          <w:t>3 Ploština korisne  površina grijanog dijela zgrada (Ak</w:t>
        </w:r>
        <w:r w:rsidR="00717AE8" w:rsidRPr="002B284C">
          <w:rPr>
            <w:rStyle w:val="Hiperveza"/>
            <w:noProof/>
            <w:vertAlign w:val="superscript"/>
          </w:rPr>
          <w:t xml:space="preserve">) </w:t>
        </w:r>
        <w:r w:rsidR="00717AE8" w:rsidRPr="002B284C">
          <w:rPr>
            <w:rStyle w:val="Hiperveza"/>
            <w:noProof/>
          </w:rPr>
          <w:t>prema namjeni i sektoru (vlasništvu) u m²</w:t>
        </w:r>
        <w:r w:rsidR="00717AE8">
          <w:rPr>
            <w:noProof/>
            <w:webHidden/>
          </w:rPr>
          <w:tab/>
        </w:r>
        <w:r w:rsidR="00717AE8">
          <w:rPr>
            <w:noProof/>
            <w:webHidden/>
          </w:rPr>
          <w:fldChar w:fldCharType="begin"/>
        </w:r>
        <w:r w:rsidR="00717AE8">
          <w:rPr>
            <w:noProof/>
            <w:webHidden/>
          </w:rPr>
          <w:instrText xml:space="preserve"> PAGEREF _Toc87949884 \h </w:instrText>
        </w:r>
        <w:r w:rsidR="00717AE8">
          <w:rPr>
            <w:noProof/>
            <w:webHidden/>
          </w:rPr>
        </w:r>
        <w:r w:rsidR="00717AE8">
          <w:rPr>
            <w:noProof/>
            <w:webHidden/>
          </w:rPr>
          <w:fldChar w:fldCharType="separate"/>
        </w:r>
        <w:r w:rsidR="0023635D">
          <w:rPr>
            <w:noProof/>
            <w:webHidden/>
          </w:rPr>
          <w:t>21</w:t>
        </w:r>
        <w:r w:rsidR="00717AE8">
          <w:rPr>
            <w:noProof/>
            <w:webHidden/>
          </w:rPr>
          <w:fldChar w:fldCharType="end"/>
        </w:r>
      </w:hyperlink>
    </w:p>
    <w:p w14:paraId="46105B9A" w14:textId="2467BA49"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5" w:history="1">
        <w:r w:rsidR="00717AE8" w:rsidRPr="002B284C">
          <w:rPr>
            <w:rStyle w:val="Hiperveza"/>
            <w:noProof/>
          </w:rPr>
          <w:t>Tablica 3</w:t>
        </w:r>
        <w:r w:rsidR="00717AE8" w:rsidRPr="002B284C">
          <w:rPr>
            <w:rStyle w:val="Hiperveza"/>
            <w:noProof/>
          </w:rPr>
          <w:noBreakHyphen/>
          <w:t>4 Specifična godišnja potrebna toplinska energija za grijanje (kWh/m2a) prema namjeni i razdoblju gradnje zgrade za kontinentalnu Hrvatsku</w:t>
        </w:r>
        <w:r w:rsidR="00717AE8">
          <w:rPr>
            <w:noProof/>
            <w:webHidden/>
          </w:rPr>
          <w:tab/>
        </w:r>
        <w:r w:rsidR="00717AE8">
          <w:rPr>
            <w:noProof/>
            <w:webHidden/>
          </w:rPr>
          <w:fldChar w:fldCharType="begin"/>
        </w:r>
        <w:r w:rsidR="00717AE8">
          <w:rPr>
            <w:noProof/>
            <w:webHidden/>
          </w:rPr>
          <w:instrText xml:space="preserve"> PAGEREF _Toc87949885 \h </w:instrText>
        </w:r>
        <w:r w:rsidR="00717AE8">
          <w:rPr>
            <w:noProof/>
            <w:webHidden/>
          </w:rPr>
        </w:r>
        <w:r w:rsidR="00717AE8">
          <w:rPr>
            <w:noProof/>
            <w:webHidden/>
          </w:rPr>
          <w:fldChar w:fldCharType="separate"/>
        </w:r>
        <w:r w:rsidR="0023635D">
          <w:rPr>
            <w:noProof/>
            <w:webHidden/>
          </w:rPr>
          <w:t>22</w:t>
        </w:r>
        <w:r w:rsidR="00717AE8">
          <w:rPr>
            <w:noProof/>
            <w:webHidden/>
          </w:rPr>
          <w:fldChar w:fldCharType="end"/>
        </w:r>
      </w:hyperlink>
    </w:p>
    <w:p w14:paraId="7C970C5E" w14:textId="64B5A9B2"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6" w:history="1">
        <w:r w:rsidR="00717AE8" w:rsidRPr="002B284C">
          <w:rPr>
            <w:rStyle w:val="Hiperveza"/>
            <w:noProof/>
          </w:rPr>
          <w:t>Tablica 3</w:t>
        </w:r>
        <w:r w:rsidR="00717AE8" w:rsidRPr="002B284C">
          <w:rPr>
            <w:rStyle w:val="Hiperveza"/>
            <w:noProof/>
          </w:rPr>
          <w:noBreakHyphen/>
          <w:t>5 Specifična godišnja potrebna toplinska energija za grijanje (kWh/m2a) prema namjeni i razdoblju gradnje zgrade za primorsku Hrvatsku</w:t>
        </w:r>
        <w:r w:rsidR="00717AE8">
          <w:rPr>
            <w:noProof/>
            <w:webHidden/>
          </w:rPr>
          <w:tab/>
        </w:r>
        <w:r w:rsidR="00717AE8">
          <w:rPr>
            <w:noProof/>
            <w:webHidden/>
          </w:rPr>
          <w:fldChar w:fldCharType="begin"/>
        </w:r>
        <w:r w:rsidR="00717AE8">
          <w:rPr>
            <w:noProof/>
            <w:webHidden/>
          </w:rPr>
          <w:instrText xml:space="preserve"> PAGEREF _Toc87949886 \h </w:instrText>
        </w:r>
        <w:r w:rsidR="00717AE8">
          <w:rPr>
            <w:noProof/>
            <w:webHidden/>
          </w:rPr>
        </w:r>
        <w:r w:rsidR="00717AE8">
          <w:rPr>
            <w:noProof/>
            <w:webHidden/>
          </w:rPr>
          <w:fldChar w:fldCharType="separate"/>
        </w:r>
        <w:r w:rsidR="0023635D">
          <w:rPr>
            <w:noProof/>
            <w:webHidden/>
          </w:rPr>
          <w:t>22</w:t>
        </w:r>
        <w:r w:rsidR="00717AE8">
          <w:rPr>
            <w:noProof/>
            <w:webHidden/>
          </w:rPr>
          <w:fldChar w:fldCharType="end"/>
        </w:r>
      </w:hyperlink>
    </w:p>
    <w:p w14:paraId="49C278CB" w14:textId="1F8F90FA"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7" w:history="1">
        <w:r w:rsidR="00717AE8" w:rsidRPr="002B284C">
          <w:rPr>
            <w:rStyle w:val="Hiperveza"/>
            <w:noProof/>
          </w:rPr>
          <w:t>Tablica 3</w:t>
        </w:r>
        <w:r w:rsidR="00717AE8" w:rsidRPr="002B284C">
          <w:rPr>
            <w:rStyle w:val="Hiperveza"/>
            <w:noProof/>
          </w:rPr>
          <w:noBreakHyphen/>
          <w:t>6 Specifična godišnja potrebna toplinska energija za grijanje, hlađenje i PTV, te isporučena i specifična godišnja primarna energija za grijanje, hlađenje, PTV i rasvjetu kWh/m</w:t>
        </w:r>
        <w:r w:rsidR="00717AE8" w:rsidRPr="002B284C">
          <w:rPr>
            <w:rStyle w:val="Hiperveza"/>
            <w:noProof/>
            <w:vertAlign w:val="superscript"/>
          </w:rPr>
          <w:t>2</w:t>
        </w:r>
        <w:r w:rsidR="00717AE8" w:rsidRPr="002B284C">
          <w:rPr>
            <w:rStyle w:val="Hiperveza"/>
            <w:noProof/>
          </w:rPr>
          <w:t>a po vrsti zgrade i klimi</w:t>
        </w:r>
        <w:r w:rsidR="00717AE8">
          <w:rPr>
            <w:noProof/>
            <w:webHidden/>
          </w:rPr>
          <w:tab/>
        </w:r>
        <w:r w:rsidR="00717AE8">
          <w:rPr>
            <w:noProof/>
            <w:webHidden/>
          </w:rPr>
          <w:fldChar w:fldCharType="begin"/>
        </w:r>
        <w:r w:rsidR="00717AE8">
          <w:rPr>
            <w:noProof/>
            <w:webHidden/>
          </w:rPr>
          <w:instrText xml:space="preserve"> PAGEREF _Toc87949887 \h </w:instrText>
        </w:r>
        <w:r w:rsidR="00717AE8">
          <w:rPr>
            <w:noProof/>
            <w:webHidden/>
          </w:rPr>
        </w:r>
        <w:r w:rsidR="00717AE8">
          <w:rPr>
            <w:noProof/>
            <w:webHidden/>
          </w:rPr>
          <w:fldChar w:fldCharType="separate"/>
        </w:r>
        <w:r w:rsidR="0023635D">
          <w:rPr>
            <w:noProof/>
            <w:webHidden/>
          </w:rPr>
          <w:t>23</w:t>
        </w:r>
        <w:r w:rsidR="00717AE8">
          <w:rPr>
            <w:noProof/>
            <w:webHidden/>
          </w:rPr>
          <w:fldChar w:fldCharType="end"/>
        </w:r>
      </w:hyperlink>
    </w:p>
    <w:p w14:paraId="44A0ED52" w14:textId="230E6D5D"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8" w:history="1">
        <w:r w:rsidR="00717AE8" w:rsidRPr="002B284C">
          <w:rPr>
            <w:rStyle w:val="Hiperveza"/>
            <w:noProof/>
          </w:rPr>
          <w:t>Tablica 3</w:t>
        </w:r>
        <w:r w:rsidR="00717AE8" w:rsidRPr="002B284C">
          <w:rPr>
            <w:rStyle w:val="Hiperveza"/>
            <w:noProof/>
          </w:rPr>
          <w:noBreakHyphen/>
          <w:t>7 Ploština korisne  površine grijanog dijela zgrada (Ak</w:t>
        </w:r>
        <w:r w:rsidR="00717AE8" w:rsidRPr="002B284C">
          <w:rPr>
            <w:rStyle w:val="Hiperveza"/>
            <w:noProof/>
            <w:vertAlign w:val="subscript"/>
          </w:rPr>
          <w:t>)</w:t>
        </w:r>
        <w:r w:rsidR="00717AE8" w:rsidRPr="002B284C">
          <w:rPr>
            <w:rStyle w:val="Hiperveza"/>
            <w:noProof/>
          </w:rPr>
          <w:t xml:space="preserve"> prema stanju energetske obnove</w:t>
        </w:r>
        <w:r w:rsidR="00717AE8">
          <w:rPr>
            <w:noProof/>
            <w:webHidden/>
          </w:rPr>
          <w:tab/>
        </w:r>
        <w:r w:rsidR="00717AE8">
          <w:rPr>
            <w:noProof/>
            <w:webHidden/>
          </w:rPr>
          <w:fldChar w:fldCharType="begin"/>
        </w:r>
        <w:r w:rsidR="00717AE8">
          <w:rPr>
            <w:noProof/>
            <w:webHidden/>
          </w:rPr>
          <w:instrText xml:space="preserve"> PAGEREF _Toc87949888 \h </w:instrText>
        </w:r>
        <w:r w:rsidR="00717AE8">
          <w:rPr>
            <w:noProof/>
            <w:webHidden/>
          </w:rPr>
        </w:r>
        <w:r w:rsidR="00717AE8">
          <w:rPr>
            <w:noProof/>
            <w:webHidden/>
          </w:rPr>
          <w:fldChar w:fldCharType="separate"/>
        </w:r>
        <w:r w:rsidR="0023635D">
          <w:rPr>
            <w:noProof/>
            <w:webHidden/>
          </w:rPr>
          <w:t>24</w:t>
        </w:r>
        <w:r w:rsidR="00717AE8">
          <w:rPr>
            <w:noProof/>
            <w:webHidden/>
          </w:rPr>
          <w:fldChar w:fldCharType="end"/>
        </w:r>
      </w:hyperlink>
    </w:p>
    <w:p w14:paraId="6CBD3A01" w14:textId="67F9458D"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89" w:history="1">
        <w:r w:rsidR="00717AE8" w:rsidRPr="002B284C">
          <w:rPr>
            <w:rStyle w:val="Hiperveza"/>
            <w:noProof/>
          </w:rPr>
          <w:t>Tablica 3</w:t>
        </w:r>
        <w:r w:rsidR="00717AE8" w:rsidRPr="002B284C">
          <w:rPr>
            <w:rStyle w:val="Hiperveza"/>
            <w:noProof/>
          </w:rPr>
          <w:noBreakHyphen/>
          <w:t>8 Specifična godišnja potrebna toplinska energija za grijanje, hlađenje i PTV, te specifična godišnja isporučena i primarna energija za grijanje, hlađenje, PTV i rasvjetu kWh/m</w:t>
        </w:r>
        <w:r w:rsidR="00717AE8" w:rsidRPr="002B284C">
          <w:rPr>
            <w:rStyle w:val="Hiperveza"/>
            <w:noProof/>
            <w:vertAlign w:val="superscript"/>
          </w:rPr>
          <w:t>2</w:t>
        </w:r>
        <w:r w:rsidR="00717AE8" w:rsidRPr="002B284C">
          <w:rPr>
            <w:rStyle w:val="Hiperveza"/>
            <w:noProof/>
          </w:rPr>
          <w:t>a po vrsti zgrade i klimi nakon obnove</w:t>
        </w:r>
        <w:r w:rsidR="00717AE8">
          <w:rPr>
            <w:noProof/>
            <w:webHidden/>
          </w:rPr>
          <w:tab/>
        </w:r>
        <w:r w:rsidR="00717AE8">
          <w:rPr>
            <w:noProof/>
            <w:webHidden/>
          </w:rPr>
          <w:fldChar w:fldCharType="begin"/>
        </w:r>
        <w:r w:rsidR="00717AE8">
          <w:rPr>
            <w:noProof/>
            <w:webHidden/>
          </w:rPr>
          <w:instrText xml:space="preserve"> PAGEREF _Toc87949889 \h </w:instrText>
        </w:r>
        <w:r w:rsidR="00717AE8">
          <w:rPr>
            <w:noProof/>
            <w:webHidden/>
          </w:rPr>
        </w:r>
        <w:r w:rsidR="00717AE8">
          <w:rPr>
            <w:noProof/>
            <w:webHidden/>
          </w:rPr>
          <w:fldChar w:fldCharType="separate"/>
        </w:r>
        <w:r w:rsidR="0023635D">
          <w:rPr>
            <w:noProof/>
            <w:webHidden/>
          </w:rPr>
          <w:t>24</w:t>
        </w:r>
        <w:r w:rsidR="00717AE8">
          <w:rPr>
            <w:noProof/>
            <w:webHidden/>
          </w:rPr>
          <w:fldChar w:fldCharType="end"/>
        </w:r>
      </w:hyperlink>
    </w:p>
    <w:p w14:paraId="326722B0" w14:textId="2CC694A2"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0" w:history="1">
        <w:r w:rsidR="00717AE8" w:rsidRPr="002B284C">
          <w:rPr>
            <w:rStyle w:val="Hiperveza"/>
            <w:noProof/>
          </w:rPr>
          <w:t>Tablica 3</w:t>
        </w:r>
        <w:r w:rsidR="00717AE8" w:rsidRPr="002B284C">
          <w:rPr>
            <w:rStyle w:val="Hiperveza"/>
            <w:noProof/>
          </w:rPr>
          <w:noBreakHyphen/>
          <w:t>9 Potrebna toplinska energija, isporučena, primarna energija i emisija CO</w:t>
        </w:r>
        <w:r w:rsidR="00717AE8" w:rsidRPr="002B284C">
          <w:rPr>
            <w:rStyle w:val="Hiperveza"/>
            <w:noProof/>
            <w:vertAlign w:val="subscript"/>
          </w:rPr>
          <w:t>2</w:t>
        </w:r>
        <w:r w:rsidR="00717AE8" w:rsidRPr="002B284C">
          <w:rPr>
            <w:rStyle w:val="Hiperveza"/>
            <w:noProof/>
          </w:rPr>
          <w:t xml:space="preserve"> prije i nakon obnove (godišnje)</w:t>
        </w:r>
        <w:r w:rsidR="00717AE8">
          <w:rPr>
            <w:noProof/>
            <w:webHidden/>
          </w:rPr>
          <w:tab/>
        </w:r>
        <w:r w:rsidR="00717AE8">
          <w:rPr>
            <w:noProof/>
            <w:webHidden/>
          </w:rPr>
          <w:fldChar w:fldCharType="begin"/>
        </w:r>
        <w:r w:rsidR="00717AE8">
          <w:rPr>
            <w:noProof/>
            <w:webHidden/>
          </w:rPr>
          <w:instrText xml:space="preserve"> PAGEREF _Toc87949890 \h </w:instrText>
        </w:r>
        <w:r w:rsidR="00717AE8">
          <w:rPr>
            <w:noProof/>
            <w:webHidden/>
          </w:rPr>
        </w:r>
        <w:r w:rsidR="00717AE8">
          <w:rPr>
            <w:noProof/>
            <w:webHidden/>
          </w:rPr>
          <w:fldChar w:fldCharType="separate"/>
        </w:r>
        <w:r w:rsidR="0023635D">
          <w:rPr>
            <w:noProof/>
            <w:webHidden/>
          </w:rPr>
          <w:t>25</w:t>
        </w:r>
        <w:r w:rsidR="00717AE8">
          <w:rPr>
            <w:noProof/>
            <w:webHidden/>
          </w:rPr>
          <w:fldChar w:fldCharType="end"/>
        </w:r>
      </w:hyperlink>
    </w:p>
    <w:p w14:paraId="39AA8A30" w14:textId="28503A75"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1" w:history="1">
        <w:r w:rsidR="00717AE8" w:rsidRPr="002B284C">
          <w:rPr>
            <w:rStyle w:val="Hiperveza"/>
            <w:noProof/>
          </w:rPr>
          <w:t>Tablica 3</w:t>
        </w:r>
        <w:r w:rsidR="00717AE8" w:rsidRPr="002B284C">
          <w:rPr>
            <w:rStyle w:val="Hiperveza"/>
            <w:noProof/>
          </w:rPr>
          <w:noBreakHyphen/>
          <w:t>10: Izračun kumulativnih ušteda energije u neposrednoj potrošnji (isporučena energija) za ostvarene ciljeve obnove ZJS prema Dugoročnoj strategiji</w:t>
        </w:r>
        <w:r w:rsidR="00717AE8">
          <w:rPr>
            <w:noProof/>
            <w:webHidden/>
          </w:rPr>
          <w:tab/>
        </w:r>
        <w:r w:rsidR="00717AE8">
          <w:rPr>
            <w:noProof/>
            <w:webHidden/>
          </w:rPr>
          <w:fldChar w:fldCharType="begin"/>
        </w:r>
        <w:r w:rsidR="00717AE8">
          <w:rPr>
            <w:noProof/>
            <w:webHidden/>
          </w:rPr>
          <w:instrText xml:space="preserve"> PAGEREF _Toc87949891 \h </w:instrText>
        </w:r>
        <w:r w:rsidR="00717AE8">
          <w:rPr>
            <w:noProof/>
            <w:webHidden/>
          </w:rPr>
        </w:r>
        <w:r w:rsidR="00717AE8">
          <w:rPr>
            <w:noProof/>
            <w:webHidden/>
          </w:rPr>
          <w:fldChar w:fldCharType="separate"/>
        </w:r>
        <w:r w:rsidR="0023635D">
          <w:rPr>
            <w:noProof/>
            <w:webHidden/>
          </w:rPr>
          <w:t>25</w:t>
        </w:r>
        <w:r w:rsidR="00717AE8">
          <w:rPr>
            <w:noProof/>
            <w:webHidden/>
          </w:rPr>
          <w:fldChar w:fldCharType="end"/>
        </w:r>
      </w:hyperlink>
    </w:p>
    <w:p w14:paraId="5E841B84" w14:textId="1F9BE45A"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2" w:history="1">
        <w:r w:rsidR="00717AE8" w:rsidRPr="002B284C">
          <w:rPr>
            <w:rStyle w:val="Hiperveza"/>
            <w:noProof/>
          </w:rPr>
          <w:t>Tablica 4</w:t>
        </w:r>
        <w:r w:rsidR="00717AE8" w:rsidRPr="002B284C">
          <w:rPr>
            <w:rStyle w:val="Hiperveza"/>
            <w:noProof/>
          </w:rPr>
          <w:noBreakHyphen/>
          <w:t>1: Učinci programa energetske obnove ZJS za razdoblje od 2014. do 2020. godine</w:t>
        </w:r>
        <w:r w:rsidR="00717AE8">
          <w:rPr>
            <w:noProof/>
            <w:webHidden/>
          </w:rPr>
          <w:tab/>
        </w:r>
        <w:r w:rsidR="00717AE8">
          <w:rPr>
            <w:noProof/>
            <w:webHidden/>
          </w:rPr>
          <w:fldChar w:fldCharType="begin"/>
        </w:r>
        <w:r w:rsidR="00717AE8">
          <w:rPr>
            <w:noProof/>
            <w:webHidden/>
          </w:rPr>
          <w:instrText xml:space="preserve"> PAGEREF _Toc87949892 \h </w:instrText>
        </w:r>
        <w:r w:rsidR="00717AE8">
          <w:rPr>
            <w:noProof/>
            <w:webHidden/>
          </w:rPr>
        </w:r>
        <w:r w:rsidR="00717AE8">
          <w:rPr>
            <w:noProof/>
            <w:webHidden/>
          </w:rPr>
          <w:fldChar w:fldCharType="separate"/>
        </w:r>
        <w:r w:rsidR="0023635D">
          <w:rPr>
            <w:noProof/>
            <w:webHidden/>
          </w:rPr>
          <w:t>29</w:t>
        </w:r>
        <w:r w:rsidR="00717AE8">
          <w:rPr>
            <w:noProof/>
            <w:webHidden/>
          </w:rPr>
          <w:fldChar w:fldCharType="end"/>
        </w:r>
      </w:hyperlink>
    </w:p>
    <w:p w14:paraId="0D208D1E" w14:textId="5AF26358"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3" w:history="1">
        <w:r w:rsidR="00717AE8" w:rsidRPr="002B284C">
          <w:rPr>
            <w:rStyle w:val="Hiperveza"/>
            <w:noProof/>
          </w:rPr>
          <w:t>Tablica 5</w:t>
        </w:r>
        <w:r w:rsidR="00717AE8" w:rsidRPr="002B284C">
          <w:rPr>
            <w:rStyle w:val="Hiperveza"/>
            <w:noProof/>
          </w:rPr>
          <w:noBreakHyphen/>
          <w:t xml:space="preserve">1: </w:t>
        </w:r>
        <w:r w:rsidR="00717AE8" w:rsidRPr="002B284C">
          <w:rPr>
            <w:rStyle w:val="Hiperveza"/>
            <w:rFonts w:cs="Tahoma"/>
            <w:noProof/>
          </w:rPr>
          <w:t>Ciljane obnovljene površine nestambenih zgrada i ZJS za razdoblje od 2021. do 2030 prema Dugoročnoj strategiji</w:t>
        </w:r>
        <w:r w:rsidR="00717AE8">
          <w:rPr>
            <w:noProof/>
            <w:webHidden/>
          </w:rPr>
          <w:tab/>
        </w:r>
        <w:r w:rsidR="00717AE8">
          <w:rPr>
            <w:noProof/>
            <w:webHidden/>
          </w:rPr>
          <w:fldChar w:fldCharType="begin"/>
        </w:r>
        <w:r w:rsidR="00717AE8">
          <w:rPr>
            <w:noProof/>
            <w:webHidden/>
          </w:rPr>
          <w:instrText xml:space="preserve"> PAGEREF _Toc87949893 \h </w:instrText>
        </w:r>
        <w:r w:rsidR="00717AE8">
          <w:rPr>
            <w:noProof/>
            <w:webHidden/>
          </w:rPr>
        </w:r>
        <w:r w:rsidR="00717AE8">
          <w:rPr>
            <w:noProof/>
            <w:webHidden/>
          </w:rPr>
          <w:fldChar w:fldCharType="separate"/>
        </w:r>
        <w:r w:rsidR="0023635D">
          <w:rPr>
            <w:noProof/>
            <w:webHidden/>
          </w:rPr>
          <w:t>31</w:t>
        </w:r>
        <w:r w:rsidR="00717AE8">
          <w:rPr>
            <w:noProof/>
            <w:webHidden/>
          </w:rPr>
          <w:fldChar w:fldCharType="end"/>
        </w:r>
      </w:hyperlink>
    </w:p>
    <w:p w14:paraId="34D27C89" w14:textId="0D79E78B"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4" w:history="1">
        <w:r w:rsidR="00717AE8" w:rsidRPr="002B284C">
          <w:rPr>
            <w:rStyle w:val="Hiperveza"/>
            <w:noProof/>
          </w:rPr>
          <w:t>Tablica 5</w:t>
        </w:r>
        <w:r w:rsidR="00717AE8" w:rsidRPr="002B284C">
          <w:rPr>
            <w:rStyle w:val="Hiperveza"/>
            <w:noProof/>
          </w:rPr>
          <w:noBreakHyphen/>
          <w:t xml:space="preserve">2: </w:t>
        </w:r>
        <w:r w:rsidR="00717AE8" w:rsidRPr="002B284C">
          <w:rPr>
            <w:rStyle w:val="Hiperveza"/>
            <w:rFonts w:cs="Tahoma"/>
            <w:noProof/>
          </w:rPr>
          <w:t>Procjena investicijskog troška obnove ZJS bez PDV za razdoblje od 2021. do 2030 prema Dugoročnoj strategiji</w:t>
        </w:r>
        <w:r w:rsidR="00717AE8">
          <w:rPr>
            <w:noProof/>
            <w:webHidden/>
          </w:rPr>
          <w:tab/>
        </w:r>
        <w:r w:rsidR="00717AE8">
          <w:rPr>
            <w:noProof/>
            <w:webHidden/>
          </w:rPr>
          <w:fldChar w:fldCharType="begin"/>
        </w:r>
        <w:r w:rsidR="00717AE8">
          <w:rPr>
            <w:noProof/>
            <w:webHidden/>
          </w:rPr>
          <w:instrText xml:space="preserve"> PAGEREF _Toc87949894 \h </w:instrText>
        </w:r>
        <w:r w:rsidR="00717AE8">
          <w:rPr>
            <w:noProof/>
            <w:webHidden/>
          </w:rPr>
        </w:r>
        <w:r w:rsidR="00717AE8">
          <w:rPr>
            <w:noProof/>
            <w:webHidden/>
          </w:rPr>
          <w:fldChar w:fldCharType="separate"/>
        </w:r>
        <w:r w:rsidR="0023635D">
          <w:rPr>
            <w:noProof/>
            <w:webHidden/>
          </w:rPr>
          <w:t>34</w:t>
        </w:r>
        <w:r w:rsidR="00717AE8">
          <w:rPr>
            <w:noProof/>
            <w:webHidden/>
          </w:rPr>
          <w:fldChar w:fldCharType="end"/>
        </w:r>
      </w:hyperlink>
    </w:p>
    <w:p w14:paraId="0A0055EF" w14:textId="5BC8A1DB"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5" w:history="1">
        <w:r w:rsidR="00717AE8" w:rsidRPr="002B284C">
          <w:rPr>
            <w:rStyle w:val="Hiperveza"/>
            <w:noProof/>
          </w:rPr>
          <w:t>Tablica 5</w:t>
        </w:r>
        <w:r w:rsidR="00717AE8" w:rsidRPr="002B284C">
          <w:rPr>
            <w:rStyle w:val="Hiperveza"/>
            <w:noProof/>
          </w:rPr>
          <w:noBreakHyphen/>
          <w:t xml:space="preserve">3: </w:t>
        </w:r>
        <w:r w:rsidR="00717AE8" w:rsidRPr="002B284C">
          <w:rPr>
            <w:rStyle w:val="Hiperveza"/>
            <w:rFonts w:cs="Tahoma"/>
            <w:noProof/>
          </w:rPr>
          <w:t>Procjena investicijskog troška obnove ZJS za razdoblje od 2021. do 2030. uz pretpostavljene kategorije obnova prema NPOO</w:t>
        </w:r>
        <w:r w:rsidR="00717AE8">
          <w:rPr>
            <w:noProof/>
            <w:webHidden/>
          </w:rPr>
          <w:tab/>
        </w:r>
        <w:r w:rsidR="00717AE8">
          <w:rPr>
            <w:noProof/>
            <w:webHidden/>
          </w:rPr>
          <w:fldChar w:fldCharType="begin"/>
        </w:r>
        <w:r w:rsidR="00717AE8">
          <w:rPr>
            <w:noProof/>
            <w:webHidden/>
          </w:rPr>
          <w:instrText xml:space="preserve"> PAGEREF _Toc87949895 \h </w:instrText>
        </w:r>
        <w:r w:rsidR="00717AE8">
          <w:rPr>
            <w:noProof/>
            <w:webHidden/>
          </w:rPr>
        </w:r>
        <w:r w:rsidR="00717AE8">
          <w:rPr>
            <w:noProof/>
            <w:webHidden/>
          </w:rPr>
          <w:fldChar w:fldCharType="separate"/>
        </w:r>
        <w:r w:rsidR="0023635D">
          <w:rPr>
            <w:noProof/>
            <w:webHidden/>
          </w:rPr>
          <w:t>35</w:t>
        </w:r>
        <w:r w:rsidR="00717AE8">
          <w:rPr>
            <w:noProof/>
            <w:webHidden/>
          </w:rPr>
          <w:fldChar w:fldCharType="end"/>
        </w:r>
      </w:hyperlink>
    </w:p>
    <w:p w14:paraId="49ED7436" w14:textId="10AC6067"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6" w:history="1">
        <w:r w:rsidR="00717AE8" w:rsidRPr="002B284C">
          <w:rPr>
            <w:rStyle w:val="Hiperveza"/>
            <w:noProof/>
          </w:rPr>
          <w:t>Tablica 5</w:t>
        </w:r>
        <w:r w:rsidR="00717AE8" w:rsidRPr="002B284C">
          <w:rPr>
            <w:rStyle w:val="Hiperveza"/>
            <w:noProof/>
          </w:rPr>
          <w:noBreakHyphen/>
          <w:t xml:space="preserve">4: </w:t>
        </w:r>
        <w:r w:rsidR="00717AE8" w:rsidRPr="002B284C">
          <w:rPr>
            <w:rStyle w:val="Hiperveza"/>
            <w:rFonts w:cs="Tahoma"/>
            <w:noProof/>
          </w:rPr>
          <w:t>Indikativni financijski plan i procjena obnovljene površine zgrada javnog sektora u razdoblju od 2022. do 2024.</w:t>
        </w:r>
        <w:r w:rsidR="00717AE8">
          <w:rPr>
            <w:noProof/>
            <w:webHidden/>
          </w:rPr>
          <w:tab/>
        </w:r>
        <w:r w:rsidR="00717AE8">
          <w:rPr>
            <w:noProof/>
            <w:webHidden/>
          </w:rPr>
          <w:fldChar w:fldCharType="begin"/>
        </w:r>
        <w:r w:rsidR="00717AE8">
          <w:rPr>
            <w:noProof/>
            <w:webHidden/>
          </w:rPr>
          <w:instrText xml:space="preserve"> PAGEREF _Toc87949896 \h </w:instrText>
        </w:r>
        <w:r w:rsidR="00717AE8">
          <w:rPr>
            <w:noProof/>
            <w:webHidden/>
          </w:rPr>
        </w:r>
        <w:r w:rsidR="00717AE8">
          <w:rPr>
            <w:noProof/>
            <w:webHidden/>
          </w:rPr>
          <w:fldChar w:fldCharType="separate"/>
        </w:r>
        <w:r w:rsidR="0023635D">
          <w:rPr>
            <w:noProof/>
            <w:webHidden/>
          </w:rPr>
          <w:t>36</w:t>
        </w:r>
        <w:r w:rsidR="00717AE8">
          <w:rPr>
            <w:noProof/>
            <w:webHidden/>
          </w:rPr>
          <w:fldChar w:fldCharType="end"/>
        </w:r>
      </w:hyperlink>
    </w:p>
    <w:p w14:paraId="359012E9" w14:textId="1BFB593F"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7" w:history="1">
        <w:r w:rsidR="00717AE8" w:rsidRPr="002B284C">
          <w:rPr>
            <w:rStyle w:val="Hiperveza"/>
            <w:noProof/>
          </w:rPr>
          <w:t>Tablica 7</w:t>
        </w:r>
        <w:r w:rsidR="00717AE8" w:rsidRPr="002B284C">
          <w:rPr>
            <w:rStyle w:val="Hiperveza"/>
            <w:noProof/>
          </w:rPr>
          <w:noBreakHyphen/>
          <w:t>1 Pregled udjela sufinanciranja pojedinih kategorija obnove zgrada prema NPOO-u</w:t>
        </w:r>
        <w:r w:rsidR="00717AE8">
          <w:rPr>
            <w:noProof/>
            <w:webHidden/>
          </w:rPr>
          <w:tab/>
        </w:r>
        <w:r w:rsidR="00717AE8">
          <w:rPr>
            <w:noProof/>
            <w:webHidden/>
          </w:rPr>
          <w:fldChar w:fldCharType="begin"/>
        </w:r>
        <w:r w:rsidR="00717AE8">
          <w:rPr>
            <w:noProof/>
            <w:webHidden/>
          </w:rPr>
          <w:instrText xml:space="preserve"> PAGEREF _Toc87949897 \h </w:instrText>
        </w:r>
        <w:r w:rsidR="00717AE8">
          <w:rPr>
            <w:noProof/>
            <w:webHidden/>
          </w:rPr>
        </w:r>
        <w:r w:rsidR="00717AE8">
          <w:rPr>
            <w:noProof/>
            <w:webHidden/>
          </w:rPr>
          <w:fldChar w:fldCharType="separate"/>
        </w:r>
        <w:r w:rsidR="0023635D">
          <w:rPr>
            <w:noProof/>
            <w:webHidden/>
          </w:rPr>
          <w:t>47</w:t>
        </w:r>
        <w:r w:rsidR="00717AE8">
          <w:rPr>
            <w:noProof/>
            <w:webHidden/>
          </w:rPr>
          <w:fldChar w:fldCharType="end"/>
        </w:r>
      </w:hyperlink>
    </w:p>
    <w:p w14:paraId="73323F92" w14:textId="2B6EF7C0"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8" w:history="1">
        <w:r w:rsidR="00717AE8" w:rsidRPr="002B284C">
          <w:rPr>
            <w:rStyle w:val="Hiperveza"/>
            <w:noProof/>
          </w:rPr>
          <w:t>Tablica 7</w:t>
        </w:r>
        <w:r w:rsidR="00717AE8" w:rsidRPr="002B284C">
          <w:rPr>
            <w:rStyle w:val="Hiperveza"/>
            <w:noProof/>
          </w:rPr>
          <w:noBreakHyphen/>
          <w:t>2 utjecaj modela sufinanciranja na pitanje dopuštenosti državne potpore</w:t>
        </w:r>
        <w:r w:rsidR="00717AE8">
          <w:rPr>
            <w:noProof/>
            <w:webHidden/>
          </w:rPr>
          <w:tab/>
        </w:r>
        <w:r w:rsidR="00717AE8">
          <w:rPr>
            <w:noProof/>
            <w:webHidden/>
          </w:rPr>
          <w:fldChar w:fldCharType="begin"/>
        </w:r>
        <w:r w:rsidR="00717AE8">
          <w:rPr>
            <w:noProof/>
            <w:webHidden/>
          </w:rPr>
          <w:instrText xml:space="preserve"> PAGEREF _Toc87949898 \h </w:instrText>
        </w:r>
        <w:r w:rsidR="00717AE8">
          <w:rPr>
            <w:noProof/>
            <w:webHidden/>
          </w:rPr>
        </w:r>
        <w:r w:rsidR="00717AE8">
          <w:rPr>
            <w:noProof/>
            <w:webHidden/>
          </w:rPr>
          <w:fldChar w:fldCharType="separate"/>
        </w:r>
        <w:r w:rsidR="0023635D">
          <w:rPr>
            <w:noProof/>
            <w:webHidden/>
          </w:rPr>
          <w:t>54</w:t>
        </w:r>
        <w:r w:rsidR="00717AE8">
          <w:rPr>
            <w:noProof/>
            <w:webHidden/>
          </w:rPr>
          <w:fldChar w:fldCharType="end"/>
        </w:r>
      </w:hyperlink>
    </w:p>
    <w:p w14:paraId="69BDB674" w14:textId="76B32063"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899" w:history="1">
        <w:r w:rsidR="00717AE8" w:rsidRPr="002B284C">
          <w:rPr>
            <w:rStyle w:val="Hiperveza"/>
            <w:noProof/>
          </w:rPr>
          <w:t>Tablica 8</w:t>
        </w:r>
        <w:r w:rsidR="00717AE8" w:rsidRPr="002B284C">
          <w:rPr>
            <w:rStyle w:val="Hiperveza"/>
            <w:noProof/>
          </w:rPr>
          <w:noBreakHyphen/>
          <w:t>1 Ciljane obnovljene površine i procjena investicijskog troška obnove ZJS za razdoblje od 2021. do 2030. prema NPOO-u</w:t>
        </w:r>
        <w:r w:rsidR="00717AE8">
          <w:rPr>
            <w:noProof/>
            <w:webHidden/>
          </w:rPr>
          <w:tab/>
        </w:r>
        <w:r w:rsidR="00717AE8">
          <w:rPr>
            <w:noProof/>
            <w:webHidden/>
          </w:rPr>
          <w:fldChar w:fldCharType="begin"/>
        </w:r>
        <w:r w:rsidR="00717AE8">
          <w:rPr>
            <w:noProof/>
            <w:webHidden/>
          </w:rPr>
          <w:instrText xml:space="preserve"> PAGEREF _Toc87949899 \h </w:instrText>
        </w:r>
        <w:r w:rsidR="00717AE8">
          <w:rPr>
            <w:noProof/>
            <w:webHidden/>
          </w:rPr>
        </w:r>
        <w:r w:rsidR="00717AE8">
          <w:rPr>
            <w:noProof/>
            <w:webHidden/>
          </w:rPr>
          <w:fldChar w:fldCharType="separate"/>
        </w:r>
        <w:r w:rsidR="0023635D">
          <w:rPr>
            <w:noProof/>
            <w:webHidden/>
          </w:rPr>
          <w:t>64</w:t>
        </w:r>
        <w:r w:rsidR="00717AE8">
          <w:rPr>
            <w:noProof/>
            <w:webHidden/>
          </w:rPr>
          <w:fldChar w:fldCharType="end"/>
        </w:r>
      </w:hyperlink>
    </w:p>
    <w:p w14:paraId="2E0D6811" w14:textId="64A2FF1C"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0" w:history="1">
        <w:r w:rsidR="00717AE8" w:rsidRPr="002B284C">
          <w:rPr>
            <w:rStyle w:val="Hiperveza"/>
            <w:noProof/>
          </w:rPr>
          <w:t>Tablica 8</w:t>
        </w:r>
        <w:r w:rsidR="00717AE8" w:rsidRPr="002B284C">
          <w:rPr>
            <w:rStyle w:val="Hiperveza"/>
            <w:noProof/>
          </w:rPr>
          <w:noBreakHyphen/>
          <w:t>2 Procjena investicijskog troška obnove ZJS za razdoblje od 2021. do 2030. s prilagođenim iznosima za razdoblje 2021. do 2024. godine</w:t>
        </w:r>
        <w:r w:rsidR="00717AE8">
          <w:rPr>
            <w:noProof/>
            <w:webHidden/>
          </w:rPr>
          <w:tab/>
        </w:r>
        <w:r w:rsidR="00717AE8">
          <w:rPr>
            <w:noProof/>
            <w:webHidden/>
          </w:rPr>
          <w:fldChar w:fldCharType="begin"/>
        </w:r>
        <w:r w:rsidR="00717AE8">
          <w:rPr>
            <w:noProof/>
            <w:webHidden/>
          </w:rPr>
          <w:instrText xml:space="preserve"> PAGEREF _Toc87949900 \h </w:instrText>
        </w:r>
        <w:r w:rsidR="00717AE8">
          <w:rPr>
            <w:noProof/>
            <w:webHidden/>
          </w:rPr>
        </w:r>
        <w:r w:rsidR="00717AE8">
          <w:rPr>
            <w:noProof/>
            <w:webHidden/>
          </w:rPr>
          <w:fldChar w:fldCharType="separate"/>
        </w:r>
        <w:r w:rsidR="0023635D">
          <w:rPr>
            <w:noProof/>
            <w:webHidden/>
          </w:rPr>
          <w:t>64</w:t>
        </w:r>
        <w:r w:rsidR="00717AE8">
          <w:rPr>
            <w:noProof/>
            <w:webHidden/>
          </w:rPr>
          <w:fldChar w:fldCharType="end"/>
        </w:r>
      </w:hyperlink>
    </w:p>
    <w:p w14:paraId="535E2B8B" w14:textId="184E7DB2"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1" w:history="1">
        <w:r w:rsidR="00717AE8" w:rsidRPr="002B284C">
          <w:rPr>
            <w:rStyle w:val="Hiperveza"/>
            <w:noProof/>
          </w:rPr>
          <w:t>Tablica 8</w:t>
        </w:r>
        <w:r w:rsidR="00717AE8" w:rsidRPr="002B284C">
          <w:rPr>
            <w:rStyle w:val="Hiperveza"/>
            <w:noProof/>
          </w:rPr>
          <w:noBreakHyphen/>
          <w:t>3 Procjena iznosa javnih sredstava za trošak obnove ZJS za razdoblje od 2021. do 2030. s prilagođenim iznosima za razdoblje 2021. do 2024. godine</w:t>
        </w:r>
        <w:r w:rsidR="00717AE8">
          <w:rPr>
            <w:noProof/>
            <w:webHidden/>
          </w:rPr>
          <w:tab/>
        </w:r>
        <w:r w:rsidR="00717AE8">
          <w:rPr>
            <w:noProof/>
            <w:webHidden/>
          </w:rPr>
          <w:fldChar w:fldCharType="begin"/>
        </w:r>
        <w:r w:rsidR="00717AE8">
          <w:rPr>
            <w:noProof/>
            <w:webHidden/>
          </w:rPr>
          <w:instrText xml:space="preserve"> PAGEREF _Toc87949901 \h </w:instrText>
        </w:r>
        <w:r w:rsidR="00717AE8">
          <w:rPr>
            <w:noProof/>
            <w:webHidden/>
          </w:rPr>
        </w:r>
        <w:r w:rsidR="00717AE8">
          <w:rPr>
            <w:noProof/>
            <w:webHidden/>
          </w:rPr>
          <w:fldChar w:fldCharType="separate"/>
        </w:r>
        <w:r w:rsidR="0023635D">
          <w:rPr>
            <w:noProof/>
            <w:webHidden/>
          </w:rPr>
          <w:t>65</w:t>
        </w:r>
        <w:r w:rsidR="00717AE8">
          <w:rPr>
            <w:noProof/>
            <w:webHidden/>
          </w:rPr>
          <w:fldChar w:fldCharType="end"/>
        </w:r>
      </w:hyperlink>
    </w:p>
    <w:p w14:paraId="5EB94564" w14:textId="1FE1A9B4"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2" w:history="1">
        <w:r w:rsidR="00717AE8" w:rsidRPr="002B284C">
          <w:rPr>
            <w:rStyle w:val="Hiperveza"/>
            <w:noProof/>
          </w:rPr>
          <w:t>Tablica 8</w:t>
        </w:r>
        <w:r w:rsidR="00717AE8" w:rsidRPr="002B284C">
          <w:rPr>
            <w:rStyle w:val="Hiperveza"/>
            <w:noProof/>
          </w:rPr>
          <w:noBreakHyphen/>
          <w:t>4 Pregled dostupnih javnih sredstava u razdoblju do 2030. godine</w:t>
        </w:r>
        <w:r w:rsidR="00717AE8">
          <w:rPr>
            <w:noProof/>
            <w:webHidden/>
          </w:rPr>
          <w:tab/>
        </w:r>
        <w:r w:rsidR="00717AE8">
          <w:rPr>
            <w:noProof/>
            <w:webHidden/>
          </w:rPr>
          <w:fldChar w:fldCharType="begin"/>
        </w:r>
        <w:r w:rsidR="00717AE8">
          <w:rPr>
            <w:noProof/>
            <w:webHidden/>
          </w:rPr>
          <w:instrText xml:space="preserve"> PAGEREF _Toc87949902 \h </w:instrText>
        </w:r>
        <w:r w:rsidR="00717AE8">
          <w:rPr>
            <w:noProof/>
            <w:webHidden/>
          </w:rPr>
        </w:r>
        <w:r w:rsidR="00717AE8">
          <w:rPr>
            <w:noProof/>
            <w:webHidden/>
          </w:rPr>
          <w:fldChar w:fldCharType="separate"/>
        </w:r>
        <w:r w:rsidR="0023635D">
          <w:rPr>
            <w:noProof/>
            <w:webHidden/>
          </w:rPr>
          <w:t>67</w:t>
        </w:r>
        <w:r w:rsidR="00717AE8">
          <w:rPr>
            <w:noProof/>
            <w:webHidden/>
          </w:rPr>
          <w:fldChar w:fldCharType="end"/>
        </w:r>
      </w:hyperlink>
    </w:p>
    <w:p w14:paraId="04A7FBA0" w14:textId="177687C7"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3" w:history="1">
        <w:r w:rsidR="00717AE8" w:rsidRPr="002B284C">
          <w:rPr>
            <w:rStyle w:val="Hiperveza"/>
            <w:noProof/>
          </w:rPr>
          <w:t>Tablica 9</w:t>
        </w:r>
        <w:r w:rsidR="00717AE8" w:rsidRPr="002B284C">
          <w:rPr>
            <w:rStyle w:val="Hiperveza"/>
            <w:noProof/>
          </w:rPr>
          <w:noBreakHyphen/>
          <w:t>1: Izračun kumulativnih ušteda energije u neposrednoj potrošnji (isporučena energija) za obnovu VSZ u prvom trogodišnjem razdoblju (do kraja 2024.) uz raspoloživa sredstva iz NPOO</w:t>
        </w:r>
        <w:r w:rsidR="00717AE8">
          <w:rPr>
            <w:noProof/>
            <w:webHidden/>
          </w:rPr>
          <w:tab/>
        </w:r>
        <w:r w:rsidR="00717AE8">
          <w:rPr>
            <w:noProof/>
            <w:webHidden/>
          </w:rPr>
          <w:fldChar w:fldCharType="begin"/>
        </w:r>
        <w:r w:rsidR="00717AE8">
          <w:rPr>
            <w:noProof/>
            <w:webHidden/>
          </w:rPr>
          <w:instrText xml:space="preserve"> PAGEREF _Toc87949903 \h </w:instrText>
        </w:r>
        <w:r w:rsidR="00717AE8">
          <w:rPr>
            <w:noProof/>
            <w:webHidden/>
          </w:rPr>
        </w:r>
        <w:r w:rsidR="00717AE8">
          <w:rPr>
            <w:noProof/>
            <w:webHidden/>
          </w:rPr>
          <w:fldChar w:fldCharType="separate"/>
        </w:r>
        <w:r w:rsidR="0023635D">
          <w:rPr>
            <w:noProof/>
            <w:webHidden/>
          </w:rPr>
          <w:t>79</w:t>
        </w:r>
        <w:r w:rsidR="00717AE8">
          <w:rPr>
            <w:noProof/>
            <w:webHidden/>
          </w:rPr>
          <w:fldChar w:fldCharType="end"/>
        </w:r>
      </w:hyperlink>
    </w:p>
    <w:p w14:paraId="3B6CEAFD" w14:textId="70B3C01F"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4" w:history="1">
        <w:r w:rsidR="00717AE8" w:rsidRPr="002B284C">
          <w:rPr>
            <w:rStyle w:val="Hiperveza"/>
            <w:noProof/>
          </w:rPr>
          <w:t>Tablica 9</w:t>
        </w:r>
        <w:r w:rsidR="00717AE8" w:rsidRPr="002B284C">
          <w:rPr>
            <w:rStyle w:val="Hiperveza"/>
            <w:noProof/>
          </w:rPr>
          <w:noBreakHyphen/>
          <w:t>2</w:t>
        </w:r>
        <w:r w:rsidR="00717AE8" w:rsidRPr="002B284C">
          <w:rPr>
            <w:rStyle w:val="Hiperveza"/>
            <w:noProof/>
            <w:lang w:eastAsia="hr-HR"/>
          </w:rPr>
          <w:t xml:space="preserve"> Prikaz potrebnih ulaganja u toplinsku izolaciju u periodu od 2021. do 2030. godine</w:t>
        </w:r>
        <w:r w:rsidR="00717AE8">
          <w:rPr>
            <w:noProof/>
            <w:webHidden/>
          </w:rPr>
          <w:tab/>
        </w:r>
        <w:r w:rsidR="00717AE8">
          <w:rPr>
            <w:noProof/>
            <w:webHidden/>
          </w:rPr>
          <w:fldChar w:fldCharType="begin"/>
        </w:r>
        <w:r w:rsidR="00717AE8">
          <w:rPr>
            <w:noProof/>
            <w:webHidden/>
          </w:rPr>
          <w:instrText xml:space="preserve"> PAGEREF _Toc87949904 \h </w:instrText>
        </w:r>
        <w:r w:rsidR="00717AE8">
          <w:rPr>
            <w:noProof/>
            <w:webHidden/>
          </w:rPr>
        </w:r>
        <w:r w:rsidR="00717AE8">
          <w:rPr>
            <w:noProof/>
            <w:webHidden/>
          </w:rPr>
          <w:fldChar w:fldCharType="separate"/>
        </w:r>
        <w:r w:rsidR="0023635D">
          <w:rPr>
            <w:noProof/>
            <w:webHidden/>
          </w:rPr>
          <w:t>80</w:t>
        </w:r>
        <w:r w:rsidR="00717AE8">
          <w:rPr>
            <w:noProof/>
            <w:webHidden/>
          </w:rPr>
          <w:fldChar w:fldCharType="end"/>
        </w:r>
      </w:hyperlink>
    </w:p>
    <w:p w14:paraId="5C7FB8C9" w14:textId="015D329B"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5" w:history="1">
        <w:r w:rsidR="00717AE8" w:rsidRPr="002B284C">
          <w:rPr>
            <w:rStyle w:val="Hiperveza"/>
            <w:noProof/>
          </w:rPr>
          <w:t>Tablica 9</w:t>
        </w:r>
        <w:r w:rsidR="00717AE8" w:rsidRPr="002B284C">
          <w:rPr>
            <w:rStyle w:val="Hiperveza"/>
            <w:noProof/>
          </w:rPr>
          <w:noBreakHyphen/>
          <w:t xml:space="preserve">3 </w:t>
        </w:r>
        <w:r w:rsidR="00717AE8" w:rsidRPr="002B284C">
          <w:rPr>
            <w:rStyle w:val="Hiperveza"/>
            <w:noProof/>
            <w:lang w:eastAsia="hr-HR"/>
          </w:rPr>
          <w:t>Prikaz potrebnih ulaganja u modernizaciju tehničkih sustava u periodu do 2030. godine</w:t>
        </w:r>
        <w:r w:rsidR="00717AE8">
          <w:rPr>
            <w:noProof/>
            <w:webHidden/>
          </w:rPr>
          <w:tab/>
        </w:r>
        <w:r w:rsidR="00717AE8">
          <w:rPr>
            <w:noProof/>
            <w:webHidden/>
          </w:rPr>
          <w:fldChar w:fldCharType="begin"/>
        </w:r>
        <w:r w:rsidR="00717AE8">
          <w:rPr>
            <w:noProof/>
            <w:webHidden/>
          </w:rPr>
          <w:instrText xml:space="preserve"> PAGEREF _Toc87949905 \h </w:instrText>
        </w:r>
        <w:r w:rsidR="00717AE8">
          <w:rPr>
            <w:noProof/>
            <w:webHidden/>
          </w:rPr>
        </w:r>
        <w:r w:rsidR="00717AE8">
          <w:rPr>
            <w:noProof/>
            <w:webHidden/>
          </w:rPr>
          <w:fldChar w:fldCharType="separate"/>
        </w:r>
        <w:r w:rsidR="0023635D">
          <w:rPr>
            <w:noProof/>
            <w:webHidden/>
          </w:rPr>
          <w:t>80</w:t>
        </w:r>
        <w:r w:rsidR="00717AE8">
          <w:rPr>
            <w:noProof/>
            <w:webHidden/>
          </w:rPr>
          <w:fldChar w:fldCharType="end"/>
        </w:r>
      </w:hyperlink>
    </w:p>
    <w:p w14:paraId="2AE0DECC" w14:textId="7818073C"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6" w:history="1">
        <w:r w:rsidR="00717AE8" w:rsidRPr="002B284C">
          <w:rPr>
            <w:rStyle w:val="Hiperveza"/>
            <w:noProof/>
          </w:rPr>
          <w:t>Tablica 10</w:t>
        </w:r>
        <w:r w:rsidR="00717AE8" w:rsidRPr="002B284C">
          <w:rPr>
            <w:rStyle w:val="Hiperveza"/>
            <w:noProof/>
          </w:rPr>
          <w:noBreakHyphen/>
          <w:t>1: Metoda za izračun ušteda energije projekata energetske obnove zgrada</w:t>
        </w:r>
        <w:r w:rsidR="00717AE8">
          <w:rPr>
            <w:noProof/>
            <w:webHidden/>
          </w:rPr>
          <w:tab/>
        </w:r>
        <w:r w:rsidR="00717AE8">
          <w:rPr>
            <w:noProof/>
            <w:webHidden/>
          </w:rPr>
          <w:fldChar w:fldCharType="begin"/>
        </w:r>
        <w:r w:rsidR="00717AE8">
          <w:rPr>
            <w:noProof/>
            <w:webHidden/>
          </w:rPr>
          <w:instrText xml:space="preserve"> PAGEREF _Toc87949906 \h </w:instrText>
        </w:r>
        <w:r w:rsidR="00717AE8">
          <w:rPr>
            <w:noProof/>
            <w:webHidden/>
          </w:rPr>
        </w:r>
        <w:r w:rsidR="00717AE8">
          <w:rPr>
            <w:noProof/>
            <w:webHidden/>
          </w:rPr>
          <w:fldChar w:fldCharType="separate"/>
        </w:r>
        <w:r w:rsidR="0023635D">
          <w:rPr>
            <w:noProof/>
            <w:webHidden/>
          </w:rPr>
          <w:t>83</w:t>
        </w:r>
        <w:r w:rsidR="00717AE8">
          <w:rPr>
            <w:noProof/>
            <w:webHidden/>
          </w:rPr>
          <w:fldChar w:fldCharType="end"/>
        </w:r>
      </w:hyperlink>
    </w:p>
    <w:p w14:paraId="0FD0018B" w14:textId="77C38B5D" w:rsidR="00717AE8" w:rsidRDefault="00711483">
      <w:pPr>
        <w:pStyle w:val="Tablicaslika"/>
        <w:tabs>
          <w:tab w:val="right" w:leader="dot" w:pos="9344"/>
        </w:tabs>
        <w:rPr>
          <w:rFonts w:asciiTheme="minorHAnsi" w:eastAsiaTheme="minorEastAsia" w:hAnsiTheme="minorHAnsi" w:cstheme="minorBidi"/>
          <w:noProof/>
          <w:sz w:val="22"/>
          <w:szCs w:val="22"/>
          <w:lang w:eastAsia="hr-HR"/>
        </w:rPr>
      </w:pPr>
      <w:hyperlink w:anchor="_Toc87949907" w:history="1">
        <w:r w:rsidR="00717AE8" w:rsidRPr="002B284C">
          <w:rPr>
            <w:rStyle w:val="Hiperveza"/>
            <w:noProof/>
          </w:rPr>
          <w:t>Tablica 14</w:t>
        </w:r>
        <w:r w:rsidR="00717AE8" w:rsidRPr="002B284C">
          <w:rPr>
            <w:rStyle w:val="Hiperveza"/>
            <w:noProof/>
          </w:rPr>
          <w:noBreakHyphen/>
          <w:t>1 Klasifikacija zgrada u sustavu ISGE i veza prema klasifikaciji u sustavu IEC</w:t>
        </w:r>
        <w:r w:rsidR="00717AE8">
          <w:rPr>
            <w:noProof/>
            <w:webHidden/>
          </w:rPr>
          <w:tab/>
        </w:r>
        <w:r w:rsidR="00717AE8">
          <w:rPr>
            <w:noProof/>
            <w:webHidden/>
          </w:rPr>
          <w:fldChar w:fldCharType="begin"/>
        </w:r>
        <w:r w:rsidR="00717AE8">
          <w:rPr>
            <w:noProof/>
            <w:webHidden/>
          </w:rPr>
          <w:instrText xml:space="preserve"> PAGEREF _Toc87949907 \h </w:instrText>
        </w:r>
        <w:r w:rsidR="00717AE8">
          <w:rPr>
            <w:noProof/>
            <w:webHidden/>
          </w:rPr>
        </w:r>
        <w:r w:rsidR="00717AE8">
          <w:rPr>
            <w:noProof/>
            <w:webHidden/>
          </w:rPr>
          <w:fldChar w:fldCharType="separate"/>
        </w:r>
        <w:r w:rsidR="0023635D">
          <w:rPr>
            <w:noProof/>
            <w:webHidden/>
          </w:rPr>
          <w:t>91</w:t>
        </w:r>
        <w:r w:rsidR="00717AE8">
          <w:rPr>
            <w:noProof/>
            <w:webHidden/>
          </w:rPr>
          <w:fldChar w:fldCharType="end"/>
        </w:r>
      </w:hyperlink>
    </w:p>
    <w:p w14:paraId="445CF83C" w14:textId="39D7E546" w:rsidR="00C26F53" w:rsidRPr="006734C7" w:rsidRDefault="00FD64AB" w:rsidP="00143CE2">
      <w:pPr>
        <w:pStyle w:val="Tablicaslika"/>
        <w:tabs>
          <w:tab w:val="right" w:leader="dot" w:pos="9344"/>
        </w:tabs>
      </w:pPr>
      <w:r w:rsidRPr="0009022D">
        <w:rPr>
          <w:b/>
        </w:rPr>
        <w:fldChar w:fldCharType="end"/>
      </w:r>
    </w:p>
    <w:p w14:paraId="388B6BFB" w14:textId="77777777" w:rsidR="00FF759E" w:rsidRPr="00203A80" w:rsidRDefault="00FF759E" w:rsidP="00FF759E"/>
    <w:p w14:paraId="3DABF123" w14:textId="1505B2F6" w:rsidR="00143CE2" w:rsidRPr="00B357F4" w:rsidRDefault="1C7C1AC3" w:rsidP="004B09BD">
      <w:pPr>
        <w:pStyle w:val="Naslov10"/>
      </w:pPr>
      <w:bookmarkStart w:id="216" w:name="_Toc94770047"/>
      <w:r w:rsidRPr="00203A80">
        <w:lastRenderedPageBreak/>
        <w:t xml:space="preserve">Popis </w:t>
      </w:r>
      <w:r w:rsidRPr="00971F9E">
        <w:t>literature i izvora podataka</w:t>
      </w:r>
      <w:bookmarkEnd w:id="216"/>
    </w:p>
    <w:sdt>
      <w:sdtPr>
        <w:rPr>
          <w:rFonts w:ascii="Tahoma" w:eastAsia="Times New Roman" w:hAnsi="Tahoma" w:cs="Myriad Pro"/>
          <w:sz w:val="20"/>
          <w:szCs w:val="24"/>
          <w:lang w:eastAsia="de-DE"/>
        </w:rPr>
        <w:id w:val="-1372461968"/>
        <w:docPartObj>
          <w:docPartGallery w:val="Bibliographies"/>
          <w:docPartUnique/>
        </w:docPartObj>
      </w:sdtPr>
      <w:sdtEndPr>
        <w:rPr>
          <w:rFonts w:ascii="Times New Roman" w:eastAsiaTheme="minorHAnsi" w:hAnsi="Times New Roman" w:cstheme="minorBidi"/>
          <w:sz w:val="22"/>
          <w:szCs w:val="22"/>
          <w:lang w:eastAsia="en-US"/>
        </w:rPr>
      </w:sdtEndPr>
      <w:sdtContent>
        <w:p w14:paraId="14AE9FB7" w14:textId="46EA5963" w:rsidR="00732089" w:rsidRDefault="00732089" w:rsidP="00732089">
          <w:pPr>
            <w:pStyle w:val="Bibliografija"/>
            <w:rPr>
              <w:noProof/>
              <w:sz w:val="24"/>
              <w:szCs w:val="24"/>
            </w:rPr>
          </w:pPr>
          <w:r>
            <w:rPr>
              <w:noProof/>
            </w:rPr>
            <w:t xml:space="preserve">1. </w:t>
          </w:r>
          <w:r>
            <w:rPr>
              <w:b/>
              <w:bCs/>
              <w:noProof/>
            </w:rPr>
            <w:t>MPGI.</w:t>
          </w:r>
          <w:r>
            <w:rPr>
              <w:noProof/>
            </w:rPr>
            <w:t xml:space="preserve"> </w:t>
          </w:r>
          <w:r>
            <w:rPr>
              <w:i/>
              <w:iCs/>
              <w:noProof/>
            </w:rPr>
            <w:t xml:space="preserve">Program energetske obnove zgrada javnog sektora 2016-2020. </w:t>
          </w:r>
          <w:r>
            <w:rPr>
              <w:noProof/>
            </w:rPr>
            <w:t>Zagreb : an., 2017.</w:t>
          </w:r>
        </w:p>
        <w:p w14:paraId="0A31F2EC" w14:textId="277412AB" w:rsidR="00732089" w:rsidRDefault="00732089" w:rsidP="00732089">
          <w:pPr>
            <w:pStyle w:val="Bibliografija"/>
            <w:rPr>
              <w:noProof/>
            </w:rPr>
          </w:pPr>
          <w:r>
            <w:rPr>
              <w:noProof/>
            </w:rPr>
            <w:t xml:space="preserve">2. </w:t>
          </w:r>
          <w:r w:rsidR="00252BCC" w:rsidRPr="00252BCC">
            <w:rPr>
              <w:b/>
              <w:bCs/>
              <w:noProof/>
            </w:rPr>
            <w:t>Vlada RH</w:t>
          </w:r>
          <w:r w:rsidR="00454EE8">
            <w:rPr>
              <w:noProof/>
            </w:rPr>
            <w:t xml:space="preserve">. </w:t>
          </w:r>
          <w:r>
            <w:rPr>
              <w:i/>
              <w:iCs/>
              <w:noProof/>
            </w:rPr>
            <w:t xml:space="preserve">Dugoročna strategija obnove nacionalnog fonda zgrada do 2050. godine . </w:t>
          </w:r>
          <w:r>
            <w:rPr>
              <w:noProof/>
            </w:rPr>
            <w:t>Zagreb : an., 2021.</w:t>
          </w:r>
        </w:p>
        <w:p w14:paraId="3940F57F" w14:textId="77777777" w:rsidR="00732089" w:rsidRDefault="00732089" w:rsidP="00732089">
          <w:pPr>
            <w:pStyle w:val="Bibliografija"/>
            <w:rPr>
              <w:noProof/>
            </w:rPr>
          </w:pPr>
          <w:r>
            <w:rPr>
              <w:noProof/>
            </w:rPr>
            <w:t xml:space="preserve">3. </w:t>
          </w:r>
          <w:r>
            <w:rPr>
              <w:b/>
              <w:bCs/>
              <w:noProof/>
            </w:rPr>
            <w:t>Vlada RH.</w:t>
          </w:r>
          <w:r>
            <w:rPr>
              <w:noProof/>
            </w:rPr>
            <w:t xml:space="preserve"> </w:t>
          </w:r>
          <w:r>
            <w:rPr>
              <w:i/>
              <w:iCs/>
              <w:noProof/>
            </w:rPr>
            <w:t xml:space="preserve">Dugoročna strategija za poticanje ulaganja u obnovu nacionalnog fonda zgrada Republike Hrvatske. </w:t>
          </w:r>
          <w:r>
            <w:rPr>
              <w:noProof/>
            </w:rPr>
            <w:t>Zagreb : Vlada RH, 2017.</w:t>
          </w:r>
        </w:p>
        <w:p w14:paraId="0C16EA27" w14:textId="77777777" w:rsidR="00732089" w:rsidRDefault="00732089" w:rsidP="00732089">
          <w:pPr>
            <w:pStyle w:val="Bibliografija"/>
            <w:rPr>
              <w:noProof/>
            </w:rPr>
          </w:pPr>
          <w:r>
            <w:rPr>
              <w:noProof/>
            </w:rPr>
            <w:t xml:space="preserve">4. </w:t>
          </w:r>
          <w:r>
            <w:rPr>
              <w:b/>
              <w:bCs/>
              <w:noProof/>
            </w:rPr>
            <w:t>MGIPU.</w:t>
          </w:r>
          <w:r>
            <w:rPr>
              <w:noProof/>
            </w:rPr>
            <w:t xml:space="preserve"> </w:t>
          </w:r>
          <w:r>
            <w:rPr>
              <w:i/>
              <w:iCs/>
              <w:noProof/>
            </w:rPr>
            <w:t xml:space="preserve">Plan za povećanje broja zgrada gotovo nulte energije do 2020. godine. </w:t>
          </w:r>
          <w:r>
            <w:rPr>
              <w:noProof/>
            </w:rPr>
            <w:t>s.l. : Republika Hrvatska, Minsitarstvo gradieljstva i prostornoga uređenja, 2014.</w:t>
          </w:r>
        </w:p>
        <w:p w14:paraId="66219E20" w14:textId="77777777" w:rsidR="00732089" w:rsidRDefault="00732089" w:rsidP="00732089">
          <w:pPr>
            <w:pStyle w:val="Bibliografija"/>
            <w:rPr>
              <w:noProof/>
            </w:rPr>
          </w:pPr>
          <w:r>
            <w:rPr>
              <w:noProof/>
            </w:rPr>
            <w:t xml:space="preserve">5. </w:t>
          </w:r>
          <w:r>
            <w:rPr>
              <w:b/>
              <w:bCs/>
              <w:noProof/>
            </w:rPr>
            <w:t>MINGO.</w:t>
          </w:r>
          <w:r>
            <w:rPr>
              <w:noProof/>
            </w:rPr>
            <w:t xml:space="preserve"> </w:t>
          </w:r>
          <w:r>
            <w:rPr>
              <w:i/>
              <w:iCs/>
              <w:noProof/>
            </w:rPr>
            <w:t xml:space="preserve">Nacionalni program energetske učinkovitosti za razdoblje 2008.-2016. godine. </w:t>
          </w:r>
          <w:r>
            <w:rPr>
              <w:noProof/>
            </w:rPr>
            <w:t>Zagreb : Republika Hrvatska, Ministarstvo gospodarstva, 2010.</w:t>
          </w:r>
        </w:p>
        <w:p w14:paraId="32BC282A" w14:textId="77777777" w:rsidR="00732089" w:rsidRDefault="00732089" w:rsidP="00732089">
          <w:pPr>
            <w:pStyle w:val="Bibliografija"/>
            <w:rPr>
              <w:noProof/>
            </w:rPr>
          </w:pPr>
          <w:r>
            <w:rPr>
              <w:noProof/>
            </w:rPr>
            <w:t xml:space="preserve">6. </w:t>
          </w:r>
          <w:r>
            <w:rPr>
              <w:b/>
              <w:bCs/>
              <w:noProof/>
            </w:rPr>
            <w:t>MGIPU.</w:t>
          </w:r>
          <w:r>
            <w:rPr>
              <w:noProof/>
            </w:rPr>
            <w:t xml:space="preserve"> </w:t>
          </w:r>
          <w:r>
            <w:rPr>
              <w:i/>
              <w:iCs/>
              <w:noProof/>
            </w:rPr>
            <w:t xml:space="preserve">Program energetske obnove obiteljskih kuća za razdoblje od 2014. do 2020. godine s detaljnim planom za razdoblje od 2014. do 2016. godine. </w:t>
          </w:r>
          <w:r>
            <w:rPr>
              <w:noProof/>
            </w:rPr>
            <w:t>Zagreb : MGIPU, 2014.</w:t>
          </w:r>
        </w:p>
        <w:p w14:paraId="775D945E" w14:textId="2AFCEC96" w:rsidR="00732089" w:rsidRDefault="00732089" w:rsidP="00732089">
          <w:pPr>
            <w:pStyle w:val="Bibliografija"/>
            <w:rPr>
              <w:noProof/>
            </w:rPr>
          </w:pPr>
          <w:r>
            <w:rPr>
              <w:noProof/>
            </w:rPr>
            <w:t xml:space="preserve">7. </w:t>
          </w:r>
          <w:r w:rsidR="00454EE8" w:rsidRPr="00252BCC">
            <w:rPr>
              <w:b/>
              <w:bCs/>
              <w:noProof/>
            </w:rPr>
            <w:t>MGIPU</w:t>
          </w:r>
          <w:r w:rsidR="00454EE8">
            <w:rPr>
              <w:noProof/>
            </w:rPr>
            <w:t xml:space="preserve">. </w:t>
          </w:r>
          <w:r>
            <w:rPr>
              <w:i/>
              <w:iCs/>
              <w:noProof/>
            </w:rPr>
            <w:t xml:space="preserve">Program energetske obnove višestambenih zgrada za razdoblje od 2014. do 2020. godine s detaljnim planom za razdoblje od 2014. do 2016. godine. </w:t>
          </w:r>
          <w:r>
            <w:rPr>
              <w:noProof/>
            </w:rPr>
            <w:t>Zagreb : MGIPU, 2014.</w:t>
          </w:r>
        </w:p>
        <w:p w14:paraId="5C11D46E" w14:textId="440CEE64" w:rsidR="00732089" w:rsidRDefault="00732089" w:rsidP="00732089">
          <w:pPr>
            <w:pStyle w:val="Bibliografija"/>
            <w:rPr>
              <w:noProof/>
            </w:rPr>
          </w:pPr>
          <w:r>
            <w:rPr>
              <w:noProof/>
            </w:rPr>
            <w:t xml:space="preserve">8. </w:t>
          </w:r>
          <w:r w:rsidR="00454EE8" w:rsidRPr="00252BCC">
            <w:rPr>
              <w:b/>
              <w:bCs/>
              <w:noProof/>
            </w:rPr>
            <w:t>MGIPU</w:t>
          </w:r>
          <w:r w:rsidR="00454EE8">
            <w:rPr>
              <w:noProof/>
            </w:rPr>
            <w:t xml:space="preserve">. </w:t>
          </w:r>
          <w:r>
            <w:rPr>
              <w:i/>
              <w:iCs/>
              <w:noProof/>
            </w:rPr>
            <w:t xml:space="preserve">Program energetske obnove komercijalnih nestambenih zgrada za razdoblje od 2014. do 2020. godine s detaljnim planom energetske obnove komercijalnih nestambenih zgrada za razdoblje od 2014. do 2016. </w:t>
          </w:r>
          <w:r>
            <w:rPr>
              <w:noProof/>
            </w:rPr>
            <w:t>Zagreb : MGIPU, 2014.</w:t>
          </w:r>
        </w:p>
        <w:p w14:paraId="330F6A96" w14:textId="3F223923" w:rsidR="00732089" w:rsidRDefault="00732089" w:rsidP="00732089">
          <w:pPr>
            <w:pStyle w:val="Bibliografija"/>
            <w:rPr>
              <w:noProof/>
            </w:rPr>
          </w:pPr>
          <w:r>
            <w:rPr>
              <w:noProof/>
            </w:rPr>
            <w:t xml:space="preserve">9. </w:t>
          </w:r>
          <w:r w:rsidR="00454EE8" w:rsidRPr="00252BCC">
            <w:rPr>
              <w:b/>
              <w:bCs/>
              <w:noProof/>
            </w:rPr>
            <w:t>MGIPU</w:t>
          </w:r>
          <w:r w:rsidR="00454EE8">
            <w:rPr>
              <w:noProof/>
            </w:rPr>
            <w:t xml:space="preserve">. </w:t>
          </w:r>
          <w:r>
            <w:rPr>
              <w:i/>
              <w:iCs/>
              <w:noProof/>
            </w:rPr>
            <w:t xml:space="preserve">Program energetske obnove zgrada javnog sektora za razdoblje 2016. – 2020. </w:t>
          </w:r>
          <w:r>
            <w:rPr>
              <w:noProof/>
            </w:rPr>
            <w:t>Zagreb : MGIPU, 2017.</w:t>
          </w:r>
        </w:p>
        <w:p w14:paraId="7178C22C" w14:textId="77777777" w:rsidR="00732089" w:rsidRDefault="00732089" w:rsidP="00732089">
          <w:pPr>
            <w:pStyle w:val="Bibliografija"/>
            <w:rPr>
              <w:noProof/>
            </w:rPr>
          </w:pPr>
          <w:r>
            <w:rPr>
              <w:noProof/>
            </w:rPr>
            <w:t xml:space="preserve">10. </w:t>
          </w:r>
          <w:r>
            <w:rPr>
              <w:b/>
              <w:bCs/>
              <w:noProof/>
            </w:rPr>
            <w:t>Vlada RH.</w:t>
          </w:r>
          <w:r>
            <w:rPr>
              <w:noProof/>
            </w:rPr>
            <w:t xml:space="preserve"> </w:t>
          </w:r>
          <w:r>
            <w:rPr>
              <w:i/>
              <w:iCs/>
              <w:noProof/>
            </w:rPr>
            <w:t xml:space="preserve">Integrirani nacionalni energetski i klimatski plan za Republiku Hrvatsku za razdoblje 2021. do 2030. </w:t>
          </w:r>
          <w:r>
            <w:rPr>
              <w:noProof/>
            </w:rPr>
            <w:t>Republika Hrvatska, Ministarstvo zaštite okoliša i energetike. Zagreb : Republika Hrvatska, Ministarstvo zaštite okoliša i energetike, 2019. str. 136.</w:t>
          </w:r>
        </w:p>
        <w:p w14:paraId="40BE0F57" w14:textId="1EF6C025" w:rsidR="00732089" w:rsidRDefault="00732089" w:rsidP="00732089">
          <w:pPr>
            <w:pStyle w:val="Bibliografija"/>
            <w:rPr>
              <w:noProof/>
            </w:rPr>
          </w:pPr>
          <w:r>
            <w:rPr>
              <w:noProof/>
            </w:rPr>
            <w:t xml:space="preserve">11. </w:t>
          </w:r>
          <w:r w:rsidR="007044AF" w:rsidRPr="00252BCC">
            <w:rPr>
              <w:b/>
              <w:bCs/>
              <w:noProof/>
            </w:rPr>
            <w:t>Vlada RH</w:t>
          </w:r>
          <w:r w:rsidR="007044AF">
            <w:rPr>
              <w:noProof/>
            </w:rPr>
            <w:t xml:space="preserve">. </w:t>
          </w:r>
          <w:r>
            <w:rPr>
              <w:i/>
              <w:iCs/>
              <w:noProof/>
            </w:rPr>
            <w:t xml:space="preserve">Nacrt prijedloga Strategije energetskog razvoja Republike Hrvatske do 2030. s pogledom na 2050. godinu. </w:t>
          </w:r>
          <w:r>
            <w:rPr>
              <w:noProof/>
            </w:rPr>
            <w:t>Zagreb : Republika Hrvatska, 2019.</w:t>
          </w:r>
        </w:p>
        <w:p w14:paraId="565F5219" w14:textId="7B360967" w:rsidR="00732089" w:rsidRDefault="00732089" w:rsidP="00732089">
          <w:pPr>
            <w:pStyle w:val="Bibliografija"/>
            <w:rPr>
              <w:noProof/>
            </w:rPr>
          </w:pPr>
          <w:r>
            <w:rPr>
              <w:noProof/>
            </w:rPr>
            <w:t xml:space="preserve">12. </w:t>
          </w:r>
          <w:r w:rsidR="00454EE8">
            <w:rPr>
              <w:b/>
              <w:bCs/>
              <w:noProof/>
            </w:rPr>
            <w:t>Vlada RH</w:t>
          </w:r>
          <w:r>
            <w:rPr>
              <w:b/>
              <w:bCs/>
              <w:noProof/>
            </w:rPr>
            <w:t>.</w:t>
          </w:r>
          <w:r>
            <w:rPr>
              <w:noProof/>
            </w:rPr>
            <w:t xml:space="preserve"> Pravilnik o energetskom pregledu zgrade i energetskom certificiranju NN 88/17. </w:t>
          </w:r>
          <w:r>
            <w:rPr>
              <w:i/>
              <w:iCs/>
              <w:noProof/>
            </w:rPr>
            <w:t xml:space="preserve">Narodne novine. </w:t>
          </w:r>
          <w:r>
            <w:rPr>
              <w:noProof/>
            </w:rPr>
            <w:t>2017, 88.</w:t>
          </w:r>
        </w:p>
        <w:p w14:paraId="300BFDC0" w14:textId="28771112" w:rsidR="00A71291" w:rsidRPr="006734C7" w:rsidRDefault="00732089" w:rsidP="00252BCC">
          <w:pPr>
            <w:pStyle w:val="Bibliografija"/>
          </w:pPr>
          <w:r>
            <w:rPr>
              <w:noProof/>
            </w:rPr>
            <w:t xml:space="preserve">13. </w:t>
          </w:r>
          <w:r w:rsidR="007044AF" w:rsidRPr="00252BCC">
            <w:rPr>
              <w:b/>
              <w:bCs/>
              <w:noProof/>
            </w:rPr>
            <w:t>MGIPU</w:t>
          </w:r>
          <w:r w:rsidR="007044AF">
            <w:rPr>
              <w:noProof/>
            </w:rPr>
            <w:t xml:space="preserve">. </w:t>
          </w:r>
          <w:r>
            <w:rPr>
              <w:noProof/>
            </w:rPr>
            <w:t xml:space="preserve">Metodologija provođenja energetskog pregleda zgrada. </w:t>
          </w:r>
          <w:r>
            <w:rPr>
              <w:i/>
              <w:iCs/>
              <w:noProof/>
            </w:rPr>
            <w:t xml:space="preserve">Metodologija provođenja energetskog pregleda zgrada 2017. </w:t>
          </w:r>
          <w:r>
            <w:rPr>
              <w:noProof/>
            </w:rPr>
            <w:t>Zagreb : Ministarstvo graditeljstva i prostornoga uređenja, 2017.</w:t>
          </w:r>
        </w:p>
      </w:sdtContent>
    </w:sdt>
    <w:p w14:paraId="0747BBFF" w14:textId="77777777" w:rsidR="00BB0421" w:rsidRPr="00203A80" w:rsidRDefault="00BB0421" w:rsidP="00495F30">
      <w:pPr>
        <w:rPr>
          <w:sz w:val="28"/>
          <w:szCs w:val="30"/>
          <w:lang w:eastAsia="hr-HR"/>
        </w:rPr>
      </w:pPr>
    </w:p>
    <w:p w14:paraId="3E7BCA63" w14:textId="77777777" w:rsidR="00BB0421" w:rsidRPr="00971F9E" w:rsidRDefault="00BB0421" w:rsidP="00495F30">
      <w:pPr>
        <w:rPr>
          <w:sz w:val="28"/>
          <w:szCs w:val="30"/>
          <w:lang w:eastAsia="hr-HR"/>
        </w:rPr>
      </w:pPr>
    </w:p>
    <w:p w14:paraId="69155D66" w14:textId="77777777" w:rsidR="00E174D4" w:rsidRPr="00B357F4" w:rsidRDefault="00E174D4" w:rsidP="00BB0421"/>
    <w:p w14:paraId="44CF8B20" w14:textId="77777777" w:rsidR="00BB0421" w:rsidRPr="00B357F4" w:rsidRDefault="00BB0421" w:rsidP="00BB0421"/>
    <w:p w14:paraId="5637F262" w14:textId="538C34B9" w:rsidR="00BB0421" w:rsidRPr="00B357F4" w:rsidRDefault="00BB0421" w:rsidP="00BB0421">
      <w:pPr>
        <w:sectPr w:rsidR="00BB0421" w:rsidRPr="00B357F4" w:rsidSect="00717AE8">
          <w:footerReference w:type="default" r:id="rId25"/>
          <w:type w:val="oddPage"/>
          <w:pgSz w:w="11906" w:h="16838" w:code="9"/>
          <w:pgMar w:top="1247" w:right="1134" w:bottom="1247" w:left="1418" w:header="567" w:footer="567" w:gutter="0"/>
          <w:cols w:space="708"/>
          <w:docGrid w:linePitch="360"/>
        </w:sectPr>
      </w:pPr>
    </w:p>
    <w:p w14:paraId="5DEC42FF" w14:textId="3B90EB92" w:rsidR="002E3E9D" w:rsidRPr="006734C7" w:rsidRDefault="002E3E9D">
      <w:pPr>
        <w:spacing w:before="0" w:after="160" w:line="259" w:lineRule="auto"/>
        <w:jc w:val="left"/>
        <w:rPr>
          <w:lang w:eastAsia="hr-HR"/>
        </w:rPr>
      </w:pPr>
    </w:p>
    <w:p w14:paraId="52D1CF44" w14:textId="47BA3A48" w:rsidR="00C826C7" w:rsidRPr="006734C7" w:rsidRDefault="00C826C7" w:rsidP="00C826C7">
      <w:pPr>
        <w:rPr>
          <w:lang w:eastAsia="hr-HR"/>
        </w:rPr>
      </w:pPr>
    </w:p>
    <w:p w14:paraId="52C64856" w14:textId="734BD6A4" w:rsidR="00243E47" w:rsidRPr="00A67250" w:rsidRDefault="00243E47" w:rsidP="007F0DF0">
      <w:pPr>
        <w:spacing w:before="0" w:after="0"/>
        <w:rPr>
          <w:i/>
          <w:sz w:val="18"/>
          <w:lang w:eastAsia="hr-HR"/>
        </w:rPr>
      </w:pPr>
    </w:p>
    <w:p w14:paraId="300A9983" w14:textId="7232393D" w:rsidR="00B144D0" w:rsidRPr="00971F9E" w:rsidRDefault="26D55A8F" w:rsidP="004B09BD">
      <w:pPr>
        <w:pStyle w:val="Naslov10"/>
      </w:pPr>
      <w:bookmarkStart w:id="217" w:name="_Ref80700098"/>
      <w:bookmarkStart w:id="218" w:name="_Toc94770048"/>
      <w:r w:rsidRPr="00A67250">
        <w:lastRenderedPageBreak/>
        <w:t>Prilozi</w:t>
      </w:r>
      <w:bookmarkEnd w:id="217"/>
      <w:bookmarkEnd w:id="218"/>
    </w:p>
    <w:p w14:paraId="41C896B9" w14:textId="6168B5D6" w:rsidR="0030526E" w:rsidRPr="00203A80" w:rsidRDefault="0030526E" w:rsidP="0030526E">
      <w:pPr>
        <w:pStyle w:val="Opisslike"/>
        <w:keepNext/>
      </w:pPr>
      <w:bookmarkStart w:id="219" w:name="_Ref80700057"/>
      <w:bookmarkStart w:id="220" w:name="_Toc87949907"/>
      <w:r w:rsidRPr="00B357F4">
        <w:t xml:space="preserve">Tablica </w:t>
      </w:r>
      <w:r>
        <w:fldChar w:fldCharType="begin"/>
      </w:r>
      <w:r>
        <w:instrText>STYLEREF 1 \s</w:instrText>
      </w:r>
      <w:r>
        <w:fldChar w:fldCharType="separate"/>
      </w:r>
      <w:r w:rsidR="0023635D">
        <w:rPr>
          <w:noProof/>
        </w:rPr>
        <w:t>14</w:t>
      </w:r>
      <w:r>
        <w:fldChar w:fldCharType="end"/>
      </w:r>
      <w:r w:rsidR="00166B1A">
        <w:noBreakHyphen/>
      </w:r>
      <w:r>
        <w:fldChar w:fldCharType="begin"/>
      </w:r>
      <w:r>
        <w:instrText>SEQ Tablica \* ARABIC \s 1</w:instrText>
      </w:r>
      <w:r>
        <w:fldChar w:fldCharType="separate"/>
      </w:r>
      <w:r w:rsidR="0023635D">
        <w:rPr>
          <w:noProof/>
        </w:rPr>
        <w:t>1</w:t>
      </w:r>
      <w:r>
        <w:fldChar w:fldCharType="end"/>
      </w:r>
      <w:bookmarkEnd w:id="219"/>
      <w:r w:rsidRPr="006734C7">
        <w:t xml:space="preserve"> Klasifikacija zgrada u sustavu ISGE i veza prema klasifikaciji u sustavu IEC</w:t>
      </w:r>
      <w:bookmarkEnd w:id="220"/>
    </w:p>
    <w:tbl>
      <w:tblPr>
        <w:tblStyle w:val="GridTable4-Accent31"/>
        <w:tblW w:w="5000" w:type="pct"/>
        <w:tblLook w:val="04A0" w:firstRow="1" w:lastRow="0" w:firstColumn="1" w:lastColumn="0" w:noHBand="0" w:noVBand="1"/>
      </w:tblPr>
      <w:tblGrid>
        <w:gridCol w:w="6658"/>
        <w:gridCol w:w="2686"/>
      </w:tblGrid>
      <w:tr w:rsidR="0030526E" w:rsidRPr="00B357F4" w14:paraId="18016F65" w14:textId="77777777" w:rsidTr="0030526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tcPr>
          <w:p w14:paraId="3BD3577F" w14:textId="5444D725" w:rsidR="0030526E" w:rsidRPr="00B357F4" w:rsidRDefault="0030526E"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Vrsta zgrada ISGE</w:t>
            </w:r>
          </w:p>
        </w:tc>
        <w:tc>
          <w:tcPr>
            <w:tcW w:w="2686" w:type="dxa"/>
            <w:noWrap/>
          </w:tcPr>
          <w:p w14:paraId="35D06D64" w14:textId="4C55A58E" w:rsidR="0030526E" w:rsidRPr="00B357F4" w:rsidRDefault="0030526E" w:rsidP="003F4A1B">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namjena zgrade IEC</w:t>
            </w:r>
          </w:p>
        </w:tc>
      </w:tr>
      <w:tr w:rsidR="0030526E" w:rsidRPr="00B357F4" w14:paraId="5DC5692C"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8C137C5"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Stambene zgrade s dva stana</w:t>
            </w:r>
          </w:p>
        </w:tc>
        <w:tc>
          <w:tcPr>
            <w:tcW w:w="2686" w:type="dxa"/>
            <w:noWrap/>
            <w:hideMark/>
          </w:tcPr>
          <w:p w14:paraId="47853EC2"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r>
      <w:tr w:rsidR="003F4A1B" w:rsidRPr="00B357F4" w14:paraId="5EBC8685"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960AED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Stambene zgrade s jednim stanom</w:t>
            </w:r>
          </w:p>
        </w:tc>
        <w:tc>
          <w:tcPr>
            <w:tcW w:w="2686" w:type="dxa"/>
            <w:noWrap/>
            <w:hideMark/>
          </w:tcPr>
          <w:p w14:paraId="0D21A4D0"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r>
      <w:tr w:rsidR="0030526E" w:rsidRPr="00B357F4" w14:paraId="0C7ABF8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18176A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Dječji dom</w:t>
            </w:r>
          </w:p>
        </w:tc>
        <w:tc>
          <w:tcPr>
            <w:tcW w:w="2686" w:type="dxa"/>
            <w:noWrap/>
            <w:hideMark/>
          </w:tcPr>
          <w:p w14:paraId="5EB2CD4C"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2F0CD5A7"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C12074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Dom (općenito)</w:t>
            </w:r>
          </w:p>
        </w:tc>
        <w:tc>
          <w:tcPr>
            <w:tcW w:w="2686" w:type="dxa"/>
            <w:noWrap/>
            <w:hideMark/>
          </w:tcPr>
          <w:p w14:paraId="3AAD8D27"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0526E" w:rsidRPr="00B357F4" w14:paraId="77B818D9"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A6D424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Đački i studentski dom</w:t>
            </w:r>
          </w:p>
        </w:tc>
        <w:tc>
          <w:tcPr>
            <w:tcW w:w="2686" w:type="dxa"/>
            <w:noWrap/>
            <w:hideMark/>
          </w:tcPr>
          <w:p w14:paraId="6C93A89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5B40F941"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C9E353D"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Stambena zgrada s više od 3 stana</w:t>
            </w:r>
          </w:p>
        </w:tc>
        <w:tc>
          <w:tcPr>
            <w:tcW w:w="2686" w:type="dxa"/>
            <w:noWrap/>
            <w:hideMark/>
          </w:tcPr>
          <w:p w14:paraId="0C6D6178"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0526E" w:rsidRPr="00B357F4" w14:paraId="062D0BA4"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6A7297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Umirovljenički dom</w:t>
            </w:r>
          </w:p>
        </w:tc>
        <w:tc>
          <w:tcPr>
            <w:tcW w:w="2686" w:type="dxa"/>
            <w:noWrap/>
            <w:hideMark/>
          </w:tcPr>
          <w:p w14:paraId="35EDFDC4"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7096D12F"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924585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Vojarna</w:t>
            </w:r>
          </w:p>
        </w:tc>
        <w:tc>
          <w:tcPr>
            <w:tcW w:w="2686" w:type="dxa"/>
            <w:noWrap/>
            <w:hideMark/>
          </w:tcPr>
          <w:p w14:paraId="525DB934"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0526E" w:rsidRPr="00B357F4" w14:paraId="245EDD24"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4E3FB59"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Zatvori, kaznionice i popravni centri</w:t>
            </w:r>
          </w:p>
        </w:tc>
        <w:tc>
          <w:tcPr>
            <w:tcW w:w="2686" w:type="dxa"/>
            <w:noWrap/>
            <w:hideMark/>
          </w:tcPr>
          <w:p w14:paraId="192E682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0E5FA9E7"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656654C"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Javne zgrade (neaktivan)</w:t>
            </w:r>
          </w:p>
        </w:tc>
        <w:tc>
          <w:tcPr>
            <w:tcW w:w="2686" w:type="dxa"/>
            <w:noWrap/>
            <w:hideMark/>
          </w:tcPr>
          <w:p w14:paraId="1B790FCB"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0526E" w:rsidRPr="00B357F4" w14:paraId="0B759ECB"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705BD84"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zgrade, drugdje neklasificirane</w:t>
            </w:r>
          </w:p>
        </w:tc>
        <w:tc>
          <w:tcPr>
            <w:tcW w:w="2686" w:type="dxa"/>
            <w:noWrap/>
            <w:hideMark/>
          </w:tcPr>
          <w:p w14:paraId="0244261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F4A1B" w:rsidRPr="00B357F4" w14:paraId="0EA2ECE9"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A5976D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Poslovna zgrada (neaktivan)</w:t>
            </w:r>
          </w:p>
        </w:tc>
        <w:tc>
          <w:tcPr>
            <w:tcW w:w="2686" w:type="dxa"/>
            <w:noWrap/>
            <w:hideMark/>
          </w:tcPr>
          <w:p w14:paraId="1530DD35"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0526E" w:rsidRPr="00B357F4" w14:paraId="79EF860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B675208"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Uredska zgrada</w:t>
            </w:r>
          </w:p>
        </w:tc>
        <w:tc>
          <w:tcPr>
            <w:tcW w:w="2686" w:type="dxa"/>
            <w:noWrap/>
            <w:hideMark/>
          </w:tcPr>
          <w:p w14:paraId="65C2B6E6"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F4A1B" w:rsidRPr="00B357F4" w14:paraId="3726EDE2"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4F5604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Dječji vrtić</w:t>
            </w:r>
          </w:p>
        </w:tc>
        <w:tc>
          <w:tcPr>
            <w:tcW w:w="2686" w:type="dxa"/>
            <w:noWrap/>
            <w:hideMark/>
          </w:tcPr>
          <w:p w14:paraId="047C7F29"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0526E" w:rsidRPr="00B357F4" w14:paraId="2FF6F809"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B80D47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Fakultetska zgrada</w:t>
            </w:r>
          </w:p>
        </w:tc>
        <w:tc>
          <w:tcPr>
            <w:tcW w:w="2686" w:type="dxa"/>
            <w:noWrap/>
            <w:hideMark/>
          </w:tcPr>
          <w:p w14:paraId="4863992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F4A1B" w:rsidRPr="00B357F4" w14:paraId="7FEEF8EB"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09631B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Osnovna škola</w:t>
            </w:r>
          </w:p>
        </w:tc>
        <w:tc>
          <w:tcPr>
            <w:tcW w:w="2686" w:type="dxa"/>
            <w:noWrap/>
            <w:hideMark/>
          </w:tcPr>
          <w:p w14:paraId="0CFDCEB0"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0526E" w:rsidRPr="00B357F4" w14:paraId="0148548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DD05E6A"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Srednja škola</w:t>
            </w:r>
          </w:p>
        </w:tc>
        <w:tc>
          <w:tcPr>
            <w:tcW w:w="2686" w:type="dxa"/>
            <w:noWrap/>
            <w:hideMark/>
          </w:tcPr>
          <w:p w14:paraId="0DC2B28C"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F4A1B" w:rsidRPr="00B357F4" w14:paraId="10483668"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EDF138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Ambulanta</w:t>
            </w:r>
          </w:p>
        </w:tc>
        <w:tc>
          <w:tcPr>
            <w:tcW w:w="2686" w:type="dxa"/>
            <w:noWrap/>
            <w:hideMark/>
          </w:tcPr>
          <w:p w14:paraId="5EFC4DF9"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r>
      <w:tr w:rsidR="0030526E" w:rsidRPr="00B357F4" w14:paraId="73D12FCA"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D5BEB4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Bolnica</w:t>
            </w:r>
          </w:p>
        </w:tc>
        <w:tc>
          <w:tcPr>
            <w:tcW w:w="2686" w:type="dxa"/>
            <w:noWrap/>
            <w:hideMark/>
          </w:tcPr>
          <w:p w14:paraId="0A5ED9AB"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r>
      <w:tr w:rsidR="003F4A1B" w:rsidRPr="00B357F4" w14:paraId="5FB961CB"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B233AD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Hoteli i moteli</w:t>
            </w:r>
          </w:p>
        </w:tc>
        <w:tc>
          <w:tcPr>
            <w:tcW w:w="2686" w:type="dxa"/>
            <w:noWrap/>
            <w:hideMark/>
          </w:tcPr>
          <w:p w14:paraId="519517A8"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r>
      <w:tr w:rsidR="0030526E" w:rsidRPr="00B357F4" w14:paraId="24C30CC1"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5E999D0"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zgrade za kratkotrajni boravak</w:t>
            </w:r>
          </w:p>
        </w:tc>
        <w:tc>
          <w:tcPr>
            <w:tcW w:w="2686" w:type="dxa"/>
            <w:noWrap/>
            <w:hideMark/>
          </w:tcPr>
          <w:p w14:paraId="4DBE9E13"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r>
      <w:tr w:rsidR="003F4A1B" w:rsidRPr="00B357F4" w14:paraId="363906DF"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9CD176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Restorani, barovi i slične ugostiteljske zgrade</w:t>
            </w:r>
          </w:p>
        </w:tc>
        <w:tc>
          <w:tcPr>
            <w:tcW w:w="2686" w:type="dxa"/>
            <w:noWrap/>
            <w:hideMark/>
          </w:tcPr>
          <w:p w14:paraId="7C07118B"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r>
      <w:tr w:rsidR="0030526E" w:rsidRPr="00B357F4" w14:paraId="1CB8BA17"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4C958C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Muzeji i knjižnice</w:t>
            </w:r>
          </w:p>
        </w:tc>
        <w:tc>
          <w:tcPr>
            <w:tcW w:w="2686" w:type="dxa"/>
            <w:noWrap/>
            <w:hideMark/>
          </w:tcPr>
          <w:p w14:paraId="7B5F93DF"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69A2D746"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5C7C35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zgrade za promet i komunikacije</w:t>
            </w:r>
          </w:p>
        </w:tc>
        <w:tc>
          <w:tcPr>
            <w:tcW w:w="2686" w:type="dxa"/>
            <w:noWrap/>
            <w:hideMark/>
          </w:tcPr>
          <w:p w14:paraId="0B9EE423"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278BD0CA"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72979FD"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Pomorske i riječne luke</w:t>
            </w:r>
          </w:p>
        </w:tc>
        <w:tc>
          <w:tcPr>
            <w:tcW w:w="2686" w:type="dxa"/>
            <w:noWrap/>
            <w:hideMark/>
          </w:tcPr>
          <w:p w14:paraId="7D39A56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5FB0563F"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9D5A3D5"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Prometna zgrada (neaktivan)</w:t>
            </w:r>
          </w:p>
        </w:tc>
        <w:tc>
          <w:tcPr>
            <w:tcW w:w="2686" w:type="dxa"/>
            <w:noWrap/>
            <w:hideMark/>
          </w:tcPr>
          <w:p w14:paraId="53FB0309"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69E34EFE"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AE990E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pošta i telekomunikacija</w:t>
            </w:r>
          </w:p>
        </w:tc>
        <w:tc>
          <w:tcPr>
            <w:tcW w:w="2686" w:type="dxa"/>
            <w:noWrap/>
            <w:hideMark/>
          </w:tcPr>
          <w:p w14:paraId="3D686B2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73EE9E00"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05A5D55"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kulturno-umjetničku djelatnost i zabavu</w:t>
            </w:r>
          </w:p>
        </w:tc>
        <w:tc>
          <w:tcPr>
            <w:tcW w:w="2686" w:type="dxa"/>
            <w:noWrap/>
            <w:hideMark/>
          </w:tcPr>
          <w:p w14:paraId="35BB77C5"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4484491B"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430533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obavljanje vjerskih obreda</w:t>
            </w:r>
          </w:p>
        </w:tc>
        <w:tc>
          <w:tcPr>
            <w:tcW w:w="2686" w:type="dxa"/>
            <w:noWrap/>
            <w:hideMark/>
          </w:tcPr>
          <w:p w14:paraId="6CF66B6E"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714F2655"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1F56B40"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televizijsko i radijsko emitiranje</w:t>
            </w:r>
          </w:p>
        </w:tc>
        <w:tc>
          <w:tcPr>
            <w:tcW w:w="2686" w:type="dxa"/>
            <w:noWrap/>
            <w:hideMark/>
          </w:tcPr>
          <w:p w14:paraId="5F2032F1"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6DE7AFEF"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47E8278"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željezničkog, cestovnog, zračnog i vodenog prometa</w:t>
            </w:r>
          </w:p>
        </w:tc>
        <w:tc>
          <w:tcPr>
            <w:tcW w:w="2686" w:type="dxa"/>
            <w:noWrap/>
            <w:hideMark/>
          </w:tcPr>
          <w:p w14:paraId="045FE52D"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4BFEF527"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C5553B1"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građevine za sport i rekreaciju</w:t>
            </w:r>
          </w:p>
        </w:tc>
        <w:tc>
          <w:tcPr>
            <w:tcW w:w="2686" w:type="dxa"/>
            <w:noWrap/>
            <w:hideMark/>
          </w:tcPr>
          <w:p w14:paraId="20788E7C"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r>
      <w:tr w:rsidR="0030526E" w:rsidRPr="00B357F4" w14:paraId="0478E17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F0FA54C"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Sportska dvorana</w:t>
            </w:r>
          </w:p>
        </w:tc>
        <w:tc>
          <w:tcPr>
            <w:tcW w:w="2686" w:type="dxa"/>
            <w:noWrap/>
            <w:hideMark/>
          </w:tcPr>
          <w:p w14:paraId="66451D10"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r>
      <w:tr w:rsidR="003F4A1B" w:rsidRPr="00B357F4" w14:paraId="429C51FA"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C6DF589"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trgovinu na veliko i malo</w:t>
            </w:r>
          </w:p>
        </w:tc>
        <w:tc>
          <w:tcPr>
            <w:tcW w:w="2686" w:type="dxa"/>
            <w:noWrap/>
            <w:hideMark/>
          </w:tcPr>
          <w:p w14:paraId="11714CCF"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r>
      <w:tr w:rsidR="0030526E" w:rsidRPr="00B357F4" w14:paraId="353DC3AF"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201C72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Elektrane</w:t>
            </w:r>
          </w:p>
        </w:tc>
        <w:tc>
          <w:tcPr>
            <w:tcW w:w="2686" w:type="dxa"/>
            <w:noWrap/>
            <w:hideMark/>
          </w:tcPr>
          <w:p w14:paraId="1942DDA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7B4AD403"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D88D8A8"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Garaže</w:t>
            </w:r>
          </w:p>
        </w:tc>
        <w:tc>
          <w:tcPr>
            <w:tcW w:w="2686" w:type="dxa"/>
            <w:noWrap/>
            <w:hideMark/>
          </w:tcPr>
          <w:p w14:paraId="25EC74D5"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78A5C02E"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0B45F9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Građevine i postrojenja za kemijsku industriju</w:t>
            </w:r>
          </w:p>
        </w:tc>
        <w:tc>
          <w:tcPr>
            <w:tcW w:w="2686" w:type="dxa"/>
            <w:noWrap/>
            <w:hideMark/>
          </w:tcPr>
          <w:p w14:paraId="22C4F2DD"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73A68864"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9CA9D6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Industrijske zgrade</w:t>
            </w:r>
          </w:p>
        </w:tc>
        <w:tc>
          <w:tcPr>
            <w:tcW w:w="2686" w:type="dxa"/>
            <w:noWrap/>
            <w:hideMark/>
          </w:tcPr>
          <w:p w14:paraId="3D0493CA"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5DED5876"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6CB66A1"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Lokalne transformatorske stanice</w:t>
            </w:r>
          </w:p>
        </w:tc>
        <w:tc>
          <w:tcPr>
            <w:tcW w:w="2686" w:type="dxa"/>
            <w:noWrap/>
            <w:hideMark/>
          </w:tcPr>
          <w:p w14:paraId="542D0388"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63BC0FA9"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567A1D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Natkrivena skladišta</w:t>
            </w:r>
          </w:p>
        </w:tc>
        <w:tc>
          <w:tcPr>
            <w:tcW w:w="2686" w:type="dxa"/>
            <w:noWrap/>
            <w:hideMark/>
          </w:tcPr>
          <w:p w14:paraId="23B7F844"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01488D39"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0B1A0C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Nefizički objekt (neaktivan)</w:t>
            </w:r>
          </w:p>
        </w:tc>
        <w:tc>
          <w:tcPr>
            <w:tcW w:w="2686" w:type="dxa"/>
            <w:noWrap/>
            <w:hideMark/>
          </w:tcPr>
          <w:p w14:paraId="79710E8F"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530D3C5C"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75E6E31"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građevine na grobljima</w:t>
            </w:r>
          </w:p>
        </w:tc>
        <w:tc>
          <w:tcPr>
            <w:tcW w:w="2686" w:type="dxa"/>
            <w:noWrap/>
            <w:hideMark/>
          </w:tcPr>
          <w:p w14:paraId="5CB62744"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18F561C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DD17B6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građevine u lokalnoj vodovodnoj mreži</w:t>
            </w:r>
          </w:p>
        </w:tc>
        <w:tc>
          <w:tcPr>
            <w:tcW w:w="2686" w:type="dxa"/>
            <w:noWrap/>
            <w:hideMark/>
          </w:tcPr>
          <w:p w14:paraId="2877DA10"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593580E0"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8B480C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poljoprivredne gospodarske zgrade</w:t>
            </w:r>
          </w:p>
        </w:tc>
        <w:tc>
          <w:tcPr>
            <w:tcW w:w="2686" w:type="dxa"/>
            <w:noWrap/>
            <w:hideMark/>
          </w:tcPr>
          <w:p w14:paraId="5FBC632C"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3AB6B0F6"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49DEEC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Staje za stoku i peradarnici</w:t>
            </w:r>
          </w:p>
        </w:tc>
        <w:tc>
          <w:tcPr>
            <w:tcW w:w="2686" w:type="dxa"/>
            <w:noWrap/>
            <w:hideMark/>
          </w:tcPr>
          <w:p w14:paraId="69DF6871"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3C7246D6"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DAF952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Zatvorena skladišta</w:t>
            </w:r>
          </w:p>
        </w:tc>
        <w:tc>
          <w:tcPr>
            <w:tcW w:w="2686" w:type="dxa"/>
            <w:noWrap/>
            <w:hideMark/>
          </w:tcPr>
          <w:p w14:paraId="23F9AD18"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7A85B09E"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71466C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na grobljima</w:t>
            </w:r>
          </w:p>
        </w:tc>
        <w:tc>
          <w:tcPr>
            <w:tcW w:w="2686" w:type="dxa"/>
            <w:noWrap/>
            <w:hideMark/>
          </w:tcPr>
          <w:p w14:paraId="34B7640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5B904F8E"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5D5873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uzgoj, proizvodnju i smještaj poljoprivrednih proizvoda</w:t>
            </w:r>
          </w:p>
        </w:tc>
        <w:tc>
          <w:tcPr>
            <w:tcW w:w="2686" w:type="dxa"/>
            <w:noWrap/>
            <w:hideMark/>
          </w:tcPr>
          <w:p w14:paraId="1BB0754A"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00641FC2"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A48D2DA"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veterinarsko liječenje</w:t>
            </w:r>
          </w:p>
        </w:tc>
        <w:tc>
          <w:tcPr>
            <w:tcW w:w="2686" w:type="dxa"/>
            <w:noWrap/>
            <w:hideMark/>
          </w:tcPr>
          <w:p w14:paraId="66CDCDFC"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bl>
    <w:p w14:paraId="4349A3C9" w14:textId="0090B199" w:rsidR="003F4A1B" w:rsidRPr="00B357F4" w:rsidRDefault="00EB544B" w:rsidP="003F4A1B">
      <w:pPr>
        <w:rPr>
          <w:lang w:eastAsia="hr-HR"/>
        </w:rPr>
      </w:pPr>
      <w:r>
        <w:rPr>
          <w:lang w:eastAsia="hr-HR"/>
        </w:rPr>
        <w:t>––</w:t>
      </w:r>
    </w:p>
    <w:sectPr w:rsidR="003F4A1B" w:rsidRPr="00B357F4" w:rsidSect="00CF048E">
      <w:footerReference w:type="default" r:id="rId26"/>
      <w:pgSz w:w="11906" w:h="16838" w:code="9"/>
      <w:pgMar w:top="1247" w:right="1134" w:bottom="124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BDD2" w14:textId="77777777" w:rsidR="00790716" w:rsidRDefault="00790716" w:rsidP="00685A6B">
      <w:pPr>
        <w:spacing w:before="0" w:after="0"/>
      </w:pPr>
      <w:r>
        <w:separator/>
      </w:r>
    </w:p>
    <w:p w14:paraId="03FE0DCA" w14:textId="77777777" w:rsidR="00790716" w:rsidRDefault="00790716"/>
    <w:p w14:paraId="4463B275" w14:textId="77777777" w:rsidR="00790716" w:rsidRDefault="00790716"/>
  </w:endnote>
  <w:endnote w:type="continuationSeparator" w:id="0">
    <w:p w14:paraId="13C1EDBD" w14:textId="77777777" w:rsidR="00790716" w:rsidRDefault="00790716" w:rsidP="00685A6B">
      <w:pPr>
        <w:spacing w:before="0" w:after="0"/>
      </w:pPr>
      <w:r>
        <w:continuationSeparator/>
      </w:r>
    </w:p>
    <w:p w14:paraId="11CA1686" w14:textId="77777777" w:rsidR="00790716" w:rsidRDefault="00790716"/>
    <w:p w14:paraId="10CEC243" w14:textId="77777777" w:rsidR="00790716" w:rsidRDefault="00790716"/>
  </w:endnote>
  <w:endnote w:type="continuationNotice" w:id="1">
    <w:p w14:paraId="6A0427F7" w14:textId="77777777" w:rsidR="00790716" w:rsidRDefault="007907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2529" w14:textId="7EAED3F0" w:rsidR="000275E0" w:rsidRDefault="000275E0" w:rsidP="003C7DA4">
    <w:pPr>
      <w:pStyle w:val="Podnoje"/>
      <w:ind w:left="-284" w:right="-2"/>
    </w:pPr>
    <w:r w:rsidRPr="00EE4E82">
      <w:rPr>
        <w:lang w:val="sl-SI"/>
      </w:rPr>
      <w:fldChar w:fldCharType="begin"/>
    </w:r>
    <w:r w:rsidRPr="00EE4E82">
      <w:rPr>
        <w:lang w:val="sl-SI"/>
      </w:rPr>
      <w:instrText xml:space="preserve"> PAGE </w:instrText>
    </w:r>
    <w:r w:rsidRPr="00EE4E82">
      <w:rPr>
        <w:lang w:val="sl-SI"/>
      </w:rPr>
      <w:fldChar w:fldCharType="separate"/>
    </w:r>
    <w:r>
      <w:rPr>
        <w:noProof/>
        <w:lang w:val="sl-SI"/>
      </w:rPr>
      <w:t>2</w:t>
    </w:r>
    <w:r w:rsidRPr="00EE4E82">
      <w:rPr>
        <w:lang w:val="sl-SI"/>
      </w:rPr>
      <w:fldChar w:fldCharType="end"/>
    </w:r>
    <w:r>
      <w:rPr>
        <w:lang w:val="sl-SI"/>
      </w:rPr>
      <w:t xml:space="preserve"> |</w:t>
    </w:r>
    <w:r w:rsidRPr="00DD214A">
      <w:rPr>
        <w:color w:val="808080"/>
      </w:rPr>
      <w:t xml:space="preserve"> </w:t>
    </w:r>
    <w:r w:rsidRPr="006E766C">
      <w:rPr>
        <w:color w:val="808080"/>
      </w:rPr>
      <w:t>Program energetske obnove zgrada javnog sektora za razdoblje 2021. – 2030. godine</w:t>
    </w:r>
    <w:r>
      <w:t xml:space="preserve"> </w:t>
    </w:r>
    <w:r w:rsidRPr="009C2AF5">
      <w:t>|</w:t>
    </w:r>
  </w:p>
  <w:p w14:paraId="2219F045" w14:textId="4E850A7E" w:rsidR="000275E0" w:rsidRPr="00DA6729" w:rsidRDefault="000275E0" w:rsidP="003C7DA4">
    <w:pPr>
      <w:pStyle w:val="Podnoje"/>
      <w:ind w:left="-284" w:right="-2"/>
    </w:pPr>
    <w:r w:rsidRPr="009C2AF5">
      <w:t xml:space="preserve"> </w:t>
    </w:r>
    <w:r>
      <w:t>Ministarstvo prostornoga uređenja, graditeljstva i državne imovine</w:t>
    </w:r>
    <w:r w:rsidRPr="009C2AF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DC5A" w14:textId="7C581048" w:rsidR="00482E08" w:rsidRPr="009C2AF5" w:rsidRDefault="000275E0" w:rsidP="00B34789">
    <w:pPr>
      <w:pStyle w:val="Podnoje"/>
    </w:pPr>
    <w:r>
      <w:fldChar w:fldCharType="begin"/>
    </w:r>
    <w:r>
      <w:instrText xml:space="preserve"> PAGE  </w:instrText>
    </w:r>
    <w:r>
      <w:fldChar w:fldCharType="separate"/>
    </w:r>
    <w:r>
      <w:rPr>
        <w:noProof/>
      </w:rPr>
      <w:t>26</w:t>
    </w:r>
    <w:r>
      <w:fldChar w:fldCharType="end"/>
    </w:r>
    <w:r w:rsidRPr="00902D8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1899" w14:textId="0ECE2343" w:rsidR="00BF1BF3" w:rsidRPr="009C2AF5" w:rsidRDefault="00BF1BF3" w:rsidP="00482E08">
    <w:pPr>
      <w:pStyle w:val="Podnoje"/>
    </w:pPr>
    <w:r>
      <w:fldChar w:fldCharType="begin"/>
    </w:r>
    <w:r>
      <w:instrText xml:space="preserve"> PAGE  </w:instrText>
    </w:r>
    <w:r>
      <w:fldChar w:fldCharType="separate"/>
    </w:r>
    <w:r>
      <w:rPr>
        <w:noProof/>
      </w:rPr>
      <w:t>26</w:t>
    </w:r>
    <w:r>
      <w:fldChar w:fldCharType="end"/>
    </w:r>
    <w:r w:rsidRPr="00902D8A">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9CAD" w14:textId="2AA855D7" w:rsidR="000275E0" w:rsidRPr="00327590" w:rsidRDefault="00DC69D4" w:rsidP="009C2AF5">
    <w:pPr>
      <w:pStyle w:val="Podnoje"/>
      <w:rPr>
        <w:color w:val="FFFFFF" w:themeColor="background1"/>
      </w:rPr>
    </w:pPr>
    <w:r w:rsidRPr="00814A03">
      <w:rPr>
        <w:color w:val="auto"/>
      </w:rPr>
      <w:fldChar w:fldCharType="begin"/>
    </w:r>
    <w:r w:rsidRPr="001155A4">
      <w:rPr>
        <w:color w:val="auto"/>
      </w:rPr>
      <w:instrText>PAGE   \* MERGEFORMAT</w:instrText>
    </w:r>
    <w:r w:rsidRPr="00814A03">
      <w:rPr>
        <w:color w:val="auto"/>
      </w:rPr>
      <w:fldChar w:fldCharType="separate"/>
    </w:r>
    <w:r w:rsidRPr="001155A4">
      <w:rPr>
        <w:color w:val="auto"/>
      </w:rPr>
      <w:t>1</w:t>
    </w:r>
    <w:r w:rsidRPr="00814A03">
      <w:rPr>
        <w:color w:val="auto"/>
      </w:rPr>
      <w:fldChar w:fldCharType="end"/>
    </w:r>
    <w:r w:rsidRPr="00814A03">
      <w:rPr>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5025" w14:textId="77777777" w:rsidR="00790716" w:rsidRDefault="00790716" w:rsidP="008E2740">
      <w:pPr>
        <w:spacing w:after="60"/>
      </w:pPr>
      <w:r>
        <w:separator/>
      </w:r>
    </w:p>
  </w:footnote>
  <w:footnote w:type="continuationSeparator" w:id="0">
    <w:p w14:paraId="2AFDE3C2" w14:textId="77777777" w:rsidR="00790716" w:rsidRDefault="00790716" w:rsidP="00496955">
      <w:pPr>
        <w:spacing w:before="240" w:after="60"/>
      </w:pPr>
      <w:r>
        <w:continuationSeparator/>
      </w:r>
    </w:p>
  </w:footnote>
  <w:footnote w:type="continuationNotice" w:id="1">
    <w:p w14:paraId="3D6478F9" w14:textId="77777777" w:rsidR="00790716" w:rsidRDefault="00790716"/>
  </w:footnote>
  <w:footnote w:id="2">
    <w:p w14:paraId="3E866D8F" w14:textId="77777777" w:rsidR="000275E0" w:rsidRDefault="000275E0" w:rsidP="00040D18">
      <w:pPr>
        <w:pStyle w:val="Tekstfusnote"/>
      </w:pPr>
      <w:r>
        <w:rPr>
          <w:rStyle w:val="Referencafusnote"/>
        </w:rPr>
        <w:footnoteRef/>
      </w:r>
      <w:r>
        <w:t xml:space="preserve">Europska komisija. </w:t>
      </w:r>
      <w:r w:rsidRPr="00B5652D">
        <w:t>Europski zeleni dogovor</w:t>
      </w:r>
      <w:r>
        <w:t xml:space="preserve"> - </w:t>
      </w:r>
      <w:hyperlink r:id="rId1" w:history="1">
        <w:r w:rsidRPr="00C67C92">
          <w:rPr>
            <w:rStyle w:val="Hiperveza"/>
          </w:rPr>
          <w:t>Green Deal</w:t>
        </w:r>
      </w:hyperlink>
      <w:r>
        <w:t>, prosinac 2019.</w:t>
      </w:r>
    </w:p>
  </w:footnote>
  <w:footnote w:id="3">
    <w:p w14:paraId="4625E25D" w14:textId="77777777" w:rsidR="000275E0" w:rsidRDefault="000275E0" w:rsidP="00040D18">
      <w:pPr>
        <w:pStyle w:val="Tekstfusnote"/>
      </w:pPr>
      <w:r>
        <w:rPr>
          <w:rStyle w:val="Referencafusnote"/>
        </w:rPr>
        <w:footnoteRef/>
      </w:r>
      <w:r>
        <w:t xml:space="preserve"> Europska komisija, Inicijativa valova obnove - </w:t>
      </w:r>
      <w:hyperlink r:id="rId2" w:history="1">
        <w:r w:rsidRPr="00D747AA">
          <w:rPr>
            <w:rStyle w:val="Hiperveza"/>
          </w:rPr>
          <w:t>Renovation wave</w:t>
        </w:r>
      </w:hyperlink>
      <w:r>
        <w:t>, listopad 2020.</w:t>
      </w:r>
    </w:p>
  </w:footnote>
  <w:footnote w:id="4">
    <w:p w14:paraId="49357409" w14:textId="77777777" w:rsidR="000275E0" w:rsidRPr="00147D5A" w:rsidRDefault="000275E0" w:rsidP="00CA298D">
      <w:pPr>
        <w:pStyle w:val="Tekstfusnote"/>
        <w:rPr>
          <w:lang w:val="de-DE"/>
        </w:rPr>
      </w:pPr>
      <w:r>
        <w:rPr>
          <w:rStyle w:val="Referencafusnote"/>
          <w:rFonts w:eastAsiaTheme="majorEastAsia"/>
        </w:rPr>
        <w:footnoteRef/>
      </w:r>
      <w:r>
        <w:t xml:space="preserve"> </w:t>
      </w:r>
      <w:r w:rsidRPr="00147D5A">
        <w:rPr>
          <w:lang w:val="de-DE"/>
        </w:rPr>
        <w:t xml:space="preserve">NECP je dostupan na: </w:t>
      </w:r>
      <w:hyperlink r:id="rId3" w:history="1">
        <w:r w:rsidRPr="00147D5A">
          <w:rPr>
            <w:rStyle w:val="Hiperveza"/>
            <w:rFonts w:eastAsiaTheme="majorEastAsia"/>
            <w:lang w:val="de-DE"/>
          </w:rPr>
          <w:t>https://mingor.gov.hr/o-ministarstvu-1065/djelokrug-4925/energetika/energetska-politika-i-planiranje/strategije-planovi-i-programi-2009/2009</w:t>
        </w:r>
      </w:hyperlink>
      <w:r w:rsidRPr="00147D5A">
        <w:rPr>
          <w:lang w:val="de-DE"/>
        </w:rPr>
        <w:t xml:space="preserve"> (datum pristupa: 28.04.2021.)</w:t>
      </w:r>
    </w:p>
  </w:footnote>
  <w:footnote w:id="5">
    <w:p w14:paraId="10A09985" w14:textId="641D3AD2" w:rsidR="000275E0" w:rsidRPr="00E52E5F" w:rsidRDefault="000275E0">
      <w:pPr>
        <w:pStyle w:val="Tekstfusnote"/>
      </w:pPr>
      <w:r>
        <w:rPr>
          <w:rStyle w:val="Referencafusnote"/>
        </w:rPr>
        <w:footnoteRef/>
      </w:r>
      <w:r>
        <w:t xml:space="preserve"> središnja državna uprava</w:t>
      </w:r>
    </w:p>
  </w:footnote>
  <w:footnote w:id="6">
    <w:p w14:paraId="61FED6BE" w14:textId="6BBDDA10" w:rsidR="000275E0" w:rsidRPr="00E52E5F" w:rsidRDefault="000275E0">
      <w:pPr>
        <w:pStyle w:val="Tekstfusnote"/>
      </w:pPr>
      <w:r>
        <w:rPr>
          <w:rStyle w:val="Referencafusnote"/>
        </w:rPr>
        <w:footnoteRef/>
      </w:r>
      <w:r>
        <w:t xml:space="preserve"> jedinice lokalne (regionalne) samouprave</w:t>
      </w:r>
    </w:p>
  </w:footnote>
  <w:footnote w:id="7">
    <w:p w14:paraId="206707A7" w14:textId="26FD5E87" w:rsidR="000275E0" w:rsidRPr="00200247" w:rsidRDefault="000275E0">
      <w:pPr>
        <w:pStyle w:val="Tekstfusnote"/>
      </w:pPr>
      <w:r>
        <w:rPr>
          <w:rStyle w:val="Referencafusnote"/>
        </w:rPr>
        <w:footnoteRef/>
      </w:r>
      <w:r>
        <w:t xml:space="preserve"> tvrtke u javnom vlasništvu</w:t>
      </w:r>
    </w:p>
  </w:footnote>
  <w:footnote w:id="8">
    <w:p w14:paraId="39F7A275" w14:textId="5DFB24BA" w:rsidR="000275E0" w:rsidRPr="00E81752" w:rsidRDefault="000275E0">
      <w:pPr>
        <w:pStyle w:val="Tekstfusnote"/>
        <w:rPr>
          <w:lang w:val="de-DE"/>
        </w:rPr>
      </w:pPr>
      <w:r>
        <w:rPr>
          <w:rStyle w:val="Referencafusnote"/>
        </w:rPr>
        <w:footnoteRef/>
      </w:r>
      <w:r>
        <w:t xml:space="preserve"> </w:t>
      </w:r>
      <w:r w:rsidRPr="00C50D71">
        <w:t xml:space="preserve">Detaljnije informacije su dostupne na: </w:t>
      </w:r>
      <w:hyperlink r:id="rId4" w:history="1">
        <w:r w:rsidRPr="00C50D71">
          <w:rPr>
            <w:rStyle w:val="Hiperveza"/>
            <w:rFonts w:cs="Myriad Pro"/>
          </w:rPr>
          <w:t>http://apn.hr/app/uploads/2019/03/Status-Programa-2014-2015.pdf</w:t>
        </w:r>
      </w:hyperlink>
      <w:r w:rsidRPr="00C50D71">
        <w:t xml:space="preserve"> (datum pristupa 15.9.2021.)</w:t>
      </w:r>
    </w:p>
  </w:footnote>
  <w:footnote w:id="9">
    <w:p w14:paraId="449A037A" w14:textId="22D9553C" w:rsidR="000275E0" w:rsidRPr="00147D5A" w:rsidRDefault="000275E0" w:rsidP="00B840F6">
      <w:pPr>
        <w:pStyle w:val="Tekstfusnote"/>
      </w:pPr>
      <w:r>
        <w:rPr>
          <w:rStyle w:val="Referencafusnote"/>
          <w:rFonts w:eastAsiaTheme="majorEastAsia"/>
        </w:rPr>
        <w:footnoteRef/>
      </w:r>
      <w:r>
        <w:t xml:space="preserve"> Podatak</w:t>
      </w:r>
      <w:r w:rsidRPr="006142CF">
        <w:t xml:space="preserve"> preuzet iz Dugoročne strategija obnove fonda zgrada RH od 2050. godine; dostupna na: </w:t>
      </w:r>
      <w:hyperlink r:id="rId5" w:history="1">
        <w:r w:rsidRPr="006142CF">
          <w:rPr>
            <w:rStyle w:val="Hiperveza"/>
            <w:rFonts w:eastAsiaTheme="majorEastAsia"/>
          </w:rPr>
          <w:t>https://mgipu.gov.hr/UserDocsImages/dokumenti/EnergetskaUcinkovitost/DSO_14.12.2020.pdf</w:t>
        </w:r>
      </w:hyperlink>
      <w:r w:rsidRPr="006142CF">
        <w:t xml:space="preserve"> (datum pristupa </w:t>
      </w:r>
      <w:r>
        <w:t>13</w:t>
      </w:r>
      <w:r w:rsidRPr="006142CF">
        <w:t>.</w:t>
      </w:r>
      <w:r>
        <w:t>09</w:t>
      </w:r>
      <w:r w:rsidRPr="006142CF">
        <w:t>.2021.)</w:t>
      </w:r>
    </w:p>
  </w:footnote>
  <w:footnote w:id="10">
    <w:p w14:paraId="5FEFC65A" w14:textId="05438067" w:rsidR="000275E0" w:rsidRPr="000024F8" w:rsidRDefault="000275E0" w:rsidP="00397375">
      <w:pPr>
        <w:pStyle w:val="Tekstfusnote"/>
      </w:pPr>
      <w:r>
        <w:rPr>
          <w:rStyle w:val="Referencafusnote"/>
        </w:rPr>
        <w:footnoteRef/>
      </w:r>
      <w:r>
        <w:t xml:space="preserve"> </w:t>
      </w:r>
      <w:r w:rsidRPr="000024F8">
        <w:t xml:space="preserve">Prema Tablici 8-2 iz </w:t>
      </w:r>
      <w:r w:rsidRPr="00B15094">
        <w:t xml:space="preserve">Dugoročne strategije obnove fonda zgrada RH do 2050. godine; dostupna na: </w:t>
      </w:r>
      <w:hyperlink r:id="rId6" w:history="1">
        <w:r w:rsidRPr="00B15094">
          <w:rPr>
            <w:rStyle w:val="Hiperveza"/>
            <w:rFonts w:cs="Myriad Pro"/>
          </w:rPr>
          <w:t>https://mgipu.gov.hr/UserDocsImages/dokumenti/EnergetskaUcinkovitost/DSO_14.12.2020.pdf</w:t>
        </w:r>
      </w:hyperlink>
      <w:r w:rsidRPr="00B15094">
        <w:t xml:space="preserve"> (datum pristupa: 03.05.2021.) </w:t>
      </w:r>
    </w:p>
  </w:footnote>
  <w:footnote w:id="11">
    <w:p w14:paraId="6A1D80CC" w14:textId="6AC4AFB8" w:rsidR="000275E0" w:rsidRDefault="000275E0" w:rsidP="00181D4F">
      <w:pPr>
        <w:pStyle w:val="Tekstfusnote"/>
      </w:pPr>
      <w:r>
        <w:rPr>
          <w:rStyle w:val="Referencafusnote"/>
        </w:rPr>
        <w:footnoteRef/>
      </w:r>
      <w:r>
        <w:t xml:space="preserve"> 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w:t>
      </w:r>
      <w:hyperlink r:id="rId7" w:history="1">
        <w:r w:rsidRPr="00E20623">
          <w:rPr>
            <w:rStyle w:val="Hiperveza"/>
            <w:rFonts w:cs="Myriad Pro"/>
          </w:rPr>
          <w:t>https://eur-lex.europa.eu/legal-content/HR/TXT/PDF/?uri=CELEX:32021R1060&amp;from=EN</w:t>
        </w:r>
      </w:hyperlink>
    </w:p>
  </w:footnote>
  <w:footnote w:id="12">
    <w:p w14:paraId="4728CF36" w14:textId="77777777" w:rsidR="000275E0" w:rsidRDefault="000275E0" w:rsidP="00CF4E38">
      <w:pPr>
        <w:pStyle w:val="Tekstfusnote"/>
      </w:pPr>
      <w:r>
        <w:rPr>
          <w:rStyle w:val="Referencafusnote"/>
        </w:rPr>
        <w:footnoteRef/>
      </w:r>
      <w:r>
        <w:t xml:space="preserve"> Sufinanciranje pojedinih mjera znači manje iznose sufinanciranja i manje vrijednosti pojedinačnog postupka dodjele sufinanciranja, što znači da bi povećanje administrativnog troška utvrđivanja utjecaja u svakom pojedinačnom slučaju vjerojatno bilo neopravdano.</w:t>
      </w:r>
    </w:p>
  </w:footnote>
  <w:footnote w:id="13">
    <w:p w14:paraId="03A2358B" w14:textId="77777777" w:rsidR="000275E0" w:rsidRDefault="000275E0" w:rsidP="00CF4E38">
      <w:pPr>
        <w:pStyle w:val="Tekstfusnote"/>
      </w:pPr>
      <w:r>
        <w:rPr>
          <w:rStyle w:val="Referencafusnote"/>
        </w:rPr>
        <w:footnoteRef/>
      </w:r>
      <w:r>
        <w:t xml:space="preserve"> U primjeni ovog modela to bi značilo utjecaj pojedinačne mjere na stanje potrošnje zgrade prije provedbe mjere, što ostavlja pitanja utjecaja na druge elemente. Smanjenje transmisijskih gubitaka može za posljedicu imati drukčiju efikasnost termotehničkog sustava, odnosno, gotovo uvijek mjere imaju međuutjecaje koje ovise o svakom pojedinačnom slučaju</w:t>
      </w:r>
    </w:p>
  </w:footnote>
  <w:footnote w:id="14">
    <w:p w14:paraId="00ECD0B2" w14:textId="77777777" w:rsidR="000275E0" w:rsidRDefault="000275E0" w:rsidP="00CF4E38">
      <w:pPr>
        <w:pStyle w:val="Tekstfusnote"/>
      </w:pPr>
      <w:r>
        <w:rPr>
          <w:rStyle w:val="Referencafusnote"/>
        </w:rPr>
        <w:footnoteRef/>
      </w:r>
      <w:r>
        <w:t xml:space="preserve"> Preporuke iz Smjernica </w:t>
      </w:r>
      <w:r w:rsidRPr="0044600A">
        <w:t>o državnim potporama za zaštitu okoliša i energiju za razdoblje 2014.–2020. (2014/C 200/01</w:t>
      </w:r>
      <w:r>
        <w:t>)</w:t>
      </w:r>
    </w:p>
  </w:footnote>
  <w:footnote w:id="15">
    <w:p w14:paraId="180EDCD0" w14:textId="77777777" w:rsidR="000275E0" w:rsidRDefault="000275E0" w:rsidP="00CF4E38">
      <w:pPr>
        <w:pStyle w:val="Tekstfusnote"/>
      </w:pPr>
      <w:r>
        <w:rPr>
          <w:rStyle w:val="Referencafusnote"/>
        </w:rPr>
        <w:footnoteRef/>
      </w:r>
      <w:r>
        <w:t xml:space="preserve"> </w:t>
      </w:r>
      <w:r w:rsidRPr="00DE08F1">
        <w:t xml:space="preserve"> </w:t>
      </w:r>
      <w:r>
        <w:t xml:space="preserve">Ex-ante Assessment Report, Final Report, September 2014-2020, Assessing the potential future use of financial instruments in Croatia, a study in support of the ex-ante assessment for the deployment of EU resources during the 2014-2020 programming period, </w:t>
      </w:r>
      <w:r w:rsidRPr="00DE08F1">
        <w:t>Market assessment of priority investment areas</w:t>
      </w:r>
      <w:r>
        <w:t>, Gap analysis</w:t>
      </w:r>
    </w:p>
  </w:footnote>
  <w:footnote w:id="16">
    <w:p w14:paraId="0D39C81F" w14:textId="77777777" w:rsidR="000275E0" w:rsidRDefault="000275E0" w:rsidP="00CF4E38">
      <w:pPr>
        <w:pStyle w:val="Tekstfusnote"/>
      </w:pPr>
      <w:r>
        <w:rPr>
          <w:rStyle w:val="Referencafusnote"/>
        </w:rPr>
        <w:footnoteRef/>
      </w:r>
      <w:r>
        <w:t xml:space="preserve"> Tumačenje nije provjereno od strane nadležnih tijela</w:t>
      </w:r>
    </w:p>
  </w:footnote>
  <w:footnote w:id="17">
    <w:p w14:paraId="46907423" w14:textId="0A94273B" w:rsidR="000275E0" w:rsidRDefault="000275E0" w:rsidP="00CF4E38">
      <w:pPr>
        <w:pStyle w:val="Tekstfusnote"/>
      </w:pPr>
      <w:r>
        <w:rPr>
          <w:rStyle w:val="Referencafusnote"/>
        </w:rPr>
        <w:footnoteRef/>
      </w:r>
      <w:r>
        <w:t xml:space="preserve"> Pretpostavlja se da je korisnik potpore vlasnik zgrade, na kojeg se prenose učinci potpore. </w:t>
      </w:r>
    </w:p>
  </w:footnote>
  <w:footnote w:id="18">
    <w:p w14:paraId="3B36CF88" w14:textId="77777777" w:rsidR="000275E0" w:rsidRPr="00DE08F1" w:rsidRDefault="000275E0" w:rsidP="00CF4E38">
      <w:pPr>
        <w:pStyle w:val="Tekstfusnote"/>
        <w:rPr>
          <w:sz w:val="22"/>
          <w:szCs w:val="22"/>
        </w:rPr>
      </w:pPr>
      <w:r>
        <w:rPr>
          <w:rStyle w:val="Referencafusnote"/>
        </w:rPr>
        <w:footnoteRef/>
      </w:r>
      <w:r>
        <w:t xml:space="preserve"> Ove okolnosti posebno su uvažene u </w:t>
      </w:r>
      <w:r w:rsidRPr="00DE08F1">
        <w:rPr>
          <w:rFonts w:ascii="Garamond" w:hAnsi="Garamond" w:cs="Times New Roman"/>
          <w:sz w:val="22"/>
          <w:szCs w:val="22"/>
        </w:rPr>
        <w:t>Smjernicama o državnim potporama za zaštitu okoliša i energiju za razdoblje 2014.–2020. (2014/C 200/01)</w:t>
      </w:r>
    </w:p>
  </w:footnote>
  <w:footnote w:id="19">
    <w:p w14:paraId="40C46BFF" w14:textId="77777777" w:rsidR="000275E0" w:rsidRDefault="000275E0" w:rsidP="00CF4E38">
      <w:pPr>
        <w:pStyle w:val="Tekstfusnote"/>
      </w:pPr>
      <w:r>
        <w:rPr>
          <w:rStyle w:val="Referencafusnote"/>
        </w:rPr>
        <w:footnoteRef/>
      </w:r>
      <w:r>
        <w:t xml:space="preserve"> Pretpostavka fleksibilnosti, odnosno utvrđivanja stope sufinanciranja u konkurentskom natječajnom postupku uvjetovana je i iscrpljivanjem mogućnosti da se naknada ostvari na temelju ušteda energije ostvarene za javni sektor</w:t>
      </w:r>
    </w:p>
  </w:footnote>
  <w:footnote w:id="20">
    <w:p w14:paraId="4A6FFC70" w14:textId="77777777" w:rsidR="000275E0" w:rsidRDefault="000275E0" w:rsidP="00CF4E38">
      <w:pPr>
        <w:pStyle w:val="Tekstfusnote"/>
      </w:pPr>
      <w:r>
        <w:rPr>
          <w:rStyle w:val="Referencafusnote"/>
        </w:rPr>
        <w:footnoteRef/>
      </w:r>
      <w:r>
        <w:t xml:space="preserve"> Uvjeti su utvrđeni Zakonom o energetskoj učinkovitosti, Uredbom o načinu ugovaranja i proračunskom praćenju energetske usluge za zgrade javnog sektora i tipskim ugovorom o energetskom učinku. Uvođenje fleksibilne stope sufinanciranja stvoriti potrebu za doradu Uredbe. </w:t>
      </w:r>
    </w:p>
  </w:footnote>
  <w:footnote w:id="21">
    <w:p w14:paraId="4534369E" w14:textId="77777777" w:rsidR="000275E0" w:rsidRDefault="000275E0" w:rsidP="00CF4E38">
      <w:pPr>
        <w:pStyle w:val="Tekstfusnote"/>
      </w:pPr>
      <w:r>
        <w:rPr>
          <w:rStyle w:val="Referencafusnote"/>
        </w:rPr>
        <w:footnoteRef/>
      </w:r>
      <w:r>
        <w:t xml:space="preserve"> Provedba otvorenog postupka javne nabave smatra se u potpunosti konkurentskim načinom provedbe natječaja, dok primjena modela poput natjecateljskog dijaloga zahtijevaju dodatnu analizu</w:t>
      </w:r>
    </w:p>
  </w:footnote>
  <w:footnote w:id="22">
    <w:p w14:paraId="726C5BD3" w14:textId="1063365C" w:rsidR="000275E0" w:rsidRDefault="000275E0">
      <w:pPr>
        <w:pStyle w:val="Tekstfusnote"/>
      </w:pPr>
      <w:r>
        <w:rPr>
          <w:rStyle w:val="Referencafusnote"/>
        </w:rPr>
        <w:footnoteRef/>
      </w:r>
      <w:r>
        <w:t xml:space="preserve"> </w:t>
      </w:r>
      <w:r w:rsidRPr="00702402">
        <w:t>Odluka o sustavu upravljanja i praćenju provedbe aktivnosti u okviru Nacionalnog plana oporavka i otpornosti 2021. – 2026.</w:t>
      </w:r>
      <w:r>
        <w:t xml:space="preserve">, NN br. 78/2021, </w:t>
      </w:r>
      <w:r w:rsidRPr="00702402">
        <w:t>https://narodne-novine.nn.hr/clanci/sluzbeni/2021_07_78_1450.html</w:t>
      </w:r>
    </w:p>
  </w:footnote>
  <w:footnote w:id="23">
    <w:p w14:paraId="6213D219" w14:textId="2F71FB93" w:rsidR="000275E0" w:rsidRDefault="000275E0">
      <w:pPr>
        <w:pStyle w:val="Tekstfusnote"/>
      </w:pPr>
      <w:r>
        <w:rPr>
          <w:rStyle w:val="Referencafusnote"/>
        </w:rPr>
        <w:footnoteRef/>
      </w:r>
      <w:r>
        <w:t xml:space="preserve"> </w:t>
      </w:r>
      <w:r w:rsidRPr="00D9728A">
        <w:t>Supporting smart financing implementation for energy efficient Balkan Buildings</w:t>
      </w:r>
      <w:r>
        <w:t xml:space="preserve"> (SMAFIN), </w:t>
      </w:r>
      <w:r w:rsidRPr="005228E6">
        <w:t>https://smafin.eu/</w:t>
      </w:r>
    </w:p>
  </w:footnote>
  <w:footnote w:id="24">
    <w:p w14:paraId="57FD0EC9" w14:textId="77777777" w:rsidR="000275E0" w:rsidRDefault="000275E0" w:rsidP="00253877">
      <w:pPr>
        <w:pStyle w:val="Tekstfusnote"/>
      </w:pPr>
      <w:r>
        <w:rPr>
          <w:rStyle w:val="Referencafusnote"/>
        </w:rPr>
        <w:footnoteRef/>
      </w:r>
      <w:r>
        <w:t xml:space="preserve"> Plan ulaganja za održivu Europu, </w:t>
      </w:r>
      <w:r w:rsidRPr="00740588">
        <w:t>https://eur-lex.europa.eu/legal-content/HR/TXT/PDF/?uri=CELEX:52020DC0021&amp;from=EN</w:t>
      </w:r>
    </w:p>
  </w:footnote>
  <w:footnote w:id="25">
    <w:p w14:paraId="2673E86B" w14:textId="77777777" w:rsidR="000275E0" w:rsidRDefault="000275E0" w:rsidP="00786703">
      <w:pPr>
        <w:pStyle w:val="Tekstfusnote"/>
      </w:pPr>
      <w:r>
        <w:rPr>
          <w:rStyle w:val="Referencafusnote"/>
        </w:rPr>
        <w:footnoteRef/>
      </w:r>
      <w:r>
        <w:t xml:space="preserve"> </w:t>
      </w:r>
      <w:r w:rsidRPr="00D85E30">
        <w:t>European Energy Efficiency Fund (eeef</w:t>
      </w:r>
      <w:r>
        <w:t>),</w:t>
      </w:r>
      <w:r w:rsidRPr="00D85E30">
        <w:t xml:space="preserve"> https://www.eeef.lu/home.html</w:t>
      </w:r>
    </w:p>
  </w:footnote>
  <w:footnote w:id="26">
    <w:p w14:paraId="23460D74" w14:textId="77777777" w:rsidR="000275E0" w:rsidRDefault="000275E0" w:rsidP="0099362A">
      <w:pPr>
        <w:pStyle w:val="Tekstfusnote"/>
      </w:pPr>
      <w:r>
        <w:rPr>
          <w:rStyle w:val="Referencafusnote"/>
        </w:rPr>
        <w:footnoteRef/>
      </w:r>
      <w:r>
        <w:t xml:space="preserve"> </w:t>
      </w:r>
      <w:r w:rsidRPr="00FD05E3">
        <w:t>Mainstreaming of refinancing schemes as enhancer for the implementation of energy efficiency service projects</w:t>
      </w:r>
      <w:r>
        <w:t xml:space="preserve"> (REFINE), </w:t>
      </w:r>
      <w:r w:rsidRPr="00A3673D">
        <w:t>https://refineproject.eu/</w:t>
      </w:r>
    </w:p>
  </w:footnote>
  <w:footnote w:id="27">
    <w:p w14:paraId="224F10E4" w14:textId="77777777" w:rsidR="000275E0" w:rsidRDefault="000275E0" w:rsidP="003E36DC">
      <w:pPr>
        <w:pStyle w:val="Tekstfusnote"/>
      </w:pPr>
      <w:r>
        <w:rPr>
          <w:rStyle w:val="Referencafusnote"/>
        </w:rPr>
        <w:footnoteRef/>
      </w:r>
      <w:r>
        <w:t xml:space="preserve"> Javni ugovor koji javni naručitelj dodijeli drugoj pravnoj osobi na temelju privatnog ili javnog prava ne spada u područje primjene Direktive 2014/24/EU ako su ispunjeni svi sljedeći uvjeti:</w:t>
      </w:r>
    </w:p>
    <w:p w14:paraId="4E47B426" w14:textId="77777777" w:rsidR="000275E0" w:rsidRDefault="000275E0" w:rsidP="003E36DC">
      <w:pPr>
        <w:pStyle w:val="Tekstfusnote"/>
      </w:pPr>
      <w:r>
        <w:t>(a) nad tom pravnom osobom javni naručitelj obavlja nadzor sličan onom koji provodi nad svojim poslovnim jedinicama;</w:t>
      </w:r>
    </w:p>
    <w:p w14:paraId="2FD6EDEC" w14:textId="77777777" w:rsidR="000275E0" w:rsidRDefault="000275E0" w:rsidP="003E36DC">
      <w:pPr>
        <w:pStyle w:val="Tekstfusnote"/>
      </w:pPr>
      <w:r>
        <w:t>(b) nadzirana pravna osoba provodi više od 80 % svojih aktivnosti u izvršavanju zadataka koje joj je povjerio javni naručitelj koji nad njom provodi nadzor ili koje su joj povjerile druge pravne osobe nad kojima taj javni naručitelj provodi nadzor; i</w:t>
      </w:r>
    </w:p>
    <w:p w14:paraId="0C3D6A0D" w14:textId="63724196" w:rsidR="000275E0" w:rsidRDefault="000275E0">
      <w:pPr>
        <w:pStyle w:val="Tekstfusnote"/>
      </w:pPr>
      <w:r>
        <w:t>(c) nema izravnog učešća privatnog kapitala u pravnoj osobi pod nadzorom osim sudjelovanja privatnog kapitala koji nema značajke kontroliranja i blokiranja, a koji se zahtijeva nacionalnim zakonodavnim odredbama, u skladu u Ugovorima, i koji ne vrši odlučujući utjecaj na pravnu osobu pod nadzorom.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275E0" w14:paraId="5E126250" w14:textId="77777777" w:rsidTr="006C51FA">
      <w:tc>
        <w:tcPr>
          <w:tcW w:w="3020" w:type="dxa"/>
        </w:tcPr>
        <w:p w14:paraId="511EB28C" w14:textId="2AF80EE5" w:rsidR="000275E0" w:rsidRDefault="000275E0" w:rsidP="00252BCC">
          <w:pPr>
            <w:pStyle w:val="Zaglavlje"/>
            <w:ind w:left="-115"/>
            <w:rPr>
              <w:bCs/>
              <w:szCs w:val="14"/>
            </w:rPr>
          </w:pPr>
        </w:p>
      </w:tc>
      <w:tc>
        <w:tcPr>
          <w:tcW w:w="3020" w:type="dxa"/>
        </w:tcPr>
        <w:p w14:paraId="64230840" w14:textId="0908606E" w:rsidR="000275E0" w:rsidRDefault="000275E0" w:rsidP="006C51FA">
          <w:pPr>
            <w:pStyle w:val="Zaglavlje"/>
            <w:jc w:val="center"/>
            <w:rPr>
              <w:bCs/>
              <w:szCs w:val="14"/>
            </w:rPr>
          </w:pPr>
        </w:p>
      </w:tc>
      <w:tc>
        <w:tcPr>
          <w:tcW w:w="3020" w:type="dxa"/>
        </w:tcPr>
        <w:p w14:paraId="033569A1" w14:textId="55B260A8" w:rsidR="000275E0" w:rsidRDefault="000275E0" w:rsidP="006C51FA">
          <w:pPr>
            <w:pStyle w:val="Zaglavlje"/>
            <w:ind w:right="-115"/>
            <w:jc w:val="right"/>
            <w:rPr>
              <w:bCs/>
              <w:szCs w:val="14"/>
            </w:rPr>
          </w:pPr>
        </w:p>
      </w:tc>
    </w:tr>
  </w:tbl>
  <w:p w14:paraId="03823C3C" w14:textId="114877B2" w:rsidR="000275E0" w:rsidRDefault="000275E0" w:rsidP="006C51FA">
    <w:pPr>
      <w:pStyle w:val="Zaglavlje"/>
      <w:rPr>
        <w:bCs/>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8295" w14:textId="77777777" w:rsidR="000275E0" w:rsidRDefault="000275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C1B"/>
    <w:multiLevelType w:val="hybridMultilevel"/>
    <w:tmpl w:val="BBF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27BD8"/>
    <w:multiLevelType w:val="hybridMultilevel"/>
    <w:tmpl w:val="1C0A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7EE"/>
    <w:multiLevelType w:val="hybridMultilevel"/>
    <w:tmpl w:val="AD0C0FC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1055D9"/>
    <w:multiLevelType w:val="hybridMultilevel"/>
    <w:tmpl w:val="6DB88BB0"/>
    <w:lvl w:ilvl="0" w:tplc="6662321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241233"/>
    <w:multiLevelType w:val="hybridMultilevel"/>
    <w:tmpl w:val="A276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145A5"/>
    <w:multiLevelType w:val="hybridMultilevel"/>
    <w:tmpl w:val="3F2E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E5FD6"/>
    <w:multiLevelType w:val="hybridMultilevel"/>
    <w:tmpl w:val="27DCA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6313C0"/>
    <w:multiLevelType w:val="multilevel"/>
    <w:tmpl w:val="374CC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0B6E1E6B"/>
    <w:multiLevelType w:val="hybridMultilevel"/>
    <w:tmpl w:val="5F2CA3A8"/>
    <w:lvl w:ilvl="0" w:tplc="1938FD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3B5CC4"/>
    <w:multiLevelType w:val="hybridMultilevel"/>
    <w:tmpl w:val="25EC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3761F"/>
    <w:multiLevelType w:val="hybridMultilevel"/>
    <w:tmpl w:val="D08C419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DD964E0"/>
    <w:multiLevelType w:val="hybridMultilevel"/>
    <w:tmpl w:val="A17CAF66"/>
    <w:lvl w:ilvl="0" w:tplc="487892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E46507E"/>
    <w:multiLevelType w:val="hybridMultilevel"/>
    <w:tmpl w:val="9C84FC02"/>
    <w:lvl w:ilvl="0" w:tplc="3A52C16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05EEF"/>
    <w:multiLevelType w:val="multilevel"/>
    <w:tmpl w:val="F84ACD28"/>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5" w15:restartNumberingAfterBreak="0">
    <w:nsid w:val="0EA5732B"/>
    <w:multiLevelType w:val="hybridMultilevel"/>
    <w:tmpl w:val="30F69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F0F72FC"/>
    <w:multiLevelType w:val="hybridMultilevel"/>
    <w:tmpl w:val="193462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F9466A8"/>
    <w:multiLevelType w:val="hybridMultilevel"/>
    <w:tmpl w:val="1F5C4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C4419"/>
    <w:multiLevelType w:val="hybridMultilevel"/>
    <w:tmpl w:val="6CF69522"/>
    <w:lvl w:ilvl="0" w:tplc="6E5A0F9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147E2"/>
    <w:multiLevelType w:val="multilevel"/>
    <w:tmpl w:val="9CC4A1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0B106F2"/>
    <w:multiLevelType w:val="hybridMultilevel"/>
    <w:tmpl w:val="3DBE0876"/>
    <w:lvl w:ilvl="0" w:tplc="041A000F">
      <w:start w:val="1"/>
      <w:numFmt w:val="decimal"/>
      <w:lvlText w:val="%1."/>
      <w:lvlJc w:val="left"/>
      <w:pPr>
        <w:ind w:left="360" w:hanging="360"/>
      </w:pPr>
      <w:rPr>
        <w:rFonts w:hint="default"/>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115F280C"/>
    <w:multiLevelType w:val="hybridMultilevel"/>
    <w:tmpl w:val="1F00A7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1F75A54"/>
    <w:multiLevelType w:val="hybridMultilevel"/>
    <w:tmpl w:val="0F6ACF22"/>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4D27E0A"/>
    <w:multiLevelType w:val="hybridMultilevel"/>
    <w:tmpl w:val="4F1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2A2604"/>
    <w:multiLevelType w:val="hybridMultilevel"/>
    <w:tmpl w:val="54FEE926"/>
    <w:lvl w:ilvl="0" w:tplc="08090001">
      <w:start w:val="1"/>
      <w:numFmt w:val="bullet"/>
      <w:lvlText w:val=""/>
      <w:lvlJc w:val="left"/>
      <w:pPr>
        <w:ind w:left="720" w:hanging="360"/>
      </w:pPr>
      <w:rPr>
        <w:rFonts w:ascii="Symbol" w:hAnsi="Symbol" w:hint="default"/>
      </w:rPr>
    </w:lvl>
    <w:lvl w:ilvl="1" w:tplc="FB50D9BA">
      <w:numFmt w:val="bullet"/>
      <w:lvlText w:val="•"/>
      <w:lvlJc w:val="left"/>
      <w:pPr>
        <w:ind w:left="1800" w:hanging="72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5725B05"/>
    <w:multiLevelType w:val="hybridMultilevel"/>
    <w:tmpl w:val="2C60A5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60616EA"/>
    <w:multiLevelType w:val="hybridMultilevel"/>
    <w:tmpl w:val="926C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37340F"/>
    <w:multiLevelType w:val="hybridMultilevel"/>
    <w:tmpl w:val="7B20017A"/>
    <w:lvl w:ilvl="0" w:tplc="95E4B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867071"/>
    <w:multiLevelType w:val="hybridMultilevel"/>
    <w:tmpl w:val="D3DC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A94DC6"/>
    <w:multiLevelType w:val="hybridMultilevel"/>
    <w:tmpl w:val="905A6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8CC7A75"/>
    <w:multiLevelType w:val="hybridMultilevel"/>
    <w:tmpl w:val="6BA89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8FE0FB1"/>
    <w:multiLevelType w:val="hybridMultilevel"/>
    <w:tmpl w:val="8410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7F42FC"/>
    <w:multiLevelType w:val="hybridMultilevel"/>
    <w:tmpl w:val="024A3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9B857F7"/>
    <w:multiLevelType w:val="hybridMultilevel"/>
    <w:tmpl w:val="40C08D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AAF5265"/>
    <w:multiLevelType w:val="hybridMultilevel"/>
    <w:tmpl w:val="7FDE006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D766A8"/>
    <w:multiLevelType w:val="hybridMultilevel"/>
    <w:tmpl w:val="ED64C8D4"/>
    <w:lvl w:ilvl="0" w:tplc="AE7E9674">
      <w:start w:val="1"/>
      <w:numFmt w:val="bullet"/>
      <w:lvlText w:val="-"/>
      <w:lvlJc w:val="left"/>
      <w:pPr>
        <w:ind w:left="1080" w:hanging="360"/>
      </w:pPr>
      <w:rPr>
        <w:rFonts w:ascii="Courier New" w:hAnsi="Courier New"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1B1224DD"/>
    <w:multiLevelType w:val="hybridMultilevel"/>
    <w:tmpl w:val="F8E4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3E32DA"/>
    <w:multiLevelType w:val="hybridMultilevel"/>
    <w:tmpl w:val="377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784E5B"/>
    <w:multiLevelType w:val="hybridMultilevel"/>
    <w:tmpl w:val="57F4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AB0311"/>
    <w:multiLevelType w:val="hybridMultilevel"/>
    <w:tmpl w:val="8EFC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CA57C2"/>
    <w:multiLevelType w:val="hybridMultilevel"/>
    <w:tmpl w:val="C8284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EDF13FF"/>
    <w:multiLevelType w:val="hybridMultilevel"/>
    <w:tmpl w:val="C4D832D2"/>
    <w:lvl w:ilvl="0" w:tplc="16D0A66A">
      <w:start w:val="1"/>
      <w:numFmt w:val="bullet"/>
      <w:lvlText w:val="·"/>
      <w:lvlJc w:val="left"/>
      <w:pPr>
        <w:ind w:left="720" w:hanging="360"/>
      </w:pPr>
      <w:rPr>
        <w:rFonts w:ascii="Symbol" w:hAnsi="Symbol" w:hint="default"/>
      </w:rPr>
    </w:lvl>
    <w:lvl w:ilvl="1" w:tplc="C22EDCDE">
      <w:start w:val="1"/>
      <w:numFmt w:val="bullet"/>
      <w:lvlText w:val="o"/>
      <w:lvlJc w:val="left"/>
      <w:pPr>
        <w:ind w:left="1440" w:hanging="360"/>
      </w:pPr>
      <w:rPr>
        <w:rFonts w:ascii="Courier New" w:hAnsi="Courier New" w:hint="default"/>
      </w:rPr>
    </w:lvl>
    <w:lvl w:ilvl="2" w:tplc="C4C8CD98">
      <w:start w:val="1"/>
      <w:numFmt w:val="bullet"/>
      <w:lvlText w:val=""/>
      <w:lvlJc w:val="left"/>
      <w:pPr>
        <w:ind w:left="2160" w:hanging="360"/>
      </w:pPr>
      <w:rPr>
        <w:rFonts w:ascii="Wingdings" w:hAnsi="Wingdings" w:hint="default"/>
      </w:rPr>
    </w:lvl>
    <w:lvl w:ilvl="3" w:tplc="E9C262F4">
      <w:start w:val="1"/>
      <w:numFmt w:val="bullet"/>
      <w:lvlText w:val=""/>
      <w:lvlJc w:val="left"/>
      <w:pPr>
        <w:ind w:left="2880" w:hanging="360"/>
      </w:pPr>
      <w:rPr>
        <w:rFonts w:ascii="Symbol" w:hAnsi="Symbol" w:hint="default"/>
      </w:rPr>
    </w:lvl>
    <w:lvl w:ilvl="4" w:tplc="9D649346">
      <w:start w:val="1"/>
      <w:numFmt w:val="bullet"/>
      <w:lvlText w:val="o"/>
      <w:lvlJc w:val="left"/>
      <w:pPr>
        <w:ind w:left="3600" w:hanging="360"/>
      </w:pPr>
      <w:rPr>
        <w:rFonts w:ascii="Courier New" w:hAnsi="Courier New" w:hint="default"/>
      </w:rPr>
    </w:lvl>
    <w:lvl w:ilvl="5" w:tplc="8C74DA8E">
      <w:start w:val="1"/>
      <w:numFmt w:val="bullet"/>
      <w:lvlText w:val=""/>
      <w:lvlJc w:val="left"/>
      <w:pPr>
        <w:ind w:left="4320" w:hanging="360"/>
      </w:pPr>
      <w:rPr>
        <w:rFonts w:ascii="Wingdings" w:hAnsi="Wingdings" w:hint="default"/>
      </w:rPr>
    </w:lvl>
    <w:lvl w:ilvl="6" w:tplc="17103292">
      <w:start w:val="1"/>
      <w:numFmt w:val="bullet"/>
      <w:lvlText w:val=""/>
      <w:lvlJc w:val="left"/>
      <w:pPr>
        <w:ind w:left="5040" w:hanging="360"/>
      </w:pPr>
      <w:rPr>
        <w:rFonts w:ascii="Symbol" w:hAnsi="Symbol" w:hint="default"/>
      </w:rPr>
    </w:lvl>
    <w:lvl w:ilvl="7" w:tplc="99721462">
      <w:start w:val="1"/>
      <w:numFmt w:val="bullet"/>
      <w:lvlText w:val="o"/>
      <w:lvlJc w:val="left"/>
      <w:pPr>
        <w:ind w:left="5760" w:hanging="360"/>
      </w:pPr>
      <w:rPr>
        <w:rFonts w:ascii="Courier New" w:hAnsi="Courier New" w:hint="default"/>
      </w:rPr>
    </w:lvl>
    <w:lvl w:ilvl="8" w:tplc="6E70293E">
      <w:start w:val="1"/>
      <w:numFmt w:val="bullet"/>
      <w:lvlText w:val=""/>
      <w:lvlJc w:val="left"/>
      <w:pPr>
        <w:ind w:left="6480" w:hanging="360"/>
      </w:pPr>
      <w:rPr>
        <w:rFonts w:ascii="Wingdings" w:hAnsi="Wingdings" w:hint="default"/>
      </w:rPr>
    </w:lvl>
  </w:abstractNum>
  <w:abstractNum w:abstractNumId="43"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44" w15:restartNumberingAfterBreak="0">
    <w:nsid w:val="1FF5369E"/>
    <w:multiLevelType w:val="hybridMultilevel"/>
    <w:tmpl w:val="FF90CB1A"/>
    <w:lvl w:ilvl="0" w:tplc="04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730" w:hanging="570"/>
      </w:pPr>
      <w:rPr>
        <w:rFonts w:ascii="Tahoma" w:eastAsia="Times New Roman" w:hAnsi="Tahoma" w:cs="Tahoma"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F03F54"/>
    <w:multiLevelType w:val="hybridMultilevel"/>
    <w:tmpl w:val="99969DA6"/>
    <w:lvl w:ilvl="0" w:tplc="51B022C4">
      <w:start w:val="1"/>
      <w:numFmt w:val="bullet"/>
      <w:lvlText w:val=""/>
      <w:lvlJc w:val="left"/>
      <w:pPr>
        <w:ind w:left="720" w:hanging="360"/>
      </w:pPr>
      <w:rPr>
        <w:rFonts w:ascii="Symbol" w:hAnsi="Symbol" w:hint="default"/>
      </w:rPr>
    </w:lvl>
    <w:lvl w:ilvl="1" w:tplc="FA4A900A">
      <w:start w:val="1"/>
      <w:numFmt w:val="bullet"/>
      <w:lvlText w:val="o"/>
      <w:lvlJc w:val="left"/>
      <w:pPr>
        <w:ind w:left="1440" w:hanging="360"/>
      </w:pPr>
      <w:rPr>
        <w:rFonts w:ascii="Courier New" w:hAnsi="Courier New" w:hint="default"/>
      </w:rPr>
    </w:lvl>
    <w:lvl w:ilvl="2" w:tplc="44A83940">
      <w:start w:val="1"/>
      <w:numFmt w:val="bullet"/>
      <w:lvlText w:val=""/>
      <w:lvlJc w:val="left"/>
      <w:pPr>
        <w:ind w:left="2160" w:hanging="360"/>
      </w:pPr>
      <w:rPr>
        <w:rFonts w:ascii="Wingdings" w:hAnsi="Wingdings" w:hint="default"/>
      </w:rPr>
    </w:lvl>
    <w:lvl w:ilvl="3" w:tplc="B6709AF2">
      <w:start w:val="1"/>
      <w:numFmt w:val="bullet"/>
      <w:lvlText w:val=""/>
      <w:lvlJc w:val="left"/>
      <w:pPr>
        <w:ind w:left="2880" w:hanging="360"/>
      </w:pPr>
      <w:rPr>
        <w:rFonts w:ascii="Symbol" w:hAnsi="Symbol" w:hint="default"/>
      </w:rPr>
    </w:lvl>
    <w:lvl w:ilvl="4" w:tplc="D0D2A5C8">
      <w:start w:val="1"/>
      <w:numFmt w:val="bullet"/>
      <w:lvlText w:val="o"/>
      <w:lvlJc w:val="left"/>
      <w:pPr>
        <w:ind w:left="3600" w:hanging="360"/>
      </w:pPr>
      <w:rPr>
        <w:rFonts w:ascii="Courier New" w:hAnsi="Courier New" w:hint="default"/>
      </w:rPr>
    </w:lvl>
    <w:lvl w:ilvl="5" w:tplc="8124AFCE">
      <w:start w:val="1"/>
      <w:numFmt w:val="bullet"/>
      <w:lvlText w:val=""/>
      <w:lvlJc w:val="left"/>
      <w:pPr>
        <w:ind w:left="4320" w:hanging="360"/>
      </w:pPr>
      <w:rPr>
        <w:rFonts w:ascii="Wingdings" w:hAnsi="Wingdings" w:hint="default"/>
      </w:rPr>
    </w:lvl>
    <w:lvl w:ilvl="6" w:tplc="FAC62A00">
      <w:start w:val="1"/>
      <w:numFmt w:val="bullet"/>
      <w:lvlText w:val=""/>
      <w:lvlJc w:val="left"/>
      <w:pPr>
        <w:ind w:left="5040" w:hanging="360"/>
      </w:pPr>
      <w:rPr>
        <w:rFonts w:ascii="Symbol" w:hAnsi="Symbol" w:hint="default"/>
      </w:rPr>
    </w:lvl>
    <w:lvl w:ilvl="7" w:tplc="89CCF1C8">
      <w:start w:val="1"/>
      <w:numFmt w:val="bullet"/>
      <w:lvlText w:val="o"/>
      <w:lvlJc w:val="left"/>
      <w:pPr>
        <w:ind w:left="5760" w:hanging="360"/>
      </w:pPr>
      <w:rPr>
        <w:rFonts w:ascii="Courier New" w:hAnsi="Courier New" w:hint="default"/>
      </w:rPr>
    </w:lvl>
    <w:lvl w:ilvl="8" w:tplc="2C9CB62C">
      <w:start w:val="1"/>
      <w:numFmt w:val="bullet"/>
      <w:lvlText w:val=""/>
      <w:lvlJc w:val="left"/>
      <w:pPr>
        <w:ind w:left="6480" w:hanging="360"/>
      </w:pPr>
      <w:rPr>
        <w:rFonts w:ascii="Wingdings" w:hAnsi="Wingdings" w:hint="default"/>
      </w:rPr>
    </w:lvl>
  </w:abstractNum>
  <w:abstractNum w:abstractNumId="47" w15:restartNumberingAfterBreak="0">
    <w:nsid w:val="22FC50E6"/>
    <w:multiLevelType w:val="hybridMultilevel"/>
    <w:tmpl w:val="8FD8FB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numFmt w:val="bullet"/>
      <w:lvlText w:val="•"/>
      <w:lvlJc w:val="left"/>
      <w:pPr>
        <w:ind w:left="3090" w:hanging="57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47677C4"/>
    <w:multiLevelType w:val="hybridMultilevel"/>
    <w:tmpl w:val="F2403F62"/>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24A50894"/>
    <w:multiLevelType w:val="hybridMultilevel"/>
    <w:tmpl w:val="A192E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4C84F75"/>
    <w:multiLevelType w:val="hybridMultilevel"/>
    <w:tmpl w:val="017C7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6216ACC"/>
    <w:multiLevelType w:val="hybridMultilevel"/>
    <w:tmpl w:val="A956DF04"/>
    <w:lvl w:ilvl="0" w:tplc="041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26D448E1"/>
    <w:multiLevelType w:val="hybridMultilevel"/>
    <w:tmpl w:val="3CA60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91849A6"/>
    <w:multiLevelType w:val="multilevel"/>
    <w:tmpl w:val="21A8AD5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AE37FB9"/>
    <w:multiLevelType w:val="hybridMultilevel"/>
    <w:tmpl w:val="5990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EA0D69"/>
    <w:multiLevelType w:val="hybridMultilevel"/>
    <w:tmpl w:val="3C387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B3371B7"/>
    <w:multiLevelType w:val="hybridMultilevel"/>
    <w:tmpl w:val="8752C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58" w15:restartNumberingAfterBreak="0">
    <w:nsid w:val="2EC5793D"/>
    <w:multiLevelType w:val="hybridMultilevel"/>
    <w:tmpl w:val="6360E5C8"/>
    <w:lvl w:ilvl="0" w:tplc="041A0001">
      <w:start w:val="1"/>
      <w:numFmt w:val="bullet"/>
      <w:lvlText w:val=""/>
      <w:lvlJc w:val="left"/>
      <w:pPr>
        <w:ind w:left="720" w:hanging="360"/>
      </w:pPr>
      <w:rPr>
        <w:rFonts w:ascii="Symbol" w:hAnsi="Symbol" w:hint="default"/>
      </w:rPr>
    </w:lvl>
    <w:lvl w:ilvl="1" w:tplc="CBD65950">
      <w:start w:val="3"/>
      <w:numFmt w:val="bullet"/>
      <w:lvlText w:val="–"/>
      <w:lvlJc w:val="left"/>
      <w:pPr>
        <w:ind w:left="1440" w:hanging="360"/>
      </w:pPr>
      <w:rPr>
        <w:rFonts w:ascii="Tahoma" w:eastAsia="Times New Roman" w:hAnsi="Tahoma"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142737F"/>
    <w:multiLevelType w:val="hybridMultilevel"/>
    <w:tmpl w:val="60063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FD447E"/>
    <w:multiLevelType w:val="hybridMultilevel"/>
    <w:tmpl w:val="CCC642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33C132CC"/>
    <w:multiLevelType w:val="hybridMultilevel"/>
    <w:tmpl w:val="F86E41D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64C4133"/>
    <w:multiLevelType w:val="hybridMultilevel"/>
    <w:tmpl w:val="063A2B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7A442AF"/>
    <w:multiLevelType w:val="hybridMultilevel"/>
    <w:tmpl w:val="03B228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5372F3"/>
    <w:multiLevelType w:val="hybridMultilevel"/>
    <w:tmpl w:val="64709B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39D432B2"/>
    <w:multiLevelType w:val="hybridMultilevel"/>
    <w:tmpl w:val="0B5AF802"/>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A687011"/>
    <w:multiLevelType w:val="hybridMultilevel"/>
    <w:tmpl w:val="F57C5B28"/>
    <w:styleLink w:val="toc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3C71002F"/>
    <w:multiLevelType w:val="hybridMultilevel"/>
    <w:tmpl w:val="4D7CE5B4"/>
    <w:lvl w:ilvl="0" w:tplc="E8B620A6">
      <w:start w:val="1"/>
      <w:numFmt w:val="bullet"/>
      <w:lvlText w:val="·"/>
      <w:lvlJc w:val="left"/>
      <w:pPr>
        <w:ind w:left="720" w:hanging="360"/>
      </w:pPr>
      <w:rPr>
        <w:rFonts w:ascii="Symbol" w:hAnsi="Symbol" w:hint="default"/>
      </w:rPr>
    </w:lvl>
    <w:lvl w:ilvl="1" w:tplc="D940F518">
      <w:start w:val="1"/>
      <w:numFmt w:val="bullet"/>
      <w:lvlText w:val="o"/>
      <w:lvlJc w:val="left"/>
      <w:pPr>
        <w:ind w:left="1440" w:hanging="360"/>
      </w:pPr>
      <w:rPr>
        <w:rFonts w:ascii="Courier New" w:hAnsi="Courier New" w:hint="default"/>
      </w:rPr>
    </w:lvl>
    <w:lvl w:ilvl="2" w:tplc="5ADAE740">
      <w:start w:val="1"/>
      <w:numFmt w:val="bullet"/>
      <w:lvlText w:val=""/>
      <w:lvlJc w:val="left"/>
      <w:pPr>
        <w:ind w:left="2160" w:hanging="360"/>
      </w:pPr>
      <w:rPr>
        <w:rFonts w:ascii="Wingdings" w:hAnsi="Wingdings" w:hint="default"/>
      </w:rPr>
    </w:lvl>
    <w:lvl w:ilvl="3" w:tplc="24AAF43A">
      <w:start w:val="1"/>
      <w:numFmt w:val="bullet"/>
      <w:lvlText w:val=""/>
      <w:lvlJc w:val="left"/>
      <w:pPr>
        <w:ind w:left="2880" w:hanging="360"/>
      </w:pPr>
      <w:rPr>
        <w:rFonts w:ascii="Symbol" w:hAnsi="Symbol" w:hint="default"/>
      </w:rPr>
    </w:lvl>
    <w:lvl w:ilvl="4" w:tplc="20DC2310">
      <w:start w:val="1"/>
      <w:numFmt w:val="bullet"/>
      <w:lvlText w:val="o"/>
      <w:lvlJc w:val="left"/>
      <w:pPr>
        <w:ind w:left="3600" w:hanging="360"/>
      </w:pPr>
      <w:rPr>
        <w:rFonts w:ascii="Courier New" w:hAnsi="Courier New" w:hint="default"/>
      </w:rPr>
    </w:lvl>
    <w:lvl w:ilvl="5" w:tplc="8CD8B1D2">
      <w:start w:val="1"/>
      <w:numFmt w:val="bullet"/>
      <w:lvlText w:val=""/>
      <w:lvlJc w:val="left"/>
      <w:pPr>
        <w:ind w:left="4320" w:hanging="360"/>
      </w:pPr>
      <w:rPr>
        <w:rFonts w:ascii="Wingdings" w:hAnsi="Wingdings" w:hint="default"/>
      </w:rPr>
    </w:lvl>
    <w:lvl w:ilvl="6" w:tplc="6F96626A">
      <w:start w:val="1"/>
      <w:numFmt w:val="bullet"/>
      <w:lvlText w:val=""/>
      <w:lvlJc w:val="left"/>
      <w:pPr>
        <w:ind w:left="5040" w:hanging="360"/>
      </w:pPr>
      <w:rPr>
        <w:rFonts w:ascii="Symbol" w:hAnsi="Symbol" w:hint="default"/>
      </w:rPr>
    </w:lvl>
    <w:lvl w:ilvl="7" w:tplc="09069BDE">
      <w:start w:val="1"/>
      <w:numFmt w:val="bullet"/>
      <w:lvlText w:val="o"/>
      <w:lvlJc w:val="left"/>
      <w:pPr>
        <w:ind w:left="5760" w:hanging="360"/>
      </w:pPr>
      <w:rPr>
        <w:rFonts w:ascii="Courier New" w:hAnsi="Courier New" w:hint="default"/>
      </w:rPr>
    </w:lvl>
    <w:lvl w:ilvl="8" w:tplc="24B6BC88">
      <w:start w:val="1"/>
      <w:numFmt w:val="bullet"/>
      <w:lvlText w:val=""/>
      <w:lvlJc w:val="left"/>
      <w:pPr>
        <w:ind w:left="6480" w:hanging="360"/>
      </w:pPr>
      <w:rPr>
        <w:rFonts w:ascii="Wingdings" w:hAnsi="Wingdings" w:hint="default"/>
      </w:rPr>
    </w:lvl>
  </w:abstractNum>
  <w:abstractNum w:abstractNumId="69" w15:restartNumberingAfterBreak="0">
    <w:nsid w:val="3CB82557"/>
    <w:multiLevelType w:val="hybridMultilevel"/>
    <w:tmpl w:val="7F94C5F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3008D4"/>
    <w:multiLevelType w:val="hybridMultilevel"/>
    <w:tmpl w:val="C47A07E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E557142"/>
    <w:multiLevelType w:val="multilevel"/>
    <w:tmpl w:val="DE7CED04"/>
    <w:lvl w:ilvl="0">
      <w:start w:val="1"/>
      <w:numFmt w:val="decimal"/>
      <w:pStyle w:val="Naslov10"/>
      <w:lvlText w:val="%1"/>
      <w:lvlJc w:val="left"/>
      <w:pPr>
        <w:ind w:left="432" w:hanging="432"/>
      </w:pPr>
      <w:rPr>
        <w:rFonts w:hint="default"/>
      </w:rPr>
    </w:lvl>
    <w:lvl w:ilvl="1">
      <w:start w:val="1"/>
      <w:numFmt w:val="decimal"/>
      <w:pStyle w:val="Naslov20"/>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864"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2" w15:restartNumberingAfterBreak="0">
    <w:nsid w:val="400E195E"/>
    <w:multiLevelType w:val="hybridMultilevel"/>
    <w:tmpl w:val="E73224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0C91B03"/>
    <w:multiLevelType w:val="hybridMultilevel"/>
    <w:tmpl w:val="CB8A058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A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1261F2B"/>
    <w:multiLevelType w:val="hybridMultilevel"/>
    <w:tmpl w:val="E7A083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416B6044"/>
    <w:multiLevelType w:val="hybridMultilevel"/>
    <w:tmpl w:val="929282C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41D832B4"/>
    <w:multiLevelType w:val="hybridMultilevel"/>
    <w:tmpl w:val="A142EC7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A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2FC7225"/>
    <w:multiLevelType w:val="hybridMultilevel"/>
    <w:tmpl w:val="90E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79"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5D3E23"/>
    <w:multiLevelType w:val="hybridMultilevel"/>
    <w:tmpl w:val="036482B0"/>
    <w:lvl w:ilvl="0" w:tplc="04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730" w:hanging="570"/>
      </w:pPr>
      <w:rPr>
        <w:rFonts w:ascii="Tahoma" w:eastAsia="Times New Roman" w:hAnsi="Tahoma" w:cs="Tahoma"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6DC30D4"/>
    <w:multiLevelType w:val="hybridMultilevel"/>
    <w:tmpl w:val="C8B8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DA2AC6"/>
    <w:multiLevelType w:val="hybridMultilevel"/>
    <w:tmpl w:val="55727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264CC1"/>
    <w:multiLevelType w:val="hybridMultilevel"/>
    <w:tmpl w:val="8CD4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2934FD"/>
    <w:multiLevelType w:val="hybridMultilevel"/>
    <w:tmpl w:val="160C3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4C3959D2"/>
    <w:multiLevelType w:val="hybridMultilevel"/>
    <w:tmpl w:val="4A7E3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7" w15:restartNumberingAfterBreak="0">
    <w:nsid w:val="4E874AD7"/>
    <w:multiLevelType w:val="multilevel"/>
    <w:tmpl w:val="5BB6DB4E"/>
    <w:styleLink w:val="toc20"/>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8"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500A596E"/>
    <w:multiLevelType w:val="hybridMultilevel"/>
    <w:tmpl w:val="4A6C7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507558A5"/>
    <w:multiLevelType w:val="hybridMultilevel"/>
    <w:tmpl w:val="ED80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40F0919"/>
    <w:multiLevelType w:val="hybridMultilevel"/>
    <w:tmpl w:val="7108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12792B"/>
    <w:multiLevelType w:val="hybridMultilevel"/>
    <w:tmpl w:val="77A20AC8"/>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59F71661"/>
    <w:multiLevelType w:val="hybridMultilevel"/>
    <w:tmpl w:val="8DCAFD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95" w15:restartNumberingAfterBreak="0">
    <w:nsid w:val="5EDA0E3A"/>
    <w:multiLevelType w:val="multilevel"/>
    <w:tmpl w:val="FFF8900A"/>
    <w:lvl w:ilvl="0">
      <w:start w:val="8"/>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EDE3FAC"/>
    <w:multiLevelType w:val="hybridMultilevel"/>
    <w:tmpl w:val="A52AD1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7" w15:restartNumberingAfterBreak="0">
    <w:nsid w:val="5F267676"/>
    <w:multiLevelType w:val="hybridMultilevel"/>
    <w:tmpl w:val="B47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E34BFF"/>
    <w:multiLevelType w:val="hybridMultilevel"/>
    <w:tmpl w:val="6EC4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E56B44"/>
    <w:multiLevelType w:val="hybridMultilevel"/>
    <w:tmpl w:val="C63A29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627E52AC"/>
    <w:multiLevelType w:val="hybridMultilevel"/>
    <w:tmpl w:val="D05E3ED2"/>
    <w:lvl w:ilvl="0" w:tplc="04090001">
      <w:start w:val="1"/>
      <w:numFmt w:val="bullet"/>
      <w:lvlText w:val=""/>
      <w:lvlJc w:val="left"/>
      <w:pPr>
        <w:ind w:left="1080" w:hanging="360"/>
      </w:pPr>
      <w:rPr>
        <w:rFonts w:ascii="Symbol" w:hAnsi="Symbol" w:hint="default"/>
      </w:rPr>
    </w:lvl>
    <w:lvl w:ilvl="1" w:tplc="ECF8A20E">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2A06DCF"/>
    <w:multiLevelType w:val="hybridMultilevel"/>
    <w:tmpl w:val="006683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64C64A67"/>
    <w:multiLevelType w:val="multilevel"/>
    <w:tmpl w:val="3B360EB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3"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04"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67DE1006"/>
    <w:multiLevelType w:val="hybridMultilevel"/>
    <w:tmpl w:val="B638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C0276B"/>
    <w:multiLevelType w:val="hybridMultilevel"/>
    <w:tmpl w:val="FD8C7D3E"/>
    <w:lvl w:ilvl="0" w:tplc="FB50D9BA">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69F247E0"/>
    <w:multiLevelType w:val="hybridMultilevel"/>
    <w:tmpl w:val="34EED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B057A03"/>
    <w:multiLevelType w:val="hybridMultilevel"/>
    <w:tmpl w:val="1640FA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6D0B1FCA"/>
    <w:multiLevelType w:val="hybridMultilevel"/>
    <w:tmpl w:val="A544D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6DDD7420"/>
    <w:multiLevelType w:val="hybridMultilevel"/>
    <w:tmpl w:val="C6BCC2EC"/>
    <w:lvl w:ilvl="0" w:tplc="7D72067E">
      <w:start w:val="1"/>
      <w:numFmt w:val="decimal"/>
      <w:pStyle w:val="Odlomakpopisa"/>
      <w:lvlText w:val="%1."/>
      <w:lvlJc w:val="left"/>
      <w:pPr>
        <w:ind w:left="720" w:hanging="360"/>
      </w:pPr>
    </w:lvl>
    <w:lvl w:ilvl="1" w:tplc="6D7E0A00">
      <w:start w:val="1"/>
      <w:numFmt w:val="decimal"/>
      <w:pStyle w:val="Broj2"/>
      <w:lvlText w:val="%2."/>
      <w:lvlJc w:val="left"/>
      <w:pPr>
        <w:ind w:left="1440" w:hanging="360"/>
      </w:pPr>
    </w:lvl>
    <w:lvl w:ilvl="2" w:tplc="7B281908">
      <w:start w:val="1"/>
      <w:numFmt w:val="lowerRoman"/>
      <w:lvlText w:val="%3."/>
      <w:lvlJc w:val="right"/>
      <w:pPr>
        <w:ind w:left="2160" w:hanging="180"/>
      </w:pPr>
    </w:lvl>
    <w:lvl w:ilvl="3" w:tplc="62ACFD4E">
      <w:numFmt w:val="bullet"/>
      <w:lvlText w:val="•"/>
      <w:lvlJc w:val="left"/>
      <w:pPr>
        <w:ind w:left="3090" w:hanging="570"/>
      </w:pPr>
      <w:rPr>
        <w:rFonts w:ascii="Tahoma" w:eastAsia="Times New Roman" w:hAnsi="Tahoma" w:cs="Tahoma"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6E306AE6"/>
    <w:multiLevelType w:val="singleLevel"/>
    <w:tmpl w:val="8294DB18"/>
    <w:name w:val="List Dash"/>
    <w:lvl w:ilvl="0">
      <w:start w:val="1"/>
      <w:numFmt w:val="bullet"/>
      <w:lvlText w:val=""/>
      <w:legacy w:legacy="1" w:legacySpace="0" w:legacyIndent="283"/>
      <w:lvlJc w:val="left"/>
      <w:pPr>
        <w:ind w:left="1003" w:hanging="283"/>
      </w:pPr>
      <w:rPr>
        <w:rFonts w:ascii="Symbol" w:hAnsi="Symbol" w:hint="default"/>
      </w:rPr>
    </w:lvl>
  </w:abstractNum>
  <w:abstractNum w:abstractNumId="112" w15:restartNumberingAfterBreak="0">
    <w:nsid w:val="6F8F1790"/>
    <w:multiLevelType w:val="multilevel"/>
    <w:tmpl w:val="253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114" w15:restartNumberingAfterBreak="0">
    <w:nsid w:val="735307D2"/>
    <w:multiLevelType w:val="hybridMultilevel"/>
    <w:tmpl w:val="5BFC4D7A"/>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362526F"/>
    <w:multiLevelType w:val="hybridMultilevel"/>
    <w:tmpl w:val="62C4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D1747A"/>
    <w:multiLevelType w:val="hybridMultilevel"/>
    <w:tmpl w:val="54C0C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76487CCA"/>
    <w:multiLevelType w:val="hybridMultilevel"/>
    <w:tmpl w:val="268A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A67F62"/>
    <w:multiLevelType w:val="hybridMultilevel"/>
    <w:tmpl w:val="6844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C52492"/>
    <w:multiLevelType w:val="hybridMultilevel"/>
    <w:tmpl w:val="7FB0273E"/>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D08703A"/>
    <w:multiLevelType w:val="hybridMultilevel"/>
    <w:tmpl w:val="3D4AC220"/>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7DB605EB"/>
    <w:multiLevelType w:val="hybridMultilevel"/>
    <w:tmpl w:val="620C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F5004B2"/>
    <w:multiLevelType w:val="hybridMultilevel"/>
    <w:tmpl w:val="7E74851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7FAB1F04"/>
    <w:multiLevelType w:val="hybridMultilevel"/>
    <w:tmpl w:val="97122602"/>
    <w:name w:val="Tiret 0__2"/>
    <w:lvl w:ilvl="0" w:tplc="AB7ADC56">
      <w:start w:val="1"/>
      <w:numFmt w:val="bullet"/>
      <w:lvlText w:val=""/>
      <w:lvlJc w:val="left"/>
      <w:pPr>
        <w:tabs>
          <w:tab w:val="num" w:pos="284"/>
        </w:tabs>
        <w:ind w:left="284" w:hanging="284"/>
      </w:pPr>
      <w:rPr>
        <w:rFonts w:ascii="Symbol" w:hAnsi="Symbol" w:hint="default"/>
      </w:rPr>
    </w:lvl>
    <w:lvl w:ilvl="1" w:tplc="799483A8">
      <w:start w:val="1"/>
      <w:numFmt w:val="decimal"/>
      <w:lvlText w:val="%2."/>
      <w:lvlJc w:val="left"/>
      <w:pPr>
        <w:tabs>
          <w:tab w:val="num" w:pos="1440"/>
        </w:tabs>
        <w:ind w:left="1440" w:hanging="360"/>
      </w:pPr>
    </w:lvl>
    <w:lvl w:ilvl="2" w:tplc="40869E30">
      <w:start w:val="1"/>
      <w:numFmt w:val="decimal"/>
      <w:lvlText w:val="%3."/>
      <w:lvlJc w:val="left"/>
      <w:pPr>
        <w:tabs>
          <w:tab w:val="num" w:pos="2160"/>
        </w:tabs>
        <w:ind w:left="2160" w:hanging="360"/>
      </w:pPr>
    </w:lvl>
    <w:lvl w:ilvl="3" w:tplc="20A832C0">
      <w:start w:val="1"/>
      <w:numFmt w:val="bullet"/>
      <w:lvlText w:val=""/>
      <w:lvlJc w:val="left"/>
      <w:pPr>
        <w:tabs>
          <w:tab w:val="num" w:pos="2880"/>
        </w:tabs>
        <w:ind w:left="2880" w:hanging="360"/>
      </w:pPr>
      <w:rPr>
        <w:rFonts w:ascii="Symbol" w:hAnsi="Symbol" w:hint="default"/>
      </w:rPr>
    </w:lvl>
    <w:lvl w:ilvl="4" w:tplc="503C7AF8">
      <w:start w:val="1"/>
      <w:numFmt w:val="decimal"/>
      <w:lvlText w:val="%5."/>
      <w:lvlJc w:val="left"/>
      <w:pPr>
        <w:tabs>
          <w:tab w:val="num" w:pos="3600"/>
        </w:tabs>
        <w:ind w:left="3600" w:hanging="360"/>
      </w:pPr>
    </w:lvl>
    <w:lvl w:ilvl="5" w:tplc="234EB2B6">
      <w:start w:val="1"/>
      <w:numFmt w:val="decimal"/>
      <w:lvlText w:val="%6."/>
      <w:lvlJc w:val="left"/>
      <w:pPr>
        <w:tabs>
          <w:tab w:val="num" w:pos="4320"/>
        </w:tabs>
        <w:ind w:left="4320" w:hanging="360"/>
      </w:pPr>
    </w:lvl>
    <w:lvl w:ilvl="6" w:tplc="9D0C82B6">
      <w:start w:val="1"/>
      <w:numFmt w:val="decimal"/>
      <w:lvlText w:val="%7."/>
      <w:lvlJc w:val="left"/>
      <w:pPr>
        <w:tabs>
          <w:tab w:val="num" w:pos="5040"/>
        </w:tabs>
        <w:ind w:left="5040" w:hanging="360"/>
      </w:pPr>
    </w:lvl>
    <w:lvl w:ilvl="7" w:tplc="E9586102">
      <w:start w:val="1"/>
      <w:numFmt w:val="decimal"/>
      <w:lvlText w:val="%8."/>
      <w:lvlJc w:val="left"/>
      <w:pPr>
        <w:tabs>
          <w:tab w:val="num" w:pos="5760"/>
        </w:tabs>
        <w:ind w:left="5760" w:hanging="360"/>
      </w:pPr>
    </w:lvl>
    <w:lvl w:ilvl="8" w:tplc="F104D414">
      <w:start w:val="1"/>
      <w:numFmt w:val="decimal"/>
      <w:lvlText w:val="%9."/>
      <w:lvlJc w:val="left"/>
      <w:pPr>
        <w:tabs>
          <w:tab w:val="num" w:pos="6480"/>
        </w:tabs>
        <w:ind w:left="6480" w:hanging="360"/>
      </w:pPr>
    </w:lvl>
  </w:abstractNum>
  <w:abstractNum w:abstractNumId="124" w15:restartNumberingAfterBreak="0">
    <w:nsid w:val="7FED08F8"/>
    <w:multiLevelType w:val="hybridMultilevel"/>
    <w:tmpl w:val="6BF655D4"/>
    <w:lvl w:ilvl="0" w:tplc="041A0001">
      <w:start w:val="1"/>
      <w:numFmt w:val="bullet"/>
      <w:lvlText w:val=""/>
      <w:lvlJc w:val="left"/>
      <w:pPr>
        <w:ind w:left="720" w:hanging="360"/>
      </w:pPr>
      <w:rPr>
        <w:rFonts w:ascii="Symbol" w:hAnsi="Symbol" w:hint="default"/>
      </w:rPr>
    </w:lvl>
    <w:lvl w:ilvl="1" w:tplc="C3F64D48">
      <w:numFmt w:val="bullet"/>
      <w:lvlText w:val="•"/>
      <w:lvlJc w:val="left"/>
      <w:pPr>
        <w:ind w:left="1440" w:hanging="360"/>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6"/>
  </w:num>
  <w:num w:numId="2">
    <w:abstractNumId w:val="42"/>
  </w:num>
  <w:num w:numId="3">
    <w:abstractNumId w:val="68"/>
  </w:num>
  <w:num w:numId="4">
    <w:abstractNumId w:val="103"/>
  </w:num>
  <w:num w:numId="5">
    <w:abstractNumId w:val="43"/>
  </w:num>
  <w:num w:numId="6">
    <w:abstractNumId w:val="110"/>
  </w:num>
  <w:num w:numId="7">
    <w:abstractNumId w:val="104"/>
  </w:num>
  <w:num w:numId="8">
    <w:abstractNumId w:val="64"/>
  </w:num>
  <w:num w:numId="9">
    <w:abstractNumId w:val="23"/>
  </w:num>
  <w:num w:numId="10">
    <w:abstractNumId w:val="87"/>
  </w:num>
  <w:num w:numId="11">
    <w:abstractNumId w:val="45"/>
  </w:num>
  <w:num w:numId="12">
    <w:abstractNumId w:val="113"/>
  </w:num>
  <w:num w:numId="13">
    <w:abstractNumId w:val="86"/>
  </w:num>
  <w:num w:numId="14">
    <w:abstractNumId w:val="3"/>
  </w:num>
  <w:num w:numId="15">
    <w:abstractNumId w:val="94"/>
  </w:num>
  <w:num w:numId="16">
    <w:abstractNumId w:val="79"/>
  </w:num>
  <w:num w:numId="17">
    <w:abstractNumId w:val="53"/>
  </w:num>
  <w:num w:numId="18">
    <w:abstractNumId w:val="88"/>
  </w:num>
  <w:num w:numId="19">
    <w:abstractNumId w:val="78"/>
  </w:num>
  <w:num w:numId="20">
    <w:abstractNumId w:val="57"/>
  </w:num>
  <w:num w:numId="21">
    <w:abstractNumId w:val="71"/>
  </w:num>
  <w:num w:numId="22">
    <w:abstractNumId w:val="96"/>
  </w:num>
  <w:num w:numId="23">
    <w:abstractNumId w:val="93"/>
  </w:num>
  <w:num w:numId="24">
    <w:abstractNumId w:val="31"/>
  </w:num>
  <w:num w:numId="25">
    <w:abstractNumId w:val="16"/>
  </w:num>
  <w:num w:numId="26">
    <w:abstractNumId w:val="34"/>
  </w:num>
  <w:num w:numId="27">
    <w:abstractNumId w:val="67"/>
  </w:num>
  <w:num w:numId="28">
    <w:abstractNumId w:val="124"/>
  </w:num>
  <w:num w:numId="29">
    <w:abstractNumId w:val="60"/>
  </w:num>
  <w:num w:numId="30">
    <w:abstractNumId w:val="58"/>
  </w:num>
  <w:num w:numId="31">
    <w:abstractNumId w:val="89"/>
  </w:num>
  <w:num w:numId="32">
    <w:abstractNumId w:val="33"/>
  </w:num>
  <w:num w:numId="33">
    <w:abstractNumId w:val="65"/>
  </w:num>
  <w:num w:numId="34">
    <w:abstractNumId w:val="11"/>
  </w:num>
  <w:num w:numId="35">
    <w:abstractNumId w:val="8"/>
  </w:num>
  <w:num w:numId="36">
    <w:abstractNumId w:val="109"/>
  </w:num>
  <w:num w:numId="37">
    <w:abstractNumId w:val="55"/>
  </w:num>
  <w:num w:numId="38">
    <w:abstractNumId w:val="21"/>
  </w:num>
  <w:num w:numId="39">
    <w:abstractNumId w:val="36"/>
  </w:num>
  <w:num w:numId="40">
    <w:abstractNumId w:val="30"/>
  </w:num>
  <w:num w:numId="41">
    <w:abstractNumId w:val="7"/>
  </w:num>
  <w:num w:numId="42">
    <w:abstractNumId w:val="28"/>
  </w:num>
  <w:num w:numId="43">
    <w:abstractNumId w:val="100"/>
  </w:num>
  <w:num w:numId="44">
    <w:abstractNumId w:val="119"/>
  </w:num>
  <w:num w:numId="45">
    <w:abstractNumId w:val="35"/>
  </w:num>
  <w:num w:numId="46">
    <w:abstractNumId w:val="69"/>
  </w:num>
  <w:num w:numId="47">
    <w:abstractNumId w:val="74"/>
  </w:num>
  <w:num w:numId="48">
    <w:abstractNumId w:val="24"/>
  </w:num>
  <w:num w:numId="49">
    <w:abstractNumId w:val="54"/>
  </w:num>
  <w:num w:numId="50">
    <w:abstractNumId w:val="4"/>
  </w:num>
  <w:num w:numId="51">
    <w:abstractNumId w:val="116"/>
  </w:num>
  <w:num w:numId="52">
    <w:abstractNumId w:val="41"/>
  </w:num>
  <w:num w:numId="53">
    <w:abstractNumId w:val="75"/>
  </w:num>
  <w:num w:numId="54">
    <w:abstractNumId w:val="20"/>
  </w:num>
  <w:num w:numId="55">
    <w:abstractNumId w:val="71"/>
  </w:num>
  <w:num w:numId="56">
    <w:abstractNumId w:val="71"/>
  </w:num>
  <w:num w:numId="57">
    <w:abstractNumId w:val="71"/>
  </w:num>
  <w:num w:numId="58">
    <w:abstractNumId w:val="112"/>
  </w:num>
  <w:num w:numId="59">
    <w:abstractNumId w:val="0"/>
  </w:num>
  <w:num w:numId="60">
    <w:abstractNumId w:val="2"/>
  </w:num>
  <w:num w:numId="61">
    <w:abstractNumId w:val="102"/>
  </w:num>
  <w:num w:numId="62">
    <w:abstractNumId w:val="50"/>
  </w:num>
  <w:num w:numId="63">
    <w:abstractNumId w:val="26"/>
  </w:num>
  <w:num w:numId="64">
    <w:abstractNumId w:val="107"/>
  </w:num>
  <w:num w:numId="65">
    <w:abstractNumId w:val="62"/>
  </w:num>
  <w:num w:numId="66">
    <w:abstractNumId w:val="114"/>
  </w:num>
  <w:num w:numId="67">
    <w:abstractNumId w:val="72"/>
  </w:num>
  <w:num w:numId="68">
    <w:abstractNumId w:val="56"/>
  </w:num>
  <w:num w:numId="69">
    <w:abstractNumId w:val="108"/>
  </w:num>
  <w:num w:numId="70">
    <w:abstractNumId w:val="49"/>
  </w:num>
  <w:num w:numId="71">
    <w:abstractNumId w:val="1"/>
  </w:num>
  <w:num w:numId="72">
    <w:abstractNumId w:val="32"/>
  </w:num>
  <w:num w:numId="73">
    <w:abstractNumId w:val="95"/>
  </w:num>
  <w:num w:numId="74">
    <w:abstractNumId w:val="48"/>
  </w:num>
  <w:num w:numId="75">
    <w:abstractNumId w:val="61"/>
  </w:num>
  <w:num w:numId="76">
    <w:abstractNumId w:val="122"/>
  </w:num>
  <w:num w:numId="77">
    <w:abstractNumId w:val="120"/>
  </w:num>
  <w:num w:numId="78">
    <w:abstractNumId w:val="92"/>
  </w:num>
  <w:num w:numId="79">
    <w:abstractNumId w:val="22"/>
  </w:num>
  <w:num w:numId="80">
    <w:abstractNumId w:val="70"/>
  </w:num>
  <w:num w:numId="81">
    <w:abstractNumId w:val="66"/>
  </w:num>
  <w:num w:numId="82">
    <w:abstractNumId w:val="101"/>
  </w:num>
  <w:num w:numId="83">
    <w:abstractNumId w:val="99"/>
  </w:num>
  <w:num w:numId="84">
    <w:abstractNumId w:val="90"/>
  </w:num>
  <w:num w:numId="85">
    <w:abstractNumId w:val="91"/>
  </w:num>
  <w:num w:numId="86">
    <w:abstractNumId w:val="37"/>
  </w:num>
  <w:num w:numId="87">
    <w:abstractNumId w:val="83"/>
  </w:num>
  <w:num w:numId="88">
    <w:abstractNumId w:val="6"/>
  </w:num>
  <w:num w:numId="89">
    <w:abstractNumId w:val="117"/>
  </w:num>
  <w:num w:numId="90">
    <w:abstractNumId w:val="77"/>
  </w:num>
  <w:num w:numId="91">
    <w:abstractNumId w:val="105"/>
  </w:num>
  <w:num w:numId="92">
    <w:abstractNumId w:val="80"/>
  </w:num>
  <w:num w:numId="93">
    <w:abstractNumId w:val="44"/>
  </w:num>
  <w:num w:numId="94">
    <w:abstractNumId w:val="17"/>
  </w:num>
  <w:num w:numId="95">
    <w:abstractNumId w:val="47"/>
  </w:num>
  <w:num w:numId="96">
    <w:abstractNumId w:val="9"/>
  </w:num>
  <w:num w:numId="97">
    <w:abstractNumId w:val="40"/>
  </w:num>
  <w:num w:numId="98">
    <w:abstractNumId w:val="121"/>
  </w:num>
  <w:num w:numId="99">
    <w:abstractNumId w:val="97"/>
  </w:num>
  <w:num w:numId="100">
    <w:abstractNumId w:val="5"/>
  </w:num>
  <w:num w:numId="101">
    <w:abstractNumId w:val="59"/>
  </w:num>
  <w:num w:numId="102">
    <w:abstractNumId w:val="82"/>
  </w:num>
  <w:num w:numId="103">
    <w:abstractNumId w:val="115"/>
  </w:num>
  <w:num w:numId="104">
    <w:abstractNumId w:val="29"/>
  </w:num>
  <w:num w:numId="105">
    <w:abstractNumId w:val="98"/>
  </w:num>
  <w:num w:numId="106">
    <w:abstractNumId w:val="38"/>
  </w:num>
  <w:num w:numId="107">
    <w:abstractNumId w:val="81"/>
  </w:num>
  <w:num w:numId="108">
    <w:abstractNumId w:val="27"/>
  </w:num>
  <w:num w:numId="109">
    <w:abstractNumId w:val="10"/>
  </w:num>
  <w:num w:numId="110">
    <w:abstractNumId w:val="118"/>
  </w:num>
  <w:num w:numId="111">
    <w:abstractNumId w:val="39"/>
  </w:num>
  <w:num w:numId="112">
    <w:abstractNumId w:val="85"/>
  </w:num>
  <w:num w:numId="113">
    <w:abstractNumId w:val="18"/>
  </w:num>
  <w:num w:numId="114">
    <w:abstractNumId w:val="51"/>
  </w:num>
  <w:num w:numId="115">
    <w:abstractNumId w:val="73"/>
  </w:num>
  <w:num w:numId="116">
    <w:abstractNumId w:val="84"/>
  </w:num>
  <w:num w:numId="117">
    <w:abstractNumId w:val="52"/>
  </w:num>
  <w:num w:numId="118">
    <w:abstractNumId w:val="76"/>
  </w:num>
  <w:num w:numId="119">
    <w:abstractNumId w:val="25"/>
  </w:num>
  <w:num w:numId="120">
    <w:abstractNumId w:val="19"/>
  </w:num>
  <w:num w:numId="121">
    <w:abstractNumId w:val="106"/>
  </w:num>
  <w:num w:numId="122">
    <w:abstractNumId w:val="14"/>
  </w:num>
  <w:num w:numId="123">
    <w:abstractNumId w:val="12"/>
  </w:num>
  <w:num w:numId="124">
    <w:abstractNumId w:val="15"/>
  </w:num>
  <w:num w:numId="125">
    <w:abstractNumId w:val="13"/>
  </w:num>
  <w:num w:numId="126">
    <w:abstractNumId w:val="6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567"/>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2JTQ2NLM3NLMwtTEyUdpeDU4uLM/DyQAiPjWgBXsbI3LQAAAA=="/>
  </w:docVars>
  <w:rsids>
    <w:rsidRoot w:val="00916D2B"/>
    <w:rsid w:val="00000218"/>
    <w:rsid w:val="000002BA"/>
    <w:rsid w:val="000004A8"/>
    <w:rsid w:val="00000553"/>
    <w:rsid w:val="0000060B"/>
    <w:rsid w:val="000008E4"/>
    <w:rsid w:val="000009E9"/>
    <w:rsid w:val="00000B5F"/>
    <w:rsid w:val="00000D94"/>
    <w:rsid w:val="00000F48"/>
    <w:rsid w:val="00001242"/>
    <w:rsid w:val="0000129F"/>
    <w:rsid w:val="00001345"/>
    <w:rsid w:val="000014E5"/>
    <w:rsid w:val="00001F91"/>
    <w:rsid w:val="000024F8"/>
    <w:rsid w:val="00002AFE"/>
    <w:rsid w:val="00002D54"/>
    <w:rsid w:val="00002E25"/>
    <w:rsid w:val="00002F87"/>
    <w:rsid w:val="000030D7"/>
    <w:rsid w:val="0000368E"/>
    <w:rsid w:val="000039CD"/>
    <w:rsid w:val="00003D4A"/>
    <w:rsid w:val="000044AD"/>
    <w:rsid w:val="000044F6"/>
    <w:rsid w:val="000045E1"/>
    <w:rsid w:val="00004666"/>
    <w:rsid w:val="000046A4"/>
    <w:rsid w:val="00004829"/>
    <w:rsid w:val="000049A0"/>
    <w:rsid w:val="000051C3"/>
    <w:rsid w:val="0000580C"/>
    <w:rsid w:val="0000581D"/>
    <w:rsid w:val="00005A89"/>
    <w:rsid w:val="00005AE7"/>
    <w:rsid w:val="00005C40"/>
    <w:rsid w:val="00005E88"/>
    <w:rsid w:val="00005E93"/>
    <w:rsid w:val="00005FF2"/>
    <w:rsid w:val="00006208"/>
    <w:rsid w:val="00006457"/>
    <w:rsid w:val="0000646C"/>
    <w:rsid w:val="000066F0"/>
    <w:rsid w:val="00006C38"/>
    <w:rsid w:val="00006CC9"/>
    <w:rsid w:val="00006CF8"/>
    <w:rsid w:val="00006F91"/>
    <w:rsid w:val="0000782B"/>
    <w:rsid w:val="00007A79"/>
    <w:rsid w:val="00007B23"/>
    <w:rsid w:val="00007CC9"/>
    <w:rsid w:val="00007E14"/>
    <w:rsid w:val="00007F32"/>
    <w:rsid w:val="000101FE"/>
    <w:rsid w:val="0001020A"/>
    <w:rsid w:val="00010279"/>
    <w:rsid w:val="00010E26"/>
    <w:rsid w:val="00010EBC"/>
    <w:rsid w:val="0001101E"/>
    <w:rsid w:val="00011174"/>
    <w:rsid w:val="00011FAB"/>
    <w:rsid w:val="00012300"/>
    <w:rsid w:val="00012458"/>
    <w:rsid w:val="00012468"/>
    <w:rsid w:val="00012536"/>
    <w:rsid w:val="000125AF"/>
    <w:rsid w:val="000125C6"/>
    <w:rsid w:val="000128B4"/>
    <w:rsid w:val="000131D9"/>
    <w:rsid w:val="00013265"/>
    <w:rsid w:val="00013368"/>
    <w:rsid w:val="0001404E"/>
    <w:rsid w:val="00014198"/>
    <w:rsid w:val="00014613"/>
    <w:rsid w:val="00014DEC"/>
    <w:rsid w:val="00014E3D"/>
    <w:rsid w:val="00015649"/>
    <w:rsid w:val="000156CA"/>
    <w:rsid w:val="00015833"/>
    <w:rsid w:val="000158B4"/>
    <w:rsid w:val="00015A24"/>
    <w:rsid w:val="00015C16"/>
    <w:rsid w:val="00015C90"/>
    <w:rsid w:val="00015C97"/>
    <w:rsid w:val="00015D06"/>
    <w:rsid w:val="00015F39"/>
    <w:rsid w:val="000160EC"/>
    <w:rsid w:val="000162D5"/>
    <w:rsid w:val="000168ED"/>
    <w:rsid w:val="00016BE4"/>
    <w:rsid w:val="00016D18"/>
    <w:rsid w:val="000170C9"/>
    <w:rsid w:val="00017130"/>
    <w:rsid w:val="00017D94"/>
    <w:rsid w:val="00017DDA"/>
    <w:rsid w:val="000202E9"/>
    <w:rsid w:val="0002033D"/>
    <w:rsid w:val="0002045C"/>
    <w:rsid w:val="00020482"/>
    <w:rsid w:val="000206B9"/>
    <w:rsid w:val="00020883"/>
    <w:rsid w:val="00020AEF"/>
    <w:rsid w:val="00021077"/>
    <w:rsid w:val="000210B5"/>
    <w:rsid w:val="0002151B"/>
    <w:rsid w:val="00021756"/>
    <w:rsid w:val="00021957"/>
    <w:rsid w:val="00021A3B"/>
    <w:rsid w:val="00021B71"/>
    <w:rsid w:val="00021D4F"/>
    <w:rsid w:val="00022140"/>
    <w:rsid w:val="00022B1F"/>
    <w:rsid w:val="00022DA6"/>
    <w:rsid w:val="00022FE5"/>
    <w:rsid w:val="00023415"/>
    <w:rsid w:val="00023EDB"/>
    <w:rsid w:val="00023FD9"/>
    <w:rsid w:val="00024004"/>
    <w:rsid w:val="0002450E"/>
    <w:rsid w:val="00024A1D"/>
    <w:rsid w:val="0002526F"/>
    <w:rsid w:val="00025373"/>
    <w:rsid w:val="00025C38"/>
    <w:rsid w:val="00025E47"/>
    <w:rsid w:val="00025ED6"/>
    <w:rsid w:val="00026E42"/>
    <w:rsid w:val="00026FDA"/>
    <w:rsid w:val="0002724F"/>
    <w:rsid w:val="0002744E"/>
    <w:rsid w:val="000275E0"/>
    <w:rsid w:val="000276DB"/>
    <w:rsid w:val="00027BF9"/>
    <w:rsid w:val="00027EB4"/>
    <w:rsid w:val="000302DE"/>
    <w:rsid w:val="00030BCD"/>
    <w:rsid w:val="00030D3A"/>
    <w:rsid w:val="00030DD7"/>
    <w:rsid w:val="000310E3"/>
    <w:rsid w:val="00031358"/>
    <w:rsid w:val="000316D6"/>
    <w:rsid w:val="00031A52"/>
    <w:rsid w:val="00031AEA"/>
    <w:rsid w:val="00031C9E"/>
    <w:rsid w:val="00031CEF"/>
    <w:rsid w:val="00032141"/>
    <w:rsid w:val="00032538"/>
    <w:rsid w:val="00032579"/>
    <w:rsid w:val="0003267C"/>
    <w:rsid w:val="000328EA"/>
    <w:rsid w:val="000329F9"/>
    <w:rsid w:val="00032A0D"/>
    <w:rsid w:val="00033080"/>
    <w:rsid w:val="0003327C"/>
    <w:rsid w:val="00033307"/>
    <w:rsid w:val="000334D0"/>
    <w:rsid w:val="00033584"/>
    <w:rsid w:val="000336CE"/>
    <w:rsid w:val="00033914"/>
    <w:rsid w:val="00034544"/>
    <w:rsid w:val="0003472B"/>
    <w:rsid w:val="00034775"/>
    <w:rsid w:val="00034EA6"/>
    <w:rsid w:val="00035171"/>
    <w:rsid w:val="0003539B"/>
    <w:rsid w:val="00035448"/>
    <w:rsid w:val="00035777"/>
    <w:rsid w:val="00035FC7"/>
    <w:rsid w:val="00036013"/>
    <w:rsid w:val="0003637F"/>
    <w:rsid w:val="00036671"/>
    <w:rsid w:val="0003689D"/>
    <w:rsid w:val="000368E0"/>
    <w:rsid w:val="00036910"/>
    <w:rsid w:val="00036C21"/>
    <w:rsid w:val="00037018"/>
    <w:rsid w:val="00037209"/>
    <w:rsid w:val="00037374"/>
    <w:rsid w:val="00037458"/>
    <w:rsid w:val="000377A0"/>
    <w:rsid w:val="000377EE"/>
    <w:rsid w:val="00037A89"/>
    <w:rsid w:val="0004050E"/>
    <w:rsid w:val="00040D18"/>
    <w:rsid w:val="0004109E"/>
    <w:rsid w:val="00041402"/>
    <w:rsid w:val="0004189D"/>
    <w:rsid w:val="00041A74"/>
    <w:rsid w:val="00041B85"/>
    <w:rsid w:val="00041E2F"/>
    <w:rsid w:val="00041FDD"/>
    <w:rsid w:val="0004200D"/>
    <w:rsid w:val="00042C2C"/>
    <w:rsid w:val="00042FC5"/>
    <w:rsid w:val="00043219"/>
    <w:rsid w:val="000439A4"/>
    <w:rsid w:val="0004414B"/>
    <w:rsid w:val="000442E0"/>
    <w:rsid w:val="000447C0"/>
    <w:rsid w:val="00044AC8"/>
    <w:rsid w:val="00044BCF"/>
    <w:rsid w:val="00044BD6"/>
    <w:rsid w:val="00044EE5"/>
    <w:rsid w:val="000452C8"/>
    <w:rsid w:val="000452CE"/>
    <w:rsid w:val="00045483"/>
    <w:rsid w:val="00045757"/>
    <w:rsid w:val="00045E08"/>
    <w:rsid w:val="0004614C"/>
    <w:rsid w:val="000469C3"/>
    <w:rsid w:val="00046BF6"/>
    <w:rsid w:val="000471DB"/>
    <w:rsid w:val="0004723B"/>
    <w:rsid w:val="00047351"/>
    <w:rsid w:val="0004739C"/>
    <w:rsid w:val="00047650"/>
    <w:rsid w:val="000478A6"/>
    <w:rsid w:val="00047CF5"/>
    <w:rsid w:val="00047E7F"/>
    <w:rsid w:val="0005019A"/>
    <w:rsid w:val="0005094B"/>
    <w:rsid w:val="00050969"/>
    <w:rsid w:val="00050999"/>
    <w:rsid w:val="00050C17"/>
    <w:rsid w:val="00050EEB"/>
    <w:rsid w:val="000517F2"/>
    <w:rsid w:val="000518A6"/>
    <w:rsid w:val="00051A24"/>
    <w:rsid w:val="00051C81"/>
    <w:rsid w:val="00051E1E"/>
    <w:rsid w:val="00052122"/>
    <w:rsid w:val="00052183"/>
    <w:rsid w:val="000523FD"/>
    <w:rsid w:val="00052AFE"/>
    <w:rsid w:val="00052BC1"/>
    <w:rsid w:val="00053371"/>
    <w:rsid w:val="00053397"/>
    <w:rsid w:val="000533A0"/>
    <w:rsid w:val="00053470"/>
    <w:rsid w:val="00053558"/>
    <w:rsid w:val="00053912"/>
    <w:rsid w:val="00053B98"/>
    <w:rsid w:val="00053D8B"/>
    <w:rsid w:val="00053FEC"/>
    <w:rsid w:val="0005403D"/>
    <w:rsid w:val="00054170"/>
    <w:rsid w:val="000541F8"/>
    <w:rsid w:val="00054702"/>
    <w:rsid w:val="0005487B"/>
    <w:rsid w:val="000548DC"/>
    <w:rsid w:val="00054C28"/>
    <w:rsid w:val="00054E84"/>
    <w:rsid w:val="000550F6"/>
    <w:rsid w:val="00055581"/>
    <w:rsid w:val="0005568A"/>
    <w:rsid w:val="00055CC7"/>
    <w:rsid w:val="00055D67"/>
    <w:rsid w:val="00055E18"/>
    <w:rsid w:val="00055E67"/>
    <w:rsid w:val="00055E6E"/>
    <w:rsid w:val="00056011"/>
    <w:rsid w:val="000566E7"/>
    <w:rsid w:val="00056903"/>
    <w:rsid w:val="00056965"/>
    <w:rsid w:val="00056C95"/>
    <w:rsid w:val="00056CB0"/>
    <w:rsid w:val="0005710F"/>
    <w:rsid w:val="0005724D"/>
    <w:rsid w:val="000574A9"/>
    <w:rsid w:val="000576CC"/>
    <w:rsid w:val="000576E0"/>
    <w:rsid w:val="000577C6"/>
    <w:rsid w:val="00057E81"/>
    <w:rsid w:val="0006053C"/>
    <w:rsid w:val="00060BBF"/>
    <w:rsid w:val="00060C89"/>
    <w:rsid w:val="00060E70"/>
    <w:rsid w:val="000614E9"/>
    <w:rsid w:val="00061602"/>
    <w:rsid w:val="00061655"/>
    <w:rsid w:val="00061A29"/>
    <w:rsid w:val="00061D1F"/>
    <w:rsid w:val="00061DE4"/>
    <w:rsid w:val="00061E6A"/>
    <w:rsid w:val="00062260"/>
    <w:rsid w:val="00062B2A"/>
    <w:rsid w:val="00062F41"/>
    <w:rsid w:val="00063156"/>
    <w:rsid w:val="0006364F"/>
    <w:rsid w:val="000638C6"/>
    <w:rsid w:val="00063C0F"/>
    <w:rsid w:val="00064181"/>
    <w:rsid w:val="00064619"/>
    <w:rsid w:val="00064826"/>
    <w:rsid w:val="00064A3B"/>
    <w:rsid w:val="00064A7C"/>
    <w:rsid w:val="00064AF6"/>
    <w:rsid w:val="00064E30"/>
    <w:rsid w:val="00064F09"/>
    <w:rsid w:val="00064F9F"/>
    <w:rsid w:val="0006516D"/>
    <w:rsid w:val="000652EB"/>
    <w:rsid w:val="00065309"/>
    <w:rsid w:val="00065C71"/>
    <w:rsid w:val="00065D14"/>
    <w:rsid w:val="00065DA1"/>
    <w:rsid w:val="00065FD6"/>
    <w:rsid w:val="00066315"/>
    <w:rsid w:val="00066560"/>
    <w:rsid w:val="000666F6"/>
    <w:rsid w:val="00066722"/>
    <w:rsid w:val="00066CA3"/>
    <w:rsid w:val="00067059"/>
    <w:rsid w:val="00067857"/>
    <w:rsid w:val="00067BB2"/>
    <w:rsid w:val="00067D4C"/>
    <w:rsid w:val="00067E66"/>
    <w:rsid w:val="00067E6B"/>
    <w:rsid w:val="00070297"/>
    <w:rsid w:val="000702A8"/>
    <w:rsid w:val="000702B2"/>
    <w:rsid w:val="000702D4"/>
    <w:rsid w:val="000702E9"/>
    <w:rsid w:val="00070AB8"/>
    <w:rsid w:val="00070B77"/>
    <w:rsid w:val="00070C50"/>
    <w:rsid w:val="00070FDF"/>
    <w:rsid w:val="00071797"/>
    <w:rsid w:val="00071864"/>
    <w:rsid w:val="00071973"/>
    <w:rsid w:val="00071B20"/>
    <w:rsid w:val="00071C9F"/>
    <w:rsid w:val="00072139"/>
    <w:rsid w:val="00072219"/>
    <w:rsid w:val="000724E2"/>
    <w:rsid w:val="00072A30"/>
    <w:rsid w:val="0007338F"/>
    <w:rsid w:val="00073510"/>
    <w:rsid w:val="000738D9"/>
    <w:rsid w:val="00073E8D"/>
    <w:rsid w:val="00074153"/>
    <w:rsid w:val="00074750"/>
    <w:rsid w:val="000747A3"/>
    <w:rsid w:val="000748ED"/>
    <w:rsid w:val="00074E08"/>
    <w:rsid w:val="00074E50"/>
    <w:rsid w:val="00074EF5"/>
    <w:rsid w:val="0007505B"/>
    <w:rsid w:val="00075115"/>
    <w:rsid w:val="0007572F"/>
    <w:rsid w:val="00075D80"/>
    <w:rsid w:val="00075DD8"/>
    <w:rsid w:val="00075FBB"/>
    <w:rsid w:val="00076918"/>
    <w:rsid w:val="00076947"/>
    <w:rsid w:val="00076D7B"/>
    <w:rsid w:val="00076DA7"/>
    <w:rsid w:val="0007722B"/>
    <w:rsid w:val="00077255"/>
    <w:rsid w:val="000772A0"/>
    <w:rsid w:val="00077486"/>
    <w:rsid w:val="0007794F"/>
    <w:rsid w:val="00077A5E"/>
    <w:rsid w:val="00077E15"/>
    <w:rsid w:val="000801AE"/>
    <w:rsid w:val="00080290"/>
    <w:rsid w:val="000805C7"/>
    <w:rsid w:val="0008072E"/>
    <w:rsid w:val="0008086D"/>
    <w:rsid w:val="00080B80"/>
    <w:rsid w:val="00080DBD"/>
    <w:rsid w:val="00080E85"/>
    <w:rsid w:val="00080F41"/>
    <w:rsid w:val="00080FBC"/>
    <w:rsid w:val="000812EA"/>
    <w:rsid w:val="00081626"/>
    <w:rsid w:val="00081996"/>
    <w:rsid w:val="0008232E"/>
    <w:rsid w:val="00082440"/>
    <w:rsid w:val="00082458"/>
    <w:rsid w:val="00082535"/>
    <w:rsid w:val="000831B7"/>
    <w:rsid w:val="000835A8"/>
    <w:rsid w:val="000837C1"/>
    <w:rsid w:val="00083A03"/>
    <w:rsid w:val="00083C31"/>
    <w:rsid w:val="00083D37"/>
    <w:rsid w:val="00083FB1"/>
    <w:rsid w:val="00084097"/>
    <w:rsid w:val="0008422B"/>
    <w:rsid w:val="000843D8"/>
    <w:rsid w:val="00084527"/>
    <w:rsid w:val="0008467C"/>
    <w:rsid w:val="00084832"/>
    <w:rsid w:val="00084C1D"/>
    <w:rsid w:val="00084CE0"/>
    <w:rsid w:val="00084F58"/>
    <w:rsid w:val="0008520D"/>
    <w:rsid w:val="00085251"/>
    <w:rsid w:val="0008548A"/>
    <w:rsid w:val="00085873"/>
    <w:rsid w:val="000859B1"/>
    <w:rsid w:val="00085AAF"/>
    <w:rsid w:val="00085CD4"/>
    <w:rsid w:val="00085FE4"/>
    <w:rsid w:val="00086076"/>
    <w:rsid w:val="0008615A"/>
    <w:rsid w:val="00086BFB"/>
    <w:rsid w:val="00086E4F"/>
    <w:rsid w:val="000878B2"/>
    <w:rsid w:val="00087CA4"/>
    <w:rsid w:val="00087D37"/>
    <w:rsid w:val="0009003E"/>
    <w:rsid w:val="0009022D"/>
    <w:rsid w:val="00090E58"/>
    <w:rsid w:val="000919B7"/>
    <w:rsid w:val="00091DA0"/>
    <w:rsid w:val="0009208E"/>
    <w:rsid w:val="00092280"/>
    <w:rsid w:val="000926BC"/>
    <w:rsid w:val="00092C84"/>
    <w:rsid w:val="000934AE"/>
    <w:rsid w:val="00093698"/>
    <w:rsid w:val="000938D4"/>
    <w:rsid w:val="00093F00"/>
    <w:rsid w:val="00094507"/>
    <w:rsid w:val="0009457D"/>
    <w:rsid w:val="000948F2"/>
    <w:rsid w:val="00094AF8"/>
    <w:rsid w:val="00094B12"/>
    <w:rsid w:val="00094CC8"/>
    <w:rsid w:val="00094EA3"/>
    <w:rsid w:val="00094F07"/>
    <w:rsid w:val="00094F52"/>
    <w:rsid w:val="0009602D"/>
    <w:rsid w:val="00096852"/>
    <w:rsid w:val="00096C16"/>
    <w:rsid w:val="00096E3E"/>
    <w:rsid w:val="0009701B"/>
    <w:rsid w:val="000973A2"/>
    <w:rsid w:val="000974BB"/>
    <w:rsid w:val="00097570"/>
    <w:rsid w:val="00097B61"/>
    <w:rsid w:val="00097D6A"/>
    <w:rsid w:val="00097D6D"/>
    <w:rsid w:val="000A00E3"/>
    <w:rsid w:val="000A0FBB"/>
    <w:rsid w:val="000A1068"/>
    <w:rsid w:val="000A1122"/>
    <w:rsid w:val="000A1609"/>
    <w:rsid w:val="000A1726"/>
    <w:rsid w:val="000A1A31"/>
    <w:rsid w:val="000A1A50"/>
    <w:rsid w:val="000A1C7B"/>
    <w:rsid w:val="000A1F2F"/>
    <w:rsid w:val="000A28B1"/>
    <w:rsid w:val="000A2980"/>
    <w:rsid w:val="000A2A5B"/>
    <w:rsid w:val="000A2C31"/>
    <w:rsid w:val="000A2F06"/>
    <w:rsid w:val="000A3053"/>
    <w:rsid w:val="000A3147"/>
    <w:rsid w:val="000A315D"/>
    <w:rsid w:val="000A32CA"/>
    <w:rsid w:val="000A3358"/>
    <w:rsid w:val="000A3553"/>
    <w:rsid w:val="000A377E"/>
    <w:rsid w:val="000A3819"/>
    <w:rsid w:val="000A388E"/>
    <w:rsid w:val="000A3B6B"/>
    <w:rsid w:val="000A3BE1"/>
    <w:rsid w:val="000A3E1E"/>
    <w:rsid w:val="000A43A5"/>
    <w:rsid w:val="000A43E0"/>
    <w:rsid w:val="000A4470"/>
    <w:rsid w:val="000A4512"/>
    <w:rsid w:val="000A53A0"/>
    <w:rsid w:val="000A5673"/>
    <w:rsid w:val="000A56DD"/>
    <w:rsid w:val="000A5981"/>
    <w:rsid w:val="000A5D1C"/>
    <w:rsid w:val="000A61A2"/>
    <w:rsid w:val="000A64D4"/>
    <w:rsid w:val="000A64D9"/>
    <w:rsid w:val="000A69B6"/>
    <w:rsid w:val="000A6D99"/>
    <w:rsid w:val="000A6DE7"/>
    <w:rsid w:val="000A6F77"/>
    <w:rsid w:val="000A7370"/>
    <w:rsid w:val="000A76BA"/>
    <w:rsid w:val="000A7BA6"/>
    <w:rsid w:val="000A7FFC"/>
    <w:rsid w:val="000B009F"/>
    <w:rsid w:val="000B0494"/>
    <w:rsid w:val="000B054C"/>
    <w:rsid w:val="000B0663"/>
    <w:rsid w:val="000B0711"/>
    <w:rsid w:val="000B087C"/>
    <w:rsid w:val="000B0974"/>
    <w:rsid w:val="000B0AE7"/>
    <w:rsid w:val="000B0CCE"/>
    <w:rsid w:val="000B10C8"/>
    <w:rsid w:val="000B181F"/>
    <w:rsid w:val="000B1900"/>
    <w:rsid w:val="000B191C"/>
    <w:rsid w:val="000B1A94"/>
    <w:rsid w:val="000B1CBF"/>
    <w:rsid w:val="000B1DC2"/>
    <w:rsid w:val="000B20F2"/>
    <w:rsid w:val="000B20FD"/>
    <w:rsid w:val="000B2630"/>
    <w:rsid w:val="000B2AA1"/>
    <w:rsid w:val="000B31A0"/>
    <w:rsid w:val="000B334D"/>
    <w:rsid w:val="000B353E"/>
    <w:rsid w:val="000B3688"/>
    <w:rsid w:val="000B38AC"/>
    <w:rsid w:val="000B3921"/>
    <w:rsid w:val="000B3C15"/>
    <w:rsid w:val="000B3CA7"/>
    <w:rsid w:val="000B3E16"/>
    <w:rsid w:val="000B3FE8"/>
    <w:rsid w:val="000B4557"/>
    <w:rsid w:val="000B475F"/>
    <w:rsid w:val="000B4D09"/>
    <w:rsid w:val="000B4D91"/>
    <w:rsid w:val="000B52D4"/>
    <w:rsid w:val="000B53AF"/>
    <w:rsid w:val="000B5C1F"/>
    <w:rsid w:val="000B619B"/>
    <w:rsid w:val="000B6359"/>
    <w:rsid w:val="000B65F7"/>
    <w:rsid w:val="000B6972"/>
    <w:rsid w:val="000B6977"/>
    <w:rsid w:val="000B6994"/>
    <w:rsid w:val="000B6A00"/>
    <w:rsid w:val="000B6AB5"/>
    <w:rsid w:val="000B6ACE"/>
    <w:rsid w:val="000B6FAD"/>
    <w:rsid w:val="000B71FF"/>
    <w:rsid w:val="000B72D9"/>
    <w:rsid w:val="000B73A2"/>
    <w:rsid w:val="000B7541"/>
    <w:rsid w:val="000B756C"/>
    <w:rsid w:val="000B7637"/>
    <w:rsid w:val="000B7655"/>
    <w:rsid w:val="000B76DA"/>
    <w:rsid w:val="000B7982"/>
    <w:rsid w:val="000B7AA3"/>
    <w:rsid w:val="000B7B3C"/>
    <w:rsid w:val="000C01A2"/>
    <w:rsid w:val="000C01EF"/>
    <w:rsid w:val="000C04AF"/>
    <w:rsid w:val="000C07C7"/>
    <w:rsid w:val="000C0A5B"/>
    <w:rsid w:val="000C0BEF"/>
    <w:rsid w:val="000C0C17"/>
    <w:rsid w:val="000C0F10"/>
    <w:rsid w:val="000C13C3"/>
    <w:rsid w:val="000C14A6"/>
    <w:rsid w:val="000C15EC"/>
    <w:rsid w:val="000C15FD"/>
    <w:rsid w:val="000C25A8"/>
    <w:rsid w:val="000C25D0"/>
    <w:rsid w:val="000C2672"/>
    <w:rsid w:val="000C278B"/>
    <w:rsid w:val="000C2A29"/>
    <w:rsid w:val="000C2FA1"/>
    <w:rsid w:val="000C33CC"/>
    <w:rsid w:val="000C38F2"/>
    <w:rsid w:val="000C3950"/>
    <w:rsid w:val="000C3B24"/>
    <w:rsid w:val="000C3CB9"/>
    <w:rsid w:val="000C3CD0"/>
    <w:rsid w:val="000C3E6D"/>
    <w:rsid w:val="000C4368"/>
    <w:rsid w:val="000C459F"/>
    <w:rsid w:val="000C488B"/>
    <w:rsid w:val="000C4C05"/>
    <w:rsid w:val="000C56B2"/>
    <w:rsid w:val="000C5982"/>
    <w:rsid w:val="000C5D84"/>
    <w:rsid w:val="000C5DD7"/>
    <w:rsid w:val="000C63B3"/>
    <w:rsid w:val="000C66A0"/>
    <w:rsid w:val="000C677F"/>
    <w:rsid w:val="000C6AA0"/>
    <w:rsid w:val="000C6BFD"/>
    <w:rsid w:val="000C6E21"/>
    <w:rsid w:val="000C767C"/>
    <w:rsid w:val="000C7ABB"/>
    <w:rsid w:val="000C7BAE"/>
    <w:rsid w:val="000C7D6A"/>
    <w:rsid w:val="000C7FFA"/>
    <w:rsid w:val="000D009C"/>
    <w:rsid w:val="000D0299"/>
    <w:rsid w:val="000D0983"/>
    <w:rsid w:val="000D0B3A"/>
    <w:rsid w:val="000D12E6"/>
    <w:rsid w:val="000D185C"/>
    <w:rsid w:val="000D1B0B"/>
    <w:rsid w:val="000D1BE6"/>
    <w:rsid w:val="000D1E94"/>
    <w:rsid w:val="000D1F68"/>
    <w:rsid w:val="000D2073"/>
    <w:rsid w:val="000D2350"/>
    <w:rsid w:val="000D250D"/>
    <w:rsid w:val="000D263B"/>
    <w:rsid w:val="000D2740"/>
    <w:rsid w:val="000D2BC9"/>
    <w:rsid w:val="000D2CA8"/>
    <w:rsid w:val="000D2E01"/>
    <w:rsid w:val="000D334C"/>
    <w:rsid w:val="000D3622"/>
    <w:rsid w:val="000D37FA"/>
    <w:rsid w:val="000D3E04"/>
    <w:rsid w:val="000D3E1D"/>
    <w:rsid w:val="000D3F06"/>
    <w:rsid w:val="000D40D1"/>
    <w:rsid w:val="000D4101"/>
    <w:rsid w:val="000D42F9"/>
    <w:rsid w:val="000D430C"/>
    <w:rsid w:val="000D46AB"/>
    <w:rsid w:val="000D4933"/>
    <w:rsid w:val="000D4AA9"/>
    <w:rsid w:val="000D4F40"/>
    <w:rsid w:val="000D5162"/>
    <w:rsid w:val="000D51F7"/>
    <w:rsid w:val="000D53FD"/>
    <w:rsid w:val="000D5BE4"/>
    <w:rsid w:val="000D5D83"/>
    <w:rsid w:val="000D61DF"/>
    <w:rsid w:val="000D6299"/>
    <w:rsid w:val="000D64F6"/>
    <w:rsid w:val="000D6559"/>
    <w:rsid w:val="000D655A"/>
    <w:rsid w:val="000D67D0"/>
    <w:rsid w:val="000D6C23"/>
    <w:rsid w:val="000D7036"/>
    <w:rsid w:val="000D70E5"/>
    <w:rsid w:val="000D70ED"/>
    <w:rsid w:val="000D70F1"/>
    <w:rsid w:val="000D7465"/>
    <w:rsid w:val="000D78CF"/>
    <w:rsid w:val="000D7C0F"/>
    <w:rsid w:val="000D7C92"/>
    <w:rsid w:val="000E01AD"/>
    <w:rsid w:val="000E035F"/>
    <w:rsid w:val="000E0604"/>
    <w:rsid w:val="000E065E"/>
    <w:rsid w:val="000E06F8"/>
    <w:rsid w:val="000E073A"/>
    <w:rsid w:val="000E0FDF"/>
    <w:rsid w:val="000E1771"/>
    <w:rsid w:val="000E1A77"/>
    <w:rsid w:val="000E1C6F"/>
    <w:rsid w:val="000E1DED"/>
    <w:rsid w:val="000E23A5"/>
    <w:rsid w:val="000E2419"/>
    <w:rsid w:val="000E245C"/>
    <w:rsid w:val="000E2989"/>
    <w:rsid w:val="000E2A70"/>
    <w:rsid w:val="000E2AD4"/>
    <w:rsid w:val="000E2D9F"/>
    <w:rsid w:val="000E2F84"/>
    <w:rsid w:val="000E30C8"/>
    <w:rsid w:val="000E321F"/>
    <w:rsid w:val="000E356F"/>
    <w:rsid w:val="000E3886"/>
    <w:rsid w:val="000E3BF9"/>
    <w:rsid w:val="000E3DEE"/>
    <w:rsid w:val="000E3E20"/>
    <w:rsid w:val="000E4077"/>
    <w:rsid w:val="000E418C"/>
    <w:rsid w:val="000E45EE"/>
    <w:rsid w:val="000E45F6"/>
    <w:rsid w:val="000E482E"/>
    <w:rsid w:val="000E48F6"/>
    <w:rsid w:val="000E49D6"/>
    <w:rsid w:val="000E4B23"/>
    <w:rsid w:val="000E4F71"/>
    <w:rsid w:val="000E5027"/>
    <w:rsid w:val="000E516C"/>
    <w:rsid w:val="000E56C5"/>
    <w:rsid w:val="000E578A"/>
    <w:rsid w:val="000E59BA"/>
    <w:rsid w:val="000E6859"/>
    <w:rsid w:val="000E690E"/>
    <w:rsid w:val="000E6E0C"/>
    <w:rsid w:val="000E71C5"/>
    <w:rsid w:val="000E72EE"/>
    <w:rsid w:val="000E758D"/>
    <w:rsid w:val="000E7698"/>
    <w:rsid w:val="000E7879"/>
    <w:rsid w:val="000E799D"/>
    <w:rsid w:val="000E7BDA"/>
    <w:rsid w:val="000E7F87"/>
    <w:rsid w:val="000F0465"/>
    <w:rsid w:val="000F09DD"/>
    <w:rsid w:val="000F09FC"/>
    <w:rsid w:val="000F0B85"/>
    <w:rsid w:val="000F0E2A"/>
    <w:rsid w:val="000F0FD3"/>
    <w:rsid w:val="000F11F3"/>
    <w:rsid w:val="000F15A0"/>
    <w:rsid w:val="000F15E0"/>
    <w:rsid w:val="000F1B1C"/>
    <w:rsid w:val="000F1BF3"/>
    <w:rsid w:val="000F1F3C"/>
    <w:rsid w:val="000F2116"/>
    <w:rsid w:val="000F2286"/>
    <w:rsid w:val="000F24DD"/>
    <w:rsid w:val="000F2CAB"/>
    <w:rsid w:val="000F2ED8"/>
    <w:rsid w:val="000F306E"/>
    <w:rsid w:val="000F310D"/>
    <w:rsid w:val="000F3378"/>
    <w:rsid w:val="000F34CA"/>
    <w:rsid w:val="000F3692"/>
    <w:rsid w:val="000F3B29"/>
    <w:rsid w:val="000F3D20"/>
    <w:rsid w:val="000F3E98"/>
    <w:rsid w:val="000F4077"/>
    <w:rsid w:val="000F416B"/>
    <w:rsid w:val="000F4345"/>
    <w:rsid w:val="000F45F2"/>
    <w:rsid w:val="000F49C5"/>
    <w:rsid w:val="000F54F7"/>
    <w:rsid w:val="000F56B8"/>
    <w:rsid w:val="000F5868"/>
    <w:rsid w:val="000F5A71"/>
    <w:rsid w:val="000F6096"/>
    <w:rsid w:val="000F63F9"/>
    <w:rsid w:val="000F6BB2"/>
    <w:rsid w:val="000F6DD9"/>
    <w:rsid w:val="000F704E"/>
    <w:rsid w:val="000F70C6"/>
    <w:rsid w:val="000F7896"/>
    <w:rsid w:val="000F7993"/>
    <w:rsid w:val="000F7F2A"/>
    <w:rsid w:val="001002F2"/>
    <w:rsid w:val="001005BE"/>
    <w:rsid w:val="0010065D"/>
    <w:rsid w:val="00100AD7"/>
    <w:rsid w:val="00100E74"/>
    <w:rsid w:val="0010106C"/>
    <w:rsid w:val="0010139A"/>
    <w:rsid w:val="001013FB"/>
    <w:rsid w:val="001017B5"/>
    <w:rsid w:val="00101815"/>
    <w:rsid w:val="00101E13"/>
    <w:rsid w:val="00101EA9"/>
    <w:rsid w:val="00101EFD"/>
    <w:rsid w:val="00101F31"/>
    <w:rsid w:val="00102406"/>
    <w:rsid w:val="00102570"/>
    <w:rsid w:val="0010284B"/>
    <w:rsid w:val="001028B1"/>
    <w:rsid w:val="00102C5A"/>
    <w:rsid w:val="00103392"/>
    <w:rsid w:val="00103477"/>
    <w:rsid w:val="001036EB"/>
    <w:rsid w:val="00103C3E"/>
    <w:rsid w:val="00103DE0"/>
    <w:rsid w:val="00104350"/>
    <w:rsid w:val="00104847"/>
    <w:rsid w:val="00104B90"/>
    <w:rsid w:val="00104D91"/>
    <w:rsid w:val="00104FB7"/>
    <w:rsid w:val="00104FB8"/>
    <w:rsid w:val="00105267"/>
    <w:rsid w:val="001052A1"/>
    <w:rsid w:val="0010548C"/>
    <w:rsid w:val="001054C9"/>
    <w:rsid w:val="00105626"/>
    <w:rsid w:val="0010573A"/>
    <w:rsid w:val="0010599F"/>
    <w:rsid w:val="00105A26"/>
    <w:rsid w:val="0010608B"/>
    <w:rsid w:val="001062CC"/>
    <w:rsid w:val="00106D9B"/>
    <w:rsid w:val="001074A2"/>
    <w:rsid w:val="00107819"/>
    <w:rsid w:val="00107879"/>
    <w:rsid w:val="0010788A"/>
    <w:rsid w:val="00107A67"/>
    <w:rsid w:val="00107A7D"/>
    <w:rsid w:val="00107E19"/>
    <w:rsid w:val="00107F4F"/>
    <w:rsid w:val="00107FE4"/>
    <w:rsid w:val="00110180"/>
    <w:rsid w:val="001103DB"/>
    <w:rsid w:val="00110460"/>
    <w:rsid w:val="0011073E"/>
    <w:rsid w:val="001108C4"/>
    <w:rsid w:val="00110B76"/>
    <w:rsid w:val="00110BA6"/>
    <w:rsid w:val="00110F88"/>
    <w:rsid w:val="00110FA4"/>
    <w:rsid w:val="00111051"/>
    <w:rsid w:val="00111340"/>
    <w:rsid w:val="0011162A"/>
    <w:rsid w:val="001117EE"/>
    <w:rsid w:val="00111BB4"/>
    <w:rsid w:val="00111D67"/>
    <w:rsid w:val="00111E45"/>
    <w:rsid w:val="00111EC1"/>
    <w:rsid w:val="0011246D"/>
    <w:rsid w:val="001124AE"/>
    <w:rsid w:val="00112A7D"/>
    <w:rsid w:val="00113235"/>
    <w:rsid w:val="001135F4"/>
    <w:rsid w:val="00113906"/>
    <w:rsid w:val="00113908"/>
    <w:rsid w:val="00113A26"/>
    <w:rsid w:val="00113C44"/>
    <w:rsid w:val="00113F06"/>
    <w:rsid w:val="00113F10"/>
    <w:rsid w:val="00114044"/>
    <w:rsid w:val="00114322"/>
    <w:rsid w:val="00114E77"/>
    <w:rsid w:val="00114EEF"/>
    <w:rsid w:val="00114F65"/>
    <w:rsid w:val="00115375"/>
    <w:rsid w:val="001155A4"/>
    <w:rsid w:val="00115C44"/>
    <w:rsid w:val="001161B9"/>
    <w:rsid w:val="00116D16"/>
    <w:rsid w:val="00116D58"/>
    <w:rsid w:val="00116D96"/>
    <w:rsid w:val="001170CF"/>
    <w:rsid w:val="00117378"/>
    <w:rsid w:val="00117596"/>
    <w:rsid w:val="001179B3"/>
    <w:rsid w:val="00117CD4"/>
    <w:rsid w:val="00117DEC"/>
    <w:rsid w:val="0012004F"/>
    <w:rsid w:val="001201BB"/>
    <w:rsid w:val="001204D5"/>
    <w:rsid w:val="00120B1E"/>
    <w:rsid w:val="00120F01"/>
    <w:rsid w:val="001212F9"/>
    <w:rsid w:val="0012182B"/>
    <w:rsid w:val="001219C7"/>
    <w:rsid w:val="00121DCF"/>
    <w:rsid w:val="0012205D"/>
    <w:rsid w:val="00122535"/>
    <w:rsid w:val="00122806"/>
    <w:rsid w:val="00122953"/>
    <w:rsid w:val="00122A73"/>
    <w:rsid w:val="00122D4D"/>
    <w:rsid w:val="00122F53"/>
    <w:rsid w:val="00123223"/>
    <w:rsid w:val="00123B25"/>
    <w:rsid w:val="00123C6A"/>
    <w:rsid w:val="00123D95"/>
    <w:rsid w:val="001240C6"/>
    <w:rsid w:val="0012411B"/>
    <w:rsid w:val="00124FFF"/>
    <w:rsid w:val="0012542E"/>
    <w:rsid w:val="00125B65"/>
    <w:rsid w:val="00125B9A"/>
    <w:rsid w:val="00126057"/>
    <w:rsid w:val="001266EC"/>
    <w:rsid w:val="001269A7"/>
    <w:rsid w:val="00126A66"/>
    <w:rsid w:val="00126E51"/>
    <w:rsid w:val="00126E55"/>
    <w:rsid w:val="00126E78"/>
    <w:rsid w:val="00127212"/>
    <w:rsid w:val="001273C8"/>
    <w:rsid w:val="00129F0D"/>
    <w:rsid w:val="00130516"/>
    <w:rsid w:val="001306D4"/>
    <w:rsid w:val="00130A74"/>
    <w:rsid w:val="00130AD8"/>
    <w:rsid w:val="00130D26"/>
    <w:rsid w:val="00130E25"/>
    <w:rsid w:val="00131816"/>
    <w:rsid w:val="00131944"/>
    <w:rsid w:val="00131969"/>
    <w:rsid w:val="00131D60"/>
    <w:rsid w:val="00131E89"/>
    <w:rsid w:val="00132045"/>
    <w:rsid w:val="0013254B"/>
    <w:rsid w:val="00133361"/>
    <w:rsid w:val="0013346B"/>
    <w:rsid w:val="001334C0"/>
    <w:rsid w:val="00133BC0"/>
    <w:rsid w:val="00133BC1"/>
    <w:rsid w:val="00133FF6"/>
    <w:rsid w:val="00134D3F"/>
    <w:rsid w:val="00134FA6"/>
    <w:rsid w:val="0013532F"/>
    <w:rsid w:val="00135853"/>
    <w:rsid w:val="001358EE"/>
    <w:rsid w:val="00135DB1"/>
    <w:rsid w:val="00136012"/>
    <w:rsid w:val="001363C9"/>
    <w:rsid w:val="00136673"/>
    <w:rsid w:val="00136CE4"/>
    <w:rsid w:val="00137151"/>
    <w:rsid w:val="001376CD"/>
    <w:rsid w:val="0013781C"/>
    <w:rsid w:val="00137C0B"/>
    <w:rsid w:val="0014023C"/>
    <w:rsid w:val="00140622"/>
    <w:rsid w:val="00140B58"/>
    <w:rsid w:val="00140C19"/>
    <w:rsid w:val="00140F0A"/>
    <w:rsid w:val="0014104B"/>
    <w:rsid w:val="0014118E"/>
    <w:rsid w:val="001412D0"/>
    <w:rsid w:val="001414FF"/>
    <w:rsid w:val="00141736"/>
    <w:rsid w:val="00141A39"/>
    <w:rsid w:val="00141AC5"/>
    <w:rsid w:val="00141CEC"/>
    <w:rsid w:val="00141E98"/>
    <w:rsid w:val="00142211"/>
    <w:rsid w:val="001423A6"/>
    <w:rsid w:val="001427EA"/>
    <w:rsid w:val="00142958"/>
    <w:rsid w:val="00142B38"/>
    <w:rsid w:val="00142C2C"/>
    <w:rsid w:val="00142C95"/>
    <w:rsid w:val="00142CF6"/>
    <w:rsid w:val="00142D47"/>
    <w:rsid w:val="00142ECB"/>
    <w:rsid w:val="0014314D"/>
    <w:rsid w:val="00143195"/>
    <w:rsid w:val="001433E3"/>
    <w:rsid w:val="00143721"/>
    <w:rsid w:val="00143B02"/>
    <w:rsid w:val="00143B72"/>
    <w:rsid w:val="00143C1C"/>
    <w:rsid w:val="00143CE2"/>
    <w:rsid w:val="001442D8"/>
    <w:rsid w:val="001445A6"/>
    <w:rsid w:val="00144676"/>
    <w:rsid w:val="00144695"/>
    <w:rsid w:val="001447C4"/>
    <w:rsid w:val="00145981"/>
    <w:rsid w:val="00145B63"/>
    <w:rsid w:val="00146616"/>
    <w:rsid w:val="0014694B"/>
    <w:rsid w:val="00146EE5"/>
    <w:rsid w:val="0014729C"/>
    <w:rsid w:val="001474D5"/>
    <w:rsid w:val="00147B12"/>
    <w:rsid w:val="00147BDA"/>
    <w:rsid w:val="00147C1E"/>
    <w:rsid w:val="00147C34"/>
    <w:rsid w:val="00150E89"/>
    <w:rsid w:val="001513EC"/>
    <w:rsid w:val="00151567"/>
    <w:rsid w:val="00151C85"/>
    <w:rsid w:val="00151C9D"/>
    <w:rsid w:val="00151E28"/>
    <w:rsid w:val="00151E30"/>
    <w:rsid w:val="00151F97"/>
    <w:rsid w:val="001521F8"/>
    <w:rsid w:val="00152780"/>
    <w:rsid w:val="00152853"/>
    <w:rsid w:val="00152ACC"/>
    <w:rsid w:val="00152AFC"/>
    <w:rsid w:val="00152F04"/>
    <w:rsid w:val="001532EB"/>
    <w:rsid w:val="001534C8"/>
    <w:rsid w:val="00153578"/>
    <w:rsid w:val="00153909"/>
    <w:rsid w:val="00153B65"/>
    <w:rsid w:val="00153E21"/>
    <w:rsid w:val="00153ED2"/>
    <w:rsid w:val="00153FF3"/>
    <w:rsid w:val="001541FF"/>
    <w:rsid w:val="00154200"/>
    <w:rsid w:val="00154259"/>
    <w:rsid w:val="001546F5"/>
    <w:rsid w:val="00154705"/>
    <w:rsid w:val="001549F5"/>
    <w:rsid w:val="0015544D"/>
    <w:rsid w:val="00155A23"/>
    <w:rsid w:val="00155CD6"/>
    <w:rsid w:val="00155E36"/>
    <w:rsid w:val="00155F3C"/>
    <w:rsid w:val="001561A7"/>
    <w:rsid w:val="0015636C"/>
    <w:rsid w:val="001564EC"/>
    <w:rsid w:val="00156896"/>
    <w:rsid w:val="00156A75"/>
    <w:rsid w:val="00156B4E"/>
    <w:rsid w:val="00156D83"/>
    <w:rsid w:val="00156DBE"/>
    <w:rsid w:val="001571E8"/>
    <w:rsid w:val="0015721A"/>
    <w:rsid w:val="00160093"/>
    <w:rsid w:val="00160A49"/>
    <w:rsid w:val="00160E9D"/>
    <w:rsid w:val="00161199"/>
    <w:rsid w:val="00161756"/>
    <w:rsid w:val="001618BA"/>
    <w:rsid w:val="00161EF9"/>
    <w:rsid w:val="00161F82"/>
    <w:rsid w:val="00162066"/>
    <w:rsid w:val="00162708"/>
    <w:rsid w:val="00162976"/>
    <w:rsid w:val="00162DC4"/>
    <w:rsid w:val="00163045"/>
    <w:rsid w:val="00163530"/>
    <w:rsid w:val="00163825"/>
    <w:rsid w:val="001638B1"/>
    <w:rsid w:val="00163C4E"/>
    <w:rsid w:val="00163C54"/>
    <w:rsid w:val="001646A4"/>
    <w:rsid w:val="00164819"/>
    <w:rsid w:val="00164A3E"/>
    <w:rsid w:val="00164A95"/>
    <w:rsid w:val="00164ACE"/>
    <w:rsid w:val="001650A2"/>
    <w:rsid w:val="00165E55"/>
    <w:rsid w:val="00165EBA"/>
    <w:rsid w:val="001664B1"/>
    <w:rsid w:val="00166704"/>
    <w:rsid w:val="0016688C"/>
    <w:rsid w:val="00166B1A"/>
    <w:rsid w:val="00166C10"/>
    <w:rsid w:val="0016746C"/>
    <w:rsid w:val="0017027D"/>
    <w:rsid w:val="00170481"/>
    <w:rsid w:val="0017050C"/>
    <w:rsid w:val="0017055A"/>
    <w:rsid w:val="00170708"/>
    <w:rsid w:val="00170786"/>
    <w:rsid w:val="001709D5"/>
    <w:rsid w:val="00170A45"/>
    <w:rsid w:val="00170AA5"/>
    <w:rsid w:val="00170C11"/>
    <w:rsid w:val="00170FCE"/>
    <w:rsid w:val="001713A0"/>
    <w:rsid w:val="001713F2"/>
    <w:rsid w:val="001717C7"/>
    <w:rsid w:val="00171891"/>
    <w:rsid w:val="0017192B"/>
    <w:rsid w:val="00171941"/>
    <w:rsid w:val="00171A4D"/>
    <w:rsid w:val="00171B1B"/>
    <w:rsid w:val="00171D7B"/>
    <w:rsid w:val="00171ECE"/>
    <w:rsid w:val="00171F1C"/>
    <w:rsid w:val="001724F5"/>
    <w:rsid w:val="00172B03"/>
    <w:rsid w:val="00172CE1"/>
    <w:rsid w:val="00172F16"/>
    <w:rsid w:val="001735A5"/>
    <w:rsid w:val="0017361A"/>
    <w:rsid w:val="00173976"/>
    <w:rsid w:val="001745ED"/>
    <w:rsid w:val="0017462A"/>
    <w:rsid w:val="001748AF"/>
    <w:rsid w:val="00174E21"/>
    <w:rsid w:val="0017507B"/>
    <w:rsid w:val="0017512B"/>
    <w:rsid w:val="001752B9"/>
    <w:rsid w:val="001753D5"/>
    <w:rsid w:val="001756F9"/>
    <w:rsid w:val="00175706"/>
    <w:rsid w:val="001759AF"/>
    <w:rsid w:val="00175BA5"/>
    <w:rsid w:val="00175D29"/>
    <w:rsid w:val="00175E8E"/>
    <w:rsid w:val="001763DB"/>
    <w:rsid w:val="001764B0"/>
    <w:rsid w:val="0017652D"/>
    <w:rsid w:val="001765CF"/>
    <w:rsid w:val="001765FD"/>
    <w:rsid w:val="00176BC3"/>
    <w:rsid w:val="00176DCA"/>
    <w:rsid w:val="00176DEC"/>
    <w:rsid w:val="00176E59"/>
    <w:rsid w:val="001771B8"/>
    <w:rsid w:val="00177509"/>
    <w:rsid w:val="00177623"/>
    <w:rsid w:val="00177689"/>
    <w:rsid w:val="00177B7D"/>
    <w:rsid w:val="001800AE"/>
    <w:rsid w:val="001800E2"/>
    <w:rsid w:val="00180127"/>
    <w:rsid w:val="00180254"/>
    <w:rsid w:val="0018040B"/>
    <w:rsid w:val="00180470"/>
    <w:rsid w:val="00180F3D"/>
    <w:rsid w:val="001814A6"/>
    <w:rsid w:val="00181984"/>
    <w:rsid w:val="00181D4F"/>
    <w:rsid w:val="00181DD0"/>
    <w:rsid w:val="00181F7D"/>
    <w:rsid w:val="0018225B"/>
    <w:rsid w:val="001827BE"/>
    <w:rsid w:val="001828E0"/>
    <w:rsid w:val="00182F9A"/>
    <w:rsid w:val="001834E6"/>
    <w:rsid w:val="00183573"/>
    <w:rsid w:val="0018384F"/>
    <w:rsid w:val="001838D5"/>
    <w:rsid w:val="00183A9F"/>
    <w:rsid w:val="00183E94"/>
    <w:rsid w:val="00183FFE"/>
    <w:rsid w:val="00184016"/>
    <w:rsid w:val="001845D9"/>
    <w:rsid w:val="0018461A"/>
    <w:rsid w:val="00184870"/>
    <w:rsid w:val="00185004"/>
    <w:rsid w:val="0018513D"/>
    <w:rsid w:val="001851DB"/>
    <w:rsid w:val="0018562F"/>
    <w:rsid w:val="00185842"/>
    <w:rsid w:val="00185973"/>
    <w:rsid w:val="00186217"/>
    <w:rsid w:val="00186547"/>
    <w:rsid w:val="0018664C"/>
    <w:rsid w:val="00186803"/>
    <w:rsid w:val="00186A09"/>
    <w:rsid w:val="00186E2E"/>
    <w:rsid w:val="00186FA8"/>
    <w:rsid w:val="0018708A"/>
    <w:rsid w:val="00187094"/>
    <w:rsid w:val="00187356"/>
    <w:rsid w:val="0018745E"/>
    <w:rsid w:val="00187472"/>
    <w:rsid w:val="00187568"/>
    <w:rsid w:val="00187884"/>
    <w:rsid w:val="00187EFF"/>
    <w:rsid w:val="00190009"/>
    <w:rsid w:val="00190720"/>
    <w:rsid w:val="00190CCF"/>
    <w:rsid w:val="00191144"/>
    <w:rsid w:val="00191705"/>
    <w:rsid w:val="00191967"/>
    <w:rsid w:val="00191DBA"/>
    <w:rsid w:val="0019261A"/>
    <w:rsid w:val="00192636"/>
    <w:rsid w:val="00192793"/>
    <w:rsid w:val="001933E1"/>
    <w:rsid w:val="00193437"/>
    <w:rsid w:val="00193460"/>
    <w:rsid w:val="0019396F"/>
    <w:rsid w:val="0019397C"/>
    <w:rsid w:val="00193C34"/>
    <w:rsid w:val="001947DE"/>
    <w:rsid w:val="0019494E"/>
    <w:rsid w:val="00194B7A"/>
    <w:rsid w:val="00194BF8"/>
    <w:rsid w:val="00194D7E"/>
    <w:rsid w:val="001950E8"/>
    <w:rsid w:val="0019510F"/>
    <w:rsid w:val="00195AF6"/>
    <w:rsid w:val="001965D7"/>
    <w:rsid w:val="00196E6B"/>
    <w:rsid w:val="00197026"/>
    <w:rsid w:val="0019729C"/>
    <w:rsid w:val="00197400"/>
    <w:rsid w:val="001975AC"/>
    <w:rsid w:val="001979C9"/>
    <w:rsid w:val="00197CF9"/>
    <w:rsid w:val="001A0535"/>
    <w:rsid w:val="001A08B3"/>
    <w:rsid w:val="001A0A57"/>
    <w:rsid w:val="001A0B66"/>
    <w:rsid w:val="001A0D09"/>
    <w:rsid w:val="001A0E39"/>
    <w:rsid w:val="001A0F79"/>
    <w:rsid w:val="001A10BC"/>
    <w:rsid w:val="001A1308"/>
    <w:rsid w:val="001A1355"/>
    <w:rsid w:val="001A145D"/>
    <w:rsid w:val="001A163D"/>
    <w:rsid w:val="001A2678"/>
    <w:rsid w:val="001A2831"/>
    <w:rsid w:val="001A28AC"/>
    <w:rsid w:val="001A29DB"/>
    <w:rsid w:val="001A2A49"/>
    <w:rsid w:val="001A2B54"/>
    <w:rsid w:val="001A2D11"/>
    <w:rsid w:val="001A2EDD"/>
    <w:rsid w:val="001A3C3D"/>
    <w:rsid w:val="001A3FD8"/>
    <w:rsid w:val="001A47C1"/>
    <w:rsid w:val="001A491A"/>
    <w:rsid w:val="001A4A66"/>
    <w:rsid w:val="001A5493"/>
    <w:rsid w:val="001A5A7A"/>
    <w:rsid w:val="001A5D80"/>
    <w:rsid w:val="001A5DCC"/>
    <w:rsid w:val="001A5E5C"/>
    <w:rsid w:val="001A6154"/>
    <w:rsid w:val="001A6226"/>
    <w:rsid w:val="001A625F"/>
    <w:rsid w:val="001A68FE"/>
    <w:rsid w:val="001A69CF"/>
    <w:rsid w:val="001A6BB5"/>
    <w:rsid w:val="001A6E3F"/>
    <w:rsid w:val="001A77AC"/>
    <w:rsid w:val="001A7BE0"/>
    <w:rsid w:val="001B0038"/>
    <w:rsid w:val="001B0402"/>
    <w:rsid w:val="001B04E6"/>
    <w:rsid w:val="001B0857"/>
    <w:rsid w:val="001B0859"/>
    <w:rsid w:val="001B0FE8"/>
    <w:rsid w:val="001B166E"/>
    <w:rsid w:val="001B1FC6"/>
    <w:rsid w:val="001B2220"/>
    <w:rsid w:val="001B23C5"/>
    <w:rsid w:val="001B264C"/>
    <w:rsid w:val="001B2877"/>
    <w:rsid w:val="001B2A11"/>
    <w:rsid w:val="001B2A67"/>
    <w:rsid w:val="001B31B3"/>
    <w:rsid w:val="001B35BD"/>
    <w:rsid w:val="001B3937"/>
    <w:rsid w:val="001B395E"/>
    <w:rsid w:val="001B44E2"/>
    <w:rsid w:val="001B4981"/>
    <w:rsid w:val="001B4B23"/>
    <w:rsid w:val="001B4F4B"/>
    <w:rsid w:val="001B52A2"/>
    <w:rsid w:val="001B564E"/>
    <w:rsid w:val="001B5BF8"/>
    <w:rsid w:val="001B604C"/>
    <w:rsid w:val="001B6314"/>
    <w:rsid w:val="001B66AB"/>
    <w:rsid w:val="001B6AE7"/>
    <w:rsid w:val="001B6DF6"/>
    <w:rsid w:val="001B6FC0"/>
    <w:rsid w:val="001B7486"/>
    <w:rsid w:val="001B7733"/>
    <w:rsid w:val="001B7841"/>
    <w:rsid w:val="001B7980"/>
    <w:rsid w:val="001B79E2"/>
    <w:rsid w:val="001B7B30"/>
    <w:rsid w:val="001B7E10"/>
    <w:rsid w:val="001B7E12"/>
    <w:rsid w:val="001B7E85"/>
    <w:rsid w:val="001B7F32"/>
    <w:rsid w:val="001BBA19"/>
    <w:rsid w:val="001C0633"/>
    <w:rsid w:val="001C09C0"/>
    <w:rsid w:val="001C1053"/>
    <w:rsid w:val="001C1448"/>
    <w:rsid w:val="001C1668"/>
    <w:rsid w:val="001C1678"/>
    <w:rsid w:val="001C19FA"/>
    <w:rsid w:val="001C1B15"/>
    <w:rsid w:val="001C1C6C"/>
    <w:rsid w:val="001C230C"/>
    <w:rsid w:val="001C269A"/>
    <w:rsid w:val="001C2725"/>
    <w:rsid w:val="001C2B26"/>
    <w:rsid w:val="001C3900"/>
    <w:rsid w:val="001C3A02"/>
    <w:rsid w:val="001C3AD3"/>
    <w:rsid w:val="001C4169"/>
    <w:rsid w:val="001C43D6"/>
    <w:rsid w:val="001C4AA7"/>
    <w:rsid w:val="001C4B41"/>
    <w:rsid w:val="001C4DC2"/>
    <w:rsid w:val="001C4E81"/>
    <w:rsid w:val="001C5186"/>
    <w:rsid w:val="001C5291"/>
    <w:rsid w:val="001C52AA"/>
    <w:rsid w:val="001C58B5"/>
    <w:rsid w:val="001C599A"/>
    <w:rsid w:val="001C5AAF"/>
    <w:rsid w:val="001C5E4A"/>
    <w:rsid w:val="001C5EBF"/>
    <w:rsid w:val="001C5FA5"/>
    <w:rsid w:val="001C618E"/>
    <w:rsid w:val="001C637C"/>
    <w:rsid w:val="001C6406"/>
    <w:rsid w:val="001C6608"/>
    <w:rsid w:val="001C674E"/>
    <w:rsid w:val="001C69C0"/>
    <w:rsid w:val="001C7604"/>
    <w:rsid w:val="001C78FE"/>
    <w:rsid w:val="001C7909"/>
    <w:rsid w:val="001C7962"/>
    <w:rsid w:val="001C7E3B"/>
    <w:rsid w:val="001D0056"/>
    <w:rsid w:val="001D030C"/>
    <w:rsid w:val="001D0414"/>
    <w:rsid w:val="001D0574"/>
    <w:rsid w:val="001D0722"/>
    <w:rsid w:val="001D0903"/>
    <w:rsid w:val="001D0A02"/>
    <w:rsid w:val="001D0CAD"/>
    <w:rsid w:val="001D0E7A"/>
    <w:rsid w:val="001D0F9D"/>
    <w:rsid w:val="001D117D"/>
    <w:rsid w:val="001D15A0"/>
    <w:rsid w:val="001D15E1"/>
    <w:rsid w:val="001D177B"/>
    <w:rsid w:val="001D1BB6"/>
    <w:rsid w:val="001D1C2A"/>
    <w:rsid w:val="001D1C39"/>
    <w:rsid w:val="001D1ECB"/>
    <w:rsid w:val="001D1F80"/>
    <w:rsid w:val="001D22DF"/>
    <w:rsid w:val="001D2423"/>
    <w:rsid w:val="001D270F"/>
    <w:rsid w:val="001D2C6C"/>
    <w:rsid w:val="001D2D80"/>
    <w:rsid w:val="001D2DD8"/>
    <w:rsid w:val="001D32DA"/>
    <w:rsid w:val="001D38BD"/>
    <w:rsid w:val="001D3B0C"/>
    <w:rsid w:val="001D3E99"/>
    <w:rsid w:val="001D4005"/>
    <w:rsid w:val="001D415C"/>
    <w:rsid w:val="001D474E"/>
    <w:rsid w:val="001D5B78"/>
    <w:rsid w:val="001D5C20"/>
    <w:rsid w:val="001D5CC3"/>
    <w:rsid w:val="001D5DDF"/>
    <w:rsid w:val="001D6708"/>
    <w:rsid w:val="001D6BB7"/>
    <w:rsid w:val="001D6FBD"/>
    <w:rsid w:val="001D7927"/>
    <w:rsid w:val="001D7967"/>
    <w:rsid w:val="001E0671"/>
    <w:rsid w:val="001E0840"/>
    <w:rsid w:val="001E0900"/>
    <w:rsid w:val="001E11CE"/>
    <w:rsid w:val="001E14C9"/>
    <w:rsid w:val="001E15E8"/>
    <w:rsid w:val="001E1A0C"/>
    <w:rsid w:val="001E1F72"/>
    <w:rsid w:val="001E2099"/>
    <w:rsid w:val="001E2325"/>
    <w:rsid w:val="001E246B"/>
    <w:rsid w:val="001E26B6"/>
    <w:rsid w:val="001E2E1D"/>
    <w:rsid w:val="001E3149"/>
    <w:rsid w:val="001E3191"/>
    <w:rsid w:val="001E35D7"/>
    <w:rsid w:val="001E381E"/>
    <w:rsid w:val="001E385C"/>
    <w:rsid w:val="001E3A54"/>
    <w:rsid w:val="001E3AB4"/>
    <w:rsid w:val="001E3B8F"/>
    <w:rsid w:val="001E3C16"/>
    <w:rsid w:val="001E3EE5"/>
    <w:rsid w:val="001E410C"/>
    <w:rsid w:val="001E4634"/>
    <w:rsid w:val="001E4A97"/>
    <w:rsid w:val="001E4DDC"/>
    <w:rsid w:val="001E515C"/>
    <w:rsid w:val="001E5602"/>
    <w:rsid w:val="001E5AFC"/>
    <w:rsid w:val="001E69B8"/>
    <w:rsid w:val="001E7019"/>
    <w:rsid w:val="001E7447"/>
    <w:rsid w:val="001E7793"/>
    <w:rsid w:val="001E77C9"/>
    <w:rsid w:val="001E7818"/>
    <w:rsid w:val="001E7991"/>
    <w:rsid w:val="001E7C83"/>
    <w:rsid w:val="001E7D15"/>
    <w:rsid w:val="001E7D28"/>
    <w:rsid w:val="001EFA2F"/>
    <w:rsid w:val="001F00C7"/>
    <w:rsid w:val="001F0216"/>
    <w:rsid w:val="001F039B"/>
    <w:rsid w:val="001F0ABD"/>
    <w:rsid w:val="001F0B45"/>
    <w:rsid w:val="001F0E5F"/>
    <w:rsid w:val="001F113E"/>
    <w:rsid w:val="001F166D"/>
    <w:rsid w:val="001F19CB"/>
    <w:rsid w:val="001F1DD5"/>
    <w:rsid w:val="001F20A0"/>
    <w:rsid w:val="001F20E4"/>
    <w:rsid w:val="001F20EC"/>
    <w:rsid w:val="001F21FC"/>
    <w:rsid w:val="001F2227"/>
    <w:rsid w:val="001F23DD"/>
    <w:rsid w:val="001F275F"/>
    <w:rsid w:val="001F2760"/>
    <w:rsid w:val="001F2EE5"/>
    <w:rsid w:val="001F2FA7"/>
    <w:rsid w:val="001F2FB8"/>
    <w:rsid w:val="001F3206"/>
    <w:rsid w:val="001F33CA"/>
    <w:rsid w:val="001F378E"/>
    <w:rsid w:val="001F3849"/>
    <w:rsid w:val="001F39FC"/>
    <w:rsid w:val="001F3C04"/>
    <w:rsid w:val="001F3CF7"/>
    <w:rsid w:val="001F4998"/>
    <w:rsid w:val="001F4F91"/>
    <w:rsid w:val="001F5112"/>
    <w:rsid w:val="001F5114"/>
    <w:rsid w:val="001F51FE"/>
    <w:rsid w:val="001F5D62"/>
    <w:rsid w:val="001F5E2D"/>
    <w:rsid w:val="001F600A"/>
    <w:rsid w:val="001F60EB"/>
    <w:rsid w:val="001F6312"/>
    <w:rsid w:val="001F67C9"/>
    <w:rsid w:val="001F6C19"/>
    <w:rsid w:val="001F6C5A"/>
    <w:rsid w:val="001F6C8A"/>
    <w:rsid w:val="001F6F83"/>
    <w:rsid w:val="001F728F"/>
    <w:rsid w:val="001F77A1"/>
    <w:rsid w:val="001F7863"/>
    <w:rsid w:val="001F7A1A"/>
    <w:rsid w:val="001F7BBB"/>
    <w:rsid w:val="001F7DAE"/>
    <w:rsid w:val="001F7DF2"/>
    <w:rsid w:val="00200247"/>
    <w:rsid w:val="0020030F"/>
    <w:rsid w:val="00200DD6"/>
    <w:rsid w:val="00201E54"/>
    <w:rsid w:val="00201F54"/>
    <w:rsid w:val="00201F80"/>
    <w:rsid w:val="00202B6E"/>
    <w:rsid w:val="00203021"/>
    <w:rsid w:val="002031C2"/>
    <w:rsid w:val="00203292"/>
    <w:rsid w:val="002035D5"/>
    <w:rsid w:val="00203A13"/>
    <w:rsid w:val="00203A80"/>
    <w:rsid w:val="00203A95"/>
    <w:rsid w:val="00203FCE"/>
    <w:rsid w:val="002040E8"/>
    <w:rsid w:val="0020411B"/>
    <w:rsid w:val="002042B6"/>
    <w:rsid w:val="00204AB3"/>
    <w:rsid w:val="00204AD8"/>
    <w:rsid w:val="00204C3D"/>
    <w:rsid w:val="00205203"/>
    <w:rsid w:val="0020530E"/>
    <w:rsid w:val="002055AC"/>
    <w:rsid w:val="00205612"/>
    <w:rsid w:val="00205645"/>
    <w:rsid w:val="00205A0D"/>
    <w:rsid w:val="00205A5D"/>
    <w:rsid w:val="00205E8E"/>
    <w:rsid w:val="00205EC3"/>
    <w:rsid w:val="00205FE5"/>
    <w:rsid w:val="0020654E"/>
    <w:rsid w:val="00206929"/>
    <w:rsid w:val="00206B87"/>
    <w:rsid w:val="002074C5"/>
    <w:rsid w:val="002078C7"/>
    <w:rsid w:val="00207B93"/>
    <w:rsid w:val="00210016"/>
    <w:rsid w:val="002102F6"/>
    <w:rsid w:val="0021052D"/>
    <w:rsid w:val="00210DC7"/>
    <w:rsid w:val="00210EAA"/>
    <w:rsid w:val="00211028"/>
    <w:rsid w:val="00211A0D"/>
    <w:rsid w:val="00211B66"/>
    <w:rsid w:val="00211D2B"/>
    <w:rsid w:val="00211D2E"/>
    <w:rsid w:val="00211EB3"/>
    <w:rsid w:val="0021245E"/>
    <w:rsid w:val="002124D6"/>
    <w:rsid w:val="002125AA"/>
    <w:rsid w:val="0021264D"/>
    <w:rsid w:val="00212866"/>
    <w:rsid w:val="0021298E"/>
    <w:rsid w:val="00212BCA"/>
    <w:rsid w:val="00213136"/>
    <w:rsid w:val="00213629"/>
    <w:rsid w:val="0021381D"/>
    <w:rsid w:val="00213837"/>
    <w:rsid w:val="002139E8"/>
    <w:rsid w:val="00213CBE"/>
    <w:rsid w:val="0021420A"/>
    <w:rsid w:val="00214F25"/>
    <w:rsid w:val="002151A8"/>
    <w:rsid w:val="00215616"/>
    <w:rsid w:val="00215AA2"/>
    <w:rsid w:val="00215CFC"/>
    <w:rsid w:val="00216155"/>
    <w:rsid w:val="00216551"/>
    <w:rsid w:val="00216B13"/>
    <w:rsid w:val="00217177"/>
    <w:rsid w:val="00217215"/>
    <w:rsid w:val="002172B9"/>
    <w:rsid w:val="00217311"/>
    <w:rsid w:val="0021768E"/>
    <w:rsid w:val="00217756"/>
    <w:rsid w:val="0021781D"/>
    <w:rsid w:val="00217902"/>
    <w:rsid w:val="00217A8E"/>
    <w:rsid w:val="00217AC7"/>
    <w:rsid w:val="00217C85"/>
    <w:rsid w:val="00217CCF"/>
    <w:rsid w:val="00217DB8"/>
    <w:rsid w:val="00217EC1"/>
    <w:rsid w:val="00220227"/>
    <w:rsid w:val="0022039C"/>
    <w:rsid w:val="0022044B"/>
    <w:rsid w:val="0022048A"/>
    <w:rsid w:val="002206E2"/>
    <w:rsid w:val="0022080E"/>
    <w:rsid w:val="00220B19"/>
    <w:rsid w:val="002210C2"/>
    <w:rsid w:val="0022141A"/>
    <w:rsid w:val="00221692"/>
    <w:rsid w:val="0022174E"/>
    <w:rsid w:val="00221A70"/>
    <w:rsid w:val="00221CE5"/>
    <w:rsid w:val="00221E7F"/>
    <w:rsid w:val="0022270C"/>
    <w:rsid w:val="00222995"/>
    <w:rsid w:val="002229AE"/>
    <w:rsid w:val="00222ACD"/>
    <w:rsid w:val="00222C0C"/>
    <w:rsid w:val="0022306E"/>
    <w:rsid w:val="002231B7"/>
    <w:rsid w:val="00223B7B"/>
    <w:rsid w:val="00223DB9"/>
    <w:rsid w:val="00223DF2"/>
    <w:rsid w:val="00223F8A"/>
    <w:rsid w:val="00224105"/>
    <w:rsid w:val="00224213"/>
    <w:rsid w:val="00224327"/>
    <w:rsid w:val="002245E3"/>
    <w:rsid w:val="00224730"/>
    <w:rsid w:val="002247A1"/>
    <w:rsid w:val="002247E2"/>
    <w:rsid w:val="002247EC"/>
    <w:rsid w:val="0022490F"/>
    <w:rsid w:val="00224937"/>
    <w:rsid w:val="00224E9F"/>
    <w:rsid w:val="00224FC8"/>
    <w:rsid w:val="00225757"/>
    <w:rsid w:val="00225791"/>
    <w:rsid w:val="00225923"/>
    <w:rsid w:val="00225D37"/>
    <w:rsid w:val="00225D9C"/>
    <w:rsid w:val="002269D3"/>
    <w:rsid w:val="00226A4E"/>
    <w:rsid w:val="00226C72"/>
    <w:rsid w:val="00226DF8"/>
    <w:rsid w:val="00227293"/>
    <w:rsid w:val="0022763C"/>
    <w:rsid w:val="00227648"/>
    <w:rsid w:val="00227721"/>
    <w:rsid w:val="00227BE5"/>
    <w:rsid w:val="00230476"/>
    <w:rsid w:val="0023067C"/>
    <w:rsid w:val="002306F0"/>
    <w:rsid w:val="00230B62"/>
    <w:rsid w:val="00230D8B"/>
    <w:rsid w:val="00230FDD"/>
    <w:rsid w:val="002312A0"/>
    <w:rsid w:val="00231371"/>
    <w:rsid w:val="002313AE"/>
    <w:rsid w:val="00231777"/>
    <w:rsid w:val="00231917"/>
    <w:rsid w:val="00231AF8"/>
    <w:rsid w:val="00231EFF"/>
    <w:rsid w:val="0023218A"/>
    <w:rsid w:val="0023241F"/>
    <w:rsid w:val="00232514"/>
    <w:rsid w:val="00232536"/>
    <w:rsid w:val="002335F3"/>
    <w:rsid w:val="002340A4"/>
    <w:rsid w:val="002346EB"/>
    <w:rsid w:val="0023480B"/>
    <w:rsid w:val="002348AA"/>
    <w:rsid w:val="00234ACF"/>
    <w:rsid w:val="0023572E"/>
    <w:rsid w:val="0023592C"/>
    <w:rsid w:val="00235D67"/>
    <w:rsid w:val="0023630E"/>
    <w:rsid w:val="0023635D"/>
    <w:rsid w:val="0023661F"/>
    <w:rsid w:val="00236C2E"/>
    <w:rsid w:val="00236CB0"/>
    <w:rsid w:val="00236CB8"/>
    <w:rsid w:val="00236CDC"/>
    <w:rsid w:val="00236E8C"/>
    <w:rsid w:val="00237A06"/>
    <w:rsid w:val="00240384"/>
    <w:rsid w:val="002403EE"/>
    <w:rsid w:val="0024061D"/>
    <w:rsid w:val="00240B62"/>
    <w:rsid w:val="00240C99"/>
    <w:rsid w:val="00240F71"/>
    <w:rsid w:val="00241517"/>
    <w:rsid w:val="00241794"/>
    <w:rsid w:val="00241887"/>
    <w:rsid w:val="002418CF"/>
    <w:rsid w:val="00241FB0"/>
    <w:rsid w:val="002420C7"/>
    <w:rsid w:val="00242235"/>
    <w:rsid w:val="002422E0"/>
    <w:rsid w:val="00242C51"/>
    <w:rsid w:val="00242D81"/>
    <w:rsid w:val="00243267"/>
    <w:rsid w:val="00243392"/>
    <w:rsid w:val="00243492"/>
    <w:rsid w:val="002434BA"/>
    <w:rsid w:val="002436E9"/>
    <w:rsid w:val="002437F0"/>
    <w:rsid w:val="00243849"/>
    <w:rsid w:val="00243868"/>
    <w:rsid w:val="00243BF8"/>
    <w:rsid w:val="00243E47"/>
    <w:rsid w:val="00243FB3"/>
    <w:rsid w:val="00244279"/>
    <w:rsid w:val="0024456C"/>
    <w:rsid w:val="00244AB6"/>
    <w:rsid w:val="002451ED"/>
    <w:rsid w:val="0024552B"/>
    <w:rsid w:val="0024565E"/>
    <w:rsid w:val="00245795"/>
    <w:rsid w:val="002458ED"/>
    <w:rsid w:val="002459D5"/>
    <w:rsid w:val="00246461"/>
    <w:rsid w:val="002467BD"/>
    <w:rsid w:val="002468E5"/>
    <w:rsid w:val="00246CB2"/>
    <w:rsid w:val="00246CE1"/>
    <w:rsid w:val="00246FAD"/>
    <w:rsid w:val="00247085"/>
    <w:rsid w:val="002479BF"/>
    <w:rsid w:val="00247AC7"/>
    <w:rsid w:val="00247B42"/>
    <w:rsid w:val="00247D25"/>
    <w:rsid w:val="00247D36"/>
    <w:rsid w:val="0024F3F5"/>
    <w:rsid w:val="00250660"/>
    <w:rsid w:val="002508A7"/>
    <w:rsid w:val="002508C0"/>
    <w:rsid w:val="002508D9"/>
    <w:rsid w:val="00250CFB"/>
    <w:rsid w:val="00250D35"/>
    <w:rsid w:val="00250E4E"/>
    <w:rsid w:val="00251231"/>
    <w:rsid w:val="002513DA"/>
    <w:rsid w:val="002513E3"/>
    <w:rsid w:val="00251862"/>
    <w:rsid w:val="00251B03"/>
    <w:rsid w:val="00251E52"/>
    <w:rsid w:val="00252399"/>
    <w:rsid w:val="00252844"/>
    <w:rsid w:val="002528DB"/>
    <w:rsid w:val="00252AEA"/>
    <w:rsid w:val="00252BCC"/>
    <w:rsid w:val="00252E42"/>
    <w:rsid w:val="002535F9"/>
    <w:rsid w:val="00253632"/>
    <w:rsid w:val="00253877"/>
    <w:rsid w:val="002538A8"/>
    <w:rsid w:val="00253966"/>
    <w:rsid w:val="00253A82"/>
    <w:rsid w:val="00253DD9"/>
    <w:rsid w:val="00254406"/>
    <w:rsid w:val="002547DC"/>
    <w:rsid w:val="0025495B"/>
    <w:rsid w:val="00254A76"/>
    <w:rsid w:val="00254B80"/>
    <w:rsid w:val="00254EAF"/>
    <w:rsid w:val="00254F76"/>
    <w:rsid w:val="00254FAC"/>
    <w:rsid w:val="00254FB5"/>
    <w:rsid w:val="002552D5"/>
    <w:rsid w:val="00255A71"/>
    <w:rsid w:val="00255E4F"/>
    <w:rsid w:val="00255FDD"/>
    <w:rsid w:val="0025610C"/>
    <w:rsid w:val="002561E1"/>
    <w:rsid w:val="00256830"/>
    <w:rsid w:val="00256F06"/>
    <w:rsid w:val="0025764B"/>
    <w:rsid w:val="00257D99"/>
    <w:rsid w:val="00260B2B"/>
    <w:rsid w:val="00260FBE"/>
    <w:rsid w:val="00261022"/>
    <w:rsid w:val="002611D5"/>
    <w:rsid w:val="0026121C"/>
    <w:rsid w:val="0026155F"/>
    <w:rsid w:val="0026170B"/>
    <w:rsid w:val="00261AD9"/>
    <w:rsid w:val="00262343"/>
    <w:rsid w:val="00262912"/>
    <w:rsid w:val="00262915"/>
    <w:rsid w:val="00262C2E"/>
    <w:rsid w:val="00262C97"/>
    <w:rsid w:val="00262CE6"/>
    <w:rsid w:val="00262FAC"/>
    <w:rsid w:val="002634CE"/>
    <w:rsid w:val="0026386D"/>
    <w:rsid w:val="002639F4"/>
    <w:rsid w:val="00263C93"/>
    <w:rsid w:val="00263CF9"/>
    <w:rsid w:val="00263F29"/>
    <w:rsid w:val="00263F4F"/>
    <w:rsid w:val="0026401B"/>
    <w:rsid w:val="002644BC"/>
    <w:rsid w:val="002646C6"/>
    <w:rsid w:val="002648CE"/>
    <w:rsid w:val="00264B84"/>
    <w:rsid w:val="00264FC4"/>
    <w:rsid w:val="00265332"/>
    <w:rsid w:val="0026560C"/>
    <w:rsid w:val="00265AF1"/>
    <w:rsid w:val="00265B79"/>
    <w:rsid w:val="002660E6"/>
    <w:rsid w:val="00266255"/>
    <w:rsid w:val="002665D0"/>
    <w:rsid w:val="002665ED"/>
    <w:rsid w:val="00266819"/>
    <w:rsid w:val="00266A63"/>
    <w:rsid w:val="00266AC5"/>
    <w:rsid w:val="00266F14"/>
    <w:rsid w:val="00266F99"/>
    <w:rsid w:val="00267183"/>
    <w:rsid w:val="002671CC"/>
    <w:rsid w:val="002673E5"/>
    <w:rsid w:val="0026756B"/>
    <w:rsid w:val="00267BEE"/>
    <w:rsid w:val="00270116"/>
    <w:rsid w:val="002701C7"/>
    <w:rsid w:val="002702F9"/>
    <w:rsid w:val="002703AF"/>
    <w:rsid w:val="0027068D"/>
    <w:rsid w:val="002706C2"/>
    <w:rsid w:val="00270734"/>
    <w:rsid w:val="00270768"/>
    <w:rsid w:val="0027099E"/>
    <w:rsid w:val="00271059"/>
    <w:rsid w:val="002710BB"/>
    <w:rsid w:val="00271173"/>
    <w:rsid w:val="0027148D"/>
    <w:rsid w:val="002715F6"/>
    <w:rsid w:val="0027212A"/>
    <w:rsid w:val="002722A1"/>
    <w:rsid w:val="0027279E"/>
    <w:rsid w:val="002727B0"/>
    <w:rsid w:val="002729F4"/>
    <w:rsid w:val="00272F77"/>
    <w:rsid w:val="002734D5"/>
    <w:rsid w:val="00273507"/>
    <w:rsid w:val="00273A32"/>
    <w:rsid w:val="00273C66"/>
    <w:rsid w:val="00273F16"/>
    <w:rsid w:val="00273F92"/>
    <w:rsid w:val="00273FB0"/>
    <w:rsid w:val="002740B1"/>
    <w:rsid w:val="00274451"/>
    <w:rsid w:val="0027461A"/>
    <w:rsid w:val="00274870"/>
    <w:rsid w:val="00274D06"/>
    <w:rsid w:val="00274F00"/>
    <w:rsid w:val="00274F67"/>
    <w:rsid w:val="00274FFC"/>
    <w:rsid w:val="00275039"/>
    <w:rsid w:val="00275207"/>
    <w:rsid w:val="002752AD"/>
    <w:rsid w:val="0027534D"/>
    <w:rsid w:val="00275667"/>
    <w:rsid w:val="00275792"/>
    <w:rsid w:val="00275876"/>
    <w:rsid w:val="00276132"/>
    <w:rsid w:val="00276179"/>
    <w:rsid w:val="0027622D"/>
    <w:rsid w:val="002765A5"/>
    <w:rsid w:val="002767E2"/>
    <w:rsid w:val="002768AA"/>
    <w:rsid w:val="002768DD"/>
    <w:rsid w:val="002769FD"/>
    <w:rsid w:val="00276A09"/>
    <w:rsid w:val="00276B00"/>
    <w:rsid w:val="00276B49"/>
    <w:rsid w:val="00276B92"/>
    <w:rsid w:val="00276D3D"/>
    <w:rsid w:val="00276EDD"/>
    <w:rsid w:val="00277055"/>
    <w:rsid w:val="00277A4A"/>
    <w:rsid w:val="00277A4C"/>
    <w:rsid w:val="00277FC3"/>
    <w:rsid w:val="00280138"/>
    <w:rsid w:val="0028025D"/>
    <w:rsid w:val="0028027C"/>
    <w:rsid w:val="0028049F"/>
    <w:rsid w:val="002808E1"/>
    <w:rsid w:val="00280A01"/>
    <w:rsid w:val="00280E61"/>
    <w:rsid w:val="00281158"/>
    <w:rsid w:val="00281FAB"/>
    <w:rsid w:val="0028214E"/>
    <w:rsid w:val="00282677"/>
    <w:rsid w:val="0028292D"/>
    <w:rsid w:val="00282B82"/>
    <w:rsid w:val="00282DED"/>
    <w:rsid w:val="00282ED2"/>
    <w:rsid w:val="002830B9"/>
    <w:rsid w:val="00283347"/>
    <w:rsid w:val="0028396B"/>
    <w:rsid w:val="00283A89"/>
    <w:rsid w:val="00283D04"/>
    <w:rsid w:val="00284106"/>
    <w:rsid w:val="002845ED"/>
    <w:rsid w:val="00284C8D"/>
    <w:rsid w:val="002851D2"/>
    <w:rsid w:val="00285214"/>
    <w:rsid w:val="002852CA"/>
    <w:rsid w:val="00285730"/>
    <w:rsid w:val="0028637D"/>
    <w:rsid w:val="002865D1"/>
    <w:rsid w:val="00286A86"/>
    <w:rsid w:val="00286DE3"/>
    <w:rsid w:val="002871CF"/>
    <w:rsid w:val="00287480"/>
    <w:rsid w:val="00287CC9"/>
    <w:rsid w:val="00287FE6"/>
    <w:rsid w:val="0029014D"/>
    <w:rsid w:val="00290235"/>
    <w:rsid w:val="0029090D"/>
    <w:rsid w:val="00290E81"/>
    <w:rsid w:val="00291053"/>
    <w:rsid w:val="0029118D"/>
    <w:rsid w:val="002916E5"/>
    <w:rsid w:val="00291A55"/>
    <w:rsid w:val="00291AD5"/>
    <w:rsid w:val="00291D71"/>
    <w:rsid w:val="00291F0D"/>
    <w:rsid w:val="002920E1"/>
    <w:rsid w:val="0029212B"/>
    <w:rsid w:val="00292430"/>
    <w:rsid w:val="00292435"/>
    <w:rsid w:val="002927D1"/>
    <w:rsid w:val="00292968"/>
    <w:rsid w:val="00292AC3"/>
    <w:rsid w:val="00292F07"/>
    <w:rsid w:val="002936E3"/>
    <w:rsid w:val="002937B3"/>
    <w:rsid w:val="0029380D"/>
    <w:rsid w:val="00293A2B"/>
    <w:rsid w:val="00293CE8"/>
    <w:rsid w:val="00293E83"/>
    <w:rsid w:val="00294453"/>
    <w:rsid w:val="00294667"/>
    <w:rsid w:val="00294D47"/>
    <w:rsid w:val="00294E44"/>
    <w:rsid w:val="00294F7C"/>
    <w:rsid w:val="00294F9C"/>
    <w:rsid w:val="00295000"/>
    <w:rsid w:val="00295B30"/>
    <w:rsid w:val="00295C81"/>
    <w:rsid w:val="0029613C"/>
    <w:rsid w:val="0029623A"/>
    <w:rsid w:val="00296656"/>
    <w:rsid w:val="00296766"/>
    <w:rsid w:val="00296823"/>
    <w:rsid w:val="00296A2B"/>
    <w:rsid w:val="00296A5F"/>
    <w:rsid w:val="00296BC3"/>
    <w:rsid w:val="002971DE"/>
    <w:rsid w:val="00297477"/>
    <w:rsid w:val="00297742"/>
    <w:rsid w:val="00297AC0"/>
    <w:rsid w:val="00297B2B"/>
    <w:rsid w:val="002A02A7"/>
    <w:rsid w:val="002A03CB"/>
    <w:rsid w:val="002A0581"/>
    <w:rsid w:val="002A0D29"/>
    <w:rsid w:val="002A0F34"/>
    <w:rsid w:val="002A1173"/>
    <w:rsid w:val="002A1F69"/>
    <w:rsid w:val="002A22A5"/>
    <w:rsid w:val="002A23FB"/>
    <w:rsid w:val="002A2403"/>
    <w:rsid w:val="002A278B"/>
    <w:rsid w:val="002A2896"/>
    <w:rsid w:val="002A2D3F"/>
    <w:rsid w:val="002A2F2A"/>
    <w:rsid w:val="002A33E0"/>
    <w:rsid w:val="002A3669"/>
    <w:rsid w:val="002A3BBA"/>
    <w:rsid w:val="002A3C1E"/>
    <w:rsid w:val="002A3FEA"/>
    <w:rsid w:val="002A406E"/>
    <w:rsid w:val="002A43AE"/>
    <w:rsid w:val="002A48E3"/>
    <w:rsid w:val="002A4A95"/>
    <w:rsid w:val="002A4DBE"/>
    <w:rsid w:val="002A53AE"/>
    <w:rsid w:val="002A5656"/>
    <w:rsid w:val="002A57FB"/>
    <w:rsid w:val="002A5868"/>
    <w:rsid w:val="002A5A6F"/>
    <w:rsid w:val="002A5D0A"/>
    <w:rsid w:val="002A5EE2"/>
    <w:rsid w:val="002A6198"/>
    <w:rsid w:val="002A63E4"/>
    <w:rsid w:val="002A66CC"/>
    <w:rsid w:val="002A6893"/>
    <w:rsid w:val="002A69F1"/>
    <w:rsid w:val="002A6C5C"/>
    <w:rsid w:val="002A6D45"/>
    <w:rsid w:val="002A6D49"/>
    <w:rsid w:val="002A6DFB"/>
    <w:rsid w:val="002A708D"/>
    <w:rsid w:val="002A70C3"/>
    <w:rsid w:val="002A7444"/>
    <w:rsid w:val="002A79B2"/>
    <w:rsid w:val="002A7C63"/>
    <w:rsid w:val="002A7E2E"/>
    <w:rsid w:val="002B0C81"/>
    <w:rsid w:val="002B1027"/>
    <w:rsid w:val="002B133B"/>
    <w:rsid w:val="002B1449"/>
    <w:rsid w:val="002B1635"/>
    <w:rsid w:val="002B1B69"/>
    <w:rsid w:val="002B1F56"/>
    <w:rsid w:val="002B2010"/>
    <w:rsid w:val="002B207B"/>
    <w:rsid w:val="002B21FB"/>
    <w:rsid w:val="002B265D"/>
    <w:rsid w:val="002B269B"/>
    <w:rsid w:val="002B2A29"/>
    <w:rsid w:val="002B2BC2"/>
    <w:rsid w:val="002B2BFA"/>
    <w:rsid w:val="002B2C3E"/>
    <w:rsid w:val="002B2D4A"/>
    <w:rsid w:val="002B31F7"/>
    <w:rsid w:val="002B32D9"/>
    <w:rsid w:val="002B34B7"/>
    <w:rsid w:val="002B370F"/>
    <w:rsid w:val="002B3A1C"/>
    <w:rsid w:val="002B3A7C"/>
    <w:rsid w:val="002B4A25"/>
    <w:rsid w:val="002B4ACE"/>
    <w:rsid w:val="002B51A9"/>
    <w:rsid w:val="002B55ED"/>
    <w:rsid w:val="002B567D"/>
    <w:rsid w:val="002B5D4E"/>
    <w:rsid w:val="002B6601"/>
    <w:rsid w:val="002B69EF"/>
    <w:rsid w:val="002B6A55"/>
    <w:rsid w:val="002B6C31"/>
    <w:rsid w:val="002B6D8B"/>
    <w:rsid w:val="002B6EF8"/>
    <w:rsid w:val="002B71E8"/>
    <w:rsid w:val="002B795C"/>
    <w:rsid w:val="002B7E00"/>
    <w:rsid w:val="002C0077"/>
    <w:rsid w:val="002C08A3"/>
    <w:rsid w:val="002C0A66"/>
    <w:rsid w:val="002C0AA4"/>
    <w:rsid w:val="002C131D"/>
    <w:rsid w:val="002C2170"/>
    <w:rsid w:val="002C2285"/>
    <w:rsid w:val="002C2BA4"/>
    <w:rsid w:val="002C2D1C"/>
    <w:rsid w:val="002C3423"/>
    <w:rsid w:val="002C349D"/>
    <w:rsid w:val="002C35BB"/>
    <w:rsid w:val="002C3928"/>
    <w:rsid w:val="002C3B65"/>
    <w:rsid w:val="002C3BCA"/>
    <w:rsid w:val="002C3C73"/>
    <w:rsid w:val="002C3FF0"/>
    <w:rsid w:val="002C41B7"/>
    <w:rsid w:val="002C4AB4"/>
    <w:rsid w:val="002C4DFC"/>
    <w:rsid w:val="002C501D"/>
    <w:rsid w:val="002C53E1"/>
    <w:rsid w:val="002C54A4"/>
    <w:rsid w:val="002C57B1"/>
    <w:rsid w:val="002C5872"/>
    <w:rsid w:val="002C58E2"/>
    <w:rsid w:val="002C5C33"/>
    <w:rsid w:val="002C5EE2"/>
    <w:rsid w:val="002C694E"/>
    <w:rsid w:val="002C6B80"/>
    <w:rsid w:val="002C6D49"/>
    <w:rsid w:val="002C6E35"/>
    <w:rsid w:val="002C707E"/>
    <w:rsid w:val="002C778D"/>
    <w:rsid w:val="002C78FB"/>
    <w:rsid w:val="002C794A"/>
    <w:rsid w:val="002C7BB3"/>
    <w:rsid w:val="002C7BD0"/>
    <w:rsid w:val="002C7F76"/>
    <w:rsid w:val="002D00CE"/>
    <w:rsid w:val="002D01C8"/>
    <w:rsid w:val="002D041B"/>
    <w:rsid w:val="002D0DEF"/>
    <w:rsid w:val="002D0E53"/>
    <w:rsid w:val="002D1092"/>
    <w:rsid w:val="002D11E0"/>
    <w:rsid w:val="002D1455"/>
    <w:rsid w:val="002D1F82"/>
    <w:rsid w:val="002D211E"/>
    <w:rsid w:val="002D2193"/>
    <w:rsid w:val="002D277F"/>
    <w:rsid w:val="002D2965"/>
    <w:rsid w:val="002D2B08"/>
    <w:rsid w:val="002D2BDD"/>
    <w:rsid w:val="002D2D77"/>
    <w:rsid w:val="002D2DC1"/>
    <w:rsid w:val="002D342D"/>
    <w:rsid w:val="002D3E95"/>
    <w:rsid w:val="002D3F04"/>
    <w:rsid w:val="002D3FB1"/>
    <w:rsid w:val="002D43A4"/>
    <w:rsid w:val="002D43E9"/>
    <w:rsid w:val="002D44F6"/>
    <w:rsid w:val="002D4974"/>
    <w:rsid w:val="002D656A"/>
    <w:rsid w:val="002D6AFE"/>
    <w:rsid w:val="002D7155"/>
    <w:rsid w:val="002D75DB"/>
    <w:rsid w:val="002D7744"/>
    <w:rsid w:val="002D780E"/>
    <w:rsid w:val="002D786D"/>
    <w:rsid w:val="002D7A74"/>
    <w:rsid w:val="002D7FA8"/>
    <w:rsid w:val="002DE290"/>
    <w:rsid w:val="002E0465"/>
    <w:rsid w:val="002E05CA"/>
    <w:rsid w:val="002E0784"/>
    <w:rsid w:val="002E0B01"/>
    <w:rsid w:val="002E0D00"/>
    <w:rsid w:val="002E1018"/>
    <w:rsid w:val="002E119C"/>
    <w:rsid w:val="002E141F"/>
    <w:rsid w:val="002E18F0"/>
    <w:rsid w:val="002E1B69"/>
    <w:rsid w:val="002E248C"/>
    <w:rsid w:val="002E24E7"/>
    <w:rsid w:val="002E2B39"/>
    <w:rsid w:val="002E34B9"/>
    <w:rsid w:val="002E3594"/>
    <w:rsid w:val="002E38CD"/>
    <w:rsid w:val="002E3A27"/>
    <w:rsid w:val="002E3E25"/>
    <w:rsid w:val="002E3E9D"/>
    <w:rsid w:val="002E41DA"/>
    <w:rsid w:val="002E4B36"/>
    <w:rsid w:val="002E4C2E"/>
    <w:rsid w:val="002E4E4C"/>
    <w:rsid w:val="002E4EF3"/>
    <w:rsid w:val="002E52BF"/>
    <w:rsid w:val="002E5300"/>
    <w:rsid w:val="002E54E1"/>
    <w:rsid w:val="002E5903"/>
    <w:rsid w:val="002E593E"/>
    <w:rsid w:val="002E5A50"/>
    <w:rsid w:val="002E5BFC"/>
    <w:rsid w:val="002E5F34"/>
    <w:rsid w:val="002E5FE1"/>
    <w:rsid w:val="002E60E5"/>
    <w:rsid w:val="002E61BA"/>
    <w:rsid w:val="002E69E0"/>
    <w:rsid w:val="002E6AC4"/>
    <w:rsid w:val="002E6E24"/>
    <w:rsid w:val="002E6F26"/>
    <w:rsid w:val="002E75D8"/>
    <w:rsid w:val="002E7BC3"/>
    <w:rsid w:val="002F0019"/>
    <w:rsid w:val="002F016E"/>
    <w:rsid w:val="002F032C"/>
    <w:rsid w:val="002F05DC"/>
    <w:rsid w:val="002F07DA"/>
    <w:rsid w:val="002F08F6"/>
    <w:rsid w:val="002F0B21"/>
    <w:rsid w:val="002F0DA4"/>
    <w:rsid w:val="002F0F1F"/>
    <w:rsid w:val="002F1189"/>
    <w:rsid w:val="002F139C"/>
    <w:rsid w:val="002F13A4"/>
    <w:rsid w:val="002F13BB"/>
    <w:rsid w:val="002F14A1"/>
    <w:rsid w:val="002F1B42"/>
    <w:rsid w:val="002F207B"/>
    <w:rsid w:val="002F22D9"/>
    <w:rsid w:val="002F23C7"/>
    <w:rsid w:val="002F2565"/>
    <w:rsid w:val="002F27BB"/>
    <w:rsid w:val="002F28AD"/>
    <w:rsid w:val="002F3197"/>
    <w:rsid w:val="002F3368"/>
    <w:rsid w:val="002F3B88"/>
    <w:rsid w:val="002F3BAE"/>
    <w:rsid w:val="002F3D1E"/>
    <w:rsid w:val="002F3E0E"/>
    <w:rsid w:val="002F3EB7"/>
    <w:rsid w:val="002F40D6"/>
    <w:rsid w:val="002F411B"/>
    <w:rsid w:val="002F4573"/>
    <w:rsid w:val="002F4606"/>
    <w:rsid w:val="002F464E"/>
    <w:rsid w:val="002F4A83"/>
    <w:rsid w:val="002F4E36"/>
    <w:rsid w:val="002F531F"/>
    <w:rsid w:val="002F5600"/>
    <w:rsid w:val="002F582A"/>
    <w:rsid w:val="002F5A25"/>
    <w:rsid w:val="002F5B6B"/>
    <w:rsid w:val="002F5F4D"/>
    <w:rsid w:val="002F67B5"/>
    <w:rsid w:val="002F6AF1"/>
    <w:rsid w:val="002F6B47"/>
    <w:rsid w:val="002F6F6B"/>
    <w:rsid w:val="002F6FD5"/>
    <w:rsid w:val="002F7075"/>
    <w:rsid w:val="002F75AD"/>
    <w:rsid w:val="002F7A6B"/>
    <w:rsid w:val="002F7C12"/>
    <w:rsid w:val="002F7CE0"/>
    <w:rsid w:val="002F7CF2"/>
    <w:rsid w:val="002F7E8A"/>
    <w:rsid w:val="002F7F6C"/>
    <w:rsid w:val="0030029E"/>
    <w:rsid w:val="00300515"/>
    <w:rsid w:val="00300667"/>
    <w:rsid w:val="00300818"/>
    <w:rsid w:val="00300916"/>
    <w:rsid w:val="00300942"/>
    <w:rsid w:val="00300A00"/>
    <w:rsid w:val="00300A95"/>
    <w:rsid w:val="00300F6D"/>
    <w:rsid w:val="00301244"/>
    <w:rsid w:val="0030136A"/>
    <w:rsid w:val="00301CCE"/>
    <w:rsid w:val="00301CEF"/>
    <w:rsid w:val="00301CFA"/>
    <w:rsid w:val="00301F13"/>
    <w:rsid w:val="00301F3F"/>
    <w:rsid w:val="003020E6"/>
    <w:rsid w:val="003026B8"/>
    <w:rsid w:val="003028C4"/>
    <w:rsid w:val="00302BD3"/>
    <w:rsid w:val="003036DF"/>
    <w:rsid w:val="00304034"/>
    <w:rsid w:val="00304253"/>
    <w:rsid w:val="0030431E"/>
    <w:rsid w:val="003043AE"/>
    <w:rsid w:val="0030498F"/>
    <w:rsid w:val="00304ED1"/>
    <w:rsid w:val="003050A3"/>
    <w:rsid w:val="0030526E"/>
    <w:rsid w:val="003058FA"/>
    <w:rsid w:val="00306157"/>
    <w:rsid w:val="00306A6D"/>
    <w:rsid w:val="00306E73"/>
    <w:rsid w:val="00306FC5"/>
    <w:rsid w:val="003072CE"/>
    <w:rsid w:val="0030750F"/>
    <w:rsid w:val="00307629"/>
    <w:rsid w:val="003076A6"/>
    <w:rsid w:val="0030770B"/>
    <w:rsid w:val="00307A31"/>
    <w:rsid w:val="00307E8D"/>
    <w:rsid w:val="00310264"/>
    <w:rsid w:val="00310310"/>
    <w:rsid w:val="00310321"/>
    <w:rsid w:val="0031048E"/>
    <w:rsid w:val="003106C7"/>
    <w:rsid w:val="00310E15"/>
    <w:rsid w:val="00311361"/>
    <w:rsid w:val="00311453"/>
    <w:rsid w:val="003114BA"/>
    <w:rsid w:val="003114E1"/>
    <w:rsid w:val="00311C5B"/>
    <w:rsid w:val="0031233C"/>
    <w:rsid w:val="0031293D"/>
    <w:rsid w:val="00312A0C"/>
    <w:rsid w:val="00312CEB"/>
    <w:rsid w:val="00312FB3"/>
    <w:rsid w:val="00313119"/>
    <w:rsid w:val="00313429"/>
    <w:rsid w:val="00313CF8"/>
    <w:rsid w:val="00313DFE"/>
    <w:rsid w:val="00314C7C"/>
    <w:rsid w:val="00314DB0"/>
    <w:rsid w:val="00314DC5"/>
    <w:rsid w:val="00314EA5"/>
    <w:rsid w:val="0031536F"/>
    <w:rsid w:val="0031553D"/>
    <w:rsid w:val="00315625"/>
    <w:rsid w:val="003159EE"/>
    <w:rsid w:val="00315A43"/>
    <w:rsid w:val="00315D17"/>
    <w:rsid w:val="00315DC2"/>
    <w:rsid w:val="00315F96"/>
    <w:rsid w:val="00316370"/>
    <w:rsid w:val="0031683E"/>
    <w:rsid w:val="00316F27"/>
    <w:rsid w:val="003172DB"/>
    <w:rsid w:val="0031736C"/>
    <w:rsid w:val="0032028A"/>
    <w:rsid w:val="00320457"/>
    <w:rsid w:val="0032062D"/>
    <w:rsid w:val="003206EE"/>
    <w:rsid w:val="00320EB1"/>
    <w:rsid w:val="00320FBC"/>
    <w:rsid w:val="00321050"/>
    <w:rsid w:val="003213FE"/>
    <w:rsid w:val="0032151A"/>
    <w:rsid w:val="003216C3"/>
    <w:rsid w:val="00321AEF"/>
    <w:rsid w:val="00321D36"/>
    <w:rsid w:val="00321FB6"/>
    <w:rsid w:val="00322103"/>
    <w:rsid w:val="0032319A"/>
    <w:rsid w:val="00323211"/>
    <w:rsid w:val="0032324C"/>
    <w:rsid w:val="003232FC"/>
    <w:rsid w:val="0032387A"/>
    <w:rsid w:val="00323978"/>
    <w:rsid w:val="00323D7A"/>
    <w:rsid w:val="00323EE5"/>
    <w:rsid w:val="003245C1"/>
    <w:rsid w:val="0032482D"/>
    <w:rsid w:val="003248C7"/>
    <w:rsid w:val="00324932"/>
    <w:rsid w:val="00324CB5"/>
    <w:rsid w:val="00324E10"/>
    <w:rsid w:val="00324EBB"/>
    <w:rsid w:val="0032534A"/>
    <w:rsid w:val="0032584E"/>
    <w:rsid w:val="00325A42"/>
    <w:rsid w:val="00326135"/>
    <w:rsid w:val="00326209"/>
    <w:rsid w:val="00326A9E"/>
    <w:rsid w:val="00326CD8"/>
    <w:rsid w:val="00327007"/>
    <w:rsid w:val="00327040"/>
    <w:rsid w:val="003270C6"/>
    <w:rsid w:val="00327548"/>
    <w:rsid w:val="00327590"/>
    <w:rsid w:val="003276F2"/>
    <w:rsid w:val="003277ED"/>
    <w:rsid w:val="00327A7F"/>
    <w:rsid w:val="00327BA5"/>
    <w:rsid w:val="00327BDA"/>
    <w:rsid w:val="00330794"/>
    <w:rsid w:val="00330A1B"/>
    <w:rsid w:val="00330C44"/>
    <w:rsid w:val="00330C56"/>
    <w:rsid w:val="00330D9C"/>
    <w:rsid w:val="0033104C"/>
    <w:rsid w:val="00331175"/>
    <w:rsid w:val="003321D0"/>
    <w:rsid w:val="003322B4"/>
    <w:rsid w:val="003322C8"/>
    <w:rsid w:val="00332373"/>
    <w:rsid w:val="003329E5"/>
    <w:rsid w:val="003330B1"/>
    <w:rsid w:val="003333CA"/>
    <w:rsid w:val="00333F91"/>
    <w:rsid w:val="00333FC9"/>
    <w:rsid w:val="00334896"/>
    <w:rsid w:val="00334C76"/>
    <w:rsid w:val="00334D3B"/>
    <w:rsid w:val="00335440"/>
    <w:rsid w:val="0033557C"/>
    <w:rsid w:val="003356B0"/>
    <w:rsid w:val="00335727"/>
    <w:rsid w:val="0033593C"/>
    <w:rsid w:val="00335954"/>
    <w:rsid w:val="00335C22"/>
    <w:rsid w:val="00335CD1"/>
    <w:rsid w:val="0033614B"/>
    <w:rsid w:val="0033617C"/>
    <w:rsid w:val="003361C7"/>
    <w:rsid w:val="00336473"/>
    <w:rsid w:val="0033653F"/>
    <w:rsid w:val="00336CB5"/>
    <w:rsid w:val="00336D7A"/>
    <w:rsid w:val="00336F92"/>
    <w:rsid w:val="003370FB"/>
    <w:rsid w:val="0033725B"/>
    <w:rsid w:val="00337260"/>
    <w:rsid w:val="0033749E"/>
    <w:rsid w:val="0033760C"/>
    <w:rsid w:val="0033781E"/>
    <w:rsid w:val="0033788E"/>
    <w:rsid w:val="00337BFF"/>
    <w:rsid w:val="00337E9E"/>
    <w:rsid w:val="00337F51"/>
    <w:rsid w:val="00340327"/>
    <w:rsid w:val="0034089E"/>
    <w:rsid w:val="003409D3"/>
    <w:rsid w:val="003412C3"/>
    <w:rsid w:val="00341A74"/>
    <w:rsid w:val="00341D81"/>
    <w:rsid w:val="00342C05"/>
    <w:rsid w:val="00342D28"/>
    <w:rsid w:val="00342FEF"/>
    <w:rsid w:val="00343319"/>
    <w:rsid w:val="0034369F"/>
    <w:rsid w:val="00343A85"/>
    <w:rsid w:val="00343AB8"/>
    <w:rsid w:val="00343E14"/>
    <w:rsid w:val="00343E25"/>
    <w:rsid w:val="00343EBA"/>
    <w:rsid w:val="003442BA"/>
    <w:rsid w:val="00344559"/>
    <w:rsid w:val="00344783"/>
    <w:rsid w:val="003448C8"/>
    <w:rsid w:val="00344AD8"/>
    <w:rsid w:val="00344B3C"/>
    <w:rsid w:val="00344BAF"/>
    <w:rsid w:val="00344D3E"/>
    <w:rsid w:val="00344D81"/>
    <w:rsid w:val="00344E19"/>
    <w:rsid w:val="00344F60"/>
    <w:rsid w:val="0034503C"/>
    <w:rsid w:val="0034519E"/>
    <w:rsid w:val="003455DC"/>
    <w:rsid w:val="00345639"/>
    <w:rsid w:val="003456A0"/>
    <w:rsid w:val="003457E4"/>
    <w:rsid w:val="0034584B"/>
    <w:rsid w:val="003458EA"/>
    <w:rsid w:val="00345DCF"/>
    <w:rsid w:val="00346E21"/>
    <w:rsid w:val="00346EB1"/>
    <w:rsid w:val="00346EF7"/>
    <w:rsid w:val="00347023"/>
    <w:rsid w:val="00347069"/>
    <w:rsid w:val="00347521"/>
    <w:rsid w:val="00347733"/>
    <w:rsid w:val="00347895"/>
    <w:rsid w:val="00347899"/>
    <w:rsid w:val="00347B6A"/>
    <w:rsid w:val="00347F57"/>
    <w:rsid w:val="00347FC3"/>
    <w:rsid w:val="003506CE"/>
    <w:rsid w:val="00350C3B"/>
    <w:rsid w:val="00351367"/>
    <w:rsid w:val="0035142A"/>
    <w:rsid w:val="00351589"/>
    <w:rsid w:val="003515F7"/>
    <w:rsid w:val="00351860"/>
    <w:rsid w:val="003518E0"/>
    <w:rsid w:val="00352028"/>
    <w:rsid w:val="0035265F"/>
    <w:rsid w:val="00352B90"/>
    <w:rsid w:val="00353736"/>
    <w:rsid w:val="0035376C"/>
    <w:rsid w:val="00353778"/>
    <w:rsid w:val="003538C5"/>
    <w:rsid w:val="00353F82"/>
    <w:rsid w:val="00354192"/>
    <w:rsid w:val="00354507"/>
    <w:rsid w:val="00354886"/>
    <w:rsid w:val="00354939"/>
    <w:rsid w:val="00354A81"/>
    <w:rsid w:val="00354BB8"/>
    <w:rsid w:val="00354C9F"/>
    <w:rsid w:val="0035540A"/>
    <w:rsid w:val="0035586A"/>
    <w:rsid w:val="0035605A"/>
    <w:rsid w:val="00356CD7"/>
    <w:rsid w:val="00356D81"/>
    <w:rsid w:val="0035708B"/>
    <w:rsid w:val="00357A43"/>
    <w:rsid w:val="00357E75"/>
    <w:rsid w:val="00357F84"/>
    <w:rsid w:val="003600F2"/>
    <w:rsid w:val="00360199"/>
    <w:rsid w:val="003604FF"/>
    <w:rsid w:val="003608C1"/>
    <w:rsid w:val="00360946"/>
    <w:rsid w:val="00360EC7"/>
    <w:rsid w:val="0036101A"/>
    <w:rsid w:val="00361522"/>
    <w:rsid w:val="00361F8D"/>
    <w:rsid w:val="003623FF"/>
    <w:rsid w:val="00362498"/>
    <w:rsid w:val="00362695"/>
    <w:rsid w:val="00362924"/>
    <w:rsid w:val="00362EBE"/>
    <w:rsid w:val="00363095"/>
    <w:rsid w:val="003630B4"/>
    <w:rsid w:val="003633E8"/>
    <w:rsid w:val="00363528"/>
    <w:rsid w:val="0036361E"/>
    <w:rsid w:val="003639E2"/>
    <w:rsid w:val="00363A69"/>
    <w:rsid w:val="00363FB4"/>
    <w:rsid w:val="00364129"/>
    <w:rsid w:val="0036415D"/>
    <w:rsid w:val="003641E5"/>
    <w:rsid w:val="00364454"/>
    <w:rsid w:val="003647BD"/>
    <w:rsid w:val="00364ACB"/>
    <w:rsid w:val="00364BD6"/>
    <w:rsid w:val="00364D00"/>
    <w:rsid w:val="00364E7E"/>
    <w:rsid w:val="00365509"/>
    <w:rsid w:val="00365BD3"/>
    <w:rsid w:val="00365D6D"/>
    <w:rsid w:val="003660EC"/>
    <w:rsid w:val="00366215"/>
    <w:rsid w:val="00366298"/>
    <w:rsid w:val="00366463"/>
    <w:rsid w:val="00366954"/>
    <w:rsid w:val="00366983"/>
    <w:rsid w:val="00366E3D"/>
    <w:rsid w:val="00366F9C"/>
    <w:rsid w:val="00366FEA"/>
    <w:rsid w:val="0036739D"/>
    <w:rsid w:val="00367971"/>
    <w:rsid w:val="003700D1"/>
    <w:rsid w:val="003702F4"/>
    <w:rsid w:val="00370833"/>
    <w:rsid w:val="00370E89"/>
    <w:rsid w:val="00371079"/>
    <w:rsid w:val="003710EE"/>
    <w:rsid w:val="0037130F"/>
    <w:rsid w:val="0037138A"/>
    <w:rsid w:val="0037142D"/>
    <w:rsid w:val="003719C0"/>
    <w:rsid w:val="00371D5D"/>
    <w:rsid w:val="0037238B"/>
    <w:rsid w:val="00372510"/>
    <w:rsid w:val="003729B3"/>
    <w:rsid w:val="00372F36"/>
    <w:rsid w:val="00372F73"/>
    <w:rsid w:val="0037318C"/>
    <w:rsid w:val="00373352"/>
    <w:rsid w:val="0037336C"/>
    <w:rsid w:val="003733B4"/>
    <w:rsid w:val="00373F95"/>
    <w:rsid w:val="003741FF"/>
    <w:rsid w:val="003744D2"/>
    <w:rsid w:val="003747BE"/>
    <w:rsid w:val="00374884"/>
    <w:rsid w:val="00374A90"/>
    <w:rsid w:val="00374A93"/>
    <w:rsid w:val="00374F73"/>
    <w:rsid w:val="00375153"/>
    <w:rsid w:val="00375498"/>
    <w:rsid w:val="00375517"/>
    <w:rsid w:val="00375575"/>
    <w:rsid w:val="00375829"/>
    <w:rsid w:val="00375E21"/>
    <w:rsid w:val="00375F78"/>
    <w:rsid w:val="0037656C"/>
    <w:rsid w:val="0037657A"/>
    <w:rsid w:val="0037659C"/>
    <w:rsid w:val="00376662"/>
    <w:rsid w:val="00376742"/>
    <w:rsid w:val="00376DA2"/>
    <w:rsid w:val="00376FD2"/>
    <w:rsid w:val="003773CC"/>
    <w:rsid w:val="00377851"/>
    <w:rsid w:val="003805D1"/>
    <w:rsid w:val="00380812"/>
    <w:rsid w:val="0038097A"/>
    <w:rsid w:val="003810B3"/>
    <w:rsid w:val="003812F3"/>
    <w:rsid w:val="00381315"/>
    <w:rsid w:val="0038148D"/>
    <w:rsid w:val="00381999"/>
    <w:rsid w:val="00381F71"/>
    <w:rsid w:val="003820C4"/>
    <w:rsid w:val="0038238C"/>
    <w:rsid w:val="00382595"/>
    <w:rsid w:val="00382623"/>
    <w:rsid w:val="00382738"/>
    <w:rsid w:val="003829B6"/>
    <w:rsid w:val="00382AE1"/>
    <w:rsid w:val="00382C05"/>
    <w:rsid w:val="00382FA7"/>
    <w:rsid w:val="00383440"/>
    <w:rsid w:val="003834AB"/>
    <w:rsid w:val="00383544"/>
    <w:rsid w:val="00383BE0"/>
    <w:rsid w:val="00383EB6"/>
    <w:rsid w:val="00384C0F"/>
    <w:rsid w:val="00384E36"/>
    <w:rsid w:val="00385477"/>
    <w:rsid w:val="003854E0"/>
    <w:rsid w:val="00385B5A"/>
    <w:rsid w:val="00385D0F"/>
    <w:rsid w:val="00385FA9"/>
    <w:rsid w:val="003862A8"/>
    <w:rsid w:val="0038669D"/>
    <w:rsid w:val="00386896"/>
    <w:rsid w:val="00386B49"/>
    <w:rsid w:val="003870BD"/>
    <w:rsid w:val="00387397"/>
    <w:rsid w:val="003873B4"/>
    <w:rsid w:val="0038750B"/>
    <w:rsid w:val="0038797F"/>
    <w:rsid w:val="00387A1D"/>
    <w:rsid w:val="00387D00"/>
    <w:rsid w:val="00387F81"/>
    <w:rsid w:val="00390184"/>
    <w:rsid w:val="00390F1D"/>
    <w:rsid w:val="00391466"/>
    <w:rsid w:val="003917BA"/>
    <w:rsid w:val="003917D3"/>
    <w:rsid w:val="00391A97"/>
    <w:rsid w:val="00392550"/>
    <w:rsid w:val="00392921"/>
    <w:rsid w:val="00392933"/>
    <w:rsid w:val="00392CAE"/>
    <w:rsid w:val="003930BC"/>
    <w:rsid w:val="003934F3"/>
    <w:rsid w:val="00393D24"/>
    <w:rsid w:val="00393E97"/>
    <w:rsid w:val="00393FE4"/>
    <w:rsid w:val="0039416A"/>
    <w:rsid w:val="003941F9"/>
    <w:rsid w:val="003942E5"/>
    <w:rsid w:val="0039451D"/>
    <w:rsid w:val="003945FC"/>
    <w:rsid w:val="0039472C"/>
    <w:rsid w:val="003947B6"/>
    <w:rsid w:val="0039484E"/>
    <w:rsid w:val="00394A7C"/>
    <w:rsid w:val="00395094"/>
    <w:rsid w:val="00395117"/>
    <w:rsid w:val="003953B8"/>
    <w:rsid w:val="00395467"/>
    <w:rsid w:val="003955EB"/>
    <w:rsid w:val="003957FA"/>
    <w:rsid w:val="00395E49"/>
    <w:rsid w:val="003960D9"/>
    <w:rsid w:val="00396218"/>
    <w:rsid w:val="00396450"/>
    <w:rsid w:val="003965E4"/>
    <w:rsid w:val="0039677C"/>
    <w:rsid w:val="003967B4"/>
    <w:rsid w:val="00396887"/>
    <w:rsid w:val="003968C3"/>
    <w:rsid w:val="00396975"/>
    <w:rsid w:val="003970C8"/>
    <w:rsid w:val="0039729F"/>
    <w:rsid w:val="00397375"/>
    <w:rsid w:val="003976FE"/>
    <w:rsid w:val="003978B9"/>
    <w:rsid w:val="00397E68"/>
    <w:rsid w:val="003A00C7"/>
    <w:rsid w:val="003A0560"/>
    <w:rsid w:val="003A08E7"/>
    <w:rsid w:val="003A09F9"/>
    <w:rsid w:val="003A0A21"/>
    <w:rsid w:val="003A0A95"/>
    <w:rsid w:val="003A1002"/>
    <w:rsid w:val="003A103A"/>
    <w:rsid w:val="003A1740"/>
    <w:rsid w:val="003A1A5E"/>
    <w:rsid w:val="003A1ADC"/>
    <w:rsid w:val="003A1B84"/>
    <w:rsid w:val="003A1CA3"/>
    <w:rsid w:val="003A2275"/>
    <w:rsid w:val="003A267B"/>
    <w:rsid w:val="003A2A50"/>
    <w:rsid w:val="003A2A6C"/>
    <w:rsid w:val="003A2EA1"/>
    <w:rsid w:val="003A2FEE"/>
    <w:rsid w:val="003A36BA"/>
    <w:rsid w:val="003A38E9"/>
    <w:rsid w:val="003A3B7B"/>
    <w:rsid w:val="003A3BB1"/>
    <w:rsid w:val="003A45AD"/>
    <w:rsid w:val="003A4939"/>
    <w:rsid w:val="003A4CDA"/>
    <w:rsid w:val="003A4D8F"/>
    <w:rsid w:val="003A4FC5"/>
    <w:rsid w:val="003A5859"/>
    <w:rsid w:val="003A6257"/>
    <w:rsid w:val="003A6695"/>
    <w:rsid w:val="003A6AF3"/>
    <w:rsid w:val="003A6B8D"/>
    <w:rsid w:val="003A6D93"/>
    <w:rsid w:val="003A6EE1"/>
    <w:rsid w:val="003A6F49"/>
    <w:rsid w:val="003A7008"/>
    <w:rsid w:val="003A718F"/>
    <w:rsid w:val="003A73C2"/>
    <w:rsid w:val="003A75D2"/>
    <w:rsid w:val="003A7AF2"/>
    <w:rsid w:val="003A7BD6"/>
    <w:rsid w:val="003A7C97"/>
    <w:rsid w:val="003A7EBB"/>
    <w:rsid w:val="003B0362"/>
    <w:rsid w:val="003B060B"/>
    <w:rsid w:val="003B0703"/>
    <w:rsid w:val="003B0CFB"/>
    <w:rsid w:val="003B0D52"/>
    <w:rsid w:val="003B10B0"/>
    <w:rsid w:val="003B1262"/>
    <w:rsid w:val="003B132E"/>
    <w:rsid w:val="003B136F"/>
    <w:rsid w:val="003B142A"/>
    <w:rsid w:val="003B1945"/>
    <w:rsid w:val="003B1ABD"/>
    <w:rsid w:val="003B1AE6"/>
    <w:rsid w:val="003B1BA7"/>
    <w:rsid w:val="003B1CC5"/>
    <w:rsid w:val="003B216D"/>
    <w:rsid w:val="003B2292"/>
    <w:rsid w:val="003B2517"/>
    <w:rsid w:val="003B25CE"/>
    <w:rsid w:val="003B2946"/>
    <w:rsid w:val="003B2BC3"/>
    <w:rsid w:val="003B2EF3"/>
    <w:rsid w:val="003B2FA9"/>
    <w:rsid w:val="003B32F1"/>
    <w:rsid w:val="003B32F8"/>
    <w:rsid w:val="003B3570"/>
    <w:rsid w:val="003B36D3"/>
    <w:rsid w:val="003B3828"/>
    <w:rsid w:val="003B430F"/>
    <w:rsid w:val="003B46D6"/>
    <w:rsid w:val="003B48B4"/>
    <w:rsid w:val="003B4CB2"/>
    <w:rsid w:val="003B558F"/>
    <w:rsid w:val="003B5E01"/>
    <w:rsid w:val="003B5F30"/>
    <w:rsid w:val="003B6080"/>
    <w:rsid w:val="003B6715"/>
    <w:rsid w:val="003B6842"/>
    <w:rsid w:val="003B68A5"/>
    <w:rsid w:val="003B68A6"/>
    <w:rsid w:val="003B71E6"/>
    <w:rsid w:val="003B75FA"/>
    <w:rsid w:val="003B7614"/>
    <w:rsid w:val="003B7742"/>
    <w:rsid w:val="003B7854"/>
    <w:rsid w:val="003B7945"/>
    <w:rsid w:val="003B79F1"/>
    <w:rsid w:val="003B7C01"/>
    <w:rsid w:val="003B7C04"/>
    <w:rsid w:val="003B7C5E"/>
    <w:rsid w:val="003B7D0A"/>
    <w:rsid w:val="003B7E18"/>
    <w:rsid w:val="003C02C5"/>
    <w:rsid w:val="003C0431"/>
    <w:rsid w:val="003C091A"/>
    <w:rsid w:val="003C092C"/>
    <w:rsid w:val="003C09D4"/>
    <w:rsid w:val="003C0A25"/>
    <w:rsid w:val="003C0D85"/>
    <w:rsid w:val="003C0DC2"/>
    <w:rsid w:val="003C0DE9"/>
    <w:rsid w:val="003C0F94"/>
    <w:rsid w:val="003C118A"/>
    <w:rsid w:val="003C123F"/>
    <w:rsid w:val="003C134C"/>
    <w:rsid w:val="003C1425"/>
    <w:rsid w:val="003C1CAF"/>
    <w:rsid w:val="003C228F"/>
    <w:rsid w:val="003C22D4"/>
    <w:rsid w:val="003C293C"/>
    <w:rsid w:val="003C2D82"/>
    <w:rsid w:val="003C2DF4"/>
    <w:rsid w:val="003C357E"/>
    <w:rsid w:val="003C36DB"/>
    <w:rsid w:val="003C3975"/>
    <w:rsid w:val="003C4672"/>
    <w:rsid w:val="003C478C"/>
    <w:rsid w:val="003C4A51"/>
    <w:rsid w:val="003C544B"/>
    <w:rsid w:val="003C5522"/>
    <w:rsid w:val="003C568C"/>
    <w:rsid w:val="003C5982"/>
    <w:rsid w:val="003C5B2E"/>
    <w:rsid w:val="003C5DBA"/>
    <w:rsid w:val="003C6336"/>
    <w:rsid w:val="003C6FF8"/>
    <w:rsid w:val="003C730F"/>
    <w:rsid w:val="003C747D"/>
    <w:rsid w:val="003C7C1E"/>
    <w:rsid w:val="003C7DA4"/>
    <w:rsid w:val="003D0522"/>
    <w:rsid w:val="003D0895"/>
    <w:rsid w:val="003D08EF"/>
    <w:rsid w:val="003D09EE"/>
    <w:rsid w:val="003D0A88"/>
    <w:rsid w:val="003D156B"/>
    <w:rsid w:val="003D2089"/>
    <w:rsid w:val="003D214E"/>
    <w:rsid w:val="003D2718"/>
    <w:rsid w:val="003D2FC8"/>
    <w:rsid w:val="003D317B"/>
    <w:rsid w:val="003D37B1"/>
    <w:rsid w:val="003D3B34"/>
    <w:rsid w:val="003D3C35"/>
    <w:rsid w:val="003D4111"/>
    <w:rsid w:val="003D4174"/>
    <w:rsid w:val="003D42EA"/>
    <w:rsid w:val="003D46B2"/>
    <w:rsid w:val="003D4702"/>
    <w:rsid w:val="003D4897"/>
    <w:rsid w:val="003D4935"/>
    <w:rsid w:val="003D4AB0"/>
    <w:rsid w:val="003D4C5A"/>
    <w:rsid w:val="003D54BD"/>
    <w:rsid w:val="003D564E"/>
    <w:rsid w:val="003D565E"/>
    <w:rsid w:val="003D56ED"/>
    <w:rsid w:val="003D5BC6"/>
    <w:rsid w:val="003D5DB8"/>
    <w:rsid w:val="003D605C"/>
    <w:rsid w:val="003D62AF"/>
    <w:rsid w:val="003D62C0"/>
    <w:rsid w:val="003D6AD5"/>
    <w:rsid w:val="003D6C1B"/>
    <w:rsid w:val="003D70C3"/>
    <w:rsid w:val="003D7131"/>
    <w:rsid w:val="003D73BF"/>
    <w:rsid w:val="003D746C"/>
    <w:rsid w:val="003D75D5"/>
    <w:rsid w:val="003D78B3"/>
    <w:rsid w:val="003D7C0D"/>
    <w:rsid w:val="003E015D"/>
    <w:rsid w:val="003E03F2"/>
    <w:rsid w:val="003E04C2"/>
    <w:rsid w:val="003E04F8"/>
    <w:rsid w:val="003E0859"/>
    <w:rsid w:val="003E0BE1"/>
    <w:rsid w:val="003E0D64"/>
    <w:rsid w:val="003E0FAD"/>
    <w:rsid w:val="003E12D8"/>
    <w:rsid w:val="003E1317"/>
    <w:rsid w:val="003E16F1"/>
    <w:rsid w:val="003E1B33"/>
    <w:rsid w:val="003E28E7"/>
    <w:rsid w:val="003E314E"/>
    <w:rsid w:val="003E34B3"/>
    <w:rsid w:val="003E36DC"/>
    <w:rsid w:val="003E375A"/>
    <w:rsid w:val="003E388B"/>
    <w:rsid w:val="003E3A00"/>
    <w:rsid w:val="003E4521"/>
    <w:rsid w:val="003E4565"/>
    <w:rsid w:val="003E45C0"/>
    <w:rsid w:val="003E464D"/>
    <w:rsid w:val="003E4859"/>
    <w:rsid w:val="003E54EA"/>
    <w:rsid w:val="003E59B8"/>
    <w:rsid w:val="003E6398"/>
    <w:rsid w:val="003E63DD"/>
    <w:rsid w:val="003E678A"/>
    <w:rsid w:val="003E67AF"/>
    <w:rsid w:val="003E6BA5"/>
    <w:rsid w:val="003E6C1E"/>
    <w:rsid w:val="003E6C8F"/>
    <w:rsid w:val="003E6D73"/>
    <w:rsid w:val="003E6E8B"/>
    <w:rsid w:val="003E71AD"/>
    <w:rsid w:val="003E7340"/>
    <w:rsid w:val="003E73AF"/>
    <w:rsid w:val="003E7698"/>
    <w:rsid w:val="003E77E2"/>
    <w:rsid w:val="003E78FB"/>
    <w:rsid w:val="003E7CD9"/>
    <w:rsid w:val="003F00FC"/>
    <w:rsid w:val="003F0182"/>
    <w:rsid w:val="003F0481"/>
    <w:rsid w:val="003F06A4"/>
    <w:rsid w:val="003F08A7"/>
    <w:rsid w:val="003F09B1"/>
    <w:rsid w:val="003F0DAB"/>
    <w:rsid w:val="003F0DFF"/>
    <w:rsid w:val="003F1C29"/>
    <w:rsid w:val="003F1C53"/>
    <w:rsid w:val="003F22E8"/>
    <w:rsid w:val="003F2679"/>
    <w:rsid w:val="003F29BA"/>
    <w:rsid w:val="003F2A28"/>
    <w:rsid w:val="003F2F04"/>
    <w:rsid w:val="003F2F43"/>
    <w:rsid w:val="003F2F73"/>
    <w:rsid w:val="003F3555"/>
    <w:rsid w:val="003F3763"/>
    <w:rsid w:val="003F3850"/>
    <w:rsid w:val="003F3A4D"/>
    <w:rsid w:val="003F3AC0"/>
    <w:rsid w:val="003F408D"/>
    <w:rsid w:val="003F424B"/>
    <w:rsid w:val="003F44CC"/>
    <w:rsid w:val="003F4950"/>
    <w:rsid w:val="003F4A1B"/>
    <w:rsid w:val="003F4A36"/>
    <w:rsid w:val="003F4C4D"/>
    <w:rsid w:val="003F4D9B"/>
    <w:rsid w:val="003F54DF"/>
    <w:rsid w:val="003F5603"/>
    <w:rsid w:val="003F5690"/>
    <w:rsid w:val="003F56AA"/>
    <w:rsid w:val="003F59CF"/>
    <w:rsid w:val="003F5C1E"/>
    <w:rsid w:val="003F5D93"/>
    <w:rsid w:val="003F6218"/>
    <w:rsid w:val="003F7AB0"/>
    <w:rsid w:val="004009DA"/>
    <w:rsid w:val="00400A1F"/>
    <w:rsid w:val="00400A4D"/>
    <w:rsid w:val="00400F13"/>
    <w:rsid w:val="0040165B"/>
    <w:rsid w:val="0040182F"/>
    <w:rsid w:val="00401903"/>
    <w:rsid w:val="00401D07"/>
    <w:rsid w:val="00401D1D"/>
    <w:rsid w:val="00402625"/>
    <w:rsid w:val="004027CE"/>
    <w:rsid w:val="004027E9"/>
    <w:rsid w:val="0040340F"/>
    <w:rsid w:val="00403565"/>
    <w:rsid w:val="0040373B"/>
    <w:rsid w:val="00403986"/>
    <w:rsid w:val="00403C23"/>
    <w:rsid w:val="00403C4E"/>
    <w:rsid w:val="00403DC9"/>
    <w:rsid w:val="00404216"/>
    <w:rsid w:val="0040425C"/>
    <w:rsid w:val="0040444D"/>
    <w:rsid w:val="00404648"/>
    <w:rsid w:val="0040467E"/>
    <w:rsid w:val="00404847"/>
    <w:rsid w:val="00404A1E"/>
    <w:rsid w:val="00404D49"/>
    <w:rsid w:val="00404F67"/>
    <w:rsid w:val="004057F9"/>
    <w:rsid w:val="00405A97"/>
    <w:rsid w:val="00405DA0"/>
    <w:rsid w:val="00406324"/>
    <w:rsid w:val="004065A7"/>
    <w:rsid w:val="004067BE"/>
    <w:rsid w:val="00406C7F"/>
    <w:rsid w:val="00406DBB"/>
    <w:rsid w:val="00406E7C"/>
    <w:rsid w:val="0040748A"/>
    <w:rsid w:val="00407805"/>
    <w:rsid w:val="00407B5D"/>
    <w:rsid w:val="00407B67"/>
    <w:rsid w:val="00407D0A"/>
    <w:rsid w:val="00407D25"/>
    <w:rsid w:val="00407E58"/>
    <w:rsid w:val="004101F6"/>
    <w:rsid w:val="004106AF"/>
    <w:rsid w:val="00410ABC"/>
    <w:rsid w:val="00410DE8"/>
    <w:rsid w:val="00410E2B"/>
    <w:rsid w:val="00410EAF"/>
    <w:rsid w:val="004111A3"/>
    <w:rsid w:val="004111B2"/>
    <w:rsid w:val="00411322"/>
    <w:rsid w:val="004114BF"/>
    <w:rsid w:val="00411661"/>
    <w:rsid w:val="004116E8"/>
    <w:rsid w:val="004118A7"/>
    <w:rsid w:val="00411BC8"/>
    <w:rsid w:val="00411BE8"/>
    <w:rsid w:val="00411E49"/>
    <w:rsid w:val="00411F44"/>
    <w:rsid w:val="00412172"/>
    <w:rsid w:val="00412767"/>
    <w:rsid w:val="00412FDA"/>
    <w:rsid w:val="0041326C"/>
    <w:rsid w:val="004133C1"/>
    <w:rsid w:val="004135CD"/>
    <w:rsid w:val="0041428C"/>
    <w:rsid w:val="00414512"/>
    <w:rsid w:val="004145C6"/>
    <w:rsid w:val="00414754"/>
    <w:rsid w:val="00414786"/>
    <w:rsid w:val="0041488B"/>
    <w:rsid w:val="00414C43"/>
    <w:rsid w:val="00414E0E"/>
    <w:rsid w:val="00414FD3"/>
    <w:rsid w:val="004152CC"/>
    <w:rsid w:val="004154F7"/>
    <w:rsid w:val="004158AF"/>
    <w:rsid w:val="00415935"/>
    <w:rsid w:val="00416605"/>
    <w:rsid w:val="0041698D"/>
    <w:rsid w:val="00416BB8"/>
    <w:rsid w:val="00417D1A"/>
    <w:rsid w:val="00420016"/>
    <w:rsid w:val="00420569"/>
    <w:rsid w:val="004209EB"/>
    <w:rsid w:val="00420D25"/>
    <w:rsid w:val="00420EAB"/>
    <w:rsid w:val="00421DD4"/>
    <w:rsid w:val="00421E09"/>
    <w:rsid w:val="0042219C"/>
    <w:rsid w:val="00422353"/>
    <w:rsid w:val="00422921"/>
    <w:rsid w:val="0042293A"/>
    <w:rsid w:val="00422CA5"/>
    <w:rsid w:val="00423AA4"/>
    <w:rsid w:val="00423D16"/>
    <w:rsid w:val="00423EE4"/>
    <w:rsid w:val="0042424B"/>
    <w:rsid w:val="00424497"/>
    <w:rsid w:val="004247C3"/>
    <w:rsid w:val="004248BF"/>
    <w:rsid w:val="00424D28"/>
    <w:rsid w:val="00425034"/>
    <w:rsid w:val="004255FC"/>
    <w:rsid w:val="00425B2C"/>
    <w:rsid w:val="00425F96"/>
    <w:rsid w:val="00426546"/>
    <w:rsid w:val="00426570"/>
    <w:rsid w:val="00426814"/>
    <w:rsid w:val="00426DEA"/>
    <w:rsid w:val="00427512"/>
    <w:rsid w:val="00427662"/>
    <w:rsid w:val="00427C26"/>
    <w:rsid w:val="0043015B"/>
    <w:rsid w:val="0043045F"/>
    <w:rsid w:val="0043209D"/>
    <w:rsid w:val="004321DC"/>
    <w:rsid w:val="0043253F"/>
    <w:rsid w:val="0043256E"/>
    <w:rsid w:val="00432895"/>
    <w:rsid w:val="004329D3"/>
    <w:rsid w:val="0043347D"/>
    <w:rsid w:val="00433740"/>
    <w:rsid w:val="0043398B"/>
    <w:rsid w:val="004340A3"/>
    <w:rsid w:val="004344E3"/>
    <w:rsid w:val="004347DD"/>
    <w:rsid w:val="004349A2"/>
    <w:rsid w:val="004349A5"/>
    <w:rsid w:val="00434C8F"/>
    <w:rsid w:val="004353C8"/>
    <w:rsid w:val="00435473"/>
    <w:rsid w:val="00435697"/>
    <w:rsid w:val="004358B6"/>
    <w:rsid w:val="0043593C"/>
    <w:rsid w:val="004359F6"/>
    <w:rsid w:val="004364F6"/>
    <w:rsid w:val="00436561"/>
    <w:rsid w:val="00436599"/>
    <w:rsid w:val="004369C5"/>
    <w:rsid w:val="00436E9E"/>
    <w:rsid w:val="004370AC"/>
    <w:rsid w:val="004370AE"/>
    <w:rsid w:val="00437193"/>
    <w:rsid w:val="0043722F"/>
    <w:rsid w:val="00437566"/>
    <w:rsid w:val="004375AD"/>
    <w:rsid w:val="00437972"/>
    <w:rsid w:val="0043798C"/>
    <w:rsid w:val="00437E32"/>
    <w:rsid w:val="0044021C"/>
    <w:rsid w:val="0044093E"/>
    <w:rsid w:val="00440E91"/>
    <w:rsid w:val="00440EF2"/>
    <w:rsid w:val="00441219"/>
    <w:rsid w:val="00441236"/>
    <w:rsid w:val="00441287"/>
    <w:rsid w:val="0044137A"/>
    <w:rsid w:val="00441397"/>
    <w:rsid w:val="00441427"/>
    <w:rsid w:val="004416E6"/>
    <w:rsid w:val="0044173F"/>
    <w:rsid w:val="00441B79"/>
    <w:rsid w:val="00441D49"/>
    <w:rsid w:val="00442652"/>
    <w:rsid w:val="00442816"/>
    <w:rsid w:val="00442AA8"/>
    <w:rsid w:val="00442B01"/>
    <w:rsid w:val="00442E9D"/>
    <w:rsid w:val="0044340D"/>
    <w:rsid w:val="004436F6"/>
    <w:rsid w:val="004438A4"/>
    <w:rsid w:val="00444516"/>
    <w:rsid w:val="00444AEC"/>
    <w:rsid w:val="00444C17"/>
    <w:rsid w:val="00444C38"/>
    <w:rsid w:val="00444FD6"/>
    <w:rsid w:val="004457B4"/>
    <w:rsid w:val="004460D1"/>
    <w:rsid w:val="004460E1"/>
    <w:rsid w:val="004462B8"/>
    <w:rsid w:val="004468AC"/>
    <w:rsid w:val="00446A4F"/>
    <w:rsid w:val="00446A69"/>
    <w:rsid w:val="00446FE5"/>
    <w:rsid w:val="0044700A"/>
    <w:rsid w:val="00447280"/>
    <w:rsid w:val="00447553"/>
    <w:rsid w:val="004475E7"/>
    <w:rsid w:val="004477EB"/>
    <w:rsid w:val="00447A49"/>
    <w:rsid w:val="00447C20"/>
    <w:rsid w:val="00450088"/>
    <w:rsid w:val="0045019F"/>
    <w:rsid w:val="00450486"/>
    <w:rsid w:val="00450548"/>
    <w:rsid w:val="00450732"/>
    <w:rsid w:val="00451022"/>
    <w:rsid w:val="00451061"/>
    <w:rsid w:val="00451935"/>
    <w:rsid w:val="0045196B"/>
    <w:rsid w:val="004519DD"/>
    <w:rsid w:val="00451EE3"/>
    <w:rsid w:val="004522FA"/>
    <w:rsid w:val="00452847"/>
    <w:rsid w:val="00452B67"/>
    <w:rsid w:val="004532D0"/>
    <w:rsid w:val="0045349D"/>
    <w:rsid w:val="0045359A"/>
    <w:rsid w:val="004538DC"/>
    <w:rsid w:val="00453D2D"/>
    <w:rsid w:val="00454049"/>
    <w:rsid w:val="0045433C"/>
    <w:rsid w:val="00454788"/>
    <w:rsid w:val="00454EE8"/>
    <w:rsid w:val="0045503F"/>
    <w:rsid w:val="00455767"/>
    <w:rsid w:val="00455778"/>
    <w:rsid w:val="00455FF3"/>
    <w:rsid w:val="004565A5"/>
    <w:rsid w:val="00456807"/>
    <w:rsid w:val="00456A16"/>
    <w:rsid w:val="00456EDD"/>
    <w:rsid w:val="00456FC9"/>
    <w:rsid w:val="004571DA"/>
    <w:rsid w:val="0045737F"/>
    <w:rsid w:val="0046028E"/>
    <w:rsid w:val="004603A0"/>
    <w:rsid w:val="0046054E"/>
    <w:rsid w:val="00460EC3"/>
    <w:rsid w:val="00460EFF"/>
    <w:rsid w:val="0046129B"/>
    <w:rsid w:val="0046158A"/>
    <w:rsid w:val="0046184A"/>
    <w:rsid w:val="00461943"/>
    <w:rsid w:val="00461A22"/>
    <w:rsid w:val="00461B6B"/>
    <w:rsid w:val="0046204B"/>
    <w:rsid w:val="004623B6"/>
    <w:rsid w:val="004629FF"/>
    <w:rsid w:val="00462DCC"/>
    <w:rsid w:val="00462F96"/>
    <w:rsid w:val="00462FF2"/>
    <w:rsid w:val="004632B4"/>
    <w:rsid w:val="00463530"/>
    <w:rsid w:val="004637B4"/>
    <w:rsid w:val="004637E9"/>
    <w:rsid w:val="00463A02"/>
    <w:rsid w:val="00463E34"/>
    <w:rsid w:val="00463E93"/>
    <w:rsid w:val="0046412F"/>
    <w:rsid w:val="0046429B"/>
    <w:rsid w:val="00464769"/>
    <w:rsid w:val="004658DD"/>
    <w:rsid w:val="00465A96"/>
    <w:rsid w:val="00465C7A"/>
    <w:rsid w:val="00465DB9"/>
    <w:rsid w:val="0046621E"/>
    <w:rsid w:val="004662B6"/>
    <w:rsid w:val="00466888"/>
    <w:rsid w:val="00466B2E"/>
    <w:rsid w:val="004671D8"/>
    <w:rsid w:val="004673CB"/>
    <w:rsid w:val="0046759C"/>
    <w:rsid w:val="00467880"/>
    <w:rsid w:val="00467A00"/>
    <w:rsid w:val="00467F61"/>
    <w:rsid w:val="00467F8E"/>
    <w:rsid w:val="00470273"/>
    <w:rsid w:val="0047075D"/>
    <w:rsid w:val="0047098B"/>
    <w:rsid w:val="00470B06"/>
    <w:rsid w:val="00471235"/>
    <w:rsid w:val="0047139B"/>
    <w:rsid w:val="004713C9"/>
    <w:rsid w:val="00471463"/>
    <w:rsid w:val="00471695"/>
    <w:rsid w:val="00471711"/>
    <w:rsid w:val="00471E43"/>
    <w:rsid w:val="0047222D"/>
    <w:rsid w:val="004726F2"/>
    <w:rsid w:val="0047299F"/>
    <w:rsid w:val="00472A1E"/>
    <w:rsid w:val="00472C23"/>
    <w:rsid w:val="00472CC0"/>
    <w:rsid w:val="00472DD1"/>
    <w:rsid w:val="00472FB4"/>
    <w:rsid w:val="0047316F"/>
    <w:rsid w:val="0047326A"/>
    <w:rsid w:val="00473666"/>
    <w:rsid w:val="00474451"/>
    <w:rsid w:val="00474883"/>
    <w:rsid w:val="004748E5"/>
    <w:rsid w:val="00474EC2"/>
    <w:rsid w:val="00474EF4"/>
    <w:rsid w:val="00475167"/>
    <w:rsid w:val="00475703"/>
    <w:rsid w:val="004758C1"/>
    <w:rsid w:val="00475AAB"/>
    <w:rsid w:val="00476081"/>
    <w:rsid w:val="00476150"/>
    <w:rsid w:val="004765CE"/>
    <w:rsid w:val="00476A6E"/>
    <w:rsid w:val="00476BB5"/>
    <w:rsid w:val="00476EA1"/>
    <w:rsid w:val="00476EC5"/>
    <w:rsid w:val="00476FF3"/>
    <w:rsid w:val="00477BA7"/>
    <w:rsid w:val="00477BC3"/>
    <w:rsid w:val="00477BF1"/>
    <w:rsid w:val="00477D35"/>
    <w:rsid w:val="00477EF9"/>
    <w:rsid w:val="00480445"/>
    <w:rsid w:val="0048055D"/>
    <w:rsid w:val="004808D9"/>
    <w:rsid w:val="00480E8A"/>
    <w:rsid w:val="00481505"/>
    <w:rsid w:val="004815A1"/>
    <w:rsid w:val="0048189F"/>
    <w:rsid w:val="004819F9"/>
    <w:rsid w:val="00481CA4"/>
    <w:rsid w:val="00481DE8"/>
    <w:rsid w:val="00481F93"/>
    <w:rsid w:val="00482240"/>
    <w:rsid w:val="0048237C"/>
    <w:rsid w:val="00482E08"/>
    <w:rsid w:val="00482E70"/>
    <w:rsid w:val="004830DF"/>
    <w:rsid w:val="0048376D"/>
    <w:rsid w:val="00484004"/>
    <w:rsid w:val="0048413E"/>
    <w:rsid w:val="00484BD6"/>
    <w:rsid w:val="00484D0B"/>
    <w:rsid w:val="00484E14"/>
    <w:rsid w:val="0048504E"/>
    <w:rsid w:val="004854DF"/>
    <w:rsid w:val="00485A9D"/>
    <w:rsid w:val="00485AA3"/>
    <w:rsid w:val="00485B80"/>
    <w:rsid w:val="00485C7E"/>
    <w:rsid w:val="00485D93"/>
    <w:rsid w:val="00485F40"/>
    <w:rsid w:val="00485FA5"/>
    <w:rsid w:val="004865DC"/>
    <w:rsid w:val="0048666C"/>
    <w:rsid w:val="0048671D"/>
    <w:rsid w:val="0048678E"/>
    <w:rsid w:val="00486947"/>
    <w:rsid w:val="00486A9A"/>
    <w:rsid w:val="00486F44"/>
    <w:rsid w:val="00487067"/>
    <w:rsid w:val="004871AA"/>
    <w:rsid w:val="00487830"/>
    <w:rsid w:val="004879FF"/>
    <w:rsid w:val="00487BF1"/>
    <w:rsid w:val="00487D6E"/>
    <w:rsid w:val="00487FAA"/>
    <w:rsid w:val="00490032"/>
    <w:rsid w:val="00490281"/>
    <w:rsid w:val="00490455"/>
    <w:rsid w:val="004907EE"/>
    <w:rsid w:val="0049086C"/>
    <w:rsid w:val="00490A21"/>
    <w:rsid w:val="00490D8D"/>
    <w:rsid w:val="00490F08"/>
    <w:rsid w:val="0049105E"/>
    <w:rsid w:val="004910E5"/>
    <w:rsid w:val="004912C5"/>
    <w:rsid w:val="00491310"/>
    <w:rsid w:val="00491398"/>
    <w:rsid w:val="00491653"/>
    <w:rsid w:val="0049167A"/>
    <w:rsid w:val="00491698"/>
    <w:rsid w:val="00491AFB"/>
    <w:rsid w:val="00491B07"/>
    <w:rsid w:val="00491B43"/>
    <w:rsid w:val="00491E0E"/>
    <w:rsid w:val="00491E93"/>
    <w:rsid w:val="00492145"/>
    <w:rsid w:val="00492353"/>
    <w:rsid w:val="004924F5"/>
    <w:rsid w:val="00492557"/>
    <w:rsid w:val="004929D4"/>
    <w:rsid w:val="00492F0C"/>
    <w:rsid w:val="004930EC"/>
    <w:rsid w:val="00493188"/>
    <w:rsid w:val="0049351D"/>
    <w:rsid w:val="00493558"/>
    <w:rsid w:val="00493C22"/>
    <w:rsid w:val="00493DEE"/>
    <w:rsid w:val="004945B2"/>
    <w:rsid w:val="00494729"/>
    <w:rsid w:val="00494C6D"/>
    <w:rsid w:val="004950B0"/>
    <w:rsid w:val="004959ED"/>
    <w:rsid w:val="00495ED2"/>
    <w:rsid w:val="00495F30"/>
    <w:rsid w:val="00496365"/>
    <w:rsid w:val="00496745"/>
    <w:rsid w:val="0049685E"/>
    <w:rsid w:val="00496955"/>
    <w:rsid w:val="00496ABC"/>
    <w:rsid w:val="00496DD6"/>
    <w:rsid w:val="00497460"/>
    <w:rsid w:val="0049792D"/>
    <w:rsid w:val="00497AC8"/>
    <w:rsid w:val="00497BC5"/>
    <w:rsid w:val="004A00BB"/>
    <w:rsid w:val="004A0580"/>
    <w:rsid w:val="004A06C5"/>
    <w:rsid w:val="004A0F6C"/>
    <w:rsid w:val="004A1068"/>
    <w:rsid w:val="004A1096"/>
    <w:rsid w:val="004A13B1"/>
    <w:rsid w:val="004A1737"/>
    <w:rsid w:val="004A18DC"/>
    <w:rsid w:val="004A1AD8"/>
    <w:rsid w:val="004A1E8E"/>
    <w:rsid w:val="004A20FF"/>
    <w:rsid w:val="004A2504"/>
    <w:rsid w:val="004A2699"/>
    <w:rsid w:val="004A26ED"/>
    <w:rsid w:val="004A2919"/>
    <w:rsid w:val="004A2AAE"/>
    <w:rsid w:val="004A2E1A"/>
    <w:rsid w:val="004A3011"/>
    <w:rsid w:val="004A327E"/>
    <w:rsid w:val="004A3334"/>
    <w:rsid w:val="004A3556"/>
    <w:rsid w:val="004A39C8"/>
    <w:rsid w:val="004A4293"/>
    <w:rsid w:val="004A43C8"/>
    <w:rsid w:val="004A457C"/>
    <w:rsid w:val="004A4B9F"/>
    <w:rsid w:val="004A4C2B"/>
    <w:rsid w:val="004A4D06"/>
    <w:rsid w:val="004A4F1C"/>
    <w:rsid w:val="004A4F2F"/>
    <w:rsid w:val="004A51E9"/>
    <w:rsid w:val="004A6388"/>
    <w:rsid w:val="004A65E0"/>
    <w:rsid w:val="004A6601"/>
    <w:rsid w:val="004A67BD"/>
    <w:rsid w:val="004A6E81"/>
    <w:rsid w:val="004A6E8A"/>
    <w:rsid w:val="004A75F4"/>
    <w:rsid w:val="004A76EF"/>
    <w:rsid w:val="004A7739"/>
    <w:rsid w:val="004A7813"/>
    <w:rsid w:val="004A7882"/>
    <w:rsid w:val="004A7B2B"/>
    <w:rsid w:val="004A7C0C"/>
    <w:rsid w:val="004B0037"/>
    <w:rsid w:val="004B0220"/>
    <w:rsid w:val="004B057C"/>
    <w:rsid w:val="004B0798"/>
    <w:rsid w:val="004B08EA"/>
    <w:rsid w:val="004B09BD"/>
    <w:rsid w:val="004B0AE1"/>
    <w:rsid w:val="004B0D50"/>
    <w:rsid w:val="004B0D61"/>
    <w:rsid w:val="004B10AC"/>
    <w:rsid w:val="004B18D6"/>
    <w:rsid w:val="004B2152"/>
    <w:rsid w:val="004B2329"/>
    <w:rsid w:val="004B2633"/>
    <w:rsid w:val="004B26F1"/>
    <w:rsid w:val="004B2837"/>
    <w:rsid w:val="004B2CD5"/>
    <w:rsid w:val="004B30AD"/>
    <w:rsid w:val="004B3314"/>
    <w:rsid w:val="004B37E4"/>
    <w:rsid w:val="004B407C"/>
    <w:rsid w:val="004B43AB"/>
    <w:rsid w:val="004B43E5"/>
    <w:rsid w:val="004B445D"/>
    <w:rsid w:val="004B4C97"/>
    <w:rsid w:val="004B52B8"/>
    <w:rsid w:val="004B536A"/>
    <w:rsid w:val="004B5571"/>
    <w:rsid w:val="004B56AE"/>
    <w:rsid w:val="004B5ABA"/>
    <w:rsid w:val="004B5AF3"/>
    <w:rsid w:val="004B5B3E"/>
    <w:rsid w:val="004B5EDC"/>
    <w:rsid w:val="004B5FA2"/>
    <w:rsid w:val="004B6174"/>
    <w:rsid w:val="004B643E"/>
    <w:rsid w:val="004B714F"/>
    <w:rsid w:val="004B773F"/>
    <w:rsid w:val="004B7C49"/>
    <w:rsid w:val="004B7D92"/>
    <w:rsid w:val="004B7ED9"/>
    <w:rsid w:val="004C00E0"/>
    <w:rsid w:val="004C07E6"/>
    <w:rsid w:val="004C0C35"/>
    <w:rsid w:val="004C0D54"/>
    <w:rsid w:val="004C103C"/>
    <w:rsid w:val="004C1083"/>
    <w:rsid w:val="004C12EB"/>
    <w:rsid w:val="004C1339"/>
    <w:rsid w:val="004C1CEC"/>
    <w:rsid w:val="004C1ECC"/>
    <w:rsid w:val="004C22A9"/>
    <w:rsid w:val="004C2503"/>
    <w:rsid w:val="004C2670"/>
    <w:rsid w:val="004C27A5"/>
    <w:rsid w:val="004C2C97"/>
    <w:rsid w:val="004C2FB5"/>
    <w:rsid w:val="004C310B"/>
    <w:rsid w:val="004C32AF"/>
    <w:rsid w:val="004C37B0"/>
    <w:rsid w:val="004C3905"/>
    <w:rsid w:val="004C4077"/>
    <w:rsid w:val="004C451B"/>
    <w:rsid w:val="004C493A"/>
    <w:rsid w:val="004C4C7D"/>
    <w:rsid w:val="004C4E9A"/>
    <w:rsid w:val="004C54F6"/>
    <w:rsid w:val="004C5685"/>
    <w:rsid w:val="004C5819"/>
    <w:rsid w:val="004C595E"/>
    <w:rsid w:val="004C59BE"/>
    <w:rsid w:val="004C5B63"/>
    <w:rsid w:val="004C5C92"/>
    <w:rsid w:val="004C5F8E"/>
    <w:rsid w:val="004C60C4"/>
    <w:rsid w:val="004C6AB5"/>
    <w:rsid w:val="004C6AFC"/>
    <w:rsid w:val="004C6B37"/>
    <w:rsid w:val="004C6CF1"/>
    <w:rsid w:val="004C6DAD"/>
    <w:rsid w:val="004C6E96"/>
    <w:rsid w:val="004C6F89"/>
    <w:rsid w:val="004C7105"/>
    <w:rsid w:val="004D00B8"/>
    <w:rsid w:val="004D06AD"/>
    <w:rsid w:val="004D0983"/>
    <w:rsid w:val="004D09A2"/>
    <w:rsid w:val="004D09ED"/>
    <w:rsid w:val="004D0AD6"/>
    <w:rsid w:val="004D0D03"/>
    <w:rsid w:val="004D0E86"/>
    <w:rsid w:val="004D0F8B"/>
    <w:rsid w:val="004D1020"/>
    <w:rsid w:val="004D119C"/>
    <w:rsid w:val="004D11BA"/>
    <w:rsid w:val="004D127D"/>
    <w:rsid w:val="004D154C"/>
    <w:rsid w:val="004D17F4"/>
    <w:rsid w:val="004D1998"/>
    <w:rsid w:val="004D21C7"/>
    <w:rsid w:val="004D2A97"/>
    <w:rsid w:val="004D2C21"/>
    <w:rsid w:val="004D3089"/>
    <w:rsid w:val="004D3C8C"/>
    <w:rsid w:val="004D41DF"/>
    <w:rsid w:val="004D43FE"/>
    <w:rsid w:val="004D462E"/>
    <w:rsid w:val="004D4A76"/>
    <w:rsid w:val="004D4CDC"/>
    <w:rsid w:val="004D4E41"/>
    <w:rsid w:val="004D52B1"/>
    <w:rsid w:val="004D5845"/>
    <w:rsid w:val="004D59E2"/>
    <w:rsid w:val="004D5A3D"/>
    <w:rsid w:val="004D6106"/>
    <w:rsid w:val="004D6217"/>
    <w:rsid w:val="004D63DF"/>
    <w:rsid w:val="004D6CB4"/>
    <w:rsid w:val="004D72D3"/>
    <w:rsid w:val="004D73BD"/>
    <w:rsid w:val="004D74C3"/>
    <w:rsid w:val="004D7844"/>
    <w:rsid w:val="004D7DD1"/>
    <w:rsid w:val="004D7DE7"/>
    <w:rsid w:val="004E012E"/>
    <w:rsid w:val="004E0646"/>
    <w:rsid w:val="004E07BF"/>
    <w:rsid w:val="004E07E8"/>
    <w:rsid w:val="004E082B"/>
    <w:rsid w:val="004E0A6A"/>
    <w:rsid w:val="004E0C30"/>
    <w:rsid w:val="004E1172"/>
    <w:rsid w:val="004E11D1"/>
    <w:rsid w:val="004E19AE"/>
    <w:rsid w:val="004E1AE0"/>
    <w:rsid w:val="004E2188"/>
    <w:rsid w:val="004E228C"/>
    <w:rsid w:val="004E2484"/>
    <w:rsid w:val="004E25AD"/>
    <w:rsid w:val="004E2A46"/>
    <w:rsid w:val="004E2C90"/>
    <w:rsid w:val="004E2DA4"/>
    <w:rsid w:val="004E2F89"/>
    <w:rsid w:val="004E3016"/>
    <w:rsid w:val="004E3162"/>
    <w:rsid w:val="004E329C"/>
    <w:rsid w:val="004E3317"/>
    <w:rsid w:val="004E3821"/>
    <w:rsid w:val="004E3E4E"/>
    <w:rsid w:val="004E41D9"/>
    <w:rsid w:val="004E41EE"/>
    <w:rsid w:val="004E472B"/>
    <w:rsid w:val="004E4C92"/>
    <w:rsid w:val="004E4D45"/>
    <w:rsid w:val="004E4DD7"/>
    <w:rsid w:val="004E4FB1"/>
    <w:rsid w:val="004E5086"/>
    <w:rsid w:val="004E508F"/>
    <w:rsid w:val="004E5557"/>
    <w:rsid w:val="004E55F6"/>
    <w:rsid w:val="004E5D14"/>
    <w:rsid w:val="004E5EA1"/>
    <w:rsid w:val="004E6E9F"/>
    <w:rsid w:val="004E7002"/>
    <w:rsid w:val="004E70D0"/>
    <w:rsid w:val="004E71F0"/>
    <w:rsid w:val="004E7279"/>
    <w:rsid w:val="004E76AD"/>
    <w:rsid w:val="004E7A13"/>
    <w:rsid w:val="004E7E12"/>
    <w:rsid w:val="004F007B"/>
    <w:rsid w:val="004F0512"/>
    <w:rsid w:val="004F06CB"/>
    <w:rsid w:val="004F0A73"/>
    <w:rsid w:val="004F0EB6"/>
    <w:rsid w:val="004F1354"/>
    <w:rsid w:val="004F1614"/>
    <w:rsid w:val="004F16C2"/>
    <w:rsid w:val="004F17C9"/>
    <w:rsid w:val="004F1AF9"/>
    <w:rsid w:val="004F1BFA"/>
    <w:rsid w:val="004F1C9F"/>
    <w:rsid w:val="004F233F"/>
    <w:rsid w:val="004F274B"/>
    <w:rsid w:val="004F29FB"/>
    <w:rsid w:val="004F2A2C"/>
    <w:rsid w:val="004F2DD3"/>
    <w:rsid w:val="004F3186"/>
    <w:rsid w:val="004F3558"/>
    <w:rsid w:val="004F35A2"/>
    <w:rsid w:val="004F35CD"/>
    <w:rsid w:val="004F3E76"/>
    <w:rsid w:val="004F40B5"/>
    <w:rsid w:val="004F43C2"/>
    <w:rsid w:val="004F45E9"/>
    <w:rsid w:val="004F46AE"/>
    <w:rsid w:val="004F4706"/>
    <w:rsid w:val="004F47C5"/>
    <w:rsid w:val="004F4809"/>
    <w:rsid w:val="004F49E8"/>
    <w:rsid w:val="004F55C7"/>
    <w:rsid w:val="004F5A29"/>
    <w:rsid w:val="004F60F8"/>
    <w:rsid w:val="004F652D"/>
    <w:rsid w:val="004F66B8"/>
    <w:rsid w:val="004F6905"/>
    <w:rsid w:val="004F6AE0"/>
    <w:rsid w:val="004F6B40"/>
    <w:rsid w:val="004F6F80"/>
    <w:rsid w:val="004F75EE"/>
    <w:rsid w:val="004F7793"/>
    <w:rsid w:val="004F77F1"/>
    <w:rsid w:val="004F7A82"/>
    <w:rsid w:val="0050024C"/>
    <w:rsid w:val="00500267"/>
    <w:rsid w:val="0050031F"/>
    <w:rsid w:val="005009FF"/>
    <w:rsid w:val="00500EC9"/>
    <w:rsid w:val="00500FB8"/>
    <w:rsid w:val="0050120F"/>
    <w:rsid w:val="005017E2"/>
    <w:rsid w:val="00501C68"/>
    <w:rsid w:val="00502065"/>
    <w:rsid w:val="005020D3"/>
    <w:rsid w:val="00502127"/>
    <w:rsid w:val="005021ED"/>
    <w:rsid w:val="00502213"/>
    <w:rsid w:val="00502650"/>
    <w:rsid w:val="0050282A"/>
    <w:rsid w:val="00502898"/>
    <w:rsid w:val="00502980"/>
    <w:rsid w:val="00502A1D"/>
    <w:rsid w:val="00502D8F"/>
    <w:rsid w:val="00502E08"/>
    <w:rsid w:val="00502ED5"/>
    <w:rsid w:val="00502FD3"/>
    <w:rsid w:val="00503676"/>
    <w:rsid w:val="00503892"/>
    <w:rsid w:val="005038F6"/>
    <w:rsid w:val="00503B56"/>
    <w:rsid w:val="00504811"/>
    <w:rsid w:val="00504B04"/>
    <w:rsid w:val="005051F3"/>
    <w:rsid w:val="0050522B"/>
    <w:rsid w:val="00505344"/>
    <w:rsid w:val="005056DD"/>
    <w:rsid w:val="00505A68"/>
    <w:rsid w:val="00505CB8"/>
    <w:rsid w:val="00505FDA"/>
    <w:rsid w:val="00506071"/>
    <w:rsid w:val="0050618E"/>
    <w:rsid w:val="005064DE"/>
    <w:rsid w:val="0050704C"/>
    <w:rsid w:val="00507381"/>
    <w:rsid w:val="0050740D"/>
    <w:rsid w:val="005079C9"/>
    <w:rsid w:val="00507F43"/>
    <w:rsid w:val="00510174"/>
    <w:rsid w:val="00510268"/>
    <w:rsid w:val="0051030E"/>
    <w:rsid w:val="00510567"/>
    <w:rsid w:val="005108C2"/>
    <w:rsid w:val="0051098A"/>
    <w:rsid w:val="00510D85"/>
    <w:rsid w:val="0051103A"/>
    <w:rsid w:val="00511129"/>
    <w:rsid w:val="00511619"/>
    <w:rsid w:val="00511AC0"/>
    <w:rsid w:val="00511EF1"/>
    <w:rsid w:val="0051243D"/>
    <w:rsid w:val="005125F9"/>
    <w:rsid w:val="0051270A"/>
    <w:rsid w:val="005135BE"/>
    <w:rsid w:val="00514018"/>
    <w:rsid w:val="005148FC"/>
    <w:rsid w:val="00514A6A"/>
    <w:rsid w:val="00515114"/>
    <w:rsid w:val="00515A7B"/>
    <w:rsid w:val="00515C4F"/>
    <w:rsid w:val="005161B7"/>
    <w:rsid w:val="0051656F"/>
    <w:rsid w:val="005166CF"/>
    <w:rsid w:val="00516FF1"/>
    <w:rsid w:val="0051706C"/>
    <w:rsid w:val="00517176"/>
    <w:rsid w:val="0051723A"/>
    <w:rsid w:val="00517916"/>
    <w:rsid w:val="005179BC"/>
    <w:rsid w:val="00517A5A"/>
    <w:rsid w:val="005200D9"/>
    <w:rsid w:val="00520271"/>
    <w:rsid w:val="005203D9"/>
    <w:rsid w:val="00520492"/>
    <w:rsid w:val="00520A7A"/>
    <w:rsid w:val="0052103D"/>
    <w:rsid w:val="00521298"/>
    <w:rsid w:val="00521507"/>
    <w:rsid w:val="00521521"/>
    <w:rsid w:val="00521731"/>
    <w:rsid w:val="00521A86"/>
    <w:rsid w:val="005228E6"/>
    <w:rsid w:val="00522C12"/>
    <w:rsid w:val="00522D42"/>
    <w:rsid w:val="00522E47"/>
    <w:rsid w:val="005233BC"/>
    <w:rsid w:val="005233CF"/>
    <w:rsid w:val="0052382F"/>
    <w:rsid w:val="00523D43"/>
    <w:rsid w:val="00523DF4"/>
    <w:rsid w:val="00523FB6"/>
    <w:rsid w:val="0052438B"/>
    <w:rsid w:val="005246BF"/>
    <w:rsid w:val="00524A86"/>
    <w:rsid w:val="00524A9C"/>
    <w:rsid w:val="00524B76"/>
    <w:rsid w:val="00524C5C"/>
    <w:rsid w:val="00524EB9"/>
    <w:rsid w:val="005251E9"/>
    <w:rsid w:val="005253A3"/>
    <w:rsid w:val="00525497"/>
    <w:rsid w:val="00525848"/>
    <w:rsid w:val="00525BE6"/>
    <w:rsid w:val="0052609E"/>
    <w:rsid w:val="00526120"/>
    <w:rsid w:val="005264C5"/>
    <w:rsid w:val="00526538"/>
    <w:rsid w:val="00526A36"/>
    <w:rsid w:val="00526C64"/>
    <w:rsid w:val="00526FFE"/>
    <w:rsid w:val="005270BC"/>
    <w:rsid w:val="005274AF"/>
    <w:rsid w:val="0052756F"/>
    <w:rsid w:val="0052772A"/>
    <w:rsid w:val="00527BDD"/>
    <w:rsid w:val="00530111"/>
    <w:rsid w:val="00530495"/>
    <w:rsid w:val="005306E4"/>
    <w:rsid w:val="005307AF"/>
    <w:rsid w:val="0053092B"/>
    <w:rsid w:val="00530B88"/>
    <w:rsid w:val="00530C75"/>
    <w:rsid w:val="00531185"/>
    <w:rsid w:val="005318E4"/>
    <w:rsid w:val="00532253"/>
    <w:rsid w:val="00532571"/>
    <w:rsid w:val="0053300E"/>
    <w:rsid w:val="005331CC"/>
    <w:rsid w:val="005333CF"/>
    <w:rsid w:val="005335F7"/>
    <w:rsid w:val="00533A11"/>
    <w:rsid w:val="00533DA4"/>
    <w:rsid w:val="005341ED"/>
    <w:rsid w:val="005343BA"/>
    <w:rsid w:val="005343C0"/>
    <w:rsid w:val="00534639"/>
    <w:rsid w:val="00534814"/>
    <w:rsid w:val="00534C33"/>
    <w:rsid w:val="0053522B"/>
    <w:rsid w:val="00535502"/>
    <w:rsid w:val="00535560"/>
    <w:rsid w:val="005358F1"/>
    <w:rsid w:val="00535AFF"/>
    <w:rsid w:val="00535B11"/>
    <w:rsid w:val="00535B27"/>
    <w:rsid w:val="00535C3B"/>
    <w:rsid w:val="00535F7A"/>
    <w:rsid w:val="005362B4"/>
    <w:rsid w:val="00536992"/>
    <w:rsid w:val="00536BD2"/>
    <w:rsid w:val="00536D3B"/>
    <w:rsid w:val="00536DF2"/>
    <w:rsid w:val="00536FA7"/>
    <w:rsid w:val="0053704F"/>
    <w:rsid w:val="00537094"/>
    <w:rsid w:val="005374B5"/>
    <w:rsid w:val="00537617"/>
    <w:rsid w:val="0053785B"/>
    <w:rsid w:val="00537989"/>
    <w:rsid w:val="00537E21"/>
    <w:rsid w:val="00540047"/>
    <w:rsid w:val="00540278"/>
    <w:rsid w:val="00540610"/>
    <w:rsid w:val="00540A02"/>
    <w:rsid w:val="00540D31"/>
    <w:rsid w:val="00541097"/>
    <w:rsid w:val="00541385"/>
    <w:rsid w:val="00541421"/>
    <w:rsid w:val="005416BD"/>
    <w:rsid w:val="00541D85"/>
    <w:rsid w:val="00541ED8"/>
    <w:rsid w:val="0054208E"/>
    <w:rsid w:val="005428B0"/>
    <w:rsid w:val="005429EB"/>
    <w:rsid w:val="00542ADC"/>
    <w:rsid w:val="00542B0C"/>
    <w:rsid w:val="00543296"/>
    <w:rsid w:val="00543362"/>
    <w:rsid w:val="005434D7"/>
    <w:rsid w:val="00543F11"/>
    <w:rsid w:val="00543F4D"/>
    <w:rsid w:val="005440A1"/>
    <w:rsid w:val="00544CEA"/>
    <w:rsid w:val="00544D89"/>
    <w:rsid w:val="00544F6B"/>
    <w:rsid w:val="005450A2"/>
    <w:rsid w:val="00545387"/>
    <w:rsid w:val="0054552F"/>
    <w:rsid w:val="0054572C"/>
    <w:rsid w:val="005458B2"/>
    <w:rsid w:val="00545F07"/>
    <w:rsid w:val="00545F6C"/>
    <w:rsid w:val="00546066"/>
    <w:rsid w:val="005464F7"/>
    <w:rsid w:val="005465D1"/>
    <w:rsid w:val="005466FE"/>
    <w:rsid w:val="00546A3E"/>
    <w:rsid w:val="00546A52"/>
    <w:rsid w:val="00546DE8"/>
    <w:rsid w:val="00546FFA"/>
    <w:rsid w:val="00547199"/>
    <w:rsid w:val="005474F7"/>
    <w:rsid w:val="00547501"/>
    <w:rsid w:val="00547676"/>
    <w:rsid w:val="00547AA5"/>
    <w:rsid w:val="005500F6"/>
    <w:rsid w:val="0055011B"/>
    <w:rsid w:val="005501BF"/>
    <w:rsid w:val="00550498"/>
    <w:rsid w:val="0055052B"/>
    <w:rsid w:val="00550684"/>
    <w:rsid w:val="00550787"/>
    <w:rsid w:val="005507E3"/>
    <w:rsid w:val="0055085D"/>
    <w:rsid w:val="0055105F"/>
    <w:rsid w:val="00551136"/>
    <w:rsid w:val="005511C9"/>
    <w:rsid w:val="005512DC"/>
    <w:rsid w:val="0055172A"/>
    <w:rsid w:val="00551A46"/>
    <w:rsid w:val="0055206C"/>
    <w:rsid w:val="00552109"/>
    <w:rsid w:val="00552412"/>
    <w:rsid w:val="0055275C"/>
    <w:rsid w:val="0055279C"/>
    <w:rsid w:val="0055286D"/>
    <w:rsid w:val="00552DA5"/>
    <w:rsid w:val="00552EB8"/>
    <w:rsid w:val="00553A36"/>
    <w:rsid w:val="00553B30"/>
    <w:rsid w:val="00553CED"/>
    <w:rsid w:val="00553F77"/>
    <w:rsid w:val="00553F86"/>
    <w:rsid w:val="00553FA8"/>
    <w:rsid w:val="00554203"/>
    <w:rsid w:val="0055428E"/>
    <w:rsid w:val="0055429B"/>
    <w:rsid w:val="005542D6"/>
    <w:rsid w:val="005544BE"/>
    <w:rsid w:val="00554D7A"/>
    <w:rsid w:val="00554FE9"/>
    <w:rsid w:val="00555117"/>
    <w:rsid w:val="0055515C"/>
    <w:rsid w:val="00555868"/>
    <w:rsid w:val="00555B7E"/>
    <w:rsid w:val="0055629B"/>
    <w:rsid w:val="00556440"/>
    <w:rsid w:val="0055653F"/>
    <w:rsid w:val="00556F9B"/>
    <w:rsid w:val="00557638"/>
    <w:rsid w:val="005578B7"/>
    <w:rsid w:val="0056060F"/>
    <w:rsid w:val="005609A7"/>
    <w:rsid w:val="00560AD3"/>
    <w:rsid w:val="00561110"/>
    <w:rsid w:val="00561914"/>
    <w:rsid w:val="00561ADF"/>
    <w:rsid w:val="00561D68"/>
    <w:rsid w:val="00561E0D"/>
    <w:rsid w:val="00561EED"/>
    <w:rsid w:val="00561F55"/>
    <w:rsid w:val="00562635"/>
    <w:rsid w:val="00562842"/>
    <w:rsid w:val="0056286E"/>
    <w:rsid w:val="005628DC"/>
    <w:rsid w:val="00563255"/>
    <w:rsid w:val="0056326A"/>
    <w:rsid w:val="0056355D"/>
    <w:rsid w:val="0056377E"/>
    <w:rsid w:val="005639EB"/>
    <w:rsid w:val="00563D72"/>
    <w:rsid w:val="0056410D"/>
    <w:rsid w:val="00564558"/>
    <w:rsid w:val="00564A1E"/>
    <w:rsid w:val="00564A97"/>
    <w:rsid w:val="00564E30"/>
    <w:rsid w:val="005654E4"/>
    <w:rsid w:val="00565829"/>
    <w:rsid w:val="00565892"/>
    <w:rsid w:val="00566144"/>
    <w:rsid w:val="0056630C"/>
    <w:rsid w:val="005667BA"/>
    <w:rsid w:val="0056698A"/>
    <w:rsid w:val="00566AB1"/>
    <w:rsid w:val="00566B46"/>
    <w:rsid w:val="00566FE2"/>
    <w:rsid w:val="005671A6"/>
    <w:rsid w:val="0056739B"/>
    <w:rsid w:val="005674F0"/>
    <w:rsid w:val="0056762D"/>
    <w:rsid w:val="005677C5"/>
    <w:rsid w:val="005679BB"/>
    <w:rsid w:val="00567A81"/>
    <w:rsid w:val="00567C86"/>
    <w:rsid w:val="005705F0"/>
    <w:rsid w:val="00570A77"/>
    <w:rsid w:val="00570D17"/>
    <w:rsid w:val="005710EB"/>
    <w:rsid w:val="005711CC"/>
    <w:rsid w:val="00571232"/>
    <w:rsid w:val="005713AD"/>
    <w:rsid w:val="005719CF"/>
    <w:rsid w:val="00571D22"/>
    <w:rsid w:val="005720A5"/>
    <w:rsid w:val="005720D2"/>
    <w:rsid w:val="0057244D"/>
    <w:rsid w:val="005727C9"/>
    <w:rsid w:val="00572A01"/>
    <w:rsid w:val="00572EB3"/>
    <w:rsid w:val="00573223"/>
    <w:rsid w:val="0057352C"/>
    <w:rsid w:val="00573C99"/>
    <w:rsid w:val="00573DE4"/>
    <w:rsid w:val="00573E6B"/>
    <w:rsid w:val="00573FBE"/>
    <w:rsid w:val="0057400B"/>
    <w:rsid w:val="0057404E"/>
    <w:rsid w:val="005741E5"/>
    <w:rsid w:val="00574318"/>
    <w:rsid w:val="00574336"/>
    <w:rsid w:val="00574345"/>
    <w:rsid w:val="00574494"/>
    <w:rsid w:val="00574544"/>
    <w:rsid w:val="005747DE"/>
    <w:rsid w:val="005747EF"/>
    <w:rsid w:val="00574B09"/>
    <w:rsid w:val="00574EB2"/>
    <w:rsid w:val="005751C7"/>
    <w:rsid w:val="00575542"/>
    <w:rsid w:val="0057570A"/>
    <w:rsid w:val="00575964"/>
    <w:rsid w:val="00575988"/>
    <w:rsid w:val="00576AF3"/>
    <w:rsid w:val="00576E52"/>
    <w:rsid w:val="00576F09"/>
    <w:rsid w:val="0057728B"/>
    <w:rsid w:val="0057755A"/>
    <w:rsid w:val="00577B4D"/>
    <w:rsid w:val="00577CFD"/>
    <w:rsid w:val="00577E7E"/>
    <w:rsid w:val="0058020C"/>
    <w:rsid w:val="005804EA"/>
    <w:rsid w:val="0058076A"/>
    <w:rsid w:val="005807C9"/>
    <w:rsid w:val="00580DF3"/>
    <w:rsid w:val="00580F7F"/>
    <w:rsid w:val="005810BB"/>
    <w:rsid w:val="005818EB"/>
    <w:rsid w:val="0058191A"/>
    <w:rsid w:val="00581F05"/>
    <w:rsid w:val="00582394"/>
    <w:rsid w:val="005824BE"/>
    <w:rsid w:val="00582A2B"/>
    <w:rsid w:val="00582B1F"/>
    <w:rsid w:val="00582FFC"/>
    <w:rsid w:val="00583857"/>
    <w:rsid w:val="00583D90"/>
    <w:rsid w:val="00583EF3"/>
    <w:rsid w:val="0058403A"/>
    <w:rsid w:val="005840A6"/>
    <w:rsid w:val="005840C3"/>
    <w:rsid w:val="0058420C"/>
    <w:rsid w:val="005846E2"/>
    <w:rsid w:val="00584945"/>
    <w:rsid w:val="005849DA"/>
    <w:rsid w:val="00584B5B"/>
    <w:rsid w:val="00585128"/>
    <w:rsid w:val="00585155"/>
    <w:rsid w:val="005854ED"/>
    <w:rsid w:val="00585576"/>
    <w:rsid w:val="00585765"/>
    <w:rsid w:val="005857D8"/>
    <w:rsid w:val="0058613F"/>
    <w:rsid w:val="00586285"/>
    <w:rsid w:val="005862C1"/>
    <w:rsid w:val="00586317"/>
    <w:rsid w:val="005864CC"/>
    <w:rsid w:val="00586633"/>
    <w:rsid w:val="00586809"/>
    <w:rsid w:val="00586820"/>
    <w:rsid w:val="005869EE"/>
    <w:rsid w:val="00586F39"/>
    <w:rsid w:val="00587318"/>
    <w:rsid w:val="00587538"/>
    <w:rsid w:val="005878E1"/>
    <w:rsid w:val="00587B40"/>
    <w:rsid w:val="00587B7B"/>
    <w:rsid w:val="00587C6F"/>
    <w:rsid w:val="00587CE3"/>
    <w:rsid w:val="00587F67"/>
    <w:rsid w:val="00587FCD"/>
    <w:rsid w:val="005900CB"/>
    <w:rsid w:val="00590804"/>
    <w:rsid w:val="00590B66"/>
    <w:rsid w:val="00590CC1"/>
    <w:rsid w:val="00590CE3"/>
    <w:rsid w:val="00590E00"/>
    <w:rsid w:val="00591A7E"/>
    <w:rsid w:val="0059223B"/>
    <w:rsid w:val="00592B44"/>
    <w:rsid w:val="00592DB6"/>
    <w:rsid w:val="00593553"/>
    <w:rsid w:val="005935F3"/>
    <w:rsid w:val="005936BB"/>
    <w:rsid w:val="00593B22"/>
    <w:rsid w:val="00593D3F"/>
    <w:rsid w:val="00593D49"/>
    <w:rsid w:val="00593E0D"/>
    <w:rsid w:val="00593F34"/>
    <w:rsid w:val="00593F8E"/>
    <w:rsid w:val="005943F7"/>
    <w:rsid w:val="005949C6"/>
    <w:rsid w:val="00594C83"/>
    <w:rsid w:val="00594CED"/>
    <w:rsid w:val="00594D23"/>
    <w:rsid w:val="0059562A"/>
    <w:rsid w:val="005959F6"/>
    <w:rsid w:val="00595C12"/>
    <w:rsid w:val="00595CDF"/>
    <w:rsid w:val="0059605E"/>
    <w:rsid w:val="0059618C"/>
    <w:rsid w:val="00596EC6"/>
    <w:rsid w:val="00596F05"/>
    <w:rsid w:val="005977CC"/>
    <w:rsid w:val="00597A71"/>
    <w:rsid w:val="00597C67"/>
    <w:rsid w:val="005A058D"/>
    <w:rsid w:val="005A0855"/>
    <w:rsid w:val="005A0AFE"/>
    <w:rsid w:val="005A0E39"/>
    <w:rsid w:val="005A14F6"/>
    <w:rsid w:val="005A1648"/>
    <w:rsid w:val="005A1834"/>
    <w:rsid w:val="005A1875"/>
    <w:rsid w:val="005A1D4D"/>
    <w:rsid w:val="005A1F83"/>
    <w:rsid w:val="005A200A"/>
    <w:rsid w:val="005A2231"/>
    <w:rsid w:val="005A23EB"/>
    <w:rsid w:val="005A247B"/>
    <w:rsid w:val="005A2606"/>
    <w:rsid w:val="005A29B0"/>
    <w:rsid w:val="005A3710"/>
    <w:rsid w:val="005A3835"/>
    <w:rsid w:val="005A38CA"/>
    <w:rsid w:val="005A3DE4"/>
    <w:rsid w:val="005A3FDB"/>
    <w:rsid w:val="005A49D4"/>
    <w:rsid w:val="005A4B02"/>
    <w:rsid w:val="005A53E1"/>
    <w:rsid w:val="005A55C6"/>
    <w:rsid w:val="005A582E"/>
    <w:rsid w:val="005A5D10"/>
    <w:rsid w:val="005A5EC9"/>
    <w:rsid w:val="005A6274"/>
    <w:rsid w:val="005A62BD"/>
    <w:rsid w:val="005A69E1"/>
    <w:rsid w:val="005A6E18"/>
    <w:rsid w:val="005A6E1E"/>
    <w:rsid w:val="005A6E9A"/>
    <w:rsid w:val="005A6FF8"/>
    <w:rsid w:val="005A78F8"/>
    <w:rsid w:val="005A7C7A"/>
    <w:rsid w:val="005B0421"/>
    <w:rsid w:val="005B0A4F"/>
    <w:rsid w:val="005B0D55"/>
    <w:rsid w:val="005B126F"/>
    <w:rsid w:val="005B13F5"/>
    <w:rsid w:val="005B1646"/>
    <w:rsid w:val="005B1787"/>
    <w:rsid w:val="005B19AD"/>
    <w:rsid w:val="005B1BA5"/>
    <w:rsid w:val="005B1CB7"/>
    <w:rsid w:val="005B1E98"/>
    <w:rsid w:val="005B1EB6"/>
    <w:rsid w:val="005B1F14"/>
    <w:rsid w:val="005B23D7"/>
    <w:rsid w:val="005B2630"/>
    <w:rsid w:val="005B2649"/>
    <w:rsid w:val="005B36A0"/>
    <w:rsid w:val="005B3D79"/>
    <w:rsid w:val="005B4164"/>
    <w:rsid w:val="005B443A"/>
    <w:rsid w:val="005B4445"/>
    <w:rsid w:val="005B448F"/>
    <w:rsid w:val="005B44A1"/>
    <w:rsid w:val="005B459B"/>
    <w:rsid w:val="005B4691"/>
    <w:rsid w:val="005B49C8"/>
    <w:rsid w:val="005B4A99"/>
    <w:rsid w:val="005B5060"/>
    <w:rsid w:val="005B5189"/>
    <w:rsid w:val="005B53E9"/>
    <w:rsid w:val="005B54BE"/>
    <w:rsid w:val="005B5793"/>
    <w:rsid w:val="005B57D4"/>
    <w:rsid w:val="005B5F66"/>
    <w:rsid w:val="005B6173"/>
    <w:rsid w:val="005B6371"/>
    <w:rsid w:val="005B68AA"/>
    <w:rsid w:val="005B6939"/>
    <w:rsid w:val="005B6CDC"/>
    <w:rsid w:val="005B6F3E"/>
    <w:rsid w:val="005B76AE"/>
    <w:rsid w:val="005B76D3"/>
    <w:rsid w:val="005B7B9B"/>
    <w:rsid w:val="005B7D53"/>
    <w:rsid w:val="005C0063"/>
    <w:rsid w:val="005C0227"/>
    <w:rsid w:val="005C075F"/>
    <w:rsid w:val="005C098B"/>
    <w:rsid w:val="005C0ED9"/>
    <w:rsid w:val="005C1BE0"/>
    <w:rsid w:val="005C1DF6"/>
    <w:rsid w:val="005C1F4B"/>
    <w:rsid w:val="005C25ED"/>
    <w:rsid w:val="005C269E"/>
    <w:rsid w:val="005C275B"/>
    <w:rsid w:val="005C2D0B"/>
    <w:rsid w:val="005C2D20"/>
    <w:rsid w:val="005C2DF0"/>
    <w:rsid w:val="005C3334"/>
    <w:rsid w:val="005C367D"/>
    <w:rsid w:val="005C396B"/>
    <w:rsid w:val="005C3C32"/>
    <w:rsid w:val="005C3D02"/>
    <w:rsid w:val="005C3F0B"/>
    <w:rsid w:val="005C400F"/>
    <w:rsid w:val="005C407C"/>
    <w:rsid w:val="005C4866"/>
    <w:rsid w:val="005C4DC5"/>
    <w:rsid w:val="005C55CF"/>
    <w:rsid w:val="005C56F5"/>
    <w:rsid w:val="005C5B23"/>
    <w:rsid w:val="005C5BB9"/>
    <w:rsid w:val="005C5E0B"/>
    <w:rsid w:val="005C6093"/>
    <w:rsid w:val="005C60EB"/>
    <w:rsid w:val="005C612B"/>
    <w:rsid w:val="005C66D8"/>
    <w:rsid w:val="005C6798"/>
    <w:rsid w:val="005C6E5D"/>
    <w:rsid w:val="005C7418"/>
    <w:rsid w:val="005C7F78"/>
    <w:rsid w:val="005D016F"/>
    <w:rsid w:val="005D05BD"/>
    <w:rsid w:val="005D0934"/>
    <w:rsid w:val="005D09DF"/>
    <w:rsid w:val="005D0BF3"/>
    <w:rsid w:val="005D0D5D"/>
    <w:rsid w:val="005D0E58"/>
    <w:rsid w:val="005D121E"/>
    <w:rsid w:val="005D15D5"/>
    <w:rsid w:val="005D1B23"/>
    <w:rsid w:val="005D1E33"/>
    <w:rsid w:val="005D1F14"/>
    <w:rsid w:val="005D2860"/>
    <w:rsid w:val="005D2D10"/>
    <w:rsid w:val="005D2D84"/>
    <w:rsid w:val="005D3335"/>
    <w:rsid w:val="005D356A"/>
    <w:rsid w:val="005D3D3F"/>
    <w:rsid w:val="005D3D7D"/>
    <w:rsid w:val="005D3EE9"/>
    <w:rsid w:val="005D41E4"/>
    <w:rsid w:val="005D4276"/>
    <w:rsid w:val="005D472B"/>
    <w:rsid w:val="005D50C7"/>
    <w:rsid w:val="005D5138"/>
    <w:rsid w:val="005D5280"/>
    <w:rsid w:val="005D52F5"/>
    <w:rsid w:val="005D548D"/>
    <w:rsid w:val="005D55C4"/>
    <w:rsid w:val="005D592B"/>
    <w:rsid w:val="005D5AB9"/>
    <w:rsid w:val="005D5CC3"/>
    <w:rsid w:val="005D5D1E"/>
    <w:rsid w:val="005D5F7E"/>
    <w:rsid w:val="005D629E"/>
    <w:rsid w:val="005D62A4"/>
    <w:rsid w:val="005D679A"/>
    <w:rsid w:val="005D6959"/>
    <w:rsid w:val="005D6A56"/>
    <w:rsid w:val="005D6A9F"/>
    <w:rsid w:val="005D6B3D"/>
    <w:rsid w:val="005D6E80"/>
    <w:rsid w:val="005D73A3"/>
    <w:rsid w:val="005D7A9F"/>
    <w:rsid w:val="005D7C72"/>
    <w:rsid w:val="005D7DDC"/>
    <w:rsid w:val="005D7E94"/>
    <w:rsid w:val="005D7F6E"/>
    <w:rsid w:val="005E0074"/>
    <w:rsid w:val="005E01AD"/>
    <w:rsid w:val="005E0264"/>
    <w:rsid w:val="005E028F"/>
    <w:rsid w:val="005E0DC1"/>
    <w:rsid w:val="005E1082"/>
    <w:rsid w:val="005E11A5"/>
    <w:rsid w:val="005E18AC"/>
    <w:rsid w:val="005E1B74"/>
    <w:rsid w:val="005E1D85"/>
    <w:rsid w:val="005E1E01"/>
    <w:rsid w:val="005E21BE"/>
    <w:rsid w:val="005E25C7"/>
    <w:rsid w:val="005E2807"/>
    <w:rsid w:val="005E29B2"/>
    <w:rsid w:val="005E2D06"/>
    <w:rsid w:val="005E2FA8"/>
    <w:rsid w:val="005E34AE"/>
    <w:rsid w:val="005E3A00"/>
    <w:rsid w:val="005E3AC6"/>
    <w:rsid w:val="005E3AEE"/>
    <w:rsid w:val="005E3EC4"/>
    <w:rsid w:val="005E4479"/>
    <w:rsid w:val="005E44B7"/>
    <w:rsid w:val="005E4584"/>
    <w:rsid w:val="005E4651"/>
    <w:rsid w:val="005E47C8"/>
    <w:rsid w:val="005E48EA"/>
    <w:rsid w:val="005E4F03"/>
    <w:rsid w:val="005E5161"/>
    <w:rsid w:val="005E51BC"/>
    <w:rsid w:val="005E524C"/>
    <w:rsid w:val="005E5914"/>
    <w:rsid w:val="005E59B1"/>
    <w:rsid w:val="005E5ADA"/>
    <w:rsid w:val="005E5E54"/>
    <w:rsid w:val="005E640A"/>
    <w:rsid w:val="005E65D4"/>
    <w:rsid w:val="005E69B1"/>
    <w:rsid w:val="005E69B9"/>
    <w:rsid w:val="005E6A27"/>
    <w:rsid w:val="005E6A31"/>
    <w:rsid w:val="005E6FCD"/>
    <w:rsid w:val="005E7073"/>
    <w:rsid w:val="005E707B"/>
    <w:rsid w:val="005E71F5"/>
    <w:rsid w:val="005E7450"/>
    <w:rsid w:val="005E74F6"/>
    <w:rsid w:val="005E77A6"/>
    <w:rsid w:val="005E798B"/>
    <w:rsid w:val="005E7A83"/>
    <w:rsid w:val="005F0735"/>
    <w:rsid w:val="005F07AE"/>
    <w:rsid w:val="005F08A5"/>
    <w:rsid w:val="005F0950"/>
    <w:rsid w:val="005F09B4"/>
    <w:rsid w:val="005F0CA3"/>
    <w:rsid w:val="005F0E24"/>
    <w:rsid w:val="005F0F79"/>
    <w:rsid w:val="005F118A"/>
    <w:rsid w:val="005F14F7"/>
    <w:rsid w:val="005F157D"/>
    <w:rsid w:val="005F1A89"/>
    <w:rsid w:val="005F1A8C"/>
    <w:rsid w:val="005F207B"/>
    <w:rsid w:val="005F2609"/>
    <w:rsid w:val="005F2D44"/>
    <w:rsid w:val="005F33E1"/>
    <w:rsid w:val="005F354B"/>
    <w:rsid w:val="005F39E7"/>
    <w:rsid w:val="005F3C18"/>
    <w:rsid w:val="005F3D83"/>
    <w:rsid w:val="005F3F26"/>
    <w:rsid w:val="005F44CE"/>
    <w:rsid w:val="005F496D"/>
    <w:rsid w:val="005F4BF3"/>
    <w:rsid w:val="005F4C00"/>
    <w:rsid w:val="005F4ED9"/>
    <w:rsid w:val="005F506E"/>
    <w:rsid w:val="005F5141"/>
    <w:rsid w:val="005F53AF"/>
    <w:rsid w:val="005F5616"/>
    <w:rsid w:val="005F5673"/>
    <w:rsid w:val="005F5BB9"/>
    <w:rsid w:val="005F6429"/>
    <w:rsid w:val="005F64D4"/>
    <w:rsid w:val="005F64EC"/>
    <w:rsid w:val="005F6820"/>
    <w:rsid w:val="005F692C"/>
    <w:rsid w:val="005F6EB4"/>
    <w:rsid w:val="005F7082"/>
    <w:rsid w:val="005F74C2"/>
    <w:rsid w:val="005F776E"/>
    <w:rsid w:val="005F7821"/>
    <w:rsid w:val="005F7E08"/>
    <w:rsid w:val="005F7E4E"/>
    <w:rsid w:val="005F7F25"/>
    <w:rsid w:val="0060006B"/>
    <w:rsid w:val="0060009C"/>
    <w:rsid w:val="00600866"/>
    <w:rsid w:val="0060099A"/>
    <w:rsid w:val="00600A2A"/>
    <w:rsid w:val="00600D98"/>
    <w:rsid w:val="00600DBB"/>
    <w:rsid w:val="00600E05"/>
    <w:rsid w:val="00600E0E"/>
    <w:rsid w:val="006011FB"/>
    <w:rsid w:val="00602121"/>
    <w:rsid w:val="00602321"/>
    <w:rsid w:val="00602362"/>
    <w:rsid w:val="006023AD"/>
    <w:rsid w:val="00602624"/>
    <w:rsid w:val="006027D9"/>
    <w:rsid w:val="006029B5"/>
    <w:rsid w:val="00602A72"/>
    <w:rsid w:val="00602EC6"/>
    <w:rsid w:val="00602F6D"/>
    <w:rsid w:val="006035FF"/>
    <w:rsid w:val="00603C48"/>
    <w:rsid w:val="00603D5F"/>
    <w:rsid w:val="00603F31"/>
    <w:rsid w:val="006042B6"/>
    <w:rsid w:val="006042EF"/>
    <w:rsid w:val="00604412"/>
    <w:rsid w:val="00604CEC"/>
    <w:rsid w:val="00604D72"/>
    <w:rsid w:val="006059EC"/>
    <w:rsid w:val="006059F5"/>
    <w:rsid w:val="006059F9"/>
    <w:rsid w:val="00605C75"/>
    <w:rsid w:val="00605E28"/>
    <w:rsid w:val="00606467"/>
    <w:rsid w:val="006064E1"/>
    <w:rsid w:val="006066C0"/>
    <w:rsid w:val="0060676A"/>
    <w:rsid w:val="00606AFF"/>
    <w:rsid w:val="00606BAA"/>
    <w:rsid w:val="00607111"/>
    <w:rsid w:val="00607160"/>
    <w:rsid w:val="006072EB"/>
    <w:rsid w:val="006074D7"/>
    <w:rsid w:val="006079ED"/>
    <w:rsid w:val="006100D0"/>
    <w:rsid w:val="006100E6"/>
    <w:rsid w:val="0061035B"/>
    <w:rsid w:val="006104A9"/>
    <w:rsid w:val="006105E0"/>
    <w:rsid w:val="006107EF"/>
    <w:rsid w:val="006108B2"/>
    <w:rsid w:val="00610F0A"/>
    <w:rsid w:val="0061197D"/>
    <w:rsid w:val="00611ABE"/>
    <w:rsid w:val="00611D5F"/>
    <w:rsid w:val="0061205F"/>
    <w:rsid w:val="00612356"/>
    <w:rsid w:val="00612533"/>
    <w:rsid w:val="0061254A"/>
    <w:rsid w:val="00612756"/>
    <w:rsid w:val="006128EC"/>
    <w:rsid w:val="00612915"/>
    <w:rsid w:val="0061293D"/>
    <w:rsid w:val="00612A47"/>
    <w:rsid w:val="0061332C"/>
    <w:rsid w:val="00613489"/>
    <w:rsid w:val="00613497"/>
    <w:rsid w:val="0061380F"/>
    <w:rsid w:val="00613888"/>
    <w:rsid w:val="00613C28"/>
    <w:rsid w:val="00613C3E"/>
    <w:rsid w:val="00613F70"/>
    <w:rsid w:val="00613FA0"/>
    <w:rsid w:val="0061474A"/>
    <w:rsid w:val="00614770"/>
    <w:rsid w:val="0061486D"/>
    <w:rsid w:val="00614A6B"/>
    <w:rsid w:val="00614C63"/>
    <w:rsid w:val="00614C7E"/>
    <w:rsid w:val="00614CD8"/>
    <w:rsid w:val="00614D10"/>
    <w:rsid w:val="006153EB"/>
    <w:rsid w:val="006153F4"/>
    <w:rsid w:val="006160B5"/>
    <w:rsid w:val="00616245"/>
    <w:rsid w:val="006162D0"/>
    <w:rsid w:val="006163EB"/>
    <w:rsid w:val="00616875"/>
    <w:rsid w:val="00616925"/>
    <w:rsid w:val="006169F8"/>
    <w:rsid w:val="00616C3F"/>
    <w:rsid w:val="006172B8"/>
    <w:rsid w:val="006176A1"/>
    <w:rsid w:val="00617B52"/>
    <w:rsid w:val="00617E76"/>
    <w:rsid w:val="0062018C"/>
    <w:rsid w:val="00620466"/>
    <w:rsid w:val="006206F6"/>
    <w:rsid w:val="00620B95"/>
    <w:rsid w:val="006212CD"/>
    <w:rsid w:val="00621625"/>
    <w:rsid w:val="00621794"/>
    <w:rsid w:val="006217E6"/>
    <w:rsid w:val="00621A54"/>
    <w:rsid w:val="00621F5C"/>
    <w:rsid w:val="00621F7C"/>
    <w:rsid w:val="0062251C"/>
    <w:rsid w:val="00622B08"/>
    <w:rsid w:val="00622C99"/>
    <w:rsid w:val="00622D8B"/>
    <w:rsid w:val="00622FDC"/>
    <w:rsid w:val="00623215"/>
    <w:rsid w:val="0062365F"/>
    <w:rsid w:val="006236BF"/>
    <w:rsid w:val="006239BF"/>
    <w:rsid w:val="00623B83"/>
    <w:rsid w:val="006243EA"/>
    <w:rsid w:val="006245B7"/>
    <w:rsid w:val="00624A6B"/>
    <w:rsid w:val="006251B6"/>
    <w:rsid w:val="006259A0"/>
    <w:rsid w:val="00625D3E"/>
    <w:rsid w:val="00625E36"/>
    <w:rsid w:val="006260BF"/>
    <w:rsid w:val="0062673B"/>
    <w:rsid w:val="006268BD"/>
    <w:rsid w:val="006269D7"/>
    <w:rsid w:val="00626A96"/>
    <w:rsid w:val="00626E6E"/>
    <w:rsid w:val="00627030"/>
    <w:rsid w:val="00627823"/>
    <w:rsid w:val="00627E18"/>
    <w:rsid w:val="00627EC9"/>
    <w:rsid w:val="00627FE5"/>
    <w:rsid w:val="0063006B"/>
    <w:rsid w:val="00630099"/>
    <w:rsid w:val="00630417"/>
    <w:rsid w:val="006306E7"/>
    <w:rsid w:val="006307D0"/>
    <w:rsid w:val="00630A87"/>
    <w:rsid w:val="00630F62"/>
    <w:rsid w:val="00631334"/>
    <w:rsid w:val="0063138E"/>
    <w:rsid w:val="0063170A"/>
    <w:rsid w:val="00631935"/>
    <w:rsid w:val="00631ABF"/>
    <w:rsid w:val="00631C5B"/>
    <w:rsid w:val="00631CA5"/>
    <w:rsid w:val="00631D5D"/>
    <w:rsid w:val="00631F07"/>
    <w:rsid w:val="00632060"/>
    <w:rsid w:val="0063219D"/>
    <w:rsid w:val="00632477"/>
    <w:rsid w:val="0063260B"/>
    <w:rsid w:val="00632CD8"/>
    <w:rsid w:val="00632DB0"/>
    <w:rsid w:val="00632EB2"/>
    <w:rsid w:val="0063314C"/>
    <w:rsid w:val="006332EC"/>
    <w:rsid w:val="006339CD"/>
    <w:rsid w:val="00633BFE"/>
    <w:rsid w:val="00633D71"/>
    <w:rsid w:val="0063430F"/>
    <w:rsid w:val="00634610"/>
    <w:rsid w:val="0063478B"/>
    <w:rsid w:val="00634F44"/>
    <w:rsid w:val="00634F51"/>
    <w:rsid w:val="00635337"/>
    <w:rsid w:val="00635932"/>
    <w:rsid w:val="006359B9"/>
    <w:rsid w:val="00635AFD"/>
    <w:rsid w:val="00635D98"/>
    <w:rsid w:val="00635E0B"/>
    <w:rsid w:val="00636069"/>
    <w:rsid w:val="00636728"/>
    <w:rsid w:val="00637428"/>
    <w:rsid w:val="00637594"/>
    <w:rsid w:val="00637B5E"/>
    <w:rsid w:val="00637FCF"/>
    <w:rsid w:val="006400BD"/>
    <w:rsid w:val="00640176"/>
    <w:rsid w:val="006404A1"/>
    <w:rsid w:val="0064057C"/>
    <w:rsid w:val="00640616"/>
    <w:rsid w:val="006406C1"/>
    <w:rsid w:val="006408B7"/>
    <w:rsid w:val="00640B37"/>
    <w:rsid w:val="006410FC"/>
    <w:rsid w:val="00641808"/>
    <w:rsid w:val="00641A83"/>
    <w:rsid w:val="00641F0B"/>
    <w:rsid w:val="00642370"/>
    <w:rsid w:val="00642954"/>
    <w:rsid w:val="00642CBB"/>
    <w:rsid w:val="00642CC6"/>
    <w:rsid w:val="00642F41"/>
    <w:rsid w:val="00643073"/>
    <w:rsid w:val="00643266"/>
    <w:rsid w:val="00643324"/>
    <w:rsid w:val="00643879"/>
    <w:rsid w:val="00643A52"/>
    <w:rsid w:val="00643AC1"/>
    <w:rsid w:val="00644308"/>
    <w:rsid w:val="006443D4"/>
    <w:rsid w:val="00644BC5"/>
    <w:rsid w:val="00645497"/>
    <w:rsid w:val="006458C9"/>
    <w:rsid w:val="006459C6"/>
    <w:rsid w:val="00645A49"/>
    <w:rsid w:val="00645CA2"/>
    <w:rsid w:val="00645D5D"/>
    <w:rsid w:val="00645DCE"/>
    <w:rsid w:val="00645E2C"/>
    <w:rsid w:val="00646079"/>
    <w:rsid w:val="006463CC"/>
    <w:rsid w:val="0064647F"/>
    <w:rsid w:val="006469BB"/>
    <w:rsid w:val="006469BC"/>
    <w:rsid w:val="00646AF3"/>
    <w:rsid w:val="00646F11"/>
    <w:rsid w:val="006470BB"/>
    <w:rsid w:val="00647685"/>
    <w:rsid w:val="006476CE"/>
    <w:rsid w:val="00647941"/>
    <w:rsid w:val="00647F70"/>
    <w:rsid w:val="006503BC"/>
    <w:rsid w:val="006504D1"/>
    <w:rsid w:val="00650D4F"/>
    <w:rsid w:val="00650E2E"/>
    <w:rsid w:val="00650E3E"/>
    <w:rsid w:val="00651115"/>
    <w:rsid w:val="00651555"/>
    <w:rsid w:val="00651CF9"/>
    <w:rsid w:val="0065202E"/>
    <w:rsid w:val="00652412"/>
    <w:rsid w:val="0065246D"/>
    <w:rsid w:val="00652636"/>
    <w:rsid w:val="00652BE7"/>
    <w:rsid w:val="00652E5B"/>
    <w:rsid w:val="00652E9F"/>
    <w:rsid w:val="00653016"/>
    <w:rsid w:val="00653037"/>
    <w:rsid w:val="0065330C"/>
    <w:rsid w:val="006533BB"/>
    <w:rsid w:val="0065366D"/>
    <w:rsid w:val="00653A16"/>
    <w:rsid w:val="006545B3"/>
    <w:rsid w:val="00654684"/>
    <w:rsid w:val="006549E4"/>
    <w:rsid w:val="006549E7"/>
    <w:rsid w:val="00654CD7"/>
    <w:rsid w:val="0065504C"/>
    <w:rsid w:val="00655281"/>
    <w:rsid w:val="006552E9"/>
    <w:rsid w:val="0065530A"/>
    <w:rsid w:val="006555EB"/>
    <w:rsid w:val="00655635"/>
    <w:rsid w:val="0065577C"/>
    <w:rsid w:val="0065588A"/>
    <w:rsid w:val="00655B94"/>
    <w:rsid w:val="00655BBA"/>
    <w:rsid w:val="00655E37"/>
    <w:rsid w:val="0065638C"/>
    <w:rsid w:val="006566F5"/>
    <w:rsid w:val="0065692B"/>
    <w:rsid w:val="00656977"/>
    <w:rsid w:val="00656B09"/>
    <w:rsid w:val="00656DFD"/>
    <w:rsid w:val="00657039"/>
    <w:rsid w:val="00657287"/>
    <w:rsid w:val="006576A7"/>
    <w:rsid w:val="006578A5"/>
    <w:rsid w:val="00657E44"/>
    <w:rsid w:val="0066064F"/>
    <w:rsid w:val="00660857"/>
    <w:rsid w:val="00661065"/>
    <w:rsid w:val="00661322"/>
    <w:rsid w:val="0066143B"/>
    <w:rsid w:val="00661629"/>
    <w:rsid w:val="0066193B"/>
    <w:rsid w:val="00661A2B"/>
    <w:rsid w:val="00662417"/>
    <w:rsid w:val="006625B3"/>
    <w:rsid w:val="006625C2"/>
    <w:rsid w:val="00662D82"/>
    <w:rsid w:val="00662F2E"/>
    <w:rsid w:val="0066395E"/>
    <w:rsid w:val="00663D96"/>
    <w:rsid w:val="00663ED0"/>
    <w:rsid w:val="00663F3B"/>
    <w:rsid w:val="00664172"/>
    <w:rsid w:val="00664460"/>
    <w:rsid w:val="006646D5"/>
    <w:rsid w:val="006647BD"/>
    <w:rsid w:val="00664E53"/>
    <w:rsid w:val="00664ED6"/>
    <w:rsid w:val="0066525E"/>
    <w:rsid w:val="00665442"/>
    <w:rsid w:val="00665987"/>
    <w:rsid w:val="00665A74"/>
    <w:rsid w:val="00665D2C"/>
    <w:rsid w:val="00665E8D"/>
    <w:rsid w:val="006662D4"/>
    <w:rsid w:val="0066636F"/>
    <w:rsid w:val="006668A0"/>
    <w:rsid w:val="00666A49"/>
    <w:rsid w:val="00666AB1"/>
    <w:rsid w:val="00666CA6"/>
    <w:rsid w:val="00666FCA"/>
    <w:rsid w:val="006673E9"/>
    <w:rsid w:val="0067027A"/>
    <w:rsid w:val="00670630"/>
    <w:rsid w:val="006706F0"/>
    <w:rsid w:val="00670948"/>
    <w:rsid w:val="00670ACE"/>
    <w:rsid w:val="00670F13"/>
    <w:rsid w:val="006710D3"/>
    <w:rsid w:val="00671291"/>
    <w:rsid w:val="006713C0"/>
    <w:rsid w:val="006715CB"/>
    <w:rsid w:val="00671862"/>
    <w:rsid w:val="00672424"/>
    <w:rsid w:val="00672590"/>
    <w:rsid w:val="00672889"/>
    <w:rsid w:val="00672900"/>
    <w:rsid w:val="00672A4A"/>
    <w:rsid w:val="00672D84"/>
    <w:rsid w:val="00672E9F"/>
    <w:rsid w:val="006732A8"/>
    <w:rsid w:val="006734C7"/>
    <w:rsid w:val="00673933"/>
    <w:rsid w:val="00673947"/>
    <w:rsid w:val="00673D40"/>
    <w:rsid w:val="00673E92"/>
    <w:rsid w:val="00674788"/>
    <w:rsid w:val="006749A8"/>
    <w:rsid w:val="00674E4D"/>
    <w:rsid w:val="00674F30"/>
    <w:rsid w:val="006752C9"/>
    <w:rsid w:val="006753E1"/>
    <w:rsid w:val="00675468"/>
    <w:rsid w:val="006757D2"/>
    <w:rsid w:val="006758D7"/>
    <w:rsid w:val="006758EB"/>
    <w:rsid w:val="0067603E"/>
    <w:rsid w:val="0067632E"/>
    <w:rsid w:val="0067683C"/>
    <w:rsid w:val="0067707E"/>
    <w:rsid w:val="00677148"/>
    <w:rsid w:val="00677879"/>
    <w:rsid w:val="00677D76"/>
    <w:rsid w:val="006800B7"/>
    <w:rsid w:val="00680196"/>
    <w:rsid w:val="0068053C"/>
    <w:rsid w:val="006808FB"/>
    <w:rsid w:val="00680DF4"/>
    <w:rsid w:val="00681001"/>
    <w:rsid w:val="00681D63"/>
    <w:rsid w:val="00681DDD"/>
    <w:rsid w:val="00681EF0"/>
    <w:rsid w:val="006820F2"/>
    <w:rsid w:val="006822E5"/>
    <w:rsid w:val="006826C5"/>
    <w:rsid w:val="00682744"/>
    <w:rsid w:val="00682976"/>
    <w:rsid w:val="00682B4C"/>
    <w:rsid w:val="006834F6"/>
    <w:rsid w:val="006835A4"/>
    <w:rsid w:val="00683B72"/>
    <w:rsid w:val="00683D54"/>
    <w:rsid w:val="00683FDE"/>
    <w:rsid w:val="00684580"/>
    <w:rsid w:val="0068481B"/>
    <w:rsid w:val="00684908"/>
    <w:rsid w:val="00685120"/>
    <w:rsid w:val="00685732"/>
    <w:rsid w:val="006857A0"/>
    <w:rsid w:val="00685868"/>
    <w:rsid w:val="00685A6B"/>
    <w:rsid w:val="00685A7F"/>
    <w:rsid w:val="00685AA7"/>
    <w:rsid w:val="006862D9"/>
    <w:rsid w:val="006864E7"/>
    <w:rsid w:val="006867B1"/>
    <w:rsid w:val="00686BED"/>
    <w:rsid w:val="00686C45"/>
    <w:rsid w:val="006870B0"/>
    <w:rsid w:val="006871CD"/>
    <w:rsid w:val="006875FA"/>
    <w:rsid w:val="00687C31"/>
    <w:rsid w:val="006901AD"/>
    <w:rsid w:val="00690370"/>
    <w:rsid w:val="006906B2"/>
    <w:rsid w:val="006906D5"/>
    <w:rsid w:val="0069104C"/>
    <w:rsid w:val="0069112E"/>
    <w:rsid w:val="006912FE"/>
    <w:rsid w:val="006919F4"/>
    <w:rsid w:val="00691A56"/>
    <w:rsid w:val="00691D26"/>
    <w:rsid w:val="00691DBB"/>
    <w:rsid w:val="00691F1E"/>
    <w:rsid w:val="00692194"/>
    <w:rsid w:val="0069285D"/>
    <w:rsid w:val="00692D37"/>
    <w:rsid w:val="00692DBB"/>
    <w:rsid w:val="006934DC"/>
    <w:rsid w:val="0069350D"/>
    <w:rsid w:val="00693606"/>
    <w:rsid w:val="0069370C"/>
    <w:rsid w:val="00694542"/>
    <w:rsid w:val="0069466B"/>
    <w:rsid w:val="00694846"/>
    <w:rsid w:val="00694DF2"/>
    <w:rsid w:val="006951C0"/>
    <w:rsid w:val="00695BE4"/>
    <w:rsid w:val="00696142"/>
    <w:rsid w:val="006963EB"/>
    <w:rsid w:val="00696907"/>
    <w:rsid w:val="00696C32"/>
    <w:rsid w:val="00696F5B"/>
    <w:rsid w:val="0069712A"/>
    <w:rsid w:val="0069727B"/>
    <w:rsid w:val="00697682"/>
    <w:rsid w:val="006977DF"/>
    <w:rsid w:val="006A02B8"/>
    <w:rsid w:val="006A0479"/>
    <w:rsid w:val="006A1031"/>
    <w:rsid w:val="006A15A7"/>
    <w:rsid w:val="006A1862"/>
    <w:rsid w:val="006A1DDF"/>
    <w:rsid w:val="006A1F35"/>
    <w:rsid w:val="006A1FED"/>
    <w:rsid w:val="006A24FE"/>
    <w:rsid w:val="006A25F3"/>
    <w:rsid w:val="006A2AD5"/>
    <w:rsid w:val="006A2B69"/>
    <w:rsid w:val="006A32EF"/>
    <w:rsid w:val="006A36D4"/>
    <w:rsid w:val="006A37B1"/>
    <w:rsid w:val="006A3A96"/>
    <w:rsid w:val="006A3DAE"/>
    <w:rsid w:val="006A415A"/>
    <w:rsid w:val="006A4B4B"/>
    <w:rsid w:val="006A4E2A"/>
    <w:rsid w:val="006A4F41"/>
    <w:rsid w:val="006A5026"/>
    <w:rsid w:val="006A50E1"/>
    <w:rsid w:val="006A5270"/>
    <w:rsid w:val="006A5A78"/>
    <w:rsid w:val="006A5C2F"/>
    <w:rsid w:val="006A5ED8"/>
    <w:rsid w:val="006A6051"/>
    <w:rsid w:val="006A62DF"/>
    <w:rsid w:val="006A630D"/>
    <w:rsid w:val="006A635C"/>
    <w:rsid w:val="006A6477"/>
    <w:rsid w:val="006A64B7"/>
    <w:rsid w:val="006A6576"/>
    <w:rsid w:val="006A6585"/>
    <w:rsid w:val="006A6ADE"/>
    <w:rsid w:val="006A6F31"/>
    <w:rsid w:val="006A705A"/>
    <w:rsid w:val="006A7282"/>
    <w:rsid w:val="006A7935"/>
    <w:rsid w:val="006B059F"/>
    <w:rsid w:val="006B0AAF"/>
    <w:rsid w:val="006B0F09"/>
    <w:rsid w:val="006B1210"/>
    <w:rsid w:val="006B15B8"/>
    <w:rsid w:val="006B19DA"/>
    <w:rsid w:val="006B2037"/>
    <w:rsid w:val="006B2053"/>
    <w:rsid w:val="006B210B"/>
    <w:rsid w:val="006B22BC"/>
    <w:rsid w:val="006B2459"/>
    <w:rsid w:val="006B2C5F"/>
    <w:rsid w:val="006B2F7A"/>
    <w:rsid w:val="006B3177"/>
    <w:rsid w:val="006B34F1"/>
    <w:rsid w:val="006B3567"/>
    <w:rsid w:val="006B3ABE"/>
    <w:rsid w:val="006B3BE5"/>
    <w:rsid w:val="006B3F71"/>
    <w:rsid w:val="006B40CB"/>
    <w:rsid w:val="006B4172"/>
    <w:rsid w:val="006B41B8"/>
    <w:rsid w:val="006B423E"/>
    <w:rsid w:val="006B43B7"/>
    <w:rsid w:val="006B4403"/>
    <w:rsid w:val="006B452A"/>
    <w:rsid w:val="006B456C"/>
    <w:rsid w:val="006B4D3E"/>
    <w:rsid w:val="006B4DF7"/>
    <w:rsid w:val="006B4EAD"/>
    <w:rsid w:val="006B50D5"/>
    <w:rsid w:val="006B5C39"/>
    <w:rsid w:val="006B648A"/>
    <w:rsid w:val="006B65E5"/>
    <w:rsid w:val="006B6AD1"/>
    <w:rsid w:val="006B70A6"/>
    <w:rsid w:val="006B7672"/>
    <w:rsid w:val="006B77AE"/>
    <w:rsid w:val="006B7906"/>
    <w:rsid w:val="006B797D"/>
    <w:rsid w:val="006B7C33"/>
    <w:rsid w:val="006C00F0"/>
    <w:rsid w:val="006C0126"/>
    <w:rsid w:val="006C05E5"/>
    <w:rsid w:val="006C060C"/>
    <w:rsid w:val="006C09AA"/>
    <w:rsid w:val="006C0BA8"/>
    <w:rsid w:val="006C1034"/>
    <w:rsid w:val="006C12EA"/>
    <w:rsid w:val="006C14C4"/>
    <w:rsid w:val="006C1A1B"/>
    <w:rsid w:val="006C1B18"/>
    <w:rsid w:val="006C1C9D"/>
    <w:rsid w:val="006C1D80"/>
    <w:rsid w:val="006C2227"/>
    <w:rsid w:val="006C2A35"/>
    <w:rsid w:val="006C2B26"/>
    <w:rsid w:val="006C2D34"/>
    <w:rsid w:val="006C2E77"/>
    <w:rsid w:val="006C324F"/>
    <w:rsid w:val="006C33EB"/>
    <w:rsid w:val="006C3687"/>
    <w:rsid w:val="006C370B"/>
    <w:rsid w:val="006C3760"/>
    <w:rsid w:val="006C3BB6"/>
    <w:rsid w:val="006C3D80"/>
    <w:rsid w:val="006C3E1B"/>
    <w:rsid w:val="006C3FBD"/>
    <w:rsid w:val="006C41E9"/>
    <w:rsid w:val="006C4230"/>
    <w:rsid w:val="006C4839"/>
    <w:rsid w:val="006C49FE"/>
    <w:rsid w:val="006C4E1A"/>
    <w:rsid w:val="006C5191"/>
    <w:rsid w:val="006C51FA"/>
    <w:rsid w:val="006C535A"/>
    <w:rsid w:val="006C53D5"/>
    <w:rsid w:val="006C55E1"/>
    <w:rsid w:val="006C56A1"/>
    <w:rsid w:val="006C5859"/>
    <w:rsid w:val="006C60AA"/>
    <w:rsid w:val="006C6A99"/>
    <w:rsid w:val="006C6B05"/>
    <w:rsid w:val="006C6C7E"/>
    <w:rsid w:val="006C6F24"/>
    <w:rsid w:val="006C7038"/>
    <w:rsid w:val="006C7041"/>
    <w:rsid w:val="006C7737"/>
    <w:rsid w:val="006C77C9"/>
    <w:rsid w:val="006C7810"/>
    <w:rsid w:val="006C78A9"/>
    <w:rsid w:val="006C79E6"/>
    <w:rsid w:val="006C7DFA"/>
    <w:rsid w:val="006D0047"/>
    <w:rsid w:val="006D0217"/>
    <w:rsid w:val="006D02B7"/>
    <w:rsid w:val="006D04F6"/>
    <w:rsid w:val="006D0504"/>
    <w:rsid w:val="006D06D0"/>
    <w:rsid w:val="006D07BB"/>
    <w:rsid w:val="006D0B6B"/>
    <w:rsid w:val="006D0CE4"/>
    <w:rsid w:val="006D11F9"/>
    <w:rsid w:val="006D128D"/>
    <w:rsid w:val="006D1F60"/>
    <w:rsid w:val="006D1FC8"/>
    <w:rsid w:val="006D221F"/>
    <w:rsid w:val="006D285A"/>
    <w:rsid w:val="006D28AD"/>
    <w:rsid w:val="006D3086"/>
    <w:rsid w:val="006D30C3"/>
    <w:rsid w:val="006D33E3"/>
    <w:rsid w:val="006D3680"/>
    <w:rsid w:val="006D3808"/>
    <w:rsid w:val="006D388D"/>
    <w:rsid w:val="006D3D9A"/>
    <w:rsid w:val="006D42EE"/>
    <w:rsid w:val="006D4308"/>
    <w:rsid w:val="006D4A7E"/>
    <w:rsid w:val="006D52BD"/>
    <w:rsid w:val="006D5322"/>
    <w:rsid w:val="006D54B3"/>
    <w:rsid w:val="006D5928"/>
    <w:rsid w:val="006D5A09"/>
    <w:rsid w:val="006D5CD7"/>
    <w:rsid w:val="006D627E"/>
    <w:rsid w:val="006D68C1"/>
    <w:rsid w:val="006D6A77"/>
    <w:rsid w:val="006D6D34"/>
    <w:rsid w:val="006D6F44"/>
    <w:rsid w:val="006D7245"/>
    <w:rsid w:val="006D7266"/>
    <w:rsid w:val="006D74A9"/>
    <w:rsid w:val="006D75FC"/>
    <w:rsid w:val="006D7771"/>
    <w:rsid w:val="006D7B33"/>
    <w:rsid w:val="006D7B63"/>
    <w:rsid w:val="006D7BCD"/>
    <w:rsid w:val="006D7F32"/>
    <w:rsid w:val="006E0064"/>
    <w:rsid w:val="006E06A2"/>
    <w:rsid w:val="006E0782"/>
    <w:rsid w:val="006E0A3D"/>
    <w:rsid w:val="006E0D39"/>
    <w:rsid w:val="006E0D75"/>
    <w:rsid w:val="006E0FEA"/>
    <w:rsid w:val="006E1C26"/>
    <w:rsid w:val="006E22ED"/>
    <w:rsid w:val="006E2347"/>
    <w:rsid w:val="006E23C1"/>
    <w:rsid w:val="006E2834"/>
    <w:rsid w:val="006E294D"/>
    <w:rsid w:val="006E2C78"/>
    <w:rsid w:val="006E2D54"/>
    <w:rsid w:val="006E2F1B"/>
    <w:rsid w:val="006E3116"/>
    <w:rsid w:val="006E3B17"/>
    <w:rsid w:val="006E3B7A"/>
    <w:rsid w:val="006E410D"/>
    <w:rsid w:val="006E442C"/>
    <w:rsid w:val="006E4A43"/>
    <w:rsid w:val="006E4BDF"/>
    <w:rsid w:val="006E4CCA"/>
    <w:rsid w:val="006E4DB8"/>
    <w:rsid w:val="006E4EFD"/>
    <w:rsid w:val="006E4FAB"/>
    <w:rsid w:val="006E54E6"/>
    <w:rsid w:val="006E55E7"/>
    <w:rsid w:val="006E592F"/>
    <w:rsid w:val="006E5930"/>
    <w:rsid w:val="006E5B7E"/>
    <w:rsid w:val="006E6033"/>
    <w:rsid w:val="006E6044"/>
    <w:rsid w:val="006E6075"/>
    <w:rsid w:val="006E6516"/>
    <w:rsid w:val="006E65EA"/>
    <w:rsid w:val="006E6861"/>
    <w:rsid w:val="006E6982"/>
    <w:rsid w:val="006E7480"/>
    <w:rsid w:val="006E766C"/>
    <w:rsid w:val="006E7BBF"/>
    <w:rsid w:val="006E7DBC"/>
    <w:rsid w:val="006E7F4F"/>
    <w:rsid w:val="006EB96A"/>
    <w:rsid w:val="006F001F"/>
    <w:rsid w:val="006F0267"/>
    <w:rsid w:val="006F07C6"/>
    <w:rsid w:val="006F0A7B"/>
    <w:rsid w:val="006F1430"/>
    <w:rsid w:val="006F1656"/>
    <w:rsid w:val="006F16D5"/>
    <w:rsid w:val="006F187F"/>
    <w:rsid w:val="006F2558"/>
    <w:rsid w:val="006F2680"/>
    <w:rsid w:val="006F274C"/>
    <w:rsid w:val="006F284C"/>
    <w:rsid w:val="006F29E8"/>
    <w:rsid w:val="006F2B8F"/>
    <w:rsid w:val="006F2DB5"/>
    <w:rsid w:val="006F3023"/>
    <w:rsid w:val="006F33D0"/>
    <w:rsid w:val="006F33E5"/>
    <w:rsid w:val="006F35B7"/>
    <w:rsid w:val="006F37AC"/>
    <w:rsid w:val="006F3EC2"/>
    <w:rsid w:val="006F3FA0"/>
    <w:rsid w:val="006F3FE9"/>
    <w:rsid w:val="006F424D"/>
    <w:rsid w:val="006F431F"/>
    <w:rsid w:val="006F4665"/>
    <w:rsid w:val="006F494D"/>
    <w:rsid w:val="006F49EA"/>
    <w:rsid w:val="006F4BEC"/>
    <w:rsid w:val="006F4E54"/>
    <w:rsid w:val="006F4F88"/>
    <w:rsid w:val="006F518C"/>
    <w:rsid w:val="006F51EB"/>
    <w:rsid w:val="006F5404"/>
    <w:rsid w:val="006F59EC"/>
    <w:rsid w:val="006F5A0E"/>
    <w:rsid w:val="006F5AED"/>
    <w:rsid w:val="006F5B70"/>
    <w:rsid w:val="006F5D6A"/>
    <w:rsid w:val="006F5EBD"/>
    <w:rsid w:val="006F5F9A"/>
    <w:rsid w:val="006F6316"/>
    <w:rsid w:val="006F6403"/>
    <w:rsid w:val="006F6914"/>
    <w:rsid w:val="006F6E07"/>
    <w:rsid w:val="006F7021"/>
    <w:rsid w:val="006F73FC"/>
    <w:rsid w:val="006F7749"/>
    <w:rsid w:val="006F7FA5"/>
    <w:rsid w:val="0070060A"/>
    <w:rsid w:val="007006B3"/>
    <w:rsid w:val="0070076B"/>
    <w:rsid w:val="007009B0"/>
    <w:rsid w:val="0070108B"/>
    <w:rsid w:val="007010B1"/>
    <w:rsid w:val="007015DA"/>
    <w:rsid w:val="00701776"/>
    <w:rsid w:val="00701C1E"/>
    <w:rsid w:val="00701C21"/>
    <w:rsid w:val="00701DE0"/>
    <w:rsid w:val="00701E7D"/>
    <w:rsid w:val="00701FBD"/>
    <w:rsid w:val="00702170"/>
    <w:rsid w:val="007021EC"/>
    <w:rsid w:val="0070233B"/>
    <w:rsid w:val="00702402"/>
    <w:rsid w:val="007025E2"/>
    <w:rsid w:val="00702872"/>
    <w:rsid w:val="00702B16"/>
    <w:rsid w:val="00702CDE"/>
    <w:rsid w:val="007033C8"/>
    <w:rsid w:val="00703875"/>
    <w:rsid w:val="00703BE0"/>
    <w:rsid w:val="007043FF"/>
    <w:rsid w:val="007044AF"/>
    <w:rsid w:val="00704781"/>
    <w:rsid w:val="00704A1B"/>
    <w:rsid w:val="00705235"/>
    <w:rsid w:val="007063AD"/>
    <w:rsid w:val="007069F1"/>
    <w:rsid w:val="00706AAA"/>
    <w:rsid w:val="007073E9"/>
    <w:rsid w:val="00707DA8"/>
    <w:rsid w:val="007100A3"/>
    <w:rsid w:val="007100E2"/>
    <w:rsid w:val="00710262"/>
    <w:rsid w:val="007102CD"/>
    <w:rsid w:val="0071031E"/>
    <w:rsid w:val="0071035E"/>
    <w:rsid w:val="00710489"/>
    <w:rsid w:val="0071055B"/>
    <w:rsid w:val="007105F6"/>
    <w:rsid w:val="007106B6"/>
    <w:rsid w:val="0071087B"/>
    <w:rsid w:val="007108CD"/>
    <w:rsid w:val="00710A5D"/>
    <w:rsid w:val="00710DEE"/>
    <w:rsid w:val="007113B1"/>
    <w:rsid w:val="00711483"/>
    <w:rsid w:val="00711696"/>
    <w:rsid w:val="007117BD"/>
    <w:rsid w:val="007117F1"/>
    <w:rsid w:val="00711AD1"/>
    <w:rsid w:val="00711E7C"/>
    <w:rsid w:val="007120D1"/>
    <w:rsid w:val="00712131"/>
    <w:rsid w:val="00712E07"/>
    <w:rsid w:val="00712FAF"/>
    <w:rsid w:val="00712FC9"/>
    <w:rsid w:val="007131DD"/>
    <w:rsid w:val="00713E11"/>
    <w:rsid w:val="0071406A"/>
    <w:rsid w:val="00714662"/>
    <w:rsid w:val="0071496F"/>
    <w:rsid w:val="0071497A"/>
    <w:rsid w:val="00714A04"/>
    <w:rsid w:val="00715057"/>
    <w:rsid w:val="00715420"/>
    <w:rsid w:val="00715AC3"/>
    <w:rsid w:val="00715C22"/>
    <w:rsid w:val="00715C82"/>
    <w:rsid w:val="00715F63"/>
    <w:rsid w:val="0071669B"/>
    <w:rsid w:val="00716A2C"/>
    <w:rsid w:val="00716D8F"/>
    <w:rsid w:val="00716E26"/>
    <w:rsid w:val="00716E52"/>
    <w:rsid w:val="007176A3"/>
    <w:rsid w:val="00717A02"/>
    <w:rsid w:val="00717A64"/>
    <w:rsid w:val="00717AE8"/>
    <w:rsid w:val="00717DC8"/>
    <w:rsid w:val="0072010C"/>
    <w:rsid w:val="007203BB"/>
    <w:rsid w:val="00720664"/>
    <w:rsid w:val="0072066A"/>
    <w:rsid w:val="007206EA"/>
    <w:rsid w:val="007206F7"/>
    <w:rsid w:val="00720C63"/>
    <w:rsid w:val="00720FEC"/>
    <w:rsid w:val="00721083"/>
    <w:rsid w:val="0072127D"/>
    <w:rsid w:val="00721342"/>
    <w:rsid w:val="0072141E"/>
    <w:rsid w:val="00721929"/>
    <w:rsid w:val="00721C86"/>
    <w:rsid w:val="00721F4D"/>
    <w:rsid w:val="0072233A"/>
    <w:rsid w:val="00722849"/>
    <w:rsid w:val="00722AB0"/>
    <w:rsid w:val="00722AE0"/>
    <w:rsid w:val="0072302F"/>
    <w:rsid w:val="007231F2"/>
    <w:rsid w:val="007232EC"/>
    <w:rsid w:val="007233B0"/>
    <w:rsid w:val="007235D7"/>
    <w:rsid w:val="00723BBB"/>
    <w:rsid w:val="00723D2A"/>
    <w:rsid w:val="00724A2F"/>
    <w:rsid w:val="00724A7A"/>
    <w:rsid w:val="00724FBF"/>
    <w:rsid w:val="00725AB0"/>
    <w:rsid w:val="00725B47"/>
    <w:rsid w:val="00725D73"/>
    <w:rsid w:val="00725EC8"/>
    <w:rsid w:val="00726322"/>
    <w:rsid w:val="007268F0"/>
    <w:rsid w:val="00726E47"/>
    <w:rsid w:val="00727026"/>
    <w:rsid w:val="007272D9"/>
    <w:rsid w:val="0072730A"/>
    <w:rsid w:val="00727358"/>
    <w:rsid w:val="007273F7"/>
    <w:rsid w:val="00727640"/>
    <w:rsid w:val="007278CA"/>
    <w:rsid w:val="00727A01"/>
    <w:rsid w:val="00727D09"/>
    <w:rsid w:val="007300B0"/>
    <w:rsid w:val="00730190"/>
    <w:rsid w:val="007302D6"/>
    <w:rsid w:val="007305B1"/>
    <w:rsid w:val="00730B6D"/>
    <w:rsid w:val="00730DCC"/>
    <w:rsid w:val="00730E9C"/>
    <w:rsid w:val="00730EE9"/>
    <w:rsid w:val="007310EA"/>
    <w:rsid w:val="0073117D"/>
    <w:rsid w:val="007318B9"/>
    <w:rsid w:val="00731971"/>
    <w:rsid w:val="00731C84"/>
    <w:rsid w:val="00731CCC"/>
    <w:rsid w:val="00731D66"/>
    <w:rsid w:val="00731DC9"/>
    <w:rsid w:val="00731FB1"/>
    <w:rsid w:val="00732002"/>
    <w:rsid w:val="00732089"/>
    <w:rsid w:val="007321E2"/>
    <w:rsid w:val="007325E8"/>
    <w:rsid w:val="00732612"/>
    <w:rsid w:val="007326FE"/>
    <w:rsid w:val="00732977"/>
    <w:rsid w:val="00732D2D"/>
    <w:rsid w:val="007331DB"/>
    <w:rsid w:val="007334F5"/>
    <w:rsid w:val="00733523"/>
    <w:rsid w:val="00733956"/>
    <w:rsid w:val="007339B6"/>
    <w:rsid w:val="00734393"/>
    <w:rsid w:val="007347F2"/>
    <w:rsid w:val="00734980"/>
    <w:rsid w:val="00734BE9"/>
    <w:rsid w:val="007351A2"/>
    <w:rsid w:val="007353BA"/>
    <w:rsid w:val="00735805"/>
    <w:rsid w:val="00735814"/>
    <w:rsid w:val="00735A54"/>
    <w:rsid w:val="00735C94"/>
    <w:rsid w:val="00735D5A"/>
    <w:rsid w:val="0073655F"/>
    <w:rsid w:val="00736A6B"/>
    <w:rsid w:val="00736B4D"/>
    <w:rsid w:val="00737903"/>
    <w:rsid w:val="00737A84"/>
    <w:rsid w:val="00737B97"/>
    <w:rsid w:val="00737C39"/>
    <w:rsid w:val="00740011"/>
    <w:rsid w:val="0074027E"/>
    <w:rsid w:val="007402A1"/>
    <w:rsid w:val="00740AB6"/>
    <w:rsid w:val="00740D74"/>
    <w:rsid w:val="00741157"/>
    <w:rsid w:val="00741221"/>
    <w:rsid w:val="007418FE"/>
    <w:rsid w:val="00741A0D"/>
    <w:rsid w:val="00741BED"/>
    <w:rsid w:val="007426C5"/>
    <w:rsid w:val="00742B20"/>
    <w:rsid w:val="0074303D"/>
    <w:rsid w:val="00743284"/>
    <w:rsid w:val="0074345D"/>
    <w:rsid w:val="007439E8"/>
    <w:rsid w:val="00743AC7"/>
    <w:rsid w:val="00743C72"/>
    <w:rsid w:val="00743D17"/>
    <w:rsid w:val="00743D36"/>
    <w:rsid w:val="0074411D"/>
    <w:rsid w:val="00744629"/>
    <w:rsid w:val="0074465E"/>
    <w:rsid w:val="007446E2"/>
    <w:rsid w:val="0074471A"/>
    <w:rsid w:val="0074495E"/>
    <w:rsid w:val="00744EE6"/>
    <w:rsid w:val="00744FEC"/>
    <w:rsid w:val="0074525C"/>
    <w:rsid w:val="007455F6"/>
    <w:rsid w:val="00745641"/>
    <w:rsid w:val="00745841"/>
    <w:rsid w:val="0074599B"/>
    <w:rsid w:val="00745FE9"/>
    <w:rsid w:val="0074644D"/>
    <w:rsid w:val="00746480"/>
    <w:rsid w:val="0074652A"/>
    <w:rsid w:val="00746729"/>
    <w:rsid w:val="007469E1"/>
    <w:rsid w:val="00746A39"/>
    <w:rsid w:val="00747847"/>
    <w:rsid w:val="007479F3"/>
    <w:rsid w:val="00747DA9"/>
    <w:rsid w:val="00747DB5"/>
    <w:rsid w:val="007502D0"/>
    <w:rsid w:val="007507BF"/>
    <w:rsid w:val="00750852"/>
    <w:rsid w:val="00750969"/>
    <w:rsid w:val="007509AB"/>
    <w:rsid w:val="00750DD1"/>
    <w:rsid w:val="007516BA"/>
    <w:rsid w:val="007517A8"/>
    <w:rsid w:val="00751924"/>
    <w:rsid w:val="00751A14"/>
    <w:rsid w:val="00751B40"/>
    <w:rsid w:val="00751B4D"/>
    <w:rsid w:val="00751FB0"/>
    <w:rsid w:val="00751FBD"/>
    <w:rsid w:val="0075233D"/>
    <w:rsid w:val="00752372"/>
    <w:rsid w:val="00752422"/>
    <w:rsid w:val="00752565"/>
    <w:rsid w:val="00752A36"/>
    <w:rsid w:val="00752B5E"/>
    <w:rsid w:val="00752FA7"/>
    <w:rsid w:val="00752FF2"/>
    <w:rsid w:val="007531D0"/>
    <w:rsid w:val="007532B3"/>
    <w:rsid w:val="0075369B"/>
    <w:rsid w:val="0075378E"/>
    <w:rsid w:val="00753D72"/>
    <w:rsid w:val="007540BC"/>
    <w:rsid w:val="00754308"/>
    <w:rsid w:val="0075435A"/>
    <w:rsid w:val="00754749"/>
    <w:rsid w:val="0075486D"/>
    <w:rsid w:val="00754B30"/>
    <w:rsid w:val="0075601B"/>
    <w:rsid w:val="00756268"/>
    <w:rsid w:val="0075632A"/>
    <w:rsid w:val="0075649F"/>
    <w:rsid w:val="00756E4D"/>
    <w:rsid w:val="00757A64"/>
    <w:rsid w:val="00757AA4"/>
    <w:rsid w:val="00757DCE"/>
    <w:rsid w:val="00760025"/>
    <w:rsid w:val="007600E4"/>
    <w:rsid w:val="00760537"/>
    <w:rsid w:val="007605DD"/>
    <w:rsid w:val="00760B9A"/>
    <w:rsid w:val="00760C3F"/>
    <w:rsid w:val="00760CB5"/>
    <w:rsid w:val="00760E35"/>
    <w:rsid w:val="00761044"/>
    <w:rsid w:val="007611EE"/>
    <w:rsid w:val="00761239"/>
    <w:rsid w:val="00761E58"/>
    <w:rsid w:val="00761F32"/>
    <w:rsid w:val="00761FFC"/>
    <w:rsid w:val="007622BD"/>
    <w:rsid w:val="0076236E"/>
    <w:rsid w:val="00763075"/>
    <w:rsid w:val="0076331B"/>
    <w:rsid w:val="00763E92"/>
    <w:rsid w:val="0076419B"/>
    <w:rsid w:val="007641A8"/>
    <w:rsid w:val="00764345"/>
    <w:rsid w:val="007643DF"/>
    <w:rsid w:val="007648BA"/>
    <w:rsid w:val="007656C9"/>
    <w:rsid w:val="00765885"/>
    <w:rsid w:val="007663D3"/>
    <w:rsid w:val="00766475"/>
    <w:rsid w:val="007669F9"/>
    <w:rsid w:val="00766FFF"/>
    <w:rsid w:val="007677EC"/>
    <w:rsid w:val="0077031D"/>
    <w:rsid w:val="0077066E"/>
    <w:rsid w:val="007708BB"/>
    <w:rsid w:val="00770930"/>
    <w:rsid w:val="00770945"/>
    <w:rsid w:val="00770BC2"/>
    <w:rsid w:val="00770C1C"/>
    <w:rsid w:val="00770C42"/>
    <w:rsid w:val="00771201"/>
    <w:rsid w:val="00771261"/>
    <w:rsid w:val="00771585"/>
    <w:rsid w:val="00771A1F"/>
    <w:rsid w:val="00771F7D"/>
    <w:rsid w:val="007723AA"/>
    <w:rsid w:val="00772508"/>
    <w:rsid w:val="007731C5"/>
    <w:rsid w:val="007731D0"/>
    <w:rsid w:val="00773AC5"/>
    <w:rsid w:val="00773B74"/>
    <w:rsid w:val="00773CDF"/>
    <w:rsid w:val="007744D3"/>
    <w:rsid w:val="007746A0"/>
    <w:rsid w:val="00774BB9"/>
    <w:rsid w:val="00774CF5"/>
    <w:rsid w:val="007753B4"/>
    <w:rsid w:val="00775694"/>
    <w:rsid w:val="00775F89"/>
    <w:rsid w:val="00776602"/>
    <w:rsid w:val="00776610"/>
    <w:rsid w:val="00776766"/>
    <w:rsid w:val="007767B4"/>
    <w:rsid w:val="007768A4"/>
    <w:rsid w:val="00776B2D"/>
    <w:rsid w:val="00776DDC"/>
    <w:rsid w:val="007771C6"/>
    <w:rsid w:val="00777291"/>
    <w:rsid w:val="0077771F"/>
    <w:rsid w:val="007777A6"/>
    <w:rsid w:val="0077789A"/>
    <w:rsid w:val="00777D17"/>
    <w:rsid w:val="00777EDB"/>
    <w:rsid w:val="00777FA7"/>
    <w:rsid w:val="00780222"/>
    <w:rsid w:val="007802DD"/>
    <w:rsid w:val="00780518"/>
    <w:rsid w:val="00780D2D"/>
    <w:rsid w:val="0078118F"/>
    <w:rsid w:val="00781199"/>
    <w:rsid w:val="007812DD"/>
    <w:rsid w:val="00781376"/>
    <w:rsid w:val="007815C6"/>
    <w:rsid w:val="00781667"/>
    <w:rsid w:val="007819D4"/>
    <w:rsid w:val="00781CAF"/>
    <w:rsid w:val="00781CC3"/>
    <w:rsid w:val="00781F48"/>
    <w:rsid w:val="0078273D"/>
    <w:rsid w:val="00782942"/>
    <w:rsid w:val="00782E0F"/>
    <w:rsid w:val="00782E37"/>
    <w:rsid w:val="007833FC"/>
    <w:rsid w:val="00783405"/>
    <w:rsid w:val="007838F6"/>
    <w:rsid w:val="00783BBE"/>
    <w:rsid w:val="007840E8"/>
    <w:rsid w:val="007841FA"/>
    <w:rsid w:val="007844B2"/>
    <w:rsid w:val="007849C4"/>
    <w:rsid w:val="00784EDF"/>
    <w:rsid w:val="007854BD"/>
    <w:rsid w:val="00785672"/>
    <w:rsid w:val="00785D1C"/>
    <w:rsid w:val="00786446"/>
    <w:rsid w:val="00786532"/>
    <w:rsid w:val="00786703"/>
    <w:rsid w:val="00786828"/>
    <w:rsid w:val="007868E8"/>
    <w:rsid w:val="00786AF8"/>
    <w:rsid w:val="007872DD"/>
    <w:rsid w:val="00787435"/>
    <w:rsid w:val="00787619"/>
    <w:rsid w:val="00787BEE"/>
    <w:rsid w:val="00787EF1"/>
    <w:rsid w:val="00787FC1"/>
    <w:rsid w:val="0079025D"/>
    <w:rsid w:val="00790527"/>
    <w:rsid w:val="0079060A"/>
    <w:rsid w:val="00790677"/>
    <w:rsid w:val="00790716"/>
    <w:rsid w:val="007908A7"/>
    <w:rsid w:val="00790E28"/>
    <w:rsid w:val="00790EAE"/>
    <w:rsid w:val="0079191C"/>
    <w:rsid w:val="00791C70"/>
    <w:rsid w:val="00792045"/>
    <w:rsid w:val="00793E9D"/>
    <w:rsid w:val="00793FDA"/>
    <w:rsid w:val="0079483A"/>
    <w:rsid w:val="0079520E"/>
    <w:rsid w:val="0079526E"/>
    <w:rsid w:val="00795462"/>
    <w:rsid w:val="00795B4A"/>
    <w:rsid w:val="00795B4C"/>
    <w:rsid w:val="00795CCD"/>
    <w:rsid w:val="00795EFB"/>
    <w:rsid w:val="007961CC"/>
    <w:rsid w:val="00796824"/>
    <w:rsid w:val="00796C35"/>
    <w:rsid w:val="00796DB8"/>
    <w:rsid w:val="0079703B"/>
    <w:rsid w:val="007972BD"/>
    <w:rsid w:val="007973FD"/>
    <w:rsid w:val="007975C2"/>
    <w:rsid w:val="00797B80"/>
    <w:rsid w:val="00797FA6"/>
    <w:rsid w:val="007A06CE"/>
    <w:rsid w:val="007A0832"/>
    <w:rsid w:val="007A0E46"/>
    <w:rsid w:val="007A0EDE"/>
    <w:rsid w:val="007A0FE9"/>
    <w:rsid w:val="007A11D6"/>
    <w:rsid w:val="007A12D0"/>
    <w:rsid w:val="007A1CE8"/>
    <w:rsid w:val="007A1F51"/>
    <w:rsid w:val="007A2465"/>
    <w:rsid w:val="007A269A"/>
    <w:rsid w:val="007A326D"/>
    <w:rsid w:val="007A32C1"/>
    <w:rsid w:val="007A3585"/>
    <w:rsid w:val="007A35D9"/>
    <w:rsid w:val="007A3838"/>
    <w:rsid w:val="007A38EB"/>
    <w:rsid w:val="007A3934"/>
    <w:rsid w:val="007A39ED"/>
    <w:rsid w:val="007A3AE1"/>
    <w:rsid w:val="007A3C71"/>
    <w:rsid w:val="007A3F5B"/>
    <w:rsid w:val="007A406A"/>
    <w:rsid w:val="007A4223"/>
    <w:rsid w:val="007A4540"/>
    <w:rsid w:val="007A458A"/>
    <w:rsid w:val="007A4AEB"/>
    <w:rsid w:val="007A4BF7"/>
    <w:rsid w:val="007A4C4C"/>
    <w:rsid w:val="007A4E12"/>
    <w:rsid w:val="007A4E98"/>
    <w:rsid w:val="007A50CA"/>
    <w:rsid w:val="007A51C8"/>
    <w:rsid w:val="007A5257"/>
    <w:rsid w:val="007A5828"/>
    <w:rsid w:val="007A5949"/>
    <w:rsid w:val="007A5A77"/>
    <w:rsid w:val="007A5DC1"/>
    <w:rsid w:val="007A61E6"/>
    <w:rsid w:val="007A637C"/>
    <w:rsid w:val="007A6486"/>
    <w:rsid w:val="007A679C"/>
    <w:rsid w:val="007A6D1F"/>
    <w:rsid w:val="007A7733"/>
    <w:rsid w:val="007A7B71"/>
    <w:rsid w:val="007A7FBA"/>
    <w:rsid w:val="007B0A83"/>
    <w:rsid w:val="007B0C1A"/>
    <w:rsid w:val="007B10C8"/>
    <w:rsid w:val="007B121D"/>
    <w:rsid w:val="007B15F0"/>
    <w:rsid w:val="007B1B71"/>
    <w:rsid w:val="007B2330"/>
    <w:rsid w:val="007B2661"/>
    <w:rsid w:val="007B284E"/>
    <w:rsid w:val="007B290A"/>
    <w:rsid w:val="007B2961"/>
    <w:rsid w:val="007B2C45"/>
    <w:rsid w:val="007B2E1E"/>
    <w:rsid w:val="007B3054"/>
    <w:rsid w:val="007B31E2"/>
    <w:rsid w:val="007B3AAD"/>
    <w:rsid w:val="007B3CB4"/>
    <w:rsid w:val="007B44D0"/>
    <w:rsid w:val="007B486B"/>
    <w:rsid w:val="007B5186"/>
    <w:rsid w:val="007B54C9"/>
    <w:rsid w:val="007B5623"/>
    <w:rsid w:val="007B5AD9"/>
    <w:rsid w:val="007B6492"/>
    <w:rsid w:val="007B663A"/>
    <w:rsid w:val="007B6D98"/>
    <w:rsid w:val="007B6DAD"/>
    <w:rsid w:val="007B6DB1"/>
    <w:rsid w:val="007B71B9"/>
    <w:rsid w:val="007B7363"/>
    <w:rsid w:val="007B755E"/>
    <w:rsid w:val="007B7738"/>
    <w:rsid w:val="007C00E0"/>
    <w:rsid w:val="007C01BB"/>
    <w:rsid w:val="007C0210"/>
    <w:rsid w:val="007C02EC"/>
    <w:rsid w:val="007C070E"/>
    <w:rsid w:val="007C0927"/>
    <w:rsid w:val="007C0B4C"/>
    <w:rsid w:val="007C13F9"/>
    <w:rsid w:val="007C1553"/>
    <w:rsid w:val="007C15B1"/>
    <w:rsid w:val="007C15E0"/>
    <w:rsid w:val="007C1B14"/>
    <w:rsid w:val="007C1BB5"/>
    <w:rsid w:val="007C1C32"/>
    <w:rsid w:val="007C1FC8"/>
    <w:rsid w:val="007C20C4"/>
    <w:rsid w:val="007C2416"/>
    <w:rsid w:val="007C2613"/>
    <w:rsid w:val="007C2B25"/>
    <w:rsid w:val="007C3277"/>
    <w:rsid w:val="007C35A5"/>
    <w:rsid w:val="007C35B4"/>
    <w:rsid w:val="007C36B1"/>
    <w:rsid w:val="007C375D"/>
    <w:rsid w:val="007C3848"/>
    <w:rsid w:val="007C401C"/>
    <w:rsid w:val="007C456D"/>
    <w:rsid w:val="007C45DE"/>
    <w:rsid w:val="007C4720"/>
    <w:rsid w:val="007C4D80"/>
    <w:rsid w:val="007C5577"/>
    <w:rsid w:val="007C557C"/>
    <w:rsid w:val="007C57F1"/>
    <w:rsid w:val="007C604B"/>
    <w:rsid w:val="007C61C6"/>
    <w:rsid w:val="007C6225"/>
    <w:rsid w:val="007C644A"/>
    <w:rsid w:val="007C65FF"/>
    <w:rsid w:val="007C67C8"/>
    <w:rsid w:val="007C6868"/>
    <w:rsid w:val="007C6929"/>
    <w:rsid w:val="007C6BA2"/>
    <w:rsid w:val="007C724A"/>
    <w:rsid w:val="007C73FD"/>
    <w:rsid w:val="007C7611"/>
    <w:rsid w:val="007C7760"/>
    <w:rsid w:val="007C7C4B"/>
    <w:rsid w:val="007C7DFE"/>
    <w:rsid w:val="007C7F50"/>
    <w:rsid w:val="007D021C"/>
    <w:rsid w:val="007D085D"/>
    <w:rsid w:val="007D0A92"/>
    <w:rsid w:val="007D0CD8"/>
    <w:rsid w:val="007D105B"/>
    <w:rsid w:val="007D15F5"/>
    <w:rsid w:val="007D1802"/>
    <w:rsid w:val="007D1B10"/>
    <w:rsid w:val="007D1CA7"/>
    <w:rsid w:val="007D21EB"/>
    <w:rsid w:val="007D2424"/>
    <w:rsid w:val="007D246F"/>
    <w:rsid w:val="007D29BE"/>
    <w:rsid w:val="007D2AA4"/>
    <w:rsid w:val="007D2D69"/>
    <w:rsid w:val="007D32BB"/>
    <w:rsid w:val="007D36C7"/>
    <w:rsid w:val="007D374E"/>
    <w:rsid w:val="007D37B3"/>
    <w:rsid w:val="007D39EE"/>
    <w:rsid w:val="007D3ABE"/>
    <w:rsid w:val="007D4047"/>
    <w:rsid w:val="007D419F"/>
    <w:rsid w:val="007D4545"/>
    <w:rsid w:val="007D4B9E"/>
    <w:rsid w:val="007D4EA7"/>
    <w:rsid w:val="007D52B2"/>
    <w:rsid w:val="007D52E2"/>
    <w:rsid w:val="007D5D99"/>
    <w:rsid w:val="007D6A78"/>
    <w:rsid w:val="007D6C20"/>
    <w:rsid w:val="007D6CC6"/>
    <w:rsid w:val="007D6DDA"/>
    <w:rsid w:val="007D740F"/>
    <w:rsid w:val="007D7CA9"/>
    <w:rsid w:val="007D7D9B"/>
    <w:rsid w:val="007DFAA7"/>
    <w:rsid w:val="007E0021"/>
    <w:rsid w:val="007E02DE"/>
    <w:rsid w:val="007E03D5"/>
    <w:rsid w:val="007E0660"/>
    <w:rsid w:val="007E0664"/>
    <w:rsid w:val="007E177D"/>
    <w:rsid w:val="007E17BA"/>
    <w:rsid w:val="007E1FD5"/>
    <w:rsid w:val="007E2262"/>
    <w:rsid w:val="007E2344"/>
    <w:rsid w:val="007E24BF"/>
    <w:rsid w:val="007E278F"/>
    <w:rsid w:val="007E283A"/>
    <w:rsid w:val="007E2B34"/>
    <w:rsid w:val="007E2E40"/>
    <w:rsid w:val="007E35A0"/>
    <w:rsid w:val="007E47D6"/>
    <w:rsid w:val="007E483C"/>
    <w:rsid w:val="007E4CD5"/>
    <w:rsid w:val="007E52ED"/>
    <w:rsid w:val="007E543B"/>
    <w:rsid w:val="007E569D"/>
    <w:rsid w:val="007E584E"/>
    <w:rsid w:val="007E5A66"/>
    <w:rsid w:val="007E5F0F"/>
    <w:rsid w:val="007E6363"/>
    <w:rsid w:val="007E6DEC"/>
    <w:rsid w:val="007E6F3F"/>
    <w:rsid w:val="007E735F"/>
    <w:rsid w:val="007E77E0"/>
    <w:rsid w:val="007E7B45"/>
    <w:rsid w:val="007E7C66"/>
    <w:rsid w:val="007F002A"/>
    <w:rsid w:val="007F0343"/>
    <w:rsid w:val="007F0483"/>
    <w:rsid w:val="007F0493"/>
    <w:rsid w:val="007F0DF0"/>
    <w:rsid w:val="007F0FBF"/>
    <w:rsid w:val="007F1217"/>
    <w:rsid w:val="007F12C0"/>
    <w:rsid w:val="007F161E"/>
    <w:rsid w:val="007F1AAE"/>
    <w:rsid w:val="007F1BB0"/>
    <w:rsid w:val="007F1CE0"/>
    <w:rsid w:val="007F1D47"/>
    <w:rsid w:val="007F1E2C"/>
    <w:rsid w:val="007F1F48"/>
    <w:rsid w:val="007F2456"/>
    <w:rsid w:val="007F2500"/>
    <w:rsid w:val="007F2660"/>
    <w:rsid w:val="007F2CAE"/>
    <w:rsid w:val="007F3052"/>
    <w:rsid w:val="007F3888"/>
    <w:rsid w:val="007F38F5"/>
    <w:rsid w:val="007F3A86"/>
    <w:rsid w:val="007F3E9C"/>
    <w:rsid w:val="007F4303"/>
    <w:rsid w:val="007F4487"/>
    <w:rsid w:val="007F4CA8"/>
    <w:rsid w:val="007F4D45"/>
    <w:rsid w:val="007F4DA6"/>
    <w:rsid w:val="007F4E28"/>
    <w:rsid w:val="007F4F8D"/>
    <w:rsid w:val="007F4FF0"/>
    <w:rsid w:val="007F51C4"/>
    <w:rsid w:val="007F534F"/>
    <w:rsid w:val="007F54F8"/>
    <w:rsid w:val="007F589A"/>
    <w:rsid w:val="007F5F7A"/>
    <w:rsid w:val="007F6002"/>
    <w:rsid w:val="007F6549"/>
    <w:rsid w:val="007F68CD"/>
    <w:rsid w:val="007F68FC"/>
    <w:rsid w:val="007F6A8A"/>
    <w:rsid w:val="007F6C14"/>
    <w:rsid w:val="007F6FE1"/>
    <w:rsid w:val="007F70A3"/>
    <w:rsid w:val="007F70A4"/>
    <w:rsid w:val="007F7429"/>
    <w:rsid w:val="007F773E"/>
    <w:rsid w:val="007F7769"/>
    <w:rsid w:val="007F7A59"/>
    <w:rsid w:val="007F7C97"/>
    <w:rsid w:val="00800123"/>
    <w:rsid w:val="0080012E"/>
    <w:rsid w:val="00800DD1"/>
    <w:rsid w:val="00801AF0"/>
    <w:rsid w:val="00801BD4"/>
    <w:rsid w:val="0080292C"/>
    <w:rsid w:val="00802B6A"/>
    <w:rsid w:val="00802D88"/>
    <w:rsid w:val="00803126"/>
    <w:rsid w:val="0080340F"/>
    <w:rsid w:val="008034BF"/>
    <w:rsid w:val="0080372C"/>
    <w:rsid w:val="008038D2"/>
    <w:rsid w:val="00804204"/>
    <w:rsid w:val="0080454E"/>
    <w:rsid w:val="0080489D"/>
    <w:rsid w:val="00804F0B"/>
    <w:rsid w:val="00804F89"/>
    <w:rsid w:val="0080507A"/>
    <w:rsid w:val="008053C0"/>
    <w:rsid w:val="008054C0"/>
    <w:rsid w:val="0080559B"/>
    <w:rsid w:val="00805E95"/>
    <w:rsid w:val="00805F69"/>
    <w:rsid w:val="0080625F"/>
    <w:rsid w:val="00806297"/>
    <w:rsid w:val="008063CC"/>
    <w:rsid w:val="0080667E"/>
    <w:rsid w:val="008066AD"/>
    <w:rsid w:val="00806E73"/>
    <w:rsid w:val="00806FCA"/>
    <w:rsid w:val="00807205"/>
    <w:rsid w:val="008073C7"/>
    <w:rsid w:val="008076D7"/>
    <w:rsid w:val="00807776"/>
    <w:rsid w:val="00807DD0"/>
    <w:rsid w:val="00807EF8"/>
    <w:rsid w:val="00810937"/>
    <w:rsid w:val="00810A3D"/>
    <w:rsid w:val="00810D5F"/>
    <w:rsid w:val="00810DC7"/>
    <w:rsid w:val="00811B45"/>
    <w:rsid w:val="00811CC4"/>
    <w:rsid w:val="0081226A"/>
    <w:rsid w:val="00812319"/>
    <w:rsid w:val="0081238E"/>
    <w:rsid w:val="0081297A"/>
    <w:rsid w:val="008129AE"/>
    <w:rsid w:val="00812CB8"/>
    <w:rsid w:val="00812DBE"/>
    <w:rsid w:val="00812DD6"/>
    <w:rsid w:val="00813037"/>
    <w:rsid w:val="00813108"/>
    <w:rsid w:val="0081318F"/>
    <w:rsid w:val="0081332B"/>
    <w:rsid w:val="008135A8"/>
    <w:rsid w:val="00813919"/>
    <w:rsid w:val="00813D8E"/>
    <w:rsid w:val="00813DD4"/>
    <w:rsid w:val="00814196"/>
    <w:rsid w:val="0081425F"/>
    <w:rsid w:val="008145A8"/>
    <w:rsid w:val="0081478E"/>
    <w:rsid w:val="008147B9"/>
    <w:rsid w:val="0081482C"/>
    <w:rsid w:val="00814850"/>
    <w:rsid w:val="0081494B"/>
    <w:rsid w:val="008149CB"/>
    <w:rsid w:val="00814A03"/>
    <w:rsid w:val="00814ABB"/>
    <w:rsid w:val="00814BAA"/>
    <w:rsid w:val="0081523E"/>
    <w:rsid w:val="0081587C"/>
    <w:rsid w:val="00815C68"/>
    <w:rsid w:val="00815D2B"/>
    <w:rsid w:val="00816446"/>
    <w:rsid w:val="00816559"/>
    <w:rsid w:val="008165FE"/>
    <w:rsid w:val="008166B2"/>
    <w:rsid w:val="008166B6"/>
    <w:rsid w:val="00816824"/>
    <w:rsid w:val="00816C1A"/>
    <w:rsid w:val="00816C3B"/>
    <w:rsid w:val="00816CA3"/>
    <w:rsid w:val="00816F45"/>
    <w:rsid w:val="00817208"/>
    <w:rsid w:val="0081739E"/>
    <w:rsid w:val="00817782"/>
    <w:rsid w:val="00817962"/>
    <w:rsid w:val="00817A4F"/>
    <w:rsid w:val="00817F0B"/>
    <w:rsid w:val="00820150"/>
    <w:rsid w:val="008204FC"/>
    <w:rsid w:val="008209A4"/>
    <w:rsid w:val="00820B33"/>
    <w:rsid w:val="00820DC9"/>
    <w:rsid w:val="00820DD4"/>
    <w:rsid w:val="00820DEB"/>
    <w:rsid w:val="0082171D"/>
    <w:rsid w:val="0082189B"/>
    <w:rsid w:val="00821917"/>
    <w:rsid w:val="008219FE"/>
    <w:rsid w:val="00821DA5"/>
    <w:rsid w:val="00822392"/>
    <w:rsid w:val="0082269A"/>
    <w:rsid w:val="0082300C"/>
    <w:rsid w:val="00823396"/>
    <w:rsid w:val="00823CD5"/>
    <w:rsid w:val="00823D0A"/>
    <w:rsid w:val="00823F08"/>
    <w:rsid w:val="0082412E"/>
    <w:rsid w:val="00824208"/>
    <w:rsid w:val="00824446"/>
    <w:rsid w:val="008248DC"/>
    <w:rsid w:val="00824D71"/>
    <w:rsid w:val="008252D1"/>
    <w:rsid w:val="008253AA"/>
    <w:rsid w:val="00825AF0"/>
    <w:rsid w:val="008266CD"/>
    <w:rsid w:val="008267FC"/>
    <w:rsid w:val="00826BB8"/>
    <w:rsid w:val="00827072"/>
    <w:rsid w:val="00827204"/>
    <w:rsid w:val="0082720E"/>
    <w:rsid w:val="00827413"/>
    <w:rsid w:val="00827589"/>
    <w:rsid w:val="00827711"/>
    <w:rsid w:val="008278A9"/>
    <w:rsid w:val="00827EA8"/>
    <w:rsid w:val="008302B2"/>
    <w:rsid w:val="00830B01"/>
    <w:rsid w:val="00830B9A"/>
    <w:rsid w:val="0083121A"/>
    <w:rsid w:val="008312C0"/>
    <w:rsid w:val="008315DE"/>
    <w:rsid w:val="00832558"/>
    <w:rsid w:val="00832B96"/>
    <w:rsid w:val="00832C00"/>
    <w:rsid w:val="00833000"/>
    <w:rsid w:val="00833040"/>
    <w:rsid w:val="00833148"/>
    <w:rsid w:val="00833320"/>
    <w:rsid w:val="008339DE"/>
    <w:rsid w:val="00833A89"/>
    <w:rsid w:val="00833BD1"/>
    <w:rsid w:val="00833F4F"/>
    <w:rsid w:val="0083426E"/>
    <w:rsid w:val="00834384"/>
    <w:rsid w:val="00834524"/>
    <w:rsid w:val="00834545"/>
    <w:rsid w:val="008346D7"/>
    <w:rsid w:val="008348C4"/>
    <w:rsid w:val="00834902"/>
    <w:rsid w:val="00834BA0"/>
    <w:rsid w:val="00834EC2"/>
    <w:rsid w:val="008355E3"/>
    <w:rsid w:val="0083574E"/>
    <w:rsid w:val="008357BF"/>
    <w:rsid w:val="00835B4C"/>
    <w:rsid w:val="00835EF5"/>
    <w:rsid w:val="00836385"/>
    <w:rsid w:val="00836606"/>
    <w:rsid w:val="00836AA1"/>
    <w:rsid w:val="00836AD6"/>
    <w:rsid w:val="00836DA2"/>
    <w:rsid w:val="008372C3"/>
    <w:rsid w:val="008375B0"/>
    <w:rsid w:val="00837643"/>
    <w:rsid w:val="00837BD5"/>
    <w:rsid w:val="00837BE0"/>
    <w:rsid w:val="00837C6C"/>
    <w:rsid w:val="00840057"/>
    <w:rsid w:val="008400C2"/>
    <w:rsid w:val="0084038B"/>
    <w:rsid w:val="008404C9"/>
    <w:rsid w:val="008405EA"/>
    <w:rsid w:val="00840672"/>
    <w:rsid w:val="008408AA"/>
    <w:rsid w:val="008409A6"/>
    <w:rsid w:val="00840AB1"/>
    <w:rsid w:val="00840C79"/>
    <w:rsid w:val="00840D2E"/>
    <w:rsid w:val="008412D1"/>
    <w:rsid w:val="00841E32"/>
    <w:rsid w:val="0084217C"/>
    <w:rsid w:val="00842183"/>
    <w:rsid w:val="008428C5"/>
    <w:rsid w:val="008428F3"/>
    <w:rsid w:val="00842E91"/>
    <w:rsid w:val="00842EDC"/>
    <w:rsid w:val="00842FBF"/>
    <w:rsid w:val="008430A2"/>
    <w:rsid w:val="0084330C"/>
    <w:rsid w:val="00843887"/>
    <w:rsid w:val="00843998"/>
    <w:rsid w:val="00843AB7"/>
    <w:rsid w:val="00843DDC"/>
    <w:rsid w:val="00843F9F"/>
    <w:rsid w:val="0084437A"/>
    <w:rsid w:val="0084438B"/>
    <w:rsid w:val="00844474"/>
    <w:rsid w:val="00844F05"/>
    <w:rsid w:val="00844F1E"/>
    <w:rsid w:val="0084545D"/>
    <w:rsid w:val="00845490"/>
    <w:rsid w:val="00845517"/>
    <w:rsid w:val="008455BF"/>
    <w:rsid w:val="00845B74"/>
    <w:rsid w:val="00845C44"/>
    <w:rsid w:val="008460F8"/>
    <w:rsid w:val="008462BF"/>
    <w:rsid w:val="00846609"/>
    <w:rsid w:val="00846704"/>
    <w:rsid w:val="00846997"/>
    <w:rsid w:val="00846BFD"/>
    <w:rsid w:val="00846DFD"/>
    <w:rsid w:val="00846EEE"/>
    <w:rsid w:val="0084703C"/>
    <w:rsid w:val="008478B0"/>
    <w:rsid w:val="0084795A"/>
    <w:rsid w:val="008479E9"/>
    <w:rsid w:val="00847B76"/>
    <w:rsid w:val="00847D9F"/>
    <w:rsid w:val="00847E63"/>
    <w:rsid w:val="008501D6"/>
    <w:rsid w:val="008503DE"/>
    <w:rsid w:val="00850701"/>
    <w:rsid w:val="00850D4E"/>
    <w:rsid w:val="00850F09"/>
    <w:rsid w:val="008511EE"/>
    <w:rsid w:val="00851527"/>
    <w:rsid w:val="0085153A"/>
    <w:rsid w:val="0085182D"/>
    <w:rsid w:val="00851B53"/>
    <w:rsid w:val="00851F47"/>
    <w:rsid w:val="0085222A"/>
    <w:rsid w:val="008524EF"/>
    <w:rsid w:val="00852BE1"/>
    <w:rsid w:val="00852C0B"/>
    <w:rsid w:val="0085304C"/>
    <w:rsid w:val="00853342"/>
    <w:rsid w:val="008535CA"/>
    <w:rsid w:val="00853942"/>
    <w:rsid w:val="00853A80"/>
    <w:rsid w:val="00853BF6"/>
    <w:rsid w:val="008540AA"/>
    <w:rsid w:val="008541E4"/>
    <w:rsid w:val="008547E2"/>
    <w:rsid w:val="00854B19"/>
    <w:rsid w:val="00854E5C"/>
    <w:rsid w:val="00855151"/>
    <w:rsid w:val="008554AE"/>
    <w:rsid w:val="00855C2F"/>
    <w:rsid w:val="00856344"/>
    <w:rsid w:val="00856374"/>
    <w:rsid w:val="008563C2"/>
    <w:rsid w:val="008567A4"/>
    <w:rsid w:val="00856856"/>
    <w:rsid w:val="0085740C"/>
    <w:rsid w:val="00857974"/>
    <w:rsid w:val="0085798A"/>
    <w:rsid w:val="00857C40"/>
    <w:rsid w:val="00857DC6"/>
    <w:rsid w:val="008609EB"/>
    <w:rsid w:val="00860CD0"/>
    <w:rsid w:val="00860D4D"/>
    <w:rsid w:val="00860F90"/>
    <w:rsid w:val="0086102A"/>
    <w:rsid w:val="0086110E"/>
    <w:rsid w:val="00861991"/>
    <w:rsid w:val="00861CB2"/>
    <w:rsid w:val="00861F15"/>
    <w:rsid w:val="008621E3"/>
    <w:rsid w:val="00862266"/>
    <w:rsid w:val="0086250D"/>
    <w:rsid w:val="00862520"/>
    <w:rsid w:val="00862828"/>
    <w:rsid w:val="00862D0F"/>
    <w:rsid w:val="0086313A"/>
    <w:rsid w:val="008631DE"/>
    <w:rsid w:val="00863DD4"/>
    <w:rsid w:val="00863FBD"/>
    <w:rsid w:val="00864025"/>
    <w:rsid w:val="00864076"/>
    <w:rsid w:val="00864B21"/>
    <w:rsid w:val="00864B58"/>
    <w:rsid w:val="00864E9F"/>
    <w:rsid w:val="008655EB"/>
    <w:rsid w:val="008656BE"/>
    <w:rsid w:val="008659DC"/>
    <w:rsid w:val="00865D42"/>
    <w:rsid w:val="00866338"/>
    <w:rsid w:val="008669C9"/>
    <w:rsid w:val="00866F44"/>
    <w:rsid w:val="0086701A"/>
    <w:rsid w:val="00867667"/>
    <w:rsid w:val="0086780D"/>
    <w:rsid w:val="00867817"/>
    <w:rsid w:val="008678B9"/>
    <w:rsid w:val="00867B21"/>
    <w:rsid w:val="00867E59"/>
    <w:rsid w:val="00867EC6"/>
    <w:rsid w:val="0087006F"/>
    <w:rsid w:val="0087017E"/>
    <w:rsid w:val="00870752"/>
    <w:rsid w:val="00870760"/>
    <w:rsid w:val="00870DF6"/>
    <w:rsid w:val="008711FE"/>
    <w:rsid w:val="008713CB"/>
    <w:rsid w:val="008718CA"/>
    <w:rsid w:val="00871C5C"/>
    <w:rsid w:val="00871EC3"/>
    <w:rsid w:val="00872252"/>
    <w:rsid w:val="008725A0"/>
    <w:rsid w:val="008729E5"/>
    <w:rsid w:val="00872CF6"/>
    <w:rsid w:val="008732D2"/>
    <w:rsid w:val="0087341C"/>
    <w:rsid w:val="00873529"/>
    <w:rsid w:val="008735BE"/>
    <w:rsid w:val="00873725"/>
    <w:rsid w:val="008738F2"/>
    <w:rsid w:val="008739E6"/>
    <w:rsid w:val="00873C1D"/>
    <w:rsid w:val="00874412"/>
    <w:rsid w:val="0087488D"/>
    <w:rsid w:val="00874D17"/>
    <w:rsid w:val="008752CE"/>
    <w:rsid w:val="00875354"/>
    <w:rsid w:val="00875457"/>
    <w:rsid w:val="008756A1"/>
    <w:rsid w:val="00875C1E"/>
    <w:rsid w:val="00875F8C"/>
    <w:rsid w:val="008761B8"/>
    <w:rsid w:val="008767CC"/>
    <w:rsid w:val="00876CC5"/>
    <w:rsid w:val="00876DE8"/>
    <w:rsid w:val="00877113"/>
    <w:rsid w:val="0087751E"/>
    <w:rsid w:val="00877984"/>
    <w:rsid w:val="00877ABA"/>
    <w:rsid w:val="00877DDB"/>
    <w:rsid w:val="008802E7"/>
    <w:rsid w:val="00880B4E"/>
    <w:rsid w:val="00880D99"/>
    <w:rsid w:val="00880EC4"/>
    <w:rsid w:val="00881165"/>
    <w:rsid w:val="00881204"/>
    <w:rsid w:val="00881AE7"/>
    <w:rsid w:val="00881AFC"/>
    <w:rsid w:val="00881E0A"/>
    <w:rsid w:val="00882381"/>
    <w:rsid w:val="0088280D"/>
    <w:rsid w:val="008828EA"/>
    <w:rsid w:val="0088296C"/>
    <w:rsid w:val="00882C29"/>
    <w:rsid w:val="00883666"/>
    <w:rsid w:val="008838AA"/>
    <w:rsid w:val="0088391C"/>
    <w:rsid w:val="00883BE8"/>
    <w:rsid w:val="00883D02"/>
    <w:rsid w:val="00884489"/>
    <w:rsid w:val="0088450D"/>
    <w:rsid w:val="0088452C"/>
    <w:rsid w:val="0088458D"/>
    <w:rsid w:val="008848D7"/>
    <w:rsid w:val="00884C59"/>
    <w:rsid w:val="0088562B"/>
    <w:rsid w:val="008858DB"/>
    <w:rsid w:val="008858F6"/>
    <w:rsid w:val="00885EC1"/>
    <w:rsid w:val="00885F11"/>
    <w:rsid w:val="008860E9"/>
    <w:rsid w:val="0088726B"/>
    <w:rsid w:val="008874D2"/>
    <w:rsid w:val="00887588"/>
    <w:rsid w:val="0088773D"/>
    <w:rsid w:val="00887E9A"/>
    <w:rsid w:val="00890201"/>
    <w:rsid w:val="008902DF"/>
    <w:rsid w:val="008903BD"/>
    <w:rsid w:val="008903D5"/>
    <w:rsid w:val="0089047A"/>
    <w:rsid w:val="0089058D"/>
    <w:rsid w:val="008908BC"/>
    <w:rsid w:val="00890E21"/>
    <w:rsid w:val="0089112E"/>
    <w:rsid w:val="008912AB"/>
    <w:rsid w:val="008912EB"/>
    <w:rsid w:val="00891A69"/>
    <w:rsid w:val="00891B41"/>
    <w:rsid w:val="00891BCC"/>
    <w:rsid w:val="0089233B"/>
    <w:rsid w:val="008927AC"/>
    <w:rsid w:val="008929A3"/>
    <w:rsid w:val="00892B09"/>
    <w:rsid w:val="00892E19"/>
    <w:rsid w:val="00892EB5"/>
    <w:rsid w:val="0089309B"/>
    <w:rsid w:val="00893185"/>
    <w:rsid w:val="00893593"/>
    <w:rsid w:val="00893944"/>
    <w:rsid w:val="00893995"/>
    <w:rsid w:val="00893B5F"/>
    <w:rsid w:val="00893DDA"/>
    <w:rsid w:val="0089408A"/>
    <w:rsid w:val="008947C8"/>
    <w:rsid w:val="00894814"/>
    <w:rsid w:val="00894E95"/>
    <w:rsid w:val="008950AB"/>
    <w:rsid w:val="00895121"/>
    <w:rsid w:val="00895656"/>
    <w:rsid w:val="00895C45"/>
    <w:rsid w:val="00895EDC"/>
    <w:rsid w:val="008961F1"/>
    <w:rsid w:val="0089635B"/>
    <w:rsid w:val="008964C5"/>
    <w:rsid w:val="008965AA"/>
    <w:rsid w:val="00896C54"/>
    <w:rsid w:val="00896D59"/>
    <w:rsid w:val="00896FC8"/>
    <w:rsid w:val="00897215"/>
    <w:rsid w:val="00897284"/>
    <w:rsid w:val="0089738A"/>
    <w:rsid w:val="008A01F8"/>
    <w:rsid w:val="008A0327"/>
    <w:rsid w:val="008A05F4"/>
    <w:rsid w:val="008A07CB"/>
    <w:rsid w:val="008A0C3A"/>
    <w:rsid w:val="008A0FCA"/>
    <w:rsid w:val="008A1889"/>
    <w:rsid w:val="008A1DBC"/>
    <w:rsid w:val="008A1EB5"/>
    <w:rsid w:val="008A21D4"/>
    <w:rsid w:val="008A220A"/>
    <w:rsid w:val="008A251F"/>
    <w:rsid w:val="008A2680"/>
    <w:rsid w:val="008A2D49"/>
    <w:rsid w:val="008A2FAF"/>
    <w:rsid w:val="008A3227"/>
    <w:rsid w:val="008A35F2"/>
    <w:rsid w:val="008A35F5"/>
    <w:rsid w:val="008A35F7"/>
    <w:rsid w:val="008A39DA"/>
    <w:rsid w:val="008A4033"/>
    <w:rsid w:val="008A4060"/>
    <w:rsid w:val="008A406D"/>
    <w:rsid w:val="008A4795"/>
    <w:rsid w:val="008A4A4E"/>
    <w:rsid w:val="008A4A7F"/>
    <w:rsid w:val="008A4CBC"/>
    <w:rsid w:val="008A5231"/>
    <w:rsid w:val="008A54E9"/>
    <w:rsid w:val="008A56F9"/>
    <w:rsid w:val="008A5946"/>
    <w:rsid w:val="008A59C6"/>
    <w:rsid w:val="008A5D27"/>
    <w:rsid w:val="008A6299"/>
    <w:rsid w:val="008A6E89"/>
    <w:rsid w:val="008A6FD2"/>
    <w:rsid w:val="008A70D2"/>
    <w:rsid w:val="008A7568"/>
    <w:rsid w:val="008A796D"/>
    <w:rsid w:val="008A7AC5"/>
    <w:rsid w:val="008A7BA2"/>
    <w:rsid w:val="008A7CAF"/>
    <w:rsid w:val="008B062E"/>
    <w:rsid w:val="008B0809"/>
    <w:rsid w:val="008B0842"/>
    <w:rsid w:val="008B0B3D"/>
    <w:rsid w:val="008B0B71"/>
    <w:rsid w:val="008B0F34"/>
    <w:rsid w:val="008B118F"/>
    <w:rsid w:val="008B11FB"/>
    <w:rsid w:val="008B140E"/>
    <w:rsid w:val="008B15E6"/>
    <w:rsid w:val="008B1A72"/>
    <w:rsid w:val="008B202B"/>
    <w:rsid w:val="008B208A"/>
    <w:rsid w:val="008B20CA"/>
    <w:rsid w:val="008B21E2"/>
    <w:rsid w:val="008B23BE"/>
    <w:rsid w:val="008B248E"/>
    <w:rsid w:val="008B257A"/>
    <w:rsid w:val="008B29D2"/>
    <w:rsid w:val="008B2BE5"/>
    <w:rsid w:val="008B36FA"/>
    <w:rsid w:val="008B3D29"/>
    <w:rsid w:val="008B40C9"/>
    <w:rsid w:val="008B42C2"/>
    <w:rsid w:val="008B4C41"/>
    <w:rsid w:val="008B4DF0"/>
    <w:rsid w:val="008B4EA2"/>
    <w:rsid w:val="008B5177"/>
    <w:rsid w:val="008B533D"/>
    <w:rsid w:val="008B54BA"/>
    <w:rsid w:val="008B5683"/>
    <w:rsid w:val="008B6109"/>
    <w:rsid w:val="008B6254"/>
    <w:rsid w:val="008B63CB"/>
    <w:rsid w:val="008B646F"/>
    <w:rsid w:val="008B64D2"/>
    <w:rsid w:val="008B650C"/>
    <w:rsid w:val="008B6559"/>
    <w:rsid w:val="008B67CB"/>
    <w:rsid w:val="008B6C1D"/>
    <w:rsid w:val="008B70E5"/>
    <w:rsid w:val="008B7194"/>
    <w:rsid w:val="008B7262"/>
    <w:rsid w:val="008B7304"/>
    <w:rsid w:val="008B7573"/>
    <w:rsid w:val="008B7991"/>
    <w:rsid w:val="008B7A35"/>
    <w:rsid w:val="008B7C6A"/>
    <w:rsid w:val="008C049A"/>
    <w:rsid w:val="008C0BC8"/>
    <w:rsid w:val="008C0BD4"/>
    <w:rsid w:val="008C10BC"/>
    <w:rsid w:val="008C112E"/>
    <w:rsid w:val="008C136F"/>
    <w:rsid w:val="008C13F3"/>
    <w:rsid w:val="008C14D0"/>
    <w:rsid w:val="008C154E"/>
    <w:rsid w:val="008C1A6E"/>
    <w:rsid w:val="008C1B7F"/>
    <w:rsid w:val="008C1BA3"/>
    <w:rsid w:val="008C2336"/>
    <w:rsid w:val="008C23C0"/>
    <w:rsid w:val="008C2AB8"/>
    <w:rsid w:val="008C2EE0"/>
    <w:rsid w:val="008C2FD2"/>
    <w:rsid w:val="008C307A"/>
    <w:rsid w:val="008C345F"/>
    <w:rsid w:val="008C3B41"/>
    <w:rsid w:val="008C3C0B"/>
    <w:rsid w:val="008C41E9"/>
    <w:rsid w:val="008C4422"/>
    <w:rsid w:val="008C47F4"/>
    <w:rsid w:val="008C5355"/>
    <w:rsid w:val="008C54EB"/>
    <w:rsid w:val="008C5BD7"/>
    <w:rsid w:val="008C5E33"/>
    <w:rsid w:val="008C6568"/>
    <w:rsid w:val="008C6B02"/>
    <w:rsid w:val="008C7A97"/>
    <w:rsid w:val="008C7DC1"/>
    <w:rsid w:val="008C7EAC"/>
    <w:rsid w:val="008D0078"/>
    <w:rsid w:val="008D041F"/>
    <w:rsid w:val="008D0A93"/>
    <w:rsid w:val="008D128F"/>
    <w:rsid w:val="008D12C5"/>
    <w:rsid w:val="008D172A"/>
    <w:rsid w:val="008D1758"/>
    <w:rsid w:val="008D1954"/>
    <w:rsid w:val="008D1C6D"/>
    <w:rsid w:val="008D1DB8"/>
    <w:rsid w:val="008D1F69"/>
    <w:rsid w:val="008D21CE"/>
    <w:rsid w:val="008D22BF"/>
    <w:rsid w:val="008D271F"/>
    <w:rsid w:val="008D2B8C"/>
    <w:rsid w:val="008D310E"/>
    <w:rsid w:val="008D318B"/>
    <w:rsid w:val="008D33D8"/>
    <w:rsid w:val="008D358B"/>
    <w:rsid w:val="008D3606"/>
    <w:rsid w:val="008D38B2"/>
    <w:rsid w:val="008D3903"/>
    <w:rsid w:val="008D3D1B"/>
    <w:rsid w:val="008D3EA2"/>
    <w:rsid w:val="008D3EAC"/>
    <w:rsid w:val="008D4130"/>
    <w:rsid w:val="008D4971"/>
    <w:rsid w:val="008D4CA6"/>
    <w:rsid w:val="008D4D7C"/>
    <w:rsid w:val="008D4DFA"/>
    <w:rsid w:val="008D505B"/>
    <w:rsid w:val="008D596D"/>
    <w:rsid w:val="008D608E"/>
    <w:rsid w:val="008D61CE"/>
    <w:rsid w:val="008D634C"/>
    <w:rsid w:val="008D7446"/>
    <w:rsid w:val="008D76F4"/>
    <w:rsid w:val="008D7834"/>
    <w:rsid w:val="008D7C44"/>
    <w:rsid w:val="008D7F01"/>
    <w:rsid w:val="008E05DA"/>
    <w:rsid w:val="008E06D0"/>
    <w:rsid w:val="008E06D7"/>
    <w:rsid w:val="008E109D"/>
    <w:rsid w:val="008E1131"/>
    <w:rsid w:val="008E11A8"/>
    <w:rsid w:val="008E1654"/>
    <w:rsid w:val="008E1B3B"/>
    <w:rsid w:val="008E1B69"/>
    <w:rsid w:val="008E1C34"/>
    <w:rsid w:val="008E1D4B"/>
    <w:rsid w:val="008E1F8F"/>
    <w:rsid w:val="008E2332"/>
    <w:rsid w:val="008E235A"/>
    <w:rsid w:val="008E2740"/>
    <w:rsid w:val="008E28E5"/>
    <w:rsid w:val="008E32AB"/>
    <w:rsid w:val="008E32CD"/>
    <w:rsid w:val="008E3663"/>
    <w:rsid w:val="008E3765"/>
    <w:rsid w:val="008E3916"/>
    <w:rsid w:val="008E393E"/>
    <w:rsid w:val="008E3B25"/>
    <w:rsid w:val="008E41BF"/>
    <w:rsid w:val="008E4507"/>
    <w:rsid w:val="008E48A2"/>
    <w:rsid w:val="008E4939"/>
    <w:rsid w:val="008E49B6"/>
    <w:rsid w:val="008E4A7A"/>
    <w:rsid w:val="008E4A80"/>
    <w:rsid w:val="008E4CF8"/>
    <w:rsid w:val="008E5176"/>
    <w:rsid w:val="008E5A40"/>
    <w:rsid w:val="008E5C63"/>
    <w:rsid w:val="008E5E01"/>
    <w:rsid w:val="008E5F99"/>
    <w:rsid w:val="008E69DF"/>
    <w:rsid w:val="008E6ADD"/>
    <w:rsid w:val="008E6E62"/>
    <w:rsid w:val="008E6F3B"/>
    <w:rsid w:val="008E6FD9"/>
    <w:rsid w:val="008E750B"/>
    <w:rsid w:val="008E7C8D"/>
    <w:rsid w:val="008E7C8F"/>
    <w:rsid w:val="008E7DF7"/>
    <w:rsid w:val="008E7F6D"/>
    <w:rsid w:val="008E7FB7"/>
    <w:rsid w:val="008F067A"/>
    <w:rsid w:val="008F075B"/>
    <w:rsid w:val="008F0778"/>
    <w:rsid w:val="008F07BF"/>
    <w:rsid w:val="008F0DE2"/>
    <w:rsid w:val="008F0F98"/>
    <w:rsid w:val="008F1653"/>
    <w:rsid w:val="008F18B8"/>
    <w:rsid w:val="008F1D27"/>
    <w:rsid w:val="008F1DBC"/>
    <w:rsid w:val="008F2BE9"/>
    <w:rsid w:val="008F2E3D"/>
    <w:rsid w:val="008F2EE8"/>
    <w:rsid w:val="008F365B"/>
    <w:rsid w:val="008F42A4"/>
    <w:rsid w:val="008F47E7"/>
    <w:rsid w:val="008F4867"/>
    <w:rsid w:val="008F4DA5"/>
    <w:rsid w:val="008F5A6A"/>
    <w:rsid w:val="008F5D8E"/>
    <w:rsid w:val="008F6397"/>
    <w:rsid w:val="008F649E"/>
    <w:rsid w:val="008F6609"/>
    <w:rsid w:val="008F6769"/>
    <w:rsid w:val="008F7BFF"/>
    <w:rsid w:val="008F7C71"/>
    <w:rsid w:val="009005D0"/>
    <w:rsid w:val="009006A7"/>
    <w:rsid w:val="00900817"/>
    <w:rsid w:val="00900E7E"/>
    <w:rsid w:val="00900F64"/>
    <w:rsid w:val="00901545"/>
    <w:rsid w:val="0090164B"/>
    <w:rsid w:val="00901C07"/>
    <w:rsid w:val="00902D8A"/>
    <w:rsid w:val="00903022"/>
    <w:rsid w:val="00903252"/>
    <w:rsid w:val="00903421"/>
    <w:rsid w:val="009037F5"/>
    <w:rsid w:val="0090386C"/>
    <w:rsid w:val="00903A30"/>
    <w:rsid w:val="00903C8A"/>
    <w:rsid w:val="009041FF"/>
    <w:rsid w:val="00904203"/>
    <w:rsid w:val="0090433E"/>
    <w:rsid w:val="00904FA6"/>
    <w:rsid w:val="0090559A"/>
    <w:rsid w:val="00905E5B"/>
    <w:rsid w:val="00906294"/>
    <w:rsid w:val="00906652"/>
    <w:rsid w:val="00906654"/>
    <w:rsid w:val="0090699C"/>
    <w:rsid w:val="00906AE6"/>
    <w:rsid w:val="00906BEE"/>
    <w:rsid w:val="00906C7E"/>
    <w:rsid w:val="00906C85"/>
    <w:rsid w:val="009071FC"/>
    <w:rsid w:val="00907A38"/>
    <w:rsid w:val="00907CA1"/>
    <w:rsid w:val="00910076"/>
    <w:rsid w:val="009100AD"/>
    <w:rsid w:val="00910A01"/>
    <w:rsid w:val="00910ADB"/>
    <w:rsid w:val="00910BDB"/>
    <w:rsid w:val="00910D5B"/>
    <w:rsid w:val="009113FC"/>
    <w:rsid w:val="0091142C"/>
    <w:rsid w:val="00912001"/>
    <w:rsid w:val="00912300"/>
    <w:rsid w:val="00912779"/>
    <w:rsid w:val="00912A8F"/>
    <w:rsid w:val="00912D28"/>
    <w:rsid w:val="00912FB8"/>
    <w:rsid w:val="009130FC"/>
    <w:rsid w:val="009135C8"/>
    <w:rsid w:val="009137EC"/>
    <w:rsid w:val="00913B84"/>
    <w:rsid w:val="00913E86"/>
    <w:rsid w:val="00914019"/>
    <w:rsid w:val="0091428D"/>
    <w:rsid w:val="00914321"/>
    <w:rsid w:val="00914743"/>
    <w:rsid w:val="00914958"/>
    <w:rsid w:val="009151DB"/>
    <w:rsid w:val="00915335"/>
    <w:rsid w:val="00915800"/>
    <w:rsid w:val="00915E05"/>
    <w:rsid w:val="00915E55"/>
    <w:rsid w:val="009161F2"/>
    <w:rsid w:val="00916BD3"/>
    <w:rsid w:val="00916C79"/>
    <w:rsid w:val="00916D2B"/>
    <w:rsid w:val="00916DCF"/>
    <w:rsid w:val="009171A2"/>
    <w:rsid w:val="009172A2"/>
    <w:rsid w:val="0091746D"/>
    <w:rsid w:val="0091753F"/>
    <w:rsid w:val="00917689"/>
    <w:rsid w:val="009202DD"/>
    <w:rsid w:val="0092039D"/>
    <w:rsid w:val="00920553"/>
    <w:rsid w:val="0092082B"/>
    <w:rsid w:val="00920889"/>
    <w:rsid w:val="009209A8"/>
    <w:rsid w:val="00920FFC"/>
    <w:rsid w:val="009211C3"/>
    <w:rsid w:val="00921858"/>
    <w:rsid w:val="00921A86"/>
    <w:rsid w:val="00921E0E"/>
    <w:rsid w:val="00922482"/>
    <w:rsid w:val="0092248D"/>
    <w:rsid w:val="00922776"/>
    <w:rsid w:val="00922CCA"/>
    <w:rsid w:val="00922F91"/>
    <w:rsid w:val="0092318E"/>
    <w:rsid w:val="009231C7"/>
    <w:rsid w:val="00923A87"/>
    <w:rsid w:val="00923DCA"/>
    <w:rsid w:val="00923E40"/>
    <w:rsid w:val="00923F5B"/>
    <w:rsid w:val="00924368"/>
    <w:rsid w:val="009249C8"/>
    <w:rsid w:val="00924AAE"/>
    <w:rsid w:val="00924AEC"/>
    <w:rsid w:val="00924AFF"/>
    <w:rsid w:val="00924B63"/>
    <w:rsid w:val="00924D33"/>
    <w:rsid w:val="009253D8"/>
    <w:rsid w:val="0092545D"/>
    <w:rsid w:val="0092547B"/>
    <w:rsid w:val="009256FC"/>
    <w:rsid w:val="00925A8A"/>
    <w:rsid w:val="00925D7F"/>
    <w:rsid w:val="00925E38"/>
    <w:rsid w:val="0092630A"/>
    <w:rsid w:val="00926374"/>
    <w:rsid w:val="0092638F"/>
    <w:rsid w:val="00926419"/>
    <w:rsid w:val="009267E0"/>
    <w:rsid w:val="0092699F"/>
    <w:rsid w:val="00927288"/>
    <w:rsid w:val="00927379"/>
    <w:rsid w:val="0092760F"/>
    <w:rsid w:val="009279C5"/>
    <w:rsid w:val="00927B30"/>
    <w:rsid w:val="00927ED4"/>
    <w:rsid w:val="009305E1"/>
    <w:rsid w:val="0093076C"/>
    <w:rsid w:val="0093088F"/>
    <w:rsid w:val="00930AE6"/>
    <w:rsid w:val="00930C1E"/>
    <w:rsid w:val="00930D42"/>
    <w:rsid w:val="00930F8F"/>
    <w:rsid w:val="009312A8"/>
    <w:rsid w:val="00931531"/>
    <w:rsid w:val="00931D29"/>
    <w:rsid w:val="0093277B"/>
    <w:rsid w:val="00932B81"/>
    <w:rsid w:val="00932C7E"/>
    <w:rsid w:val="00932E7F"/>
    <w:rsid w:val="00932EBD"/>
    <w:rsid w:val="00932F38"/>
    <w:rsid w:val="0093336C"/>
    <w:rsid w:val="0093364C"/>
    <w:rsid w:val="00933924"/>
    <w:rsid w:val="00933965"/>
    <w:rsid w:val="00933B99"/>
    <w:rsid w:val="00933DB1"/>
    <w:rsid w:val="00933DFC"/>
    <w:rsid w:val="00933E23"/>
    <w:rsid w:val="00934149"/>
    <w:rsid w:val="0093453B"/>
    <w:rsid w:val="00934B70"/>
    <w:rsid w:val="00934C79"/>
    <w:rsid w:val="0093502D"/>
    <w:rsid w:val="0093555A"/>
    <w:rsid w:val="009355E9"/>
    <w:rsid w:val="00935B69"/>
    <w:rsid w:val="00935BAC"/>
    <w:rsid w:val="00935DEB"/>
    <w:rsid w:val="00935EDE"/>
    <w:rsid w:val="00935F74"/>
    <w:rsid w:val="00936409"/>
    <w:rsid w:val="00936652"/>
    <w:rsid w:val="00936BCA"/>
    <w:rsid w:val="009370B9"/>
    <w:rsid w:val="00937A14"/>
    <w:rsid w:val="00937C72"/>
    <w:rsid w:val="00937D63"/>
    <w:rsid w:val="00937E67"/>
    <w:rsid w:val="00937F78"/>
    <w:rsid w:val="00940386"/>
    <w:rsid w:val="00940B8A"/>
    <w:rsid w:val="00941335"/>
    <w:rsid w:val="00941398"/>
    <w:rsid w:val="009413A0"/>
    <w:rsid w:val="00941450"/>
    <w:rsid w:val="00941664"/>
    <w:rsid w:val="00941712"/>
    <w:rsid w:val="00941C16"/>
    <w:rsid w:val="0094205A"/>
    <w:rsid w:val="00942121"/>
    <w:rsid w:val="00942343"/>
    <w:rsid w:val="0094374E"/>
    <w:rsid w:val="0094391C"/>
    <w:rsid w:val="00943B6A"/>
    <w:rsid w:val="00943BEA"/>
    <w:rsid w:val="00943BF6"/>
    <w:rsid w:val="00943EBE"/>
    <w:rsid w:val="00944031"/>
    <w:rsid w:val="00944113"/>
    <w:rsid w:val="009441BB"/>
    <w:rsid w:val="00944227"/>
    <w:rsid w:val="0094428B"/>
    <w:rsid w:val="00944363"/>
    <w:rsid w:val="00944667"/>
    <w:rsid w:val="00944C40"/>
    <w:rsid w:val="00944CCC"/>
    <w:rsid w:val="0094510D"/>
    <w:rsid w:val="009451B4"/>
    <w:rsid w:val="00945222"/>
    <w:rsid w:val="00945448"/>
    <w:rsid w:val="009454C2"/>
    <w:rsid w:val="00945718"/>
    <w:rsid w:val="009458E5"/>
    <w:rsid w:val="00945A0D"/>
    <w:rsid w:val="00946268"/>
    <w:rsid w:val="009462B8"/>
    <w:rsid w:val="009464EA"/>
    <w:rsid w:val="00946A15"/>
    <w:rsid w:val="00946AD0"/>
    <w:rsid w:val="0094711B"/>
    <w:rsid w:val="0094720D"/>
    <w:rsid w:val="0094723C"/>
    <w:rsid w:val="0094736E"/>
    <w:rsid w:val="00947AD3"/>
    <w:rsid w:val="009502E8"/>
    <w:rsid w:val="00950851"/>
    <w:rsid w:val="00950F5C"/>
    <w:rsid w:val="0095110D"/>
    <w:rsid w:val="009513C7"/>
    <w:rsid w:val="00951404"/>
    <w:rsid w:val="00951EBD"/>
    <w:rsid w:val="0095201A"/>
    <w:rsid w:val="00952711"/>
    <w:rsid w:val="00952A8E"/>
    <w:rsid w:val="00952AEB"/>
    <w:rsid w:val="00952C65"/>
    <w:rsid w:val="00952FAD"/>
    <w:rsid w:val="00952FCD"/>
    <w:rsid w:val="0095308D"/>
    <w:rsid w:val="0095327A"/>
    <w:rsid w:val="00953355"/>
    <w:rsid w:val="009539D0"/>
    <w:rsid w:val="00953B4A"/>
    <w:rsid w:val="00953EF1"/>
    <w:rsid w:val="00954551"/>
    <w:rsid w:val="009547F2"/>
    <w:rsid w:val="009548B6"/>
    <w:rsid w:val="0095496A"/>
    <w:rsid w:val="00954DB0"/>
    <w:rsid w:val="009552D9"/>
    <w:rsid w:val="00955862"/>
    <w:rsid w:val="0095597A"/>
    <w:rsid w:val="00955A13"/>
    <w:rsid w:val="00955EF7"/>
    <w:rsid w:val="00955F13"/>
    <w:rsid w:val="00956239"/>
    <w:rsid w:val="009562E6"/>
    <w:rsid w:val="00956745"/>
    <w:rsid w:val="00956771"/>
    <w:rsid w:val="0095682F"/>
    <w:rsid w:val="00956C2C"/>
    <w:rsid w:val="00956C88"/>
    <w:rsid w:val="00956E61"/>
    <w:rsid w:val="00956F0C"/>
    <w:rsid w:val="0095731C"/>
    <w:rsid w:val="009574A3"/>
    <w:rsid w:val="00957B37"/>
    <w:rsid w:val="00957C91"/>
    <w:rsid w:val="00957D6D"/>
    <w:rsid w:val="009600F0"/>
    <w:rsid w:val="009603A6"/>
    <w:rsid w:val="00960817"/>
    <w:rsid w:val="009608DA"/>
    <w:rsid w:val="00960EE7"/>
    <w:rsid w:val="0096146E"/>
    <w:rsid w:val="00961976"/>
    <w:rsid w:val="009620E9"/>
    <w:rsid w:val="00962373"/>
    <w:rsid w:val="00962580"/>
    <w:rsid w:val="009625D4"/>
    <w:rsid w:val="0096286A"/>
    <w:rsid w:val="00962F3C"/>
    <w:rsid w:val="00963106"/>
    <w:rsid w:val="009634C4"/>
    <w:rsid w:val="00963895"/>
    <w:rsid w:val="00963B08"/>
    <w:rsid w:val="00963BEB"/>
    <w:rsid w:val="00963C99"/>
    <w:rsid w:val="00963D39"/>
    <w:rsid w:val="00963E11"/>
    <w:rsid w:val="009640A3"/>
    <w:rsid w:val="009640B6"/>
    <w:rsid w:val="00964146"/>
    <w:rsid w:val="00964393"/>
    <w:rsid w:val="009643D9"/>
    <w:rsid w:val="00964C45"/>
    <w:rsid w:val="00964C92"/>
    <w:rsid w:val="00964ED1"/>
    <w:rsid w:val="00965450"/>
    <w:rsid w:val="0096557C"/>
    <w:rsid w:val="00965E24"/>
    <w:rsid w:val="00965FCE"/>
    <w:rsid w:val="009661D1"/>
    <w:rsid w:val="009662E2"/>
    <w:rsid w:val="009666C1"/>
    <w:rsid w:val="0096694C"/>
    <w:rsid w:val="00966992"/>
    <w:rsid w:val="00966A82"/>
    <w:rsid w:val="0096714B"/>
    <w:rsid w:val="00967286"/>
    <w:rsid w:val="00967673"/>
    <w:rsid w:val="00967AA2"/>
    <w:rsid w:val="00967EEE"/>
    <w:rsid w:val="009700E0"/>
    <w:rsid w:val="0097031B"/>
    <w:rsid w:val="0097032F"/>
    <w:rsid w:val="009705AE"/>
    <w:rsid w:val="009705BA"/>
    <w:rsid w:val="00970822"/>
    <w:rsid w:val="00970F52"/>
    <w:rsid w:val="009712D8"/>
    <w:rsid w:val="00971912"/>
    <w:rsid w:val="00971BD8"/>
    <w:rsid w:val="00971F9E"/>
    <w:rsid w:val="00972004"/>
    <w:rsid w:val="009726C9"/>
    <w:rsid w:val="00972CF7"/>
    <w:rsid w:val="00973078"/>
    <w:rsid w:val="009730EF"/>
    <w:rsid w:val="0097381E"/>
    <w:rsid w:val="00973B18"/>
    <w:rsid w:val="00973E16"/>
    <w:rsid w:val="00973F58"/>
    <w:rsid w:val="00974160"/>
    <w:rsid w:val="00974469"/>
    <w:rsid w:val="009744C7"/>
    <w:rsid w:val="0097471F"/>
    <w:rsid w:val="00974867"/>
    <w:rsid w:val="009748A3"/>
    <w:rsid w:val="00974D24"/>
    <w:rsid w:val="00974E01"/>
    <w:rsid w:val="00974E8F"/>
    <w:rsid w:val="009752D5"/>
    <w:rsid w:val="00975453"/>
    <w:rsid w:val="009755A0"/>
    <w:rsid w:val="009756A7"/>
    <w:rsid w:val="009756FD"/>
    <w:rsid w:val="00975924"/>
    <w:rsid w:val="009759E1"/>
    <w:rsid w:val="00975B40"/>
    <w:rsid w:val="00977243"/>
    <w:rsid w:val="00977445"/>
    <w:rsid w:val="00977E78"/>
    <w:rsid w:val="00977EAC"/>
    <w:rsid w:val="0097C676"/>
    <w:rsid w:val="00980108"/>
    <w:rsid w:val="00980766"/>
    <w:rsid w:val="00980A3E"/>
    <w:rsid w:val="00980C43"/>
    <w:rsid w:val="00980CC2"/>
    <w:rsid w:val="00980EAB"/>
    <w:rsid w:val="009814E5"/>
    <w:rsid w:val="00981845"/>
    <w:rsid w:val="00981CED"/>
    <w:rsid w:val="00982916"/>
    <w:rsid w:val="00982B32"/>
    <w:rsid w:val="00982D2D"/>
    <w:rsid w:val="00982F82"/>
    <w:rsid w:val="0098323D"/>
    <w:rsid w:val="0098340C"/>
    <w:rsid w:val="00983579"/>
    <w:rsid w:val="0098363B"/>
    <w:rsid w:val="009838AF"/>
    <w:rsid w:val="00983C2C"/>
    <w:rsid w:val="00983FF2"/>
    <w:rsid w:val="0098443E"/>
    <w:rsid w:val="0098448E"/>
    <w:rsid w:val="00984524"/>
    <w:rsid w:val="00984A96"/>
    <w:rsid w:val="00984B8C"/>
    <w:rsid w:val="00984EAC"/>
    <w:rsid w:val="009850A1"/>
    <w:rsid w:val="009853E4"/>
    <w:rsid w:val="00985449"/>
    <w:rsid w:val="00985489"/>
    <w:rsid w:val="009854D9"/>
    <w:rsid w:val="00985A84"/>
    <w:rsid w:val="00985CA7"/>
    <w:rsid w:val="00986103"/>
    <w:rsid w:val="00986193"/>
    <w:rsid w:val="0098641E"/>
    <w:rsid w:val="009867F2"/>
    <w:rsid w:val="00986952"/>
    <w:rsid w:val="00986B13"/>
    <w:rsid w:val="00986CDE"/>
    <w:rsid w:val="0098723C"/>
    <w:rsid w:val="00987372"/>
    <w:rsid w:val="009874B6"/>
    <w:rsid w:val="00987842"/>
    <w:rsid w:val="00987B4C"/>
    <w:rsid w:val="00987BB5"/>
    <w:rsid w:val="009908FA"/>
    <w:rsid w:val="00990E27"/>
    <w:rsid w:val="00991705"/>
    <w:rsid w:val="00991996"/>
    <w:rsid w:val="00991E61"/>
    <w:rsid w:val="0099220C"/>
    <w:rsid w:val="00992218"/>
    <w:rsid w:val="00992D04"/>
    <w:rsid w:val="00992D67"/>
    <w:rsid w:val="00992DDB"/>
    <w:rsid w:val="0099362A"/>
    <w:rsid w:val="00993898"/>
    <w:rsid w:val="00993CED"/>
    <w:rsid w:val="00993F30"/>
    <w:rsid w:val="009944F1"/>
    <w:rsid w:val="0099468D"/>
    <w:rsid w:val="009947BD"/>
    <w:rsid w:val="00994A7B"/>
    <w:rsid w:val="00994D6D"/>
    <w:rsid w:val="009952C3"/>
    <w:rsid w:val="009952EF"/>
    <w:rsid w:val="009953E1"/>
    <w:rsid w:val="009955B3"/>
    <w:rsid w:val="009957F9"/>
    <w:rsid w:val="00995841"/>
    <w:rsid w:val="009959BB"/>
    <w:rsid w:val="00995B6A"/>
    <w:rsid w:val="00995DA5"/>
    <w:rsid w:val="00996006"/>
    <w:rsid w:val="0099653C"/>
    <w:rsid w:val="00996573"/>
    <w:rsid w:val="0099673D"/>
    <w:rsid w:val="00996819"/>
    <w:rsid w:val="009969C1"/>
    <w:rsid w:val="00996EF6"/>
    <w:rsid w:val="009974D2"/>
    <w:rsid w:val="00997862"/>
    <w:rsid w:val="009978B1"/>
    <w:rsid w:val="00997CF1"/>
    <w:rsid w:val="00997EDB"/>
    <w:rsid w:val="009A01BA"/>
    <w:rsid w:val="009A1040"/>
    <w:rsid w:val="009A12DA"/>
    <w:rsid w:val="009A13F9"/>
    <w:rsid w:val="009A1475"/>
    <w:rsid w:val="009A1FEA"/>
    <w:rsid w:val="009A20AF"/>
    <w:rsid w:val="009A212B"/>
    <w:rsid w:val="009A26C6"/>
    <w:rsid w:val="009A26CD"/>
    <w:rsid w:val="009A2AD2"/>
    <w:rsid w:val="009A2C44"/>
    <w:rsid w:val="009A2F3C"/>
    <w:rsid w:val="009A3001"/>
    <w:rsid w:val="009A3433"/>
    <w:rsid w:val="009A3782"/>
    <w:rsid w:val="009A3F9A"/>
    <w:rsid w:val="009A3FB9"/>
    <w:rsid w:val="009A4225"/>
    <w:rsid w:val="009A4390"/>
    <w:rsid w:val="009A44A1"/>
    <w:rsid w:val="009A48CB"/>
    <w:rsid w:val="009A48EF"/>
    <w:rsid w:val="009A49B1"/>
    <w:rsid w:val="009A4FE2"/>
    <w:rsid w:val="009A53A0"/>
    <w:rsid w:val="009A58E1"/>
    <w:rsid w:val="009A5AD8"/>
    <w:rsid w:val="009A5D8F"/>
    <w:rsid w:val="009A63D1"/>
    <w:rsid w:val="009A6A03"/>
    <w:rsid w:val="009A6FA5"/>
    <w:rsid w:val="009A7015"/>
    <w:rsid w:val="009A7102"/>
    <w:rsid w:val="009A79EF"/>
    <w:rsid w:val="009A7CA2"/>
    <w:rsid w:val="009B010E"/>
    <w:rsid w:val="009B0A03"/>
    <w:rsid w:val="009B0D58"/>
    <w:rsid w:val="009B0D62"/>
    <w:rsid w:val="009B0D6D"/>
    <w:rsid w:val="009B0E16"/>
    <w:rsid w:val="009B109B"/>
    <w:rsid w:val="009B1178"/>
    <w:rsid w:val="009B1377"/>
    <w:rsid w:val="009B138E"/>
    <w:rsid w:val="009B14BA"/>
    <w:rsid w:val="009B17C9"/>
    <w:rsid w:val="009B1E2B"/>
    <w:rsid w:val="009B1E36"/>
    <w:rsid w:val="009B1EA9"/>
    <w:rsid w:val="009B218F"/>
    <w:rsid w:val="009B22CB"/>
    <w:rsid w:val="009B256B"/>
    <w:rsid w:val="009B259A"/>
    <w:rsid w:val="009B2A0F"/>
    <w:rsid w:val="009B3046"/>
    <w:rsid w:val="009B33A8"/>
    <w:rsid w:val="009B3425"/>
    <w:rsid w:val="009B3882"/>
    <w:rsid w:val="009B3A62"/>
    <w:rsid w:val="009B3E01"/>
    <w:rsid w:val="009B3EA3"/>
    <w:rsid w:val="009B407B"/>
    <w:rsid w:val="009B4824"/>
    <w:rsid w:val="009B4D3A"/>
    <w:rsid w:val="009B4EF9"/>
    <w:rsid w:val="009B5491"/>
    <w:rsid w:val="009B5497"/>
    <w:rsid w:val="009B57DB"/>
    <w:rsid w:val="009B5B2E"/>
    <w:rsid w:val="009B5EDB"/>
    <w:rsid w:val="009B5F22"/>
    <w:rsid w:val="009B62AC"/>
    <w:rsid w:val="009B664B"/>
    <w:rsid w:val="009B66E1"/>
    <w:rsid w:val="009B686E"/>
    <w:rsid w:val="009B6EF1"/>
    <w:rsid w:val="009B6F05"/>
    <w:rsid w:val="009B71D5"/>
    <w:rsid w:val="009B721A"/>
    <w:rsid w:val="009B7362"/>
    <w:rsid w:val="009B7391"/>
    <w:rsid w:val="009B77B0"/>
    <w:rsid w:val="009B77DC"/>
    <w:rsid w:val="009B7894"/>
    <w:rsid w:val="009B79E1"/>
    <w:rsid w:val="009B7D33"/>
    <w:rsid w:val="009B7E8C"/>
    <w:rsid w:val="009B7FD0"/>
    <w:rsid w:val="009C002E"/>
    <w:rsid w:val="009C0126"/>
    <w:rsid w:val="009C01D1"/>
    <w:rsid w:val="009C02C2"/>
    <w:rsid w:val="009C037B"/>
    <w:rsid w:val="009C09BA"/>
    <w:rsid w:val="009C1169"/>
    <w:rsid w:val="009C11A5"/>
    <w:rsid w:val="009C1880"/>
    <w:rsid w:val="009C1A2B"/>
    <w:rsid w:val="009C1CAB"/>
    <w:rsid w:val="009C1D20"/>
    <w:rsid w:val="009C1E93"/>
    <w:rsid w:val="009C20A5"/>
    <w:rsid w:val="009C227F"/>
    <w:rsid w:val="009C2508"/>
    <w:rsid w:val="009C2587"/>
    <w:rsid w:val="009C282E"/>
    <w:rsid w:val="009C29BA"/>
    <w:rsid w:val="009C2AF5"/>
    <w:rsid w:val="009C2FF5"/>
    <w:rsid w:val="009C3250"/>
    <w:rsid w:val="009C3712"/>
    <w:rsid w:val="009C383A"/>
    <w:rsid w:val="009C3844"/>
    <w:rsid w:val="009C3994"/>
    <w:rsid w:val="009C3A11"/>
    <w:rsid w:val="009C3B59"/>
    <w:rsid w:val="009C3F54"/>
    <w:rsid w:val="009C44E3"/>
    <w:rsid w:val="009C4888"/>
    <w:rsid w:val="009C4FB6"/>
    <w:rsid w:val="009C522A"/>
    <w:rsid w:val="009C5650"/>
    <w:rsid w:val="009C599E"/>
    <w:rsid w:val="009C5ADF"/>
    <w:rsid w:val="009C5C30"/>
    <w:rsid w:val="009C604A"/>
    <w:rsid w:val="009C626C"/>
    <w:rsid w:val="009C62D7"/>
    <w:rsid w:val="009C6401"/>
    <w:rsid w:val="009C66DF"/>
    <w:rsid w:val="009C677E"/>
    <w:rsid w:val="009C68DD"/>
    <w:rsid w:val="009C6ECB"/>
    <w:rsid w:val="009C7262"/>
    <w:rsid w:val="009C7478"/>
    <w:rsid w:val="009C74D4"/>
    <w:rsid w:val="009D069F"/>
    <w:rsid w:val="009D06C8"/>
    <w:rsid w:val="009D0A03"/>
    <w:rsid w:val="009D0AF0"/>
    <w:rsid w:val="009D0DC3"/>
    <w:rsid w:val="009D18B0"/>
    <w:rsid w:val="009D2315"/>
    <w:rsid w:val="009D2DB5"/>
    <w:rsid w:val="009D32CD"/>
    <w:rsid w:val="009D3B10"/>
    <w:rsid w:val="009D45C2"/>
    <w:rsid w:val="009D4741"/>
    <w:rsid w:val="009D4804"/>
    <w:rsid w:val="009D492A"/>
    <w:rsid w:val="009D4F32"/>
    <w:rsid w:val="009D50A6"/>
    <w:rsid w:val="009D5164"/>
    <w:rsid w:val="009D56E0"/>
    <w:rsid w:val="009D57EF"/>
    <w:rsid w:val="009D5856"/>
    <w:rsid w:val="009D589E"/>
    <w:rsid w:val="009D5DE3"/>
    <w:rsid w:val="009D5E9D"/>
    <w:rsid w:val="009D5F4E"/>
    <w:rsid w:val="009D639C"/>
    <w:rsid w:val="009D6904"/>
    <w:rsid w:val="009D693D"/>
    <w:rsid w:val="009D6CAF"/>
    <w:rsid w:val="009D6DB7"/>
    <w:rsid w:val="009D72DA"/>
    <w:rsid w:val="009D74D3"/>
    <w:rsid w:val="009D756A"/>
    <w:rsid w:val="009D7574"/>
    <w:rsid w:val="009D7BB2"/>
    <w:rsid w:val="009D7D06"/>
    <w:rsid w:val="009D7EC4"/>
    <w:rsid w:val="009E028E"/>
    <w:rsid w:val="009E049E"/>
    <w:rsid w:val="009E04C2"/>
    <w:rsid w:val="009E0B2C"/>
    <w:rsid w:val="009E0B42"/>
    <w:rsid w:val="009E0FFF"/>
    <w:rsid w:val="009E1264"/>
    <w:rsid w:val="009E1296"/>
    <w:rsid w:val="009E161F"/>
    <w:rsid w:val="009E1C91"/>
    <w:rsid w:val="009E1DEF"/>
    <w:rsid w:val="009E2174"/>
    <w:rsid w:val="009E266E"/>
    <w:rsid w:val="009E2A74"/>
    <w:rsid w:val="009E2F55"/>
    <w:rsid w:val="009E3338"/>
    <w:rsid w:val="009E34EE"/>
    <w:rsid w:val="009E390B"/>
    <w:rsid w:val="009E398E"/>
    <w:rsid w:val="009E3C56"/>
    <w:rsid w:val="009E3C96"/>
    <w:rsid w:val="009E3F78"/>
    <w:rsid w:val="009E4174"/>
    <w:rsid w:val="009E48E1"/>
    <w:rsid w:val="009E4F41"/>
    <w:rsid w:val="009E4FB3"/>
    <w:rsid w:val="009E518F"/>
    <w:rsid w:val="009E520D"/>
    <w:rsid w:val="009E52F1"/>
    <w:rsid w:val="009E5303"/>
    <w:rsid w:val="009E5379"/>
    <w:rsid w:val="009E5A4D"/>
    <w:rsid w:val="009E5B1B"/>
    <w:rsid w:val="009E5B6B"/>
    <w:rsid w:val="009E5DC3"/>
    <w:rsid w:val="009E5E66"/>
    <w:rsid w:val="009E668F"/>
    <w:rsid w:val="009E69E4"/>
    <w:rsid w:val="009E6A38"/>
    <w:rsid w:val="009E6A60"/>
    <w:rsid w:val="009E6B1F"/>
    <w:rsid w:val="009E74D9"/>
    <w:rsid w:val="009E7BBF"/>
    <w:rsid w:val="009E7BF8"/>
    <w:rsid w:val="009E7CB3"/>
    <w:rsid w:val="009F096F"/>
    <w:rsid w:val="009F09B2"/>
    <w:rsid w:val="009F0F23"/>
    <w:rsid w:val="009F100F"/>
    <w:rsid w:val="009F10BF"/>
    <w:rsid w:val="009F1210"/>
    <w:rsid w:val="009F12CD"/>
    <w:rsid w:val="009F146D"/>
    <w:rsid w:val="009F14B7"/>
    <w:rsid w:val="009F168B"/>
    <w:rsid w:val="009F17E9"/>
    <w:rsid w:val="009F17EB"/>
    <w:rsid w:val="009F19F0"/>
    <w:rsid w:val="009F209D"/>
    <w:rsid w:val="009F21CA"/>
    <w:rsid w:val="009F238B"/>
    <w:rsid w:val="009F291E"/>
    <w:rsid w:val="009F295F"/>
    <w:rsid w:val="009F2CC1"/>
    <w:rsid w:val="009F2E42"/>
    <w:rsid w:val="009F2F73"/>
    <w:rsid w:val="009F3646"/>
    <w:rsid w:val="009F3B74"/>
    <w:rsid w:val="009F3F54"/>
    <w:rsid w:val="009F4FB5"/>
    <w:rsid w:val="009F50CE"/>
    <w:rsid w:val="009F50FC"/>
    <w:rsid w:val="009F54E5"/>
    <w:rsid w:val="009F58E5"/>
    <w:rsid w:val="009F5BF1"/>
    <w:rsid w:val="009F5C59"/>
    <w:rsid w:val="009F61A3"/>
    <w:rsid w:val="009F644F"/>
    <w:rsid w:val="009F6710"/>
    <w:rsid w:val="009F67F3"/>
    <w:rsid w:val="009F6851"/>
    <w:rsid w:val="009F6ACB"/>
    <w:rsid w:val="009F6F95"/>
    <w:rsid w:val="009F71BB"/>
    <w:rsid w:val="009F73F8"/>
    <w:rsid w:val="009F7509"/>
    <w:rsid w:val="009F7730"/>
    <w:rsid w:val="009F79EE"/>
    <w:rsid w:val="009F7CDD"/>
    <w:rsid w:val="009F7D4F"/>
    <w:rsid w:val="009F7F27"/>
    <w:rsid w:val="00A00161"/>
    <w:rsid w:val="00A004CE"/>
    <w:rsid w:val="00A006DB"/>
    <w:rsid w:val="00A00CE3"/>
    <w:rsid w:val="00A00E2A"/>
    <w:rsid w:val="00A00E5E"/>
    <w:rsid w:val="00A00EC3"/>
    <w:rsid w:val="00A01098"/>
    <w:rsid w:val="00A01A35"/>
    <w:rsid w:val="00A01A3A"/>
    <w:rsid w:val="00A02543"/>
    <w:rsid w:val="00A029BC"/>
    <w:rsid w:val="00A02D56"/>
    <w:rsid w:val="00A034E1"/>
    <w:rsid w:val="00A03F56"/>
    <w:rsid w:val="00A04173"/>
    <w:rsid w:val="00A046E5"/>
    <w:rsid w:val="00A04724"/>
    <w:rsid w:val="00A04A03"/>
    <w:rsid w:val="00A04A60"/>
    <w:rsid w:val="00A04B60"/>
    <w:rsid w:val="00A04F6B"/>
    <w:rsid w:val="00A0510F"/>
    <w:rsid w:val="00A05240"/>
    <w:rsid w:val="00A05F8B"/>
    <w:rsid w:val="00A0627D"/>
    <w:rsid w:val="00A0688B"/>
    <w:rsid w:val="00A068FF"/>
    <w:rsid w:val="00A06B4F"/>
    <w:rsid w:val="00A06BF2"/>
    <w:rsid w:val="00A06E5D"/>
    <w:rsid w:val="00A06EBD"/>
    <w:rsid w:val="00A077F5"/>
    <w:rsid w:val="00A07A84"/>
    <w:rsid w:val="00A105A4"/>
    <w:rsid w:val="00A10818"/>
    <w:rsid w:val="00A10B3F"/>
    <w:rsid w:val="00A10D06"/>
    <w:rsid w:val="00A11133"/>
    <w:rsid w:val="00A112FD"/>
    <w:rsid w:val="00A1165D"/>
    <w:rsid w:val="00A11A80"/>
    <w:rsid w:val="00A11AA4"/>
    <w:rsid w:val="00A11DE8"/>
    <w:rsid w:val="00A126FD"/>
    <w:rsid w:val="00A12702"/>
    <w:rsid w:val="00A12A34"/>
    <w:rsid w:val="00A12FE7"/>
    <w:rsid w:val="00A131E8"/>
    <w:rsid w:val="00A13286"/>
    <w:rsid w:val="00A13372"/>
    <w:rsid w:val="00A1360B"/>
    <w:rsid w:val="00A1373E"/>
    <w:rsid w:val="00A13DF5"/>
    <w:rsid w:val="00A13F3E"/>
    <w:rsid w:val="00A14175"/>
    <w:rsid w:val="00A142D5"/>
    <w:rsid w:val="00A149EA"/>
    <w:rsid w:val="00A14A72"/>
    <w:rsid w:val="00A14AA9"/>
    <w:rsid w:val="00A14CA9"/>
    <w:rsid w:val="00A14E1B"/>
    <w:rsid w:val="00A159F1"/>
    <w:rsid w:val="00A15A0E"/>
    <w:rsid w:val="00A15D90"/>
    <w:rsid w:val="00A16350"/>
    <w:rsid w:val="00A164F7"/>
    <w:rsid w:val="00A1650D"/>
    <w:rsid w:val="00A16753"/>
    <w:rsid w:val="00A16820"/>
    <w:rsid w:val="00A16963"/>
    <w:rsid w:val="00A16AF9"/>
    <w:rsid w:val="00A16B51"/>
    <w:rsid w:val="00A16C5F"/>
    <w:rsid w:val="00A16D76"/>
    <w:rsid w:val="00A16E7A"/>
    <w:rsid w:val="00A16F02"/>
    <w:rsid w:val="00A17165"/>
    <w:rsid w:val="00A171CC"/>
    <w:rsid w:val="00A17305"/>
    <w:rsid w:val="00A17A21"/>
    <w:rsid w:val="00A200DA"/>
    <w:rsid w:val="00A20648"/>
    <w:rsid w:val="00A20837"/>
    <w:rsid w:val="00A2090A"/>
    <w:rsid w:val="00A20AE9"/>
    <w:rsid w:val="00A20B27"/>
    <w:rsid w:val="00A20D60"/>
    <w:rsid w:val="00A21007"/>
    <w:rsid w:val="00A21058"/>
    <w:rsid w:val="00A210EF"/>
    <w:rsid w:val="00A21317"/>
    <w:rsid w:val="00A217EA"/>
    <w:rsid w:val="00A22809"/>
    <w:rsid w:val="00A23032"/>
    <w:rsid w:val="00A2316A"/>
    <w:rsid w:val="00A23219"/>
    <w:rsid w:val="00A237D3"/>
    <w:rsid w:val="00A237D7"/>
    <w:rsid w:val="00A2392E"/>
    <w:rsid w:val="00A23BB9"/>
    <w:rsid w:val="00A23BDF"/>
    <w:rsid w:val="00A23C22"/>
    <w:rsid w:val="00A23DEC"/>
    <w:rsid w:val="00A23F6F"/>
    <w:rsid w:val="00A24295"/>
    <w:rsid w:val="00A2439F"/>
    <w:rsid w:val="00A24DAC"/>
    <w:rsid w:val="00A253F3"/>
    <w:rsid w:val="00A25428"/>
    <w:rsid w:val="00A2557A"/>
    <w:rsid w:val="00A25784"/>
    <w:rsid w:val="00A25946"/>
    <w:rsid w:val="00A259BB"/>
    <w:rsid w:val="00A2602A"/>
    <w:rsid w:val="00A266CA"/>
    <w:rsid w:val="00A26B7B"/>
    <w:rsid w:val="00A26C34"/>
    <w:rsid w:val="00A26CB7"/>
    <w:rsid w:val="00A26D60"/>
    <w:rsid w:val="00A2745F"/>
    <w:rsid w:val="00A27C73"/>
    <w:rsid w:val="00A27C7D"/>
    <w:rsid w:val="00A27F7F"/>
    <w:rsid w:val="00A27FD0"/>
    <w:rsid w:val="00A30A22"/>
    <w:rsid w:val="00A30A90"/>
    <w:rsid w:val="00A30FC2"/>
    <w:rsid w:val="00A31764"/>
    <w:rsid w:val="00A317A5"/>
    <w:rsid w:val="00A31F22"/>
    <w:rsid w:val="00A32024"/>
    <w:rsid w:val="00A32188"/>
    <w:rsid w:val="00A32332"/>
    <w:rsid w:val="00A3234F"/>
    <w:rsid w:val="00A326D0"/>
    <w:rsid w:val="00A32888"/>
    <w:rsid w:val="00A32D35"/>
    <w:rsid w:val="00A32D9A"/>
    <w:rsid w:val="00A32E07"/>
    <w:rsid w:val="00A32E6C"/>
    <w:rsid w:val="00A330DA"/>
    <w:rsid w:val="00A3375C"/>
    <w:rsid w:val="00A3376C"/>
    <w:rsid w:val="00A339A0"/>
    <w:rsid w:val="00A339C0"/>
    <w:rsid w:val="00A33BED"/>
    <w:rsid w:val="00A3454C"/>
    <w:rsid w:val="00A34CD9"/>
    <w:rsid w:val="00A34E20"/>
    <w:rsid w:val="00A34FEF"/>
    <w:rsid w:val="00A350AA"/>
    <w:rsid w:val="00A354D5"/>
    <w:rsid w:val="00A35D15"/>
    <w:rsid w:val="00A361EC"/>
    <w:rsid w:val="00A36257"/>
    <w:rsid w:val="00A3637F"/>
    <w:rsid w:val="00A364D4"/>
    <w:rsid w:val="00A36608"/>
    <w:rsid w:val="00A3673D"/>
    <w:rsid w:val="00A368E3"/>
    <w:rsid w:val="00A369CA"/>
    <w:rsid w:val="00A37058"/>
    <w:rsid w:val="00A37432"/>
    <w:rsid w:val="00A3759D"/>
    <w:rsid w:val="00A37A93"/>
    <w:rsid w:val="00A37D94"/>
    <w:rsid w:val="00A401D7"/>
    <w:rsid w:val="00A40857"/>
    <w:rsid w:val="00A408C0"/>
    <w:rsid w:val="00A40BCE"/>
    <w:rsid w:val="00A40C60"/>
    <w:rsid w:val="00A41208"/>
    <w:rsid w:val="00A41389"/>
    <w:rsid w:val="00A41971"/>
    <w:rsid w:val="00A41B9A"/>
    <w:rsid w:val="00A4216E"/>
    <w:rsid w:val="00A422D1"/>
    <w:rsid w:val="00A4258F"/>
    <w:rsid w:val="00A4284F"/>
    <w:rsid w:val="00A428B3"/>
    <w:rsid w:val="00A42A5C"/>
    <w:rsid w:val="00A42B83"/>
    <w:rsid w:val="00A42E4E"/>
    <w:rsid w:val="00A431C1"/>
    <w:rsid w:val="00A43363"/>
    <w:rsid w:val="00A43844"/>
    <w:rsid w:val="00A43DBB"/>
    <w:rsid w:val="00A43DF4"/>
    <w:rsid w:val="00A43FB4"/>
    <w:rsid w:val="00A43FDD"/>
    <w:rsid w:val="00A449A0"/>
    <w:rsid w:val="00A44A93"/>
    <w:rsid w:val="00A44AFE"/>
    <w:rsid w:val="00A45069"/>
    <w:rsid w:val="00A45080"/>
    <w:rsid w:val="00A4515E"/>
    <w:rsid w:val="00A45294"/>
    <w:rsid w:val="00A457C4"/>
    <w:rsid w:val="00A45ADC"/>
    <w:rsid w:val="00A45BAF"/>
    <w:rsid w:val="00A45E1A"/>
    <w:rsid w:val="00A4621F"/>
    <w:rsid w:val="00A464A7"/>
    <w:rsid w:val="00A46C5F"/>
    <w:rsid w:val="00A46D08"/>
    <w:rsid w:val="00A4780E"/>
    <w:rsid w:val="00A47844"/>
    <w:rsid w:val="00A478F4"/>
    <w:rsid w:val="00A47A13"/>
    <w:rsid w:val="00A47AE4"/>
    <w:rsid w:val="00A47C79"/>
    <w:rsid w:val="00A47E33"/>
    <w:rsid w:val="00A5008B"/>
    <w:rsid w:val="00A501A8"/>
    <w:rsid w:val="00A50267"/>
    <w:rsid w:val="00A50425"/>
    <w:rsid w:val="00A5057F"/>
    <w:rsid w:val="00A50607"/>
    <w:rsid w:val="00A50964"/>
    <w:rsid w:val="00A50B09"/>
    <w:rsid w:val="00A50C91"/>
    <w:rsid w:val="00A50DFE"/>
    <w:rsid w:val="00A50F94"/>
    <w:rsid w:val="00A5120A"/>
    <w:rsid w:val="00A51594"/>
    <w:rsid w:val="00A516EF"/>
    <w:rsid w:val="00A519DB"/>
    <w:rsid w:val="00A51D70"/>
    <w:rsid w:val="00A51DB4"/>
    <w:rsid w:val="00A520E7"/>
    <w:rsid w:val="00A5225F"/>
    <w:rsid w:val="00A52595"/>
    <w:rsid w:val="00A52921"/>
    <w:rsid w:val="00A52E8C"/>
    <w:rsid w:val="00A53025"/>
    <w:rsid w:val="00A5413D"/>
    <w:rsid w:val="00A54177"/>
    <w:rsid w:val="00A547F6"/>
    <w:rsid w:val="00A5497E"/>
    <w:rsid w:val="00A54A3E"/>
    <w:rsid w:val="00A54CCC"/>
    <w:rsid w:val="00A54F9E"/>
    <w:rsid w:val="00A550B8"/>
    <w:rsid w:val="00A5520F"/>
    <w:rsid w:val="00A55582"/>
    <w:rsid w:val="00A55752"/>
    <w:rsid w:val="00A558D9"/>
    <w:rsid w:val="00A55F64"/>
    <w:rsid w:val="00A569EB"/>
    <w:rsid w:val="00A56AE1"/>
    <w:rsid w:val="00A56DAE"/>
    <w:rsid w:val="00A5703C"/>
    <w:rsid w:val="00A57490"/>
    <w:rsid w:val="00A57A7F"/>
    <w:rsid w:val="00A601FD"/>
    <w:rsid w:val="00A60543"/>
    <w:rsid w:val="00A60A04"/>
    <w:rsid w:val="00A60EC2"/>
    <w:rsid w:val="00A60ED1"/>
    <w:rsid w:val="00A611D6"/>
    <w:rsid w:val="00A615EC"/>
    <w:rsid w:val="00A6166E"/>
    <w:rsid w:val="00A61736"/>
    <w:rsid w:val="00A61926"/>
    <w:rsid w:val="00A619DD"/>
    <w:rsid w:val="00A61C6A"/>
    <w:rsid w:val="00A6282C"/>
    <w:rsid w:val="00A62B69"/>
    <w:rsid w:val="00A62F9E"/>
    <w:rsid w:val="00A63009"/>
    <w:rsid w:val="00A6309B"/>
    <w:rsid w:val="00A634C8"/>
    <w:rsid w:val="00A6366C"/>
    <w:rsid w:val="00A647B5"/>
    <w:rsid w:val="00A64A35"/>
    <w:rsid w:val="00A64BA1"/>
    <w:rsid w:val="00A64DB0"/>
    <w:rsid w:val="00A64FA9"/>
    <w:rsid w:val="00A6526D"/>
    <w:rsid w:val="00A65410"/>
    <w:rsid w:val="00A655C8"/>
    <w:rsid w:val="00A65992"/>
    <w:rsid w:val="00A65B4A"/>
    <w:rsid w:val="00A65E5C"/>
    <w:rsid w:val="00A65FDF"/>
    <w:rsid w:val="00A6617C"/>
    <w:rsid w:val="00A66580"/>
    <w:rsid w:val="00A66A04"/>
    <w:rsid w:val="00A66A61"/>
    <w:rsid w:val="00A670B0"/>
    <w:rsid w:val="00A670F8"/>
    <w:rsid w:val="00A67250"/>
    <w:rsid w:val="00A6762C"/>
    <w:rsid w:val="00A676B1"/>
    <w:rsid w:val="00A67DE8"/>
    <w:rsid w:val="00A70226"/>
    <w:rsid w:val="00A70729"/>
    <w:rsid w:val="00A7079D"/>
    <w:rsid w:val="00A70975"/>
    <w:rsid w:val="00A70C46"/>
    <w:rsid w:val="00A70D61"/>
    <w:rsid w:val="00A711A6"/>
    <w:rsid w:val="00A71291"/>
    <w:rsid w:val="00A713F1"/>
    <w:rsid w:val="00A7190C"/>
    <w:rsid w:val="00A71B79"/>
    <w:rsid w:val="00A71C03"/>
    <w:rsid w:val="00A71F98"/>
    <w:rsid w:val="00A72085"/>
    <w:rsid w:val="00A7239B"/>
    <w:rsid w:val="00A724AF"/>
    <w:rsid w:val="00A729A1"/>
    <w:rsid w:val="00A72E7A"/>
    <w:rsid w:val="00A7304F"/>
    <w:rsid w:val="00A7345C"/>
    <w:rsid w:val="00A736E8"/>
    <w:rsid w:val="00A73797"/>
    <w:rsid w:val="00A737C5"/>
    <w:rsid w:val="00A73AE1"/>
    <w:rsid w:val="00A740AE"/>
    <w:rsid w:val="00A740F0"/>
    <w:rsid w:val="00A742DB"/>
    <w:rsid w:val="00A745A0"/>
    <w:rsid w:val="00A74A18"/>
    <w:rsid w:val="00A74AF3"/>
    <w:rsid w:val="00A74FDC"/>
    <w:rsid w:val="00A75118"/>
    <w:rsid w:val="00A7559F"/>
    <w:rsid w:val="00A756F2"/>
    <w:rsid w:val="00A75702"/>
    <w:rsid w:val="00A757CC"/>
    <w:rsid w:val="00A75E86"/>
    <w:rsid w:val="00A75FA3"/>
    <w:rsid w:val="00A765B2"/>
    <w:rsid w:val="00A76986"/>
    <w:rsid w:val="00A771D9"/>
    <w:rsid w:val="00A77202"/>
    <w:rsid w:val="00A7752C"/>
    <w:rsid w:val="00A7758A"/>
    <w:rsid w:val="00A77ABB"/>
    <w:rsid w:val="00A77AC2"/>
    <w:rsid w:val="00A77C44"/>
    <w:rsid w:val="00A8004D"/>
    <w:rsid w:val="00A8026A"/>
    <w:rsid w:val="00A804A8"/>
    <w:rsid w:val="00A80A6E"/>
    <w:rsid w:val="00A80B54"/>
    <w:rsid w:val="00A80C5C"/>
    <w:rsid w:val="00A81091"/>
    <w:rsid w:val="00A81165"/>
    <w:rsid w:val="00A81168"/>
    <w:rsid w:val="00A81206"/>
    <w:rsid w:val="00A813CB"/>
    <w:rsid w:val="00A8169B"/>
    <w:rsid w:val="00A81737"/>
    <w:rsid w:val="00A81883"/>
    <w:rsid w:val="00A81CDA"/>
    <w:rsid w:val="00A81F8B"/>
    <w:rsid w:val="00A826EB"/>
    <w:rsid w:val="00A82B8D"/>
    <w:rsid w:val="00A82E2A"/>
    <w:rsid w:val="00A82F9F"/>
    <w:rsid w:val="00A8344C"/>
    <w:rsid w:val="00A837DB"/>
    <w:rsid w:val="00A83B09"/>
    <w:rsid w:val="00A83B16"/>
    <w:rsid w:val="00A83DF3"/>
    <w:rsid w:val="00A83EA5"/>
    <w:rsid w:val="00A84564"/>
    <w:rsid w:val="00A845F4"/>
    <w:rsid w:val="00A84906"/>
    <w:rsid w:val="00A84943"/>
    <w:rsid w:val="00A84B45"/>
    <w:rsid w:val="00A84BA4"/>
    <w:rsid w:val="00A85013"/>
    <w:rsid w:val="00A85666"/>
    <w:rsid w:val="00A857AD"/>
    <w:rsid w:val="00A85B08"/>
    <w:rsid w:val="00A85F83"/>
    <w:rsid w:val="00A86029"/>
    <w:rsid w:val="00A8610E"/>
    <w:rsid w:val="00A86244"/>
    <w:rsid w:val="00A86309"/>
    <w:rsid w:val="00A86A4D"/>
    <w:rsid w:val="00A86B24"/>
    <w:rsid w:val="00A86CDA"/>
    <w:rsid w:val="00A86ECD"/>
    <w:rsid w:val="00A871D6"/>
    <w:rsid w:val="00A873FD"/>
    <w:rsid w:val="00A877FD"/>
    <w:rsid w:val="00A87E1C"/>
    <w:rsid w:val="00A87EB9"/>
    <w:rsid w:val="00A90479"/>
    <w:rsid w:val="00A9067F"/>
    <w:rsid w:val="00A908A0"/>
    <w:rsid w:val="00A90A36"/>
    <w:rsid w:val="00A90AC0"/>
    <w:rsid w:val="00A90C64"/>
    <w:rsid w:val="00A90F03"/>
    <w:rsid w:val="00A90F3B"/>
    <w:rsid w:val="00A91094"/>
    <w:rsid w:val="00A91526"/>
    <w:rsid w:val="00A91612"/>
    <w:rsid w:val="00A91870"/>
    <w:rsid w:val="00A91DC7"/>
    <w:rsid w:val="00A92124"/>
    <w:rsid w:val="00A9294F"/>
    <w:rsid w:val="00A92DB0"/>
    <w:rsid w:val="00A92E41"/>
    <w:rsid w:val="00A935CC"/>
    <w:rsid w:val="00A93CAF"/>
    <w:rsid w:val="00A93D0C"/>
    <w:rsid w:val="00A93F31"/>
    <w:rsid w:val="00A9404E"/>
    <w:rsid w:val="00A9409A"/>
    <w:rsid w:val="00A94121"/>
    <w:rsid w:val="00A94455"/>
    <w:rsid w:val="00A949A9"/>
    <w:rsid w:val="00A94A97"/>
    <w:rsid w:val="00A94AA5"/>
    <w:rsid w:val="00A94B6E"/>
    <w:rsid w:val="00A94DD5"/>
    <w:rsid w:val="00A94E59"/>
    <w:rsid w:val="00A95309"/>
    <w:rsid w:val="00A95907"/>
    <w:rsid w:val="00A95AD4"/>
    <w:rsid w:val="00A95C18"/>
    <w:rsid w:val="00A95ECF"/>
    <w:rsid w:val="00A95FFE"/>
    <w:rsid w:val="00A9627C"/>
    <w:rsid w:val="00A96567"/>
    <w:rsid w:val="00A96656"/>
    <w:rsid w:val="00A96729"/>
    <w:rsid w:val="00A967B7"/>
    <w:rsid w:val="00A967EF"/>
    <w:rsid w:val="00A96C74"/>
    <w:rsid w:val="00A97106"/>
    <w:rsid w:val="00A974A4"/>
    <w:rsid w:val="00A97585"/>
    <w:rsid w:val="00A9794F"/>
    <w:rsid w:val="00A97AFD"/>
    <w:rsid w:val="00A97C0E"/>
    <w:rsid w:val="00A97D96"/>
    <w:rsid w:val="00AA01D6"/>
    <w:rsid w:val="00AA0321"/>
    <w:rsid w:val="00AA0382"/>
    <w:rsid w:val="00AA048E"/>
    <w:rsid w:val="00AA0905"/>
    <w:rsid w:val="00AA0BEF"/>
    <w:rsid w:val="00AA0D11"/>
    <w:rsid w:val="00AA10BF"/>
    <w:rsid w:val="00AA1517"/>
    <w:rsid w:val="00AA18BF"/>
    <w:rsid w:val="00AA219D"/>
    <w:rsid w:val="00AA21A9"/>
    <w:rsid w:val="00AA2271"/>
    <w:rsid w:val="00AA246F"/>
    <w:rsid w:val="00AA285E"/>
    <w:rsid w:val="00AA34EE"/>
    <w:rsid w:val="00AA3719"/>
    <w:rsid w:val="00AA3868"/>
    <w:rsid w:val="00AA38AE"/>
    <w:rsid w:val="00AA3DE9"/>
    <w:rsid w:val="00AA3DF1"/>
    <w:rsid w:val="00AA3F73"/>
    <w:rsid w:val="00AA4408"/>
    <w:rsid w:val="00AA472A"/>
    <w:rsid w:val="00AA48EC"/>
    <w:rsid w:val="00AA49A8"/>
    <w:rsid w:val="00AA4BA6"/>
    <w:rsid w:val="00AA4F66"/>
    <w:rsid w:val="00AA4FE1"/>
    <w:rsid w:val="00AA5473"/>
    <w:rsid w:val="00AA5B0C"/>
    <w:rsid w:val="00AA64AC"/>
    <w:rsid w:val="00AA6519"/>
    <w:rsid w:val="00AA651C"/>
    <w:rsid w:val="00AA6A61"/>
    <w:rsid w:val="00AA6B4D"/>
    <w:rsid w:val="00AA6DB5"/>
    <w:rsid w:val="00AA6E68"/>
    <w:rsid w:val="00AA7607"/>
    <w:rsid w:val="00AA77A0"/>
    <w:rsid w:val="00AA7ED6"/>
    <w:rsid w:val="00AA7FE7"/>
    <w:rsid w:val="00AB0033"/>
    <w:rsid w:val="00AB08EA"/>
    <w:rsid w:val="00AB099A"/>
    <w:rsid w:val="00AB0D25"/>
    <w:rsid w:val="00AB1644"/>
    <w:rsid w:val="00AB2218"/>
    <w:rsid w:val="00AB22ED"/>
    <w:rsid w:val="00AB25F2"/>
    <w:rsid w:val="00AB2C33"/>
    <w:rsid w:val="00AB310F"/>
    <w:rsid w:val="00AB357B"/>
    <w:rsid w:val="00AB4751"/>
    <w:rsid w:val="00AB4B63"/>
    <w:rsid w:val="00AB4D3E"/>
    <w:rsid w:val="00AB4DB6"/>
    <w:rsid w:val="00AB502D"/>
    <w:rsid w:val="00AB5429"/>
    <w:rsid w:val="00AB5797"/>
    <w:rsid w:val="00AB57A3"/>
    <w:rsid w:val="00AB5B58"/>
    <w:rsid w:val="00AB61CE"/>
    <w:rsid w:val="00AB6649"/>
    <w:rsid w:val="00AB6814"/>
    <w:rsid w:val="00AB723D"/>
    <w:rsid w:val="00AB728D"/>
    <w:rsid w:val="00AB7546"/>
    <w:rsid w:val="00AC11C5"/>
    <w:rsid w:val="00AC13E7"/>
    <w:rsid w:val="00AC1A85"/>
    <w:rsid w:val="00AC1AB3"/>
    <w:rsid w:val="00AC2470"/>
    <w:rsid w:val="00AC24EE"/>
    <w:rsid w:val="00AC2B9A"/>
    <w:rsid w:val="00AC2DBC"/>
    <w:rsid w:val="00AC2F54"/>
    <w:rsid w:val="00AC2F8B"/>
    <w:rsid w:val="00AC30A4"/>
    <w:rsid w:val="00AC3235"/>
    <w:rsid w:val="00AC3363"/>
    <w:rsid w:val="00AC33B6"/>
    <w:rsid w:val="00AC3B29"/>
    <w:rsid w:val="00AC4041"/>
    <w:rsid w:val="00AC4264"/>
    <w:rsid w:val="00AC42A3"/>
    <w:rsid w:val="00AC4479"/>
    <w:rsid w:val="00AC44F5"/>
    <w:rsid w:val="00AC4515"/>
    <w:rsid w:val="00AC5314"/>
    <w:rsid w:val="00AC570F"/>
    <w:rsid w:val="00AC5B54"/>
    <w:rsid w:val="00AC6604"/>
    <w:rsid w:val="00AC6A78"/>
    <w:rsid w:val="00AC6BC9"/>
    <w:rsid w:val="00AC7106"/>
    <w:rsid w:val="00AC71FA"/>
    <w:rsid w:val="00AC775E"/>
    <w:rsid w:val="00AC7895"/>
    <w:rsid w:val="00AC7B15"/>
    <w:rsid w:val="00AD00B8"/>
    <w:rsid w:val="00AD0303"/>
    <w:rsid w:val="00AD04DE"/>
    <w:rsid w:val="00AD0529"/>
    <w:rsid w:val="00AD070E"/>
    <w:rsid w:val="00AD08DA"/>
    <w:rsid w:val="00AD0B5C"/>
    <w:rsid w:val="00AD1036"/>
    <w:rsid w:val="00AD169E"/>
    <w:rsid w:val="00AD1932"/>
    <w:rsid w:val="00AD1C82"/>
    <w:rsid w:val="00AD1D06"/>
    <w:rsid w:val="00AD1F27"/>
    <w:rsid w:val="00AD2074"/>
    <w:rsid w:val="00AD2643"/>
    <w:rsid w:val="00AD29E3"/>
    <w:rsid w:val="00AD2B15"/>
    <w:rsid w:val="00AD2B4A"/>
    <w:rsid w:val="00AD2E3D"/>
    <w:rsid w:val="00AD3044"/>
    <w:rsid w:val="00AD308D"/>
    <w:rsid w:val="00AD358A"/>
    <w:rsid w:val="00AD365C"/>
    <w:rsid w:val="00AD3731"/>
    <w:rsid w:val="00AD37CE"/>
    <w:rsid w:val="00AD3A3F"/>
    <w:rsid w:val="00AD3BDE"/>
    <w:rsid w:val="00AD3FC0"/>
    <w:rsid w:val="00AD42FB"/>
    <w:rsid w:val="00AD46BB"/>
    <w:rsid w:val="00AD4FBF"/>
    <w:rsid w:val="00AD5161"/>
    <w:rsid w:val="00AD5194"/>
    <w:rsid w:val="00AD5377"/>
    <w:rsid w:val="00AD5E1E"/>
    <w:rsid w:val="00AD5F25"/>
    <w:rsid w:val="00AD6074"/>
    <w:rsid w:val="00AD616B"/>
    <w:rsid w:val="00AD64A2"/>
    <w:rsid w:val="00AD69D1"/>
    <w:rsid w:val="00AD6A98"/>
    <w:rsid w:val="00AD6F63"/>
    <w:rsid w:val="00AD74A8"/>
    <w:rsid w:val="00AD7EED"/>
    <w:rsid w:val="00AE04D5"/>
    <w:rsid w:val="00AE05D6"/>
    <w:rsid w:val="00AE0604"/>
    <w:rsid w:val="00AE078E"/>
    <w:rsid w:val="00AE0A62"/>
    <w:rsid w:val="00AE0C0F"/>
    <w:rsid w:val="00AE10D2"/>
    <w:rsid w:val="00AE1711"/>
    <w:rsid w:val="00AE19F2"/>
    <w:rsid w:val="00AE1DED"/>
    <w:rsid w:val="00AE1F0B"/>
    <w:rsid w:val="00AE264E"/>
    <w:rsid w:val="00AE3349"/>
    <w:rsid w:val="00AE34E9"/>
    <w:rsid w:val="00AE35AD"/>
    <w:rsid w:val="00AE3A89"/>
    <w:rsid w:val="00AE3DC9"/>
    <w:rsid w:val="00AE406A"/>
    <w:rsid w:val="00AE4338"/>
    <w:rsid w:val="00AE4561"/>
    <w:rsid w:val="00AE4C73"/>
    <w:rsid w:val="00AE5497"/>
    <w:rsid w:val="00AE56F9"/>
    <w:rsid w:val="00AE5706"/>
    <w:rsid w:val="00AE5951"/>
    <w:rsid w:val="00AE5E53"/>
    <w:rsid w:val="00AE6389"/>
    <w:rsid w:val="00AE65C4"/>
    <w:rsid w:val="00AE681B"/>
    <w:rsid w:val="00AE68AA"/>
    <w:rsid w:val="00AE692B"/>
    <w:rsid w:val="00AE6B3A"/>
    <w:rsid w:val="00AE6C91"/>
    <w:rsid w:val="00AE6D4D"/>
    <w:rsid w:val="00AE7020"/>
    <w:rsid w:val="00AE7864"/>
    <w:rsid w:val="00AE7968"/>
    <w:rsid w:val="00AE7B76"/>
    <w:rsid w:val="00AE7BC1"/>
    <w:rsid w:val="00AE7BF1"/>
    <w:rsid w:val="00AF0090"/>
    <w:rsid w:val="00AF0138"/>
    <w:rsid w:val="00AF018F"/>
    <w:rsid w:val="00AF0284"/>
    <w:rsid w:val="00AF07B1"/>
    <w:rsid w:val="00AF09E0"/>
    <w:rsid w:val="00AF0A1C"/>
    <w:rsid w:val="00AF0D0E"/>
    <w:rsid w:val="00AF1305"/>
    <w:rsid w:val="00AF1593"/>
    <w:rsid w:val="00AF174C"/>
    <w:rsid w:val="00AF1E62"/>
    <w:rsid w:val="00AF2149"/>
    <w:rsid w:val="00AF2161"/>
    <w:rsid w:val="00AF21D2"/>
    <w:rsid w:val="00AF2281"/>
    <w:rsid w:val="00AF2364"/>
    <w:rsid w:val="00AF23F4"/>
    <w:rsid w:val="00AF2498"/>
    <w:rsid w:val="00AF254B"/>
    <w:rsid w:val="00AF365A"/>
    <w:rsid w:val="00AF3847"/>
    <w:rsid w:val="00AF3F7B"/>
    <w:rsid w:val="00AF49D6"/>
    <w:rsid w:val="00AF4A38"/>
    <w:rsid w:val="00AF4A5A"/>
    <w:rsid w:val="00AF4AF5"/>
    <w:rsid w:val="00AF4D3A"/>
    <w:rsid w:val="00AF5022"/>
    <w:rsid w:val="00AF5490"/>
    <w:rsid w:val="00AF56BB"/>
    <w:rsid w:val="00AF58DF"/>
    <w:rsid w:val="00AF59FA"/>
    <w:rsid w:val="00AF5BB3"/>
    <w:rsid w:val="00AF5E00"/>
    <w:rsid w:val="00AF61FA"/>
    <w:rsid w:val="00AF6575"/>
    <w:rsid w:val="00AF6ABB"/>
    <w:rsid w:val="00AF6BA7"/>
    <w:rsid w:val="00AF72FD"/>
    <w:rsid w:val="00AF740F"/>
    <w:rsid w:val="00AF759A"/>
    <w:rsid w:val="00AF7AC5"/>
    <w:rsid w:val="00AF7FED"/>
    <w:rsid w:val="00B00643"/>
    <w:rsid w:val="00B00A10"/>
    <w:rsid w:val="00B00C55"/>
    <w:rsid w:val="00B01057"/>
    <w:rsid w:val="00B011B8"/>
    <w:rsid w:val="00B01278"/>
    <w:rsid w:val="00B015CF"/>
    <w:rsid w:val="00B01792"/>
    <w:rsid w:val="00B01B38"/>
    <w:rsid w:val="00B01DA3"/>
    <w:rsid w:val="00B02200"/>
    <w:rsid w:val="00B023B7"/>
    <w:rsid w:val="00B0291C"/>
    <w:rsid w:val="00B029FF"/>
    <w:rsid w:val="00B03197"/>
    <w:rsid w:val="00B0324F"/>
    <w:rsid w:val="00B03376"/>
    <w:rsid w:val="00B036E8"/>
    <w:rsid w:val="00B03B22"/>
    <w:rsid w:val="00B03C9B"/>
    <w:rsid w:val="00B03D4F"/>
    <w:rsid w:val="00B04665"/>
    <w:rsid w:val="00B048C0"/>
    <w:rsid w:val="00B04932"/>
    <w:rsid w:val="00B04997"/>
    <w:rsid w:val="00B04ABD"/>
    <w:rsid w:val="00B04E3E"/>
    <w:rsid w:val="00B0535A"/>
    <w:rsid w:val="00B05361"/>
    <w:rsid w:val="00B05934"/>
    <w:rsid w:val="00B0594D"/>
    <w:rsid w:val="00B05EA3"/>
    <w:rsid w:val="00B0614D"/>
    <w:rsid w:val="00B066D7"/>
    <w:rsid w:val="00B07272"/>
    <w:rsid w:val="00B074DD"/>
    <w:rsid w:val="00B075A8"/>
    <w:rsid w:val="00B07636"/>
    <w:rsid w:val="00B076A7"/>
    <w:rsid w:val="00B078D3"/>
    <w:rsid w:val="00B0796C"/>
    <w:rsid w:val="00B07B53"/>
    <w:rsid w:val="00B07B71"/>
    <w:rsid w:val="00B10B0D"/>
    <w:rsid w:val="00B10D09"/>
    <w:rsid w:val="00B10FD8"/>
    <w:rsid w:val="00B112E1"/>
    <w:rsid w:val="00B11B54"/>
    <w:rsid w:val="00B11BA5"/>
    <w:rsid w:val="00B11C04"/>
    <w:rsid w:val="00B11D5D"/>
    <w:rsid w:val="00B11DDD"/>
    <w:rsid w:val="00B11EC5"/>
    <w:rsid w:val="00B11FA6"/>
    <w:rsid w:val="00B120FB"/>
    <w:rsid w:val="00B12189"/>
    <w:rsid w:val="00B12334"/>
    <w:rsid w:val="00B12AAA"/>
    <w:rsid w:val="00B12BC8"/>
    <w:rsid w:val="00B12D58"/>
    <w:rsid w:val="00B13085"/>
    <w:rsid w:val="00B131D3"/>
    <w:rsid w:val="00B133D5"/>
    <w:rsid w:val="00B13718"/>
    <w:rsid w:val="00B137F5"/>
    <w:rsid w:val="00B13B59"/>
    <w:rsid w:val="00B13B73"/>
    <w:rsid w:val="00B13C48"/>
    <w:rsid w:val="00B13F24"/>
    <w:rsid w:val="00B14223"/>
    <w:rsid w:val="00B14367"/>
    <w:rsid w:val="00B14410"/>
    <w:rsid w:val="00B144D0"/>
    <w:rsid w:val="00B145E9"/>
    <w:rsid w:val="00B145F1"/>
    <w:rsid w:val="00B14807"/>
    <w:rsid w:val="00B14FED"/>
    <w:rsid w:val="00B14FF0"/>
    <w:rsid w:val="00B15857"/>
    <w:rsid w:val="00B160A1"/>
    <w:rsid w:val="00B164FB"/>
    <w:rsid w:val="00B167F9"/>
    <w:rsid w:val="00B17772"/>
    <w:rsid w:val="00B17826"/>
    <w:rsid w:val="00B17A9D"/>
    <w:rsid w:val="00B17D7C"/>
    <w:rsid w:val="00B20371"/>
    <w:rsid w:val="00B204B6"/>
    <w:rsid w:val="00B20621"/>
    <w:rsid w:val="00B2070F"/>
    <w:rsid w:val="00B209B4"/>
    <w:rsid w:val="00B20CAB"/>
    <w:rsid w:val="00B2103F"/>
    <w:rsid w:val="00B211FD"/>
    <w:rsid w:val="00B21262"/>
    <w:rsid w:val="00B21612"/>
    <w:rsid w:val="00B2194D"/>
    <w:rsid w:val="00B21B15"/>
    <w:rsid w:val="00B21B4D"/>
    <w:rsid w:val="00B220D9"/>
    <w:rsid w:val="00B22363"/>
    <w:rsid w:val="00B23287"/>
    <w:rsid w:val="00B243A5"/>
    <w:rsid w:val="00B24C4A"/>
    <w:rsid w:val="00B24CC4"/>
    <w:rsid w:val="00B24E36"/>
    <w:rsid w:val="00B24ED7"/>
    <w:rsid w:val="00B250C1"/>
    <w:rsid w:val="00B252A7"/>
    <w:rsid w:val="00B25D8D"/>
    <w:rsid w:val="00B25F38"/>
    <w:rsid w:val="00B26121"/>
    <w:rsid w:val="00B263CA"/>
    <w:rsid w:val="00B26ED8"/>
    <w:rsid w:val="00B26FBD"/>
    <w:rsid w:val="00B274B9"/>
    <w:rsid w:val="00B2750C"/>
    <w:rsid w:val="00B276F2"/>
    <w:rsid w:val="00B27984"/>
    <w:rsid w:val="00B27A52"/>
    <w:rsid w:val="00B27AC9"/>
    <w:rsid w:val="00B30086"/>
    <w:rsid w:val="00B303A3"/>
    <w:rsid w:val="00B30468"/>
    <w:rsid w:val="00B3089D"/>
    <w:rsid w:val="00B309A0"/>
    <w:rsid w:val="00B30A62"/>
    <w:rsid w:val="00B30A89"/>
    <w:rsid w:val="00B30A9D"/>
    <w:rsid w:val="00B31583"/>
    <w:rsid w:val="00B31953"/>
    <w:rsid w:val="00B31965"/>
    <w:rsid w:val="00B31AD4"/>
    <w:rsid w:val="00B3210E"/>
    <w:rsid w:val="00B32488"/>
    <w:rsid w:val="00B324A5"/>
    <w:rsid w:val="00B329DA"/>
    <w:rsid w:val="00B32A79"/>
    <w:rsid w:val="00B32AC2"/>
    <w:rsid w:val="00B32E36"/>
    <w:rsid w:val="00B32E67"/>
    <w:rsid w:val="00B33160"/>
    <w:rsid w:val="00B337C3"/>
    <w:rsid w:val="00B33C75"/>
    <w:rsid w:val="00B33D8E"/>
    <w:rsid w:val="00B34789"/>
    <w:rsid w:val="00B350AD"/>
    <w:rsid w:val="00B3523F"/>
    <w:rsid w:val="00B35281"/>
    <w:rsid w:val="00B35311"/>
    <w:rsid w:val="00B354CC"/>
    <w:rsid w:val="00B355C2"/>
    <w:rsid w:val="00B357F4"/>
    <w:rsid w:val="00B35B4E"/>
    <w:rsid w:val="00B35D03"/>
    <w:rsid w:val="00B360E6"/>
    <w:rsid w:val="00B362CD"/>
    <w:rsid w:val="00B3636E"/>
    <w:rsid w:val="00B3644D"/>
    <w:rsid w:val="00B36528"/>
    <w:rsid w:val="00B36821"/>
    <w:rsid w:val="00B36C50"/>
    <w:rsid w:val="00B3701E"/>
    <w:rsid w:val="00B37449"/>
    <w:rsid w:val="00B37592"/>
    <w:rsid w:val="00B4049D"/>
    <w:rsid w:val="00B4071E"/>
    <w:rsid w:val="00B4087F"/>
    <w:rsid w:val="00B409A5"/>
    <w:rsid w:val="00B40B0D"/>
    <w:rsid w:val="00B40D5F"/>
    <w:rsid w:val="00B40F63"/>
    <w:rsid w:val="00B40FA0"/>
    <w:rsid w:val="00B417E0"/>
    <w:rsid w:val="00B42383"/>
    <w:rsid w:val="00B42662"/>
    <w:rsid w:val="00B42978"/>
    <w:rsid w:val="00B42DC0"/>
    <w:rsid w:val="00B42EE3"/>
    <w:rsid w:val="00B43006"/>
    <w:rsid w:val="00B4312C"/>
    <w:rsid w:val="00B43152"/>
    <w:rsid w:val="00B4331C"/>
    <w:rsid w:val="00B435A7"/>
    <w:rsid w:val="00B4388A"/>
    <w:rsid w:val="00B43F6F"/>
    <w:rsid w:val="00B43FAD"/>
    <w:rsid w:val="00B440A5"/>
    <w:rsid w:val="00B440F5"/>
    <w:rsid w:val="00B44521"/>
    <w:rsid w:val="00B4459B"/>
    <w:rsid w:val="00B445AA"/>
    <w:rsid w:val="00B448F8"/>
    <w:rsid w:val="00B44934"/>
    <w:rsid w:val="00B44D0C"/>
    <w:rsid w:val="00B44D60"/>
    <w:rsid w:val="00B4531D"/>
    <w:rsid w:val="00B4541C"/>
    <w:rsid w:val="00B457B0"/>
    <w:rsid w:val="00B45CC2"/>
    <w:rsid w:val="00B45DB6"/>
    <w:rsid w:val="00B46026"/>
    <w:rsid w:val="00B461B6"/>
    <w:rsid w:val="00B46633"/>
    <w:rsid w:val="00B47062"/>
    <w:rsid w:val="00B472A3"/>
    <w:rsid w:val="00B47AD9"/>
    <w:rsid w:val="00B50608"/>
    <w:rsid w:val="00B50A96"/>
    <w:rsid w:val="00B50D39"/>
    <w:rsid w:val="00B513C2"/>
    <w:rsid w:val="00B51437"/>
    <w:rsid w:val="00B515A3"/>
    <w:rsid w:val="00B51C17"/>
    <w:rsid w:val="00B51E73"/>
    <w:rsid w:val="00B52129"/>
    <w:rsid w:val="00B52192"/>
    <w:rsid w:val="00B522A7"/>
    <w:rsid w:val="00B52D8B"/>
    <w:rsid w:val="00B52ED8"/>
    <w:rsid w:val="00B53100"/>
    <w:rsid w:val="00B536A0"/>
    <w:rsid w:val="00B53C7A"/>
    <w:rsid w:val="00B540CC"/>
    <w:rsid w:val="00B545AE"/>
    <w:rsid w:val="00B546D7"/>
    <w:rsid w:val="00B549EE"/>
    <w:rsid w:val="00B54BC0"/>
    <w:rsid w:val="00B54BE5"/>
    <w:rsid w:val="00B54C61"/>
    <w:rsid w:val="00B54CA2"/>
    <w:rsid w:val="00B55274"/>
    <w:rsid w:val="00B552AD"/>
    <w:rsid w:val="00B559E3"/>
    <w:rsid w:val="00B55AE9"/>
    <w:rsid w:val="00B55B46"/>
    <w:rsid w:val="00B55E4C"/>
    <w:rsid w:val="00B55FF6"/>
    <w:rsid w:val="00B56475"/>
    <w:rsid w:val="00B5679C"/>
    <w:rsid w:val="00B56E3B"/>
    <w:rsid w:val="00B56FB7"/>
    <w:rsid w:val="00B5718D"/>
    <w:rsid w:val="00B571B2"/>
    <w:rsid w:val="00B5725D"/>
    <w:rsid w:val="00B57578"/>
    <w:rsid w:val="00B577B5"/>
    <w:rsid w:val="00B601D4"/>
    <w:rsid w:val="00B606DF"/>
    <w:rsid w:val="00B60951"/>
    <w:rsid w:val="00B609CE"/>
    <w:rsid w:val="00B60BCA"/>
    <w:rsid w:val="00B61034"/>
    <w:rsid w:val="00B6136A"/>
    <w:rsid w:val="00B6144B"/>
    <w:rsid w:val="00B614A5"/>
    <w:rsid w:val="00B6158B"/>
    <w:rsid w:val="00B61DC9"/>
    <w:rsid w:val="00B62315"/>
    <w:rsid w:val="00B627F0"/>
    <w:rsid w:val="00B62805"/>
    <w:rsid w:val="00B62DC0"/>
    <w:rsid w:val="00B634FB"/>
    <w:rsid w:val="00B63651"/>
    <w:rsid w:val="00B63CAE"/>
    <w:rsid w:val="00B6421F"/>
    <w:rsid w:val="00B642A1"/>
    <w:rsid w:val="00B650BF"/>
    <w:rsid w:val="00B65475"/>
    <w:rsid w:val="00B65BD2"/>
    <w:rsid w:val="00B66081"/>
    <w:rsid w:val="00B66165"/>
    <w:rsid w:val="00B6639A"/>
    <w:rsid w:val="00B663B1"/>
    <w:rsid w:val="00B66EFE"/>
    <w:rsid w:val="00B66F0D"/>
    <w:rsid w:val="00B66F9F"/>
    <w:rsid w:val="00B67061"/>
    <w:rsid w:val="00B67129"/>
    <w:rsid w:val="00B67AC0"/>
    <w:rsid w:val="00B67B10"/>
    <w:rsid w:val="00B67E1B"/>
    <w:rsid w:val="00B703C4"/>
    <w:rsid w:val="00B703D4"/>
    <w:rsid w:val="00B704AB"/>
    <w:rsid w:val="00B705FC"/>
    <w:rsid w:val="00B7065C"/>
    <w:rsid w:val="00B70C09"/>
    <w:rsid w:val="00B70F56"/>
    <w:rsid w:val="00B71301"/>
    <w:rsid w:val="00B71809"/>
    <w:rsid w:val="00B7183C"/>
    <w:rsid w:val="00B719FB"/>
    <w:rsid w:val="00B71A37"/>
    <w:rsid w:val="00B72716"/>
    <w:rsid w:val="00B7274F"/>
    <w:rsid w:val="00B734F9"/>
    <w:rsid w:val="00B736BC"/>
    <w:rsid w:val="00B7384A"/>
    <w:rsid w:val="00B73886"/>
    <w:rsid w:val="00B739CF"/>
    <w:rsid w:val="00B73B1E"/>
    <w:rsid w:val="00B74591"/>
    <w:rsid w:val="00B74714"/>
    <w:rsid w:val="00B74AEE"/>
    <w:rsid w:val="00B74E76"/>
    <w:rsid w:val="00B74F4F"/>
    <w:rsid w:val="00B75339"/>
    <w:rsid w:val="00B754A1"/>
    <w:rsid w:val="00B75884"/>
    <w:rsid w:val="00B758B7"/>
    <w:rsid w:val="00B75A4B"/>
    <w:rsid w:val="00B75E0C"/>
    <w:rsid w:val="00B7630C"/>
    <w:rsid w:val="00B76325"/>
    <w:rsid w:val="00B769E9"/>
    <w:rsid w:val="00B76CDF"/>
    <w:rsid w:val="00B77203"/>
    <w:rsid w:val="00B772AA"/>
    <w:rsid w:val="00B7756B"/>
    <w:rsid w:val="00B77A6A"/>
    <w:rsid w:val="00B77BC1"/>
    <w:rsid w:val="00B77CBA"/>
    <w:rsid w:val="00B77D14"/>
    <w:rsid w:val="00B80496"/>
    <w:rsid w:val="00B80979"/>
    <w:rsid w:val="00B809E9"/>
    <w:rsid w:val="00B80AA4"/>
    <w:rsid w:val="00B80F8C"/>
    <w:rsid w:val="00B8120D"/>
    <w:rsid w:val="00B81A24"/>
    <w:rsid w:val="00B81D4B"/>
    <w:rsid w:val="00B81F7B"/>
    <w:rsid w:val="00B82233"/>
    <w:rsid w:val="00B82A2C"/>
    <w:rsid w:val="00B82D04"/>
    <w:rsid w:val="00B83053"/>
    <w:rsid w:val="00B8310F"/>
    <w:rsid w:val="00B83586"/>
    <w:rsid w:val="00B839BF"/>
    <w:rsid w:val="00B83BE6"/>
    <w:rsid w:val="00B83C4D"/>
    <w:rsid w:val="00B83CB2"/>
    <w:rsid w:val="00B840F6"/>
    <w:rsid w:val="00B842F9"/>
    <w:rsid w:val="00B84331"/>
    <w:rsid w:val="00B849B2"/>
    <w:rsid w:val="00B84D48"/>
    <w:rsid w:val="00B84E3A"/>
    <w:rsid w:val="00B851F8"/>
    <w:rsid w:val="00B853B1"/>
    <w:rsid w:val="00B8542F"/>
    <w:rsid w:val="00B85589"/>
    <w:rsid w:val="00B85840"/>
    <w:rsid w:val="00B8587F"/>
    <w:rsid w:val="00B8591A"/>
    <w:rsid w:val="00B85A91"/>
    <w:rsid w:val="00B85E44"/>
    <w:rsid w:val="00B85E49"/>
    <w:rsid w:val="00B85EF8"/>
    <w:rsid w:val="00B8654D"/>
    <w:rsid w:val="00B86571"/>
    <w:rsid w:val="00B869BF"/>
    <w:rsid w:val="00B869DF"/>
    <w:rsid w:val="00B86DE5"/>
    <w:rsid w:val="00B871AE"/>
    <w:rsid w:val="00B8721C"/>
    <w:rsid w:val="00B8724B"/>
    <w:rsid w:val="00B873D4"/>
    <w:rsid w:val="00B8746C"/>
    <w:rsid w:val="00B8755D"/>
    <w:rsid w:val="00B87ACB"/>
    <w:rsid w:val="00B87B82"/>
    <w:rsid w:val="00B87BCA"/>
    <w:rsid w:val="00B90063"/>
    <w:rsid w:val="00B90613"/>
    <w:rsid w:val="00B908DC"/>
    <w:rsid w:val="00B90909"/>
    <w:rsid w:val="00B90BB5"/>
    <w:rsid w:val="00B9135F"/>
    <w:rsid w:val="00B917DD"/>
    <w:rsid w:val="00B92541"/>
    <w:rsid w:val="00B927C6"/>
    <w:rsid w:val="00B92834"/>
    <w:rsid w:val="00B92CCE"/>
    <w:rsid w:val="00B92DDD"/>
    <w:rsid w:val="00B9302E"/>
    <w:rsid w:val="00B9314B"/>
    <w:rsid w:val="00B933C8"/>
    <w:rsid w:val="00B934F2"/>
    <w:rsid w:val="00B93531"/>
    <w:rsid w:val="00B93A8B"/>
    <w:rsid w:val="00B93B96"/>
    <w:rsid w:val="00B93CED"/>
    <w:rsid w:val="00B93DC8"/>
    <w:rsid w:val="00B93F67"/>
    <w:rsid w:val="00B94035"/>
    <w:rsid w:val="00B940DA"/>
    <w:rsid w:val="00B943A8"/>
    <w:rsid w:val="00B944AA"/>
    <w:rsid w:val="00B94A59"/>
    <w:rsid w:val="00B94A6C"/>
    <w:rsid w:val="00B94AA2"/>
    <w:rsid w:val="00B94CFE"/>
    <w:rsid w:val="00B94F17"/>
    <w:rsid w:val="00B9513D"/>
    <w:rsid w:val="00B951E9"/>
    <w:rsid w:val="00B95448"/>
    <w:rsid w:val="00B95698"/>
    <w:rsid w:val="00B957C9"/>
    <w:rsid w:val="00B958F3"/>
    <w:rsid w:val="00B95E4F"/>
    <w:rsid w:val="00B95ED3"/>
    <w:rsid w:val="00B96230"/>
    <w:rsid w:val="00B96492"/>
    <w:rsid w:val="00B96A96"/>
    <w:rsid w:val="00B96AF8"/>
    <w:rsid w:val="00B96B2C"/>
    <w:rsid w:val="00B96D98"/>
    <w:rsid w:val="00B96F80"/>
    <w:rsid w:val="00B96F92"/>
    <w:rsid w:val="00B9767E"/>
    <w:rsid w:val="00B977A2"/>
    <w:rsid w:val="00B97822"/>
    <w:rsid w:val="00BA01CE"/>
    <w:rsid w:val="00BA0796"/>
    <w:rsid w:val="00BA0ABF"/>
    <w:rsid w:val="00BA0C84"/>
    <w:rsid w:val="00BA0CF5"/>
    <w:rsid w:val="00BA108C"/>
    <w:rsid w:val="00BA15B9"/>
    <w:rsid w:val="00BA16B2"/>
    <w:rsid w:val="00BA18A9"/>
    <w:rsid w:val="00BA1A57"/>
    <w:rsid w:val="00BA1B5E"/>
    <w:rsid w:val="00BA1F9D"/>
    <w:rsid w:val="00BA21E4"/>
    <w:rsid w:val="00BA2622"/>
    <w:rsid w:val="00BA2BF9"/>
    <w:rsid w:val="00BA2CB4"/>
    <w:rsid w:val="00BA2D3C"/>
    <w:rsid w:val="00BA359F"/>
    <w:rsid w:val="00BA3FFB"/>
    <w:rsid w:val="00BA429B"/>
    <w:rsid w:val="00BA4D31"/>
    <w:rsid w:val="00BA4EB9"/>
    <w:rsid w:val="00BA504E"/>
    <w:rsid w:val="00BA507B"/>
    <w:rsid w:val="00BA5926"/>
    <w:rsid w:val="00BA5938"/>
    <w:rsid w:val="00BA635C"/>
    <w:rsid w:val="00BA63E6"/>
    <w:rsid w:val="00BA68C1"/>
    <w:rsid w:val="00BA68C5"/>
    <w:rsid w:val="00BA6C4F"/>
    <w:rsid w:val="00BA7146"/>
    <w:rsid w:val="00BB011B"/>
    <w:rsid w:val="00BB0421"/>
    <w:rsid w:val="00BB04F5"/>
    <w:rsid w:val="00BB056A"/>
    <w:rsid w:val="00BB08E3"/>
    <w:rsid w:val="00BB0A55"/>
    <w:rsid w:val="00BB0A9F"/>
    <w:rsid w:val="00BB0C90"/>
    <w:rsid w:val="00BB0CD6"/>
    <w:rsid w:val="00BB12C6"/>
    <w:rsid w:val="00BB1384"/>
    <w:rsid w:val="00BB1578"/>
    <w:rsid w:val="00BB176E"/>
    <w:rsid w:val="00BB2092"/>
    <w:rsid w:val="00BB216F"/>
    <w:rsid w:val="00BB247B"/>
    <w:rsid w:val="00BB25E0"/>
    <w:rsid w:val="00BB2742"/>
    <w:rsid w:val="00BB3223"/>
    <w:rsid w:val="00BB3439"/>
    <w:rsid w:val="00BB378C"/>
    <w:rsid w:val="00BB3860"/>
    <w:rsid w:val="00BB3950"/>
    <w:rsid w:val="00BB395C"/>
    <w:rsid w:val="00BB39EF"/>
    <w:rsid w:val="00BB3C57"/>
    <w:rsid w:val="00BB3C70"/>
    <w:rsid w:val="00BB3D81"/>
    <w:rsid w:val="00BB403C"/>
    <w:rsid w:val="00BB45C5"/>
    <w:rsid w:val="00BB4C0C"/>
    <w:rsid w:val="00BB50E3"/>
    <w:rsid w:val="00BB514C"/>
    <w:rsid w:val="00BB5164"/>
    <w:rsid w:val="00BB5331"/>
    <w:rsid w:val="00BB5620"/>
    <w:rsid w:val="00BB5A89"/>
    <w:rsid w:val="00BB5C7E"/>
    <w:rsid w:val="00BB5D30"/>
    <w:rsid w:val="00BB6240"/>
    <w:rsid w:val="00BB6788"/>
    <w:rsid w:val="00BB6885"/>
    <w:rsid w:val="00BB69AB"/>
    <w:rsid w:val="00BB6B15"/>
    <w:rsid w:val="00BB6DD0"/>
    <w:rsid w:val="00BB703A"/>
    <w:rsid w:val="00BB71F1"/>
    <w:rsid w:val="00BB720F"/>
    <w:rsid w:val="00BB78BE"/>
    <w:rsid w:val="00BB7F36"/>
    <w:rsid w:val="00BB7F3E"/>
    <w:rsid w:val="00BC0A83"/>
    <w:rsid w:val="00BC0C4F"/>
    <w:rsid w:val="00BC16C4"/>
    <w:rsid w:val="00BC1933"/>
    <w:rsid w:val="00BC1B50"/>
    <w:rsid w:val="00BC1D97"/>
    <w:rsid w:val="00BC1F1C"/>
    <w:rsid w:val="00BC296C"/>
    <w:rsid w:val="00BC2E79"/>
    <w:rsid w:val="00BC3459"/>
    <w:rsid w:val="00BC3B93"/>
    <w:rsid w:val="00BC4283"/>
    <w:rsid w:val="00BC4346"/>
    <w:rsid w:val="00BC4494"/>
    <w:rsid w:val="00BC4517"/>
    <w:rsid w:val="00BC456C"/>
    <w:rsid w:val="00BC482C"/>
    <w:rsid w:val="00BC4EF2"/>
    <w:rsid w:val="00BC4FEF"/>
    <w:rsid w:val="00BC50A1"/>
    <w:rsid w:val="00BC50EA"/>
    <w:rsid w:val="00BC5735"/>
    <w:rsid w:val="00BC5A54"/>
    <w:rsid w:val="00BC5D7E"/>
    <w:rsid w:val="00BC5E14"/>
    <w:rsid w:val="00BC606B"/>
    <w:rsid w:val="00BC66E4"/>
    <w:rsid w:val="00BC69C4"/>
    <w:rsid w:val="00BC6B20"/>
    <w:rsid w:val="00BC6F4C"/>
    <w:rsid w:val="00BC722A"/>
    <w:rsid w:val="00BC747F"/>
    <w:rsid w:val="00BC7CD1"/>
    <w:rsid w:val="00BC7EC4"/>
    <w:rsid w:val="00BD0352"/>
    <w:rsid w:val="00BD08D5"/>
    <w:rsid w:val="00BD093D"/>
    <w:rsid w:val="00BD0A47"/>
    <w:rsid w:val="00BD0F01"/>
    <w:rsid w:val="00BD103F"/>
    <w:rsid w:val="00BD13A5"/>
    <w:rsid w:val="00BD1419"/>
    <w:rsid w:val="00BD142F"/>
    <w:rsid w:val="00BD17CB"/>
    <w:rsid w:val="00BD190A"/>
    <w:rsid w:val="00BD19DB"/>
    <w:rsid w:val="00BD2446"/>
    <w:rsid w:val="00BD24C0"/>
    <w:rsid w:val="00BD28D5"/>
    <w:rsid w:val="00BD2C94"/>
    <w:rsid w:val="00BD2D9C"/>
    <w:rsid w:val="00BD2E4B"/>
    <w:rsid w:val="00BD2E66"/>
    <w:rsid w:val="00BD2E8B"/>
    <w:rsid w:val="00BD399F"/>
    <w:rsid w:val="00BD3A58"/>
    <w:rsid w:val="00BD3C66"/>
    <w:rsid w:val="00BD4267"/>
    <w:rsid w:val="00BD42A5"/>
    <w:rsid w:val="00BD4471"/>
    <w:rsid w:val="00BD4D84"/>
    <w:rsid w:val="00BD4E66"/>
    <w:rsid w:val="00BD52E9"/>
    <w:rsid w:val="00BD57BA"/>
    <w:rsid w:val="00BD58AA"/>
    <w:rsid w:val="00BD592F"/>
    <w:rsid w:val="00BD5E51"/>
    <w:rsid w:val="00BD5F57"/>
    <w:rsid w:val="00BD67A4"/>
    <w:rsid w:val="00BD67B4"/>
    <w:rsid w:val="00BD6862"/>
    <w:rsid w:val="00BD6989"/>
    <w:rsid w:val="00BD6B66"/>
    <w:rsid w:val="00BD7210"/>
    <w:rsid w:val="00BD7597"/>
    <w:rsid w:val="00BD7C42"/>
    <w:rsid w:val="00BD7C90"/>
    <w:rsid w:val="00BD7D15"/>
    <w:rsid w:val="00BD7EB6"/>
    <w:rsid w:val="00BE0068"/>
    <w:rsid w:val="00BE087F"/>
    <w:rsid w:val="00BE0BAF"/>
    <w:rsid w:val="00BE0C14"/>
    <w:rsid w:val="00BE0D96"/>
    <w:rsid w:val="00BE0EB2"/>
    <w:rsid w:val="00BE0F2A"/>
    <w:rsid w:val="00BE0F81"/>
    <w:rsid w:val="00BE12D2"/>
    <w:rsid w:val="00BE182D"/>
    <w:rsid w:val="00BE21AA"/>
    <w:rsid w:val="00BE251A"/>
    <w:rsid w:val="00BE2778"/>
    <w:rsid w:val="00BE27D6"/>
    <w:rsid w:val="00BE2864"/>
    <w:rsid w:val="00BE29C7"/>
    <w:rsid w:val="00BE2E5B"/>
    <w:rsid w:val="00BE2FD0"/>
    <w:rsid w:val="00BE3027"/>
    <w:rsid w:val="00BE33A2"/>
    <w:rsid w:val="00BE3489"/>
    <w:rsid w:val="00BE35F2"/>
    <w:rsid w:val="00BE37AE"/>
    <w:rsid w:val="00BE3D9A"/>
    <w:rsid w:val="00BE4405"/>
    <w:rsid w:val="00BE4579"/>
    <w:rsid w:val="00BE481E"/>
    <w:rsid w:val="00BE4947"/>
    <w:rsid w:val="00BE4C23"/>
    <w:rsid w:val="00BE4C96"/>
    <w:rsid w:val="00BE4DFB"/>
    <w:rsid w:val="00BE5298"/>
    <w:rsid w:val="00BE5618"/>
    <w:rsid w:val="00BE5E7C"/>
    <w:rsid w:val="00BE63A5"/>
    <w:rsid w:val="00BE6543"/>
    <w:rsid w:val="00BE6C8B"/>
    <w:rsid w:val="00BE6D19"/>
    <w:rsid w:val="00BE7064"/>
    <w:rsid w:val="00BE713B"/>
    <w:rsid w:val="00BE71BA"/>
    <w:rsid w:val="00BE7528"/>
    <w:rsid w:val="00BE7539"/>
    <w:rsid w:val="00BE7666"/>
    <w:rsid w:val="00BE7949"/>
    <w:rsid w:val="00BE7B72"/>
    <w:rsid w:val="00BE7CE8"/>
    <w:rsid w:val="00BE7EAA"/>
    <w:rsid w:val="00BF0422"/>
    <w:rsid w:val="00BF059F"/>
    <w:rsid w:val="00BF09DB"/>
    <w:rsid w:val="00BF0AA6"/>
    <w:rsid w:val="00BF0B2D"/>
    <w:rsid w:val="00BF0C31"/>
    <w:rsid w:val="00BF0CB3"/>
    <w:rsid w:val="00BF19B6"/>
    <w:rsid w:val="00BF1BA4"/>
    <w:rsid w:val="00BF1BF3"/>
    <w:rsid w:val="00BF26E2"/>
    <w:rsid w:val="00BF2B1D"/>
    <w:rsid w:val="00BF2BDC"/>
    <w:rsid w:val="00BF2D76"/>
    <w:rsid w:val="00BF3088"/>
    <w:rsid w:val="00BF3432"/>
    <w:rsid w:val="00BF36ED"/>
    <w:rsid w:val="00BF377B"/>
    <w:rsid w:val="00BF3B1E"/>
    <w:rsid w:val="00BF3D85"/>
    <w:rsid w:val="00BF3EB7"/>
    <w:rsid w:val="00BF3F37"/>
    <w:rsid w:val="00BF3F8E"/>
    <w:rsid w:val="00BF4379"/>
    <w:rsid w:val="00BF4523"/>
    <w:rsid w:val="00BF46CB"/>
    <w:rsid w:val="00BF472D"/>
    <w:rsid w:val="00BF4B63"/>
    <w:rsid w:val="00BF4B9F"/>
    <w:rsid w:val="00BF4BAA"/>
    <w:rsid w:val="00BF5CE3"/>
    <w:rsid w:val="00BF62BF"/>
    <w:rsid w:val="00BF6416"/>
    <w:rsid w:val="00BF6539"/>
    <w:rsid w:val="00BF69C6"/>
    <w:rsid w:val="00BF6E0A"/>
    <w:rsid w:val="00BF7134"/>
    <w:rsid w:val="00BF72F7"/>
    <w:rsid w:val="00BF74EE"/>
    <w:rsid w:val="00BF75BE"/>
    <w:rsid w:val="00BF79AC"/>
    <w:rsid w:val="00BF7AD3"/>
    <w:rsid w:val="00BF7BC2"/>
    <w:rsid w:val="00BF7DD3"/>
    <w:rsid w:val="00C002CD"/>
    <w:rsid w:val="00C00434"/>
    <w:rsid w:val="00C00523"/>
    <w:rsid w:val="00C00703"/>
    <w:rsid w:val="00C00B1B"/>
    <w:rsid w:val="00C00B7D"/>
    <w:rsid w:val="00C00C01"/>
    <w:rsid w:val="00C00DFD"/>
    <w:rsid w:val="00C00EFD"/>
    <w:rsid w:val="00C01088"/>
    <w:rsid w:val="00C0135B"/>
    <w:rsid w:val="00C013D5"/>
    <w:rsid w:val="00C013D8"/>
    <w:rsid w:val="00C0144B"/>
    <w:rsid w:val="00C01913"/>
    <w:rsid w:val="00C01979"/>
    <w:rsid w:val="00C01AE1"/>
    <w:rsid w:val="00C021CA"/>
    <w:rsid w:val="00C02386"/>
    <w:rsid w:val="00C02BC4"/>
    <w:rsid w:val="00C030F4"/>
    <w:rsid w:val="00C0358A"/>
    <w:rsid w:val="00C03770"/>
    <w:rsid w:val="00C03B55"/>
    <w:rsid w:val="00C03D3D"/>
    <w:rsid w:val="00C04588"/>
    <w:rsid w:val="00C046DB"/>
    <w:rsid w:val="00C04E3A"/>
    <w:rsid w:val="00C04FB5"/>
    <w:rsid w:val="00C05000"/>
    <w:rsid w:val="00C051CE"/>
    <w:rsid w:val="00C054B6"/>
    <w:rsid w:val="00C05510"/>
    <w:rsid w:val="00C058E0"/>
    <w:rsid w:val="00C05A09"/>
    <w:rsid w:val="00C06263"/>
    <w:rsid w:val="00C062D0"/>
    <w:rsid w:val="00C06C6A"/>
    <w:rsid w:val="00C06CB5"/>
    <w:rsid w:val="00C0732C"/>
    <w:rsid w:val="00C073CA"/>
    <w:rsid w:val="00C079D1"/>
    <w:rsid w:val="00C0A4DB"/>
    <w:rsid w:val="00C1015E"/>
    <w:rsid w:val="00C107F3"/>
    <w:rsid w:val="00C10878"/>
    <w:rsid w:val="00C10A22"/>
    <w:rsid w:val="00C10BA2"/>
    <w:rsid w:val="00C110F0"/>
    <w:rsid w:val="00C11835"/>
    <w:rsid w:val="00C11E8B"/>
    <w:rsid w:val="00C120A3"/>
    <w:rsid w:val="00C12670"/>
    <w:rsid w:val="00C13279"/>
    <w:rsid w:val="00C1353A"/>
    <w:rsid w:val="00C139D6"/>
    <w:rsid w:val="00C13EF3"/>
    <w:rsid w:val="00C1409A"/>
    <w:rsid w:val="00C14276"/>
    <w:rsid w:val="00C1445F"/>
    <w:rsid w:val="00C14AD0"/>
    <w:rsid w:val="00C14F4E"/>
    <w:rsid w:val="00C1581A"/>
    <w:rsid w:val="00C15869"/>
    <w:rsid w:val="00C158CB"/>
    <w:rsid w:val="00C158D6"/>
    <w:rsid w:val="00C158F4"/>
    <w:rsid w:val="00C160D2"/>
    <w:rsid w:val="00C16721"/>
    <w:rsid w:val="00C16934"/>
    <w:rsid w:val="00C16C3A"/>
    <w:rsid w:val="00C16FD9"/>
    <w:rsid w:val="00C1775C"/>
    <w:rsid w:val="00C17B85"/>
    <w:rsid w:val="00C17CB0"/>
    <w:rsid w:val="00C17E5D"/>
    <w:rsid w:val="00C200A6"/>
    <w:rsid w:val="00C2012B"/>
    <w:rsid w:val="00C202E9"/>
    <w:rsid w:val="00C20316"/>
    <w:rsid w:val="00C208BE"/>
    <w:rsid w:val="00C209FB"/>
    <w:rsid w:val="00C20BD5"/>
    <w:rsid w:val="00C20CD9"/>
    <w:rsid w:val="00C20D46"/>
    <w:rsid w:val="00C20ED3"/>
    <w:rsid w:val="00C21361"/>
    <w:rsid w:val="00C213A3"/>
    <w:rsid w:val="00C2156C"/>
    <w:rsid w:val="00C2173D"/>
    <w:rsid w:val="00C21820"/>
    <w:rsid w:val="00C2188D"/>
    <w:rsid w:val="00C22112"/>
    <w:rsid w:val="00C2226F"/>
    <w:rsid w:val="00C22471"/>
    <w:rsid w:val="00C225B2"/>
    <w:rsid w:val="00C225E8"/>
    <w:rsid w:val="00C22E6F"/>
    <w:rsid w:val="00C2310D"/>
    <w:rsid w:val="00C23234"/>
    <w:rsid w:val="00C23863"/>
    <w:rsid w:val="00C23966"/>
    <w:rsid w:val="00C23B0C"/>
    <w:rsid w:val="00C23DCB"/>
    <w:rsid w:val="00C24189"/>
    <w:rsid w:val="00C24463"/>
    <w:rsid w:val="00C247A6"/>
    <w:rsid w:val="00C251CE"/>
    <w:rsid w:val="00C2542F"/>
    <w:rsid w:val="00C2563D"/>
    <w:rsid w:val="00C25CC0"/>
    <w:rsid w:val="00C25F4E"/>
    <w:rsid w:val="00C26078"/>
    <w:rsid w:val="00C26238"/>
    <w:rsid w:val="00C26548"/>
    <w:rsid w:val="00C2686D"/>
    <w:rsid w:val="00C26ADE"/>
    <w:rsid w:val="00C26C64"/>
    <w:rsid w:val="00C26DB5"/>
    <w:rsid w:val="00C26EFF"/>
    <w:rsid w:val="00C26F53"/>
    <w:rsid w:val="00C2706F"/>
    <w:rsid w:val="00C27AD0"/>
    <w:rsid w:val="00C27CB1"/>
    <w:rsid w:val="00C27DCB"/>
    <w:rsid w:val="00C300D1"/>
    <w:rsid w:val="00C30133"/>
    <w:rsid w:val="00C304DB"/>
    <w:rsid w:val="00C3077B"/>
    <w:rsid w:val="00C30AED"/>
    <w:rsid w:val="00C30D2B"/>
    <w:rsid w:val="00C31201"/>
    <w:rsid w:val="00C3145B"/>
    <w:rsid w:val="00C315B1"/>
    <w:rsid w:val="00C31AD1"/>
    <w:rsid w:val="00C31D50"/>
    <w:rsid w:val="00C31EC5"/>
    <w:rsid w:val="00C32109"/>
    <w:rsid w:val="00C327B2"/>
    <w:rsid w:val="00C32933"/>
    <w:rsid w:val="00C32A24"/>
    <w:rsid w:val="00C3303B"/>
    <w:rsid w:val="00C33359"/>
    <w:rsid w:val="00C3336D"/>
    <w:rsid w:val="00C334DC"/>
    <w:rsid w:val="00C334E3"/>
    <w:rsid w:val="00C33537"/>
    <w:rsid w:val="00C338AC"/>
    <w:rsid w:val="00C33DAD"/>
    <w:rsid w:val="00C33DC0"/>
    <w:rsid w:val="00C33EA7"/>
    <w:rsid w:val="00C343FD"/>
    <w:rsid w:val="00C34813"/>
    <w:rsid w:val="00C3481A"/>
    <w:rsid w:val="00C349E8"/>
    <w:rsid w:val="00C34D21"/>
    <w:rsid w:val="00C34DE1"/>
    <w:rsid w:val="00C34EA6"/>
    <w:rsid w:val="00C34EA9"/>
    <w:rsid w:val="00C351D7"/>
    <w:rsid w:val="00C35277"/>
    <w:rsid w:val="00C35562"/>
    <w:rsid w:val="00C3585E"/>
    <w:rsid w:val="00C35862"/>
    <w:rsid w:val="00C35A95"/>
    <w:rsid w:val="00C35AE9"/>
    <w:rsid w:val="00C363D2"/>
    <w:rsid w:val="00C366C0"/>
    <w:rsid w:val="00C36BFD"/>
    <w:rsid w:val="00C36DB1"/>
    <w:rsid w:val="00C36F1A"/>
    <w:rsid w:val="00C370A7"/>
    <w:rsid w:val="00C3722A"/>
    <w:rsid w:val="00C372D5"/>
    <w:rsid w:val="00C37561"/>
    <w:rsid w:val="00C37625"/>
    <w:rsid w:val="00C37659"/>
    <w:rsid w:val="00C37C61"/>
    <w:rsid w:val="00C37DF2"/>
    <w:rsid w:val="00C40655"/>
    <w:rsid w:val="00C40753"/>
    <w:rsid w:val="00C40915"/>
    <w:rsid w:val="00C409DE"/>
    <w:rsid w:val="00C40A62"/>
    <w:rsid w:val="00C4100D"/>
    <w:rsid w:val="00C4145B"/>
    <w:rsid w:val="00C4157C"/>
    <w:rsid w:val="00C41A18"/>
    <w:rsid w:val="00C41B2D"/>
    <w:rsid w:val="00C4277D"/>
    <w:rsid w:val="00C42791"/>
    <w:rsid w:val="00C42A0A"/>
    <w:rsid w:val="00C42AA5"/>
    <w:rsid w:val="00C42D87"/>
    <w:rsid w:val="00C43314"/>
    <w:rsid w:val="00C43B07"/>
    <w:rsid w:val="00C43D5E"/>
    <w:rsid w:val="00C43F58"/>
    <w:rsid w:val="00C4446F"/>
    <w:rsid w:val="00C446BA"/>
    <w:rsid w:val="00C44A88"/>
    <w:rsid w:val="00C44C8C"/>
    <w:rsid w:val="00C44CDE"/>
    <w:rsid w:val="00C44E48"/>
    <w:rsid w:val="00C44E84"/>
    <w:rsid w:val="00C451CB"/>
    <w:rsid w:val="00C451D3"/>
    <w:rsid w:val="00C45878"/>
    <w:rsid w:val="00C458B3"/>
    <w:rsid w:val="00C45E05"/>
    <w:rsid w:val="00C45E57"/>
    <w:rsid w:val="00C46164"/>
    <w:rsid w:val="00C46BCD"/>
    <w:rsid w:val="00C46D66"/>
    <w:rsid w:val="00C4721A"/>
    <w:rsid w:val="00C473CC"/>
    <w:rsid w:val="00C47B10"/>
    <w:rsid w:val="00C47BEB"/>
    <w:rsid w:val="00C47C73"/>
    <w:rsid w:val="00C47E91"/>
    <w:rsid w:val="00C47EF9"/>
    <w:rsid w:val="00C47F84"/>
    <w:rsid w:val="00C50318"/>
    <w:rsid w:val="00C504BA"/>
    <w:rsid w:val="00C5060B"/>
    <w:rsid w:val="00C509CD"/>
    <w:rsid w:val="00C50D71"/>
    <w:rsid w:val="00C50DED"/>
    <w:rsid w:val="00C51714"/>
    <w:rsid w:val="00C5180C"/>
    <w:rsid w:val="00C5197F"/>
    <w:rsid w:val="00C51B54"/>
    <w:rsid w:val="00C51C9B"/>
    <w:rsid w:val="00C524BC"/>
    <w:rsid w:val="00C527DA"/>
    <w:rsid w:val="00C52A78"/>
    <w:rsid w:val="00C52BCC"/>
    <w:rsid w:val="00C52DCC"/>
    <w:rsid w:val="00C530DD"/>
    <w:rsid w:val="00C5325C"/>
    <w:rsid w:val="00C539B9"/>
    <w:rsid w:val="00C53B42"/>
    <w:rsid w:val="00C53C3A"/>
    <w:rsid w:val="00C53C6A"/>
    <w:rsid w:val="00C53CFF"/>
    <w:rsid w:val="00C53DF9"/>
    <w:rsid w:val="00C5446B"/>
    <w:rsid w:val="00C54755"/>
    <w:rsid w:val="00C5503F"/>
    <w:rsid w:val="00C55133"/>
    <w:rsid w:val="00C55822"/>
    <w:rsid w:val="00C55839"/>
    <w:rsid w:val="00C55FEF"/>
    <w:rsid w:val="00C56162"/>
    <w:rsid w:val="00C56450"/>
    <w:rsid w:val="00C5689E"/>
    <w:rsid w:val="00C568CA"/>
    <w:rsid w:val="00C56E1C"/>
    <w:rsid w:val="00C57408"/>
    <w:rsid w:val="00C5767A"/>
    <w:rsid w:val="00C577C0"/>
    <w:rsid w:val="00C57CE9"/>
    <w:rsid w:val="00C60325"/>
    <w:rsid w:val="00C605ED"/>
    <w:rsid w:val="00C60D23"/>
    <w:rsid w:val="00C60D38"/>
    <w:rsid w:val="00C60DC9"/>
    <w:rsid w:val="00C6104A"/>
    <w:rsid w:val="00C6192A"/>
    <w:rsid w:val="00C61D04"/>
    <w:rsid w:val="00C61E94"/>
    <w:rsid w:val="00C621F1"/>
    <w:rsid w:val="00C62323"/>
    <w:rsid w:val="00C6277C"/>
    <w:rsid w:val="00C62B54"/>
    <w:rsid w:val="00C62D3E"/>
    <w:rsid w:val="00C63281"/>
    <w:rsid w:val="00C63BA3"/>
    <w:rsid w:val="00C64270"/>
    <w:rsid w:val="00C649DE"/>
    <w:rsid w:val="00C64D3C"/>
    <w:rsid w:val="00C65D23"/>
    <w:rsid w:val="00C662E2"/>
    <w:rsid w:val="00C66604"/>
    <w:rsid w:val="00C66637"/>
    <w:rsid w:val="00C66C70"/>
    <w:rsid w:val="00C66CAB"/>
    <w:rsid w:val="00C66D3E"/>
    <w:rsid w:val="00C671CC"/>
    <w:rsid w:val="00C67259"/>
    <w:rsid w:val="00C673F3"/>
    <w:rsid w:val="00C67805"/>
    <w:rsid w:val="00C679FB"/>
    <w:rsid w:val="00C67FE1"/>
    <w:rsid w:val="00C70624"/>
    <w:rsid w:val="00C70D67"/>
    <w:rsid w:val="00C715E3"/>
    <w:rsid w:val="00C71673"/>
    <w:rsid w:val="00C71714"/>
    <w:rsid w:val="00C71D85"/>
    <w:rsid w:val="00C71F3A"/>
    <w:rsid w:val="00C723D9"/>
    <w:rsid w:val="00C72708"/>
    <w:rsid w:val="00C72B64"/>
    <w:rsid w:val="00C72E90"/>
    <w:rsid w:val="00C73583"/>
    <w:rsid w:val="00C73904"/>
    <w:rsid w:val="00C73A4E"/>
    <w:rsid w:val="00C73AC6"/>
    <w:rsid w:val="00C73E0B"/>
    <w:rsid w:val="00C741C0"/>
    <w:rsid w:val="00C74267"/>
    <w:rsid w:val="00C7427D"/>
    <w:rsid w:val="00C745C8"/>
    <w:rsid w:val="00C74953"/>
    <w:rsid w:val="00C752B5"/>
    <w:rsid w:val="00C753FE"/>
    <w:rsid w:val="00C75BE8"/>
    <w:rsid w:val="00C75C12"/>
    <w:rsid w:val="00C75D82"/>
    <w:rsid w:val="00C7611F"/>
    <w:rsid w:val="00C767C2"/>
    <w:rsid w:val="00C76927"/>
    <w:rsid w:val="00C76F53"/>
    <w:rsid w:val="00C76FE3"/>
    <w:rsid w:val="00C7703B"/>
    <w:rsid w:val="00C77061"/>
    <w:rsid w:val="00C773B2"/>
    <w:rsid w:val="00C77574"/>
    <w:rsid w:val="00C77A43"/>
    <w:rsid w:val="00C77A56"/>
    <w:rsid w:val="00C77CFB"/>
    <w:rsid w:val="00C77D40"/>
    <w:rsid w:val="00C80553"/>
    <w:rsid w:val="00C8073E"/>
    <w:rsid w:val="00C80785"/>
    <w:rsid w:val="00C80A19"/>
    <w:rsid w:val="00C80ABB"/>
    <w:rsid w:val="00C80DD2"/>
    <w:rsid w:val="00C814C4"/>
    <w:rsid w:val="00C81E4D"/>
    <w:rsid w:val="00C82087"/>
    <w:rsid w:val="00C82134"/>
    <w:rsid w:val="00C821AD"/>
    <w:rsid w:val="00C826C7"/>
    <w:rsid w:val="00C827DA"/>
    <w:rsid w:val="00C82C65"/>
    <w:rsid w:val="00C82D18"/>
    <w:rsid w:val="00C82FC9"/>
    <w:rsid w:val="00C832E9"/>
    <w:rsid w:val="00C83413"/>
    <w:rsid w:val="00C83B40"/>
    <w:rsid w:val="00C83B53"/>
    <w:rsid w:val="00C83C9C"/>
    <w:rsid w:val="00C83E55"/>
    <w:rsid w:val="00C83FBF"/>
    <w:rsid w:val="00C8406B"/>
    <w:rsid w:val="00C842A9"/>
    <w:rsid w:val="00C84378"/>
    <w:rsid w:val="00C84421"/>
    <w:rsid w:val="00C84A93"/>
    <w:rsid w:val="00C850BE"/>
    <w:rsid w:val="00C8582C"/>
    <w:rsid w:val="00C85B66"/>
    <w:rsid w:val="00C860DD"/>
    <w:rsid w:val="00C860F5"/>
    <w:rsid w:val="00C86148"/>
    <w:rsid w:val="00C86767"/>
    <w:rsid w:val="00C867A0"/>
    <w:rsid w:val="00C867F9"/>
    <w:rsid w:val="00C868AC"/>
    <w:rsid w:val="00C86B36"/>
    <w:rsid w:val="00C86BF4"/>
    <w:rsid w:val="00C86C0E"/>
    <w:rsid w:val="00C86ECB"/>
    <w:rsid w:val="00C8718B"/>
    <w:rsid w:val="00C871C6"/>
    <w:rsid w:val="00C871E9"/>
    <w:rsid w:val="00C87531"/>
    <w:rsid w:val="00C905C2"/>
    <w:rsid w:val="00C90739"/>
    <w:rsid w:val="00C9089E"/>
    <w:rsid w:val="00C90FB1"/>
    <w:rsid w:val="00C91678"/>
    <w:rsid w:val="00C916AF"/>
    <w:rsid w:val="00C91C84"/>
    <w:rsid w:val="00C923AD"/>
    <w:rsid w:val="00C92422"/>
    <w:rsid w:val="00C92760"/>
    <w:rsid w:val="00C92929"/>
    <w:rsid w:val="00C92B09"/>
    <w:rsid w:val="00C92C47"/>
    <w:rsid w:val="00C92EB9"/>
    <w:rsid w:val="00C930D8"/>
    <w:rsid w:val="00C931F4"/>
    <w:rsid w:val="00C932A3"/>
    <w:rsid w:val="00C9332F"/>
    <w:rsid w:val="00C933AD"/>
    <w:rsid w:val="00C9347D"/>
    <w:rsid w:val="00C94535"/>
    <w:rsid w:val="00C94977"/>
    <w:rsid w:val="00C94B3F"/>
    <w:rsid w:val="00C95857"/>
    <w:rsid w:val="00C959F3"/>
    <w:rsid w:val="00C962E6"/>
    <w:rsid w:val="00C96339"/>
    <w:rsid w:val="00C9647C"/>
    <w:rsid w:val="00C96531"/>
    <w:rsid w:val="00C9669E"/>
    <w:rsid w:val="00C967F6"/>
    <w:rsid w:val="00C96A68"/>
    <w:rsid w:val="00C96D6B"/>
    <w:rsid w:val="00C96EFE"/>
    <w:rsid w:val="00C97347"/>
    <w:rsid w:val="00C9753F"/>
    <w:rsid w:val="00C97690"/>
    <w:rsid w:val="00CA093F"/>
    <w:rsid w:val="00CA0B40"/>
    <w:rsid w:val="00CA0BED"/>
    <w:rsid w:val="00CA0CB7"/>
    <w:rsid w:val="00CA0DBC"/>
    <w:rsid w:val="00CA0DD0"/>
    <w:rsid w:val="00CA106C"/>
    <w:rsid w:val="00CA10B1"/>
    <w:rsid w:val="00CA1240"/>
    <w:rsid w:val="00CA15C0"/>
    <w:rsid w:val="00CA19A6"/>
    <w:rsid w:val="00CA1AC5"/>
    <w:rsid w:val="00CA1C62"/>
    <w:rsid w:val="00CA1CFA"/>
    <w:rsid w:val="00CA2327"/>
    <w:rsid w:val="00CA280E"/>
    <w:rsid w:val="00CA2871"/>
    <w:rsid w:val="00CA298D"/>
    <w:rsid w:val="00CA29CA"/>
    <w:rsid w:val="00CA2E85"/>
    <w:rsid w:val="00CA3331"/>
    <w:rsid w:val="00CA342B"/>
    <w:rsid w:val="00CA38B8"/>
    <w:rsid w:val="00CA39A3"/>
    <w:rsid w:val="00CA3BC9"/>
    <w:rsid w:val="00CA3CE1"/>
    <w:rsid w:val="00CA3EC6"/>
    <w:rsid w:val="00CA4110"/>
    <w:rsid w:val="00CA4169"/>
    <w:rsid w:val="00CA42D4"/>
    <w:rsid w:val="00CA4673"/>
    <w:rsid w:val="00CA4692"/>
    <w:rsid w:val="00CA486A"/>
    <w:rsid w:val="00CA493A"/>
    <w:rsid w:val="00CA4CF8"/>
    <w:rsid w:val="00CA57B9"/>
    <w:rsid w:val="00CA59C1"/>
    <w:rsid w:val="00CA5AF8"/>
    <w:rsid w:val="00CA5CA4"/>
    <w:rsid w:val="00CA6658"/>
    <w:rsid w:val="00CA70BD"/>
    <w:rsid w:val="00CA78E9"/>
    <w:rsid w:val="00CA79C9"/>
    <w:rsid w:val="00CA7C23"/>
    <w:rsid w:val="00CA7D36"/>
    <w:rsid w:val="00CA7E3D"/>
    <w:rsid w:val="00CB01AB"/>
    <w:rsid w:val="00CB0286"/>
    <w:rsid w:val="00CB043B"/>
    <w:rsid w:val="00CB05AD"/>
    <w:rsid w:val="00CB0C43"/>
    <w:rsid w:val="00CB0CD4"/>
    <w:rsid w:val="00CB0D9E"/>
    <w:rsid w:val="00CB0ED9"/>
    <w:rsid w:val="00CB1352"/>
    <w:rsid w:val="00CB161E"/>
    <w:rsid w:val="00CB1992"/>
    <w:rsid w:val="00CB1E44"/>
    <w:rsid w:val="00CB1E75"/>
    <w:rsid w:val="00CB1F5C"/>
    <w:rsid w:val="00CB200D"/>
    <w:rsid w:val="00CB229E"/>
    <w:rsid w:val="00CB278E"/>
    <w:rsid w:val="00CB29B3"/>
    <w:rsid w:val="00CB2A9F"/>
    <w:rsid w:val="00CB2D14"/>
    <w:rsid w:val="00CB2D18"/>
    <w:rsid w:val="00CB2D6B"/>
    <w:rsid w:val="00CB316E"/>
    <w:rsid w:val="00CB3197"/>
    <w:rsid w:val="00CB3479"/>
    <w:rsid w:val="00CB36AE"/>
    <w:rsid w:val="00CB4405"/>
    <w:rsid w:val="00CB48A5"/>
    <w:rsid w:val="00CB4ACC"/>
    <w:rsid w:val="00CB4C30"/>
    <w:rsid w:val="00CB510E"/>
    <w:rsid w:val="00CB5493"/>
    <w:rsid w:val="00CB5921"/>
    <w:rsid w:val="00CB5E8A"/>
    <w:rsid w:val="00CB6336"/>
    <w:rsid w:val="00CB6343"/>
    <w:rsid w:val="00CB661B"/>
    <w:rsid w:val="00CB6885"/>
    <w:rsid w:val="00CB6899"/>
    <w:rsid w:val="00CB715C"/>
    <w:rsid w:val="00CB7438"/>
    <w:rsid w:val="00CB747E"/>
    <w:rsid w:val="00CB7D92"/>
    <w:rsid w:val="00CC0257"/>
    <w:rsid w:val="00CC073F"/>
    <w:rsid w:val="00CC0744"/>
    <w:rsid w:val="00CC07A8"/>
    <w:rsid w:val="00CC0981"/>
    <w:rsid w:val="00CC09C9"/>
    <w:rsid w:val="00CC1115"/>
    <w:rsid w:val="00CC1153"/>
    <w:rsid w:val="00CC1585"/>
    <w:rsid w:val="00CC204A"/>
    <w:rsid w:val="00CC213B"/>
    <w:rsid w:val="00CC224E"/>
    <w:rsid w:val="00CC2629"/>
    <w:rsid w:val="00CC2696"/>
    <w:rsid w:val="00CC26CA"/>
    <w:rsid w:val="00CC2A0A"/>
    <w:rsid w:val="00CC30DD"/>
    <w:rsid w:val="00CC31F3"/>
    <w:rsid w:val="00CC323C"/>
    <w:rsid w:val="00CC33DD"/>
    <w:rsid w:val="00CC398F"/>
    <w:rsid w:val="00CC3B79"/>
    <w:rsid w:val="00CC407C"/>
    <w:rsid w:val="00CC46D4"/>
    <w:rsid w:val="00CC4ABF"/>
    <w:rsid w:val="00CC4B14"/>
    <w:rsid w:val="00CC4EF2"/>
    <w:rsid w:val="00CC5004"/>
    <w:rsid w:val="00CC55B2"/>
    <w:rsid w:val="00CC59DF"/>
    <w:rsid w:val="00CC5DEE"/>
    <w:rsid w:val="00CC5E33"/>
    <w:rsid w:val="00CC6007"/>
    <w:rsid w:val="00CC6201"/>
    <w:rsid w:val="00CC68D6"/>
    <w:rsid w:val="00CC716B"/>
    <w:rsid w:val="00CC71B5"/>
    <w:rsid w:val="00CC7277"/>
    <w:rsid w:val="00CC7282"/>
    <w:rsid w:val="00CC72B9"/>
    <w:rsid w:val="00CC753D"/>
    <w:rsid w:val="00CC7A30"/>
    <w:rsid w:val="00CC7BC8"/>
    <w:rsid w:val="00CC7D71"/>
    <w:rsid w:val="00CC7E68"/>
    <w:rsid w:val="00CC7F96"/>
    <w:rsid w:val="00CD0389"/>
    <w:rsid w:val="00CD0A77"/>
    <w:rsid w:val="00CD0E3B"/>
    <w:rsid w:val="00CD1127"/>
    <w:rsid w:val="00CD1C0D"/>
    <w:rsid w:val="00CD1D34"/>
    <w:rsid w:val="00CD1EE1"/>
    <w:rsid w:val="00CD2232"/>
    <w:rsid w:val="00CD27AF"/>
    <w:rsid w:val="00CD2B44"/>
    <w:rsid w:val="00CD3246"/>
    <w:rsid w:val="00CD3677"/>
    <w:rsid w:val="00CD3C9E"/>
    <w:rsid w:val="00CD4064"/>
    <w:rsid w:val="00CD4357"/>
    <w:rsid w:val="00CD48F5"/>
    <w:rsid w:val="00CD4980"/>
    <w:rsid w:val="00CD4ADD"/>
    <w:rsid w:val="00CD5009"/>
    <w:rsid w:val="00CD5C4E"/>
    <w:rsid w:val="00CD5C53"/>
    <w:rsid w:val="00CD5D87"/>
    <w:rsid w:val="00CD5E3D"/>
    <w:rsid w:val="00CD5F5C"/>
    <w:rsid w:val="00CD6484"/>
    <w:rsid w:val="00CD64F2"/>
    <w:rsid w:val="00CD683E"/>
    <w:rsid w:val="00CD6BE9"/>
    <w:rsid w:val="00CD6E4D"/>
    <w:rsid w:val="00CD7504"/>
    <w:rsid w:val="00CD751E"/>
    <w:rsid w:val="00CD76F9"/>
    <w:rsid w:val="00CD7EF3"/>
    <w:rsid w:val="00CD7FFB"/>
    <w:rsid w:val="00CE0163"/>
    <w:rsid w:val="00CE0233"/>
    <w:rsid w:val="00CE02F0"/>
    <w:rsid w:val="00CE09E3"/>
    <w:rsid w:val="00CE0DE5"/>
    <w:rsid w:val="00CE10FC"/>
    <w:rsid w:val="00CE13E4"/>
    <w:rsid w:val="00CE142C"/>
    <w:rsid w:val="00CE143A"/>
    <w:rsid w:val="00CE145E"/>
    <w:rsid w:val="00CE1751"/>
    <w:rsid w:val="00CE175F"/>
    <w:rsid w:val="00CE194F"/>
    <w:rsid w:val="00CE1CDE"/>
    <w:rsid w:val="00CE1DCE"/>
    <w:rsid w:val="00CE310D"/>
    <w:rsid w:val="00CE3D6D"/>
    <w:rsid w:val="00CE4106"/>
    <w:rsid w:val="00CE4135"/>
    <w:rsid w:val="00CE4499"/>
    <w:rsid w:val="00CE47B0"/>
    <w:rsid w:val="00CE4BA1"/>
    <w:rsid w:val="00CE4C28"/>
    <w:rsid w:val="00CE4D2B"/>
    <w:rsid w:val="00CE511C"/>
    <w:rsid w:val="00CE51D9"/>
    <w:rsid w:val="00CE5200"/>
    <w:rsid w:val="00CE5896"/>
    <w:rsid w:val="00CE59AE"/>
    <w:rsid w:val="00CE59B0"/>
    <w:rsid w:val="00CE5A17"/>
    <w:rsid w:val="00CE5A76"/>
    <w:rsid w:val="00CE5B74"/>
    <w:rsid w:val="00CE5F25"/>
    <w:rsid w:val="00CE611B"/>
    <w:rsid w:val="00CE6151"/>
    <w:rsid w:val="00CE67D1"/>
    <w:rsid w:val="00CE6917"/>
    <w:rsid w:val="00CE692E"/>
    <w:rsid w:val="00CE6A4A"/>
    <w:rsid w:val="00CE6B84"/>
    <w:rsid w:val="00CE6E60"/>
    <w:rsid w:val="00CE77ED"/>
    <w:rsid w:val="00CE78C7"/>
    <w:rsid w:val="00CE798C"/>
    <w:rsid w:val="00CE7AF3"/>
    <w:rsid w:val="00CE7C0A"/>
    <w:rsid w:val="00CF048E"/>
    <w:rsid w:val="00CF0518"/>
    <w:rsid w:val="00CF0963"/>
    <w:rsid w:val="00CF0C31"/>
    <w:rsid w:val="00CF0C56"/>
    <w:rsid w:val="00CF128E"/>
    <w:rsid w:val="00CF1338"/>
    <w:rsid w:val="00CF1A95"/>
    <w:rsid w:val="00CF1AE6"/>
    <w:rsid w:val="00CF2383"/>
    <w:rsid w:val="00CF2848"/>
    <w:rsid w:val="00CF2EFB"/>
    <w:rsid w:val="00CF30CD"/>
    <w:rsid w:val="00CF3C9A"/>
    <w:rsid w:val="00CF3D55"/>
    <w:rsid w:val="00CF4001"/>
    <w:rsid w:val="00CF43CE"/>
    <w:rsid w:val="00CF4907"/>
    <w:rsid w:val="00CF4987"/>
    <w:rsid w:val="00CF4E38"/>
    <w:rsid w:val="00CF4F20"/>
    <w:rsid w:val="00CF4FCE"/>
    <w:rsid w:val="00CF503E"/>
    <w:rsid w:val="00CF57DF"/>
    <w:rsid w:val="00CF5B99"/>
    <w:rsid w:val="00CF5CBB"/>
    <w:rsid w:val="00CF5E9F"/>
    <w:rsid w:val="00CF680E"/>
    <w:rsid w:val="00CF6A45"/>
    <w:rsid w:val="00CF6D6C"/>
    <w:rsid w:val="00CF70D8"/>
    <w:rsid w:val="00CF724C"/>
    <w:rsid w:val="00CF7369"/>
    <w:rsid w:val="00CF7434"/>
    <w:rsid w:val="00CF74F4"/>
    <w:rsid w:val="00CF7899"/>
    <w:rsid w:val="00CF7B7A"/>
    <w:rsid w:val="00CF7B99"/>
    <w:rsid w:val="00CF7CB1"/>
    <w:rsid w:val="00D00083"/>
    <w:rsid w:val="00D00276"/>
    <w:rsid w:val="00D0088E"/>
    <w:rsid w:val="00D00AF7"/>
    <w:rsid w:val="00D0103A"/>
    <w:rsid w:val="00D010B9"/>
    <w:rsid w:val="00D01114"/>
    <w:rsid w:val="00D01398"/>
    <w:rsid w:val="00D01729"/>
    <w:rsid w:val="00D01B88"/>
    <w:rsid w:val="00D01C48"/>
    <w:rsid w:val="00D01DCE"/>
    <w:rsid w:val="00D02CC9"/>
    <w:rsid w:val="00D02E51"/>
    <w:rsid w:val="00D03131"/>
    <w:rsid w:val="00D03188"/>
    <w:rsid w:val="00D0370D"/>
    <w:rsid w:val="00D03711"/>
    <w:rsid w:val="00D037E0"/>
    <w:rsid w:val="00D03E57"/>
    <w:rsid w:val="00D04520"/>
    <w:rsid w:val="00D04DC3"/>
    <w:rsid w:val="00D050A2"/>
    <w:rsid w:val="00D051A3"/>
    <w:rsid w:val="00D0547D"/>
    <w:rsid w:val="00D05C28"/>
    <w:rsid w:val="00D061FD"/>
    <w:rsid w:val="00D064FF"/>
    <w:rsid w:val="00D06863"/>
    <w:rsid w:val="00D06B4A"/>
    <w:rsid w:val="00D06C33"/>
    <w:rsid w:val="00D07011"/>
    <w:rsid w:val="00D071A9"/>
    <w:rsid w:val="00D07722"/>
    <w:rsid w:val="00D07923"/>
    <w:rsid w:val="00D07BE4"/>
    <w:rsid w:val="00D07CF0"/>
    <w:rsid w:val="00D07E12"/>
    <w:rsid w:val="00D104C3"/>
    <w:rsid w:val="00D1084E"/>
    <w:rsid w:val="00D108B8"/>
    <w:rsid w:val="00D10934"/>
    <w:rsid w:val="00D10986"/>
    <w:rsid w:val="00D10AEC"/>
    <w:rsid w:val="00D10C0E"/>
    <w:rsid w:val="00D10CEC"/>
    <w:rsid w:val="00D10D64"/>
    <w:rsid w:val="00D10DF4"/>
    <w:rsid w:val="00D10FE8"/>
    <w:rsid w:val="00D110A2"/>
    <w:rsid w:val="00D110B8"/>
    <w:rsid w:val="00D116BA"/>
    <w:rsid w:val="00D1172F"/>
    <w:rsid w:val="00D11C98"/>
    <w:rsid w:val="00D11D9A"/>
    <w:rsid w:val="00D129FF"/>
    <w:rsid w:val="00D12BA0"/>
    <w:rsid w:val="00D12D59"/>
    <w:rsid w:val="00D1301A"/>
    <w:rsid w:val="00D130C2"/>
    <w:rsid w:val="00D133B7"/>
    <w:rsid w:val="00D137D9"/>
    <w:rsid w:val="00D138E0"/>
    <w:rsid w:val="00D13E0D"/>
    <w:rsid w:val="00D143AB"/>
    <w:rsid w:val="00D1459E"/>
    <w:rsid w:val="00D147B7"/>
    <w:rsid w:val="00D1493D"/>
    <w:rsid w:val="00D14FA3"/>
    <w:rsid w:val="00D1526B"/>
    <w:rsid w:val="00D1530E"/>
    <w:rsid w:val="00D159AB"/>
    <w:rsid w:val="00D15A53"/>
    <w:rsid w:val="00D16236"/>
    <w:rsid w:val="00D168A4"/>
    <w:rsid w:val="00D1732B"/>
    <w:rsid w:val="00D175F5"/>
    <w:rsid w:val="00D17607"/>
    <w:rsid w:val="00D17799"/>
    <w:rsid w:val="00D17939"/>
    <w:rsid w:val="00D17B80"/>
    <w:rsid w:val="00D17E13"/>
    <w:rsid w:val="00D17E52"/>
    <w:rsid w:val="00D20100"/>
    <w:rsid w:val="00D2083D"/>
    <w:rsid w:val="00D20C60"/>
    <w:rsid w:val="00D20CC1"/>
    <w:rsid w:val="00D2101E"/>
    <w:rsid w:val="00D21409"/>
    <w:rsid w:val="00D21B8B"/>
    <w:rsid w:val="00D21EAC"/>
    <w:rsid w:val="00D2207A"/>
    <w:rsid w:val="00D22290"/>
    <w:rsid w:val="00D223D8"/>
    <w:rsid w:val="00D2244A"/>
    <w:rsid w:val="00D22717"/>
    <w:rsid w:val="00D22728"/>
    <w:rsid w:val="00D22E85"/>
    <w:rsid w:val="00D23009"/>
    <w:rsid w:val="00D232EC"/>
    <w:rsid w:val="00D234AF"/>
    <w:rsid w:val="00D234E6"/>
    <w:rsid w:val="00D23661"/>
    <w:rsid w:val="00D2368A"/>
    <w:rsid w:val="00D23840"/>
    <w:rsid w:val="00D238E3"/>
    <w:rsid w:val="00D23A52"/>
    <w:rsid w:val="00D24233"/>
    <w:rsid w:val="00D242EA"/>
    <w:rsid w:val="00D24A50"/>
    <w:rsid w:val="00D24B7B"/>
    <w:rsid w:val="00D24CE0"/>
    <w:rsid w:val="00D24DA2"/>
    <w:rsid w:val="00D24E32"/>
    <w:rsid w:val="00D25146"/>
    <w:rsid w:val="00D25591"/>
    <w:rsid w:val="00D256F9"/>
    <w:rsid w:val="00D25894"/>
    <w:rsid w:val="00D2591B"/>
    <w:rsid w:val="00D25973"/>
    <w:rsid w:val="00D25E40"/>
    <w:rsid w:val="00D26663"/>
    <w:rsid w:val="00D27012"/>
    <w:rsid w:val="00D270A7"/>
    <w:rsid w:val="00D2710B"/>
    <w:rsid w:val="00D27125"/>
    <w:rsid w:val="00D27334"/>
    <w:rsid w:val="00D2734A"/>
    <w:rsid w:val="00D27A72"/>
    <w:rsid w:val="00D27AF8"/>
    <w:rsid w:val="00D27C2F"/>
    <w:rsid w:val="00D308AE"/>
    <w:rsid w:val="00D30FD9"/>
    <w:rsid w:val="00D3118A"/>
    <w:rsid w:val="00D31514"/>
    <w:rsid w:val="00D3175F"/>
    <w:rsid w:val="00D31A88"/>
    <w:rsid w:val="00D31D7E"/>
    <w:rsid w:val="00D323C3"/>
    <w:rsid w:val="00D32460"/>
    <w:rsid w:val="00D32D0B"/>
    <w:rsid w:val="00D331FE"/>
    <w:rsid w:val="00D33217"/>
    <w:rsid w:val="00D33319"/>
    <w:rsid w:val="00D33791"/>
    <w:rsid w:val="00D33AF4"/>
    <w:rsid w:val="00D33E1E"/>
    <w:rsid w:val="00D3436D"/>
    <w:rsid w:val="00D343B7"/>
    <w:rsid w:val="00D345FF"/>
    <w:rsid w:val="00D347A2"/>
    <w:rsid w:val="00D3497E"/>
    <w:rsid w:val="00D34B91"/>
    <w:rsid w:val="00D34BA4"/>
    <w:rsid w:val="00D34CD0"/>
    <w:rsid w:val="00D34D61"/>
    <w:rsid w:val="00D34E31"/>
    <w:rsid w:val="00D3509A"/>
    <w:rsid w:val="00D35395"/>
    <w:rsid w:val="00D3548D"/>
    <w:rsid w:val="00D355C0"/>
    <w:rsid w:val="00D3577C"/>
    <w:rsid w:val="00D35C4C"/>
    <w:rsid w:val="00D35FC5"/>
    <w:rsid w:val="00D36059"/>
    <w:rsid w:val="00D3611E"/>
    <w:rsid w:val="00D3627B"/>
    <w:rsid w:val="00D36447"/>
    <w:rsid w:val="00D36C3C"/>
    <w:rsid w:val="00D36C42"/>
    <w:rsid w:val="00D36E7C"/>
    <w:rsid w:val="00D36ED5"/>
    <w:rsid w:val="00D36FE1"/>
    <w:rsid w:val="00D371E3"/>
    <w:rsid w:val="00D37353"/>
    <w:rsid w:val="00D37C62"/>
    <w:rsid w:val="00D401F6"/>
    <w:rsid w:val="00D40403"/>
    <w:rsid w:val="00D405AA"/>
    <w:rsid w:val="00D40A6C"/>
    <w:rsid w:val="00D40EBB"/>
    <w:rsid w:val="00D40FF2"/>
    <w:rsid w:val="00D41281"/>
    <w:rsid w:val="00D4143E"/>
    <w:rsid w:val="00D41626"/>
    <w:rsid w:val="00D41735"/>
    <w:rsid w:val="00D41868"/>
    <w:rsid w:val="00D41A7C"/>
    <w:rsid w:val="00D41B50"/>
    <w:rsid w:val="00D41C71"/>
    <w:rsid w:val="00D41F38"/>
    <w:rsid w:val="00D42463"/>
    <w:rsid w:val="00D4264B"/>
    <w:rsid w:val="00D426BC"/>
    <w:rsid w:val="00D42714"/>
    <w:rsid w:val="00D429BA"/>
    <w:rsid w:val="00D42A63"/>
    <w:rsid w:val="00D43285"/>
    <w:rsid w:val="00D4367E"/>
    <w:rsid w:val="00D43BE7"/>
    <w:rsid w:val="00D43C62"/>
    <w:rsid w:val="00D43D6E"/>
    <w:rsid w:val="00D43DE1"/>
    <w:rsid w:val="00D44402"/>
    <w:rsid w:val="00D44BF5"/>
    <w:rsid w:val="00D45117"/>
    <w:rsid w:val="00D45245"/>
    <w:rsid w:val="00D45E9F"/>
    <w:rsid w:val="00D46029"/>
    <w:rsid w:val="00D46206"/>
    <w:rsid w:val="00D462CA"/>
    <w:rsid w:val="00D4640A"/>
    <w:rsid w:val="00D465A9"/>
    <w:rsid w:val="00D46665"/>
    <w:rsid w:val="00D469DA"/>
    <w:rsid w:val="00D46E44"/>
    <w:rsid w:val="00D471B7"/>
    <w:rsid w:val="00D47201"/>
    <w:rsid w:val="00D47280"/>
    <w:rsid w:val="00D472E7"/>
    <w:rsid w:val="00D47619"/>
    <w:rsid w:val="00D47803"/>
    <w:rsid w:val="00D47C1F"/>
    <w:rsid w:val="00D500B8"/>
    <w:rsid w:val="00D50BA0"/>
    <w:rsid w:val="00D50C62"/>
    <w:rsid w:val="00D50CCC"/>
    <w:rsid w:val="00D50CDC"/>
    <w:rsid w:val="00D51089"/>
    <w:rsid w:val="00D51385"/>
    <w:rsid w:val="00D513D6"/>
    <w:rsid w:val="00D513F6"/>
    <w:rsid w:val="00D51D0C"/>
    <w:rsid w:val="00D51DD1"/>
    <w:rsid w:val="00D5209A"/>
    <w:rsid w:val="00D5241F"/>
    <w:rsid w:val="00D52988"/>
    <w:rsid w:val="00D52E7B"/>
    <w:rsid w:val="00D52E82"/>
    <w:rsid w:val="00D52FDA"/>
    <w:rsid w:val="00D5301F"/>
    <w:rsid w:val="00D539D7"/>
    <w:rsid w:val="00D54150"/>
    <w:rsid w:val="00D54213"/>
    <w:rsid w:val="00D5445D"/>
    <w:rsid w:val="00D545F7"/>
    <w:rsid w:val="00D54741"/>
    <w:rsid w:val="00D54B55"/>
    <w:rsid w:val="00D54E1E"/>
    <w:rsid w:val="00D552B6"/>
    <w:rsid w:val="00D55416"/>
    <w:rsid w:val="00D555B6"/>
    <w:rsid w:val="00D556F8"/>
    <w:rsid w:val="00D5571D"/>
    <w:rsid w:val="00D5581A"/>
    <w:rsid w:val="00D55DCC"/>
    <w:rsid w:val="00D55E6C"/>
    <w:rsid w:val="00D55EBB"/>
    <w:rsid w:val="00D56102"/>
    <w:rsid w:val="00D561FC"/>
    <w:rsid w:val="00D5637B"/>
    <w:rsid w:val="00D56554"/>
    <w:rsid w:val="00D566FC"/>
    <w:rsid w:val="00D56746"/>
    <w:rsid w:val="00D56C08"/>
    <w:rsid w:val="00D56CEB"/>
    <w:rsid w:val="00D56D37"/>
    <w:rsid w:val="00D57B49"/>
    <w:rsid w:val="00D57E84"/>
    <w:rsid w:val="00D57F43"/>
    <w:rsid w:val="00D6001D"/>
    <w:rsid w:val="00D6051B"/>
    <w:rsid w:val="00D60709"/>
    <w:rsid w:val="00D60886"/>
    <w:rsid w:val="00D60A75"/>
    <w:rsid w:val="00D614C3"/>
    <w:rsid w:val="00D6152C"/>
    <w:rsid w:val="00D6153D"/>
    <w:rsid w:val="00D61E6F"/>
    <w:rsid w:val="00D621AA"/>
    <w:rsid w:val="00D624E8"/>
    <w:rsid w:val="00D62606"/>
    <w:rsid w:val="00D62C67"/>
    <w:rsid w:val="00D62DC0"/>
    <w:rsid w:val="00D6307A"/>
    <w:rsid w:val="00D631C8"/>
    <w:rsid w:val="00D633B8"/>
    <w:rsid w:val="00D63965"/>
    <w:rsid w:val="00D63A2D"/>
    <w:rsid w:val="00D63B18"/>
    <w:rsid w:val="00D64053"/>
    <w:rsid w:val="00D64381"/>
    <w:rsid w:val="00D64411"/>
    <w:rsid w:val="00D648BA"/>
    <w:rsid w:val="00D648EE"/>
    <w:rsid w:val="00D6498F"/>
    <w:rsid w:val="00D64E03"/>
    <w:rsid w:val="00D64F91"/>
    <w:rsid w:val="00D653EE"/>
    <w:rsid w:val="00D65421"/>
    <w:rsid w:val="00D6553B"/>
    <w:rsid w:val="00D657A6"/>
    <w:rsid w:val="00D65BFE"/>
    <w:rsid w:val="00D661CB"/>
    <w:rsid w:val="00D6658C"/>
    <w:rsid w:val="00D66673"/>
    <w:rsid w:val="00D66BC0"/>
    <w:rsid w:val="00D6717C"/>
    <w:rsid w:val="00D673FD"/>
    <w:rsid w:val="00D6778B"/>
    <w:rsid w:val="00D67985"/>
    <w:rsid w:val="00D67D93"/>
    <w:rsid w:val="00D67E09"/>
    <w:rsid w:val="00D67E96"/>
    <w:rsid w:val="00D67EBA"/>
    <w:rsid w:val="00D7043A"/>
    <w:rsid w:val="00D70C2E"/>
    <w:rsid w:val="00D7135D"/>
    <w:rsid w:val="00D71371"/>
    <w:rsid w:val="00D71532"/>
    <w:rsid w:val="00D7198C"/>
    <w:rsid w:val="00D71B65"/>
    <w:rsid w:val="00D71C4D"/>
    <w:rsid w:val="00D71E03"/>
    <w:rsid w:val="00D71F55"/>
    <w:rsid w:val="00D724C5"/>
    <w:rsid w:val="00D727C3"/>
    <w:rsid w:val="00D72872"/>
    <w:rsid w:val="00D72926"/>
    <w:rsid w:val="00D729F5"/>
    <w:rsid w:val="00D72D65"/>
    <w:rsid w:val="00D7388A"/>
    <w:rsid w:val="00D739DB"/>
    <w:rsid w:val="00D73B4E"/>
    <w:rsid w:val="00D74250"/>
    <w:rsid w:val="00D744BE"/>
    <w:rsid w:val="00D74BF9"/>
    <w:rsid w:val="00D74C18"/>
    <w:rsid w:val="00D7503A"/>
    <w:rsid w:val="00D75476"/>
    <w:rsid w:val="00D756A8"/>
    <w:rsid w:val="00D75C62"/>
    <w:rsid w:val="00D75CEB"/>
    <w:rsid w:val="00D76269"/>
    <w:rsid w:val="00D76350"/>
    <w:rsid w:val="00D76869"/>
    <w:rsid w:val="00D76C11"/>
    <w:rsid w:val="00D76EEE"/>
    <w:rsid w:val="00D76FEC"/>
    <w:rsid w:val="00D774C3"/>
    <w:rsid w:val="00D7771D"/>
    <w:rsid w:val="00D7774F"/>
    <w:rsid w:val="00D77769"/>
    <w:rsid w:val="00D777EE"/>
    <w:rsid w:val="00D77867"/>
    <w:rsid w:val="00D77951"/>
    <w:rsid w:val="00D77EDF"/>
    <w:rsid w:val="00D806E4"/>
    <w:rsid w:val="00D80B0C"/>
    <w:rsid w:val="00D80C3A"/>
    <w:rsid w:val="00D80CB0"/>
    <w:rsid w:val="00D80E70"/>
    <w:rsid w:val="00D80E8F"/>
    <w:rsid w:val="00D8116B"/>
    <w:rsid w:val="00D817EA"/>
    <w:rsid w:val="00D81859"/>
    <w:rsid w:val="00D81BC7"/>
    <w:rsid w:val="00D8233D"/>
    <w:rsid w:val="00D828B2"/>
    <w:rsid w:val="00D82A52"/>
    <w:rsid w:val="00D82D0F"/>
    <w:rsid w:val="00D83D3E"/>
    <w:rsid w:val="00D84106"/>
    <w:rsid w:val="00D8459B"/>
    <w:rsid w:val="00D84830"/>
    <w:rsid w:val="00D84AA1"/>
    <w:rsid w:val="00D84E80"/>
    <w:rsid w:val="00D84EEB"/>
    <w:rsid w:val="00D855BB"/>
    <w:rsid w:val="00D8561C"/>
    <w:rsid w:val="00D859AC"/>
    <w:rsid w:val="00D85AB5"/>
    <w:rsid w:val="00D85F43"/>
    <w:rsid w:val="00D85FC8"/>
    <w:rsid w:val="00D86365"/>
    <w:rsid w:val="00D8645A"/>
    <w:rsid w:val="00D864E3"/>
    <w:rsid w:val="00D86549"/>
    <w:rsid w:val="00D87696"/>
    <w:rsid w:val="00D876AA"/>
    <w:rsid w:val="00D87711"/>
    <w:rsid w:val="00D87C05"/>
    <w:rsid w:val="00D87C88"/>
    <w:rsid w:val="00D87D0F"/>
    <w:rsid w:val="00D87F09"/>
    <w:rsid w:val="00D902C0"/>
    <w:rsid w:val="00D9040C"/>
    <w:rsid w:val="00D9079F"/>
    <w:rsid w:val="00D909F7"/>
    <w:rsid w:val="00D90CDC"/>
    <w:rsid w:val="00D90F59"/>
    <w:rsid w:val="00D915E2"/>
    <w:rsid w:val="00D9166C"/>
    <w:rsid w:val="00D91A0B"/>
    <w:rsid w:val="00D91C7D"/>
    <w:rsid w:val="00D91EBD"/>
    <w:rsid w:val="00D91F97"/>
    <w:rsid w:val="00D92196"/>
    <w:rsid w:val="00D92690"/>
    <w:rsid w:val="00D9275E"/>
    <w:rsid w:val="00D92A04"/>
    <w:rsid w:val="00D92F56"/>
    <w:rsid w:val="00D939E7"/>
    <w:rsid w:val="00D93A3E"/>
    <w:rsid w:val="00D93EB5"/>
    <w:rsid w:val="00D94483"/>
    <w:rsid w:val="00D94B9C"/>
    <w:rsid w:val="00D94E65"/>
    <w:rsid w:val="00D95720"/>
    <w:rsid w:val="00D9597D"/>
    <w:rsid w:val="00D9650A"/>
    <w:rsid w:val="00D96EEE"/>
    <w:rsid w:val="00D96F10"/>
    <w:rsid w:val="00D96F2A"/>
    <w:rsid w:val="00D970B1"/>
    <w:rsid w:val="00D971CB"/>
    <w:rsid w:val="00D9728A"/>
    <w:rsid w:val="00D972EC"/>
    <w:rsid w:val="00D9732B"/>
    <w:rsid w:val="00D97C39"/>
    <w:rsid w:val="00D97D79"/>
    <w:rsid w:val="00D97E0A"/>
    <w:rsid w:val="00DA00C6"/>
    <w:rsid w:val="00DA00F2"/>
    <w:rsid w:val="00DA01C2"/>
    <w:rsid w:val="00DA01CD"/>
    <w:rsid w:val="00DA05CE"/>
    <w:rsid w:val="00DA0D3F"/>
    <w:rsid w:val="00DA12E6"/>
    <w:rsid w:val="00DA177E"/>
    <w:rsid w:val="00DA1C20"/>
    <w:rsid w:val="00DA1E55"/>
    <w:rsid w:val="00DA1F9F"/>
    <w:rsid w:val="00DA2140"/>
    <w:rsid w:val="00DA2307"/>
    <w:rsid w:val="00DA27B6"/>
    <w:rsid w:val="00DA29D6"/>
    <w:rsid w:val="00DA2C01"/>
    <w:rsid w:val="00DA2E5A"/>
    <w:rsid w:val="00DA30B0"/>
    <w:rsid w:val="00DA342F"/>
    <w:rsid w:val="00DA367E"/>
    <w:rsid w:val="00DA37AA"/>
    <w:rsid w:val="00DA38BB"/>
    <w:rsid w:val="00DA3980"/>
    <w:rsid w:val="00DA398C"/>
    <w:rsid w:val="00DA39E2"/>
    <w:rsid w:val="00DA3A00"/>
    <w:rsid w:val="00DA3CEB"/>
    <w:rsid w:val="00DA3E12"/>
    <w:rsid w:val="00DA3F10"/>
    <w:rsid w:val="00DA3FC2"/>
    <w:rsid w:val="00DA3FC4"/>
    <w:rsid w:val="00DA461D"/>
    <w:rsid w:val="00DA46B1"/>
    <w:rsid w:val="00DA4E48"/>
    <w:rsid w:val="00DA4F27"/>
    <w:rsid w:val="00DA505A"/>
    <w:rsid w:val="00DA534F"/>
    <w:rsid w:val="00DA5430"/>
    <w:rsid w:val="00DA54E3"/>
    <w:rsid w:val="00DA5734"/>
    <w:rsid w:val="00DA58CC"/>
    <w:rsid w:val="00DA58F8"/>
    <w:rsid w:val="00DA5FF5"/>
    <w:rsid w:val="00DA60CB"/>
    <w:rsid w:val="00DA6610"/>
    <w:rsid w:val="00DA6645"/>
    <w:rsid w:val="00DA668F"/>
    <w:rsid w:val="00DA71FA"/>
    <w:rsid w:val="00DA759A"/>
    <w:rsid w:val="00DA7626"/>
    <w:rsid w:val="00DA7750"/>
    <w:rsid w:val="00DA781C"/>
    <w:rsid w:val="00DA7B43"/>
    <w:rsid w:val="00DA7C82"/>
    <w:rsid w:val="00DA7E5C"/>
    <w:rsid w:val="00DB10E1"/>
    <w:rsid w:val="00DB1336"/>
    <w:rsid w:val="00DB1466"/>
    <w:rsid w:val="00DB15D5"/>
    <w:rsid w:val="00DB19B7"/>
    <w:rsid w:val="00DB1FF2"/>
    <w:rsid w:val="00DB20A9"/>
    <w:rsid w:val="00DB20E8"/>
    <w:rsid w:val="00DB21B2"/>
    <w:rsid w:val="00DB23E9"/>
    <w:rsid w:val="00DB2449"/>
    <w:rsid w:val="00DB2848"/>
    <w:rsid w:val="00DB284C"/>
    <w:rsid w:val="00DB29C6"/>
    <w:rsid w:val="00DB2A18"/>
    <w:rsid w:val="00DB2C08"/>
    <w:rsid w:val="00DB386A"/>
    <w:rsid w:val="00DB39B4"/>
    <w:rsid w:val="00DB4643"/>
    <w:rsid w:val="00DB4736"/>
    <w:rsid w:val="00DB49E9"/>
    <w:rsid w:val="00DB4A8E"/>
    <w:rsid w:val="00DB50ED"/>
    <w:rsid w:val="00DB51BF"/>
    <w:rsid w:val="00DB5799"/>
    <w:rsid w:val="00DB58C3"/>
    <w:rsid w:val="00DB5A7C"/>
    <w:rsid w:val="00DB5C03"/>
    <w:rsid w:val="00DB5C1A"/>
    <w:rsid w:val="00DB5F15"/>
    <w:rsid w:val="00DB5F5C"/>
    <w:rsid w:val="00DB67F7"/>
    <w:rsid w:val="00DB6BD8"/>
    <w:rsid w:val="00DB6D50"/>
    <w:rsid w:val="00DB6DD6"/>
    <w:rsid w:val="00DB70D4"/>
    <w:rsid w:val="00DB7680"/>
    <w:rsid w:val="00DB78FE"/>
    <w:rsid w:val="00DB7A37"/>
    <w:rsid w:val="00DB7F5D"/>
    <w:rsid w:val="00DC080D"/>
    <w:rsid w:val="00DC0E45"/>
    <w:rsid w:val="00DC1192"/>
    <w:rsid w:val="00DC12FC"/>
    <w:rsid w:val="00DC17BC"/>
    <w:rsid w:val="00DC181D"/>
    <w:rsid w:val="00DC1983"/>
    <w:rsid w:val="00DC19C0"/>
    <w:rsid w:val="00DC1E3C"/>
    <w:rsid w:val="00DC281D"/>
    <w:rsid w:val="00DC2AE7"/>
    <w:rsid w:val="00DC2C2C"/>
    <w:rsid w:val="00DC2CFF"/>
    <w:rsid w:val="00DC2DD3"/>
    <w:rsid w:val="00DC3282"/>
    <w:rsid w:val="00DC380C"/>
    <w:rsid w:val="00DC3BE7"/>
    <w:rsid w:val="00DC3C11"/>
    <w:rsid w:val="00DC3F27"/>
    <w:rsid w:val="00DC3F55"/>
    <w:rsid w:val="00DC4037"/>
    <w:rsid w:val="00DC4313"/>
    <w:rsid w:val="00DC4497"/>
    <w:rsid w:val="00DC45EB"/>
    <w:rsid w:val="00DC4F97"/>
    <w:rsid w:val="00DC52B3"/>
    <w:rsid w:val="00DC5B4D"/>
    <w:rsid w:val="00DC5EF9"/>
    <w:rsid w:val="00DC5F93"/>
    <w:rsid w:val="00DC693D"/>
    <w:rsid w:val="00DC6994"/>
    <w:rsid w:val="00DC69D4"/>
    <w:rsid w:val="00DC6A8E"/>
    <w:rsid w:val="00DC7373"/>
    <w:rsid w:val="00DC777F"/>
    <w:rsid w:val="00DC7973"/>
    <w:rsid w:val="00DC7BC2"/>
    <w:rsid w:val="00DC7CF0"/>
    <w:rsid w:val="00DCEA0E"/>
    <w:rsid w:val="00DD013C"/>
    <w:rsid w:val="00DD014E"/>
    <w:rsid w:val="00DD01E7"/>
    <w:rsid w:val="00DD06B2"/>
    <w:rsid w:val="00DD0D79"/>
    <w:rsid w:val="00DD0E81"/>
    <w:rsid w:val="00DD102E"/>
    <w:rsid w:val="00DD13F7"/>
    <w:rsid w:val="00DD1559"/>
    <w:rsid w:val="00DD15EC"/>
    <w:rsid w:val="00DD1634"/>
    <w:rsid w:val="00DD17BD"/>
    <w:rsid w:val="00DD18D8"/>
    <w:rsid w:val="00DD1912"/>
    <w:rsid w:val="00DD1E77"/>
    <w:rsid w:val="00DD214A"/>
    <w:rsid w:val="00DD28AD"/>
    <w:rsid w:val="00DD298A"/>
    <w:rsid w:val="00DD2A56"/>
    <w:rsid w:val="00DD2BA2"/>
    <w:rsid w:val="00DD3116"/>
    <w:rsid w:val="00DD32D4"/>
    <w:rsid w:val="00DD3A41"/>
    <w:rsid w:val="00DD3A70"/>
    <w:rsid w:val="00DD3C09"/>
    <w:rsid w:val="00DD4264"/>
    <w:rsid w:val="00DD43D5"/>
    <w:rsid w:val="00DD4918"/>
    <w:rsid w:val="00DD4D37"/>
    <w:rsid w:val="00DD4EB3"/>
    <w:rsid w:val="00DD524D"/>
    <w:rsid w:val="00DD530B"/>
    <w:rsid w:val="00DD53F3"/>
    <w:rsid w:val="00DD55BE"/>
    <w:rsid w:val="00DD5621"/>
    <w:rsid w:val="00DD5783"/>
    <w:rsid w:val="00DD58A6"/>
    <w:rsid w:val="00DD5901"/>
    <w:rsid w:val="00DD5DFA"/>
    <w:rsid w:val="00DD61C4"/>
    <w:rsid w:val="00DD629E"/>
    <w:rsid w:val="00DD6820"/>
    <w:rsid w:val="00DD6C1B"/>
    <w:rsid w:val="00DD6E19"/>
    <w:rsid w:val="00DD6F8C"/>
    <w:rsid w:val="00DD735A"/>
    <w:rsid w:val="00DD7444"/>
    <w:rsid w:val="00DD757F"/>
    <w:rsid w:val="00DD76FA"/>
    <w:rsid w:val="00DD79E9"/>
    <w:rsid w:val="00DD7B88"/>
    <w:rsid w:val="00DE068A"/>
    <w:rsid w:val="00DE07C7"/>
    <w:rsid w:val="00DE09DD"/>
    <w:rsid w:val="00DE0D89"/>
    <w:rsid w:val="00DE0F57"/>
    <w:rsid w:val="00DE10B4"/>
    <w:rsid w:val="00DE15F1"/>
    <w:rsid w:val="00DE166E"/>
    <w:rsid w:val="00DE1A68"/>
    <w:rsid w:val="00DE1AB2"/>
    <w:rsid w:val="00DE1E26"/>
    <w:rsid w:val="00DE2016"/>
    <w:rsid w:val="00DE2365"/>
    <w:rsid w:val="00DE2395"/>
    <w:rsid w:val="00DE2521"/>
    <w:rsid w:val="00DE2B0A"/>
    <w:rsid w:val="00DE2F39"/>
    <w:rsid w:val="00DE2F47"/>
    <w:rsid w:val="00DE2FA1"/>
    <w:rsid w:val="00DE35CE"/>
    <w:rsid w:val="00DE3826"/>
    <w:rsid w:val="00DE3E74"/>
    <w:rsid w:val="00DE46DD"/>
    <w:rsid w:val="00DE48CB"/>
    <w:rsid w:val="00DE49CB"/>
    <w:rsid w:val="00DE4A92"/>
    <w:rsid w:val="00DE4C3A"/>
    <w:rsid w:val="00DE4ED3"/>
    <w:rsid w:val="00DE4FC8"/>
    <w:rsid w:val="00DE52B8"/>
    <w:rsid w:val="00DE5341"/>
    <w:rsid w:val="00DE54A0"/>
    <w:rsid w:val="00DE56E7"/>
    <w:rsid w:val="00DE5A5E"/>
    <w:rsid w:val="00DE5AAF"/>
    <w:rsid w:val="00DE5BDA"/>
    <w:rsid w:val="00DE5FBD"/>
    <w:rsid w:val="00DE67A6"/>
    <w:rsid w:val="00DE67C8"/>
    <w:rsid w:val="00DE6881"/>
    <w:rsid w:val="00DE693A"/>
    <w:rsid w:val="00DE6A07"/>
    <w:rsid w:val="00DE6BD1"/>
    <w:rsid w:val="00DE6E02"/>
    <w:rsid w:val="00DE70AF"/>
    <w:rsid w:val="00DE7976"/>
    <w:rsid w:val="00DE7D4F"/>
    <w:rsid w:val="00DE7E0C"/>
    <w:rsid w:val="00DF0537"/>
    <w:rsid w:val="00DF0BC9"/>
    <w:rsid w:val="00DF1CB3"/>
    <w:rsid w:val="00DF1EA1"/>
    <w:rsid w:val="00DF218E"/>
    <w:rsid w:val="00DF251B"/>
    <w:rsid w:val="00DF258C"/>
    <w:rsid w:val="00DF2723"/>
    <w:rsid w:val="00DF274F"/>
    <w:rsid w:val="00DF27E0"/>
    <w:rsid w:val="00DF280E"/>
    <w:rsid w:val="00DF2C03"/>
    <w:rsid w:val="00DF311B"/>
    <w:rsid w:val="00DF34D2"/>
    <w:rsid w:val="00DF3575"/>
    <w:rsid w:val="00DF35DA"/>
    <w:rsid w:val="00DF361B"/>
    <w:rsid w:val="00DF3983"/>
    <w:rsid w:val="00DF3F30"/>
    <w:rsid w:val="00DF408B"/>
    <w:rsid w:val="00DF45C6"/>
    <w:rsid w:val="00DF47F0"/>
    <w:rsid w:val="00DF4830"/>
    <w:rsid w:val="00DF4C00"/>
    <w:rsid w:val="00DF4CC5"/>
    <w:rsid w:val="00DF537A"/>
    <w:rsid w:val="00DF5739"/>
    <w:rsid w:val="00DF5764"/>
    <w:rsid w:val="00DF5846"/>
    <w:rsid w:val="00DF5CE6"/>
    <w:rsid w:val="00DF60A2"/>
    <w:rsid w:val="00DF63B5"/>
    <w:rsid w:val="00DF6650"/>
    <w:rsid w:val="00DF672E"/>
    <w:rsid w:val="00DF6B08"/>
    <w:rsid w:val="00DF762C"/>
    <w:rsid w:val="00DF78DF"/>
    <w:rsid w:val="00DF7B25"/>
    <w:rsid w:val="00DF7D0C"/>
    <w:rsid w:val="00DF7D46"/>
    <w:rsid w:val="00DF7FF9"/>
    <w:rsid w:val="00E004B9"/>
    <w:rsid w:val="00E00599"/>
    <w:rsid w:val="00E006DD"/>
    <w:rsid w:val="00E00B80"/>
    <w:rsid w:val="00E0118F"/>
    <w:rsid w:val="00E0131A"/>
    <w:rsid w:val="00E015F9"/>
    <w:rsid w:val="00E016A8"/>
    <w:rsid w:val="00E01A31"/>
    <w:rsid w:val="00E0235E"/>
    <w:rsid w:val="00E0260E"/>
    <w:rsid w:val="00E026B4"/>
    <w:rsid w:val="00E026BF"/>
    <w:rsid w:val="00E02BD8"/>
    <w:rsid w:val="00E02D53"/>
    <w:rsid w:val="00E02DDF"/>
    <w:rsid w:val="00E03258"/>
    <w:rsid w:val="00E03504"/>
    <w:rsid w:val="00E0362B"/>
    <w:rsid w:val="00E03681"/>
    <w:rsid w:val="00E03780"/>
    <w:rsid w:val="00E04741"/>
    <w:rsid w:val="00E0494A"/>
    <w:rsid w:val="00E04AAD"/>
    <w:rsid w:val="00E04FEF"/>
    <w:rsid w:val="00E05104"/>
    <w:rsid w:val="00E05565"/>
    <w:rsid w:val="00E056A3"/>
    <w:rsid w:val="00E056CE"/>
    <w:rsid w:val="00E05CB1"/>
    <w:rsid w:val="00E05F24"/>
    <w:rsid w:val="00E05FA6"/>
    <w:rsid w:val="00E06245"/>
    <w:rsid w:val="00E06B3F"/>
    <w:rsid w:val="00E06BB6"/>
    <w:rsid w:val="00E07634"/>
    <w:rsid w:val="00E0781B"/>
    <w:rsid w:val="00E07899"/>
    <w:rsid w:val="00E0798D"/>
    <w:rsid w:val="00E079D1"/>
    <w:rsid w:val="00E1045F"/>
    <w:rsid w:val="00E109FF"/>
    <w:rsid w:val="00E10A24"/>
    <w:rsid w:val="00E10B5D"/>
    <w:rsid w:val="00E10BCE"/>
    <w:rsid w:val="00E10C6E"/>
    <w:rsid w:val="00E10C77"/>
    <w:rsid w:val="00E11044"/>
    <w:rsid w:val="00E1116A"/>
    <w:rsid w:val="00E11730"/>
    <w:rsid w:val="00E11C1E"/>
    <w:rsid w:val="00E11CD3"/>
    <w:rsid w:val="00E11FDA"/>
    <w:rsid w:val="00E1204F"/>
    <w:rsid w:val="00E121AA"/>
    <w:rsid w:val="00E1231E"/>
    <w:rsid w:val="00E127BF"/>
    <w:rsid w:val="00E1292F"/>
    <w:rsid w:val="00E129C8"/>
    <w:rsid w:val="00E12D17"/>
    <w:rsid w:val="00E12F45"/>
    <w:rsid w:val="00E1306E"/>
    <w:rsid w:val="00E131A1"/>
    <w:rsid w:val="00E135B6"/>
    <w:rsid w:val="00E136A0"/>
    <w:rsid w:val="00E13B9D"/>
    <w:rsid w:val="00E13C8F"/>
    <w:rsid w:val="00E14126"/>
    <w:rsid w:val="00E142A2"/>
    <w:rsid w:val="00E143DF"/>
    <w:rsid w:val="00E147FD"/>
    <w:rsid w:val="00E152C5"/>
    <w:rsid w:val="00E157BF"/>
    <w:rsid w:val="00E158F6"/>
    <w:rsid w:val="00E15B28"/>
    <w:rsid w:val="00E16D3A"/>
    <w:rsid w:val="00E170E0"/>
    <w:rsid w:val="00E172B1"/>
    <w:rsid w:val="00E174D4"/>
    <w:rsid w:val="00E174DB"/>
    <w:rsid w:val="00E17806"/>
    <w:rsid w:val="00E17911"/>
    <w:rsid w:val="00E179C5"/>
    <w:rsid w:val="00E17CBB"/>
    <w:rsid w:val="00E17D31"/>
    <w:rsid w:val="00E20733"/>
    <w:rsid w:val="00E20C0B"/>
    <w:rsid w:val="00E21157"/>
    <w:rsid w:val="00E212FB"/>
    <w:rsid w:val="00E21698"/>
    <w:rsid w:val="00E21B9E"/>
    <w:rsid w:val="00E21CD1"/>
    <w:rsid w:val="00E21ED7"/>
    <w:rsid w:val="00E22384"/>
    <w:rsid w:val="00E228E3"/>
    <w:rsid w:val="00E22C37"/>
    <w:rsid w:val="00E22DBA"/>
    <w:rsid w:val="00E2340A"/>
    <w:rsid w:val="00E235B6"/>
    <w:rsid w:val="00E236A2"/>
    <w:rsid w:val="00E23A52"/>
    <w:rsid w:val="00E23AC2"/>
    <w:rsid w:val="00E23CCA"/>
    <w:rsid w:val="00E241D9"/>
    <w:rsid w:val="00E245A3"/>
    <w:rsid w:val="00E250BF"/>
    <w:rsid w:val="00E256EA"/>
    <w:rsid w:val="00E25DCB"/>
    <w:rsid w:val="00E25E8A"/>
    <w:rsid w:val="00E26383"/>
    <w:rsid w:val="00E268F2"/>
    <w:rsid w:val="00E26D20"/>
    <w:rsid w:val="00E26DD7"/>
    <w:rsid w:val="00E27272"/>
    <w:rsid w:val="00E279AF"/>
    <w:rsid w:val="00E279E6"/>
    <w:rsid w:val="00E27B68"/>
    <w:rsid w:val="00E27B97"/>
    <w:rsid w:val="00E27DF5"/>
    <w:rsid w:val="00E3042E"/>
    <w:rsid w:val="00E30490"/>
    <w:rsid w:val="00E304F3"/>
    <w:rsid w:val="00E3061C"/>
    <w:rsid w:val="00E30652"/>
    <w:rsid w:val="00E3078F"/>
    <w:rsid w:val="00E30A29"/>
    <w:rsid w:val="00E30B18"/>
    <w:rsid w:val="00E30C4A"/>
    <w:rsid w:val="00E30D57"/>
    <w:rsid w:val="00E30ED6"/>
    <w:rsid w:val="00E311AF"/>
    <w:rsid w:val="00E312F5"/>
    <w:rsid w:val="00E314A5"/>
    <w:rsid w:val="00E31784"/>
    <w:rsid w:val="00E317CB"/>
    <w:rsid w:val="00E320E0"/>
    <w:rsid w:val="00E321E5"/>
    <w:rsid w:val="00E3226A"/>
    <w:rsid w:val="00E3254D"/>
    <w:rsid w:val="00E3259E"/>
    <w:rsid w:val="00E32762"/>
    <w:rsid w:val="00E32ABB"/>
    <w:rsid w:val="00E3305A"/>
    <w:rsid w:val="00E3351B"/>
    <w:rsid w:val="00E33ABC"/>
    <w:rsid w:val="00E33ED4"/>
    <w:rsid w:val="00E3418F"/>
    <w:rsid w:val="00E348C6"/>
    <w:rsid w:val="00E34BC4"/>
    <w:rsid w:val="00E34D0C"/>
    <w:rsid w:val="00E34EFE"/>
    <w:rsid w:val="00E3515C"/>
    <w:rsid w:val="00E3523C"/>
    <w:rsid w:val="00E35682"/>
    <w:rsid w:val="00E35B5C"/>
    <w:rsid w:val="00E35D09"/>
    <w:rsid w:val="00E36020"/>
    <w:rsid w:val="00E361C4"/>
    <w:rsid w:val="00E361DE"/>
    <w:rsid w:val="00E362CD"/>
    <w:rsid w:val="00E36619"/>
    <w:rsid w:val="00E36864"/>
    <w:rsid w:val="00E36866"/>
    <w:rsid w:val="00E36A49"/>
    <w:rsid w:val="00E36C3A"/>
    <w:rsid w:val="00E36C67"/>
    <w:rsid w:val="00E36E43"/>
    <w:rsid w:val="00E37136"/>
    <w:rsid w:val="00E3719C"/>
    <w:rsid w:val="00E37243"/>
    <w:rsid w:val="00E37348"/>
    <w:rsid w:val="00E373D2"/>
    <w:rsid w:val="00E37787"/>
    <w:rsid w:val="00E3780E"/>
    <w:rsid w:val="00E37853"/>
    <w:rsid w:val="00E37C3A"/>
    <w:rsid w:val="00E4059F"/>
    <w:rsid w:val="00E40A07"/>
    <w:rsid w:val="00E40BAF"/>
    <w:rsid w:val="00E40DFE"/>
    <w:rsid w:val="00E40F4D"/>
    <w:rsid w:val="00E41D4E"/>
    <w:rsid w:val="00E4268C"/>
    <w:rsid w:val="00E42977"/>
    <w:rsid w:val="00E42B96"/>
    <w:rsid w:val="00E43147"/>
    <w:rsid w:val="00E43339"/>
    <w:rsid w:val="00E433D5"/>
    <w:rsid w:val="00E434A1"/>
    <w:rsid w:val="00E4368E"/>
    <w:rsid w:val="00E43BF4"/>
    <w:rsid w:val="00E43C08"/>
    <w:rsid w:val="00E43D0B"/>
    <w:rsid w:val="00E43D10"/>
    <w:rsid w:val="00E43FBD"/>
    <w:rsid w:val="00E4431B"/>
    <w:rsid w:val="00E443B8"/>
    <w:rsid w:val="00E44401"/>
    <w:rsid w:val="00E44517"/>
    <w:rsid w:val="00E4458E"/>
    <w:rsid w:val="00E44882"/>
    <w:rsid w:val="00E44DEE"/>
    <w:rsid w:val="00E453FC"/>
    <w:rsid w:val="00E4558E"/>
    <w:rsid w:val="00E45A9F"/>
    <w:rsid w:val="00E46046"/>
    <w:rsid w:val="00E4620F"/>
    <w:rsid w:val="00E46A47"/>
    <w:rsid w:val="00E46BD9"/>
    <w:rsid w:val="00E46C79"/>
    <w:rsid w:val="00E47212"/>
    <w:rsid w:val="00E47228"/>
    <w:rsid w:val="00E47696"/>
    <w:rsid w:val="00E47751"/>
    <w:rsid w:val="00E479D2"/>
    <w:rsid w:val="00E47EAF"/>
    <w:rsid w:val="00E47FD5"/>
    <w:rsid w:val="00E50205"/>
    <w:rsid w:val="00E50564"/>
    <w:rsid w:val="00E5069D"/>
    <w:rsid w:val="00E5084D"/>
    <w:rsid w:val="00E50886"/>
    <w:rsid w:val="00E51117"/>
    <w:rsid w:val="00E512E6"/>
    <w:rsid w:val="00E51D00"/>
    <w:rsid w:val="00E51E35"/>
    <w:rsid w:val="00E5236A"/>
    <w:rsid w:val="00E52431"/>
    <w:rsid w:val="00E52836"/>
    <w:rsid w:val="00E528CB"/>
    <w:rsid w:val="00E52960"/>
    <w:rsid w:val="00E52E5F"/>
    <w:rsid w:val="00E52E7F"/>
    <w:rsid w:val="00E53AEC"/>
    <w:rsid w:val="00E53C23"/>
    <w:rsid w:val="00E53CAD"/>
    <w:rsid w:val="00E53D14"/>
    <w:rsid w:val="00E5444B"/>
    <w:rsid w:val="00E547C1"/>
    <w:rsid w:val="00E548B0"/>
    <w:rsid w:val="00E54AB5"/>
    <w:rsid w:val="00E54F7F"/>
    <w:rsid w:val="00E55020"/>
    <w:rsid w:val="00E55070"/>
    <w:rsid w:val="00E551B8"/>
    <w:rsid w:val="00E55268"/>
    <w:rsid w:val="00E5559F"/>
    <w:rsid w:val="00E5593B"/>
    <w:rsid w:val="00E56114"/>
    <w:rsid w:val="00E5623F"/>
    <w:rsid w:val="00E56455"/>
    <w:rsid w:val="00E56472"/>
    <w:rsid w:val="00E565C6"/>
    <w:rsid w:val="00E56ECD"/>
    <w:rsid w:val="00E56F74"/>
    <w:rsid w:val="00E571FB"/>
    <w:rsid w:val="00E5726B"/>
    <w:rsid w:val="00E5754E"/>
    <w:rsid w:val="00E57D64"/>
    <w:rsid w:val="00E6024E"/>
    <w:rsid w:val="00E602F9"/>
    <w:rsid w:val="00E60775"/>
    <w:rsid w:val="00E608E8"/>
    <w:rsid w:val="00E609EA"/>
    <w:rsid w:val="00E60D35"/>
    <w:rsid w:val="00E610FE"/>
    <w:rsid w:val="00E61319"/>
    <w:rsid w:val="00E61380"/>
    <w:rsid w:val="00E6150F"/>
    <w:rsid w:val="00E6191B"/>
    <w:rsid w:val="00E6193D"/>
    <w:rsid w:val="00E61A60"/>
    <w:rsid w:val="00E61B76"/>
    <w:rsid w:val="00E61D40"/>
    <w:rsid w:val="00E61E67"/>
    <w:rsid w:val="00E62025"/>
    <w:rsid w:val="00E62061"/>
    <w:rsid w:val="00E6239D"/>
    <w:rsid w:val="00E6276C"/>
    <w:rsid w:val="00E62880"/>
    <w:rsid w:val="00E63854"/>
    <w:rsid w:val="00E63D3C"/>
    <w:rsid w:val="00E63EA0"/>
    <w:rsid w:val="00E64061"/>
    <w:rsid w:val="00E643BC"/>
    <w:rsid w:val="00E643CD"/>
    <w:rsid w:val="00E64535"/>
    <w:rsid w:val="00E64B7D"/>
    <w:rsid w:val="00E64D81"/>
    <w:rsid w:val="00E64F62"/>
    <w:rsid w:val="00E65151"/>
    <w:rsid w:val="00E6575E"/>
    <w:rsid w:val="00E65A40"/>
    <w:rsid w:val="00E65E7D"/>
    <w:rsid w:val="00E65EF4"/>
    <w:rsid w:val="00E66116"/>
    <w:rsid w:val="00E66422"/>
    <w:rsid w:val="00E6667B"/>
    <w:rsid w:val="00E66B55"/>
    <w:rsid w:val="00E66F70"/>
    <w:rsid w:val="00E67925"/>
    <w:rsid w:val="00E67CC0"/>
    <w:rsid w:val="00E67E7F"/>
    <w:rsid w:val="00E709DF"/>
    <w:rsid w:val="00E70A91"/>
    <w:rsid w:val="00E70CF2"/>
    <w:rsid w:val="00E70E2B"/>
    <w:rsid w:val="00E70F70"/>
    <w:rsid w:val="00E71214"/>
    <w:rsid w:val="00E7123D"/>
    <w:rsid w:val="00E717D8"/>
    <w:rsid w:val="00E7186F"/>
    <w:rsid w:val="00E71883"/>
    <w:rsid w:val="00E71D3B"/>
    <w:rsid w:val="00E71E50"/>
    <w:rsid w:val="00E71EB1"/>
    <w:rsid w:val="00E7210E"/>
    <w:rsid w:val="00E7215B"/>
    <w:rsid w:val="00E72519"/>
    <w:rsid w:val="00E72CD0"/>
    <w:rsid w:val="00E72DD7"/>
    <w:rsid w:val="00E72E69"/>
    <w:rsid w:val="00E7343A"/>
    <w:rsid w:val="00E734D3"/>
    <w:rsid w:val="00E7372A"/>
    <w:rsid w:val="00E74073"/>
    <w:rsid w:val="00E740BB"/>
    <w:rsid w:val="00E74692"/>
    <w:rsid w:val="00E74C61"/>
    <w:rsid w:val="00E74D16"/>
    <w:rsid w:val="00E74D71"/>
    <w:rsid w:val="00E74DB8"/>
    <w:rsid w:val="00E75237"/>
    <w:rsid w:val="00E755C0"/>
    <w:rsid w:val="00E756B4"/>
    <w:rsid w:val="00E760CF"/>
    <w:rsid w:val="00E7660A"/>
    <w:rsid w:val="00E76749"/>
    <w:rsid w:val="00E76B5D"/>
    <w:rsid w:val="00E76B66"/>
    <w:rsid w:val="00E76BFD"/>
    <w:rsid w:val="00E775FD"/>
    <w:rsid w:val="00E77A7B"/>
    <w:rsid w:val="00E77C8E"/>
    <w:rsid w:val="00E77C94"/>
    <w:rsid w:val="00E77E78"/>
    <w:rsid w:val="00E802A5"/>
    <w:rsid w:val="00E803DE"/>
    <w:rsid w:val="00E80865"/>
    <w:rsid w:val="00E8090C"/>
    <w:rsid w:val="00E80C12"/>
    <w:rsid w:val="00E80D4E"/>
    <w:rsid w:val="00E80DCC"/>
    <w:rsid w:val="00E8119A"/>
    <w:rsid w:val="00E81715"/>
    <w:rsid w:val="00E81752"/>
    <w:rsid w:val="00E817B9"/>
    <w:rsid w:val="00E818A8"/>
    <w:rsid w:val="00E81AD0"/>
    <w:rsid w:val="00E81B7E"/>
    <w:rsid w:val="00E81BF4"/>
    <w:rsid w:val="00E82216"/>
    <w:rsid w:val="00E82DEB"/>
    <w:rsid w:val="00E83991"/>
    <w:rsid w:val="00E83C24"/>
    <w:rsid w:val="00E841E6"/>
    <w:rsid w:val="00E84513"/>
    <w:rsid w:val="00E84556"/>
    <w:rsid w:val="00E85479"/>
    <w:rsid w:val="00E85505"/>
    <w:rsid w:val="00E85556"/>
    <w:rsid w:val="00E856BC"/>
    <w:rsid w:val="00E85C10"/>
    <w:rsid w:val="00E85E71"/>
    <w:rsid w:val="00E862A6"/>
    <w:rsid w:val="00E864ED"/>
    <w:rsid w:val="00E86BA9"/>
    <w:rsid w:val="00E86D02"/>
    <w:rsid w:val="00E86D39"/>
    <w:rsid w:val="00E86ED4"/>
    <w:rsid w:val="00E87172"/>
    <w:rsid w:val="00E87899"/>
    <w:rsid w:val="00E87BF5"/>
    <w:rsid w:val="00E87CB3"/>
    <w:rsid w:val="00E87D97"/>
    <w:rsid w:val="00E90786"/>
    <w:rsid w:val="00E90AC0"/>
    <w:rsid w:val="00E913EA"/>
    <w:rsid w:val="00E914FE"/>
    <w:rsid w:val="00E919BC"/>
    <w:rsid w:val="00E91A38"/>
    <w:rsid w:val="00E91AAF"/>
    <w:rsid w:val="00E92241"/>
    <w:rsid w:val="00E9234F"/>
    <w:rsid w:val="00E923F7"/>
    <w:rsid w:val="00E925EC"/>
    <w:rsid w:val="00E92754"/>
    <w:rsid w:val="00E928F8"/>
    <w:rsid w:val="00E92A20"/>
    <w:rsid w:val="00E92C70"/>
    <w:rsid w:val="00E9300A"/>
    <w:rsid w:val="00E9397D"/>
    <w:rsid w:val="00E93F79"/>
    <w:rsid w:val="00E941E2"/>
    <w:rsid w:val="00E9424A"/>
    <w:rsid w:val="00E946EC"/>
    <w:rsid w:val="00E9523D"/>
    <w:rsid w:val="00E9532A"/>
    <w:rsid w:val="00E953A2"/>
    <w:rsid w:val="00E95B58"/>
    <w:rsid w:val="00E95B5C"/>
    <w:rsid w:val="00E95B9E"/>
    <w:rsid w:val="00E96092"/>
    <w:rsid w:val="00E9631A"/>
    <w:rsid w:val="00E969CF"/>
    <w:rsid w:val="00E9707A"/>
    <w:rsid w:val="00E9711B"/>
    <w:rsid w:val="00E97246"/>
    <w:rsid w:val="00E974B7"/>
    <w:rsid w:val="00E97853"/>
    <w:rsid w:val="00E97F56"/>
    <w:rsid w:val="00E97FCE"/>
    <w:rsid w:val="00EA05EB"/>
    <w:rsid w:val="00EA066D"/>
    <w:rsid w:val="00EA0815"/>
    <w:rsid w:val="00EA08D6"/>
    <w:rsid w:val="00EA0F8B"/>
    <w:rsid w:val="00EA155D"/>
    <w:rsid w:val="00EA161A"/>
    <w:rsid w:val="00EA1AAE"/>
    <w:rsid w:val="00EA1B62"/>
    <w:rsid w:val="00EA1C55"/>
    <w:rsid w:val="00EA1CED"/>
    <w:rsid w:val="00EA1E13"/>
    <w:rsid w:val="00EA202B"/>
    <w:rsid w:val="00EA2144"/>
    <w:rsid w:val="00EA218B"/>
    <w:rsid w:val="00EA23F7"/>
    <w:rsid w:val="00EA2961"/>
    <w:rsid w:val="00EA2A42"/>
    <w:rsid w:val="00EA2B9F"/>
    <w:rsid w:val="00EA3062"/>
    <w:rsid w:val="00EA31CE"/>
    <w:rsid w:val="00EA321F"/>
    <w:rsid w:val="00EA3266"/>
    <w:rsid w:val="00EA36EB"/>
    <w:rsid w:val="00EA3B56"/>
    <w:rsid w:val="00EA3C96"/>
    <w:rsid w:val="00EA3EBB"/>
    <w:rsid w:val="00EA4009"/>
    <w:rsid w:val="00EA4555"/>
    <w:rsid w:val="00EA4744"/>
    <w:rsid w:val="00EA48FC"/>
    <w:rsid w:val="00EA4F1F"/>
    <w:rsid w:val="00EA50FE"/>
    <w:rsid w:val="00EA51F0"/>
    <w:rsid w:val="00EA54BB"/>
    <w:rsid w:val="00EA5673"/>
    <w:rsid w:val="00EA5E51"/>
    <w:rsid w:val="00EA628F"/>
    <w:rsid w:val="00EA6629"/>
    <w:rsid w:val="00EA69EB"/>
    <w:rsid w:val="00EA6A07"/>
    <w:rsid w:val="00EA6A9E"/>
    <w:rsid w:val="00EA6C54"/>
    <w:rsid w:val="00EA6CFC"/>
    <w:rsid w:val="00EA6DD4"/>
    <w:rsid w:val="00EA6E6D"/>
    <w:rsid w:val="00EA6EB3"/>
    <w:rsid w:val="00EA6FEF"/>
    <w:rsid w:val="00EA71C4"/>
    <w:rsid w:val="00EA7534"/>
    <w:rsid w:val="00EA79D2"/>
    <w:rsid w:val="00EA7CA7"/>
    <w:rsid w:val="00EB039D"/>
    <w:rsid w:val="00EB0629"/>
    <w:rsid w:val="00EB0826"/>
    <w:rsid w:val="00EB0D40"/>
    <w:rsid w:val="00EB0E7F"/>
    <w:rsid w:val="00EB0EC1"/>
    <w:rsid w:val="00EB0F53"/>
    <w:rsid w:val="00EB19BE"/>
    <w:rsid w:val="00EB2C1B"/>
    <w:rsid w:val="00EB2C60"/>
    <w:rsid w:val="00EB2EFC"/>
    <w:rsid w:val="00EB2F1D"/>
    <w:rsid w:val="00EB3210"/>
    <w:rsid w:val="00EB3ACD"/>
    <w:rsid w:val="00EB3AD7"/>
    <w:rsid w:val="00EB3B10"/>
    <w:rsid w:val="00EB3C47"/>
    <w:rsid w:val="00EB41F7"/>
    <w:rsid w:val="00EB435C"/>
    <w:rsid w:val="00EB4933"/>
    <w:rsid w:val="00EB4A07"/>
    <w:rsid w:val="00EB4FBA"/>
    <w:rsid w:val="00EB50B8"/>
    <w:rsid w:val="00EB50E5"/>
    <w:rsid w:val="00EB51B3"/>
    <w:rsid w:val="00EB544B"/>
    <w:rsid w:val="00EB5A1C"/>
    <w:rsid w:val="00EB5A94"/>
    <w:rsid w:val="00EB62A9"/>
    <w:rsid w:val="00EB6330"/>
    <w:rsid w:val="00EB63E7"/>
    <w:rsid w:val="00EB693B"/>
    <w:rsid w:val="00EB6DB8"/>
    <w:rsid w:val="00EB7580"/>
    <w:rsid w:val="00EB75C0"/>
    <w:rsid w:val="00EB791A"/>
    <w:rsid w:val="00EB7D9C"/>
    <w:rsid w:val="00EB7F19"/>
    <w:rsid w:val="00EC013E"/>
    <w:rsid w:val="00EC0374"/>
    <w:rsid w:val="00EC0ABA"/>
    <w:rsid w:val="00EC0B17"/>
    <w:rsid w:val="00EC0D18"/>
    <w:rsid w:val="00EC103E"/>
    <w:rsid w:val="00EC1161"/>
    <w:rsid w:val="00EC11B3"/>
    <w:rsid w:val="00EC1D89"/>
    <w:rsid w:val="00EC1FA0"/>
    <w:rsid w:val="00EC21EF"/>
    <w:rsid w:val="00EC22B3"/>
    <w:rsid w:val="00EC233D"/>
    <w:rsid w:val="00EC23CD"/>
    <w:rsid w:val="00EC253A"/>
    <w:rsid w:val="00EC265A"/>
    <w:rsid w:val="00EC28D1"/>
    <w:rsid w:val="00EC2BE6"/>
    <w:rsid w:val="00EC2F9D"/>
    <w:rsid w:val="00EC3105"/>
    <w:rsid w:val="00EC315C"/>
    <w:rsid w:val="00EC31C0"/>
    <w:rsid w:val="00EC365C"/>
    <w:rsid w:val="00EC396D"/>
    <w:rsid w:val="00EC3AF8"/>
    <w:rsid w:val="00EC3B4E"/>
    <w:rsid w:val="00EC3C79"/>
    <w:rsid w:val="00EC3DF0"/>
    <w:rsid w:val="00EC3EDD"/>
    <w:rsid w:val="00EC3F6A"/>
    <w:rsid w:val="00EC43AF"/>
    <w:rsid w:val="00EC457F"/>
    <w:rsid w:val="00EC4AE1"/>
    <w:rsid w:val="00EC4B2E"/>
    <w:rsid w:val="00EC4BD1"/>
    <w:rsid w:val="00EC4D4D"/>
    <w:rsid w:val="00EC4FD9"/>
    <w:rsid w:val="00EC506F"/>
    <w:rsid w:val="00EC5213"/>
    <w:rsid w:val="00EC526A"/>
    <w:rsid w:val="00EC5303"/>
    <w:rsid w:val="00EC54BA"/>
    <w:rsid w:val="00EC59FB"/>
    <w:rsid w:val="00EC5A15"/>
    <w:rsid w:val="00EC6203"/>
    <w:rsid w:val="00EC648E"/>
    <w:rsid w:val="00EC64AC"/>
    <w:rsid w:val="00EC6DB9"/>
    <w:rsid w:val="00EC6ED4"/>
    <w:rsid w:val="00EC6FB8"/>
    <w:rsid w:val="00EC7026"/>
    <w:rsid w:val="00EC7259"/>
    <w:rsid w:val="00EC7676"/>
    <w:rsid w:val="00EC7B87"/>
    <w:rsid w:val="00EC7DE9"/>
    <w:rsid w:val="00ED063C"/>
    <w:rsid w:val="00ED06EA"/>
    <w:rsid w:val="00ED0E87"/>
    <w:rsid w:val="00ED1531"/>
    <w:rsid w:val="00ED16B4"/>
    <w:rsid w:val="00ED1968"/>
    <w:rsid w:val="00ED19F3"/>
    <w:rsid w:val="00ED1E0A"/>
    <w:rsid w:val="00ED2028"/>
    <w:rsid w:val="00ED211E"/>
    <w:rsid w:val="00ED2196"/>
    <w:rsid w:val="00ED21E7"/>
    <w:rsid w:val="00ED226D"/>
    <w:rsid w:val="00ED23F6"/>
    <w:rsid w:val="00ED296D"/>
    <w:rsid w:val="00ED2B50"/>
    <w:rsid w:val="00ED3482"/>
    <w:rsid w:val="00ED368D"/>
    <w:rsid w:val="00ED385C"/>
    <w:rsid w:val="00ED3A77"/>
    <w:rsid w:val="00ED3AF7"/>
    <w:rsid w:val="00ED3D4A"/>
    <w:rsid w:val="00ED4003"/>
    <w:rsid w:val="00ED40C6"/>
    <w:rsid w:val="00ED478B"/>
    <w:rsid w:val="00ED4A38"/>
    <w:rsid w:val="00ED4AE4"/>
    <w:rsid w:val="00ED593C"/>
    <w:rsid w:val="00ED5991"/>
    <w:rsid w:val="00ED6071"/>
    <w:rsid w:val="00ED62BE"/>
    <w:rsid w:val="00ED63E1"/>
    <w:rsid w:val="00ED65A9"/>
    <w:rsid w:val="00ED6831"/>
    <w:rsid w:val="00ED6E50"/>
    <w:rsid w:val="00ED73D8"/>
    <w:rsid w:val="00ED7547"/>
    <w:rsid w:val="00ED76AB"/>
    <w:rsid w:val="00ED7865"/>
    <w:rsid w:val="00ED78C3"/>
    <w:rsid w:val="00ED7CE1"/>
    <w:rsid w:val="00ED7DDE"/>
    <w:rsid w:val="00ED7EBC"/>
    <w:rsid w:val="00ED7F37"/>
    <w:rsid w:val="00EE0476"/>
    <w:rsid w:val="00EE06E3"/>
    <w:rsid w:val="00EE0AF4"/>
    <w:rsid w:val="00EE0ED3"/>
    <w:rsid w:val="00EE1371"/>
    <w:rsid w:val="00EE18CA"/>
    <w:rsid w:val="00EE1CE7"/>
    <w:rsid w:val="00EE1E0E"/>
    <w:rsid w:val="00EE210C"/>
    <w:rsid w:val="00EE2146"/>
    <w:rsid w:val="00EE2181"/>
    <w:rsid w:val="00EE21BD"/>
    <w:rsid w:val="00EE250E"/>
    <w:rsid w:val="00EE27EC"/>
    <w:rsid w:val="00EE28BB"/>
    <w:rsid w:val="00EE2EF1"/>
    <w:rsid w:val="00EE3166"/>
    <w:rsid w:val="00EE3425"/>
    <w:rsid w:val="00EE3B8A"/>
    <w:rsid w:val="00EE3D7B"/>
    <w:rsid w:val="00EE4837"/>
    <w:rsid w:val="00EE53BE"/>
    <w:rsid w:val="00EE5A4C"/>
    <w:rsid w:val="00EE5E25"/>
    <w:rsid w:val="00EE5F94"/>
    <w:rsid w:val="00EE652C"/>
    <w:rsid w:val="00EE65C6"/>
    <w:rsid w:val="00EE6B72"/>
    <w:rsid w:val="00EE6DBC"/>
    <w:rsid w:val="00EE6DE7"/>
    <w:rsid w:val="00EE71DC"/>
    <w:rsid w:val="00EE71FD"/>
    <w:rsid w:val="00EE7333"/>
    <w:rsid w:val="00EE7630"/>
    <w:rsid w:val="00EE772F"/>
    <w:rsid w:val="00EE7C34"/>
    <w:rsid w:val="00EE7D2B"/>
    <w:rsid w:val="00EF055E"/>
    <w:rsid w:val="00EF0C8A"/>
    <w:rsid w:val="00EF0EED"/>
    <w:rsid w:val="00EF10B4"/>
    <w:rsid w:val="00EF14B6"/>
    <w:rsid w:val="00EF165B"/>
    <w:rsid w:val="00EF1777"/>
    <w:rsid w:val="00EF19CA"/>
    <w:rsid w:val="00EF1A9B"/>
    <w:rsid w:val="00EF25C5"/>
    <w:rsid w:val="00EF293D"/>
    <w:rsid w:val="00EF2A70"/>
    <w:rsid w:val="00EF2B93"/>
    <w:rsid w:val="00EF2BFE"/>
    <w:rsid w:val="00EF2F29"/>
    <w:rsid w:val="00EF2F8E"/>
    <w:rsid w:val="00EF31BB"/>
    <w:rsid w:val="00EF3515"/>
    <w:rsid w:val="00EF37CA"/>
    <w:rsid w:val="00EF37FE"/>
    <w:rsid w:val="00EF3852"/>
    <w:rsid w:val="00EF42CE"/>
    <w:rsid w:val="00EF44C5"/>
    <w:rsid w:val="00EF48B8"/>
    <w:rsid w:val="00EF49F2"/>
    <w:rsid w:val="00EF551A"/>
    <w:rsid w:val="00EF562D"/>
    <w:rsid w:val="00EF567A"/>
    <w:rsid w:val="00EF582F"/>
    <w:rsid w:val="00EF5C6F"/>
    <w:rsid w:val="00EF5ED2"/>
    <w:rsid w:val="00EF6244"/>
    <w:rsid w:val="00EF6639"/>
    <w:rsid w:val="00EF67B7"/>
    <w:rsid w:val="00EF68A1"/>
    <w:rsid w:val="00EF7072"/>
    <w:rsid w:val="00EF7150"/>
    <w:rsid w:val="00EF7326"/>
    <w:rsid w:val="00EF73AF"/>
    <w:rsid w:val="00F0042D"/>
    <w:rsid w:val="00F007BF"/>
    <w:rsid w:val="00F00A3F"/>
    <w:rsid w:val="00F00C8A"/>
    <w:rsid w:val="00F00CF6"/>
    <w:rsid w:val="00F0133B"/>
    <w:rsid w:val="00F0177C"/>
    <w:rsid w:val="00F0180D"/>
    <w:rsid w:val="00F02063"/>
    <w:rsid w:val="00F0208E"/>
    <w:rsid w:val="00F022D0"/>
    <w:rsid w:val="00F0232F"/>
    <w:rsid w:val="00F027F4"/>
    <w:rsid w:val="00F0284F"/>
    <w:rsid w:val="00F0290E"/>
    <w:rsid w:val="00F02A63"/>
    <w:rsid w:val="00F02DB0"/>
    <w:rsid w:val="00F02F99"/>
    <w:rsid w:val="00F0302E"/>
    <w:rsid w:val="00F031CC"/>
    <w:rsid w:val="00F03AEC"/>
    <w:rsid w:val="00F03B07"/>
    <w:rsid w:val="00F03EBD"/>
    <w:rsid w:val="00F03ED0"/>
    <w:rsid w:val="00F041F2"/>
    <w:rsid w:val="00F0421B"/>
    <w:rsid w:val="00F047C0"/>
    <w:rsid w:val="00F04A30"/>
    <w:rsid w:val="00F04B36"/>
    <w:rsid w:val="00F04E39"/>
    <w:rsid w:val="00F0514B"/>
    <w:rsid w:val="00F0532D"/>
    <w:rsid w:val="00F05EC6"/>
    <w:rsid w:val="00F061E3"/>
    <w:rsid w:val="00F0695C"/>
    <w:rsid w:val="00F06B9C"/>
    <w:rsid w:val="00F07151"/>
    <w:rsid w:val="00F073B9"/>
    <w:rsid w:val="00F073CE"/>
    <w:rsid w:val="00F07419"/>
    <w:rsid w:val="00F07445"/>
    <w:rsid w:val="00F076E5"/>
    <w:rsid w:val="00F0798B"/>
    <w:rsid w:val="00F1031C"/>
    <w:rsid w:val="00F104B4"/>
    <w:rsid w:val="00F10539"/>
    <w:rsid w:val="00F10AA8"/>
    <w:rsid w:val="00F112A0"/>
    <w:rsid w:val="00F11570"/>
    <w:rsid w:val="00F117C3"/>
    <w:rsid w:val="00F11A3A"/>
    <w:rsid w:val="00F11B74"/>
    <w:rsid w:val="00F122CC"/>
    <w:rsid w:val="00F12B1C"/>
    <w:rsid w:val="00F12BE8"/>
    <w:rsid w:val="00F13336"/>
    <w:rsid w:val="00F13602"/>
    <w:rsid w:val="00F136D4"/>
    <w:rsid w:val="00F137E2"/>
    <w:rsid w:val="00F13AB8"/>
    <w:rsid w:val="00F13C40"/>
    <w:rsid w:val="00F13C93"/>
    <w:rsid w:val="00F142CA"/>
    <w:rsid w:val="00F14927"/>
    <w:rsid w:val="00F14C0F"/>
    <w:rsid w:val="00F14C42"/>
    <w:rsid w:val="00F14E22"/>
    <w:rsid w:val="00F14E44"/>
    <w:rsid w:val="00F156C4"/>
    <w:rsid w:val="00F157D0"/>
    <w:rsid w:val="00F15B48"/>
    <w:rsid w:val="00F15EF7"/>
    <w:rsid w:val="00F16216"/>
    <w:rsid w:val="00F16E5D"/>
    <w:rsid w:val="00F174C7"/>
    <w:rsid w:val="00F176E8"/>
    <w:rsid w:val="00F177B1"/>
    <w:rsid w:val="00F177CD"/>
    <w:rsid w:val="00F1799D"/>
    <w:rsid w:val="00F17B09"/>
    <w:rsid w:val="00F17CF7"/>
    <w:rsid w:val="00F17D05"/>
    <w:rsid w:val="00F17E88"/>
    <w:rsid w:val="00F2031E"/>
    <w:rsid w:val="00F20868"/>
    <w:rsid w:val="00F209F1"/>
    <w:rsid w:val="00F20B6F"/>
    <w:rsid w:val="00F20FC9"/>
    <w:rsid w:val="00F210B7"/>
    <w:rsid w:val="00F21165"/>
    <w:rsid w:val="00F211C9"/>
    <w:rsid w:val="00F211F1"/>
    <w:rsid w:val="00F21374"/>
    <w:rsid w:val="00F21949"/>
    <w:rsid w:val="00F21B01"/>
    <w:rsid w:val="00F21BA3"/>
    <w:rsid w:val="00F21C93"/>
    <w:rsid w:val="00F221FC"/>
    <w:rsid w:val="00F223E5"/>
    <w:rsid w:val="00F228CC"/>
    <w:rsid w:val="00F22B35"/>
    <w:rsid w:val="00F22BB0"/>
    <w:rsid w:val="00F22E1D"/>
    <w:rsid w:val="00F23192"/>
    <w:rsid w:val="00F237F6"/>
    <w:rsid w:val="00F238DD"/>
    <w:rsid w:val="00F23A79"/>
    <w:rsid w:val="00F23BF2"/>
    <w:rsid w:val="00F2400E"/>
    <w:rsid w:val="00F2402F"/>
    <w:rsid w:val="00F240ED"/>
    <w:rsid w:val="00F24560"/>
    <w:rsid w:val="00F24899"/>
    <w:rsid w:val="00F2490E"/>
    <w:rsid w:val="00F24A18"/>
    <w:rsid w:val="00F24B4F"/>
    <w:rsid w:val="00F24B70"/>
    <w:rsid w:val="00F24B73"/>
    <w:rsid w:val="00F24E2A"/>
    <w:rsid w:val="00F24F2B"/>
    <w:rsid w:val="00F2507A"/>
    <w:rsid w:val="00F25098"/>
    <w:rsid w:val="00F252A8"/>
    <w:rsid w:val="00F265B6"/>
    <w:rsid w:val="00F2660E"/>
    <w:rsid w:val="00F268CD"/>
    <w:rsid w:val="00F26B99"/>
    <w:rsid w:val="00F26CF0"/>
    <w:rsid w:val="00F26F8C"/>
    <w:rsid w:val="00F271FA"/>
    <w:rsid w:val="00F27400"/>
    <w:rsid w:val="00F274D9"/>
    <w:rsid w:val="00F27698"/>
    <w:rsid w:val="00F27A29"/>
    <w:rsid w:val="00F27C5D"/>
    <w:rsid w:val="00F27EC3"/>
    <w:rsid w:val="00F3012C"/>
    <w:rsid w:val="00F303E6"/>
    <w:rsid w:val="00F30414"/>
    <w:rsid w:val="00F30829"/>
    <w:rsid w:val="00F30E0C"/>
    <w:rsid w:val="00F31264"/>
    <w:rsid w:val="00F312D4"/>
    <w:rsid w:val="00F31377"/>
    <w:rsid w:val="00F31575"/>
    <w:rsid w:val="00F31702"/>
    <w:rsid w:val="00F318A0"/>
    <w:rsid w:val="00F31951"/>
    <w:rsid w:val="00F31C79"/>
    <w:rsid w:val="00F31CF9"/>
    <w:rsid w:val="00F31E6B"/>
    <w:rsid w:val="00F32361"/>
    <w:rsid w:val="00F3239E"/>
    <w:rsid w:val="00F329BC"/>
    <w:rsid w:val="00F33199"/>
    <w:rsid w:val="00F334C2"/>
    <w:rsid w:val="00F33D0D"/>
    <w:rsid w:val="00F33E40"/>
    <w:rsid w:val="00F33FBB"/>
    <w:rsid w:val="00F340BC"/>
    <w:rsid w:val="00F34184"/>
    <w:rsid w:val="00F3467F"/>
    <w:rsid w:val="00F34BC1"/>
    <w:rsid w:val="00F3527D"/>
    <w:rsid w:val="00F35693"/>
    <w:rsid w:val="00F35A90"/>
    <w:rsid w:val="00F35D1A"/>
    <w:rsid w:val="00F35FAE"/>
    <w:rsid w:val="00F35FD8"/>
    <w:rsid w:val="00F360A0"/>
    <w:rsid w:val="00F36A7D"/>
    <w:rsid w:val="00F36ABB"/>
    <w:rsid w:val="00F37194"/>
    <w:rsid w:val="00F37576"/>
    <w:rsid w:val="00F37A40"/>
    <w:rsid w:val="00F37AE2"/>
    <w:rsid w:val="00F37D2B"/>
    <w:rsid w:val="00F37F39"/>
    <w:rsid w:val="00F4028C"/>
    <w:rsid w:val="00F403B0"/>
    <w:rsid w:val="00F405AD"/>
    <w:rsid w:val="00F40649"/>
    <w:rsid w:val="00F40D99"/>
    <w:rsid w:val="00F412B6"/>
    <w:rsid w:val="00F41426"/>
    <w:rsid w:val="00F41C31"/>
    <w:rsid w:val="00F41CD6"/>
    <w:rsid w:val="00F41F85"/>
    <w:rsid w:val="00F41FBB"/>
    <w:rsid w:val="00F4200B"/>
    <w:rsid w:val="00F42300"/>
    <w:rsid w:val="00F4255D"/>
    <w:rsid w:val="00F42609"/>
    <w:rsid w:val="00F427BB"/>
    <w:rsid w:val="00F42BCC"/>
    <w:rsid w:val="00F42E10"/>
    <w:rsid w:val="00F4346C"/>
    <w:rsid w:val="00F4396C"/>
    <w:rsid w:val="00F43A2D"/>
    <w:rsid w:val="00F43D4C"/>
    <w:rsid w:val="00F43F06"/>
    <w:rsid w:val="00F440C8"/>
    <w:rsid w:val="00F44163"/>
    <w:rsid w:val="00F44318"/>
    <w:rsid w:val="00F44820"/>
    <w:rsid w:val="00F448D8"/>
    <w:rsid w:val="00F44A61"/>
    <w:rsid w:val="00F44B03"/>
    <w:rsid w:val="00F44D3F"/>
    <w:rsid w:val="00F451B8"/>
    <w:rsid w:val="00F453F6"/>
    <w:rsid w:val="00F45620"/>
    <w:rsid w:val="00F45E23"/>
    <w:rsid w:val="00F45F52"/>
    <w:rsid w:val="00F46458"/>
    <w:rsid w:val="00F46665"/>
    <w:rsid w:val="00F46796"/>
    <w:rsid w:val="00F46C4D"/>
    <w:rsid w:val="00F46D20"/>
    <w:rsid w:val="00F46DA8"/>
    <w:rsid w:val="00F47058"/>
    <w:rsid w:val="00F4719C"/>
    <w:rsid w:val="00F47240"/>
    <w:rsid w:val="00F47255"/>
    <w:rsid w:val="00F47804"/>
    <w:rsid w:val="00F4793D"/>
    <w:rsid w:val="00F47E2D"/>
    <w:rsid w:val="00F500F8"/>
    <w:rsid w:val="00F5034C"/>
    <w:rsid w:val="00F50532"/>
    <w:rsid w:val="00F506D6"/>
    <w:rsid w:val="00F50833"/>
    <w:rsid w:val="00F50846"/>
    <w:rsid w:val="00F50B69"/>
    <w:rsid w:val="00F50E03"/>
    <w:rsid w:val="00F518E9"/>
    <w:rsid w:val="00F51977"/>
    <w:rsid w:val="00F51D9B"/>
    <w:rsid w:val="00F52146"/>
    <w:rsid w:val="00F5219C"/>
    <w:rsid w:val="00F5242D"/>
    <w:rsid w:val="00F5247D"/>
    <w:rsid w:val="00F527B4"/>
    <w:rsid w:val="00F5289D"/>
    <w:rsid w:val="00F52C72"/>
    <w:rsid w:val="00F53345"/>
    <w:rsid w:val="00F5343C"/>
    <w:rsid w:val="00F53754"/>
    <w:rsid w:val="00F53BDD"/>
    <w:rsid w:val="00F53EF6"/>
    <w:rsid w:val="00F54284"/>
    <w:rsid w:val="00F544CB"/>
    <w:rsid w:val="00F5453E"/>
    <w:rsid w:val="00F548B8"/>
    <w:rsid w:val="00F54AA9"/>
    <w:rsid w:val="00F54B91"/>
    <w:rsid w:val="00F54DFB"/>
    <w:rsid w:val="00F54FDB"/>
    <w:rsid w:val="00F5549C"/>
    <w:rsid w:val="00F554EF"/>
    <w:rsid w:val="00F55EC6"/>
    <w:rsid w:val="00F55F27"/>
    <w:rsid w:val="00F55F40"/>
    <w:rsid w:val="00F56288"/>
    <w:rsid w:val="00F56C04"/>
    <w:rsid w:val="00F56CAD"/>
    <w:rsid w:val="00F56DA2"/>
    <w:rsid w:val="00F570B6"/>
    <w:rsid w:val="00F571FE"/>
    <w:rsid w:val="00F57528"/>
    <w:rsid w:val="00F57539"/>
    <w:rsid w:val="00F5787E"/>
    <w:rsid w:val="00F600B4"/>
    <w:rsid w:val="00F601D7"/>
    <w:rsid w:val="00F60219"/>
    <w:rsid w:val="00F60D80"/>
    <w:rsid w:val="00F61023"/>
    <w:rsid w:val="00F61038"/>
    <w:rsid w:val="00F61A36"/>
    <w:rsid w:val="00F61C74"/>
    <w:rsid w:val="00F61D5B"/>
    <w:rsid w:val="00F62465"/>
    <w:rsid w:val="00F6252E"/>
    <w:rsid w:val="00F62D62"/>
    <w:rsid w:val="00F631F1"/>
    <w:rsid w:val="00F63249"/>
    <w:rsid w:val="00F63A17"/>
    <w:rsid w:val="00F63ADD"/>
    <w:rsid w:val="00F6444F"/>
    <w:rsid w:val="00F64ED7"/>
    <w:rsid w:val="00F652DA"/>
    <w:rsid w:val="00F653A4"/>
    <w:rsid w:val="00F65938"/>
    <w:rsid w:val="00F661C5"/>
    <w:rsid w:val="00F669C7"/>
    <w:rsid w:val="00F66D84"/>
    <w:rsid w:val="00F670E2"/>
    <w:rsid w:val="00F672CC"/>
    <w:rsid w:val="00F67802"/>
    <w:rsid w:val="00F70359"/>
    <w:rsid w:val="00F70800"/>
    <w:rsid w:val="00F70E7A"/>
    <w:rsid w:val="00F71362"/>
    <w:rsid w:val="00F717EC"/>
    <w:rsid w:val="00F7194F"/>
    <w:rsid w:val="00F71CD8"/>
    <w:rsid w:val="00F72067"/>
    <w:rsid w:val="00F72079"/>
    <w:rsid w:val="00F7210D"/>
    <w:rsid w:val="00F72734"/>
    <w:rsid w:val="00F72A55"/>
    <w:rsid w:val="00F72D28"/>
    <w:rsid w:val="00F72DB7"/>
    <w:rsid w:val="00F72E17"/>
    <w:rsid w:val="00F72EB4"/>
    <w:rsid w:val="00F72EDD"/>
    <w:rsid w:val="00F72F29"/>
    <w:rsid w:val="00F72F43"/>
    <w:rsid w:val="00F72FFA"/>
    <w:rsid w:val="00F730A6"/>
    <w:rsid w:val="00F73406"/>
    <w:rsid w:val="00F734E7"/>
    <w:rsid w:val="00F737C1"/>
    <w:rsid w:val="00F73A45"/>
    <w:rsid w:val="00F74179"/>
    <w:rsid w:val="00F741EC"/>
    <w:rsid w:val="00F74D1B"/>
    <w:rsid w:val="00F75344"/>
    <w:rsid w:val="00F759E1"/>
    <w:rsid w:val="00F75BC1"/>
    <w:rsid w:val="00F75C4C"/>
    <w:rsid w:val="00F75F39"/>
    <w:rsid w:val="00F75FF9"/>
    <w:rsid w:val="00F7634C"/>
    <w:rsid w:val="00F76475"/>
    <w:rsid w:val="00F7650E"/>
    <w:rsid w:val="00F76592"/>
    <w:rsid w:val="00F76756"/>
    <w:rsid w:val="00F76B2F"/>
    <w:rsid w:val="00F7723F"/>
    <w:rsid w:val="00F772DA"/>
    <w:rsid w:val="00F77379"/>
    <w:rsid w:val="00F77730"/>
    <w:rsid w:val="00F7794C"/>
    <w:rsid w:val="00F8006F"/>
    <w:rsid w:val="00F80302"/>
    <w:rsid w:val="00F805AF"/>
    <w:rsid w:val="00F80994"/>
    <w:rsid w:val="00F80F26"/>
    <w:rsid w:val="00F80FE8"/>
    <w:rsid w:val="00F81566"/>
    <w:rsid w:val="00F816C5"/>
    <w:rsid w:val="00F8179A"/>
    <w:rsid w:val="00F8238E"/>
    <w:rsid w:val="00F8288D"/>
    <w:rsid w:val="00F8316F"/>
    <w:rsid w:val="00F8330B"/>
    <w:rsid w:val="00F83997"/>
    <w:rsid w:val="00F83DB1"/>
    <w:rsid w:val="00F83EF0"/>
    <w:rsid w:val="00F84176"/>
    <w:rsid w:val="00F84701"/>
    <w:rsid w:val="00F84724"/>
    <w:rsid w:val="00F84D1B"/>
    <w:rsid w:val="00F84E38"/>
    <w:rsid w:val="00F84E92"/>
    <w:rsid w:val="00F84F90"/>
    <w:rsid w:val="00F854D9"/>
    <w:rsid w:val="00F85852"/>
    <w:rsid w:val="00F85B83"/>
    <w:rsid w:val="00F85B95"/>
    <w:rsid w:val="00F85D2C"/>
    <w:rsid w:val="00F85E41"/>
    <w:rsid w:val="00F85F9E"/>
    <w:rsid w:val="00F86670"/>
    <w:rsid w:val="00F86B4A"/>
    <w:rsid w:val="00F86EF7"/>
    <w:rsid w:val="00F86F5F"/>
    <w:rsid w:val="00F87243"/>
    <w:rsid w:val="00F8728B"/>
    <w:rsid w:val="00F874B4"/>
    <w:rsid w:val="00F8763B"/>
    <w:rsid w:val="00F876B6"/>
    <w:rsid w:val="00F87810"/>
    <w:rsid w:val="00F878BD"/>
    <w:rsid w:val="00F87B3F"/>
    <w:rsid w:val="00F87C7C"/>
    <w:rsid w:val="00F87D5F"/>
    <w:rsid w:val="00F9005D"/>
    <w:rsid w:val="00F90684"/>
    <w:rsid w:val="00F90C15"/>
    <w:rsid w:val="00F90C85"/>
    <w:rsid w:val="00F91297"/>
    <w:rsid w:val="00F9138F"/>
    <w:rsid w:val="00F91554"/>
    <w:rsid w:val="00F920A3"/>
    <w:rsid w:val="00F92590"/>
    <w:rsid w:val="00F92812"/>
    <w:rsid w:val="00F92972"/>
    <w:rsid w:val="00F92B18"/>
    <w:rsid w:val="00F9324B"/>
    <w:rsid w:val="00F93663"/>
    <w:rsid w:val="00F93FF5"/>
    <w:rsid w:val="00F943E3"/>
    <w:rsid w:val="00F9455E"/>
    <w:rsid w:val="00F94572"/>
    <w:rsid w:val="00F9487D"/>
    <w:rsid w:val="00F94B96"/>
    <w:rsid w:val="00F94BA8"/>
    <w:rsid w:val="00F95576"/>
    <w:rsid w:val="00F95888"/>
    <w:rsid w:val="00F95929"/>
    <w:rsid w:val="00F95A31"/>
    <w:rsid w:val="00F95DF6"/>
    <w:rsid w:val="00F95FDD"/>
    <w:rsid w:val="00F9605A"/>
    <w:rsid w:val="00F96112"/>
    <w:rsid w:val="00F961EC"/>
    <w:rsid w:val="00F9679A"/>
    <w:rsid w:val="00F968C8"/>
    <w:rsid w:val="00F96975"/>
    <w:rsid w:val="00F96E63"/>
    <w:rsid w:val="00F97093"/>
    <w:rsid w:val="00F97DC0"/>
    <w:rsid w:val="00FA02F4"/>
    <w:rsid w:val="00FA05B4"/>
    <w:rsid w:val="00FA09E5"/>
    <w:rsid w:val="00FA09FF"/>
    <w:rsid w:val="00FA0EC7"/>
    <w:rsid w:val="00FA1357"/>
    <w:rsid w:val="00FA14D8"/>
    <w:rsid w:val="00FA1595"/>
    <w:rsid w:val="00FA1C00"/>
    <w:rsid w:val="00FA2B81"/>
    <w:rsid w:val="00FA2DAC"/>
    <w:rsid w:val="00FA2FF8"/>
    <w:rsid w:val="00FA36CA"/>
    <w:rsid w:val="00FA38EC"/>
    <w:rsid w:val="00FA3C4B"/>
    <w:rsid w:val="00FA435D"/>
    <w:rsid w:val="00FA4434"/>
    <w:rsid w:val="00FA4532"/>
    <w:rsid w:val="00FA4DFB"/>
    <w:rsid w:val="00FA4F9F"/>
    <w:rsid w:val="00FA54B5"/>
    <w:rsid w:val="00FA54F1"/>
    <w:rsid w:val="00FA557A"/>
    <w:rsid w:val="00FA58B4"/>
    <w:rsid w:val="00FA5CAA"/>
    <w:rsid w:val="00FA5D8E"/>
    <w:rsid w:val="00FA5ED8"/>
    <w:rsid w:val="00FA69EB"/>
    <w:rsid w:val="00FA6B84"/>
    <w:rsid w:val="00FA6D96"/>
    <w:rsid w:val="00FA6E06"/>
    <w:rsid w:val="00FA721B"/>
    <w:rsid w:val="00FB02FF"/>
    <w:rsid w:val="00FB039B"/>
    <w:rsid w:val="00FB0A9F"/>
    <w:rsid w:val="00FB0BC3"/>
    <w:rsid w:val="00FB0C0B"/>
    <w:rsid w:val="00FB1037"/>
    <w:rsid w:val="00FB11E5"/>
    <w:rsid w:val="00FB1270"/>
    <w:rsid w:val="00FB13C0"/>
    <w:rsid w:val="00FB1903"/>
    <w:rsid w:val="00FB1949"/>
    <w:rsid w:val="00FB194A"/>
    <w:rsid w:val="00FB1B54"/>
    <w:rsid w:val="00FB1D8E"/>
    <w:rsid w:val="00FB20E1"/>
    <w:rsid w:val="00FB23F2"/>
    <w:rsid w:val="00FB267A"/>
    <w:rsid w:val="00FB27CC"/>
    <w:rsid w:val="00FB328B"/>
    <w:rsid w:val="00FB42A6"/>
    <w:rsid w:val="00FB458F"/>
    <w:rsid w:val="00FB48BD"/>
    <w:rsid w:val="00FB4C2B"/>
    <w:rsid w:val="00FB50A4"/>
    <w:rsid w:val="00FB5381"/>
    <w:rsid w:val="00FB53DD"/>
    <w:rsid w:val="00FB5797"/>
    <w:rsid w:val="00FB6173"/>
    <w:rsid w:val="00FB6262"/>
    <w:rsid w:val="00FB655E"/>
    <w:rsid w:val="00FB67D7"/>
    <w:rsid w:val="00FB6F9F"/>
    <w:rsid w:val="00FB728B"/>
    <w:rsid w:val="00FB7345"/>
    <w:rsid w:val="00FC0129"/>
    <w:rsid w:val="00FC0160"/>
    <w:rsid w:val="00FC04D3"/>
    <w:rsid w:val="00FC0511"/>
    <w:rsid w:val="00FC0717"/>
    <w:rsid w:val="00FC0BCC"/>
    <w:rsid w:val="00FC0BF7"/>
    <w:rsid w:val="00FC0FA6"/>
    <w:rsid w:val="00FC12A6"/>
    <w:rsid w:val="00FC19E8"/>
    <w:rsid w:val="00FC1F2D"/>
    <w:rsid w:val="00FC1FBE"/>
    <w:rsid w:val="00FC2473"/>
    <w:rsid w:val="00FC30CD"/>
    <w:rsid w:val="00FC31B1"/>
    <w:rsid w:val="00FC365D"/>
    <w:rsid w:val="00FC3985"/>
    <w:rsid w:val="00FC3B48"/>
    <w:rsid w:val="00FC4035"/>
    <w:rsid w:val="00FC4078"/>
    <w:rsid w:val="00FC4702"/>
    <w:rsid w:val="00FC47F0"/>
    <w:rsid w:val="00FC4E01"/>
    <w:rsid w:val="00FC4F49"/>
    <w:rsid w:val="00FC50B9"/>
    <w:rsid w:val="00FC567A"/>
    <w:rsid w:val="00FC5883"/>
    <w:rsid w:val="00FC5A54"/>
    <w:rsid w:val="00FC5B78"/>
    <w:rsid w:val="00FC5CC0"/>
    <w:rsid w:val="00FC5D09"/>
    <w:rsid w:val="00FC5D75"/>
    <w:rsid w:val="00FC6729"/>
    <w:rsid w:val="00FC67B2"/>
    <w:rsid w:val="00FC6BCE"/>
    <w:rsid w:val="00FC6D61"/>
    <w:rsid w:val="00FC6F80"/>
    <w:rsid w:val="00FC732B"/>
    <w:rsid w:val="00FC755C"/>
    <w:rsid w:val="00FC7A26"/>
    <w:rsid w:val="00FD0004"/>
    <w:rsid w:val="00FD019B"/>
    <w:rsid w:val="00FD01BF"/>
    <w:rsid w:val="00FD05E3"/>
    <w:rsid w:val="00FD0801"/>
    <w:rsid w:val="00FD09C6"/>
    <w:rsid w:val="00FD0A72"/>
    <w:rsid w:val="00FD0A82"/>
    <w:rsid w:val="00FD0AE5"/>
    <w:rsid w:val="00FD0B2B"/>
    <w:rsid w:val="00FD0C4A"/>
    <w:rsid w:val="00FD0CDF"/>
    <w:rsid w:val="00FD109E"/>
    <w:rsid w:val="00FD1C55"/>
    <w:rsid w:val="00FD1E7B"/>
    <w:rsid w:val="00FD1F8A"/>
    <w:rsid w:val="00FD23AE"/>
    <w:rsid w:val="00FD268A"/>
    <w:rsid w:val="00FD26D4"/>
    <w:rsid w:val="00FD29ED"/>
    <w:rsid w:val="00FD2C0E"/>
    <w:rsid w:val="00FD2E53"/>
    <w:rsid w:val="00FD315C"/>
    <w:rsid w:val="00FD33F3"/>
    <w:rsid w:val="00FD34AC"/>
    <w:rsid w:val="00FD34E1"/>
    <w:rsid w:val="00FD3820"/>
    <w:rsid w:val="00FD385B"/>
    <w:rsid w:val="00FD38DB"/>
    <w:rsid w:val="00FD3E4E"/>
    <w:rsid w:val="00FD3EE0"/>
    <w:rsid w:val="00FD4544"/>
    <w:rsid w:val="00FD461C"/>
    <w:rsid w:val="00FD478B"/>
    <w:rsid w:val="00FD4927"/>
    <w:rsid w:val="00FD4BDF"/>
    <w:rsid w:val="00FD519D"/>
    <w:rsid w:val="00FD52E5"/>
    <w:rsid w:val="00FD5519"/>
    <w:rsid w:val="00FD55E7"/>
    <w:rsid w:val="00FD576D"/>
    <w:rsid w:val="00FD5A3E"/>
    <w:rsid w:val="00FD5B0F"/>
    <w:rsid w:val="00FD5B26"/>
    <w:rsid w:val="00FD5BE2"/>
    <w:rsid w:val="00FD5BF3"/>
    <w:rsid w:val="00FD64AB"/>
    <w:rsid w:val="00FD657E"/>
    <w:rsid w:val="00FD674F"/>
    <w:rsid w:val="00FD681E"/>
    <w:rsid w:val="00FD6F1E"/>
    <w:rsid w:val="00FD714A"/>
    <w:rsid w:val="00FD7511"/>
    <w:rsid w:val="00FD7834"/>
    <w:rsid w:val="00FD7C10"/>
    <w:rsid w:val="00FD7CA8"/>
    <w:rsid w:val="00FD7E98"/>
    <w:rsid w:val="00FE00B6"/>
    <w:rsid w:val="00FE0238"/>
    <w:rsid w:val="00FE0509"/>
    <w:rsid w:val="00FE066F"/>
    <w:rsid w:val="00FE0797"/>
    <w:rsid w:val="00FE084E"/>
    <w:rsid w:val="00FE0AE6"/>
    <w:rsid w:val="00FE1379"/>
    <w:rsid w:val="00FE1446"/>
    <w:rsid w:val="00FE1552"/>
    <w:rsid w:val="00FE20E9"/>
    <w:rsid w:val="00FE22E9"/>
    <w:rsid w:val="00FE2508"/>
    <w:rsid w:val="00FE287B"/>
    <w:rsid w:val="00FE2D53"/>
    <w:rsid w:val="00FE2E06"/>
    <w:rsid w:val="00FE2FE8"/>
    <w:rsid w:val="00FE3106"/>
    <w:rsid w:val="00FE31A6"/>
    <w:rsid w:val="00FE33DC"/>
    <w:rsid w:val="00FE352A"/>
    <w:rsid w:val="00FE3675"/>
    <w:rsid w:val="00FE3B53"/>
    <w:rsid w:val="00FE4343"/>
    <w:rsid w:val="00FE4802"/>
    <w:rsid w:val="00FE4A44"/>
    <w:rsid w:val="00FE4F0B"/>
    <w:rsid w:val="00FE5202"/>
    <w:rsid w:val="00FE5655"/>
    <w:rsid w:val="00FE59E1"/>
    <w:rsid w:val="00FE5CE1"/>
    <w:rsid w:val="00FE5F74"/>
    <w:rsid w:val="00FE61EB"/>
    <w:rsid w:val="00FE63FF"/>
    <w:rsid w:val="00FE662F"/>
    <w:rsid w:val="00FE66AA"/>
    <w:rsid w:val="00FE6A27"/>
    <w:rsid w:val="00FE72F2"/>
    <w:rsid w:val="00FE732F"/>
    <w:rsid w:val="00FE770C"/>
    <w:rsid w:val="00FE797C"/>
    <w:rsid w:val="00FE7991"/>
    <w:rsid w:val="00FE7B01"/>
    <w:rsid w:val="00FE7D5B"/>
    <w:rsid w:val="00FE7DDF"/>
    <w:rsid w:val="00FF010E"/>
    <w:rsid w:val="00FF036D"/>
    <w:rsid w:val="00FF0A3F"/>
    <w:rsid w:val="00FF0BB8"/>
    <w:rsid w:val="00FF0C0F"/>
    <w:rsid w:val="00FF0C48"/>
    <w:rsid w:val="00FF0C6D"/>
    <w:rsid w:val="00FF0CBA"/>
    <w:rsid w:val="00FF13D8"/>
    <w:rsid w:val="00FF1401"/>
    <w:rsid w:val="00FF146A"/>
    <w:rsid w:val="00FF2000"/>
    <w:rsid w:val="00FF2136"/>
    <w:rsid w:val="00FF2500"/>
    <w:rsid w:val="00FF2641"/>
    <w:rsid w:val="00FF3036"/>
    <w:rsid w:val="00FF371B"/>
    <w:rsid w:val="00FF3AED"/>
    <w:rsid w:val="00FF3D77"/>
    <w:rsid w:val="00FF3FF4"/>
    <w:rsid w:val="00FF43B7"/>
    <w:rsid w:val="00FF45D4"/>
    <w:rsid w:val="00FF479B"/>
    <w:rsid w:val="00FF4817"/>
    <w:rsid w:val="00FF4B04"/>
    <w:rsid w:val="00FF4DE6"/>
    <w:rsid w:val="00FF4E56"/>
    <w:rsid w:val="00FF4EDD"/>
    <w:rsid w:val="00FF5121"/>
    <w:rsid w:val="00FF5152"/>
    <w:rsid w:val="00FF56DD"/>
    <w:rsid w:val="00FF604A"/>
    <w:rsid w:val="00FF6054"/>
    <w:rsid w:val="00FF654B"/>
    <w:rsid w:val="00FF6818"/>
    <w:rsid w:val="00FF6CB2"/>
    <w:rsid w:val="00FF6E4F"/>
    <w:rsid w:val="00FF6E64"/>
    <w:rsid w:val="00FF6FA1"/>
    <w:rsid w:val="00FF7187"/>
    <w:rsid w:val="00FF730A"/>
    <w:rsid w:val="00FF735D"/>
    <w:rsid w:val="00FF737A"/>
    <w:rsid w:val="00FF759E"/>
    <w:rsid w:val="00FF7722"/>
    <w:rsid w:val="00FF77CC"/>
    <w:rsid w:val="00FF79A2"/>
    <w:rsid w:val="00FF79AF"/>
    <w:rsid w:val="00FF79E5"/>
    <w:rsid w:val="00FF7CAB"/>
    <w:rsid w:val="00FF7E53"/>
    <w:rsid w:val="00FF7F2C"/>
    <w:rsid w:val="010B6B53"/>
    <w:rsid w:val="0116B32E"/>
    <w:rsid w:val="011D75A2"/>
    <w:rsid w:val="015B845B"/>
    <w:rsid w:val="016EF392"/>
    <w:rsid w:val="01954168"/>
    <w:rsid w:val="01A98AEF"/>
    <w:rsid w:val="01D2E13D"/>
    <w:rsid w:val="01DACE7E"/>
    <w:rsid w:val="01DBD636"/>
    <w:rsid w:val="01E99554"/>
    <w:rsid w:val="020F78E7"/>
    <w:rsid w:val="0214193C"/>
    <w:rsid w:val="0224D91E"/>
    <w:rsid w:val="022D2159"/>
    <w:rsid w:val="022F12A8"/>
    <w:rsid w:val="02552CCE"/>
    <w:rsid w:val="02670368"/>
    <w:rsid w:val="0276B91E"/>
    <w:rsid w:val="0294A76E"/>
    <w:rsid w:val="02977139"/>
    <w:rsid w:val="02BD7AF3"/>
    <w:rsid w:val="02E730F2"/>
    <w:rsid w:val="02EC57D3"/>
    <w:rsid w:val="02F08DC0"/>
    <w:rsid w:val="0304F077"/>
    <w:rsid w:val="0311CB99"/>
    <w:rsid w:val="0314582D"/>
    <w:rsid w:val="0317BA8E"/>
    <w:rsid w:val="031C0A2D"/>
    <w:rsid w:val="0331CFA5"/>
    <w:rsid w:val="034C7C95"/>
    <w:rsid w:val="03541365"/>
    <w:rsid w:val="035AAAFF"/>
    <w:rsid w:val="037D3289"/>
    <w:rsid w:val="039156C9"/>
    <w:rsid w:val="03B8B8B8"/>
    <w:rsid w:val="03BA4DEB"/>
    <w:rsid w:val="03DE2B92"/>
    <w:rsid w:val="042AC14A"/>
    <w:rsid w:val="04407F29"/>
    <w:rsid w:val="04750112"/>
    <w:rsid w:val="0479FCC0"/>
    <w:rsid w:val="048379AD"/>
    <w:rsid w:val="049C2EE7"/>
    <w:rsid w:val="04A99678"/>
    <w:rsid w:val="04CDB86E"/>
    <w:rsid w:val="04D0AE17"/>
    <w:rsid w:val="04EBD1D7"/>
    <w:rsid w:val="04EF92D4"/>
    <w:rsid w:val="04F103F3"/>
    <w:rsid w:val="052D0008"/>
    <w:rsid w:val="05325823"/>
    <w:rsid w:val="053E2499"/>
    <w:rsid w:val="054C5AB5"/>
    <w:rsid w:val="055044CA"/>
    <w:rsid w:val="05564667"/>
    <w:rsid w:val="055F5655"/>
    <w:rsid w:val="055F742B"/>
    <w:rsid w:val="057F5FFA"/>
    <w:rsid w:val="0583711F"/>
    <w:rsid w:val="0585CF19"/>
    <w:rsid w:val="059DC59C"/>
    <w:rsid w:val="05C39F9C"/>
    <w:rsid w:val="05E10004"/>
    <w:rsid w:val="05F6944B"/>
    <w:rsid w:val="06052A3C"/>
    <w:rsid w:val="06169E6C"/>
    <w:rsid w:val="0616EA97"/>
    <w:rsid w:val="062104C2"/>
    <w:rsid w:val="06371469"/>
    <w:rsid w:val="067A1BAC"/>
    <w:rsid w:val="068EBE1C"/>
    <w:rsid w:val="0690C8EE"/>
    <w:rsid w:val="06BAF745"/>
    <w:rsid w:val="06D06B94"/>
    <w:rsid w:val="06D7B340"/>
    <w:rsid w:val="06E944E8"/>
    <w:rsid w:val="06F98AE2"/>
    <w:rsid w:val="071B305B"/>
    <w:rsid w:val="0727B529"/>
    <w:rsid w:val="072AB8FB"/>
    <w:rsid w:val="0743D120"/>
    <w:rsid w:val="07504EA1"/>
    <w:rsid w:val="07681885"/>
    <w:rsid w:val="076B846C"/>
    <w:rsid w:val="076F2FEC"/>
    <w:rsid w:val="07E4746C"/>
    <w:rsid w:val="07EA642B"/>
    <w:rsid w:val="080C3CC7"/>
    <w:rsid w:val="081AD5ED"/>
    <w:rsid w:val="0822AB11"/>
    <w:rsid w:val="082D24F2"/>
    <w:rsid w:val="08344125"/>
    <w:rsid w:val="08374306"/>
    <w:rsid w:val="083B50F3"/>
    <w:rsid w:val="0845BC2D"/>
    <w:rsid w:val="084BAEF6"/>
    <w:rsid w:val="087A48BD"/>
    <w:rsid w:val="0896A58B"/>
    <w:rsid w:val="08C28733"/>
    <w:rsid w:val="08DEB497"/>
    <w:rsid w:val="08E3ACC5"/>
    <w:rsid w:val="08EB5357"/>
    <w:rsid w:val="08ECE5CF"/>
    <w:rsid w:val="08ED2A04"/>
    <w:rsid w:val="08F4C390"/>
    <w:rsid w:val="090754CD"/>
    <w:rsid w:val="09294CF0"/>
    <w:rsid w:val="092F845D"/>
    <w:rsid w:val="0930F760"/>
    <w:rsid w:val="09731BF0"/>
    <w:rsid w:val="09842B94"/>
    <w:rsid w:val="098AC762"/>
    <w:rsid w:val="09CF8D62"/>
    <w:rsid w:val="09D9D54C"/>
    <w:rsid w:val="09DB9DB4"/>
    <w:rsid w:val="09E2E74A"/>
    <w:rsid w:val="09E943AA"/>
    <w:rsid w:val="09FD28A5"/>
    <w:rsid w:val="0A178D52"/>
    <w:rsid w:val="0A213DD3"/>
    <w:rsid w:val="0A5F3CB2"/>
    <w:rsid w:val="0A6E8DEC"/>
    <w:rsid w:val="0A8875C8"/>
    <w:rsid w:val="0A8D48D8"/>
    <w:rsid w:val="0A9DE37B"/>
    <w:rsid w:val="0AA6EF67"/>
    <w:rsid w:val="0AB5C1F0"/>
    <w:rsid w:val="0AB63923"/>
    <w:rsid w:val="0AB6A4BE"/>
    <w:rsid w:val="0AC768C7"/>
    <w:rsid w:val="0AC7C224"/>
    <w:rsid w:val="0AD22972"/>
    <w:rsid w:val="0ADECBCC"/>
    <w:rsid w:val="0AF92B00"/>
    <w:rsid w:val="0AF930DD"/>
    <w:rsid w:val="0AFA1E97"/>
    <w:rsid w:val="0AFA74C1"/>
    <w:rsid w:val="0B23BDF5"/>
    <w:rsid w:val="0B3259EB"/>
    <w:rsid w:val="0B335235"/>
    <w:rsid w:val="0B55FA2E"/>
    <w:rsid w:val="0B62F2EF"/>
    <w:rsid w:val="0B7684F1"/>
    <w:rsid w:val="0B7ED04D"/>
    <w:rsid w:val="0B8FBAA0"/>
    <w:rsid w:val="0B9614EA"/>
    <w:rsid w:val="0B96FD1C"/>
    <w:rsid w:val="0BA4B369"/>
    <w:rsid w:val="0BD46BEC"/>
    <w:rsid w:val="0BF00276"/>
    <w:rsid w:val="0BF7A3B0"/>
    <w:rsid w:val="0C344E0F"/>
    <w:rsid w:val="0C3D2B4D"/>
    <w:rsid w:val="0C43E641"/>
    <w:rsid w:val="0C4D018D"/>
    <w:rsid w:val="0C5C9525"/>
    <w:rsid w:val="0C65A062"/>
    <w:rsid w:val="0C740D34"/>
    <w:rsid w:val="0C7647A7"/>
    <w:rsid w:val="0C79357F"/>
    <w:rsid w:val="0C7DC03D"/>
    <w:rsid w:val="0C9D38A5"/>
    <w:rsid w:val="0CAD5485"/>
    <w:rsid w:val="0CCB1157"/>
    <w:rsid w:val="0CE4788C"/>
    <w:rsid w:val="0CEA7266"/>
    <w:rsid w:val="0CFBC904"/>
    <w:rsid w:val="0CFCE9D5"/>
    <w:rsid w:val="0CFEE3CA"/>
    <w:rsid w:val="0D254097"/>
    <w:rsid w:val="0D350999"/>
    <w:rsid w:val="0D425FD6"/>
    <w:rsid w:val="0D636E61"/>
    <w:rsid w:val="0D6444E9"/>
    <w:rsid w:val="0D64DCD9"/>
    <w:rsid w:val="0D6A8BE1"/>
    <w:rsid w:val="0D6D2725"/>
    <w:rsid w:val="0D71BD13"/>
    <w:rsid w:val="0D73E53F"/>
    <w:rsid w:val="0D7CE282"/>
    <w:rsid w:val="0D7E6ACC"/>
    <w:rsid w:val="0D8FA8DE"/>
    <w:rsid w:val="0D93698B"/>
    <w:rsid w:val="0D96A925"/>
    <w:rsid w:val="0DA39E72"/>
    <w:rsid w:val="0DA46EA6"/>
    <w:rsid w:val="0DB30DB6"/>
    <w:rsid w:val="0DD17060"/>
    <w:rsid w:val="0DDC0118"/>
    <w:rsid w:val="0DDC6F42"/>
    <w:rsid w:val="0E05849E"/>
    <w:rsid w:val="0E0AD79A"/>
    <w:rsid w:val="0E0BADC0"/>
    <w:rsid w:val="0E0CA22D"/>
    <w:rsid w:val="0E14D48D"/>
    <w:rsid w:val="0E19612F"/>
    <w:rsid w:val="0E254C85"/>
    <w:rsid w:val="0E25D5B8"/>
    <w:rsid w:val="0E2D117B"/>
    <w:rsid w:val="0E470A37"/>
    <w:rsid w:val="0E526A1B"/>
    <w:rsid w:val="0E56DF74"/>
    <w:rsid w:val="0E56F687"/>
    <w:rsid w:val="0E5E8890"/>
    <w:rsid w:val="0E64D94E"/>
    <w:rsid w:val="0E8306A1"/>
    <w:rsid w:val="0E886849"/>
    <w:rsid w:val="0E8BFDE4"/>
    <w:rsid w:val="0EA20B78"/>
    <w:rsid w:val="0ED54EA0"/>
    <w:rsid w:val="0EE6E88B"/>
    <w:rsid w:val="0EE8A093"/>
    <w:rsid w:val="0EECDD80"/>
    <w:rsid w:val="0EF4DCDB"/>
    <w:rsid w:val="0EFF7178"/>
    <w:rsid w:val="0F070F03"/>
    <w:rsid w:val="0F1AF055"/>
    <w:rsid w:val="0F5BC903"/>
    <w:rsid w:val="0F88DF23"/>
    <w:rsid w:val="0FA0FBEB"/>
    <w:rsid w:val="0FC93E00"/>
    <w:rsid w:val="0FD687F0"/>
    <w:rsid w:val="0FF657D4"/>
    <w:rsid w:val="101271EE"/>
    <w:rsid w:val="1039FF33"/>
    <w:rsid w:val="10587BF7"/>
    <w:rsid w:val="107A9F2E"/>
    <w:rsid w:val="109233F0"/>
    <w:rsid w:val="109F1974"/>
    <w:rsid w:val="10A9620F"/>
    <w:rsid w:val="10D34316"/>
    <w:rsid w:val="10FD088E"/>
    <w:rsid w:val="110393E6"/>
    <w:rsid w:val="11231AE9"/>
    <w:rsid w:val="1128E46A"/>
    <w:rsid w:val="1129A92A"/>
    <w:rsid w:val="112DEB62"/>
    <w:rsid w:val="113A98BB"/>
    <w:rsid w:val="113BF33F"/>
    <w:rsid w:val="1166E220"/>
    <w:rsid w:val="1190D91B"/>
    <w:rsid w:val="11A9F108"/>
    <w:rsid w:val="11B55D81"/>
    <w:rsid w:val="11D33F01"/>
    <w:rsid w:val="11D640F6"/>
    <w:rsid w:val="11F3328E"/>
    <w:rsid w:val="11F420ED"/>
    <w:rsid w:val="11FD6451"/>
    <w:rsid w:val="120C664E"/>
    <w:rsid w:val="1226B140"/>
    <w:rsid w:val="123704E6"/>
    <w:rsid w:val="1244F256"/>
    <w:rsid w:val="1258E061"/>
    <w:rsid w:val="1272154C"/>
    <w:rsid w:val="1273173E"/>
    <w:rsid w:val="12ADF851"/>
    <w:rsid w:val="12AF7EE5"/>
    <w:rsid w:val="12AF7EFC"/>
    <w:rsid w:val="12C0D3D5"/>
    <w:rsid w:val="12CA95C4"/>
    <w:rsid w:val="12E5C1AE"/>
    <w:rsid w:val="12F3CBF3"/>
    <w:rsid w:val="12FEF276"/>
    <w:rsid w:val="130B4FA7"/>
    <w:rsid w:val="1328190A"/>
    <w:rsid w:val="13424A81"/>
    <w:rsid w:val="1346B2FC"/>
    <w:rsid w:val="1367F1F6"/>
    <w:rsid w:val="13AAD714"/>
    <w:rsid w:val="13AC06A2"/>
    <w:rsid w:val="13B165F6"/>
    <w:rsid w:val="13C490B6"/>
    <w:rsid w:val="13E8DC6C"/>
    <w:rsid w:val="13F996BD"/>
    <w:rsid w:val="1430B286"/>
    <w:rsid w:val="14727C95"/>
    <w:rsid w:val="1478755B"/>
    <w:rsid w:val="148EFB6E"/>
    <w:rsid w:val="149D56E2"/>
    <w:rsid w:val="14C4B570"/>
    <w:rsid w:val="14E9B901"/>
    <w:rsid w:val="14F44A8D"/>
    <w:rsid w:val="150E99C5"/>
    <w:rsid w:val="153269F4"/>
    <w:rsid w:val="15391BC0"/>
    <w:rsid w:val="153F6F80"/>
    <w:rsid w:val="1554EE58"/>
    <w:rsid w:val="1564638D"/>
    <w:rsid w:val="156B91A2"/>
    <w:rsid w:val="156F9E1E"/>
    <w:rsid w:val="1575461E"/>
    <w:rsid w:val="15AF20C2"/>
    <w:rsid w:val="15EE45F9"/>
    <w:rsid w:val="1624F4EC"/>
    <w:rsid w:val="1632E43F"/>
    <w:rsid w:val="1642D5B1"/>
    <w:rsid w:val="16442A1C"/>
    <w:rsid w:val="164F853F"/>
    <w:rsid w:val="1654FE1B"/>
    <w:rsid w:val="166E6C32"/>
    <w:rsid w:val="166F1125"/>
    <w:rsid w:val="1676E093"/>
    <w:rsid w:val="16811DC9"/>
    <w:rsid w:val="16A1A4CB"/>
    <w:rsid w:val="16A95DDA"/>
    <w:rsid w:val="16AB676E"/>
    <w:rsid w:val="16AE7E23"/>
    <w:rsid w:val="16BE64FD"/>
    <w:rsid w:val="16D99091"/>
    <w:rsid w:val="16E94BF4"/>
    <w:rsid w:val="16FE3CDD"/>
    <w:rsid w:val="16FE5B97"/>
    <w:rsid w:val="16FFB356"/>
    <w:rsid w:val="170467E3"/>
    <w:rsid w:val="170E0C50"/>
    <w:rsid w:val="175E2F25"/>
    <w:rsid w:val="179EB26C"/>
    <w:rsid w:val="17C8B2CC"/>
    <w:rsid w:val="17DF9C51"/>
    <w:rsid w:val="17EEC813"/>
    <w:rsid w:val="1803C265"/>
    <w:rsid w:val="181E3BF6"/>
    <w:rsid w:val="184400A3"/>
    <w:rsid w:val="18650359"/>
    <w:rsid w:val="187046CB"/>
    <w:rsid w:val="18B970F0"/>
    <w:rsid w:val="18E64BD3"/>
    <w:rsid w:val="18F45FC3"/>
    <w:rsid w:val="18FFE168"/>
    <w:rsid w:val="1926603F"/>
    <w:rsid w:val="192D846D"/>
    <w:rsid w:val="193809E3"/>
    <w:rsid w:val="193E1177"/>
    <w:rsid w:val="194E8D58"/>
    <w:rsid w:val="19518427"/>
    <w:rsid w:val="198A31A9"/>
    <w:rsid w:val="199E3E31"/>
    <w:rsid w:val="19A2880A"/>
    <w:rsid w:val="19B4DAD9"/>
    <w:rsid w:val="19B52F7F"/>
    <w:rsid w:val="19D6F4EA"/>
    <w:rsid w:val="19D7FDBD"/>
    <w:rsid w:val="19D9458D"/>
    <w:rsid w:val="19E99A08"/>
    <w:rsid w:val="1A014FEE"/>
    <w:rsid w:val="1A10A957"/>
    <w:rsid w:val="1A211711"/>
    <w:rsid w:val="1A23D84C"/>
    <w:rsid w:val="1A279D62"/>
    <w:rsid w:val="1A28A0E6"/>
    <w:rsid w:val="1A39811F"/>
    <w:rsid w:val="1A480AE3"/>
    <w:rsid w:val="1A6D54D1"/>
    <w:rsid w:val="1A6D9E99"/>
    <w:rsid w:val="1A873920"/>
    <w:rsid w:val="1A9E441B"/>
    <w:rsid w:val="1AA1C9ED"/>
    <w:rsid w:val="1AAA109F"/>
    <w:rsid w:val="1AB370E4"/>
    <w:rsid w:val="1AB4E31F"/>
    <w:rsid w:val="1AC362E3"/>
    <w:rsid w:val="1ACCDE5F"/>
    <w:rsid w:val="1AD145C1"/>
    <w:rsid w:val="1AEB3063"/>
    <w:rsid w:val="1AF1285D"/>
    <w:rsid w:val="1B020349"/>
    <w:rsid w:val="1B3C6DA8"/>
    <w:rsid w:val="1B509D36"/>
    <w:rsid w:val="1B50AB3A"/>
    <w:rsid w:val="1BB7A2C8"/>
    <w:rsid w:val="1BB7EB85"/>
    <w:rsid w:val="1BE6A7B0"/>
    <w:rsid w:val="1C0B87DE"/>
    <w:rsid w:val="1C0CA213"/>
    <w:rsid w:val="1C0CDA31"/>
    <w:rsid w:val="1C1338EA"/>
    <w:rsid w:val="1C16E645"/>
    <w:rsid w:val="1C1F655B"/>
    <w:rsid w:val="1C49CE57"/>
    <w:rsid w:val="1C58C09E"/>
    <w:rsid w:val="1C7C1AC3"/>
    <w:rsid w:val="1C9CF8D7"/>
    <w:rsid w:val="1CC435FA"/>
    <w:rsid w:val="1CC842E1"/>
    <w:rsid w:val="1CD47A8A"/>
    <w:rsid w:val="1CE12A63"/>
    <w:rsid w:val="1CFE4080"/>
    <w:rsid w:val="1D0BD270"/>
    <w:rsid w:val="1D2A29F6"/>
    <w:rsid w:val="1D2F875E"/>
    <w:rsid w:val="1D536308"/>
    <w:rsid w:val="1D6E6C8B"/>
    <w:rsid w:val="1D85949A"/>
    <w:rsid w:val="1D8F0C7B"/>
    <w:rsid w:val="1D916EED"/>
    <w:rsid w:val="1D9C9F1F"/>
    <w:rsid w:val="1DA4A4E6"/>
    <w:rsid w:val="1DD3FA33"/>
    <w:rsid w:val="1E0EC58A"/>
    <w:rsid w:val="1E669C78"/>
    <w:rsid w:val="1E85C755"/>
    <w:rsid w:val="1E9278AE"/>
    <w:rsid w:val="1E9316B8"/>
    <w:rsid w:val="1E9FE7AC"/>
    <w:rsid w:val="1F157592"/>
    <w:rsid w:val="1F25F22A"/>
    <w:rsid w:val="1F398F3E"/>
    <w:rsid w:val="1F5E5B1E"/>
    <w:rsid w:val="1F667E36"/>
    <w:rsid w:val="1F675662"/>
    <w:rsid w:val="1F7BAE7E"/>
    <w:rsid w:val="1F8BF4BB"/>
    <w:rsid w:val="1F941AD1"/>
    <w:rsid w:val="1FAD52FB"/>
    <w:rsid w:val="1FB7FF57"/>
    <w:rsid w:val="1FC58741"/>
    <w:rsid w:val="1FC8FF7B"/>
    <w:rsid w:val="1FEF33C9"/>
    <w:rsid w:val="200D9164"/>
    <w:rsid w:val="2025BCFB"/>
    <w:rsid w:val="20287D9C"/>
    <w:rsid w:val="203AD746"/>
    <w:rsid w:val="203D8B4E"/>
    <w:rsid w:val="2041597C"/>
    <w:rsid w:val="2054940C"/>
    <w:rsid w:val="205FFA04"/>
    <w:rsid w:val="207F668E"/>
    <w:rsid w:val="2090BC44"/>
    <w:rsid w:val="20B863A1"/>
    <w:rsid w:val="20C0D6FC"/>
    <w:rsid w:val="20F8B20D"/>
    <w:rsid w:val="20FA7999"/>
    <w:rsid w:val="2120DEE2"/>
    <w:rsid w:val="212AE9D6"/>
    <w:rsid w:val="212C31C1"/>
    <w:rsid w:val="21742E53"/>
    <w:rsid w:val="217A39AE"/>
    <w:rsid w:val="2180A3DC"/>
    <w:rsid w:val="2184C2DF"/>
    <w:rsid w:val="2187EEFA"/>
    <w:rsid w:val="2194C1A1"/>
    <w:rsid w:val="2195E733"/>
    <w:rsid w:val="21A7DE08"/>
    <w:rsid w:val="21AF0F88"/>
    <w:rsid w:val="21BA6BBB"/>
    <w:rsid w:val="21C0F8B2"/>
    <w:rsid w:val="21F69571"/>
    <w:rsid w:val="21F9C809"/>
    <w:rsid w:val="21FE8B96"/>
    <w:rsid w:val="224FA37B"/>
    <w:rsid w:val="2257B35F"/>
    <w:rsid w:val="226CFF6C"/>
    <w:rsid w:val="22A9CA76"/>
    <w:rsid w:val="22D8C4E5"/>
    <w:rsid w:val="22DEE525"/>
    <w:rsid w:val="22E9903D"/>
    <w:rsid w:val="22F43656"/>
    <w:rsid w:val="22F6392C"/>
    <w:rsid w:val="22FC02F1"/>
    <w:rsid w:val="2306C02B"/>
    <w:rsid w:val="230C3A5B"/>
    <w:rsid w:val="23114D11"/>
    <w:rsid w:val="23327D01"/>
    <w:rsid w:val="23371253"/>
    <w:rsid w:val="23628EDD"/>
    <w:rsid w:val="2365BF83"/>
    <w:rsid w:val="2369B9F3"/>
    <w:rsid w:val="2384EC67"/>
    <w:rsid w:val="238F5D59"/>
    <w:rsid w:val="23B196AC"/>
    <w:rsid w:val="23B338E9"/>
    <w:rsid w:val="23B75C2E"/>
    <w:rsid w:val="23C5F2D7"/>
    <w:rsid w:val="23DBA086"/>
    <w:rsid w:val="23EBDB5F"/>
    <w:rsid w:val="23EC7FBE"/>
    <w:rsid w:val="23F0C792"/>
    <w:rsid w:val="23F1AB41"/>
    <w:rsid w:val="2417D0E5"/>
    <w:rsid w:val="241C249D"/>
    <w:rsid w:val="24341EFF"/>
    <w:rsid w:val="244B4DA4"/>
    <w:rsid w:val="245F020E"/>
    <w:rsid w:val="24618D29"/>
    <w:rsid w:val="2461FBD1"/>
    <w:rsid w:val="2463D283"/>
    <w:rsid w:val="24706B56"/>
    <w:rsid w:val="24851C3B"/>
    <w:rsid w:val="24936079"/>
    <w:rsid w:val="24A20328"/>
    <w:rsid w:val="24C6B1B8"/>
    <w:rsid w:val="24CA9FF4"/>
    <w:rsid w:val="24DE25B4"/>
    <w:rsid w:val="24F87D28"/>
    <w:rsid w:val="24FF9D48"/>
    <w:rsid w:val="250EB499"/>
    <w:rsid w:val="2510688B"/>
    <w:rsid w:val="2518F61F"/>
    <w:rsid w:val="251DF16E"/>
    <w:rsid w:val="25363D29"/>
    <w:rsid w:val="25604399"/>
    <w:rsid w:val="2560AB3F"/>
    <w:rsid w:val="256D96BE"/>
    <w:rsid w:val="258241DB"/>
    <w:rsid w:val="25881B1B"/>
    <w:rsid w:val="25B9355E"/>
    <w:rsid w:val="25C254FC"/>
    <w:rsid w:val="25CCDCEF"/>
    <w:rsid w:val="25D04950"/>
    <w:rsid w:val="25DA4E0F"/>
    <w:rsid w:val="25E4513C"/>
    <w:rsid w:val="25F5CE6E"/>
    <w:rsid w:val="25F75D13"/>
    <w:rsid w:val="260FF07F"/>
    <w:rsid w:val="2612FADE"/>
    <w:rsid w:val="2620D1F8"/>
    <w:rsid w:val="262DD9EE"/>
    <w:rsid w:val="26556118"/>
    <w:rsid w:val="2657A5AA"/>
    <w:rsid w:val="266E48E6"/>
    <w:rsid w:val="267CD6B5"/>
    <w:rsid w:val="26A304BF"/>
    <w:rsid w:val="26BCC450"/>
    <w:rsid w:val="26D55A8F"/>
    <w:rsid w:val="26E3EDA5"/>
    <w:rsid w:val="27052481"/>
    <w:rsid w:val="2714B273"/>
    <w:rsid w:val="27156F07"/>
    <w:rsid w:val="271CAF4B"/>
    <w:rsid w:val="272A4BD8"/>
    <w:rsid w:val="2741BEC6"/>
    <w:rsid w:val="2752D564"/>
    <w:rsid w:val="275708C5"/>
    <w:rsid w:val="27579438"/>
    <w:rsid w:val="275B1A75"/>
    <w:rsid w:val="2769CE9E"/>
    <w:rsid w:val="277D3B99"/>
    <w:rsid w:val="2787D912"/>
    <w:rsid w:val="278DCAC3"/>
    <w:rsid w:val="27B9E0B7"/>
    <w:rsid w:val="27C0DD3F"/>
    <w:rsid w:val="27E75F83"/>
    <w:rsid w:val="27F1FA33"/>
    <w:rsid w:val="28129EA5"/>
    <w:rsid w:val="28174634"/>
    <w:rsid w:val="281C8A35"/>
    <w:rsid w:val="282D368D"/>
    <w:rsid w:val="283198D4"/>
    <w:rsid w:val="2838D777"/>
    <w:rsid w:val="28453370"/>
    <w:rsid w:val="287DAF8E"/>
    <w:rsid w:val="287FA9A6"/>
    <w:rsid w:val="288DC709"/>
    <w:rsid w:val="28A124FF"/>
    <w:rsid w:val="28C848F4"/>
    <w:rsid w:val="28C93B67"/>
    <w:rsid w:val="2923A973"/>
    <w:rsid w:val="29687AA0"/>
    <w:rsid w:val="29925B92"/>
    <w:rsid w:val="2994DA8F"/>
    <w:rsid w:val="299E1117"/>
    <w:rsid w:val="29C7C64C"/>
    <w:rsid w:val="29F3EE72"/>
    <w:rsid w:val="29F4B589"/>
    <w:rsid w:val="2A0435ED"/>
    <w:rsid w:val="2A0A4D9F"/>
    <w:rsid w:val="2A1FD1DC"/>
    <w:rsid w:val="2A46BDB1"/>
    <w:rsid w:val="2A4E53C0"/>
    <w:rsid w:val="2A593E64"/>
    <w:rsid w:val="2A5F45E7"/>
    <w:rsid w:val="2A9591B5"/>
    <w:rsid w:val="2AA557CC"/>
    <w:rsid w:val="2ABF42B7"/>
    <w:rsid w:val="2AE251CA"/>
    <w:rsid w:val="2AEC67FA"/>
    <w:rsid w:val="2AF41AFD"/>
    <w:rsid w:val="2AFF641A"/>
    <w:rsid w:val="2B0628CA"/>
    <w:rsid w:val="2B07E2DE"/>
    <w:rsid w:val="2B09CECD"/>
    <w:rsid w:val="2B12A637"/>
    <w:rsid w:val="2B1A4637"/>
    <w:rsid w:val="2B1A9014"/>
    <w:rsid w:val="2B273EA7"/>
    <w:rsid w:val="2B36AC7A"/>
    <w:rsid w:val="2B3E1F4A"/>
    <w:rsid w:val="2B4B9ED2"/>
    <w:rsid w:val="2B77176E"/>
    <w:rsid w:val="2B789B66"/>
    <w:rsid w:val="2B9E2976"/>
    <w:rsid w:val="2BB522C6"/>
    <w:rsid w:val="2BD259E8"/>
    <w:rsid w:val="2BF9607F"/>
    <w:rsid w:val="2C0519EB"/>
    <w:rsid w:val="2C059EA4"/>
    <w:rsid w:val="2C2715F0"/>
    <w:rsid w:val="2C72ADA6"/>
    <w:rsid w:val="2C7D4FA0"/>
    <w:rsid w:val="2C8B4920"/>
    <w:rsid w:val="2C8CFC18"/>
    <w:rsid w:val="2C95D5A8"/>
    <w:rsid w:val="2C991576"/>
    <w:rsid w:val="2CABBDFA"/>
    <w:rsid w:val="2CB83A91"/>
    <w:rsid w:val="2CB88510"/>
    <w:rsid w:val="2CC1B5E5"/>
    <w:rsid w:val="2D20B959"/>
    <w:rsid w:val="2D3729DE"/>
    <w:rsid w:val="2D3CEA61"/>
    <w:rsid w:val="2D4D5F1E"/>
    <w:rsid w:val="2D504033"/>
    <w:rsid w:val="2D6B6C96"/>
    <w:rsid w:val="2D8EF165"/>
    <w:rsid w:val="2D9AC99A"/>
    <w:rsid w:val="2D9B46A1"/>
    <w:rsid w:val="2DC412B7"/>
    <w:rsid w:val="2DE74A66"/>
    <w:rsid w:val="2E0B6752"/>
    <w:rsid w:val="2E2D4674"/>
    <w:rsid w:val="2E3AD056"/>
    <w:rsid w:val="2E6725A3"/>
    <w:rsid w:val="2E6C36AC"/>
    <w:rsid w:val="2E7B1FF6"/>
    <w:rsid w:val="2E7B70C9"/>
    <w:rsid w:val="2E8285C7"/>
    <w:rsid w:val="2E9B4A3E"/>
    <w:rsid w:val="2EA60AD1"/>
    <w:rsid w:val="2EB1D0EF"/>
    <w:rsid w:val="2EC8B47A"/>
    <w:rsid w:val="2EDFC4E5"/>
    <w:rsid w:val="2EE9ED6B"/>
    <w:rsid w:val="2EFEDB36"/>
    <w:rsid w:val="2F1266B5"/>
    <w:rsid w:val="2F17509F"/>
    <w:rsid w:val="2F23D810"/>
    <w:rsid w:val="2F567A82"/>
    <w:rsid w:val="2F648685"/>
    <w:rsid w:val="2F6C5C94"/>
    <w:rsid w:val="2FCA33E9"/>
    <w:rsid w:val="2FD22E64"/>
    <w:rsid w:val="2FD8B840"/>
    <w:rsid w:val="2FE2B1FE"/>
    <w:rsid w:val="2FE3D1DD"/>
    <w:rsid w:val="2FE9CA36"/>
    <w:rsid w:val="300D74F5"/>
    <w:rsid w:val="3013F153"/>
    <w:rsid w:val="301DDEE9"/>
    <w:rsid w:val="302DB1CB"/>
    <w:rsid w:val="303FCEF4"/>
    <w:rsid w:val="30557D52"/>
    <w:rsid w:val="306DDC8D"/>
    <w:rsid w:val="3085CD9C"/>
    <w:rsid w:val="309451A4"/>
    <w:rsid w:val="309AAC48"/>
    <w:rsid w:val="30AF5FE6"/>
    <w:rsid w:val="30BCD613"/>
    <w:rsid w:val="30F0BA82"/>
    <w:rsid w:val="310A3109"/>
    <w:rsid w:val="312B5E1B"/>
    <w:rsid w:val="31304C05"/>
    <w:rsid w:val="313271ED"/>
    <w:rsid w:val="315029B6"/>
    <w:rsid w:val="3175EF6A"/>
    <w:rsid w:val="31788337"/>
    <w:rsid w:val="319EC44F"/>
    <w:rsid w:val="31A0C75E"/>
    <w:rsid w:val="31BA2689"/>
    <w:rsid w:val="31CAB9E7"/>
    <w:rsid w:val="31E4F56C"/>
    <w:rsid w:val="31F2507F"/>
    <w:rsid w:val="31F679B7"/>
    <w:rsid w:val="31F92B51"/>
    <w:rsid w:val="32061F72"/>
    <w:rsid w:val="32091AD6"/>
    <w:rsid w:val="320CBF37"/>
    <w:rsid w:val="320E9DE9"/>
    <w:rsid w:val="3212EFC2"/>
    <w:rsid w:val="32163E94"/>
    <w:rsid w:val="3249E6CE"/>
    <w:rsid w:val="326571C2"/>
    <w:rsid w:val="32715282"/>
    <w:rsid w:val="32719A27"/>
    <w:rsid w:val="3275EBC0"/>
    <w:rsid w:val="328DBA81"/>
    <w:rsid w:val="32CBC715"/>
    <w:rsid w:val="32CF8112"/>
    <w:rsid w:val="32CF8B4B"/>
    <w:rsid w:val="32E3CE18"/>
    <w:rsid w:val="32E7D32D"/>
    <w:rsid w:val="32FADF01"/>
    <w:rsid w:val="3303C988"/>
    <w:rsid w:val="33145398"/>
    <w:rsid w:val="333942D9"/>
    <w:rsid w:val="33405AF0"/>
    <w:rsid w:val="336D2879"/>
    <w:rsid w:val="33C16FB0"/>
    <w:rsid w:val="33DA7012"/>
    <w:rsid w:val="33F5FA8A"/>
    <w:rsid w:val="3409C5F9"/>
    <w:rsid w:val="3426051A"/>
    <w:rsid w:val="342BEAC8"/>
    <w:rsid w:val="3447CCEC"/>
    <w:rsid w:val="34A501AD"/>
    <w:rsid w:val="34CE2E4D"/>
    <w:rsid w:val="34CFEBDC"/>
    <w:rsid w:val="34ECC78A"/>
    <w:rsid w:val="34EE91EE"/>
    <w:rsid w:val="34F839A4"/>
    <w:rsid w:val="35184914"/>
    <w:rsid w:val="351E5272"/>
    <w:rsid w:val="35396A93"/>
    <w:rsid w:val="353EC863"/>
    <w:rsid w:val="354E2447"/>
    <w:rsid w:val="3557348E"/>
    <w:rsid w:val="355BC5DF"/>
    <w:rsid w:val="359D4C9A"/>
    <w:rsid w:val="359E391D"/>
    <w:rsid w:val="35B6A38F"/>
    <w:rsid w:val="35BCD6D1"/>
    <w:rsid w:val="35E4D7EE"/>
    <w:rsid w:val="35ECE450"/>
    <w:rsid w:val="3603327A"/>
    <w:rsid w:val="362A8198"/>
    <w:rsid w:val="362EA8B0"/>
    <w:rsid w:val="3639C83F"/>
    <w:rsid w:val="3644A60C"/>
    <w:rsid w:val="36476735"/>
    <w:rsid w:val="364C5639"/>
    <w:rsid w:val="36726793"/>
    <w:rsid w:val="36730710"/>
    <w:rsid w:val="36779C11"/>
    <w:rsid w:val="36966422"/>
    <w:rsid w:val="36A1CBFE"/>
    <w:rsid w:val="36B9DE39"/>
    <w:rsid w:val="36BB00D3"/>
    <w:rsid w:val="36D3DECE"/>
    <w:rsid w:val="36FCB049"/>
    <w:rsid w:val="37045745"/>
    <w:rsid w:val="370922E6"/>
    <w:rsid w:val="3712FCB7"/>
    <w:rsid w:val="3745B675"/>
    <w:rsid w:val="3747B6F0"/>
    <w:rsid w:val="37667FDB"/>
    <w:rsid w:val="377417BA"/>
    <w:rsid w:val="37863506"/>
    <w:rsid w:val="37865FC2"/>
    <w:rsid w:val="3787C91B"/>
    <w:rsid w:val="379F0FC4"/>
    <w:rsid w:val="37A2C863"/>
    <w:rsid w:val="37A3326A"/>
    <w:rsid w:val="37BB7289"/>
    <w:rsid w:val="37BCD4A0"/>
    <w:rsid w:val="37D3E246"/>
    <w:rsid w:val="37DE4007"/>
    <w:rsid w:val="37F64286"/>
    <w:rsid w:val="38356A63"/>
    <w:rsid w:val="384B237E"/>
    <w:rsid w:val="38580F96"/>
    <w:rsid w:val="3860E8FB"/>
    <w:rsid w:val="386371F7"/>
    <w:rsid w:val="387328D2"/>
    <w:rsid w:val="3889EC4B"/>
    <w:rsid w:val="388F1E4E"/>
    <w:rsid w:val="388F8E17"/>
    <w:rsid w:val="3894116E"/>
    <w:rsid w:val="38A8D94E"/>
    <w:rsid w:val="38ACFB28"/>
    <w:rsid w:val="38D60E4F"/>
    <w:rsid w:val="38EDE9DC"/>
    <w:rsid w:val="390B15B1"/>
    <w:rsid w:val="390C529D"/>
    <w:rsid w:val="3914BC51"/>
    <w:rsid w:val="391B7B29"/>
    <w:rsid w:val="392E6097"/>
    <w:rsid w:val="39440D4B"/>
    <w:rsid w:val="3970EC2A"/>
    <w:rsid w:val="39BEA070"/>
    <w:rsid w:val="39C8668E"/>
    <w:rsid w:val="39CA48CC"/>
    <w:rsid w:val="39E26E20"/>
    <w:rsid w:val="39F0BBA9"/>
    <w:rsid w:val="3A014B92"/>
    <w:rsid w:val="3A0BCC5B"/>
    <w:rsid w:val="3A204E7C"/>
    <w:rsid w:val="3A3D25A5"/>
    <w:rsid w:val="3A564372"/>
    <w:rsid w:val="3A593900"/>
    <w:rsid w:val="3A6744FF"/>
    <w:rsid w:val="3A727DC7"/>
    <w:rsid w:val="3A85145B"/>
    <w:rsid w:val="3A9622A1"/>
    <w:rsid w:val="3A974863"/>
    <w:rsid w:val="3AB94C7C"/>
    <w:rsid w:val="3AD22803"/>
    <w:rsid w:val="3AD8FCCA"/>
    <w:rsid w:val="3AF72747"/>
    <w:rsid w:val="3B2F5187"/>
    <w:rsid w:val="3B351CB8"/>
    <w:rsid w:val="3B3B9768"/>
    <w:rsid w:val="3B55BC4D"/>
    <w:rsid w:val="3B59A924"/>
    <w:rsid w:val="3B6233AB"/>
    <w:rsid w:val="3B69D63A"/>
    <w:rsid w:val="3B716789"/>
    <w:rsid w:val="3B90A613"/>
    <w:rsid w:val="3B9BE474"/>
    <w:rsid w:val="3BC15355"/>
    <w:rsid w:val="3BC25B9D"/>
    <w:rsid w:val="3BFF1FEF"/>
    <w:rsid w:val="3C069896"/>
    <w:rsid w:val="3C10B02F"/>
    <w:rsid w:val="3C1B2882"/>
    <w:rsid w:val="3C1B635D"/>
    <w:rsid w:val="3C270251"/>
    <w:rsid w:val="3C44810C"/>
    <w:rsid w:val="3C4B51DD"/>
    <w:rsid w:val="3C8170CA"/>
    <w:rsid w:val="3C9063C0"/>
    <w:rsid w:val="3C9A4BC4"/>
    <w:rsid w:val="3CB17A58"/>
    <w:rsid w:val="3CB3A39A"/>
    <w:rsid w:val="3CC4F8DD"/>
    <w:rsid w:val="3CC68AD7"/>
    <w:rsid w:val="3CDC6336"/>
    <w:rsid w:val="3D074079"/>
    <w:rsid w:val="3D0C9B71"/>
    <w:rsid w:val="3D1EB009"/>
    <w:rsid w:val="3D64ED1C"/>
    <w:rsid w:val="3D7685CB"/>
    <w:rsid w:val="3D771C0F"/>
    <w:rsid w:val="3D928CF9"/>
    <w:rsid w:val="3D9FD777"/>
    <w:rsid w:val="3DAE6F9E"/>
    <w:rsid w:val="3DAF0C28"/>
    <w:rsid w:val="3DCDC363"/>
    <w:rsid w:val="3DE18B1A"/>
    <w:rsid w:val="3DE51FB2"/>
    <w:rsid w:val="3DE7F0F9"/>
    <w:rsid w:val="3E014187"/>
    <w:rsid w:val="3E0F9DBC"/>
    <w:rsid w:val="3E147597"/>
    <w:rsid w:val="3E2084A4"/>
    <w:rsid w:val="3E326D79"/>
    <w:rsid w:val="3E37528D"/>
    <w:rsid w:val="3E57C1EB"/>
    <w:rsid w:val="3E5A9DE7"/>
    <w:rsid w:val="3E6520EE"/>
    <w:rsid w:val="3E6A5D88"/>
    <w:rsid w:val="3E90CA2F"/>
    <w:rsid w:val="3E9CD845"/>
    <w:rsid w:val="3EA1BEAA"/>
    <w:rsid w:val="3EBB0CF0"/>
    <w:rsid w:val="3EBB1A59"/>
    <w:rsid w:val="3ECD414E"/>
    <w:rsid w:val="3EDCC8EA"/>
    <w:rsid w:val="3EDD1FDA"/>
    <w:rsid w:val="3EF9ADA7"/>
    <w:rsid w:val="3EFC881B"/>
    <w:rsid w:val="3F0956F4"/>
    <w:rsid w:val="3F12D14D"/>
    <w:rsid w:val="3F23025B"/>
    <w:rsid w:val="3F719F55"/>
    <w:rsid w:val="3F8A7A51"/>
    <w:rsid w:val="3F9C1BA7"/>
    <w:rsid w:val="3F9E328A"/>
    <w:rsid w:val="3F9E9A7B"/>
    <w:rsid w:val="3FAAE13D"/>
    <w:rsid w:val="3FC7E6CF"/>
    <w:rsid w:val="3FCA3978"/>
    <w:rsid w:val="3FCB4A16"/>
    <w:rsid w:val="3FCB5290"/>
    <w:rsid w:val="3FEFA656"/>
    <w:rsid w:val="3FFD09F5"/>
    <w:rsid w:val="400DFF31"/>
    <w:rsid w:val="40396AED"/>
    <w:rsid w:val="4048D227"/>
    <w:rsid w:val="406AEEFF"/>
    <w:rsid w:val="406E75B1"/>
    <w:rsid w:val="407231B7"/>
    <w:rsid w:val="4077E1C3"/>
    <w:rsid w:val="409BC9D6"/>
    <w:rsid w:val="40AACF33"/>
    <w:rsid w:val="40DBB4A1"/>
    <w:rsid w:val="40FB7C80"/>
    <w:rsid w:val="40FCAA47"/>
    <w:rsid w:val="40FD5066"/>
    <w:rsid w:val="41098A56"/>
    <w:rsid w:val="41160451"/>
    <w:rsid w:val="4145AD42"/>
    <w:rsid w:val="41A3366E"/>
    <w:rsid w:val="41BD10BF"/>
    <w:rsid w:val="41C9F751"/>
    <w:rsid w:val="41F02F1A"/>
    <w:rsid w:val="41FE435D"/>
    <w:rsid w:val="4205B0D8"/>
    <w:rsid w:val="4218B267"/>
    <w:rsid w:val="4221FC08"/>
    <w:rsid w:val="4228EB67"/>
    <w:rsid w:val="423D57A4"/>
    <w:rsid w:val="424731A1"/>
    <w:rsid w:val="4254D673"/>
    <w:rsid w:val="425583E7"/>
    <w:rsid w:val="4291599E"/>
    <w:rsid w:val="42AA51E4"/>
    <w:rsid w:val="42AB26DB"/>
    <w:rsid w:val="42B8ADC3"/>
    <w:rsid w:val="42C3EAF2"/>
    <w:rsid w:val="42C90FDF"/>
    <w:rsid w:val="42CE7792"/>
    <w:rsid w:val="42E4967D"/>
    <w:rsid w:val="42E4F96E"/>
    <w:rsid w:val="42EAE1A9"/>
    <w:rsid w:val="42EEDB75"/>
    <w:rsid w:val="43050042"/>
    <w:rsid w:val="430C47C7"/>
    <w:rsid w:val="43108BE5"/>
    <w:rsid w:val="431B3BCA"/>
    <w:rsid w:val="43244BAE"/>
    <w:rsid w:val="432F2C1B"/>
    <w:rsid w:val="433A0EE7"/>
    <w:rsid w:val="434494E3"/>
    <w:rsid w:val="434F788D"/>
    <w:rsid w:val="436BC89D"/>
    <w:rsid w:val="43786D69"/>
    <w:rsid w:val="4383E933"/>
    <w:rsid w:val="439B1B0E"/>
    <w:rsid w:val="43A14E52"/>
    <w:rsid w:val="43AF8285"/>
    <w:rsid w:val="43BFC9D3"/>
    <w:rsid w:val="43C28218"/>
    <w:rsid w:val="43C9D474"/>
    <w:rsid w:val="43CC2646"/>
    <w:rsid w:val="43CD4386"/>
    <w:rsid w:val="43E4101C"/>
    <w:rsid w:val="4407C0BA"/>
    <w:rsid w:val="4414F744"/>
    <w:rsid w:val="4434FD60"/>
    <w:rsid w:val="44570D70"/>
    <w:rsid w:val="4460A794"/>
    <w:rsid w:val="446E09F1"/>
    <w:rsid w:val="447544D3"/>
    <w:rsid w:val="44864B3E"/>
    <w:rsid w:val="448CA072"/>
    <w:rsid w:val="44BC309C"/>
    <w:rsid w:val="44C2C261"/>
    <w:rsid w:val="44C34E7A"/>
    <w:rsid w:val="450E6ECA"/>
    <w:rsid w:val="453C7DA3"/>
    <w:rsid w:val="453CABAF"/>
    <w:rsid w:val="45440976"/>
    <w:rsid w:val="45499215"/>
    <w:rsid w:val="454B52E6"/>
    <w:rsid w:val="456E7DAD"/>
    <w:rsid w:val="4579F7E0"/>
    <w:rsid w:val="457C493D"/>
    <w:rsid w:val="45879F60"/>
    <w:rsid w:val="458DD914"/>
    <w:rsid w:val="4595BA2D"/>
    <w:rsid w:val="459F0BF7"/>
    <w:rsid w:val="459F1506"/>
    <w:rsid w:val="45A0055F"/>
    <w:rsid w:val="45E7DD04"/>
    <w:rsid w:val="45F770A2"/>
    <w:rsid w:val="46071F65"/>
    <w:rsid w:val="460FCA21"/>
    <w:rsid w:val="466C7FDE"/>
    <w:rsid w:val="46812E77"/>
    <w:rsid w:val="46949B07"/>
    <w:rsid w:val="46A98D6F"/>
    <w:rsid w:val="46B1DECE"/>
    <w:rsid w:val="46F348F7"/>
    <w:rsid w:val="4707543A"/>
    <w:rsid w:val="472F121C"/>
    <w:rsid w:val="473C89CF"/>
    <w:rsid w:val="475586B0"/>
    <w:rsid w:val="476684D8"/>
    <w:rsid w:val="47885306"/>
    <w:rsid w:val="479221B3"/>
    <w:rsid w:val="47AD5677"/>
    <w:rsid w:val="47AE6628"/>
    <w:rsid w:val="47BB842E"/>
    <w:rsid w:val="47BD6139"/>
    <w:rsid w:val="47C3F30A"/>
    <w:rsid w:val="47C4E217"/>
    <w:rsid w:val="47D6C5FD"/>
    <w:rsid w:val="47E4B24C"/>
    <w:rsid w:val="47EE3233"/>
    <w:rsid w:val="47FADA5D"/>
    <w:rsid w:val="48016399"/>
    <w:rsid w:val="48218D19"/>
    <w:rsid w:val="482C65DA"/>
    <w:rsid w:val="483ACC50"/>
    <w:rsid w:val="484E0BDA"/>
    <w:rsid w:val="4855F116"/>
    <w:rsid w:val="4864553F"/>
    <w:rsid w:val="4885C6D2"/>
    <w:rsid w:val="488CB867"/>
    <w:rsid w:val="48A11896"/>
    <w:rsid w:val="48A6FAAF"/>
    <w:rsid w:val="48ABCA51"/>
    <w:rsid w:val="48AD4EC7"/>
    <w:rsid w:val="48C16752"/>
    <w:rsid w:val="48C7E696"/>
    <w:rsid w:val="48C7F593"/>
    <w:rsid w:val="48DA4E47"/>
    <w:rsid w:val="48DE523F"/>
    <w:rsid w:val="48E615BC"/>
    <w:rsid w:val="48EC15A4"/>
    <w:rsid w:val="48F9552A"/>
    <w:rsid w:val="490A0EFD"/>
    <w:rsid w:val="492A8156"/>
    <w:rsid w:val="4949F3D2"/>
    <w:rsid w:val="49813646"/>
    <w:rsid w:val="49814765"/>
    <w:rsid w:val="49B30E5C"/>
    <w:rsid w:val="49C11A9C"/>
    <w:rsid w:val="49E9FCF3"/>
    <w:rsid w:val="49EF7BBE"/>
    <w:rsid w:val="4A0A3E58"/>
    <w:rsid w:val="4A28DEC9"/>
    <w:rsid w:val="4A2EFB93"/>
    <w:rsid w:val="4A3BE076"/>
    <w:rsid w:val="4A41EF0E"/>
    <w:rsid w:val="4A5FECE5"/>
    <w:rsid w:val="4A62B132"/>
    <w:rsid w:val="4A85CEEB"/>
    <w:rsid w:val="4A89B161"/>
    <w:rsid w:val="4A8ADF48"/>
    <w:rsid w:val="4A8E2C99"/>
    <w:rsid w:val="4A916740"/>
    <w:rsid w:val="4A98D8DE"/>
    <w:rsid w:val="4AB2926D"/>
    <w:rsid w:val="4AB40606"/>
    <w:rsid w:val="4AB481AB"/>
    <w:rsid w:val="4AC436E6"/>
    <w:rsid w:val="4ACD0025"/>
    <w:rsid w:val="4AD370C2"/>
    <w:rsid w:val="4AD93471"/>
    <w:rsid w:val="4AE79518"/>
    <w:rsid w:val="4AEC6B45"/>
    <w:rsid w:val="4AFFA283"/>
    <w:rsid w:val="4B1294EB"/>
    <w:rsid w:val="4B1381B5"/>
    <w:rsid w:val="4B17C89F"/>
    <w:rsid w:val="4B333866"/>
    <w:rsid w:val="4B4A468E"/>
    <w:rsid w:val="4B6AF164"/>
    <w:rsid w:val="4B6CD835"/>
    <w:rsid w:val="4B70D88A"/>
    <w:rsid w:val="4B8357F5"/>
    <w:rsid w:val="4B9DB432"/>
    <w:rsid w:val="4BB28395"/>
    <w:rsid w:val="4BB64149"/>
    <w:rsid w:val="4BE49AAB"/>
    <w:rsid w:val="4C11AF21"/>
    <w:rsid w:val="4C148FDD"/>
    <w:rsid w:val="4C1E4B1F"/>
    <w:rsid w:val="4C23209C"/>
    <w:rsid w:val="4C3B8E56"/>
    <w:rsid w:val="4C4FA46A"/>
    <w:rsid w:val="4C4FC88F"/>
    <w:rsid w:val="4C68FC41"/>
    <w:rsid w:val="4C6F4A40"/>
    <w:rsid w:val="4C7C070B"/>
    <w:rsid w:val="4C985EA3"/>
    <w:rsid w:val="4C9C0E51"/>
    <w:rsid w:val="4CAAEA9D"/>
    <w:rsid w:val="4CAEEACB"/>
    <w:rsid w:val="4CB4A9CB"/>
    <w:rsid w:val="4CCDB924"/>
    <w:rsid w:val="4CDF9346"/>
    <w:rsid w:val="4CEC2CA8"/>
    <w:rsid w:val="4CF1C269"/>
    <w:rsid w:val="4D0A2928"/>
    <w:rsid w:val="4D12B8F5"/>
    <w:rsid w:val="4D199B22"/>
    <w:rsid w:val="4D205A73"/>
    <w:rsid w:val="4D74B31D"/>
    <w:rsid w:val="4D798FD0"/>
    <w:rsid w:val="4D843F27"/>
    <w:rsid w:val="4DAE88DB"/>
    <w:rsid w:val="4DB5396E"/>
    <w:rsid w:val="4DBAB4F2"/>
    <w:rsid w:val="4DBD31EE"/>
    <w:rsid w:val="4DEB98F0"/>
    <w:rsid w:val="4DEC3DC4"/>
    <w:rsid w:val="4E0A630D"/>
    <w:rsid w:val="4E2DE2E1"/>
    <w:rsid w:val="4E6B300E"/>
    <w:rsid w:val="4E7806AA"/>
    <w:rsid w:val="4E8244EA"/>
    <w:rsid w:val="4E837274"/>
    <w:rsid w:val="4E94EC62"/>
    <w:rsid w:val="4EE0E128"/>
    <w:rsid w:val="4F016549"/>
    <w:rsid w:val="4F232984"/>
    <w:rsid w:val="4F2F95F7"/>
    <w:rsid w:val="4F38ECF9"/>
    <w:rsid w:val="4F4F9FC4"/>
    <w:rsid w:val="4F550412"/>
    <w:rsid w:val="4F9117BA"/>
    <w:rsid w:val="4F925494"/>
    <w:rsid w:val="4F9C72C7"/>
    <w:rsid w:val="4F9CA79A"/>
    <w:rsid w:val="4FAF9EE0"/>
    <w:rsid w:val="4FCD874A"/>
    <w:rsid w:val="4FDB12E1"/>
    <w:rsid w:val="4FDF541B"/>
    <w:rsid w:val="5002ABED"/>
    <w:rsid w:val="500C8426"/>
    <w:rsid w:val="501053AE"/>
    <w:rsid w:val="5018E96F"/>
    <w:rsid w:val="502D86F4"/>
    <w:rsid w:val="506CD159"/>
    <w:rsid w:val="50962E7C"/>
    <w:rsid w:val="5096E5ED"/>
    <w:rsid w:val="50980CA0"/>
    <w:rsid w:val="509A892E"/>
    <w:rsid w:val="50B554DA"/>
    <w:rsid w:val="50CC80C1"/>
    <w:rsid w:val="50D241AA"/>
    <w:rsid w:val="50E624B6"/>
    <w:rsid w:val="50FE2451"/>
    <w:rsid w:val="512C75EF"/>
    <w:rsid w:val="513DBE9F"/>
    <w:rsid w:val="517CF485"/>
    <w:rsid w:val="518A8755"/>
    <w:rsid w:val="51A0DA09"/>
    <w:rsid w:val="51C94ACA"/>
    <w:rsid w:val="51D4EA05"/>
    <w:rsid w:val="51D74348"/>
    <w:rsid w:val="51DA6FFD"/>
    <w:rsid w:val="51E004B0"/>
    <w:rsid w:val="51EBE8CD"/>
    <w:rsid w:val="51F62285"/>
    <w:rsid w:val="520BB860"/>
    <w:rsid w:val="52153CF2"/>
    <w:rsid w:val="5225CD69"/>
    <w:rsid w:val="523141C6"/>
    <w:rsid w:val="52338DE3"/>
    <w:rsid w:val="5242C00E"/>
    <w:rsid w:val="524C2068"/>
    <w:rsid w:val="52605CFB"/>
    <w:rsid w:val="52890D04"/>
    <w:rsid w:val="52AAA498"/>
    <w:rsid w:val="52BCA5DB"/>
    <w:rsid w:val="52C222DB"/>
    <w:rsid w:val="52C728BE"/>
    <w:rsid w:val="52D2F8A0"/>
    <w:rsid w:val="52D8F3EE"/>
    <w:rsid w:val="52DF129F"/>
    <w:rsid w:val="52F5AEF7"/>
    <w:rsid w:val="530D76B8"/>
    <w:rsid w:val="530DBCCA"/>
    <w:rsid w:val="53149C46"/>
    <w:rsid w:val="537E8A5D"/>
    <w:rsid w:val="5384E8C8"/>
    <w:rsid w:val="5385C67B"/>
    <w:rsid w:val="5392E27C"/>
    <w:rsid w:val="53BD4F51"/>
    <w:rsid w:val="53D36F26"/>
    <w:rsid w:val="53E1C2C6"/>
    <w:rsid w:val="541F2AE0"/>
    <w:rsid w:val="54329692"/>
    <w:rsid w:val="5438E1DA"/>
    <w:rsid w:val="544CE9D0"/>
    <w:rsid w:val="5456210B"/>
    <w:rsid w:val="545A70F8"/>
    <w:rsid w:val="54BC9EA6"/>
    <w:rsid w:val="54C530D6"/>
    <w:rsid w:val="54C54AD8"/>
    <w:rsid w:val="54D9B9F4"/>
    <w:rsid w:val="54F0D9A6"/>
    <w:rsid w:val="550FB9B0"/>
    <w:rsid w:val="5525569A"/>
    <w:rsid w:val="552B3BE7"/>
    <w:rsid w:val="55329B4D"/>
    <w:rsid w:val="5534DFDD"/>
    <w:rsid w:val="554850FE"/>
    <w:rsid w:val="55545343"/>
    <w:rsid w:val="555FE388"/>
    <w:rsid w:val="55654424"/>
    <w:rsid w:val="55755D46"/>
    <w:rsid w:val="557D91E7"/>
    <w:rsid w:val="55B8467D"/>
    <w:rsid w:val="55B9FCF7"/>
    <w:rsid w:val="55C63102"/>
    <w:rsid w:val="55DFC098"/>
    <w:rsid w:val="55E085F4"/>
    <w:rsid w:val="55E8BA31"/>
    <w:rsid w:val="560D9F7C"/>
    <w:rsid w:val="56120A51"/>
    <w:rsid w:val="562738FE"/>
    <w:rsid w:val="5642A642"/>
    <w:rsid w:val="56467A59"/>
    <w:rsid w:val="565DA3FA"/>
    <w:rsid w:val="569E6893"/>
    <w:rsid w:val="569FAB46"/>
    <w:rsid w:val="569FC3EA"/>
    <w:rsid w:val="56B2E153"/>
    <w:rsid w:val="56BA077E"/>
    <w:rsid w:val="56BA79C5"/>
    <w:rsid w:val="56BAA712"/>
    <w:rsid w:val="56BF6031"/>
    <w:rsid w:val="56CA190F"/>
    <w:rsid w:val="56D16E3C"/>
    <w:rsid w:val="56DBBC94"/>
    <w:rsid w:val="56DC869B"/>
    <w:rsid w:val="56E09DE9"/>
    <w:rsid w:val="56EE4119"/>
    <w:rsid w:val="56F16391"/>
    <w:rsid w:val="57011DB3"/>
    <w:rsid w:val="57055CEC"/>
    <w:rsid w:val="5714534E"/>
    <w:rsid w:val="572062BE"/>
    <w:rsid w:val="5732FC85"/>
    <w:rsid w:val="5738746C"/>
    <w:rsid w:val="575D6861"/>
    <w:rsid w:val="5760DF15"/>
    <w:rsid w:val="57762A6D"/>
    <w:rsid w:val="578F49F7"/>
    <w:rsid w:val="57960B81"/>
    <w:rsid w:val="579BD830"/>
    <w:rsid w:val="57A15361"/>
    <w:rsid w:val="57ABEA80"/>
    <w:rsid w:val="57AF4477"/>
    <w:rsid w:val="57AF9588"/>
    <w:rsid w:val="57BA1BE3"/>
    <w:rsid w:val="57CE7595"/>
    <w:rsid w:val="57CF2AD3"/>
    <w:rsid w:val="57D7E1A7"/>
    <w:rsid w:val="57E17541"/>
    <w:rsid w:val="57F129AA"/>
    <w:rsid w:val="57F31D3F"/>
    <w:rsid w:val="58228F97"/>
    <w:rsid w:val="58255ADE"/>
    <w:rsid w:val="5839E678"/>
    <w:rsid w:val="583AF1E5"/>
    <w:rsid w:val="5872FBEA"/>
    <w:rsid w:val="588FF2F9"/>
    <w:rsid w:val="58995E71"/>
    <w:rsid w:val="589FE686"/>
    <w:rsid w:val="58A725F5"/>
    <w:rsid w:val="58A7AE9C"/>
    <w:rsid w:val="58A9D18E"/>
    <w:rsid w:val="58D79AE0"/>
    <w:rsid w:val="58DBF55A"/>
    <w:rsid w:val="58E46F9D"/>
    <w:rsid w:val="58F19DB9"/>
    <w:rsid w:val="592E93D5"/>
    <w:rsid w:val="594F955B"/>
    <w:rsid w:val="5995F206"/>
    <w:rsid w:val="5996F040"/>
    <w:rsid w:val="59989215"/>
    <w:rsid w:val="59CA2C8C"/>
    <w:rsid w:val="5A1E939F"/>
    <w:rsid w:val="5A30F844"/>
    <w:rsid w:val="5A356D9E"/>
    <w:rsid w:val="5A37E410"/>
    <w:rsid w:val="5A458B76"/>
    <w:rsid w:val="5A61A7F8"/>
    <w:rsid w:val="5A7BACDE"/>
    <w:rsid w:val="5A7BF516"/>
    <w:rsid w:val="5A9863F4"/>
    <w:rsid w:val="5AA01BBD"/>
    <w:rsid w:val="5ADFB09A"/>
    <w:rsid w:val="5AEEF506"/>
    <w:rsid w:val="5B3A561A"/>
    <w:rsid w:val="5B3ABE99"/>
    <w:rsid w:val="5B3F58E3"/>
    <w:rsid w:val="5B404DF7"/>
    <w:rsid w:val="5B4BDB1A"/>
    <w:rsid w:val="5B653F1B"/>
    <w:rsid w:val="5BAB70C0"/>
    <w:rsid w:val="5BAD9E52"/>
    <w:rsid w:val="5BFBD0BF"/>
    <w:rsid w:val="5BFEF9EC"/>
    <w:rsid w:val="5C229EF4"/>
    <w:rsid w:val="5C286A63"/>
    <w:rsid w:val="5C2AA016"/>
    <w:rsid w:val="5C3E684B"/>
    <w:rsid w:val="5C405F24"/>
    <w:rsid w:val="5C54C7BB"/>
    <w:rsid w:val="5C5BB5F6"/>
    <w:rsid w:val="5C5EDC91"/>
    <w:rsid w:val="5C6645B8"/>
    <w:rsid w:val="5C7526C3"/>
    <w:rsid w:val="5C892AB7"/>
    <w:rsid w:val="5C8D142C"/>
    <w:rsid w:val="5C8FDC33"/>
    <w:rsid w:val="5C98F24F"/>
    <w:rsid w:val="5CB8B98E"/>
    <w:rsid w:val="5CC412A7"/>
    <w:rsid w:val="5CC93189"/>
    <w:rsid w:val="5CD0FD9F"/>
    <w:rsid w:val="5CD4E0DA"/>
    <w:rsid w:val="5CE48282"/>
    <w:rsid w:val="5CE7ECC7"/>
    <w:rsid w:val="5CF6DDEB"/>
    <w:rsid w:val="5CFA08EA"/>
    <w:rsid w:val="5D085F6B"/>
    <w:rsid w:val="5D1A017E"/>
    <w:rsid w:val="5D322AB3"/>
    <w:rsid w:val="5D400B9A"/>
    <w:rsid w:val="5D409351"/>
    <w:rsid w:val="5D652B59"/>
    <w:rsid w:val="5D6C91FF"/>
    <w:rsid w:val="5D77268D"/>
    <w:rsid w:val="5D7D87E9"/>
    <w:rsid w:val="5D93837A"/>
    <w:rsid w:val="5D965B72"/>
    <w:rsid w:val="5DAFFC90"/>
    <w:rsid w:val="5DC98A37"/>
    <w:rsid w:val="5DCA1D03"/>
    <w:rsid w:val="5DDD25CE"/>
    <w:rsid w:val="5DEF2A71"/>
    <w:rsid w:val="5E032D56"/>
    <w:rsid w:val="5E379DE2"/>
    <w:rsid w:val="5E453BB6"/>
    <w:rsid w:val="5E4E7DF2"/>
    <w:rsid w:val="5E6501EA"/>
    <w:rsid w:val="5E80C9C4"/>
    <w:rsid w:val="5E96BE84"/>
    <w:rsid w:val="5EC5C242"/>
    <w:rsid w:val="5EC62191"/>
    <w:rsid w:val="5EC684BC"/>
    <w:rsid w:val="5EE055A4"/>
    <w:rsid w:val="5F145AB5"/>
    <w:rsid w:val="5F249A56"/>
    <w:rsid w:val="5F289E1C"/>
    <w:rsid w:val="5F30611E"/>
    <w:rsid w:val="5F34E916"/>
    <w:rsid w:val="5F3615B2"/>
    <w:rsid w:val="5F40032A"/>
    <w:rsid w:val="5F42D772"/>
    <w:rsid w:val="5F4915BB"/>
    <w:rsid w:val="5F5A47E5"/>
    <w:rsid w:val="5F5D0B27"/>
    <w:rsid w:val="5F654CBC"/>
    <w:rsid w:val="5F85E63D"/>
    <w:rsid w:val="5F861C6C"/>
    <w:rsid w:val="5F8B8DA7"/>
    <w:rsid w:val="5F9BE9BB"/>
    <w:rsid w:val="5F9C0131"/>
    <w:rsid w:val="5FA9CB5E"/>
    <w:rsid w:val="5FB84BE2"/>
    <w:rsid w:val="5FB87E68"/>
    <w:rsid w:val="5FC16B8B"/>
    <w:rsid w:val="5FCA82B7"/>
    <w:rsid w:val="5FE51964"/>
    <w:rsid w:val="5FFFAFA2"/>
    <w:rsid w:val="600CDD27"/>
    <w:rsid w:val="6025BCE2"/>
    <w:rsid w:val="6034E1F5"/>
    <w:rsid w:val="603A3E0A"/>
    <w:rsid w:val="6043582F"/>
    <w:rsid w:val="6048364A"/>
    <w:rsid w:val="6051A240"/>
    <w:rsid w:val="6053B314"/>
    <w:rsid w:val="605621EF"/>
    <w:rsid w:val="606625D1"/>
    <w:rsid w:val="608A0BA4"/>
    <w:rsid w:val="60980311"/>
    <w:rsid w:val="60A1C351"/>
    <w:rsid w:val="60B00AED"/>
    <w:rsid w:val="60F108F7"/>
    <w:rsid w:val="60F8393D"/>
    <w:rsid w:val="60FBD63F"/>
    <w:rsid w:val="6112CB09"/>
    <w:rsid w:val="6114EC81"/>
    <w:rsid w:val="6175D74C"/>
    <w:rsid w:val="61774BB6"/>
    <w:rsid w:val="6197DDD1"/>
    <w:rsid w:val="6198A61C"/>
    <w:rsid w:val="61DD19EA"/>
    <w:rsid w:val="61F987B3"/>
    <w:rsid w:val="6205742F"/>
    <w:rsid w:val="620E9F24"/>
    <w:rsid w:val="620EC814"/>
    <w:rsid w:val="622930C8"/>
    <w:rsid w:val="622FE8FC"/>
    <w:rsid w:val="623114C3"/>
    <w:rsid w:val="62369468"/>
    <w:rsid w:val="6243160B"/>
    <w:rsid w:val="6244EAE1"/>
    <w:rsid w:val="62508920"/>
    <w:rsid w:val="6250EDBC"/>
    <w:rsid w:val="62630C94"/>
    <w:rsid w:val="62877BFA"/>
    <w:rsid w:val="62AF5F63"/>
    <w:rsid w:val="62B5B72E"/>
    <w:rsid w:val="62C8FB39"/>
    <w:rsid w:val="62FC44EA"/>
    <w:rsid w:val="6327B21E"/>
    <w:rsid w:val="6339B7DA"/>
    <w:rsid w:val="6343F8FE"/>
    <w:rsid w:val="63495DD6"/>
    <w:rsid w:val="6357DF4B"/>
    <w:rsid w:val="635A23E5"/>
    <w:rsid w:val="6365D577"/>
    <w:rsid w:val="637859EF"/>
    <w:rsid w:val="637A43E8"/>
    <w:rsid w:val="6381B720"/>
    <w:rsid w:val="63BE248F"/>
    <w:rsid w:val="63C7A947"/>
    <w:rsid w:val="63C96A50"/>
    <w:rsid w:val="63D49E21"/>
    <w:rsid w:val="63EC5981"/>
    <w:rsid w:val="63FFB8EA"/>
    <w:rsid w:val="6442DAF6"/>
    <w:rsid w:val="645966DA"/>
    <w:rsid w:val="6463A33E"/>
    <w:rsid w:val="64642FA9"/>
    <w:rsid w:val="646BC911"/>
    <w:rsid w:val="648C4EFB"/>
    <w:rsid w:val="648E6258"/>
    <w:rsid w:val="649B75E8"/>
    <w:rsid w:val="649DF3DA"/>
    <w:rsid w:val="64A006AE"/>
    <w:rsid w:val="64B32BA6"/>
    <w:rsid w:val="64BB3899"/>
    <w:rsid w:val="64DA7C16"/>
    <w:rsid w:val="64E62287"/>
    <w:rsid w:val="652AE558"/>
    <w:rsid w:val="652B8545"/>
    <w:rsid w:val="65353E14"/>
    <w:rsid w:val="65402D94"/>
    <w:rsid w:val="65435661"/>
    <w:rsid w:val="65661DC1"/>
    <w:rsid w:val="6575AB7E"/>
    <w:rsid w:val="65820404"/>
    <w:rsid w:val="659367BD"/>
    <w:rsid w:val="65BA1CDC"/>
    <w:rsid w:val="65CD3D77"/>
    <w:rsid w:val="65E5CB61"/>
    <w:rsid w:val="65E79F15"/>
    <w:rsid w:val="660C8BB8"/>
    <w:rsid w:val="661BD288"/>
    <w:rsid w:val="66267B3F"/>
    <w:rsid w:val="66308437"/>
    <w:rsid w:val="6631BC13"/>
    <w:rsid w:val="663F7169"/>
    <w:rsid w:val="664C0A39"/>
    <w:rsid w:val="665ED185"/>
    <w:rsid w:val="667DB997"/>
    <w:rsid w:val="668FD97E"/>
    <w:rsid w:val="669AFB0D"/>
    <w:rsid w:val="669C0D26"/>
    <w:rsid w:val="66C66225"/>
    <w:rsid w:val="66D0F48E"/>
    <w:rsid w:val="66D696B2"/>
    <w:rsid w:val="66D69D24"/>
    <w:rsid w:val="66DF7408"/>
    <w:rsid w:val="66E35E86"/>
    <w:rsid w:val="66EFB06C"/>
    <w:rsid w:val="66F087C6"/>
    <w:rsid w:val="6701EE22"/>
    <w:rsid w:val="6716C061"/>
    <w:rsid w:val="673E61C0"/>
    <w:rsid w:val="673FDBBC"/>
    <w:rsid w:val="674B1074"/>
    <w:rsid w:val="675A4F2D"/>
    <w:rsid w:val="675DB771"/>
    <w:rsid w:val="677E04B4"/>
    <w:rsid w:val="678924EA"/>
    <w:rsid w:val="678F005C"/>
    <w:rsid w:val="6790FF37"/>
    <w:rsid w:val="6796BAE8"/>
    <w:rsid w:val="679D78C4"/>
    <w:rsid w:val="67A128DD"/>
    <w:rsid w:val="67AD9BB3"/>
    <w:rsid w:val="67AEF0E9"/>
    <w:rsid w:val="680C8E0D"/>
    <w:rsid w:val="680CA9D0"/>
    <w:rsid w:val="68130F64"/>
    <w:rsid w:val="681FA09D"/>
    <w:rsid w:val="68274FF2"/>
    <w:rsid w:val="683A825C"/>
    <w:rsid w:val="684C3770"/>
    <w:rsid w:val="68598CF7"/>
    <w:rsid w:val="68855D8D"/>
    <w:rsid w:val="688A81DF"/>
    <w:rsid w:val="688BA2DA"/>
    <w:rsid w:val="688DFBC3"/>
    <w:rsid w:val="689D2ACC"/>
    <w:rsid w:val="68B096CF"/>
    <w:rsid w:val="68B971D5"/>
    <w:rsid w:val="68D06EFD"/>
    <w:rsid w:val="68D85C52"/>
    <w:rsid w:val="68E106CA"/>
    <w:rsid w:val="68E4A98C"/>
    <w:rsid w:val="68FB31D5"/>
    <w:rsid w:val="690EF702"/>
    <w:rsid w:val="693EAF1E"/>
    <w:rsid w:val="69437342"/>
    <w:rsid w:val="696A5D92"/>
    <w:rsid w:val="698D4434"/>
    <w:rsid w:val="6991C358"/>
    <w:rsid w:val="699E4F14"/>
    <w:rsid w:val="69B5FFF1"/>
    <w:rsid w:val="69C2E95A"/>
    <w:rsid w:val="69D55F74"/>
    <w:rsid w:val="69FA0F6E"/>
    <w:rsid w:val="6A0BE537"/>
    <w:rsid w:val="6A2AA39E"/>
    <w:rsid w:val="6A32E620"/>
    <w:rsid w:val="6A4272A8"/>
    <w:rsid w:val="6A566C60"/>
    <w:rsid w:val="6A5F9F55"/>
    <w:rsid w:val="6A76D0F0"/>
    <w:rsid w:val="6A7BDB0C"/>
    <w:rsid w:val="6A931482"/>
    <w:rsid w:val="6A9AC354"/>
    <w:rsid w:val="6A9C41D1"/>
    <w:rsid w:val="6ABDF6CD"/>
    <w:rsid w:val="6AD2C194"/>
    <w:rsid w:val="6ADF3B57"/>
    <w:rsid w:val="6AE88B9E"/>
    <w:rsid w:val="6AE9FA1F"/>
    <w:rsid w:val="6AEF6943"/>
    <w:rsid w:val="6B21F958"/>
    <w:rsid w:val="6B25E0EC"/>
    <w:rsid w:val="6B2B9D7D"/>
    <w:rsid w:val="6B386CAF"/>
    <w:rsid w:val="6B5414FF"/>
    <w:rsid w:val="6B5C8CF3"/>
    <w:rsid w:val="6B6BEABA"/>
    <w:rsid w:val="6B6C447F"/>
    <w:rsid w:val="6B78470C"/>
    <w:rsid w:val="6B982B29"/>
    <w:rsid w:val="6BA1BFD3"/>
    <w:rsid w:val="6BA4F846"/>
    <w:rsid w:val="6BA9F493"/>
    <w:rsid w:val="6BB37D5A"/>
    <w:rsid w:val="6BBB2217"/>
    <w:rsid w:val="6BBB8990"/>
    <w:rsid w:val="6BD9B560"/>
    <w:rsid w:val="6BDDB650"/>
    <w:rsid w:val="6BF56572"/>
    <w:rsid w:val="6BFCEB14"/>
    <w:rsid w:val="6C09DA10"/>
    <w:rsid w:val="6C148D1C"/>
    <w:rsid w:val="6C1A5D85"/>
    <w:rsid w:val="6C37FB4D"/>
    <w:rsid w:val="6C568477"/>
    <w:rsid w:val="6C5C8869"/>
    <w:rsid w:val="6C6739A9"/>
    <w:rsid w:val="6C6F259E"/>
    <w:rsid w:val="6C91A0FE"/>
    <w:rsid w:val="6CA3FB16"/>
    <w:rsid w:val="6CAA1BDC"/>
    <w:rsid w:val="6CBAA568"/>
    <w:rsid w:val="6CCA8E35"/>
    <w:rsid w:val="6CCD9815"/>
    <w:rsid w:val="6CD0D6DD"/>
    <w:rsid w:val="6CD88788"/>
    <w:rsid w:val="6CF8DE24"/>
    <w:rsid w:val="6CF9B39D"/>
    <w:rsid w:val="6D0D41EB"/>
    <w:rsid w:val="6D32360C"/>
    <w:rsid w:val="6D3FD284"/>
    <w:rsid w:val="6D70834C"/>
    <w:rsid w:val="6D7BD00C"/>
    <w:rsid w:val="6D87B88F"/>
    <w:rsid w:val="6D916967"/>
    <w:rsid w:val="6DA55290"/>
    <w:rsid w:val="6DA66444"/>
    <w:rsid w:val="6DAABFB5"/>
    <w:rsid w:val="6DBC24F9"/>
    <w:rsid w:val="6DC21BC4"/>
    <w:rsid w:val="6DCE8499"/>
    <w:rsid w:val="6DD2B386"/>
    <w:rsid w:val="6DD5B4F7"/>
    <w:rsid w:val="6DDA437A"/>
    <w:rsid w:val="6DDFAD0F"/>
    <w:rsid w:val="6DFA3221"/>
    <w:rsid w:val="6E1C1C41"/>
    <w:rsid w:val="6E21126D"/>
    <w:rsid w:val="6E32F341"/>
    <w:rsid w:val="6E463B33"/>
    <w:rsid w:val="6E50E023"/>
    <w:rsid w:val="6E665C15"/>
    <w:rsid w:val="6E6C41D8"/>
    <w:rsid w:val="6E6DF54A"/>
    <w:rsid w:val="6E783E7A"/>
    <w:rsid w:val="6EA118C0"/>
    <w:rsid w:val="6EA89F87"/>
    <w:rsid w:val="6EAD255A"/>
    <w:rsid w:val="6EB9C6D4"/>
    <w:rsid w:val="6EC7C6C5"/>
    <w:rsid w:val="6EC9E23A"/>
    <w:rsid w:val="6ED09B1A"/>
    <w:rsid w:val="6EEB63B3"/>
    <w:rsid w:val="6EF3D19C"/>
    <w:rsid w:val="6F14BB69"/>
    <w:rsid w:val="6F253EC0"/>
    <w:rsid w:val="6F312234"/>
    <w:rsid w:val="6F658944"/>
    <w:rsid w:val="6F76701D"/>
    <w:rsid w:val="6F7E0431"/>
    <w:rsid w:val="6F9C064D"/>
    <w:rsid w:val="6F9F1B46"/>
    <w:rsid w:val="6FD68422"/>
    <w:rsid w:val="6FEC5827"/>
    <w:rsid w:val="6FF02683"/>
    <w:rsid w:val="7006E4B2"/>
    <w:rsid w:val="700FF434"/>
    <w:rsid w:val="70106DC8"/>
    <w:rsid w:val="70154A62"/>
    <w:rsid w:val="70203F62"/>
    <w:rsid w:val="702066A3"/>
    <w:rsid w:val="703ACB95"/>
    <w:rsid w:val="7041B053"/>
    <w:rsid w:val="7041E4DD"/>
    <w:rsid w:val="704EBB26"/>
    <w:rsid w:val="70825729"/>
    <w:rsid w:val="7082C09D"/>
    <w:rsid w:val="70AFFE3D"/>
    <w:rsid w:val="70B26FF3"/>
    <w:rsid w:val="70B79445"/>
    <w:rsid w:val="70BCE166"/>
    <w:rsid w:val="70BE8088"/>
    <w:rsid w:val="70C5E275"/>
    <w:rsid w:val="70CAFC13"/>
    <w:rsid w:val="70D1AED0"/>
    <w:rsid w:val="70D1CD6D"/>
    <w:rsid w:val="70E775C6"/>
    <w:rsid w:val="70FEE20F"/>
    <w:rsid w:val="7123A2E8"/>
    <w:rsid w:val="71314458"/>
    <w:rsid w:val="714C0DDE"/>
    <w:rsid w:val="7156ECCF"/>
    <w:rsid w:val="716B4520"/>
    <w:rsid w:val="717A947E"/>
    <w:rsid w:val="717D3607"/>
    <w:rsid w:val="7196F33C"/>
    <w:rsid w:val="71A56A06"/>
    <w:rsid w:val="71A89CD1"/>
    <w:rsid w:val="71A9699C"/>
    <w:rsid w:val="71C704A8"/>
    <w:rsid w:val="71E7B10C"/>
    <w:rsid w:val="7207CE1B"/>
    <w:rsid w:val="7213C4AC"/>
    <w:rsid w:val="722EEAA4"/>
    <w:rsid w:val="723B5E2A"/>
    <w:rsid w:val="724299CD"/>
    <w:rsid w:val="725212CF"/>
    <w:rsid w:val="72649977"/>
    <w:rsid w:val="726ED0EA"/>
    <w:rsid w:val="7279D567"/>
    <w:rsid w:val="727DCC31"/>
    <w:rsid w:val="72855130"/>
    <w:rsid w:val="72873AD3"/>
    <w:rsid w:val="72C93BC6"/>
    <w:rsid w:val="72DE7BCA"/>
    <w:rsid w:val="72F825A6"/>
    <w:rsid w:val="7303D88E"/>
    <w:rsid w:val="730FF96D"/>
    <w:rsid w:val="731F7D41"/>
    <w:rsid w:val="734EF4A0"/>
    <w:rsid w:val="73580765"/>
    <w:rsid w:val="736435A4"/>
    <w:rsid w:val="7395AA0F"/>
    <w:rsid w:val="739951E6"/>
    <w:rsid w:val="7399F623"/>
    <w:rsid w:val="73A5E26F"/>
    <w:rsid w:val="73F8BF56"/>
    <w:rsid w:val="73FAEC84"/>
    <w:rsid w:val="741B3F1F"/>
    <w:rsid w:val="74204851"/>
    <w:rsid w:val="74248C68"/>
    <w:rsid w:val="743FF6EB"/>
    <w:rsid w:val="7466DC11"/>
    <w:rsid w:val="747D0152"/>
    <w:rsid w:val="74823A5C"/>
    <w:rsid w:val="74B04393"/>
    <w:rsid w:val="74B83406"/>
    <w:rsid w:val="74BB7A26"/>
    <w:rsid w:val="74BF35B7"/>
    <w:rsid w:val="74DB01C4"/>
    <w:rsid w:val="74E1B484"/>
    <w:rsid w:val="74E5FA10"/>
    <w:rsid w:val="74E654E8"/>
    <w:rsid w:val="7505DB1C"/>
    <w:rsid w:val="750DFF0B"/>
    <w:rsid w:val="75114919"/>
    <w:rsid w:val="7525E3E3"/>
    <w:rsid w:val="7530049A"/>
    <w:rsid w:val="75554DA6"/>
    <w:rsid w:val="7575BBB1"/>
    <w:rsid w:val="75775140"/>
    <w:rsid w:val="75823043"/>
    <w:rsid w:val="75878F34"/>
    <w:rsid w:val="758B8B42"/>
    <w:rsid w:val="7591345F"/>
    <w:rsid w:val="75ADE9FE"/>
    <w:rsid w:val="75D8C94E"/>
    <w:rsid w:val="760FA7BC"/>
    <w:rsid w:val="7611499D"/>
    <w:rsid w:val="76186A95"/>
    <w:rsid w:val="76262040"/>
    <w:rsid w:val="76571E03"/>
    <w:rsid w:val="7657D58B"/>
    <w:rsid w:val="765A619C"/>
    <w:rsid w:val="7670047E"/>
    <w:rsid w:val="767C0DF4"/>
    <w:rsid w:val="76A5EF42"/>
    <w:rsid w:val="76AEB7CA"/>
    <w:rsid w:val="76C15E9C"/>
    <w:rsid w:val="76C95413"/>
    <w:rsid w:val="76D47576"/>
    <w:rsid w:val="76D7DB33"/>
    <w:rsid w:val="76DCF342"/>
    <w:rsid w:val="76E70A04"/>
    <w:rsid w:val="76F50359"/>
    <w:rsid w:val="76F5F7B0"/>
    <w:rsid w:val="76FD1316"/>
    <w:rsid w:val="771A5F53"/>
    <w:rsid w:val="77341D42"/>
    <w:rsid w:val="77446BE1"/>
    <w:rsid w:val="7767FD63"/>
    <w:rsid w:val="778125C0"/>
    <w:rsid w:val="77818A2C"/>
    <w:rsid w:val="7789B2CB"/>
    <w:rsid w:val="77900D55"/>
    <w:rsid w:val="7797186B"/>
    <w:rsid w:val="77A57AF9"/>
    <w:rsid w:val="77B194AD"/>
    <w:rsid w:val="77D45778"/>
    <w:rsid w:val="77E76251"/>
    <w:rsid w:val="77E99690"/>
    <w:rsid w:val="77F86312"/>
    <w:rsid w:val="78174B07"/>
    <w:rsid w:val="782ACE4C"/>
    <w:rsid w:val="7836250A"/>
    <w:rsid w:val="786435EA"/>
    <w:rsid w:val="786C1C82"/>
    <w:rsid w:val="78726078"/>
    <w:rsid w:val="78791D9C"/>
    <w:rsid w:val="787BF80C"/>
    <w:rsid w:val="788745E7"/>
    <w:rsid w:val="78A82FB6"/>
    <w:rsid w:val="78B3E3C1"/>
    <w:rsid w:val="78BB4DFD"/>
    <w:rsid w:val="78D820F7"/>
    <w:rsid w:val="78D98FA6"/>
    <w:rsid w:val="78E2837F"/>
    <w:rsid w:val="78E66615"/>
    <w:rsid w:val="78E8DEDC"/>
    <w:rsid w:val="78E92C64"/>
    <w:rsid w:val="78F10D4E"/>
    <w:rsid w:val="78F79E10"/>
    <w:rsid w:val="78FCA290"/>
    <w:rsid w:val="7913310D"/>
    <w:rsid w:val="7957EDCB"/>
    <w:rsid w:val="7978A879"/>
    <w:rsid w:val="799F8637"/>
    <w:rsid w:val="79AE208C"/>
    <w:rsid w:val="79B41021"/>
    <w:rsid w:val="79C64A5C"/>
    <w:rsid w:val="79EC9A3B"/>
    <w:rsid w:val="7A205EAB"/>
    <w:rsid w:val="7A2C8BD0"/>
    <w:rsid w:val="7A3A5B02"/>
    <w:rsid w:val="7A4FD6F7"/>
    <w:rsid w:val="7A52054E"/>
    <w:rsid w:val="7A6A6786"/>
    <w:rsid w:val="7A72C612"/>
    <w:rsid w:val="7A75152C"/>
    <w:rsid w:val="7A768FBC"/>
    <w:rsid w:val="7AA2A948"/>
    <w:rsid w:val="7ABED51A"/>
    <w:rsid w:val="7AEFCEA8"/>
    <w:rsid w:val="7B18FD22"/>
    <w:rsid w:val="7B2A8F26"/>
    <w:rsid w:val="7B2D9665"/>
    <w:rsid w:val="7B353030"/>
    <w:rsid w:val="7B48724D"/>
    <w:rsid w:val="7B4C21DA"/>
    <w:rsid w:val="7B4CCF24"/>
    <w:rsid w:val="7B69D608"/>
    <w:rsid w:val="7B8706BE"/>
    <w:rsid w:val="7B8CF21F"/>
    <w:rsid w:val="7BA659CF"/>
    <w:rsid w:val="7BA6F450"/>
    <w:rsid w:val="7BADED50"/>
    <w:rsid w:val="7BBBC27F"/>
    <w:rsid w:val="7BDC07F1"/>
    <w:rsid w:val="7BE5BBB2"/>
    <w:rsid w:val="7C036DA5"/>
    <w:rsid w:val="7C174CB8"/>
    <w:rsid w:val="7C39DF31"/>
    <w:rsid w:val="7C512FEE"/>
    <w:rsid w:val="7C53FA29"/>
    <w:rsid w:val="7CE28A13"/>
    <w:rsid w:val="7CE6BC12"/>
    <w:rsid w:val="7CEC5899"/>
    <w:rsid w:val="7CEC8941"/>
    <w:rsid w:val="7CFDB8BB"/>
    <w:rsid w:val="7CFF6CF2"/>
    <w:rsid w:val="7D4E621F"/>
    <w:rsid w:val="7D68C3A3"/>
    <w:rsid w:val="7D7FED67"/>
    <w:rsid w:val="7D87DF3B"/>
    <w:rsid w:val="7D8BF805"/>
    <w:rsid w:val="7D9378F9"/>
    <w:rsid w:val="7D98DA49"/>
    <w:rsid w:val="7D997A15"/>
    <w:rsid w:val="7DC219D8"/>
    <w:rsid w:val="7DF06744"/>
    <w:rsid w:val="7E123952"/>
    <w:rsid w:val="7E2F0341"/>
    <w:rsid w:val="7E3B278F"/>
    <w:rsid w:val="7E3E8B89"/>
    <w:rsid w:val="7E44F465"/>
    <w:rsid w:val="7E4717E3"/>
    <w:rsid w:val="7E4FB001"/>
    <w:rsid w:val="7E584CF4"/>
    <w:rsid w:val="7E6FE982"/>
    <w:rsid w:val="7E7A8669"/>
    <w:rsid w:val="7E85FDAF"/>
    <w:rsid w:val="7E8DDF10"/>
    <w:rsid w:val="7E9EC5FB"/>
    <w:rsid w:val="7EB9B273"/>
    <w:rsid w:val="7EBA4F11"/>
    <w:rsid w:val="7EBF6561"/>
    <w:rsid w:val="7EFDDA1E"/>
    <w:rsid w:val="7F00FD00"/>
    <w:rsid w:val="7F106CED"/>
    <w:rsid w:val="7F2AAD65"/>
    <w:rsid w:val="7F3275ED"/>
    <w:rsid w:val="7F53AA2E"/>
    <w:rsid w:val="7F55F2DB"/>
    <w:rsid w:val="7F9CB5DF"/>
    <w:rsid w:val="7FA6247E"/>
    <w:rsid w:val="7FA6F94D"/>
    <w:rsid w:val="7FCAA9D3"/>
    <w:rsid w:val="7FE3AF4F"/>
    <w:rsid w:val="7FE53D8E"/>
    <w:rsid w:val="7FE7ACF9"/>
    <w:rsid w:val="7FF24299"/>
    <w:rsid w:val="7FFADBA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7B81A3"/>
  <w15:docId w15:val="{574B981B-738D-4809-9818-EF96693A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993"/>
    <w:pPr>
      <w:spacing w:before="120" w:after="120" w:line="240" w:lineRule="auto"/>
      <w:jc w:val="both"/>
    </w:pPr>
    <w:rPr>
      <w:rFonts w:ascii="Tahoma" w:eastAsia="Times New Roman" w:hAnsi="Tahoma" w:cs="Myriad Pro"/>
      <w:sz w:val="20"/>
      <w:szCs w:val="24"/>
      <w:lang w:eastAsia="de-DE"/>
    </w:rPr>
  </w:style>
  <w:style w:type="paragraph" w:styleId="Naslov10">
    <w:name w:val="heading 1"/>
    <w:basedOn w:val="Normal"/>
    <w:next w:val="Normal"/>
    <w:link w:val="Naslov1Char"/>
    <w:uiPriority w:val="9"/>
    <w:qFormat/>
    <w:rsid w:val="004B09BD"/>
    <w:pPr>
      <w:keepNext/>
      <w:keepLines/>
      <w:pageBreakBefore/>
      <w:numPr>
        <w:numId w:val="21"/>
      </w:numPr>
      <w:pBdr>
        <w:top w:val="single" w:sz="48" w:space="0" w:color="F5C1C6"/>
      </w:pBdr>
      <w:suppressAutoHyphens/>
      <w:autoSpaceDE w:val="0"/>
      <w:autoSpaceDN w:val="0"/>
      <w:adjustRightInd w:val="0"/>
      <w:spacing w:after="600" w:line="720" w:lineRule="exact"/>
      <w:textAlignment w:val="center"/>
      <w:outlineLvl w:val="0"/>
    </w:pPr>
    <w:rPr>
      <w:iCs/>
      <w:caps/>
      <w:color w:val="BE1D2D"/>
      <w:position w:val="24"/>
      <w:sz w:val="48"/>
      <w:szCs w:val="48"/>
      <w:lang w:eastAsia="hr-HR"/>
    </w:rPr>
  </w:style>
  <w:style w:type="paragraph" w:styleId="Naslov20">
    <w:name w:val="heading 2"/>
    <w:basedOn w:val="Normal"/>
    <w:next w:val="Normal"/>
    <w:link w:val="Naslov2Char"/>
    <w:uiPriority w:val="9"/>
    <w:unhideWhenUsed/>
    <w:qFormat/>
    <w:rsid w:val="00492353"/>
    <w:pPr>
      <w:keepNext/>
      <w:keepLines/>
      <w:numPr>
        <w:ilvl w:val="1"/>
        <w:numId w:val="21"/>
      </w:numPr>
      <w:suppressAutoHyphens/>
      <w:autoSpaceDE w:val="0"/>
      <w:autoSpaceDN w:val="0"/>
      <w:adjustRightInd w:val="0"/>
      <w:spacing w:before="240" w:line="360" w:lineRule="atLeast"/>
      <w:textAlignment w:val="center"/>
      <w:outlineLvl w:val="1"/>
    </w:pPr>
    <w:rPr>
      <w:rFonts w:cs="Myriad Pro Cond"/>
      <w:b/>
      <w:bCs/>
      <w:smallCaps/>
      <w:color w:val="BE1D2D"/>
      <w:sz w:val="32"/>
      <w:szCs w:val="36"/>
      <w:lang w:eastAsia="hr-HR"/>
    </w:rPr>
  </w:style>
  <w:style w:type="paragraph" w:styleId="Naslov30">
    <w:name w:val="heading 3"/>
    <w:basedOn w:val="Normal"/>
    <w:next w:val="Normal"/>
    <w:link w:val="Naslov3Char"/>
    <w:uiPriority w:val="9"/>
    <w:unhideWhenUsed/>
    <w:qFormat/>
    <w:rsid w:val="00D40FF2"/>
    <w:pPr>
      <w:keepNext/>
      <w:keepLines/>
      <w:numPr>
        <w:ilvl w:val="2"/>
        <w:numId w:val="21"/>
      </w:numPr>
      <w:autoSpaceDE w:val="0"/>
      <w:autoSpaceDN w:val="0"/>
      <w:adjustRightInd w:val="0"/>
      <w:spacing w:before="240" w:line="288" w:lineRule="auto"/>
      <w:textAlignment w:val="center"/>
      <w:outlineLvl w:val="2"/>
    </w:pPr>
    <w:rPr>
      <w:b/>
      <w:bCs/>
      <w:iCs/>
      <w:color w:val="BE1D2D"/>
      <w:sz w:val="24"/>
      <w:lang w:eastAsia="hr-HR"/>
    </w:rPr>
  </w:style>
  <w:style w:type="paragraph" w:styleId="Naslov40">
    <w:name w:val="heading 4"/>
    <w:basedOn w:val="Normal"/>
    <w:next w:val="Normal"/>
    <w:link w:val="Naslov4Char"/>
    <w:uiPriority w:val="9"/>
    <w:unhideWhenUsed/>
    <w:qFormat/>
    <w:rsid w:val="00B20621"/>
    <w:pPr>
      <w:keepNext/>
      <w:keepLines/>
      <w:numPr>
        <w:ilvl w:val="3"/>
        <w:numId w:val="21"/>
      </w:numPr>
      <w:tabs>
        <w:tab w:val="left" w:pos="-284"/>
      </w:tabs>
      <w:suppressAutoHyphens/>
      <w:spacing w:before="360" w:after="240"/>
      <w:outlineLvl w:val="3"/>
    </w:pPr>
    <w:rPr>
      <w:rFonts w:cs="Times New Roman"/>
      <w:i/>
      <w:color w:val="BE1D2D"/>
      <w:kern w:val="28"/>
      <w:sz w:val="22"/>
      <w:szCs w:val="20"/>
    </w:rPr>
  </w:style>
  <w:style w:type="paragraph" w:styleId="Naslov50">
    <w:name w:val="heading 5"/>
    <w:basedOn w:val="Normal"/>
    <w:next w:val="Normal"/>
    <w:link w:val="Naslov5Char"/>
    <w:uiPriority w:val="9"/>
    <w:unhideWhenUsed/>
    <w:qFormat/>
    <w:rsid w:val="00035448"/>
    <w:pPr>
      <w:keepNext/>
      <w:keepLines/>
      <w:numPr>
        <w:ilvl w:val="4"/>
        <w:numId w:val="21"/>
      </w:numPr>
      <w:suppressAutoHyphens/>
      <w:jc w:val="center"/>
      <w:outlineLvl w:val="4"/>
    </w:pPr>
    <w:rPr>
      <w:rFonts w:eastAsiaTheme="majorEastAsia" w:cs="Tahoma"/>
      <w:color w:val="BE1D2D"/>
    </w:rPr>
  </w:style>
  <w:style w:type="paragraph" w:styleId="Naslov6">
    <w:name w:val="heading 6"/>
    <w:basedOn w:val="Naslov50"/>
    <w:next w:val="Normal"/>
    <w:link w:val="Naslov6Char"/>
    <w:uiPriority w:val="9"/>
    <w:qFormat/>
    <w:rsid w:val="00B20621"/>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143CE2"/>
    <w:pPr>
      <w:numPr>
        <w:ilvl w:val="6"/>
      </w:numPr>
      <w:spacing w:before="240"/>
      <w:outlineLvl w:val="6"/>
    </w:pPr>
    <w:rPr>
      <w:szCs w:val="26"/>
    </w:rPr>
  </w:style>
  <w:style w:type="paragraph" w:styleId="Naslov8">
    <w:name w:val="heading 8"/>
    <w:basedOn w:val="Naslov7"/>
    <w:next w:val="Normal"/>
    <w:link w:val="Naslov8Char"/>
    <w:uiPriority w:val="9"/>
    <w:qFormat/>
    <w:rsid w:val="00143CE2"/>
    <w:pPr>
      <w:numPr>
        <w:ilvl w:val="7"/>
      </w:numPr>
      <w:outlineLvl w:val="7"/>
    </w:pPr>
  </w:style>
  <w:style w:type="paragraph" w:styleId="Naslov9">
    <w:name w:val="heading 9"/>
    <w:basedOn w:val="Naslov8"/>
    <w:next w:val="Normal"/>
    <w:link w:val="Naslov9Char"/>
    <w:uiPriority w:val="9"/>
    <w:qFormat/>
    <w:rsid w:val="00143CE2"/>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
    <w:rsid w:val="004B09BD"/>
    <w:rPr>
      <w:rFonts w:ascii="Tahoma" w:eastAsia="Times New Roman" w:hAnsi="Tahoma" w:cs="Myriad Pro"/>
      <w:iCs/>
      <w:caps/>
      <w:color w:val="BE1D2D"/>
      <w:position w:val="24"/>
      <w:sz w:val="48"/>
      <w:szCs w:val="48"/>
      <w:lang w:eastAsia="hr-HR"/>
    </w:rPr>
  </w:style>
  <w:style w:type="paragraph" w:styleId="Podnoje">
    <w:name w:val="footer"/>
    <w:basedOn w:val="Normal"/>
    <w:link w:val="PodnojeChar"/>
    <w:uiPriority w:val="99"/>
    <w:qFormat/>
    <w:rsid w:val="009C2AF5"/>
    <w:pPr>
      <w:jc w:val="right"/>
    </w:pPr>
    <w:rPr>
      <w:rFonts w:cs="Tahoma"/>
      <w:b/>
      <w:bCs/>
      <w:color w:val="999999"/>
      <w:sz w:val="14"/>
      <w:szCs w:val="17"/>
      <w:lang w:eastAsia="hr-HR"/>
    </w:rPr>
  </w:style>
  <w:style w:type="character" w:customStyle="1" w:styleId="PodnojeChar">
    <w:name w:val="Podnožje Char"/>
    <w:basedOn w:val="Zadanifontodlomka"/>
    <w:link w:val="Podnoje"/>
    <w:uiPriority w:val="99"/>
    <w:rsid w:val="009C2AF5"/>
    <w:rPr>
      <w:rFonts w:ascii="Tahoma" w:eastAsia="Times New Roman" w:hAnsi="Tahoma" w:cs="Tahoma"/>
      <w:b/>
      <w:bCs/>
      <w:color w:val="999999"/>
      <w:sz w:val="14"/>
      <w:szCs w:val="17"/>
      <w:lang w:eastAsia="hr-HR"/>
    </w:rPr>
  </w:style>
  <w:style w:type="paragraph" w:styleId="Sadraj2">
    <w:name w:val="toc 2"/>
    <w:basedOn w:val="Normal"/>
    <w:next w:val="Normal"/>
    <w:autoRedefine/>
    <w:uiPriority w:val="39"/>
    <w:qFormat/>
    <w:rsid w:val="00D95720"/>
    <w:pPr>
      <w:tabs>
        <w:tab w:val="left" w:pos="709"/>
        <w:tab w:val="right" w:leader="dot" w:pos="9356"/>
      </w:tabs>
      <w:spacing w:after="60"/>
      <w:ind w:left="709" w:hanging="709"/>
    </w:pPr>
    <w:rPr>
      <w:rFonts w:cs="Tahoma"/>
      <w:b/>
      <w:smallCaps/>
      <w:sz w:val="22"/>
      <w:szCs w:val="22"/>
    </w:rPr>
  </w:style>
  <w:style w:type="paragraph" w:styleId="Sadraj3">
    <w:name w:val="toc 3"/>
    <w:basedOn w:val="Normal"/>
    <w:next w:val="Normal"/>
    <w:autoRedefine/>
    <w:uiPriority w:val="39"/>
    <w:qFormat/>
    <w:rsid w:val="006706F0"/>
    <w:pPr>
      <w:tabs>
        <w:tab w:val="left" w:pos="1418"/>
        <w:tab w:val="right" w:leader="dot" w:pos="9356"/>
      </w:tabs>
      <w:spacing w:before="60" w:after="60"/>
      <w:ind w:left="1418" w:hanging="709"/>
    </w:pPr>
  </w:style>
  <w:style w:type="paragraph" w:styleId="Sadraj1">
    <w:name w:val="toc 1"/>
    <w:basedOn w:val="Normal"/>
    <w:next w:val="Normal"/>
    <w:autoRedefine/>
    <w:uiPriority w:val="39"/>
    <w:qFormat/>
    <w:rsid w:val="00B34789"/>
    <w:pPr>
      <w:tabs>
        <w:tab w:val="right" w:leader="underscore" w:pos="9354"/>
      </w:tabs>
      <w:spacing w:before="240"/>
      <w:ind w:left="709" w:hanging="709"/>
      <w:jc w:val="left"/>
    </w:pPr>
    <w:rPr>
      <w:b/>
      <w:i/>
      <w:caps/>
      <w:color w:val="BE1D2D"/>
      <w:sz w:val="28"/>
      <w:szCs w:val="28"/>
    </w:rPr>
  </w:style>
  <w:style w:type="paragraph" w:styleId="Zaglavlje">
    <w:name w:val="header"/>
    <w:basedOn w:val="Normal"/>
    <w:link w:val="ZaglavljeChar"/>
    <w:uiPriority w:val="99"/>
    <w:qFormat/>
    <w:rsid w:val="009C2AF5"/>
    <w:pPr>
      <w:jc w:val="left"/>
    </w:pPr>
    <w:rPr>
      <w:b/>
      <w:color w:val="999999"/>
      <w:sz w:val="14"/>
      <w:lang w:eastAsia="hr-HR"/>
    </w:rPr>
  </w:style>
  <w:style w:type="paragraph" w:styleId="Podnaslov">
    <w:name w:val="Subtitle"/>
    <w:basedOn w:val="Normal"/>
    <w:next w:val="Normal"/>
    <w:link w:val="PodnaslovChar"/>
    <w:uiPriority w:val="99"/>
    <w:rsid w:val="00D552B6"/>
    <w:pPr>
      <w:numPr>
        <w:ilvl w:val="1"/>
      </w:numPr>
    </w:pPr>
    <w:rPr>
      <w:rFonts w:eastAsiaTheme="minorEastAsia" w:cstheme="minorBidi"/>
      <w:szCs w:val="22"/>
    </w:rPr>
  </w:style>
  <w:style w:type="character" w:styleId="Hiperveza">
    <w:name w:val="Hyperlink"/>
    <w:basedOn w:val="Zadanifontodlomka"/>
    <w:uiPriority w:val="99"/>
    <w:qFormat/>
    <w:rsid w:val="00101F31"/>
    <w:rPr>
      <w:rFonts w:cs="Times New Roman"/>
      <w:b w:val="0"/>
      <w:color w:val="0000FF"/>
      <w:u w:val="single"/>
    </w:rPr>
  </w:style>
  <w:style w:type="character" w:customStyle="1" w:styleId="ZaglavljeChar">
    <w:name w:val="Zaglavlje Char"/>
    <w:basedOn w:val="Zadanifontodlomka"/>
    <w:link w:val="Zaglavlje"/>
    <w:uiPriority w:val="99"/>
    <w:locked/>
    <w:rsid w:val="009C2AF5"/>
    <w:rPr>
      <w:rFonts w:ascii="Tahoma" w:eastAsia="Times New Roman" w:hAnsi="Tahoma" w:cs="Myriad Pro"/>
      <w:b/>
      <w:color w:val="999999"/>
      <w:sz w:val="14"/>
      <w:szCs w:val="24"/>
      <w:lang w:eastAsia="hr-HR"/>
    </w:rPr>
  </w:style>
  <w:style w:type="character" w:styleId="Brojstranice">
    <w:name w:val="page number"/>
    <w:basedOn w:val="Zadanifontodlomka"/>
    <w:rsid w:val="007A6486"/>
    <w:rPr>
      <w:rFonts w:ascii="Tahoma" w:hAnsi="Tahoma" w:cs="Times New Roman"/>
      <w:b/>
      <w:noProof w:val="0"/>
      <w:color w:val="999999"/>
      <w:sz w:val="14"/>
      <w:lang w:val="hr-HR"/>
    </w:rPr>
  </w:style>
  <w:style w:type="paragraph" w:customStyle="1" w:styleId="Autori">
    <w:name w:val="Autori"/>
    <w:basedOn w:val="Normal"/>
    <w:uiPriority w:val="99"/>
    <w:rsid w:val="00833000"/>
    <w:pPr>
      <w:spacing w:before="0" w:after="0"/>
      <w:ind w:left="4820"/>
      <w:jc w:val="left"/>
    </w:pPr>
    <w:rPr>
      <w:rFonts w:cs="Tahoma"/>
      <w:color w:val="999999"/>
      <w:lang w:eastAsia="hr-HR"/>
    </w:rPr>
  </w:style>
  <w:style w:type="paragraph" w:styleId="Opisslike">
    <w:name w:val="caption"/>
    <w:basedOn w:val="Normal"/>
    <w:next w:val="Normal"/>
    <w:link w:val="OpisslikeChar"/>
    <w:uiPriority w:val="35"/>
    <w:unhideWhenUsed/>
    <w:qFormat/>
    <w:rsid w:val="007A6486"/>
    <w:pPr>
      <w:spacing w:after="60"/>
    </w:pPr>
    <w:rPr>
      <w:i/>
      <w:iCs/>
      <w:sz w:val="16"/>
      <w:szCs w:val="18"/>
    </w:rPr>
  </w:style>
  <w:style w:type="paragraph" w:customStyle="1" w:styleId="Uvlaka2">
    <w:name w:val="Uvlaka 2"/>
    <w:basedOn w:val="Normal"/>
    <w:link w:val="Uvlaka2Char"/>
    <w:qFormat/>
    <w:rsid w:val="00771201"/>
    <w:pPr>
      <w:numPr>
        <w:numId w:val="5"/>
      </w:numPr>
      <w:spacing w:before="60" w:after="60"/>
      <w:ind w:left="1134" w:hanging="283"/>
    </w:pPr>
    <w:rPr>
      <w:rFonts w:cs="Times New Roman"/>
      <w:color w:val="000000"/>
      <w:szCs w:val="22"/>
      <w:lang w:eastAsia="hr-HR"/>
    </w:rPr>
  </w:style>
  <w:style w:type="character" w:customStyle="1" w:styleId="Uvlaka2Char">
    <w:name w:val="Uvlaka 2 Char"/>
    <w:basedOn w:val="Zadanifontodlomka"/>
    <w:link w:val="Uvlaka2"/>
    <w:rsid w:val="00771201"/>
    <w:rPr>
      <w:rFonts w:ascii="Tahoma" w:eastAsia="Times New Roman" w:hAnsi="Tahoma" w:cs="Times New Roman"/>
      <w:color w:val="000000"/>
      <w:sz w:val="20"/>
      <w:lang w:eastAsia="hr-HR"/>
    </w:rPr>
  </w:style>
  <w:style w:type="character" w:customStyle="1" w:styleId="Tbl1redChar">
    <w:name w:val="Tbl 1. red Char"/>
    <w:basedOn w:val="Zadanifontodlomka"/>
    <w:link w:val="Tbl1red"/>
    <w:uiPriority w:val="99"/>
    <w:rsid w:val="00175706"/>
    <w:rPr>
      <w:rFonts w:ascii="Tahoma" w:eastAsia="Times New Roman" w:hAnsi="Tahoma" w:cs="Tahoma"/>
      <w:b/>
      <w:bCs/>
      <w:sz w:val="16"/>
      <w:szCs w:val="16"/>
      <w:shd w:val="clear" w:color="auto" w:fill="FFA7A7"/>
      <w:lang w:eastAsia="hr-HR"/>
    </w:rPr>
  </w:style>
  <w:style w:type="paragraph" w:customStyle="1" w:styleId="Naslov1">
    <w:name w:val="Naslov 1+"/>
    <w:basedOn w:val="Naslov10"/>
    <w:next w:val="Normal"/>
    <w:link w:val="Naslov1Char0"/>
    <w:autoRedefine/>
    <w:rsid w:val="002E141F"/>
    <w:pPr>
      <w:numPr>
        <w:numId w:val="17"/>
      </w:numPr>
      <w:spacing w:line="240" w:lineRule="auto"/>
      <w:textAlignment w:val="auto"/>
    </w:pPr>
    <w:rPr>
      <w:rFonts w:cs="Tahoma"/>
      <w:position w:val="0"/>
    </w:rPr>
  </w:style>
  <w:style w:type="character" w:customStyle="1" w:styleId="Naslov1Char0">
    <w:name w:val="Naslov 1+ Char"/>
    <w:basedOn w:val="Zadanifontodlomka"/>
    <w:link w:val="Naslov1"/>
    <w:rsid w:val="002E141F"/>
    <w:rPr>
      <w:rFonts w:ascii="Tahoma" w:eastAsia="Times New Roman" w:hAnsi="Tahoma" w:cs="Tahoma"/>
      <w:iCs/>
      <w:caps/>
      <w:color w:val="BE1D2D"/>
      <w:sz w:val="48"/>
      <w:szCs w:val="48"/>
      <w:lang w:eastAsia="hr-HR"/>
    </w:rPr>
  </w:style>
  <w:style w:type="paragraph" w:customStyle="1" w:styleId="Naslov1-">
    <w:name w:val="Naslov 1-"/>
    <w:basedOn w:val="Naslov10"/>
    <w:next w:val="Normal"/>
    <w:link w:val="Naslov1-Char"/>
    <w:autoRedefine/>
    <w:rsid w:val="002C0A66"/>
    <w:pPr>
      <w:pageBreakBefore w:val="0"/>
      <w:numPr>
        <w:numId w:val="0"/>
      </w:numPr>
      <w:spacing w:line="240" w:lineRule="auto"/>
      <w:ind w:left="431"/>
    </w:pPr>
  </w:style>
  <w:style w:type="paragraph" w:customStyle="1" w:styleId="Uvlaka3">
    <w:name w:val="Uvlaka 3"/>
    <w:basedOn w:val="Normal"/>
    <w:link w:val="Uvlaka3Char"/>
    <w:qFormat/>
    <w:rsid w:val="00771201"/>
    <w:pPr>
      <w:numPr>
        <w:numId w:val="4"/>
      </w:numPr>
      <w:spacing w:before="60" w:after="60"/>
      <w:ind w:left="1701" w:hanging="283"/>
    </w:pPr>
  </w:style>
  <w:style w:type="character" w:customStyle="1" w:styleId="Naslov1-Char">
    <w:name w:val="Naslov 1- Char"/>
    <w:basedOn w:val="Naslov1Char0"/>
    <w:link w:val="Naslov1-"/>
    <w:rsid w:val="002C0A66"/>
    <w:rPr>
      <w:rFonts w:ascii="Tahoma" w:eastAsia="Times New Roman" w:hAnsi="Tahoma" w:cs="Myriad Pro"/>
      <w:iCs/>
      <w:caps/>
      <w:color w:val="BE1D2D"/>
      <w:position w:val="24"/>
      <w:sz w:val="48"/>
      <w:szCs w:val="48"/>
      <w:lang w:eastAsia="hr-HR"/>
    </w:rPr>
  </w:style>
  <w:style w:type="character" w:customStyle="1" w:styleId="Uvlaka3Char">
    <w:name w:val="Uvlaka 3 Char"/>
    <w:basedOn w:val="Zadanifontodlomka"/>
    <w:link w:val="Uvlaka3"/>
    <w:rsid w:val="00771201"/>
    <w:rPr>
      <w:rFonts w:ascii="Tahoma" w:eastAsia="Times New Roman" w:hAnsi="Tahoma" w:cs="Myriad Pro"/>
      <w:sz w:val="20"/>
      <w:szCs w:val="24"/>
      <w:lang w:eastAsia="de-DE"/>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42293A"/>
    <w:pPr>
      <w:keepLines/>
      <w:numPr>
        <w:numId w:val="6"/>
      </w:numPr>
      <w:suppressAutoHyphens/>
      <w:spacing w:before="60" w:after="60"/>
    </w:pPr>
    <w:rPr>
      <w:lang w:eastAsia="hr-HR"/>
    </w:rPr>
  </w:style>
  <w:style w:type="character" w:customStyle="1" w:styleId="Naslov2Char">
    <w:name w:val="Naslov 2 Char"/>
    <w:basedOn w:val="Zadanifontodlomka"/>
    <w:link w:val="Naslov20"/>
    <w:uiPriority w:val="9"/>
    <w:rsid w:val="00492353"/>
    <w:rPr>
      <w:rFonts w:ascii="Tahoma" w:eastAsia="Times New Roman" w:hAnsi="Tahoma" w:cs="Myriad Pro Cond"/>
      <w:b/>
      <w:bCs/>
      <w:smallCaps/>
      <w:color w:val="BE1D2D"/>
      <w:sz w:val="32"/>
      <w:szCs w:val="36"/>
      <w:lang w:eastAsia="hr-HR"/>
    </w:rPr>
  </w:style>
  <w:style w:type="character" w:customStyle="1" w:styleId="Naslov3Char">
    <w:name w:val="Naslov 3 Char"/>
    <w:basedOn w:val="Zadanifontodlomka"/>
    <w:link w:val="Naslov30"/>
    <w:uiPriority w:val="9"/>
    <w:rsid w:val="00D40FF2"/>
    <w:rPr>
      <w:rFonts w:ascii="Tahoma" w:eastAsia="Times New Roman" w:hAnsi="Tahoma" w:cs="Myriad Pro"/>
      <w:b/>
      <w:bCs/>
      <w:iCs/>
      <w:color w:val="BE1D2D"/>
      <w:sz w:val="24"/>
      <w:szCs w:val="24"/>
      <w:lang w:eastAsia="hr-HR"/>
    </w:rPr>
  </w:style>
  <w:style w:type="paragraph" w:customStyle="1" w:styleId="Naslov4">
    <w:name w:val="Naslov 4+"/>
    <w:basedOn w:val="Naslov40"/>
    <w:next w:val="Normal"/>
    <w:link w:val="Naslov4Char0"/>
    <w:autoRedefine/>
    <w:qFormat/>
    <w:rsid w:val="008135A8"/>
    <w:pPr>
      <w:numPr>
        <w:numId w:val="17"/>
      </w:numPr>
      <w:tabs>
        <w:tab w:val="clear" w:pos="-284"/>
      </w:tabs>
      <w:spacing w:before="240" w:after="120"/>
      <w:ind w:left="992" w:hanging="992"/>
      <w:jc w:val="left"/>
    </w:pPr>
    <w:rPr>
      <w:i w:val="0"/>
    </w:rPr>
  </w:style>
  <w:style w:type="character" w:customStyle="1" w:styleId="Naslov4Char0">
    <w:name w:val="Naslov 4+ Char"/>
    <w:basedOn w:val="Zadanifontodlomka"/>
    <w:link w:val="Naslov4"/>
    <w:rsid w:val="008135A8"/>
    <w:rPr>
      <w:rFonts w:ascii="Tahoma" w:eastAsia="Times New Roman" w:hAnsi="Tahoma" w:cs="Times New Roman"/>
      <w:color w:val="BE1D2D"/>
      <w:kern w:val="28"/>
      <w:szCs w:val="20"/>
      <w:lang w:eastAsia="de-DE"/>
    </w:rPr>
  </w:style>
  <w:style w:type="paragraph" w:customStyle="1" w:styleId="Naslov2">
    <w:name w:val="Naslov 2+"/>
    <w:basedOn w:val="Naslov20"/>
    <w:next w:val="Normal"/>
    <w:link w:val="Naslov2Char0"/>
    <w:autoRedefine/>
    <w:qFormat/>
    <w:rsid w:val="001A29DB"/>
    <w:pPr>
      <w:numPr>
        <w:numId w:val="17"/>
      </w:numPr>
      <w:spacing w:before="360" w:line="240" w:lineRule="auto"/>
      <w:textAlignment w:val="auto"/>
    </w:pPr>
    <w:rPr>
      <w:rFonts w:cs="Tahoma"/>
      <w:bCs w:val="0"/>
      <w:caps/>
      <w:smallCaps w:val="0"/>
    </w:rPr>
  </w:style>
  <w:style w:type="paragraph" w:customStyle="1" w:styleId="Naslov3">
    <w:name w:val="Naslov 3+"/>
    <w:basedOn w:val="Naslov30"/>
    <w:next w:val="Normal"/>
    <w:link w:val="Naslov3Char0"/>
    <w:autoRedefine/>
    <w:qFormat/>
    <w:rsid w:val="001B6FC0"/>
    <w:pPr>
      <w:numPr>
        <w:numId w:val="17"/>
      </w:numPr>
      <w:ind w:left="993" w:hanging="993"/>
      <w:textAlignment w:val="auto"/>
    </w:pPr>
  </w:style>
  <w:style w:type="character" w:customStyle="1" w:styleId="Naslov2Char0">
    <w:name w:val="Naslov 2+ Char"/>
    <w:basedOn w:val="Zadanifontodlomka"/>
    <w:link w:val="Naslov2"/>
    <w:rsid w:val="001A29DB"/>
    <w:rPr>
      <w:rFonts w:ascii="Tahoma" w:eastAsia="Times New Roman" w:hAnsi="Tahoma" w:cs="Tahoma"/>
      <w:b/>
      <w:caps/>
      <w:color w:val="BE1D2D"/>
      <w:sz w:val="32"/>
      <w:szCs w:val="36"/>
      <w:lang w:eastAsia="hr-HR"/>
    </w:rPr>
  </w:style>
  <w:style w:type="character" w:customStyle="1" w:styleId="Naslov3Char0">
    <w:name w:val="Naslov 3+ Char"/>
    <w:basedOn w:val="Zadanifontodlomka"/>
    <w:link w:val="Naslov3"/>
    <w:rsid w:val="000F1F3C"/>
    <w:rPr>
      <w:rFonts w:ascii="Tahoma" w:eastAsia="Times New Roman" w:hAnsi="Tahoma" w:cs="Myriad Pro"/>
      <w:b/>
      <w:bCs/>
      <w:iCs/>
      <w:color w:val="BE1D2D"/>
      <w:sz w:val="24"/>
      <w:szCs w:val="24"/>
      <w:lang w:eastAsia="hr-HR"/>
    </w:rPr>
  </w:style>
  <w:style w:type="character" w:customStyle="1" w:styleId="Naslov4Char">
    <w:name w:val="Naslov 4 Char"/>
    <w:basedOn w:val="Zadanifontodlomka"/>
    <w:link w:val="Naslov40"/>
    <w:uiPriority w:val="9"/>
    <w:rsid w:val="00B20621"/>
    <w:rPr>
      <w:rFonts w:ascii="Tahoma" w:eastAsia="Times New Roman" w:hAnsi="Tahoma" w:cs="Times New Roman"/>
      <w:i/>
      <w:color w:val="BE1D2D"/>
      <w:kern w:val="28"/>
      <w:szCs w:val="20"/>
      <w:lang w:eastAsia="de-DE"/>
    </w:rPr>
  </w:style>
  <w:style w:type="paragraph" w:customStyle="1" w:styleId="Slikanaslov">
    <w:name w:val="Slika naslov"/>
    <w:basedOn w:val="Normal"/>
    <w:next w:val="Normal"/>
    <w:link w:val="SlikanaslovChar"/>
    <w:autoRedefine/>
    <w:uiPriority w:val="99"/>
    <w:qFormat/>
    <w:rsid w:val="003B2EF3"/>
    <w:pPr>
      <w:keepLines/>
      <w:suppressAutoHyphens/>
      <w:spacing w:before="60"/>
      <w:jc w:val="center"/>
    </w:pPr>
    <w:rPr>
      <w:rFonts w:cs="Tahoma"/>
      <w:bCs/>
      <w:i/>
      <w:noProof/>
      <w:sz w:val="18"/>
      <w:szCs w:val="28"/>
      <w:lang w:eastAsia="hr-HR"/>
    </w:rPr>
  </w:style>
  <w:style w:type="paragraph" w:customStyle="1" w:styleId="Slika">
    <w:name w:val="Slika"/>
    <w:basedOn w:val="Normal"/>
    <w:next w:val="Normal"/>
    <w:link w:val="SlikaChar"/>
    <w:autoRedefine/>
    <w:qFormat/>
    <w:rsid w:val="00131969"/>
    <w:pPr>
      <w:keepNext/>
      <w:spacing w:before="240"/>
      <w:jc w:val="center"/>
    </w:pPr>
    <w:rPr>
      <w:lang w:eastAsia="hr-HR"/>
    </w:rPr>
  </w:style>
  <w:style w:type="character" w:customStyle="1" w:styleId="SlikaChar">
    <w:name w:val="Slika Char"/>
    <w:basedOn w:val="Zadanifontodlomka"/>
    <w:link w:val="Slika"/>
    <w:rsid w:val="00131969"/>
    <w:rPr>
      <w:rFonts w:ascii="Tahoma" w:eastAsia="Times New Roman" w:hAnsi="Tahoma" w:cs="Myriad Pro"/>
      <w:sz w:val="20"/>
      <w:szCs w:val="24"/>
      <w:lang w:eastAsia="hr-HR"/>
    </w:rPr>
  </w:style>
  <w:style w:type="character" w:styleId="Neupadljivareferenca">
    <w:name w:val="Subtle Reference"/>
    <w:basedOn w:val="Zadanifontodlomka"/>
    <w:uiPriority w:val="31"/>
    <w:rsid w:val="00B20621"/>
    <w:rPr>
      <w:rFonts w:ascii="Tahoma" w:hAnsi="Tahoma"/>
      <w:smallCaps/>
      <w:color w:val="auto"/>
    </w:rPr>
  </w:style>
  <w:style w:type="paragraph" w:customStyle="1" w:styleId="Tblnaslov">
    <w:name w:val="Tbl naslov"/>
    <w:basedOn w:val="Normal"/>
    <w:next w:val="Normal"/>
    <w:link w:val="TblnaslovChar"/>
    <w:qFormat/>
    <w:rsid w:val="000D61DF"/>
    <w:pPr>
      <w:keepNext/>
      <w:keepLines/>
      <w:suppressAutoHyphens/>
      <w:spacing w:after="60"/>
      <w:jc w:val="left"/>
    </w:pPr>
    <w:rPr>
      <w:i/>
      <w:sz w:val="18"/>
    </w:rPr>
  </w:style>
  <w:style w:type="table" w:styleId="Reetkatablice">
    <w:name w:val="Table Grid"/>
    <w:basedOn w:val="Obinatablica"/>
    <w:uiPriority w:val="59"/>
    <w:rsid w:val="00F9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TekstfusnoteChar"/>
    <w:uiPriority w:val="99"/>
    <w:unhideWhenUsed/>
    <w:qFormat/>
    <w:rsid w:val="00FD5BF3"/>
    <w:pPr>
      <w:spacing w:before="60" w:after="60"/>
    </w:pPr>
    <w:rPr>
      <w:i/>
      <w:sz w:val="16"/>
      <w:szCs w:val="20"/>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rsid w:val="00FD5BF3"/>
    <w:rPr>
      <w:rFonts w:ascii="Tahoma" w:eastAsia="Times New Roman" w:hAnsi="Tahoma" w:cs="Myriad Pro"/>
      <w:i/>
      <w:sz w:val="16"/>
      <w:szCs w:val="20"/>
      <w:lang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rsid w:val="005D15D5"/>
    <w:rPr>
      <w:rFonts w:ascii="Tahoma" w:hAnsi="Tahoma"/>
      <w:vertAlign w:val="superscript"/>
    </w:rPr>
  </w:style>
  <w:style w:type="paragraph" w:styleId="Sadraj4">
    <w:name w:val="toc 4"/>
    <w:basedOn w:val="Normal"/>
    <w:next w:val="Normal"/>
    <w:autoRedefine/>
    <w:uiPriority w:val="39"/>
    <w:unhideWhenUsed/>
    <w:qFormat/>
    <w:rsid w:val="006706F0"/>
    <w:pPr>
      <w:tabs>
        <w:tab w:val="right" w:leader="dot" w:pos="9354"/>
      </w:tabs>
      <w:spacing w:before="60" w:after="60"/>
      <w:ind w:left="2410" w:hanging="992"/>
    </w:pPr>
  </w:style>
  <w:style w:type="character" w:customStyle="1" w:styleId="TbltextChar">
    <w:name w:val="Tbl text Char"/>
    <w:basedOn w:val="Zadanifontodlomka"/>
    <w:link w:val="Tbltext"/>
    <w:uiPriority w:val="99"/>
    <w:rsid w:val="00491310"/>
    <w:rPr>
      <w:rFonts w:ascii="Tahoma" w:eastAsia="Times New Roman" w:hAnsi="Tahoma" w:cs="Times New Roman"/>
      <w:sz w:val="16"/>
      <w:szCs w:val="20"/>
      <w:lang w:eastAsia="de-DE"/>
    </w:rPr>
  </w:style>
  <w:style w:type="character" w:customStyle="1" w:styleId="Naslov5Char">
    <w:name w:val="Naslov 5 Char"/>
    <w:basedOn w:val="Zadanifontodlomka"/>
    <w:link w:val="Naslov50"/>
    <w:uiPriority w:val="9"/>
    <w:rsid w:val="00035448"/>
    <w:rPr>
      <w:rFonts w:ascii="Tahoma" w:eastAsiaTheme="majorEastAsia" w:hAnsi="Tahoma" w:cs="Tahoma"/>
      <w:color w:val="BE1D2D"/>
      <w:sz w:val="20"/>
      <w:szCs w:val="24"/>
      <w:lang w:eastAsia="de-DE"/>
    </w:rPr>
  </w:style>
  <w:style w:type="paragraph" w:customStyle="1" w:styleId="Naslov5">
    <w:name w:val="Naslov 5+"/>
    <w:basedOn w:val="Naslov50"/>
    <w:next w:val="Normal"/>
    <w:link w:val="Naslov5Char0"/>
    <w:autoRedefine/>
    <w:qFormat/>
    <w:rsid w:val="003B7C01"/>
    <w:pPr>
      <w:numPr>
        <w:numId w:val="17"/>
      </w:numPr>
      <w:spacing w:before="240"/>
      <w:ind w:left="1701" w:hanging="567"/>
      <w:jc w:val="left"/>
    </w:pPr>
    <w:rPr>
      <w:i/>
    </w:rPr>
  </w:style>
  <w:style w:type="paragraph" w:customStyle="1" w:styleId="Meunaslov">
    <w:name w:val="Međunaslov"/>
    <w:basedOn w:val="Normal"/>
    <w:next w:val="Normal"/>
    <w:link w:val="MeunaslovChar"/>
    <w:autoRedefine/>
    <w:qFormat/>
    <w:rsid w:val="00035448"/>
    <w:pPr>
      <w:keepNext/>
      <w:keepLines/>
      <w:suppressAutoHyphens/>
    </w:pPr>
    <w:rPr>
      <w:b/>
      <w:u w:val="single"/>
      <w:lang w:eastAsia="hr-HR"/>
    </w:rPr>
  </w:style>
  <w:style w:type="character" w:customStyle="1" w:styleId="Naslov5Char0">
    <w:name w:val="Naslov 5+ Char"/>
    <w:basedOn w:val="Naslov5Char"/>
    <w:link w:val="Naslov5"/>
    <w:rsid w:val="003B7C01"/>
    <w:rPr>
      <w:rFonts w:ascii="Tahoma" w:eastAsiaTheme="majorEastAsia" w:hAnsi="Tahoma" w:cs="Tahoma"/>
      <w:i/>
      <w:color w:val="BE1D2D"/>
      <w:sz w:val="20"/>
      <w:szCs w:val="24"/>
      <w:lang w:eastAsia="de-DE"/>
    </w:rPr>
  </w:style>
  <w:style w:type="character" w:customStyle="1" w:styleId="SlikanaslovChar">
    <w:name w:val="Slika naslov Char"/>
    <w:basedOn w:val="Zadanifontodlomka"/>
    <w:link w:val="Slikanaslov"/>
    <w:uiPriority w:val="99"/>
    <w:rsid w:val="003B2EF3"/>
    <w:rPr>
      <w:rFonts w:ascii="Tahoma" w:eastAsia="Times New Roman" w:hAnsi="Tahoma" w:cs="Tahoma"/>
      <w:bCs/>
      <w:i/>
      <w:noProof/>
      <w:sz w:val="18"/>
      <w:szCs w:val="28"/>
      <w:lang w:eastAsia="hr-HR"/>
    </w:rPr>
  </w:style>
  <w:style w:type="character" w:customStyle="1" w:styleId="MeunaslovChar">
    <w:name w:val="Međunaslov Char"/>
    <w:basedOn w:val="Zadanifontodlomka"/>
    <w:link w:val="Meunaslov"/>
    <w:rsid w:val="00035448"/>
    <w:rPr>
      <w:rFonts w:ascii="Tahoma" w:eastAsia="Times New Roman" w:hAnsi="Tahoma" w:cs="Myriad Pro"/>
      <w:b/>
      <w:sz w:val="20"/>
      <w:szCs w:val="24"/>
      <w:u w:val="single"/>
      <w:lang w:eastAsia="hr-HR"/>
    </w:rPr>
  </w:style>
  <w:style w:type="paragraph" w:styleId="Tekstbalonia">
    <w:name w:val="Balloon Text"/>
    <w:basedOn w:val="Normal"/>
    <w:link w:val="TekstbaloniaChar"/>
    <w:uiPriority w:val="99"/>
    <w:semiHidden/>
    <w:unhideWhenUsed/>
    <w:rsid w:val="00B20621"/>
    <w:pPr>
      <w:spacing w:before="0" w:after="0"/>
    </w:pPr>
    <w:rPr>
      <w:rFonts w:cs="Segoe UI"/>
      <w:sz w:val="18"/>
      <w:szCs w:val="18"/>
    </w:rPr>
  </w:style>
  <w:style w:type="character" w:customStyle="1" w:styleId="TekstbaloniaChar">
    <w:name w:val="Tekst balončića Char"/>
    <w:basedOn w:val="Zadanifontodlomka"/>
    <w:link w:val="Tekstbalonia"/>
    <w:uiPriority w:val="99"/>
    <w:semiHidden/>
    <w:rsid w:val="00B20621"/>
    <w:rPr>
      <w:rFonts w:ascii="Tahoma" w:eastAsia="Times New Roman" w:hAnsi="Tahoma" w:cs="Segoe UI"/>
      <w:sz w:val="18"/>
      <w:szCs w:val="18"/>
      <w:lang w:eastAsia="de-DE"/>
    </w:rPr>
  </w:style>
  <w:style w:type="character" w:styleId="Referencakomentara">
    <w:name w:val="annotation reference"/>
    <w:basedOn w:val="Zadanifontodlomka"/>
    <w:uiPriority w:val="99"/>
    <w:unhideWhenUsed/>
    <w:rsid w:val="00FD5BF3"/>
    <w:rPr>
      <w:sz w:val="16"/>
      <w:szCs w:val="16"/>
    </w:rPr>
  </w:style>
  <w:style w:type="paragraph" w:customStyle="1" w:styleId="Citat1">
    <w:name w:val="Citat1"/>
    <w:basedOn w:val="Normal"/>
    <w:next w:val="Normal"/>
    <w:link w:val="CitatChar"/>
    <w:autoRedefine/>
    <w:qFormat/>
    <w:rsid w:val="009C2AF5"/>
    <w:pPr>
      <w:keepLines/>
      <w:suppressAutoHyphens/>
      <w:ind w:left="851" w:right="851"/>
      <w:jc w:val="center"/>
    </w:pPr>
    <w:rPr>
      <w:i/>
      <w:iCs/>
      <w:lang w:eastAsia="hr-HR"/>
    </w:rPr>
  </w:style>
  <w:style w:type="paragraph" w:customStyle="1" w:styleId="Izvor">
    <w:name w:val="Izvor"/>
    <w:basedOn w:val="Odlomakpopisa"/>
    <w:link w:val="IzvorChar"/>
    <w:autoRedefine/>
    <w:uiPriority w:val="99"/>
    <w:qFormat/>
    <w:rsid w:val="00FE4802"/>
    <w:pPr>
      <w:numPr>
        <w:numId w:val="19"/>
      </w:numPr>
      <w:ind w:left="567" w:hanging="567"/>
    </w:pPr>
  </w:style>
  <w:style w:type="character" w:customStyle="1" w:styleId="CitatChar">
    <w:name w:val="Citat Char"/>
    <w:basedOn w:val="Zadanifontodlomka"/>
    <w:link w:val="Citat1"/>
    <w:rsid w:val="009C2AF5"/>
    <w:rPr>
      <w:rFonts w:ascii="Tahoma" w:eastAsia="Times New Roman" w:hAnsi="Tahoma" w:cs="Myriad Pro"/>
      <w:i/>
      <w:iCs/>
      <w:sz w:val="20"/>
      <w:szCs w:val="24"/>
      <w:lang w:eastAsia="hr-HR"/>
    </w:rPr>
  </w:style>
  <w:style w:type="paragraph" w:customStyle="1" w:styleId="Broj1">
    <w:name w:val="Broj 1"/>
    <w:basedOn w:val="Odlomakpopisa"/>
    <w:link w:val="Broj1Char"/>
    <w:qFormat/>
    <w:rsid w:val="00743C72"/>
  </w:style>
  <w:style w:type="character" w:customStyle="1" w:styleId="IzvorChar">
    <w:name w:val="Izvor Char"/>
    <w:basedOn w:val="Zadanifontodlomka"/>
    <w:link w:val="Izvor"/>
    <w:uiPriority w:val="99"/>
    <w:rsid w:val="00FE4802"/>
    <w:rPr>
      <w:rFonts w:ascii="Tahoma" w:eastAsia="Times New Roman" w:hAnsi="Tahoma" w:cs="Myriad Pro"/>
      <w:sz w:val="20"/>
      <w:szCs w:val="24"/>
      <w:lang w:eastAsia="hr-HR"/>
    </w:rPr>
  </w:style>
  <w:style w:type="paragraph" w:customStyle="1" w:styleId="Broj2">
    <w:name w:val="Broj 2"/>
    <w:basedOn w:val="Odlomakpopisa"/>
    <w:link w:val="Broj2Char"/>
    <w:qFormat/>
    <w:rsid w:val="0042293A"/>
    <w:pPr>
      <w:numPr>
        <w:ilvl w:val="1"/>
      </w:numPr>
      <w:ind w:left="1276" w:hanging="425"/>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5C5E0B"/>
    <w:rPr>
      <w:rFonts w:ascii="Tahoma" w:eastAsia="Times New Roman" w:hAnsi="Tahoma" w:cs="Myriad Pro"/>
      <w:sz w:val="20"/>
      <w:szCs w:val="24"/>
      <w:lang w:eastAsia="hr-HR"/>
    </w:rPr>
  </w:style>
  <w:style w:type="character" w:customStyle="1" w:styleId="Broj1Char">
    <w:name w:val="Broj 1 Char"/>
    <w:basedOn w:val="OdlomakpopisaChar"/>
    <w:link w:val="Broj1"/>
    <w:rsid w:val="00743C72"/>
    <w:rPr>
      <w:rFonts w:ascii="Tahoma" w:eastAsia="Times New Roman" w:hAnsi="Tahoma" w:cs="Myriad Pro"/>
      <w:sz w:val="20"/>
      <w:szCs w:val="24"/>
      <w:lang w:eastAsia="hr-HR"/>
    </w:rPr>
  </w:style>
  <w:style w:type="paragraph" w:customStyle="1" w:styleId="Broj3">
    <w:name w:val="Broj 3"/>
    <w:basedOn w:val="Odlomakpopisa"/>
    <w:link w:val="Broj3Char"/>
    <w:qFormat/>
    <w:rsid w:val="008F4867"/>
    <w:pPr>
      <w:numPr>
        <w:ilvl w:val="2"/>
        <w:numId w:val="7"/>
      </w:numPr>
      <w:ind w:left="1701" w:hanging="283"/>
    </w:pPr>
  </w:style>
  <w:style w:type="character" w:customStyle="1" w:styleId="Broj2Char">
    <w:name w:val="Broj 2 Char"/>
    <w:basedOn w:val="OdlomakpopisaChar"/>
    <w:link w:val="Broj2"/>
    <w:rsid w:val="00DB5F5C"/>
    <w:rPr>
      <w:rFonts w:ascii="Tahoma" w:eastAsia="Times New Roman" w:hAnsi="Tahoma" w:cs="Myriad Pro"/>
      <w:sz w:val="20"/>
      <w:szCs w:val="24"/>
      <w:lang w:eastAsia="hr-HR"/>
    </w:rPr>
  </w:style>
  <w:style w:type="character" w:customStyle="1" w:styleId="Broj3Char">
    <w:name w:val="Broj 3 Char"/>
    <w:basedOn w:val="OdlomakpopisaChar"/>
    <w:link w:val="Broj3"/>
    <w:rsid w:val="008F4867"/>
    <w:rPr>
      <w:rFonts w:ascii="Tahoma" w:eastAsia="Times New Roman" w:hAnsi="Tahoma" w:cs="Myriad Pro"/>
      <w:sz w:val="20"/>
      <w:szCs w:val="24"/>
      <w:lang w:eastAsia="hr-HR"/>
    </w:rPr>
  </w:style>
  <w:style w:type="paragraph" w:customStyle="1" w:styleId="Naslov2-">
    <w:name w:val="Naslov 2-"/>
    <w:basedOn w:val="Naslov20"/>
    <w:next w:val="Normal"/>
    <w:link w:val="Naslov2-Char"/>
    <w:autoRedefine/>
    <w:qFormat/>
    <w:rsid w:val="005710EB"/>
    <w:pPr>
      <w:numPr>
        <w:ilvl w:val="0"/>
        <w:numId w:val="0"/>
      </w:numPr>
      <w:spacing w:before="360" w:line="240" w:lineRule="auto"/>
    </w:pPr>
    <w:rPr>
      <w:caps/>
      <w:smallCaps w:val="0"/>
    </w:rPr>
  </w:style>
  <w:style w:type="paragraph" w:customStyle="1" w:styleId="Naslov3-">
    <w:name w:val="Naslov 3-"/>
    <w:basedOn w:val="Naslov30"/>
    <w:next w:val="Normal"/>
    <w:link w:val="Naslov3-Char"/>
    <w:autoRedefine/>
    <w:qFormat/>
    <w:rsid w:val="00C52DCC"/>
    <w:pPr>
      <w:numPr>
        <w:ilvl w:val="0"/>
        <w:numId w:val="0"/>
      </w:numPr>
      <w:spacing w:line="240" w:lineRule="auto"/>
    </w:pPr>
  </w:style>
  <w:style w:type="character" w:customStyle="1" w:styleId="Naslov2-Char">
    <w:name w:val="Naslov 2- Char"/>
    <w:basedOn w:val="Naslov2Char"/>
    <w:link w:val="Naslov2-"/>
    <w:rsid w:val="005710EB"/>
    <w:rPr>
      <w:rFonts w:ascii="Tahoma" w:eastAsia="Times New Roman" w:hAnsi="Tahoma" w:cs="Myriad Pro Cond"/>
      <w:b/>
      <w:bCs/>
      <w:caps/>
      <w:smallCaps w:val="0"/>
      <w:color w:val="BE1D2D"/>
      <w:sz w:val="32"/>
      <w:szCs w:val="36"/>
      <w:lang w:eastAsia="hr-HR"/>
    </w:rPr>
  </w:style>
  <w:style w:type="paragraph" w:customStyle="1" w:styleId="Naslov4-">
    <w:name w:val="Naslov 4-"/>
    <w:basedOn w:val="Naslov40"/>
    <w:next w:val="Normal"/>
    <w:link w:val="Naslov4-Char"/>
    <w:autoRedefine/>
    <w:qFormat/>
    <w:rsid w:val="00C058E0"/>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C52DCC"/>
    <w:rPr>
      <w:rFonts w:ascii="Tahoma" w:eastAsia="Times New Roman" w:hAnsi="Tahoma" w:cs="Myriad Pro"/>
      <w:b/>
      <w:bCs/>
      <w:iCs/>
      <w:color w:val="BE1D2D"/>
      <w:sz w:val="24"/>
      <w:szCs w:val="24"/>
      <w:lang w:eastAsia="hr-HR"/>
    </w:rPr>
  </w:style>
  <w:style w:type="paragraph" w:customStyle="1" w:styleId="Naslov5-">
    <w:name w:val="Naslov 5-"/>
    <w:basedOn w:val="Naslov50"/>
    <w:next w:val="Normal"/>
    <w:link w:val="Naslov5-Char"/>
    <w:autoRedefine/>
    <w:qFormat/>
    <w:rsid w:val="009B3882"/>
    <w:pPr>
      <w:numPr>
        <w:ilvl w:val="0"/>
        <w:numId w:val="0"/>
      </w:numPr>
      <w:spacing w:before="240"/>
      <w:ind w:left="567" w:right="567"/>
    </w:pPr>
    <w:rPr>
      <w:i/>
      <w:lang w:eastAsia="hr-HR"/>
    </w:rPr>
  </w:style>
  <w:style w:type="character" w:customStyle="1" w:styleId="Naslov4-Char">
    <w:name w:val="Naslov 4- Char"/>
    <w:basedOn w:val="Naslov4Char"/>
    <w:link w:val="Naslov4-"/>
    <w:rsid w:val="00C058E0"/>
    <w:rPr>
      <w:rFonts w:ascii="Tahoma" w:eastAsia="Times New Roman" w:hAnsi="Tahoma" w:cs="Times New Roman"/>
      <w:i w:val="0"/>
      <w:color w:val="BE1D2D"/>
      <w:kern w:val="28"/>
      <w:szCs w:val="20"/>
      <w:lang w:eastAsia="hr-HR"/>
    </w:rPr>
  </w:style>
  <w:style w:type="character" w:customStyle="1" w:styleId="Naslov5-Char">
    <w:name w:val="Naslov 5- Char"/>
    <w:basedOn w:val="Naslov5Char"/>
    <w:link w:val="Naslov5-"/>
    <w:rsid w:val="009B3882"/>
    <w:rPr>
      <w:rFonts w:ascii="Tahoma" w:eastAsiaTheme="majorEastAsia" w:hAnsi="Tahoma" w:cs="Tahoma"/>
      <w:i/>
      <w:color w:val="BE1D2D"/>
      <w:sz w:val="20"/>
      <w:szCs w:val="24"/>
      <w:lang w:eastAsia="hr-HR"/>
    </w:rPr>
  </w:style>
  <w:style w:type="paragraph" w:styleId="Sadraj5">
    <w:name w:val="toc 5"/>
    <w:basedOn w:val="Normal"/>
    <w:next w:val="Normal"/>
    <w:autoRedefine/>
    <w:uiPriority w:val="39"/>
    <w:unhideWhenUsed/>
    <w:rsid w:val="00497BC5"/>
    <w:pPr>
      <w:spacing w:before="60" w:after="60"/>
      <w:ind w:left="2268"/>
    </w:pPr>
  </w:style>
  <w:style w:type="paragraph" w:styleId="Tablicaslika">
    <w:name w:val="table of figures"/>
    <w:basedOn w:val="Normal"/>
    <w:next w:val="Normal"/>
    <w:uiPriority w:val="99"/>
    <w:unhideWhenUsed/>
    <w:rsid w:val="00497BC5"/>
  </w:style>
  <w:style w:type="table" w:customStyle="1" w:styleId="GridTable4-Accent21">
    <w:name w:val="Grid Table 4 - Accent 21"/>
    <w:basedOn w:val="Obinatablica"/>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aslov6Char">
    <w:name w:val="Naslov 6 Char"/>
    <w:basedOn w:val="Zadanifontodlomka"/>
    <w:link w:val="Naslov6"/>
    <w:uiPriority w:val="9"/>
    <w:rsid w:val="00B20621"/>
    <w:rPr>
      <w:rFonts w:ascii="Tahoma" w:eastAsiaTheme="majorEastAsia" w:hAnsi="Tahoma" w:cs="Times New Roman"/>
      <w:b/>
      <w:bCs/>
      <w:i/>
      <w:iCs/>
      <w:color w:val="BE1D2D"/>
      <w:kern w:val="28"/>
      <w:sz w:val="26"/>
      <w:szCs w:val="20"/>
      <w:lang w:eastAsia="de-DE"/>
    </w:rPr>
  </w:style>
  <w:style w:type="character" w:customStyle="1" w:styleId="Naslov7Char">
    <w:name w:val="Naslov 7 Char"/>
    <w:basedOn w:val="Zadanifontodlomka"/>
    <w:link w:val="Naslov7"/>
    <w:uiPriority w:val="9"/>
    <w:rsid w:val="00143CE2"/>
    <w:rPr>
      <w:rFonts w:ascii="Tahoma" w:eastAsiaTheme="majorEastAsia" w:hAnsi="Tahoma" w:cs="Times New Roman"/>
      <w:b/>
      <w:bCs/>
      <w:i/>
      <w:iCs/>
      <w:color w:val="BE1D2D"/>
      <w:kern w:val="28"/>
      <w:sz w:val="26"/>
      <w:szCs w:val="26"/>
      <w:lang w:eastAsia="de-DE"/>
    </w:rPr>
  </w:style>
  <w:style w:type="character" w:customStyle="1" w:styleId="Naslov8Char">
    <w:name w:val="Naslov 8 Char"/>
    <w:basedOn w:val="Zadanifontodlomka"/>
    <w:link w:val="Naslov8"/>
    <w:uiPriority w:val="9"/>
    <w:rsid w:val="00143CE2"/>
    <w:rPr>
      <w:rFonts w:ascii="Tahoma" w:eastAsiaTheme="majorEastAsia" w:hAnsi="Tahoma" w:cs="Times New Roman"/>
      <w:b/>
      <w:bCs/>
      <w:i/>
      <w:iCs/>
      <w:color w:val="BE1D2D"/>
      <w:kern w:val="28"/>
      <w:sz w:val="26"/>
      <w:szCs w:val="26"/>
      <w:lang w:eastAsia="de-DE"/>
    </w:rPr>
  </w:style>
  <w:style w:type="character" w:customStyle="1" w:styleId="Naslov9Char">
    <w:name w:val="Naslov 9 Char"/>
    <w:basedOn w:val="Zadanifontodlomka"/>
    <w:link w:val="Naslov9"/>
    <w:uiPriority w:val="9"/>
    <w:rsid w:val="00143CE2"/>
    <w:rPr>
      <w:rFonts w:ascii="Tahoma" w:eastAsiaTheme="majorEastAsia" w:hAnsi="Tahoma" w:cs="Times New Roman"/>
      <w:b/>
      <w:bCs/>
      <w:i/>
      <w:iCs/>
      <w:color w:val="BE1D2D"/>
      <w:kern w:val="28"/>
      <w:sz w:val="26"/>
      <w:szCs w:val="26"/>
      <w:lang w:eastAsia="de-DE"/>
    </w:rPr>
  </w:style>
  <w:style w:type="paragraph" w:styleId="Tekstkomentara">
    <w:name w:val="annotation text"/>
    <w:basedOn w:val="Normal"/>
    <w:link w:val="TekstkomentaraChar"/>
    <w:uiPriority w:val="99"/>
    <w:unhideWhenUsed/>
    <w:rsid w:val="00FD5BF3"/>
    <w:rPr>
      <w:szCs w:val="20"/>
    </w:rPr>
  </w:style>
  <w:style w:type="character" w:customStyle="1" w:styleId="TekstkomentaraChar">
    <w:name w:val="Tekst komentara Char"/>
    <w:basedOn w:val="Zadanifontodlomka"/>
    <w:link w:val="Tekstkomentara"/>
    <w:uiPriority w:val="99"/>
    <w:rsid w:val="00FD5BF3"/>
    <w:rPr>
      <w:rFonts w:ascii="Tahoma" w:eastAsia="Times New Roman" w:hAnsi="Tahoma" w:cs="Myriad Pro"/>
      <w:sz w:val="20"/>
      <w:szCs w:val="20"/>
      <w:lang w:eastAsia="de-DE"/>
    </w:rPr>
  </w:style>
  <w:style w:type="paragraph" w:styleId="Predmetkomentara">
    <w:name w:val="annotation subject"/>
    <w:basedOn w:val="Tekstkomentara"/>
    <w:next w:val="Tekstkomentara"/>
    <w:link w:val="PredmetkomentaraChar"/>
    <w:uiPriority w:val="99"/>
    <w:semiHidden/>
    <w:unhideWhenUsed/>
    <w:rsid w:val="00FD5BF3"/>
    <w:rPr>
      <w:b/>
      <w:bCs/>
    </w:rPr>
  </w:style>
  <w:style w:type="paragraph" w:styleId="Kartadokumenta">
    <w:name w:val="Document Map"/>
    <w:basedOn w:val="Normal"/>
    <w:link w:val="KartadokumentaChar"/>
    <w:uiPriority w:val="99"/>
    <w:semiHidden/>
    <w:rsid w:val="00143CE2"/>
    <w:pPr>
      <w:shd w:val="clear" w:color="auto" w:fill="000080"/>
    </w:pPr>
    <w:rPr>
      <w:rFonts w:cs="Tahoma"/>
      <w:szCs w:val="20"/>
    </w:rPr>
  </w:style>
  <w:style w:type="character" w:customStyle="1" w:styleId="KartadokumentaChar">
    <w:name w:val="Karta dokumenta Char"/>
    <w:basedOn w:val="Zadanifontodlomka"/>
    <w:link w:val="Kartadokumenta"/>
    <w:uiPriority w:val="99"/>
    <w:semiHidden/>
    <w:rsid w:val="00143CE2"/>
    <w:rPr>
      <w:rFonts w:ascii="Tahoma" w:eastAsia="Times New Roman" w:hAnsi="Tahoma" w:cs="Tahoma"/>
      <w:sz w:val="20"/>
      <w:szCs w:val="20"/>
      <w:shd w:val="clear" w:color="auto" w:fill="000080"/>
      <w:lang w:eastAsia="de-DE"/>
    </w:rPr>
  </w:style>
  <w:style w:type="paragraph" w:styleId="Naslov">
    <w:name w:val="Title"/>
    <w:basedOn w:val="Normal"/>
    <w:next w:val="Normal"/>
    <w:link w:val="NaslovChar"/>
    <w:uiPriority w:val="99"/>
    <w:rsid w:val="00F122CC"/>
    <w:pPr>
      <w:spacing w:before="0" w:after="0"/>
      <w:contextualSpacing/>
    </w:pPr>
    <w:rPr>
      <w:rFonts w:eastAsiaTheme="majorEastAsia" w:cstheme="majorBidi"/>
      <w:spacing w:val="-10"/>
      <w:kern w:val="28"/>
      <w:sz w:val="56"/>
      <w:szCs w:val="56"/>
    </w:rPr>
  </w:style>
  <w:style w:type="character" w:styleId="Referencakrajnjebiljeke">
    <w:name w:val="endnote reference"/>
    <w:basedOn w:val="Zadanifontodlomka"/>
    <w:uiPriority w:val="99"/>
    <w:semiHidden/>
    <w:rsid w:val="00143CE2"/>
    <w:rPr>
      <w:rFonts w:cs="Times New Roman"/>
      <w:vertAlign w:val="superscript"/>
    </w:rPr>
  </w:style>
  <w:style w:type="character" w:customStyle="1" w:styleId="PredmetkomentaraChar">
    <w:name w:val="Predmet komentara Char"/>
    <w:basedOn w:val="TekstkomentaraChar"/>
    <w:link w:val="Predmetkomentara"/>
    <w:uiPriority w:val="99"/>
    <w:semiHidden/>
    <w:rsid w:val="00FD5BF3"/>
    <w:rPr>
      <w:rFonts w:ascii="Tahoma" w:eastAsia="Times New Roman" w:hAnsi="Tahoma" w:cs="Myriad Pro"/>
      <w:b/>
      <w:bCs/>
      <w:sz w:val="20"/>
      <w:szCs w:val="20"/>
      <w:lang w:eastAsia="de-DE"/>
    </w:rPr>
  </w:style>
  <w:style w:type="character" w:customStyle="1" w:styleId="NaslovChar">
    <w:name w:val="Naslov Char"/>
    <w:basedOn w:val="Zadanifontodlomka"/>
    <w:link w:val="Naslov"/>
    <w:uiPriority w:val="99"/>
    <w:rsid w:val="00F122CC"/>
    <w:rPr>
      <w:rFonts w:ascii="Tahoma" w:eastAsiaTheme="majorEastAsia" w:hAnsi="Tahoma" w:cstheme="majorBidi"/>
      <w:spacing w:val="-10"/>
      <w:kern w:val="28"/>
      <w:sz w:val="56"/>
      <w:szCs w:val="56"/>
      <w:lang w:eastAsia="de-DE"/>
    </w:rPr>
  </w:style>
  <w:style w:type="paragraph" w:styleId="Tekstkrajnjebiljeke">
    <w:name w:val="endnote text"/>
    <w:basedOn w:val="Normal"/>
    <w:link w:val="TekstkrajnjebiljekeChar"/>
    <w:uiPriority w:val="99"/>
    <w:semiHidden/>
    <w:rsid w:val="00B20621"/>
    <w:pPr>
      <w:spacing w:before="0"/>
    </w:pPr>
    <w:rPr>
      <w:rFonts w:cs="Times New Roman"/>
      <w:szCs w:val="20"/>
      <w:lang w:val="de-DE" w:eastAsia="zh-CN"/>
    </w:rPr>
  </w:style>
  <w:style w:type="character" w:customStyle="1" w:styleId="TekstkrajnjebiljekeChar">
    <w:name w:val="Tekst krajnje bilješke Char"/>
    <w:basedOn w:val="Zadanifontodlomka"/>
    <w:link w:val="Tekstkrajnjebiljeke"/>
    <w:uiPriority w:val="99"/>
    <w:semiHidden/>
    <w:rsid w:val="00B20621"/>
    <w:rPr>
      <w:rFonts w:ascii="Tahoma" w:eastAsia="Times New Roman" w:hAnsi="Tahoma" w:cs="Times New Roman"/>
      <w:sz w:val="20"/>
      <w:szCs w:val="20"/>
      <w:lang w:val="de-DE" w:eastAsia="zh-CN"/>
    </w:rPr>
  </w:style>
  <w:style w:type="paragraph" w:styleId="Tijeloteksta">
    <w:name w:val="Body Text"/>
    <w:basedOn w:val="Normal"/>
    <w:link w:val="TijelotekstaChar"/>
    <w:uiPriority w:val="99"/>
    <w:rsid w:val="003F0DFF"/>
  </w:style>
  <w:style w:type="paragraph" w:styleId="TOCNaslov">
    <w:name w:val="TOC Heading"/>
    <w:basedOn w:val="Naslov10"/>
    <w:next w:val="Normal"/>
    <w:uiPriority w:val="39"/>
    <w:semiHidden/>
    <w:unhideWhenUsed/>
    <w:rsid w:val="00A84BA4"/>
    <w:pPr>
      <w:pageBreakBefore w:val="0"/>
      <w:pBdr>
        <w:top w:val="none" w:sz="0" w:space="0" w:color="auto"/>
      </w:pBdr>
      <w:suppressAutoHyphens w:val="0"/>
      <w:autoSpaceDE/>
      <w:autoSpaceDN/>
      <w:adjustRightInd/>
      <w:spacing w:before="0"/>
      <w:textAlignment w:val="auto"/>
      <w:outlineLvl w:val="9"/>
    </w:pPr>
    <w:rPr>
      <w:rFonts w:eastAsiaTheme="majorEastAsia" w:cstheme="majorBidi"/>
      <w:iCs w:val="0"/>
      <w:position w:val="0"/>
      <w:szCs w:val="32"/>
      <w:lang w:eastAsia="de-DE"/>
    </w:rPr>
  </w:style>
  <w:style w:type="character" w:customStyle="1" w:styleId="TijelotekstaChar">
    <w:name w:val="Tijelo teksta Char"/>
    <w:basedOn w:val="Zadanifontodlomka"/>
    <w:link w:val="Tijeloteksta"/>
    <w:uiPriority w:val="99"/>
    <w:locked/>
    <w:rsid w:val="003F0DFF"/>
    <w:rPr>
      <w:rFonts w:ascii="Tahoma" w:eastAsia="Times New Roman" w:hAnsi="Tahoma" w:cs="Myriad Pro"/>
      <w:sz w:val="20"/>
      <w:szCs w:val="24"/>
      <w:lang w:eastAsia="de-DE"/>
    </w:rPr>
  </w:style>
  <w:style w:type="paragraph" w:customStyle="1" w:styleId="Tbltext">
    <w:name w:val="Tbl text"/>
    <w:basedOn w:val="Normal"/>
    <w:link w:val="TbltextChar"/>
    <w:uiPriority w:val="99"/>
    <w:qFormat/>
    <w:rsid w:val="00491310"/>
    <w:pPr>
      <w:suppressAutoHyphens/>
      <w:spacing w:before="40" w:after="40"/>
      <w:jc w:val="left"/>
    </w:pPr>
    <w:rPr>
      <w:rFonts w:cs="Times New Roman"/>
      <w:sz w:val="16"/>
      <w:szCs w:val="20"/>
    </w:rPr>
  </w:style>
  <w:style w:type="paragraph" w:styleId="Sadraj6">
    <w:name w:val="toc 6"/>
    <w:basedOn w:val="Normal"/>
    <w:next w:val="Normal"/>
    <w:autoRedefine/>
    <w:uiPriority w:val="39"/>
    <w:rsid w:val="00497BC5"/>
    <w:pPr>
      <w:spacing w:before="60" w:after="60"/>
      <w:ind w:left="2268"/>
    </w:pPr>
    <w:rPr>
      <w:rFonts w:cs="Times New Roman"/>
      <w:szCs w:val="20"/>
    </w:rPr>
  </w:style>
  <w:style w:type="paragraph" w:styleId="Sadraj7">
    <w:name w:val="toc 7"/>
    <w:basedOn w:val="Normal"/>
    <w:next w:val="Normal"/>
    <w:autoRedefine/>
    <w:uiPriority w:val="39"/>
    <w:rsid w:val="00497BC5"/>
    <w:pPr>
      <w:spacing w:before="60" w:after="60"/>
      <w:ind w:left="2268"/>
    </w:pPr>
    <w:rPr>
      <w:rFonts w:cs="Times New Roman"/>
      <w:szCs w:val="20"/>
    </w:rPr>
  </w:style>
  <w:style w:type="paragraph" w:styleId="Sadraj8">
    <w:name w:val="toc 8"/>
    <w:basedOn w:val="Normal"/>
    <w:next w:val="Normal"/>
    <w:autoRedefine/>
    <w:uiPriority w:val="39"/>
    <w:rsid w:val="00497BC5"/>
    <w:pPr>
      <w:spacing w:before="60" w:after="60"/>
      <w:ind w:left="2268"/>
    </w:pPr>
    <w:rPr>
      <w:rFonts w:cs="Times New Roman"/>
      <w:szCs w:val="20"/>
    </w:rPr>
  </w:style>
  <w:style w:type="paragraph" w:styleId="Sadraj9">
    <w:name w:val="toc 9"/>
    <w:basedOn w:val="Normal"/>
    <w:next w:val="Normal"/>
    <w:autoRedefine/>
    <w:uiPriority w:val="39"/>
    <w:rsid w:val="00497BC5"/>
    <w:pPr>
      <w:spacing w:before="60" w:after="60"/>
      <w:ind w:left="2268"/>
    </w:pPr>
    <w:rPr>
      <w:rFonts w:cs="Times New Roman"/>
      <w:szCs w:val="20"/>
    </w:rPr>
  </w:style>
  <w:style w:type="table" w:customStyle="1" w:styleId="Tablemjera">
    <w:name w:val="Table mjera"/>
    <w:uiPriority w:val="99"/>
    <w:rsid w:val="00143CE2"/>
    <w:pPr>
      <w:spacing w:after="0"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8034BF"/>
    <w:pPr>
      <w:spacing w:before="0" w:after="0"/>
      <w:jc w:val="left"/>
    </w:pPr>
    <w:rPr>
      <w:rFonts w:cs="Tahoma"/>
      <w:i/>
      <w:color w:val="000000"/>
      <w:sz w:val="16"/>
      <w:szCs w:val="16"/>
      <w:lang w:eastAsia="hr-HR"/>
    </w:rPr>
  </w:style>
  <w:style w:type="paragraph" w:customStyle="1" w:styleId="Tbl1red">
    <w:name w:val="Tbl 1. red"/>
    <w:basedOn w:val="Normal"/>
    <w:link w:val="Tbl1redChar"/>
    <w:uiPriority w:val="99"/>
    <w:qFormat/>
    <w:rsid w:val="00175706"/>
    <w:pPr>
      <w:keepNext/>
      <w:shd w:val="clear" w:color="auto" w:fill="FFA7A7"/>
      <w:spacing w:before="80" w:after="80"/>
      <w:jc w:val="center"/>
    </w:pPr>
    <w:rPr>
      <w:rFonts w:cs="Tahoma"/>
      <w:b/>
      <w:bCs/>
      <w:sz w:val="16"/>
      <w:szCs w:val="16"/>
      <w:lang w:eastAsia="hr-HR"/>
    </w:rPr>
  </w:style>
  <w:style w:type="paragraph" w:customStyle="1" w:styleId="Tbl1stupac">
    <w:name w:val="Tbl 1. stupac"/>
    <w:basedOn w:val="Normal"/>
    <w:link w:val="Tbl1stupacChar"/>
    <w:uiPriority w:val="99"/>
    <w:qFormat/>
    <w:rsid w:val="00491310"/>
    <w:pPr>
      <w:spacing w:before="40" w:after="40"/>
      <w:jc w:val="left"/>
    </w:pPr>
    <w:rPr>
      <w:rFonts w:cs="Times New Roman"/>
      <w:b/>
      <w:bCs/>
      <w:sz w:val="16"/>
      <w:szCs w:val="20"/>
      <w:lang w:eastAsia="en-US"/>
    </w:rPr>
  </w:style>
  <w:style w:type="table" w:customStyle="1" w:styleId="Tablicamjeresumarno">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0F45F2"/>
    <w:pPr>
      <w:tabs>
        <w:tab w:val="num" w:pos="567"/>
        <w:tab w:val="num" w:pos="1492"/>
      </w:tabs>
      <w:spacing w:before="0"/>
      <w:ind w:left="1492" w:hanging="360"/>
      <w:jc w:val="left"/>
    </w:pPr>
    <w:rPr>
      <w:rFonts w:cs="Times New Roman"/>
      <w:lang w:eastAsia="hr-HR"/>
    </w:rPr>
  </w:style>
  <w:style w:type="paragraph" w:styleId="Grafikeoznake">
    <w:name w:val="List Bullet"/>
    <w:basedOn w:val="Normal"/>
    <w:autoRedefine/>
    <w:uiPriority w:val="99"/>
    <w:semiHidden/>
    <w:rsid w:val="001F0216"/>
    <w:pPr>
      <w:tabs>
        <w:tab w:val="num" w:pos="720"/>
      </w:tabs>
      <w:spacing w:before="60" w:after="60"/>
      <w:ind w:left="284" w:hanging="284"/>
      <w:jc w:val="left"/>
    </w:pPr>
    <w:rPr>
      <w:rFonts w:cs="Times New Roman"/>
      <w:lang w:eastAsia="hr-HR"/>
    </w:rPr>
  </w:style>
  <w:style w:type="paragraph" w:styleId="Revizija">
    <w:name w:val="Revision"/>
    <w:hidden/>
    <w:uiPriority w:val="99"/>
    <w:semiHidden/>
    <w:rsid w:val="00143CE2"/>
    <w:pPr>
      <w:spacing w:after="0" w:line="240" w:lineRule="auto"/>
    </w:pPr>
    <w:rPr>
      <w:rFonts w:ascii="Myriad Pro" w:eastAsia="Times New Roman" w:hAnsi="Myriad Pro" w:cs="Myriad Pro"/>
      <w:szCs w:val="24"/>
      <w:lang w:val="en-GB" w:eastAsia="de-DE"/>
    </w:rPr>
  </w:style>
  <w:style w:type="table" w:customStyle="1" w:styleId="REPORTTablica">
    <w:name w:val="REPORT Tablica"/>
    <w:uiPriority w:val="99"/>
    <w:rsid w:val="00143CE2"/>
    <w:pPr>
      <w:spacing w:after="0"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143CE2"/>
    <w:pPr>
      <w:numPr>
        <w:numId w:val="9"/>
      </w:numPr>
    </w:pPr>
  </w:style>
  <w:style w:type="numbering" w:customStyle="1" w:styleId="StyleBulletedWingdingssymbol12ptGray-50Left15cm">
    <w:name w:val="Style Bulleted Wingdings (symbol) 12 pt Gray-50% Left:  15 cm..."/>
    <w:rsid w:val="00143CE2"/>
    <w:pPr>
      <w:numPr>
        <w:numId w:val="11"/>
      </w:numPr>
    </w:pPr>
  </w:style>
  <w:style w:type="numbering" w:customStyle="1" w:styleId="StyleBulleted">
    <w:name w:val="Style Bulleted"/>
    <w:rsid w:val="00143CE2"/>
    <w:pPr>
      <w:numPr>
        <w:numId w:val="8"/>
      </w:numPr>
    </w:pPr>
  </w:style>
  <w:style w:type="numbering" w:customStyle="1" w:styleId="toc20">
    <w:name w:val="toc 20"/>
    <w:rsid w:val="00143CE2"/>
    <w:pPr>
      <w:numPr>
        <w:numId w:val="10"/>
      </w:numPr>
    </w:pPr>
  </w:style>
  <w:style w:type="numbering" w:customStyle="1" w:styleId="StyleBulletedWingdingssymbol12ptBoldGray-50Left1">
    <w:name w:val="Style Bulleted Wingdings (symbol) 12 pt Bold Gray-50% Left:  1..."/>
    <w:rsid w:val="00143CE2"/>
    <w:pPr>
      <w:numPr>
        <w:numId w:val="12"/>
      </w:numPr>
    </w:pPr>
  </w:style>
  <w:style w:type="table" w:customStyle="1" w:styleId="ColorfulList1">
    <w:name w:val="Colorful List1"/>
    <w:basedOn w:val="Obinatablica"/>
    <w:uiPriority w:val="72"/>
    <w:rsid w:val="00143CE2"/>
    <w:pPr>
      <w:spacing w:after="0"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B20621"/>
    <w:pPr>
      <w:spacing w:before="100" w:beforeAutospacing="1" w:after="100" w:afterAutospacing="1"/>
    </w:pPr>
    <w:rPr>
      <w:rFonts w:cs="Times New Roman"/>
      <w:lang w:eastAsia="hr-HR"/>
    </w:rPr>
  </w:style>
  <w:style w:type="table" w:customStyle="1" w:styleId="Obinatablica51">
    <w:name w:val="Obična tablica 51"/>
    <w:basedOn w:val="Obinatablica"/>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
    <w:name w:val="Tablica rešetke 4 - isticanje 21"/>
    <w:basedOn w:val="Obinatablica"/>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143CE2"/>
  </w:style>
  <w:style w:type="numbering" w:styleId="111111">
    <w:name w:val="Outline List 2"/>
    <w:basedOn w:val="Bezpopisa"/>
    <w:semiHidden/>
    <w:rsid w:val="00143CE2"/>
    <w:pPr>
      <w:numPr>
        <w:numId w:val="13"/>
      </w:numPr>
    </w:pPr>
  </w:style>
  <w:style w:type="numbering" w:styleId="1ai">
    <w:name w:val="Outline List 1"/>
    <w:basedOn w:val="Bezpopisa"/>
    <w:semiHidden/>
    <w:rsid w:val="00143CE2"/>
    <w:pPr>
      <w:numPr>
        <w:numId w:val="14"/>
      </w:numPr>
    </w:pPr>
  </w:style>
  <w:style w:type="numbering" w:styleId="lanaksekcija">
    <w:name w:val="Outline List 3"/>
    <w:basedOn w:val="Bezpopisa"/>
    <w:semiHidden/>
    <w:rsid w:val="00143CE2"/>
    <w:pPr>
      <w:numPr>
        <w:numId w:val="15"/>
      </w:numPr>
    </w:pPr>
  </w:style>
  <w:style w:type="paragraph" w:styleId="Blokteksta">
    <w:name w:val="Block Text"/>
    <w:basedOn w:val="Normal"/>
    <w:uiPriority w:val="99"/>
    <w:semiHidden/>
    <w:rsid w:val="00B20621"/>
    <w:pPr>
      <w:spacing w:before="100" w:beforeAutospacing="1" w:afterAutospacing="1"/>
      <w:ind w:left="1440" w:right="1440"/>
    </w:pPr>
    <w:rPr>
      <w:rFonts w:cs="Times New Roman"/>
      <w:sz w:val="22"/>
      <w:lang w:eastAsia="hr-HR"/>
    </w:rPr>
  </w:style>
  <w:style w:type="paragraph" w:styleId="Zavretak">
    <w:name w:val="Closing"/>
    <w:basedOn w:val="Normal"/>
    <w:link w:val="ZavretakChar"/>
    <w:uiPriority w:val="99"/>
    <w:semiHidden/>
    <w:rsid w:val="00B20621"/>
    <w:pPr>
      <w:spacing w:before="100" w:beforeAutospacing="1" w:after="100" w:afterAutospacing="1"/>
      <w:ind w:left="4252"/>
    </w:pPr>
    <w:rPr>
      <w:rFonts w:cs="Times New Roman"/>
      <w:lang w:eastAsia="hr-HR"/>
    </w:rPr>
  </w:style>
  <w:style w:type="character" w:customStyle="1" w:styleId="ZavretakChar">
    <w:name w:val="Završetak Char"/>
    <w:basedOn w:val="Zadanifontodlomka"/>
    <w:link w:val="Zavretak"/>
    <w:uiPriority w:val="99"/>
    <w:semiHidden/>
    <w:rsid w:val="00B20621"/>
    <w:rPr>
      <w:rFonts w:ascii="Tahoma" w:eastAsia="Times New Roman" w:hAnsi="Tahoma" w:cs="Times New Roman"/>
      <w:sz w:val="20"/>
      <w:szCs w:val="24"/>
      <w:lang w:eastAsia="hr-HR"/>
    </w:rPr>
  </w:style>
  <w:style w:type="character" w:customStyle="1" w:styleId="DatumChar">
    <w:name w:val="Datum Char"/>
    <w:basedOn w:val="Zadanifontodlomka"/>
    <w:link w:val="Datum"/>
    <w:uiPriority w:val="99"/>
    <w:semiHidden/>
    <w:rsid w:val="00B20621"/>
    <w:rPr>
      <w:rFonts w:ascii="Tahoma" w:eastAsia="Times New Roman" w:hAnsi="Tahoma" w:cs="Times New Roman"/>
      <w:sz w:val="20"/>
      <w:szCs w:val="24"/>
      <w:lang w:eastAsia="hr-HR"/>
    </w:rPr>
  </w:style>
  <w:style w:type="paragraph" w:styleId="Potpise-pote">
    <w:name w:val="E-mail Signature"/>
    <w:basedOn w:val="Normal"/>
    <w:link w:val="Potpise-poteChar"/>
    <w:uiPriority w:val="99"/>
    <w:semiHidden/>
    <w:rsid w:val="00B20621"/>
    <w:pPr>
      <w:spacing w:before="100" w:beforeAutospacing="1" w:after="100" w:afterAutospacing="1"/>
    </w:pPr>
    <w:rPr>
      <w:rFonts w:cs="Times New Roman"/>
      <w:lang w:eastAsia="hr-HR"/>
    </w:rPr>
  </w:style>
  <w:style w:type="character" w:customStyle="1" w:styleId="Potpise-poteChar">
    <w:name w:val="Potpis e-pošte Char"/>
    <w:basedOn w:val="Zadanifontodlomka"/>
    <w:link w:val="Potpise-pote"/>
    <w:uiPriority w:val="99"/>
    <w:semiHidden/>
    <w:rsid w:val="00B20621"/>
    <w:rPr>
      <w:rFonts w:ascii="Tahoma" w:eastAsia="Times New Roman" w:hAnsi="Tahoma" w:cs="Times New Roman"/>
      <w:sz w:val="20"/>
      <w:szCs w:val="24"/>
      <w:lang w:eastAsia="hr-HR"/>
    </w:rPr>
  </w:style>
  <w:style w:type="character" w:styleId="SlijeenaHiperveza">
    <w:name w:val="FollowedHyperlink"/>
    <w:basedOn w:val="Zadanifontodlomka"/>
    <w:uiPriority w:val="99"/>
    <w:semiHidden/>
    <w:rsid w:val="00143CE2"/>
    <w:rPr>
      <w:color w:val="800080"/>
      <w:u w:val="single"/>
    </w:rPr>
  </w:style>
  <w:style w:type="character" w:styleId="HTML-akronim">
    <w:name w:val="HTML Acronym"/>
    <w:basedOn w:val="Zadanifontodlomka"/>
    <w:semiHidden/>
    <w:rsid w:val="00143CE2"/>
  </w:style>
  <w:style w:type="paragraph" w:styleId="HTML-adresa">
    <w:name w:val="HTML Address"/>
    <w:basedOn w:val="Normal"/>
    <w:link w:val="HTML-adresaChar"/>
    <w:semiHidden/>
    <w:rsid w:val="00B20621"/>
    <w:pPr>
      <w:spacing w:before="100" w:beforeAutospacing="1" w:after="100" w:afterAutospacing="1"/>
    </w:pPr>
    <w:rPr>
      <w:rFonts w:cs="Times New Roman"/>
      <w:i/>
      <w:iCs/>
      <w:lang w:eastAsia="hr-HR"/>
    </w:rPr>
  </w:style>
  <w:style w:type="character" w:customStyle="1" w:styleId="HTML-adresaChar">
    <w:name w:val="HTML-adresa Char"/>
    <w:basedOn w:val="Zadanifontodlomka"/>
    <w:link w:val="HTML-adresa"/>
    <w:semiHidden/>
    <w:rsid w:val="00B20621"/>
    <w:rPr>
      <w:rFonts w:ascii="Tahoma" w:eastAsia="Times New Roman" w:hAnsi="Tahoma" w:cs="Times New Roman"/>
      <w:i/>
      <w:iCs/>
      <w:sz w:val="20"/>
      <w:szCs w:val="24"/>
      <w:lang w:eastAsia="hr-HR"/>
    </w:rPr>
  </w:style>
  <w:style w:type="character" w:styleId="HTML-navod">
    <w:name w:val="HTML Cite"/>
    <w:basedOn w:val="Zadanifontodlomka"/>
    <w:semiHidden/>
    <w:rsid w:val="00143CE2"/>
    <w:rPr>
      <w:i/>
      <w:iCs/>
    </w:rPr>
  </w:style>
  <w:style w:type="character" w:styleId="HTML-kod">
    <w:name w:val="HTML Code"/>
    <w:basedOn w:val="Zadanifontodlomka"/>
    <w:semiHidden/>
    <w:rsid w:val="00B20621"/>
    <w:rPr>
      <w:rFonts w:ascii="Tahoma" w:hAnsi="Tahoma" w:cs="Courier New"/>
      <w:sz w:val="20"/>
      <w:szCs w:val="20"/>
    </w:rPr>
  </w:style>
  <w:style w:type="character" w:styleId="HTML-definicija">
    <w:name w:val="HTML Definition"/>
    <w:basedOn w:val="Zadanifontodlomka"/>
    <w:semiHidden/>
    <w:rsid w:val="00143CE2"/>
    <w:rPr>
      <w:i/>
      <w:iCs/>
    </w:rPr>
  </w:style>
  <w:style w:type="character" w:styleId="HTML-tipkovnica">
    <w:name w:val="HTML Keyboard"/>
    <w:basedOn w:val="Zadanifontodlomka"/>
    <w:semiHidden/>
    <w:rsid w:val="00B20621"/>
    <w:rPr>
      <w:rFonts w:ascii="Tahoma" w:hAnsi="Tahoma" w:cs="Courier New"/>
      <w:sz w:val="20"/>
      <w:szCs w:val="20"/>
    </w:rPr>
  </w:style>
  <w:style w:type="paragraph" w:styleId="HTMLunaprijedoblikovano">
    <w:name w:val="HTML Preformatted"/>
    <w:basedOn w:val="Normal"/>
    <w:link w:val="HTMLunaprijedoblikovanoChar"/>
    <w:rsid w:val="00B20621"/>
    <w:pPr>
      <w:spacing w:before="100" w:beforeAutospacing="1" w:after="100" w:afterAutospacing="1"/>
    </w:pPr>
    <w:rPr>
      <w:rFonts w:cs="Courier New"/>
      <w:szCs w:val="20"/>
      <w:lang w:eastAsia="hr-HR"/>
    </w:rPr>
  </w:style>
  <w:style w:type="character" w:customStyle="1" w:styleId="HTMLunaprijedoblikovanoChar">
    <w:name w:val="HTML unaprijed oblikovano Char"/>
    <w:basedOn w:val="Zadanifontodlomka"/>
    <w:link w:val="HTMLunaprijedoblikovano"/>
    <w:rsid w:val="00B20621"/>
    <w:rPr>
      <w:rFonts w:ascii="Tahoma" w:eastAsia="Times New Roman" w:hAnsi="Tahoma" w:cs="Courier New"/>
      <w:sz w:val="20"/>
      <w:szCs w:val="20"/>
      <w:lang w:eastAsia="hr-HR"/>
    </w:rPr>
  </w:style>
  <w:style w:type="character" w:styleId="HTML-primjer">
    <w:name w:val="HTML Sample"/>
    <w:basedOn w:val="Zadanifontodlomka"/>
    <w:semiHidden/>
    <w:rsid w:val="00143CE2"/>
    <w:rPr>
      <w:rFonts w:ascii="Courier New" w:hAnsi="Courier New" w:cs="Courier New"/>
    </w:rPr>
  </w:style>
  <w:style w:type="character" w:styleId="HTMLpisaistroj">
    <w:name w:val="HTML Typewriter"/>
    <w:basedOn w:val="Zadanifontodlomka"/>
    <w:semiHidden/>
    <w:rsid w:val="00143CE2"/>
    <w:rPr>
      <w:rFonts w:ascii="Courier New" w:hAnsi="Courier New" w:cs="Courier New"/>
      <w:sz w:val="20"/>
      <w:szCs w:val="20"/>
    </w:rPr>
  </w:style>
  <w:style w:type="character" w:styleId="HTML-varijabla">
    <w:name w:val="HTML Variable"/>
    <w:basedOn w:val="Zadanifontodlomka"/>
    <w:semiHidden/>
    <w:rsid w:val="00143CE2"/>
    <w:rPr>
      <w:i/>
      <w:iCs/>
    </w:rPr>
  </w:style>
  <w:style w:type="paragraph" w:styleId="Popis2">
    <w:name w:val="List 2"/>
    <w:basedOn w:val="Normal"/>
    <w:uiPriority w:val="99"/>
    <w:semiHidden/>
    <w:rsid w:val="00B20621"/>
    <w:pPr>
      <w:spacing w:before="100" w:beforeAutospacing="1" w:after="100" w:afterAutospacing="1"/>
      <w:ind w:left="566" w:hanging="283"/>
    </w:pPr>
    <w:rPr>
      <w:rFonts w:cs="Times New Roman"/>
      <w:lang w:eastAsia="hr-HR"/>
    </w:rPr>
  </w:style>
  <w:style w:type="paragraph" w:styleId="Popis3">
    <w:name w:val="List 3"/>
    <w:basedOn w:val="Normal"/>
    <w:uiPriority w:val="99"/>
    <w:semiHidden/>
    <w:rsid w:val="00B20621"/>
    <w:pPr>
      <w:spacing w:before="100" w:beforeAutospacing="1" w:after="100" w:afterAutospacing="1"/>
      <w:ind w:left="849" w:hanging="283"/>
    </w:pPr>
    <w:rPr>
      <w:rFonts w:cs="Times New Roman"/>
      <w:lang w:eastAsia="hr-HR"/>
    </w:rPr>
  </w:style>
  <w:style w:type="paragraph" w:styleId="Popis4">
    <w:name w:val="List 4"/>
    <w:basedOn w:val="Normal"/>
    <w:uiPriority w:val="99"/>
    <w:semiHidden/>
    <w:rsid w:val="00B20621"/>
    <w:pPr>
      <w:spacing w:before="100" w:beforeAutospacing="1" w:after="100" w:afterAutospacing="1"/>
      <w:ind w:left="1132" w:hanging="283"/>
    </w:pPr>
    <w:rPr>
      <w:rFonts w:cs="Times New Roman"/>
      <w:lang w:eastAsia="hr-HR"/>
    </w:rPr>
  </w:style>
  <w:style w:type="paragraph" w:styleId="Popis5">
    <w:name w:val="List 5"/>
    <w:basedOn w:val="Normal"/>
    <w:uiPriority w:val="99"/>
    <w:semiHidden/>
    <w:rsid w:val="00B20621"/>
    <w:pPr>
      <w:spacing w:before="100" w:beforeAutospacing="1" w:after="100" w:afterAutospacing="1"/>
      <w:ind w:left="1415" w:hanging="283"/>
    </w:pPr>
    <w:rPr>
      <w:rFonts w:cs="Times New Roman"/>
      <w:lang w:eastAsia="hr-HR"/>
    </w:rPr>
  </w:style>
  <w:style w:type="paragraph" w:styleId="Grafikeoznake3">
    <w:name w:val="List Bullet 3"/>
    <w:basedOn w:val="Normal"/>
    <w:autoRedefine/>
    <w:uiPriority w:val="99"/>
    <w:semiHidden/>
    <w:rsid w:val="000F45F2"/>
    <w:pPr>
      <w:tabs>
        <w:tab w:val="num" w:pos="926"/>
      </w:tabs>
      <w:spacing w:before="100" w:beforeAutospacing="1" w:after="100" w:afterAutospacing="1"/>
      <w:ind w:left="926" w:hanging="360"/>
    </w:pPr>
    <w:rPr>
      <w:rFonts w:cs="Times New Roman"/>
      <w:lang w:eastAsia="hr-HR"/>
    </w:rPr>
  </w:style>
  <w:style w:type="paragraph" w:styleId="Grafikeoznake4">
    <w:name w:val="List Bullet 4"/>
    <w:basedOn w:val="Normal"/>
    <w:autoRedefine/>
    <w:semiHidden/>
    <w:rsid w:val="000F45F2"/>
    <w:pPr>
      <w:tabs>
        <w:tab w:val="num" w:pos="1209"/>
      </w:tabs>
      <w:spacing w:before="100" w:beforeAutospacing="1" w:after="100" w:afterAutospacing="1"/>
      <w:ind w:left="1209" w:hanging="360"/>
    </w:pPr>
    <w:rPr>
      <w:rFonts w:cs="Times New Roman"/>
      <w:lang w:eastAsia="hr-HR"/>
    </w:rPr>
  </w:style>
  <w:style w:type="paragraph" w:styleId="Grafikeoznake5">
    <w:name w:val="List Bullet 5"/>
    <w:basedOn w:val="Normal"/>
    <w:autoRedefine/>
    <w:uiPriority w:val="99"/>
    <w:semiHidden/>
    <w:rsid w:val="000F45F2"/>
    <w:pPr>
      <w:tabs>
        <w:tab w:val="num" w:pos="1492"/>
      </w:tabs>
      <w:spacing w:before="100" w:beforeAutospacing="1" w:after="100" w:afterAutospacing="1"/>
      <w:ind w:left="1492" w:hanging="360"/>
    </w:pPr>
    <w:rPr>
      <w:rFonts w:cs="Times New Roman"/>
      <w:lang w:eastAsia="hr-HR"/>
    </w:rPr>
  </w:style>
  <w:style w:type="paragraph" w:styleId="Nastavakpopisa">
    <w:name w:val="List Continue"/>
    <w:basedOn w:val="Normal"/>
    <w:uiPriority w:val="99"/>
    <w:semiHidden/>
    <w:rsid w:val="000F45F2"/>
    <w:pPr>
      <w:spacing w:before="100" w:beforeAutospacing="1" w:afterAutospacing="1"/>
      <w:ind w:left="283"/>
    </w:pPr>
    <w:rPr>
      <w:rFonts w:cs="Times New Roman"/>
      <w:lang w:eastAsia="hr-HR"/>
    </w:rPr>
  </w:style>
  <w:style w:type="paragraph" w:styleId="Nastavakpopisa2">
    <w:name w:val="List Continue 2"/>
    <w:basedOn w:val="Normal"/>
    <w:uiPriority w:val="99"/>
    <w:semiHidden/>
    <w:rsid w:val="000F45F2"/>
    <w:pPr>
      <w:spacing w:before="100" w:beforeAutospacing="1" w:afterAutospacing="1"/>
      <w:ind w:left="566"/>
    </w:pPr>
    <w:rPr>
      <w:rFonts w:cs="Times New Roman"/>
      <w:lang w:eastAsia="hr-HR"/>
    </w:rPr>
  </w:style>
  <w:style w:type="paragraph" w:styleId="Nastavakpopisa3">
    <w:name w:val="List Continue 3"/>
    <w:basedOn w:val="Normal"/>
    <w:uiPriority w:val="99"/>
    <w:semiHidden/>
    <w:rsid w:val="000F45F2"/>
    <w:pPr>
      <w:spacing w:before="100" w:beforeAutospacing="1" w:afterAutospacing="1"/>
      <w:ind w:left="849"/>
    </w:pPr>
    <w:rPr>
      <w:rFonts w:cs="Times New Roman"/>
      <w:lang w:eastAsia="hr-HR"/>
    </w:rPr>
  </w:style>
  <w:style w:type="paragraph" w:styleId="Nastavakpopisa4">
    <w:name w:val="List Continue 4"/>
    <w:basedOn w:val="Normal"/>
    <w:uiPriority w:val="99"/>
    <w:semiHidden/>
    <w:rsid w:val="000F45F2"/>
    <w:pPr>
      <w:spacing w:before="100" w:beforeAutospacing="1" w:afterAutospacing="1"/>
      <w:ind w:left="1132"/>
    </w:pPr>
    <w:rPr>
      <w:rFonts w:cs="Times New Roman"/>
      <w:lang w:eastAsia="hr-HR"/>
    </w:rPr>
  </w:style>
  <w:style w:type="paragraph" w:styleId="Nastavakpopisa5">
    <w:name w:val="List Continue 5"/>
    <w:basedOn w:val="Normal"/>
    <w:uiPriority w:val="99"/>
    <w:semiHidden/>
    <w:rsid w:val="000F45F2"/>
    <w:pPr>
      <w:spacing w:before="100" w:beforeAutospacing="1" w:afterAutospacing="1"/>
      <w:ind w:left="1415"/>
    </w:pPr>
    <w:rPr>
      <w:rFonts w:cs="Times New Roman"/>
      <w:lang w:eastAsia="hr-HR"/>
    </w:rPr>
  </w:style>
  <w:style w:type="paragraph" w:styleId="Brojevi">
    <w:name w:val="List Number"/>
    <w:basedOn w:val="Normal"/>
    <w:uiPriority w:val="99"/>
    <w:semiHidden/>
    <w:rsid w:val="000F45F2"/>
    <w:pPr>
      <w:tabs>
        <w:tab w:val="num" w:pos="360"/>
      </w:tabs>
      <w:spacing w:before="100" w:beforeAutospacing="1" w:after="100" w:afterAutospacing="1"/>
      <w:ind w:left="360" w:hanging="360"/>
    </w:pPr>
    <w:rPr>
      <w:rFonts w:cs="Times New Roman"/>
      <w:lang w:eastAsia="hr-HR"/>
    </w:rPr>
  </w:style>
  <w:style w:type="paragraph" w:styleId="Brojevi2">
    <w:name w:val="List Number 2"/>
    <w:basedOn w:val="Normal"/>
    <w:uiPriority w:val="99"/>
    <w:semiHidden/>
    <w:rsid w:val="000F45F2"/>
    <w:pPr>
      <w:tabs>
        <w:tab w:val="num" w:pos="643"/>
      </w:tabs>
      <w:spacing w:before="100" w:beforeAutospacing="1" w:after="100" w:afterAutospacing="1"/>
      <w:ind w:left="643" w:hanging="360"/>
    </w:pPr>
    <w:rPr>
      <w:rFonts w:cs="Times New Roman"/>
      <w:lang w:eastAsia="hr-HR"/>
    </w:rPr>
  </w:style>
  <w:style w:type="paragraph" w:styleId="Brojevi3">
    <w:name w:val="List Number 3"/>
    <w:basedOn w:val="Normal"/>
    <w:uiPriority w:val="99"/>
    <w:semiHidden/>
    <w:rsid w:val="000F45F2"/>
    <w:pPr>
      <w:tabs>
        <w:tab w:val="num" w:pos="926"/>
      </w:tabs>
      <w:spacing w:before="100" w:beforeAutospacing="1" w:after="100" w:afterAutospacing="1"/>
      <w:ind w:left="926" w:hanging="360"/>
    </w:pPr>
    <w:rPr>
      <w:rFonts w:cs="Times New Roman"/>
      <w:lang w:eastAsia="hr-HR"/>
    </w:rPr>
  </w:style>
  <w:style w:type="paragraph" w:styleId="Brojevi4">
    <w:name w:val="List Number 4"/>
    <w:basedOn w:val="Normal"/>
    <w:uiPriority w:val="99"/>
    <w:semiHidden/>
    <w:rsid w:val="000F45F2"/>
    <w:pPr>
      <w:tabs>
        <w:tab w:val="num" w:pos="1209"/>
      </w:tabs>
      <w:spacing w:before="100" w:beforeAutospacing="1" w:after="100" w:afterAutospacing="1"/>
      <w:ind w:left="1209" w:hanging="360"/>
    </w:pPr>
    <w:rPr>
      <w:rFonts w:cs="Times New Roman"/>
      <w:lang w:eastAsia="hr-HR"/>
    </w:rPr>
  </w:style>
  <w:style w:type="paragraph" w:styleId="Zaglavljeporuke">
    <w:name w:val="Message Header"/>
    <w:basedOn w:val="Normal"/>
    <w:link w:val="ZaglavljeporukeChar"/>
    <w:uiPriority w:val="99"/>
    <w:semiHidden/>
    <w:rsid w:val="000F45F2"/>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ind w:left="1134" w:hanging="1134"/>
    </w:pPr>
    <w:rPr>
      <w:rFonts w:cs="Arial"/>
      <w:lang w:eastAsia="hr-HR"/>
    </w:rPr>
  </w:style>
  <w:style w:type="character" w:customStyle="1" w:styleId="ZaglavljeporukeChar">
    <w:name w:val="Zaglavlje poruke Char"/>
    <w:basedOn w:val="Zadanifontodlomka"/>
    <w:link w:val="Zaglavljeporuke"/>
    <w:uiPriority w:val="99"/>
    <w:semiHidden/>
    <w:rsid w:val="000F45F2"/>
    <w:rPr>
      <w:rFonts w:ascii="Tahoma" w:eastAsia="Times New Roman" w:hAnsi="Tahoma" w:cs="Arial"/>
      <w:sz w:val="20"/>
      <w:szCs w:val="24"/>
      <w:shd w:val="pct20" w:color="auto" w:fill="auto"/>
      <w:lang w:eastAsia="hr-HR"/>
    </w:rPr>
  </w:style>
  <w:style w:type="paragraph" w:styleId="Naslovbiljeke">
    <w:name w:val="Note Heading"/>
    <w:basedOn w:val="Normal"/>
    <w:next w:val="Normal"/>
    <w:link w:val="NaslovbiljekeChar"/>
    <w:uiPriority w:val="99"/>
    <w:semiHidden/>
    <w:rsid w:val="000F45F2"/>
    <w:pPr>
      <w:spacing w:before="100" w:beforeAutospacing="1" w:after="100" w:afterAutospacing="1"/>
    </w:pPr>
    <w:rPr>
      <w:rFonts w:cs="Times New Roman"/>
      <w:lang w:eastAsia="hr-HR"/>
    </w:rPr>
  </w:style>
  <w:style w:type="character" w:customStyle="1" w:styleId="NaslovbiljekeChar">
    <w:name w:val="Naslov bilješke Char"/>
    <w:basedOn w:val="Zadanifontodlomka"/>
    <w:link w:val="Naslovbiljeke"/>
    <w:uiPriority w:val="99"/>
    <w:semiHidden/>
    <w:rsid w:val="000F45F2"/>
    <w:rPr>
      <w:rFonts w:ascii="Tahoma" w:eastAsia="Times New Roman" w:hAnsi="Tahoma" w:cs="Times New Roman"/>
      <w:sz w:val="20"/>
      <w:szCs w:val="24"/>
      <w:lang w:eastAsia="hr-HR"/>
    </w:rPr>
  </w:style>
  <w:style w:type="paragraph" w:styleId="Obinitekst">
    <w:name w:val="Plain Text"/>
    <w:basedOn w:val="Normal"/>
    <w:link w:val="ObinitekstChar"/>
    <w:uiPriority w:val="99"/>
    <w:semiHidden/>
    <w:rsid w:val="000F45F2"/>
    <w:pPr>
      <w:spacing w:before="100" w:beforeAutospacing="1" w:after="100" w:afterAutospacing="1"/>
    </w:pPr>
    <w:rPr>
      <w:rFonts w:cs="Courier New"/>
      <w:szCs w:val="20"/>
      <w:lang w:eastAsia="hr-HR"/>
    </w:rPr>
  </w:style>
  <w:style w:type="character" w:customStyle="1" w:styleId="ObinitekstChar">
    <w:name w:val="Obični tekst Char"/>
    <w:basedOn w:val="Zadanifontodlomka"/>
    <w:link w:val="Obinitekst"/>
    <w:uiPriority w:val="99"/>
    <w:semiHidden/>
    <w:rsid w:val="000F45F2"/>
    <w:rPr>
      <w:rFonts w:ascii="Tahoma" w:eastAsia="Times New Roman" w:hAnsi="Tahoma" w:cs="Courier New"/>
      <w:sz w:val="20"/>
      <w:szCs w:val="20"/>
      <w:lang w:eastAsia="hr-HR"/>
    </w:rPr>
  </w:style>
  <w:style w:type="paragraph" w:styleId="Pozdrav">
    <w:name w:val="Salutation"/>
    <w:basedOn w:val="Normal"/>
    <w:next w:val="Normal"/>
    <w:link w:val="PozdravChar"/>
    <w:uiPriority w:val="99"/>
    <w:semiHidden/>
    <w:rsid w:val="000F45F2"/>
    <w:pPr>
      <w:spacing w:before="100" w:beforeAutospacing="1" w:after="100" w:afterAutospacing="1"/>
    </w:pPr>
    <w:rPr>
      <w:rFonts w:cs="Times New Roman"/>
      <w:lang w:eastAsia="hr-HR"/>
    </w:rPr>
  </w:style>
  <w:style w:type="character" w:customStyle="1" w:styleId="PozdravChar">
    <w:name w:val="Pozdrav Char"/>
    <w:basedOn w:val="Zadanifontodlomka"/>
    <w:link w:val="Pozdrav"/>
    <w:uiPriority w:val="99"/>
    <w:semiHidden/>
    <w:rsid w:val="000F45F2"/>
    <w:rPr>
      <w:rFonts w:ascii="Tahoma" w:eastAsia="Times New Roman" w:hAnsi="Tahoma" w:cs="Times New Roman"/>
      <w:sz w:val="20"/>
      <w:szCs w:val="24"/>
      <w:lang w:eastAsia="hr-HR"/>
    </w:rPr>
  </w:style>
  <w:style w:type="paragraph" w:styleId="Potpis">
    <w:name w:val="Signature"/>
    <w:basedOn w:val="Normal"/>
    <w:link w:val="PotpisChar"/>
    <w:uiPriority w:val="99"/>
    <w:semiHidden/>
    <w:rsid w:val="000F45F2"/>
    <w:pPr>
      <w:spacing w:before="100" w:beforeAutospacing="1" w:after="100" w:afterAutospacing="1"/>
      <w:ind w:left="4252"/>
    </w:pPr>
    <w:rPr>
      <w:rFonts w:cs="Times New Roman"/>
      <w:lang w:eastAsia="hr-HR"/>
    </w:rPr>
  </w:style>
  <w:style w:type="character" w:customStyle="1" w:styleId="PotpisChar">
    <w:name w:val="Potpis Char"/>
    <w:basedOn w:val="Zadanifontodlomka"/>
    <w:link w:val="Potpis"/>
    <w:uiPriority w:val="99"/>
    <w:semiHidden/>
    <w:rsid w:val="000F45F2"/>
    <w:rPr>
      <w:rFonts w:ascii="Tahoma" w:eastAsia="Times New Roman" w:hAnsi="Tahoma" w:cs="Times New Roman"/>
      <w:sz w:val="20"/>
      <w:szCs w:val="24"/>
      <w:lang w:eastAsia="hr-HR"/>
    </w:rPr>
  </w:style>
  <w:style w:type="table" w:styleId="Tablicas3Defektima1">
    <w:name w:val="Table 3D effects 1"/>
    <w:basedOn w:val="Obinatablica"/>
    <w:semiHidden/>
    <w:rsid w:val="00143CE2"/>
    <w:pPr>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143CE2"/>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143CE2"/>
    <w:pPr>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143CE2"/>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143CE2"/>
    <w:pPr>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143CE2"/>
    <w:pPr>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143CE2"/>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143CE2"/>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143CE2"/>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491310"/>
    <w:rPr>
      <w:rFonts w:ascii="Tahoma" w:eastAsia="Times New Roman" w:hAnsi="Tahoma" w:cs="Times New Roman"/>
      <w:b/>
      <w:bCs/>
      <w:sz w:val="16"/>
      <w:szCs w:val="20"/>
    </w:rPr>
  </w:style>
  <w:style w:type="character" w:customStyle="1" w:styleId="PodnaslovChar">
    <w:name w:val="Podnaslov Char"/>
    <w:basedOn w:val="Zadanifontodlomka"/>
    <w:link w:val="Podnaslov"/>
    <w:uiPriority w:val="99"/>
    <w:rsid w:val="00D552B6"/>
    <w:rPr>
      <w:rFonts w:ascii="Tahoma" w:eastAsiaTheme="minorEastAsia" w:hAnsi="Tahoma"/>
      <w:sz w:val="20"/>
      <w:lang w:eastAsia="de-DE"/>
    </w:rPr>
  </w:style>
  <w:style w:type="character" w:styleId="Tekstrezerviranogmjesta">
    <w:name w:val="Placeholder Text"/>
    <w:basedOn w:val="Zadanifontodlomka"/>
    <w:uiPriority w:val="99"/>
    <w:semiHidden/>
    <w:rsid w:val="00143CE2"/>
    <w:rPr>
      <w:color w:val="808080"/>
    </w:rPr>
  </w:style>
  <w:style w:type="table" w:customStyle="1" w:styleId="TableGrid1">
    <w:name w:val="Table Grid1"/>
    <w:basedOn w:val="Obinatablica"/>
    <w:uiPriority w:val="99"/>
    <w:rsid w:val="00143CE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143CE2"/>
    <w:pPr>
      <w:numPr>
        <w:numId w:val="16"/>
      </w:numPr>
    </w:pPr>
  </w:style>
  <w:style w:type="table" w:customStyle="1" w:styleId="Svijetlareetkatablice1">
    <w:name w:val="Svijetla rešetka tablice1"/>
    <w:basedOn w:val="Obinatablica"/>
    <w:uiPriority w:val="40"/>
    <w:rsid w:val="003F0DFF"/>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C213A3"/>
    <w:pPr>
      <w:spacing w:before="0" w:after="0"/>
      <w:jc w:val="left"/>
    </w:pPr>
    <w:rPr>
      <w:rFonts w:cs="Tahoma"/>
      <w:b/>
      <w:color w:val="CC0000"/>
      <w:sz w:val="28"/>
      <w:szCs w:val="28"/>
      <w:lang w:eastAsia="hr-HR"/>
    </w:rPr>
  </w:style>
  <w:style w:type="paragraph" w:customStyle="1" w:styleId="Naslovstudije">
    <w:name w:val="Naslov studije"/>
    <w:basedOn w:val="Zaglavlje"/>
    <w:next w:val="Normal"/>
    <w:uiPriority w:val="99"/>
    <w:rsid w:val="00C213A3"/>
    <w:pPr>
      <w:spacing w:after="0"/>
      <w:jc w:val="right"/>
    </w:pPr>
    <w:rPr>
      <w:rFonts w:cs="Tahoma"/>
      <w:i/>
      <w:color w:val="BE1D2D"/>
      <w:sz w:val="36"/>
      <w:szCs w:val="36"/>
    </w:rPr>
  </w:style>
  <w:style w:type="paragraph" w:customStyle="1" w:styleId="Uvlaka1">
    <w:name w:val="Uvlaka 1"/>
    <w:basedOn w:val="Normal"/>
    <w:link w:val="Uvlaka1Char"/>
    <w:qFormat/>
    <w:rsid w:val="001F0216"/>
    <w:pPr>
      <w:numPr>
        <w:numId w:val="18"/>
      </w:numPr>
      <w:spacing w:before="60" w:after="60"/>
    </w:pPr>
  </w:style>
  <w:style w:type="character" w:customStyle="1" w:styleId="Uvlaka1Char">
    <w:name w:val="Uvlaka 1 Char"/>
    <w:basedOn w:val="Zadanifontodlomka"/>
    <w:link w:val="Uvlaka1"/>
    <w:rsid w:val="001F0216"/>
    <w:rPr>
      <w:rFonts w:ascii="Tahoma" w:eastAsia="Times New Roman" w:hAnsi="Tahoma" w:cs="Myriad Pro"/>
      <w:sz w:val="20"/>
      <w:szCs w:val="24"/>
      <w:lang w:eastAsia="de-DE"/>
    </w:rPr>
  </w:style>
  <w:style w:type="table" w:styleId="Svijetlipopis-Isticanje3">
    <w:name w:val="Light List Accent 3"/>
    <w:basedOn w:val="Obinatablica"/>
    <w:uiPriority w:val="61"/>
    <w:rsid w:val="003F408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rsid w:val="00B20621"/>
    <w:pPr>
      <w:ind w:left="851" w:right="851"/>
      <w:jc w:val="center"/>
    </w:pPr>
    <w:rPr>
      <w:i/>
      <w:iCs/>
    </w:rPr>
  </w:style>
  <w:style w:type="character" w:customStyle="1" w:styleId="CitatChar1">
    <w:name w:val="Citat Char1"/>
    <w:basedOn w:val="Zadanifontodlomka"/>
    <w:link w:val="Citat"/>
    <w:uiPriority w:val="29"/>
    <w:rsid w:val="00B20621"/>
    <w:rPr>
      <w:rFonts w:ascii="Tahoma" w:eastAsia="Times New Roman" w:hAnsi="Tahoma" w:cs="Myriad Pro"/>
      <w:i/>
      <w:iCs/>
      <w:sz w:val="20"/>
      <w:szCs w:val="24"/>
      <w:lang w:eastAsia="de-DE"/>
    </w:rPr>
  </w:style>
  <w:style w:type="character" w:styleId="Neupadljivoisticanje">
    <w:name w:val="Subtle Emphasis"/>
    <w:basedOn w:val="Zadanifontodlomka"/>
    <w:uiPriority w:val="19"/>
    <w:qFormat/>
    <w:rsid w:val="00B20621"/>
    <w:rPr>
      <w:i/>
      <w:iCs/>
      <w:color w:val="auto"/>
    </w:rPr>
  </w:style>
  <w:style w:type="paragraph" w:styleId="Adresaomotnice">
    <w:name w:val="envelope address"/>
    <w:basedOn w:val="Normal"/>
    <w:uiPriority w:val="99"/>
    <w:semiHidden/>
    <w:unhideWhenUsed/>
    <w:rsid w:val="00B20621"/>
    <w:pPr>
      <w:framePr w:w="7920" w:h="1980" w:hRule="exact" w:hSpace="180" w:wrap="auto" w:hAnchor="page" w:xAlign="center" w:yAlign="bottom"/>
      <w:spacing w:before="0" w:after="0"/>
      <w:ind w:left="2880"/>
    </w:pPr>
    <w:rPr>
      <w:rFonts w:eastAsiaTheme="majorEastAsia" w:cstheme="majorBidi"/>
      <w:sz w:val="24"/>
    </w:rPr>
  </w:style>
  <w:style w:type="paragraph" w:styleId="Povratnaomotnica">
    <w:name w:val="envelope return"/>
    <w:basedOn w:val="Normal"/>
    <w:uiPriority w:val="99"/>
    <w:semiHidden/>
    <w:unhideWhenUsed/>
    <w:rsid w:val="00B20621"/>
    <w:pPr>
      <w:spacing w:before="0" w:after="0"/>
    </w:pPr>
    <w:rPr>
      <w:rFonts w:eastAsiaTheme="majorEastAsia" w:cstheme="majorBidi"/>
      <w:szCs w:val="20"/>
    </w:rPr>
  </w:style>
  <w:style w:type="paragraph" w:styleId="Indeks1">
    <w:name w:val="index 1"/>
    <w:basedOn w:val="Normal"/>
    <w:next w:val="Normal"/>
    <w:autoRedefine/>
    <w:uiPriority w:val="99"/>
    <w:semiHidden/>
    <w:unhideWhenUsed/>
    <w:rsid w:val="00B20621"/>
    <w:pPr>
      <w:spacing w:before="0" w:after="0"/>
      <w:ind w:left="200" w:hanging="200"/>
    </w:pPr>
  </w:style>
  <w:style w:type="paragraph" w:styleId="Naslovindeksa">
    <w:name w:val="index heading"/>
    <w:basedOn w:val="Normal"/>
    <w:next w:val="Indeks1"/>
    <w:uiPriority w:val="99"/>
    <w:semiHidden/>
    <w:unhideWhenUsed/>
    <w:rsid w:val="00B20621"/>
    <w:rPr>
      <w:rFonts w:eastAsiaTheme="majorEastAsia" w:cstheme="majorBidi"/>
      <w:b/>
      <w:bCs/>
    </w:rPr>
  </w:style>
  <w:style w:type="character" w:styleId="Jakoisticanje">
    <w:name w:val="Intense Emphasis"/>
    <w:basedOn w:val="Zadanifontodlomka"/>
    <w:uiPriority w:val="21"/>
    <w:rsid w:val="00B20621"/>
    <w:rPr>
      <w:rFonts w:ascii="Tahoma" w:hAnsi="Tahoma"/>
      <w:i/>
      <w:iCs/>
      <w:color w:val="5B9BD5" w:themeColor="accent1"/>
    </w:rPr>
  </w:style>
  <w:style w:type="paragraph" w:styleId="Tekstmakronaredbe">
    <w:name w:val="macro"/>
    <w:link w:val="TekstmakronaredbeChar"/>
    <w:uiPriority w:val="99"/>
    <w:semiHidden/>
    <w:unhideWhenUsed/>
    <w:rsid w:val="000F45F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eastAsia="de-DE"/>
    </w:rPr>
  </w:style>
  <w:style w:type="character" w:customStyle="1" w:styleId="TekstmakronaredbeChar">
    <w:name w:val="Tekst makronaredbe Char"/>
    <w:basedOn w:val="Zadanifontodlomka"/>
    <w:link w:val="Tekstmakronaredbe"/>
    <w:uiPriority w:val="99"/>
    <w:semiHidden/>
    <w:rsid w:val="000F45F2"/>
    <w:rPr>
      <w:rFonts w:ascii="Tahoma" w:eastAsia="Times New Roman" w:hAnsi="Tahoma" w:cs="Myriad Pro"/>
      <w:sz w:val="20"/>
      <w:szCs w:val="20"/>
      <w:lang w:eastAsia="de-DE"/>
    </w:rPr>
  </w:style>
  <w:style w:type="paragraph" w:styleId="StandardWeb">
    <w:name w:val="Normal (Web)"/>
    <w:basedOn w:val="Normal"/>
    <w:uiPriority w:val="99"/>
    <w:unhideWhenUsed/>
    <w:rsid w:val="000F45F2"/>
    <w:rPr>
      <w:rFonts w:cs="Times New Roman"/>
    </w:rPr>
  </w:style>
  <w:style w:type="paragraph" w:styleId="Naslovtabliceizvora">
    <w:name w:val="toa heading"/>
    <w:basedOn w:val="Normal"/>
    <w:next w:val="Normal"/>
    <w:uiPriority w:val="99"/>
    <w:semiHidden/>
    <w:unhideWhenUsed/>
    <w:rsid w:val="000F45F2"/>
    <w:rPr>
      <w:rFonts w:eastAsiaTheme="majorEastAsia" w:cstheme="majorBidi"/>
      <w:b/>
      <w:bCs/>
      <w:color w:val="BE1D2D"/>
      <w:sz w:val="24"/>
    </w:rPr>
  </w:style>
  <w:style w:type="character" w:customStyle="1" w:styleId="TblnaslovChar">
    <w:name w:val="Tbl naslov Char"/>
    <w:basedOn w:val="Zadanifontodlomka"/>
    <w:link w:val="Tblnaslov"/>
    <w:rsid w:val="000D61DF"/>
    <w:rPr>
      <w:rFonts w:ascii="Tahoma" w:eastAsia="Times New Roman" w:hAnsi="Tahoma" w:cs="Myriad Pro"/>
      <w:i/>
      <w:sz w:val="18"/>
      <w:szCs w:val="24"/>
      <w:lang w:eastAsia="de-DE"/>
    </w:rPr>
  </w:style>
  <w:style w:type="paragraph" w:customStyle="1" w:styleId="Naslovtablice">
    <w:name w:val="Naslov tablice"/>
    <w:basedOn w:val="Opisslike"/>
    <w:next w:val="Normal"/>
    <w:link w:val="NaslovtabliceChar"/>
    <w:autoRedefine/>
    <w:qFormat/>
    <w:rsid w:val="00D07923"/>
    <w:pPr>
      <w:keepNext/>
      <w:keepLines/>
      <w:suppressAutoHyphens/>
      <w:jc w:val="right"/>
    </w:pPr>
    <w:rPr>
      <w:rFonts w:cs="Tahoma"/>
      <w:szCs w:val="20"/>
      <w:lang w:eastAsia="hr-HR"/>
    </w:rPr>
  </w:style>
  <w:style w:type="character" w:customStyle="1" w:styleId="NaslovtabliceChar">
    <w:name w:val="Naslov tablice Char"/>
    <w:basedOn w:val="Zadanifontodlomka"/>
    <w:link w:val="Naslovtablice"/>
    <w:rsid w:val="00D07923"/>
    <w:rPr>
      <w:rFonts w:ascii="Tahoma" w:eastAsia="Times New Roman" w:hAnsi="Tahoma" w:cs="Tahoma"/>
      <w:i/>
      <w:iCs/>
      <w:sz w:val="16"/>
      <w:szCs w:val="20"/>
      <w:lang w:eastAsia="hr-HR"/>
    </w:rPr>
  </w:style>
  <w:style w:type="character" w:styleId="Naglaeno">
    <w:name w:val="Strong"/>
    <w:basedOn w:val="Zadanifontodlomka"/>
    <w:uiPriority w:val="22"/>
    <w:qFormat/>
    <w:rsid w:val="00624A6B"/>
    <w:rPr>
      <w:b/>
      <w:bCs/>
    </w:rPr>
  </w:style>
  <w:style w:type="character" w:customStyle="1" w:styleId="fontstyle01">
    <w:name w:val="fontstyle01"/>
    <w:basedOn w:val="Zadanifontodlomka"/>
    <w:rsid w:val="00CF7CB1"/>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C01913"/>
  </w:style>
  <w:style w:type="paragraph" w:customStyle="1" w:styleId="lanak">
    <w:name w:val="Članak"/>
    <w:basedOn w:val="Normal"/>
    <w:link w:val="lanakChar"/>
    <w:qFormat/>
    <w:rsid w:val="00C01913"/>
    <w:pPr>
      <w:spacing w:before="0" w:after="160" w:line="259" w:lineRule="auto"/>
      <w:jc w:val="center"/>
    </w:pPr>
    <w:rPr>
      <w:rFonts w:ascii="Times New Roman" w:eastAsiaTheme="minorHAnsi" w:hAnsi="Times New Roman" w:cs="Times New Roman"/>
      <w:b/>
      <w:sz w:val="22"/>
      <w:szCs w:val="22"/>
      <w:lang w:eastAsia="en-US"/>
    </w:rPr>
  </w:style>
  <w:style w:type="character" w:customStyle="1" w:styleId="lanakChar">
    <w:name w:val="Članak Char"/>
    <w:basedOn w:val="Zadanifontodlomka"/>
    <w:link w:val="lanak"/>
    <w:rsid w:val="00C01913"/>
    <w:rPr>
      <w:rFonts w:ascii="Times New Roman" w:hAnsi="Times New Roman" w:cs="Times New Roman"/>
      <w:b/>
    </w:rPr>
  </w:style>
  <w:style w:type="paragraph" w:styleId="Bibliografija">
    <w:name w:val="Bibliography"/>
    <w:basedOn w:val="Normal"/>
    <w:next w:val="Normal"/>
    <w:uiPriority w:val="37"/>
    <w:unhideWhenUsed/>
    <w:rsid w:val="00C01913"/>
    <w:pPr>
      <w:spacing w:before="0" w:after="160" w:line="259" w:lineRule="auto"/>
    </w:pPr>
    <w:rPr>
      <w:rFonts w:ascii="Times New Roman" w:eastAsiaTheme="minorHAnsi" w:hAnsi="Times New Roman" w:cstheme="minorBidi"/>
      <w:sz w:val="22"/>
      <w:szCs w:val="22"/>
      <w:lang w:eastAsia="en-US"/>
    </w:rPr>
  </w:style>
  <w:style w:type="paragraph" w:customStyle="1" w:styleId="Default">
    <w:name w:val="Default"/>
    <w:rsid w:val="00C01913"/>
    <w:pPr>
      <w:autoSpaceDE w:val="0"/>
      <w:autoSpaceDN w:val="0"/>
      <w:adjustRightInd w:val="0"/>
      <w:spacing w:after="0" w:line="240" w:lineRule="auto"/>
    </w:pPr>
    <w:rPr>
      <w:rFonts w:ascii="Arial" w:hAnsi="Arial" w:cs="Arial"/>
      <w:color w:val="000000"/>
      <w:sz w:val="24"/>
      <w:szCs w:val="24"/>
    </w:rPr>
  </w:style>
  <w:style w:type="paragraph" w:customStyle="1" w:styleId="Spiegelstrich3">
    <w:name w:val="Spiegelstrich3"/>
    <w:basedOn w:val="Normal"/>
    <w:uiPriority w:val="99"/>
    <w:rsid w:val="001103DB"/>
    <w:pPr>
      <w:numPr>
        <w:numId w:val="20"/>
      </w:numPr>
      <w:spacing w:before="0" w:after="240"/>
    </w:pPr>
    <w:rPr>
      <w:rFonts w:ascii="Arial" w:hAnsi="Arial" w:cs="Times New Roman"/>
      <w:sz w:val="22"/>
      <w:szCs w:val="20"/>
    </w:rPr>
  </w:style>
  <w:style w:type="paragraph" w:customStyle="1" w:styleId="doc-ti">
    <w:name w:val="doc-ti"/>
    <w:basedOn w:val="Normal"/>
    <w:rsid w:val="00CD5009"/>
    <w:pPr>
      <w:spacing w:before="100" w:beforeAutospacing="1" w:after="100" w:afterAutospacing="1"/>
      <w:jc w:val="left"/>
    </w:pPr>
    <w:rPr>
      <w:rFonts w:ascii="Times New Roman" w:hAnsi="Times New Roman" w:cs="Times New Roman"/>
      <w:sz w:val="24"/>
      <w:lang w:val="en-US" w:eastAsia="en-US"/>
    </w:rPr>
  </w:style>
  <w:style w:type="paragraph" w:customStyle="1" w:styleId="Normal1">
    <w:name w:val="Normal1"/>
    <w:basedOn w:val="Normal"/>
    <w:rsid w:val="008278A9"/>
    <w:pPr>
      <w:spacing w:before="100" w:beforeAutospacing="1" w:after="100" w:afterAutospacing="1"/>
      <w:jc w:val="left"/>
    </w:pPr>
    <w:rPr>
      <w:rFonts w:ascii="Times New Roman" w:hAnsi="Times New Roman" w:cs="Times New Roman"/>
      <w:sz w:val="24"/>
      <w:lang w:val="en-US" w:eastAsia="en-US"/>
    </w:rPr>
  </w:style>
  <w:style w:type="character" w:customStyle="1" w:styleId="Mention1">
    <w:name w:val="Mention1"/>
    <w:basedOn w:val="Zadanifontodlomka"/>
    <w:uiPriority w:val="99"/>
    <w:semiHidden/>
    <w:unhideWhenUsed/>
    <w:rsid w:val="005E640A"/>
    <w:rPr>
      <w:color w:val="2B579A"/>
      <w:shd w:val="clear" w:color="auto" w:fill="E6E6E6"/>
    </w:rPr>
  </w:style>
  <w:style w:type="character" w:customStyle="1" w:styleId="Spominjanje1">
    <w:name w:val="Spominjanje1"/>
    <w:basedOn w:val="Zadanifontodlomka"/>
    <w:uiPriority w:val="99"/>
    <w:semiHidden/>
    <w:unhideWhenUsed/>
    <w:rsid w:val="00915800"/>
    <w:rPr>
      <w:color w:val="2B579A"/>
      <w:shd w:val="clear" w:color="auto" w:fill="E6E6E6"/>
    </w:rPr>
  </w:style>
  <w:style w:type="paragraph" w:customStyle="1" w:styleId="Compact">
    <w:name w:val="Compact"/>
    <w:basedOn w:val="Tijeloteksta"/>
    <w:qFormat/>
    <w:rsid w:val="00FF7F2C"/>
    <w:pPr>
      <w:spacing w:before="36" w:after="36"/>
    </w:pPr>
    <w:rPr>
      <w:rFonts w:asciiTheme="minorHAnsi" w:eastAsiaTheme="minorHAnsi" w:hAnsiTheme="minorHAnsi" w:cstheme="minorBidi"/>
      <w:sz w:val="24"/>
      <w:lang w:val="en-US" w:eastAsia="en-US"/>
    </w:rPr>
  </w:style>
  <w:style w:type="table" w:customStyle="1" w:styleId="ivopisnatablicareetke61">
    <w:name w:val="Živopisna tablica rešetke 61"/>
    <w:basedOn w:val="Obinatablica"/>
    <w:uiPriority w:val="51"/>
    <w:rsid w:val="00FF7F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1A5A7A"/>
    <w:rPr>
      <w:i/>
      <w:iCs/>
    </w:rPr>
  </w:style>
  <w:style w:type="character" w:customStyle="1" w:styleId="UnresolvedMention1">
    <w:name w:val="Unresolved Mention1"/>
    <w:basedOn w:val="Zadanifontodlomka"/>
    <w:uiPriority w:val="99"/>
    <w:semiHidden/>
    <w:unhideWhenUsed/>
    <w:rsid w:val="005935F3"/>
    <w:rPr>
      <w:color w:val="808080"/>
      <w:shd w:val="clear" w:color="auto" w:fill="E6E6E6"/>
    </w:rPr>
  </w:style>
  <w:style w:type="table" w:customStyle="1" w:styleId="Svijetlatablicareetke11">
    <w:name w:val="Svijetla tablica rešetke 11"/>
    <w:basedOn w:val="Obinatablica"/>
    <w:uiPriority w:val="46"/>
    <w:rsid w:val="00AF00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341">
    <w:name w:val="font341"/>
    <w:basedOn w:val="Zadanifontodlomka"/>
    <w:rsid w:val="0000129F"/>
    <w:rPr>
      <w:rFonts w:ascii="Calibri" w:hAnsi="Calibri" w:cs="Calibri" w:hint="default"/>
      <w:b w:val="0"/>
      <w:bCs w:val="0"/>
      <w:i w:val="0"/>
      <w:iCs w:val="0"/>
      <w:strike w:val="0"/>
      <w:dstrike w:val="0"/>
      <w:color w:val="000000"/>
      <w:sz w:val="20"/>
      <w:szCs w:val="20"/>
      <w:u w:val="none"/>
      <w:effect w:val="none"/>
    </w:rPr>
  </w:style>
  <w:style w:type="character" w:customStyle="1" w:styleId="font301">
    <w:name w:val="font301"/>
    <w:basedOn w:val="Zadanifontodlomka"/>
    <w:rsid w:val="0000129F"/>
    <w:rPr>
      <w:rFonts w:ascii="Calibri" w:hAnsi="Calibri" w:cs="Calibri" w:hint="default"/>
      <w:b w:val="0"/>
      <w:bCs w:val="0"/>
      <w:i w:val="0"/>
      <w:iCs w:val="0"/>
      <w:strike w:val="0"/>
      <w:dstrike w:val="0"/>
      <w:color w:val="000000"/>
      <w:sz w:val="20"/>
      <w:szCs w:val="20"/>
      <w:u w:val="none"/>
      <w:effect w:val="none"/>
    </w:rPr>
  </w:style>
  <w:style w:type="character" w:customStyle="1" w:styleId="font321">
    <w:name w:val="font321"/>
    <w:basedOn w:val="Zadanifontodlomka"/>
    <w:rsid w:val="0000129F"/>
    <w:rPr>
      <w:rFonts w:ascii="Calibri" w:hAnsi="Calibri" w:cs="Calibri" w:hint="default"/>
      <w:b w:val="0"/>
      <w:bCs w:val="0"/>
      <w:i w:val="0"/>
      <w:iCs w:val="0"/>
      <w:strike w:val="0"/>
      <w:dstrike w:val="0"/>
      <w:color w:val="000000"/>
      <w:sz w:val="20"/>
      <w:szCs w:val="20"/>
      <w:u w:val="none"/>
      <w:effect w:val="none"/>
    </w:rPr>
  </w:style>
  <w:style w:type="character" w:customStyle="1" w:styleId="font131">
    <w:name w:val="font131"/>
    <w:basedOn w:val="Zadanifontodlomka"/>
    <w:rsid w:val="00C84378"/>
    <w:rPr>
      <w:rFonts w:ascii="Calibri" w:hAnsi="Calibri" w:cs="Calibri" w:hint="default"/>
      <w:b w:val="0"/>
      <w:bCs w:val="0"/>
      <w:i w:val="0"/>
      <w:iCs w:val="0"/>
      <w:strike w:val="0"/>
      <w:dstrike w:val="0"/>
      <w:color w:val="000000"/>
      <w:sz w:val="20"/>
      <w:szCs w:val="20"/>
      <w:u w:val="none"/>
      <w:effect w:val="none"/>
    </w:rPr>
  </w:style>
  <w:style w:type="character" w:customStyle="1" w:styleId="font91">
    <w:name w:val="font91"/>
    <w:basedOn w:val="Zadanifontodlomka"/>
    <w:rsid w:val="00C84378"/>
    <w:rPr>
      <w:rFonts w:ascii="Calibri" w:hAnsi="Calibri" w:cs="Calibri" w:hint="default"/>
      <w:b w:val="0"/>
      <w:bCs w:val="0"/>
      <w:i w:val="0"/>
      <w:iCs w:val="0"/>
      <w:strike w:val="0"/>
      <w:dstrike w:val="0"/>
      <w:color w:val="000000"/>
      <w:sz w:val="20"/>
      <w:szCs w:val="20"/>
      <w:u w:val="none"/>
      <w:effect w:val="none"/>
    </w:rPr>
  </w:style>
  <w:style w:type="character" w:customStyle="1" w:styleId="font111">
    <w:name w:val="font111"/>
    <w:basedOn w:val="Zadanifontodlomka"/>
    <w:rsid w:val="00C84378"/>
    <w:rPr>
      <w:rFonts w:ascii="Calibri" w:hAnsi="Calibri" w:cs="Calibri" w:hint="default"/>
      <w:b w:val="0"/>
      <w:bCs w:val="0"/>
      <w:i w:val="0"/>
      <w:iCs w:val="0"/>
      <w:strike w:val="0"/>
      <w:dstrike w:val="0"/>
      <w:color w:val="000000"/>
      <w:sz w:val="20"/>
      <w:szCs w:val="20"/>
      <w:u w:val="none"/>
      <w:effect w:val="none"/>
    </w:rPr>
  </w:style>
  <w:style w:type="character" w:customStyle="1" w:styleId="Nerijeenospominjanje1">
    <w:name w:val="Neriješeno spominjanje1"/>
    <w:basedOn w:val="Zadanifontodlomka"/>
    <w:uiPriority w:val="99"/>
    <w:unhideWhenUsed/>
    <w:rsid w:val="00386B49"/>
    <w:rPr>
      <w:color w:val="605E5C"/>
      <w:shd w:val="clear" w:color="auto" w:fill="E1DFDD"/>
    </w:rPr>
  </w:style>
  <w:style w:type="character" w:customStyle="1" w:styleId="Bodytext2">
    <w:name w:val="Body text (2)_"/>
    <w:basedOn w:val="Zadanifontodlomka"/>
    <w:link w:val="Bodytext20"/>
    <w:rsid w:val="00C74267"/>
    <w:rPr>
      <w:rFonts w:ascii="Calibri" w:eastAsia="Calibri" w:hAnsi="Calibri" w:cs="Calibri"/>
      <w:sz w:val="20"/>
      <w:szCs w:val="20"/>
      <w:shd w:val="clear" w:color="auto" w:fill="FFFFFF"/>
    </w:rPr>
  </w:style>
  <w:style w:type="paragraph" w:customStyle="1" w:styleId="Bodytext20">
    <w:name w:val="Body text (2)"/>
    <w:basedOn w:val="Normal"/>
    <w:link w:val="Bodytext2"/>
    <w:rsid w:val="00C74267"/>
    <w:pPr>
      <w:widowControl w:val="0"/>
      <w:shd w:val="clear" w:color="auto" w:fill="FFFFFF"/>
      <w:spacing w:before="480" w:after="0" w:line="278" w:lineRule="exact"/>
      <w:ind w:hanging="380"/>
      <w:jc w:val="left"/>
    </w:pPr>
    <w:rPr>
      <w:rFonts w:ascii="Calibri" w:eastAsia="Calibri" w:hAnsi="Calibri" w:cs="Calibri"/>
      <w:szCs w:val="20"/>
      <w:lang w:eastAsia="en-US"/>
    </w:rPr>
  </w:style>
  <w:style w:type="character" w:customStyle="1" w:styleId="tlid-translation">
    <w:name w:val="tlid-translation"/>
    <w:basedOn w:val="Zadanifontodlomka"/>
    <w:rsid w:val="00B417E0"/>
  </w:style>
  <w:style w:type="character" w:customStyle="1" w:styleId="OpisslikeChar">
    <w:name w:val="Opis slike Char"/>
    <w:link w:val="Opisslike"/>
    <w:uiPriority w:val="35"/>
    <w:locked/>
    <w:rsid w:val="00B8654D"/>
    <w:rPr>
      <w:rFonts w:ascii="Tahoma" w:eastAsia="Times New Roman" w:hAnsi="Tahoma" w:cs="Myriad Pro"/>
      <w:i/>
      <w:iCs/>
      <w:sz w:val="16"/>
      <w:szCs w:val="18"/>
      <w:lang w:eastAsia="de-DE"/>
    </w:rPr>
  </w:style>
  <w:style w:type="table" w:customStyle="1" w:styleId="Tablicareetke21">
    <w:name w:val="Tablica rešetke 21"/>
    <w:basedOn w:val="Obinatablica"/>
    <w:uiPriority w:val="47"/>
    <w:rsid w:val="00B046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basedOn w:val="Zadanifontodlomka"/>
    <w:rsid w:val="00B04665"/>
  </w:style>
  <w:style w:type="character" w:customStyle="1" w:styleId="hps">
    <w:name w:val="hps"/>
    <w:rsid w:val="00B04665"/>
    <w:rPr>
      <w:rFonts w:cs="Times New Roman"/>
    </w:rPr>
  </w:style>
  <w:style w:type="character" w:customStyle="1" w:styleId="Spominjanje2">
    <w:name w:val="Spominjanje2"/>
    <w:basedOn w:val="Zadanifontodlomka"/>
    <w:uiPriority w:val="99"/>
    <w:unhideWhenUsed/>
    <w:rsid w:val="00B04665"/>
    <w:rPr>
      <w:color w:val="2B579A"/>
      <w:shd w:val="clear" w:color="auto" w:fill="E1DFDD"/>
    </w:rPr>
  </w:style>
  <w:style w:type="numbering" w:customStyle="1" w:styleId="toc200">
    <w:name w:val="toc 200"/>
    <w:rsid w:val="00B04665"/>
    <w:pPr>
      <w:numPr>
        <w:numId w:val="27"/>
      </w:numPr>
    </w:pPr>
  </w:style>
  <w:style w:type="character" w:customStyle="1" w:styleId="jlqj4b">
    <w:name w:val="jlqj4b"/>
    <w:basedOn w:val="Zadanifontodlomka"/>
    <w:rsid w:val="00387D00"/>
  </w:style>
  <w:style w:type="paragraph" w:customStyle="1" w:styleId="pf0">
    <w:name w:val="pf0"/>
    <w:basedOn w:val="Normal"/>
    <w:rsid w:val="00BB6885"/>
    <w:pPr>
      <w:spacing w:before="100" w:beforeAutospacing="1" w:after="100" w:afterAutospacing="1"/>
      <w:jc w:val="left"/>
    </w:pPr>
    <w:rPr>
      <w:rFonts w:ascii="Times New Roman" w:hAnsi="Times New Roman" w:cs="Times New Roman"/>
      <w:sz w:val="24"/>
      <w:lang w:val="en-US" w:eastAsia="en-US"/>
    </w:rPr>
  </w:style>
  <w:style w:type="character" w:customStyle="1" w:styleId="cf01">
    <w:name w:val="cf01"/>
    <w:basedOn w:val="Zadanifontodlomka"/>
    <w:rsid w:val="00BB6885"/>
    <w:rPr>
      <w:rFonts w:ascii="Segoe UI" w:hAnsi="Segoe UI" w:cs="Segoe UI" w:hint="default"/>
      <w:sz w:val="18"/>
      <w:szCs w:val="18"/>
    </w:rPr>
  </w:style>
  <w:style w:type="table" w:customStyle="1" w:styleId="Svijetlatablicareetke110">
    <w:name w:val="Svijetla tablica rešetke 110"/>
    <w:basedOn w:val="Obinatablica"/>
    <w:uiPriority w:val="46"/>
    <w:rsid w:val="00CC4E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mnatablicareetke51">
    <w:name w:val="Tamna tablica rešetke 51"/>
    <w:basedOn w:val="Obinatablica"/>
    <w:uiPriority w:val="50"/>
    <w:rsid w:val="00A366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mnatablicareetke5-isticanje31">
    <w:name w:val="Tamna tablica rešetke 5 - isticanje 31"/>
    <w:basedOn w:val="Obinatablica"/>
    <w:uiPriority w:val="50"/>
    <w:rsid w:val="00A366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icareetke210">
    <w:name w:val="Tablica rešetke 210"/>
    <w:basedOn w:val="Obinatablica"/>
    <w:uiPriority w:val="47"/>
    <w:rsid w:val="005D09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Zadanifontodlomka"/>
    <w:rsid w:val="00927288"/>
  </w:style>
  <w:style w:type="table" w:customStyle="1" w:styleId="GridTable1Light1">
    <w:name w:val="Grid Table 1 Light1"/>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3">
    <w:name w:val="Grid Table 1 Light3"/>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4">
    <w:name w:val="Grid Table 1 Light4"/>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rijeenospominjanje">
    <w:name w:val="Unresolved Mention"/>
    <w:basedOn w:val="Zadanifontodlomka"/>
    <w:uiPriority w:val="99"/>
    <w:unhideWhenUsed/>
    <w:rsid w:val="00DF7D46"/>
    <w:rPr>
      <w:color w:val="605E5C"/>
      <w:shd w:val="clear" w:color="auto" w:fill="E1DFDD"/>
    </w:rPr>
  </w:style>
  <w:style w:type="character" w:customStyle="1" w:styleId="UnresolvedMention2">
    <w:name w:val="Unresolved Mention2"/>
    <w:basedOn w:val="Zadanifontodlomka"/>
    <w:uiPriority w:val="99"/>
    <w:semiHidden/>
    <w:unhideWhenUsed/>
    <w:rsid w:val="0042293A"/>
    <w:rPr>
      <w:color w:val="605E5C"/>
      <w:shd w:val="clear" w:color="auto" w:fill="E1DFDD"/>
    </w:rPr>
  </w:style>
  <w:style w:type="character" w:styleId="Spominjanje">
    <w:name w:val="Mention"/>
    <w:basedOn w:val="Zadanifontodlomka"/>
    <w:uiPriority w:val="99"/>
    <w:unhideWhenUsed/>
    <w:rsid w:val="00B90909"/>
    <w:rPr>
      <w:color w:val="2B579A"/>
      <w:shd w:val="clear" w:color="auto" w:fill="E1DFDD"/>
    </w:rPr>
  </w:style>
  <w:style w:type="table" w:styleId="Svijetlatablicareetke1">
    <w:name w:val="Grid Table 1 Light"/>
    <w:basedOn w:val="Obinatablica"/>
    <w:uiPriority w:val="46"/>
    <w:rsid w:val="001C59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957">
      <w:bodyDiv w:val="1"/>
      <w:marLeft w:val="0"/>
      <w:marRight w:val="0"/>
      <w:marTop w:val="0"/>
      <w:marBottom w:val="0"/>
      <w:divBdr>
        <w:top w:val="none" w:sz="0" w:space="0" w:color="auto"/>
        <w:left w:val="none" w:sz="0" w:space="0" w:color="auto"/>
        <w:bottom w:val="none" w:sz="0" w:space="0" w:color="auto"/>
        <w:right w:val="none" w:sz="0" w:space="0" w:color="auto"/>
      </w:divBdr>
    </w:div>
    <w:div w:id="11734765">
      <w:bodyDiv w:val="1"/>
      <w:marLeft w:val="0"/>
      <w:marRight w:val="0"/>
      <w:marTop w:val="0"/>
      <w:marBottom w:val="0"/>
      <w:divBdr>
        <w:top w:val="none" w:sz="0" w:space="0" w:color="auto"/>
        <w:left w:val="none" w:sz="0" w:space="0" w:color="auto"/>
        <w:bottom w:val="none" w:sz="0" w:space="0" w:color="auto"/>
        <w:right w:val="none" w:sz="0" w:space="0" w:color="auto"/>
      </w:divBdr>
    </w:div>
    <w:div w:id="18432130">
      <w:bodyDiv w:val="1"/>
      <w:marLeft w:val="0"/>
      <w:marRight w:val="0"/>
      <w:marTop w:val="0"/>
      <w:marBottom w:val="0"/>
      <w:divBdr>
        <w:top w:val="none" w:sz="0" w:space="0" w:color="auto"/>
        <w:left w:val="none" w:sz="0" w:space="0" w:color="auto"/>
        <w:bottom w:val="none" w:sz="0" w:space="0" w:color="auto"/>
        <w:right w:val="none" w:sz="0" w:space="0" w:color="auto"/>
      </w:divBdr>
    </w:div>
    <w:div w:id="22243527">
      <w:bodyDiv w:val="1"/>
      <w:marLeft w:val="0"/>
      <w:marRight w:val="0"/>
      <w:marTop w:val="0"/>
      <w:marBottom w:val="0"/>
      <w:divBdr>
        <w:top w:val="none" w:sz="0" w:space="0" w:color="auto"/>
        <w:left w:val="none" w:sz="0" w:space="0" w:color="auto"/>
        <w:bottom w:val="none" w:sz="0" w:space="0" w:color="auto"/>
        <w:right w:val="none" w:sz="0" w:space="0" w:color="auto"/>
      </w:divBdr>
    </w:div>
    <w:div w:id="23408209">
      <w:bodyDiv w:val="1"/>
      <w:marLeft w:val="0"/>
      <w:marRight w:val="0"/>
      <w:marTop w:val="0"/>
      <w:marBottom w:val="0"/>
      <w:divBdr>
        <w:top w:val="none" w:sz="0" w:space="0" w:color="auto"/>
        <w:left w:val="none" w:sz="0" w:space="0" w:color="auto"/>
        <w:bottom w:val="none" w:sz="0" w:space="0" w:color="auto"/>
        <w:right w:val="none" w:sz="0" w:space="0" w:color="auto"/>
      </w:divBdr>
    </w:div>
    <w:div w:id="24598035">
      <w:bodyDiv w:val="1"/>
      <w:marLeft w:val="0"/>
      <w:marRight w:val="0"/>
      <w:marTop w:val="0"/>
      <w:marBottom w:val="0"/>
      <w:divBdr>
        <w:top w:val="none" w:sz="0" w:space="0" w:color="auto"/>
        <w:left w:val="none" w:sz="0" w:space="0" w:color="auto"/>
        <w:bottom w:val="none" w:sz="0" w:space="0" w:color="auto"/>
        <w:right w:val="none" w:sz="0" w:space="0" w:color="auto"/>
      </w:divBdr>
    </w:div>
    <w:div w:id="29771693">
      <w:bodyDiv w:val="1"/>
      <w:marLeft w:val="0"/>
      <w:marRight w:val="0"/>
      <w:marTop w:val="0"/>
      <w:marBottom w:val="0"/>
      <w:divBdr>
        <w:top w:val="none" w:sz="0" w:space="0" w:color="auto"/>
        <w:left w:val="none" w:sz="0" w:space="0" w:color="auto"/>
        <w:bottom w:val="none" w:sz="0" w:space="0" w:color="auto"/>
        <w:right w:val="none" w:sz="0" w:space="0" w:color="auto"/>
      </w:divBdr>
    </w:div>
    <w:div w:id="54398953">
      <w:bodyDiv w:val="1"/>
      <w:marLeft w:val="0"/>
      <w:marRight w:val="0"/>
      <w:marTop w:val="0"/>
      <w:marBottom w:val="0"/>
      <w:divBdr>
        <w:top w:val="none" w:sz="0" w:space="0" w:color="auto"/>
        <w:left w:val="none" w:sz="0" w:space="0" w:color="auto"/>
        <w:bottom w:val="none" w:sz="0" w:space="0" w:color="auto"/>
        <w:right w:val="none" w:sz="0" w:space="0" w:color="auto"/>
      </w:divBdr>
    </w:div>
    <w:div w:id="56049675">
      <w:bodyDiv w:val="1"/>
      <w:marLeft w:val="0"/>
      <w:marRight w:val="0"/>
      <w:marTop w:val="0"/>
      <w:marBottom w:val="0"/>
      <w:divBdr>
        <w:top w:val="none" w:sz="0" w:space="0" w:color="auto"/>
        <w:left w:val="none" w:sz="0" w:space="0" w:color="auto"/>
        <w:bottom w:val="none" w:sz="0" w:space="0" w:color="auto"/>
        <w:right w:val="none" w:sz="0" w:space="0" w:color="auto"/>
      </w:divBdr>
    </w:div>
    <w:div w:id="56899281">
      <w:bodyDiv w:val="1"/>
      <w:marLeft w:val="0"/>
      <w:marRight w:val="0"/>
      <w:marTop w:val="0"/>
      <w:marBottom w:val="0"/>
      <w:divBdr>
        <w:top w:val="none" w:sz="0" w:space="0" w:color="auto"/>
        <w:left w:val="none" w:sz="0" w:space="0" w:color="auto"/>
        <w:bottom w:val="none" w:sz="0" w:space="0" w:color="auto"/>
        <w:right w:val="none" w:sz="0" w:space="0" w:color="auto"/>
      </w:divBdr>
    </w:div>
    <w:div w:id="67071263">
      <w:bodyDiv w:val="1"/>
      <w:marLeft w:val="0"/>
      <w:marRight w:val="0"/>
      <w:marTop w:val="0"/>
      <w:marBottom w:val="0"/>
      <w:divBdr>
        <w:top w:val="none" w:sz="0" w:space="0" w:color="auto"/>
        <w:left w:val="none" w:sz="0" w:space="0" w:color="auto"/>
        <w:bottom w:val="none" w:sz="0" w:space="0" w:color="auto"/>
        <w:right w:val="none" w:sz="0" w:space="0" w:color="auto"/>
      </w:divBdr>
    </w:div>
    <w:div w:id="92676813">
      <w:bodyDiv w:val="1"/>
      <w:marLeft w:val="0"/>
      <w:marRight w:val="0"/>
      <w:marTop w:val="0"/>
      <w:marBottom w:val="0"/>
      <w:divBdr>
        <w:top w:val="none" w:sz="0" w:space="0" w:color="auto"/>
        <w:left w:val="none" w:sz="0" w:space="0" w:color="auto"/>
        <w:bottom w:val="none" w:sz="0" w:space="0" w:color="auto"/>
        <w:right w:val="none" w:sz="0" w:space="0" w:color="auto"/>
      </w:divBdr>
    </w:div>
    <w:div w:id="92749580">
      <w:bodyDiv w:val="1"/>
      <w:marLeft w:val="0"/>
      <w:marRight w:val="0"/>
      <w:marTop w:val="0"/>
      <w:marBottom w:val="0"/>
      <w:divBdr>
        <w:top w:val="none" w:sz="0" w:space="0" w:color="auto"/>
        <w:left w:val="none" w:sz="0" w:space="0" w:color="auto"/>
        <w:bottom w:val="none" w:sz="0" w:space="0" w:color="auto"/>
        <w:right w:val="none" w:sz="0" w:space="0" w:color="auto"/>
      </w:divBdr>
    </w:div>
    <w:div w:id="93981406">
      <w:bodyDiv w:val="1"/>
      <w:marLeft w:val="0"/>
      <w:marRight w:val="0"/>
      <w:marTop w:val="0"/>
      <w:marBottom w:val="0"/>
      <w:divBdr>
        <w:top w:val="none" w:sz="0" w:space="0" w:color="auto"/>
        <w:left w:val="none" w:sz="0" w:space="0" w:color="auto"/>
        <w:bottom w:val="none" w:sz="0" w:space="0" w:color="auto"/>
        <w:right w:val="none" w:sz="0" w:space="0" w:color="auto"/>
      </w:divBdr>
    </w:div>
    <w:div w:id="106508459">
      <w:bodyDiv w:val="1"/>
      <w:marLeft w:val="0"/>
      <w:marRight w:val="0"/>
      <w:marTop w:val="0"/>
      <w:marBottom w:val="0"/>
      <w:divBdr>
        <w:top w:val="none" w:sz="0" w:space="0" w:color="auto"/>
        <w:left w:val="none" w:sz="0" w:space="0" w:color="auto"/>
        <w:bottom w:val="none" w:sz="0" w:space="0" w:color="auto"/>
        <w:right w:val="none" w:sz="0" w:space="0" w:color="auto"/>
      </w:divBdr>
    </w:div>
    <w:div w:id="109515790">
      <w:bodyDiv w:val="1"/>
      <w:marLeft w:val="0"/>
      <w:marRight w:val="0"/>
      <w:marTop w:val="0"/>
      <w:marBottom w:val="0"/>
      <w:divBdr>
        <w:top w:val="none" w:sz="0" w:space="0" w:color="auto"/>
        <w:left w:val="none" w:sz="0" w:space="0" w:color="auto"/>
        <w:bottom w:val="none" w:sz="0" w:space="0" w:color="auto"/>
        <w:right w:val="none" w:sz="0" w:space="0" w:color="auto"/>
      </w:divBdr>
    </w:div>
    <w:div w:id="121114822">
      <w:bodyDiv w:val="1"/>
      <w:marLeft w:val="0"/>
      <w:marRight w:val="0"/>
      <w:marTop w:val="0"/>
      <w:marBottom w:val="0"/>
      <w:divBdr>
        <w:top w:val="none" w:sz="0" w:space="0" w:color="auto"/>
        <w:left w:val="none" w:sz="0" w:space="0" w:color="auto"/>
        <w:bottom w:val="none" w:sz="0" w:space="0" w:color="auto"/>
        <w:right w:val="none" w:sz="0" w:space="0" w:color="auto"/>
      </w:divBdr>
    </w:div>
    <w:div w:id="122768793">
      <w:bodyDiv w:val="1"/>
      <w:marLeft w:val="0"/>
      <w:marRight w:val="0"/>
      <w:marTop w:val="0"/>
      <w:marBottom w:val="0"/>
      <w:divBdr>
        <w:top w:val="none" w:sz="0" w:space="0" w:color="auto"/>
        <w:left w:val="none" w:sz="0" w:space="0" w:color="auto"/>
        <w:bottom w:val="none" w:sz="0" w:space="0" w:color="auto"/>
        <w:right w:val="none" w:sz="0" w:space="0" w:color="auto"/>
      </w:divBdr>
    </w:div>
    <w:div w:id="128209692">
      <w:bodyDiv w:val="1"/>
      <w:marLeft w:val="0"/>
      <w:marRight w:val="0"/>
      <w:marTop w:val="0"/>
      <w:marBottom w:val="0"/>
      <w:divBdr>
        <w:top w:val="none" w:sz="0" w:space="0" w:color="auto"/>
        <w:left w:val="none" w:sz="0" w:space="0" w:color="auto"/>
        <w:bottom w:val="none" w:sz="0" w:space="0" w:color="auto"/>
        <w:right w:val="none" w:sz="0" w:space="0" w:color="auto"/>
      </w:divBdr>
    </w:div>
    <w:div w:id="175073141">
      <w:bodyDiv w:val="1"/>
      <w:marLeft w:val="0"/>
      <w:marRight w:val="0"/>
      <w:marTop w:val="0"/>
      <w:marBottom w:val="0"/>
      <w:divBdr>
        <w:top w:val="none" w:sz="0" w:space="0" w:color="auto"/>
        <w:left w:val="none" w:sz="0" w:space="0" w:color="auto"/>
        <w:bottom w:val="none" w:sz="0" w:space="0" w:color="auto"/>
        <w:right w:val="none" w:sz="0" w:space="0" w:color="auto"/>
      </w:divBdr>
    </w:div>
    <w:div w:id="177088580">
      <w:bodyDiv w:val="1"/>
      <w:marLeft w:val="0"/>
      <w:marRight w:val="0"/>
      <w:marTop w:val="0"/>
      <w:marBottom w:val="0"/>
      <w:divBdr>
        <w:top w:val="none" w:sz="0" w:space="0" w:color="auto"/>
        <w:left w:val="none" w:sz="0" w:space="0" w:color="auto"/>
        <w:bottom w:val="none" w:sz="0" w:space="0" w:color="auto"/>
        <w:right w:val="none" w:sz="0" w:space="0" w:color="auto"/>
      </w:divBdr>
    </w:div>
    <w:div w:id="182283844">
      <w:bodyDiv w:val="1"/>
      <w:marLeft w:val="0"/>
      <w:marRight w:val="0"/>
      <w:marTop w:val="0"/>
      <w:marBottom w:val="0"/>
      <w:divBdr>
        <w:top w:val="none" w:sz="0" w:space="0" w:color="auto"/>
        <w:left w:val="none" w:sz="0" w:space="0" w:color="auto"/>
        <w:bottom w:val="none" w:sz="0" w:space="0" w:color="auto"/>
        <w:right w:val="none" w:sz="0" w:space="0" w:color="auto"/>
      </w:divBdr>
    </w:div>
    <w:div w:id="189881932">
      <w:bodyDiv w:val="1"/>
      <w:marLeft w:val="0"/>
      <w:marRight w:val="0"/>
      <w:marTop w:val="0"/>
      <w:marBottom w:val="0"/>
      <w:divBdr>
        <w:top w:val="none" w:sz="0" w:space="0" w:color="auto"/>
        <w:left w:val="none" w:sz="0" w:space="0" w:color="auto"/>
        <w:bottom w:val="none" w:sz="0" w:space="0" w:color="auto"/>
        <w:right w:val="none" w:sz="0" w:space="0" w:color="auto"/>
      </w:divBdr>
    </w:div>
    <w:div w:id="190724765">
      <w:bodyDiv w:val="1"/>
      <w:marLeft w:val="0"/>
      <w:marRight w:val="0"/>
      <w:marTop w:val="0"/>
      <w:marBottom w:val="0"/>
      <w:divBdr>
        <w:top w:val="none" w:sz="0" w:space="0" w:color="auto"/>
        <w:left w:val="none" w:sz="0" w:space="0" w:color="auto"/>
        <w:bottom w:val="none" w:sz="0" w:space="0" w:color="auto"/>
        <w:right w:val="none" w:sz="0" w:space="0" w:color="auto"/>
      </w:divBdr>
    </w:div>
    <w:div w:id="195703277">
      <w:bodyDiv w:val="1"/>
      <w:marLeft w:val="0"/>
      <w:marRight w:val="0"/>
      <w:marTop w:val="0"/>
      <w:marBottom w:val="0"/>
      <w:divBdr>
        <w:top w:val="none" w:sz="0" w:space="0" w:color="auto"/>
        <w:left w:val="none" w:sz="0" w:space="0" w:color="auto"/>
        <w:bottom w:val="none" w:sz="0" w:space="0" w:color="auto"/>
        <w:right w:val="none" w:sz="0" w:space="0" w:color="auto"/>
      </w:divBdr>
    </w:div>
    <w:div w:id="199587855">
      <w:bodyDiv w:val="1"/>
      <w:marLeft w:val="0"/>
      <w:marRight w:val="0"/>
      <w:marTop w:val="0"/>
      <w:marBottom w:val="0"/>
      <w:divBdr>
        <w:top w:val="none" w:sz="0" w:space="0" w:color="auto"/>
        <w:left w:val="none" w:sz="0" w:space="0" w:color="auto"/>
        <w:bottom w:val="none" w:sz="0" w:space="0" w:color="auto"/>
        <w:right w:val="none" w:sz="0" w:space="0" w:color="auto"/>
      </w:divBdr>
    </w:div>
    <w:div w:id="201678118">
      <w:bodyDiv w:val="1"/>
      <w:marLeft w:val="0"/>
      <w:marRight w:val="0"/>
      <w:marTop w:val="0"/>
      <w:marBottom w:val="0"/>
      <w:divBdr>
        <w:top w:val="none" w:sz="0" w:space="0" w:color="auto"/>
        <w:left w:val="none" w:sz="0" w:space="0" w:color="auto"/>
        <w:bottom w:val="none" w:sz="0" w:space="0" w:color="auto"/>
        <w:right w:val="none" w:sz="0" w:space="0" w:color="auto"/>
      </w:divBdr>
    </w:div>
    <w:div w:id="205602720">
      <w:bodyDiv w:val="1"/>
      <w:marLeft w:val="0"/>
      <w:marRight w:val="0"/>
      <w:marTop w:val="0"/>
      <w:marBottom w:val="0"/>
      <w:divBdr>
        <w:top w:val="none" w:sz="0" w:space="0" w:color="auto"/>
        <w:left w:val="none" w:sz="0" w:space="0" w:color="auto"/>
        <w:bottom w:val="none" w:sz="0" w:space="0" w:color="auto"/>
        <w:right w:val="none" w:sz="0" w:space="0" w:color="auto"/>
      </w:divBdr>
    </w:div>
    <w:div w:id="206994604">
      <w:bodyDiv w:val="1"/>
      <w:marLeft w:val="0"/>
      <w:marRight w:val="0"/>
      <w:marTop w:val="0"/>
      <w:marBottom w:val="0"/>
      <w:divBdr>
        <w:top w:val="none" w:sz="0" w:space="0" w:color="auto"/>
        <w:left w:val="none" w:sz="0" w:space="0" w:color="auto"/>
        <w:bottom w:val="none" w:sz="0" w:space="0" w:color="auto"/>
        <w:right w:val="none" w:sz="0" w:space="0" w:color="auto"/>
      </w:divBdr>
      <w:divsChild>
        <w:div w:id="191069680">
          <w:marLeft w:val="0"/>
          <w:marRight w:val="0"/>
          <w:marTop w:val="0"/>
          <w:marBottom w:val="0"/>
          <w:divBdr>
            <w:top w:val="none" w:sz="0" w:space="0" w:color="auto"/>
            <w:left w:val="none" w:sz="0" w:space="0" w:color="auto"/>
            <w:bottom w:val="none" w:sz="0" w:space="0" w:color="auto"/>
            <w:right w:val="none" w:sz="0" w:space="0" w:color="auto"/>
          </w:divBdr>
        </w:div>
      </w:divsChild>
    </w:div>
    <w:div w:id="208105932">
      <w:bodyDiv w:val="1"/>
      <w:marLeft w:val="0"/>
      <w:marRight w:val="0"/>
      <w:marTop w:val="0"/>
      <w:marBottom w:val="0"/>
      <w:divBdr>
        <w:top w:val="none" w:sz="0" w:space="0" w:color="auto"/>
        <w:left w:val="none" w:sz="0" w:space="0" w:color="auto"/>
        <w:bottom w:val="none" w:sz="0" w:space="0" w:color="auto"/>
        <w:right w:val="none" w:sz="0" w:space="0" w:color="auto"/>
      </w:divBdr>
    </w:div>
    <w:div w:id="215973497">
      <w:bodyDiv w:val="1"/>
      <w:marLeft w:val="0"/>
      <w:marRight w:val="0"/>
      <w:marTop w:val="0"/>
      <w:marBottom w:val="0"/>
      <w:divBdr>
        <w:top w:val="none" w:sz="0" w:space="0" w:color="auto"/>
        <w:left w:val="none" w:sz="0" w:space="0" w:color="auto"/>
        <w:bottom w:val="none" w:sz="0" w:space="0" w:color="auto"/>
        <w:right w:val="none" w:sz="0" w:space="0" w:color="auto"/>
      </w:divBdr>
      <w:divsChild>
        <w:div w:id="926235270">
          <w:marLeft w:val="0"/>
          <w:marRight w:val="0"/>
          <w:marTop w:val="0"/>
          <w:marBottom w:val="0"/>
          <w:divBdr>
            <w:top w:val="none" w:sz="0" w:space="0" w:color="auto"/>
            <w:left w:val="none" w:sz="0" w:space="0" w:color="auto"/>
            <w:bottom w:val="none" w:sz="0" w:space="0" w:color="auto"/>
            <w:right w:val="none" w:sz="0" w:space="0" w:color="auto"/>
          </w:divBdr>
        </w:div>
        <w:div w:id="1058211732">
          <w:marLeft w:val="0"/>
          <w:marRight w:val="0"/>
          <w:marTop w:val="0"/>
          <w:marBottom w:val="0"/>
          <w:divBdr>
            <w:top w:val="none" w:sz="0" w:space="0" w:color="auto"/>
            <w:left w:val="none" w:sz="0" w:space="0" w:color="auto"/>
            <w:bottom w:val="none" w:sz="0" w:space="0" w:color="auto"/>
            <w:right w:val="none" w:sz="0" w:space="0" w:color="auto"/>
          </w:divBdr>
        </w:div>
        <w:div w:id="1262452007">
          <w:marLeft w:val="0"/>
          <w:marRight w:val="0"/>
          <w:marTop w:val="0"/>
          <w:marBottom w:val="0"/>
          <w:divBdr>
            <w:top w:val="none" w:sz="0" w:space="0" w:color="auto"/>
            <w:left w:val="none" w:sz="0" w:space="0" w:color="auto"/>
            <w:bottom w:val="none" w:sz="0" w:space="0" w:color="auto"/>
            <w:right w:val="none" w:sz="0" w:space="0" w:color="auto"/>
          </w:divBdr>
        </w:div>
        <w:div w:id="1758867032">
          <w:marLeft w:val="0"/>
          <w:marRight w:val="0"/>
          <w:marTop w:val="0"/>
          <w:marBottom w:val="0"/>
          <w:divBdr>
            <w:top w:val="none" w:sz="0" w:space="0" w:color="auto"/>
            <w:left w:val="none" w:sz="0" w:space="0" w:color="auto"/>
            <w:bottom w:val="none" w:sz="0" w:space="0" w:color="auto"/>
            <w:right w:val="none" w:sz="0" w:space="0" w:color="auto"/>
          </w:divBdr>
        </w:div>
        <w:div w:id="1959295194">
          <w:marLeft w:val="0"/>
          <w:marRight w:val="0"/>
          <w:marTop w:val="0"/>
          <w:marBottom w:val="0"/>
          <w:divBdr>
            <w:top w:val="none" w:sz="0" w:space="0" w:color="auto"/>
            <w:left w:val="none" w:sz="0" w:space="0" w:color="auto"/>
            <w:bottom w:val="none" w:sz="0" w:space="0" w:color="auto"/>
            <w:right w:val="none" w:sz="0" w:space="0" w:color="auto"/>
          </w:divBdr>
        </w:div>
        <w:div w:id="2074425449">
          <w:marLeft w:val="0"/>
          <w:marRight w:val="0"/>
          <w:marTop w:val="0"/>
          <w:marBottom w:val="0"/>
          <w:divBdr>
            <w:top w:val="none" w:sz="0" w:space="0" w:color="auto"/>
            <w:left w:val="none" w:sz="0" w:space="0" w:color="auto"/>
            <w:bottom w:val="none" w:sz="0" w:space="0" w:color="auto"/>
            <w:right w:val="none" w:sz="0" w:space="0" w:color="auto"/>
          </w:divBdr>
        </w:div>
      </w:divsChild>
    </w:div>
    <w:div w:id="217714939">
      <w:bodyDiv w:val="1"/>
      <w:marLeft w:val="0"/>
      <w:marRight w:val="0"/>
      <w:marTop w:val="0"/>
      <w:marBottom w:val="0"/>
      <w:divBdr>
        <w:top w:val="none" w:sz="0" w:space="0" w:color="auto"/>
        <w:left w:val="none" w:sz="0" w:space="0" w:color="auto"/>
        <w:bottom w:val="none" w:sz="0" w:space="0" w:color="auto"/>
        <w:right w:val="none" w:sz="0" w:space="0" w:color="auto"/>
      </w:divBdr>
    </w:div>
    <w:div w:id="219101695">
      <w:bodyDiv w:val="1"/>
      <w:marLeft w:val="0"/>
      <w:marRight w:val="0"/>
      <w:marTop w:val="0"/>
      <w:marBottom w:val="0"/>
      <w:divBdr>
        <w:top w:val="none" w:sz="0" w:space="0" w:color="auto"/>
        <w:left w:val="none" w:sz="0" w:space="0" w:color="auto"/>
        <w:bottom w:val="none" w:sz="0" w:space="0" w:color="auto"/>
        <w:right w:val="none" w:sz="0" w:space="0" w:color="auto"/>
      </w:divBdr>
    </w:div>
    <w:div w:id="221409806">
      <w:bodyDiv w:val="1"/>
      <w:marLeft w:val="0"/>
      <w:marRight w:val="0"/>
      <w:marTop w:val="0"/>
      <w:marBottom w:val="0"/>
      <w:divBdr>
        <w:top w:val="none" w:sz="0" w:space="0" w:color="auto"/>
        <w:left w:val="none" w:sz="0" w:space="0" w:color="auto"/>
        <w:bottom w:val="none" w:sz="0" w:space="0" w:color="auto"/>
        <w:right w:val="none" w:sz="0" w:space="0" w:color="auto"/>
      </w:divBdr>
    </w:div>
    <w:div w:id="227346593">
      <w:bodyDiv w:val="1"/>
      <w:marLeft w:val="0"/>
      <w:marRight w:val="0"/>
      <w:marTop w:val="0"/>
      <w:marBottom w:val="0"/>
      <w:divBdr>
        <w:top w:val="none" w:sz="0" w:space="0" w:color="auto"/>
        <w:left w:val="none" w:sz="0" w:space="0" w:color="auto"/>
        <w:bottom w:val="none" w:sz="0" w:space="0" w:color="auto"/>
        <w:right w:val="none" w:sz="0" w:space="0" w:color="auto"/>
      </w:divBdr>
      <w:divsChild>
        <w:div w:id="781412626">
          <w:marLeft w:val="1800"/>
          <w:marRight w:val="0"/>
          <w:marTop w:val="53"/>
          <w:marBottom w:val="0"/>
          <w:divBdr>
            <w:top w:val="none" w:sz="0" w:space="0" w:color="auto"/>
            <w:left w:val="none" w:sz="0" w:space="0" w:color="auto"/>
            <w:bottom w:val="none" w:sz="0" w:space="0" w:color="auto"/>
            <w:right w:val="none" w:sz="0" w:space="0" w:color="auto"/>
          </w:divBdr>
        </w:div>
        <w:div w:id="1117717737">
          <w:marLeft w:val="1800"/>
          <w:marRight w:val="0"/>
          <w:marTop w:val="53"/>
          <w:marBottom w:val="0"/>
          <w:divBdr>
            <w:top w:val="none" w:sz="0" w:space="0" w:color="auto"/>
            <w:left w:val="none" w:sz="0" w:space="0" w:color="auto"/>
            <w:bottom w:val="none" w:sz="0" w:space="0" w:color="auto"/>
            <w:right w:val="none" w:sz="0" w:space="0" w:color="auto"/>
          </w:divBdr>
        </w:div>
        <w:div w:id="1500658365">
          <w:marLeft w:val="1800"/>
          <w:marRight w:val="0"/>
          <w:marTop w:val="53"/>
          <w:marBottom w:val="0"/>
          <w:divBdr>
            <w:top w:val="none" w:sz="0" w:space="0" w:color="auto"/>
            <w:left w:val="none" w:sz="0" w:space="0" w:color="auto"/>
            <w:bottom w:val="none" w:sz="0" w:space="0" w:color="auto"/>
            <w:right w:val="none" w:sz="0" w:space="0" w:color="auto"/>
          </w:divBdr>
        </w:div>
        <w:div w:id="1641962519">
          <w:marLeft w:val="1800"/>
          <w:marRight w:val="0"/>
          <w:marTop w:val="53"/>
          <w:marBottom w:val="0"/>
          <w:divBdr>
            <w:top w:val="none" w:sz="0" w:space="0" w:color="auto"/>
            <w:left w:val="none" w:sz="0" w:space="0" w:color="auto"/>
            <w:bottom w:val="none" w:sz="0" w:space="0" w:color="auto"/>
            <w:right w:val="none" w:sz="0" w:space="0" w:color="auto"/>
          </w:divBdr>
        </w:div>
      </w:divsChild>
    </w:div>
    <w:div w:id="228611020">
      <w:bodyDiv w:val="1"/>
      <w:marLeft w:val="0"/>
      <w:marRight w:val="0"/>
      <w:marTop w:val="0"/>
      <w:marBottom w:val="0"/>
      <w:divBdr>
        <w:top w:val="none" w:sz="0" w:space="0" w:color="auto"/>
        <w:left w:val="none" w:sz="0" w:space="0" w:color="auto"/>
        <w:bottom w:val="none" w:sz="0" w:space="0" w:color="auto"/>
        <w:right w:val="none" w:sz="0" w:space="0" w:color="auto"/>
      </w:divBdr>
    </w:div>
    <w:div w:id="235021082">
      <w:bodyDiv w:val="1"/>
      <w:marLeft w:val="0"/>
      <w:marRight w:val="0"/>
      <w:marTop w:val="0"/>
      <w:marBottom w:val="0"/>
      <w:divBdr>
        <w:top w:val="none" w:sz="0" w:space="0" w:color="auto"/>
        <w:left w:val="none" w:sz="0" w:space="0" w:color="auto"/>
        <w:bottom w:val="none" w:sz="0" w:space="0" w:color="auto"/>
        <w:right w:val="none" w:sz="0" w:space="0" w:color="auto"/>
      </w:divBdr>
    </w:div>
    <w:div w:id="239562479">
      <w:bodyDiv w:val="1"/>
      <w:marLeft w:val="0"/>
      <w:marRight w:val="0"/>
      <w:marTop w:val="0"/>
      <w:marBottom w:val="0"/>
      <w:divBdr>
        <w:top w:val="none" w:sz="0" w:space="0" w:color="auto"/>
        <w:left w:val="none" w:sz="0" w:space="0" w:color="auto"/>
        <w:bottom w:val="none" w:sz="0" w:space="0" w:color="auto"/>
        <w:right w:val="none" w:sz="0" w:space="0" w:color="auto"/>
      </w:divBdr>
    </w:div>
    <w:div w:id="248853250">
      <w:bodyDiv w:val="1"/>
      <w:marLeft w:val="0"/>
      <w:marRight w:val="0"/>
      <w:marTop w:val="0"/>
      <w:marBottom w:val="0"/>
      <w:divBdr>
        <w:top w:val="none" w:sz="0" w:space="0" w:color="auto"/>
        <w:left w:val="none" w:sz="0" w:space="0" w:color="auto"/>
        <w:bottom w:val="none" w:sz="0" w:space="0" w:color="auto"/>
        <w:right w:val="none" w:sz="0" w:space="0" w:color="auto"/>
      </w:divBdr>
    </w:div>
    <w:div w:id="264650525">
      <w:bodyDiv w:val="1"/>
      <w:marLeft w:val="0"/>
      <w:marRight w:val="0"/>
      <w:marTop w:val="0"/>
      <w:marBottom w:val="0"/>
      <w:divBdr>
        <w:top w:val="none" w:sz="0" w:space="0" w:color="auto"/>
        <w:left w:val="none" w:sz="0" w:space="0" w:color="auto"/>
        <w:bottom w:val="none" w:sz="0" w:space="0" w:color="auto"/>
        <w:right w:val="none" w:sz="0" w:space="0" w:color="auto"/>
      </w:divBdr>
    </w:div>
    <w:div w:id="277495348">
      <w:bodyDiv w:val="1"/>
      <w:marLeft w:val="0"/>
      <w:marRight w:val="0"/>
      <w:marTop w:val="0"/>
      <w:marBottom w:val="0"/>
      <w:divBdr>
        <w:top w:val="none" w:sz="0" w:space="0" w:color="auto"/>
        <w:left w:val="none" w:sz="0" w:space="0" w:color="auto"/>
        <w:bottom w:val="none" w:sz="0" w:space="0" w:color="auto"/>
        <w:right w:val="none" w:sz="0" w:space="0" w:color="auto"/>
      </w:divBdr>
    </w:div>
    <w:div w:id="278728747">
      <w:bodyDiv w:val="1"/>
      <w:marLeft w:val="0"/>
      <w:marRight w:val="0"/>
      <w:marTop w:val="0"/>
      <w:marBottom w:val="0"/>
      <w:divBdr>
        <w:top w:val="none" w:sz="0" w:space="0" w:color="auto"/>
        <w:left w:val="none" w:sz="0" w:space="0" w:color="auto"/>
        <w:bottom w:val="none" w:sz="0" w:space="0" w:color="auto"/>
        <w:right w:val="none" w:sz="0" w:space="0" w:color="auto"/>
      </w:divBdr>
      <w:divsChild>
        <w:div w:id="462844011">
          <w:marLeft w:val="0"/>
          <w:marRight w:val="0"/>
          <w:marTop w:val="0"/>
          <w:marBottom w:val="0"/>
          <w:divBdr>
            <w:top w:val="none" w:sz="0" w:space="0" w:color="auto"/>
            <w:left w:val="none" w:sz="0" w:space="0" w:color="auto"/>
            <w:bottom w:val="none" w:sz="0" w:space="0" w:color="auto"/>
            <w:right w:val="none" w:sz="0" w:space="0" w:color="auto"/>
          </w:divBdr>
        </w:div>
        <w:div w:id="573050146">
          <w:marLeft w:val="0"/>
          <w:marRight w:val="0"/>
          <w:marTop w:val="0"/>
          <w:marBottom w:val="0"/>
          <w:divBdr>
            <w:top w:val="none" w:sz="0" w:space="0" w:color="auto"/>
            <w:left w:val="none" w:sz="0" w:space="0" w:color="auto"/>
            <w:bottom w:val="none" w:sz="0" w:space="0" w:color="auto"/>
            <w:right w:val="none" w:sz="0" w:space="0" w:color="auto"/>
          </w:divBdr>
        </w:div>
        <w:div w:id="820971692">
          <w:marLeft w:val="0"/>
          <w:marRight w:val="0"/>
          <w:marTop w:val="0"/>
          <w:marBottom w:val="0"/>
          <w:divBdr>
            <w:top w:val="none" w:sz="0" w:space="0" w:color="auto"/>
            <w:left w:val="none" w:sz="0" w:space="0" w:color="auto"/>
            <w:bottom w:val="none" w:sz="0" w:space="0" w:color="auto"/>
            <w:right w:val="none" w:sz="0" w:space="0" w:color="auto"/>
          </w:divBdr>
        </w:div>
        <w:div w:id="1049256720">
          <w:marLeft w:val="0"/>
          <w:marRight w:val="0"/>
          <w:marTop w:val="0"/>
          <w:marBottom w:val="0"/>
          <w:divBdr>
            <w:top w:val="none" w:sz="0" w:space="0" w:color="auto"/>
            <w:left w:val="none" w:sz="0" w:space="0" w:color="auto"/>
            <w:bottom w:val="none" w:sz="0" w:space="0" w:color="auto"/>
            <w:right w:val="none" w:sz="0" w:space="0" w:color="auto"/>
          </w:divBdr>
        </w:div>
        <w:div w:id="1345203554">
          <w:marLeft w:val="0"/>
          <w:marRight w:val="0"/>
          <w:marTop w:val="0"/>
          <w:marBottom w:val="0"/>
          <w:divBdr>
            <w:top w:val="none" w:sz="0" w:space="0" w:color="auto"/>
            <w:left w:val="none" w:sz="0" w:space="0" w:color="auto"/>
            <w:bottom w:val="none" w:sz="0" w:space="0" w:color="auto"/>
            <w:right w:val="none" w:sz="0" w:space="0" w:color="auto"/>
          </w:divBdr>
        </w:div>
        <w:div w:id="1872569277">
          <w:marLeft w:val="0"/>
          <w:marRight w:val="0"/>
          <w:marTop w:val="0"/>
          <w:marBottom w:val="0"/>
          <w:divBdr>
            <w:top w:val="none" w:sz="0" w:space="0" w:color="auto"/>
            <w:left w:val="none" w:sz="0" w:space="0" w:color="auto"/>
            <w:bottom w:val="none" w:sz="0" w:space="0" w:color="auto"/>
            <w:right w:val="none" w:sz="0" w:space="0" w:color="auto"/>
          </w:divBdr>
        </w:div>
      </w:divsChild>
    </w:div>
    <w:div w:id="287669471">
      <w:bodyDiv w:val="1"/>
      <w:marLeft w:val="0"/>
      <w:marRight w:val="0"/>
      <w:marTop w:val="0"/>
      <w:marBottom w:val="0"/>
      <w:divBdr>
        <w:top w:val="none" w:sz="0" w:space="0" w:color="auto"/>
        <w:left w:val="none" w:sz="0" w:space="0" w:color="auto"/>
        <w:bottom w:val="none" w:sz="0" w:space="0" w:color="auto"/>
        <w:right w:val="none" w:sz="0" w:space="0" w:color="auto"/>
      </w:divBdr>
    </w:div>
    <w:div w:id="289283447">
      <w:bodyDiv w:val="1"/>
      <w:marLeft w:val="0"/>
      <w:marRight w:val="0"/>
      <w:marTop w:val="0"/>
      <w:marBottom w:val="0"/>
      <w:divBdr>
        <w:top w:val="none" w:sz="0" w:space="0" w:color="auto"/>
        <w:left w:val="none" w:sz="0" w:space="0" w:color="auto"/>
        <w:bottom w:val="none" w:sz="0" w:space="0" w:color="auto"/>
        <w:right w:val="none" w:sz="0" w:space="0" w:color="auto"/>
      </w:divBdr>
    </w:div>
    <w:div w:id="289865828">
      <w:bodyDiv w:val="1"/>
      <w:marLeft w:val="0"/>
      <w:marRight w:val="0"/>
      <w:marTop w:val="0"/>
      <w:marBottom w:val="0"/>
      <w:divBdr>
        <w:top w:val="none" w:sz="0" w:space="0" w:color="auto"/>
        <w:left w:val="none" w:sz="0" w:space="0" w:color="auto"/>
        <w:bottom w:val="none" w:sz="0" w:space="0" w:color="auto"/>
        <w:right w:val="none" w:sz="0" w:space="0" w:color="auto"/>
      </w:divBdr>
    </w:div>
    <w:div w:id="326980204">
      <w:bodyDiv w:val="1"/>
      <w:marLeft w:val="0"/>
      <w:marRight w:val="0"/>
      <w:marTop w:val="0"/>
      <w:marBottom w:val="0"/>
      <w:divBdr>
        <w:top w:val="none" w:sz="0" w:space="0" w:color="auto"/>
        <w:left w:val="none" w:sz="0" w:space="0" w:color="auto"/>
        <w:bottom w:val="none" w:sz="0" w:space="0" w:color="auto"/>
        <w:right w:val="none" w:sz="0" w:space="0" w:color="auto"/>
      </w:divBdr>
    </w:div>
    <w:div w:id="329216041">
      <w:bodyDiv w:val="1"/>
      <w:marLeft w:val="0"/>
      <w:marRight w:val="0"/>
      <w:marTop w:val="0"/>
      <w:marBottom w:val="0"/>
      <w:divBdr>
        <w:top w:val="none" w:sz="0" w:space="0" w:color="auto"/>
        <w:left w:val="none" w:sz="0" w:space="0" w:color="auto"/>
        <w:bottom w:val="none" w:sz="0" w:space="0" w:color="auto"/>
        <w:right w:val="none" w:sz="0" w:space="0" w:color="auto"/>
      </w:divBdr>
    </w:div>
    <w:div w:id="335115430">
      <w:bodyDiv w:val="1"/>
      <w:marLeft w:val="0"/>
      <w:marRight w:val="0"/>
      <w:marTop w:val="0"/>
      <w:marBottom w:val="0"/>
      <w:divBdr>
        <w:top w:val="none" w:sz="0" w:space="0" w:color="auto"/>
        <w:left w:val="none" w:sz="0" w:space="0" w:color="auto"/>
        <w:bottom w:val="none" w:sz="0" w:space="0" w:color="auto"/>
        <w:right w:val="none" w:sz="0" w:space="0" w:color="auto"/>
      </w:divBdr>
    </w:div>
    <w:div w:id="337077113">
      <w:bodyDiv w:val="1"/>
      <w:marLeft w:val="0"/>
      <w:marRight w:val="0"/>
      <w:marTop w:val="0"/>
      <w:marBottom w:val="0"/>
      <w:divBdr>
        <w:top w:val="none" w:sz="0" w:space="0" w:color="auto"/>
        <w:left w:val="none" w:sz="0" w:space="0" w:color="auto"/>
        <w:bottom w:val="none" w:sz="0" w:space="0" w:color="auto"/>
        <w:right w:val="none" w:sz="0" w:space="0" w:color="auto"/>
      </w:divBdr>
    </w:div>
    <w:div w:id="338311761">
      <w:bodyDiv w:val="1"/>
      <w:marLeft w:val="0"/>
      <w:marRight w:val="0"/>
      <w:marTop w:val="0"/>
      <w:marBottom w:val="0"/>
      <w:divBdr>
        <w:top w:val="none" w:sz="0" w:space="0" w:color="auto"/>
        <w:left w:val="none" w:sz="0" w:space="0" w:color="auto"/>
        <w:bottom w:val="none" w:sz="0" w:space="0" w:color="auto"/>
        <w:right w:val="none" w:sz="0" w:space="0" w:color="auto"/>
      </w:divBdr>
    </w:div>
    <w:div w:id="338581855">
      <w:bodyDiv w:val="1"/>
      <w:marLeft w:val="0"/>
      <w:marRight w:val="0"/>
      <w:marTop w:val="0"/>
      <w:marBottom w:val="0"/>
      <w:divBdr>
        <w:top w:val="none" w:sz="0" w:space="0" w:color="auto"/>
        <w:left w:val="none" w:sz="0" w:space="0" w:color="auto"/>
        <w:bottom w:val="none" w:sz="0" w:space="0" w:color="auto"/>
        <w:right w:val="none" w:sz="0" w:space="0" w:color="auto"/>
      </w:divBdr>
    </w:div>
    <w:div w:id="351152884">
      <w:bodyDiv w:val="1"/>
      <w:marLeft w:val="0"/>
      <w:marRight w:val="0"/>
      <w:marTop w:val="0"/>
      <w:marBottom w:val="0"/>
      <w:divBdr>
        <w:top w:val="none" w:sz="0" w:space="0" w:color="auto"/>
        <w:left w:val="none" w:sz="0" w:space="0" w:color="auto"/>
        <w:bottom w:val="none" w:sz="0" w:space="0" w:color="auto"/>
        <w:right w:val="none" w:sz="0" w:space="0" w:color="auto"/>
      </w:divBdr>
    </w:div>
    <w:div w:id="353506233">
      <w:bodyDiv w:val="1"/>
      <w:marLeft w:val="0"/>
      <w:marRight w:val="0"/>
      <w:marTop w:val="0"/>
      <w:marBottom w:val="0"/>
      <w:divBdr>
        <w:top w:val="none" w:sz="0" w:space="0" w:color="auto"/>
        <w:left w:val="none" w:sz="0" w:space="0" w:color="auto"/>
        <w:bottom w:val="none" w:sz="0" w:space="0" w:color="auto"/>
        <w:right w:val="none" w:sz="0" w:space="0" w:color="auto"/>
      </w:divBdr>
    </w:div>
    <w:div w:id="361246140">
      <w:bodyDiv w:val="1"/>
      <w:marLeft w:val="0"/>
      <w:marRight w:val="0"/>
      <w:marTop w:val="0"/>
      <w:marBottom w:val="0"/>
      <w:divBdr>
        <w:top w:val="none" w:sz="0" w:space="0" w:color="auto"/>
        <w:left w:val="none" w:sz="0" w:space="0" w:color="auto"/>
        <w:bottom w:val="none" w:sz="0" w:space="0" w:color="auto"/>
        <w:right w:val="none" w:sz="0" w:space="0" w:color="auto"/>
      </w:divBdr>
    </w:div>
    <w:div w:id="364060700">
      <w:bodyDiv w:val="1"/>
      <w:marLeft w:val="0"/>
      <w:marRight w:val="0"/>
      <w:marTop w:val="0"/>
      <w:marBottom w:val="0"/>
      <w:divBdr>
        <w:top w:val="none" w:sz="0" w:space="0" w:color="auto"/>
        <w:left w:val="none" w:sz="0" w:space="0" w:color="auto"/>
        <w:bottom w:val="none" w:sz="0" w:space="0" w:color="auto"/>
        <w:right w:val="none" w:sz="0" w:space="0" w:color="auto"/>
      </w:divBdr>
    </w:div>
    <w:div w:id="375617210">
      <w:bodyDiv w:val="1"/>
      <w:marLeft w:val="0"/>
      <w:marRight w:val="0"/>
      <w:marTop w:val="0"/>
      <w:marBottom w:val="0"/>
      <w:divBdr>
        <w:top w:val="none" w:sz="0" w:space="0" w:color="auto"/>
        <w:left w:val="none" w:sz="0" w:space="0" w:color="auto"/>
        <w:bottom w:val="none" w:sz="0" w:space="0" w:color="auto"/>
        <w:right w:val="none" w:sz="0" w:space="0" w:color="auto"/>
      </w:divBdr>
    </w:div>
    <w:div w:id="382096966">
      <w:bodyDiv w:val="1"/>
      <w:marLeft w:val="0"/>
      <w:marRight w:val="0"/>
      <w:marTop w:val="0"/>
      <w:marBottom w:val="0"/>
      <w:divBdr>
        <w:top w:val="none" w:sz="0" w:space="0" w:color="auto"/>
        <w:left w:val="none" w:sz="0" w:space="0" w:color="auto"/>
        <w:bottom w:val="none" w:sz="0" w:space="0" w:color="auto"/>
        <w:right w:val="none" w:sz="0" w:space="0" w:color="auto"/>
      </w:divBdr>
    </w:div>
    <w:div w:id="386681717">
      <w:bodyDiv w:val="1"/>
      <w:marLeft w:val="0"/>
      <w:marRight w:val="0"/>
      <w:marTop w:val="0"/>
      <w:marBottom w:val="0"/>
      <w:divBdr>
        <w:top w:val="none" w:sz="0" w:space="0" w:color="auto"/>
        <w:left w:val="none" w:sz="0" w:space="0" w:color="auto"/>
        <w:bottom w:val="none" w:sz="0" w:space="0" w:color="auto"/>
        <w:right w:val="none" w:sz="0" w:space="0" w:color="auto"/>
      </w:divBdr>
    </w:div>
    <w:div w:id="408307686">
      <w:bodyDiv w:val="1"/>
      <w:marLeft w:val="0"/>
      <w:marRight w:val="0"/>
      <w:marTop w:val="0"/>
      <w:marBottom w:val="0"/>
      <w:divBdr>
        <w:top w:val="none" w:sz="0" w:space="0" w:color="auto"/>
        <w:left w:val="none" w:sz="0" w:space="0" w:color="auto"/>
        <w:bottom w:val="none" w:sz="0" w:space="0" w:color="auto"/>
        <w:right w:val="none" w:sz="0" w:space="0" w:color="auto"/>
      </w:divBdr>
    </w:div>
    <w:div w:id="408845304">
      <w:bodyDiv w:val="1"/>
      <w:marLeft w:val="0"/>
      <w:marRight w:val="0"/>
      <w:marTop w:val="0"/>
      <w:marBottom w:val="0"/>
      <w:divBdr>
        <w:top w:val="none" w:sz="0" w:space="0" w:color="auto"/>
        <w:left w:val="none" w:sz="0" w:space="0" w:color="auto"/>
        <w:bottom w:val="none" w:sz="0" w:space="0" w:color="auto"/>
        <w:right w:val="none" w:sz="0" w:space="0" w:color="auto"/>
      </w:divBdr>
    </w:div>
    <w:div w:id="414669825">
      <w:bodyDiv w:val="1"/>
      <w:marLeft w:val="0"/>
      <w:marRight w:val="0"/>
      <w:marTop w:val="0"/>
      <w:marBottom w:val="0"/>
      <w:divBdr>
        <w:top w:val="none" w:sz="0" w:space="0" w:color="auto"/>
        <w:left w:val="none" w:sz="0" w:space="0" w:color="auto"/>
        <w:bottom w:val="none" w:sz="0" w:space="0" w:color="auto"/>
        <w:right w:val="none" w:sz="0" w:space="0" w:color="auto"/>
      </w:divBdr>
    </w:div>
    <w:div w:id="414858300">
      <w:bodyDiv w:val="1"/>
      <w:marLeft w:val="0"/>
      <w:marRight w:val="0"/>
      <w:marTop w:val="0"/>
      <w:marBottom w:val="0"/>
      <w:divBdr>
        <w:top w:val="none" w:sz="0" w:space="0" w:color="auto"/>
        <w:left w:val="none" w:sz="0" w:space="0" w:color="auto"/>
        <w:bottom w:val="none" w:sz="0" w:space="0" w:color="auto"/>
        <w:right w:val="none" w:sz="0" w:space="0" w:color="auto"/>
      </w:divBdr>
    </w:div>
    <w:div w:id="417022638">
      <w:bodyDiv w:val="1"/>
      <w:marLeft w:val="0"/>
      <w:marRight w:val="0"/>
      <w:marTop w:val="0"/>
      <w:marBottom w:val="0"/>
      <w:divBdr>
        <w:top w:val="none" w:sz="0" w:space="0" w:color="auto"/>
        <w:left w:val="none" w:sz="0" w:space="0" w:color="auto"/>
        <w:bottom w:val="none" w:sz="0" w:space="0" w:color="auto"/>
        <w:right w:val="none" w:sz="0" w:space="0" w:color="auto"/>
      </w:divBdr>
    </w:div>
    <w:div w:id="436828627">
      <w:bodyDiv w:val="1"/>
      <w:marLeft w:val="0"/>
      <w:marRight w:val="0"/>
      <w:marTop w:val="0"/>
      <w:marBottom w:val="0"/>
      <w:divBdr>
        <w:top w:val="none" w:sz="0" w:space="0" w:color="auto"/>
        <w:left w:val="none" w:sz="0" w:space="0" w:color="auto"/>
        <w:bottom w:val="none" w:sz="0" w:space="0" w:color="auto"/>
        <w:right w:val="none" w:sz="0" w:space="0" w:color="auto"/>
      </w:divBdr>
    </w:div>
    <w:div w:id="439104738">
      <w:bodyDiv w:val="1"/>
      <w:marLeft w:val="0"/>
      <w:marRight w:val="0"/>
      <w:marTop w:val="0"/>
      <w:marBottom w:val="0"/>
      <w:divBdr>
        <w:top w:val="none" w:sz="0" w:space="0" w:color="auto"/>
        <w:left w:val="none" w:sz="0" w:space="0" w:color="auto"/>
        <w:bottom w:val="none" w:sz="0" w:space="0" w:color="auto"/>
        <w:right w:val="none" w:sz="0" w:space="0" w:color="auto"/>
      </w:divBdr>
    </w:div>
    <w:div w:id="456028126">
      <w:bodyDiv w:val="1"/>
      <w:marLeft w:val="0"/>
      <w:marRight w:val="0"/>
      <w:marTop w:val="0"/>
      <w:marBottom w:val="0"/>
      <w:divBdr>
        <w:top w:val="none" w:sz="0" w:space="0" w:color="auto"/>
        <w:left w:val="none" w:sz="0" w:space="0" w:color="auto"/>
        <w:bottom w:val="none" w:sz="0" w:space="0" w:color="auto"/>
        <w:right w:val="none" w:sz="0" w:space="0" w:color="auto"/>
      </w:divBdr>
    </w:div>
    <w:div w:id="456222783">
      <w:bodyDiv w:val="1"/>
      <w:marLeft w:val="0"/>
      <w:marRight w:val="0"/>
      <w:marTop w:val="0"/>
      <w:marBottom w:val="0"/>
      <w:divBdr>
        <w:top w:val="none" w:sz="0" w:space="0" w:color="auto"/>
        <w:left w:val="none" w:sz="0" w:space="0" w:color="auto"/>
        <w:bottom w:val="none" w:sz="0" w:space="0" w:color="auto"/>
        <w:right w:val="none" w:sz="0" w:space="0" w:color="auto"/>
      </w:divBdr>
    </w:div>
    <w:div w:id="461576323">
      <w:bodyDiv w:val="1"/>
      <w:marLeft w:val="0"/>
      <w:marRight w:val="0"/>
      <w:marTop w:val="0"/>
      <w:marBottom w:val="0"/>
      <w:divBdr>
        <w:top w:val="none" w:sz="0" w:space="0" w:color="auto"/>
        <w:left w:val="none" w:sz="0" w:space="0" w:color="auto"/>
        <w:bottom w:val="none" w:sz="0" w:space="0" w:color="auto"/>
        <w:right w:val="none" w:sz="0" w:space="0" w:color="auto"/>
      </w:divBdr>
    </w:div>
    <w:div w:id="466360962">
      <w:bodyDiv w:val="1"/>
      <w:marLeft w:val="0"/>
      <w:marRight w:val="0"/>
      <w:marTop w:val="0"/>
      <w:marBottom w:val="0"/>
      <w:divBdr>
        <w:top w:val="none" w:sz="0" w:space="0" w:color="auto"/>
        <w:left w:val="none" w:sz="0" w:space="0" w:color="auto"/>
        <w:bottom w:val="none" w:sz="0" w:space="0" w:color="auto"/>
        <w:right w:val="none" w:sz="0" w:space="0" w:color="auto"/>
      </w:divBdr>
    </w:div>
    <w:div w:id="471757949">
      <w:bodyDiv w:val="1"/>
      <w:marLeft w:val="0"/>
      <w:marRight w:val="0"/>
      <w:marTop w:val="0"/>
      <w:marBottom w:val="0"/>
      <w:divBdr>
        <w:top w:val="none" w:sz="0" w:space="0" w:color="auto"/>
        <w:left w:val="none" w:sz="0" w:space="0" w:color="auto"/>
        <w:bottom w:val="none" w:sz="0" w:space="0" w:color="auto"/>
        <w:right w:val="none" w:sz="0" w:space="0" w:color="auto"/>
      </w:divBdr>
    </w:div>
    <w:div w:id="478810034">
      <w:bodyDiv w:val="1"/>
      <w:marLeft w:val="0"/>
      <w:marRight w:val="0"/>
      <w:marTop w:val="0"/>
      <w:marBottom w:val="0"/>
      <w:divBdr>
        <w:top w:val="none" w:sz="0" w:space="0" w:color="auto"/>
        <w:left w:val="none" w:sz="0" w:space="0" w:color="auto"/>
        <w:bottom w:val="none" w:sz="0" w:space="0" w:color="auto"/>
        <w:right w:val="none" w:sz="0" w:space="0" w:color="auto"/>
      </w:divBdr>
    </w:div>
    <w:div w:id="481627819">
      <w:bodyDiv w:val="1"/>
      <w:marLeft w:val="0"/>
      <w:marRight w:val="0"/>
      <w:marTop w:val="0"/>
      <w:marBottom w:val="0"/>
      <w:divBdr>
        <w:top w:val="none" w:sz="0" w:space="0" w:color="auto"/>
        <w:left w:val="none" w:sz="0" w:space="0" w:color="auto"/>
        <w:bottom w:val="none" w:sz="0" w:space="0" w:color="auto"/>
        <w:right w:val="none" w:sz="0" w:space="0" w:color="auto"/>
      </w:divBdr>
    </w:div>
    <w:div w:id="481821856">
      <w:bodyDiv w:val="1"/>
      <w:marLeft w:val="0"/>
      <w:marRight w:val="0"/>
      <w:marTop w:val="0"/>
      <w:marBottom w:val="0"/>
      <w:divBdr>
        <w:top w:val="none" w:sz="0" w:space="0" w:color="auto"/>
        <w:left w:val="none" w:sz="0" w:space="0" w:color="auto"/>
        <w:bottom w:val="none" w:sz="0" w:space="0" w:color="auto"/>
        <w:right w:val="none" w:sz="0" w:space="0" w:color="auto"/>
      </w:divBdr>
    </w:div>
    <w:div w:id="482934829">
      <w:bodyDiv w:val="1"/>
      <w:marLeft w:val="0"/>
      <w:marRight w:val="0"/>
      <w:marTop w:val="0"/>
      <w:marBottom w:val="0"/>
      <w:divBdr>
        <w:top w:val="none" w:sz="0" w:space="0" w:color="auto"/>
        <w:left w:val="none" w:sz="0" w:space="0" w:color="auto"/>
        <w:bottom w:val="none" w:sz="0" w:space="0" w:color="auto"/>
        <w:right w:val="none" w:sz="0" w:space="0" w:color="auto"/>
      </w:divBdr>
    </w:div>
    <w:div w:id="483354782">
      <w:bodyDiv w:val="1"/>
      <w:marLeft w:val="0"/>
      <w:marRight w:val="0"/>
      <w:marTop w:val="0"/>
      <w:marBottom w:val="0"/>
      <w:divBdr>
        <w:top w:val="none" w:sz="0" w:space="0" w:color="auto"/>
        <w:left w:val="none" w:sz="0" w:space="0" w:color="auto"/>
        <w:bottom w:val="none" w:sz="0" w:space="0" w:color="auto"/>
        <w:right w:val="none" w:sz="0" w:space="0" w:color="auto"/>
      </w:divBdr>
    </w:div>
    <w:div w:id="485366269">
      <w:bodyDiv w:val="1"/>
      <w:marLeft w:val="0"/>
      <w:marRight w:val="0"/>
      <w:marTop w:val="0"/>
      <w:marBottom w:val="0"/>
      <w:divBdr>
        <w:top w:val="none" w:sz="0" w:space="0" w:color="auto"/>
        <w:left w:val="none" w:sz="0" w:space="0" w:color="auto"/>
        <w:bottom w:val="none" w:sz="0" w:space="0" w:color="auto"/>
        <w:right w:val="none" w:sz="0" w:space="0" w:color="auto"/>
      </w:divBdr>
    </w:div>
    <w:div w:id="486820074">
      <w:bodyDiv w:val="1"/>
      <w:marLeft w:val="0"/>
      <w:marRight w:val="0"/>
      <w:marTop w:val="0"/>
      <w:marBottom w:val="0"/>
      <w:divBdr>
        <w:top w:val="none" w:sz="0" w:space="0" w:color="auto"/>
        <w:left w:val="none" w:sz="0" w:space="0" w:color="auto"/>
        <w:bottom w:val="none" w:sz="0" w:space="0" w:color="auto"/>
        <w:right w:val="none" w:sz="0" w:space="0" w:color="auto"/>
      </w:divBdr>
    </w:div>
    <w:div w:id="495537888">
      <w:bodyDiv w:val="1"/>
      <w:marLeft w:val="0"/>
      <w:marRight w:val="0"/>
      <w:marTop w:val="0"/>
      <w:marBottom w:val="0"/>
      <w:divBdr>
        <w:top w:val="none" w:sz="0" w:space="0" w:color="auto"/>
        <w:left w:val="none" w:sz="0" w:space="0" w:color="auto"/>
        <w:bottom w:val="none" w:sz="0" w:space="0" w:color="auto"/>
        <w:right w:val="none" w:sz="0" w:space="0" w:color="auto"/>
      </w:divBdr>
    </w:div>
    <w:div w:id="496309686">
      <w:bodyDiv w:val="1"/>
      <w:marLeft w:val="0"/>
      <w:marRight w:val="0"/>
      <w:marTop w:val="0"/>
      <w:marBottom w:val="0"/>
      <w:divBdr>
        <w:top w:val="none" w:sz="0" w:space="0" w:color="auto"/>
        <w:left w:val="none" w:sz="0" w:space="0" w:color="auto"/>
        <w:bottom w:val="none" w:sz="0" w:space="0" w:color="auto"/>
        <w:right w:val="none" w:sz="0" w:space="0" w:color="auto"/>
      </w:divBdr>
    </w:div>
    <w:div w:id="499732822">
      <w:bodyDiv w:val="1"/>
      <w:marLeft w:val="0"/>
      <w:marRight w:val="0"/>
      <w:marTop w:val="0"/>
      <w:marBottom w:val="0"/>
      <w:divBdr>
        <w:top w:val="none" w:sz="0" w:space="0" w:color="auto"/>
        <w:left w:val="none" w:sz="0" w:space="0" w:color="auto"/>
        <w:bottom w:val="none" w:sz="0" w:space="0" w:color="auto"/>
        <w:right w:val="none" w:sz="0" w:space="0" w:color="auto"/>
      </w:divBdr>
    </w:div>
    <w:div w:id="503473511">
      <w:bodyDiv w:val="1"/>
      <w:marLeft w:val="0"/>
      <w:marRight w:val="0"/>
      <w:marTop w:val="0"/>
      <w:marBottom w:val="0"/>
      <w:divBdr>
        <w:top w:val="none" w:sz="0" w:space="0" w:color="auto"/>
        <w:left w:val="none" w:sz="0" w:space="0" w:color="auto"/>
        <w:bottom w:val="none" w:sz="0" w:space="0" w:color="auto"/>
        <w:right w:val="none" w:sz="0" w:space="0" w:color="auto"/>
      </w:divBdr>
    </w:div>
    <w:div w:id="509761854">
      <w:bodyDiv w:val="1"/>
      <w:marLeft w:val="0"/>
      <w:marRight w:val="0"/>
      <w:marTop w:val="0"/>
      <w:marBottom w:val="0"/>
      <w:divBdr>
        <w:top w:val="none" w:sz="0" w:space="0" w:color="auto"/>
        <w:left w:val="none" w:sz="0" w:space="0" w:color="auto"/>
        <w:bottom w:val="none" w:sz="0" w:space="0" w:color="auto"/>
        <w:right w:val="none" w:sz="0" w:space="0" w:color="auto"/>
      </w:divBdr>
    </w:div>
    <w:div w:id="515388388">
      <w:bodyDiv w:val="1"/>
      <w:marLeft w:val="0"/>
      <w:marRight w:val="0"/>
      <w:marTop w:val="0"/>
      <w:marBottom w:val="0"/>
      <w:divBdr>
        <w:top w:val="none" w:sz="0" w:space="0" w:color="auto"/>
        <w:left w:val="none" w:sz="0" w:space="0" w:color="auto"/>
        <w:bottom w:val="none" w:sz="0" w:space="0" w:color="auto"/>
        <w:right w:val="none" w:sz="0" w:space="0" w:color="auto"/>
      </w:divBdr>
    </w:div>
    <w:div w:id="517617783">
      <w:bodyDiv w:val="1"/>
      <w:marLeft w:val="0"/>
      <w:marRight w:val="0"/>
      <w:marTop w:val="0"/>
      <w:marBottom w:val="0"/>
      <w:divBdr>
        <w:top w:val="none" w:sz="0" w:space="0" w:color="auto"/>
        <w:left w:val="none" w:sz="0" w:space="0" w:color="auto"/>
        <w:bottom w:val="none" w:sz="0" w:space="0" w:color="auto"/>
        <w:right w:val="none" w:sz="0" w:space="0" w:color="auto"/>
      </w:divBdr>
    </w:div>
    <w:div w:id="521745526">
      <w:bodyDiv w:val="1"/>
      <w:marLeft w:val="0"/>
      <w:marRight w:val="0"/>
      <w:marTop w:val="0"/>
      <w:marBottom w:val="0"/>
      <w:divBdr>
        <w:top w:val="none" w:sz="0" w:space="0" w:color="auto"/>
        <w:left w:val="none" w:sz="0" w:space="0" w:color="auto"/>
        <w:bottom w:val="none" w:sz="0" w:space="0" w:color="auto"/>
        <w:right w:val="none" w:sz="0" w:space="0" w:color="auto"/>
      </w:divBdr>
    </w:div>
    <w:div w:id="521820575">
      <w:bodyDiv w:val="1"/>
      <w:marLeft w:val="0"/>
      <w:marRight w:val="0"/>
      <w:marTop w:val="0"/>
      <w:marBottom w:val="0"/>
      <w:divBdr>
        <w:top w:val="none" w:sz="0" w:space="0" w:color="auto"/>
        <w:left w:val="none" w:sz="0" w:space="0" w:color="auto"/>
        <w:bottom w:val="none" w:sz="0" w:space="0" w:color="auto"/>
        <w:right w:val="none" w:sz="0" w:space="0" w:color="auto"/>
      </w:divBdr>
    </w:div>
    <w:div w:id="524370182">
      <w:bodyDiv w:val="1"/>
      <w:marLeft w:val="0"/>
      <w:marRight w:val="0"/>
      <w:marTop w:val="0"/>
      <w:marBottom w:val="0"/>
      <w:divBdr>
        <w:top w:val="none" w:sz="0" w:space="0" w:color="auto"/>
        <w:left w:val="none" w:sz="0" w:space="0" w:color="auto"/>
        <w:bottom w:val="none" w:sz="0" w:space="0" w:color="auto"/>
        <w:right w:val="none" w:sz="0" w:space="0" w:color="auto"/>
      </w:divBdr>
    </w:div>
    <w:div w:id="527137770">
      <w:bodyDiv w:val="1"/>
      <w:marLeft w:val="0"/>
      <w:marRight w:val="0"/>
      <w:marTop w:val="0"/>
      <w:marBottom w:val="0"/>
      <w:divBdr>
        <w:top w:val="none" w:sz="0" w:space="0" w:color="auto"/>
        <w:left w:val="none" w:sz="0" w:space="0" w:color="auto"/>
        <w:bottom w:val="none" w:sz="0" w:space="0" w:color="auto"/>
        <w:right w:val="none" w:sz="0" w:space="0" w:color="auto"/>
      </w:divBdr>
    </w:div>
    <w:div w:id="532575982">
      <w:bodyDiv w:val="1"/>
      <w:marLeft w:val="0"/>
      <w:marRight w:val="0"/>
      <w:marTop w:val="0"/>
      <w:marBottom w:val="0"/>
      <w:divBdr>
        <w:top w:val="none" w:sz="0" w:space="0" w:color="auto"/>
        <w:left w:val="none" w:sz="0" w:space="0" w:color="auto"/>
        <w:bottom w:val="none" w:sz="0" w:space="0" w:color="auto"/>
        <w:right w:val="none" w:sz="0" w:space="0" w:color="auto"/>
      </w:divBdr>
    </w:div>
    <w:div w:id="534317644">
      <w:bodyDiv w:val="1"/>
      <w:marLeft w:val="0"/>
      <w:marRight w:val="0"/>
      <w:marTop w:val="0"/>
      <w:marBottom w:val="0"/>
      <w:divBdr>
        <w:top w:val="none" w:sz="0" w:space="0" w:color="auto"/>
        <w:left w:val="none" w:sz="0" w:space="0" w:color="auto"/>
        <w:bottom w:val="none" w:sz="0" w:space="0" w:color="auto"/>
        <w:right w:val="none" w:sz="0" w:space="0" w:color="auto"/>
      </w:divBdr>
    </w:div>
    <w:div w:id="546141835">
      <w:bodyDiv w:val="1"/>
      <w:marLeft w:val="0"/>
      <w:marRight w:val="0"/>
      <w:marTop w:val="0"/>
      <w:marBottom w:val="0"/>
      <w:divBdr>
        <w:top w:val="none" w:sz="0" w:space="0" w:color="auto"/>
        <w:left w:val="none" w:sz="0" w:space="0" w:color="auto"/>
        <w:bottom w:val="none" w:sz="0" w:space="0" w:color="auto"/>
        <w:right w:val="none" w:sz="0" w:space="0" w:color="auto"/>
      </w:divBdr>
    </w:div>
    <w:div w:id="551042649">
      <w:bodyDiv w:val="1"/>
      <w:marLeft w:val="0"/>
      <w:marRight w:val="0"/>
      <w:marTop w:val="0"/>
      <w:marBottom w:val="0"/>
      <w:divBdr>
        <w:top w:val="none" w:sz="0" w:space="0" w:color="auto"/>
        <w:left w:val="none" w:sz="0" w:space="0" w:color="auto"/>
        <w:bottom w:val="none" w:sz="0" w:space="0" w:color="auto"/>
        <w:right w:val="none" w:sz="0" w:space="0" w:color="auto"/>
      </w:divBdr>
    </w:div>
    <w:div w:id="554121960">
      <w:bodyDiv w:val="1"/>
      <w:marLeft w:val="0"/>
      <w:marRight w:val="0"/>
      <w:marTop w:val="0"/>
      <w:marBottom w:val="0"/>
      <w:divBdr>
        <w:top w:val="none" w:sz="0" w:space="0" w:color="auto"/>
        <w:left w:val="none" w:sz="0" w:space="0" w:color="auto"/>
        <w:bottom w:val="none" w:sz="0" w:space="0" w:color="auto"/>
        <w:right w:val="none" w:sz="0" w:space="0" w:color="auto"/>
      </w:divBdr>
    </w:div>
    <w:div w:id="555242903">
      <w:bodyDiv w:val="1"/>
      <w:marLeft w:val="0"/>
      <w:marRight w:val="0"/>
      <w:marTop w:val="0"/>
      <w:marBottom w:val="0"/>
      <w:divBdr>
        <w:top w:val="none" w:sz="0" w:space="0" w:color="auto"/>
        <w:left w:val="none" w:sz="0" w:space="0" w:color="auto"/>
        <w:bottom w:val="none" w:sz="0" w:space="0" w:color="auto"/>
        <w:right w:val="none" w:sz="0" w:space="0" w:color="auto"/>
      </w:divBdr>
    </w:div>
    <w:div w:id="556353877">
      <w:bodyDiv w:val="1"/>
      <w:marLeft w:val="0"/>
      <w:marRight w:val="0"/>
      <w:marTop w:val="0"/>
      <w:marBottom w:val="0"/>
      <w:divBdr>
        <w:top w:val="none" w:sz="0" w:space="0" w:color="auto"/>
        <w:left w:val="none" w:sz="0" w:space="0" w:color="auto"/>
        <w:bottom w:val="none" w:sz="0" w:space="0" w:color="auto"/>
        <w:right w:val="none" w:sz="0" w:space="0" w:color="auto"/>
      </w:divBdr>
    </w:div>
    <w:div w:id="563831147">
      <w:bodyDiv w:val="1"/>
      <w:marLeft w:val="0"/>
      <w:marRight w:val="0"/>
      <w:marTop w:val="0"/>
      <w:marBottom w:val="0"/>
      <w:divBdr>
        <w:top w:val="none" w:sz="0" w:space="0" w:color="auto"/>
        <w:left w:val="none" w:sz="0" w:space="0" w:color="auto"/>
        <w:bottom w:val="none" w:sz="0" w:space="0" w:color="auto"/>
        <w:right w:val="none" w:sz="0" w:space="0" w:color="auto"/>
      </w:divBdr>
    </w:div>
    <w:div w:id="570503786">
      <w:bodyDiv w:val="1"/>
      <w:marLeft w:val="0"/>
      <w:marRight w:val="0"/>
      <w:marTop w:val="0"/>
      <w:marBottom w:val="0"/>
      <w:divBdr>
        <w:top w:val="none" w:sz="0" w:space="0" w:color="auto"/>
        <w:left w:val="none" w:sz="0" w:space="0" w:color="auto"/>
        <w:bottom w:val="none" w:sz="0" w:space="0" w:color="auto"/>
        <w:right w:val="none" w:sz="0" w:space="0" w:color="auto"/>
      </w:divBdr>
    </w:div>
    <w:div w:id="573048756">
      <w:bodyDiv w:val="1"/>
      <w:marLeft w:val="0"/>
      <w:marRight w:val="0"/>
      <w:marTop w:val="0"/>
      <w:marBottom w:val="0"/>
      <w:divBdr>
        <w:top w:val="none" w:sz="0" w:space="0" w:color="auto"/>
        <w:left w:val="none" w:sz="0" w:space="0" w:color="auto"/>
        <w:bottom w:val="none" w:sz="0" w:space="0" w:color="auto"/>
        <w:right w:val="none" w:sz="0" w:space="0" w:color="auto"/>
      </w:divBdr>
    </w:div>
    <w:div w:id="576860497">
      <w:bodyDiv w:val="1"/>
      <w:marLeft w:val="0"/>
      <w:marRight w:val="0"/>
      <w:marTop w:val="0"/>
      <w:marBottom w:val="0"/>
      <w:divBdr>
        <w:top w:val="none" w:sz="0" w:space="0" w:color="auto"/>
        <w:left w:val="none" w:sz="0" w:space="0" w:color="auto"/>
        <w:bottom w:val="none" w:sz="0" w:space="0" w:color="auto"/>
        <w:right w:val="none" w:sz="0" w:space="0" w:color="auto"/>
      </w:divBdr>
    </w:div>
    <w:div w:id="577520823">
      <w:bodyDiv w:val="1"/>
      <w:marLeft w:val="0"/>
      <w:marRight w:val="0"/>
      <w:marTop w:val="0"/>
      <w:marBottom w:val="0"/>
      <w:divBdr>
        <w:top w:val="none" w:sz="0" w:space="0" w:color="auto"/>
        <w:left w:val="none" w:sz="0" w:space="0" w:color="auto"/>
        <w:bottom w:val="none" w:sz="0" w:space="0" w:color="auto"/>
        <w:right w:val="none" w:sz="0" w:space="0" w:color="auto"/>
      </w:divBdr>
    </w:div>
    <w:div w:id="580988369">
      <w:bodyDiv w:val="1"/>
      <w:marLeft w:val="0"/>
      <w:marRight w:val="0"/>
      <w:marTop w:val="0"/>
      <w:marBottom w:val="0"/>
      <w:divBdr>
        <w:top w:val="none" w:sz="0" w:space="0" w:color="auto"/>
        <w:left w:val="none" w:sz="0" w:space="0" w:color="auto"/>
        <w:bottom w:val="none" w:sz="0" w:space="0" w:color="auto"/>
        <w:right w:val="none" w:sz="0" w:space="0" w:color="auto"/>
      </w:divBdr>
    </w:div>
    <w:div w:id="584923851">
      <w:bodyDiv w:val="1"/>
      <w:marLeft w:val="0"/>
      <w:marRight w:val="0"/>
      <w:marTop w:val="0"/>
      <w:marBottom w:val="0"/>
      <w:divBdr>
        <w:top w:val="none" w:sz="0" w:space="0" w:color="auto"/>
        <w:left w:val="none" w:sz="0" w:space="0" w:color="auto"/>
        <w:bottom w:val="none" w:sz="0" w:space="0" w:color="auto"/>
        <w:right w:val="none" w:sz="0" w:space="0" w:color="auto"/>
      </w:divBdr>
    </w:div>
    <w:div w:id="605620752">
      <w:bodyDiv w:val="1"/>
      <w:marLeft w:val="0"/>
      <w:marRight w:val="0"/>
      <w:marTop w:val="0"/>
      <w:marBottom w:val="0"/>
      <w:divBdr>
        <w:top w:val="none" w:sz="0" w:space="0" w:color="auto"/>
        <w:left w:val="none" w:sz="0" w:space="0" w:color="auto"/>
        <w:bottom w:val="none" w:sz="0" w:space="0" w:color="auto"/>
        <w:right w:val="none" w:sz="0" w:space="0" w:color="auto"/>
      </w:divBdr>
    </w:div>
    <w:div w:id="612249120">
      <w:bodyDiv w:val="1"/>
      <w:marLeft w:val="0"/>
      <w:marRight w:val="0"/>
      <w:marTop w:val="0"/>
      <w:marBottom w:val="0"/>
      <w:divBdr>
        <w:top w:val="none" w:sz="0" w:space="0" w:color="auto"/>
        <w:left w:val="none" w:sz="0" w:space="0" w:color="auto"/>
        <w:bottom w:val="none" w:sz="0" w:space="0" w:color="auto"/>
        <w:right w:val="none" w:sz="0" w:space="0" w:color="auto"/>
      </w:divBdr>
    </w:div>
    <w:div w:id="612857835">
      <w:bodyDiv w:val="1"/>
      <w:marLeft w:val="0"/>
      <w:marRight w:val="0"/>
      <w:marTop w:val="0"/>
      <w:marBottom w:val="0"/>
      <w:divBdr>
        <w:top w:val="none" w:sz="0" w:space="0" w:color="auto"/>
        <w:left w:val="none" w:sz="0" w:space="0" w:color="auto"/>
        <w:bottom w:val="none" w:sz="0" w:space="0" w:color="auto"/>
        <w:right w:val="none" w:sz="0" w:space="0" w:color="auto"/>
      </w:divBdr>
    </w:div>
    <w:div w:id="616376163">
      <w:bodyDiv w:val="1"/>
      <w:marLeft w:val="0"/>
      <w:marRight w:val="0"/>
      <w:marTop w:val="0"/>
      <w:marBottom w:val="0"/>
      <w:divBdr>
        <w:top w:val="none" w:sz="0" w:space="0" w:color="auto"/>
        <w:left w:val="none" w:sz="0" w:space="0" w:color="auto"/>
        <w:bottom w:val="none" w:sz="0" w:space="0" w:color="auto"/>
        <w:right w:val="none" w:sz="0" w:space="0" w:color="auto"/>
      </w:divBdr>
    </w:div>
    <w:div w:id="617757971">
      <w:bodyDiv w:val="1"/>
      <w:marLeft w:val="0"/>
      <w:marRight w:val="0"/>
      <w:marTop w:val="0"/>
      <w:marBottom w:val="0"/>
      <w:divBdr>
        <w:top w:val="none" w:sz="0" w:space="0" w:color="auto"/>
        <w:left w:val="none" w:sz="0" w:space="0" w:color="auto"/>
        <w:bottom w:val="none" w:sz="0" w:space="0" w:color="auto"/>
        <w:right w:val="none" w:sz="0" w:space="0" w:color="auto"/>
      </w:divBdr>
    </w:div>
    <w:div w:id="624120732">
      <w:bodyDiv w:val="1"/>
      <w:marLeft w:val="0"/>
      <w:marRight w:val="0"/>
      <w:marTop w:val="0"/>
      <w:marBottom w:val="0"/>
      <w:divBdr>
        <w:top w:val="none" w:sz="0" w:space="0" w:color="auto"/>
        <w:left w:val="none" w:sz="0" w:space="0" w:color="auto"/>
        <w:bottom w:val="none" w:sz="0" w:space="0" w:color="auto"/>
        <w:right w:val="none" w:sz="0" w:space="0" w:color="auto"/>
      </w:divBdr>
    </w:div>
    <w:div w:id="635064356">
      <w:bodyDiv w:val="1"/>
      <w:marLeft w:val="0"/>
      <w:marRight w:val="0"/>
      <w:marTop w:val="0"/>
      <w:marBottom w:val="0"/>
      <w:divBdr>
        <w:top w:val="none" w:sz="0" w:space="0" w:color="auto"/>
        <w:left w:val="none" w:sz="0" w:space="0" w:color="auto"/>
        <w:bottom w:val="none" w:sz="0" w:space="0" w:color="auto"/>
        <w:right w:val="none" w:sz="0" w:space="0" w:color="auto"/>
      </w:divBdr>
    </w:div>
    <w:div w:id="643966199">
      <w:bodyDiv w:val="1"/>
      <w:marLeft w:val="0"/>
      <w:marRight w:val="0"/>
      <w:marTop w:val="0"/>
      <w:marBottom w:val="0"/>
      <w:divBdr>
        <w:top w:val="none" w:sz="0" w:space="0" w:color="auto"/>
        <w:left w:val="none" w:sz="0" w:space="0" w:color="auto"/>
        <w:bottom w:val="none" w:sz="0" w:space="0" w:color="auto"/>
        <w:right w:val="none" w:sz="0" w:space="0" w:color="auto"/>
      </w:divBdr>
    </w:div>
    <w:div w:id="657999619">
      <w:bodyDiv w:val="1"/>
      <w:marLeft w:val="0"/>
      <w:marRight w:val="0"/>
      <w:marTop w:val="0"/>
      <w:marBottom w:val="0"/>
      <w:divBdr>
        <w:top w:val="none" w:sz="0" w:space="0" w:color="auto"/>
        <w:left w:val="none" w:sz="0" w:space="0" w:color="auto"/>
        <w:bottom w:val="none" w:sz="0" w:space="0" w:color="auto"/>
        <w:right w:val="none" w:sz="0" w:space="0" w:color="auto"/>
      </w:divBdr>
    </w:div>
    <w:div w:id="681401184">
      <w:bodyDiv w:val="1"/>
      <w:marLeft w:val="0"/>
      <w:marRight w:val="0"/>
      <w:marTop w:val="0"/>
      <w:marBottom w:val="0"/>
      <w:divBdr>
        <w:top w:val="none" w:sz="0" w:space="0" w:color="auto"/>
        <w:left w:val="none" w:sz="0" w:space="0" w:color="auto"/>
        <w:bottom w:val="none" w:sz="0" w:space="0" w:color="auto"/>
        <w:right w:val="none" w:sz="0" w:space="0" w:color="auto"/>
      </w:divBdr>
    </w:div>
    <w:div w:id="695083754">
      <w:bodyDiv w:val="1"/>
      <w:marLeft w:val="0"/>
      <w:marRight w:val="0"/>
      <w:marTop w:val="0"/>
      <w:marBottom w:val="0"/>
      <w:divBdr>
        <w:top w:val="none" w:sz="0" w:space="0" w:color="auto"/>
        <w:left w:val="none" w:sz="0" w:space="0" w:color="auto"/>
        <w:bottom w:val="none" w:sz="0" w:space="0" w:color="auto"/>
        <w:right w:val="none" w:sz="0" w:space="0" w:color="auto"/>
      </w:divBdr>
    </w:div>
    <w:div w:id="700596530">
      <w:bodyDiv w:val="1"/>
      <w:marLeft w:val="0"/>
      <w:marRight w:val="0"/>
      <w:marTop w:val="0"/>
      <w:marBottom w:val="0"/>
      <w:divBdr>
        <w:top w:val="none" w:sz="0" w:space="0" w:color="auto"/>
        <w:left w:val="none" w:sz="0" w:space="0" w:color="auto"/>
        <w:bottom w:val="none" w:sz="0" w:space="0" w:color="auto"/>
        <w:right w:val="none" w:sz="0" w:space="0" w:color="auto"/>
      </w:divBdr>
    </w:div>
    <w:div w:id="711156520">
      <w:bodyDiv w:val="1"/>
      <w:marLeft w:val="0"/>
      <w:marRight w:val="0"/>
      <w:marTop w:val="0"/>
      <w:marBottom w:val="0"/>
      <w:divBdr>
        <w:top w:val="none" w:sz="0" w:space="0" w:color="auto"/>
        <w:left w:val="none" w:sz="0" w:space="0" w:color="auto"/>
        <w:bottom w:val="none" w:sz="0" w:space="0" w:color="auto"/>
        <w:right w:val="none" w:sz="0" w:space="0" w:color="auto"/>
      </w:divBdr>
    </w:div>
    <w:div w:id="712580261">
      <w:bodyDiv w:val="1"/>
      <w:marLeft w:val="0"/>
      <w:marRight w:val="0"/>
      <w:marTop w:val="0"/>
      <w:marBottom w:val="0"/>
      <w:divBdr>
        <w:top w:val="none" w:sz="0" w:space="0" w:color="auto"/>
        <w:left w:val="none" w:sz="0" w:space="0" w:color="auto"/>
        <w:bottom w:val="none" w:sz="0" w:space="0" w:color="auto"/>
        <w:right w:val="none" w:sz="0" w:space="0" w:color="auto"/>
      </w:divBdr>
    </w:div>
    <w:div w:id="712853908">
      <w:bodyDiv w:val="1"/>
      <w:marLeft w:val="0"/>
      <w:marRight w:val="0"/>
      <w:marTop w:val="0"/>
      <w:marBottom w:val="0"/>
      <w:divBdr>
        <w:top w:val="none" w:sz="0" w:space="0" w:color="auto"/>
        <w:left w:val="none" w:sz="0" w:space="0" w:color="auto"/>
        <w:bottom w:val="none" w:sz="0" w:space="0" w:color="auto"/>
        <w:right w:val="none" w:sz="0" w:space="0" w:color="auto"/>
      </w:divBdr>
      <w:divsChild>
        <w:div w:id="35930051">
          <w:marLeft w:val="0"/>
          <w:marRight w:val="0"/>
          <w:marTop w:val="0"/>
          <w:marBottom w:val="0"/>
          <w:divBdr>
            <w:top w:val="none" w:sz="0" w:space="0" w:color="auto"/>
            <w:left w:val="none" w:sz="0" w:space="0" w:color="auto"/>
            <w:bottom w:val="none" w:sz="0" w:space="0" w:color="auto"/>
            <w:right w:val="none" w:sz="0" w:space="0" w:color="auto"/>
          </w:divBdr>
        </w:div>
        <w:div w:id="135341512">
          <w:marLeft w:val="0"/>
          <w:marRight w:val="0"/>
          <w:marTop w:val="0"/>
          <w:marBottom w:val="0"/>
          <w:divBdr>
            <w:top w:val="none" w:sz="0" w:space="0" w:color="auto"/>
            <w:left w:val="none" w:sz="0" w:space="0" w:color="auto"/>
            <w:bottom w:val="none" w:sz="0" w:space="0" w:color="auto"/>
            <w:right w:val="none" w:sz="0" w:space="0" w:color="auto"/>
          </w:divBdr>
        </w:div>
        <w:div w:id="369720254">
          <w:marLeft w:val="0"/>
          <w:marRight w:val="0"/>
          <w:marTop w:val="0"/>
          <w:marBottom w:val="0"/>
          <w:divBdr>
            <w:top w:val="none" w:sz="0" w:space="0" w:color="auto"/>
            <w:left w:val="none" w:sz="0" w:space="0" w:color="auto"/>
            <w:bottom w:val="none" w:sz="0" w:space="0" w:color="auto"/>
            <w:right w:val="none" w:sz="0" w:space="0" w:color="auto"/>
          </w:divBdr>
        </w:div>
        <w:div w:id="651180782">
          <w:marLeft w:val="0"/>
          <w:marRight w:val="0"/>
          <w:marTop w:val="0"/>
          <w:marBottom w:val="0"/>
          <w:divBdr>
            <w:top w:val="none" w:sz="0" w:space="0" w:color="auto"/>
            <w:left w:val="none" w:sz="0" w:space="0" w:color="auto"/>
            <w:bottom w:val="none" w:sz="0" w:space="0" w:color="auto"/>
            <w:right w:val="none" w:sz="0" w:space="0" w:color="auto"/>
          </w:divBdr>
        </w:div>
        <w:div w:id="696154942">
          <w:marLeft w:val="0"/>
          <w:marRight w:val="0"/>
          <w:marTop w:val="0"/>
          <w:marBottom w:val="0"/>
          <w:divBdr>
            <w:top w:val="none" w:sz="0" w:space="0" w:color="auto"/>
            <w:left w:val="none" w:sz="0" w:space="0" w:color="auto"/>
            <w:bottom w:val="none" w:sz="0" w:space="0" w:color="auto"/>
            <w:right w:val="none" w:sz="0" w:space="0" w:color="auto"/>
          </w:divBdr>
        </w:div>
        <w:div w:id="857355923">
          <w:marLeft w:val="0"/>
          <w:marRight w:val="0"/>
          <w:marTop w:val="0"/>
          <w:marBottom w:val="0"/>
          <w:divBdr>
            <w:top w:val="none" w:sz="0" w:space="0" w:color="auto"/>
            <w:left w:val="none" w:sz="0" w:space="0" w:color="auto"/>
            <w:bottom w:val="none" w:sz="0" w:space="0" w:color="auto"/>
            <w:right w:val="none" w:sz="0" w:space="0" w:color="auto"/>
          </w:divBdr>
        </w:div>
        <w:div w:id="945380860">
          <w:marLeft w:val="0"/>
          <w:marRight w:val="0"/>
          <w:marTop w:val="0"/>
          <w:marBottom w:val="0"/>
          <w:divBdr>
            <w:top w:val="none" w:sz="0" w:space="0" w:color="auto"/>
            <w:left w:val="none" w:sz="0" w:space="0" w:color="auto"/>
            <w:bottom w:val="none" w:sz="0" w:space="0" w:color="auto"/>
            <w:right w:val="none" w:sz="0" w:space="0" w:color="auto"/>
          </w:divBdr>
        </w:div>
        <w:div w:id="1132091353">
          <w:marLeft w:val="0"/>
          <w:marRight w:val="0"/>
          <w:marTop w:val="0"/>
          <w:marBottom w:val="0"/>
          <w:divBdr>
            <w:top w:val="none" w:sz="0" w:space="0" w:color="auto"/>
            <w:left w:val="none" w:sz="0" w:space="0" w:color="auto"/>
            <w:bottom w:val="none" w:sz="0" w:space="0" w:color="auto"/>
            <w:right w:val="none" w:sz="0" w:space="0" w:color="auto"/>
          </w:divBdr>
        </w:div>
        <w:div w:id="1152137626">
          <w:marLeft w:val="0"/>
          <w:marRight w:val="0"/>
          <w:marTop w:val="0"/>
          <w:marBottom w:val="0"/>
          <w:divBdr>
            <w:top w:val="none" w:sz="0" w:space="0" w:color="auto"/>
            <w:left w:val="none" w:sz="0" w:space="0" w:color="auto"/>
            <w:bottom w:val="none" w:sz="0" w:space="0" w:color="auto"/>
            <w:right w:val="none" w:sz="0" w:space="0" w:color="auto"/>
          </w:divBdr>
        </w:div>
        <w:div w:id="1219513754">
          <w:marLeft w:val="0"/>
          <w:marRight w:val="0"/>
          <w:marTop w:val="0"/>
          <w:marBottom w:val="0"/>
          <w:divBdr>
            <w:top w:val="none" w:sz="0" w:space="0" w:color="auto"/>
            <w:left w:val="none" w:sz="0" w:space="0" w:color="auto"/>
            <w:bottom w:val="none" w:sz="0" w:space="0" w:color="auto"/>
            <w:right w:val="none" w:sz="0" w:space="0" w:color="auto"/>
          </w:divBdr>
        </w:div>
        <w:div w:id="1268076346">
          <w:marLeft w:val="0"/>
          <w:marRight w:val="0"/>
          <w:marTop w:val="0"/>
          <w:marBottom w:val="0"/>
          <w:divBdr>
            <w:top w:val="none" w:sz="0" w:space="0" w:color="auto"/>
            <w:left w:val="none" w:sz="0" w:space="0" w:color="auto"/>
            <w:bottom w:val="none" w:sz="0" w:space="0" w:color="auto"/>
            <w:right w:val="none" w:sz="0" w:space="0" w:color="auto"/>
          </w:divBdr>
        </w:div>
        <w:div w:id="1501459583">
          <w:marLeft w:val="0"/>
          <w:marRight w:val="0"/>
          <w:marTop w:val="0"/>
          <w:marBottom w:val="0"/>
          <w:divBdr>
            <w:top w:val="none" w:sz="0" w:space="0" w:color="auto"/>
            <w:left w:val="none" w:sz="0" w:space="0" w:color="auto"/>
            <w:bottom w:val="none" w:sz="0" w:space="0" w:color="auto"/>
            <w:right w:val="none" w:sz="0" w:space="0" w:color="auto"/>
          </w:divBdr>
        </w:div>
        <w:div w:id="1580284010">
          <w:marLeft w:val="0"/>
          <w:marRight w:val="0"/>
          <w:marTop w:val="0"/>
          <w:marBottom w:val="0"/>
          <w:divBdr>
            <w:top w:val="none" w:sz="0" w:space="0" w:color="auto"/>
            <w:left w:val="none" w:sz="0" w:space="0" w:color="auto"/>
            <w:bottom w:val="none" w:sz="0" w:space="0" w:color="auto"/>
            <w:right w:val="none" w:sz="0" w:space="0" w:color="auto"/>
          </w:divBdr>
        </w:div>
        <w:div w:id="1582564322">
          <w:marLeft w:val="0"/>
          <w:marRight w:val="0"/>
          <w:marTop w:val="0"/>
          <w:marBottom w:val="0"/>
          <w:divBdr>
            <w:top w:val="none" w:sz="0" w:space="0" w:color="auto"/>
            <w:left w:val="none" w:sz="0" w:space="0" w:color="auto"/>
            <w:bottom w:val="none" w:sz="0" w:space="0" w:color="auto"/>
            <w:right w:val="none" w:sz="0" w:space="0" w:color="auto"/>
          </w:divBdr>
        </w:div>
        <w:div w:id="1597202382">
          <w:marLeft w:val="0"/>
          <w:marRight w:val="0"/>
          <w:marTop w:val="0"/>
          <w:marBottom w:val="0"/>
          <w:divBdr>
            <w:top w:val="none" w:sz="0" w:space="0" w:color="auto"/>
            <w:left w:val="none" w:sz="0" w:space="0" w:color="auto"/>
            <w:bottom w:val="none" w:sz="0" w:space="0" w:color="auto"/>
            <w:right w:val="none" w:sz="0" w:space="0" w:color="auto"/>
          </w:divBdr>
        </w:div>
        <w:div w:id="1775663632">
          <w:marLeft w:val="0"/>
          <w:marRight w:val="0"/>
          <w:marTop w:val="0"/>
          <w:marBottom w:val="0"/>
          <w:divBdr>
            <w:top w:val="none" w:sz="0" w:space="0" w:color="auto"/>
            <w:left w:val="none" w:sz="0" w:space="0" w:color="auto"/>
            <w:bottom w:val="none" w:sz="0" w:space="0" w:color="auto"/>
            <w:right w:val="none" w:sz="0" w:space="0" w:color="auto"/>
          </w:divBdr>
        </w:div>
        <w:div w:id="1795827454">
          <w:marLeft w:val="0"/>
          <w:marRight w:val="0"/>
          <w:marTop w:val="0"/>
          <w:marBottom w:val="0"/>
          <w:divBdr>
            <w:top w:val="none" w:sz="0" w:space="0" w:color="auto"/>
            <w:left w:val="none" w:sz="0" w:space="0" w:color="auto"/>
            <w:bottom w:val="none" w:sz="0" w:space="0" w:color="auto"/>
            <w:right w:val="none" w:sz="0" w:space="0" w:color="auto"/>
          </w:divBdr>
        </w:div>
        <w:div w:id="2094547144">
          <w:marLeft w:val="0"/>
          <w:marRight w:val="0"/>
          <w:marTop w:val="0"/>
          <w:marBottom w:val="0"/>
          <w:divBdr>
            <w:top w:val="none" w:sz="0" w:space="0" w:color="auto"/>
            <w:left w:val="none" w:sz="0" w:space="0" w:color="auto"/>
            <w:bottom w:val="none" w:sz="0" w:space="0" w:color="auto"/>
            <w:right w:val="none" w:sz="0" w:space="0" w:color="auto"/>
          </w:divBdr>
        </w:div>
        <w:div w:id="2119370208">
          <w:marLeft w:val="0"/>
          <w:marRight w:val="0"/>
          <w:marTop w:val="0"/>
          <w:marBottom w:val="0"/>
          <w:divBdr>
            <w:top w:val="none" w:sz="0" w:space="0" w:color="auto"/>
            <w:left w:val="none" w:sz="0" w:space="0" w:color="auto"/>
            <w:bottom w:val="none" w:sz="0" w:space="0" w:color="auto"/>
            <w:right w:val="none" w:sz="0" w:space="0" w:color="auto"/>
          </w:divBdr>
        </w:div>
      </w:divsChild>
    </w:div>
    <w:div w:id="718170226">
      <w:bodyDiv w:val="1"/>
      <w:marLeft w:val="0"/>
      <w:marRight w:val="0"/>
      <w:marTop w:val="0"/>
      <w:marBottom w:val="0"/>
      <w:divBdr>
        <w:top w:val="none" w:sz="0" w:space="0" w:color="auto"/>
        <w:left w:val="none" w:sz="0" w:space="0" w:color="auto"/>
        <w:bottom w:val="none" w:sz="0" w:space="0" w:color="auto"/>
        <w:right w:val="none" w:sz="0" w:space="0" w:color="auto"/>
      </w:divBdr>
    </w:div>
    <w:div w:id="727144333">
      <w:bodyDiv w:val="1"/>
      <w:marLeft w:val="0"/>
      <w:marRight w:val="0"/>
      <w:marTop w:val="0"/>
      <w:marBottom w:val="0"/>
      <w:divBdr>
        <w:top w:val="none" w:sz="0" w:space="0" w:color="auto"/>
        <w:left w:val="none" w:sz="0" w:space="0" w:color="auto"/>
        <w:bottom w:val="none" w:sz="0" w:space="0" w:color="auto"/>
        <w:right w:val="none" w:sz="0" w:space="0" w:color="auto"/>
      </w:divBdr>
    </w:div>
    <w:div w:id="750811252">
      <w:bodyDiv w:val="1"/>
      <w:marLeft w:val="0"/>
      <w:marRight w:val="0"/>
      <w:marTop w:val="0"/>
      <w:marBottom w:val="0"/>
      <w:divBdr>
        <w:top w:val="none" w:sz="0" w:space="0" w:color="auto"/>
        <w:left w:val="none" w:sz="0" w:space="0" w:color="auto"/>
        <w:bottom w:val="none" w:sz="0" w:space="0" w:color="auto"/>
        <w:right w:val="none" w:sz="0" w:space="0" w:color="auto"/>
      </w:divBdr>
    </w:div>
    <w:div w:id="753864054">
      <w:bodyDiv w:val="1"/>
      <w:marLeft w:val="0"/>
      <w:marRight w:val="0"/>
      <w:marTop w:val="0"/>
      <w:marBottom w:val="0"/>
      <w:divBdr>
        <w:top w:val="none" w:sz="0" w:space="0" w:color="auto"/>
        <w:left w:val="none" w:sz="0" w:space="0" w:color="auto"/>
        <w:bottom w:val="none" w:sz="0" w:space="0" w:color="auto"/>
        <w:right w:val="none" w:sz="0" w:space="0" w:color="auto"/>
      </w:divBdr>
    </w:div>
    <w:div w:id="756169205">
      <w:bodyDiv w:val="1"/>
      <w:marLeft w:val="0"/>
      <w:marRight w:val="0"/>
      <w:marTop w:val="0"/>
      <w:marBottom w:val="0"/>
      <w:divBdr>
        <w:top w:val="none" w:sz="0" w:space="0" w:color="auto"/>
        <w:left w:val="none" w:sz="0" w:space="0" w:color="auto"/>
        <w:bottom w:val="none" w:sz="0" w:space="0" w:color="auto"/>
        <w:right w:val="none" w:sz="0" w:space="0" w:color="auto"/>
      </w:divBdr>
    </w:div>
    <w:div w:id="762916330">
      <w:bodyDiv w:val="1"/>
      <w:marLeft w:val="0"/>
      <w:marRight w:val="0"/>
      <w:marTop w:val="0"/>
      <w:marBottom w:val="0"/>
      <w:divBdr>
        <w:top w:val="none" w:sz="0" w:space="0" w:color="auto"/>
        <w:left w:val="none" w:sz="0" w:space="0" w:color="auto"/>
        <w:bottom w:val="none" w:sz="0" w:space="0" w:color="auto"/>
        <w:right w:val="none" w:sz="0" w:space="0" w:color="auto"/>
      </w:divBdr>
    </w:div>
    <w:div w:id="773479164">
      <w:bodyDiv w:val="1"/>
      <w:marLeft w:val="0"/>
      <w:marRight w:val="0"/>
      <w:marTop w:val="0"/>
      <w:marBottom w:val="0"/>
      <w:divBdr>
        <w:top w:val="none" w:sz="0" w:space="0" w:color="auto"/>
        <w:left w:val="none" w:sz="0" w:space="0" w:color="auto"/>
        <w:bottom w:val="none" w:sz="0" w:space="0" w:color="auto"/>
        <w:right w:val="none" w:sz="0" w:space="0" w:color="auto"/>
      </w:divBdr>
    </w:div>
    <w:div w:id="775292681">
      <w:bodyDiv w:val="1"/>
      <w:marLeft w:val="0"/>
      <w:marRight w:val="0"/>
      <w:marTop w:val="0"/>
      <w:marBottom w:val="0"/>
      <w:divBdr>
        <w:top w:val="none" w:sz="0" w:space="0" w:color="auto"/>
        <w:left w:val="none" w:sz="0" w:space="0" w:color="auto"/>
        <w:bottom w:val="none" w:sz="0" w:space="0" w:color="auto"/>
        <w:right w:val="none" w:sz="0" w:space="0" w:color="auto"/>
      </w:divBdr>
    </w:div>
    <w:div w:id="781344991">
      <w:bodyDiv w:val="1"/>
      <w:marLeft w:val="0"/>
      <w:marRight w:val="0"/>
      <w:marTop w:val="0"/>
      <w:marBottom w:val="0"/>
      <w:divBdr>
        <w:top w:val="none" w:sz="0" w:space="0" w:color="auto"/>
        <w:left w:val="none" w:sz="0" w:space="0" w:color="auto"/>
        <w:bottom w:val="none" w:sz="0" w:space="0" w:color="auto"/>
        <w:right w:val="none" w:sz="0" w:space="0" w:color="auto"/>
      </w:divBdr>
    </w:div>
    <w:div w:id="783230095">
      <w:bodyDiv w:val="1"/>
      <w:marLeft w:val="0"/>
      <w:marRight w:val="0"/>
      <w:marTop w:val="0"/>
      <w:marBottom w:val="0"/>
      <w:divBdr>
        <w:top w:val="none" w:sz="0" w:space="0" w:color="auto"/>
        <w:left w:val="none" w:sz="0" w:space="0" w:color="auto"/>
        <w:bottom w:val="none" w:sz="0" w:space="0" w:color="auto"/>
        <w:right w:val="none" w:sz="0" w:space="0" w:color="auto"/>
      </w:divBdr>
    </w:div>
    <w:div w:id="794759146">
      <w:bodyDiv w:val="1"/>
      <w:marLeft w:val="0"/>
      <w:marRight w:val="0"/>
      <w:marTop w:val="0"/>
      <w:marBottom w:val="0"/>
      <w:divBdr>
        <w:top w:val="none" w:sz="0" w:space="0" w:color="auto"/>
        <w:left w:val="none" w:sz="0" w:space="0" w:color="auto"/>
        <w:bottom w:val="none" w:sz="0" w:space="0" w:color="auto"/>
        <w:right w:val="none" w:sz="0" w:space="0" w:color="auto"/>
      </w:divBdr>
    </w:div>
    <w:div w:id="801188305">
      <w:bodyDiv w:val="1"/>
      <w:marLeft w:val="0"/>
      <w:marRight w:val="0"/>
      <w:marTop w:val="0"/>
      <w:marBottom w:val="0"/>
      <w:divBdr>
        <w:top w:val="none" w:sz="0" w:space="0" w:color="auto"/>
        <w:left w:val="none" w:sz="0" w:space="0" w:color="auto"/>
        <w:bottom w:val="none" w:sz="0" w:space="0" w:color="auto"/>
        <w:right w:val="none" w:sz="0" w:space="0" w:color="auto"/>
      </w:divBdr>
    </w:div>
    <w:div w:id="805508028">
      <w:bodyDiv w:val="1"/>
      <w:marLeft w:val="0"/>
      <w:marRight w:val="0"/>
      <w:marTop w:val="0"/>
      <w:marBottom w:val="0"/>
      <w:divBdr>
        <w:top w:val="none" w:sz="0" w:space="0" w:color="auto"/>
        <w:left w:val="none" w:sz="0" w:space="0" w:color="auto"/>
        <w:bottom w:val="none" w:sz="0" w:space="0" w:color="auto"/>
        <w:right w:val="none" w:sz="0" w:space="0" w:color="auto"/>
      </w:divBdr>
    </w:div>
    <w:div w:id="806313931">
      <w:bodyDiv w:val="1"/>
      <w:marLeft w:val="0"/>
      <w:marRight w:val="0"/>
      <w:marTop w:val="0"/>
      <w:marBottom w:val="0"/>
      <w:divBdr>
        <w:top w:val="none" w:sz="0" w:space="0" w:color="auto"/>
        <w:left w:val="none" w:sz="0" w:space="0" w:color="auto"/>
        <w:bottom w:val="none" w:sz="0" w:space="0" w:color="auto"/>
        <w:right w:val="none" w:sz="0" w:space="0" w:color="auto"/>
      </w:divBdr>
    </w:div>
    <w:div w:id="809321156">
      <w:bodyDiv w:val="1"/>
      <w:marLeft w:val="0"/>
      <w:marRight w:val="0"/>
      <w:marTop w:val="0"/>
      <w:marBottom w:val="0"/>
      <w:divBdr>
        <w:top w:val="none" w:sz="0" w:space="0" w:color="auto"/>
        <w:left w:val="none" w:sz="0" w:space="0" w:color="auto"/>
        <w:bottom w:val="none" w:sz="0" w:space="0" w:color="auto"/>
        <w:right w:val="none" w:sz="0" w:space="0" w:color="auto"/>
      </w:divBdr>
    </w:div>
    <w:div w:id="824127853">
      <w:bodyDiv w:val="1"/>
      <w:marLeft w:val="0"/>
      <w:marRight w:val="0"/>
      <w:marTop w:val="0"/>
      <w:marBottom w:val="0"/>
      <w:divBdr>
        <w:top w:val="none" w:sz="0" w:space="0" w:color="auto"/>
        <w:left w:val="none" w:sz="0" w:space="0" w:color="auto"/>
        <w:bottom w:val="none" w:sz="0" w:space="0" w:color="auto"/>
        <w:right w:val="none" w:sz="0" w:space="0" w:color="auto"/>
      </w:divBdr>
    </w:div>
    <w:div w:id="824780918">
      <w:bodyDiv w:val="1"/>
      <w:marLeft w:val="0"/>
      <w:marRight w:val="0"/>
      <w:marTop w:val="0"/>
      <w:marBottom w:val="0"/>
      <w:divBdr>
        <w:top w:val="none" w:sz="0" w:space="0" w:color="auto"/>
        <w:left w:val="none" w:sz="0" w:space="0" w:color="auto"/>
        <w:bottom w:val="none" w:sz="0" w:space="0" w:color="auto"/>
        <w:right w:val="none" w:sz="0" w:space="0" w:color="auto"/>
      </w:divBdr>
    </w:div>
    <w:div w:id="825753856">
      <w:bodyDiv w:val="1"/>
      <w:marLeft w:val="0"/>
      <w:marRight w:val="0"/>
      <w:marTop w:val="0"/>
      <w:marBottom w:val="0"/>
      <w:divBdr>
        <w:top w:val="none" w:sz="0" w:space="0" w:color="auto"/>
        <w:left w:val="none" w:sz="0" w:space="0" w:color="auto"/>
        <w:bottom w:val="none" w:sz="0" w:space="0" w:color="auto"/>
        <w:right w:val="none" w:sz="0" w:space="0" w:color="auto"/>
      </w:divBdr>
    </w:div>
    <w:div w:id="854072984">
      <w:bodyDiv w:val="1"/>
      <w:marLeft w:val="0"/>
      <w:marRight w:val="0"/>
      <w:marTop w:val="0"/>
      <w:marBottom w:val="0"/>
      <w:divBdr>
        <w:top w:val="none" w:sz="0" w:space="0" w:color="auto"/>
        <w:left w:val="none" w:sz="0" w:space="0" w:color="auto"/>
        <w:bottom w:val="none" w:sz="0" w:space="0" w:color="auto"/>
        <w:right w:val="none" w:sz="0" w:space="0" w:color="auto"/>
      </w:divBdr>
    </w:div>
    <w:div w:id="855538910">
      <w:bodyDiv w:val="1"/>
      <w:marLeft w:val="0"/>
      <w:marRight w:val="0"/>
      <w:marTop w:val="0"/>
      <w:marBottom w:val="0"/>
      <w:divBdr>
        <w:top w:val="none" w:sz="0" w:space="0" w:color="auto"/>
        <w:left w:val="none" w:sz="0" w:space="0" w:color="auto"/>
        <w:bottom w:val="none" w:sz="0" w:space="0" w:color="auto"/>
        <w:right w:val="none" w:sz="0" w:space="0" w:color="auto"/>
      </w:divBdr>
    </w:div>
    <w:div w:id="860512881">
      <w:bodyDiv w:val="1"/>
      <w:marLeft w:val="0"/>
      <w:marRight w:val="0"/>
      <w:marTop w:val="0"/>
      <w:marBottom w:val="0"/>
      <w:divBdr>
        <w:top w:val="none" w:sz="0" w:space="0" w:color="auto"/>
        <w:left w:val="none" w:sz="0" w:space="0" w:color="auto"/>
        <w:bottom w:val="none" w:sz="0" w:space="0" w:color="auto"/>
        <w:right w:val="none" w:sz="0" w:space="0" w:color="auto"/>
      </w:divBdr>
    </w:div>
    <w:div w:id="865293052">
      <w:bodyDiv w:val="1"/>
      <w:marLeft w:val="0"/>
      <w:marRight w:val="0"/>
      <w:marTop w:val="0"/>
      <w:marBottom w:val="0"/>
      <w:divBdr>
        <w:top w:val="none" w:sz="0" w:space="0" w:color="auto"/>
        <w:left w:val="none" w:sz="0" w:space="0" w:color="auto"/>
        <w:bottom w:val="none" w:sz="0" w:space="0" w:color="auto"/>
        <w:right w:val="none" w:sz="0" w:space="0" w:color="auto"/>
      </w:divBdr>
    </w:div>
    <w:div w:id="875001288">
      <w:bodyDiv w:val="1"/>
      <w:marLeft w:val="0"/>
      <w:marRight w:val="0"/>
      <w:marTop w:val="0"/>
      <w:marBottom w:val="0"/>
      <w:divBdr>
        <w:top w:val="none" w:sz="0" w:space="0" w:color="auto"/>
        <w:left w:val="none" w:sz="0" w:space="0" w:color="auto"/>
        <w:bottom w:val="none" w:sz="0" w:space="0" w:color="auto"/>
        <w:right w:val="none" w:sz="0" w:space="0" w:color="auto"/>
      </w:divBdr>
    </w:div>
    <w:div w:id="877550652">
      <w:bodyDiv w:val="1"/>
      <w:marLeft w:val="0"/>
      <w:marRight w:val="0"/>
      <w:marTop w:val="0"/>
      <w:marBottom w:val="0"/>
      <w:divBdr>
        <w:top w:val="none" w:sz="0" w:space="0" w:color="auto"/>
        <w:left w:val="none" w:sz="0" w:space="0" w:color="auto"/>
        <w:bottom w:val="none" w:sz="0" w:space="0" w:color="auto"/>
        <w:right w:val="none" w:sz="0" w:space="0" w:color="auto"/>
      </w:divBdr>
    </w:div>
    <w:div w:id="886377959">
      <w:bodyDiv w:val="1"/>
      <w:marLeft w:val="0"/>
      <w:marRight w:val="0"/>
      <w:marTop w:val="0"/>
      <w:marBottom w:val="0"/>
      <w:divBdr>
        <w:top w:val="none" w:sz="0" w:space="0" w:color="auto"/>
        <w:left w:val="none" w:sz="0" w:space="0" w:color="auto"/>
        <w:bottom w:val="none" w:sz="0" w:space="0" w:color="auto"/>
        <w:right w:val="none" w:sz="0" w:space="0" w:color="auto"/>
      </w:divBdr>
    </w:div>
    <w:div w:id="894387732">
      <w:bodyDiv w:val="1"/>
      <w:marLeft w:val="0"/>
      <w:marRight w:val="0"/>
      <w:marTop w:val="0"/>
      <w:marBottom w:val="0"/>
      <w:divBdr>
        <w:top w:val="none" w:sz="0" w:space="0" w:color="auto"/>
        <w:left w:val="none" w:sz="0" w:space="0" w:color="auto"/>
        <w:bottom w:val="none" w:sz="0" w:space="0" w:color="auto"/>
        <w:right w:val="none" w:sz="0" w:space="0" w:color="auto"/>
      </w:divBdr>
    </w:div>
    <w:div w:id="898125631">
      <w:bodyDiv w:val="1"/>
      <w:marLeft w:val="0"/>
      <w:marRight w:val="0"/>
      <w:marTop w:val="0"/>
      <w:marBottom w:val="0"/>
      <w:divBdr>
        <w:top w:val="none" w:sz="0" w:space="0" w:color="auto"/>
        <w:left w:val="none" w:sz="0" w:space="0" w:color="auto"/>
        <w:bottom w:val="none" w:sz="0" w:space="0" w:color="auto"/>
        <w:right w:val="none" w:sz="0" w:space="0" w:color="auto"/>
      </w:divBdr>
    </w:div>
    <w:div w:id="898788996">
      <w:bodyDiv w:val="1"/>
      <w:marLeft w:val="0"/>
      <w:marRight w:val="0"/>
      <w:marTop w:val="0"/>
      <w:marBottom w:val="0"/>
      <w:divBdr>
        <w:top w:val="none" w:sz="0" w:space="0" w:color="auto"/>
        <w:left w:val="none" w:sz="0" w:space="0" w:color="auto"/>
        <w:bottom w:val="none" w:sz="0" w:space="0" w:color="auto"/>
        <w:right w:val="none" w:sz="0" w:space="0" w:color="auto"/>
      </w:divBdr>
    </w:div>
    <w:div w:id="902063928">
      <w:bodyDiv w:val="1"/>
      <w:marLeft w:val="0"/>
      <w:marRight w:val="0"/>
      <w:marTop w:val="0"/>
      <w:marBottom w:val="0"/>
      <w:divBdr>
        <w:top w:val="none" w:sz="0" w:space="0" w:color="auto"/>
        <w:left w:val="none" w:sz="0" w:space="0" w:color="auto"/>
        <w:bottom w:val="none" w:sz="0" w:space="0" w:color="auto"/>
        <w:right w:val="none" w:sz="0" w:space="0" w:color="auto"/>
      </w:divBdr>
    </w:div>
    <w:div w:id="933242745">
      <w:bodyDiv w:val="1"/>
      <w:marLeft w:val="0"/>
      <w:marRight w:val="0"/>
      <w:marTop w:val="0"/>
      <w:marBottom w:val="0"/>
      <w:divBdr>
        <w:top w:val="none" w:sz="0" w:space="0" w:color="auto"/>
        <w:left w:val="none" w:sz="0" w:space="0" w:color="auto"/>
        <w:bottom w:val="none" w:sz="0" w:space="0" w:color="auto"/>
        <w:right w:val="none" w:sz="0" w:space="0" w:color="auto"/>
      </w:divBdr>
    </w:div>
    <w:div w:id="938101394">
      <w:bodyDiv w:val="1"/>
      <w:marLeft w:val="0"/>
      <w:marRight w:val="0"/>
      <w:marTop w:val="0"/>
      <w:marBottom w:val="0"/>
      <w:divBdr>
        <w:top w:val="none" w:sz="0" w:space="0" w:color="auto"/>
        <w:left w:val="none" w:sz="0" w:space="0" w:color="auto"/>
        <w:bottom w:val="none" w:sz="0" w:space="0" w:color="auto"/>
        <w:right w:val="none" w:sz="0" w:space="0" w:color="auto"/>
      </w:divBdr>
    </w:div>
    <w:div w:id="941496326">
      <w:bodyDiv w:val="1"/>
      <w:marLeft w:val="0"/>
      <w:marRight w:val="0"/>
      <w:marTop w:val="0"/>
      <w:marBottom w:val="0"/>
      <w:divBdr>
        <w:top w:val="none" w:sz="0" w:space="0" w:color="auto"/>
        <w:left w:val="none" w:sz="0" w:space="0" w:color="auto"/>
        <w:bottom w:val="none" w:sz="0" w:space="0" w:color="auto"/>
        <w:right w:val="none" w:sz="0" w:space="0" w:color="auto"/>
      </w:divBdr>
    </w:div>
    <w:div w:id="947586137">
      <w:bodyDiv w:val="1"/>
      <w:marLeft w:val="0"/>
      <w:marRight w:val="0"/>
      <w:marTop w:val="0"/>
      <w:marBottom w:val="0"/>
      <w:divBdr>
        <w:top w:val="none" w:sz="0" w:space="0" w:color="auto"/>
        <w:left w:val="none" w:sz="0" w:space="0" w:color="auto"/>
        <w:bottom w:val="none" w:sz="0" w:space="0" w:color="auto"/>
        <w:right w:val="none" w:sz="0" w:space="0" w:color="auto"/>
      </w:divBdr>
    </w:div>
    <w:div w:id="950286106">
      <w:bodyDiv w:val="1"/>
      <w:marLeft w:val="0"/>
      <w:marRight w:val="0"/>
      <w:marTop w:val="0"/>
      <w:marBottom w:val="0"/>
      <w:divBdr>
        <w:top w:val="none" w:sz="0" w:space="0" w:color="auto"/>
        <w:left w:val="none" w:sz="0" w:space="0" w:color="auto"/>
        <w:bottom w:val="none" w:sz="0" w:space="0" w:color="auto"/>
        <w:right w:val="none" w:sz="0" w:space="0" w:color="auto"/>
      </w:divBdr>
    </w:div>
    <w:div w:id="961810793">
      <w:bodyDiv w:val="1"/>
      <w:marLeft w:val="0"/>
      <w:marRight w:val="0"/>
      <w:marTop w:val="0"/>
      <w:marBottom w:val="0"/>
      <w:divBdr>
        <w:top w:val="none" w:sz="0" w:space="0" w:color="auto"/>
        <w:left w:val="none" w:sz="0" w:space="0" w:color="auto"/>
        <w:bottom w:val="none" w:sz="0" w:space="0" w:color="auto"/>
        <w:right w:val="none" w:sz="0" w:space="0" w:color="auto"/>
      </w:divBdr>
    </w:div>
    <w:div w:id="983705619">
      <w:bodyDiv w:val="1"/>
      <w:marLeft w:val="0"/>
      <w:marRight w:val="0"/>
      <w:marTop w:val="0"/>
      <w:marBottom w:val="0"/>
      <w:divBdr>
        <w:top w:val="none" w:sz="0" w:space="0" w:color="auto"/>
        <w:left w:val="none" w:sz="0" w:space="0" w:color="auto"/>
        <w:bottom w:val="none" w:sz="0" w:space="0" w:color="auto"/>
        <w:right w:val="none" w:sz="0" w:space="0" w:color="auto"/>
      </w:divBdr>
    </w:div>
    <w:div w:id="984549160">
      <w:bodyDiv w:val="1"/>
      <w:marLeft w:val="0"/>
      <w:marRight w:val="0"/>
      <w:marTop w:val="0"/>
      <w:marBottom w:val="0"/>
      <w:divBdr>
        <w:top w:val="none" w:sz="0" w:space="0" w:color="auto"/>
        <w:left w:val="none" w:sz="0" w:space="0" w:color="auto"/>
        <w:bottom w:val="none" w:sz="0" w:space="0" w:color="auto"/>
        <w:right w:val="none" w:sz="0" w:space="0" w:color="auto"/>
      </w:divBdr>
    </w:div>
    <w:div w:id="985430977">
      <w:bodyDiv w:val="1"/>
      <w:marLeft w:val="0"/>
      <w:marRight w:val="0"/>
      <w:marTop w:val="0"/>
      <w:marBottom w:val="0"/>
      <w:divBdr>
        <w:top w:val="none" w:sz="0" w:space="0" w:color="auto"/>
        <w:left w:val="none" w:sz="0" w:space="0" w:color="auto"/>
        <w:bottom w:val="none" w:sz="0" w:space="0" w:color="auto"/>
        <w:right w:val="none" w:sz="0" w:space="0" w:color="auto"/>
      </w:divBdr>
    </w:div>
    <w:div w:id="993492056">
      <w:bodyDiv w:val="1"/>
      <w:marLeft w:val="0"/>
      <w:marRight w:val="0"/>
      <w:marTop w:val="0"/>
      <w:marBottom w:val="0"/>
      <w:divBdr>
        <w:top w:val="none" w:sz="0" w:space="0" w:color="auto"/>
        <w:left w:val="none" w:sz="0" w:space="0" w:color="auto"/>
        <w:bottom w:val="none" w:sz="0" w:space="0" w:color="auto"/>
        <w:right w:val="none" w:sz="0" w:space="0" w:color="auto"/>
      </w:divBdr>
      <w:divsChild>
        <w:div w:id="276058807">
          <w:marLeft w:val="0"/>
          <w:marRight w:val="0"/>
          <w:marTop w:val="0"/>
          <w:marBottom w:val="0"/>
          <w:divBdr>
            <w:top w:val="none" w:sz="0" w:space="0" w:color="auto"/>
            <w:left w:val="none" w:sz="0" w:space="0" w:color="auto"/>
            <w:bottom w:val="none" w:sz="0" w:space="0" w:color="auto"/>
            <w:right w:val="none" w:sz="0" w:space="0" w:color="auto"/>
          </w:divBdr>
        </w:div>
        <w:div w:id="710808457">
          <w:marLeft w:val="0"/>
          <w:marRight w:val="0"/>
          <w:marTop w:val="0"/>
          <w:marBottom w:val="0"/>
          <w:divBdr>
            <w:top w:val="none" w:sz="0" w:space="0" w:color="auto"/>
            <w:left w:val="none" w:sz="0" w:space="0" w:color="auto"/>
            <w:bottom w:val="none" w:sz="0" w:space="0" w:color="auto"/>
            <w:right w:val="none" w:sz="0" w:space="0" w:color="auto"/>
          </w:divBdr>
        </w:div>
        <w:div w:id="1001927514">
          <w:marLeft w:val="0"/>
          <w:marRight w:val="0"/>
          <w:marTop w:val="0"/>
          <w:marBottom w:val="0"/>
          <w:divBdr>
            <w:top w:val="none" w:sz="0" w:space="0" w:color="auto"/>
            <w:left w:val="none" w:sz="0" w:space="0" w:color="auto"/>
            <w:bottom w:val="none" w:sz="0" w:space="0" w:color="auto"/>
            <w:right w:val="none" w:sz="0" w:space="0" w:color="auto"/>
          </w:divBdr>
        </w:div>
        <w:div w:id="1033338473">
          <w:marLeft w:val="0"/>
          <w:marRight w:val="0"/>
          <w:marTop w:val="0"/>
          <w:marBottom w:val="0"/>
          <w:divBdr>
            <w:top w:val="none" w:sz="0" w:space="0" w:color="auto"/>
            <w:left w:val="none" w:sz="0" w:space="0" w:color="auto"/>
            <w:bottom w:val="none" w:sz="0" w:space="0" w:color="auto"/>
            <w:right w:val="none" w:sz="0" w:space="0" w:color="auto"/>
          </w:divBdr>
        </w:div>
        <w:div w:id="1782601852">
          <w:marLeft w:val="0"/>
          <w:marRight w:val="0"/>
          <w:marTop w:val="0"/>
          <w:marBottom w:val="0"/>
          <w:divBdr>
            <w:top w:val="none" w:sz="0" w:space="0" w:color="auto"/>
            <w:left w:val="none" w:sz="0" w:space="0" w:color="auto"/>
            <w:bottom w:val="none" w:sz="0" w:space="0" w:color="auto"/>
            <w:right w:val="none" w:sz="0" w:space="0" w:color="auto"/>
          </w:divBdr>
        </w:div>
        <w:div w:id="1956323532">
          <w:marLeft w:val="0"/>
          <w:marRight w:val="0"/>
          <w:marTop w:val="0"/>
          <w:marBottom w:val="0"/>
          <w:divBdr>
            <w:top w:val="none" w:sz="0" w:space="0" w:color="auto"/>
            <w:left w:val="none" w:sz="0" w:space="0" w:color="auto"/>
            <w:bottom w:val="none" w:sz="0" w:space="0" w:color="auto"/>
            <w:right w:val="none" w:sz="0" w:space="0" w:color="auto"/>
          </w:divBdr>
        </w:div>
      </w:divsChild>
    </w:div>
    <w:div w:id="995105970">
      <w:bodyDiv w:val="1"/>
      <w:marLeft w:val="0"/>
      <w:marRight w:val="0"/>
      <w:marTop w:val="0"/>
      <w:marBottom w:val="0"/>
      <w:divBdr>
        <w:top w:val="none" w:sz="0" w:space="0" w:color="auto"/>
        <w:left w:val="none" w:sz="0" w:space="0" w:color="auto"/>
        <w:bottom w:val="none" w:sz="0" w:space="0" w:color="auto"/>
        <w:right w:val="none" w:sz="0" w:space="0" w:color="auto"/>
      </w:divBdr>
    </w:div>
    <w:div w:id="995112351">
      <w:bodyDiv w:val="1"/>
      <w:marLeft w:val="0"/>
      <w:marRight w:val="0"/>
      <w:marTop w:val="0"/>
      <w:marBottom w:val="0"/>
      <w:divBdr>
        <w:top w:val="none" w:sz="0" w:space="0" w:color="auto"/>
        <w:left w:val="none" w:sz="0" w:space="0" w:color="auto"/>
        <w:bottom w:val="none" w:sz="0" w:space="0" w:color="auto"/>
        <w:right w:val="none" w:sz="0" w:space="0" w:color="auto"/>
      </w:divBdr>
    </w:div>
    <w:div w:id="995838441">
      <w:bodyDiv w:val="1"/>
      <w:marLeft w:val="0"/>
      <w:marRight w:val="0"/>
      <w:marTop w:val="0"/>
      <w:marBottom w:val="0"/>
      <w:divBdr>
        <w:top w:val="none" w:sz="0" w:space="0" w:color="auto"/>
        <w:left w:val="none" w:sz="0" w:space="0" w:color="auto"/>
        <w:bottom w:val="none" w:sz="0" w:space="0" w:color="auto"/>
        <w:right w:val="none" w:sz="0" w:space="0" w:color="auto"/>
      </w:divBdr>
    </w:div>
    <w:div w:id="1017118972">
      <w:bodyDiv w:val="1"/>
      <w:marLeft w:val="0"/>
      <w:marRight w:val="0"/>
      <w:marTop w:val="0"/>
      <w:marBottom w:val="0"/>
      <w:divBdr>
        <w:top w:val="none" w:sz="0" w:space="0" w:color="auto"/>
        <w:left w:val="none" w:sz="0" w:space="0" w:color="auto"/>
        <w:bottom w:val="none" w:sz="0" w:space="0" w:color="auto"/>
        <w:right w:val="none" w:sz="0" w:space="0" w:color="auto"/>
      </w:divBdr>
    </w:div>
    <w:div w:id="1024094905">
      <w:bodyDiv w:val="1"/>
      <w:marLeft w:val="0"/>
      <w:marRight w:val="0"/>
      <w:marTop w:val="0"/>
      <w:marBottom w:val="0"/>
      <w:divBdr>
        <w:top w:val="none" w:sz="0" w:space="0" w:color="auto"/>
        <w:left w:val="none" w:sz="0" w:space="0" w:color="auto"/>
        <w:bottom w:val="none" w:sz="0" w:space="0" w:color="auto"/>
        <w:right w:val="none" w:sz="0" w:space="0" w:color="auto"/>
      </w:divBdr>
    </w:div>
    <w:div w:id="1027563165">
      <w:bodyDiv w:val="1"/>
      <w:marLeft w:val="0"/>
      <w:marRight w:val="0"/>
      <w:marTop w:val="0"/>
      <w:marBottom w:val="0"/>
      <w:divBdr>
        <w:top w:val="none" w:sz="0" w:space="0" w:color="auto"/>
        <w:left w:val="none" w:sz="0" w:space="0" w:color="auto"/>
        <w:bottom w:val="none" w:sz="0" w:space="0" w:color="auto"/>
        <w:right w:val="none" w:sz="0" w:space="0" w:color="auto"/>
      </w:divBdr>
    </w:div>
    <w:div w:id="1028794743">
      <w:bodyDiv w:val="1"/>
      <w:marLeft w:val="0"/>
      <w:marRight w:val="0"/>
      <w:marTop w:val="0"/>
      <w:marBottom w:val="0"/>
      <w:divBdr>
        <w:top w:val="none" w:sz="0" w:space="0" w:color="auto"/>
        <w:left w:val="none" w:sz="0" w:space="0" w:color="auto"/>
        <w:bottom w:val="none" w:sz="0" w:space="0" w:color="auto"/>
        <w:right w:val="none" w:sz="0" w:space="0" w:color="auto"/>
      </w:divBdr>
    </w:div>
    <w:div w:id="1044015842">
      <w:bodyDiv w:val="1"/>
      <w:marLeft w:val="0"/>
      <w:marRight w:val="0"/>
      <w:marTop w:val="0"/>
      <w:marBottom w:val="0"/>
      <w:divBdr>
        <w:top w:val="none" w:sz="0" w:space="0" w:color="auto"/>
        <w:left w:val="none" w:sz="0" w:space="0" w:color="auto"/>
        <w:bottom w:val="none" w:sz="0" w:space="0" w:color="auto"/>
        <w:right w:val="none" w:sz="0" w:space="0" w:color="auto"/>
      </w:divBdr>
    </w:div>
    <w:div w:id="1056703475">
      <w:bodyDiv w:val="1"/>
      <w:marLeft w:val="0"/>
      <w:marRight w:val="0"/>
      <w:marTop w:val="0"/>
      <w:marBottom w:val="0"/>
      <w:divBdr>
        <w:top w:val="none" w:sz="0" w:space="0" w:color="auto"/>
        <w:left w:val="none" w:sz="0" w:space="0" w:color="auto"/>
        <w:bottom w:val="none" w:sz="0" w:space="0" w:color="auto"/>
        <w:right w:val="none" w:sz="0" w:space="0" w:color="auto"/>
      </w:divBdr>
    </w:div>
    <w:div w:id="1061561107">
      <w:bodyDiv w:val="1"/>
      <w:marLeft w:val="0"/>
      <w:marRight w:val="0"/>
      <w:marTop w:val="0"/>
      <w:marBottom w:val="0"/>
      <w:divBdr>
        <w:top w:val="none" w:sz="0" w:space="0" w:color="auto"/>
        <w:left w:val="none" w:sz="0" w:space="0" w:color="auto"/>
        <w:bottom w:val="none" w:sz="0" w:space="0" w:color="auto"/>
        <w:right w:val="none" w:sz="0" w:space="0" w:color="auto"/>
      </w:divBdr>
    </w:div>
    <w:div w:id="1064793733">
      <w:bodyDiv w:val="1"/>
      <w:marLeft w:val="0"/>
      <w:marRight w:val="0"/>
      <w:marTop w:val="0"/>
      <w:marBottom w:val="0"/>
      <w:divBdr>
        <w:top w:val="none" w:sz="0" w:space="0" w:color="auto"/>
        <w:left w:val="none" w:sz="0" w:space="0" w:color="auto"/>
        <w:bottom w:val="none" w:sz="0" w:space="0" w:color="auto"/>
        <w:right w:val="none" w:sz="0" w:space="0" w:color="auto"/>
      </w:divBdr>
    </w:div>
    <w:div w:id="1066536783">
      <w:bodyDiv w:val="1"/>
      <w:marLeft w:val="0"/>
      <w:marRight w:val="0"/>
      <w:marTop w:val="0"/>
      <w:marBottom w:val="0"/>
      <w:divBdr>
        <w:top w:val="none" w:sz="0" w:space="0" w:color="auto"/>
        <w:left w:val="none" w:sz="0" w:space="0" w:color="auto"/>
        <w:bottom w:val="none" w:sz="0" w:space="0" w:color="auto"/>
        <w:right w:val="none" w:sz="0" w:space="0" w:color="auto"/>
      </w:divBdr>
    </w:div>
    <w:div w:id="1084567999">
      <w:bodyDiv w:val="1"/>
      <w:marLeft w:val="0"/>
      <w:marRight w:val="0"/>
      <w:marTop w:val="0"/>
      <w:marBottom w:val="0"/>
      <w:divBdr>
        <w:top w:val="none" w:sz="0" w:space="0" w:color="auto"/>
        <w:left w:val="none" w:sz="0" w:space="0" w:color="auto"/>
        <w:bottom w:val="none" w:sz="0" w:space="0" w:color="auto"/>
        <w:right w:val="none" w:sz="0" w:space="0" w:color="auto"/>
      </w:divBdr>
    </w:div>
    <w:div w:id="1088886878">
      <w:bodyDiv w:val="1"/>
      <w:marLeft w:val="0"/>
      <w:marRight w:val="0"/>
      <w:marTop w:val="0"/>
      <w:marBottom w:val="0"/>
      <w:divBdr>
        <w:top w:val="none" w:sz="0" w:space="0" w:color="auto"/>
        <w:left w:val="none" w:sz="0" w:space="0" w:color="auto"/>
        <w:bottom w:val="none" w:sz="0" w:space="0" w:color="auto"/>
        <w:right w:val="none" w:sz="0" w:space="0" w:color="auto"/>
      </w:divBdr>
    </w:div>
    <w:div w:id="1090737942">
      <w:bodyDiv w:val="1"/>
      <w:marLeft w:val="0"/>
      <w:marRight w:val="0"/>
      <w:marTop w:val="0"/>
      <w:marBottom w:val="0"/>
      <w:divBdr>
        <w:top w:val="none" w:sz="0" w:space="0" w:color="auto"/>
        <w:left w:val="none" w:sz="0" w:space="0" w:color="auto"/>
        <w:bottom w:val="none" w:sz="0" w:space="0" w:color="auto"/>
        <w:right w:val="none" w:sz="0" w:space="0" w:color="auto"/>
      </w:divBdr>
    </w:div>
    <w:div w:id="1090809072">
      <w:bodyDiv w:val="1"/>
      <w:marLeft w:val="0"/>
      <w:marRight w:val="0"/>
      <w:marTop w:val="0"/>
      <w:marBottom w:val="0"/>
      <w:divBdr>
        <w:top w:val="none" w:sz="0" w:space="0" w:color="auto"/>
        <w:left w:val="none" w:sz="0" w:space="0" w:color="auto"/>
        <w:bottom w:val="none" w:sz="0" w:space="0" w:color="auto"/>
        <w:right w:val="none" w:sz="0" w:space="0" w:color="auto"/>
      </w:divBdr>
    </w:div>
    <w:div w:id="1099180292">
      <w:bodyDiv w:val="1"/>
      <w:marLeft w:val="0"/>
      <w:marRight w:val="0"/>
      <w:marTop w:val="0"/>
      <w:marBottom w:val="0"/>
      <w:divBdr>
        <w:top w:val="none" w:sz="0" w:space="0" w:color="auto"/>
        <w:left w:val="none" w:sz="0" w:space="0" w:color="auto"/>
        <w:bottom w:val="none" w:sz="0" w:space="0" w:color="auto"/>
        <w:right w:val="none" w:sz="0" w:space="0" w:color="auto"/>
      </w:divBdr>
    </w:div>
    <w:div w:id="1111243537">
      <w:bodyDiv w:val="1"/>
      <w:marLeft w:val="0"/>
      <w:marRight w:val="0"/>
      <w:marTop w:val="0"/>
      <w:marBottom w:val="0"/>
      <w:divBdr>
        <w:top w:val="none" w:sz="0" w:space="0" w:color="auto"/>
        <w:left w:val="none" w:sz="0" w:space="0" w:color="auto"/>
        <w:bottom w:val="none" w:sz="0" w:space="0" w:color="auto"/>
        <w:right w:val="none" w:sz="0" w:space="0" w:color="auto"/>
      </w:divBdr>
    </w:div>
    <w:div w:id="1116873254">
      <w:bodyDiv w:val="1"/>
      <w:marLeft w:val="0"/>
      <w:marRight w:val="0"/>
      <w:marTop w:val="0"/>
      <w:marBottom w:val="0"/>
      <w:divBdr>
        <w:top w:val="none" w:sz="0" w:space="0" w:color="auto"/>
        <w:left w:val="none" w:sz="0" w:space="0" w:color="auto"/>
        <w:bottom w:val="none" w:sz="0" w:space="0" w:color="auto"/>
        <w:right w:val="none" w:sz="0" w:space="0" w:color="auto"/>
      </w:divBdr>
    </w:div>
    <w:div w:id="1120808288">
      <w:bodyDiv w:val="1"/>
      <w:marLeft w:val="0"/>
      <w:marRight w:val="0"/>
      <w:marTop w:val="0"/>
      <w:marBottom w:val="0"/>
      <w:divBdr>
        <w:top w:val="none" w:sz="0" w:space="0" w:color="auto"/>
        <w:left w:val="none" w:sz="0" w:space="0" w:color="auto"/>
        <w:bottom w:val="none" w:sz="0" w:space="0" w:color="auto"/>
        <w:right w:val="none" w:sz="0" w:space="0" w:color="auto"/>
      </w:divBdr>
    </w:div>
    <w:div w:id="1133447693">
      <w:bodyDiv w:val="1"/>
      <w:marLeft w:val="0"/>
      <w:marRight w:val="0"/>
      <w:marTop w:val="0"/>
      <w:marBottom w:val="0"/>
      <w:divBdr>
        <w:top w:val="none" w:sz="0" w:space="0" w:color="auto"/>
        <w:left w:val="none" w:sz="0" w:space="0" w:color="auto"/>
        <w:bottom w:val="none" w:sz="0" w:space="0" w:color="auto"/>
        <w:right w:val="none" w:sz="0" w:space="0" w:color="auto"/>
      </w:divBdr>
    </w:div>
    <w:div w:id="1138643506">
      <w:bodyDiv w:val="1"/>
      <w:marLeft w:val="0"/>
      <w:marRight w:val="0"/>
      <w:marTop w:val="0"/>
      <w:marBottom w:val="0"/>
      <w:divBdr>
        <w:top w:val="none" w:sz="0" w:space="0" w:color="auto"/>
        <w:left w:val="none" w:sz="0" w:space="0" w:color="auto"/>
        <w:bottom w:val="none" w:sz="0" w:space="0" w:color="auto"/>
        <w:right w:val="none" w:sz="0" w:space="0" w:color="auto"/>
      </w:divBdr>
    </w:div>
    <w:div w:id="1142040112">
      <w:bodyDiv w:val="1"/>
      <w:marLeft w:val="0"/>
      <w:marRight w:val="0"/>
      <w:marTop w:val="0"/>
      <w:marBottom w:val="0"/>
      <w:divBdr>
        <w:top w:val="none" w:sz="0" w:space="0" w:color="auto"/>
        <w:left w:val="none" w:sz="0" w:space="0" w:color="auto"/>
        <w:bottom w:val="none" w:sz="0" w:space="0" w:color="auto"/>
        <w:right w:val="none" w:sz="0" w:space="0" w:color="auto"/>
      </w:divBdr>
    </w:div>
    <w:div w:id="1145968525">
      <w:bodyDiv w:val="1"/>
      <w:marLeft w:val="0"/>
      <w:marRight w:val="0"/>
      <w:marTop w:val="0"/>
      <w:marBottom w:val="0"/>
      <w:divBdr>
        <w:top w:val="none" w:sz="0" w:space="0" w:color="auto"/>
        <w:left w:val="none" w:sz="0" w:space="0" w:color="auto"/>
        <w:bottom w:val="none" w:sz="0" w:space="0" w:color="auto"/>
        <w:right w:val="none" w:sz="0" w:space="0" w:color="auto"/>
      </w:divBdr>
    </w:div>
    <w:div w:id="1146699127">
      <w:bodyDiv w:val="1"/>
      <w:marLeft w:val="0"/>
      <w:marRight w:val="0"/>
      <w:marTop w:val="0"/>
      <w:marBottom w:val="0"/>
      <w:divBdr>
        <w:top w:val="none" w:sz="0" w:space="0" w:color="auto"/>
        <w:left w:val="none" w:sz="0" w:space="0" w:color="auto"/>
        <w:bottom w:val="none" w:sz="0" w:space="0" w:color="auto"/>
        <w:right w:val="none" w:sz="0" w:space="0" w:color="auto"/>
      </w:divBdr>
    </w:div>
    <w:div w:id="1152481541">
      <w:bodyDiv w:val="1"/>
      <w:marLeft w:val="0"/>
      <w:marRight w:val="0"/>
      <w:marTop w:val="0"/>
      <w:marBottom w:val="0"/>
      <w:divBdr>
        <w:top w:val="none" w:sz="0" w:space="0" w:color="auto"/>
        <w:left w:val="none" w:sz="0" w:space="0" w:color="auto"/>
        <w:bottom w:val="none" w:sz="0" w:space="0" w:color="auto"/>
        <w:right w:val="none" w:sz="0" w:space="0" w:color="auto"/>
      </w:divBdr>
    </w:div>
    <w:div w:id="1158769489">
      <w:bodyDiv w:val="1"/>
      <w:marLeft w:val="0"/>
      <w:marRight w:val="0"/>
      <w:marTop w:val="0"/>
      <w:marBottom w:val="0"/>
      <w:divBdr>
        <w:top w:val="none" w:sz="0" w:space="0" w:color="auto"/>
        <w:left w:val="none" w:sz="0" w:space="0" w:color="auto"/>
        <w:bottom w:val="none" w:sz="0" w:space="0" w:color="auto"/>
        <w:right w:val="none" w:sz="0" w:space="0" w:color="auto"/>
      </w:divBdr>
    </w:div>
    <w:div w:id="1162743378">
      <w:bodyDiv w:val="1"/>
      <w:marLeft w:val="0"/>
      <w:marRight w:val="0"/>
      <w:marTop w:val="0"/>
      <w:marBottom w:val="0"/>
      <w:divBdr>
        <w:top w:val="none" w:sz="0" w:space="0" w:color="auto"/>
        <w:left w:val="none" w:sz="0" w:space="0" w:color="auto"/>
        <w:bottom w:val="none" w:sz="0" w:space="0" w:color="auto"/>
        <w:right w:val="none" w:sz="0" w:space="0" w:color="auto"/>
      </w:divBdr>
    </w:div>
    <w:div w:id="1163400400">
      <w:bodyDiv w:val="1"/>
      <w:marLeft w:val="0"/>
      <w:marRight w:val="0"/>
      <w:marTop w:val="0"/>
      <w:marBottom w:val="0"/>
      <w:divBdr>
        <w:top w:val="none" w:sz="0" w:space="0" w:color="auto"/>
        <w:left w:val="none" w:sz="0" w:space="0" w:color="auto"/>
        <w:bottom w:val="none" w:sz="0" w:space="0" w:color="auto"/>
        <w:right w:val="none" w:sz="0" w:space="0" w:color="auto"/>
      </w:divBdr>
    </w:div>
    <w:div w:id="1173913104">
      <w:bodyDiv w:val="1"/>
      <w:marLeft w:val="0"/>
      <w:marRight w:val="0"/>
      <w:marTop w:val="0"/>
      <w:marBottom w:val="0"/>
      <w:divBdr>
        <w:top w:val="none" w:sz="0" w:space="0" w:color="auto"/>
        <w:left w:val="none" w:sz="0" w:space="0" w:color="auto"/>
        <w:bottom w:val="none" w:sz="0" w:space="0" w:color="auto"/>
        <w:right w:val="none" w:sz="0" w:space="0" w:color="auto"/>
      </w:divBdr>
    </w:div>
    <w:div w:id="1174758542">
      <w:bodyDiv w:val="1"/>
      <w:marLeft w:val="0"/>
      <w:marRight w:val="0"/>
      <w:marTop w:val="0"/>
      <w:marBottom w:val="0"/>
      <w:divBdr>
        <w:top w:val="none" w:sz="0" w:space="0" w:color="auto"/>
        <w:left w:val="none" w:sz="0" w:space="0" w:color="auto"/>
        <w:bottom w:val="none" w:sz="0" w:space="0" w:color="auto"/>
        <w:right w:val="none" w:sz="0" w:space="0" w:color="auto"/>
      </w:divBdr>
      <w:divsChild>
        <w:div w:id="1368916612">
          <w:marLeft w:val="0"/>
          <w:marRight w:val="0"/>
          <w:marTop w:val="0"/>
          <w:marBottom w:val="0"/>
          <w:divBdr>
            <w:top w:val="none" w:sz="0" w:space="0" w:color="auto"/>
            <w:left w:val="none" w:sz="0" w:space="0" w:color="auto"/>
            <w:bottom w:val="none" w:sz="0" w:space="0" w:color="auto"/>
            <w:right w:val="none" w:sz="0" w:space="0" w:color="auto"/>
          </w:divBdr>
        </w:div>
      </w:divsChild>
    </w:div>
    <w:div w:id="1176118067">
      <w:bodyDiv w:val="1"/>
      <w:marLeft w:val="0"/>
      <w:marRight w:val="0"/>
      <w:marTop w:val="0"/>
      <w:marBottom w:val="0"/>
      <w:divBdr>
        <w:top w:val="none" w:sz="0" w:space="0" w:color="auto"/>
        <w:left w:val="none" w:sz="0" w:space="0" w:color="auto"/>
        <w:bottom w:val="none" w:sz="0" w:space="0" w:color="auto"/>
        <w:right w:val="none" w:sz="0" w:space="0" w:color="auto"/>
      </w:divBdr>
    </w:div>
    <w:div w:id="1176454937">
      <w:bodyDiv w:val="1"/>
      <w:marLeft w:val="0"/>
      <w:marRight w:val="0"/>
      <w:marTop w:val="0"/>
      <w:marBottom w:val="0"/>
      <w:divBdr>
        <w:top w:val="none" w:sz="0" w:space="0" w:color="auto"/>
        <w:left w:val="none" w:sz="0" w:space="0" w:color="auto"/>
        <w:bottom w:val="none" w:sz="0" w:space="0" w:color="auto"/>
        <w:right w:val="none" w:sz="0" w:space="0" w:color="auto"/>
      </w:divBdr>
    </w:div>
    <w:div w:id="1176840989">
      <w:bodyDiv w:val="1"/>
      <w:marLeft w:val="0"/>
      <w:marRight w:val="0"/>
      <w:marTop w:val="0"/>
      <w:marBottom w:val="0"/>
      <w:divBdr>
        <w:top w:val="none" w:sz="0" w:space="0" w:color="auto"/>
        <w:left w:val="none" w:sz="0" w:space="0" w:color="auto"/>
        <w:bottom w:val="none" w:sz="0" w:space="0" w:color="auto"/>
        <w:right w:val="none" w:sz="0" w:space="0" w:color="auto"/>
      </w:divBdr>
    </w:div>
    <w:div w:id="1182739747">
      <w:bodyDiv w:val="1"/>
      <w:marLeft w:val="0"/>
      <w:marRight w:val="0"/>
      <w:marTop w:val="0"/>
      <w:marBottom w:val="0"/>
      <w:divBdr>
        <w:top w:val="none" w:sz="0" w:space="0" w:color="auto"/>
        <w:left w:val="none" w:sz="0" w:space="0" w:color="auto"/>
        <w:bottom w:val="none" w:sz="0" w:space="0" w:color="auto"/>
        <w:right w:val="none" w:sz="0" w:space="0" w:color="auto"/>
      </w:divBdr>
    </w:div>
    <w:div w:id="1184127923">
      <w:bodyDiv w:val="1"/>
      <w:marLeft w:val="0"/>
      <w:marRight w:val="0"/>
      <w:marTop w:val="0"/>
      <w:marBottom w:val="0"/>
      <w:divBdr>
        <w:top w:val="none" w:sz="0" w:space="0" w:color="auto"/>
        <w:left w:val="none" w:sz="0" w:space="0" w:color="auto"/>
        <w:bottom w:val="none" w:sz="0" w:space="0" w:color="auto"/>
        <w:right w:val="none" w:sz="0" w:space="0" w:color="auto"/>
      </w:divBdr>
    </w:div>
    <w:div w:id="1189369758">
      <w:bodyDiv w:val="1"/>
      <w:marLeft w:val="0"/>
      <w:marRight w:val="0"/>
      <w:marTop w:val="0"/>
      <w:marBottom w:val="0"/>
      <w:divBdr>
        <w:top w:val="none" w:sz="0" w:space="0" w:color="auto"/>
        <w:left w:val="none" w:sz="0" w:space="0" w:color="auto"/>
        <w:bottom w:val="none" w:sz="0" w:space="0" w:color="auto"/>
        <w:right w:val="none" w:sz="0" w:space="0" w:color="auto"/>
      </w:divBdr>
    </w:div>
    <w:div w:id="1191797153">
      <w:bodyDiv w:val="1"/>
      <w:marLeft w:val="0"/>
      <w:marRight w:val="0"/>
      <w:marTop w:val="0"/>
      <w:marBottom w:val="0"/>
      <w:divBdr>
        <w:top w:val="none" w:sz="0" w:space="0" w:color="auto"/>
        <w:left w:val="none" w:sz="0" w:space="0" w:color="auto"/>
        <w:bottom w:val="none" w:sz="0" w:space="0" w:color="auto"/>
        <w:right w:val="none" w:sz="0" w:space="0" w:color="auto"/>
      </w:divBdr>
    </w:div>
    <w:div w:id="1211766078">
      <w:bodyDiv w:val="1"/>
      <w:marLeft w:val="0"/>
      <w:marRight w:val="0"/>
      <w:marTop w:val="0"/>
      <w:marBottom w:val="0"/>
      <w:divBdr>
        <w:top w:val="none" w:sz="0" w:space="0" w:color="auto"/>
        <w:left w:val="none" w:sz="0" w:space="0" w:color="auto"/>
        <w:bottom w:val="none" w:sz="0" w:space="0" w:color="auto"/>
        <w:right w:val="none" w:sz="0" w:space="0" w:color="auto"/>
      </w:divBdr>
    </w:div>
    <w:div w:id="1232039973">
      <w:bodyDiv w:val="1"/>
      <w:marLeft w:val="0"/>
      <w:marRight w:val="0"/>
      <w:marTop w:val="0"/>
      <w:marBottom w:val="0"/>
      <w:divBdr>
        <w:top w:val="none" w:sz="0" w:space="0" w:color="auto"/>
        <w:left w:val="none" w:sz="0" w:space="0" w:color="auto"/>
        <w:bottom w:val="none" w:sz="0" w:space="0" w:color="auto"/>
        <w:right w:val="none" w:sz="0" w:space="0" w:color="auto"/>
      </w:divBdr>
    </w:div>
    <w:div w:id="1232083748">
      <w:bodyDiv w:val="1"/>
      <w:marLeft w:val="0"/>
      <w:marRight w:val="0"/>
      <w:marTop w:val="0"/>
      <w:marBottom w:val="0"/>
      <w:divBdr>
        <w:top w:val="none" w:sz="0" w:space="0" w:color="auto"/>
        <w:left w:val="none" w:sz="0" w:space="0" w:color="auto"/>
        <w:bottom w:val="none" w:sz="0" w:space="0" w:color="auto"/>
        <w:right w:val="none" w:sz="0" w:space="0" w:color="auto"/>
      </w:divBdr>
    </w:div>
    <w:div w:id="1232958026">
      <w:bodyDiv w:val="1"/>
      <w:marLeft w:val="0"/>
      <w:marRight w:val="0"/>
      <w:marTop w:val="0"/>
      <w:marBottom w:val="0"/>
      <w:divBdr>
        <w:top w:val="none" w:sz="0" w:space="0" w:color="auto"/>
        <w:left w:val="none" w:sz="0" w:space="0" w:color="auto"/>
        <w:bottom w:val="none" w:sz="0" w:space="0" w:color="auto"/>
        <w:right w:val="none" w:sz="0" w:space="0" w:color="auto"/>
      </w:divBdr>
    </w:div>
    <w:div w:id="1237327763">
      <w:bodyDiv w:val="1"/>
      <w:marLeft w:val="0"/>
      <w:marRight w:val="0"/>
      <w:marTop w:val="0"/>
      <w:marBottom w:val="0"/>
      <w:divBdr>
        <w:top w:val="none" w:sz="0" w:space="0" w:color="auto"/>
        <w:left w:val="none" w:sz="0" w:space="0" w:color="auto"/>
        <w:bottom w:val="none" w:sz="0" w:space="0" w:color="auto"/>
        <w:right w:val="none" w:sz="0" w:space="0" w:color="auto"/>
      </w:divBdr>
    </w:div>
    <w:div w:id="1239362323">
      <w:bodyDiv w:val="1"/>
      <w:marLeft w:val="0"/>
      <w:marRight w:val="0"/>
      <w:marTop w:val="0"/>
      <w:marBottom w:val="0"/>
      <w:divBdr>
        <w:top w:val="none" w:sz="0" w:space="0" w:color="auto"/>
        <w:left w:val="none" w:sz="0" w:space="0" w:color="auto"/>
        <w:bottom w:val="none" w:sz="0" w:space="0" w:color="auto"/>
        <w:right w:val="none" w:sz="0" w:space="0" w:color="auto"/>
      </w:divBdr>
    </w:div>
    <w:div w:id="1241018317">
      <w:bodyDiv w:val="1"/>
      <w:marLeft w:val="0"/>
      <w:marRight w:val="0"/>
      <w:marTop w:val="0"/>
      <w:marBottom w:val="0"/>
      <w:divBdr>
        <w:top w:val="none" w:sz="0" w:space="0" w:color="auto"/>
        <w:left w:val="none" w:sz="0" w:space="0" w:color="auto"/>
        <w:bottom w:val="none" w:sz="0" w:space="0" w:color="auto"/>
        <w:right w:val="none" w:sz="0" w:space="0" w:color="auto"/>
      </w:divBdr>
    </w:div>
    <w:div w:id="1241871427">
      <w:bodyDiv w:val="1"/>
      <w:marLeft w:val="0"/>
      <w:marRight w:val="0"/>
      <w:marTop w:val="0"/>
      <w:marBottom w:val="0"/>
      <w:divBdr>
        <w:top w:val="none" w:sz="0" w:space="0" w:color="auto"/>
        <w:left w:val="none" w:sz="0" w:space="0" w:color="auto"/>
        <w:bottom w:val="none" w:sz="0" w:space="0" w:color="auto"/>
        <w:right w:val="none" w:sz="0" w:space="0" w:color="auto"/>
      </w:divBdr>
    </w:div>
    <w:div w:id="1248617201">
      <w:bodyDiv w:val="1"/>
      <w:marLeft w:val="0"/>
      <w:marRight w:val="0"/>
      <w:marTop w:val="0"/>
      <w:marBottom w:val="0"/>
      <w:divBdr>
        <w:top w:val="none" w:sz="0" w:space="0" w:color="auto"/>
        <w:left w:val="none" w:sz="0" w:space="0" w:color="auto"/>
        <w:bottom w:val="none" w:sz="0" w:space="0" w:color="auto"/>
        <w:right w:val="none" w:sz="0" w:space="0" w:color="auto"/>
      </w:divBdr>
    </w:div>
    <w:div w:id="1251426930">
      <w:bodyDiv w:val="1"/>
      <w:marLeft w:val="0"/>
      <w:marRight w:val="0"/>
      <w:marTop w:val="0"/>
      <w:marBottom w:val="0"/>
      <w:divBdr>
        <w:top w:val="none" w:sz="0" w:space="0" w:color="auto"/>
        <w:left w:val="none" w:sz="0" w:space="0" w:color="auto"/>
        <w:bottom w:val="none" w:sz="0" w:space="0" w:color="auto"/>
        <w:right w:val="none" w:sz="0" w:space="0" w:color="auto"/>
      </w:divBdr>
    </w:div>
    <w:div w:id="1260914540">
      <w:bodyDiv w:val="1"/>
      <w:marLeft w:val="0"/>
      <w:marRight w:val="0"/>
      <w:marTop w:val="0"/>
      <w:marBottom w:val="0"/>
      <w:divBdr>
        <w:top w:val="none" w:sz="0" w:space="0" w:color="auto"/>
        <w:left w:val="none" w:sz="0" w:space="0" w:color="auto"/>
        <w:bottom w:val="none" w:sz="0" w:space="0" w:color="auto"/>
        <w:right w:val="none" w:sz="0" w:space="0" w:color="auto"/>
      </w:divBdr>
    </w:div>
    <w:div w:id="1264723536">
      <w:bodyDiv w:val="1"/>
      <w:marLeft w:val="0"/>
      <w:marRight w:val="0"/>
      <w:marTop w:val="0"/>
      <w:marBottom w:val="0"/>
      <w:divBdr>
        <w:top w:val="none" w:sz="0" w:space="0" w:color="auto"/>
        <w:left w:val="none" w:sz="0" w:space="0" w:color="auto"/>
        <w:bottom w:val="none" w:sz="0" w:space="0" w:color="auto"/>
        <w:right w:val="none" w:sz="0" w:space="0" w:color="auto"/>
      </w:divBdr>
    </w:div>
    <w:div w:id="1266303230">
      <w:bodyDiv w:val="1"/>
      <w:marLeft w:val="0"/>
      <w:marRight w:val="0"/>
      <w:marTop w:val="0"/>
      <w:marBottom w:val="0"/>
      <w:divBdr>
        <w:top w:val="none" w:sz="0" w:space="0" w:color="auto"/>
        <w:left w:val="none" w:sz="0" w:space="0" w:color="auto"/>
        <w:bottom w:val="none" w:sz="0" w:space="0" w:color="auto"/>
        <w:right w:val="none" w:sz="0" w:space="0" w:color="auto"/>
      </w:divBdr>
    </w:div>
    <w:div w:id="1267151146">
      <w:bodyDiv w:val="1"/>
      <w:marLeft w:val="0"/>
      <w:marRight w:val="0"/>
      <w:marTop w:val="0"/>
      <w:marBottom w:val="0"/>
      <w:divBdr>
        <w:top w:val="none" w:sz="0" w:space="0" w:color="auto"/>
        <w:left w:val="none" w:sz="0" w:space="0" w:color="auto"/>
        <w:bottom w:val="none" w:sz="0" w:space="0" w:color="auto"/>
        <w:right w:val="none" w:sz="0" w:space="0" w:color="auto"/>
      </w:divBdr>
    </w:div>
    <w:div w:id="1274174060">
      <w:bodyDiv w:val="1"/>
      <w:marLeft w:val="0"/>
      <w:marRight w:val="0"/>
      <w:marTop w:val="0"/>
      <w:marBottom w:val="0"/>
      <w:divBdr>
        <w:top w:val="none" w:sz="0" w:space="0" w:color="auto"/>
        <w:left w:val="none" w:sz="0" w:space="0" w:color="auto"/>
        <w:bottom w:val="none" w:sz="0" w:space="0" w:color="auto"/>
        <w:right w:val="none" w:sz="0" w:space="0" w:color="auto"/>
      </w:divBdr>
    </w:div>
    <w:div w:id="1283808353">
      <w:bodyDiv w:val="1"/>
      <w:marLeft w:val="0"/>
      <w:marRight w:val="0"/>
      <w:marTop w:val="0"/>
      <w:marBottom w:val="0"/>
      <w:divBdr>
        <w:top w:val="none" w:sz="0" w:space="0" w:color="auto"/>
        <w:left w:val="none" w:sz="0" w:space="0" w:color="auto"/>
        <w:bottom w:val="none" w:sz="0" w:space="0" w:color="auto"/>
        <w:right w:val="none" w:sz="0" w:space="0" w:color="auto"/>
      </w:divBdr>
    </w:div>
    <w:div w:id="1290550525">
      <w:bodyDiv w:val="1"/>
      <w:marLeft w:val="0"/>
      <w:marRight w:val="0"/>
      <w:marTop w:val="0"/>
      <w:marBottom w:val="0"/>
      <w:divBdr>
        <w:top w:val="none" w:sz="0" w:space="0" w:color="auto"/>
        <w:left w:val="none" w:sz="0" w:space="0" w:color="auto"/>
        <w:bottom w:val="none" w:sz="0" w:space="0" w:color="auto"/>
        <w:right w:val="none" w:sz="0" w:space="0" w:color="auto"/>
      </w:divBdr>
    </w:div>
    <w:div w:id="1302540743">
      <w:bodyDiv w:val="1"/>
      <w:marLeft w:val="0"/>
      <w:marRight w:val="0"/>
      <w:marTop w:val="0"/>
      <w:marBottom w:val="0"/>
      <w:divBdr>
        <w:top w:val="none" w:sz="0" w:space="0" w:color="auto"/>
        <w:left w:val="none" w:sz="0" w:space="0" w:color="auto"/>
        <w:bottom w:val="none" w:sz="0" w:space="0" w:color="auto"/>
        <w:right w:val="none" w:sz="0" w:space="0" w:color="auto"/>
      </w:divBdr>
    </w:div>
    <w:div w:id="1302610611">
      <w:bodyDiv w:val="1"/>
      <w:marLeft w:val="0"/>
      <w:marRight w:val="0"/>
      <w:marTop w:val="0"/>
      <w:marBottom w:val="0"/>
      <w:divBdr>
        <w:top w:val="none" w:sz="0" w:space="0" w:color="auto"/>
        <w:left w:val="none" w:sz="0" w:space="0" w:color="auto"/>
        <w:bottom w:val="none" w:sz="0" w:space="0" w:color="auto"/>
        <w:right w:val="none" w:sz="0" w:space="0" w:color="auto"/>
      </w:divBdr>
    </w:div>
    <w:div w:id="1310330825">
      <w:bodyDiv w:val="1"/>
      <w:marLeft w:val="0"/>
      <w:marRight w:val="0"/>
      <w:marTop w:val="0"/>
      <w:marBottom w:val="0"/>
      <w:divBdr>
        <w:top w:val="none" w:sz="0" w:space="0" w:color="auto"/>
        <w:left w:val="none" w:sz="0" w:space="0" w:color="auto"/>
        <w:bottom w:val="none" w:sz="0" w:space="0" w:color="auto"/>
        <w:right w:val="none" w:sz="0" w:space="0" w:color="auto"/>
      </w:divBdr>
      <w:divsChild>
        <w:div w:id="18357019">
          <w:marLeft w:val="0"/>
          <w:marRight w:val="0"/>
          <w:marTop w:val="0"/>
          <w:marBottom w:val="0"/>
          <w:divBdr>
            <w:top w:val="none" w:sz="0" w:space="0" w:color="auto"/>
            <w:left w:val="none" w:sz="0" w:space="0" w:color="auto"/>
            <w:bottom w:val="none" w:sz="0" w:space="0" w:color="auto"/>
            <w:right w:val="none" w:sz="0" w:space="0" w:color="auto"/>
          </w:divBdr>
        </w:div>
        <w:div w:id="24521599">
          <w:marLeft w:val="0"/>
          <w:marRight w:val="0"/>
          <w:marTop w:val="0"/>
          <w:marBottom w:val="0"/>
          <w:divBdr>
            <w:top w:val="none" w:sz="0" w:space="0" w:color="auto"/>
            <w:left w:val="none" w:sz="0" w:space="0" w:color="auto"/>
            <w:bottom w:val="none" w:sz="0" w:space="0" w:color="auto"/>
            <w:right w:val="none" w:sz="0" w:space="0" w:color="auto"/>
          </w:divBdr>
        </w:div>
        <w:div w:id="161774849">
          <w:marLeft w:val="0"/>
          <w:marRight w:val="0"/>
          <w:marTop w:val="0"/>
          <w:marBottom w:val="0"/>
          <w:divBdr>
            <w:top w:val="none" w:sz="0" w:space="0" w:color="auto"/>
            <w:left w:val="none" w:sz="0" w:space="0" w:color="auto"/>
            <w:bottom w:val="none" w:sz="0" w:space="0" w:color="auto"/>
            <w:right w:val="none" w:sz="0" w:space="0" w:color="auto"/>
          </w:divBdr>
        </w:div>
        <w:div w:id="350227937">
          <w:marLeft w:val="0"/>
          <w:marRight w:val="0"/>
          <w:marTop w:val="0"/>
          <w:marBottom w:val="0"/>
          <w:divBdr>
            <w:top w:val="none" w:sz="0" w:space="0" w:color="auto"/>
            <w:left w:val="none" w:sz="0" w:space="0" w:color="auto"/>
            <w:bottom w:val="none" w:sz="0" w:space="0" w:color="auto"/>
            <w:right w:val="none" w:sz="0" w:space="0" w:color="auto"/>
          </w:divBdr>
        </w:div>
        <w:div w:id="648361862">
          <w:marLeft w:val="0"/>
          <w:marRight w:val="0"/>
          <w:marTop w:val="0"/>
          <w:marBottom w:val="0"/>
          <w:divBdr>
            <w:top w:val="none" w:sz="0" w:space="0" w:color="auto"/>
            <w:left w:val="none" w:sz="0" w:space="0" w:color="auto"/>
            <w:bottom w:val="none" w:sz="0" w:space="0" w:color="auto"/>
            <w:right w:val="none" w:sz="0" w:space="0" w:color="auto"/>
          </w:divBdr>
        </w:div>
        <w:div w:id="838807584">
          <w:marLeft w:val="0"/>
          <w:marRight w:val="0"/>
          <w:marTop w:val="0"/>
          <w:marBottom w:val="0"/>
          <w:divBdr>
            <w:top w:val="none" w:sz="0" w:space="0" w:color="auto"/>
            <w:left w:val="none" w:sz="0" w:space="0" w:color="auto"/>
            <w:bottom w:val="none" w:sz="0" w:space="0" w:color="auto"/>
            <w:right w:val="none" w:sz="0" w:space="0" w:color="auto"/>
          </w:divBdr>
        </w:div>
        <w:div w:id="979576885">
          <w:marLeft w:val="0"/>
          <w:marRight w:val="0"/>
          <w:marTop w:val="0"/>
          <w:marBottom w:val="0"/>
          <w:divBdr>
            <w:top w:val="none" w:sz="0" w:space="0" w:color="auto"/>
            <w:left w:val="none" w:sz="0" w:space="0" w:color="auto"/>
            <w:bottom w:val="none" w:sz="0" w:space="0" w:color="auto"/>
            <w:right w:val="none" w:sz="0" w:space="0" w:color="auto"/>
          </w:divBdr>
        </w:div>
        <w:div w:id="1198394435">
          <w:marLeft w:val="0"/>
          <w:marRight w:val="0"/>
          <w:marTop w:val="0"/>
          <w:marBottom w:val="0"/>
          <w:divBdr>
            <w:top w:val="none" w:sz="0" w:space="0" w:color="auto"/>
            <w:left w:val="none" w:sz="0" w:space="0" w:color="auto"/>
            <w:bottom w:val="none" w:sz="0" w:space="0" w:color="auto"/>
            <w:right w:val="none" w:sz="0" w:space="0" w:color="auto"/>
          </w:divBdr>
        </w:div>
        <w:div w:id="1205482512">
          <w:marLeft w:val="0"/>
          <w:marRight w:val="0"/>
          <w:marTop w:val="0"/>
          <w:marBottom w:val="0"/>
          <w:divBdr>
            <w:top w:val="none" w:sz="0" w:space="0" w:color="auto"/>
            <w:left w:val="none" w:sz="0" w:space="0" w:color="auto"/>
            <w:bottom w:val="none" w:sz="0" w:space="0" w:color="auto"/>
            <w:right w:val="none" w:sz="0" w:space="0" w:color="auto"/>
          </w:divBdr>
        </w:div>
        <w:div w:id="1320428984">
          <w:marLeft w:val="0"/>
          <w:marRight w:val="0"/>
          <w:marTop w:val="0"/>
          <w:marBottom w:val="0"/>
          <w:divBdr>
            <w:top w:val="none" w:sz="0" w:space="0" w:color="auto"/>
            <w:left w:val="none" w:sz="0" w:space="0" w:color="auto"/>
            <w:bottom w:val="none" w:sz="0" w:space="0" w:color="auto"/>
            <w:right w:val="none" w:sz="0" w:space="0" w:color="auto"/>
          </w:divBdr>
        </w:div>
        <w:div w:id="1328553384">
          <w:marLeft w:val="0"/>
          <w:marRight w:val="0"/>
          <w:marTop w:val="0"/>
          <w:marBottom w:val="0"/>
          <w:divBdr>
            <w:top w:val="none" w:sz="0" w:space="0" w:color="auto"/>
            <w:left w:val="none" w:sz="0" w:space="0" w:color="auto"/>
            <w:bottom w:val="none" w:sz="0" w:space="0" w:color="auto"/>
            <w:right w:val="none" w:sz="0" w:space="0" w:color="auto"/>
          </w:divBdr>
        </w:div>
        <w:div w:id="1430467079">
          <w:marLeft w:val="0"/>
          <w:marRight w:val="0"/>
          <w:marTop w:val="0"/>
          <w:marBottom w:val="0"/>
          <w:divBdr>
            <w:top w:val="none" w:sz="0" w:space="0" w:color="auto"/>
            <w:left w:val="none" w:sz="0" w:space="0" w:color="auto"/>
            <w:bottom w:val="none" w:sz="0" w:space="0" w:color="auto"/>
            <w:right w:val="none" w:sz="0" w:space="0" w:color="auto"/>
          </w:divBdr>
        </w:div>
        <w:div w:id="1519811350">
          <w:marLeft w:val="0"/>
          <w:marRight w:val="0"/>
          <w:marTop w:val="0"/>
          <w:marBottom w:val="0"/>
          <w:divBdr>
            <w:top w:val="none" w:sz="0" w:space="0" w:color="auto"/>
            <w:left w:val="none" w:sz="0" w:space="0" w:color="auto"/>
            <w:bottom w:val="none" w:sz="0" w:space="0" w:color="auto"/>
            <w:right w:val="none" w:sz="0" w:space="0" w:color="auto"/>
          </w:divBdr>
        </w:div>
        <w:div w:id="1652251364">
          <w:marLeft w:val="0"/>
          <w:marRight w:val="0"/>
          <w:marTop w:val="0"/>
          <w:marBottom w:val="0"/>
          <w:divBdr>
            <w:top w:val="none" w:sz="0" w:space="0" w:color="auto"/>
            <w:left w:val="none" w:sz="0" w:space="0" w:color="auto"/>
            <w:bottom w:val="none" w:sz="0" w:space="0" w:color="auto"/>
            <w:right w:val="none" w:sz="0" w:space="0" w:color="auto"/>
          </w:divBdr>
        </w:div>
        <w:div w:id="1673416165">
          <w:marLeft w:val="0"/>
          <w:marRight w:val="0"/>
          <w:marTop w:val="0"/>
          <w:marBottom w:val="0"/>
          <w:divBdr>
            <w:top w:val="none" w:sz="0" w:space="0" w:color="auto"/>
            <w:left w:val="none" w:sz="0" w:space="0" w:color="auto"/>
            <w:bottom w:val="none" w:sz="0" w:space="0" w:color="auto"/>
            <w:right w:val="none" w:sz="0" w:space="0" w:color="auto"/>
          </w:divBdr>
        </w:div>
        <w:div w:id="1677419943">
          <w:marLeft w:val="0"/>
          <w:marRight w:val="0"/>
          <w:marTop w:val="0"/>
          <w:marBottom w:val="0"/>
          <w:divBdr>
            <w:top w:val="none" w:sz="0" w:space="0" w:color="auto"/>
            <w:left w:val="none" w:sz="0" w:space="0" w:color="auto"/>
            <w:bottom w:val="none" w:sz="0" w:space="0" w:color="auto"/>
            <w:right w:val="none" w:sz="0" w:space="0" w:color="auto"/>
          </w:divBdr>
        </w:div>
        <w:div w:id="1832476929">
          <w:marLeft w:val="0"/>
          <w:marRight w:val="0"/>
          <w:marTop w:val="0"/>
          <w:marBottom w:val="0"/>
          <w:divBdr>
            <w:top w:val="none" w:sz="0" w:space="0" w:color="auto"/>
            <w:left w:val="none" w:sz="0" w:space="0" w:color="auto"/>
            <w:bottom w:val="none" w:sz="0" w:space="0" w:color="auto"/>
            <w:right w:val="none" w:sz="0" w:space="0" w:color="auto"/>
          </w:divBdr>
        </w:div>
        <w:div w:id="2013993995">
          <w:marLeft w:val="0"/>
          <w:marRight w:val="0"/>
          <w:marTop w:val="0"/>
          <w:marBottom w:val="0"/>
          <w:divBdr>
            <w:top w:val="none" w:sz="0" w:space="0" w:color="auto"/>
            <w:left w:val="none" w:sz="0" w:space="0" w:color="auto"/>
            <w:bottom w:val="none" w:sz="0" w:space="0" w:color="auto"/>
            <w:right w:val="none" w:sz="0" w:space="0" w:color="auto"/>
          </w:divBdr>
        </w:div>
        <w:div w:id="2105030358">
          <w:marLeft w:val="0"/>
          <w:marRight w:val="0"/>
          <w:marTop w:val="0"/>
          <w:marBottom w:val="0"/>
          <w:divBdr>
            <w:top w:val="none" w:sz="0" w:space="0" w:color="auto"/>
            <w:left w:val="none" w:sz="0" w:space="0" w:color="auto"/>
            <w:bottom w:val="none" w:sz="0" w:space="0" w:color="auto"/>
            <w:right w:val="none" w:sz="0" w:space="0" w:color="auto"/>
          </w:divBdr>
        </w:div>
      </w:divsChild>
    </w:div>
    <w:div w:id="1325817095">
      <w:bodyDiv w:val="1"/>
      <w:marLeft w:val="0"/>
      <w:marRight w:val="0"/>
      <w:marTop w:val="0"/>
      <w:marBottom w:val="0"/>
      <w:divBdr>
        <w:top w:val="none" w:sz="0" w:space="0" w:color="auto"/>
        <w:left w:val="none" w:sz="0" w:space="0" w:color="auto"/>
        <w:bottom w:val="none" w:sz="0" w:space="0" w:color="auto"/>
        <w:right w:val="none" w:sz="0" w:space="0" w:color="auto"/>
      </w:divBdr>
    </w:div>
    <w:div w:id="1331758201">
      <w:bodyDiv w:val="1"/>
      <w:marLeft w:val="0"/>
      <w:marRight w:val="0"/>
      <w:marTop w:val="0"/>
      <w:marBottom w:val="0"/>
      <w:divBdr>
        <w:top w:val="none" w:sz="0" w:space="0" w:color="auto"/>
        <w:left w:val="none" w:sz="0" w:space="0" w:color="auto"/>
        <w:bottom w:val="none" w:sz="0" w:space="0" w:color="auto"/>
        <w:right w:val="none" w:sz="0" w:space="0" w:color="auto"/>
      </w:divBdr>
    </w:div>
    <w:div w:id="1335262776">
      <w:bodyDiv w:val="1"/>
      <w:marLeft w:val="0"/>
      <w:marRight w:val="0"/>
      <w:marTop w:val="0"/>
      <w:marBottom w:val="0"/>
      <w:divBdr>
        <w:top w:val="none" w:sz="0" w:space="0" w:color="auto"/>
        <w:left w:val="none" w:sz="0" w:space="0" w:color="auto"/>
        <w:bottom w:val="none" w:sz="0" w:space="0" w:color="auto"/>
        <w:right w:val="none" w:sz="0" w:space="0" w:color="auto"/>
      </w:divBdr>
    </w:div>
    <w:div w:id="1345284511">
      <w:bodyDiv w:val="1"/>
      <w:marLeft w:val="0"/>
      <w:marRight w:val="0"/>
      <w:marTop w:val="0"/>
      <w:marBottom w:val="0"/>
      <w:divBdr>
        <w:top w:val="none" w:sz="0" w:space="0" w:color="auto"/>
        <w:left w:val="none" w:sz="0" w:space="0" w:color="auto"/>
        <w:bottom w:val="none" w:sz="0" w:space="0" w:color="auto"/>
        <w:right w:val="none" w:sz="0" w:space="0" w:color="auto"/>
      </w:divBdr>
    </w:div>
    <w:div w:id="1351640512">
      <w:bodyDiv w:val="1"/>
      <w:marLeft w:val="0"/>
      <w:marRight w:val="0"/>
      <w:marTop w:val="0"/>
      <w:marBottom w:val="0"/>
      <w:divBdr>
        <w:top w:val="none" w:sz="0" w:space="0" w:color="auto"/>
        <w:left w:val="none" w:sz="0" w:space="0" w:color="auto"/>
        <w:bottom w:val="none" w:sz="0" w:space="0" w:color="auto"/>
        <w:right w:val="none" w:sz="0" w:space="0" w:color="auto"/>
      </w:divBdr>
    </w:div>
    <w:div w:id="1353188516">
      <w:bodyDiv w:val="1"/>
      <w:marLeft w:val="0"/>
      <w:marRight w:val="0"/>
      <w:marTop w:val="0"/>
      <w:marBottom w:val="0"/>
      <w:divBdr>
        <w:top w:val="none" w:sz="0" w:space="0" w:color="auto"/>
        <w:left w:val="none" w:sz="0" w:space="0" w:color="auto"/>
        <w:bottom w:val="none" w:sz="0" w:space="0" w:color="auto"/>
        <w:right w:val="none" w:sz="0" w:space="0" w:color="auto"/>
      </w:divBdr>
    </w:div>
    <w:div w:id="1353611095">
      <w:bodyDiv w:val="1"/>
      <w:marLeft w:val="0"/>
      <w:marRight w:val="0"/>
      <w:marTop w:val="0"/>
      <w:marBottom w:val="0"/>
      <w:divBdr>
        <w:top w:val="none" w:sz="0" w:space="0" w:color="auto"/>
        <w:left w:val="none" w:sz="0" w:space="0" w:color="auto"/>
        <w:bottom w:val="none" w:sz="0" w:space="0" w:color="auto"/>
        <w:right w:val="none" w:sz="0" w:space="0" w:color="auto"/>
      </w:divBdr>
    </w:div>
    <w:div w:id="1354067754">
      <w:bodyDiv w:val="1"/>
      <w:marLeft w:val="0"/>
      <w:marRight w:val="0"/>
      <w:marTop w:val="0"/>
      <w:marBottom w:val="0"/>
      <w:divBdr>
        <w:top w:val="none" w:sz="0" w:space="0" w:color="auto"/>
        <w:left w:val="none" w:sz="0" w:space="0" w:color="auto"/>
        <w:bottom w:val="none" w:sz="0" w:space="0" w:color="auto"/>
        <w:right w:val="none" w:sz="0" w:space="0" w:color="auto"/>
      </w:divBdr>
    </w:div>
    <w:div w:id="1355810271">
      <w:bodyDiv w:val="1"/>
      <w:marLeft w:val="0"/>
      <w:marRight w:val="0"/>
      <w:marTop w:val="0"/>
      <w:marBottom w:val="0"/>
      <w:divBdr>
        <w:top w:val="none" w:sz="0" w:space="0" w:color="auto"/>
        <w:left w:val="none" w:sz="0" w:space="0" w:color="auto"/>
        <w:bottom w:val="none" w:sz="0" w:space="0" w:color="auto"/>
        <w:right w:val="none" w:sz="0" w:space="0" w:color="auto"/>
      </w:divBdr>
    </w:div>
    <w:div w:id="1360470794">
      <w:bodyDiv w:val="1"/>
      <w:marLeft w:val="0"/>
      <w:marRight w:val="0"/>
      <w:marTop w:val="0"/>
      <w:marBottom w:val="0"/>
      <w:divBdr>
        <w:top w:val="none" w:sz="0" w:space="0" w:color="auto"/>
        <w:left w:val="none" w:sz="0" w:space="0" w:color="auto"/>
        <w:bottom w:val="none" w:sz="0" w:space="0" w:color="auto"/>
        <w:right w:val="none" w:sz="0" w:space="0" w:color="auto"/>
      </w:divBdr>
    </w:div>
    <w:div w:id="1365211419">
      <w:bodyDiv w:val="1"/>
      <w:marLeft w:val="0"/>
      <w:marRight w:val="0"/>
      <w:marTop w:val="0"/>
      <w:marBottom w:val="0"/>
      <w:divBdr>
        <w:top w:val="none" w:sz="0" w:space="0" w:color="auto"/>
        <w:left w:val="none" w:sz="0" w:space="0" w:color="auto"/>
        <w:bottom w:val="none" w:sz="0" w:space="0" w:color="auto"/>
        <w:right w:val="none" w:sz="0" w:space="0" w:color="auto"/>
      </w:divBdr>
    </w:div>
    <w:div w:id="1375931572">
      <w:bodyDiv w:val="1"/>
      <w:marLeft w:val="0"/>
      <w:marRight w:val="0"/>
      <w:marTop w:val="0"/>
      <w:marBottom w:val="0"/>
      <w:divBdr>
        <w:top w:val="none" w:sz="0" w:space="0" w:color="auto"/>
        <w:left w:val="none" w:sz="0" w:space="0" w:color="auto"/>
        <w:bottom w:val="none" w:sz="0" w:space="0" w:color="auto"/>
        <w:right w:val="none" w:sz="0" w:space="0" w:color="auto"/>
      </w:divBdr>
    </w:div>
    <w:div w:id="1376538562">
      <w:bodyDiv w:val="1"/>
      <w:marLeft w:val="0"/>
      <w:marRight w:val="0"/>
      <w:marTop w:val="0"/>
      <w:marBottom w:val="0"/>
      <w:divBdr>
        <w:top w:val="none" w:sz="0" w:space="0" w:color="auto"/>
        <w:left w:val="none" w:sz="0" w:space="0" w:color="auto"/>
        <w:bottom w:val="none" w:sz="0" w:space="0" w:color="auto"/>
        <w:right w:val="none" w:sz="0" w:space="0" w:color="auto"/>
      </w:divBdr>
      <w:divsChild>
        <w:div w:id="3485408">
          <w:marLeft w:val="0"/>
          <w:marRight w:val="0"/>
          <w:marTop w:val="0"/>
          <w:marBottom w:val="0"/>
          <w:divBdr>
            <w:top w:val="none" w:sz="0" w:space="0" w:color="auto"/>
            <w:left w:val="none" w:sz="0" w:space="0" w:color="auto"/>
            <w:bottom w:val="none" w:sz="0" w:space="0" w:color="auto"/>
            <w:right w:val="none" w:sz="0" w:space="0" w:color="auto"/>
          </w:divBdr>
        </w:div>
        <w:div w:id="1316912076">
          <w:marLeft w:val="0"/>
          <w:marRight w:val="0"/>
          <w:marTop w:val="0"/>
          <w:marBottom w:val="0"/>
          <w:divBdr>
            <w:top w:val="none" w:sz="0" w:space="0" w:color="auto"/>
            <w:left w:val="none" w:sz="0" w:space="0" w:color="auto"/>
            <w:bottom w:val="none" w:sz="0" w:space="0" w:color="auto"/>
            <w:right w:val="none" w:sz="0" w:space="0" w:color="auto"/>
          </w:divBdr>
        </w:div>
      </w:divsChild>
    </w:div>
    <w:div w:id="1377391670">
      <w:bodyDiv w:val="1"/>
      <w:marLeft w:val="0"/>
      <w:marRight w:val="0"/>
      <w:marTop w:val="0"/>
      <w:marBottom w:val="0"/>
      <w:divBdr>
        <w:top w:val="none" w:sz="0" w:space="0" w:color="auto"/>
        <w:left w:val="none" w:sz="0" w:space="0" w:color="auto"/>
        <w:bottom w:val="none" w:sz="0" w:space="0" w:color="auto"/>
        <w:right w:val="none" w:sz="0" w:space="0" w:color="auto"/>
      </w:divBdr>
    </w:div>
    <w:div w:id="1381637397">
      <w:bodyDiv w:val="1"/>
      <w:marLeft w:val="0"/>
      <w:marRight w:val="0"/>
      <w:marTop w:val="0"/>
      <w:marBottom w:val="0"/>
      <w:divBdr>
        <w:top w:val="none" w:sz="0" w:space="0" w:color="auto"/>
        <w:left w:val="none" w:sz="0" w:space="0" w:color="auto"/>
        <w:bottom w:val="none" w:sz="0" w:space="0" w:color="auto"/>
        <w:right w:val="none" w:sz="0" w:space="0" w:color="auto"/>
      </w:divBdr>
    </w:div>
    <w:div w:id="1403990628">
      <w:bodyDiv w:val="1"/>
      <w:marLeft w:val="0"/>
      <w:marRight w:val="0"/>
      <w:marTop w:val="0"/>
      <w:marBottom w:val="0"/>
      <w:divBdr>
        <w:top w:val="none" w:sz="0" w:space="0" w:color="auto"/>
        <w:left w:val="none" w:sz="0" w:space="0" w:color="auto"/>
        <w:bottom w:val="none" w:sz="0" w:space="0" w:color="auto"/>
        <w:right w:val="none" w:sz="0" w:space="0" w:color="auto"/>
      </w:divBdr>
    </w:div>
    <w:div w:id="1421029525">
      <w:bodyDiv w:val="1"/>
      <w:marLeft w:val="0"/>
      <w:marRight w:val="0"/>
      <w:marTop w:val="0"/>
      <w:marBottom w:val="0"/>
      <w:divBdr>
        <w:top w:val="none" w:sz="0" w:space="0" w:color="auto"/>
        <w:left w:val="none" w:sz="0" w:space="0" w:color="auto"/>
        <w:bottom w:val="none" w:sz="0" w:space="0" w:color="auto"/>
        <w:right w:val="none" w:sz="0" w:space="0" w:color="auto"/>
      </w:divBdr>
    </w:div>
    <w:div w:id="1423794027">
      <w:bodyDiv w:val="1"/>
      <w:marLeft w:val="0"/>
      <w:marRight w:val="0"/>
      <w:marTop w:val="0"/>
      <w:marBottom w:val="0"/>
      <w:divBdr>
        <w:top w:val="none" w:sz="0" w:space="0" w:color="auto"/>
        <w:left w:val="none" w:sz="0" w:space="0" w:color="auto"/>
        <w:bottom w:val="none" w:sz="0" w:space="0" w:color="auto"/>
        <w:right w:val="none" w:sz="0" w:space="0" w:color="auto"/>
      </w:divBdr>
    </w:div>
    <w:div w:id="1427771492">
      <w:bodyDiv w:val="1"/>
      <w:marLeft w:val="0"/>
      <w:marRight w:val="0"/>
      <w:marTop w:val="0"/>
      <w:marBottom w:val="0"/>
      <w:divBdr>
        <w:top w:val="none" w:sz="0" w:space="0" w:color="auto"/>
        <w:left w:val="none" w:sz="0" w:space="0" w:color="auto"/>
        <w:bottom w:val="none" w:sz="0" w:space="0" w:color="auto"/>
        <w:right w:val="none" w:sz="0" w:space="0" w:color="auto"/>
      </w:divBdr>
    </w:div>
    <w:div w:id="1429622781">
      <w:bodyDiv w:val="1"/>
      <w:marLeft w:val="0"/>
      <w:marRight w:val="0"/>
      <w:marTop w:val="0"/>
      <w:marBottom w:val="0"/>
      <w:divBdr>
        <w:top w:val="none" w:sz="0" w:space="0" w:color="auto"/>
        <w:left w:val="none" w:sz="0" w:space="0" w:color="auto"/>
        <w:bottom w:val="none" w:sz="0" w:space="0" w:color="auto"/>
        <w:right w:val="none" w:sz="0" w:space="0" w:color="auto"/>
      </w:divBdr>
    </w:div>
    <w:div w:id="1446079217">
      <w:bodyDiv w:val="1"/>
      <w:marLeft w:val="0"/>
      <w:marRight w:val="0"/>
      <w:marTop w:val="0"/>
      <w:marBottom w:val="0"/>
      <w:divBdr>
        <w:top w:val="none" w:sz="0" w:space="0" w:color="auto"/>
        <w:left w:val="none" w:sz="0" w:space="0" w:color="auto"/>
        <w:bottom w:val="none" w:sz="0" w:space="0" w:color="auto"/>
        <w:right w:val="none" w:sz="0" w:space="0" w:color="auto"/>
      </w:divBdr>
    </w:div>
    <w:div w:id="1456364793">
      <w:bodyDiv w:val="1"/>
      <w:marLeft w:val="0"/>
      <w:marRight w:val="0"/>
      <w:marTop w:val="0"/>
      <w:marBottom w:val="0"/>
      <w:divBdr>
        <w:top w:val="none" w:sz="0" w:space="0" w:color="auto"/>
        <w:left w:val="none" w:sz="0" w:space="0" w:color="auto"/>
        <w:bottom w:val="none" w:sz="0" w:space="0" w:color="auto"/>
        <w:right w:val="none" w:sz="0" w:space="0" w:color="auto"/>
      </w:divBdr>
    </w:div>
    <w:div w:id="1460762970">
      <w:bodyDiv w:val="1"/>
      <w:marLeft w:val="0"/>
      <w:marRight w:val="0"/>
      <w:marTop w:val="0"/>
      <w:marBottom w:val="0"/>
      <w:divBdr>
        <w:top w:val="none" w:sz="0" w:space="0" w:color="auto"/>
        <w:left w:val="none" w:sz="0" w:space="0" w:color="auto"/>
        <w:bottom w:val="none" w:sz="0" w:space="0" w:color="auto"/>
        <w:right w:val="none" w:sz="0" w:space="0" w:color="auto"/>
      </w:divBdr>
    </w:div>
    <w:div w:id="1462191730">
      <w:bodyDiv w:val="1"/>
      <w:marLeft w:val="0"/>
      <w:marRight w:val="0"/>
      <w:marTop w:val="0"/>
      <w:marBottom w:val="0"/>
      <w:divBdr>
        <w:top w:val="none" w:sz="0" w:space="0" w:color="auto"/>
        <w:left w:val="none" w:sz="0" w:space="0" w:color="auto"/>
        <w:bottom w:val="none" w:sz="0" w:space="0" w:color="auto"/>
        <w:right w:val="none" w:sz="0" w:space="0" w:color="auto"/>
      </w:divBdr>
    </w:div>
    <w:div w:id="1476290609">
      <w:bodyDiv w:val="1"/>
      <w:marLeft w:val="0"/>
      <w:marRight w:val="0"/>
      <w:marTop w:val="0"/>
      <w:marBottom w:val="0"/>
      <w:divBdr>
        <w:top w:val="none" w:sz="0" w:space="0" w:color="auto"/>
        <w:left w:val="none" w:sz="0" w:space="0" w:color="auto"/>
        <w:bottom w:val="none" w:sz="0" w:space="0" w:color="auto"/>
        <w:right w:val="none" w:sz="0" w:space="0" w:color="auto"/>
      </w:divBdr>
    </w:div>
    <w:div w:id="1484468479">
      <w:bodyDiv w:val="1"/>
      <w:marLeft w:val="0"/>
      <w:marRight w:val="0"/>
      <w:marTop w:val="0"/>
      <w:marBottom w:val="0"/>
      <w:divBdr>
        <w:top w:val="none" w:sz="0" w:space="0" w:color="auto"/>
        <w:left w:val="none" w:sz="0" w:space="0" w:color="auto"/>
        <w:bottom w:val="none" w:sz="0" w:space="0" w:color="auto"/>
        <w:right w:val="none" w:sz="0" w:space="0" w:color="auto"/>
      </w:divBdr>
      <w:divsChild>
        <w:div w:id="598610100">
          <w:marLeft w:val="0"/>
          <w:marRight w:val="0"/>
          <w:marTop w:val="0"/>
          <w:marBottom w:val="0"/>
          <w:divBdr>
            <w:top w:val="none" w:sz="0" w:space="0" w:color="auto"/>
            <w:left w:val="none" w:sz="0" w:space="0" w:color="auto"/>
            <w:bottom w:val="none" w:sz="0" w:space="0" w:color="auto"/>
            <w:right w:val="none" w:sz="0" w:space="0" w:color="auto"/>
          </w:divBdr>
        </w:div>
        <w:div w:id="1932660661">
          <w:marLeft w:val="0"/>
          <w:marRight w:val="0"/>
          <w:marTop w:val="0"/>
          <w:marBottom w:val="0"/>
          <w:divBdr>
            <w:top w:val="none" w:sz="0" w:space="0" w:color="auto"/>
            <w:left w:val="none" w:sz="0" w:space="0" w:color="auto"/>
            <w:bottom w:val="none" w:sz="0" w:space="0" w:color="auto"/>
            <w:right w:val="none" w:sz="0" w:space="0" w:color="auto"/>
          </w:divBdr>
        </w:div>
      </w:divsChild>
    </w:div>
    <w:div w:id="1484854201">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
    <w:div w:id="1497572248">
      <w:bodyDiv w:val="1"/>
      <w:marLeft w:val="0"/>
      <w:marRight w:val="0"/>
      <w:marTop w:val="0"/>
      <w:marBottom w:val="0"/>
      <w:divBdr>
        <w:top w:val="none" w:sz="0" w:space="0" w:color="auto"/>
        <w:left w:val="none" w:sz="0" w:space="0" w:color="auto"/>
        <w:bottom w:val="none" w:sz="0" w:space="0" w:color="auto"/>
        <w:right w:val="none" w:sz="0" w:space="0" w:color="auto"/>
      </w:divBdr>
    </w:div>
    <w:div w:id="1510412574">
      <w:bodyDiv w:val="1"/>
      <w:marLeft w:val="0"/>
      <w:marRight w:val="0"/>
      <w:marTop w:val="0"/>
      <w:marBottom w:val="0"/>
      <w:divBdr>
        <w:top w:val="none" w:sz="0" w:space="0" w:color="auto"/>
        <w:left w:val="none" w:sz="0" w:space="0" w:color="auto"/>
        <w:bottom w:val="none" w:sz="0" w:space="0" w:color="auto"/>
        <w:right w:val="none" w:sz="0" w:space="0" w:color="auto"/>
      </w:divBdr>
    </w:div>
    <w:div w:id="1512185281">
      <w:bodyDiv w:val="1"/>
      <w:marLeft w:val="0"/>
      <w:marRight w:val="0"/>
      <w:marTop w:val="0"/>
      <w:marBottom w:val="0"/>
      <w:divBdr>
        <w:top w:val="none" w:sz="0" w:space="0" w:color="auto"/>
        <w:left w:val="none" w:sz="0" w:space="0" w:color="auto"/>
        <w:bottom w:val="none" w:sz="0" w:space="0" w:color="auto"/>
        <w:right w:val="none" w:sz="0" w:space="0" w:color="auto"/>
      </w:divBdr>
    </w:div>
    <w:div w:id="1521821856">
      <w:bodyDiv w:val="1"/>
      <w:marLeft w:val="0"/>
      <w:marRight w:val="0"/>
      <w:marTop w:val="0"/>
      <w:marBottom w:val="0"/>
      <w:divBdr>
        <w:top w:val="none" w:sz="0" w:space="0" w:color="auto"/>
        <w:left w:val="none" w:sz="0" w:space="0" w:color="auto"/>
        <w:bottom w:val="none" w:sz="0" w:space="0" w:color="auto"/>
        <w:right w:val="none" w:sz="0" w:space="0" w:color="auto"/>
      </w:divBdr>
    </w:div>
    <w:div w:id="1523741999">
      <w:bodyDiv w:val="1"/>
      <w:marLeft w:val="0"/>
      <w:marRight w:val="0"/>
      <w:marTop w:val="0"/>
      <w:marBottom w:val="0"/>
      <w:divBdr>
        <w:top w:val="none" w:sz="0" w:space="0" w:color="auto"/>
        <w:left w:val="none" w:sz="0" w:space="0" w:color="auto"/>
        <w:bottom w:val="none" w:sz="0" w:space="0" w:color="auto"/>
        <w:right w:val="none" w:sz="0" w:space="0" w:color="auto"/>
      </w:divBdr>
    </w:div>
    <w:div w:id="1547913347">
      <w:bodyDiv w:val="1"/>
      <w:marLeft w:val="0"/>
      <w:marRight w:val="0"/>
      <w:marTop w:val="0"/>
      <w:marBottom w:val="0"/>
      <w:divBdr>
        <w:top w:val="none" w:sz="0" w:space="0" w:color="auto"/>
        <w:left w:val="none" w:sz="0" w:space="0" w:color="auto"/>
        <w:bottom w:val="none" w:sz="0" w:space="0" w:color="auto"/>
        <w:right w:val="none" w:sz="0" w:space="0" w:color="auto"/>
      </w:divBdr>
    </w:div>
    <w:div w:id="1574585360">
      <w:bodyDiv w:val="1"/>
      <w:marLeft w:val="0"/>
      <w:marRight w:val="0"/>
      <w:marTop w:val="0"/>
      <w:marBottom w:val="0"/>
      <w:divBdr>
        <w:top w:val="none" w:sz="0" w:space="0" w:color="auto"/>
        <w:left w:val="none" w:sz="0" w:space="0" w:color="auto"/>
        <w:bottom w:val="none" w:sz="0" w:space="0" w:color="auto"/>
        <w:right w:val="none" w:sz="0" w:space="0" w:color="auto"/>
      </w:divBdr>
    </w:div>
    <w:div w:id="1576670489">
      <w:bodyDiv w:val="1"/>
      <w:marLeft w:val="0"/>
      <w:marRight w:val="0"/>
      <w:marTop w:val="0"/>
      <w:marBottom w:val="0"/>
      <w:divBdr>
        <w:top w:val="none" w:sz="0" w:space="0" w:color="auto"/>
        <w:left w:val="none" w:sz="0" w:space="0" w:color="auto"/>
        <w:bottom w:val="none" w:sz="0" w:space="0" w:color="auto"/>
        <w:right w:val="none" w:sz="0" w:space="0" w:color="auto"/>
      </w:divBdr>
    </w:div>
    <w:div w:id="1584872789">
      <w:bodyDiv w:val="1"/>
      <w:marLeft w:val="0"/>
      <w:marRight w:val="0"/>
      <w:marTop w:val="0"/>
      <w:marBottom w:val="0"/>
      <w:divBdr>
        <w:top w:val="none" w:sz="0" w:space="0" w:color="auto"/>
        <w:left w:val="none" w:sz="0" w:space="0" w:color="auto"/>
        <w:bottom w:val="none" w:sz="0" w:space="0" w:color="auto"/>
        <w:right w:val="none" w:sz="0" w:space="0" w:color="auto"/>
      </w:divBdr>
    </w:div>
    <w:div w:id="1602028091">
      <w:bodyDiv w:val="1"/>
      <w:marLeft w:val="0"/>
      <w:marRight w:val="0"/>
      <w:marTop w:val="0"/>
      <w:marBottom w:val="0"/>
      <w:divBdr>
        <w:top w:val="none" w:sz="0" w:space="0" w:color="auto"/>
        <w:left w:val="none" w:sz="0" w:space="0" w:color="auto"/>
        <w:bottom w:val="none" w:sz="0" w:space="0" w:color="auto"/>
        <w:right w:val="none" w:sz="0" w:space="0" w:color="auto"/>
      </w:divBdr>
      <w:divsChild>
        <w:div w:id="2095776830">
          <w:marLeft w:val="0"/>
          <w:marRight w:val="0"/>
          <w:marTop w:val="0"/>
          <w:marBottom w:val="0"/>
          <w:divBdr>
            <w:top w:val="none" w:sz="0" w:space="0" w:color="auto"/>
            <w:left w:val="none" w:sz="0" w:space="0" w:color="auto"/>
            <w:bottom w:val="none" w:sz="0" w:space="0" w:color="auto"/>
            <w:right w:val="none" w:sz="0" w:space="0" w:color="auto"/>
          </w:divBdr>
        </w:div>
      </w:divsChild>
    </w:div>
    <w:div w:id="1613051259">
      <w:bodyDiv w:val="1"/>
      <w:marLeft w:val="0"/>
      <w:marRight w:val="0"/>
      <w:marTop w:val="0"/>
      <w:marBottom w:val="0"/>
      <w:divBdr>
        <w:top w:val="none" w:sz="0" w:space="0" w:color="auto"/>
        <w:left w:val="none" w:sz="0" w:space="0" w:color="auto"/>
        <w:bottom w:val="none" w:sz="0" w:space="0" w:color="auto"/>
        <w:right w:val="none" w:sz="0" w:space="0" w:color="auto"/>
      </w:divBdr>
    </w:div>
    <w:div w:id="1614440531">
      <w:bodyDiv w:val="1"/>
      <w:marLeft w:val="0"/>
      <w:marRight w:val="0"/>
      <w:marTop w:val="0"/>
      <w:marBottom w:val="0"/>
      <w:divBdr>
        <w:top w:val="none" w:sz="0" w:space="0" w:color="auto"/>
        <w:left w:val="none" w:sz="0" w:space="0" w:color="auto"/>
        <w:bottom w:val="none" w:sz="0" w:space="0" w:color="auto"/>
        <w:right w:val="none" w:sz="0" w:space="0" w:color="auto"/>
      </w:divBdr>
    </w:div>
    <w:div w:id="1621110883">
      <w:bodyDiv w:val="1"/>
      <w:marLeft w:val="0"/>
      <w:marRight w:val="0"/>
      <w:marTop w:val="0"/>
      <w:marBottom w:val="0"/>
      <w:divBdr>
        <w:top w:val="none" w:sz="0" w:space="0" w:color="auto"/>
        <w:left w:val="none" w:sz="0" w:space="0" w:color="auto"/>
        <w:bottom w:val="none" w:sz="0" w:space="0" w:color="auto"/>
        <w:right w:val="none" w:sz="0" w:space="0" w:color="auto"/>
      </w:divBdr>
    </w:div>
    <w:div w:id="1641567923">
      <w:bodyDiv w:val="1"/>
      <w:marLeft w:val="0"/>
      <w:marRight w:val="0"/>
      <w:marTop w:val="0"/>
      <w:marBottom w:val="0"/>
      <w:divBdr>
        <w:top w:val="none" w:sz="0" w:space="0" w:color="auto"/>
        <w:left w:val="none" w:sz="0" w:space="0" w:color="auto"/>
        <w:bottom w:val="none" w:sz="0" w:space="0" w:color="auto"/>
        <w:right w:val="none" w:sz="0" w:space="0" w:color="auto"/>
      </w:divBdr>
    </w:div>
    <w:div w:id="1650281215">
      <w:bodyDiv w:val="1"/>
      <w:marLeft w:val="0"/>
      <w:marRight w:val="0"/>
      <w:marTop w:val="0"/>
      <w:marBottom w:val="0"/>
      <w:divBdr>
        <w:top w:val="none" w:sz="0" w:space="0" w:color="auto"/>
        <w:left w:val="none" w:sz="0" w:space="0" w:color="auto"/>
        <w:bottom w:val="none" w:sz="0" w:space="0" w:color="auto"/>
        <w:right w:val="none" w:sz="0" w:space="0" w:color="auto"/>
      </w:divBdr>
    </w:div>
    <w:div w:id="1652443234">
      <w:bodyDiv w:val="1"/>
      <w:marLeft w:val="0"/>
      <w:marRight w:val="0"/>
      <w:marTop w:val="0"/>
      <w:marBottom w:val="0"/>
      <w:divBdr>
        <w:top w:val="none" w:sz="0" w:space="0" w:color="auto"/>
        <w:left w:val="none" w:sz="0" w:space="0" w:color="auto"/>
        <w:bottom w:val="none" w:sz="0" w:space="0" w:color="auto"/>
        <w:right w:val="none" w:sz="0" w:space="0" w:color="auto"/>
      </w:divBdr>
    </w:div>
    <w:div w:id="1654603008">
      <w:bodyDiv w:val="1"/>
      <w:marLeft w:val="0"/>
      <w:marRight w:val="0"/>
      <w:marTop w:val="0"/>
      <w:marBottom w:val="0"/>
      <w:divBdr>
        <w:top w:val="none" w:sz="0" w:space="0" w:color="auto"/>
        <w:left w:val="none" w:sz="0" w:space="0" w:color="auto"/>
        <w:bottom w:val="none" w:sz="0" w:space="0" w:color="auto"/>
        <w:right w:val="none" w:sz="0" w:space="0" w:color="auto"/>
      </w:divBdr>
    </w:div>
    <w:div w:id="1670449735">
      <w:bodyDiv w:val="1"/>
      <w:marLeft w:val="0"/>
      <w:marRight w:val="0"/>
      <w:marTop w:val="0"/>
      <w:marBottom w:val="0"/>
      <w:divBdr>
        <w:top w:val="none" w:sz="0" w:space="0" w:color="auto"/>
        <w:left w:val="none" w:sz="0" w:space="0" w:color="auto"/>
        <w:bottom w:val="none" w:sz="0" w:space="0" w:color="auto"/>
        <w:right w:val="none" w:sz="0" w:space="0" w:color="auto"/>
      </w:divBdr>
    </w:div>
    <w:div w:id="1671370610">
      <w:bodyDiv w:val="1"/>
      <w:marLeft w:val="0"/>
      <w:marRight w:val="0"/>
      <w:marTop w:val="0"/>
      <w:marBottom w:val="0"/>
      <w:divBdr>
        <w:top w:val="none" w:sz="0" w:space="0" w:color="auto"/>
        <w:left w:val="none" w:sz="0" w:space="0" w:color="auto"/>
        <w:bottom w:val="none" w:sz="0" w:space="0" w:color="auto"/>
        <w:right w:val="none" w:sz="0" w:space="0" w:color="auto"/>
      </w:divBdr>
    </w:div>
    <w:div w:id="1673602291">
      <w:bodyDiv w:val="1"/>
      <w:marLeft w:val="0"/>
      <w:marRight w:val="0"/>
      <w:marTop w:val="0"/>
      <w:marBottom w:val="0"/>
      <w:divBdr>
        <w:top w:val="none" w:sz="0" w:space="0" w:color="auto"/>
        <w:left w:val="none" w:sz="0" w:space="0" w:color="auto"/>
        <w:bottom w:val="none" w:sz="0" w:space="0" w:color="auto"/>
        <w:right w:val="none" w:sz="0" w:space="0" w:color="auto"/>
      </w:divBdr>
    </w:div>
    <w:div w:id="1673727131">
      <w:bodyDiv w:val="1"/>
      <w:marLeft w:val="0"/>
      <w:marRight w:val="0"/>
      <w:marTop w:val="0"/>
      <w:marBottom w:val="0"/>
      <w:divBdr>
        <w:top w:val="none" w:sz="0" w:space="0" w:color="auto"/>
        <w:left w:val="none" w:sz="0" w:space="0" w:color="auto"/>
        <w:bottom w:val="none" w:sz="0" w:space="0" w:color="auto"/>
        <w:right w:val="none" w:sz="0" w:space="0" w:color="auto"/>
      </w:divBdr>
    </w:div>
    <w:div w:id="1676031410">
      <w:bodyDiv w:val="1"/>
      <w:marLeft w:val="0"/>
      <w:marRight w:val="0"/>
      <w:marTop w:val="0"/>
      <w:marBottom w:val="0"/>
      <w:divBdr>
        <w:top w:val="none" w:sz="0" w:space="0" w:color="auto"/>
        <w:left w:val="none" w:sz="0" w:space="0" w:color="auto"/>
        <w:bottom w:val="none" w:sz="0" w:space="0" w:color="auto"/>
        <w:right w:val="none" w:sz="0" w:space="0" w:color="auto"/>
      </w:divBdr>
    </w:div>
    <w:div w:id="1686517302">
      <w:bodyDiv w:val="1"/>
      <w:marLeft w:val="0"/>
      <w:marRight w:val="0"/>
      <w:marTop w:val="0"/>
      <w:marBottom w:val="0"/>
      <w:divBdr>
        <w:top w:val="none" w:sz="0" w:space="0" w:color="auto"/>
        <w:left w:val="none" w:sz="0" w:space="0" w:color="auto"/>
        <w:bottom w:val="none" w:sz="0" w:space="0" w:color="auto"/>
        <w:right w:val="none" w:sz="0" w:space="0" w:color="auto"/>
      </w:divBdr>
    </w:div>
    <w:div w:id="1687756967">
      <w:bodyDiv w:val="1"/>
      <w:marLeft w:val="0"/>
      <w:marRight w:val="0"/>
      <w:marTop w:val="0"/>
      <w:marBottom w:val="0"/>
      <w:divBdr>
        <w:top w:val="none" w:sz="0" w:space="0" w:color="auto"/>
        <w:left w:val="none" w:sz="0" w:space="0" w:color="auto"/>
        <w:bottom w:val="none" w:sz="0" w:space="0" w:color="auto"/>
        <w:right w:val="none" w:sz="0" w:space="0" w:color="auto"/>
      </w:divBdr>
    </w:div>
    <w:div w:id="1697729284">
      <w:bodyDiv w:val="1"/>
      <w:marLeft w:val="0"/>
      <w:marRight w:val="0"/>
      <w:marTop w:val="0"/>
      <w:marBottom w:val="0"/>
      <w:divBdr>
        <w:top w:val="none" w:sz="0" w:space="0" w:color="auto"/>
        <w:left w:val="none" w:sz="0" w:space="0" w:color="auto"/>
        <w:bottom w:val="none" w:sz="0" w:space="0" w:color="auto"/>
        <w:right w:val="none" w:sz="0" w:space="0" w:color="auto"/>
      </w:divBdr>
    </w:div>
    <w:div w:id="1698239618">
      <w:bodyDiv w:val="1"/>
      <w:marLeft w:val="0"/>
      <w:marRight w:val="0"/>
      <w:marTop w:val="0"/>
      <w:marBottom w:val="0"/>
      <w:divBdr>
        <w:top w:val="none" w:sz="0" w:space="0" w:color="auto"/>
        <w:left w:val="none" w:sz="0" w:space="0" w:color="auto"/>
        <w:bottom w:val="none" w:sz="0" w:space="0" w:color="auto"/>
        <w:right w:val="none" w:sz="0" w:space="0" w:color="auto"/>
      </w:divBdr>
    </w:div>
    <w:div w:id="1700158027">
      <w:bodyDiv w:val="1"/>
      <w:marLeft w:val="0"/>
      <w:marRight w:val="0"/>
      <w:marTop w:val="0"/>
      <w:marBottom w:val="0"/>
      <w:divBdr>
        <w:top w:val="none" w:sz="0" w:space="0" w:color="auto"/>
        <w:left w:val="none" w:sz="0" w:space="0" w:color="auto"/>
        <w:bottom w:val="none" w:sz="0" w:space="0" w:color="auto"/>
        <w:right w:val="none" w:sz="0" w:space="0" w:color="auto"/>
      </w:divBdr>
    </w:div>
    <w:div w:id="1702822568">
      <w:bodyDiv w:val="1"/>
      <w:marLeft w:val="0"/>
      <w:marRight w:val="0"/>
      <w:marTop w:val="0"/>
      <w:marBottom w:val="0"/>
      <w:divBdr>
        <w:top w:val="none" w:sz="0" w:space="0" w:color="auto"/>
        <w:left w:val="none" w:sz="0" w:space="0" w:color="auto"/>
        <w:bottom w:val="none" w:sz="0" w:space="0" w:color="auto"/>
        <w:right w:val="none" w:sz="0" w:space="0" w:color="auto"/>
      </w:divBdr>
    </w:div>
    <w:div w:id="1717199186">
      <w:bodyDiv w:val="1"/>
      <w:marLeft w:val="0"/>
      <w:marRight w:val="0"/>
      <w:marTop w:val="0"/>
      <w:marBottom w:val="0"/>
      <w:divBdr>
        <w:top w:val="none" w:sz="0" w:space="0" w:color="auto"/>
        <w:left w:val="none" w:sz="0" w:space="0" w:color="auto"/>
        <w:bottom w:val="none" w:sz="0" w:space="0" w:color="auto"/>
        <w:right w:val="none" w:sz="0" w:space="0" w:color="auto"/>
      </w:divBdr>
    </w:div>
    <w:div w:id="1731920494">
      <w:bodyDiv w:val="1"/>
      <w:marLeft w:val="0"/>
      <w:marRight w:val="0"/>
      <w:marTop w:val="0"/>
      <w:marBottom w:val="0"/>
      <w:divBdr>
        <w:top w:val="none" w:sz="0" w:space="0" w:color="auto"/>
        <w:left w:val="none" w:sz="0" w:space="0" w:color="auto"/>
        <w:bottom w:val="none" w:sz="0" w:space="0" w:color="auto"/>
        <w:right w:val="none" w:sz="0" w:space="0" w:color="auto"/>
      </w:divBdr>
    </w:div>
    <w:div w:id="1733043337">
      <w:bodyDiv w:val="1"/>
      <w:marLeft w:val="0"/>
      <w:marRight w:val="0"/>
      <w:marTop w:val="0"/>
      <w:marBottom w:val="0"/>
      <w:divBdr>
        <w:top w:val="none" w:sz="0" w:space="0" w:color="auto"/>
        <w:left w:val="none" w:sz="0" w:space="0" w:color="auto"/>
        <w:bottom w:val="none" w:sz="0" w:space="0" w:color="auto"/>
        <w:right w:val="none" w:sz="0" w:space="0" w:color="auto"/>
      </w:divBdr>
    </w:div>
    <w:div w:id="1744330887">
      <w:bodyDiv w:val="1"/>
      <w:marLeft w:val="0"/>
      <w:marRight w:val="0"/>
      <w:marTop w:val="0"/>
      <w:marBottom w:val="0"/>
      <w:divBdr>
        <w:top w:val="none" w:sz="0" w:space="0" w:color="auto"/>
        <w:left w:val="none" w:sz="0" w:space="0" w:color="auto"/>
        <w:bottom w:val="none" w:sz="0" w:space="0" w:color="auto"/>
        <w:right w:val="none" w:sz="0" w:space="0" w:color="auto"/>
      </w:divBdr>
    </w:div>
    <w:div w:id="1766875900">
      <w:bodyDiv w:val="1"/>
      <w:marLeft w:val="0"/>
      <w:marRight w:val="0"/>
      <w:marTop w:val="0"/>
      <w:marBottom w:val="0"/>
      <w:divBdr>
        <w:top w:val="none" w:sz="0" w:space="0" w:color="auto"/>
        <w:left w:val="none" w:sz="0" w:space="0" w:color="auto"/>
        <w:bottom w:val="none" w:sz="0" w:space="0" w:color="auto"/>
        <w:right w:val="none" w:sz="0" w:space="0" w:color="auto"/>
      </w:divBdr>
    </w:div>
    <w:div w:id="1767113212">
      <w:bodyDiv w:val="1"/>
      <w:marLeft w:val="0"/>
      <w:marRight w:val="0"/>
      <w:marTop w:val="0"/>
      <w:marBottom w:val="0"/>
      <w:divBdr>
        <w:top w:val="none" w:sz="0" w:space="0" w:color="auto"/>
        <w:left w:val="none" w:sz="0" w:space="0" w:color="auto"/>
        <w:bottom w:val="none" w:sz="0" w:space="0" w:color="auto"/>
        <w:right w:val="none" w:sz="0" w:space="0" w:color="auto"/>
      </w:divBdr>
    </w:div>
    <w:div w:id="1767341306">
      <w:bodyDiv w:val="1"/>
      <w:marLeft w:val="0"/>
      <w:marRight w:val="0"/>
      <w:marTop w:val="0"/>
      <w:marBottom w:val="0"/>
      <w:divBdr>
        <w:top w:val="none" w:sz="0" w:space="0" w:color="auto"/>
        <w:left w:val="none" w:sz="0" w:space="0" w:color="auto"/>
        <w:bottom w:val="none" w:sz="0" w:space="0" w:color="auto"/>
        <w:right w:val="none" w:sz="0" w:space="0" w:color="auto"/>
      </w:divBdr>
    </w:div>
    <w:div w:id="1780292274">
      <w:bodyDiv w:val="1"/>
      <w:marLeft w:val="0"/>
      <w:marRight w:val="0"/>
      <w:marTop w:val="0"/>
      <w:marBottom w:val="0"/>
      <w:divBdr>
        <w:top w:val="none" w:sz="0" w:space="0" w:color="auto"/>
        <w:left w:val="none" w:sz="0" w:space="0" w:color="auto"/>
        <w:bottom w:val="none" w:sz="0" w:space="0" w:color="auto"/>
        <w:right w:val="none" w:sz="0" w:space="0" w:color="auto"/>
      </w:divBdr>
    </w:div>
    <w:div w:id="1788039759">
      <w:bodyDiv w:val="1"/>
      <w:marLeft w:val="0"/>
      <w:marRight w:val="0"/>
      <w:marTop w:val="0"/>
      <w:marBottom w:val="0"/>
      <w:divBdr>
        <w:top w:val="none" w:sz="0" w:space="0" w:color="auto"/>
        <w:left w:val="none" w:sz="0" w:space="0" w:color="auto"/>
        <w:bottom w:val="none" w:sz="0" w:space="0" w:color="auto"/>
        <w:right w:val="none" w:sz="0" w:space="0" w:color="auto"/>
      </w:divBdr>
      <w:divsChild>
        <w:div w:id="555355129">
          <w:marLeft w:val="0"/>
          <w:marRight w:val="0"/>
          <w:marTop w:val="0"/>
          <w:marBottom w:val="0"/>
          <w:divBdr>
            <w:top w:val="none" w:sz="0" w:space="0" w:color="auto"/>
            <w:left w:val="none" w:sz="0" w:space="0" w:color="auto"/>
            <w:bottom w:val="none" w:sz="0" w:space="0" w:color="auto"/>
            <w:right w:val="none" w:sz="0" w:space="0" w:color="auto"/>
          </w:divBdr>
        </w:div>
        <w:div w:id="774984289">
          <w:marLeft w:val="0"/>
          <w:marRight w:val="0"/>
          <w:marTop w:val="0"/>
          <w:marBottom w:val="0"/>
          <w:divBdr>
            <w:top w:val="none" w:sz="0" w:space="0" w:color="auto"/>
            <w:left w:val="none" w:sz="0" w:space="0" w:color="auto"/>
            <w:bottom w:val="none" w:sz="0" w:space="0" w:color="auto"/>
            <w:right w:val="none" w:sz="0" w:space="0" w:color="auto"/>
          </w:divBdr>
        </w:div>
        <w:div w:id="872960870">
          <w:marLeft w:val="0"/>
          <w:marRight w:val="0"/>
          <w:marTop w:val="0"/>
          <w:marBottom w:val="0"/>
          <w:divBdr>
            <w:top w:val="none" w:sz="0" w:space="0" w:color="auto"/>
            <w:left w:val="none" w:sz="0" w:space="0" w:color="auto"/>
            <w:bottom w:val="none" w:sz="0" w:space="0" w:color="auto"/>
            <w:right w:val="none" w:sz="0" w:space="0" w:color="auto"/>
          </w:divBdr>
        </w:div>
        <w:div w:id="1281494930">
          <w:marLeft w:val="0"/>
          <w:marRight w:val="0"/>
          <w:marTop w:val="0"/>
          <w:marBottom w:val="0"/>
          <w:divBdr>
            <w:top w:val="none" w:sz="0" w:space="0" w:color="auto"/>
            <w:left w:val="none" w:sz="0" w:space="0" w:color="auto"/>
            <w:bottom w:val="none" w:sz="0" w:space="0" w:color="auto"/>
            <w:right w:val="none" w:sz="0" w:space="0" w:color="auto"/>
          </w:divBdr>
        </w:div>
        <w:div w:id="1351108701">
          <w:marLeft w:val="0"/>
          <w:marRight w:val="0"/>
          <w:marTop w:val="0"/>
          <w:marBottom w:val="0"/>
          <w:divBdr>
            <w:top w:val="none" w:sz="0" w:space="0" w:color="auto"/>
            <w:left w:val="none" w:sz="0" w:space="0" w:color="auto"/>
            <w:bottom w:val="none" w:sz="0" w:space="0" w:color="auto"/>
            <w:right w:val="none" w:sz="0" w:space="0" w:color="auto"/>
          </w:divBdr>
        </w:div>
        <w:div w:id="1469519659">
          <w:marLeft w:val="0"/>
          <w:marRight w:val="0"/>
          <w:marTop w:val="0"/>
          <w:marBottom w:val="0"/>
          <w:divBdr>
            <w:top w:val="none" w:sz="0" w:space="0" w:color="auto"/>
            <w:left w:val="none" w:sz="0" w:space="0" w:color="auto"/>
            <w:bottom w:val="none" w:sz="0" w:space="0" w:color="auto"/>
            <w:right w:val="none" w:sz="0" w:space="0" w:color="auto"/>
          </w:divBdr>
        </w:div>
        <w:div w:id="1798452683">
          <w:marLeft w:val="0"/>
          <w:marRight w:val="0"/>
          <w:marTop w:val="0"/>
          <w:marBottom w:val="0"/>
          <w:divBdr>
            <w:top w:val="none" w:sz="0" w:space="0" w:color="auto"/>
            <w:left w:val="none" w:sz="0" w:space="0" w:color="auto"/>
            <w:bottom w:val="none" w:sz="0" w:space="0" w:color="auto"/>
            <w:right w:val="none" w:sz="0" w:space="0" w:color="auto"/>
          </w:divBdr>
        </w:div>
        <w:div w:id="1980912915">
          <w:marLeft w:val="0"/>
          <w:marRight w:val="0"/>
          <w:marTop w:val="0"/>
          <w:marBottom w:val="0"/>
          <w:divBdr>
            <w:top w:val="none" w:sz="0" w:space="0" w:color="auto"/>
            <w:left w:val="none" w:sz="0" w:space="0" w:color="auto"/>
            <w:bottom w:val="none" w:sz="0" w:space="0" w:color="auto"/>
            <w:right w:val="none" w:sz="0" w:space="0" w:color="auto"/>
          </w:divBdr>
        </w:div>
        <w:div w:id="2042658746">
          <w:marLeft w:val="0"/>
          <w:marRight w:val="0"/>
          <w:marTop w:val="0"/>
          <w:marBottom w:val="0"/>
          <w:divBdr>
            <w:top w:val="none" w:sz="0" w:space="0" w:color="auto"/>
            <w:left w:val="none" w:sz="0" w:space="0" w:color="auto"/>
            <w:bottom w:val="none" w:sz="0" w:space="0" w:color="auto"/>
            <w:right w:val="none" w:sz="0" w:space="0" w:color="auto"/>
          </w:divBdr>
        </w:div>
      </w:divsChild>
    </w:div>
    <w:div w:id="1800418501">
      <w:bodyDiv w:val="1"/>
      <w:marLeft w:val="0"/>
      <w:marRight w:val="0"/>
      <w:marTop w:val="0"/>
      <w:marBottom w:val="0"/>
      <w:divBdr>
        <w:top w:val="none" w:sz="0" w:space="0" w:color="auto"/>
        <w:left w:val="none" w:sz="0" w:space="0" w:color="auto"/>
        <w:bottom w:val="none" w:sz="0" w:space="0" w:color="auto"/>
        <w:right w:val="none" w:sz="0" w:space="0" w:color="auto"/>
      </w:divBdr>
    </w:div>
    <w:div w:id="1809543079">
      <w:bodyDiv w:val="1"/>
      <w:marLeft w:val="0"/>
      <w:marRight w:val="0"/>
      <w:marTop w:val="0"/>
      <w:marBottom w:val="0"/>
      <w:divBdr>
        <w:top w:val="none" w:sz="0" w:space="0" w:color="auto"/>
        <w:left w:val="none" w:sz="0" w:space="0" w:color="auto"/>
        <w:bottom w:val="none" w:sz="0" w:space="0" w:color="auto"/>
        <w:right w:val="none" w:sz="0" w:space="0" w:color="auto"/>
      </w:divBdr>
    </w:div>
    <w:div w:id="1815566798">
      <w:bodyDiv w:val="1"/>
      <w:marLeft w:val="0"/>
      <w:marRight w:val="0"/>
      <w:marTop w:val="0"/>
      <w:marBottom w:val="0"/>
      <w:divBdr>
        <w:top w:val="none" w:sz="0" w:space="0" w:color="auto"/>
        <w:left w:val="none" w:sz="0" w:space="0" w:color="auto"/>
        <w:bottom w:val="none" w:sz="0" w:space="0" w:color="auto"/>
        <w:right w:val="none" w:sz="0" w:space="0" w:color="auto"/>
      </w:divBdr>
    </w:div>
    <w:div w:id="1831217992">
      <w:bodyDiv w:val="1"/>
      <w:marLeft w:val="0"/>
      <w:marRight w:val="0"/>
      <w:marTop w:val="0"/>
      <w:marBottom w:val="0"/>
      <w:divBdr>
        <w:top w:val="none" w:sz="0" w:space="0" w:color="auto"/>
        <w:left w:val="none" w:sz="0" w:space="0" w:color="auto"/>
        <w:bottom w:val="none" w:sz="0" w:space="0" w:color="auto"/>
        <w:right w:val="none" w:sz="0" w:space="0" w:color="auto"/>
      </w:divBdr>
    </w:div>
    <w:div w:id="1856067371">
      <w:bodyDiv w:val="1"/>
      <w:marLeft w:val="0"/>
      <w:marRight w:val="0"/>
      <w:marTop w:val="0"/>
      <w:marBottom w:val="0"/>
      <w:divBdr>
        <w:top w:val="none" w:sz="0" w:space="0" w:color="auto"/>
        <w:left w:val="none" w:sz="0" w:space="0" w:color="auto"/>
        <w:bottom w:val="none" w:sz="0" w:space="0" w:color="auto"/>
        <w:right w:val="none" w:sz="0" w:space="0" w:color="auto"/>
      </w:divBdr>
    </w:div>
    <w:div w:id="1856386889">
      <w:bodyDiv w:val="1"/>
      <w:marLeft w:val="0"/>
      <w:marRight w:val="0"/>
      <w:marTop w:val="0"/>
      <w:marBottom w:val="0"/>
      <w:divBdr>
        <w:top w:val="none" w:sz="0" w:space="0" w:color="auto"/>
        <w:left w:val="none" w:sz="0" w:space="0" w:color="auto"/>
        <w:bottom w:val="none" w:sz="0" w:space="0" w:color="auto"/>
        <w:right w:val="none" w:sz="0" w:space="0" w:color="auto"/>
      </w:divBdr>
    </w:div>
    <w:div w:id="1865942260">
      <w:bodyDiv w:val="1"/>
      <w:marLeft w:val="0"/>
      <w:marRight w:val="0"/>
      <w:marTop w:val="0"/>
      <w:marBottom w:val="0"/>
      <w:divBdr>
        <w:top w:val="none" w:sz="0" w:space="0" w:color="auto"/>
        <w:left w:val="none" w:sz="0" w:space="0" w:color="auto"/>
        <w:bottom w:val="none" w:sz="0" w:space="0" w:color="auto"/>
        <w:right w:val="none" w:sz="0" w:space="0" w:color="auto"/>
      </w:divBdr>
    </w:div>
    <w:div w:id="1869487521">
      <w:bodyDiv w:val="1"/>
      <w:marLeft w:val="0"/>
      <w:marRight w:val="0"/>
      <w:marTop w:val="0"/>
      <w:marBottom w:val="0"/>
      <w:divBdr>
        <w:top w:val="none" w:sz="0" w:space="0" w:color="auto"/>
        <w:left w:val="none" w:sz="0" w:space="0" w:color="auto"/>
        <w:bottom w:val="none" w:sz="0" w:space="0" w:color="auto"/>
        <w:right w:val="none" w:sz="0" w:space="0" w:color="auto"/>
      </w:divBdr>
    </w:div>
    <w:div w:id="1875117880">
      <w:bodyDiv w:val="1"/>
      <w:marLeft w:val="0"/>
      <w:marRight w:val="0"/>
      <w:marTop w:val="0"/>
      <w:marBottom w:val="0"/>
      <w:divBdr>
        <w:top w:val="none" w:sz="0" w:space="0" w:color="auto"/>
        <w:left w:val="none" w:sz="0" w:space="0" w:color="auto"/>
        <w:bottom w:val="none" w:sz="0" w:space="0" w:color="auto"/>
        <w:right w:val="none" w:sz="0" w:space="0" w:color="auto"/>
      </w:divBdr>
    </w:div>
    <w:div w:id="1875269161">
      <w:bodyDiv w:val="1"/>
      <w:marLeft w:val="0"/>
      <w:marRight w:val="0"/>
      <w:marTop w:val="0"/>
      <w:marBottom w:val="0"/>
      <w:divBdr>
        <w:top w:val="none" w:sz="0" w:space="0" w:color="auto"/>
        <w:left w:val="none" w:sz="0" w:space="0" w:color="auto"/>
        <w:bottom w:val="none" w:sz="0" w:space="0" w:color="auto"/>
        <w:right w:val="none" w:sz="0" w:space="0" w:color="auto"/>
      </w:divBdr>
    </w:div>
    <w:div w:id="1880243828">
      <w:bodyDiv w:val="1"/>
      <w:marLeft w:val="0"/>
      <w:marRight w:val="0"/>
      <w:marTop w:val="0"/>
      <w:marBottom w:val="0"/>
      <w:divBdr>
        <w:top w:val="none" w:sz="0" w:space="0" w:color="auto"/>
        <w:left w:val="none" w:sz="0" w:space="0" w:color="auto"/>
        <w:bottom w:val="none" w:sz="0" w:space="0" w:color="auto"/>
        <w:right w:val="none" w:sz="0" w:space="0" w:color="auto"/>
      </w:divBdr>
    </w:div>
    <w:div w:id="1885603193">
      <w:bodyDiv w:val="1"/>
      <w:marLeft w:val="0"/>
      <w:marRight w:val="0"/>
      <w:marTop w:val="0"/>
      <w:marBottom w:val="0"/>
      <w:divBdr>
        <w:top w:val="none" w:sz="0" w:space="0" w:color="auto"/>
        <w:left w:val="none" w:sz="0" w:space="0" w:color="auto"/>
        <w:bottom w:val="none" w:sz="0" w:space="0" w:color="auto"/>
        <w:right w:val="none" w:sz="0" w:space="0" w:color="auto"/>
      </w:divBdr>
    </w:div>
    <w:div w:id="1892886441">
      <w:bodyDiv w:val="1"/>
      <w:marLeft w:val="0"/>
      <w:marRight w:val="0"/>
      <w:marTop w:val="0"/>
      <w:marBottom w:val="0"/>
      <w:divBdr>
        <w:top w:val="none" w:sz="0" w:space="0" w:color="auto"/>
        <w:left w:val="none" w:sz="0" w:space="0" w:color="auto"/>
        <w:bottom w:val="none" w:sz="0" w:space="0" w:color="auto"/>
        <w:right w:val="none" w:sz="0" w:space="0" w:color="auto"/>
      </w:divBdr>
    </w:div>
    <w:div w:id="1900748928">
      <w:bodyDiv w:val="1"/>
      <w:marLeft w:val="0"/>
      <w:marRight w:val="0"/>
      <w:marTop w:val="0"/>
      <w:marBottom w:val="0"/>
      <w:divBdr>
        <w:top w:val="none" w:sz="0" w:space="0" w:color="auto"/>
        <w:left w:val="none" w:sz="0" w:space="0" w:color="auto"/>
        <w:bottom w:val="none" w:sz="0" w:space="0" w:color="auto"/>
        <w:right w:val="none" w:sz="0" w:space="0" w:color="auto"/>
      </w:divBdr>
    </w:div>
    <w:div w:id="1901476437">
      <w:bodyDiv w:val="1"/>
      <w:marLeft w:val="0"/>
      <w:marRight w:val="0"/>
      <w:marTop w:val="0"/>
      <w:marBottom w:val="0"/>
      <w:divBdr>
        <w:top w:val="none" w:sz="0" w:space="0" w:color="auto"/>
        <w:left w:val="none" w:sz="0" w:space="0" w:color="auto"/>
        <w:bottom w:val="none" w:sz="0" w:space="0" w:color="auto"/>
        <w:right w:val="none" w:sz="0" w:space="0" w:color="auto"/>
      </w:divBdr>
    </w:div>
    <w:div w:id="1922565986">
      <w:bodyDiv w:val="1"/>
      <w:marLeft w:val="0"/>
      <w:marRight w:val="0"/>
      <w:marTop w:val="0"/>
      <w:marBottom w:val="0"/>
      <w:divBdr>
        <w:top w:val="none" w:sz="0" w:space="0" w:color="auto"/>
        <w:left w:val="none" w:sz="0" w:space="0" w:color="auto"/>
        <w:bottom w:val="none" w:sz="0" w:space="0" w:color="auto"/>
        <w:right w:val="none" w:sz="0" w:space="0" w:color="auto"/>
      </w:divBdr>
    </w:div>
    <w:div w:id="1930306849">
      <w:bodyDiv w:val="1"/>
      <w:marLeft w:val="0"/>
      <w:marRight w:val="0"/>
      <w:marTop w:val="0"/>
      <w:marBottom w:val="0"/>
      <w:divBdr>
        <w:top w:val="none" w:sz="0" w:space="0" w:color="auto"/>
        <w:left w:val="none" w:sz="0" w:space="0" w:color="auto"/>
        <w:bottom w:val="none" w:sz="0" w:space="0" w:color="auto"/>
        <w:right w:val="none" w:sz="0" w:space="0" w:color="auto"/>
      </w:divBdr>
    </w:div>
    <w:div w:id="1938443462">
      <w:bodyDiv w:val="1"/>
      <w:marLeft w:val="0"/>
      <w:marRight w:val="0"/>
      <w:marTop w:val="0"/>
      <w:marBottom w:val="0"/>
      <w:divBdr>
        <w:top w:val="none" w:sz="0" w:space="0" w:color="auto"/>
        <w:left w:val="none" w:sz="0" w:space="0" w:color="auto"/>
        <w:bottom w:val="none" w:sz="0" w:space="0" w:color="auto"/>
        <w:right w:val="none" w:sz="0" w:space="0" w:color="auto"/>
      </w:divBdr>
    </w:div>
    <w:div w:id="1939024741">
      <w:bodyDiv w:val="1"/>
      <w:marLeft w:val="0"/>
      <w:marRight w:val="0"/>
      <w:marTop w:val="0"/>
      <w:marBottom w:val="0"/>
      <w:divBdr>
        <w:top w:val="none" w:sz="0" w:space="0" w:color="auto"/>
        <w:left w:val="none" w:sz="0" w:space="0" w:color="auto"/>
        <w:bottom w:val="none" w:sz="0" w:space="0" w:color="auto"/>
        <w:right w:val="none" w:sz="0" w:space="0" w:color="auto"/>
      </w:divBdr>
    </w:div>
    <w:div w:id="1946575411">
      <w:bodyDiv w:val="1"/>
      <w:marLeft w:val="0"/>
      <w:marRight w:val="0"/>
      <w:marTop w:val="0"/>
      <w:marBottom w:val="0"/>
      <w:divBdr>
        <w:top w:val="none" w:sz="0" w:space="0" w:color="auto"/>
        <w:left w:val="none" w:sz="0" w:space="0" w:color="auto"/>
        <w:bottom w:val="none" w:sz="0" w:space="0" w:color="auto"/>
        <w:right w:val="none" w:sz="0" w:space="0" w:color="auto"/>
      </w:divBdr>
    </w:div>
    <w:div w:id="1949583431">
      <w:bodyDiv w:val="1"/>
      <w:marLeft w:val="0"/>
      <w:marRight w:val="0"/>
      <w:marTop w:val="0"/>
      <w:marBottom w:val="0"/>
      <w:divBdr>
        <w:top w:val="none" w:sz="0" w:space="0" w:color="auto"/>
        <w:left w:val="none" w:sz="0" w:space="0" w:color="auto"/>
        <w:bottom w:val="none" w:sz="0" w:space="0" w:color="auto"/>
        <w:right w:val="none" w:sz="0" w:space="0" w:color="auto"/>
      </w:divBdr>
    </w:div>
    <w:div w:id="1950894387">
      <w:bodyDiv w:val="1"/>
      <w:marLeft w:val="0"/>
      <w:marRight w:val="0"/>
      <w:marTop w:val="0"/>
      <w:marBottom w:val="0"/>
      <w:divBdr>
        <w:top w:val="none" w:sz="0" w:space="0" w:color="auto"/>
        <w:left w:val="none" w:sz="0" w:space="0" w:color="auto"/>
        <w:bottom w:val="none" w:sz="0" w:space="0" w:color="auto"/>
        <w:right w:val="none" w:sz="0" w:space="0" w:color="auto"/>
      </w:divBdr>
    </w:div>
    <w:div w:id="1956981511">
      <w:bodyDiv w:val="1"/>
      <w:marLeft w:val="0"/>
      <w:marRight w:val="0"/>
      <w:marTop w:val="0"/>
      <w:marBottom w:val="0"/>
      <w:divBdr>
        <w:top w:val="none" w:sz="0" w:space="0" w:color="auto"/>
        <w:left w:val="none" w:sz="0" w:space="0" w:color="auto"/>
        <w:bottom w:val="none" w:sz="0" w:space="0" w:color="auto"/>
        <w:right w:val="none" w:sz="0" w:space="0" w:color="auto"/>
      </w:divBdr>
    </w:div>
    <w:div w:id="1962110157">
      <w:bodyDiv w:val="1"/>
      <w:marLeft w:val="0"/>
      <w:marRight w:val="0"/>
      <w:marTop w:val="0"/>
      <w:marBottom w:val="0"/>
      <w:divBdr>
        <w:top w:val="none" w:sz="0" w:space="0" w:color="auto"/>
        <w:left w:val="none" w:sz="0" w:space="0" w:color="auto"/>
        <w:bottom w:val="none" w:sz="0" w:space="0" w:color="auto"/>
        <w:right w:val="none" w:sz="0" w:space="0" w:color="auto"/>
      </w:divBdr>
    </w:div>
    <w:div w:id="1976324828">
      <w:bodyDiv w:val="1"/>
      <w:marLeft w:val="0"/>
      <w:marRight w:val="0"/>
      <w:marTop w:val="0"/>
      <w:marBottom w:val="0"/>
      <w:divBdr>
        <w:top w:val="none" w:sz="0" w:space="0" w:color="auto"/>
        <w:left w:val="none" w:sz="0" w:space="0" w:color="auto"/>
        <w:bottom w:val="none" w:sz="0" w:space="0" w:color="auto"/>
        <w:right w:val="none" w:sz="0" w:space="0" w:color="auto"/>
      </w:divBdr>
    </w:div>
    <w:div w:id="1987514935">
      <w:bodyDiv w:val="1"/>
      <w:marLeft w:val="0"/>
      <w:marRight w:val="0"/>
      <w:marTop w:val="0"/>
      <w:marBottom w:val="0"/>
      <w:divBdr>
        <w:top w:val="none" w:sz="0" w:space="0" w:color="auto"/>
        <w:left w:val="none" w:sz="0" w:space="0" w:color="auto"/>
        <w:bottom w:val="none" w:sz="0" w:space="0" w:color="auto"/>
        <w:right w:val="none" w:sz="0" w:space="0" w:color="auto"/>
      </w:divBdr>
    </w:div>
    <w:div w:id="1988170447">
      <w:bodyDiv w:val="1"/>
      <w:marLeft w:val="0"/>
      <w:marRight w:val="0"/>
      <w:marTop w:val="0"/>
      <w:marBottom w:val="0"/>
      <w:divBdr>
        <w:top w:val="none" w:sz="0" w:space="0" w:color="auto"/>
        <w:left w:val="none" w:sz="0" w:space="0" w:color="auto"/>
        <w:bottom w:val="none" w:sz="0" w:space="0" w:color="auto"/>
        <w:right w:val="none" w:sz="0" w:space="0" w:color="auto"/>
      </w:divBdr>
    </w:div>
    <w:div w:id="1990552036">
      <w:bodyDiv w:val="1"/>
      <w:marLeft w:val="0"/>
      <w:marRight w:val="0"/>
      <w:marTop w:val="0"/>
      <w:marBottom w:val="0"/>
      <w:divBdr>
        <w:top w:val="none" w:sz="0" w:space="0" w:color="auto"/>
        <w:left w:val="none" w:sz="0" w:space="0" w:color="auto"/>
        <w:bottom w:val="none" w:sz="0" w:space="0" w:color="auto"/>
        <w:right w:val="none" w:sz="0" w:space="0" w:color="auto"/>
      </w:divBdr>
    </w:div>
    <w:div w:id="1998414964">
      <w:bodyDiv w:val="1"/>
      <w:marLeft w:val="0"/>
      <w:marRight w:val="0"/>
      <w:marTop w:val="0"/>
      <w:marBottom w:val="0"/>
      <w:divBdr>
        <w:top w:val="none" w:sz="0" w:space="0" w:color="auto"/>
        <w:left w:val="none" w:sz="0" w:space="0" w:color="auto"/>
        <w:bottom w:val="none" w:sz="0" w:space="0" w:color="auto"/>
        <w:right w:val="none" w:sz="0" w:space="0" w:color="auto"/>
      </w:divBdr>
    </w:div>
    <w:div w:id="2012441845">
      <w:bodyDiv w:val="1"/>
      <w:marLeft w:val="0"/>
      <w:marRight w:val="0"/>
      <w:marTop w:val="0"/>
      <w:marBottom w:val="0"/>
      <w:divBdr>
        <w:top w:val="none" w:sz="0" w:space="0" w:color="auto"/>
        <w:left w:val="none" w:sz="0" w:space="0" w:color="auto"/>
        <w:bottom w:val="none" w:sz="0" w:space="0" w:color="auto"/>
        <w:right w:val="none" w:sz="0" w:space="0" w:color="auto"/>
      </w:divBdr>
    </w:div>
    <w:div w:id="2016759917">
      <w:bodyDiv w:val="1"/>
      <w:marLeft w:val="0"/>
      <w:marRight w:val="0"/>
      <w:marTop w:val="0"/>
      <w:marBottom w:val="0"/>
      <w:divBdr>
        <w:top w:val="none" w:sz="0" w:space="0" w:color="auto"/>
        <w:left w:val="none" w:sz="0" w:space="0" w:color="auto"/>
        <w:bottom w:val="none" w:sz="0" w:space="0" w:color="auto"/>
        <w:right w:val="none" w:sz="0" w:space="0" w:color="auto"/>
      </w:divBdr>
    </w:div>
    <w:div w:id="2027562422">
      <w:bodyDiv w:val="1"/>
      <w:marLeft w:val="0"/>
      <w:marRight w:val="0"/>
      <w:marTop w:val="0"/>
      <w:marBottom w:val="0"/>
      <w:divBdr>
        <w:top w:val="none" w:sz="0" w:space="0" w:color="auto"/>
        <w:left w:val="none" w:sz="0" w:space="0" w:color="auto"/>
        <w:bottom w:val="none" w:sz="0" w:space="0" w:color="auto"/>
        <w:right w:val="none" w:sz="0" w:space="0" w:color="auto"/>
      </w:divBdr>
    </w:div>
    <w:div w:id="2030402924">
      <w:bodyDiv w:val="1"/>
      <w:marLeft w:val="0"/>
      <w:marRight w:val="0"/>
      <w:marTop w:val="0"/>
      <w:marBottom w:val="0"/>
      <w:divBdr>
        <w:top w:val="none" w:sz="0" w:space="0" w:color="auto"/>
        <w:left w:val="none" w:sz="0" w:space="0" w:color="auto"/>
        <w:bottom w:val="none" w:sz="0" w:space="0" w:color="auto"/>
        <w:right w:val="none" w:sz="0" w:space="0" w:color="auto"/>
      </w:divBdr>
    </w:div>
    <w:div w:id="2044818458">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56003143">
      <w:bodyDiv w:val="1"/>
      <w:marLeft w:val="0"/>
      <w:marRight w:val="0"/>
      <w:marTop w:val="0"/>
      <w:marBottom w:val="0"/>
      <w:divBdr>
        <w:top w:val="none" w:sz="0" w:space="0" w:color="auto"/>
        <w:left w:val="none" w:sz="0" w:space="0" w:color="auto"/>
        <w:bottom w:val="none" w:sz="0" w:space="0" w:color="auto"/>
        <w:right w:val="none" w:sz="0" w:space="0" w:color="auto"/>
      </w:divBdr>
    </w:div>
    <w:div w:id="2062093190">
      <w:bodyDiv w:val="1"/>
      <w:marLeft w:val="0"/>
      <w:marRight w:val="0"/>
      <w:marTop w:val="0"/>
      <w:marBottom w:val="0"/>
      <w:divBdr>
        <w:top w:val="none" w:sz="0" w:space="0" w:color="auto"/>
        <w:left w:val="none" w:sz="0" w:space="0" w:color="auto"/>
        <w:bottom w:val="none" w:sz="0" w:space="0" w:color="auto"/>
        <w:right w:val="none" w:sz="0" w:space="0" w:color="auto"/>
      </w:divBdr>
    </w:div>
    <w:div w:id="2069066650">
      <w:bodyDiv w:val="1"/>
      <w:marLeft w:val="0"/>
      <w:marRight w:val="0"/>
      <w:marTop w:val="0"/>
      <w:marBottom w:val="0"/>
      <w:divBdr>
        <w:top w:val="none" w:sz="0" w:space="0" w:color="auto"/>
        <w:left w:val="none" w:sz="0" w:space="0" w:color="auto"/>
        <w:bottom w:val="none" w:sz="0" w:space="0" w:color="auto"/>
        <w:right w:val="none" w:sz="0" w:space="0" w:color="auto"/>
      </w:divBdr>
    </w:div>
    <w:div w:id="2069957125">
      <w:bodyDiv w:val="1"/>
      <w:marLeft w:val="0"/>
      <w:marRight w:val="0"/>
      <w:marTop w:val="0"/>
      <w:marBottom w:val="0"/>
      <w:divBdr>
        <w:top w:val="none" w:sz="0" w:space="0" w:color="auto"/>
        <w:left w:val="none" w:sz="0" w:space="0" w:color="auto"/>
        <w:bottom w:val="none" w:sz="0" w:space="0" w:color="auto"/>
        <w:right w:val="none" w:sz="0" w:space="0" w:color="auto"/>
      </w:divBdr>
    </w:div>
    <w:div w:id="2078672524">
      <w:bodyDiv w:val="1"/>
      <w:marLeft w:val="0"/>
      <w:marRight w:val="0"/>
      <w:marTop w:val="0"/>
      <w:marBottom w:val="0"/>
      <w:divBdr>
        <w:top w:val="none" w:sz="0" w:space="0" w:color="auto"/>
        <w:left w:val="none" w:sz="0" w:space="0" w:color="auto"/>
        <w:bottom w:val="none" w:sz="0" w:space="0" w:color="auto"/>
        <w:right w:val="none" w:sz="0" w:space="0" w:color="auto"/>
      </w:divBdr>
    </w:div>
    <w:div w:id="2080708986">
      <w:bodyDiv w:val="1"/>
      <w:marLeft w:val="0"/>
      <w:marRight w:val="0"/>
      <w:marTop w:val="0"/>
      <w:marBottom w:val="0"/>
      <w:divBdr>
        <w:top w:val="none" w:sz="0" w:space="0" w:color="auto"/>
        <w:left w:val="none" w:sz="0" w:space="0" w:color="auto"/>
        <w:bottom w:val="none" w:sz="0" w:space="0" w:color="auto"/>
        <w:right w:val="none" w:sz="0" w:space="0" w:color="auto"/>
      </w:divBdr>
    </w:div>
    <w:div w:id="2081974219">
      <w:bodyDiv w:val="1"/>
      <w:marLeft w:val="0"/>
      <w:marRight w:val="0"/>
      <w:marTop w:val="0"/>
      <w:marBottom w:val="0"/>
      <w:divBdr>
        <w:top w:val="none" w:sz="0" w:space="0" w:color="auto"/>
        <w:left w:val="none" w:sz="0" w:space="0" w:color="auto"/>
        <w:bottom w:val="none" w:sz="0" w:space="0" w:color="auto"/>
        <w:right w:val="none" w:sz="0" w:space="0" w:color="auto"/>
      </w:divBdr>
    </w:div>
    <w:div w:id="2097313412">
      <w:bodyDiv w:val="1"/>
      <w:marLeft w:val="0"/>
      <w:marRight w:val="0"/>
      <w:marTop w:val="0"/>
      <w:marBottom w:val="0"/>
      <w:divBdr>
        <w:top w:val="none" w:sz="0" w:space="0" w:color="auto"/>
        <w:left w:val="none" w:sz="0" w:space="0" w:color="auto"/>
        <w:bottom w:val="none" w:sz="0" w:space="0" w:color="auto"/>
        <w:right w:val="none" w:sz="0" w:space="0" w:color="auto"/>
      </w:divBdr>
    </w:div>
    <w:div w:id="2099012605">
      <w:bodyDiv w:val="1"/>
      <w:marLeft w:val="0"/>
      <w:marRight w:val="0"/>
      <w:marTop w:val="0"/>
      <w:marBottom w:val="0"/>
      <w:divBdr>
        <w:top w:val="none" w:sz="0" w:space="0" w:color="auto"/>
        <w:left w:val="none" w:sz="0" w:space="0" w:color="auto"/>
        <w:bottom w:val="none" w:sz="0" w:space="0" w:color="auto"/>
        <w:right w:val="none" w:sz="0" w:space="0" w:color="auto"/>
      </w:divBdr>
    </w:div>
    <w:div w:id="2101484853">
      <w:bodyDiv w:val="1"/>
      <w:marLeft w:val="0"/>
      <w:marRight w:val="0"/>
      <w:marTop w:val="0"/>
      <w:marBottom w:val="0"/>
      <w:divBdr>
        <w:top w:val="none" w:sz="0" w:space="0" w:color="auto"/>
        <w:left w:val="none" w:sz="0" w:space="0" w:color="auto"/>
        <w:bottom w:val="none" w:sz="0" w:space="0" w:color="auto"/>
        <w:right w:val="none" w:sz="0" w:space="0" w:color="auto"/>
      </w:divBdr>
    </w:div>
    <w:div w:id="2109110821">
      <w:bodyDiv w:val="1"/>
      <w:marLeft w:val="0"/>
      <w:marRight w:val="0"/>
      <w:marTop w:val="0"/>
      <w:marBottom w:val="0"/>
      <w:divBdr>
        <w:top w:val="none" w:sz="0" w:space="0" w:color="auto"/>
        <w:left w:val="none" w:sz="0" w:space="0" w:color="auto"/>
        <w:bottom w:val="none" w:sz="0" w:space="0" w:color="auto"/>
        <w:right w:val="none" w:sz="0" w:space="0" w:color="auto"/>
      </w:divBdr>
    </w:div>
    <w:div w:id="2114128301">
      <w:bodyDiv w:val="1"/>
      <w:marLeft w:val="0"/>
      <w:marRight w:val="0"/>
      <w:marTop w:val="0"/>
      <w:marBottom w:val="0"/>
      <w:divBdr>
        <w:top w:val="none" w:sz="0" w:space="0" w:color="auto"/>
        <w:left w:val="none" w:sz="0" w:space="0" w:color="auto"/>
        <w:bottom w:val="none" w:sz="0" w:space="0" w:color="auto"/>
        <w:right w:val="none" w:sz="0" w:space="0" w:color="auto"/>
      </w:divBdr>
    </w:div>
    <w:div w:id="213066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enu.hr/"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narodne-novine.nn.hr/clanci/sluzbeni/2015_02_18_389.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u.hr"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euc-word-edit.officeapps.live.com/we/wordeditorframe.aspx?ui=en%2DUS&amp;rs=en%2DUS&amp;wopisrc=https%3A%2F%2Fmgipu365-my.sharepoint.com%2Fpersonal%2Fnevena_strbic_mgipu_hr%2F_vti_bin%2Fwopi.ashx%2Ffiles%2F117c4426fbed4a3290c3ac9837e91008&amp;wdenableroaming=1&amp;wdfr=1&amp;mscc=1&amp;wdodb=1&amp;hid=51CCF79F-C06A-3000-0660-EA75D999A606&amp;wdorigin=ItemsView&amp;wdhostclicktime=1633875934595&amp;jsapi=1&amp;jsapiver=v1&amp;newsession=1&amp;corrid=f17ca403-7e15-85d0-65d2-28ee943c4d5e&amp;usid=f17ca403-7e15-85d0-65d2-28ee943c4d5e&amp;sftc=1&amp;mtf=1&amp;sfp=1&amp;instantedit=1&amp;wopicomplete=1&amp;wdredirectionreason=Unified_SingleFlush&amp;preseededsessionkey=0569a3a8-1518-8476-3cd9-8188da13f312&amp;preseededwacsessionid=f17ca403-7e15-85d0-65d2-28ee943c4d5e&amp;rct=Medium&amp;ctp=LeastProtec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ingor.gov.hr/o-ministarstvu-1065/djelokrug-4925/energetika/energetska-politika-i-planiranje/strategije-planovi-i-programi-2009/2009" TargetMode="External"/><Relationship Id="rId7" Type="http://schemas.openxmlformats.org/officeDocument/2006/relationships/hyperlink" Target="https://eur-lex.europa.eu/legal-content/HR/TXT/PDF/?uri=CELEX:32021R1060&amp;from=EN" TargetMode="External"/><Relationship Id="rId2" Type="http://schemas.openxmlformats.org/officeDocument/2006/relationships/hyperlink" Target="https://ec.europa.eu/energy/topics/energy-efficiency/energy-efficient-buildings/renovation-wave_en" TargetMode="External"/><Relationship Id="rId1" Type="http://schemas.openxmlformats.org/officeDocument/2006/relationships/hyperlink" Target="https://ec.europa.eu/info/strategy/priorities-2019-2024/european-green-deal_en" TargetMode="External"/><Relationship Id="rId6" Type="http://schemas.openxmlformats.org/officeDocument/2006/relationships/hyperlink" Target="https://mgipu.gov.hr/UserDocsImages/dokumenti/EnergetskaUcinkovitost/DSO_14.12.2020.pdf" TargetMode="External"/><Relationship Id="rId5" Type="http://schemas.openxmlformats.org/officeDocument/2006/relationships/hyperlink" Target="https://mgipu.gov.hr/UserDocsImages/dokumenti/EnergetskaUcinkovitost/DSO_14.12.2020.pdf" TargetMode="External"/><Relationship Id="rId4" Type="http://schemas.openxmlformats.org/officeDocument/2006/relationships/hyperlink" Target="http://apn.hr/app/uploads/2019/03/Status-Programa-2014-201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52B8FEBF6404F907F0AE3864F656B"/>
        <w:category>
          <w:name w:val="General"/>
          <w:gallery w:val="placeholder"/>
        </w:category>
        <w:types>
          <w:type w:val="bbPlcHdr"/>
        </w:types>
        <w:behaviors>
          <w:behavior w:val="content"/>
        </w:behaviors>
        <w:guid w:val="{410D85BC-E9F5-44E6-AE6D-77A91521EE16}"/>
      </w:docPartPr>
      <w:docPartBody>
        <w:p w:rsidR="00D77325" w:rsidRDefault="00EA3B56">
          <w:r>
            <w:rPr>
              <w:rStyle w:val="Tekstrezerviranogmjesta"/>
              <w:rFonts w:eastAsiaTheme="minorHAnsi"/>
              <w:b/>
              <w:color w:val="999999"/>
              <w:szCs w:val="20"/>
              <w:highlight w:val="cyan"/>
            </w:rPr>
            <w:t>Naziv naručitelja</w:t>
          </w:r>
          <w:r w:rsidRPr="00EF1777">
            <w:rPr>
              <w:rStyle w:val="Tekstrezerviranogmjesta"/>
              <w:rFonts w:eastAsiaTheme="minorHAnsi"/>
              <w:b/>
              <w:color w:val="999999"/>
              <w:szCs w:val="20"/>
              <w:highlight w:val="cyan"/>
            </w:rPr>
            <w:t xml:space="preserve"> (klik i edit polje)</w:t>
          </w:r>
        </w:p>
      </w:docPartBody>
    </w:docPart>
    <w:docPart>
      <w:docPartPr>
        <w:name w:val="CF6BDB43F0B4423C8864AA11E102F824"/>
        <w:category>
          <w:name w:val="General"/>
          <w:gallery w:val="placeholder"/>
        </w:category>
        <w:types>
          <w:type w:val="bbPlcHdr"/>
        </w:types>
        <w:behaviors>
          <w:behavior w:val="content"/>
        </w:behaviors>
        <w:guid w:val="{E1275379-9BFE-44F1-9D8C-657491962001}"/>
      </w:docPartPr>
      <w:docPartBody>
        <w:p w:rsidR="00900DFA" w:rsidRDefault="00900DFA" w:rsidP="00900DFA">
          <w:pPr>
            <w:pStyle w:val="CF6BDB43F0B4423C8864AA11E102F824"/>
          </w:pPr>
          <w:r w:rsidRPr="00EF1777">
            <w:rPr>
              <w:b/>
              <w:color w:val="999999"/>
              <w:highlight w:val="cyan"/>
            </w:rPr>
            <w:t>prosinac 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3D0"/>
    <w:rsid w:val="000148F7"/>
    <w:rsid w:val="00014DD9"/>
    <w:rsid w:val="00035186"/>
    <w:rsid w:val="00050CAD"/>
    <w:rsid w:val="00054980"/>
    <w:rsid w:val="00064099"/>
    <w:rsid w:val="000A5093"/>
    <w:rsid w:val="000F4077"/>
    <w:rsid w:val="001176C4"/>
    <w:rsid w:val="00117DBA"/>
    <w:rsid w:val="00122FEA"/>
    <w:rsid w:val="00160CF0"/>
    <w:rsid w:val="001641F6"/>
    <w:rsid w:val="00170287"/>
    <w:rsid w:val="00193652"/>
    <w:rsid w:val="001A1F71"/>
    <w:rsid w:val="001A26CD"/>
    <w:rsid w:val="001A2E6E"/>
    <w:rsid w:val="001A5B86"/>
    <w:rsid w:val="001B42B8"/>
    <w:rsid w:val="001B51E7"/>
    <w:rsid w:val="001C65A7"/>
    <w:rsid w:val="001D0CBA"/>
    <w:rsid w:val="001D3900"/>
    <w:rsid w:val="001E246B"/>
    <w:rsid w:val="0020720D"/>
    <w:rsid w:val="00211BEC"/>
    <w:rsid w:val="002160C2"/>
    <w:rsid w:val="00220394"/>
    <w:rsid w:val="00222F63"/>
    <w:rsid w:val="002400BF"/>
    <w:rsid w:val="00244462"/>
    <w:rsid w:val="00250BC0"/>
    <w:rsid w:val="0025743A"/>
    <w:rsid w:val="00261AA5"/>
    <w:rsid w:val="002634CE"/>
    <w:rsid w:val="002726CF"/>
    <w:rsid w:val="0027663A"/>
    <w:rsid w:val="002A29C8"/>
    <w:rsid w:val="002B0D52"/>
    <w:rsid w:val="002C554B"/>
    <w:rsid w:val="002C7364"/>
    <w:rsid w:val="002D4E13"/>
    <w:rsid w:val="002E1D28"/>
    <w:rsid w:val="00300070"/>
    <w:rsid w:val="003168B8"/>
    <w:rsid w:val="00345D59"/>
    <w:rsid w:val="003756A5"/>
    <w:rsid w:val="00375FDB"/>
    <w:rsid w:val="0038360A"/>
    <w:rsid w:val="00383B8A"/>
    <w:rsid w:val="003A56F4"/>
    <w:rsid w:val="003B5470"/>
    <w:rsid w:val="003C62EB"/>
    <w:rsid w:val="003D125E"/>
    <w:rsid w:val="003D7288"/>
    <w:rsid w:val="003E4796"/>
    <w:rsid w:val="003E706F"/>
    <w:rsid w:val="004068C6"/>
    <w:rsid w:val="00437566"/>
    <w:rsid w:val="00445842"/>
    <w:rsid w:val="0045547D"/>
    <w:rsid w:val="00457EC9"/>
    <w:rsid w:val="00463AC4"/>
    <w:rsid w:val="00465B35"/>
    <w:rsid w:val="004809A1"/>
    <w:rsid w:val="004B1DAF"/>
    <w:rsid w:val="004B65BE"/>
    <w:rsid w:val="004B709F"/>
    <w:rsid w:val="004C0C6D"/>
    <w:rsid w:val="004C1D99"/>
    <w:rsid w:val="004E025F"/>
    <w:rsid w:val="00501C6A"/>
    <w:rsid w:val="0051672F"/>
    <w:rsid w:val="00560C31"/>
    <w:rsid w:val="005650EE"/>
    <w:rsid w:val="005A7A1B"/>
    <w:rsid w:val="005B6406"/>
    <w:rsid w:val="005C6596"/>
    <w:rsid w:val="005E4153"/>
    <w:rsid w:val="00615D7B"/>
    <w:rsid w:val="00616D8D"/>
    <w:rsid w:val="00631BE4"/>
    <w:rsid w:val="0063455C"/>
    <w:rsid w:val="00650227"/>
    <w:rsid w:val="00656C77"/>
    <w:rsid w:val="00660472"/>
    <w:rsid w:val="00661D4A"/>
    <w:rsid w:val="00682D8B"/>
    <w:rsid w:val="006A3576"/>
    <w:rsid w:val="006D1CFB"/>
    <w:rsid w:val="006E68EA"/>
    <w:rsid w:val="006E6E5D"/>
    <w:rsid w:val="006F33D0"/>
    <w:rsid w:val="006F6276"/>
    <w:rsid w:val="007034E1"/>
    <w:rsid w:val="0071051D"/>
    <w:rsid w:val="00710CDD"/>
    <w:rsid w:val="0071263F"/>
    <w:rsid w:val="0071646D"/>
    <w:rsid w:val="00722569"/>
    <w:rsid w:val="0072313C"/>
    <w:rsid w:val="00737498"/>
    <w:rsid w:val="00752200"/>
    <w:rsid w:val="00793F7B"/>
    <w:rsid w:val="00794290"/>
    <w:rsid w:val="007D26C7"/>
    <w:rsid w:val="007E1C62"/>
    <w:rsid w:val="007E2C1B"/>
    <w:rsid w:val="007E3526"/>
    <w:rsid w:val="007E4F44"/>
    <w:rsid w:val="007E550B"/>
    <w:rsid w:val="007E59AC"/>
    <w:rsid w:val="0081547B"/>
    <w:rsid w:val="00815E76"/>
    <w:rsid w:val="00824012"/>
    <w:rsid w:val="008323E2"/>
    <w:rsid w:val="00856883"/>
    <w:rsid w:val="00861072"/>
    <w:rsid w:val="008713DA"/>
    <w:rsid w:val="008738B9"/>
    <w:rsid w:val="0088041F"/>
    <w:rsid w:val="008B20D6"/>
    <w:rsid w:val="008B5033"/>
    <w:rsid w:val="00900DFA"/>
    <w:rsid w:val="00911E79"/>
    <w:rsid w:val="0094132B"/>
    <w:rsid w:val="00957BC0"/>
    <w:rsid w:val="00973679"/>
    <w:rsid w:val="00987B74"/>
    <w:rsid w:val="00993858"/>
    <w:rsid w:val="009B0F58"/>
    <w:rsid w:val="009B330D"/>
    <w:rsid w:val="009D4A1D"/>
    <w:rsid w:val="009E3214"/>
    <w:rsid w:val="009E531A"/>
    <w:rsid w:val="00A03B99"/>
    <w:rsid w:val="00A370A9"/>
    <w:rsid w:val="00A73F9B"/>
    <w:rsid w:val="00A85163"/>
    <w:rsid w:val="00A96A41"/>
    <w:rsid w:val="00AA1F58"/>
    <w:rsid w:val="00AB04D9"/>
    <w:rsid w:val="00AB5A4B"/>
    <w:rsid w:val="00AB5AE5"/>
    <w:rsid w:val="00AD792E"/>
    <w:rsid w:val="00AF4E16"/>
    <w:rsid w:val="00AF529C"/>
    <w:rsid w:val="00B3461E"/>
    <w:rsid w:val="00B425F7"/>
    <w:rsid w:val="00B43B9A"/>
    <w:rsid w:val="00B468D4"/>
    <w:rsid w:val="00B46F96"/>
    <w:rsid w:val="00B5547C"/>
    <w:rsid w:val="00B60C51"/>
    <w:rsid w:val="00B622E4"/>
    <w:rsid w:val="00B75053"/>
    <w:rsid w:val="00B824B6"/>
    <w:rsid w:val="00B925EF"/>
    <w:rsid w:val="00BA2D50"/>
    <w:rsid w:val="00BB26BF"/>
    <w:rsid w:val="00BC751B"/>
    <w:rsid w:val="00C13ED4"/>
    <w:rsid w:val="00C418AC"/>
    <w:rsid w:val="00C6729E"/>
    <w:rsid w:val="00C72784"/>
    <w:rsid w:val="00C806E7"/>
    <w:rsid w:val="00C8282A"/>
    <w:rsid w:val="00C85BC8"/>
    <w:rsid w:val="00C85EB0"/>
    <w:rsid w:val="00C92B0B"/>
    <w:rsid w:val="00CB1F98"/>
    <w:rsid w:val="00CB58F7"/>
    <w:rsid w:val="00CC260F"/>
    <w:rsid w:val="00CD0803"/>
    <w:rsid w:val="00CD1F3F"/>
    <w:rsid w:val="00CD54BA"/>
    <w:rsid w:val="00CF051F"/>
    <w:rsid w:val="00CF30C8"/>
    <w:rsid w:val="00D073CB"/>
    <w:rsid w:val="00D15C0C"/>
    <w:rsid w:val="00D24040"/>
    <w:rsid w:val="00D30CAD"/>
    <w:rsid w:val="00D3350C"/>
    <w:rsid w:val="00D4009A"/>
    <w:rsid w:val="00D62AE0"/>
    <w:rsid w:val="00D71EC3"/>
    <w:rsid w:val="00D7203B"/>
    <w:rsid w:val="00D77325"/>
    <w:rsid w:val="00DD3CFA"/>
    <w:rsid w:val="00DE4C5A"/>
    <w:rsid w:val="00DF4E0F"/>
    <w:rsid w:val="00E0340A"/>
    <w:rsid w:val="00E10875"/>
    <w:rsid w:val="00E25F33"/>
    <w:rsid w:val="00E261C0"/>
    <w:rsid w:val="00E30EF2"/>
    <w:rsid w:val="00E4250E"/>
    <w:rsid w:val="00E4558E"/>
    <w:rsid w:val="00E52D06"/>
    <w:rsid w:val="00E6408C"/>
    <w:rsid w:val="00E6775D"/>
    <w:rsid w:val="00E7330A"/>
    <w:rsid w:val="00E93D5E"/>
    <w:rsid w:val="00E978F2"/>
    <w:rsid w:val="00EA3B56"/>
    <w:rsid w:val="00EA50C5"/>
    <w:rsid w:val="00EB488B"/>
    <w:rsid w:val="00EB4C37"/>
    <w:rsid w:val="00EB5741"/>
    <w:rsid w:val="00EC11AE"/>
    <w:rsid w:val="00EC30FF"/>
    <w:rsid w:val="00EE1E01"/>
    <w:rsid w:val="00EF0EE3"/>
    <w:rsid w:val="00EF49F2"/>
    <w:rsid w:val="00F22FE2"/>
    <w:rsid w:val="00F249CF"/>
    <w:rsid w:val="00F53646"/>
    <w:rsid w:val="00F80740"/>
    <w:rsid w:val="00F96564"/>
    <w:rsid w:val="00FA5310"/>
    <w:rsid w:val="00FB2B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583B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C62EB"/>
    <w:rPr>
      <w:color w:val="808080"/>
    </w:rPr>
  </w:style>
  <w:style w:type="paragraph" w:customStyle="1" w:styleId="CF6BDB43F0B4423C8864AA11E102F824">
    <w:name w:val="CF6BDB43F0B4423C8864AA11E102F824"/>
    <w:rsid w:val="00900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35C43A-92AE-4804-8C08-FD94BCA78D7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Ožujak, 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6C42E998B5A4F9579DF59A3CBB3E5" ma:contentTypeVersion="8" ma:contentTypeDescription="Create a new document." ma:contentTypeScope="" ma:versionID="e68ddade1d8c30b2bcde172c60581501">
  <xsd:schema xmlns:xsd="http://www.w3.org/2001/XMLSchema" xmlns:xs="http://www.w3.org/2001/XMLSchema" xmlns:p="http://schemas.microsoft.com/office/2006/metadata/properties" xmlns:ns2="5503e946-8988-430e-9d69-13e1a8101732" xmlns:ns3="381dc322-d66b-436e-af14-029e83b9d60f" targetNamespace="http://schemas.microsoft.com/office/2006/metadata/properties" ma:root="true" ma:fieldsID="dc72fea36793e07f76b9edca03ca6dd8" ns2:_="" ns3:_="">
    <xsd:import namespace="5503e946-8988-430e-9d69-13e1a8101732"/>
    <xsd:import namespace="381dc322-d66b-436e-af14-029e83b9d6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3e946-8988-430e-9d69-13e1a8101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dc322-d66b-436e-af14-029e83b9d6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b:Source>
    <b:Tag>Eur13</b:Tag>
    <b:SourceType>Report</b:SourceType>
    <b:Guid>{E5B62186-2019-406F-A4BF-908C06F3204C}</b:Guid>
    <b:Author>
      <b:Author>
        <b:Corporate>European Investment Bank </b:Corporate>
      </b:Author>
    </b:Author>
    <b:Title>The Economic Appraisal of Investment Projects at the EIB</b:Title>
    <b:Year>2013</b:Year>
    <b:RefOrder>15</b:RefOrder>
  </b:Source>
  <b:Source>
    <b:Tag>EUR152</b:Tag>
    <b:SourceType>Report</b:SourceType>
    <b:Guid>{1218B988-B76A-4CBB-AFF4-143409961028}</b:Guid>
    <b:Author>
      <b:Author>
        <b:Corporate>EUROPEAN COMISSION</b:Corporate>
      </b:Author>
    </b:Author>
    <b:Title>IMPLEMENTING REGULATION (EU) 2015/207</b:Title>
    <b:Year>2015</b:Year>
    <b:RefOrder>16</b:RefOrder>
  </b:Source>
  <b:Source>
    <b:Tag>Jav</b:Tag>
    <b:SourceType>Report</b:SourceType>
    <b:Guid>{971FA0F0-0725-4F16-ADC4-43BA7751D5DD}</b:Guid>
    <b:Author>
      <b:Author>
        <b:Corporate>Javna agencija RS za energijo</b:Corporate>
      </b:Author>
    </b:Author>
    <b:Title>Napoved položaja proizvodnih naprav na obnovljive vire energije in s sproizvodnjo z visokim izkoristekom na trgu z električno energijo</b:Title>
    <b:RefOrder>17</b:RefOrder>
  </b:Source>
  <b:Source>
    <b:Tag>Placeholder1</b:Tag>
    <b:SourceType>Report</b:SourceType>
    <b:Guid>{A83CABD8-ADD6-4CD4-B811-2452AC0B61DE}</b:Guid>
    <b:Author>
      <b:Author>
        <b:Corporate>EUROPEAN COMISSION</b:Corporate>
      </b:Author>
    </b:Author>
    <b:Title>Weekly Oil Bulletin</b:Title>
    <b:Year>2017</b:Year>
    <b:RefOrder>18</b:RefOrder>
  </b:Source>
  <b:Source>
    <b:Tag>EUR14</b:Tag>
    <b:SourceType>Report</b:SourceType>
    <b:Guid>{56093E00-7C46-4B88-8B08-C0C386105A45}</b:Guid>
    <b:Author>
      <b:Author>
        <b:Corporate>EUROPEAN COMMISSION</b:Corporate>
      </b:Author>
    </b:Author>
    <b:Title>Guide to Cost-Benefit Analysis of Investment Projects: Economic appraisal tool for Cohesion Policy 2014-2020</b:Title>
    <b:Year>December 2014</b:Year>
    <b:RefOrder>19</b:RefOrder>
  </b:Source>
  <b:Source>
    <b:Tag>OEC16</b:Tag>
    <b:SourceType>Report</b:SourceType>
    <b:Guid>{0BC80C59-6378-48A2-B117-36266E892854}</b:Guid>
    <b:Author>
      <b:Author>
        <b:Corporate>OECD, IAE </b:Corporate>
      </b:Author>
    </b:Author>
    <b:Title>Power generation assumptions in the New Policies and 450 Scenarios in the World Energy Outlook 2016</b:Title>
    <b:Year>2016</b:Year>
    <b:RefOrder>20</b:RefOrder>
  </b:Source>
  <b:Source>
    <b:Tag>LeT14</b:Tag>
    <b:SourceType>Report</b:SourceType>
    <b:Guid>{27081234-E736-4FF3-BBB6-7E3E3A50D28C}</b:Guid>
    <b:Author>
      <b:Author>
        <b:Corporate>Le Truong N., Gustavsson L. </b:Corporate>
      </b:Author>
    </b:Author>
    <b:Title>Minimum-cost district heat production systems of different sizes under different environmental and social cost scenarios</b:Title>
    <b:Year>2014</b:Year>
    <b:Publisher>Applied Energy</b:Publisher>
    <b:RefOrder>21</b:RefOrder>
  </b:Source>
  <b:Source>
    <b:Tag>ene16</b:Tag>
    <b:SourceType>InternetSite</b:SourceType>
    <b:Guid>{8E52FEF0-AFEE-4587-B932-C2EC8E4EDEC5}</b:Guid>
    <b:Author>
      <b:Author>
        <b:Corporate>energijo, Agencija za</b:Corporate>
      </b:Author>
    </b:Author>
    <b:Title>Analiza cen toplote iz distribucijskih sistemov daljinskega ogrevanja v 2015</b:Title>
    <b:Year>2016</b:Year>
    <b:YearAccessed>2016</b:YearAccessed>
    <b:URL>https://www.agen-rs.si/documents/10926/86946/Agencija-za-energijo---Analiza-cen-toplote-2015/bfd6b03b-8ae0-409c-8c12-cf906f0066a3</b:URL>
    <b:RefOrder>22</b:RefOrder>
  </b:Source>
  <b:Source>
    <b:Tag>IEA151</b:Tag>
    <b:SourceType>Book</b:SourceType>
    <b:Guid>{2669495B-0DB7-4D4C-B332-A98809828AA2}</b:Guid>
    <b:Author>
      <b:Author>
        <b:Corporate>IEA</b:Corporate>
      </b:Author>
    </b:Author>
    <b:Title>Energy Statistics of OECD Countries</b:Title>
    <b:Year>2015</b:Year>
    <b:RefOrder>23</b:RefOrder>
  </b:Source>
  <b:Source>
    <b:Tag>MPG17</b:Tag>
    <b:SourceType>Book</b:SourceType>
    <b:Guid>{0451DC33-36AD-4AC5-94A5-B778AF8AC38A}</b:Guid>
    <b:Author>
      <b:Author>
        <b:Corporate>MPGI</b:Corporate>
      </b:Author>
    </b:Author>
    <b:Title>Program energetske obnove zgrada javnog sektora 2016-2020</b:Title>
    <b:Year>2017</b:Year>
    <b:City>Zagreb</b:City>
    <b:RefOrder>1</b:RefOrder>
  </b:Source>
  <b:Source>
    <b:Tag>MPG21</b:Tag>
    <b:SourceType>Book</b:SourceType>
    <b:Guid>{CD1C2918-0B88-4219-A6A2-6A907E4C6260}</b:Guid>
    <b:Author>
      <b:Author>
        <b:Corporate>MPGI</b:Corporate>
      </b:Author>
    </b:Author>
    <b:Title>Dugoročna strategija obnove nacionalnog fonda zgrada do 2050. godine </b:Title>
    <b:Year>2021</b:Year>
    <b:City>Zagreb</b:City>
    <b:RefOrder>2</b:RefOrder>
  </b:Source>
  <b:Source>
    <b:Tag>MGI14</b:Tag>
    <b:SourceType>Report</b:SourceType>
    <b:Guid>{D4E0372E-9E7C-46B0-BCFF-AB1A987883DC}</b:Guid>
    <b:Author>
      <b:Author>
        <b:Corporate>MGIPU</b:Corporate>
      </b:Author>
    </b:Author>
    <b:Title>Plan za povećanje broja zgrada gotovo nulte energije do 2020. godine</b:Title>
    <b:Year>2014</b:Year>
    <b:Publisher>Republika Hrvatska, Minsitarstvo gradieljstva i prostornoga uređenja</b:Publisher>
    <b:URL>http://www.mgipu.hr/doc/Propisi/PLAN_PBZ_0_energije_do_2020.pdf</b:URL>
    <b:RefOrder>4</b:RefOrder>
  </b:Source>
  <b:Source>
    <b:Tag>Nac</b:Tag>
    <b:SourceType>Report</b:SourceType>
    <b:Guid>{1C243B8C-873C-4181-B51D-CE0BD4C9D043}</b:Guid>
    <b:Title>Nacionalni program energetske učinkovitosti za razdoblje 2008.-2016. godine</b:Title>
    <b:Author>
      <b:Author>
        <b:NameList>
          <b:Person>
            <b:Last>MINGO</b:Last>
          </b:Person>
        </b:NameList>
      </b:Author>
    </b:Author>
    <b:Year>2010</b:Year>
    <b:Publisher>Republika Hrvatska, Ministarstvo gospodarstva</b:Publisher>
    <b:City>Zagreb</b:City>
    <b:RefOrder>5</b:RefOrder>
  </b:Source>
  <b:Source>
    <b:Tag>MGI141</b:Tag>
    <b:SourceType>Report</b:SourceType>
    <b:Guid>{240F41EA-D33D-4BE2-930F-985F9DD5D716}</b:Guid>
    <b:Author>
      <b:Author>
        <b:Corporate>MGIPU</b:Corporate>
      </b:Author>
    </b:Author>
    <b:Title>Program energetske obnove obiteljskih kuća za razdoblje od 2014. do 2020. godine s detaljnim planom za razdoblje od 2014. do 2016. godine</b:Title>
    <b:Year>2014</b:Year>
    <b:Publisher>MGIPU</b:Publisher>
    <b:City>Zagreb</b:City>
    <b:RefOrder>6</b:RefOrder>
  </b:Source>
  <b:Source>
    <b:Tag>MGI142</b:Tag>
    <b:SourceType>Report</b:SourceType>
    <b:Guid>{6908398A-0A27-47C9-BC19-E1ABB301CD99}</b:Guid>
    <b:Author>
      <b:Author>
        <b:Corporate>MGIPU</b:Corporate>
      </b:Author>
    </b:Author>
    <b:Title>Program energetske obnove višestambenih zgrada za razdoblje od 2014. do 2020. godine s detaljnim planom za razdoblje od 2014. do 2016. godine</b:Title>
    <b:Year>2014</b:Year>
    <b:Publisher>MGIPU</b:Publisher>
    <b:City>Zagreb</b:City>
    <b:RefOrder>7</b:RefOrder>
  </b:Source>
  <b:Source>
    <b:Tag>MGI143</b:Tag>
    <b:SourceType>Report</b:SourceType>
    <b:Guid>{68221326-8593-429F-ACA3-7485B5062740}</b:Guid>
    <b:Author>
      <b:Author>
        <b:Corporate>MGIPU</b:Corporate>
      </b:Author>
    </b:Author>
    <b:Title>Program energetske obnove komercijalnih nestambenih zgrada za razdoblje od 2014. do 2020. godine s detaljnim planom energetske obnove komercijalnih nestambenih zgrada za razdoblje od 2014. do 2016.</b:Title>
    <b:Year>2014</b:Year>
    <b:Publisher>MGIPU</b:Publisher>
    <b:City>Zagreb</b:City>
    <b:RefOrder>8</b:RefOrder>
  </b:Source>
  <b:Source>
    <b:Tag>MGI172</b:Tag>
    <b:SourceType>Report</b:SourceType>
    <b:Guid>{F1654380-4022-42F3-8DF4-F2285900D595}</b:Guid>
    <b:Author>
      <b:Author>
        <b:Corporate>MGIPU</b:Corporate>
      </b:Author>
    </b:Author>
    <b:Title>Program energetske obnove zgrada javnog sektora za razdoblje 2016. – 2020.</b:Title>
    <b:Year>2017</b:Year>
    <b:Publisher>MGIPU</b:Publisher>
    <b:City>Zagreb</b:City>
    <b:RefOrder>9</b:RefOrder>
  </b:Source>
  <b:Source>
    <b:Tag>NECP</b:Tag>
    <b:SourceType>Report</b:SourceType>
    <b:Guid>{D0DB98AB-B8ED-4974-AF55-EB228024F955}</b:Guid>
    <b:Title>Integrirani nacionalni energetski i klimatski plan za Republiku Hrvatsku za razdoblje 2021. do 2030.</b:Title>
    <b:Year>2019.</b:Year>
    <b:Publisher>Republika Hrvatska, Ministarstvo zaštite okoliša i energetike</b:Publisher>
    <b:City>Zagreb</b:City>
    <b:Institution>Republika Hrvatska, Ministarstvo zaštite okoliša i energetike</b:Institution>
    <b:Pages>136</b:Pages>
    <b:ShortTitle>NECP 2021-2030</b:ShortTitle>
    <b:LCID>hr-HR</b:LCID>
    <b:Author>
      <b:Author>
        <b:Corporate>Vlada RH</b:Corporate>
      </b:Author>
    </b:Author>
    <b:URL>https://www.google.hr/url?sa=t&amp;rct=j&amp;q=&amp;esrc=s&amp;source=web&amp;cd=2&amp;cad=rja&amp;uact=8&amp;ved=2ahUKEwj-ntDMleDnAhVHyaYKHb2QDDYQFjABegQIAhAB&amp;url=https%3A%2F%2Fmzoe.gov.hr%2FUserDocsImages%2F%2FUPRAVA%2520ZA%2520ENERGETIKU%2FStrategije%2C%2520planovi%2520i%2520programi</b:URL>
    <b:RefOrder>10</b:RefOrder>
  </b:Source>
  <b:Source>
    <b:Tag>EIH19</b:Tag>
    <b:SourceType>Report</b:SourceType>
    <b:Guid>{5598FF7E-0B10-480D-B7A2-3C5FC75A976A}</b:Guid>
    <b:Title>Nacrt prijedloga Strategije energetskog razvoja Republike Hrvatske do 2030. s pogledom na 2050. godinu</b:Title>
    <b:Year>2019.</b:Year>
    <b:City>Zagreb</b:City>
    <b:Author>
      <b:Author>
        <b:Corporate>Vlada RH</b:Corporate>
      </b:Author>
    </b:Author>
    <b:Publisher>Republika Hrvatska</b:Publisher>
    <b:RefOrder>11</b:RefOrder>
  </b:Source>
  <b:Source>
    <b:Tag>MGI173</b:Tag>
    <b:SourceType>ArticleInAPeriodical</b:SourceType>
    <b:Guid>{1D4F4C4A-7CFB-4CBC-9C04-4539074CF40B}</b:Guid>
    <b:Author>
      <b:Author>
        <b:Corporate>MGIPU</b:Corporate>
      </b:Author>
    </b:Author>
    <b:Title>Pravilnik o energetskom pregledu zgrade i energetskom certificiranju NN 88/17</b:Title>
    <b:Year>2017</b:Year>
    <b:Issue>88</b:Issue>
    <b:PeriodicalTitle>Narodne novine</b:PeriodicalTitle>
    <b:RefOrder>12</b:RefOrder>
  </b:Source>
  <b:Source>
    <b:Tag>MGI174</b:Tag>
    <b:SourceType>Misc</b:SourceType>
    <b:Guid>{99DB44AE-F516-48AB-B63B-750A0CDD0707}</b:Guid>
    <b:Author>
      <b:Author>
        <b:Corporate>MGIPU</b:Corporate>
      </b:Author>
    </b:Author>
    <b:Title>Metodologija provođenja energetskog pregleda zgrada</b:Title>
    <b:PublicationTitle>Metodologija provođenja energetskog pregleda zgrada 2017.</b:PublicationTitle>
    <b:Year>2017.</b:Year>
    <b:City>Zagreb</b:City>
    <b:Publisher>Ministarstvo graditeljstva i prostornoga uređenja</b:Publisher>
    <b:URL>https://mgipu.gov.hr/UserDocsImages//dokumenti/EnergetskaUcinkovitost/meteoroloski_podaci//Metodologija-2017.pdf</b:URL>
    <b:RefOrder>13</b:RefOrder>
  </b:Source>
  <b:Source>
    <b:Tag>MGI19</b:Tag>
    <b:SourceType>Report</b:SourceType>
    <b:Guid>{AED8EAE9-95DC-459F-BF50-DE89A6600C2E}</b:Guid>
    <b:Author>
      <b:Author>
        <b:Corporate>Vlada RH</b:Corporate>
      </b:Author>
    </b:Author>
    <b:Title>Dugoročna strategija za poticanje ulaganja u obnovu nacionalnog fonda zgrada Republike Hrvatske</b:Title>
    <b:Year>2020</b:Year>
    <b:Publisher>Republika Hrvatska, Ministarstvo graditeljstva i prostornoga uređenja</b:Publisher>
    <b:City>Zagreb</b:City>
    <b:RefOrder>14</b:RefOrder>
  </b:Source>
  <b:Source>
    <b:Tag>MGI17</b:Tag>
    <b:SourceType>Report</b:SourceType>
    <b:Guid>{D7920EFF-FBEF-469D-87C0-25D4881B4860}</b:Guid>
    <b:Author>
      <b:Author>
        <b:Corporate>Vlada RH</b:Corporate>
      </b:Author>
    </b:Author>
    <b:Title>Dugoročna strategija za poticanje ulaganja u obnovu nacionalnog fonda zgrada Republike Hrvatske</b:Title>
    <b:Year>2017</b:Year>
    <b:Publisher>Vlada RH</b:Publisher>
    <b:City>Zagreb</b:City>
    <b:URL>http://narodne-novine.nn.hr/clanci/sluzbeni/2014_06_74_1397.html</b:URL>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29A0D-D659-437C-9AF6-3B157E0A5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3e946-8988-430e-9d69-13e1a8101732"/>
    <ds:schemaRef ds:uri="381dc322-d66b-436e-af14-029e83b9d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EB1BC-2A94-40BE-AF99-73A4D21AE0F1}">
  <ds:schemaRefs>
    <ds:schemaRef ds:uri="http://schemas.microsoft.com/sharepoint/v3/contenttype/forms"/>
  </ds:schemaRefs>
</ds:datastoreItem>
</file>

<file path=customXml/itemProps4.xml><?xml version="1.0" encoding="utf-8"?>
<ds:datastoreItem xmlns:ds="http://schemas.openxmlformats.org/officeDocument/2006/customXml" ds:itemID="{A17640B9-7C3A-4810-82B6-CB6FD99AD2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DCFD19-98EB-4B5F-A5CD-886C7E65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43320</Words>
  <Characters>246928</Characters>
  <Application>Microsoft Office Word</Application>
  <DocSecurity>4</DocSecurity>
  <Lines>2057</Lines>
  <Paragraphs>579</Paragraphs>
  <ScaleCrop>false</ScaleCrop>
  <HeadingPairs>
    <vt:vector size="6" baseType="variant">
      <vt:variant>
        <vt:lpstr>Naslov</vt:lpstr>
      </vt:variant>
      <vt:variant>
        <vt:i4>1</vt:i4>
      </vt:variant>
      <vt:variant>
        <vt:lpstr>Title</vt:lpstr>
      </vt:variant>
      <vt:variant>
        <vt:i4>1</vt:i4>
      </vt:variant>
      <vt:variant>
        <vt:lpstr>Headings</vt:lpstr>
      </vt:variant>
      <vt:variant>
        <vt:i4>26</vt:i4>
      </vt:variant>
    </vt:vector>
  </HeadingPairs>
  <TitlesOfParts>
    <vt:vector size="28" baseType="lpstr">
      <vt:lpstr/>
      <vt:lpstr>Nacrt Programa energetske obnove zgrada javnog sektora za razdoblje  do 2030. godine</vt:lpstr>
      <vt:lpstr>Sadržaj</vt:lpstr>
      <vt:lpstr>Popis kratica</vt:lpstr>
      <vt:lpstr>Sažetak</vt:lpstr>
      <vt:lpstr>Uvod</vt:lpstr>
      <vt:lpstr>Okvir izrade programa</vt:lpstr>
      <vt:lpstr>    Pregled zakonodavstva u kontekstu energetske učinkovitosti na nacionalnoj i eu r</vt:lpstr>
      <vt:lpstr>        EU zakonodavstvo iz područja energetske učinkovitosti </vt:lpstr>
      <vt:lpstr>        Nacionalno zakonodavstvo iz područja energetske učinkovitosti </vt:lpstr>
      <vt:lpstr>    Usklađenost Programa s Nacionalnom razvojnom strategijom, sektorskim i višesekto</vt:lpstr>
      <vt:lpstr>Pregled nacionalnog fonda zgrada javnog sektora</vt:lpstr>
      <vt:lpstr>    Broj i tipologija zgrada javnog sektora</vt:lpstr>
      <vt:lpstr>    Podjela zgrada na zgrade središnje državne uprave, jedinice lokalne (regionalne)</vt:lpstr>
      <vt:lpstr>    Udio zgrada sa statusom kulturnog dobra</vt:lpstr>
      <vt:lpstr>    Pokazatelji specifične godišnje potrebne toplinske energije za grijanje prema na</vt:lpstr>
      <vt:lpstr>    Procjena godišnje isporučene energije i primarne energije  </vt:lpstr>
      <vt:lpstr>    Analiza i evidencija dosadašnjih energetski obnovljenih zgrada, uključujući i zg</vt:lpstr>
      <vt:lpstr>    Procjena ušteda potrebne toplinske energije i primarne energije nakon primjene m</vt:lpstr>
      <vt:lpstr>    Doprinos nacionalnim ciljevima nakon primjene mjera energetske obnove do 2030. </vt:lpstr>
      <vt:lpstr>Analiza provedenih programa za zgrade javnog sektora</vt:lpstr>
      <vt:lpstr>Usklađivanje sa strateškim planovima</vt:lpstr>
      <vt:lpstr>    Opis srednjoročnih razvojnih potreba i razvojnih potencijala</vt:lpstr>
      <vt:lpstr>    Opis prioriteta javne politike u srednjoročnom razdoblju</vt:lpstr>
      <vt:lpstr>    Srednjoročna vizija razvoja</vt:lpstr>
      <vt:lpstr>    Posebni ciljevi i ključni pokazatelji ishoda</vt:lpstr>
      <vt:lpstr>    Indikativni financijski plan s prikazom financijskih pretpostavki za provedbu po</vt:lpstr>
      <vt:lpstr>        Indikativni financijski plan za razdoblje do 2030. godine </vt:lpstr>
    </vt:vector>
  </TitlesOfParts>
  <Company>Ministarstvo prostornoga uređenja, graditeljstva i državne imovine</Company>
  <LinksUpToDate>false</LinksUpToDate>
  <CharactersWithSpaces>289669</CharactersWithSpaces>
  <SharedDoc>false</SharedDoc>
  <HLinks>
    <vt:vector size="654" baseType="variant">
      <vt:variant>
        <vt:i4>1703992</vt:i4>
      </vt:variant>
      <vt:variant>
        <vt:i4>907</vt:i4>
      </vt:variant>
      <vt:variant>
        <vt:i4>0</vt:i4>
      </vt:variant>
      <vt:variant>
        <vt:i4>5</vt:i4>
      </vt:variant>
      <vt:variant>
        <vt:lpwstr/>
      </vt:variant>
      <vt:variant>
        <vt:lpwstr>_Toc87949907</vt:lpwstr>
      </vt:variant>
      <vt:variant>
        <vt:i4>1769528</vt:i4>
      </vt:variant>
      <vt:variant>
        <vt:i4>901</vt:i4>
      </vt:variant>
      <vt:variant>
        <vt:i4>0</vt:i4>
      </vt:variant>
      <vt:variant>
        <vt:i4>5</vt:i4>
      </vt:variant>
      <vt:variant>
        <vt:lpwstr/>
      </vt:variant>
      <vt:variant>
        <vt:lpwstr>_Toc87949906</vt:lpwstr>
      </vt:variant>
      <vt:variant>
        <vt:i4>1572920</vt:i4>
      </vt:variant>
      <vt:variant>
        <vt:i4>895</vt:i4>
      </vt:variant>
      <vt:variant>
        <vt:i4>0</vt:i4>
      </vt:variant>
      <vt:variant>
        <vt:i4>5</vt:i4>
      </vt:variant>
      <vt:variant>
        <vt:lpwstr/>
      </vt:variant>
      <vt:variant>
        <vt:lpwstr>_Toc87949905</vt:lpwstr>
      </vt:variant>
      <vt:variant>
        <vt:i4>1638456</vt:i4>
      </vt:variant>
      <vt:variant>
        <vt:i4>889</vt:i4>
      </vt:variant>
      <vt:variant>
        <vt:i4>0</vt:i4>
      </vt:variant>
      <vt:variant>
        <vt:i4>5</vt:i4>
      </vt:variant>
      <vt:variant>
        <vt:lpwstr/>
      </vt:variant>
      <vt:variant>
        <vt:lpwstr>_Toc87949904</vt:lpwstr>
      </vt:variant>
      <vt:variant>
        <vt:i4>1966136</vt:i4>
      </vt:variant>
      <vt:variant>
        <vt:i4>883</vt:i4>
      </vt:variant>
      <vt:variant>
        <vt:i4>0</vt:i4>
      </vt:variant>
      <vt:variant>
        <vt:i4>5</vt:i4>
      </vt:variant>
      <vt:variant>
        <vt:lpwstr/>
      </vt:variant>
      <vt:variant>
        <vt:lpwstr>_Toc87949903</vt:lpwstr>
      </vt:variant>
      <vt:variant>
        <vt:i4>2031672</vt:i4>
      </vt:variant>
      <vt:variant>
        <vt:i4>877</vt:i4>
      </vt:variant>
      <vt:variant>
        <vt:i4>0</vt:i4>
      </vt:variant>
      <vt:variant>
        <vt:i4>5</vt:i4>
      </vt:variant>
      <vt:variant>
        <vt:lpwstr/>
      </vt:variant>
      <vt:variant>
        <vt:lpwstr>_Toc87949902</vt:lpwstr>
      </vt:variant>
      <vt:variant>
        <vt:i4>1835064</vt:i4>
      </vt:variant>
      <vt:variant>
        <vt:i4>871</vt:i4>
      </vt:variant>
      <vt:variant>
        <vt:i4>0</vt:i4>
      </vt:variant>
      <vt:variant>
        <vt:i4>5</vt:i4>
      </vt:variant>
      <vt:variant>
        <vt:lpwstr/>
      </vt:variant>
      <vt:variant>
        <vt:lpwstr>_Toc87949901</vt:lpwstr>
      </vt:variant>
      <vt:variant>
        <vt:i4>1900600</vt:i4>
      </vt:variant>
      <vt:variant>
        <vt:i4>865</vt:i4>
      </vt:variant>
      <vt:variant>
        <vt:i4>0</vt:i4>
      </vt:variant>
      <vt:variant>
        <vt:i4>5</vt:i4>
      </vt:variant>
      <vt:variant>
        <vt:lpwstr/>
      </vt:variant>
      <vt:variant>
        <vt:lpwstr>_Toc87949900</vt:lpwstr>
      </vt:variant>
      <vt:variant>
        <vt:i4>1376305</vt:i4>
      </vt:variant>
      <vt:variant>
        <vt:i4>859</vt:i4>
      </vt:variant>
      <vt:variant>
        <vt:i4>0</vt:i4>
      </vt:variant>
      <vt:variant>
        <vt:i4>5</vt:i4>
      </vt:variant>
      <vt:variant>
        <vt:lpwstr/>
      </vt:variant>
      <vt:variant>
        <vt:lpwstr>_Toc87949899</vt:lpwstr>
      </vt:variant>
      <vt:variant>
        <vt:i4>1310769</vt:i4>
      </vt:variant>
      <vt:variant>
        <vt:i4>853</vt:i4>
      </vt:variant>
      <vt:variant>
        <vt:i4>0</vt:i4>
      </vt:variant>
      <vt:variant>
        <vt:i4>5</vt:i4>
      </vt:variant>
      <vt:variant>
        <vt:lpwstr/>
      </vt:variant>
      <vt:variant>
        <vt:lpwstr>_Toc87949898</vt:lpwstr>
      </vt:variant>
      <vt:variant>
        <vt:i4>1769521</vt:i4>
      </vt:variant>
      <vt:variant>
        <vt:i4>847</vt:i4>
      </vt:variant>
      <vt:variant>
        <vt:i4>0</vt:i4>
      </vt:variant>
      <vt:variant>
        <vt:i4>5</vt:i4>
      </vt:variant>
      <vt:variant>
        <vt:lpwstr/>
      </vt:variant>
      <vt:variant>
        <vt:lpwstr>_Toc87949897</vt:lpwstr>
      </vt:variant>
      <vt:variant>
        <vt:i4>1703985</vt:i4>
      </vt:variant>
      <vt:variant>
        <vt:i4>841</vt:i4>
      </vt:variant>
      <vt:variant>
        <vt:i4>0</vt:i4>
      </vt:variant>
      <vt:variant>
        <vt:i4>5</vt:i4>
      </vt:variant>
      <vt:variant>
        <vt:lpwstr/>
      </vt:variant>
      <vt:variant>
        <vt:lpwstr>_Toc87949896</vt:lpwstr>
      </vt:variant>
      <vt:variant>
        <vt:i4>1638449</vt:i4>
      </vt:variant>
      <vt:variant>
        <vt:i4>835</vt:i4>
      </vt:variant>
      <vt:variant>
        <vt:i4>0</vt:i4>
      </vt:variant>
      <vt:variant>
        <vt:i4>5</vt:i4>
      </vt:variant>
      <vt:variant>
        <vt:lpwstr/>
      </vt:variant>
      <vt:variant>
        <vt:lpwstr>_Toc87949895</vt:lpwstr>
      </vt:variant>
      <vt:variant>
        <vt:i4>1572913</vt:i4>
      </vt:variant>
      <vt:variant>
        <vt:i4>829</vt:i4>
      </vt:variant>
      <vt:variant>
        <vt:i4>0</vt:i4>
      </vt:variant>
      <vt:variant>
        <vt:i4>5</vt:i4>
      </vt:variant>
      <vt:variant>
        <vt:lpwstr/>
      </vt:variant>
      <vt:variant>
        <vt:lpwstr>_Toc87949894</vt:lpwstr>
      </vt:variant>
      <vt:variant>
        <vt:i4>2031665</vt:i4>
      </vt:variant>
      <vt:variant>
        <vt:i4>823</vt:i4>
      </vt:variant>
      <vt:variant>
        <vt:i4>0</vt:i4>
      </vt:variant>
      <vt:variant>
        <vt:i4>5</vt:i4>
      </vt:variant>
      <vt:variant>
        <vt:lpwstr/>
      </vt:variant>
      <vt:variant>
        <vt:lpwstr>_Toc87949893</vt:lpwstr>
      </vt:variant>
      <vt:variant>
        <vt:i4>1966129</vt:i4>
      </vt:variant>
      <vt:variant>
        <vt:i4>817</vt:i4>
      </vt:variant>
      <vt:variant>
        <vt:i4>0</vt:i4>
      </vt:variant>
      <vt:variant>
        <vt:i4>5</vt:i4>
      </vt:variant>
      <vt:variant>
        <vt:lpwstr/>
      </vt:variant>
      <vt:variant>
        <vt:lpwstr>_Toc87949892</vt:lpwstr>
      </vt:variant>
      <vt:variant>
        <vt:i4>1900593</vt:i4>
      </vt:variant>
      <vt:variant>
        <vt:i4>811</vt:i4>
      </vt:variant>
      <vt:variant>
        <vt:i4>0</vt:i4>
      </vt:variant>
      <vt:variant>
        <vt:i4>5</vt:i4>
      </vt:variant>
      <vt:variant>
        <vt:lpwstr/>
      </vt:variant>
      <vt:variant>
        <vt:lpwstr>_Toc87949891</vt:lpwstr>
      </vt:variant>
      <vt:variant>
        <vt:i4>1835057</vt:i4>
      </vt:variant>
      <vt:variant>
        <vt:i4>805</vt:i4>
      </vt:variant>
      <vt:variant>
        <vt:i4>0</vt:i4>
      </vt:variant>
      <vt:variant>
        <vt:i4>5</vt:i4>
      </vt:variant>
      <vt:variant>
        <vt:lpwstr/>
      </vt:variant>
      <vt:variant>
        <vt:lpwstr>_Toc87949890</vt:lpwstr>
      </vt:variant>
      <vt:variant>
        <vt:i4>1376304</vt:i4>
      </vt:variant>
      <vt:variant>
        <vt:i4>799</vt:i4>
      </vt:variant>
      <vt:variant>
        <vt:i4>0</vt:i4>
      </vt:variant>
      <vt:variant>
        <vt:i4>5</vt:i4>
      </vt:variant>
      <vt:variant>
        <vt:lpwstr/>
      </vt:variant>
      <vt:variant>
        <vt:lpwstr>_Toc87949889</vt:lpwstr>
      </vt:variant>
      <vt:variant>
        <vt:i4>1310768</vt:i4>
      </vt:variant>
      <vt:variant>
        <vt:i4>793</vt:i4>
      </vt:variant>
      <vt:variant>
        <vt:i4>0</vt:i4>
      </vt:variant>
      <vt:variant>
        <vt:i4>5</vt:i4>
      </vt:variant>
      <vt:variant>
        <vt:lpwstr/>
      </vt:variant>
      <vt:variant>
        <vt:lpwstr>_Toc87949888</vt:lpwstr>
      </vt:variant>
      <vt:variant>
        <vt:i4>1769520</vt:i4>
      </vt:variant>
      <vt:variant>
        <vt:i4>787</vt:i4>
      </vt:variant>
      <vt:variant>
        <vt:i4>0</vt:i4>
      </vt:variant>
      <vt:variant>
        <vt:i4>5</vt:i4>
      </vt:variant>
      <vt:variant>
        <vt:lpwstr/>
      </vt:variant>
      <vt:variant>
        <vt:lpwstr>_Toc87949887</vt:lpwstr>
      </vt:variant>
      <vt:variant>
        <vt:i4>1703984</vt:i4>
      </vt:variant>
      <vt:variant>
        <vt:i4>781</vt:i4>
      </vt:variant>
      <vt:variant>
        <vt:i4>0</vt:i4>
      </vt:variant>
      <vt:variant>
        <vt:i4>5</vt:i4>
      </vt:variant>
      <vt:variant>
        <vt:lpwstr/>
      </vt:variant>
      <vt:variant>
        <vt:lpwstr>_Toc87949886</vt:lpwstr>
      </vt:variant>
      <vt:variant>
        <vt:i4>1638448</vt:i4>
      </vt:variant>
      <vt:variant>
        <vt:i4>775</vt:i4>
      </vt:variant>
      <vt:variant>
        <vt:i4>0</vt:i4>
      </vt:variant>
      <vt:variant>
        <vt:i4>5</vt:i4>
      </vt:variant>
      <vt:variant>
        <vt:lpwstr/>
      </vt:variant>
      <vt:variant>
        <vt:lpwstr>_Toc87949885</vt:lpwstr>
      </vt:variant>
      <vt:variant>
        <vt:i4>1572912</vt:i4>
      </vt:variant>
      <vt:variant>
        <vt:i4>769</vt:i4>
      </vt:variant>
      <vt:variant>
        <vt:i4>0</vt:i4>
      </vt:variant>
      <vt:variant>
        <vt:i4>5</vt:i4>
      </vt:variant>
      <vt:variant>
        <vt:lpwstr/>
      </vt:variant>
      <vt:variant>
        <vt:lpwstr>_Toc87949884</vt:lpwstr>
      </vt:variant>
      <vt:variant>
        <vt:i4>2031664</vt:i4>
      </vt:variant>
      <vt:variant>
        <vt:i4>763</vt:i4>
      </vt:variant>
      <vt:variant>
        <vt:i4>0</vt:i4>
      </vt:variant>
      <vt:variant>
        <vt:i4>5</vt:i4>
      </vt:variant>
      <vt:variant>
        <vt:lpwstr/>
      </vt:variant>
      <vt:variant>
        <vt:lpwstr>_Toc87949883</vt:lpwstr>
      </vt:variant>
      <vt:variant>
        <vt:i4>1966128</vt:i4>
      </vt:variant>
      <vt:variant>
        <vt:i4>757</vt:i4>
      </vt:variant>
      <vt:variant>
        <vt:i4>0</vt:i4>
      </vt:variant>
      <vt:variant>
        <vt:i4>5</vt:i4>
      </vt:variant>
      <vt:variant>
        <vt:lpwstr/>
      </vt:variant>
      <vt:variant>
        <vt:lpwstr>_Toc87949882</vt:lpwstr>
      </vt:variant>
      <vt:variant>
        <vt:i4>1900592</vt:i4>
      </vt:variant>
      <vt:variant>
        <vt:i4>751</vt:i4>
      </vt:variant>
      <vt:variant>
        <vt:i4>0</vt:i4>
      </vt:variant>
      <vt:variant>
        <vt:i4>5</vt:i4>
      </vt:variant>
      <vt:variant>
        <vt:lpwstr/>
      </vt:variant>
      <vt:variant>
        <vt:lpwstr>_Toc87949881</vt:lpwstr>
      </vt:variant>
      <vt:variant>
        <vt:i4>1835056</vt:i4>
      </vt:variant>
      <vt:variant>
        <vt:i4>745</vt:i4>
      </vt:variant>
      <vt:variant>
        <vt:i4>0</vt:i4>
      </vt:variant>
      <vt:variant>
        <vt:i4>5</vt:i4>
      </vt:variant>
      <vt:variant>
        <vt:lpwstr/>
      </vt:variant>
      <vt:variant>
        <vt:lpwstr>_Toc87949880</vt:lpwstr>
      </vt:variant>
      <vt:variant>
        <vt:i4>8126562</vt:i4>
      </vt:variant>
      <vt:variant>
        <vt:i4>737</vt:i4>
      </vt:variant>
      <vt:variant>
        <vt:i4>0</vt:i4>
      </vt:variant>
      <vt:variant>
        <vt:i4>5</vt:i4>
      </vt:variant>
      <vt:variant>
        <vt:lpwstr>http://www.enu.hr/</vt:lpwstr>
      </vt:variant>
      <vt:variant>
        <vt:lpwstr/>
      </vt:variant>
      <vt:variant>
        <vt:i4>3145851</vt:i4>
      </vt:variant>
      <vt:variant>
        <vt:i4>606</vt:i4>
      </vt:variant>
      <vt:variant>
        <vt:i4>0</vt:i4>
      </vt:variant>
      <vt:variant>
        <vt:i4>5</vt:i4>
      </vt:variant>
      <vt:variant>
        <vt:lpwstr>https://euc-word-edit.officeapps.live.com/we/wordeditorframe.aspx?ui=en%2DUS&amp;rs=en%2DUS&amp;wopisrc=https%3A%2F%2Fmgipu365-my.sharepoint.com%2Fpersonal%2Fnevena_strbic_mgipu_hr%2F_vti_bin%2Fwopi.ashx%2Ffiles%2F117c4426fbed4a3290c3ac9837e91008&amp;wdenableroaming=1&amp;wdfr=1&amp;mscc=1&amp;wdodb=1&amp;hid=51CCF79F-C06A-3000-0660-EA75D999A606&amp;wdorigin=ItemsView&amp;wdhostclicktime=1633875934595&amp;jsapi=1&amp;jsapiver=v1&amp;newsession=1&amp;corrid=f17ca403-7e15-85d0-65d2-28ee943c4d5e&amp;usid=f17ca403-7e15-85d0-65d2-28ee943c4d5e&amp;sftc=1&amp;mtf=1&amp;sfp=1&amp;instantedit=1&amp;wopicomplete=1&amp;wdredirectionreason=Unified_SingleFlush&amp;preseededsessionkey=0569a3a8-1518-8476-3cd9-8188da13f312&amp;preseededwacsessionid=f17ca403-7e15-85d0-65d2-28ee943c4d5e&amp;rct=Medium&amp;ctp=LeastProtected</vt:lpwstr>
      </vt:variant>
      <vt:variant>
        <vt:lpwstr>_ftn1</vt:lpwstr>
      </vt:variant>
      <vt:variant>
        <vt:i4>7995448</vt:i4>
      </vt:variant>
      <vt:variant>
        <vt:i4>435</vt:i4>
      </vt:variant>
      <vt:variant>
        <vt:i4>0</vt:i4>
      </vt:variant>
      <vt:variant>
        <vt:i4>5</vt:i4>
      </vt:variant>
      <vt:variant>
        <vt:lpwstr>https://www.enu.hr/</vt:lpwstr>
      </vt:variant>
      <vt:variant>
        <vt:lpwstr/>
      </vt:variant>
      <vt:variant>
        <vt:i4>5505059</vt:i4>
      </vt:variant>
      <vt:variant>
        <vt:i4>432</vt:i4>
      </vt:variant>
      <vt:variant>
        <vt:i4>0</vt:i4>
      </vt:variant>
      <vt:variant>
        <vt:i4>5</vt:i4>
      </vt:variant>
      <vt:variant>
        <vt:lpwstr>http://narodne-novine.nn.hr/clanci/sluzbeni/2015_02_18_389.html</vt:lpwstr>
      </vt:variant>
      <vt:variant>
        <vt:lpwstr/>
      </vt:variant>
      <vt:variant>
        <vt:i4>1835066</vt:i4>
      </vt:variant>
      <vt:variant>
        <vt:i4>416</vt:i4>
      </vt:variant>
      <vt:variant>
        <vt:i4>0</vt:i4>
      </vt:variant>
      <vt:variant>
        <vt:i4>5</vt:i4>
      </vt:variant>
      <vt:variant>
        <vt:lpwstr/>
      </vt:variant>
      <vt:variant>
        <vt:lpwstr>_Toc94770048</vt:lpwstr>
      </vt:variant>
      <vt:variant>
        <vt:i4>1245242</vt:i4>
      </vt:variant>
      <vt:variant>
        <vt:i4>410</vt:i4>
      </vt:variant>
      <vt:variant>
        <vt:i4>0</vt:i4>
      </vt:variant>
      <vt:variant>
        <vt:i4>5</vt:i4>
      </vt:variant>
      <vt:variant>
        <vt:lpwstr/>
      </vt:variant>
      <vt:variant>
        <vt:lpwstr>_Toc94770047</vt:lpwstr>
      </vt:variant>
      <vt:variant>
        <vt:i4>1179706</vt:i4>
      </vt:variant>
      <vt:variant>
        <vt:i4>404</vt:i4>
      </vt:variant>
      <vt:variant>
        <vt:i4>0</vt:i4>
      </vt:variant>
      <vt:variant>
        <vt:i4>5</vt:i4>
      </vt:variant>
      <vt:variant>
        <vt:lpwstr/>
      </vt:variant>
      <vt:variant>
        <vt:lpwstr>_Toc94770046</vt:lpwstr>
      </vt:variant>
      <vt:variant>
        <vt:i4>1114170</vt:i4>
      </vt:variant>
      <vt:variant>
        <vt:i4>398</vt:i4>
      </vt:variant>
      <vt:variant>
        <vt:i4>0</vt:i4>
      </vt:variant>
      <vt:variant>
        <vt:i4>5</vt:i4>
      </vt:variant>
      <vt:variant>
        <vt:lpwstr/>
      </vt:variant>
      <vt:variant>
        <vt:lpwstr>_Toc94770045</vt:lpwstr>
      </vt:variant>
      <vt:variant>
        <vt:i4>1048634</vt:i4>
      </vt:variant>
      <vt:variant>
        <vt:i4>392</vt:i4>
      </vt:variant>
      <vt:variant>
        <vt:i4>0</vt:i4>
      </vt:variant>
      <vt:variant>
        <vt:i4>5</vt:i4>
      </vt:variant>
      <vt:variant>
        <vt:lpwstr/>
      </vt:variant>
      <vt:variant>
        <vt:lpwstr>_Toc94770044</vt:lpwstr>
      </vt:variant>
      <vt:variant>
        <vt:i4>1507386</vt:i4>
      </vt:variant>
      <vt:variant>
        <vt:i4>386</vt:i4>
      </vt:variant>
      <vt:variant>
        <vt:i4>0</vt:i4>
      </vt:variant>
      <vt:variant>
        <vt:i4>5</vt:i4>
      </vt:variant>
      <vt:variant>
        <vt:lpwstr/>
      </vt:variant>
      <vt:variant>
        <vt:lpwstr>_Toc94770043</vt:lpwstr>
      </vt:variant>
      <vt:variant>
        <vt:i4>1441850</vt:i4>
      </vt:variant>
      <vt:variant>
        <vt:i4>380</vt:i4>
      </vt:variant>
      <vt:variant>
        <vt:i4>0</vt:i4>
      </vt:variant>
      <vt:variant>
        <vt:i4>5</vt:i4>
      </vt:variant>
      <vt:variant>
        <vt:lpwstr/>
      </vt:variant>
      <vt:variant>
        <vt:lpwstr>_Toc94770042</vt:lpwstr>
      </vt:variant>
      <vt:variant>
        <vt:i4>1376314</vt:i4>
      </vt:variant>
      <vt:variant>
        <vt:i4>374</vt:i4>
      </vt:variant>
      <vt:variant>
        <vt:i4>0</vt:i4>
      </vt:variant>
      <vt:variant>
        <vt:i4>5</vt:i4>
      </vt:variant>
      <vt:variant>
        <vt:lpwstr/>
      </vt:variant>
      <vt:variant>
        <vt:lpwstr>_Toc94770041</vt:lpwstr>
      </vt:variant>
      <vt:variant>
        <vt:i4>1310778</vt:i4>
      </vt:variant>
      <vt:variant>
        <vt:i4>368</vt:i4>
      </vt:variant>
      <vt:variant>
        <vt:i4>0</vt:i4>
      </vt:variant>
      <vt:variant>
        <vt:i4>5</vt:i4>
      </vt:variant>
      <vt:variant>
        <vt:lpwstr/>
      </vt:variant>
      <vt:variant>
        <vt:lpwstr>_Toc94770040</vt:lpwstr>
      </vt:variant>
      <vt:variant>
        <vt:i4>1900605</vt:i4>
      </vt:variant>
      <vt:variant>
        <vt:i4>362</vt:i4>
      </vt:variant>
      <vt:variant>
        <vt:i4>0</vt:i4>
      </vt:variant>
      <vt:variant>
        <vt:i4>5</vt:i4>
      </vt:variant>
      <vt:variant>
        <vt:lpwstr/>
      </vt:variant>
      <vt:variant>
        <vt:lpwstr>_Toc94770039</vt:lpwstr>
      </vt:variant>
      <vt:variant>
        <vt:i4>1835069</vt:i4>
      </vt:variant>
      <vt:variant>
        <vt:i4>356</vt:i4>
      </vt:variant>
      <vt:variant>
        <vt:i4>0</vt:i4>
      </vt:variant>
      <vt:variant>
        <vt:i4>5</vt:i4>
      </vt:variant>
      <vt:variant>
        <vt:lpwstr/>
      </vt:variant>
      <vt:variant>
        <vt:lpwstr>_Toc94770038</vt:lpwstr>
      </vt:variant>
      <vt:variant>
        <vt:i4>1245245</vt:i4>
      </vt:variant>
      <vt:variant>
        <vt:i4>350</vt:i4>
      </vt:variant>
      <vt:variant>
        <vt:i4>0</vt:i4>
      </vt:variant>
      <vt:variant>
        <vt:i4>5</vt:i4>
      </vt:variant>
      <vt:variant>
        <vt:lpwstr/>
      </vt:variant>
      <vt:variant>
        <vt:lpwstr>_Toc94770037</vt:lpwstr>
      </vt:variant>
      <vt:variant>
        <vt:i4>1179709</vt:i4>
      </vt:variant>
      <vt:variant>
        <vt:i4>344</vt:i4>
      </vt:variant>
      <vt:variant>
        <vt:i4>0</vt:i4>
      </vt:variant>
      <vt:variant>
        <vt:i4>5</vt:i4>
      </vt:variant>
      <vt:variant>
        <vt:lpwstr/>
      </vt:variant>
      <vt:variant>
        <vt:lpwstr>_Toc94770036</vt:lpwstr>
      </vt:variant>
      <vt:variant>
        <vt:i4>1114173</vt:i4>
      </vt:variant>
      <vt:variant>
        <vt:i4>338</vt:i4>
      </vt:variant>
      <vt:variant>
        <vt:i4>0</vt:i4>
      </vt:variant>
      <vt:variant>
        <vt:i4>5</vt:i4>
      </vt:variant>
      <vt:variant>
        <vt:lpwstr/>
      </vt:variant>
      <vt:variant>
        <vt:lpwstr>_Toc94770035</vt:lpwstr>
      </vt:variant>
      <vt:variant>
        <vt:i4>1048637</vt:i4>
      </vt:variant>
      <vt:variant>
        <vt:i4>332</vt:i4>
      </vt:variant>
      <vt:variant>
        <vt:i4>0</vt:i4>
      </vt:variant>
      <vt:variant>
        <vt:i4>5</vt:i4>
      </vt:variant>
      <vt:variant>
        <vt:lpwstr/>
      </vt:variant>
      <vt:variant>
        <vt:lpwstr>_Toc94770034</vt:lpwstr>
      </vt:variant>
      <vt:variant>
        <vt:i4>1507389</vt:i4>
      </vt:variant>
      <vt:variant>
        <vt:i4>326</vt:i4>
      </vt:variant>
      <vt:variant>
        <vt:i4>0</vt:i4>
      </vt:variant>
      <vt:variant>
        <vt:i4>5</vt:i4>
      </vt:variant>
      <vt:variant>
        <vt:lpwstr/>
      </vt:variant>
      <vt:variant>
        <vt:lpwstr>_Toc94770033</vt:lpwstr>
      </vt:variant>
      <vt:variant>
        <vt:i4>1441853</vt:i4>
      </vt:variant>
      <vt:variant>
        <vt:i4>320</vt:i4>
      </vt:variant>
      <vt:variant>
        <vt:i4>0</vt:i4>
      </vt:variant>
      <vt:variant>
        <vt:i4>5</vt:i4>
      </vt:variant>
      <vt:variant>
        <vt:lpwstr/>
      </vt:variant>
      <vt:variant>
        <vt:lpwstr>_Toc94770032</vt:lpwstr>
      </vt:variant>
      <vt:variant>
        <vt:i4>1376317</vt:i4>
      </vt:variant>
      <vt:variant>
        <vt:i4>314</vt:i4>
      </vt:variant>
      <vt:variant>
        <vt:i4>0</vt:i4>
      </vt:variant>
      <vt:variant>
        <vt:i4>5</vt:i4>
      </vt:variant>
      <vt:variant>
        <vt:lpwstr/>
      </vt:variant>
      <vt:variant>
        <vt:lpwstr>_Toc94770031</vt:lpwstr>
      </vt:variant>
      <vt:variant>
        <vt:i4>1310781</vt:i4>
      </vt:variant>
      <vt:variant>
        <vt:i4>308</vt:i4>
      </vt:variant>
      <vt:variant>
        <vt:i4>0</vt:i4>
      </vt:variant>
      <vt:variant>
        <vt:i4>5</vt:i4>
      </vt:variant>
      <vt:variant>
        <vt:lpwstr/>
      </vt:variant>
      <vt:variant>
        <vt:lpwstr>_Toc94770030</vt:lpwstr>
      </vt:variant>
      <vt:variant>
        <vt:i4>1900604</vt:i4>
      </vt:variant>
      <vt:variant>
        <vt:i4>302</vt:i4>
      </vt:variant>
      <vt:variant>
        <vt:i4>0</vt:i4>
      </vt:variant>
      <vt:variant>
        <vt:i4>5</vt:i4>
      </vt:variant>
      <vt:variant>
        <vt:lpwstr/>
      </vt:variant>
      <vt:variant>
        <vt:lpwstr>_Toc94770029</vt:lpwstr>
      </vt:variant>
      <vt:variant>
        <vt:i4>1835068</vt:i4>
      </vt:variant>
      <vt:variant>
        <vt:i4>296</vt:i4>
      </vt:variant>
      <vt:variant>
        <vt:i4>0</vt:i4>
      </vt:variant>
      <vt:variant>
        <vt:i4>5</vt:i4>
      </vt:variant>
      <vt:variant>
        <vt:lpwstr/>
      </vt:variant>
      <vt:variant>
        <vt:lpwstr>_Toc94770028</vt:lpwstr>
      </vt:variant>
      <vt:variant>
        <vt:i4>1245244</vt:i4>
      </vt:variant>
      <vt:variant>
        <vt:i4>290</vt:i4>
      </vt:variant>
      <vt:variant>
        <vt:i4>0</vt:i4>
      </vt:variant>
      <vt:variant>
        <vt:i4>5</vt:i4>
      </vt:variant>
      <vt:variant>
        <vt:lpwstr/>
      </vt:variant>
      <vt:variant>
        <vt:lpwstr>_Toc94770027</vt:lpwstr>
      </vt:variant>
      <vt:variant>
        <vt:i4>1179708</vt:i4>
      </vt:variant>
      <vt:variant>
        <vt:i4>284</vt:i4>
      </vt:variant>
      <vt:variant>
        <vt:i4>0</vt:i4>
      </vt:variant>
      <vt:variant>
        <vt:i4>5</vt:i4>
      </vt:variant>
      <vt:variant>
        <vt:lpwstr/>
      </vt:variant>
      <vt:variant>
        <vt:lpwstr>_Toc94770026</vt:lpwstr>
      </vt:variant>
      <vt:variant>
        <vt:i4>1245246</vt:i4>
      </vt:variant>
      <vt:variant>
        <vt:i4>278</vt:i4>
      </vt:variant>
      <vt:variant>
        <vt:i4>0</vt:i4>
      </vt:variant>
      <vt:variant>
        <vt:i4>5</vt:i4>
      </vt:variant>
      <vt:variant>
        <vt:lpwstr/>
      </vt:variant>
      <vt:variant>
        <vt:lpwstr>_Toc94770007</vt:lpwstr>
      </vt:variant>
      <vt:variant>
        <vt:i4>1179710</vt:i4>
      </vt:variant>
      <vt:variant>
        <vt:i4>272</vt:i4>
      </vt:variant>
      <vt:variant>
        <vt:i4>0</vt:i4>
      </vt:variant>
      <vt:variant>
        <vt:i4>5</vt:i4>
      </vt:variant>
      <vt:variant>
        <vt:lpwstr/>
      </vt:variant>
      <vt:variant>
        <vt:lpwstr>_Toc94770006</vt:lpwstr>
      </vt:variant>
      <vt:variant>
        <vt:i4>1114174</vt:i4>
      </vt:variant>
      <vt:variant>
        <vt:i4>266</vt:i4>
      </vt:variant>
      <vt:variant>
        <vt:i4>0</vt:i4>
      </vt:variant>
      <vt:variant>
        <vt:i4>5</vt:i4>
      </vt:variant>
      <vt:variant>
        <vt:lpwstr/>
      </vt:variant>
      <vt:variant>
        <vt:lpwstr>_Toc94770005</vt:lpwstr>
      </vt:variant>
      <vt:variant>
        <vt:i4>1048638</vt:i4>
      </vt:variant>
      <vt:variant>
        <vt:i4>260</vt:i4>
      </vt:variant>
      <vt:variant>
        <vt:i4>0</vt:i4>
      </vt:variant>
      <vt:variant>
        <vt:i4>5</vt:i4>
      </vt:variant>
      <vt:variant>
        <vt:lpwstr/>
      </vt:variant>
      <vt:variant>
        <vt:lpwstr>_Toc94770004</vt:lpwstr>
      </vt:variant>
      <vt:variant>
        <vt:i4>1507390</vt:i4>
      </vt:variant>
      <vt:variant>
        <vt:i4>254</vt:i4>
      </vt:variant>
      <vt:variant>
        <vt:i4>0</vt:i4>
      </vt:variant>
      <vt:variant>
        <vt:i4>5</vt:i4>
      </vt:variant>
      <vt:variant>
        <vt:lpwstr/>
      </vt:variant>
      <vt:variant>
        <vt:lpwstr>_Toc94770003</vt:lpwstr>
      </vt:variant>
      <vt:variant>
        <vt:i4>1441854</vt:i4>
      </vt:variant>
      <vt:variant>
        <vt:i4>248</vt:i4>
      </vt:variant>
      <vt:variant>
        <vt:i4>0</vt:i4>
      </vt:variant>
      <vt:variant>
        <vt:i4>5</vt:i4>
      </vt:variant>
      <vt:variant>
        <vt:lpwstr/>
      </vt:variant>
      <vt:variant>
        <vt:lpwstr>_Toc94770002</vt:lpwstr>
      </vt:variant>
      <vt:variant>
        <vt:i4>1376318</vt:i4>
      </vt:variant>
      <vt:variant>
        <vt:i4>242</vt:i4>
      </vt:variant>
      <vt:variant>
        <vt:i4>0</vt:i4>
      </vt:variant>
      <vt:variant>
        <vt:i4>5</vt:i4>
      </vt:variant>
      <vt:variant>
        <vt:lpwstr/>
      </vt:variant>
      <vt:variant>
        <vt:lpwstr>_Toc94770001</vt:lpwstr>
      </vt:variant>
      <vt:variant>
        <vt:i4>1310782</vt:i4>
      </vt:variant>
      <vt:variant>
        <vt:i4>236</vt:i4>
      </vt:variant>
      <vt:variant>
        <vt:i4>0</vt:i4>
      </vt:variant>
      <vt:variant>
        <vt:i4>5</vt:i4>
      </vt:variant>
      <vt:variant>
        <vt:lpwstr/>
      </vt:variant>
      <vt:variant>
        <vt:lpwstr>_Toc94770000</vt:lpwstr>
      </vt:variant>
      <vt:variant>
        <vt:i4>1376318</vt:i4>
      </vt:variant>
      <vt:variant>
        <vt:i4>230</vt:i4>
      </vt:variant>
      <vt:variant>
        <vt:i4>0</vt:i4>
      </vt:variant>
      <vt:variant>
        <vt:i4>5</vt:i4>
      </vt:variant>
      <vt:variant>
        <vt:lpwstr/>
      </vt:variant>
      <vt:variant>
        <vt:lpwstr>_Toc94769999</vt:lpwstr>
      </vt:variant>
      <vt:variant>
        <vt:i4>1310782</vt:i4>
      </vt:variant>
      <vt:variant>
        <vt:i4>224</vt:i4>
      </vt:variant>
      <vt:variant>
        <vt:i4>0</vt:i4>
      </vt:variant>
      <vt:variant>
        <vt:i4>5</vt:i4>
      </vt:variant>
      <vt:variant>
        <vt:lpwstr/>
      </vt:variant>
      <vt:variant>
        <vt:lpwstr>_Toc94769998</vt:lpwstr>
      </vt:variant>
      <vt:variant>
        <vt:i4>1769534</vt:i4>
      </vt:variant>
      <vt:variant>
        <vt:i4>218</vt:i4>
      </vt:variant>
      <vt:variant>
        <vt:i4>0</vt:i4>
      </vt:variant>
      <vt:variant>
        <vt:i4>5</vt:i4>
      </vt:variant>
      <vt:variant>
        <vt:lpwstr/>
      </vt:variant>
      <vt:variant>
        <vt:lpwstr>_Toc94769997</vt:lpwstr>
      </vt:variant>
      <vt:variant>
        <vt:i4>1703998</vt:i4>
      </vt:variant>
      <vt:variant>
        <vt:i4>212</vt:i4>
      </vt:variant>
      <vt:variant>
        <vt:i4>0</vt:i4>
      </vt:variant>
      <vt:variant>
        <vt:i4>5</vt:i4>
      </vt:variant>
      <vt:variant>
        <vt:lpwstr/>
      </vt:variant>
      <vt:variant>
        <vt:lpwstr>_Toc94769996</vt:lpwstr>
      </vt:variant>
      <vt:variant>
        <vt:i4>1638462</vt:i4>
      </vt:variant>
      <vt:variant>
        <vt:i4>206</vt:i4>
      </vt:variant>
      <vt:variant>
        <vt:i4>0</vt:i4>
      </vt:variant>
      <vt:variant>
        <vt:i4>5</vt:i4>
      </vt:variant>
      <vt:variant>
        <vt:lpwstr/>
      </vt:variant>
      <vt:variant>
        <vt:lpwstr>_Toc94769995</vt:lpwstr>
      </vt:variant>
      <vt:variant>
        <vt:i4>1572926</vt:i4>
      </vt:variant>
      <vt:variant>
        <vt:i4>200</vt:i4>
      </vt:variant>
      <vt:variant>
        <vt:i4>0</vt:i4>
      </vt:variant>
      <vt:variant>
        <vt:i4>5</vt:i4>
      </vt:variant>
      <vt:variant>
        <vt:lpwstr/>
      </vt:variant>
      <vt:variant>
        <vt:lpwstr>_Toc94769994</vt:lpwstr>
      </vt:variant>
      <vt:variant>
        <vt:i4>2031678</vt:i4>
      </vt:variant>
      <vt:variant>
        <vt:i4>194</vt:i4>
      </vt:variant>
      <vt:variant>
        <vt:i4>0</vt:i4>
      </vt:variant>
      <vt:variant>
        <vt:i4>5</vt:i4>
      </vt:variant>
      <vt:variant>
        <vt:lpwstr/>
      </vt:variant>
      <vt:variant>
        <vt:lpwstr>_Toc94769993</vt:lpwstr>
      </vt:variant>
      <vt:variant>
        <vt:i4>1966142</vt:i4>
      </vt:variant>
      <vt:variant>
        <vt:i4>188</vt:i4>
      </vt:variant>
      <vt:variant>
        <vt:i4>0</vt:i4>
      </vt:variant>
      <vt:variant>
        <vt:i4>5</vt:i4>
      </vt:variant>
      <vt:variant>
        <vt:lpwstr/>
      </vt:variant>
      <vt:variant>
        <vt:lpwstr>_Toc94769992</vt:lpwstr>
      </vt:variant>
      <vt:variant>
        <vt:i4>1900606</vt:i4>
      </vt:variant>
      <vt:variant>
        <vt:i4>182</vt:i4>
      </vt:variant>
      <vt:variant>
        <vt:i4>0</vt:i4>
      </vt:variant>
      <vt:variant>
        <vt:i4>5</vt:i4>
      </vt:variant>
      <vt:variant>
        <vt:lpwstr/>
      </vt:variant>
      <vt:variant>
        <vt:lpwstr>_Toc94769991</vt:lpwstr>
      </vt:variant>
      <vt:variant>
        <vt:i4>1835070</vt:i4>
      </vt:variant>
      <vt:variant>
        <vt:i4>176</vt:i4>
      </vt:variant>
      <vt:variant>
        <vt:i4>0</vt:i4>
      </vt:variant>
      <vt:variant>
        <vt:i4>5</vt:i4>
      </vt:variant>
      <vt:variant>
        <vt:lpwstr/>
      </vt:variant>
      <vt:variant>
        <vt:lpwstr>_Toc94769990</vt:lpwstr>
      </vt:variant>
      <vt:variant>
        <vt:i4>1376319</vt:i4>
      </vt:variant>
      <vt:variant>
        <vt:i4>170</vt:i4>
      </vt:variant>
      <vt:variant>
        <vt:i4>0</vt:i4>
      </vt:variant>
      <vt:variant>
        <vt:i4>5</vt:i4>
      </vt:variant>
      <vt:variant>
        <vt:lpwstr/>
      </vt:variant>
      <vt:variant>
        <vt:lpwstr>_Toc94769989</vt:lpwstr>
      </vt:variant>
      <vt:variant>
        <vt:i4>1310783</vt:i4>
      </vt:variant>
      <vt:variant>
        <vt:i4>164</vt:i4>
      </vt:variant>
      <vt:variant>
        <vt:i4>0</vt:i4>
      </vt:variant>
      <vt:variant>
        <vt:i4>5</vt:i4>
      </vt:variant>
      <vt:variant>
        <vt:lpwstr/>
      </vt:variant>
      <vt:variant>
        <vt:lpwstr>_Toc94769988</vt:lpwstr>
      </vt:variant>
      <vt:variant>
        <vt:i4>1703999</vt:i4>
      </vt:variant>
      <vt:variant>
        <vt:i4>158</vt:i4>
      </vt:variant>
      <vt:variant>
        <vt:i4>0</vt:i4>
      </vt:variant>
      <vt:variant>
        <vt:i4>5</vt:i4>
      </vt:variant>
      <vt:variant>
        <vt:lpwstr/>
      </vt:variant>
      <vt:variant>
        <vt:lpwstr>_Toc94769986</vt:lpwstr>
      </vt:variant>
      <vt:variant>
        <vt:i4>1638463</vt:i4>
      </vt:variant>
      <vt:variant>
        <vt:i4>152</vt:i4>
      </vt:variant>
      <vt:variant>
        <vt:i4>0</vt:i4>
      </vt:variant>
      <vt:variant>
        <vt:i4>5</vt:i4>
      </vt:variant>
      <vt:variant>
        <vt:lpwstr/>
      </vt:variant>
      <vt:variant>
        <vt:lpwstr>_Toc94769985</vt:lpwstr>
      </vt:variant>
      <vt:variant>
        <vt:i4>1572927</vt:i4>
      </vt:variant>
      <vt:variant>
        <vt:i4>146</vt:i4>
      </vt:variant>
      <vt:variant>
        <vt:i4>0</vt:i4>
      </vt:variant>
      <vt:variant>
        <vt:i4>5</vt:i4>
      </vt:variant>
      <vt:variant>
        <vt:lpwstr/>
      </vt:variant>
      <vt:variant>
        <vt:lpwstr>_Toc94769984</vt:lpwstr>
      </vt:variant>
      <vt:variant>
        <vt:i4>2031679</vt:i4>
      </vt:variant>
      <vt:variant>
        <vt:i4>140</vt:i4>
      </vt:variant>
      <vt:variant>
        <vt:i4>0</vt:i4>
      </vt:variant>
      <vt:variant>
        <vt:i4>5</vt:i4>
      </vt:variant>
      <vt:variant>
        <vt:lpwstr/>
      </vt:variant>
      <vt:variant>
        <vt:lpwstr>_Toc94769983</vt:lpwstr>
      </vt:variant>
      <vt:variant>
        <vt:i4>1966143</vt:i4>
      </vt:variant>
      <vt:variant>
        <vt:i4>134</vt:i4>
      </vt:variant>
      <vt:variant>
        <vt:i4>0</vt:i4>
      </vt:variant>
      <vt:variant>
        <vt:i4>5</vt:i4>
      </vt:variant>
      <vt:variant>
        <vt:lpwstr/>
      </vt:variant>
      <vt:variant>
        <vt:lpwstr>_Toc94769982</vt:lpwstr>
      </vt:variant>
      <vt:variant>
        <vt:i4>1900607</vt:i4>
      </vt:variant>
      <vt:variant>
        <vt:i4>128</vt:i4>
      </vt:variant>
      <vt:variant>
        <vt:i4>0</vt:i4>
      </vt:variant>
      <vt:variant>
        <vt:i4>5</vt:i4>
      </vt:variant>
      <vt:variant>
        <vt:lpwstr/>
      </vt:variant>
      <vt:variant>
        <vt:lpwstr>_Toc94769981</vt:lpwstr>
      </vt:variant>
      <vt:variant>
        <vt:i4>1835071</vt:i4>
      </vt:variant>
      <vt:variant>
        <vt:i4>122</vt:i4>
      </vt:variant>
      <vt:variant>
        <vt:i4>0</vt:i4>
      </vt:variant>
      <vt:variant>
        <vt:i4>5</vt:i4>
      </vt:variant>
      <vt:variant>
        <vt:lpwstr/>
      </vt:variant>
      <vt:variant>
        <vt:lpwstr>_Toc94769980</vt:lpwstr>
      </vt:variant>
      <vt:variant>
        <vt:i4>1376304</vt:i4>
      </vt:variant>
      <vt:variant>
        <vt:i4>116</vt:i4>
      </vt:variant>
      <vt:variant>
        <vt:i4>0</vt:i4>
      </vt:variant>
      <vt:variant>
        <vt:i4>5</vt:i4>
      </vt:variant>
      <vt:variant>
        <vt:lpwstr/>
      </vt:variant>
      <vt:variant>
        <vt:lpwstr>_Toc94769979</vt:lpwstr>
      </vt:variant>
      <vt:variant>
        <vt:i4>1310768</vt:i4>
      </vt:variant>
      <vt:variant>
        <vt:i4>110</vt:i4>
      </vt:variant>
      <vt:variant>
        <vt:i4>0</vt:i4>
      </vt:variant>
      <vt:variant>
        <vt:i4>5</vt:i4>
      </vt:variant>
      <vt:variant>
        <vt:lpwstr/>
      </vt:variant>
      <vt:variant>
        <vt:lpwstr>_Toc94769978</vt:lpwstr>
      </vt:variant>
      <vt:variant>
        <vt:i4>1769520</vt:i4>
      </vt:variant>
      <vt:variant>
        <vt:i4>104</vt:i4>
      </vt:variant>
      <vt:variant>
        <vt:i4>0</vt:i4>
      </vt:variant>
      <vt:variant>
        <vt:i4>5</vt:i4>
      </vt:variant>
      <vt:variant>
        <vt:lpwstr/>
      </vt:variant>
      <vt:variant>
        <vt:lpwstr>_Toc94769977</vt:lpwstr>
      </vt:variant>
      <vt:variant>
        <vt:i4>1703984</vt:i4>
      </vt:variant>
      <vt:variant>
        <vt:i4>98</vt:i4>
      </vt:variant>
      <vt:variant>
        <vt:i4>0</vt:i4>
      </vt:variant>
      <vt:variant>
        <vt:i4>5</vt:i4>
      </vt:variant>
      <vt:variant>
        <vt:lpwstr/>
      </vt:variant>
      <vt:variant>
        <vt:lpwstr>_Toc94769976</vt:lpwstr>
      </vt:variant>
      <vt:variant>
        <vt:i4>1638448</vt:i4>
      </vt:variant>
      <vt:variant>
        <vt:i4>92</vt:i4>
      </vt:variant>
      <vt:variant>
        <vt:i4>0</vt:i4>
      </vt:variant>
      <vt:variant>
        <vt:i4>5</vt:i4>
      </vt:variant>
      <vt:variant>
        <vt:lpwstr/>
      </vt:variant>
      <vt:variant>
        <vt:lpwstr>_Toc94769975</vt:lpwstr>
      </vt:variant>
      <vt:variant>
        <vt:i4>1572912</vt:i4>
      </vt:variant>
      <vt:variant>
        <vt:i4>86</vt:i4>
      </vt:variant>
      <vt:variant>
        <vt:i4>0</vt:i4>
      </vt:variant>
      <vt:variant>
        <vt:i4>5</vt:i4>
      </vt:variant>
      <vt:variant>
        <vt:lpwstr/>
      </vt:variant>
      <vt:variant>
        <vt:lpwstr>_Toc94769974</vt:lpwstr>
      </vt:variant>
      <vt:variant>
        <vt:i4>2031664</vt:i4>
      </vt:variant>
      <vt:variant>
        <vt:i4>80</vt:i4>
      </vt:variant>
      <vt:variant>
        <vt:i4>0</vt:i4>
      </vt:variant>
      <vt:variant>
        <vt:i4>5</vt:i4>
      </vt:variant>
      <vt:variant>
        <vt:lpwstr/>
      </vt:variant>
      <vt:variant>
        <vt:lpwstr>_Toc94769973</vt:lpwstr>
      </vt:variant>
      <vt:variant>
        <vt:i4>1966128</vt:i4>
      </vt:variant>
      <vt:variant>
        <vt:i4>74</vt:i4>
      </vt:variant>
      <vt:variant>
        <vt:i4>0</vt:i4>
      </vt:variant>
      <vt:variant>
        <vt:i4>5</vt:i4>
      </vt:variant>
      <vt:variant>
        <vt:lpwstr/>
      </vt:variant>
      <vt:variant>
        <vt:lpwstr>_Toc94769972</vt:lpwstr>
      </vt:variant>
      <vt:variant>
        <vt:i4>1900592</vt:i4>
      </vt:variant>
      <vt:variant>
        <vt:i4>68</vt:i4>
      </vt:variant>
      <vt:variant>
        <vt:i4>0</vt:i4>
      </vt:variant>
      <vt:variant>
        <vt:i4>5</vt:i4>
      </vt:variant>
      <vt:variant>
        <vt:lpwstr/>
      </vt:variant>
      <vt:variant>
        <vt:lpwstr>_Toc94769971</vt:lpwstr>
      </vt:variant>
      <vt:variant>
        <vt:i4>1835056</vt:i4>
      </vt:variant>
      <vt:variant>
        <vt:i4>62</vt:i4>
      </vt:variant>
      <vt:variant>
        <vt:i4>0</vt:i4>
      </vt:variant>
      <vt:variant>
        <vt:i4>5</vt:i4>
      </vt:variant>
      <vt:variant>
        <vt:lpwstr/>
      </vt:variant>
      <vt:variant>
        <vt:lpwstr>_Toc94769970</vt:lpwstr>
      </vt:variant>
      <vt:variant>
        <vt:i4>1376305</vt:i4>
      </vt:variant>
      <vt:variant>
        <vt:i4>56</vt:i4>
      </vt:variant>
      <vt:variant>
        <vt:i4>0</vt:i4>
      </vt:variant>
      <vt:variant>
        <vt:i4>5</vt:i4>
      </vt:variant>
      <vt:variant>
        <vt:lpwstr/>
      </vt:variant>
      <vt:variant>
        <vt:lpwstr>_Toc94769969</vt:lpwstr>
      </vt:variant>
      <vt:variant>
        <vt:i4>1310769</vt:i4>
      </vt:variant>
      <vt:variant>
        <vt:i4>50</vt:i4>
      </vt:variant>
      <vt:variant>
        <vt:i4>0</vt:i4>
      </vt:variant>
      <vt:variant>
        <vt:i4>5</vt:i4>
      </vt:variant>
      <vt:variant>
        <vt:lpwstr/>
      </vt:variant>
      <vt:variant>
        <vt:lpwstr>_Toc94769968</vt:lpwstr>
      </vt:variant>
      <vt:variant>
        <vt:i4>1769521</vt:i4>
      </vt:variant>
      <vt:variant>
        <vt:i4>44</vt:i4>
      </vt:variant>
      <vt:variant>
        <vt:i4>0</vt:i4>
      </vt:variant>
      <vt:variant>
        <vt:i4>5</vt:i4>
      </vt:variant>
      <vt:variant>
        <vt:lpwstr/>
      </vt:variant>
      <vt:variant>
        <vt:lpwstr>_Toc94769967</vt:lpwstr>
      </vt:variant>
      <vt:variant>
        <vt:i4>1703985</vt:i4>
      </vt:variant>
      <vt:variant>
        <vt:i4>38</vt:i4>
      </vt:variant>
      <vt:variant>
        <vt:i4>0</vt:i4>
      </vt:variant>
      <vt:variant>
        <vt:i4>5</vt:i4>
      </vt:variant>
      <vt:variant>
        <vt:lpwstr/>
      </vt:variant>
      <vt:variant>
        <vt:lpwstr>_Toc94769966</vt:lpwstr>
      </vt:variant>
      <vt:variant>
        <vt:i4>1638449</vt:i4>
      </vt:variant>
      <vt:variant>
        <vt:i4>32</vt:i4>
      </vt:variant>
      <vt:variant>
        <vt:i4>0</vt:i4>
      </vt:variant>
      <vt:variant>
        <vt:i4>5</vt:i4>
      </vt:variant>
      <vt:variant>
        <vt:lpwstr/>
      </vt:variant>
      <vt:variant>
        <vt:lpwstr>_Toc94769965</vt:lpwstr>
      </vt:variant>
      <vt:variant>
        <vt:i4>1572913</vt:i4>
      </vt:variant>
      <vt:variant>
        <vt:i4>26</vt:i4>
      </vt:variant>
      <vt:variant>
        <vt:i4>0</vt:i4>
      </vt:variant>
      <vt:variant>
        <vt:i4>5</vt:i4>
      </vt:variant>
      <vt:variant>
        <vt:lpwstr/>
      </vt:variant>
      <vt:variant>
        <vt:lpwstr>_Toc94769964</vt:lpwstr>
      </vt:variant>
      <vt:variant>
        <vt:i4>2031665</vt:i4>
      </vt:variant>
      <vt:variant>
        <vt:i4>20</vt:i4>
      </vt:variant>
      <vt:variant>
        <vt:i4>0</vt:i4>
      </vt:variant>
      <vt:variant>
        <vt:i4>5</vt:i4>
      </vt:variant>
      <vt:variant>
        <vt:lpwstr/>
      </vt:variant>
      <vt:variant>
        <vt:lpwstr>_Toc94769963</vt:lpwstr>
      </vt:variant>
      <vt:variant>
        <vt:i4>1966129</vt:i4>
      </vt:variant>
      <vt:variant>
        <vt:i4>14</vt:i4>
      </vt:variant>
      <vt:variant>
        <vt:i4>0</vt:i4>
      </vt:variant>
      <vt:variant>
        <vt:i4>5</vt:i4>
      </vt:variant>
      <vt:variant>
        <vt:lpwstr/>
      </vt:variant>
      <vt:variant>
        <vt:lpwstr>_Toc94769962</vt:lpwstr>
      </vt:variant>
      <vt:variant>
        <vt:i4>1900593</vt:i4>
      </vt:variant>
      <vt:variant>
        <vt:i4>8</vt:i4>
      </vt:variant>
      <vt:variant>
        <vt:i4>0</vt:i4>
      </vt:variant>
      <vt:variant>
        <vt:i4>5</vt:i4>
      </vt:variant>
      <vt:variant>
        <vt:lpwstr/>
      </vt:variant>
      <vt:variant>
        <vt:lpwstr>_Toc94769961</vt:lpwstr>
      </vt:variant>
      <vt:variant>
        <vt:i4>1835057</vt:i4>
      </vt:variant>
      <vt:variant>
        <vt:i4>2</vt:i4>
      </vt:variant>
      <vt:variant>
        <vt:i4>0</vt:i4>
      </vt:variant>
      <vt:variant>
        <vt:i4>5</vt:i4>
      </vt:variant>
      <vt:variant>
        <vt:lpwstr/>
      </vt:variant>
      <vt:variant>
        <vt:lpwstr>_Toc94769960</vt:lpwstr>
      </vt:variant>
      <vt:variant>
        <vt:i4>4587613</vt:i4>
      </vt:variant>
      <vt:variant>
        <vt:i4>18</vt:i4>
      </vt:variant>
      <vt:variant>
        <vt:i4>0</vt:i4>
      </vt:variant>
      <vt:variant>
        <vt:i4>5</vt:i4>
      </vt:variant>
      <vt:variant>
        <vt:lpwstr>https://eur-lex.europa.eu/legal-content/HR/TXT/PDF/?uri=CELEX:32021R1060&amp;from=EN</vt:lpwstr>
      </vt:variant>
      <vt:variant>
        <vt:lpwstr/>
      </vt:variant>
      <vt:variant>
        <vt:i4>8192064</vt:i4>
      </vt:variant>
      <vt:variant>
        <vt:i4>15</vt:i4>
      </vt:variant>
      <vt:variant>
        <vt:i4>0</vt:i4>
      </vt:variant>
      <vt:variant>
        <vt:i4>5</vt:i4>
      </vt:variant>
      <vt:variant>
        <vt:lpwstr>https://mgipu.gov.hr/UserDocsImages/dokumenti/EnergetskaUcinkovitost/DSO_14.12.2020.pdf</vt:lpwstr>
      </vt:variant>
      <vt:variant>
        <vt:lpwstr/>
      </vt:variant>
      <vt:variant>
        <vt:i4>8192064</vt:i4>
      </vt:variant>
      <vt:variant>
        <vt:i4>12</vt:i4>
      </vt:variant>
      <vt:variant>
        <vt:i4>0</vt:i4>
      </vt:variant>
      <vt:variant>
        <vt:i4>5</vt:i4>
      </vt:variant>
      <vt:variant>
        <vt:lpwstr>https://mgipu.gov.hr/UserDocsImages/dokumenti/EnergetskaUcinkovitost/DSO_14.12.2020.pdf</vt:lpwstr>
      </vt:variant>
      <vt:variant>
        <vt:lpwstr/>
      </vt:variant>
      <vt:variant>
        <vt:i4>7143460</vt:i4>
      </vt:variant>
      <vt:variant>
        <vt:i4>9</vt:i4>
      </vt:variant>
      <vt:variant>
        <vt:i4>0</vt:i4>
      </vt:variant>
      <vt:variant>
        <vt:i4>5</vt:i4>
      </vt:variant>
      <vt:variant>
        <vt:lpwstr>http://apn.hr/app/uploads/2019/03/Status-Programa-2014-2015.pdf</vt:lpwstr>
      </vt:variant>
      <vt:variant>
        <vt:lpwstr/>
      </vt:variant>
      <vt:variant>
        <vt:i4>6029323</vt:i4>
      </vt:variant>
      <vt:variant>
        <vt:i4>6</vt:i4>
      </vt:variant>
      <vt:variant>
        <vt:i4>0</vt:i4>
      </vt:variant>
      <vt:variant>
        <vt:i4>5</vt:i4>
      </vt:variant>
      <vt:variant>
        <vt:lpwstr>https://mingor.gov.hr/o-ministarstvu-1065/djelokrug-4925/energetika/energetska-politika-i-planiranje/strategije-planovi-i-programi-2009/2009</vt:lpwstr>
      </vt:variant>
      <vt:variant>
        <vt:lpwstr/>
      </vt:variant>
      <vt:variant>
        <vt:i4>4391008</vt:i4>
      </vt:variant>
      <vt:variant>
        <vt:i4>3</vt:i4>
      </vt:variant>
      <vt:variant>
        <vt:i4>0</vt:i4>
      </vt:variant>
      <vt:variant>
        <vt:i4>5</vt:i4>
      </vt:variant>
      <vt:variant>
        <vt:lpwstr>https://ec.europa.eu/energy/topics/energy-efficiency/energy-efficient-buildings/renovation-wave_en</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Borković</dc:creator>
  <cp:keywords/>
  <dc:description/>
  <cp:lastModifiedBy>Diana Horvat</cp:lastModifiedBy>
  <cp:revision>2</cp:revision>
  <cp:lastPrinted>2022-03-01T11:10:00Z</cp:lastPrinted>
  <dcterms:created xsi:type="dcterms:W3CDTF">2022-03-07T15:15:00Z</dcterms:created>
  <dcterms:modified xsi:type="dcterms:W3CDTF">2022-03-07T15:15:00Z</dcterms:modified>
  <cp:category/>
  <cp:contentStatus>dra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0x010100DFF6C42E998B5A4F9579DF59A3CBB3E5</vt:lpwstr>
  </property>
</Properties>
</file>