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BDB2" w14:textId="77777777" w:rsidR="00DC4BDD" w:rsidRPr="00DC4BDD" w:rsidRDefault="00DC4BDD" w:rsidP="00DC4BDD">
      <w:pPr>
        <w:pStyle w:val="t-9-8"/>
        <w:spacing w:before="0" w:beforeAutospacing="0" w:after="360" w:afterAutospacing="0"/>
        <w:ind w:firstLine="709"/>
        <w:jc w:val="center"/>
        <w:textAlignment w:val="baseline"/>
        <w:rPr>
          <w:b/>
          <w:color w:val="000000"/>
        </w:rPr>
      </w:pPr>
      <w:bookmarkStart w:id="0" w:name="_GoBack"/>
      <w:bookmarkEnd w:id="0"/>
      <w:r w:rsidRPr="00DC4BDD">
        <w:rPr>
          <w:b/>
          <w:color w:val="000000"/>
        </w:rPr>
        <w:t>MINISTARSTVO GOSPODARSTVA I ODRŽIVOG RAZVOJA</w:t>
      </w:r>
    </w:p>
    <w:p w14:paraId="167E590A" w14:textId="2A6A33AD" w:rsidR="00501C3D" w:rsidRDefault="00C70B29" w:rsidP="00DE307B">
      <w:pPr>
        <w:pStyle w:val="t-9-8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Na temelju članka </w:t>
      </w:r>
      <w:r w:rsidR="002948AA">
        <w:rPr>
          <w:color w:val="000000"/>
        </w:rPr>
        <w:t>1</w:t>
      </w:r>
      <w:r w:rsidR="00AA1F77">
        <w:rPr>
          <w:color w:val="000000"/>
        </w:rPr>
        <w:t>78</w:t>
      </w:r>
      <w:r w:rsidR="002948AA">
        <w:rPr>
          <w:color w:val="000000"/>
        </w:rPr>
        <w:t>.</w:t>
      </w:r>
      <w:r w:rsidRPr="00B50C0C">
        <w:rPr>
          <w:color w:val="000000"/>
        </w:rPr>
        <w:t xml:space="preserve"> Zakona o istraživanju i eksploataciji ugljikovodika (</w:t>
      </w:r>
      <w:r w:rsidR="002A7593">
        <w:rPr>
          <w:color w:val="000000"/>
        </w:rPr>
        <w:t>„</w:t>
      </w:r>
      <w:r w:rsidRPr="00B50C0C">
        <w:rPr>
          <w:color w:val="000000"/>
        </w:rPr>
        <w:t>Narodne novine</w:t>
      </w:r>
      <w:r w:rsidR="002A7593">
        <w:rPr>
          <w:color w:val="000000"/>
        </w:rPr>
        <w:t>“</w:t>
      </w:r>
      <w:r w:rsidRPr="00B50C0C">
        <w:rPr>
          <w:color w:val="000000"/>
        </w:rPr>
        <w:t>, br</w:t>
      </w:r>
      <w:r w:rsidR="00985DF5" w:rsidRPr="00B50C0C">
        <w:rPr>
          <w:color w:val="000000"/>
        </w:rPr>
        <w:t>.</w:t>
      </w:r>
      <w:r w:rsidR="00474D0E" w:rsidRPr="00B50C0C">
        <w:rPr>
          <w:color w:val="000000"/>
        </w:rPr>
        <w:t xml:space="preserve"> </w:t>
      </w:r>
      <w:r w:rsidRPr="00B50C0C">
        <w:rPr>
          <w:color w:val="000000"/>
        </w:rPr>
        <w:t>52/18</w:t>
      </w:r>
      <w:r w:rsidR="002A7593">
        <w:rPr>
          <w:color w:val="000000"/>
        </w:rPr>
        <w:t>.,</w:t>
      </w:r>
      <w:r w:rsidR="00985DF5" w:rsidRPr="00B50C0C">
        <w:rPr>
          <w:color w:val="000000"/>
        </w:rPr>
        <w:t xml:space="preserve"> 52/19</w:t>
      </w:r>
      <w:r w:rsidR="002A7593">
        <w:rPr>
          <w:color w:val="000000"/>
        </w:rPr>
        <w:t>. i 30/21.</w:t>
      </w:r>
      <w:r w:rsidRPr="00B50C0C">
        <w:rPr>
          <w:color w:val="000000"/>
        </w:rPr>
        <w:t xml:space="preserve">), </w:t>
      </w:r>
      <w:r w:rsidR="002948AA">
        <w:rPr>
          <w:color w:val="000000"/>
        </w:rPr>
        <w:t xml:space="preserve">ministar </w:t>
      </w:r>
      <w:r w:rsidR="00AA1F77">
        <w:rPr>
          <w:color w:val="000000"/>
        </w:rPr>
        <w:t>nadležan za energetiku, uz suglasnost ministra nadležnog za graditeljstvo,</w:t>
      </w:r>
      <w:r w:rsidR="002948AA">
        <w:rPr>
          <w:color w:val="000000"/>
        </w:rPr>
        <w:t xml:space="preserve"> donosi</w:t>
      </w:r>
    </w:p>
    <w:p w14:paraId="474D2F1E" w14:textId="77777777" w:rsidR="00865CFC" w:rsidRPr="00B50C0C" w:rsidRDefault="00865CFC" w:rsidP="00865CFC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295176C4" w14:textId="6B8A49D9" w:rsidR="00C70B29" w:rsidRDefault="002948AA" w:rsidP="00DE307B">
      <w:pPr>
        <w:pStyle w:val="t-12-9-fett-s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PRAVILNIK O IZMJENAMA I DOPUN</w:t>
      </w:r>
      <w:r w:rsidR="008D2C7D">
        <w:rPr>
          <w:b/>
          <w:bCs/>
          <w:color w:val="000000"/>
        </w:rPr>
        <w:t>AMA</w:t>
      </w:r>
      <w:r>
        <w:rPr>
          <w:b/>
          <w:bCs/>
          <w:color w:val="000000"/>
        </w:rPr>
        <w:t xml:space="preserve"> PRAVILNIKA O </w:t>
      </w:r>
      <w:r w:rsidR="008D2C7D">
        <w:rPr>
          <w:b/>
          <w:bCs/>
          <w:color w:val="000000"/>
        </w:rPr>
        <w:t>GRAĐENJU NAFTNO-RUDARSKIH OBJEKATA I POSTROJENJA</w:t>
      </w:r>
    </w:p>
    <w:p w14:paraId="333FF428" w14:textId="77777777" w:rsidR="004057DF" w:rsidRPr="00B50C0C" w:rsidRDefault="004057DF" w:rsidP="004057DF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14:paraId="5CEED2AB" w14:textId="77777777" w:rsidR="00C70B29" w:rsidRPr="00B50C0C" w:rsidRDefault="00C70B29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B50C0C">
        <w:rPr>
          <w:b/>
          <w:color w:val="000000"/>
        </w:rPr>
        <w:t>Članak 1.</w:t>
      </w:r>
    </w:p>
    <w:p w14:paraId="0BBFC6AC" w14:textId="263F9AD2" w:rsidR="00A73F40" w:rsidRDefault="003A19A9" w:rsidP="002309A7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1C0457">
        <w:rPr>
          <w:color w:val="000000"/>
        </w:rPr>
        <w:t>U Pravilniku</w:t>
      </w:r>
      <w:r>
        <w:rPr>
          <w:color w:val="000000"/>
        </w:rPr>
        <w:t xml:space="preserve"> </w:t>
      </w:r>
      <w:r w:rsidR="0019510C">
        <w:rPr>
          <w:color w:val="000000"/>
        </w:rPr>
        <w:t xml:space="preserve">o </w:t>
      </w:r>
      <w:r w:rsidR="00F0654C">
        <w:rPr>
          <w:color w:val="000000"/>
        </w:rPr>
        <w:t>građenju naftno-rudarskih objekata i postrojenja</w:t>
      </w:r>
      <w:r w:rsidR="0019510C">
        <w:rPr>
          <w:color w:val="000000"/>
        </w:rPr>
        <w:t xml:space="preserve"> („Narodne novine“, broj 95/18.)</w:t>
      </w:r>
      <w:r w:rsidR="008708B4">
        <w:rPr>
          <w:color w:val="000000"/>
        </w:rPr>
        <w:t>,</w:t>
      </w:r>
      <w:r w:rsidR="0019510C">
        <w:rPr>
          <w:color w:val="000000"/>
        </w:rPr>
        <w:t xml:space="preserve"> </w:t>
      </w:r>
      <w:r w:rsidR="001C0457">
        <w:rPr>
          <w:color w:val="000000"/>
        </w:rPr>
        <w:t xml:space="preserve">u članku </w:t>
      </w:r>
      <w:r w:rsidR="00F0654C">
        <w:rPr>
          <w:color w:val="000000"/>
        </w:rPr>
        <w:t>2</w:t>
      </w:r>
      <w:r w:rsidR="001C0457">
        <w:rPr>
          <w:color w:val="000000"/>
        </w:rPr>
        <w:t xml:space="preserve">. </w:t>
      </w:r>
      <w:r w:rsidR="00F0654C">
        <w:rPr>
          <w:color w:val="000000"/>
        </w:rPr>
        <w:t>iza riječi: „ugljikovodika“ dodaju se zagrada i riječi: „u daljnjem tekstu: Zakon“.</w:t>
      </w:r>
    </w:p>
    <w:p w14:paraId="7123330B" w14:textId="04B5F36B" w:rsidR="003A37CF" w:rsidRDefault="003A37CF" w:rsidP="003A37CF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3A37CF">
        <w:rPr>
          <w:b/>
          <w:bCs/>
          <w:color w:val="000000"/>
        </w:rPr>
        <w:t>Članak 2.</w:t>
      </w:r>
    </w:p>
    <w:p w14:paraId="534805F8" w14:textId="1224018F" w:rsidR="003A37CF" w:rsidRDefault="003A37CF" w:rsidP="003A37CF">
      <w:pPr>
        <w:pStyle w:val="clanak"/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ab/>
        <w:t>U članku 3. stavku 2. iza riječi: „odgovorna“ dodaje se riječ: „stručna“.</w:t>
      </w:r>
    </w:p>
    <w:p w14:paraId="0A5C876C" w14:textId="03085848" w:rsidR="003A37CF" w:rsidRPr="003A37CF" w:rsidRDefault="003A37CF" w:rsidP="003A37CF">
      <w:pPr>
        <w:pStyle w:val="clanak"/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ab/>
        <w:t>U stavku 3. broj: „178.“ zamjenjuje se brojem: „130.“.</w:t>
      </w:r>
    </w:p>
    <w:p w14:paraId="269B0383" w14:textId="77777777" w:rsidR="008708B4" w:rsidRPr="00EE09EE" w:rsidRDefault="008708B4" w:rsidP="00F0654C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5848879" w14:textId="695CC730" w:rsidR="00A7366F" w:rsidRDefault="008708B4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2309A7">
        <w:rPr>
          <w:b/>
          <w:color w:val="000000"/>
        </w:rPr>
        <w:t>3</w:t>
      </w:r>
      <w:r>
        <w:rPr>
          <w:b/>
          <w:color w:val="000000"/>
        </w:rPr>
        <w:t>.</w:t>
      </w:r>
    </w:p>
    <w:p w14:paraId="44FEA44F" w14:textId="395E880A" w:rsidR="008708B4" w:rsidRDefault="008708B4" w:rsidP="008708B4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</w:r>
      <w:r w:rsidR="00281426">
        <w:rPr>
          <w:color w:val="000000"/>
        </w:rPr>
        <w:t xml:space="preserve">U članku 6. </w:t>
      </w:r>
      <w:r w:rsidR="00DB0B7E">
        <w:rPr>
          <w:color w:val="000000"/>
        </w:rPr>
        <w:t>stavku 3. po</w:t>
      </w:r>
      <w:r w:rsidR="00BF1D8C">
        <w:rPr>
          <w:color w:val="000000"/>
        </w:rPr>
        <w:t>d</w:t>
      </w:r>
      <w:r w:rsidR="00DB0B7E">
        <w:rPr>
          <w:color w:val="000000"/>
        </w:rPr>
        <w:t>stavci 3. i 4. mijenjaju se i glase:</w:t>
      </w:r>
    </w:p>
    <w:p w14:paraId="3BB65C9A" w14:textId="67D724CE" w:rsidR="00DB0B7E" w:rsidRDefault="00DB0B7E" w:rsidP="00BF1D8C">
      <w:pPr>
        <w:pStyle w:val="clanak"/>
        <w:spacing w:before="0" w:beforeAutospacing="0" w:after="225" w:afterAutospacing="0"/>
        <w:jc w:val="both"/>
        <w:textAlignment w:val="baseline"/>
      </w:pPr>
      <w:r>
        <w:rPr>
          <w:color w:val="000000"/>
        </w:rPr>
        <w:t xml:space="preserve">„- </w:t>
      </w:r>
      <w:r w:rsidR="00BF1D8C" w:rsidRPr="004E57CC">
        <w:t>osigurati dokaze o svojstvima, sukladnosti i kvaliteti ugrađenih građevnih proizvoda i opreme, odnosno izvedenih radova</w:t>
      </w:r>
    </w:p>
    <w:p w14:paraId="0DE8178A" w14:textId="26809DE7" w:rsidR="00B946B6" w:rsidRDefault="00BF1D8C" w:rsidP="00B946B6">
      <w:pPr>
        <w:pStyle w:val="clanak"/>
        <w:spacing w:before="0" w:beforeAutospacing="0" w:after="120" w:afterAutospacing="0"/>
        <w:jc w:val="both"/>
        <w:textAlignment w:val="baseline"/>
        <w:rPr>
          <w:color w:val="231F20"/>
        </w:rPr>
      </w:pPr>
      <w:r>
        <w:t xml:space="preserve">- </w:t>
      </w:r>
      <w:r>
        <w:rPr>
          <w:color w:val="231F20"/>
        </w:rPr>
        <w:t xml:space="preserve">postupati s građevnim otpadom nastalim tijekom građenja sukladno propisima koji uređuju gospodarenje otpadom </w:t>
      </w:r>
      <w:r w:rsidRPr="009473D6">
        <w:rPr>
          <w:color w:val="231F20"/>
        </w:rPr>
        <w:t>i</w:t>
      </w:r>
      <w:r w:rsidR="00B94B61">
        <w:rPr>
          <w:color w:val="231F20"/>
        </w:rPr>
        <w:t>“.</w:t>
      </w:r>
    </w:p>
    <w:p w14:paraId="3A92CFD2" w14:textId="77777777" w:rsidR="00B946B6" w:rsidRDefault="00B946B6" w:rsidP="00B946B6">
      <w:pPr>
        <w:pStyle w:val="clanak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D028100" w14:textId="7B5C7BE6" w:rsidR="00FE46F7" w:rsidRPr="00FE46F7" w:rsidRDefault="00FE46F7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FE46F7">
        <w:rPr>
          <w:b/>
          <w:color w:val="231F20"/>
        </w:rPr>
        <w:t xml:space="preserve">Članak </w:t>
      </w:r>
      <w:r w:rsidR="002309A7">
        <w:rPr>
          <w:b/>
          <w:color w:val="231F20"/>
        </w:rPr>
        <w:t>4</w:t>
      </w:r>
      <w:r w:rsidRPr="00FE46F7">
        <w:rPr>
          <w:b/>
          <w:color w:val="231F20"/>
        </w:rPr>
        <w:t>.</w:t>
      </w:r>
    </w:p>
    <w:p w14:paraId="487A4D53" w14:textId="77777777" w:rsidR="005B15B1" w:rsidRDefault="00FE46F7" w:rsidP="00FE46F7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U članku 8. </w:t>
      </w:r>
      <w:r w:rsidR="005B15B1">
        <w:rPr>
          <w:color w:val="000000"/>
        </w:rPr>
        <w:t>iza stavka 2. dodaje se novi stavak 3. koji glasi:</w:t>
      </w:r>
    </w:p>
    <w:p w14:paraId="2C3FA1D8" w14:textId="2DEB7FE2" w:rsidR="00FE46F7" w:rsidRDefault="005B15B1" w:rsidP="005B15B1">
      <w:pPr>
        <w:pStyle w:val="clanak"/>
        <w:spacing w:before="0" w:beforeAutospacing="0" w:after="225" w:afterAutospacing="0"/>
        <w:jc w:val="both"/>
        <w:textAlignment w:val="baseline"/>
        <w:rPr>
          <w:color w:val="231F20"/>
        </w:rPr>
      </w:pPr>
      <w:r>
        <w:rPr>
          <w:color w:val="000000"/>
        </w:rPr>
        <w:t xml:space="preserve">„(3) </w:t>
      </w:r>
      <w:r w:rsidR="00FE46F7">
        <w:rPr>
          <w:color w:val="000000"/>
        </w:rPr>
        <w:t xml:space="preserve"> </w:t>
      </w:r>
      <w:r w:rsidRPr="00A93FC2">
        <w:rPr>
          <w:color w:val="231F20"/>
        </w:rPr>
        <w:t>Nadzorni inženjer, odnosno glavni nadzorni inženjer ne može biti zaposlenik osobe koja je izvođač radova na građenju istih naftno-rudarskih objekata i postrojenja</w:t>
      </w:r>
      <w:r w:rsidR="00536A4E">
        <w:rPr>
          <w:color w:val="231F20"/>
        </w:rPr>
        <w:t>.“.</w:t>
      </w:r>
    </w:p>
    <w:p w14:paraId="3E95C729" w14:textId="275270A7" w:rsidR="00536A4E" w:rsidRDefault="00536A4E" w:rsidP="002309A7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  <w:t>Dosadašnji stavci 3., 4. i 5. postaju stavci 4., 5. i 6.</w:t>
      </w:r>
    </w:p>
    <w:p w14:paraId="20B885F2" w14:textId="58A5BD0A" w:rsidR="002309A7" w:rsidRDefault="002309A7" w:rsidP="002309A7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231F20"/>
        </w:rPr>
      </w:pPr>
      <w:r w:rsidRPr="002309A7">
        <w:rPr>
          <w:b/>
          <w:bCs/>
          <w:color w:val="231F20"/>
        </w:rPr>
        <w:t xml:space="preserve">Članak </w:t>
      </w:r>
      <w:r>
        <w:rPr>
          <w:b/>
          <w:bCs/>
          <w:color w:val="231F20"/>
        </w:rPr>
        <w:t>5</w:t>
      </w:r>
      <w:r w:rsidRPr="002309A7">
        <w:rPr>
          <w:b/>
          <w:bCs/>
          <w:color w:val="231F20"/>
        </w:rPr>
        <w:t>.</w:t>
      </w:r>
    </w:p>
    <w:p w14:paraId="148D8D12" w14:textId="53735758" w:rsidR="00454ED9" w:rsidRDefault="002309A7" w:rsidP="00454ED9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  <w:t>U članku 10. stavku 1. podstav</w:t>
      </w:r>
      <w:r w:rsidR="00454ED9">
        <w:rPr>
          <w:color w:val="231F20"/>
        </w:rPr>
        <w:t>cima 1. i 2</w:t>
      </w:r>
      <w:r>
        <w:rPr>
          <w:color w:val="231F20"/>
        </w:rPr>
        <w:t>. iza riječi: „Pravilnikom“ zarez i riječi: „posebnim propisima kojima se uređuje gradnja“</w:t>
      </w:r>
      <w:r w:rsidR="00454ED9">
        <w:rPr>
          <w:color w:val="231F20"/>
        </w:rPr>
        <w:t xml:space="preserve"> brišu se.</w:t>
      </w:r>
    </w:p>
    <w:p w14:paraId="11539F20" w14:textId="5F1A6E83" w:rsidR="00454ED9" w:rsidRDefault="00454ED9" w:rsidP="00C17658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  <w:t xml:space="preserve">U podstavku </w:t>
      </w:r>
      <w:r w:rsidR="00885D0B">
        <w:rPr>
          <w:color w:val="231F20"/>
        </w:rPr>
        <w:t>5. riječi: „naftno-rudarsku inspekciju i druge inspekcije“ zamjenjuju se riječima: „energetsku inspekciju u području naftnog-rudarstva i druge relevantne inspekcije Državnog inspektorata“.</w:t>
      </w:r>
    </w:p>
    <w:p w14:paraId="140E7687" w14:textId="6E41DB91" w:rsidR="00C17658" w:rsidRPr="00C17658" w:rsidRDefault="00C17658" w:rsidP="00C17658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231F20"/>
        </w:rPr>
      </w:pPr>
      <w:r w:rsidRPr="00C17658">
        <w:rPr>
          <w:b/>
          <w:bCs/>
          <w:color w:val="231F20"/>
        </w:rPr>
        <w:t>Članak 6.</w:t>
      </w:r>
    </w:p>
    <w:p w14:paraId="7DBBCFCD" w14:textId="679EB778" w:rsidR="00B925C6" w:rsidRDefault="00C17658" w:rsidP="00B925C6">
      <w:pPr>
        <w:pStyle w:val="clanak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  <w:t xml:space="preserve">U članku 14. stavku 1. </w:t>
      </w:r>
      <w:r w:rsidR="000E758F">
        <w:rPr>
          <w:color w:val="231F20"/>
        </w:rPr>
        <w:t>riječi: „i propisa kojima se uređuje gradnja“ brišu se.</w:t>
      </w:r>
    </w:p>
    <w:p w14:paraId="7C725EE6" w14:textId="77777777" w:rsidR="000E758F" w:rsidRDefault="000E758F" w:rsidP="00B925C6">
      <w:pPr>
        <w:pStyle w:val="clanak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F66EEF1" w14:textId="77777777" w:rsidR="001E7B0E" w:rsidRDefault="001E7B0E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231F20"/>
        </w:rPr>
        <w:sectPr w:rsidR="001E7B0E" w:rsidSect="003A74B4">
          <w:headerReference w:type="default" r:id="rId8"/>
          <w:pgSz w:w="11906" w:h="16838"/>
          <w:pgMar w:top="1418" w:right="1417" w:bottom="1276" w:left="1417" w:header="708" w:footer="708" w:gutter="0"/>
          <w:pgNumType w:start="2"/>
          <w:cols w:space="708"/>
          <w:docGrid w:linePitch="360"/>
        </w:sectPr>
      </w:pPr>
    </w:p>
    <w:p w14:paraId="439B28F2" w14:textId="4CF7BFB5" w:rsidR="00EB560F" w:rsidRPr="00EB560F" w:rsidRDefault="00EB560F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EB560F">
        <w:rPr>
          <w:b/>
          <w:color w:val="231F20"/>
        </w:rPr>
        <w:lastRenderedPageBreak/>
        <w:t xml:space="preserve">Članak </w:t>
      </w:r>
      <w:r w:rsidR="00B16A3B">
        <w:rPr>
          <w:b/>
          <w:color w:val="231F20"/>
        </w:rPr>
        <w:t>7</w:t>
      </w:r>
      <w:r w:rsidRPr="00EB560F">
        <w:rPr>
          <w:b/>
          <w:color w:val="231F20"/>
        </w:rPr>
        <w:t>.</w:t>
      </w:r>
    </w:p>
    <w:p w14:paraId="425A4008" w14:textId="769937CC" w:rsidR="00B16A3B" w:rsidRDefault="00EB560F" w:rsidP="008A3386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16. </w:t>
      </w:r>
      <w:r w:rsidR="00B16A3B">
        <w:rPr>
          <w:color w:val="000000"/>
        </w:rPr>
        <w:t>točka 1. mijenja se i glasi:</w:t>
      </w:r>
    </w:p>
    <w:p w14:paraId="085161CA" w14:textId="059CBB79" w:rsidR="00B16A3B" w:rsidRPr="001C70EB" w:rsidRDefault="00B16A3B" w:rsidP="00554D32">
      <w:pPr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>
        <w:rPr>
          <w:color w:val="000000"/>
        </w:rPr>
        <w:t xml:space="preserve">„1. </w:t>
      </w:r>
      <w:r w:rsidR="007571E8">
        <w:rPr>
          <w:rFonts w:eastAsia="Times New Roman"/>
          <w:color w:val="231F20"/>
          <w:lang w:eastAsia="hr-HR"/>
        </w:rPr>
        <w:t>E</w:t>
      </w:r>
      <w:r w:rsidRPr="00B16A3B">
        <w:rPr>
          <w:rFonts w:eastAsia="Times New Roman"/>
          <w:color w:val="231F20"/>
          <w:lang w:eastAsia="hr-HR"/>
        </w:rPr>
        <w:t xml:space="preserve">lektroničku adresu </w:t>
      </w:r>
      <w:r>
        <w:rPr>
          <w:rFonts w:eastAsia="Times New Roman"/>
          <w:color w:val="231F20"/>
          <w:lang w:eastAsia="hr-HR"/>
        </w:rPr>
        <w:t>i</w:t>
      </w:r>
      <w:r w:rsidRPr="00B16A3B">
        <w:rPr>
          <w:rFonts w:eastAsia="Times New Roman"/>
          <w:color w:val="231F20"/>
          <w:lang w:eastAsia="hr-HR"/>
        </w:rPr>
        <w:t xml:space="preserve">zvoda iz sudskog registra iz kojega je vidljivo da je pravna osoba koja izrađuje projekte (u </w:t>
      </w:r>
      <w:r>
        <w:rPr>
          <w:rFonts w:eastAsia="Times New Roman"/>
          <w:color w:val="231F20"/>
          <w:lang w:eastAsia="hr-HR"/>
        </w:rPr>
        <w:t xml:space="preserve">daljnjem </w:t>
      </w:r>
      <w:r w:rsidRPr="00B16A3B">
        <w:rPr>
          <w:rFonts w:eastAsia="Times New Roman"/>
          <w:color w:val="231F20"/>
          <w:lang w:eastAsia="hr-HR"/>
        </w:rPr>
        <w:t>tekstu: pravna osoba) registrirana za izradu projekata građenja“.</w:t>
      </w:r>
    </w:p>
    <w:p w14:paraId="10457E5C" w14:textId="77777777" w:rsidR="00554D32" w:rsidRDefault="00554D32" w:rsidP="00554D32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30B18D9C" w14:textId="4F4E3FE6" w:rsidR="00554D32" w:rsidRDefault="00554D32" w:rsidP="00554D32">
      <w:pPr>
        <w:pStyle w:val="clanak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U točki 2. riječi: „naftno</w:t>
      </w:r>
      <w:r w:rsidR="00AC33B8">
        <w:rPr>
          <w:color w:val="000000"/>
        </w:rPr>
        <w:t>-</w:t>
      </w:r>
      <w:r>
        <w:rPr>
          <w:color w:val="000000"/>
        </w:rPr>
        <w:t>rudarskog gospodarskog subjekta kao“ zamjenjuju se riječima: „odgovorne osobe“.</w:t>
      </w:r>
    </w:p>
    <w:p w14:paraId="3EF29E67" w14:textId="77777777" w:rsidR="002A6195" w:rsidRDefault="002A6195" w:rsidP="00AC33B8">
      <w:pPr>
        <w:pStyle w:val="clanak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Točka 5. mijenja se i glasi:</w:t>
      </w:r>
    </w:p>
    <w:p w14:paraId="520214C8" w14:textId="60F48FD0" w:rsidR="00EA4DA4" w:rsidRDefault="002A6195" w:rsidP="002A6195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„5. </w:t>
      </w:r>
      <w:r w:rsidR="00364266">
        <w:rPr>
          <w:color w:val="000000"/>
        </w:rPr>
        <w:t>Važeću dozvolu za istraživanje ili dozvolu za eksploataciju ili ugovor o eksploataciji sukladno članku 6. točkama 5., 10., 98., 99. i 100. Zakona“.</w:t>
      </w:r>
    </w:p>
    <w:p w14:paraId="213DFA21" w14:textId="00304250" w:rsidR="00A57C60" w:rsidRDefault="00A57C60" w:rsidP="002A6195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točki 7. riječi: „postupku utjecaja na okoliš“ zamjenjuju se riječima: „postupku procjene utjecaja na okoliš“.</w:t>
      </w:r>
    </w:p>
    <w:p w14:paraId="21B768A2" w14:textId="3036B5AB" w:rsidR="00EB560F" w:rsidRDefault="00EA4DA4" w:rsidP="00EA4DA4">
      <w:pPr>
        <w:pStyle w:val="clanak"/>
        <w:spacing w:before="0" w:beforeAutospacing="0" w:after="225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>I</w:t>
      </w:r>
      <w:r w:rsidR="00FD344E">
        <w:rPr>
          <w:color w:val="000000"/>
        </w:rPr>
        <w:t>za točke 10. dodaje se nova točka 11. koja glasi:</w:t>
      </w:r>
    </w:p>
    <w:p w14:paraId="1C7896C9" w14:textId="5615CFF6" w:rsidR="00FD344E" w:rsidRDefault="00FD344E" w:rsidP="00FD344E">
      <w:pPr>
        <w:pStyle w:val="clanak"/>
        <w:spacing w:before="0" w:beforeAutospacing="0" w:after="225" w:afterAutospacing="0"/>
        <w:jc w:val="both"/>
        <w:textAlignment w:val="baseline"/>
        <w:rPr>
          <w:color w:val="231F20"/>
        </w:rPr>
      </w:pPr>
      <w:r>
        <w:rPr>
          <w:color w:val="000000"/>
        </w:rPr>
        <w:t xml:space="preserve">„11. </w:t>
      </w:r>
      <w:r>
        <w:rPr>
          <w:color w:val="231F20"/>
        </w:rPr>
        <w:t>T</w:t>
      </w:r>
      <w:r w:rsidRPr="00A93FC2">
        <w:rPr>
          <w:color w:val="231F20"/>
        </w:rPr>
        <w:t>roškovnik projektiranih radova s podacima potrebnim za izračun komunalnog doprinosa i vodnog doprinosa te građevinske pristojbe</w:t>
      </w:r>
      <w:r>
        <w:rPr>
          <w:color w:val="231F20"/>
        </w:rPr>
        <w:t>“.</w:t>
      </w:r>
    </w:p>
    <w:p w14:paraId="197D76AD" w14:textId="6D2A6B65" w:rsidR="0020473E" w:rsidRDefault="00FD344E" w:rsidP="006A10F5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</w:r>
      <w:r w:rsidR="00CD3A16">
        <w:rPr>
          <w:color w:val="231F20"/>
        </w:rPr>
        <w:t>D</w:t>
      </w:r>
      <w:r>
        <w:rPr>
          <w:color w:val="231F20"/>
        </w:rPr>
        <w:t>osadašnj</w:t>
      </w:r>
      <w:r w:rsidR="00CD3A16">
        <w:rPr>
          <w:color w:val="231F20"/>
        </w:rPr>
        <w:t>a</w:t>
      </w:r>
      <w:r>
        <w:rPr>
          <w:color w:val="231F20"/>
        </w:rPr>
        <w:t xml:space="preserve"> točk</w:t>
      </w:r>
      <w:r w:rsidR="001E7B0E">
        <w:rPr>
          <w:color w:val="231F20"/>
        </w:rPr>
        <w:t>a</w:t>
      </w:r>
      <w:r>
        <w:rPr>
          <w:color w:val="231F20"/>
        </w:rPr>
        <w:t xml:space="preserve"> 11.</w:t>
      </w:r>
      <w:r w:rsidR="0020473E">
        <w:rPr>
          <w:color w:val="231F20"/>
        </w:rPr>
        <w:t xml:space="preserve"> koja postaje točka 12. </w:t>
      </w:r>
      <w:r w:rsidR="00CD3A16">
        <w:rPr>
          <w:color w:val="231F20"/>
        </w:rPr>
        <w:t>mijenja se i glasi:</w:t>
      </w:r>
    </w:p>
    <w:p w14:paraId="2C210A22" w14:textId="5DC8F458" w:rsidR="0020473E" w:rsidRDefault="00CD3A16" w:rsidP="00AC15BE">
      <w:pPr>
        <w:spacing w:after="240"/>
        <w:jc w:val="both"/>
        <w:textAlignment w:val="baseline"/>
        <w:rPr>
          <w:rFonts w:eastAsia="Times New Roman"/>
          <w:color w:val="231F20"/>
          <w:lang w:eastAsia="hr-HR"/>
        </w:rPr>
      </w:pPr>
      <w:r>
        <w:rPr>
          <w:color w:val="231F20"/>
        </w:rPr>
        <w:t xml:space="preserve">„12. </w:t>
      </w:r>
      <w:r w:rsidRPr="009473D6">
        <w:rPr>
          <w:rFonts w:eastAsia="Times New Roman"/>
          <w:color w:val="231F20"/>
          <w:lang w:eastAsia="hr-HR"/>
        </w:rPr>
        <w:t>Ostalu dokumentaciju i akte bitne za glavni projekt, uključujući, ali ne isključivo</w:t>
      </w:r>
      <w:r>
        <w:rPr>
          <w:rFonts w:eastAsia="Times New Roman"/>
          <w:color w:val="231F20"/>
          <w:lang w:eastAsia="hr-HR"/>
        </w:rPr>
        <w:t xml:space="preserve">, </w:t>
      </w:r>
      <w:r w:rsidRPr="009473D6">
        <w:rPr>
          <w:rFonts w:eastAsia="Times New Roman"/>
          <w:color w:val="231F20"/>
          <w:lang w:eastAsia="hr-HR"/>
        </w:rPr>
        <w:t>građevinske dozvole, uporabne dozvole i ostalu odgovarajuću dokumentaciju i akte ovisno o vrsti i sadržaju glavnog projekta</w:t>
      </w:r>
      <w:r>
        <w:rPr>
          <w:rFonts w:eastAsia="Times New Roman"/>
          <w:color w:val="231F20"/>
          <w:lang w:eastAsia="hr-HR"/>
        </w:rPr>
        <w:t>“.</w:t>
      </w:r>
    </w:p>
    <w:p w14:paraId="1DD80662" w14:textId="75629632" w:rsidR="00FD344E" w:rsidRDefault="00FD344E" w:rsidP="001A204A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 w:rsidR="0020473E">
        <w:rPr>
          <w:color w:val="231F20"/>
        </w:rPr>
        <w:tab/>
        <w:t xml:space="preserve">Dosadašnja točka </w:t>
      </w:r>
      <w:r>
        <w:rPr>
          <w:color w:val="231F20"/>
        </w:rPr>
        <w:t>12. postaj</w:t>
      </w:r>
      <w:r w:rsidR="0020473E">
        <w:rPr>
          <w:color w:val="231F20"/>
        </w:rPr>
        <w:t>e</w:t>
      </w:r>
      <w:r>
        <w:rPr>
          <w:color w:val="231F20"/>
        </w:rPr>
        <w:t xml:space="preserve"> točk</w:t>
      </w:r>
      <w:r w:rsidR="0020473E">
        <w:rPr>
          <w:color w:val="231F20"/>
        </w:rPr>
        <w:t>a</w:t>
      </w:r>
      <w:r>
        <w:rPr>
          <w:color w:val="231F20"/>
        </w:rPr>
        <w:t xml:space="preserve"> 13.</w:t>
      </w:r>
    </w:p>
    <w:p w14:paraId="6228F15A" w14:textId="617C1F07" w:rsidR="001A204A" w:rsidRDefault="001A204A" w:rsidP="001A204A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231F20"/>
        </w:rPr>
      </w:pPr>
      <w:r w:rsidRPr="001A204A">
        <w:rPr>
          <w:b/>
          <w:bCs/>
          <w:color w:val="231F20"/>
        </w:rPr>
        <w:t>Članak 8.</w:t>
      </w:r>
    </w:p>
    <w:p w14:paraId="71BF4840" w14:textId="437C800B" w:rsidR="001A204A" w:rsidRDefault="001A204A" w:rsidP="00B254F0">
      <w:pPr>
        <w:pStyle w:val="clanak"/>
        <w:spacing w:before="0" w:beforeAutospacing="0" w:after="240" w:afterAutospacing="0"/>
        <w:textAlignment w:val="baseline"/>
        <w:rPr>
          <w:color w:val="231F20"/>
        </w:rPr>
      </w:pPr>
      <w:r>
        <w:rPr>
          <w:color w:val="231F20"/>
        </w:rPr>
        <w:tab/>
        <w:t>U članku 17. točki 2. riječ: „tehničkh“ zamjenjuje se riječju: „tehničkih“.</w:t>
      </w:r>
    </w:p>
    <w:p w14:paraId="1A490BC0" w14:textId="6B500FE7" w:rsidR="00B254F0" w:rsidRDefault="00B254F0" w:rsidP="00B254F0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231F20"/>
        </w:rPr>
      </w:pPr>
      <w:r w:rsidRPr="00B254F0">
        <w:rPr>
          <w:b/>
          <w:bCs/>
          <w:color w:val="231F20"/>
        </w:rPr>
        <w:t>Članak 9.</w:t>
      </w:r>
    </w:p>
    <w:p w14:paraId="797F134A" w14:textId="47EF9715" w:rsidR="00B254F0" w:rsidRDefault="00B254F0" w:rsidP="00B254F0">
      <w:pPr>
        <w:pStyle w:val="clanak"/>
        <w:spacing w:before="0" w:beforeAutospacing="0" w:after="240" w:afterAutospacing="0"/>
        <w:textAlignment w:val="baseline"/>
        <w:rPr>
          <w:color w:val="231F20"/>
        </w:rPr>
      </w:pPr>
      <w:r>
        <w:rPr>
          <w:color w:val="231F20"/>
        </w:rPr>
        <w:tab/>
        <w:t>U članku 19. stavku 1. iza riječi: „iz“ dodaju se riječi: „članka 15. stavka 4.“.</w:t>
      </w:r>
    </w:p>
    <w:p w14:paraId="4D83E389" w14:textId="5834F0FD" w:rsidR="00B254F0" w:rsidRDefault="00B254F0" w:rsidP="004A1528">
      <w:pPr>
        <w:pStyle w:val="clanak"/>
        <w:spacing w:before="0" w:beforeAutospacing="0" w:after="240" w:afterAutospacing="0"/>
        <w:textAlignment w:val="baseline"/>
        <w:rPr>
          <w:color w:val="231F20"/>
        </w:rPr>
      </w:pPr>
      <w:r>
        <w:rPr>
          <w:color w:val="231F20"/>
        </w:rPr>
        <w:tab/>
        <w:t>U stavku 2. riječi: „s otiskom pečata odgovornog projektanta“ brišu se.</w:t>
      </w:r>
    </w:p>
    <w:p w14:paraId="020E0403" w14:textId="381EFBF6" w:rsidR="004A1528" w:rsidRDefault="004A1528" w:rsidP="004A1528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231F20"/>
        </w:rPr>
      </w:pPr>
      <w:r w:rsidRPr="004A1528">
        <w:rPr>
          <w:b/>
          <w:bCs/>
          <w:color w:val="231F20"/>
        </w:rPr>
        <w:t>Članak 10.</w:t>
      </w:r>
    </w:p>
    <w:p w14:paraId="17B4DB32" w14:textId="32C6D335" w:rsidR="004A1528" w:rsidRDefault="004A1528" w:rsidP="00895359">
      <w:pPr>
        <w:pStyle w:val="clanak"/>
        <w:spacing w:before="0" w:beforeAutospacing="0" w:after="240" w:afterAutospacing="0"/>
        <w:textAlignment w:val="baseline"/>
        <w:rPr>
          <w:color w:val="231F20"/>
        </w:rPr>
      </w:pPr>
      <w:r>
        <w:rPr>
          <w:color w:val="231F20"/>
        </w:rPr>
        <w:tab/>
        <w:t>U članku 22. stavku 4. riječ: „karakteru“ zamjenjuje se riječju: „specifičnostima“.</w:t>
      </w:r>
    </w:p>
    <w:p w14:paraId="10A15D57" w14:textId="406128BE" w:rsidR="00895359" w:rsidRDefault="00895359" w:rsidP="00895359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231F20"/>
        </w:rPr>
      </w:pPr>
      <w:r w:rsidRPr="00895359">
        <w:rPr>
          <w:b/>
          <w:bCs/>
          <w:color w:val="231F20"/>
        </w:rPr>
        <w:t>Članak 11.</w:t>
      </w:r>
    </w:p>
    <w:p w14:paraId="6A64E14E" w14:textId="42D465BC" w:rsidR="00895359" w:rsidRDefault="00895359" w:rsidP="00895359">
      <w:pPr>
        <w:pStyle w:val="clanak"/>
        <w:spacing w:before="0" w:beforeAutospacing="0" w:after="120" w:afterAutospacing="0"/>
        <w:textAlignment w:val="baseline"/>
        <w:rPr>
          <w:color w:val="231F20"/>
        </w:rPr>
      </w:pPr>
      <w:r>
        <w:rPr>
          <w:color w:val="231F20"/>
        </w:rPr>
        <w:tab/>
        <w:t>U članku 25. podstavak 8. mijenja se i glasi:</w:t>
      </w:r>
    </w:p>
    <w:p w14:paraId="694FA587" w14:textId="23255B8A" w:rsidR="00895359" w:rsidRDefault="00895359" w:rsidP="006C7A50">
      <w:pPr>
        <w:pStyle w:val="clanak"/>
        <w:spacing w:before="0" w:beforeAutospacing="0" w:after="240" w:afterAutospacing="0"/>
        <w:textAlignment w:val="baseline"/>
        <w:rPr>
          <w:color w:val="231F20"/>
        </w:rPr>
      </w:pPr>
      <w:r>
        <w:rPr>
          <w:color w:val="231F20"/>
        </w:rPr>
        <w:t>„- vrstu projekta“.</w:t>
      </w:r>
    </w:p>
    <w:p w14:paraId="6B3576E6" w14:textId="66B66D6B" w:rsidR="006C7A50" w:rsidRDefault="006C7A50" w:rsidP="006C7A50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231F20"/>
        </w:rPr>
      </w:pPr>
      <w:r w:rsidRPr="006C7A50">
        <w:rPr>
          <w:b/>
          <w:bCs/>
          <w:color w:val="231F20"/>
        </w:rPr>
        <w:t>Članak 12.</w:t>
      </w:r>
    </w:p>
    <w:p w14:paraId="7F90A285" w14:textId="28FEFCFF" w:rsidR="006C7A50" w:rsidRPr="006C7A50" w:rsidRDefault="006C7A50" w:rsidP="00745F51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231F20"/>
        </w:rPr>
        <w:tab/>
        <w:t>U članku 28. stavku 5. broj: „2.“ zamjenjuje se brojem: „3.“, a broj: „3.“ zamjenjuje se brojem: „4.“.</w:t>
      </w:r>
    </w:p>
    <w:p w14:paraId="0B4F4CA8" w14:textId="77777777" w:rsidR="00745F51" w:rsidRDefault="00745F51" w:rsidP="00745F51">
      <w:pPr>
        <w:pStyle w:val="clanak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14:paraId="5DBFDEAC" w14:textId="7C3C8618" w:rsidR="00B925C6" w:rsidRDefault="00745F51" w:rsidP="00D805BD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745F51">
        <w:rPr>
          <w:b/>
          <w:bCs/>
          <w:color w:val="000000"/>
        </w:rPr>
        <w:lastRenderedPageBreak/>
        <w:t>Članak 13.</w:t>
      </w:r>
    </w:p>
    <w:p w14:paraId="61F513D5" w14:textId="36FF92B9" w:rsidR="00745F51" w:rsidRPr="00745F51" w:rsidRDefault="00745F51" w:rsidP="00D805BD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U članku 30. stavku 4. točki 1) broj: „3“ zamjenjuje se brojem: „2“.</w:t>
      </w:r>
    </w:p>
    <w:p w14:paraId="7E029516" w14:textId="7A1FEE45" w:rsidR="00456F13" w:rsidRDefault="00E3557C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D805BD">
        <w:rPr>
          <w:b/>
          <w:color w:val="000000"/>
        </w:rPr>
        <w:t>14</w:t>
      </w:r>
      <w:r>
        <w:rPr>
          <w:b/>
          <w:color w:val="000000"/>
        </w:rPr>
        <w:t xml:space="preserve">. </w:t>
      </w:r>
    </w:p>
    <w:p w14:paraId="1A240847" w14:textId="1CD00CCA" w:rsidR="00E3557C" w:rsidRDefault="00E3557C" w:rsidP="00DF2C14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36. </w:t>
      </w:r>
      <w:r w:rsidR="00D805BD">
        <w:rPr>
          <w:color w:val="000000"/>
        </w:rPr>
        <w:t>stavku 1.</w:t>
      </w:r>
      <w:r w:rsidR="00746BBE">
        <w:rPr>
          <w:color w:val="000000"/>
        </w:rPr>
        <w:t xml:space="preserve"> </w:t>
      </w:r>
      <w:r>
        <w:rPr>
          <w:color w:val="000000"/>
        </w:rPr>
        <w:t>zagrada i riječi: „dalje u tekstu: tehnička specifikacija“ brišu se.</w:t>
      </w:r>
    </w:p>
    <w:p w14:paraId="74876A0F" w14:textId="502FF0FD" w:rsidR="00DF2C14" w:rsidRDefault="00DF2C14" w:rsidP="00DF2C14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DF2C14">
        <w:rPr>
          <w:b/>
          <w:bCs/>
          <w:color w:val="000000"/>
        </w:rPr>
        <w:t>Članak 15.</w:t>
      </w:r>
    </w:p>
    <w:p w14:paraId="641E93F4" w14:textId="77777777" w:rsidR="00DF2C14" w:rsidRDefault="00DF2C14" w:rsidP="00DF2C14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U  članku 41. stavak 2. mijenja se i glasi:</w:t>
      </w:r>
    </w:p>
    <w:p w14:paraId="5A3CEBF5" w14:textId="3BB7F9DA" w:rsidR="00DF2C14" w:rsidRDefault="00DF2C14" w:rsidP="009243A8">
      <w:pPr>
        <w:spacing w:after="240"/>
        <w:jc w:val="both"/>
        <w:textAlignment w:val="baseline"/>
        <w:rPr>
          <w:color w:val="000000"/>
        </w:rPr>
      </w:pPr>
      <w:r>
        <w:rPr>
          <w:color w:val="000000"/>
        </w:rPr>
        <w:t xml:space="preserve">„(2)  </w:t>
      </w:r>
      <w:r w:rsidRPr="009473D6">
        <w:rPr>
          <w:rFonts w:eastAsia="Times New Roman"/>
          <w:color w:val="231F20"/>
          <w:lang w:eastAsia="hr-HR"/>
        </w:rPr>
        <w:t xml:space="preserve">Ministarstvo imenuje predsjednika povjerenstva </w:t>
      </w:r>
      <w:r>
        <w:rPr>
          <w:rFonts w:eastAsia="Times New Roman"/>
          <w:color w:val="231F20"/>
          <w:lang w:eastAsia="hr-HR"/>
        </w:rPr>
        <w:t>i određuje tijela i osobe koji upućuju svog predstavnika kao člana povjerenstva</w:t>
      </w:r>
      <w:r w:rsidRPr="009473D6">
        <w:rPr>
          <w:rFonts w:eastAsia="Times New Roman"/>
          <w:color w:val="231F20"/>
          <w:lang w:eastAsia="hr-HR"/>
        </w:rPr>
        <w:t>.</w:t>
      </w:r>
      <w:r w:rsidR="00EC5E6C">
        <w:rPr>
          <w:rFonts w:eastAsia="Times New Roman"/>
          <w:color w:val="231F20"/>
          <w:lang w:eastAsia="hr-HR"/>
        </w:rPr>
        <w:t>“.</w:t>
      </w:r>
    </w:p>
    <w:p w14:paraId="1111E143" w14:textId="0AAD76EC" w:rsidR="009243A8" w:rsidRPr="009243A8" w:rsidRDefault="009243A8" w:rsidP="009243A8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9243A8">
        <w:rPr>
          <w:b/>
          <w:bCs/>
          <w:color w:val="000000"/>
        </w:rPr>
        <w:t>Članak 16.</w:t>
      </w:r>
    </w:p>
    <w:p w14:paraId="762EB9D2" w14:textId="7895D800" w:rsidR="00D805BD" w:rsidRDefault="009243A8" w:rsidP="009243A8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članku 44. stavak 1. mijenja se i glasi:</w:t>
      </w:r>
    </w:p>
    <w:p w14:paraId="278C5D61" w14:textId="4282B3B4" w:rsidR="009243A8" w:rsidRDefault="009243A8" w:rsidP="00C36A49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000000"/>
        </w:rPr>
        <w:t xml:space="preserve">„(1) </w:t>
      </w:r>
      <w:r w:rsidRPr="009473D6">
        <w:rPr>
          <w:color w:val="231F20"/>
        </w:rPr>
        <w:t xml:space="preserve">Predsjednik povjerenstva o obavljenom tehničkom pregledu sastavlja zapisnik u koji se unose i pisana mišljenja članova povjerenstva </w:t>
      </w:r>
      <w:r>
        <w:rPr>
          <w:color w:val="231F20"/>
        </w:rPr>
        <w:t>iz članka 43. stavka 4. ovoga Pravilnika.“.</w:t>
      </w:r>
    </w:p>
    <w:p w14:paraId="2B34DF2D" w14:textId="3B6D0FA3" w:rsidR="009243A8" w:rsidRDefault="00C36A49" w:rsidP="004F18B4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stavcima 2. i 5. iza riječi: „zbog kojeg naftno-rudarski objekt“ dodaj</w:t>
      </w:r>
      <w:r w:rsidR="004F18B4">
        <w:rPr>
          <w:color w:val="000000"/>
        </w:rPr>
        <w:t>u</w:t>
      </w:r>
      <w:r>
        <w:rPr>
          <w:color w:val="000000"/>
        </w:rPr>
        <w:t xml:space="preserve"> se kosa crta i riječ: „ili“.</w:t>
      </w:r>
    </w:p>
    <w:p w14:paraId="61FDAD2A" w14:textId="0477E23A" w:rsidR="004F18B4" w:rsidRDefault="004F18B4" w:rsidP="004F18B4">
      <w:pPr>
        <w:pStyle w:val="clanak"/>
        <w:spacing w:before="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4F18B4">
        <w:rPr>
          <w:b/>
          <w:bCs/>
          <w:color w:val="000000"/>
        </w:rPr>
        <w:t>Članak 17.</w:t>
      </w:r>
    </w:p>
    <w:p w14:paraId="062E873E" w14:textId="66800480" w:rsidR="004F18B4" w:rsidRDefault="004F18B4" w:rsidP="004F18B4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članku 51. stavku 2. riječi: „koja se obavlja radom naftno-rudarskog objekta i postrojenja“ brišu se.</w:t>
      </w:r>
    </w:p>
    <w:p w14:paraId="5839918B" w14:textId="0D022269" w:rsidR="004F18B4" w:rsidRDefault="004F18B4" w:rsidP="003441C6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stavku 4. riječi: „Naftno-rudarski gospodarski subjekt dužan je“ zamjenjuju se riječima: „Investitor je dužan“.</w:t>
      </w:r>
    </w:p>
    <w:p w14:paraId="1CDAFA31" w14:textId="6E2B3C4C" w:rsidR="003441C6" w:rsidRDefault="003441C6" w:rsidP="000A1946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stavku 6. riječi: „Naftno-rudarski gospodarski subjekt“ zamjenjuju se riječju: „Investitor“.</w:t>
      </w:r>
    </w:p>
    <w:p w14:paraId="0BB52B78" w14:textId="68BFC573" w:rsidR="000A1946" w:rsidRDefault="000A1946" w:rsidP="000A1946">
      <w:pPr>
        <w:pStyle w:val="clanak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Stavak 7. mijenja se i glasi:</w:t>
      </w:r>
    </w:p>
    <w:p w14:paraId="2006CA22" w14:textId="3131F57C" w:rsidR="000A1946" w:rsidRDefault="000A1946" w:rsidP="000A1946">
      <w:pPr>
        <w:pStyle w:val="clanak"/>
        <w:spacing w:before="0" w:beforeAutospacing="0" w:after="240" w:afterAutospacing="0"/>
        <w:jc w:val="both"/>
        <w:textAlignment w:val="baseline"/>
        <w:rPr>
          <w:color w:val="231F20"/>
        </w:rPr>
      </w:pPr>
      <w:r>
        <w:rPr>
          <w:color w:val="000000"/>
        </w:rPr>
        <w:t xml:space="preserve">„(7) </w:t>
      </w:r>
      <w:r>
        <w:rPr>
          <w:color w:val="231F20"/>
        </w:rPr>
        <w:t>Investitor je</w:t>
      </w:r>
      <w:r w:rsidRPr="009473D6">
        <w:rPr>
          <w:color w:val="231F20"/>
        </w:rPr>
        <w:t xml:space="preserve"> dužan početak i završetak izvođenja probne eksploatacije prijaviti Ministarstvu i </w:t>
      </w:r>
      <w:r>
        <w:rPr>
          <w:color w:val="231F20"/>
        </w:rPr>
        <w:t xml:space="preserve">energetskoj inspekciji u području </w:t>
      </w:r>
      <w:r w:rsidRPr="009473D6">
        <w:rPr>
          <w:color w:val="231F20"/>
        </w:rPr>
        <w:t>naftno</w:t>
      </w:r>
      <w:r>
        <w:rPr>
          <w:color w:val="231F20"/>
        </w:rPr>
        <w:t>g</w:t>
      </w:r>
      <w:r w:rsidRPr="009473D6">
        <w:rPr>
          <w:color w:val="231F20"/>
        </w:rPr>
        <w:t>-rudars</w:t>
      </w:r>
      <w:r>
        <w:rPr>
          <w:color w:val="231F20"/>
        </w:rPr>
        <w:t>tva Državnog inspektorata</w:t>
      </w:r>
      <w:r w:rsidRPr="009473D6">
        <w:rPr>
          <w:color w:val="231F20"/>
        </w:rPr>
        <w:t>.</w:t>
      </w:r>
      <w:r>
        <w:rPr>
          <w:color w:val="231F20"/>
        </w:rPr>
        <w:t>“.</w:t>
      </w:r>
    </w:p>
    <w:p w14:paraId="02A939CE" w14:textId="1A84C418" w:rsidR="000A1946" w:rsidRPr="004F18B4" w:rsidRDefault="000A1946" w:rsidP="008C7677">
      <w:pPr>
        <w:pStyle w:val="clanak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>
        <w:rPr>
          <w:color w:val="231F20"/>
        </w:rPr>
        <w:t>U stavku 8. riječi: „lokacijskom dozvolom“ zamjenjuju se riječima: „uvjetima iz lokacijske dozvole“.</w:t>
      </w:r>
    </w:p>
    <w:p w14:paraId="560B622D" w14:textId="4F7E4D6C" w:rsidR="00981F2B" w:rsidRPr="00B50C0C" w:rsidRDefault="00B302CA" w:rsidP="00317158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4F18B4">
        <w:rPr>
          <w:b/>
          <w:color w:val="000000"/>
        </w:rPr>
        <w:t>18</w:t>
      </w:r>
      <w:r w:rsidR="00A34AD9">
        <w:rPr>
          <w:b/>
          <w:color w:val="000000"/>
        </w:rPr>
        <w:t>.</w:t>
      </w:r>
    </w:p>
    <w:p w14:paraId="60C68B60" w14:textId="09F8B8AD" w:rsidR="00797116" w:rsidRPr="00B50C0C" w:rsidRDefault="00C70B29" w:rsidP="00865CFC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>Ov</w:t>
      </w:r>
      <w:r w:rsidR="00A34AD9">
        <w:rPr>
          <w:color w:val="000000"/>
        </w:rPr>
        <w:t xml:space="preserve">aj Pravilnik </w:t>
      </w:r>
      <w:r w:rsidRPr="00B50C0C">
        <w:rPr>
          <w:color w:val="000000"/>
        </w:rPr>
        <w:t xml:space="preserve">stupa na snagu </w:t>
      </w:r>
      <w:r w:rsidR="00C8330B" w:rsidRPr="00B50C0C">
        <w:rPr>
          <w:color w:val="000000"/>
        </w:rPr>
        <w:t xml:space="preserve">osmoga </w:t>
      </w:r>
      <w:r w:rsidRPr="00B50C0C">
        <w:rPr>
          <w:color w:val="000000"/>
        </w:rPr>
        <w:t xml:space="preserve">dana od dana objave u </w:t>
      </w:r>
      <w:r w:rsidR="00F328BC">
        <w:rPr>
          <w:color w:val="000000"/>
        </w:rPr>
        <w:t>„</w:t>
      </w:r>
      <w:r w:rsidRPr="00B50C0C">
        <w:rPr>
          <w:color w:val="000000"/>
        </w:rPr>
        <w:t>Narodnim novinama</w:t>
      </w:r>
      <w:r w:rsidR="00F328BC">
        <w:rPr>
          <w:color w:val="000000"/>
        </w:rPr>
        <w:t>“</w:t>
      </w:r>
      <w:r w:rsidRPr="00B50C0C">
        <w:rPr>
          <w:color w:val="000000"/>
        </w:rPr>
        <w:t>.</w:t>
      </w:r>
    </w:p>
    <w:p w14:paraId="4BD7E535" w14:textId="77777777" w:rsidR="00865CFC" w:rsidRDefault="00865CFC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069EDE1" w14:textId="1C999AE4" w:rsidR="00CA1220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Klasa: </w:t>
      </w:r>
      <w:r w:rsidRPr="00B50C0C">
        <w:rPr>
          <w:color w:val="000000"/>
        </w:rPr>
        <w:br/>
        <w:t xml:space="preserve">Urbroj: </w:t>
      </w:r>
    </w:p>
    <w:p w14:paraId="6E5E2CB4" w14:textId="77777777" w:rsidR="00865CFC" w:rsidRDefault="00C70B29" w:rsidP="00FD344E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>Zagreb,</w:t>
      </w:r>
    </w:p>
    <w:p w14:paraId="6828AFB1" w14:textId="77777777" w:rsidR="00865CFC" w:rsidRDefault="00865CFC" w:rsidP="00FD344E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E65418" w14:textId="46DB5C55" w:rsidR="00C70B29" w:rsidRPr="00B50C0C" w:rsidRDefault="00FD178F" w:rsidP="00865CFC">
      <w:pPr>
        <w:pStyle w:val="klasa2"/>
        <w:spacing w:before="0" w:beforeAutospacing="0" w:after="0" w:afterAutospacing="0" w:line="600" w:lineRule="auto"/>
        <w:ind w:left="5664" w:firstLine="708"/>
        <w:jc w:val="both"/>
        <w:textAlignment w:val="baseline"/>
        <w:rPr>
          <w:color w:val="000000"/>
        </w:rPr>
      </w:pPr>
      <w:r>
        <w:rPr>
          <w:color w:val="000000"/>
        </w:rPr>
        <w:t>MINISTAR</w:t>
      </w:r>
    </w:p>
    <w:p w14:paraId="477097F8" w14:textId="6B56A419" w:rsidR="00A37D75" w:rsidRPr="004057DF" w:rsidRDefault="00FD178F" w:rsidP="00390752">
      <w:pPr>
        <w:spacing w:line="360" w:lineRule="auto"/>
        <w:ind w:left="5850" w:firstLine="104"/>
      </w:pPr>
      <w:r>
        <w:t>dr. sc. Tomislav Ćorić</w:t>
      </w:r>
    </w:p>
    <w:sectPr w:rsidR="00A37D75" w:rsidRPr="004057DF" w:rsidSect="003A74B4">
      <w:headerReference w:type="default" r:id="rId9"/>
      <w:pgSz w:w="11906" w:h="16838"/>
      <w:pgMar w:top="1418" w:right="1417" w:bottom="1276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6D61" w14:textId="77777777" w:rsidR="00006EC1" w:rsidRDefault="00006EC1" w:rsidP="00404755">
      <w:r>
        <w:separator/>
      </w:r>
    </w:p>
  </w:endnote>
  <w:endnote w:type="continuationSeparator" w:id="0">
    <w:p w14:paraId="32C936A8" w14:textId="77777777" w:rsidR="00006EC1" w:rsidRDefault="00006EC1" w:rsidP="0040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F8B15" w14:textId="77777777" w:rsidR="00006EC1" w:rsidRDefault="00006EC1" w:rsidP="00404755">
      <w:r>
        <w:separator/>
      </w:r>
    </w:p>
  </w:footnote>
  <w:footnote w:type="continuationSeparator" w:id="0">
    <w:p w14:paraId="24B34046" w14:textId="77777777" w:rsidR="00006EC1" w:rsidRDefault="00006EC1" w:rsidP="0040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E16B" w14:textId="4B2253D7" w:rsidR="001E7B0E" w:rsidRDefault="001E7B0E">
    <w:pPr>
      <w:pStyle w:val="Zaglavlje"/>
      <w:jc w:val="center"/>
    </w:pPr>
  </w:p>
  <w:p w14:paraId="3B24E1DA" w14:textId="77777777" w:rsidR="00C01083" w:rsidRDefault="00C010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322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A475D2" w14:textId="47CD7EB8" w:rsidR="001E7B0E" w:rsidRDefault="001E7B0E">
        <w:pPr>
          <w:pStyle w:val="Zaglavl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F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48E5F0" w14:textId="77777777" w:rsidR="001E7B0E" w:rsidRDefault="001E7B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418"/>
    <w:multiLevelType w:val="hybridMultilevel"/>
    <w:tmpl w:val="F280CA58"/>
    <w:lvl w:ilvl="0" w:tplc="BEB607BC">
      <w:start w:val="1"/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77FB"/>
    <w:multiLevelType w:val="hybridMultilevel"/>
    <w:tmpl w:val="5928B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249"/>
    <w:multiLevelType w:val="hybridMultilevel"/>
    <w:tmpl w:val="40D6C0B4"/>
    <w:lvl w:ilvl="0" w:tplc="62E20A3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D62613"/>
    <w:multiLevelType w:val="hybridMultilevel"/>
    <w:tmpl w:val="3F50542E"/>
    <w:lvl w:ilvl="0" w:tplc="81007E5E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1CA7"/>
    <w:multiLevelType w:val="hybridMultilevel"/>
    <w:tmpl w:val="6C08F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9"/>
    <w:rsid w:val="00001EFE"/>
    <w:rsid w:val="00002341"/>
    <w:rsid w:val="00005885"/>
    <w:rsid w:val="00006EC1"/>
    <w:rsid w:val="00023DDB"/>
    <w:rsid w:val="00044ECC"/>
    <w:rsid w:val="0004590D"/>
    <w:rsid w:val="00052FC5"/>
    <w:rsid w:val="000574F8"/>
    <w:rsid w:val="00060B1D"/>
    <w:rsid w:val="00074FD0"/>
    <w:rsid w:val="00080BAB"/>
    <w:rsid w:val="00090426"/>
    <w:rsid w:val="00090569"/>
    <w:rsid w:val="00090B9C"/>
    <w:rsid w:val="000A0E19"/>
    <w:rsid w:val="000A1946"/>
    <w:rsid w:val="000A629F"/>
    <w:rsid w:val="000A7535"/>
    <w:rsid w:val="000B02F2"/>
    <w:rsid w:val="000C6F2B"/>
    <w:rsid w:val="000E758F"/>
    <w:rsid w:val="000F1207"/>
    <w:rsid w:val="0010090C"/>
    <w:rsid w:val="00103778"/>
    <w:rsid w:val="00116843"/>
    <w:rsid w:val="001223E5"/>
    <w:rsid w:val="00130DB3"/>
    <w:rsid w:val="001569BB"/>
    <w:rsid w:val="00157BA0"/>
    <w:rsid w:val="001877B1"/>
    <w:rsid w:val="0019510C"/>
    <w:rsid w:val="001A0111"/>
    <w:rsid w:val="001A204A"/>
    <w:rsid w:val="001C0457"/>
    <w:rsid w:val="001D230B"/>
    <w:rsid w:val="001E0771"/>
    <w:rsid w:val="001E56CC"/>
    <w:rsid w:val="001E7B0E"/>
    <w:rsid w:val="0020473E"/>
    <w:rsid w:val="00215EE2"/>
    <w:rsid w:val="00221197"/>
    <w:rsid w:val="00225803"/>
    <w:rsid w:val="002309A7"/>
    <w:rsid w:val="002506A2"/>
    <w:rsid w:val="002571AE"/>
    <w:rsid w:val="00275FC9"/>
    <w:rsid w:val="00281426"/>
    <w:rsid w:val="00294454"/>
    <w:rsid w:val="002948AA"/>
    <w:rsid w:val="0029664D"/>
    <w:rsid w:val="002A0622"/>
    <w:rsid w:val="002A6195"/>
    <w:rsid w:val="002A7593"/>
    <w:rsid w:val="002C514C"/>
    <w:rsid w:val="002F3670"/>
    <w:rsid w:val="002F6D0C"/>
    <w:rsid w:val="002F7996"/>
    <w:rsid w:val="00304069"/>
    <w:rsid w:val="00313ADB"/>
    <w:rsid w:val="00317158"/>
    <w:rsid w:val="003441C6"/>
    <w:rsid w:val="003561EB"/>
    <w:rsid w:val="00364266"/>
    <w:rsid w:val="00365211"/>
    <w:rsid w:val="00367A2D"/>
    <w:rsid w:val="00371EF7"/>
    <w:rsid w:val="0037761B"/>
    <w:rsid w:val="0038777C"/>
    <w:rsid w:val="00390752"/>
    <w:rsid w:val="00391D35"/>
    <w:rsid w:val="0039679E"/>
    <w:rsid w:val="003A19A9"/>
    <w:rsid w:val="003A37CF"/>
    <w:rsid w:val="003A4A3D"/>
    <w:rsid w:val="003A533E"/>
    <w:rsid w:val="003A74B4"/>
    <w:rsid w:val="003B2FD7"/>
    <w:rsid w:val="003D3B4A"/>
    <w:rsid w:val="003E59A9"/>
    <w:rsid w:val="003F1F20"/>
    <w:rsid w:val="003F33A5"/>
    <w:rsid w:val="004005C5"/>
    <w:rsid w:val="00401358"/>
    <w:rsid w:val="0040364F"/>
    <w:rsid w:val="00404755"/>
    <w:rsid w:val="00405491"/>
    <w:rsid w:val="004057DF"/>
    <w:rsid w:val="00417CF0"/>
    <w:rsid w:val="00427DB7"/>
    <w:rsid w:val="0043003B"/>
    <w:rsid w:val="00432704"/>
    <w:rsid w:val="00442E87"/>
    <w:rsid w:val="00443B15"/>
    <w:rsid w:val="00451E1F"/>
    <w:rsid w:val="00454ED9"/>
    <w:rsid w:val="00456BB0"/>
    <w:rsid w:val="00456F13"/>
    <w:rsid w:val="00457285"/>
    <w:rsid w:val="00460D6D"/>
    <w:rsid w:val="0047240E"/>
    <w:rsid w:val="00474D0E"/>
    <w:rsid w:val="004766BC"/>
    <w:rsid w:val="004812EA"/>
    <w:rsid w:val="00490145"/>
    <w:rsid w:val="00495A3B"/>
    <w:rsid w:val="004A1528"/>
    <w:rsid w:val="004C1CA7"/>
    <w:rsid w:val="004E1FC4"/>
    <w:rsid w:val="004F18B4"/>
    <w:rsid w:val="004F1B92"/>
    <w:rsid w:val="004F6F75"/>
    <w:rsid w:val="00501C3D"/>
    <w:rsid w:val="005027F5"/>
    <w:rsid w:val="005033D6"/>
    <w:rsid w:val="00511221"/>
    <w:rsid w:val="00515C38"/>
    <w:rsid w:val="00533B56"/>
    <w:rsid w:val="00534672"/>
    <w:rsid w:val="00536A4E"/>
    <w:rsid w:val="00541BF8"/>
    <w:rsid w:val="005463AB"/>
    <w:rsid w:val="00554D32"/>
    <w:rsid w:val="005644D2"/>
    <w:rsid w:val="00574759"/>
    <w:rsid w:val="0058422B"/>
    <w:rsid w:val="005A21B7"/>
    <w:rsid w:val="005B0236"/>
    <w:rsid w:val="005B15B1"/>
    <w:rsid w:val="005B3934"/>
    <w:rsid w:val="005D4584"/>
    <w:rsid w:val="005D5107"/>
    <w:rsid w:val="005D6D64"/>
    <w:rsid w:val="005E2C13"/>
    <w:rsid w:val="00607F2D"/>
    <w:rsid w:val="00617205"/>
    <w:rsid w:val="00632FA8"/>
    <w:rsid w:val="00636652"/>
    <w:rsid w:val="00676840"/>
    <w:rsid w:val="0069342E"/>
    <w:rsid w:val="00695310"/>
    <w:rsid w:val="006A0343"/>
    <w:rsid w:val="006A10F5"/>
    <w:rsid w:val="006A1125"/>
    <w:rsid w:val="006B3968"/>
    <w:rsid w:val="006C37C2"/>
    <w:rsid w:val="006C3B51"/>
    <w:rsid w:val="006C7A50"/>
    <w:rsid w:val="006E53CB"/>
    <w:rsid w:val="007230F7"/>
    <w:rsid w:val="00724F01"/>
    <w:rsid w:val="00734B08"/>
    <w:rsid w:val="00745F51"/>
    <w:rsid w:val="00746BBE"/>
    <w:rsid w:val="00746FF0"/>
    <w:rsid w:val="0075011C"/>
    <w:rsid w:val="007571E8"/>
    <w:rsid w:val="007765D8"/>
    <w:rsid w:val="00776BDF"/>
    <w:rsid w:val="00796A11"/>
    <w:rsid w:val="00797116"/>
    <w:rsid w:val="007A1AB7"/>
    <w:rsid w:val="007A289F"/>
    <w:rsid w:val="007B48EA"/>
    <w:rsid w:val="007B6B2A"/>
    <w:rsid w:val="007B77BE"/>
    <w:rsid w:val="007C6037"/>
    <w:rsid w:val="007F00A4"/>
    <w:rsid w:val="007F63FB"/>
    <w:rsid w:val="008045C8"/>
    <w:rsid w:val="00812447"/>
    <w:rsid w:val="00815A4F"/>
    <w:rsid w:val="00824081"/>
    <w:rsid w:val="008329EB"/>
    <w:rsid w:val="00844855"/>
    <w:rsid w:val="00846F45"/>
    <w:rsid w:val="00856067"/>
    <w:rsid w:val="00857DE6"/>
    <w:rsid w:val="00865CFC"/>
    <w:rsid w:val="008708B4"/>
    <w:rsid w:val="00885D0B"/>
    <w:rsid w:val="008936A6"/>
    <w:rsid w:val="00895359"/>
    <w:rsid w:val="00895C87"/>
    <w:rsid w:val="008A3386"/>
    <w:rsid w:val="008A4F11"/>
    <w:rsid w:val="008B002F"/>
    <w:rsid w:val="008B2381"/>
    <w:rsid w:val="008C7677"/>
    <w:rsid w:val="008D0527"/>
    <w:rsid w:val="008D2C7D"/>
    <w:rsid w:val="008E296A"/>
    <w:rsid w:val="0090082B"/>
    <w:rsid w:val="0090372E"/>
    <w:rsid w:val="00911676"/>
    <w:rsid w:val="00921844"/>
    <w:rsid w:val="00922066"/>
    <w:rsid w:val="009243A8"/>
    <w:rsid w:val="0093037B"/>
    <w:rsid w:val="00944D33"/>
    <w:rsid w:val="00946AC5"/>
    <w:rsid w:val="009714E5"/>
    <w:rsid w:val="0097453E"/>
    <w:rsid w:val="00976869"/>
    <w:rsid w:val="00977BA6"/>
    <w:rsid w:val="00981F2B"/>
    <w:rsid w:val="00985DF5"/>
    <w:rsid w:val="0099035E"/>
    <w:rsid w:val="009B633A"/>
    <w:rsid w:val="009C02B0"/>
    <w:rsid w:val="009C1808"/>
    <w:rsid w:val="009D0214"/>
    <w:rsid w:val="009D451A"/>
    <w:rsid w:val="009D4BBE"/>
    <w:rsid w:val="009D5D7D"/>
    <w:rsid w:val="009D7428"/>
    <w:rsid w:val="009E44A1"/>
    <w:rsid w:val="009E5F92"/>
    <w:rsid w:val="009E638C"/>
    <w:rsid w:val="00A002C1"/>
    <w:rsid w:val="00A01653"/>
    <w:rsid w:val="00A26E30"/>
    <w:rsid w:val="00A34AD9"/>
    <w:rsid w:val="00A37D75"/>
    <w:rsid w:val="00A57C60"/>
    <w:rsid w:val="00A63D45"/>
    <w:rsid w:val="00A7366F"/>
    <w:rsid w:val="00A73C90"/>
    <w:rsid w:val="00A73F40"/>
    <w:rsid w:val="00A92AA0"/>
    <w:rsid w:val="00AA1F77"/>
    <w:rsid w:val="00AC06E6"/>
    <w:rsid w:val="00AC15BE"/>
    <w:rsid w:val="00AC33B8"/>
    <w:rsid w:val="00AC5A82"/>
    <w:rsid w:val="00AC64E6"/>
    <w:rsid w:val="00AD2F64"/>
    <w:rsid w:val="00B07E80"/>
    <w:rsid w:val="00B16A3B"/>
    <w:rsid w:val="00B254F0"/>
    <w:rsid w:val="00B302CA"/>
    <w:rsid w:val="00B4394E"/>
    <w:rsid w:val="00B50C0C"/>
    <w:rsid w:val="00B57C5F"/>
    <w:rsid w:val="00B6008F"/>
    <w:rsid w:val="00B77161"/>
    <w:rsid w:val="00B8557B"/>
    <w:rsid w:val="00B87702"/>
    <w:rsid w:val="00B925C6"/>
    <w:rsid w:val="00B946B6"/>
    <w:rsid w:val="00B94B61"/>
    <w:rsid w:val="00BF1D8C"/>
    <w:rsid w:val="00C01083"/>
    <w:rsid w:val="00C1249A"/>
    <w:rsid w:val="00C15C0E"/>
    <w:rsid w:val="00C17658"/>
    <w:rsid w:val="00C22DE9"/>
    <w:rsid w:val="00C26649"/>
    <w:rsid w:val="00C36A49"/>
    <w:rsid w:val="00C43079"/>
    <w:rsid w:val="00C6561E"/>
    <w:rsid w:val="00C70B29"/>
    <w:rsid w:val="00C72E1E"/>
    <w:rsid w:val="00C8330B"/>
    <w:rsid w:val="00C92302"/>
    <w:rsid w:val="00CA1220"/>
    <w:rsid w:val="00CB492E"/>
    <w:rsid w:val="00CB5C63"/>
    <w:rsid w:val="00CC3D43"/>
    <w:rsid w:val="00CD3A16"/>
    <w:rsid w:val="00CD7257"/>
    <w:rsid w:val="00CE2E4F"/>
    <w:rsid w:val="00CF27C6"/>
    <w:rsid w:val="00CF28B2"/>
    <w:rsid w:val="00D02460"/>
    <w:rsid w:val="00D101DF"/>
    <w:rsid w:val="00D11B59"/>
    <w:rsid w:val="00D30C5D"/>
    <w:rsid w:val="00D33FFC"/>
    <w:rsid w:val="00D35843"/>
    <w:rsid w:val="00D429A3"/>
    <w:rsid w:val="00D5751D"/>
    <w:rsid w:val="00D776DB"/>
    <w:rsid w:val="00D805BD"/>
    <w:rsid w:val="00DB0B7E"/>
    <w:rsid w:val="00DC01AD"/>
    <w:rsid w:val="00DC4BDD"/>
    <w:rsid w:val="00DC51CC"/>
    <w:rsid w:val="00DD6E5A"/>
    <w:rsid w:val="00DE0814"/>
    <w:rsid w:val="00DE307B"/>
    <w:rsid w:val="00DF1C83"/>
    <w:rsid w:val="00DF2C14"/>
    <w:rsid w:val="00DF6DF0"/>
    <w:rsid w:val="00E0025B"/>
    <w:rsid w:val="00E01374"/>
    <w:rsid w:val="00E12FD8"/>
    <w:rsid w:val="00E3174D"/>
    <w:rsid w:val="00E341CA"/>
    <w:rsid w:val="00E3557C"/>
    <w:rsid w:val="00E362E3"/>
    <w:rsid w:val="00E377D4"/>
    <w:rsid w:val="00E50861"/>
    <w:rsid w:val="00E55B4A"/>
    <w:rsid w:val="00E73D23"/>
    <w:rsid w:val="00E76CA0"/>
    <w:rsid w:val="00E838EF"/>
    <w:rsid w:val="00E850DE"/>
    <w:rsid w:val="00E85227"/>
    <w:rsid w:val="00E96C69"/>
    <w:rsid w:val="00EA13DE"/>
    <w:rsid w:val="00EA4435"/>
    <w:rsid w:val="00EA4DA4"/>
    <w:rsid w:val="00EB560F"/>
    <w:rsid w:val="00EC5E6C"/>
    <w:rsid w:val="00EC6D2C"/>
    <w:rsid w:val="00ED1183"/>
    <w:rsid w:val="00ED5FA4"/>
    <w:rsid w:val="00EE09EE"/>
    <w:rsid w:val="00EE300D"/>
    <w:rsid w:val="00EF15B7"/>
    <w:rsid w:val="00EF7844"/>
    <w:rsid w:val="00F02F3A"/>
    <w:rsid w:val="00F0654C"/>
    <w:rsid w:val="00F25014"/>
    <w:rsid w:val="00F2651B"/>
    <w:rsid w:val="00F328BC"/>
    <w:rsid w:val="00F35018"/>
    <w:rsid w:val="00F501A0"/>
    <w:rsid w:val="00F6145C"/>
    <w:rsid w:val="00F63BF4"/>
    <w:rsid w:val="00F64EB1"/>
    <w:rsid w:val="00F66B62"/>
    <w:rsid w:val="00F70BD0"/>
    <w:rsid w:val="00F93F33"/>
    <w:rsid w:val="00FA4D5E"/>
    <w:rsid w:val="00FA7DB7"/>
    <w:rsid w:val="00FD178F"/>
    <w:rsid w:val="00FD344E"/>
    <w:rsid w:val="00FD55EC"/>
    <w:rsid w:val="00FD7FDD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18DF"/>
  <w15:chartTrackingRefBased/>
  <w15:docId w15:val="{48D67A01-B503-47CC-B7A6-EFD3257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33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474D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3F33"/>
    <w:rPr>
      <w:sz w:val="24"/>
      <w:szCs w:val="24"/>
    </w:rPr>
  </w:style>
  <w:style w:type="paragraph" w:customStyle="1" w:styleId="tb-na18">
    <w:name w:val="tb-na1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b-na16">
    <w:name w:val="tb-na16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2-9-fett-s">
    <w:name w:val="t-12-9-fett-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1-9-sred">
    <w:name w:val="t-11-9-sre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fus">
    <w:name w:val="fus"/>
    <w:basedOn w:val="Zadanifontodlomka"/>
    <w:rsid w:val="00C70B29"/>
  </w:style>
  <w:style w:type="character" w:customStyle="1" w:styleId="kurziv">
    <w:name w:val="kurziv"/>
    <w:basedOn w:val="Zadanifontodlomka"/>
    <w:rsid w:val="00C70B29"/>
  </w:style>
  <w:style w:type="paragraph" w:customStyle="1" w:styleId="klasa2">
    <w:name w:val="klasa2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potpis">
    <w:name w:val="t-9-8-potpi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329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29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29E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29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29EB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474D0E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box458625">
    <w:name w:val="box_458625"/>
    <w:basedOn w:val="Normal"/>
    <w:rsid w:val="00474D0E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rule-primjer">
    <w:name w:val="rule-primjer"/>
    <w:basedOn w:val="Zadanifontodlomka"/>
    <w:rsid w:val="00F70BD0"/>
  </w:style>
  <w:style w:type="character" w:styleId="Tekstrezerviranogmjesta">
    <w:name w:val="Placeholder Text"/>
    <w:basedOn w:val="Zadanifontodlomka"/>
    <w:uiPriority w:val="99"/>
    <w:semiHidden/>
    <w:rsid w:val="00D33FF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475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47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4955-3D47-4B55-9B0A-037B111E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Jadranka Leško</cp:lastModifiedBy>
  <cp:revision>2</cp:revision>
  <cp:lastPrinted>2020-03-04T08:06:00Z</cp:lastPrinted>
  <dcterms:created xsi:type="dcterms:W3CDTF">2022-02-25T11:52:00Z</dcterms:created>
  <dcterms:modified xsi:type="dcterms:W3CDTF">2022-02-25T11:52:00Z</dcterms:modified>
</cp:coreProperties>
</file>