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BD2" w:rsidRDefault="00FB4222" w:rsidP="002D134D">
      <w:pPr>
        <w:pStyle w:val="Naslov"/>
      </w:pPr>
      <w:r>
        <w:t xml:space="preserve">Obrazac prethodne procjena za Nacrt prijedloga Zakona o izmjenama i dopunama Zakona o poljoprivredi </w:t>
      </w:r>
    </w:p>
    <w:p w:rsidR="00FB4222" w:rsidRPr="004612D3" w:rsidRDefault="00FB4222" w:rsidP="002D134D">
      <w:pPr>
        <w:pStyle w:val="Naslov"/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B4222" w:rsidRPr="004612D3" w:rsidTr="002D134D">
        <w:tc>
          <w:tcPr>
            <w:tcW w:w="993" w:type="dxa"/>
            <w:shd w:val="clear" w:color="auto" w:fill="FFFFFF"/>
          </w:tcPr>
          <w:p w:rsidR="00FB4222" w:rsidRPr="004612D3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bookmarkStart w:id="0" w:name="_GoBack"/>
            <w:r w:rsidRPr="004612D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4612D3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4612D3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OPĆE INFORMACIJE</w:t>
            </w:r>
          </w:p>
        </w:tc>
      </w:tr>
      <w:tr w:rsidR="00FB4222" w:rsidRPr="00FB4222" w:rsidTr="002D134D"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1.1.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Ministarstvo poljoprivrede</w:t>
            </w:r>
          </w:p>
        </w:tc>
      </w:tr>
      <w:tr w:rsidR="00FB4222" w:rsidRPr="00FB4222" w:rsidTr="002D134D"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1.2.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izmjenama i dopunama Zakona o poljoprivredi</w:t>
            </w:r>
          </w:p>
        </w:tc>
      </w:tr>
      <w:tr w:rsidR="00FB4222" w:rsidRPr="00FB4222" w:rsidTr="002D134D"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1.3.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ožujak 2022.</w:t>
            </w:r>
          </w:p>
        </w:tc>
      </w:tr>
      <w:tr w:rsidR="00FB4222" w:rsidRPr="00FB4222" w:rsidTr="002D134D"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1.4.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Uprava za poljoprivrednu politiku, EU i međunarodnu suradnju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Sektor za poljoprivrednu politiku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Služba za poljoprivredne politike i agroekonomske analize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Odjel za analizu poljoprivrednih politika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Anamaria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Stojević</w:t>
            </w:r>
            <w:proofErr w:type="spellEnd"/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tel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: 01/6106-726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e-mail: </w:t>
            </w:r>
            <w:hyperlink r:id="rId5" w:history="1">
              <w:r w:rsidRPr="00FB4222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ana.stojevic@mps.hr</w:t>
              </w:r>
            </w:hyperlink>
          </w:p>
        </w:tc>
      </w:tr>
      <w:tr w:rsidR="00FB4222" w:rsidRPr="00FB4222" w:rsidTr="002D134D"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1.5.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akta: Nacionalni plan zamjene hrvatske kune eurom, koji je Vlada Republike Hrvatske donijela na sjednici 23. prosinca 2020. Odlukom o donošenju Nacionalnog plana zamjene hrvatske kune eurom ("Narodne novine", broj 146/20.)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Zaključak o provedbi zakonodavnih aktivnosti povezanih s uvođenjem eura kao službene valute u Republici Hrvatskoj (u daljnjem tekstu: Zaključak) koji je Vlada RH donijela na sjednici održanoj 16. rujna 2021.</w:t>
            </w:r>
          </w:p>
          <w:p w:rsidR="00FB4222" w:rsidRPr="00FB4222" w:rsidRDefault="00FB4222" w:rsidP="00FB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Opis mjere: Sukladno Odluci o donošenju Nacionalnog plana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zamjene hrvatske kune eurom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utvrđen je popis zakona i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podzakonskih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propisa koje će biti potrebno izmijeniti radi pune prilagodbe hrvatskog zakonodavstva uvođenju eura kao službene valute u Republici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 xml:space="preserve">Hrvatskoj. Popis sadrži dvije skupine zakona i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podzakonskih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propisa:</w:t>
            </w:r>
          </w:p>
          <w:p w:rsidR="00FB4222" w:rsidRPr="00FB4222" w:rsidRDefault="00FB4222" w:rsidP="00FB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I. skupina – zakoni i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podzakonski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propisi koji sadržavaju značajnija pozivanja na hrvatsku kunu i potrebno ih je izmijeniti prije uvođenja eura kao službene valute u Republici Hrvatskoj i </w:t>
            </w:r>
          </w:p>
          <w:p w:rsidR="00FB4222" w:rsidRPr="00FB4222" w:rsidRDefault="00FB4222" w:rsidP="00FB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II. skupina - zakoni i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podzakonski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propisi koji sadrže manji broj odredbi vezanih uz hrvatsku kunu, a čije izmjene su predviđene prilikom sljedeće redovne izmjene propisa zbog neke druge potrebe. </w:t>
            </w:r>
          </w:p>
          <w:p w:rsidR="00FB4222" w:rsidRPr="00FB4222" w:rsidRDefault="00FB4222" w:rsidP="00FB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izmjenama i dopunama Zakona o obiteljskom poljoprivrednom gospodarstvu nalazi se na popisu I. skupine.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1.6.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Da/Ne: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  <w:gridSpan w:val="5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Naziv pravne stečevine EU: </w:t>
            </w:r>
          </w:p>
          <w:p w:rsidR="00FB4222" w:rsidRPr="00FB4222" w:rsidRDefault="00FB4222" w:rsidP="00FB4222">
            <w:pPr>
              <w:spacing w:after="20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1. Uredba (EU) br. 2021/2115 Europskog parlamenta i Vijeća od 2. prosinca 2021. o utvrđivanju pravila o potpori za strateške planove koje izrađuju države članice u okviru zajedničke poljoprivredne politike (strateški planovi u okviru ZPP-a) i koji se financiraju iz Europskog fonda za jamstva u poljoprivredi (EFJP) i Europskog poljoprivrednog fonda za ruralni razvoj (EPFRR) te o stavljanju izvan snage Uredbe (EU) br. 1305/2013 i (EU) br. 1307/2013 (SL L 435, 6. 12. 2021.) </w:t>
            </w:r>
          </w:p>
          <w:p w:rsidR="00FB4222" w:rsidRPr="00FB4222" w:rsidRDefault="00FB4222" w:rsidP="00FB4222">
            <w:pPr>
              <w:spacing w:after="20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2. Uredba (EU) br. 2021/2116 Europskog parlamenta i Vijeća od 2. prosinca 2021. o financiranju i nadzoru zajedničke poljoprivredne politike te upravljanju njome i o stavljanju izvan snage Uredbe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 xml:space="preserve">(EU) br. 1306/2013, (SL L 435, 6. 12. 2021.) </w:t>
            </w:r>
          </w:p>
          <w:p w:rsidR="00FB4222" w:rsidRPr="00FB4222" w:rsidRDefault="00FB4222" w:rsidP="00FB4222">
            <w:pPr>
              <w:spacing w:after="20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 Uredba (EU) br. 2021/2117 Europskog parlamenta i Vijeća od 2. prosinca 2021. o izmjeni uredaba (EU) br. 1308/2013 o uspostavljanju zajedničke organizacije tržišta poljoprivrednih proizvoda, (EU) br. 1151/2012 o sustavima kvalitete za poljoprivredne i prehrambene proizvode, (EU) br. 251/2014 o definiciji, opisivanju, prezentiranju, označivanju i zaštiti oznaka zemljopisnog podrijetla aromatiziranih proizvoda od vina i (EU) br. 228/2013 o utvrđivanju posebnih mjera za poljoprivredu u najudaljenijim regijama Unije (SL L 435, 6. 12. 2021.)</w:t>
            </w:r>
          </w:p>
          <w:p w:rsidR="00FB4222" w:rsidRPr="00FB4222" w:rsidRDefault="00FB4222" w:rsidP="00FB4222">
            <w:pPr>
              <w:spacing w:after="20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 Uredbe Komisije (EEZ) br. 2568/91 od 11. srpnja 1991. o karakteristikama maslinovog ulja i ulja komine maslina te o odgovarajućim metodama analize (SL L 248, 5. 9. 1991.)</w:t>
            </w:r>
          </w:p>
          <w:p w:rsidR="00FB4222" w:rsidRPr="00FB4222" w:rsidRDefault="00FB4222" w:rsidP="00FB4222">
            <w:pPr>
              <w:spacing w:after="20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</w:t>
            </w:r>
            <w:r w:rsidRPr="00FB42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Provedbene uredbe Komisije (EU) br. 29/2012 od 13. siječnja 2012. o tržišnim standardima za maslinovo ulje (SL L 12, 14. 1. 2012.)</w:t>
            </w:r>
          </w:p>
          <w:p w:rsidR="00FB4222" w:rsidRPr="00FB4222" w:rsidRDefault="00FB4222" w:rsidP="00FB4222">
            <w:pPr>
              <w:spacing w:after="20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6. Uredba (EU) br. 2018/848 Europskog parlamenta i Vijeća od 30. svibnja 2018. o ekološkoj proizvodnji i označivanju ekoloških proizvoda te stavljanju izvan snage Uredbe Vijeća (EZ) br. 834/2007 (SL L 150, 14. 6. 2018.) kako je posljednji puta dopunjena Delegiranom uredbom Komisije (EU) br. 2021/2306  od 21. listopada 2021. o dopuni Uredbe (EU) br. 2018/848 Europskog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parlamenta i Vijeća pravilima o službenim kontrolama pošiljaka ekoloških proizvoda i proizvoda iz prijelaznog razdoblja namijenjenih uvozu u Uniju te o potvrdi o inspekciji (SL L 461, 27.12.2021.)</w:t>
            </w:r>
          </w:p>
          <w:p w:rsidR="00FB4222" w:rsidRPr="00FB4222" w:rsidRDefault="00FB4222" w:rsidP="00FB4222">
            <w:pPr>
              <w:spacing w:after="20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7. Uredbe (EU) 2017/625 Europskog parlamenta i Vijeća od 15. ožujka 2017. o službenim kontrolama i drugim službenim aktivnostima kojima se osigurava primjena propisa o hrani i hrani za životinje, pravila o zdravlju i dobrobiti životinja, zdravlju bilja i sredstvima za zaštitu bilja, o izmjeni uredaba (EZ) br. 999/2001, (EZ) br. 396/2005, (EZ) br. 1069/2009, (EZ) br. 1107/2009, (EU) br. 1151/2012, (EU) br. 652/2014, (EU) 2016/429 i (EU) 2016/2031 Europskog parlamenta i Vijeća, uredaba Vijeća (EZ) br. 1/2005 i (EZ) br. 1099/2009 i direktiva Vijeća 98/58/EZ, 1999/74/EZ, 2007/43/EZ, 2008/119/EZ i 2008/120/EZ te o stavljanju izvan snage uredaba (EZ) br. 854/2004 i (EZ) br. 882/2004 Europskog parlamenta i Vijeća, direktiva Vijeća 89/608/EEZ, 89/662/EEZ, 90/425/EEZ, 91/496/EEZ, 96/23/EZ, 96/93/EZ i 97/78/EZ te Odluke Vijeća 92/438/EEZ (Uredba o službenim kontrolama) kako je posljednji puta dopunjena Delegiranom uredbom Komisije (EU) br. 2021/2305 od 21. listopada 2021. o dopuni Uredbe (EU) 2017/625 Europskog parlamenta i Vijeća pravilima o slučajevima u kojima i uvjetima pod kojima se ekološki proizvodi i proizvodi iz prijelaznog razdoblja </w:t>
            </w: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izuzimaju iz službenih kontrola na graničnim kontrolnim postajama i o mjestu na kojem se provode službene kontrole tih proizvoda te o izmjeni delegiranih uredbi Komisije (EU) 2019/2123 i (EU) 2019/2124 (SL L 461, 27.12.2021.)</w:t>
            </w:r>
          </w:p>
        </w:tc>
      </w:tr>
      <w:tr w:rsidR="00FB4222" w:rsidRPr="00FB4222" w:rsidTr="002D134D">
        <w:trPr>
          <w:trHeight w:val="31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ANALIZA POSTOJEĆEG STANJA</w:t>
            </w:r>
          </w:p>
        </w:tc>
      </w:tr>
      <w:tr w:rsidR="00FB4222" w:rsidRPr="00FB4222" w:rsidTr="002D134D"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2.1.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Upotreba eura kao jedinstvene valute u Ekonomskoj i monetarnoj uniji regulirana je trima uredbama Vijeća EU-a. To su Uredba Vijeća (EZ) br. 1103/97 od 17. lipnja 1997. o određenim odredbama koje se odnose na uvođenje eura, Uredba Vijeća (EZ) br. 974/98 od 3. svibnja 1998. o uvođenju eura i Uredba Vijeća (EZ) br. 2866/98 od 31. prosinca 1998. o stopama konverzije između eura i valuta država članica koje usvajaju euro. Osim donošenja zakona kojim će se urediti najvažnija pitanja vezana uz uvođenje eura kao službene valute u Republici Hrvatskoj, za potrebe pune prilagodbe hrvatskog zakonodavstva uvođenju eura kao službene valute, bit će potrebno izmijeniti niz drugih zakona i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podzakonskih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propisa koji sadržavaju odredbe povezane s kunom uključujući i Zakon o poljoprivredi (Narodne novine, br. 118/18, 42/20, 127/20</w:t>
            </w:r>
            <w:r w:rsidRPr="00FB422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 Odluka Ustavnog suda Republike Hrvatske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, 52/21) (u daljnjem tekstu: Zakon o poljoprivredi).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Na razini Europske unije izmijenjen je pravni okvir kojim se uređuje provedba zajedničke poljoprivredne politike u razdoblju od 2023. do 2027. godine te je potrebno osigurati pravni temelj za njegovu provedbu. Isto tako je izmijenjen  pravni okvir EU-a kojim se uređuje</w:t>
            </w:r>
            <w:r w:rsidRPr="00FB42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ekološka proizvodnja i označivanje ekoloških proizvoda te je potrebno trenutno važeće odredbe Zakona o poljoprivredi uskladiti s odredbama akata Europske unije. 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Obveza usklađivanja hrvatskog zakonodavstva s pravnom stečevinom Europske unije odnosi se na osiguranje provedbe Uredbe (EU) br. 2021/2115, Uredbe (EU) br. 2021/2116, Uredbe (EU) br. 2021/2117, Uredbe (EU) br. 2018/848, Uredbe (EU) 2017/625, Uredbe Komisije (EEZ) br. 2568/91 i Provedbene uredbe Komisije (EU) br. 29/2012.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Osim obveze usklađivanja Zakona s pravnom stečevinom Europske unije, ocijenjena je potreba dodatnog unaprjeđenja postojećih normativnih rješenja u području pravila kojima se propisuje provjera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organoleptičkih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svojstava djevičanskih maslinovih ulja i financiranja proizvođačkih organizacija.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Također, u manjoj mjeri je potrebno izvršiti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>nomotehničke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dorade izričaja zakonskog teksta i ispravke pogrešnih navođenja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numeracije pojedinih članaka kada se propis poziva na dijelove istoga propisa.</w:t>
            </w:r>
          </w:p>
        </w:tc>
      </w:tr>
      <w:tr w:rsidR="00FB4222" w:rsidRPr="00FB4222" w:rsidTr="002D134D"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2.2.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Potrebno je omogućiti provedbu Odluke o donošenju Nacionalnog plana zamjene hrvatske kune eurom radi pune prilagodbe hrvatskog zakonodavstva uvođenju eura kao službene valute u Republici Hrvatskoj.</w:t>
            </w:r>
          </w:p>
          <w:p w:rsidR="00FB4222" w:rsidRPr="00FB4222" w:rsidRDefault="00FB4222" w:rsidP="00FB4222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Potrebno je osigurati pravni temelj za provedbu poljoprivredne politike u razdoblju od 2023. do 2027. godine gdje će se ciljevi poljoprivredne politike ostvarivati prema strateškom planu Republike Hrvatske (Strateški plan zajedničke poljoprivredne politike 2023. – 2027.) kojim će se propisati instrumenti potpore i uvjeti prihvatljivosti za sve intervencije koje će se provoditi. 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Trenutno važeće odredbe kojima se propisuju obveze subjekata u ekološkoj proizvodnji, kontrolni sustav i poslovi kontrolnog tijela potrebno je uskladiti s odredbama pravnih akata Europske unije. Skupinama subjekata sastavljenima od članova koji su poljoprivrednici ili subjekti koji uzgajaju alge ili životinje iz akvakulture te koji osim toga mogu sudjelovati u preradi, pripremi ili stavljanju na tržište hrane ili hrane za životinje omogućit će se priznavanje i upisivanje u Evidenciju skupina subjekata u ekološkoj proizvodnji.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Osim obveze usklađivanja Zakona s pravnom stečevinom Europske unije, ocijenjena je potreba dodatnog unaprjeđenja postojećih normativnih rješenja u području pravila kojima se propisuje provjera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organoleptičkih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svojstava djevičanskih maslinovih ulja i financiranja proizvođačkih organizacija.   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Također, u manjoj mjeri je potrebno unaprijediti pojedine dijelove zakona i doraditi pojedina normativna rješenja koja su se u praksi pokazala neodgovarajućima posebno u dijelu registracija oznaka kvalitete. </w:t>
            </w:r>
          </w:p>
        </w:tc>
      </w:tr>
      <w:tr w:rsidR="00FB4222" w:rsidRPr="00FB4222" w:rsidTr="002D134D">
        <w:trPr>
          <w:trHeight w:val="858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2.3.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Prilagodba Zakona u dijelu koji se odnosi na pozivanje na kunu osigurat će se provedba Nacionalnog plana zamjene hrvatske kune eurom s ciljem da Republika Hrvatska postane dijelom ekonomske i monetarne unije čija je valuta euro.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Obveza usklađivanja hrvatskog zakonodavstva s pravnom stečevinom Europske unije odnosi se na osiguranje provedbe Uredbe (EU) br. 2021/2115, Uredbe (EU) br. 2021/2116, Uredbe (EU) br. 2021/2117, Uredbe (EU) br. 2018/848, Uredbe (EU) 2017/625, Uredbe Komisije (EEZ) br. 2568/91 i Provedbene uredbe Komisije (EU) br. 29/2012.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U području preuzimanja odredbi Uredbe (EU) br. 2021/2115 definira se pojam “Strateški plan zajedničke poljoprivredne politike 2023. – 2027.” koji je strateški plan Republike Hrvatske za provedbu mjera poljoprivredne politike u razdoblju 2023. – 2027, a financira se u okviru Europskog fonda za jamstva u poljoprivredi i Europskog poljoprivrednog fonda za ruralni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razvoj. Mjere poljoprivredne politike proširuju se mjerama sektorske potpore.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 području preuzimanja odredbi Uredbe (EU) br. 2021/2116 akreditira se Agencija za plaćanja u poljoprivredi, ribarstvu i ruralnom razvoju kao provedbeno tijelo za korištenje poljoprivrednih fondova Europske unije te se propisuje Integrirani administrativni i kontrolni sustav za upravljanja i kontrolu plaćanja potpora. Istom Uredbom se propisuje kontrola uvjetovanosti i administrativne kazne vezano uz dodjelu potpora.</w:t>
            </w:r>
          </w:p>
          <w:p w:rsidR="00FB4222" w:rsidRPr="00FB4222" w:rsidRDefault="00FB4222" w:rsidP="00FB4222">
            <w:pPr>
              <w:spacing w:after="200" w:line="12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 području preuzimanja odredbi Uredbe (EU) br. 2021/2117 mijenjaju se i dopunjuju Uredba  (EU) br. 1308/2013 o uspostavljanju zajedničke organizacije tržišta poljoprivrednih proizvoda, Uredba (EU) br. 1151/2012 o sustavima kvalitete za poljoprivredne i prehrambene proizvode te Uredba (EU) br. 251/2014 o definiciji, opisivanju, prezentiranju, označivanju i zaštiti oznaka zemljopisnog podrijetla aromatiziranih proizvoda od vina.</w:t>
            </w:r>
          </w:p>
          <w:p w:rsidR="00FB4222" w:rsidRPr="00FB4222" w:rsidRDefault="00FB4222" w:rsidP="00FB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 području preuzimanja odredbi Uredbe (EU) br. 2018/848 i Uredbe (EU) 2017/625 omogućuje se priznavanje skupini subjekata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i upisivanje u Evidenciju skupina subjekata sastavljenima od članova koji su poljoprivrednici ili subjekti koji uzgajaju alge ili životinje iz akvakulture te koji osim toga mogu sudjelovati u preradi, pripremi ili stavljanju na tržište hrane ili hrane za životinje u ekološkoj proizvodnji. </w:t>
            </w:r>
          </w:p>
          <w:p w:rsidR="00FB4222" w:rsidRPr="00FB4222" w:rsidRDefault="00FB4222" w:rsidP="00FB42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Osim obveze usklađivanja Zakona s pravnom stečevinom Europske unije, ocijenjena je potreba dodatnog unaprjeđenja postojećih normativnih rješenja u području pravila kojima se propisuje provjera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organoleptičkih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svojstava djevičanskih maslinovih ulja i financiranja proizvođačkih organizacija.   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Također, u manjoj mjeri je potrebno izvršiti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>nomotehničke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dorade izričaja zakonskog teksta i ispravke pogrešnih navođenja numeracije pojedinih članaka kada se propis poziva na dijelove istoga propisa.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lang w:eastAsia="hr-HR"/>
              </w:rPr>
            </w:pPr>
          </w:p>
        </w:tc>
      </w:tr>
      <w:tr w:rsidR="00FB4222" w:rsidRPr="00FB4222" w:rsidTr="002D134D">
        <w:trPr>
          <w:trHeight w:val="240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ISHODA ODNOSNO PROMJENA </w:t>
            </w:r>
          </w:p>
        </w:tc>
      </w:tr>
      <w:tr w:rsidR="00FB4222" w:rsidRPr="00FB4222" w:rsidTr="002D134D"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3.1.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tabs>
                <w:tab w:val="left" w:pos="945"/>
              </w:tabs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>Cilj predmetne zakonodavne intervencije jest provedba Odluke o donošenju Nacionalnog plana zamjene hrvatske kune eurom radi pune prilagodbe hrvatskog zakonodavstva uvođenju eura kao službene valute u Republici Hrvatskoj.</w:t>
            </w:r>
          </w:p>
          <w:p w:rsidR="00FB4222" w:rsidRPr="00FB4222" w:rsidRDefault="00FB4222" w:rsidP="00FB4222">
            <w:pPr>
              <w:tabs>
                <w:tab w:val="left" w:pos="945"/>
              </w:tabs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Osim toga, ovim izmjenama i dopunama Zakona o poljoprivredi cilj je i odgovarajuće usklađivanje Zakona o poljoprivredi s pravnom stečevinom Europske unije u dijelu koji se odnosi na provedbu zajedničke poljoprivredne politike u razdoblju od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2023. do 2027. godine te na ekološku proizvodnju i označivanje ekoloških proizvoda.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Potpore u okviru zajedničke poljoprivredne politike koje se financiraju iz Europskog fonda za jamstva u poljoprivredi i Europskog poljoprivrednog fonda za ruralni razvoj, u programskom razdoblju od 2023. do 2027. godine, dodjeljivat će se poljoprivrednicima temeljem Strateškog plana zajedničke poljoprivredne politike država članica. Prema trenutno važećem Zakonu o poljoprivredi mjere poljoprivredne politike su: mjere ruralnog razvoja, mjere izravne potpore, mjere uređenja ili organizacije tržišta poljoprivrednih proizvoda i druge mjere kojima se ostvaruju ciljevi poljoprivredne politike te ih je potrebno upotpuniti mjerama sektorske potpore. Mjere poljoprivredne politike u Republici Hrvatskoj u razdoblju od 2023. do 2027. godine provodit će se u skladu s predviđenim intervencijama u Strateškom planu zajedničke poljoprivredne politike 2023. – 2027. 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Kako bi se osigurala veća transparentnost provjere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organoleptičkih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svojstava djevičanskih maslinovih ulja trenutno važeće odredbe potrebno ih je detaljnije i jasnije propisati. Provjere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organoleptičkih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svojstava djevičanskih maslinovih ulja, radi službenih kontrola na tržištu i radi samokontrola proizvođača provodit će ovlašteni službeni paneli koji će se temeljem rješenja o ovlaštenju upisivati u Upisnik ovlaštenih panela za senzorsku analizu djevičanskih maslinovih ulja. Popis ovlaštenih panela kao i Nacionalna lista senzorskih ocjenjivača maslinovog ulja bit će javno dostupni na mrežnoj stranici Ministarstva poljoprivrede, a ovlaštenim panelima uvodi se obveza dostavljanja izvješća o radu.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Proizvođačkim organizacijama, udruženjima proizvođačkih organizacija i sektorskim organizacijama potrebno je omogućiti proširenje pravila za određivanje razine reprezentativnosti kao i financiranje njihovih operativnih programa iz operativnih fondova. 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Trenutno važeće odredbe kojima se propisuju obveze subjekata u ekološkoj proizvodnji, kontrolni sustav i poslovi kontrolnog tijela potrebno je uskladiti s odredbama pravnih akata Europske unije. Skupinama subjekata sastavljenima od članova koji su poljoprivrednici ili subjekti koji uzgajaju alge ili životinje iz akvakulture te koji osim toga mogu sudjelovati u preradi, pripremi ili stavljanju na tržište hrane ili hrane za životinje omogućit će se priznavanje i upisivanje u Evidenciju skupina subjekata u ekološkoj proizvodnji.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Izmjenama i dopunama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unaprijedit će se pojedini dijelovi zakona i doraditi pojedina normativna rješenja koja su se u praksi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pokazala neodgovarajućima posebno u dijelu registracija oznaka kvalitete.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3.2.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tabs>
                <w:tab w:val="left" w:pos="945"/>
              </w:tabs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Predloženim zakonom omogućit će se provedba Odluke o donošenju Nacionalnog plana zamjene hrvatske kune eurom radi pune prilagodbe hrvatskog zakonodavstva uvođenju eura kao službene valute u Republici Hrvatskoj, osigurat će se odgovarajuće usklađivanje nacionalnog zakonodavstva s pravnom stečevinom Europske unije te sadržajno unaprjeđenje teksta postojećeg zakona u cjelini kako uvođenjem novih normativnih rješenja tako i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>nomotehničkom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doradom i ispravcima pojedinih nesukladnih zakonskih odredbi.</w:t>
            </w:r>
          </w:p>
          <w:p w:rsidR="00FB4222" w:rsidRPr="00FB4222" w:rsidRDefault="00FB4222" w:rsidP="00FB4222">
            <w:pPr>
              <w:tabs>
                <w:tab w:val="left" w:pos="945"/>
              </w:tabs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Izmjene i dopune Zakona omogućit će provedbu mjera poljoprivredne politike u razdoblju od 2023. do 2027. godine, a zadani ciljevi poljoprivredne politike ostvarivat će se prema strateškom planu Republike Hrvatske (Strateški plan zajedničke poljoprivredne politike 2023. – 2027.) kojim će se propisati instrumenti potpore i uvjeti prihvatljivosti za sve intervencije koje će se provoditi. </w:t>
            </w:r>
          </w:p>
        </w:tc>
      </w:tr>
      <w:tr w:rsidR="00FB4222" w:rsidRPr="00FB4222" w:rsidTr="002D134D"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3.3.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Ishodi će se postići stupanjem na snagu predloženog nacrta prijedloga zakona.</w:t>
            </w:r>
          </w:p>
        </w:tc>
      </w:tr>
      <w:tr w:rsidR="00FB4222" w:rsidRPr="00FB4222" w:rsidTr="002D134D">
        <w:trPr>
          <w:trHeight w:val="368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RJEŠENJA </w:t>
            </w:r>
          </w:p>
        </w:tc>
      </w:tr>
      <w:tr w:rsidR="00FB4222" w:rsidRPr="00FB4222" w:rsidTr="002D134D"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4.1.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Moguća normativna rješenja (novi propis/izmjene i dopune važećeg/stavljanje van snage propisa i slično):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Donošenje Zakona o izmjenama i dopunama Zakona o poljoprivredi.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Provedba Nacionalnog plana zamjene hrvatske kune eurom s ciljem da Republika Hrvatska postane dijelom ekonomske i monetarne unije čija je valuta euro moguća je izmjenom Zakona u dijelu koji se odnosi na pozivanje na kunu. 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Na razini Europske unije izmijenjen je pravni okvir kojim se uređuje provedba zajedničke poljoprivredne politike u razdoblju od 2023. do 2027. godine kao i pravni okvir kojim se uređuje</w:t>
            </w:r>
            <w:r w:rsidRPr="00FB4222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ekološka proizvodnja i označivanje ekoloških proizvoda te je potrebno trenutno važeće odredbe Zakona o poljoprivredi uskladiti s odredbama akata Europske unije. 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Obveza usklađivanja hrvatskog zakonodavstva s pravnom stečevinom Europske unije odnosi se na osiguranje provedbe Uredbe (EU) br. 2021/2115, Uredbe (EU) br. 2021/2116,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lastRenderedPageBreak/>
              <w:t>Uredbe (EU) br. 2021/2117, Uredbe (EU) br. 2018/848, Uredbe (EU) 2017/625, Uredbe Komisije (EEZ) br. 2568/91 i Provedbene uredbe Komisije (EU) br. 29/2012.</w:t>
            </w:r>
          </w:p>
          <w:p w:rsidR="00FB4222" w:rsidRPr="00FB4222" w:rsidRDefault="00FB4222" w:rsidP="00FB4222">
            <w:pPr>
              <w:spacing w:after="20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Osim obveze usklađivanja Zakona s pravnom stečevinom Europske unije, ocijenjena je potreba dodatnog unaprjeđenja postojećih normativnih rješenja u području pravila kojima se propisuje provjera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organoleptičkih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svojstava djevičanskih maslinovih ulja i financiranja proizvođačkih organizacija te specifikacije oznaka kvalitete.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Također, u manjoj mjeri je potrebno izvršiti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>nomotehničke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dorade izričaja zakonskog teksta i ispravke pogrešnih navođenja numeracije pojedinih članaka kada se propis poziva na dijelove istoga propisa.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Unaprjeđenje važećeg zakonskog teksta moguće je jedino odgovarajućim normativnim intervencijama u navedeni zakonski akt. 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567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4.2.</w:t>
            </w:r>
          </w:p>
        </w:tc>
        <w:tc>
          <w:tcPr>
            <w:tcW w:w="25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Navedite koja su moguća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Moguća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koregulacija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i slično):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Radi postizanja željenih ishoda, </w:t>
            </w: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nenormativna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rješenja nisu moguća.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567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Obrazloženje: 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Nenormativnim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rješenjima ne mogu se postići namjeravani ishodi i promjene s obzirom da se radi o materiji koja se uređuje zakonom.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419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IZRAVNIH UČINAKA I ADRESATA </w:t>
            </w:r>
          </w:p>
        </w:tc>
      </w:tr>
      <w:tr w:rsidR="00FB4222" w:rsidRPr="00FB4222" w:rsidTr="002D134D">
        <w:trPr>
          <w:trHeight w:val="382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UTVRĐIVANJE GOSPODARSKIH UČINAKA </w:t>
            </w:r>
          </w:p>
        </w:tc>
      </w:tr>
      <w:tr w:rsidR="00FB4222" w:rsidRPr="00FB4222" w:rsidTr="002D134D">
        <w:trPr>
          <w:trHeight w:val="382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FB4222" w:rsidRPr="00FB4222" w:rsidTr="002D134D">
        <w:trPr>
          <w:trHeight w:val="382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FB4222" w:rsidRPr="00FB4222" w:rsidTr="002D134D">
        <w:trPr>
          <w:trHeight w:val="382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ind w:right="-251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5.1.11.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5.1.1. do 5.1.14.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o poljoprivredi su takva da neće imati izravnih gospodarskih učinaka.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5.1.16. do 5.1.26.: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o poljoprivredi su takva da neće imati izravnih gospodarskih učinaka.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99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5.1.28.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lastRenderedPageBreak/>
              <w:t>REZULTAT PRETHODNE PROCJENE GOSPODARSKIH UČINAKA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B4222" w:rsidRPr="00FB4222" w:rsidTr="002D134D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FB4222" w:rsidRPr="00FB4222" w:rsidTr="002D134D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FB4222" w:rsidRPr="00FB4222" w:rsidTr="002D134D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</w:tbl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TRŽIŠNO NATJECANJE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5.2.1. do 5.2.4.: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o poljoprivredi su takva da neće imati izravnih učinaka na tržišno natjecanje.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5.2.15.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5.2.6. do 5.2.16.: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o poljoprivredi su takva da neće imati izravnih učinaka na tržišno natjecanje.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3562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TRŽIŠNOG NATJECANJA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B4222" w:rsidRPr="00FB4222" w:rsidTr="002D134D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FB4222" w:rsidRPr="00FB4222" w:rsidTr="002D134D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FB4222" w:rsidRPr="00FB4222" w:rsidTr="002D134D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68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FB4222" w:rsidRPr="00FB4222" w:rsidTr="002D134D">
              <w:trPr>
                <w:trHeight w:val="268"/>
              </w:trPr>
              <w:tc>
                <w:tcPr>
                  <w:tcW w:w="20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2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SOCIJALNIH UČINAKA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5.3.1. do 5.3.7.: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o poljoprivredi su takva da neće imati izravnih socijalnih učinaka.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5.3.9.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5.3.9. do 5.3.19.: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o poljoprivredi su takva da neće imati izravnih socijalnih učinaka.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3401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SOCIJALNIH UČINAKA: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B4222" w:rsidRPr="00FB4222" w:rsidTr="002D134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</w:tbl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RAD I TRŽIŠTE RADA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Mali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Veliki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5.4.5.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5.4.1 do 5.4.13: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o poljoprivredi su takva da neće imati izravnih učinaka na rad i tržište rada.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5.4.14. do 5.4.25.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o obiteljskom poljoprivrednom gospodarstvu su takva da neće imati izravnih učinaka na rad i tržište rada.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3436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5.4.27.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RAD I TRŽIŠTE RADA: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B4222" w:rsidRPr="00FB4222" w:rsidTr="002D134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</w:tbl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OKOLIŠA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Bioraznolikost</w:t>
            </w:r>
            <w:proofErr w:type="spellEnd"/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5.5.1. do 5.5.10.: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o obiteljskom poljoprivrednom gospodarstvu su takva da neće imati izravnih učinaka na zaštitu okoliša.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Središnja tijela državne uprave, druga državna tijela, pravosudna tijela, javne ustanove, jedinice lokalne i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5.5.12. do 5.5.22.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o poljoprivredi su takva da neće imati izravnih učinaka na zaštitu okoliša.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3418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5.5.24.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OKOLIŠA: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B4222" w:rsidRPr="00FB4222" w:rsidTr="002D134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</w:tbl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UČINAKA NA ZAŠTITU LJUDSKIH PRAVA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Mjerilo učinka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Mali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Veliki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Da/Ne</w:t>
            </w:r>
          </w:p>
        </w:tc>
      </w:tr>
      <w:tr w:rsidR="00FB4222" w:rsidRPr="00FB4222" w:rsidTr="002D134D">
        <w:trPr>
          <w:trHeight w:val="943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701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izravnih učinaka od 5.6.1. do 5.6.9.: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poljoprivredi su takva da neće imati izravnih učinaka na zaštitu ljudskih prava.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Drugi utvrđeni adresati: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Ne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 za analizu utvrđivanja adresata od 5.6.12. do 5.6.23.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Pitanja koja se uređuju Zakonom o izmjenama i dopunama Zakona o poljoprivredi su takva da neće imati izravnih učinaka na zaštitu ljudskih prava.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3642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REZULTAT PRETHODNE PROCJENE UČINAKA NA ZAŠTITU LJUDSKIH PRAVA: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Da li je utvrđena barem jedna kombinacija: 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mali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veliki izravni učinak i veliki broj adresata</w:t>
            </w:r>
          </w:p>
          <w:p w:rsidR="00FB4222" w:rsidRPr="00FB4222" w:rsidRDefault="00FB4222" w:rsidP="00FB4222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59" w:hanging="283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mali izravni učinak i veliki broj adresata.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B4222" w:rsidRPr="00FB4222" w:rsidTr="002D134D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Izravni učinci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  <w:tr w:rsidR="00FB4222" w:rsidRPr="00FB4222" w:rsidTr="002D134D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:rsidR="00FB4222" w:rsidRPr="00FB4222" w:rsidRDefault="00FB4222" w:rsidP="00FB4222">
                  <w:pPr>
                    <w:shd w:val="clear" w:color="auto" w:fill="FFFFFF"/>
                    <w:spacing w:after="0" w:line="21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r-HR"/>
                    </w:rPr>
                  </w:pPr>
                  <w:r w:rsidRPr="00FB422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hr-HR"/>
                    </w:rPr>
                    <w:t xml:space="preserve">Ne </w:t>
                  </w:r>
                </w:p>
              </w:tc>
            </w:tr>
          </w:tbl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Prethodni test malog i srednjeg poduzetništva (Prethodni MSP test)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946" w:type="dxa"/>
            <w:gridSpan w:val="4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Da li će propis imati učinke na određeni broj malih i srednjih poduzetnika kroz administrativne troškove provedbe postupaka </w:t>
            </w: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lastRenderedPageBreak/>
              <w:t>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Zakonom o izmjenama i dopunama Zakona o poljoprivredi neće se propisivati dodatne administrativne obveze.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Zakon o izmjenama i dopunama Zakona o poljoprivredi neće imati učinke na tržišnu konkurenciju ni konkurentnost unutarnjeg tržišta EU u smislu prepreka slobodi tržišne konkurencije s obzirom da Nacrt prijedloga zakona ide u pravcu unaprjeđenja pojedinih dosadašnjih rješenja i otklanjanja nejasnoća koja prate primjenu uređenja pojedinih instituta u pogledu obavljanja gospodarske djelatnosti poljoprivrede. 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Zakon o izmjenama i dopunama Zakona o poljoprivredi neće imati učinke na troškove prilagodbe i poslovanja poduzetnika s obzirom da Nacrt prijedloga zakona ide u pravcu unaprjeđenja pojedinih dosadašnjih rješenja i otklanjanja nejasnoća koja prate primjenu pojedinih instituta u pogledu obavljanja gospodarske djelatnosti poljoprivrede. 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956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 xml:space="preserve">Zakon o izmjenama i dopunama Zakona o poljoprivredi neće imati izravne učinke na poduzetnike, a samim tim niti na mikro poduzetnike, a ovo iz razloga jer Nacrt prijedloga zakona ide u pravcu unaprjeđenja pojedinih dosadašnjih rješenja i otklanjanja nejasnoća koja prate primjenu pojedinih instituta u pogledu obavljanja gospodarske djelatnosti poljoprivrede. 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 w:val="restart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vMerge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Obrazloženje: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Zakon o izmjenama i dopunama Zakona o poljoprivredi neće imati izravne učinke na male i srednje poduzetnike s obzirom da Nacrt prijedloga zakona ide u pravcu unaprjeđenja pojedinih dosadašnjih rješenja koja prate primjenu uređenja pojedinih instituta u pogledu obavljanja gospodarske djelatnosti poljoprivrede na način da se poljoprivrednicima ne nameću dodatna davanja i naknade za poduzetnike.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  <w:t>Utvrđivanje potrebe za provođenjem SCM metodologije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FB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Cost</w:t>
            </w:r>
            <w:proofErr w:type="spellEnd"/>
            <w:r w:rsidRPr="00FB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Model (SCM) tablicu s procjenom mogućeg administrativnog troška za svaku propisanu obvezu i zahtjev (SCM kalkulator). 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SCM kalkulator dostupan je na stranici: </w:t>
            </w:r>
            <w:hyperlink r:id="rId6" w:history="1">
              <w:r w:rsidRPr="00FB4222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lang w:eastAsia="hr-HR"/>
                </w:rPr>
                <w:t>http://www.mingo.hr/page/standard-cost-model</w:t>
              </w:r>
            </w:hyperlink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SAŽETAK REZULTATA PRETHODNE PROCJENE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Ako</w:t>
            </w: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 je utvrđena barem jedna kombinacija: 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veliki izravni učinak i mali broj adresata,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veliki izravni učinak i veliki broj adresata,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–</w:t>
            </w: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ab/>
              <w:t>mali izravni učinak i veliki broj adresata,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hr-HR"/>
              </w:rPr>
              <w:t xml:space="preserve">Ako je utvrđena potreba za provođenjem procjene učinaka propisa na malog gospodarstvo, stručni nositelj obvezno pristupa daljnjoj procjeni učinaka </w:t>
            </w:r>
            <w:r w:rsidRPr="00FB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izradom MSP testa u okviru Iskaza o procjeni učinaka propisa.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PUP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Potreba za MSP test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gridSpan w:val="2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POTPIS ČELNIKA TIJELA 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Potpis: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MINISTRICA POLJOPRIVREDE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Marija Vučković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Datum:    ožujka 2022.</w:t>
            </w:r>
          </w:p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B4222" w:rsidRPr="00FB4222" w:rsidTr="002D134D">
        <w:trPr>
          <w:trHeight w:val="284"/>
        </w:trPr>
        <w:tc>
          <w:tcPr>
            <w:tcW w:w="993" w:type="dxa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30" w:type="dxa"/>
            <w:gridSpan w:val="7"/>
            <w:shd w:val="clear" w:color="auto" w:fill="FFFFFF"/>
          </w:tcPr>
          <w:p w:rsidR="00FB4222" w:rsidRPr="00FB4222" w:rsidRDefault="00FB4222" w:rsidP="00FB422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Uputa:</w:t>
            </w:r>
          </w:p>
          <w:p w:rsidR="00FB4222" w:rsidRPr="00FB4222" w:rsidRDefault="00FB4222" w:rsidP="00FB4222">
            <w:pPr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FB422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lastRenderedPageBreak/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  <w:bookmarkEnd w:id="0"/>
    </w:tbl>
    <w:p w:rsidR="00FB4222" w:rsidRDefault="00FB4222"/>
    <w:sectPr w:rsidR="00FB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F7"/>
    <w:rsid w:val="00041517"/>
    <w:rsid w:val="002A7BE1"/>
    <w:rsid w:val="002D134D"/>
    <w:rsid w:val="004612D3"/>
    <w:rsid w:val="00AD6BD2"/>
    <w:rsid w:val="00F610F7"/>
    <w:rsid w:val="00FB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DC8A-8E4F-4D76-8766-953C538A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FB42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B4222"/>
  </w:style>
  <w:style w:type="paragraph" w:customStyle="1" w:styleId="tb-na18">
    <w:name w:val="tb-na18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roj-d">
    <w:name w:val="broj-d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potpis">
    <w:name w:val="t-9-8-potpis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rsid w:val="00FB4222"/>
  </w:style>
  <w:style w:type="paragraph" w:customStyle="1" w:styleId="prilog">
    <w:name w:val="prilog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sred">
    <w:name w:val="t-12-9-sred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sred">
    <w:name w:val="t-10-9-sred"/>
    <w:basedOn w:val="Normal"/>
    <w:rsid w:val="00FB4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rsid w:val="00FB4222"/>
  </w:style>
  <w:style w:type="paragraph" w:styleId="Odlomakpopisa">
    <w:name w:val="List Paragraph"/>
    <w:basedOn w:val="Normal"/>
    <w:uiPriority w:val="34"/>
    <w:qFormat/>
    <w:rsid w:val="00FB422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B4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FB422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B4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FB422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B42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B422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4222"/>
    <w:pPr>
      <w:spacing w:after="0" w:line="240" w:lineRule="auto"/>
    </w:pPr>
    <w:rPr>
      <w:rFonts w:ascii="Segoe UI" w:eastAsia="Calibri" w:hAnsi="Segoe UI" w:cs="Segoe UI"/>
      <w:sz w:val="18"/>
      <w:szCs w:val="18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422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uiPriority w:val="99"/>
    <w:unhideWhenUsed/>
    <w:rsid w:val="00FB4222"/>
    <w:rPr>
      <w:color w:val="0000FF"/>
      <w:u w:val="single"/>
    </w:rPr>
  </w:style>
  <w:style w:type="character" w:customStyle="1" w:styleId="defaultparagraphfont-000006">
    <w:name w:val="defaultparagraphfont-000006"/>
    <w:rsid w:val="00FB422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0">
    <w:name w:val="zadanifontodlomka"/>
    <w:rsid w:val="00FB422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8">
    <w:name w:val="zadanifontodlomka-000008"/>
    <w:rsid w:val="00FB422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defaultparagraphfont-000011">
    <w:name w:val="defaultparagraphfont-000011"/>
    <w:rsid w:val="00FB4222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normal-000005">
    <w:name w:val="normal-000005"/>
    <w:basedOn w:val="Normal"/>
    <w:rsid w:val="00FB4222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-000005-000044">
    <w:name w:val="normal-000005-000044"/>
    <w:basedOn w:val="Normal"/>
    <w:rsid w:val="00FB4222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danifontodlomka-000047">
    <w:name w:val="zadanifontodlomka-000047"/>
    <w:rsid w:val="00FB422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defaultparagraphfont-000011-000072">
    <w:name w:val="defaultparagraphfont-000011-000072"/>
    <w:rsid w:val="00FB422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07">
    <w:name w:val="zadanifontodlomka-000007"/>
    <w:rsid w:val="00FB422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Referencakomentara">
    <w:name w:val="annotation reference"/>
    <w:uiPriority w:val="99"/>
    <w:semiHidden/>
    <w:unhideWhenUsed/>
    <w:rsid w:val="00FB422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B42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B4222"/>
    <w:rPr>
      <w:rFonts w:ascii="Times New Roman" w:eastAsia="Calibri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B422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B4222"/>
    <w:rPr>
      <w:rFonts w:ascii="Times New Roman" w:eastAsia="Calibri" w:hAnsi="Times New Roman" w:cs="Times New Roman"/>
      <w:b/>
      <w:bCs/>
      <w:sz w:val="20"/>
      <w:szCs w:val="20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FB422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">
    <w:name w:val="Title"/>
    <w:basedOn w:val="Normal"/>
    <w:next w:val="Normal"/>
    <w:link w:val="NaslovChar"/>
    <w:uiPriority w:val="10"/>
    <w:qFormat/>
    <w:rsid w:val="002D13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2D134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go.hr/page/standard-cost-model" TargetMode="External"/><Relationship Id="rId5" Type="http://schemas.openxmlformats.org/officeDocument/2006/relationships/hyperlink" Target="mailto:ana.stojevic@mps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21</Pages>
  <Words>6239</Words>
  <Characters>35565</Characters>
  <Application>Microsoft Office Word</Application>
  <DocSecurity>0</DocSecurity>
  <Lines>296</Lines>
  <Paragraphs>83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stojevic</dc:creator>
  <cp:keywords/>
  <dc:description/>
  <cp:lastModifiedBy>Ana stojevic</cp:lastModifiedBy>
  <cp:revision>3</cp:revision>
  <dcterms:created xsi:type="dcterms:W3CDTF">2022-04-15T09:11:00Z</dcterms:created>
  <dcterms:modified xsi:type="dcterms:W3CDTF">2022-04-15T10:42:00Z</dcterms:modified>
</cp:coreProperties>
</file>