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8D8E7" w14:textId="77777777" w:rsidR="00027AFE" w:rsidRPr="00027AFE" w:rsidRDefault="00027AFE" w:rsidP="00027AFE">
      <w:pPr>
        <w:widowControl w:val="0"/>
        <w:tabs>
          <w:tab w:val="left" w:pos="1134"/>
        </w:tabs>
        <w:autoSpaceDE w:val="0"/>
        <w:autoSpaceDN w:val="0"/>
        <w:jc w:val="center"/>
        <w:rPr>
          <w:b/>
          <w:bCs/>
          <w:lang w:eastAsia="en-GB"/>
        </w:rPr>
      </w:pPr>
      <w:r w:rsidRPr="00027AFE">
        <w:rPr>
          <w:b/>
          <w:bCs/>
          <w:lang w:eastAsia="en-GB"/>
        </w:rPr>
        <w:t>MINISTARSTVO GOSPODARSTVA I ODRŽIVOG RAZVOJA</w:t>
      </w:r>
    </w:p>
    <w:p w14:paraId="1A18D8E8" w14:textId="77777777" w:rsidR="00027AFE" w:rsidRPr="00027AFE" w:rsidRDefault="00027AFE" w:rsidP="00027AFE">
      <w:pPr>
        <w:widowControl w:val="0"/>
        <w:tabs>
          <w:tab w:val="left" w:pos="1134"/>
        </w:tabs>
        <w:autoSpaceDE w:val="0"/>
        <w:autoSpaceDN w:val="0"/>
        <w:jc w:val="center"/>
        <w:rPr>
          <w:b/>
          <w:bCs/>
          <w:lang w:eastAsia="en-GB"/>
        </w:rPr>
      </w:pPr>
    </w:p>
    <w:p w14:paraId="1A18D8E9" w14:textId="77777777" w:rsidR="00027AFE" w:rsidRPr="00027AFE" w:rsidRDefault="00027AFE" w:rsidP="00027AFE">
      <w:pPr>
        <w:widowControl w:val="0"/>
        <w:tabs>
          <w:tab w:val="left" w:pos="1134"/>
        </w:tabs>
        <w:autoSpaceDE w:val="0"/>
        <w:autoSpaceDN w:val="0"/>
        <w:rPr>
          <w:b/>
          <w:bCs/>
          <w:lang w:eastAsia="en-GB"/>
        </w:rPr>
      </w:pPr>
      <w:r w:rsidRPr="00027AFE">
        <w:rPr>
          <w:b/>
          <w:bCs/>
          <w:lang w:eastAsia="en-GB"/>
        </w:rPr>
        <w:t>__________________________________________________________________________</w:t>
      </w:r>
    </w:p>
    <w:p w14:paraId="1A18D8EA" w14:textId="77777777" w:rsidR="00027AFE" w:rsidRPr="00027AFE" w:rsidRDefault="00027AFE" w:rsidP="00027AFE">
      <w:pPr>
        <w:widowControl w:val="0"/>
        <w:tabs>
          <w:tab w:val="left" w:pos="1134"/>
        </w:tabs>
        <w:autoSpaceDE w:val="0"/>
        <w:autoSpaceDN w:val="0"/>
        <w:jc w:val="center"/>
        <w:rPr>
          <w:b/>
          <w:bCs/>
          <w:lang w:eastAsia="en-GB"/>
        </w:rPr>
      </w:pPr>
    </w:p>
    <w:p w14:paraId="1A18D8EB" w14:textId="77777777" w:rsidR="00027AFE" w:rsidRPr="00027AFE" w:rsidRDefault="00027AFE" w:rsidP="00027AFE">
      <w:pPr>
        <w:widowControl w:val="0"/>
        <w:tabs>
          <w:tab w:val="left" w:pos="1134"/>
        </w:tabs>
        <w:autoSpaceDE w:val="0"/>
        <w:autoSpaceDN w:val="0"/>
        <w:jc w:val="center"/>
        <w:rPr>
          <w:b/>
          <w:bCs/>
          <w:lang w:eastAsia="en-GB"/>
        </w:rPr>
      </w:pPr>
    </w:p>
    <w:p w14:paraId="1A18D8EC" w14:textId="77777777" w:rsidR="00027AFE" w:rsidRPr="00027AFE" w:rsidRDefault="00027AFE" w:rsidP="00027AFE">
      <w:pPr>
        <w:widowControl w:val="0"/>
        <w:tabs>
          <w:tab w:val="left" w:pos="1134"/>
        </w:tabs>
        <w:autoSpaceDE w:val="0"/>
        <w:autoSpaceDN w:val="0"/>
        <w:jc w:val="center"/>
        <w:rPr>
          <w:b/>
          <w:bCs/>
          <w:lang w:eastAsia="en-GB"/>
        </w:rPr>
      </w:pPr>
    </w:p>
    <w:p w14:paraId="1A18D8ED" w14:textId="77777777" w:rsidR="00027AFE" w:rsidRPr="00027AFE" w:rsidRDefault="00027AFE" w:rsidP="00027AFE">
      <w:pPr>
        <w:widowControl w:val="0"/>
        <w:tabs>
          <w:tab w:val="left" w:pos="1134"/>
        </w:tabs>
        <w:autoSpaceDE w:val="0"/>
        <w:autoSpaceDN w:val="0"/>
        <w:jc w:val="center"/>
        <w:rPr>
          <w:b/>
          <w:bCs/>
          <w:lang w:eastAsia="en-GB"/>
        </w:rPr>
      </w:pPr>
    </w:p>
    <w:p w14:paraId="1A18D8EE" w14:textId="77777777" w:rsidR="00027AFE" w:rsidRPr="00027AFE" w:rsidRDefault="00027AFE" w:rsidP="00027AFE">
      <w:pPr>
        <w:widowControl w:val="0"/>
        <w:tabs>
          <w:tab w:val="left" w:pos="1134"/>
        </w:tabs>
        <w:autoSpaceDE w:val="0"/>
        <w:autoSpaceDN w:val="0"/>
        <w:jc w:val="center"/>
        <w:rPr>
          <w:b/>
          <w:bCs/>
          <w:lang w:eastAsia="en-GB"/>
        </w:rPr>
      </w:pPr>
    </w:p>
    <w:p w14:paraId="1A18D8EF" w14:textId="77777777" w:rsidR="00027AFE" w:rsidRPr="00027AFE" w:rsidRDefault="00027AFE" w:rsidP="00027AFE">
      <w:pPr>
        <w:widowControl w:val="0"/>
        <w:tabs>
          <w:tab w:val="left" w:pos="1134"/>
        </w:tabs>
        <w:autoSpaceDE w:val="0"/>
        <w:autoSpaceDN w:val="0"/>
        <w:jc w:val="center"/>
        <w:rPr>
          <w:b/>
          <w:bCs/>
          <w:lang w:eastAsia="en-GB"/>
        </w:rPr>
      </w:pPr>
    </w:p>
    <w:p w14:paraId="1A18D8F0" w14:textId="77777777" w:rsidR="00027AFE" w:rsidRPr="00027AFE" w:rsidRDefault="00027AFE" w:rsidP="00027AFE">
      <w:pPr>
        <w:widowControl w:val="0"/>
        <w:tabs>
          <w:tab w:val="left" w:pos="1134"/>
        </w:tabs>
        <w:autoSpaceDE w:val="0"/>
        <w:autoSpaceDN w:val="0"/>
        <w:jc w:val="center"/>
        <w:rPr>
          <w:b/>
          <w:bCs/>
          <w:lang w:eastAsia="en-GB"/>
        </w:rPr>
      </w:pPr>
    </w:p>
    <w:p w14:paraId="1A18D8F1" w14:textId="77777777" w:rsidR="00027AFE" w:rsidRPr="00027AFE" w:rsidRDefault="00027AFE" w:rsidP="00027AFE">
      <w:pPr>
        <w:widowControl w:val="0"/>
        <w:tabs>
          <w:tab w:val="left" w:pos="1134"/>
        </w:tabs>
        <w:autoSpaceDE w:val="0"/>
        <w:autoSpaceDN w:val="0"/>
        <w:jc w:val="center"/>
        <w:rPr>
          <w:b/>
          <w:bCs/>
          <w:lang w:eastAsia="en-GB"/>
        </w:rPr>
      </w:pPr>
    </w:p>
    <w:p w14:paraId="1A18D8F2" w14:textId="77777777" w:rsidR="00027AFE" w:rsidRPr="00027AFE" w:rsidRDefault="00027AFE" w:rsidP="00027AFE">
      <w:pPr>
        <w:widowControl w:val="0"/>
        <w:tabs>
          <w:tab w:val="left" w:pos="1134"/>
        </w:tabs>
        <w:autoSpaceDE w:val="0"/>
        <w:autoSpaceDN w:val="0"/>
        <w:jc w:val="center"/>
        <w:rPr>
          <w:b/>
          <w:bCs/>
          <w:lang w:eastAsia="en-GB"/>
        </w:rPr>
      </w:pPr>
    </w:p>
    <w:p w14:paraId="1A18D8F3" w14:textId="77777777" w:rsidR="00027AFE" w:rsidRPr="00027AFE" w:rsidRDefault="00027AFE" w:rsidP="00027AFE">
      <w:pPr>
        <w:widowControl w:val="0"/>
        <w:tabs>
          <w:tab w:val="left" w:pos="1134"/>
        </w:tabs>
        <w:autoSpaceDE w:val="0"/>
        <w:autoSpaceDN w:val="0"/>
        <w:jc w:val="center"/>
        <w:rPr>
          <w:b/>
          <w:bCs/>
          <w:lang w:eastAsia="en-GB"/>
        </w:rPr>
      </w:pPr>
    </w:p>
    <w:p w14:paraId="1A18D8F4" w14:textId="77777777" w:rsidR="00027AFE" w:rsidRPr="00027AFE" w:rsidRDefault="00027AFE" w:rsidP="00027AFE">
      <w:pPr>
        <w:widowControl w:val="0"/>
        <w:tabs>
          <w:tab w:val="left" w:pos="1134"/>
        </w:tabs>
        <w:autoSpaceDE w:val="0"/>
        <w:autoSpaceDN w:val="0"/>
        <w:jc w:val="center"/>
        <w:rPr>
          <w:b/>
          <w:bCs/>
          <w:lang w:eastAsia="en-GB"/>
        </w:rPr>
      </w:pPr>
    </w:p>
    <w:p w14:paraId="1A18D8F5" w14:textId="77777777" w:rsidR="00027AFE" w:rsidRPr="00027AFE" w:rsidRDefault="00027AFE" w:rsidP="00027AFE">
      <w:pPr>
        <w:widowControl w:val="0"/>
        <w:tabs>
          <w:tab w:val="left" w:pos="1134"/>
        </w:tabs>
        <w:autoSpaceDE w:val="0"/>
        <w:autoSpaceDN w:val="0"/>
        <w:jc w:val="center"/>
        <w:rPr>
          <w:b/>
          <w:bCs/>
          <w:lang w:eastAsia="en-GB"/>
        </w:rPr>
      </w:pPr>
    </w:p>
    <w:p w14:paraId="1A18D8F6" w14:textId="77777777" w:rsidR="00027AFE" w:rsidRPr="00027AFE" w:rsidRDefault="00027AFE" w:rsidP="00027AFE">
      <w:pPr>
        <w:widowControl w:val="0"/>
        <w:tabs>
          <w:tab w:val="left" w:pos="1134"/>
        </w:tabs>
        <w:autoSpaceDE w:val="0"/>
        <w:autoSpaceDN w:val="0"/>
        <w:jc w:val="center"/>
        <w:rPr>
          <w:b/>
          <w:bCs/>
          <w:lang w:eastAsia="en-GB"/>
        </w:rPr>
      </w:pPr>
    </w:p>
    <w:p w14:paraId="1A18D8F7" w14:textId="77777777" w:rsidR="00027AFE" w:rsidRPr="00027AFE" w:rsidRDefault="00027AFE" w:rsidP="00027AFE">
      <w:pPr>
        <w:widowControl w:val="0"/>
        <w:tabs>
          <w:tab w:val="left" w:pos="1134"/>
        </w:tabs>
        <w:autoSpaceDE w:val="0"/>
        <w:autoSpaceDN w:val="0"/>
        <w:jc w:val="center"/>
        <w:rPr>
          <w:b/>
          <w:bCs/>
          <w:lang w:eastAsia="en-GB"/>
        </w:rPr>
      </w:pPr>
    </w:p>
    <w:p w14:paraId="1A18D8F8" w14:textId="77777777" w:rsidR="00027AFE" w:rsidRPr="00027AFE" w:rsidRDefault="00027AFE" w:rsidP="00027AFE">
      <w:pPr>
        <w:widowControl w:val="0"/>
        <w:tabs>
          <w:tab w:val="left" w:pos="1134"/>
        </w:tabs>
        <w:autoSpaceDE w:val="0"/>
        <w:autoSpaceDN w:val="0"/>
        <w:jc w:val="center"/>
        <w:rPr>
          <w:b/>
          <w:bCs/>
          <w:lang w:eastAsia="en-GB"/>
        </w:rPr>
      </w:pPr>
    </w:p>
    <w:p w14:paraId="1A18D8F9" w14:textId="77777777" w:rsidR="00027AFE" w:rsidRPr="00027AFE" w:rsidRDefault="00027AFE" w:rsidP="00027AFE">
      <w:pPr>
        <w:widowControl w:val="0"/>
        <w:tabs>
          <w:tab w:val="left" w:pos="1134"/>
        </w:tabs>
        <w:autoSpaceDE w:val="0"/>
        <w:autoSpaceDN w:val="0"/>
        <w:jc w:val="center"/>
        <w:rPr>
          <w:b/>
          <w:bCs/>
          <w:lang w:eastAsia="en-GB"/>
        </w:rPr>
      </w:pPr>
      <w:r w:rsidRPr="00027AFE">
        <w:rPr>
          <w:b/>
          <w:bCs/>
          <w:lang w:eastAsia="en-GB"/>
        </w:rPr>
        <w:t xml:space="preserve">Prijedlog </w:t>
      </w:r>
      <w:r w:rsidR="008B12EA">
        <w:rPr>
          <w:b/>
          <w:bCs/>
          <w:lang w:eastAsia="en-GB"/>
        </w:rPr>
        <w:t>Šestog</w:t>
      </w:r>
      <w:r w:rsidR="008B12EA" w:rsidRPr="00027AFE">
        <w:rPr>
          <w:b/>
          <w:bCs/>
          <w:lang w:eastAsia="en-GB"/>
        </w:rPr>
        <w:t xml:space="preserve"> </w:t>
      </w:r>
      <w:r w:rsidRPr="00027AFE">
        <w:rPr>
          <w:b/>
          <w:bCs/>
          <w:lang w:eastAsia="en-GB"/>
        </w:rPr>
        <w:t xml:space="preserve">izvješća o provedbi Stockholmske konvencije o postojanim organskim onečišćujućim tvarima u Republici Hrvatskoj za razdoblje siječanj </w:t>
      </w:r>
      <w:r w:rsidR="008B12EA">
        <w:rPr>
          <w:b/>
          <w:bCs/>
          <w:lang w:eastAsia="en-GB"/>
        </w:rPr>
        <w:t>2020</w:t>
      </w:r>
      <w:r w:rsidRPr="00027AFE">
        <w:rPr>
          <w:b/>
          <w:bCs/>
          <w:lang w:eastAsia="en-GB"/>
        </w:rPr>
        <w:t xml:space="preserve">. – prosinac </w:t>
      </w:r>
      <w:r w:rsidR="008B12EA">
        <w:rPr>
          <w:b/>
          <w:bCs/>
          <w:lang w:eastAsia="en-GB"/>
        </w:rPr>
        <w:t>2021</w:t>
      </w:r>
      <w:r w:rsidRPr="00027AFE">
        <w:rPr>
          <w:b/>
          <w:bCs/>
          <w:lang w:eastAsia="en-GB"/>
        </w:rPr>
        <w:t>. godine</w:t>
      </w:r>
      <w:r>
        <w:rPr>
          <w:b/>
          <w:bCs/>
          <w:lang w:eastAsia="en-GB"/>
        </w:rPr>
        <w:t xml:space="preserve">, </w:t>
      </w:r>
      <w:r w:rsidRPr="00027AFE">
        <w:rPr>
          <w:b/>
          <w:bCs/>
          <w:lang w:eastAsia="en-GB"/>
        </w:rPr>
        <w:t>s Prijedlogom Zaključka</w:t>
      </w:r>
    </w:p>
    <w:p w14:paraId="1A18D8FA" w14:textId="77777777" w:rsidR="00027AFE" w:rsidRPr="00027AFE" w:rsidRDefault="00027AFE" w:rsidP="00027AFE">
      <w:pPr>
        <w:widowControl w:val="0"/>
        <w:tabs>
          <w:tab w:val="left" w:pos="1134"/>
        </w:tabs>
        <w:autoSpaceDE w:val="0"/>
        <w:autoSpaceDN w:val="0"/>
        <w:jc w:val="center"/>
        <w:rPr>
          <w:b/>
          <w:bCs/>
          <w:lang w:eastAsia="en-GB"/>
        </w:rPr>
      </w:pPr>
    </w:p>
    <w:p w14:paraId="1A18D8FB" w14:textId="77777777" w:rsidR="00027AFE" w:rsidRPr="00027AFE" w:rsidRDefault="00027AFE" w:rsidP="00027AFE">
      <w:pPr>
        <w:widowControl w:val="0"/>
        <w:tabs>
          <w:tab w:val="left" w:pos="1134"/>
        </w:tabs>
        <w:autoSpaceDE w:val="0"/>
        <w:autoSpaceDN w:val="0"/>
        <w:jc w:val="center"/>
        <w:rPr>
          <w:b/>
          <w:bCs/>
          <w:lang w:eastAsia="en-GB"/>
        </w:rPr>
      </w:pPr>
    </w:p>
    <w:p w14:paraId="1A18D8FC" w14:textId="77777777" w:rsidR="00027AFE" w:rsidRPr="00027AFE" w:rsidRDefault="00027AFE" w:rsidP="00027AFE">
      <w:pPr>
        <w:widowControl w:val="0"/>
        <w:tabs>
          <w:tab w:val="left" w:pos="1134"/>
        </w:tabs>
        <w:autoSpaceDE w:val="0"/>
        <w:autoSpaceDN w:val="0"/>
        <w:jc w:val="center"/>
        <w:rPr>
          <w:b/>
          <w:bCs/>
          <w:lang w:eastAsia="en-GB"/>
        </w:rPr>
      </w:pPr>
    </w:p>
    <w:p w14:paraId="1A18D8FD" w14:textId="77777777" w:rsidR="00027AFE" w:rsidRPr="00027AFE" w:rsidRDefault="00027AFE" w:rsidP="00027AFE">
      <w:pPr>
        <w:widowControl w:val="0"/>
        <w:tabs>
          <w:tab w:val="left" w:pos="1134"/>
        </w:tabs>
        <w:autoSpaceDE w:val="0"/>
        <w:autoSpaceDN w:val="0"/>
        <w:jc w:val="center"/>
        <w:rPr>
          <w:b/>
          <w:bCs/>
          <w:lang w:eastAsia="en-GB"/>
        </w:rPr>
      </w:pPr>
    </w:p>
    <w:p w14:paraId="1A18D8FE" w14:textId="77777777" w:rsidR="00027AFE" w:rsidRPr="00027AFE" w:rsidRDefault="00027AFE" w:rsidP="00027AFE">
      <w:pPr>
        <w:widowControl w:val="0"/>
        <w:tabs>
          <w:tab w:val="left" w:pos="1134"/>
        </w:tabs>
        <w:autoSpaceDE w:val="0"/>
        <w:autoSpaceDN w:val="0"/>
        <w:jc w:val="center"/>
        <w:rPr>
          <w:b/>
          <w:bCs/>
          <w:lang w:eastAsia="en-GB"/>
        </w:rPr>
      </w:pPr>
    </w:p>
    <w:p w14:paraId="1A18D8FF" w14:textId="77777777" w:rsidR="00027AFE" w:rsidRPr="00027AFE" w:rsidRDefault="00027AFE" w:rsidP="00027AFE">
      <w:pPr>
        <w:widowControl w:val="0"/>
        <w:tabs>
          <w:tab w:val="left" w:pos="1134"/>
        </w:tabs>
        <w:autoSpaceDE w:val="0"/>
        <w:autoSpaceDN w:val="0"/>
        <w:jc w:val="center"/>
        <w:rPr>
          <w:b/>
          <w:bCs/>
          <w:lang w:eastAsia="en-GB"/>
        </w:rPr>
      </w:pPr>
    </w:p>
    <w:p w14:paraId="1A18D900" w14:textId="77777777" w:rsidR="00027AFE" w:rsidRPr="00027AFE" w:rsidRDefault="00027AFE" w:rsidP="00027AFE">
      <w:pPr>
        <w:widowControl w:val="0"/>
        <w:tabs>
          <w:tab w:val="left" w:pos="1134"/>
        </w:tabs>
        <w:autoSpaceDE w:val="0"/>
        <w:autoSpaceDN w:val="0"/>
        <w:jc w:val="center"/>
        <w:rPr>
          <w:b/>
          <w:bCs/>
          <w:lang w:eastAsia="en-GB"/>
        </w:rPr>
      </w:pPr>
    </w:p>
    <w:p w14:paraId="1A18D901" w14:textId="77777777" w:rsidR="00027AFE" w:rsidRPr="00027AFE" w:rsidRDefault="00027AFE" w:rsidP="00027AFE">
      <w:pPr>
        <w:widowControl w:val="0"/>
        <w:tabs>
          <w:tab w:val="left" w:pos="1134"/>
        </w:tabs>
        <w:autoSpaceDE w:val="0"/>
        <w:autoSpaceDN w:val="0"/>
        <w:jc w:val="center"/>
        <w:rPr>
          <w:b/>
          <w:bCs/>
          <w:lang w:eastAsia="en-GB"/>
        </w:rPr>
      </w:pPr>
    </w:p>
    <w:p w14:paraId="1A18D902" w14:textId="77777777" w:rsidR="00027AFE" w:rsidRPr="00027AFE" w:rsidRDefault="00027AFE" w:rsidP="00027AFE">
      <w:pPr>
        <w:widowControl w:val="0"/>
        <w:tabs>
          <w:tab w:val="left" w:pos="1134"/>
        </w:tabs>
        <w:autoSpaceDE w:val="0"/>
        <w:autoSpaceDN w:val="0"/>
        <w:jc w:val="center"/>
        <w:rPr>
          <w:b/>
          <w:bCs/>
          <w:lang w:eastAsia="en-GB"/>
        </w:rPr>
      </w:pPr>
    </w:p>
    <w:p w14:paraId="1A18D903" w14:textId="77777777" w:rsidR="00027AFE" w:rsidRPr="00027AFE" w:rsidRDefault="00027AFE" w:rsidP="00027AFE">
      <w:pPr>
        <w:widowControl w:val="0"/>
        <w:tabs>
          <w:tab w:val="left" w:pos="1134"/>
        </w:tabs>
        <w:autoSpaceDE w:val="0"/>
        <w:autoSpaceDN w:val="0"/>
        <w:jc w:val="center"/>
        <w:rPr>
          <w:b/>
          <w:bCs/>
          <w:lang w:eastAsia="en-GB"/>
        </w:rPr>
      </w:pPr>
    </w:p>
    <w:p w14:paraId="1A18D904" w14:textId="77777777" w:rsidR="00027AFE" w:rsidRPr="00027AFE" w:rsidRDefault="00027AFE" w:rsidP="00027AFE">
      <w:pPr>
        <w:widowControl w:val="0"/>
        <w:tabs>
          <w:tab w:val="left" w:pos="1134"/>
        </w:tabs>
        <w:autoSpaceDE w:val="0"/>
        <w:autoSpaceDN w:val="0"/>
        <w:jc w:val="center"/>
        <w:rPr>
          <w:b/>
          <w:bCs/>
          <w:lang w:eastAsia="en-GB"/>
        </w:rPr>
      </w:pPr>
    </w:p>
    <w:p w14:paraId="1A18D905" w14:textId="77777777" w:rsidR="00027AFE" w:rsidRPr="00027AFE" w:rsidRDefault="00027AFE" w:rsidP="00027AFE">
      <w:pPr>
        <w:widowControl w:val="0"/>
        <w:tabs>
          <w:tab w:val="left" w:pos="1134"/>
        </w:tabs>
        <w:autoSpaceDE w:val="0"/>
        <w:autoSpaceDN w:val="0"/>
        <w:jc w:val="center"/>
        <w:rPr>
          <w:b/>
          <w:bCs/>
          <w:lang w:eastAsia="en-GB"/>
        </w:rPr>
      </w:pPr>
    </w:p>
    <w:p w14:paraId="1A18D906" w14:textId="77777777" w:rsidR="00027AFE" w:rsidRPr="00027AFE" w:rsidRDefault="00027AFE" w:rsidP="00027AFE">
      <w:pPr>
        <w:widowControl w:val="0"/>
        <w:tabs>
          <w:tab w:val="left" w:pos="1134"/>
        </w:tabs>
        <w:autoSpaceDE w:val="0"/>
        <w:autoSpaceDN w:val="0"/>
        <w:jc w:val="center"/>
        <w:rPr>
          <w:b/>
          <w:bCs/>
          <w:lang w:eastAsia="en-GB"/>
        </w:rPr>
      </w:pPr>
    </w:p>
    <w:p w14:paraId="1A18D907" w14:textId="77777777" w:rsidR="00027AFE" w:rsidRPr="00027AFE" w:rsidRDefault="00027AFE" w:rsidP="00027AFE">
      <w:pPr>
        <w:widowControl w:val="0"/>
        <w:tabs>
          <w:tab w:val="left" w:pos="1134"/>
        </w:tabs>
        <w:autoSpaceDE w:val="0"/>
        <w:autoSpaceDN w:val="0"/>
        <w:jc w:val="center"/>
        <w:rPr>
          <w:b/>
          <w:bCs/>
          <w:lang w:eastAsia="en-GB"/>
        </w:rPr>
      </w:pPr>
    </w:p>
    <w:p w14:paraId="1A18D908" w14:textId="77777777" w:rsidR="00027AFE" w:rsidRPr="00027AFE" w:rsidRDefault="00027AFE" w:rsidP="00027AFE">
      <w:pPr>
        <w:widowControl w:val="0"/>
        <w:tabs>
          <w:tab w:val="left" w:pos="1134"/>
        </w:tabs>
        <w:autoSpaceDE w:val="0"/>
        <w:autoSpaceDN w:val="0"/>
        <w:jc w:val="center"/>
        <w:rPr>
          <w:b/>
          <w:bCs/>
          <w:lang w:eastAsia="en-GB"/>
        </w:rPr>
      </w:pPr>
    </w:p>
    <w:p w14:paraId="1A18D909" w14:textId="77777777" w:rsidR="00027AFE" w:rsidRPr="00027AFE" w:rsidRDefault="00027AFE" w:rsidP="00027AFE">
      <w:pPr>
        <w:widowControl w:val="0"/>
        <w:tabs>
          <w:tab w:val="left" w:pos="1134"/>
        </w:tabs>
        <w:autoSpaceDE w:val="0"/>
        <w:autoSpaceDN w:val="0"/>
        <w:jc w:val="center"/>
        <w:rPr>
          <w:b/>
          <w:bCs/>
          <w:lang w:eastAsia="en-GB"/>
        </w:rPr>
      </w:pPr>
    </w:p>
    <w:p w14:paraId="1A18D90A" w14:textId="77777777" w:rsidR="00027AFE" w:rsidRPr="00027AFE" w:rsidRDefault="00027AFE" w:rsidP="00027AFE">
      <w:pPr>
        <w:widowControl w:val="0"/>
        <w:tabs>
          <w:tab w:val="left" w:pos="1134"/>
        </w:tabs>
        <w:autoSpaceDE w:val="0"/>
        <w:autoSpaceDN w:val="0"/>
        <w:jc w:val="center"/>
        <w:rPr>
          <w:b/>
          <w:bCs/>
          <w:lang w:eastAsia="en-GB"/>
        </w:rPr>
      </w:pPr>
    </w:p>
    <w:p w14:paraId="1A18D90B" w14:textId="77777777" w:rsidR="00027AFE" w:rsidRPr="00027AFE" w:rsidRDefault="00027AFE" w:rsidP="00027AFE">
      <w:pPr>
        <w:widowControl w:val="0"/>
        <w:tabs>
          <w:tab w:val="left" w:pos="1134"/>
        </w:tabs>
        <w:autoSpaceDE w:val="0"/>
        <w:autoSpaceDN w:val="0"/>
        <w:jc w:val="center"/>
        <w:rPr>
          <w:b/>
          <w:bCs/>
          <w:lang w:eastAsia="en-GB"/>
        </w:rPr>
      </w:pPr>
    </w:p>
    <w:p w14:paraId="1A18D90C" w14:textId="77777777" w:rsidR="00027AFE" w:rsidRPr="00027AFE" w:rsidRDefault="00027AFE" w:rsidP="00027AFE">
      <w:pPr>
        <w:widowControl w:val="0"/>
        <w:tabs>
          <w:tab w:val="left" w:pos="1134"/>
        </w:tabs>
        <w:autoSpaceDE w:val="0"/>
        <w:autoSpaceDN w:val="0"/>
        <w:jc w:val="center"/>
        <w:rPr>
          <w:b/>
          <w:bCs/>
          <w:lang w:eastAsia="en-GB"/>
        </w:rPr>
      </w:pPr>
    </w:p>
    <w:p w14:paraId="1A18D90D" w14:textId="77777777" w:rsidR="00027AFE" w:rsidRPr="00027AFE" w:rsidRDefault="00027AFE" w:rsidP="00027AFE">
      <w:pPr>
        <w:widowControl w:val="0"/>
        <w:tabs>
          <w:tab w:val="left" w:pos="1134"/>
        </w:tabs>
        <w:autoSpaceDE w:val="0"/>
        <w:autoSpaceDN w:val="0"/>
        <w:jc w:val="center"/>
        <w:rPr>
          <w:b/>
          <w:bCs/>
          <w:lang w:eastAsia="en-GB"/>
        </w:rPr>
      </w:pPr>
    </w:p>
    <w:p w14:paraId="1A18D90E" w14:textId="77777777" w:rsidR="00027AFE" w:rsidRPr="00027AFE" w:rsidRDefault="00027AFE" w:rsidP="00027AFE">
      <w:pPr>
        <w:widowControl w:val="0"/>
        <w:tabs>
          <w:tab w:val="left" w:pos="1134"/>
        </w:tabs>
        <w:autoSpaceDE w:val="0"/>
        <w:autoSpaceDN w:val="0"/>
        <w:jc w:val="center"/>
        <w:rPr>
          <w:b/>
          <w:bCs/>
          <w:lang w:eastAsia="en-GB"/>
        </w:rPr>
      </w:pPr>
    </w:p>
    <w:p w14:paraId="1A18D90F" w14:textId="77777777" w:rsidR="00027AFE" w:rsidRPr="00027AFE" w:rsidRDefault="00027AFE" w:rsidP="00027AFE">
      <w:pPr>
        <w:widowControl w:val="0"/>
        <w:tabs>
          <w:tab w:val="left" w:pos="1134"/>
        </w:tabs>
        <w:autoSpaceDE w:val="0"/>
        <w:autoSpaceDN w:val="0"/>
        <w:jc w:val="center"/>
        <w:rPr>
          <w:b/>
          <w:bCs/>
          <w:lang w:eastAsia="en-GB"/>
        </w:rPr>
      </w:pPr>
    </w:p>
    <w:p w14:paraId="1A18D910" w14:textId="77777777" w:rsidR="00027AFE" w:rsidRPr="00027AFE" w:rsidRDefault="00027AFE" w:rsidP="00AA730B">
      <w:pPr>
        <w:widowControl w:val="0"/>
        <w:tabs>
          <w:tab w:val="left" w:pos="1134"/>
        </w:tabs>
        <w:autoSpaceDE w:val="0"/>
        <w:autoSpaceDN w:val="0"/>
        <w:rPr>
          <w:b/>
          <w:bCs/>
          <w:lang w:eastAsia="en-GB"/>
        </w:rPr>
      </w:pPr>
    </w:p>
    <w:p w14:paraId="1A18D911" w14:textId="77777777" w:rsidR="00027AFE" w:rsidRPr="00027AFE" w:rsidRDefault="00027AFE" w:rsidP="00027AFE">
      <w:pPr>
        <w:widowControl w:val="0"/>
        <w:tabs>
          <w:tab w:val="left" w:pos="1134"/>
        </w:tabs>
        <w:autoSpaceDE w:val="0"/>
        <w:autoSpaceDN w:val="0"/>
        <w:jc w:val="center"/>
        <w:rPr>
          <w:b/>
          <w:bCs/>
          <w:lang w:eastAsia="en-GB"/>
        </w:rPr>
      </w:pPr>
    </w:p>
    <w:p w14:paraId="1A18D912" w14:textId="77777777" w:rsidR="00027AFE" w:rsidRPr="00027AFE" w:rsidRDefault="00027AFE" w:rsidP="00027AFE">
      <w:pPr>
        <w:widowControl w:val="0"/>
        <w:tabs>
          <w:tab w:val="left" w:pos="1134"/>
        </w:tabs>
        <w:autoSpaceDE w:val="0"/>
        <w:autoSpaceDN w:val="0"/>
        <w:jc w:val="center"/>
        <w:rPr>
          <w:b/>
          <w:bCs/>
          <w:lang w:eastAsia="en-GB"/>
        </w:rPr>
      </w:pPr>
    </w:p>
    <w:p w14:paraId="1A18D913" w14:textId="77777777" w:rsidR="00027AFE" w:rsidRPr="00027AFE" w:rsidRDefault="00027AFE" w:rsidP="00027AFE">
      <w:pPr>
        <w:widowControl w:val="0"/>
        <w:tabs>
          <w:tab w:val="left" w:pos="1134"/>
        </w:tabs>
        <w:autoSpaceDE w:val="0"/>
        <w:autoSpaceDN w:val="0"/>
        <w:rPr>
          <w:b/>
          <w:bCs/>
          <w:lang w:eastAsia="en-GB"/>
        </w:rPr>
      </w:pPr>
      <w:r w:rsidRPr="00027AFE">
        <w:rPr>
          <w:b/>
          <w:bCs/>
          <w:lang w:eastAsia="en-GB"/>
        </w:rPr>
        <w:t>___________________________________________________________________________</w:t>
      </w:r>
    </w:p>
    <w:p w14:paraId="1A18D915" w14:textId="2B672CF5" w:rsidR="006339DE" w:rsidRPr="006339DE" w:rsidRDefault="00027AFE" w:rsidP="006339DE">
      <w:pPr>
        <w:spacing w:after="200" w:line="276" w:lineRule="auto"/>
        <w:jc w:val="center"/>
        <w:rPr>
          <w:rFonts w:eastAsia="Calibri"/>
          <w:b/>
        </w:rPr>
      </w:pPr>
      <w:r w:rsidRPr="00027AFE">
        <w:rPr>
          <w:b/>
          <w:bCs/>
          <w:lang w:eastAsia="en-GB"/>
        </w:rPr>
        <w:t xml:space="preserve">Zagreb, </w:t>
      </w:r>
      <w:r w:rsidR="00AA730B">
        <w:rPr>
          <w:b/>
          <w:bCs/>
          <w:lang w:eastAsia="en-GB"/>
        </w:rPr>
        <w:t>svibanj</w:t>
      </w:r>
      <w:r w:rsidRPr="00027AFE">
        <w:rPr>
          <w:b/>
          <w:bCs/>
          <w:lang w:eastAsia="en-GB"/>
        </w:rPr>
        <w:t xml:space="preserve"> </w:t>
      </w:r>
      <w:r w:rsidR="008B12EA">
        <w:rPr>
          <w:b/>
          <w:bCs/>
          <w:lang w:eastAsia="en-GB"/>
        </w:rPr>
        <w:t>2022</w:t>
      </w:r>
      <w:r w:rsidR="00CD4923">
        <w:rPr>
          <w:b/>
          <w:bCs/>
          <w:lang w:eastAsia="en-GB"/>
        </w:rPr>
        <w:t>.</w:t>
      </w:r>
    </w:p>
    <w:p w14:paraId="1C390D36" w14:textId="77777777" w:rsidR="006339DE" w:rsidRPr="006339DE" w:rsidRDefault="006339DE" w:rsidP="006339DE">
      <w:pPr>
        <w:spacing w:line="240" w:lineRule="auto"/>
        <w:ind w:left="5664" w:firstLine="708"/>
        <w:jc w:val="right"/>
      </w:pPr>
      <w:r w:rsidRPr="006339DE">
        <w:lastRenderedPageBreak/>
        <w:t>P R I  J E D L O G</w:t>
      </w:r>
    </w:p>
    <w:p w14:paraId="53BC94F3" w14:textId="77777777" w:rsidR="006339DE" w:rsidRPr="006339DE" w:rsidRDefault="006339DE" w:rsidP="006339DE">
      <w:pPr>
        <w:spacing w:line="240" w:lineRule="auto"/>
        <w:jc w:val="left"/>
      </w:pPr>
    </w:p>
    <w:p w14:paraId="04AB214C" w14:textId="77777777" w:rsidR="006339DE" w:rsidRPr="006339DE" w:rsidRDefault="006339DE" w:rsidP="006339DE">
      <w:pPr>
        <w:spacing w:line="240" w:lineRule="auto"/>
        <w:jc w:val="center"/>
      </w:pPr>
    </w:p>
    <w:p w14:paraId="34290D1E" w14:textId="77777777" w:rsidR="006339DE" w:rsidRPr="006339DE" w:rsidRDefault="006339DE" w:rsidP="006339DE">
      <w:pPr>
        <w:spacing w:line="240" w:lineRule="auto"/>
        <w:jc w:val="center"/>
      </w:pPr>
      <w:r w:rsidRPr="006339DE">
        <w:t>VLADA REPUBLIKE HRVATSKE</w:t>
      </w:r>
    </w:p>
    <w:p w14:paraId="25E90DB1" w14:textId="77777777" w:rsidR="006339DE" w:rsidRPr="006339DE" w:rsidRDefault="006339DE" w:rsidP="006339DE">
      <w:pPr>
        <w:spacing w:line="240" w:lineRule="auto"/>
        <w:jc w:val="left"/>
      </w:pPr>
    </w:p>
    <w:p w14:paraId="78BF1850" w14:textId="4E370860" w:rsidR="006339DE" w:rsidRPr="006339DE" w:rsidRDefault="006339DE" w:rsidP="006339DE">
      <w:pPr>
        <w:spacing w:line="240" w:lineRule="auto"/>
        <w:ind w:firstLine="708"/>
        <w:jc w:val="center"/>
      </w:pPr>
    </w:p>
    <w:p w14:paraId="5614AD2C" w14:textId="77777777" w:rsidR="006339DE" w:rsidRPr="006339DE" w:rsidRDefault="006339DE" w:rsidP="006339DE">
      <w:pPr>
        <w:spacing w:line="240" w:lineRule="auto"/>
        <w:ind w:firstLine="708"/>
        <w:jc w:val="center"/>
      </w:pPr>
    </w:p>
    <w:p w14:paraId="7244516A" w14:textId="66FD89C2" w:rsidR="006339DE" w:rsidRPr="006339DE" w:rsidRDefault="006339DE" w:rsidP="00FB01B7">
      <w:pPr>
        <w:spacing w:line="240" w:lineRule="auto"/>
        <w:ind w:firstLine="708"/>
      </w:pPr>
      <w:r w:rsidRPr="006339DE">
        <w:t>Na temelju članka 31. stavka 3. Zakona o Vladi Republike Hrvatske (Narodne novine, br. 150/11, 119/14, 93/16 i 116/18), a u vezi s točkom II Odluke o Prihvaćanju Drugog nacionalnog plana za provedbu Stockholmske konvencije o postojanim organskim onečišćujućim tvarima u Republici Hrvatskoj (Narodne novine, broj 62/16)</w:t>
      </w:r>
      <w:r>
        <w:t xml:space="preserve"> i </w:t>
      </w:r>
      <w:r w:rsidRPr="006339DE">
        <w:t>točkom II Odluke</w:t>
      </w:r>
      <w:r>
        <w:t xml:space="preserve"> </w:t>
      </w:r>
      <w:r w:rsidR="00FB01B7">
        <w:t>o donošenju Trećeg nacionalnog plana za provedbu Stockholmske konvencije o postojanim organskim onečišćujućim tvarima u Republici Hrvatskoj</w:t>
      </w:r>
      <w:r w:rsidRPr="006339DE">
        <w:t>, Vlada Republike Hrvatske je na sjednici održanoj _________ 202</w:t>
      </w:r>
      <w:r w:rsidR="00FB01B7">
        <w:t>2</w:t>
      </w:r>
      <w:r w:rsidRPr="006339DE">
        <w:t>. godine donijela</w:t>
      </w:r>
    </w:p>
    <w:p w14:paraId="41F446F2" w14:textId="77777777" w:rsidR="006339DE" w:rsidRPr="006339DE" w:rsidRDefault="006339DE" w:rsidP="006339DE">
      <w:pPr>
        <w:spacing w:line="240" w:lineRule="auto"/>
        <w:jc w:val="left"/>
      </w:pPr>
    </w:p>
    <w:p w14:paraId="53527A12" w14:textId="77777777" w:rsidR="006339DE" w:rsidRPr="006339DE" w:rsidRDefault="006339DE" w:rsidP="006339DE">
      <w:pPr>
        <w:spacing w:line="240" w:lineRule="auto"/>
        <w:jc w:val="center"/>
        <w:rPr>
          <w:b/>
        </w:rPr>
      </w:pPr>
    </w:p>
    <w:p w14:paraId="1E21DB4F" w14:textId="77777777" w:rsidR="006339DE" w:rsidRPr="006339DE" w:rsidRDefault="006339DE" w:rsidP="006339DE">
      <w:pPr>
        <w:spacing w:line="240" w:lineRule="auto"/>
        <w:jc w:val="center"/>
        <w:rPr>
          <w:b/>
          <w:color w:val="FF0000"/>
        </w:rPr>
      </w:pPr>
    </w:p>
    <w:p w14:paraId="13E72637" w14:textId="77777777" w:rsidR="006339DE" w:rsidRPr="006339DE" w:rsidRDefault="006339DE" w:rsidP="006339DE">
      <w:pPr>
        <w:spacing w:line="240" w:lineRule="auto"/>
        <w:jc w:val="center"/>
        <w:rPr>
          <w:b/>
        </w:rPr>
      </w:pPr>
    </w:p>
    <w:p w14:paraId="25B1CE85" w14:textId="77777777" w:rsidR="006339DE" w:rsidRPr="006339DE" w:rsidRDefault="006339DE" w:rsidP="006339DE">
      <w:pPr>
        <w:spacing w:line="240" w:lineRule="auto"/>
        <w:jc w:val="center"/>
        <w:rPr>
          <w:b/>
        </w:rPr>
      </w:pPr>
      <w:r w:rsidRPr="006339DE">
        <w:rPr>
          <w:b/>
        </w:rPr>
        <w:t xml:space="preserve">Z A K L J U Č A K </w:t>
      </w:r>
    </w:p>
    <w:p w14:paraId="314C832F" w14:textId="77777777" w:rsidR="006339DE" w:rsidRPr="006339DE" w:rsidRDefault="006339DE" w:rsidP="006339DE">
      <w:pPr>
        <w:spacing w:line="240" w:lineRule="auto"/>
        <w:jc w:val="center"/>
        <w:rPr>
          <w:b/>
        </w:rPr>
      </w:pPr>
    </w:p>
    <w:p w14:paraId="5F5164C2" w14:textId="77777777" w:rsidR="006339DE" w:rsidRPr="006339DE" w:rsidRDefault="006339DE" w:rsidP="006339DE">
      <w:pPr>
        <w:spacing w:line="240" w:lineRule="auto"/>
        <w:jc w:val="center"/>
        <w:rPr>
          <w:b/>
        </w:rPr>
      </w:pPr>
    </w:p>
    <w:p w14:paraId="509359A4" w14:textId="4852D04F" w:rsidR="006339DE" w:rsidRPr="006339DE" w:rsidRDefault="006339DE" w:rsidP="006339DE">
      <w:pPr>
        <w:spacing w:line="240" w:lineRule="auto"/>
      </w:pPr>
      <w:r w:rsidRPr="006339DE">
        <w:tab/>
        <w:t xml:space="preserve">Prihvaća se </w:t>
      </w:r>
      <w:r>
        <w:t>Šesto</w:t>
      </w:r>
      <w:r w:rsidRPr="006339DE">
        <w:t xml:space="preserve"> izvješće o provedbi Stockholmske konvencije o postojanim organskim onečišćujućim tvarima u Republici Hrvatskoj za razdoblje siječanj 20</w:t>
      </w:r>
      <w:r>
        <w:t>20</w:t>
      </w:r>
      <w:r w:rsidRPr="006339DE">
        <w:t>. – prosinac 20</w:t>
      </w:r>
      <w:r>
        <w:t>21</w:t>
      </w:r>
      <w:r w:rsidRPr="006339DE">
        <w:t xml:space="preserve">. godine, u tekstu koji je Vladi Republike Hrvatske dostavilo Ministarstvo </w:t>
      </w:r>
      <w:r>
        <w:t>gospodarstva i održivog razvoja</w:t>
      </w:r>
      <w:r w:rsidRPr="006339DE">
        <w:t xml:space="preserve"> aktom, KLASE: 018-05/2</w:t>
      </w:r>
      <w:r>
        <w:t>2</w:t>
      </w:r>
      <w:r w:rsidRPr="006339DE">
        <w:t>-01/0</w:t>
      </w:r>
      <w:r>
        <w:t>1</w:t>
      </w:r>
      <w:r w:rsidRPr="006339DE">
        <w:t>, URBROJA: 517-04-2-</w:t>
      </w:r>
      <w:r>
        <w:t>2-</w:t>
      </w:r>
      <w:r w:rsidRPr="006339DE">
        <w:t>2</w:t>
      </w:r>
      <w:r>
        <w:t>2</w:t>
      </w:r>
      <w:r w:rsidRPr="006339DE">
        <w:t>-XX, od __________ 202</w:t>
      </w:r>
      <w:r>
        <w:t>2</w:t>
      </w:r>
      <w:r w:rsidRPr="006339DE">
        <w:t>. godine.</w:t>
      </w:r>
    </w:p>
    <w:p w14:paraId="3FE2C963" w14:textId="77777777" w:rsidR="006339DE" w:rsidRPr="006339DE" w:rsidRDefault="006339DE" w:rsidP="006339DE">
      <w:pPr>
        <w:spacing w:line="240" w:lineRule="auto"/>
        <w:contextualSpacing/>
      </w:pPr>
    </w:p>
    <w:p w14:paraId="7A54A883" w14:textId="77777777" w:rsidR="006339DE" w:rsidRPr="006339DE" w:rsidRDefault="006339DE" w:rsidP="006339DE">
      <w:pPr>
        <w:spacing w:line="240" w:lineRule="auto"/>
      </w:pPr>
    </w:p>
    <w:p w14:paraId="1CD1A9B8" w14:textId="77777777" w:rsidR="006339DE" w:rsidRPr="006339DE" w:rsidRDefault="006339DE" w:rsidP="006339DE">
      <w:pPr>
        <w:spacing w:line="240" w:lineRule="auto"/>
      </w:pPr>
    </w:p>
    <w:p w14:paraId="3268C2B3" w14:textId="77777777" w:rsidR="006339DE" w:rsidRPr="006339DE" w:rsidRDefault="006339DE" w:rsidP="006339DE">
      <w:pPr>
        <w:spacing w:line="240" w:lineRule="auto"/>
      </w:pPr>
    </w:p>
    <w:p w14:paraId="7802121C" w14:textId="77777777" w:rsidR="006339DE" w:rsidRPr="006339DE" w:rsidRDefault="006339DE" w:rsidP="006339DE">
      <w:pPr>
        <w:spacing w:line="240" w:lineRule="auto"/>
      </w:pPr>
      <w:r w:rsidRPr="006339DE">
        <w:t xml:space="preserve">KLASA: </w:t>
      </w:r>
    </w:p>
    <w:p w14:paraId="027DA826" w14:textId="77777777" w:rsidR="006339DE" w:rsidRPr="006339DE" w:rsidRDefault="006339DE" w:rsidP="006339DE">
      <w:pPr>
        <w:spacing w:line="240" w:lineRule="auto"/>
      </w:pPr>
      <w:r w:rsidRPr="006339DE">
        <w:t>URBROJ:</w:t>
      </w:r>
    </w:p>
    <w:p w14:paraId="29A8638B" w14:textId="77777777" w:rsidR="006339DE" w:rsidRPr="006339DE" w:rsidRDefault="006339DE" w:rsidP="006339DE">
      <w:pPr>
        <w:spacing w:line="240" w:lineRule="auto"/>
      </w:pPr>
    </w:p>
    <w:p w14:paraId="3BFF85A5" w14:textId="77777777" w:rsidR="006339DE" w:rsidRPr="006339DE" w:rsidRDefault="006339DE" w:rsidP="006339DE">
      <w:pPr>
        <w:spacing w:line="240" w:lineRule="auto"/>
      </w:pPr>
      <w:r w:rsidRPr="006339DE">
        <w:t xml:space="preserve">Zagreb, </w:t>
      </w:r>
    </w:p>
    <w:p w14:paraId="54B6D39F" w14:textId="77777777" w:rsidR="006339DE" w:rsidRPr="006339DE" w:rsidRDefault="006339DE" w:rsidP="006339DE">
      <w:pPr>
        <w:spacing w:line="240" w:lineRule="auto"/>
      </w:pPr>
    </w:p>
    <w:p w14:paraId="04E15BF3" w14:textId="77777777" w:rsidR="006339DE" w:rsidRPr="006339DE" w:rsidRDefault="006339DE" w:rsidP="006339DE">
      <w:pPr>
        <w:spacing w:line="240" w:lineRule="auto"/>
        <w:rPr>
          <w:b/>
        </w:rPr>
      </w:pPr>
      <w:r w:rsidRPr="006339DE">
        <w:tab/>
      </w:r>
      <w:r w:rsidRPr="006339DE">
        <w:tab/>
      </w:r>
      <w:r w:rsidRPr="006339DE">
        <w:tab/>
      </w:r>
      <w:r w:rsidRPr="006339DE">
        <w:tab/>
      </w:r>
      <w:r w:rsidRPr="006339DE">
        <w:tab/>
      </w:r>
      <w:r w:rsidRPr="006339DE">
        <w:tab/>
      </w:r>
      <w:r w:rsidRPr="006339DE">
        <w:tab/>
      </w:r>
      <w:r w:rsidRPr="006339DE">
        <w:tab/>
        <w:t xml:space="preserve">            </w:t>
      </w:r>
      <w:r w:rsidRPr="006339DE">
        <w:rPr>
          <w:b/>
        </w:rPr>
        <w:t>PREDSJEDNIK</w:t>
      </w:r>
    </w:p>
    <w:p w14:paraId="54911CF1" w14:textId="77777777" w:rsidR="006339DE" w:rsidRPr="006339DE" w:rsidRDefault="006339DE" w:rsidP="006339DE">
      <w:pPr>
        <w:spacing w:line="240" w:lineRule="auto"/>
        <w:rPr>
          <w:b/>
        </w:rPr>
      </w:pPr>
      <w:r w:rsidRPr="006339DE">
        <w:rPr>
          <w:b/>
        </w:rPr>
        <w:tab/>
      </w:r>
      <w:r w:rsidRPr="006339DE">
        <w:rPr>
          <w:b/>
        </w:rPr>
        <w:tab/>
      </w:r>
      <w:r w:rsidRPr="006339DE">
        <w:rPr>
          <w:b/>
        </w:rPr>
        <w:tab/>
      </w:r>
      <w:r w:rsidRPr="006339DE">
        <w:rPr>
          <w:b/>
        </w:rPr>
        <w:tab/>
      </w:r>
      <w:r w:rsidRPr="006339DE">
        <w:rPr>
          <w:b/>
        </w:rPr>
        <w:tab/>
      </w:r>
      <w:r w:rsidRPr="006339DE">
        <w:rPr>
          <w:b/>
        </w:rPr>
        <w:tab/>
      </w:r>
    </w:p>
    <w:p w14:paraId="5E103512" w14:textId="77777777" w:rsidR="006339DE" w:rsidRPr="006339DE" w:rsidRDefault="006339DE" w:rsidP="006339DE">
      <w:pPr>
        <w:tabs>
          <w:tab w:val="left" w:pos="3675"/>
        </w:tabs>
        <w:spacing w:after="120" w:line="240" w:lineRule="auto"/>
        <w:jc w:val="left"/>
        <w:rPr>
          <w:b/>
          <w:bCs/>
        </w:rPr>
      </w:pPr>
      <w:r w:rsidRPr="006339DE">
        <w:rPr>
          <w:b/>
        </w:rPr>
        <w:tab/>
      </w:r>
      <w:r w:rsidRPr="006339DE">
        <w:rPr>
          <w:b/>
        </w:rPr>
        <w:tab/>
      </w:r>
      <w:r w:rsidRPr="006339DE">
        <w:rPr>
          <w:b/>
        </w:rPr>
        <w:tab/>
      </w:r>
      <w:r w:rsidRPr="006339DE">
        <w:rPr>
          <w:b/>
        </w:rPr>
        <w:tab/>
        <w:t xml:space="preserve">     mr. sc. Andrej Plenković</w:t>
      </w:r>
    </w:p>
    <w:p w14:paraId="2ED0E67B" w14:textId="77777777" w:rsidR="006339DE" w:rsidRPr="006339DE" w:rsidRDefault="006339DE" w:rsidP="006339DE">
      <w:pPr>
        <w:tabs>
          <w:tab w:val="left" w:pos="3675"/>
        </w:tabs>
        <w:spacing w:after="120" w:line="240" w:lineRule="auto"/>
        <w:jc w:val="left"/>
        <w:rPr>
          <w:b/>
          <w:bCs/>
        </w:rPr>
      </w:pPr>
    </w:p>
    <w:p w14:paraId="1F26C897" w14:textId="77777777" w:rsidR="006339DE" w:rsidRPr="006339DE" w:rsidRDefault="006339DE" w:rsidP="006339DE">
      <w:pPr>
        <w:tabs>
          <w:tab w:val="left" w:pos="3675"/>
        </w:tabs>
        <w:spacing w:after="120" w:line="240" w:lineRule="auto"/>
        <w:jc w:val="left"/>
        <w:rPr>
          <w:b/>
          <w:bCs/>
        </w:rPr>
      </w:pPr>
    </w:p>
    <w:p w14:paraId="2DE9FC68" w14:textId="77777777" w:rsidR="006339DE" w:rsidRPr="006339DE" w:rsidRDefault="006339DE" w:rsidP="006339DE">
      <w:pPr>
        <w:tabs>
          <w:tab w:val="left" w:pos="3675"/>
        </w:tabs>
        <w:spacing w:after="120" w:line="240" w:lineRule="auto"/>
        <w:jc w:val="left"/>
        <w:rPr>
          <w:b/>
          <w:bCs/>
        </w:rPr>
      </w:pPr>
    </w:p>
    <w:p w14:paraId="0484FA6D" w14:textId="77777777" w:rsidR="006339DE" w:rsidRPr="006339DE" w:rsidRDefault="006339DE" w:rsidP="006339DE">
      <w:pPr>
        <w:tabs>
          <w:tab w:val="left" w:pos="3675"/>
        </w:tabs>
        <w:spacing w:after="120" w:line="240" w:lineRule="auto"/>
        <w:jc w:val="left"/>
        <w:rPr>
          <w:b/>
          <w:bCs/>
        </w:rPr>
      </w:pPr>
    </w:p>
    <w:p w14:paraId="7C87D680" w14:textId="77777777" w:rsidR="006339DE" w:rsidRPr="006339DE" w:rsidRDefault="006339DE" w:rsidP="006339DE">
      <w:pPr>
        <w:tabs>
          <w:tab w:val="left" w:pos="3675"/>
        </w:tabs>
        <w:spacing w:after="120" w:line="240" w:lineRule="auto"/>
        <w:jc w:val="left"/>
        <w:rPr>
          <w:b/>
          <w:bCs/>
        </w:rPr>
      </w:pPr>
    </w:p>
    <w:p w14:paraId="023CE178" w14:textId="77777777" w:rsidR="006339DE" w:rsidRPr="006339DE" w:rsidRDefault="006339DE" w:rsidP="006339DE">
      <w:pPr>
        <w:tabs>
          <w:tab w:val="left" w:pos="3675"/>
        </w:tabs>
        <w:spacing w:after="120" w:line="240" w:lineRule="auto"/>
        <w:jc w:val="left"/>
        <w:rPr>
          <w:b/>
          <w:bCs/>
        </w:rPr>
      </w:pPr>
    </w:p>
    <w:p w14:paraId="74A25A89" w14:textId="77777777" w:rsidR="006339DE" w:rsidRPr="006339DE" w:rsidRDefault="006339DE" w:rsidP="006339DE">
      <w:pPr>
        <w:tabs>
          <w:tab w:val="left" w:pos="3675"/>
        </w:tabs>
        <w:spacing w:after="120" w:line="240" w:lineRule="auto"/>
        <w:jc w:val="left"/>
        <w:rPr>
          <w:b/>
          <w:bCs/>
        </w:rPr>
      </w:pPr>
    </w:p>
    <w:p w14:paraId="13781E7B" w14:textId="77777777" w:rsidR="006339DE" w:rsidRPr="006339DE" w:rsidRDefault="006339DE" w:rsidP="006339DE">
      <w:pPr>
        <w:tabs>
          <w:tab w:val="left" w:pos="3675"/>
        </w:tabs>
        <w:spacing w:after="120" w:line="240" w:lineRule="auto"/>
        <w:jc w:val="left"/>
        <w:rPr>
          <w:b/>
          <w:bCs/>
        </w:rPr>
      </w:pPr>
    </w:p>
    <w:p w14:paraId="0235FDAC" w14:textId="77777777" w:rsidR="006339DE" w:rsidRPr="006339DE" w:rsidRDefault="006339DE" w:rsidP="006339DE">
      <w:pPr>
        <w:tabs>
          <w:tab w:val="left" w:pos="3675"/>
        </w:tabs>
        <w:spacing w:after="120" w:line="240" w:lineRule="auto"/>
        <w:jc w:val="center"/>
        <w:rPr>
          <w:b/>
          <w:bCs/>
        </w:rPr>
        <w:sectPr w:rsidR="006339DE" w:rsidRPr="006339DE" w:rsidSect="00CA0E23">
          <w:pgSz w:w="11906" w:h="16838"/>
          <w:pgMar w:top="1134" w:right="1134" w:bottom="1134" w:left="1134" w:header="708" w:footer="708" w:gutter="0"/>
          <w:pgNumType w:start="1"/>
          <w:cols w:space="708"/>
          <w:titlePg/>
          <w:docGrid w:linePitch="360"/>
        </w:sectPr>
      </w:pPr>
    </w:p>
    <w:p w14:paraId="6C5170AB" w14:textId="77777777" w:rsidR="006339DE" w:rsidRPr="006339DE" w:rsidRDefault="006339DE" w:rsidP="006339DE">
      <w:pPr>
        <w:tabs>
          <w:tab w:val="left" w:pos="3675"/>
        </w:tabs>
        <w:spacing w:after="120" w:line="240" w:lineRule="auto"/>
        <w:jc w:val="center"/>
        <w:rPr>
          <w:b/>
          <w:bCs/>
        </w:rPr>
      </w:pPr>
      <w:r w:rsidRPr="006339DE">
        <w:rPr>
          <w:b/>
          <w:bCs/>
        </w:rPr>
        <w:lastRenderedPageBreak/>
        <w:t>OBRAZLOŽENJE</w:t>
      </w:r>
    </w:p>
    <w:p w14:paraId="0B5C5161" w14:textId="77777777" w:rsidR="006339DE" w:rsidRPr="006339DE" w:rsidRDefault="006339DE" w:rsidP="006339DE">
      <w:pPr>
        <w:tabs>
          <w:tab w:val="left" w:pos="3675"/>
        </w:tabs>
        <w:spacing w:after="120" w:line="240" w:lineRule="auto"/>
        <w:jc w:val="left"/>
        <w:rPr>
          <w:b/>
          <w:bCs/>
        </w:rPr>
      </w:pPr>
    </w:p>
    <w:p w14:paraId="6FAAA704" w14:textId="45700559" w:rsidR="006339DE" w:rsidRPr="006339DE" w:rsidRDefault="006339DE" w:rsidP="006339DE">
      <w:pPr>
        <w:spacing w:before="120" w:after="120" w:line="240" w:lineRule="auto"/>
      </w:pPr>
      <w:r w:rsidRPr="006339DE">
        <w:t>Države svijeta usvojile su Stockholmsku konvenciju o postojanim organskim onečišćujućim tvarima 2001. godine u Stockholmu. Konvencija je st</w:t>
      </w:r>
      <w:r w:rsidR="00FB01B7">
        <w:t>upila na snagu 17. veljače 2004</w:t>
      </w:r>
      <w:r w:rsidRPr="006339DE">
        <w:t>. Republika Hrvatska potpisala je Konvenciju u svibnju 2001., a Hrvatski sabor je na sjednici održanoj 30. studenoga 2006. donio odluku o proglašenju Zakona o potvrđivanju Stockholmske konvencije o postojanim organskim onečišćujućim tvarima (Narodne novine -</w:t>
      </w:r>
      <w:r w:rsidR="00FB01B7">
        <w:t xml:space="preserve"> Međunarodni ugovori, broj 11/</w:t>
      </w:r>
      <w:r w:rsidRPr="006339DE">
        <w:t>06). Konvencija je stupila na snagu u odnosu na Republiku Hrvatsku 30. travnja 2007. (Narodne novine - Među</w:t>
      </w:r>
      <w:r w:rsidR="00FB01B7">
        <w:t>narodni ugovori, broj 2/</w:t>
      </w:r>
      <w:r w:rsidRPr="006339DE">
        <w:t>07).</w:t>
      </w:r>
    </w:p>
    <w:p w14:paraId="733887AC" w14:textId="42D82996" w:rsidR="008751EF" w:rsidRDefault="008751EF" w:rsidP="006339DE">
      <w:pPr>
        <w:spacing w:before="120" w:after="120" w:line="240" w:lineRule="auto"/>
      </w:pPr>
      <w:r w:rsidRPr="008751EF">
        <w:t>Na temelju članka 7. Stockholmske konvencije Republika Hrvatska je izradila prvi Nacionalni plan za provedbu Stockholmske konvencije (NIP) koji je uključivao prvih 12 postojanih organskih onečišćujućih tvari (u daljnjem tekstu: POPs) koji je prihvaćen od strane Vlade Republike Hrvatske Odlukom o prihvaćanju Nacionalnog plana za provedbu Stockholmske konvencije o postojanim organskim onečišćujućim tvarima („Narodne novine“, broj 145/08) i drugi Nacionalni plan za provedbu Stockholmske konvencije koji je uključivao 11 novih POPs-ova koji je prihvaćen od strane Vlade Republike Hrvatske Odlukom o prihvaćanju Drugog nacionalnog plana za provedbu Stockholmske konvencije o postojanim organskim onečišćujućim tvarima („Narodne novine“, broj 62/16). Na sedmoj i osmoj Konferenciji stranaka (COP-7 i COP-8), usvojene su nove odluke o izmjenama i dopunama teksta Stockholmske konvencije koje su objavljene u službenom glasilu Republike Hrvatske putem Uredbe o objavi Izmjena i dopuna Dodataka A. i C. iz svibnja 2015. godine Stockholmske konvencije o postojanim organskim onečišćujućim tvarima („Narodne novine – Međunarodni ugovori“, broj 5/16) i  Uredbe o objavi Izmjena i dopuna Dodataka A. i C. iz svibnja 2017. godine Stockholmske konvencije o postojanim organskim onečišćujućim tvarima („Narodne novine – Međunarodni ugovori“, broj 1/19). Sukladno prethodno navedenom Republika Hrvatska je izrad</w:t>
      </w:r>
      <w:r w:rsidR="00EC2796">
        <w:t>ila</w:t>
      </w:r>
      <w:r w:rsidRPr="008751EF">
        <w:t xml:space="preserve"> revidiran</w:t>
      </w:r>
      <w:r w:rsidR="00EC2796">
        <w:t>i</w:t>
      </w:r>
      <w:r w:rsidRPr="008751EF">
        <w:t>/treć</w:t>
      </w:r>
      <w:r w:rsidR="00EC2796">
        <w:t xml:space="preserve">i NIP koji je dostavljen Tajništvu Stockholmske konvencije u rujnu 2021. </w:t>
      </w:r>
    </w:p>
    <w:p w14:paraId="32C204A5" w14:textId="1DC8E9AC" w:rsidR="006339DE" w:rsidRPr="006339DE" w:rsidRDefault="006339DE" w:rsidP="006339DE">
      <w:pPr>
        <w:spacing w:before="120" w:after="120" w:line="240" w:lineRule="auto"/>
      </w:pPr>
      <w:r w:rsidRPr="006339DE">
        <w:t>Sukladno točki II. Odluke o prihvaćanju Drugog NIP-a</w:t>
      </w:r>
      <w:r w:rsidR="00EC2796">
        <w:t xml:space="preserve"> i točki </w:t>
      </w:r>
      <w:r w:rsidR="00EC2796" w:rsidRPr="00EC2796">
        <w:t>II Odluke o donošenju Trećeg nacionalnog plana za provedbu Stockholmske konvencije o postojanim organskim onečišćujućim tvarima u Republici Hrvatskoj</w:t>
      </w:r>
      <w:r w:rsidRPr="006339DE">
        <w:t xml:space="preserve"> izrađen je Prijedlog </w:t>
      </w:r>
      <w:r w:rsidR="00EC2796">
        <w:t>Šestog</w:t>
      </w:r>
      <w:r w:rsidRPr="006339DE">
        <w:t xml:space="preserve"> iz</w:t>
      </w:r>
      <w:r w:rsidR="00EC2796">
        <w:t>vješća za razdoblje siječanj 2020</w:t>
      </w:r>
      <w:r w:rsidRPr="006339DE">
        <w:t>. –  prosinac 20</w:t>
      </w:r>
      <w:r w:rsidR="00EC2796">
        <w:t>21</w:t>
      </w:r>
      <w:r w:rsidRPr="006339DE">
        <w:t>. godine.</w:t>
      </w:r>
    </w:p>
    <w:p w14:paraId="5838FC9E" w14:textId="54A52A00" w:rsidR="006339DE" w:rsidRPr="006339DE" w:rsidRDefault="006339DE" w:rsidP="006339DE">
      <w:pPr>
        <w:spacing w:before="120" w:after="120" w:line="240" w:lineRule="auto"/>
      </w:pPr>
      <w:r w:rsidRPr="006339DE">
        <w:t>U Izvješću su prikazane promjene u</w:t>
      </w:r>
      <w:r w:rsidR="00EC2796">
        <w:t xml:space="preserve"> odnosu na Prvo, Drugo, Treće, </w:t>
      </w:r>
      <w:r w:rsidRPr="006339DE">
        <w:t xml:space="preserve">Četvrto </w:t>
      </w:r>
      <w:r w:rsidR="00EC2796">
        <w:t>i Peto izvješće</w:t>
      </w:r>
      <w:bookmarkStart w:id="0" w:name="_GoBack"/>
      <w:bookmarkEnd w:id="0"/>
      <w:r w:rsidRPr="006339DE">
        <w:t xml:space="preserve">: </w:t>
      </w:r>
    </w:p>
    <w:p w14:paraId="1D40141A" w14:textId="77777777" w:rsidR="006339DE" w:rsidRPr="006339DE" w:rsidRDefault="006339DE" w:rsidP="006339DE">
      <w:pPr>
        <w:spacing w:line="240" w:lineRule="auto"/>
      </w:pPr>
    </w:p>
    <w:p w14:paraId="3E4FEB62" w14:textId="77777777" w:rsidR="006339DE" w:rsidRPr="006339DE" w:rsidRDefault="006339DE" w:rsidP="006339DE">
      <w:pPr>
        <w:numPr>
          <w:ilvl w:val="0"/>
          <w:numId w:val="33"/>
        </w:numPr>
        <w:spacing w:line="240" w:lineRule="auto"/>
        <w:contextualSpacing/>
        <w:jc w:val="left"/>
      </w:pPr>
      <w:r w:rsidRPr="006339DE">
        <w:t>u zakonodavnom okviru</w:t>
      </w:r>
    </w:p>
    <w:p w14:paraId="1B05E273" w14:textId="77777777" w:rsidR="006339DE" w:rsidRPr="006339DE" w:rsidRDefault="006339DE" w:rsidP="006339DE">
      <w:pPr>
        <w:numPr>
          <w:ilvl w:val="0"/>
          <w:numId w:val="33"/>
        </w:numPr>
        <w:spacing w:line="240" w:lineRule="auto"/>
        <w:contextualSpacing/>
        <w:jc w:val="left"/>
      </w:pPr>
      <w:r w:rsidRPr="006339DE">
        <w:t>ispunjavanje obveza, odnosno inventar opreme koja sadrži poliklorirane bifenile (PCB) u postojećim zatvorenim sustavima (transformatori i kondenzatori) sukladno Pravilniku o gospodarenju polikloriranim bifenilima i polikloriranim terfenilima (Narodne novine, broj 103/14)</w:t>
      </w:r>
    </w:p>
    <w:p w14:paraId="4BCD1311" w14:textId="77777777" w:rsidR="006339DE" w:rsidRPr="006339DE" w:rsidRDefault="006339DE" w:rsidP="006339DE">
      <w:pPr>
        <w:numPr>
          <w:ilvl w:val="0"/>
          <w:numId w:val="33"/>
        </w:numPr>
        <w:spacing w:line="240" w:lineRule="auto"/>
        <w:contextualSpacing/>
        <w:jc w:val="left"/>
      </w:pPr>
      <w:r w:rsidRPr="006339DE">
        <w:t>prikazan je monitoring/praćenje stanja svih sastavnica okoliša, ostataka u proizvodima biljnog podrijetla, ostataka u ljudskom mlijeku dojilja</w:t>
      </w:r>
    </w:p>
    <w:p w14:paraId="15616359" w14:textId="77777777" w:rsidR="006339DE" w:rsidRPr="006339DE" w:rsidRDefault="006339DE" w:rsidP="006339DE">
      <w:pPr>
        <w:numPr>
          <w:ilvl w:val="0"/>
          <w:numId w:val="33"/>
        </w:numPr>
        <w:spacing w:line="240" w:lineRule="auto"/>
        <w:contextualSpacing/>
        <w:jc w:val="left"/>
      </w:pPr>
      <w:r w:rsidRPr="006339DE">
        <w:t>također su navedeni zaključci uz planove za sljedeće dvogodišnje razdoblje.</w:t>
      </w:r>
    </w:p>
    <w:p w14:paraId="542CFD96" w14:textId="77777777" w:rsidR="006339DE" w:rsidRPr="006339DE" w:rsidRDefault="006339DE" w:rsidP="006339DE">
      <w:pPr>
        <w:spacing w:before="120" w:after="120" w:line="240" w:lineRule="auto"/>
      </w:pPr>
      <w:r w:rsidRPr="006339DE">
        <w:t>Za provedbu ovoga izvješća nije potrebno osigurati dodatna financijska sredstva u državnom proračunu Republike Hrvatske.</w:t>
      </w:r>
    </w:p>
    <w:p w14:paraId="1DEA2EB3" w14:textId="77777777" w:rsidR="00FE39BB" w:rsidRPr="00E47EC1" w:rsidRDefault="00FE39BB" w:rsidP="00CA0E23">
      <w:pPr>
        <w:tabs>
          <w:tab w:val="left" w:pos="3675"/>
        </w:tabs>
        <w:spacing w:after="120"/>
        <w:jc w:val="center"/>
        <w:rPr>
          <w:b/>
          <w:bCs/>
          <w:sz w:val="28"/>
          <w:szCs w:val="28"/>
        </w:rPr>
        <w:sectPr w:rsidR="00FE39BB" w:rsidRPr="00E47EC1" w:rsidSect="00CA0E23">
          <w:pgSz w:w="11906" w:h="16838"/>
          <w:pgMar w:top="1134" w:right="1134" w:bottom="1134" w:left="1134" w:header="708" w:footer="708" w:gutter="0"/>
          <w:pgNumType w:start="1"/>
          <w:cols w:space="708"/>
          <w:titlePg/>
          <w:docGrid w:linePitch="360"/>
        </w:sectPr>
      </w:pPr>
    </w:p>
    <w:p w14:paraId="1A18D916" w14:textId="77777777" w:rsidR="00CA0E23" w:rsidRPr="00E47EC1" w:rsidRDefault="00DC652E" w:rsidP="00CA0E23">
      <w:pPr>
        <w:tabs>
          <w:tab w:val="left" w:pos="3675"/>
        </w:tabs>
        <w:spacing w:after="120"/>
        <w:jc w:val="center"/>
        <w:rPr>
          <w:b/>
          <w:bCs/>
          <w:sz w:val="28"/>
          <w:szCs w:val="28"/>
        </w:rPr>
      </w:pPr>
      <w:r>
        <w:rPr>
          <w:b/>
          <w:bCs/>
          <w:sz w:val="28"/>
          <w:szCs w:val="28"/>
        </w:rPr>
        <w:lastRenderedPageBreak/>
        <w:t>ŠESTO</w:t>
      </w:r>
      <w:r w:rsidR="004D224E" w:rsidRPr="00E47EC1">
        <w:rPr>
          <w:b/>
          <w:bCs/>
          <w:sz w:val="28"/>
          <w:szCs w:val="28"/>
        </w:rPr>
        <w:t xml:space="preserve"> </w:t>
      </w:r>
      <w:r w:rsidR="00CA0E23" w:rsidRPr="00E47EC1">
        <w:rPr>
          <w:b/>
          <w:bCs/>
          <w:sz w:val="28"/>
          <w:szCs w:val="28"/>
        </w:rPr>
        <w:t xml:space="preserve">IZVJEŠĆE O PROVEDBI STOCKHOLMSKE KONVENCIJE O POSTOJANIM ORGANSKIM ONEČIŠĆUJUĆIM TVARIMA U REPUBLICI HRVATSKOJ ZA RAZDOBLJE SIJEČANJ </w:t>
      </w:r>
      <w:r w:rsidR="004D224E" w:rsidRPr="00E47EC1">
        <w:rPr>
          <w:b/>
          <w:bCs/>
          <w:sz w:val="28"/>
          <w:szCs w:val="28"/>
        </w:rPr>
        <w:t>20</w:t>
      </w:r>
      <w:r w:rsidR="00FC5A5E">
        <w:rPr>
          <w:b/>
          <w:bCs/>
          <w:sz w:val="28"/>
          <w:szCs w:val="28"/>
        </w:rPr>
        <w:t>20</w:t>
      </w:r>
      <w:r w:rsidR="00CA0E23" w:rsidRPr="00E47EC1">
        <w:rPr>
          <w:b/>
          <w:bCs/>
          <w:sz w:val="28"/>
          <w:szCs w:val="28"/>
        </w:rPr>
        <w:t xml:space="preserve">. – PROSINAC </w:t>
      </w:r>
      <w:r w:rsidR="004D224E" w:rsidRPr="00E47EC1">
        <w:rPr>
          <w:b/>
          <w:bCs/>
          <w:sz w:val="28"/>
          <w:szCs w:val="28"/>
        </w:rPr>
        <w:t>20</w:t>
      </w:r>
      <w:r w:rsidR="00FC5A5E">
        <w:rPr>
          <w:b/>
          <w:bCs/>
          <w:sz w:val="28"/>
          <w:szCs w:val="28"/>
        </w:rPr>
        <w:t>21</w:t>
      </w:r>
      <w:r w:rsidR="00CA0E23" w:rsidRPr="00E47EC1">
        <w:rPr>
          <w:b/>
          <w:bCs/>
          <w:sz w:val="28"/>
          <w:szCs w:val="28"/>
        </w:rPr>
        <w:t xml:space="preserve">. </w:t>
      </w:r>
    </w:p>
    <w:p w14:paraId="1A18D917" w14:textId="77777777" w:rsidR="006D7751" w:rsidRPr="00E47EC1" w:rsidRDefault="006D7751" w:rsidP="00FE39BB">
      <w:pPr>
        <w:tabs>
          <w:tab w:val="left" w:pos="3675"/>
        </w:tabs>
        <w:spacing w:after="120"/>
        <w:jc w:val="right"/>
        <w:rPr>
          <w:b/>
          <w:bCs/>
          <w:sz w:val="28"/>
          <w:szCs w:val="28"/>
        </w:rPr>
      </w:pPr>
    </w:p>
    <w:sdt>
      <w:sdtPr>
        <w:rPr>
          <w:rFonts w:ascii="Times New Roman" w:eastAsia="Times New Roman" w:hAnsi="Times New Roman" w:cs="Times New Roman"/>
          <w:b/>
          <w:color w:val="auto"/>
          <w:sz w:val="24"/>
          <w:szCs w:val="24"/>
        </w:rPr>
        <w:id w:val="2060282598"/>
        <w:docPartObj>
          <w:docPartGallery w:val="Table of Contents"/>
          <w:docPartUnique/>
        </w:docPartObj>
      </w:sdtPr>
      <w:sdtEndPr>
        <w:rPr>
          <w:bCs/>
        </w:rPr>
      </w:sdtEndPr>
      <w:sdtContent>
        <w:p w14:paraId="1A18D918" w14:textId="77777777" w:rsidR="00430E79" w:rsidRPr="004D224E" w:rsidRDefault="00430E79" w:rsidP="00430E79">
          <w:pPr>
            <w:pStyle w:val="TOCNaslov"/>
            <w:jc w:val="center"/>
            <w:rPr>
              <w:rFonts w:ascii="Times New Roman" w:hAnsi="Times New Roman" w:cs="Times New Roman"/>
              <w:b/>
              <w:color w:val="auto"/>
            </w:rPr>
          </w:pPr>
          <w:r w:rsidRPr="00E47EC1">
            <w:rPr>
              <w:rFonts w:ascii="Times New Roman" w:hAnsi="Times New Roman" w:cs="Times New Roman"/>
              <w:b/>
              <w:color w:val="auto"/>
            </w:rPr>
            <w:t>Sadržaj</w:t>
          </w:r>
        </w:p>
        <w:p w14:paraId="1A18D919" w14:textId="17889D28" w:rsidR="00FC5A5E" w:rsidRDefault="00430E79">
          <w:pPr>
            <w:pStyle w:val="Sadraj1"/>
            <w:tabs>
              <w:tab w:val="left" w:pos="480"/>
              <w:tab w:val="right" w:leader="dot" w:pos="9628"/>
            </w:tabs>
            <w:rPr>
              <w:rFonts w:asciiTheme="minorHAnsi" w:eastAsiaTheme="minorEastAsia" w:hAnsiTheme="minorHAnsi" w:cstheme="minorBidi"/>
              <w:noProof/>
              <w:sz w:val="22"/>
              <w:szCs w:val="22"/>
            </w:rPr>
          </w:pPr>
          <w:r w:rsidRPr="00683038">
            <w:rPr>
              <w:b/>
              <w:bCs/>
            </w:rPr>
            <w:fldChar w:fldCharType="begin"/>
          </w:r>
          <w:r w:rsidRPr="00E47EC1">
            <w:rPr>
              <w:b/>
              <w:bCs/>
            </w:rPr>
            <w:instrText xml:space="preserve"> TOC \o "1-3" \h \z \u </w:instrText>
          </w:r>
          <w:r w:rsidRPr="00683038">
            <w:rPr>
              <w:b/>
              <w:bCs/>
            </w:rPr>
            <w:fldChar w:fldCharType="separate"/>
          </w:r>
          <w:hyperlink w:anchor="_Toc100840603" w:history="1">
            <w:r w:rsidR="00FC5A5E" w:rsidRPr="008F5513">
              <w:rPr>
                <w:rStyle w:val="Hiperveza"/>
                <w:noProof/>
              </w:rPr>
              <w:t>1.</w:t>
            </w:r>
            <w:r w:rsidR="00FC5A5E">
              <w:rPr>
                <w:rFonts w:asciiTheme="minorHAnsi" w:eastAsiaTheme="minorEastAsia" w:hAnsiTheme="minorHAnsi" w:cstheme="minorBidi"/>
                <w:noProof/>
                <w:sz w:val="22"/>
                <w:szCs w:val="22"/>
              </w:rPr>
              <w:tab/>
            </w:r>
            <w:r w:rsidR="00FC5A5E" w:rsidRPr="008F5513">
              <w:rPr>
                <w:rStyle w:val="Hiperveza"/>
                <w:noProof/>
              </w:rPr>
              <w:t>UVOD</w:t>
            </w:r>
            <w:r w:rsidR="00FC5A5E">
              <w:rPr>
                <w:noProof/>
                <w:webHidden/>
              </w:rPr>
              <w:tab/>
            </w:r>
            <w:r w:rsidR="00FC5A5E">
              <w:rPr>
                <w:noProof/>
                <w:webHidden/>
              </w:rPr>
              <w:fldChar w:fldCharType="begin"/>
            </w:r>
            <w:r w:rsidR="00FC5A5E">
              <w:rPr>
                <w:noProof/>
                <w:webHidden/>
              </w:rPr>
              <w:instrText xml:space="preserve"> PAGEREF _Toc100840603 \h </w:instrText>
            </w:r>
            <w:r w:rsidR="00FC5A5E">
              <w:rPr>
                <w:noProof/>
                <w:webHidden/>
              </w:rPr>
            </w:r>
            <w:r w:rsidR="00FC5A5E">
              <w:rPr>
                <w:noProof/>
                <w:webHidden/>
              </w:rPr>
              <w:fldChar w:fldCharType="separate"/>
            </w:r>
            <w:r w:rsidR="006201FC">
              <w:rPr>
                <w:noProof/>
                <w:webHidden/>
              </w:rPr>
              <w:t>1</w:t>
            </w:r>
            <w:r w:rsidR="00FC5A5E">
              <w:rPr>
                <w:noProof/>
                <w:webHidden/>
              </w:rPr>
              <w:fldChar w:fldCharType="end"/>
            </w:r>
          </w:hyperlink>
        </w:p>
        <w:p w14:paraId="1A18D91A" w14:textId="6B07FF8A" w:rsidR="00FC5A5E" w:rsidRDefault="00EC2796">
          <w:pPr>
            <w:pStyle w:val="Sadraj1"/>
            <w:tabs>
              <w:tab w:val="left" w:pos="480"/>
              <w:tab w:val="right" w:leader="dot" w:pos="9628"/>
            </w:tabs>
            <w:rPr>
              <w:rFonts w:asciiTheme="minorHAnsi" w:eastAsiaTheme="minorEastAsia" w:hAnsiTheme="minorHAnsi" w:cstheme="minorBidi"/>
              <w:noProof/>
              <w:sz w:val="22"/>
              <w:szCs w:val="22"/>
            </w:rPr>
          </w:pPr>
          <w:hyperlink w:anchor="_Toc100840604" w:history="1">
            <w:r w:rsidR="00FC5A5E" w:rsidRPr="008F5513">
              <w:rPr>
                <w:rStyle w:val="Hiperveza"/>
                <w:noProof/>
              </w:rPr>
              <w:t>2.</w:t>
            </w:r>
            <w:r w:rsidR="00FC5A5E">
              <w:rPr>
                <w:rFonts w:asciiTheme="minorHAnsi" w:eastAsiaTheme="minorEastAsia" w:hAnsiTheme="minorHAnsi" w:cstheme="minorBidi"/>
                <w:noProof/>
                <w:sz w:val="22"/>
                <w:szCs w:val="22"/>
              </w:rPr>
              <w:tab/>
            </w:r>
            <w:r w:rsidR="00FC5A5E" w:rsidRPr="008F5513">
              <w:rPr>
                <w:rStyle w:val="Hiperveza"/>
                <w:noProof/>
              </w:rPr>
              <w:t>PROVEDBA NIP-a, ODNOSNO KONVENCIJE</w:t>
            </w:r>
            <w:r w:rsidR="00FC5A5E">
              <w:rPr>
                <w:noProof/>
                <w:webHidden/>
              </w:rPr>
              <w:tab/>
            </w:r>
            <w:r w:rsidR="00FC5A5E">
              <w:rPr>
                <w:noProof/>
                <w:webHidden/>
              </w:rPr>
              <w:fldChar w:fldCharType="begin"/>
            </w:r>
            <w:r w:rsidR="00FC5A5E">
              <w:rPr>
                <w:noProof/>
                <w:webHidden/>
              </w:rPr>
              <w:instrText xml:space="preserve"> PAGEREF _Toc100840604 \h </w:instrText>
            </w:r>
            <w:r w:rsidR="00FC5A5E">
              <w:rPr>
                <w:noProof/>
                <w:webHidden/>
              </w:rPr>
            </w:r>
            <w:r w:rsidR="00FC5A5E">
              <w:rPr>
                <w:noProof/>
                <w:webHidden/>
              </w:rPr>
              <w:fldChar w:fldCharType="separate"/>
            </w:r>
            <w:r w:rsidR="006201FC">
              <w:rPr>
                <w:noProof/>
                <w:webHidden/>
              </w:rPr>
              <w:t>7</w:t>
            </w:r>
            <w:r w:rsidR="00FC5A5E">
              <w:rPr>
                <w:noProof/>
                <w:webHidden/>
              </w:rPr>
              <w:fldChar w:fldCharType="end"/>
            </w:r>
          </w:hyperlink>
        </w:p>
        <w:p w14:paraId="1A18D91B" w14:textId="604425FE"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05" w:history="1">
            <w:r w:rsidR="00FC5A5E" w:rsidRPr="008F5513">
              <w:rPr>
                <w:rStyle w:val="Hiperveza"/>
                <w:noProof/>
              </w:rPr>
              <w:t>2.1.</w:t>
            </w:r>
            <w:r w:rsidR="00FC5A5E">
              <w:rPr>
                <w:rFonts w:asciiTheme="minorHAnsi" w:eastAsiaTheme="minorEastAsia" w:hAnsiTheme="minorHAnsi" w:cstheme="minorBidi"/>
                <w:noProof/>
                <w:sz w:val="22"/>
                <w:szCs w:val="22"/>
              </w:rPr>
              <w:tab/>
            </w:r>
            <w:r w:rsidR="00FC5A5E" w:rsidRPr="008F5513">
              <w:rPr>
                <w:rStyle w:val="Hiperveza"/>
                <w:noProof/>
              </w:rPr>
              <w:t>POPIS ZAKONSKIH PROPISA KOJI PROPISUJU GOSPODARENJE I PRAĆENJE (MONITORING) POPS-OVA KOJI SU BILI NA SNAZI U RAZDOBLJU 2018. – 2019. GODINE</w:t>
            </w:r>
            <w:r w:rsidR="00FC5A5E">
              <w:rPr>
                <w:noProof/>
                <w:webHidden/>
              </w:rPr>
              <w:tab/>
            </w:r>
            <w:r w:rsidR="00FC5A5E">
              <w:rPr>
                <w:noProof/>
                <w:webHidden/>
              </w:rPr>
              <w:fldChar w:fldCharType="begin"/>
            </w:r>
            <w:r w:rsidR="00FC5A5E">
              <w:rPr>
                <w:noProof/>
                <w:webHidden/>
              </w:rPr>
              <w:instrText xml:space="preserve"> PAGEREF _Toc100840605 \h </w:instrText>
            </w:r>
            <w:r w:rsidR="00FC5A5E">
              <w:rPr>
                <w:noProof/>
                <w:webHidden/>
              </w:rPr>
            </w:r>
            <w:r w:rsidR="00FC5A5E">
              <w:rPr>
                <w:noProof/>
                <w:webHidden/>
              </w:rPr>
              <w:fldChar w:fldCharType="separate"/>
            </w:r>
            <w:r w:rsidR="006201FC">
              <w:rPr>
                <w:noProof/>
                <w:webHidden/>
              </w:rPr>
              <w:t>7</w:t>
            </w:r>
            <w:r w:rsidR="00FC5A5E">
              <w:rPr>
                <w:noProof/>
                <w:webHidden/>
              </w:rPr>
              <w:fldChar w:fldCharType="end"/>
            </w:r>
          </w:hyperlink>
        </w:p>
        <w:p w14:paraId="1A18D91C" w14:textId="1EE3ECF1"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06" w:history="1">
            <w:r w:rsidR="00FC5A5E" w:rsidRPr="008F5513">
              <w:rPr>
                <w:rStyle w:val="Hiperveza"/>
                <w:noProof/>
              </w:rPr>
              <w:t>2.2.</w:t>
            </w:r>
            <w:r w:rsidR="00FC5A5E">
              <w:rPr>
                <w:rFonts w:asciiTheme="minorHAnsi" w:eastAsiaTheme="minorEastAsia" w:hAnsiTheme="minorHAnsi" w:cstheme="minorBidi"/>
                <w:noProof/>
                <w:sz w:val="22"/>
                <w:szCs w:val="22"/>
              </w:rPr>
              <w:tab/>
            </w:r>
            <w:r w:rsidR="00FC5A5E" w:rsidRPr="008F5513">
              <w:rPr>
                <w:rStyle w:val="Hiperveza"/>
                <w:noProof/>
              </w:rPr>
              <w:t>PREGLED PODATAKA O IZVRŠENIM OBVEZAMA U GOSPODARENJU POLIKLORIRANIM BIFENILIMA I POLIKLORIRANIM TERFENILIMA (PCB/PCT) SUKLADNO PRAVILNIKU O GOSPODARENJU POLIKLORIRANIM BIFENILIMA I POLIKLORIRANIM TERFENILIMA (NARODNE NOVINE, BROJ 103/14), STATUS U RAZDOBLJU 2018. – 2020. GODINE</w:t>
            </w:r>
            <w:r w:rsidR="00FC5A5E">
              <w:rPr>
                <w:noProof/>
                <w:webHidden/>
              </w:rPr>
              <w:tab/>
            </w:r>
            <w:r w:rsidR="00FC5A5E">
              <w:rPr>
                <w:noProof/>
                <w:webHidden/>
              </w:rPr>
              <w:fldChar w:fldCharType="begin"/>
            </w:r>
            <w:r w:rsidR="00FC5A5E">
              <w:rPr>
                <w:noProof/>
                <w:webHidden/>
              </w:rPr>
              <w:instrText xml:space="preserve"> PAGEREF _Toc100840606 \h </w:instrText>
            </w:r>
            <w:r w:rsidR="00FC5A5E">
              <w:rPr>
                <w:noProof/>
                <w:webHidden/>
              </w:rPr>
            </w:r>
            <w:r w:rsidR="00FC5A5E">
              <w:rPr>
                <w:noProof/>
                <w:webHidden/>
              </w:rPr>
              <w:fldChar w:fldCharType="separate"/>
            </w:r>
            <w:r w:rsidR="006201FC">
              <w:rPr>
                <w:noProof/>
                <w:webHidden/>
              </w:rPr>
              <w:t>11</w:t>
            </w:r>
            <w:r w:rsidR="00FC5A5E">
              <w:rPr>
                <w:noProof/>
                <w:webHidden/>
              </w:rPr>
              <w:fldChar w:fldCharType="end"/>
            </w:r>
          </w:hyperlink>
        </w:p>
        <w:p w14:paraId="1A18D91D" w14:textId="07421FBC"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07" w:history="1">
            <w:r w:rsidR="00FC5A5E" w:rsidRPr="008F5513">
              <w:rPr>
                <w:rStyle w:val="Hiperveza"/>
                <w:rFonts w:eastAsia="Calibri"/>
                <w:b/>
                <w:noProof/>
                <w:lang w:eastAsia="en-US"/>
              </w:rPr>
              <w:t>2.2.1.</w:t>
            </w:r>
            <w:r w:rsidR="00FC5A5E">
              <w:rPr>
                <w:rFonts w:asciiTheme="minorHAnsi" w:eastAsiaTheme="minorEastAsia" w:hAnsiTheme="minorHAnsi" w:cstheme="minorBidi"/>
                <w:noProof/>
                <w:sz w:val="22"/>
                <w:szCs w:val="22"/>
              </w:rPr>
              <w:tab/>
            </w:r>
            <w:r w:rsidR="00FC5A5E" w:rsidRPr="008F5513">
              <w:rPr>
                <w:rStyle w:val="Hiperveza"/>
                <w:rFonts w:eastAsia="Calibri"/>
                <w:noProof/>
                <w:lang w:eastAsia="en-US"/>
              </w:rPr>
              <w:t>Pregled podataka o izvršenju obveza</w:t>
            </w:r>
            <w:r w:rsidR="00FC5A5E">
              <w:rPr>
                <w:noProof/>
                <w:webHidden/>
              </w:rPr>
              <w:tab/>
            </w:r>
            <w:r w:rsidR="00FC5A5E">
              <w:rPr>
                <w:noProof/>
                <w:webHidden/>
              </w:rPr>
              <w:fldChar w:fldCharType="begin"/>
            </w:r>
            <w:r w:rsidR="00FC5A5E">
              <w:rPr>
                <w:noProof/>
                <w:webHidden/>
              </w:rPr>
              <w:instrText xml:space="preserve"> PAGEREF _Toc100840607 \h </w:instrText>
            </w:r>
            <w:r w:rsidR="00FC5A5E">
              <w:rPr>
                <w:noProof/>
                <w:webHidden/>
              </w:rPr>
            </w:r>
            <w:r w:rsidR="00FC5A5E">
              <w:rPr>
                <w:noProof/>
                <w:webHidden/>
              </w:rPr>
              <w:fldChar w:fldCharType="separate"/>
            </w:r>
            <w:r w:rsidR="006201FC">
              <w:rPr>
                <w:noProof/>
                <w:webHidden/>
              </w:rPr>
              <w:t>12</w:t>
            </w:r>
            <w:r w:rsidR="00FC5A5E">
              <w:rPr>
                <w:noProof/>
                <w:webHidden/>
              </w:rPr>
              <w:fldChar w:fldCharType="end"/>
            </w:r>
          </w:hyperlink>
        </w:p>
        <w:p w14:paraId="1A18D91E" w14:textId="64614E18"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08" w:history="1">
            <w:r w:rsidR="00FC5A5E" w:rsidRPr="008F5513">
              <w:rPr>
                <w:rStyle w:val="Hiperveza"/>
                <w:b/>
                <w:noProof/>
              </w:rPr>
              <w:t>2.2.2.</w:t>
            </w:r>
            <w:r w:rsidR="00FC5A5E">
              <w:rPr>
                <w:rFonts w:asciiTheme="minorHAnsi" w:eastAsiaTheme="minorEastAsia" w:hAnsiTheme="minorHAnsi" w:cstheme="minorBidi"/>
                <w:noProof/>
                <w:sz w:val="22"/>
                <w:szCs w:val="22"/>
              </w:rPr>
              <w:tab/>
            </w:r>
            <w:r w:rsidR="00FC5A5E" w:rsidRPr="008F5513">
              <w:rPr>
                <w:rStyle w:val="Hiperveza"/>
                <w:noProof/>
              </w:rPr>
              <w:t>Zaključak</w:t>
            </w:r>
            <w:r w:rsidR="00FC5A5E">
              <w:rPr>
                <w:noProof/>
                <w:webHidden/>
              </w:rPr>
              <w:tab/>
            </w:r>
            <w:r w:rsidR="00FC5A5E">
              <w:rPr>
                <w:noProof/>
                <w:webHidden/>
              </w:rPr>
              <w:fldChar w:fldCharType="begin"/>
            </w:r>
            <w:r w:rsidR="00FC5A5E">
              <w:rPr>
                <w:noProof/>
                <w:webHidden/>
              </w:rPr>
              <w:instrText xml:space="preserve"> PAGEREF _Toc100840608 \h </w:instrText>
            </w:r>
            <w:r w:rsidR="00FC5A5E">
              <w:rPr>
                <w:noProof/>
                <w:webHidden/>
              </w:rPr>
            </w:r>
            <w:r w:rsidR="00FC5A5E">
              <w:rPr>
                <w:noProof/>
                <w:webHidden/>
              </w:rPr>
              <w:fldChar w:fldCharType="separate"/>
            </w:r>
            <w:r w:rsidR="006201FC">
              <w:rPr>
                <w:noProof/>
                <w:webHidden/>
              </w:rPr>
              <w:t>15</w:t>
            </w:r>
            <w:r w:rsidR="00FC5A5E">
              <w:rPr>
                <w:noProof/>
                <w:webHidden/>
              </w:rPr>
              <w:fldChar w:fldCharType="end"/>
            </w:r>
          </w:hyperlink>
        </w:p>
        <w:p w14:paraId="1A18D91F" w14:textId="4EA047DB"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09" w:history="1">
            <w:r w:rsidR="00FC5A5E" w:rsidRPr="008F5513">
              <w:rPr>
                <w:rStyle w:val="Hiperveza"/>
                <w:noProof/>
              </w:rPr>
              <w:t>2.3.</w:t>
            </w:r>
            <w:r w:rsidR="00FC5A5E">
              <w:rPr>
                <w:rFonts w:asciiTheme="minorHAnsi" w:eastAsiaTheme="minorEastAsia" w:hAnsiTheme="minorHAnsi" w:cstheme="minorBidi"/>
                <w:noProof/>
                <w:sz w:val="22"/>
                <w:szCs w:val="22"/>
              </w:rPr>
              <w:tab/>
            </w:r>
            <w:r w:rsidR="00FC5A5E" w:rsidRPr="008F5513">
              <w:rPr>
                <w:rStyle w:val="Hiperveza"/>
                <w:noProof/>
              </w:rPr>
              <w:t>PRAĆENJE/MONITORING POPs-OVA</w:t>
            </w:r>
            <w:r w:rsidR="00FC5A5E">
              <w:rPr>
                <w:noProof/>
                <w:webHidden/>
              </w:rPr>
              <w:tab/>
            </w:r>
            <w:r w:rsidR="00FC5A5E">
              <w:rPr>
                <w:noProof/>
                <w:webHidden/>
              </w:rPr>
              <w:fldChar w:fldCharType="begin"/>
            </w:r>
            <w:r w:rsidR="00FC5A5E">
              <w:rPr>
                <w:noProof/>
                <w:webHidden/>
              </w:rPr>
              <w:instrText xml:space="preserve"> PAGEREF _Toc100840609 \h </w:instrText>
            </w:r>
            <w:r w:rsidR="00FC5A5E">
              <w:rPr>
                <w:noProof/>
                <w:webHidden/>
              </w:rPr>
            </w:r>
            <w:r w:rsidR="00FC5A5E">
              <w:rPr>
                <w:noProof/>
                <w:webHidden/>
              </w:rPr>
              <w:fldChar w:fldCharType="separate"/>
            </w:r>
            <w:r w:rsidR="006201FC">
              <w:rPr>
                <w:noProof/>
                <w:webHidden/>
              </w:rPr>
              <w:t>15</w:t>
            </w:r>
            <w:r w:rsidR="00FC5A5E">
              <w:rPr>
                <w:noProof/>
                <w:webHidden/>
              </w:rPr>
              <w:fldChar w:fldCharType="end"/>
            </w:r>
          </w:hyperlink>
        </w:p>
        <w:p w14:paraId="1A18D920" w14:textId="7F2D226C"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10" w:history="1">
            <w:r w:rsidR="00FC5A5E" w:rsidRPr="008F5513">
              <w:rPr>
                <w:rStyle w:val="Hiperveza"/>
                <w:b/>
                <w:noProof/>
              </w:rPr>
              <w:t>2.3.1</w:t>
            </w:r>
            <w:r w:rsidR="00FC5A5E">
              <w:rPr>
                <w:rFonts w:asciiTheme="minorHAnsi" w:eastAsiaTheme="minorEastAsia" w:hAnsiTheme="minorHAnsi" w:cstheme="minorBidi"/>
                <w:noProof/>
                <w:sz w:val="22"/>
                <w:szCs w:val="22"/>
              </w:rPr>
              <w:tab/>
            </w:r>
            <w:r w:rsidR="00FC5A5E" w:rsidRPr="008F5513">
              <w:rPr>
                <w:rStyle w:val="Hiperveza"/>
                <w:noProof/>
              </w:rPr>
              <w:t>Monitoring POPs-ova u vodama</w:t>
            </w:r>
            <w:r w:rsidR="00FC5A5E">
              <w:rPr>
                <w:noProof/>
                <w:webHidden/>
              </w:rPr>
              <w:tab/>
            </w:r>
            <w:r w:rsidR="00FC5A5E">
              <w:rPr>
                <w:noProof/>
                <w:webHidden/>
              </w:rPr>
              <w:fldChar w:fldCharType="begin"/>
            </w:r>
            <w:r w:rsidR="00FC5A5E">
              <w:rPr>
                <w:noProof/>
                <w:webHidden/>
              </w:rPr>
              <w:instrText xml:space="preserve"> PAGEREF _Toc100840610 \h </w:instrText>
            </w:r>
            <w:r w:rsidR="00FC5A5E">
              <w:rPr>
                <w:noProof/>
                <w:webHidden/>
              </w:rPr>
            </w:r>
            <w:r w:rsidR="00FC5A5E">
              <w:rPr>
                <w:noProof/>
                <w:webHidden/>
              </w:rPr>
              <w:fldChar w:fldCharType="separate"/>
            </w:r>
            <w:r w:rsidR="006201FC">
              <w:rPr>
                <w:noProof/>
                <w:webHidden/>
              </w:rPr>
              <w:t>15</w:t>
            </w:r>
            <w:r w:rsidR="00FC5A5E">
              <w:rPr>
                <w:noProof/>
                <w:webHidden/>
              </w:rPr>
              <w:fldChar w:fldCharType="end"/>
            </w:r>
          </w:hyperlink>
        </w:p>
        <w:p w14:paraId="1A18D921" w14:textId="1C3A27DB"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11" w:history="1">
            <w:r w:rsidR="00FC5A5E" w:rsidRPr="008F5513">
              <w:rPr>
                <w:rStyle w:val="Hiperveza"/>
                <w:b/>
                <w:noProof/>
              </w:rPr>
              <w:t>2.3.2</w:t>
            </w:r>
            <w:r w:rsidR="00FC5A5E">
              <w:rPr>
                <w:rFonts w:asciiTheme="minorHAnsi" w:eastAsiaTheme="minorEastAsia" w:hAnsiTheme="minorHAnsi" w:cstheme="minorBidi"/>
                <w:noProof/>
                <w:sz w:val="22"/>
                <w:szCs w:val="22"/>
              </w:rPr>
              <w:tab/>
            </w:r>
            <w:r w:rsidR="00FC5A5E" w:rsidRPr="008F5513">
              <w:rPr>
                <w:rStyle w:val="Hiperveza"/>
                <w:noProof/>
              </w:rPr>
              <w:t>Monitoring POPs-ova u moru</w:t>
            </w:r>
            <w:r w:rsidR="00FC5A5E">
              <w:rPr>
                <w:noProof/>
                <w:webHidden/>
              </w:rPr>
              <w:tab/>
            </w:r>
            <w:r w:rsidR="00FC5A5E">
              <w:rPr>
                <w:noProof/>
                <w:webHidden/>
              </w:rPr>
              <w:fldChar w:fldCharType="begin"/>
            </w:r>
            <w:r w:rsidR="00FC5A5E">
              <w:rPr>
                <w:noProof/>
                <w:webHidden/>
              </w:rPr>
              <w:instrText xml:space="preserve"> PAGEREF _Toc100840611 \h </w:instrText>
            </w:r>
            <w:r w:rsidR="00FC5A5E">
              <w:rPr>
                <w:noProof/>
                <w:webHidden/>
              </w:rPr>
            </w:r>
            <w:r w:rsidR="00FC5A5E">
              <w:rPr>
                <w:noProof/>
                <w:webHidden/>
              </w:rPr>
              <w:fldChar w:fldCharType="separate"/>
            </w:r>
            <w:r w:rsidR="006201FC">
              <w:rPr>
                <w:noProof/>
                <w:webHidden/>
              </w:rPr>
              <w:t>20</w:t>
            </w:r>
            <w:r w:rsidR="00FC5A5E">
              <w:rPr>
                <w:noProof/>
                <w:webHidden/>
              </w:rPr>
              <w:fldChar w:fldCharType="end"/>
            </w:r>
          </w:hyperlink>
        </w:p>
        <w:p w14:paraId="1A18D922" w14:textId="0D7460C5"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12" w:history="1">
            <w:r w:rsidR="00FC5A5E" w:rsidRPr="008F5513">
              <w:rPr>
                <w:rStyle w:val="Hiperveza"/>
                <w:b/>
                <w:noProof/>
              </w:rPr>
              <w:t>2.3.3</w:t>
            </w:r>
            <w:r w:rsidR="00FC5A5E">
              <w:rPr>
                <w:rFonts w:asciiTheme="minorHAnsi" w:eastAsiaTheme="minorEastAsia" w:hAnsiTheme="minorHAnsi" w:cstheme="minorBidi"/>
                <w:noProof/>
                <w:sz w:val="22"/>
                <w:szCs w:val="22"/>
              </w:rPr>
              <w:tab/>
            </w:r>
            <w:r w:rsidR="00FC5A5E" w:rsidRPr="008F5513">
              <w:rPr>
                <w:rStyle w:val="Hiperveza"/>
                <w:noProof/>
              </w:rPr>
              <w:t>Monitoring POPs-ova u tlu (poljoprivredno zemljište)</w:t>
            </w:r>
            <w:r w:rsidR="00FC5A5E">
              <w:rPr>
                <w:noProof/>
                <w:webHidden/>
              </w:rPr>
              <w:tab/>
            </w:r>
            <w:r w:rsidR="00FC5A5E">
              <w:rPr>
                <w:noProof/>
                <w:webHidden/>
              </w:rPr>
              <w:fldChar w:fldCharType="begin"/>
            </w:r>
            <w:r w:rsidR="00FC5A5E">
              <w:rPr>
                <w:noProof/>
                <w:webHidden/>
              </w:rPr>
              <w:instrText xml:space="preserve"> PAGEREF _Toc100840612 \h </w:instrText>
            </w:r>
            <w:r w:rsidR="00FC5A5E">
              <w:rPr>
                <w:noProof/>
                <w:webHidden/>
              </w:rPr>
            </w:r>
            <w:r w:rsidR="00FC5A5E">
              <w:rPr>
                <w:noProof/>
                <w:webHidden/>
              </w:rPr>
              <w:fldChar w:fldCharType="separate"/>
            </w:r>
            <w:r w:rsidR="006201FC">
              <w:rPr>
                <w:noProof/>
                <w:webHidden/>
              </w:rPr>
              <w:t>33</w:t>
            </w:r>
            <w:r w:rsidR="00FC5A5E">
              <w:rPr>
                <w:noProof/>
                <w:webHidden/>
              </w:rPr>
              <w:fldChar w:fldCharType="end"/>
            </w:r>
          </w:hyperlink>
        </w:p>
        <w:p w14:paraId="1A18D923" w14:textId="0039D0DC"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13" w:history="1">
            <w:r w:rsidR="00FC5A5E" w:rsidRPr="008F5513">
              <w:rPr>
                <w:rStyle w:val="Hiperveza"/>
                <w:b/>
                <w:noProof/>
              </w:rPr>
              <w:t>2.3.4</w:t>
            </w:r>
            <w:r w:rsidR="00FC5A5E">
              <w:rPr>
                <w:rFonts w:asciiTheme="minorHAnsi" w:eastAsiaTheme="minorEastAsia" w:hAnsiTheme="minorHAnsi" w:cstheme="minorBidi"/>
                <w:noProof/>
                <w:sz w:val="22"/>
                <w:szCs w:val="22"/>
              </w:rPr>
              <w:tab/>
            </w:r>
            <w:r w:rsidR="00FC5A5E" w:rsidRPr="008F5513">
              <w:rPr>
                <w:rStyle w:val="Hiperveza"/>
                <w:noProof/>
              </w:rPr>
              <w:t>Monitoring POPs-ova u hrani za životinje</w:t>
            </w:r>
            <w:r w:rsidR="00FC5A5E">
              <w:rPr>
                <w:noProof/>
                <w:webHidden/>
              </w:rPr>
              <w:tab/>
            </w:r>
            <w:r w:rsidR="00FC5A5E">
              <w:rPr>
                <w:noProof/>
                <w:webHidden/>
              </w:rPr>
              <w:fldChar w:fldCharType="begin"/>
            </w:r>
            <w:r w:rsidR="00FC5A5E">
              <w:rPr>
                <w:noProof/>
                <w:webHidden/>
              </w:rPr>
              <w:instrText xml:space="preserve"> PAGEREF _Toc100840613 \h </w:instrText>
            </w:r>
            <w:r w:rsidR="00FC5A5E">
              <w:rPr>
                <w:noProof/>
                <w:webHidden/>
              </w:rPr>
            </w:r>
            <w:r w:rsidR="00FC5A5E">
              <w:rPr>
                <w:noProof/>
                <w:webHidden/>
              </w:rPr>
              <w:fldChar w:fldCharType="separate"/>
            </w:r>
            <w:r w:rsidR="006201FC">
              <w:rPr>
                <w:noProof/>
                <w:webHidden/>
              </w:rPr>
              <w:t>34</w:t>
            </w:r>
            <w:r w:rsidR="00FC5A5E">
              <w:rPr>
                <w:noProof/>
                <w:webHidden/>
              </w:rPr>
              <w:fldChar w:fldCharType="end"/>
            </w:r>
          </w:hyperlink>
        </w:p>
        <w:p w14:paraId="1A18D924" w14:textId="0693D804"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14" w:history="1">
            <w:r w:rsidR="00FC5A5E" w:rsidRPr="008F5513">
              <w:rPr>
                <w:rStyle w:val="Hiperveza"/>
                <w:b/>
                <w:noProof/>
              </w:rPr>
              <w:t>2.3.5</w:t>
            </w:r>
            <w:r w:rsidR="00FC5A5E">
              <w:rPr>
                <w:rFonts w:asciiTheme="minorHAnsi" w:eastAsiaTheme="minorEastAsia" w:hAnsiTheme="minorHAnsi" w:cstheme="minorBidi"/>
                <w:noProof/>
                <w:sz w:val="22"/>
                <w:szCs w:val="22"/>
              </w:rPr>
              <w:tab/>
            </w:r>
            <w:r w:rsidR="00FC5A5E" w:rsidRPr="008F5513">
              <w:rPr>
                <w:rStyle w:val="Hiperveza"/>
                <w:noProof/>
              </w:rPr>
              <w:t>Motrenje šumskih ekosustava</w:t>
            </w:r>
            <w:r w:rsidR="00FC5A5E">
              <w:rPr>
                <w:noProof/>
                <w:webHidden/>
              </w:rPr>
              <w:tab/>
            </w:r>
            <w:r w:rsidR="00FC5A5E">
              <w:rPr>
                <w:noProof/>
                <w:webHidden/>
              </w:rPr>
              <w:fldChar w:fldCharType="begin"/>
            </w:r>
            <w:r w:rsidR="00FC5A5E">
              <w:rPr>
                <w:noProof/>
                <w:webHidden/>
              </w:rPr>
              <w:instrText xml:space="preserve"> PAGEREF _Toc100840614 \h </w:instrText>
            </w:r>
            <w:r w:rsidR="00FC5A5E">
              <w:rPr>
                <w:noProof/>
                <w:webHidden/>
              </w:rPr>
            </w:r>
            <w:r w:rsidR="00FC5A5E">
              <w:rPr>
                <w:noProof/>
                <w:webHidden/>
              </w:rPr>
              <w:fldChar w:fldCharType="separate"/>
            </w:r>
            <w:r w:rsidR="006201FC">
              <w:rPr>
                <w:noProof/>
                <w:webHidden/>
              </w:rPr>
              <w:t>34</w:t>
            </w:r>
            <w:r w:rsidR="00FC5A5E">
              <w:rPr>
                <w:noProof/>
                <w:webHidden/>
              </w:rPr>
              <w:fldChar w:fldCharType="end"/>
            </w:r>
          </w:hyperlink>
        </w:p>
        <w:p w14:paraId="1A18D925" w14:textId="23C95636" w:rsidR="00FC5A5E" w:rsidRDefault="00EC2796">
          <w:pPr>
            <w:pStyle w:val="Sadraj3"/>
            <w:tabs>
              <w:tab w:val="left" w:pos="1320"/>
              <w:tab w:val="right" w:leader="dot" w:pos="9628"/>
            </w:tabs>
            <w:rPr>
              <w:rFonts w:asciiTheme="minorHAnsi" w:eastAsiaTheme="minorEastAsia" w:hAnsiTheme="minorHAnsi" w:cstheme="minorBidi"/>
              <w:noProof/>
              <w:sz w:val="22"/>
              <w:szCs w:val="22"/>
            </w:rPr>
          </w:pPr>
          <w:hyperlink w:anchor="_Toc100840615" w:history="1">
            <w:r w:rsidR="00FC5A5E" w:rsidRPr="008F5513">
              <w:rPr>
                <w:rStyle w:val="Hiperveza"/>
                <w:b/>
                <w:noProof/>
              </w:rPr>
              <w:t>2.3.6</w:t>
            </w:r>
            <w:r w:rsidR="00FC5A5E">
              <w:rPr>
                <w:rFonts w:asciiTheme="minorHAnsi" w:eastAsiaTheme="minorEastAsia" w:hAnsiTheme="minorHAnsi" w:cstheme="minorBidi"/>
                <w:noProof/>
                <w:sz w:val="22"/>
                <w:szCs w:val="22"/>
              </w:rPr>
              <w:tab/>
            </w:r>
            <w:r w:rsidR="00FC5A5E" w:rsidRPr="008F5513">
              <w:rPr>
                <w:rStyle w:val="Hiperveza"/>
                <w:noProof/>
              </w:rPr>
              <w:t>Praćenje emisija i imisija POPs-ova u zraku</w:t>
            </w:r>
            <w:r w:rsidR="00FC5A5E">
              <w:rPr>
                <w:noProof/>
                <w:webHidden/>
              </w:rPr>
              <w:tab/>
            </w:r>
            <w:r w:rsidR="00FC5A5E">
              <w:rPr>
                <w:noProof/>
                <w:webHidden/>
              </w:rPr>
              <w:fldChar w:fldCharType="begin"/>
            </w:r>
            <w:r w:rsidR="00FC5A5E">
              <w:rPr>
                <w:noProof/>
                <w:webHidden/>
              </w:rPr>
              <w:instrText xml:space="preserve"> PAGEREF _Toc100840615 \h </w:instrText>
            </w:r>
            <w:r w:rsidR="00FC5A5E">
              <w:rPr>
                <w:noProof/>
                <w:webHidden/>
              </w:rPr>
            </w:r>
            <w:r w:rsidR="00FC5A5E">
              <w:rPr>
                <w:noProof/>
                <w:webHidden/>
              </w:rPr>
              <w:fldChar w:fldCharType="separate"/>
            </w:r>
            <w:r w:rsidR="006201FC">
              <w:rPr>
                <w:noProof/>
                <w:webHidden/>
              </w:rPr>
              <w:t>36</w:t>
            </w:r>
            <w:r w:rsidR="00FC5A5E">
              <w:rPr>
                <w:noProof/>
                <w:webHidden/>
              </w:rPr>
              <w:fldChar w:fldCharType="end"/>
            </w:r>
          </w:hyperlink>
        </w:p>
        <w:p w14:paraId="1A18D926" w14:textId="4F5EB8FB" w:rsidR="00FC5A5E" w:rsidRDefault="00EC2796">
          <w:pPr>
            <w:pStyle w:val="Sadraj3"/>
            <w:tabs>
              <w:tab w:val="left" w:pos="1540"/>
              <w:tab w:val="right" w:leader="dot" w:pos="9628"/>
            </w:tabs>
            <w:rPr>
              <w:rFonts w:asciiTheme="minorHAnsi" w:eastAsiaTheme="minorEastAsia" w:hAnsiTheme="minorHAnsi" w:cstheme="minorBidi"/>
              <w:noProof/>
              <w:sz w:val="22"/>
              <w:szCs w:val="22"/>
            </w:rPr>
          </w:pPr>
          <w:hyperlink w:anchor="_Toc100840616" w:history="1">
            <w:r w:rsidR="00FC5A5E" w:rsidRPr="008F5513">
              <w:rPr>
                <w:rStyle w:val="Hiperveza"/>
                <w:noProof/>
              </w:rPr>
              <w:t>2.3.6.1</w:t>
            </w:r>
            <w:r w:rsidR="00FC5A5E">
              <w:rPr>
                <w:rFonts w:asciiTheme="minorHAnsi" w:eastAsiaTheme="minorEastAsia" w:hAnsiTheme="minorHAnsi" w:cstheme="minorBidi"/>
                <w:noProof/>
                <w:sz w:val="22"/>
                <w:szCs w:val="22"/>
              </w:rPr>
              <w:tab/>
            </w:r>
            <w:r w:rsidR="00FC5A5E" w:rsidRPr="008F5513">
              <w:rPr>
                <w:rStyle w:val="Hiperveza"/>
                <w:noProof/>
              </w:rPr>
              <w:t>Praćenje imisija POPs-ova u zraku</w:t>
            </w:r>
            <w:r w:rsidR="00FC5A5E">
              <w:rPr>
                <w:noProof/>
                <w:webHidden/>
              </w:rPr>
              <w:tab/>
            </w:r>
            <w:r w:rsidR="00FC5A5E">
              <w:rPr>
                <w:noProof/>
                <w:webHidden/>
              </w:rPr>
              <w:fldChar w:fldCharType="begin"/>
            </w:r>
            <w:r w:rsidR="00FC5A5E">
              <w:rPr>
                <w:noProof/>
                <w:webHidden/>
              </w:rPr>
              <w:instrText xml:space="preserve"> PAGEREF _Toc100840616 \h </w:instrText>
            </w:r>
            <w:r w:rsidR="00FC5A5E">
              <w:rPr>
                <w:noProof/>
                <w:webHidden/>
              </w:rPr>
            </w:r>
            <w:r w:rsidR="00FC5A5E">
              <w:rPr>
                <w:noProof/>
                <w:webHidden/>
              </w:rPr>
              <w:fldChar w:fldCharType="separate"/>
            </w:r>
            <w:r w:rsidR="006201FC">
              <w:rPr>
                <w:noProof/>
                <w:webHidden/>
              </w:rPr>
              <w:t>36</w:t>
            </w:r>
            <w:r w:rsidR="00FC5A5E">
              <w:rPr>
                <w:noProof/>
                <w:webHidden/>
              </w:rPr>
              <w:fldChar w:fldCharType="end"/>
            </w:r>
          </w:hyperlink>
        </w:p>
        <w:p w14:paraId="1A18D927" w14:textId="0A8D3C1E"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17" w:history="1">
            <w:r w:rsidR="00FC5A5E" w:rsidRPr="008F5513">
              <w:rPr>
                <w:rStyle w:val="Hiperveza"/>
                <w:noProof/>
              </w:rPr>
              <w:t>2.4</w:t>
            </w:r>
            <w:r w:rsidR="00FC5A5E">
              <w:rPr>
                <w:rFonts w:asciiTheme="minorHAnsi" w:eastAsiaTheme="minorEastAsia" w:hAnsiTheme="minorHAnsi" w:cstheme="minorBidi"/>
                <w:noProof/>
                <w:sz w:val="22"/>
                <w:szCs w:val="22"/>
              </w:rPr>
              <w:tab/>
            </w:r>
            <w:r w:rsidR="00FC5A5E" w:rsidRPr="008F5513">
              <w:rPr>
                <w:rStyle w:val="Hiperveza"/>
                <w:noProof/>
              </w:rPr>
              <w:t>TRENUTNA I PROCIJENJENA PROIZVODNJA, UPORABA I ISPUŠTANJE POPs-OVA</w:t>
            </w:r>
            <w:r w:rsidR="00FC5A5E">
              <w:rPr>
                <w:noProof/>
                <w:webHidden/>
              </w:rPr>
              <w:tab/>
            </w:r>
            <w:r w:rsidR="00FC5A5E">
              <w:rPr>
                <w:noProof/>
                <w:webHidden/>
              </w:rPr>
              <w:fldChar w:fldCharType="begin"/>
            </w:r>
            <w:r w:rsidR="00FC5A5E">
              <w:rPr>
                <w:noProof/>
                <w:webHidden/>
              </w:rPr>
              <w:instrText xml:space="preserve"> PAGEREF _Toc100840617 \h </w:instrText>
            </w:r>
            <w:r w:rsidR="00FC5A5E">
              <w:rPr>
                <w:noProof/>
                <w:webHidden/>
              </w:rPr>
            </w:r>
            <w:r w:rsidR="00FC5A5E">
              <w:rPr>
                <w:noProof/>
                <w:webHidden/>
              </w:rPr>
              <w:fldChar w:fldCharType="separate"/>
            </w:r>
            <w:r w:rsidR="006201FC">
              <w:rPr>
                <w:noProof/>
                <w:webHidden/>
              </w:rPr>
              <w:t>45</w:t>
            </w:r>
            <w:r w:rsidR="00FC5A5E">
              <w:rPr>
                <w:noProof/>
                <w:webHidden/>
              </w:rPr>
              <w:fldChar w:fldCharType="end"/>
            </w:r>
          </w:hyperlink>
        </w:p>
        <w:p w14:paraId="1A18D928" w14:textId="6072190E"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18" w:history="1">
            <w:r w:rsidR="00FC5A5E" w:rsidRPr="00FC5A5E">
              <w:rPr>
                <w:rStyle w:val="Hiperveza"/>
                <w:noProof/>
              </w:rPr>
              <w:t>2.5</w:t>
            </w:r>
            <w:r w:rsidR="00FC5A5E" w:rsidRPr="00FC5A5E">
              <w:rPr>
                <w:rFonts w:asciiTheme="minorHAnsi" w:eastAsiaTheme="minorEastAsia" w:hAnsiTheme="minorHAnsi" w:cstheme="minorBidi"/>
                <w:noProof/>
                <w:sz w:val="22"/>
                <w:szCs w:val="22"/>
              </w:rPr>
              <w:tab/>
            </w:r>
            <w:r w:rsidR="00FC5A5E" w:rsidRPr="00FC5A5E">
              <w:rPr>
                <w:rStyle w:val="Hiperveza"/>
                <w:noProof/>
              </w:rPr>
              <w:t>PREGLED POPs-OVA PRIJAVLJENIH U BAZU REGISTAR ONEČIŠĆAVANJA OKOLIŠA (ROO) I U BAZU REGISTAR POSTROJENJA U KOJIMA SU PRISUTNE OPASNE TVARI/OČEVIDNIK PRIJAVLJENIH VELIKIH NESREĆA (RPOT/OPVN)</w:t>
            </w:r>
            <w:r w:rsidR="00FC5A5E">
              <w:rPr>
                <w:noProof/>
                <w:webHidden/>
              </w:rPr>
              <w:tab/>
            </w:r>
            <w:r w:rsidR="00FC5A5E">
              <w:rPr>
                <w:noProof/>
                <w:webHidden/>
              </w:rPr>
              <w:fldChar w:fldCharType="begin"/>
            </w:r>
            <w:r w:rsidR="00FC5A5E">
              <w:rPr>
                <w:noProof/>
                <w:webHidden/>
              </w:rPr>
              <w:instrText xml:space="preserve"> PAGEREF _Toc100840618 \h </w:instrText>
            </w:r>
            <w:r w:rsidR="00FC5A5E">
              <w:rPr>
                <w:noProof/>
                <w:webHidden/>
              </w:rPr>
            </w:r>
            <w:r w:rsidR="00FC5A5E">
              <w:rPr>
                <w:noProof/>
                <w:webHidden/>
              </w:rPr>
              <w:fldChar w:fldCharType="separate"/>
            </w:r>
            <w:r w:rsidR="006201FC">
              <w:rPr>
                <w:noProof/>
                <w:webHidden/>
              </w:rPr>
              <w:t>47</w:t>
            </w:r>
            <w:r w:rsidR="00FC5A5E">
              <w:rPr>
                <w:noProof/>
                <w:webHidden/>
              </w:rPr>
              <w:fldChar w:fldCharType="end"/>
            </w:r>
          </w:hyperlink>
        </w:p>
        <w:p w14:paraId="1A18D929" w14:textId="04CD4146" w:rsidR="00FC5A5E" w:rsidRDefault="00EC2796">
          <w:pPr>
            <w:pStyle w:val="Sadraj3"/>
            <w:tabs>
              <w:tab w:val="right" w:leader="dot" w:pos="9628"/>
            </w:tabs>
            <w:rPr>
              <w:rFonts w:asciiTheme="minorHAnsi" w:eastAsiaTheme="minorEastAsia" w:hAnsiTheme="minorHAnsi" w:cstheme="minorBidi"/>
              <w:noProof/>
              <w:sz w:val="22"/>
              <w:szCs w:val="22"/>
            </w:rPr>
          </w:pPr>
          <w:hyperlink w:anchor="_Toc100840619" w:history="1">
            <w:r w:rsidR="00FC5A5E" w:rsidRPr="008F5513">
              <w:rPr>
                <w:rStyle w:val="Hiperveza"/>
                <w:noProof/>
              </w:rPr>
              <w:t>2.5.1. Količine ispuštanja POPs-ova u zrak prema podacima baze ROO</w:t>
            </w:r>
            <w:r w:rsidR="00FC5A5E">
              <w:rPr>
                <w:noProof/>
                <w:webHidden/>
              </w:rPr>
              <w:tab/>
            </w:r>
            <w:r w:rsidR="00FC5A5E">
              <w:rPr>
                <w:noProof/>
                <w:webHidden/>
              </w:rPr>
              <w:fldChar w:fldCharType="begin"/>
            </w:r>
            <w:r w:rsidR="00FC5A5E">
              <w:rPr>
                <w:noProof/>
                <w:webHidden/>
              </w:rPr>
              <w:instrText xml:space="preserve"> PAGEREF _Toc100840619 \h </w:instrText>
            </w:r>
            <w:r w:rsidR="00FC5A5E">
              <w:rPr>
                <w:noProof/>
                <w:webHidden/>
              </w:rPr>
            </w:r>
            <w:r w:rsidR="00FC5A5E">
              <w:rPr>
                <w:noProof/>
                <w:webHidden/>
              </w:rPr>
              <w:fldChar w:fldCharType="separate"/>
            </w:r>
            <w:r w:rsidR="006201FC">
              <w:rPr>
                <w:noProof/>
                <w:webHidden/>
              </w:rPr>
              <w:t>49</w:t>
            </w:r>
            <w:r w:rsidR="00FC5A5E">
              <w:rPr>
                <w:noProof/>
                <w:webHidden/>
              </w:rPr>
              <w:fldChar w:fldCharType="end"/>
            </w:r>
          </w:hyperlink>
        </w:p>
        <w:p w14:paraId="1A18D92A" w14:textId="7FE8EE8C" w:rsidR="00FC5A5E" w:rsidRDefault="00EC2796">
          <w:pPr>
            <w:pStyle w:val="Sadraj3"/>
            <w:tabs>
              <w:tab w:val="right" w:leader="dot" w:pos="9628"/>
            </w:tabs>
            <w:rPr>
              <w:rFonts w:asciiTheme="minorHAnsi" w:eastAsiaTheme="minorEastAsia" w:hAnsiTheme="minorHAnsi" w:cstheme="minorBidi"/>
              <w:noProof/>
              <w:sz w:val="22"/>
              <w:szCs w:val="22"/>
            </w:rPr>
          </w:pPr>
          <w:hyperlink w:anchor="_Toc100840620" w:history="1">
            <w:r w:rsidR="00FC5A5E" w:rsidRPr="008F5513">
              <w:rPr>
                <w:rStyle w:val="Hiperveza"/>
                <w:noProof/>
              </w:rPr>
              <w:t>2.5.2. Količine ispuštanja POPs-ova u otpadnim vodama prema podacima baze ROO</w:t>
            </w:r>
            <w:r w:rsidR="00FC5A5E">
              <w:rPr>
                <w:noProof/>
                <w:webHidden/>
              </w:rPr>
              <w:tab/>
            </w:r>
            <w:r w:rsidR="00FC5A5E">
              <w:rPr>
                <w:noProof/>
                <w:webHidden/>
              </w:rPr>
              <w:fldChar w:fldCharType="begin"/>
            </w:r>
            <w:r w:rsidR="00FC5A5E">
              <w:rPr>
                <w:noProof/>
                <w:webHidden/>
              </w:rPr>
              <w:instrText xml:space="preserve"> PAGEREF _Toc100840620 \h </w:instrText>
            </w:r>
            <w:r w:rsidR="00FC5A5E">
              <w:rPr>
                <w:noProof/>
                <w:webHidden/>
              </w:rPr>
            </w:r>
            <w:r w:rsidR="00FC5A5E">
              <w:rPr>
                <w:noProof/>
                <w:webHidden/>
              </w:rPr>
              <w:fldChar w:fldCharType="separate"/>
            </w:r>
            <w:r w:rsidR="006201FC">
              <w:rPr>
                <w:noProof/>
                <w:webHidden/>
              </w:rPr>
              <w:t>50</w:t>
            </w:r>
            <w:r w:rsidR="00FC5A5E">
              <w:rPr>
                <w:noProof/>
                <w:webHidden/>
              </w:rPr>
              <w:fldChar w:fldCharType="end"/>
            </w:r>
          </w:hyperlink>
        </w:p>
        <w:p w14:paraId="1A18D92B" w14:textId="533E45D5" w:rsidR="00FC5A5E" w:rsidRDefault="00EC2796">
          <w:pPr>
            <w:pStyle w:val="Sadraj3"/>
            <w:tabs>
              <w:tab w:val="right" w:leader="dot" w:pos="9628"/>
            </w:tabs>
            <w:rPr>
              <w:rFonts w:asciiTheme="minorHAnsi" w:eastAsiaTheme="minorEastAsia" w:hAnsiTheme="minorHAnsi" w:cstheme="minorBidi"/>
              <w:noProof/>
              <w:sz w:val="22"/>
              <w:szCs w:val="22"/>
            </w:rPr>
          </w:pPr>
          <w:hyperlink w:anchor="_Toc100840621" w:history="1">
            <w:r w:rsidR="00FC5A5E" w:rsidRPr="008F5513">
              <w:rPr>
                <w:rStyle w:val="Hiperveza"/>
                <w:noProof/>
              </w:rPr>
              <w:t>2.5.3. Podaci o opasnom otpadu koji može sadržavati POPs, prema podacima baze ROO i evidencje o prekograničnom prometu otpada</w:t>
            </w:r>
            <w:r w:rsidR="00FC5A5E">
              <w:rPr>
                <w:noProof/>
                <w:webHidden/>
              </w:rPr>
              <w:tab/>
            </w:r>
            <w:r w:rsidR="00FC5A5E">
              <w:rPr>
                <w:noProof/>
                <w:webHidden/>
              </w:rPr>
              <w:fldChar w:fldCharType="begin"/>
            </w:r>
            <w:r w:rsidR="00FC5A5E">
              <w:rPr>
                <w:noProof/>
                <w:webHidden/>
              </w:rPr>
              <w:instrText xml:space="preserve"> PAGEREF _Toc100840621 \h </w:instrText>
            </w:r>
            <w:r w:rsidR="00FC5A5E">
              <w:rPr>
                <w:noProof/>
                <w:webHidden/>
              </w:rPr>
            </w:r>
            <w:r w:rsidR="00FC5A5E">
              <w:rPr>
                <w:noProof/>
                <w:webHidden/>
              </w:rPr>
              <w:fldChar w:fldCharType="separate"/>
            </w:r>
            <w:r w:rsidR="006201FC">
              <w:rPr>
                <w:noProof/>
                <w:webHidden/>
              </w:rPr>
              <w:t>51</w:t>
            </w:r>
            <w:r w:rsidR="00FC5A5E">
              <w:rPr>
                <w:noProof/>
                <w:webHidden/>
              </w:rPr>
              <w:fldChar w:fldCharType="end"/>
            </w:r>
          </w:hyperlink>
        </w:p>
        <w:p w14:paraId="1A18D92C" w14:textId="68181B78" w:rsidR="00FC5A5E" w:rsidRDefault="00EC2796">
          <w:pPr>
            <w:pStyle w:val="Sadraj3"/>
            <w:tabs>
              <w:tab w:val="right" w:leader="dot" w:pos="9628"/>
            </w:tabs>
            <w:rPr>
              <w:rFonts w:asciiTheme="minorHAnsi" w:eastAsiaTheme="minorEastAsia" w:hAnsiTheme="minorHAnsi" w:cstheme="minorBidi"/>
              <w:noProof/>
              <w:sz w:val="22"/>
              <w:szCs w:val="22"/>
            </w:rPr>
          </w:pPr>
          <w:hyperlink w:anchor="_Toc100840622" w:history="1">
            <w:r w:rsidR="00FC5A5E" w:rsidRPr="008F5513">
              <w:rPr>
                <w:rStyle w:val="Hiperveza"/>
                <w:noProof/>
              </w:rPr>
              <w:t>2.5.4. Količine POPs-ova prijavljenih u bazu RPOT/OPVN</w:t>
            </w:r>
            <w:r w:rsidR="00FC5A5E">
              <w:rPr>
                <w:noProof/>
                <w:webHidden/>
              </w:rPr>
              <w:tab/>
            </w:r>
            <w:r w:rsidR="00FC5A5E">
              <w:rPr>
                <w:noProof/>
                <w:webHidden/>
              </w:rPr>
              <w:fldChar w:fldCharType="begin"/>
            </w:r>
            <w:r w:rsidR="00FC5A5E">
              <w:rPr>
                <w:noProof/>
                <w:webHidden/>
              </w:rPr>
              <w:instrText xml:space="preserve"> PAGEREF _Toc100840622 \h </w:instrText>
            </w:r>
            <w:r w:rsidR="00FC5A5E">
              <w:rPr>
                <w:noProof/>
                <w:webHidden/>
              </w:rPr>
            </w:r>
            <w:r w:rsidR="00FC5A5E">
              <w:rPr>
                <w:noProof/>
                <w:webHidden/>
              </w:rPr>
              <w:fldChar w:fldCharType="separate"/>
            </w:r>
            <w:r w:rsidR="006201FC">
              <w:rPr>
                <w:noProof/>
                <w:webHidden/>
              </w:rPr>
              <w:t>54</w:t>
            </w:r>
            <w:r w:rsidR="00FC5A5E">
              <w:rPr>
                <w:noProof/>
                <w:webHidden/>
              </w:rPr>
              <w:fldChar w:fldCharType="end"/>
            </w:r>
          </w:hyperlink>
        </w:p>
        <w:p w14:paraId="1A18D92D" w14:textId="14A9FF03"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23" w:history="1">
            <w:r w:rsidR="00FC5A5E" w:rsidRPr="008F5513">
              <w:rPr>
                <w:rStyle w:val="Hiperveza"/>
                <w:noProof/>
              </w:rPr>
              <w:t>2.6</w:t>
            </w:r>
            <w:r w:rsidR="00FC5A5E">
              <w:rPr>
                <w:rFonts w:asciiTheme="minorHAnsi" w:eastAsiaTheme="minorEastAsia" w:hAnsiTheme="minorHAnsi" w:cstheme="minorBidi"/>
                <w:noProof/>
                <w:sz w:val="22"/>
                <w:szCs w:val="22"/>
              </w:rPr>
              <w:tab/>
            </w:r>
            <w:r w:rsidR="00FC5A5E" w:rsidRPr="008F5513">
              <w:rPr>
                <w:rStyle w:val="Hiperveza"/>
                <w:noProof/>
              </w:rPr>
              <w:t>MONITORING OSTATAKA PESTICIDA KOJI SU UJEDNO I POPs-OVI NA PROIZVODIMA BILJNOG I ŽIVOTINJSKOG PODRIJETLA</w:t>
            </w:r>
            <w:r w:rsidR="00FC5A5E">
              <w:rPr>
                <w:noProof/>
                <w:webHidden/>
              </w:rPr>
              <w:tab/>
            </w:r>
            <w:r w:rsidR="00FC5A5E">
              <w:rPr>
                <w:noProof/>
                <w:webHidden/>
              </w:rPr>
              <w:fldChar w:fldCharType="begin"/>
            </w:r>
            <w:r w:rsidR="00FC5A5E">
              <w:rPr>
                <w:noProof/>
                <w:webHidden/>
              </w:rPr>
              <w:instrText xml:space="preserve"> PAGEREF _Toc100840623 \h </w:instrText>
            </w:r>
            <w:r w:rsidR="00FC5A5E">
              <w:rPr>
                <w:noProof/>
                <w:webHidden/>
              </w:rPr>
            </w:r>
            <w:r w:rsidR="00FC5A5E">
              <w:rPr>
                <w:noProof/>
                <w:webHidden/>
              </w:rPr>
              <w:fldChar w:fldCharType="separate"/>
            </w:r>
            <w:r w:rsidR="006201FC">
              <w:rPr>
                <w:noProof/>
                <w:webHidden/>
              </w:rPr>
              <w:t>55</w:t>
            </w:r>
            <w:r w:rsidR="00FC5A5E">
              <w:rPr>
                <w:noProof/>
                <w:webHidden/>
              </w:rPr>
              <w:fldChar w:fldCharType="end"/>
            </w:r>
          </w:hyperlink>
        </w:p>
        <w:p w14:paraId="1A18D92E" w14:textId="27955B87"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24" w:history="1">
            <w:r w:rsidR="00FC5A5E" w:rsidRPr="008F5513">
              <w:rPr>
                <w:rStyle w:val="Hiperveza"/>
                <w:noProof/>
              </w:rPr>
              <w:t>2.7</w:t>
            </w:r>
            <w:r w:rsidR="00FC5A5E">
              <w:rPr>
                <w:rFonts w:asciiTheme="minorHAnsi" w:eastAsiaTheme="minorEastAsia" w:hAnsiTheme="minorHAnsi" w:cstheme="minorBidi"/>
                <w:noProof/>
                <w:sz w:val="22"/>
                <w:szCs w:val="22"/>
              </w:rPr>
              <w:tab/>
            </w:r>
            <w:r w:rsidR="00FC5A5E" w:rsidRPr="008F5513">
              <w:rPr>
                <w:rStyle w:val="Hiperveza"/>
                <w:noProof/>
              </w:rPr>
              <w:t>PRAĆENJE STANJA OSTATAKA PESTICIDA U I NA HRANI</w:t>
            </w:r>
            <w:r w:rsidR="00FC5A5E">
              <w:rPr>
                <w:noProof/>
                <w:webHidden/>
              </w:rPr>
              <w:tab/>
            </w:r>
            <w:r w:rsidR="00FC5A5E">
              <w:rPr>
                <w:noProof/>
                <w:webHidden/>
              </w:rPr>
              <w:fldChar w:fldCharType="begin"/>
            </w:r>
            <w:r w:rsidR="00FC5A5E">
              <w:rPr>
                <w:noProof/>
                <w:webHidden/>
              </w:rPr>
              <w:instrText xml:space="preserve"> PAGEREF _Toc100840624 \h </w:instrText>
            </w:r>
            <w:r w:rsidR="00FC5A5E">
              <w:rPr>
                <w:noProof/>
                <w:webHidden/>
              </w:rPr>
            </w:r>
            <w:r w:rsidR="00FC5A5E">
              <w:rPr>
                <w:noProof/>
                <w:webHidden/>
              </w:rPr>
              <w:fldChar w:fldCharType="separate"/>
            </w:r>
            <w:r w:rsidR="006201FC">
              <w:rPr>
                <w:noProof/>
                <w:webHidden/>
              </w:rPr>
              <w:t>55</w:t>
            </w:r>
            <w:r w:rsidR="00FC5A5E">
              <w:rPr>
                <w:noProof/>
                <w:webHidden/>
              </w:rPr>
              <w:fldChar w:fldCharType="end"/>
            </w:r>
          </w:hyperlink>
        </w:p>
        <w:p w14:paraId="1A18D92F" w14:textId="06B9603E"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25" w:history="1">
            <w:r w:rsidR="00FC5A5E" w:rsidRPr="008F5513">
              <w:rPr>
                <w:rStyle w:val="Hiperveza"/>
                <w:noProof/>
              </w:rPr>
              <w:t>2.8</w:t>
            </w:r>
            <w:r w:rsidR="00FC5A5E">
              <w:rPr>
                <w:rFonts w:asciiTheme="minorHAnsi" w:eastAsiaTheme="minorEastAsia" w:hAnsiTheme="minorHAnsi" w:cstheme="minorBidi"/>
                <w:noProof/>
                <w:sz w:val="22"/>
                <w:szCs w:val="22"/>
              </w:rPr>
              <w:tab/>
            </w:r>
            <w:r w:rsidR="00FC5A5E" w:rsidRPr="008F5513">
              <w:rPr>
                <w:rStyle w:val="Hiperveza"/>
                <w:noProof/>
              </w:rPr>
              <w:t>MONITORING OSTATAKA POPs-OVA U LJUDSKOM MLIJEKU DOJILJA</w:t>
            </w:r>
            <w:r w:rsidR="00FC5A5E">
              <w:rPr>
                <w:noProof/>
                <w:webHidden/>
              </w:rPr>
              <w:tab/>
            </w:r>
            <w:r w:rsidR="00FC5A5E">
              <w:rPr>
                <w:noProof/>
                <w:webHidden/>
              </w:rPr>
              <w:fldChar w:fldCharType="begin"/>
            </w:r>
            <w:r w:rsidR="00FC5A5E">
              <w:rPr>
                <w:noProof/>
                <w:webHidden/>
              </w:rPr>
              <w:instrText xml:space="preserve"> PAGEREF _Toc100840625 \h </w:instrText>
            </w:r>
            <w:r w:rsidR="00FC5A5E">
              <w:rPr>
                <w:noProof/>
                <w:webHidden/>
              </w:rPr>
            </w:r>
            <w:r w:rsidR="00FC5A5E">
              <w:rPr>
                <w:noProof/>
                <w:webHidden/>
              </w:rPr>
              <w:fldChar w:fldCharType="separate"/>
            </w:r>
            <w:r w:rsidR="006201FC">
              <w:rPr>
                <w:noProof/>
                <w:webHidden/>
              </w:rPr>
              <w:t>56</w:t>
            </w:r>
            <w:r w:rsidR="00FC5A5E">
              <w:rPr>
                <w:noProof/>
                <w:webHidden/>
              </w:rPr>
              <w:fldChar w:fldCharType="end"/>
            </w:r>
          </w:hyperlink>
        </w:p>
        <w:p w14:paraId="1A18D930" w14:textId="771DA683" w:rsidR="00FC5A5E" w:rsidRDefault="00EC2796">
          <w:pPr>
            <w:pStyle w:val="Sadraj2"/>
            <w:tabs>
              <w:tab w:val="left" w:pos="880"/>
              <w:tab w:val="right" w:leader="dot" w:pos="9628"/>
            </w:tabs>
            <w:rPr>
              <w:rFonts w:asciiTheme="minorHAnsi" w:eastAsiaTheme="minorEastAsia" w:hAnsiTheme="minorHAnsi" w:cstheme="minorBidi"/>
              <w:noProof/>
              <w:sz w:val="22"/>
              <w:szCs w:val="22"/>
            </w:rPr>
          </w:pPr>
          <w:hyperlink w:anchor="_Toc100840626" w:history="1">
            <w:r w:rsidR="00FC5A5E" w:rsidRPr="008F5513">
              <w:rPr>
                <w:rStyle w:val="Hiperveza"/>
                <w:noProof/>
              </w:rPr>
              <w:t>2.9</w:t>
            </w:r>
            <w:r w:rsidR="00FC5A5E">
              <w:rPr>
                <w:rFonts w:asciiTheme="minorHAnsi" w:eastAsiaTheme="minorEastAsia" w:hAnsiTheme="minorHAnsi" w:cstheme="minorBidi"/>
                <w:noProof/>
                <w:sz w:val="22"/>
                <w:szCs w:val="22"/>
              </w:rPr>
              <w:tab/>
            </w:r>
            <w:r w:rsidR="00FC5A5E" w:rsidRPr="008F5513">
              <w:rPr>
                <w:rStyle w:val="Hiperveza"/>
                <w:noProof/>
              </w:rPr>
              <w:t>MONITORING REZIDUA – OSTALI IZVORI</w:t>
            </w:r>
            <w:r w:rsidR="00FC5A5E">
              <w:rPr>
                <w:noProof/>
                <w:webHidden/>
              </w:rPr>
              <w:tab/>
            </w:r>
            <w:r w:rsidR="00FC5A5E">
              <w:rPr>
                <w:noProof/>
                <w:webHidden/>
              </w:rPr>
              <w:fldChar w:fldCharType="begin"/>
            </w:r>
            <w:r w:rsidR="00FC5A5E">
              <w:rPr>
                <w:noProof/>
                <w:webHidden/>
              </w:rPr>
              <w:instrText xml:space="preserve"> PAGEREF _Toc100840626 \h </w:instrText>
            </w:r>
            <w:r w:rsidR="00FC5A5E">
              <w:rPr>
                <w:noProof/>
                <w:webHidden/>
              </w:rPr>
            </w:r>
            <w:r w:rsidR="00FC5A5E">
              <w:rPr>
                <w:noProof/>
                <w:webHidden/>
              </w:rPr>
              <w:fldChar w:fldCharType="separate"/>
            </w:r>
            <w:r w:rsidR="006201FC">
              <w:rPr>
                <w:noProof/>
                <w:webHidden/>
              </w:rPr>
              <w:t>56</w:t>
            </w:r>
            <w:r w:rsidR="00FC5A5E">
              <w:rPr>
                <w:noProof/>
                <w:webHidden/>
              </w:rPr>
              <w:fldChar w:fldCharType="end"/>
            </w:r>
          </w:hyperlink>
        </w:p>
        <w:p w14:paraId="1A18D931" w14:textId="7FEC430E" w:rsidR="00FC5A5E" w:rsidRDefault="00EC2796">
          <w:pPr>
            <w:pStyle w:val="Sadraj2"/>
            <w:tabs>
              <w:tab w:val="left" w:pos="1100"/>
              <w:tab w:val="right" w:leader="dot" w:pos="9628"/>
            </w:tabs>
            <w:rPr>
              <w:rFonts w:asciiTheme="minorHAnsi" w:eastAsiaTheme="minorEastAsia" w:hAnsiTheme="minorHAnsi" w:cstheme="minorBidi"/>
              <w:noProof/>
              <w:sz w:val="22"/>
              <w:szCs w:val="22"/>
            </w:rPr>
          </w:pPr>
          <w:hyperlink w:anchor="_Toc100840627" w:history="1">
            <w:r w:rsidR="00FC5A5E" w:rsidRPr="008F5513">
              <w:rPr>
                <w:rStyle w:val="Hiperveza"/>
                <w:noProof/>
              </w:rPr>
              <w:t>2.10</w:t>
            </w:r>
            <w:r w:rsidR="00FC5A5E">
              <w:rPr>
                <w:rFonts w:asciiTheme="minorHAnsi" w:eastAsiaTheme="minorEastAsia" w:hAnsiTheme="minorHAnsi" w:cstheme="minorBidi"/>
                <w:noProof/>
                <w:sz w:val="22"/>
                <w:szCs w:val="22"/>
              </w:rPr>
              <w:tab/>
            </w:r>
            <w:r w:rsidR="00FC5A5E" w:rsidRPr="008F5513">
              <w:rPr>
                <w:rStyle w:val="Hiperveza"/>
                <w:noProof/>
              </w:rPr>
              <w:t>IZVJEŠTAJI IZ OVLAŠTENIH LABORATORIJA</w:t>
            </w:r>
            <w:r w:rsidR="00FC5A5E">
              <w:rPr>
                <w:noProof/>
                <w:webHidden/>
              </w:rPr>
              <w:tab/>
            </w:r>
            <w:r w:rsidR="00FC5A5E">
              <w:rPr>
                <w:noProof/>
                <w:webHidden/>
              </w:rPr>
              <w:fldChar w:fldCharType="begin"/>
            </w:r>
            <w:r w:rsidR="00FC5A5E">
              <w:rPr>
                <w:noProof/>
                <w:webHidden/>
              </w:rPr>
              <w:instrText xml:space="preserve"> PAGEREF _Toc100840627 \h </w:instrText>
            </w:r>
            <w:r w:rsidR="00FC5A5E">
              <w:rPr>
                <w:noProof/>
                <w:webHidden/>
              </w:rPr>
            </w:r>
            <w:r w:rsidR="00FC5A5E">
              <w:rPr>
                <w:noProof/>
                <w:webHidden/>
              </w:rPr>
              <w:fldChar w:fldCharType="separate"/>
            </w:r>
            <w:r w:rsidR="006201FC">
              <w:rPr>
                <w:noProof/>
                <w:webHidden/>
              </w:rPr>
              <w:t>57</w:t>
            </w:r>
            <w:r w:rsidR="00FC5A5E">
              <w:rPr>
                <w:noProof/>
                <w:webHidden/>
              </w:rPr>
              <w:fldChar w:fldCharType="end"/>
            </w:r>
          </w:hyperlink>
        </w:p>
        <w:p w14:paraId="1A18D932" w14:textId="76B22882" w:rsidR="00FC5A5E" w:rsidRDefault="00EC2796">
          <w:pPr>
            <w:pStyle w:val="Sadraj1"/>
            <w:tabs>
              <w:tab w:val="left" w:pos="480"/>
              <w:tab w:val="right" w:leader="dot" w:pos="9628"/>
            </w:tabs>
            <w:rPr>
              <w:rFonts w:asciiTheme="minorHAnsi" w:eastAsiaTheme="minorEastAsia" w:hAnsiTheme="minorHAnsi" w:cstheme="minorBidi"/>
              <w:noProof/>
              <w:sz w:val="22"/>
              <w:szCs w:val="22"/>
            </w:rPr>
          </w:pPr>
          <w:hyperlink w:anchor="_Toc100840628" w:history="1">
            <w:r w:rsidR="00FC5A5E" w:rsidRPr="008F5513">
              <w:rPr>
                <w:rStyle w:val="Hiperveza"/>
                <w:noProof/>
              </w:rPr>
              <w:t>3.</w:t>
            </w:r>
            <w:r w:rsidR="00FC5A5E">
              <w:rPr>
                <w:rFonts w:asciiTheme="minorHAnsi" w:eastAsiaTheme="minorEastAsia" w:hAnsiTheme="minorHAnsi" w:cstheme="minorBidi"/>
                <w:noProof/>
                <w:sz w:val="22"/>
                <w:szCs w:val="22"/>
              </w:rPr>
              <w:tab/>
            </w:r>
            <w:r w:rsidR="00FC5A5E" w:rsidRPr="008F5513">
              <w:rPr>
                <w:rStyle w:val="Hiperveza"/>
                <w:noProof/>
              </w:rPr>
              <w:t>ZAKLJUČAK</w:t>
            </w:r>
            <w:r w:rsidR="00FC5A5E">
              <w:rPr>
                <w:noProof/>
                <w:webHidden/>
              </w:rPr>
              <w:tab/>
            </w:r>
            <w:r w:rsidR="00FC5A5E">
              <w:rPr>
                <w:noProof/>
                <w:webHidden/>
              </w:rPr>
              <w:fldChar w:fldCharType="begin"/>
            </w:r>
            <w:r w:rsidR="00FC5A5E">
              <w:rPr>
                <w:noProof/>
                <w:webHidden/>
              </w:rPr>
              <w:instrText xml:space="preserve"> PAGEREF _Toc100840628 \h </w:instrText>
            </w:r>
            <w:r w:rsidR="00FC5A5E">
              <w:rPr>
                <w:noProof/>
                <w:webHidden/>
              </w:rPr>
            </w:r>
            <w:r w:rsidR="00FC5A5E">
              <w:rPr>
                <w:noProof/>
                <w:webHidden/>
              </w:rPr>
              <w:fldChar w:fldCharType="separate"/>
            </w:r>
            <w:r w:rsidR="006201FC">
              <w:rPr>
                <w:noProof/>
                <w:webHidden/>
              </w:rPr>
              <w:t>59</w:t>
            </w:r>
            <w:r w:rsidR="00FC5A5E">
              <w:rPr>
                <w:noProof/>
                <w:webHidden/>
              </w:rPr>
              <w:fldChar w:fldCharType="end"/>
            </w:r>
          </w:hyperlink>
        </w:p>
        <w:p w14:paraId="1A18D933" w14:textId="5FA79559" w:rsidR="00FC5A5E" w:rsidRDefault="00EC2796">
          <w:pPr>
            <w:pStyle w:val="Sadraj1"/>
            <w:tabs>
              <w:tab w:val="left" w:pos="480"/>
              <w:tab w:val="right" w:leader="dot" w:pos="9628"/>
            </w:tabs>
            <w:rPr>
              <w:rFonts w:asciiTheme="minorHAnsi" w:eastAsiaTheme="minorEastAsia" w:hAnsiTheme="minorHAnsi" w:cstheme="minorBidi"/>
              <w:noProof/>
              <w:sz w:val="22"/>
              <w:szCs w:val="22"/>
            </w:rPr>
          </w:pPr>
          <w:hyperlink w:anchor="_Toc100840629" w:history="1">
            <w:r w:rsidR="00FC5A5E" w:rsidRPr="008F5513">
              <w:rPr>
                <w:rStyle w:val="Hiperveza"/>
                <w:noProof/>
              </w:rPr>
              <w:t>4.</w:t>
            </w:r>
            <w:r w:rsidR="00FC5A5E">
              <w:rPr>
                <w:rFonts w:asciiTheme="minorHAnsi" w:eastAsiaTheme="minorEastAsia" w:hAnsiTheme="minorHAnsi" w:cstheme="minorBidi"/>
                <w:noProof/>
                <w:sz w:val="22"/>
                <w:szCs w:val="22"/>
              </w:rPr>
              <w:tab/>
            </w:r>
            <w:r w:rsidR="00FC5A5E" w:rsidRPr="008F5513">
              <w:rPr>
                <w:rStyle w:val="Hiperveza"/>
                <w:noProof/>
              </w:rPr>
              <w:t>PLANOVI ZA SLJEDEĆE DVOGODIŠNJE RAZDOBLJE</w:t>
            </w:r>
            <w:r w:rsidR="00FC5A5E">
              <w:rPr>
                <w:noProof/>
                <w:webHidden/>
              </w:rPr>
              <w:tab/>
            </w:r>
            <w:r w:rsidR="00FC5A5E">
              <w:rPr>
                <w:noProof/>
                <w:webHidden/>
              </w:rPr>
              <w:fldChar w:fldCharType="begin"/>
            </w:r>
            <w:r w:rsidR="00FC5A5E">
              <w:rPr>
                <w:noProof/>
                <w:webHidden/>
              </w:rPr>
              <w:instrText xml:space="preserve"> PAGEREF _Toc100840629 \h </w:instrText>
            </w:r>
            <w:r w:rsidR="00FC5A5E">
              <w:rPr>
                <w:noProof/>
                <w:webHidden/>
              </w:rPr>
            </w:r>
            <w:r w:rsidR="00FC5A5E">
              <w:rPr>
                <w:noProof/>
                <w:webHidden/>
              </w:rPr>
              <w:fldChar w:fldCharType="separate"/>
            </w:r>
            <w:r w:rsidR="006201FC">
              <w:rPr>
                <w:noProof/>
                <w:webHidden/>
              </w:rPr>
              <w:t>60</w:t>
            </w:r>
            <w:r w:rsidR="00FC5A5E">
              <w:rPr>
                <w:noProof/>
                <w:webHidden/>
              </w:rPr>
              <w:fldChar w:fldCharType="end"/>
            </w:r>
          </w:hyperlink>
        </w:p>
        <w:p w14:paraId="1A18D934" w14:textId="77777777" w:rsidR="00430E79" w:rsidRPr="00E47EC1" w:rsidRDefault="00430E79" w:rsidP="006D7751">
          <w:pPr>
            <w:pStyle w:val="Sadraj1"/>
            <w:tabs>
              <w:tab w:val="left" w:pos="480"/>
              <w:tab w:val="right" w:leader="dot" w:pos="9628"/>
            </w:tabs>
          </w:pPr>
          <w:r w:rsidRPr="00683038">
            <w:rPr>
              <w:b/>
              <w:bCs/>
            </w:rPr>
            <w:fldChar w:fldCharType="end"/>
          </w:r>
        </w:p>
      </w:sdtContent>
    </w:sdt>
    <w:p w14:paraId="1A18D935" w14:textId="77777777" w:rsidR="00FE39BB" w:rsidRPr="00E47EC1" w:rsidRDefault="00FE39BB" w:rsidP="00CA0E23">
      <w:pPr>
        <w:spacing w:after="200" w:line="276" w:lineRule="auto"/>
        <w:sectPr w:rsidR="00FE39BB" w:rsidRPr="00E47EC1" w:rsidSect="00CA0E23">
          <w:pgSz w:w="11906" w:h="16838"/>
          <w:pgMar w:top="1134" w:right="1134" w:bottom="1134" w:left="1134" w:header="708" w:footer="708" w:gutter="0"/>
          <w:pgNumType w:start="1"/>
          <w:cols w:space="708"/>
          <w:titlePg/>
          <w:docGrid w:linePitch="360"/>
        </w:sectPr>
      </w:pPr>
    </w:p>
    <w:p w14:paraId="1A18D936" w14:textId="77777777" w:rsidR="00CB270F" w:rsidRPr="00E47EC1" w:rsidRDefault="00561C97" w:rsidP="00E83AC0">
      <w:pPr>
        <w:spacing w:after="200" w:line="276" w:lineRule="auto"/>
      </w:pPr>
      <w:r w:rsidRPr="00E47EC1">
        <w:lastRenderedPageBreak/>
        <w:t>KRATICE:</w:t>
      </w:r>
    </w:p>
    <w:p w14:paraId="1A18D937"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BaP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b</w:t>
      </w:r>
      <w:r w:rsidRPr="00E47EC1">
        <w:rPr>
          <w:rFonts w:ascii="Times New Roman" w:hAnsi="Times New Roman" w:cs="Times New Roman"/>
        </w:rPr>
        <w:t xml:space="preserve">enzo(a)piren </w:t>
      </w:r>
    </w:p>
    <w:p w14:paraId="1A18D938"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BDE-209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dekabromodifenileter</w:t>
      </w:r>
    </w:p>
    <w:p w14:paraId="1A18D939"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c-decaBDE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dekabromodifenileter</w:t>
      </w:r>
    </w:p>
    <w:p w14:paraId="1A18D93A" w14:textId="77777777" w:rsidR="00C16409" w:rsidRPr="00E47EC1" w:rsidRDefault="00C16409" w:rsidP="00E83AC0">
      <w:pPr>
        <w:pStyle w:val="CM11"/>
        <w:ind w:left="1505" w:right="52" w:hanging="1505"/>
        <w:rPr>
          <w:rFonts w:ascii="Times New Roman" w:hAnsi="Times New Roman" w:cs="Times New Roman"/>
        </w:rPr>
      </w:pPr>
      <w:r w:rsidRPr="00E47EC1">
        <w:rPr>
          <w:rFonts w:ascii="Times New Roman" w:hAnsi="Times New Roman" w:cs="Times New Roman"/>
        </w:rPr>
        <w:t xml:space="preserve">COP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 xml:space="preserve">engl. </w:t>
      </w:r>
      <w:r w:rsidRPr="00E47EC1">
        <w:rPr>
          <w:rFonts w:ascii="Times New Roman" w:hAnsi="Times New Roman" w:cs="Times New Roman"/>
          <w:i/>
        </w:rPr>
        <w:t>Conference of the Parties</w:t>
      </w:r>
      <w:r w:rsidRPr="00E47EC1">
        <w:rPr>
          <w:rFonts w:ascii="Times New Roman" w:hAnsi="Times New Roman" w:cs="Times New Roman"/>
        </w:rPr>
        <w:t xml:space="preserve">, Konferencija stranaka konvencije </w:t>
      </w:r>
    </w:p>
    <w:p w14:paraId="1A18D93B"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CV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ciljna vrijednost</w:t>
      </w:r>
    </w:p>
    <w:p w14:paraId="1A18D93C"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DDD, DDE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m</w:t>
      </w:r>
      <w:r w:rsidRPr="00E47EC1">
        <w:rPr>
          <w:rFonts w:ascii="Times New Roman" w:hAnsi="Times New Roman" w:cs="Times New Roman"/>
        </w:rPr>
        <w:t xml:space="preserve">etaboliti DDT-a </w:t>
      </w:r>
    </w:p>
    <w:p w14:paraId="1A18D93D"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DDT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d</w:t>
      </w:r>
      <w:r w:rsidRPr="00E47EC1">
        <w:rPr>
          <w:rFonts w:ascii="Times New Roman" w:hAnsi="Times New Roman" w:cs="Times New Roman"/>
        </w:rPr>
        <w:t xml:space="preserve">iklor-difenil-trikloretan </w:t>
      </w:r>
    </w:p>
    <w:p w14:paraId="1A18D93E"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DPMR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Državni program monitoringa rezidua</w:t>
      </w:r>
    </w:p>
    <w:p w14:paraId="1A18D93F" w14:textId="77777777" w:rsidR="00C16409" w:rsidRPr="00E47EC1" w:rsidRDefault="004F5E97" w:rsidP="00E83AC0">
      <w:pPr>
        <w:pStyle w:val="CM11"/>
        <w:ind w:left="2124" w:right="52" w:hanging="2124"/>
        <w:rPr>
          <w:rFonts w:ascii="Times New Roman" w:hAnsi="Times New Roman" w:cs="Times New Roman"/>
        </w:rPr>
      </w:pPr>
      <w:r w:rsidRPr="00E47EC1">
        <w:rPr>
          <w:rFonts w:ascii="Times New Roman" w:hAnsi="Times New Roman" w:cs="Times New Roman"/>
        </w:rPr>
        <w:t>E</w:t>
      </w:r>
      <w:r w:rsidR="00C16409" w:rsidRPr="00E47EC1">
        <w:rPr>
          <w:rFonts w:ascii="Times New Roman" w:hAnsi="Times New Roman" w:cs="Times New Roman"/>
        </w:rPr>
        <w:t xml:space="preserve">FFIS – </w:t>
      </w:r>
      <w:r w:rsidR="00C16409" w:rsidRPr="00E47EC1">
        <w:rPr>
          <w:rFonts w:ascii="Times New Roman" w:hAnsi="Times New Roman" w:cs="Times New Roman"/>
        </w:rPr>
        <w:tab/>
        <w:t>engl.</w:t>
      </w:r>
      <w:r w:rsidR="00C16409" w:rsidRPr="00E47EC1">
        <w:rPr>
          <w:rFonts w:ascii="Times New Roman" w:hAnsi="Times New Roman" w:cs="Times New Roman"/>
          <w:i/>
          <w:iCs/>
        </w:rPr>
        <w:t xml:space="preserve"> European Forest Fire Information System</w:t>
      </w:r>
      <w:r w:rsidR="00C16409" w:rsidRPr="00E47EC1">
        <w:rPr>
          <w:rFonts w:ascii="Times New Roman" w:hAnsi="Times New Roman" w:cs="Times New Roman"/>
        </w:rPr>
        <w:t xml:space="preserve">, hrv. Europski informacijski sustav šumskih požara </w:t>
      </w:r>
    </w:p>
    <w:p w14:paraId="1A18D940" w14:textId="77777777" w:rsidR="00C16409" w:rsidRPr="00E47EC1" w:rsidRDefault="00C16409" w:rsidP="00E83AC0">
      <w:pPr>
        <w:ind w:left="2124" w:hanging="2124"/>
      </w:pPr>
      <w:r w:rsidRPr="00E47EC1">
        <w:t xml:space="preserve">EMEP – </w:t>
      </w:r>
      <w:r w:rsidRPr="00E47EC1">
        <w:tab/>
        <w:t xml:space="preserve">engl. </w:t>
      </w:r>
      <w:r w:rsidRPr="00E47EC1">
        <w:rPr>
          <w:i/>
          <w:iCs/>
        </w:rPr>
        <w:t>European Monitoring and Evaluation Program</w:t>
      </w:r>
      <w:r w:rsidRPr="00E47EC1">
        <w:t>, hrv. Program suradnje za praćenje i procjenu prekograničnog prijenosa oneči</w:t>
      </w:r>
      <w:r w:rsidRPr="00E47EC1">
        <w:softHyphen/>
        <w:t>šćujućih tvari u zraku na veliku</w:t>
      </w:r>
      <w:r w:rsidR="007B5E5F">
        <w:t xml:space="preserve"> </w:t>
      </w:r>
      <w:r w:rsidR="00980478">
        <w:t>udaljenost</w:t>
      </w:r>
    </w:p>
    <w:p w14:paraId="1A18D941" w14:textId="77777777" w:rsidR="00C16409" w:rsidRPr="00E47EC1" w:rsidRDefault="00C16409" w:rsidP="00E83AC0">
      <w:pPr>
        <w:pStyle w:val="CM11"/>
        <w:ind w:left="1505" w:right="52" w:hanging="1505"/>
        <w:rPr>
          <w:rFonts w:ascii="Times New Roman" w:hAnsi="Times New Roman" w:cs="Times New Roman"/>
        </w:rPr>
      </w:pPr>
      <w:r w:rsidRPr="00E47EC1">
        <w:rPr>
          <w:rFonts w:ascii="Times New Roman" w:hAnsi="Times New Roman" w:cs="Times New Roman"/>
        </w:rPr>
        <w:t xml:space="preserve">FSC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eng</w:t>
      </w:r>
      <w:r w:rsidR="00101852" w:rsidRPr="00E47EC1">
        <w:rPr>
          <w:rFonts w:ascii="Times New Roman" w:hAnsi="Times New Roman" w:cs="Times New Roman"/>
        </w:rPr>
        <w:t>l</w:t>
      </w:r>
      <w:r w:rsidRPr="00E47EC1">
        <w:rPr>
          <w:rFonts w:ascii="Times New Roman" w:hAnsi="Times New Roman" w:cs="Times New Roman"/>
        </w:rPr>
        <w:t xml:space="preserve">. </w:t>
      </w:r>
      <w:r w:rsidRPr="00E47EC1">
        <w:rPr>
          <w:rFonts w:ascii="Times New Roman" w:hAnsi="Times New Roman" w:cs="Times New Roman"/>
          <w:i/>
        </w:rPr>
        <w:t>The Forest Stewardship Council</w:t>
      </w:r>
      <w:r w:rsidRPr="00E47EC1">
        <w:rPr>
          <w:rFonts w:ascii="Times New Roman" w:hAnsi="Times New Roman" w:cs="Times New Roman"/>
        </w:rPr>
        <w:t>m, hrv. Vijeće za nadzor šuma</w:t>
      </w:r>
    </w:p>
    <w:p w14:paraId="1A18D942" w14:textId="77777777" w:rsidR="00C16409" w:rsidRPr="00E47EC1" w:rsidRDefault="00C16409" w:rsidP="00E83AC0">
      <w:pPr>
        <w:pStyle w:val="CM11"/>
        <w:ind w:left="1505" w:right="52" w:hanging="1505"/>
        <w:rPr>
          <w:rFonts w:ascii="Times New Roman" w:hAnsi="Times New Roman" w:cs="Times New Roman"/>
        </w:rPr>
      </w:pPr>
      <w:r w:rsidRPr="00E47EC1">
        <w:rPr>
          <w:rFonts w:ascii="Times New Roman" w:hAnsi="Times New Roman" w:cs="Times New Roman"/>
        </w:rPr>
        <w:t xml:space="preserve">GEF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 xml:space="preserve">engl. </w:t>
      </w:r>
      <w:r w:rsidRPr="00E47EC1">
        <w:rPr>
          <w:rFonts w:ascii="Times New Roman" w:hAnsi="Times New Roman" w:cs="Times New Roman"/>
          <w:i/>
          <w:iCs/>
        </w:rPr>
        <w:t>Global Environmental Fund</w:t>
      </w:r>
      <w:r w:rsidRPr="00E47EC1">
        <w:rPr>
          <w:rFonts w:ascii="Times New Roman" w:hAnsi="Times New Roman" w:cs="Times New Roman"/>
        </w:rPr>
        <w:t xml:space="preserve">, hrv. Fond za globalni okoliš </w:t>
      </w:r>
    </w:p>
    <w:p w14:paraId="1A18D943"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GTPV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grupirana tijela podzemne vode</w:t>
      </w:r>
    </w:p>
    <w:p w14:paraId="1A18D944" w14:textId="77777777" w:rsidR="003C2CFD"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HAOP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Hrvatska agencija za okoliš i prirodu</w:t>
      </w:r>
    </w:p>
    <w:p w14:paraId="1A18D945" w14:textId="77777777" w:rsidR="00C16409" w:rsidRPr="003C2CFD" w:rsidRDefault="003C2CFD" w:rsidP="00E83AC0">
      <w:pPr>
        <w:pStyle w:val="CM10"/>
        <w:ind w:left="1505" w:hanging="1505"/>
        <w:rPr>
          <w:rFonts w:ascii="Times New Roman" w:hAnsi="Times New Roman" w:cs="Times New Roman"/>
        </w:rPr>
      </w:pPr>
      <w:r w:rsidRPr="003C2CFD">
        <w:rPr>
          <w:rFonts w:ascii="Times New Roman" w:hAnsi="Times New Roman" w:cs="Times New Roman"/>
        </w:rPr>
        <w:t xml:space="preserve">HAPIH – </w:t>
      </w:r>
      <w:r>
        <w:rPr>
          <w:rFonts w:ascii="Times New Roman" w:hAnsi="Times New Roman" w:cs="Times New Roman"/>
        </w:rPr>
        <w:tab/>
      </w:r>
      <w:r>
        <w:rPr>
          <w:rFonts w:ascii="Times New Roman" w:hAnsi="Times New Roman" w:cs="Times New Roman"/>
        </w:rPr>
        <w:tab/>
      </w:r>
      <w:r w:rsidRPr="003C2CFD">
        <w:rPr>
          <w:rFonts w:ascii="Times New Roman" w:hAnsi="Times New Roman" w:cs="Times New Roman"/>
        </w:rPr>
        <w:t xml:space="preserve">Hrvatska agencija za poljoprivredu i hranu </w:t>
      </w:r>
    </w:p>
    <w:p w14:paraId="1A18D946"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HBB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eksabromobifenil </w:t>
      </w:r>
    </w:p>
    <w:p w14:paraId="1A18D947" w14:textId="77777777" w:rsidR="00C16409" w:rsidRPr="00E47EC1" w:rsidRDefault="00C16409" w:rsidP="00E83AC0">
      <w:r w:rsidRPr="00E47EC1">
        <w:t xml:space="preserve">HCBD – </w:t>
      </w:r>
      <w:r w:rsidRPr="00E47EC1">
        <w:tab/>
        <w:t xml:space="preserve"> </w:t>
      </w:r>
      <w:r w:rsidR="00101852" w:rsidRPr="00E47EC1">
        <w:tab/>
      </w:r>
      <w:r w:rsidR="008A6693" w:rsidRPr="00E47EC1">
        <w:t>h</w:t>
      </w:r>
      <w:r w:rsidRPr="00E47EC1">
        <w:t>eksaklorobutadien</w:t>
      </w:r>
    </w:p>
    <w:p w14:paraId="1A18D948" w14:textId="77777777" w:rsidR="00C16409" w:rsidRPr="00E47EC1" w:rsidRDefault="00C16409" w:rsidP="00E83AC0">
      <w:pPr>
        <w:pStyle w:val="CM10"/>
        <w:ind w:left="1503" w:hanging="1503"/>
        <w:rPr>
          <w:rFonts w:ascii="Times New Roman" w:hAnsi="Times New Roman" w:cs="Times New Roman"/>
        </w:rPr>
      </w:pPr>
      <w:r w:rsidRPr="00E47EC1">
        <w:rPr>
          <w:rFonts w:ascii="Times New Roman" w:hAnsi="Times New Roman" w:cs="Times New Roman"/>
        </w:rPr>
        <w:t xml:space="preserve">HBCD/HBCDD – </w:t>
      </w:r>
      <w:r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eksabromociklododekan </w:t>
      </w:r>
    </w:p>
    <w:p w14:paraId="1A18D949"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HCB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eksaklorobenzen </w:t>
      </w:r>
    </w:p>
    <w:p w14:paraId="1A18D94A" w14:textId="77777777" w:rsidR="00C16409" w:rsidRPr="00E47EC1" w:rsidRDefault="00C16409" w:rsidP="00E83AC0">
      <w:pPr>
        <w:pStyle w:val="CM10"/>
        <w:ind w:left="1505" w:hanging="1505"/>
        <w:rPr>
          <w:rFonts w:ascii="Times New Roman" w:hAnsi="Times New Roman" w:cs="Times New Roman"/>
        </w:rPr>
      </w:pPr>
      <w:r w:rsidRPr="00E47EC1">
        <w:rPr>
          <w:rFonts w:ascii="Times New Roman" w:hAnsi="Times New Roman" w:cs="Times New Roman"/>
        </w:rPr>
        <w:t xml:space="preserve">HCH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eksaklorocikloheksan </w:t>
      </w:r>
    </w:p>
    <w:p w14:paraId="1A18D94B" w14:textId="77777777" w:rsidR="00C16409" w:rsidRPr="00E47EC1" w:rsidRDefault="00C16409" w:rsidP="00E83AC0">
      <w:pPr>
        <w:pStyle w:val="Default"/>
        <w:widowControl w:val="0"/>
        <w:numPr>
          <w:ilvl w:val="0"/>
          <w:numId w:val="31"/>
        </w:numPr>
        <w:jc w:val="both"/>
      </w:pPr>
      <w:r w:rsidRPr="00E47EC1">
        <w:rPr>
          <w:color w:val="auto"/>
        </w:rPr>
        <w:t xml:space="preserve">IOR </w:t>
      </w:r>
      <w:r w:rsidRPr="00E47EC1">
        <w:t xml:space="preserve">– </w:t>
      </w:r>
      <w:r w:rsidRPr="00E47EC1">
        <w:tab/>
      </w:r>
      <w:r w:rsidRPr="00E47EC1">
        <w:tab/>
      </w:r>
      <w:r w:rsidR="00101852" w:rsidRPr="00E47EC1">
        <w:tab/>
      </w:r>
      <w:r w:rsidRPr="00E47EC1">
        <w:t>Institut za oceanografiju i ribarstvo iz Splita</w:t>
      </w:r>
    </w:p>
    <w:p w14:paraId="1A18D94C"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IRB </w:t>
      </w:r>
      <w:r w:rsidRPr="00E47EC1">
        <w:t xml:space="preserve">– </w:t>
      </w:r>
      <w:r w:rsidRPr="00E47EC1">
        <w:tab/>
      </w:r>
      <w:r w:rsidRPr="00E47EC1">
        <w:tab/>
      </w:r>
      <w:r w:rsidR="00101852" w:rsidRPr="00E47EC1">
        <w:tab/>
      </w:r>
      <w:r w:rsidRPr="00E47EC1">
        <w:rPr>
          <w:color w:val="auto"/>
        </w:rPr>
        <w:t>Institut Ruđer Bošković iz Zagreba</w:t>
      </w:r>
    </w:p>
    <w:p w14:paraId="1A18D94D" w14:textId="77777777" w:rsidR="00C16409" w:rsidRPr="00E47EC1" w:rsidRDefault="00C16409" w:rsidP="00E83AC0">
      <w:pPr>
        <w:pStyle w:val="Default"/>
        <w:widowControl w:val="0"/>
        <w:ind w:left="2124" w:hanging="2124"/>
        <w:jc w:val="both"/>
        <w:rPr>
          <w:color w:val="auto"/>
        </w:rPr>
      </w:pPr>
      <w:r w:rsidRPr="00E47EC1">
        <w:rPr>
          <w:color w:val="auto"/>
        </w:rPr>
        <w:t>IWW</w:t>
      </w:r>
      <w:r w:rsidRPr="00E47EC1">
        <w:t xml:space="preserve"> – </w:t>
      </w:r>
      <w:r w:rsidRPr="00E47EC1">
        <w:tab/>
      </w:r>
      <w:r w:rsidRPr="00E47EC1">
        <w:rPr>
          <w:color w:val="auto"/>
        </w:rPr>
        <w:t xml:space="preserve">Rheinisch-Westfalisches Institut fur </w:t>
      </w:r>
      <w:r w:rsidR="00101852" w:rsidRPr="00E47EC1">
        <w:rPr>
          <w:color w:val="auto"/>
        </w:rPr>
        <w:t xml:space="preserve">Wasser Beratungs und </w:t>
      </w:r>
      <w:r w:rsidRPr="00E47EC1">
        <w:rPr>
          <w:color w:val="auto"/>
        </w:rPr>
        <w:t>Entwicklungsgesellschaft mbH, Mulheim and der Ruhr, Njemačka</w:t>
      </w:r>
    </w:p>
    <w:p w14:paraId="1A18D94E" w14:textId="77777777" w:rsidR="00C16409" w:rsidRPr="00E47EC1" w:rsidRDefault="00C16409" w:rsidP="00E83AC0">
      <w:pPr>
        <w:pStyle w:val="Default"/>
        <w:widowControl w:val="0"/>
        <w:ind w:left="2127" w:hanging="2127"/>
        <w:jc w:val="both"/>
      </w:pPr>
      <w:r w:rsidRPr="00E47EC1">
        <w:rPr>
          <w:color w:val="auto"/>
        </w:rPr>
        <w:t>LRTAP Konvencija</w:t>
      </w:r>
      <w:r w:rsidR="00101852" w:rsidRPr="00E47EC1">
        <w:rPr>
          <w:color w:val="auto"/>
        </w:rPr>
        <w:t xml:space="preserve"> </w:t>
      </w:r>
      <w:r w:rsidR="00101852" w:rsidRPr="00E47EC1">
        <w:t xml:space="preserve">– </w:t>
      </w:r>
      <w:r w:rsidRPr="00E47EC1">
        <w:t>Konvenciju o dalekosežnom prekograničnom onečišćenju zraka iz 1979. godine</w:t>
      </w:r>
    </w:p>
    <w:p w14:paraId="1A18D94F" w14:textId="77777777" w:rsidR="00CB270F" w:rsidRPr="00E47EC1" w:rsidRDefault="00C16409" w:rsidP="00E83AC0">
      <w:pPr>
        <w:pStyle w:val="Default"/>
        <w:widowControl w:val="0"/>
        <w:numPr>
          <w:ilvl w:val="0"/>
          <w:numId w:val="31"/>
        </w:numPr>
        <w:jc w:val="both"/>
        <w:rPr>
          <w:color w:val="auto"/>
        </w:rPr>
      </w:pPr>
      <w:r w:rsidRPr="00E47EC1">
        <w:t xml:space="preserve">MDK – </w:t>
      </w:r>
      <w:r w:rsidRPr="00E47EC1">
        <w:tab/>
      </w:r>
      <w:r w:rsidR="00101852" w:rsidRPr="00E47EC1">
        <w:tab/>
      </w:r>
      <w:r w:rsidR="008A6693" w:rsidRPr="00E47EC1">
        <w:rPr>
          <w:color w:val="auto"/>
        </w:rPr>
        <w:t>m</w:t>
      </w:r>
      <w:r w:rsidRPr="00E47EC1">
        <w:rPr>
          <w:color w:val="auto"/>
        </w:rPr>
        <w:t>aksimalna dozvoljena koncentracija</w:t>
      </w:r>
    </w:p>
    <w:p w14:paraId="1A18D950" w14:textId="77777777" w:rsidR="00CB270F" w:rsidRPr="00E47EC1" w:rsidRDefault="00CB270F" w:rsidP="00E83AC0">
      <w:pPr>
        <w:pStyle w:val="Default"/>
        <w:widowControl w:val="0"/>
        <w:numPr>
          <w:ilvl w:val="0"/>
          <w:numId w:val="31"/>
        </w:numPr>
        <w:jc w:val="both"/>
        <w:rPr>
          <w:color w:val="auto"/>
        </w:rPr>
      </w:pPr>
      <w:r w:rsidRPr="00E47EC1">
        <w:t>MGK –</w:t>
      </w:r>
      <w:r w:rsidRPr="00E47EC1">
        <w:rPr>
          <w:color w:val="auto"/>
        </w:rPr>
        <w:t xml:space="preserve"> </w:t>
      </w:r>
      <w:r w:rsidR="00C16409" w:rsidRPr="00E47EC1">
        <w:rPr>
          <w:color w:val="auto"/>
        </w:rPr>
        <w:t xml:space="preserve"> </w:t>
      </w:r>
      <w:r w:rsidRPr="00E47EC1">
        <w:rPr>
          <w:color w:val="auto"/>
        </w:rPr>
        <w:tab/>
      </w:r>
      <w:r w:rsidRPr="00E47EC1">
        <w:rPr>
          <w:color w:val="auto"/>
        </w:rPr>
        <w:tab/>
        <w:t>maksimalna godišnja koncentracija</w:t>
      </w:r>
    </w:p>
    <w:p w14:paraId="1A18D951" w14:textId="77777777" w:rsidR="00165DDD" w:rsidRPr="00E47EC1" w:rsidRDefault="00C16409" w:rsidP="00E83AC0">
      <w:pPr>
        <w:pStyle w:val="Default"/>
        <w:widowControl w:val="0"/>
        <w:numPr>
          <w:ilvl w:val="0"/>
          <w:numId w:val="31"/>
        </w:numPr>
        <w:jc w:val="both"/>
        <w:rPr>
          <w:color w:val="auto"/>
        </w:rPr>
      </w:pPr>
      <w:r w:rsidRPr="00E47EC1">
        <w:t xml:space="preserve">MZOE – </w:t>
      </w:r>
      <w:r w:rsidRPr="00E47EC1">
        <w:tab/>
      </w:r>
      <w:r w:rsidR="00101852" w:rsidRPr="00E47EC1">
        <w:tab/>
      </w:r>
      <w:r w:rsidRPr="00E47EC1">
        <w:rPr>
          <w:color w:val="auto"/>
        </w:rPr>
        <w:t>Ministarstvo zaštite okoliša i energetike</w:t>
      </w:r>
    </w:p>
    <w:p w14:paraId="1A18D952" w14:textId="77777777" w:rsidR="00C16409" w:rsidRPr="00E47EC1" w:rsidRDefault="00165DDD" w:rsidP="00E83AC0">
      <w:pPr>
        <w:pStyle w:val="Default"/>
        <w:widowControl w:val="0"/>
        <w:numPr>
          <w:ilvl w:val="0"/>
          <w:numId w:val="31"/>
        </w:numPr>
        <w:jc w:val="both"/>
        <w:rPr>
          <w:color w:val="auto"/>
        </w:rPr>
      </w:pPr>
      <w:r w:rsidRPr="00E47EC1">
        <w:t>MZOIP –</w:t>
      </w:r>
      <w:r w:rsidRPr="00E47EC1">
        <w:rPr>
          <w:color w:val="auto"/>
        </w:rPr>
        <w:t xml:space="preserve"> </w:t>
      </w:r>
      <w:r w:rsidRPr="00E47EC1">
        <w:rPr>
          <w:color w:val="auto"/>
        </w:rPr>
        <w:tab/>
      </w:r>
      <w:r w:rsidRPr="00E47EC1">
        <w:rPr>
          <w:color w:val="auto"/>
        </w:rPr>
        <w:tab/>
        <w:t>Ministarstvo zaštite okoliša i prirode</w:t>
      </w:r>
    </w:p>
    <w:p w14:paraId="1A18D953" w14:textId="77777777" w:rsidR="00C16409" w:rsidRPr="00E47EC1" w:rsidRDefault="00C16409" w:rsidP="00E83AC0">
      <w:pPr>
        <w:pStyle w:val="Default"/>
        <w:widowControl w:val="0"/>
        <w:ind w:left="2127" w:hanging="2127"/>
        <w:jc w:val="both"/>
        <w:rPr>
          <w:color w:val="auto"/>
        </w:rPr>
      </w:pPr>
      <w:r w:rsidRPr="00E47EC1">
        <w:rPr>
          <w:color w:val="auto"/>
        </w:rPr>
        <w:t>NIP</w:t>
      </w:r>
      <w:r w:rsidRPr="00E47EC1">
        <w:t xml:space="preserve"> – </w:t>
      </w:r>
      <w:r w:rsidRPr="00E47EC1">
        <w:tab/>
      </w:r>
      <w:r w:rsidRPr="00E47EC1">
        <w:rPr>
          <w:color w:val="auto"/>
        </w:rPr>
        <w:t>Nacionalni plan za provedbu Stockholmske konvencije o postojanim organskim onečišćujućim tvarima</w:t>
      </w:r>
    </w:p>
    <w:p w14:paraId="1A18D954"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NZLO </w:t>
      </w:r>
      <w:r w:rsidRPr="00E47EC1">
        <w:t xml:space="preserve">– </w:t>
      </w:r>
      <w:r w:rsidRPr="00E47EC1">
        <w:tab/>
      </w:r>
      <w:r w:rsidR="00101852" w:rsidRPr="00E47EC1">
        <w:tab/>
      </w:r>
      <w:r w:rsidRPr="00E47EC1">
        <w:rPr>
          <w:color w:val="auto"/>
        </w:rPr>
        <w:t>Nacionalni laboratorij za zdravje, okolje i hrano iz Maribora, Slovenija</w:t>
      </w:r>
    </w:p>
    <w:p w14:paraId="1A18D955" w14:textId="77777777" w:rsidR="002941B4" w:rsidRPr="00E47EC1" w:rsidRDefault="002941B4" w:rsidP="00E83AC0">
      <w:pPr>
        <w:pStyle w:val="Default"/>
        <w:widowControl w:val="0"/>
        <w:numPr>
          <w:ilvl w:val="1"/>
          <w:numId w:val="31"/>
        </w:numPr>
        <w:jc w:val="both"/>
        <w:rPr>
          <w:color w:val="auto"/>
        </w:rPr>
      </w:pPr>
      <w:r w:rsidRPr="00E47EC1">
        <w:t>PAH/</w:t>
      </w:r>
      <w:r w:rsidR="00C16409" w:rsidRPr="00E47EC1">
        <w:t xml:space="preserve">PAU – </w:t>
      </w:r>
      <w:r w:rsidR="00C16409" w:rsidRPr="00E47EC1">
        <w:tab/>
      </w:r>
      <w:r w:rsidR="00C16409" w:rsidRPr="00E47EC1">
        <w:tab/>
      </w:r>
      <w:r w:rsidRPr="00E47EC1">
        <w:t xml:space="preserve">engl. </w:t>
      </w:r>
      <w:r w:rsidRPr="00E47EC1">
        <w:rPr>
          <w:i/>
        </w:rPr>
        <w:t>Polycyclic Aromatic Hydrocarbons</w:t>
      </w:r>
      <w:r w:rsidRPr="00E47EC1">
        <w:t>, hrv.</w:t>
      </w:r>
      <w:r w:rsidRPr="00E47EC1">
        <w:rPr>
          <w:i/>
        </w:rPr>
        <w:t xml:space="preserve"> </w:t>
      </w:r>
      <w:r w:rsidR="00165DDD" w:rsidRPr="00E47EC1">
        <w:rPr>
          <w:color w:val="auto"/>
        </w:rPr>
        <w:t>p</w:t>
      </w:r>
      <w:r w:rsidR="00C16409" w:rsidRPr="00E47EC1">
        <w:rPr>
          <w:color w:val="auto"/>
        </w:rPr>
        <w:t xml:space="preserve">oliciklički aromatski </w:t>
      </w:r>
    </w:p>
    <w:p w14:paraId="1A18D956" w14:textId="77777777" w:rsidR="00C16409" w:rsidRPr="00E47EC1" w:rsidRDefault="00C16409" w:rsidP="00E83AC0">
      <w:pPr>
        <w:pStyle w:val="Default"/>
        <w:widowControl w:val="0"/>
        <w:ind w:firstLine="2127"/>
        <w:jc w:val="both"/>
        <w:rPr>
          <w:color w:val="auto"/>
        </w:rPr>
      </w:pPr>
      <w:r w:rsidRPr="00E47EC1">
        <w:rPr>
          <w:color w:val="auto"/>
        </w:rPr>
        <w:t xml:space="preserve">ugljikovodici </w:t>
      </w:r>
      <w:r w:rsidR="002941B4" w:rsidRPr="00E47EC1">
        <w:rPr>
          <w:color w:val="auto"/>
        </w:rPr>
        <w:t>(PAU)</w:t>
      </w:r>
    </w:p>
    <w:p w14:paraId="1A18D957" w14:textId="77777777" w:rsidR="00C16409" w:rsidRPr="00E47EC1" w:rsidRDefault="00C16409" w:rsidP="00E83AC0">
      <w:pPr>
        <w:pStyle w:val="Default"/>
        <w:widowControl w:val="0"/>
        <w:numPr>
          <w:ilvl w:val="0"/>
          <w:numId w:val="31"/>
        </w:numPr>
        <w:jc w:val="both"/>
        <w:rPr>
          <w:color w:val="auto"/>
        </w:rPr>
      </w:pPr>
      <w:r w:rsidRPr="00E47EC1">
        <w:t xml:space="preserve">PBDE – </w:t>
      </w:r>
      <w:r w:rsidRPr="00E47EC1">
        <w:tab/>
      </w:r>
      <w:r w:rsidR="00101852" w:rsidRPr="00E47EC1">
        <w:tab/>
      </w:r>
      <w:r w:rsidR="00165DDD" w:rsidRPr="00E47EC1">
        <w:rPr>
          <w:color w:val="auto"/>
        </w:rPr>
        <w:t>p</w:t>
      </w:r>
      <w:r w:rsidRPr="00E47EC1">
        <w:rPr>
          <w:color w:val="auto"/>
        </w:rPr>
        <w:t xml:space="preserve">olibromiranidifenil eteri </w:t>
      </w:r>
    </w:p>
    <w:p w14:paraId="1A18D958" w14:textId="77777777" w:rsidR="00C16409" w:rsidRPr="00E47EC1" w:rsidRDefault="00C16409" w:rsidP="00E83AC0">
      <w:pPr>
        <w:pStyle w:val="Default"/>
        <w:widowControl w:val="0"/>
        <w:numPr>
          <w:ilvl w:val="0"/>
          <w:numId w:val="31"/>
        </w:numPr>
        <w:jc w:val="both"/>
        <w:rPr>
          <w:color w:val="auto"/>
        </w:rPr>
      </w:pPr>
      <w:r w:rsidRPr="00E47EC1">
        <w:t xml:space="preserve">PCB – </w:t>
      </w:r>
      <w:r w:rsidRPr="00E47EC1">
        <w:tab/>
      </w:r>
      <w:r w:rsidRPr="00E47EC1">
        <w:tab/>
      </w:r>
      <w:r w:rsidR="00101852" w:rsidRPr="00E47EC1">
        <w:tab/>
      </w:r>
      <w:r w:rsidR="00165DDD" w:rsidRPr="00E47EC1">
        <w:rPr>
          <w:color w:val="auto"/>
        </w:rPr>
        <w:t>p</w:t>
      </w:r>
      <w:r w:rsidRPr="00E47EC1">
        <w:rPr>
          <w:color w:val="auto"/>
        </w:rPr>
        <w:t xml:space="preserve">oliklorirani bifenili </w:t>
      </w:r>
    </w:p>
    <w:p w14:paraId="1A18D959" w14:textId="77777777" w:rsidR="00C16409" w:rsidRPr="00E47EC1" w:rsidRDefault="00C16409" w:rsidP="00E83AC0">
      <w:pPr>
        <w:pStyle w:val="Default"/>
        <w:widowControl w:val="0"/>
        <w:numPr>
          <w:ilvl w:val="0"/>
          <w:numId w:val="31"/>
        </w:numPr>
        <w:jc w:val="both"/>
        <w:rPr>
          <w:color w:val="auto"/>
        </w:rPr>
      </w:pPr>
      <w:r w:rsidRPr="00E47EC1">
        <w:t xml:space="preserve">PCDD – </w:t>
      </w:r>
      <w:r w:rsidRPr="00E47EC1">
        <w:tab/>
      </w:r>
      <w:r w:rsidR="00101852" w:rsidRPr="00E47EC1">
        <w:tab/>
      </w:r>
      <w:r w:rsidR="00165DDD" w:rsidRPr="00E47EC1">
        <w:rPr>
          <w:color w:val="auto"/>
        </w:rPr>
        <w:t>p</w:t>
      </w:r>
      <w:r w:rsidRPr="00E47EC1">
        <w:rPr>
          <w:color w:val="auto"/>
        </w:rPr>
        <w:t xml:space="preserve">oliklorirani dibenzo-p-dioksini </w:t>
      </w:r>
    </w:p>
    <w:p w14:paraId="1A18D95A" w14:textId="77777777" w:rsidR="00C16409" w:rsidRPr="00E47EC1" w:rsidRDefault="00C16409" w:rsidP="00E83AC0">
      <w:pPr>
        <w:pStyle w:val="Default"/>
        <w:widowControl w:val="0"/>
        <w:numPr>
          <w:ilvl w:val="0"/>
          <w:numId w:val="31"/>
        </w:numPr>
        <w:jc w:val="both"/>
        <w:rPr>
          <w:color w:val="auto"/>
        </w:rPr>
      </w:pPr>
      <w:r w:rsidRPr="00E47EC1">
        <w:t xml:space="preserve">PCDF – </w:t>
      </w:r>
      <w:r w:rsidRPr="00E47EC1">
        <w:tab/>
      </w:r>
      <w:r w:rsidR="00101852" w:rsidRPr="00E47EC1">
        <w:tab/>
      </w:r>
      <w:r w:rsidR="00165DDD" w:rsidRPr="00E47EC1">
        <w:rPr>
          <w:color w:val="auto"/>
        </w:rPr>
        <w:t>p</w:t>
      </w:r>
      <w:r w:rsidRPr="00E47EC1">
        <w:rPr>
          <w:color w:val="auto"/>
        </w:rPr>
        <w:t xml:space="preserve">oliklorirani dibenzofurani </w:t>
      </w:r>
    </w:p>
    <w:p w14:paraId="1A18D95B"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PCN – </w:t>
      </w:r>
      <w:r w:rsidRPr="00E47EC1">
        <w:rPr>
          <w:color w:val="auto"/>
        </w:rPr>
        <w:tab/>
        <w:t xml:space="preserve"> </w:t>
      </w:r>
      <w:r w:rsidRPr="00E47EC1">
        <w:rPr>
          <w:color w:val="auto"/>
        </w:rPr>
        <w:tab/>
      </w:r>
      <w:r w:rsidR="00101852" w:rsidRPr="00E47EC1">
        <w:rPr>
          <w:color w:val="auto"/>
        </w:rPr>
        <w:tab/>
      </w:r>
      <w:r w:rsidR="00165DDD" w:rsidRPr="00E47EC1">
        <w:rPr>
          <w:color w:val="auto"/>
        </w:rPr>
        <w:t>p</w:t>
      </w:r>
      <w:r w:rsidRPr="00E47EC1">
        <w:rPr>
          <w:color w:val="auto"/>
        </w:rPr>
        <w:t xml:space="preserve">oliklorirani naftaleni </w:t>
      </w:r>
    </w:p>
    <w:p w14:paraId="1A18D95C"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PCP – </w:t>
      </w:r>
      <w:r w:rsidRPr="00E47EC1">
        <w:rPr>
          <w:color w:val="auto"/>
        </w:rPr>
        <w:tab/>
        <w:t xml:space="preserve"> </w:t>
      </w:r>
      <w:r w:rsidRPr="00E47EC1">
        <w:rPr>
          <w:color w:val="auto"/>
        </w:rPr>
        <w:tab/>
      </w:r>
      <w:r w:rsidR="00101852" w:rsidRPr="00E47EC1">
        <w:rPr>
          <w:color w:val="auto"/>
        </w:rPr>
        <w:tab/>
      </w:r>
      <w:r w:rsidR="00165DDD" w:rsidRPr="00E47EC1">
        <w:rPr>
          <w:color w:val="auto"/>
        </w:rPr>
        <w:t>p</w:t>
      </w:r>
      <w:r w:rsidRPr="00E47EC1">
        <w:rPr>
          <w:color w:val="auto"/>
        </w:rPr>
        <w:t>entaklorofenol i njegove soli i esteri</w:t>
      </w:r>
    </w:p>
    <w:p w14:paraId="1A18D95D" w14:textId="77777777" w:rsidR="00C16409" w:rsidRPr="00E47EC1" w:rsidRDefault="00C16409" w:rsidP="00E83AC0">
      <w:pPr>
        <w:pStyle w:val="Default"/>
        <w:widowControl w:val="0"/>
        <w:numPr>
          <w:ilvl w:val="0"/>
          <w:numId w:val="31"/>
        </w:numPr>
        <w:jc w:val="both"/>
        <w:rPr>
          <w:color w:val="auto"/>
        </w:rPr>
      </w:pPr>
      <w:r w:rsidRPr="00E47EC1">
        <w:t xml:space="preserve">PCT – </w:t>
      </w:r>
      <w:r w:rsidRPr="00E47EC1">
        <w:tab/>
      </w:r>
      <w:r w:rsidRPr="00E47EC1">
        <w:tab/>
      </w:r>
      <w:r w:rsidR="00101852" w:rsidRPr="00E47EC1">
        <w:tab/>
      </w:r>
      <w:r w:rsidR="002941B4" w:rsidRPr="00E47EC1">
        <w:rPr>
          <w:color w:val="auto"/>
        </w:rPr>
        <w:t>p</w:t>
      </w:r>
      <w:r w:rsidRPr="00E47EC1">
        <w:rPr>
          <w:color w:val="auto"/>
        </w:rPr>
        <w:t xml:space="preserve">oliklorirani terfenili </w:t>
      </w:r>
    </w:p>
    <w:p w14:paraId="1A18D95E" w14:textId="77777777" w:rsidR="00C16409" w:rsidRPr="00E47EC1" w:rsidRDefault="00C16409" w:rsidP="00E83AC0">
      <w:pPr>
        <w:pStyle w:val="Default"/>
        <w:widowControl w:val="0"/>
        <w:numPr>
          <w:ilvl w:val="0"/>
          <w:numId w:val="31"/>
        </w:numPr>
        <w:jc w:val="both"/>
        <w:rPr>
          <w:color w:val="auto"/>
        </w:rPr>
      </w:pPr>
      <w:r w:rsidRPr="00E47EC1">
        <w:t xml:space="preserve">PeCB – </w:t>
      </w:r>
      <w:r w:rsidRPr="00E47EC1">
        <w:tab/>
      </w:r>
      <w:r w:rsidR="00101852" w:rsidRPr="00E47EC1">
        <w:tab/>
      </w:r>
      <w:r w:rsidR="00165DDD" w:rsidRPr="00E47EC1">
        <w:rPr>
          <w:color w:val="auto"/>
        </w:rPr>
        <w:t>p</w:t>
      </w:r>
      <w:r w:rsidRPr="00E47EC1">
        <w:rPr>
          <w:color w:val="auto"/>
        </w:rPr>
        <w:t xml:space="preserve">entaklorobenzen </w:t>
      </w:r>
    </w:p>
    <w:p w14:paraId="1A18D95F"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PFOA </w:t>
      </w:r>
      <w:r w:rsidRPr="00E47EC1">
        <w:t xml:space="preserve">– </w:t>
      </w:r>
      <w:r w:rsidRPr="00E47EC1">
        <w:tab/>
      </w:r>
      <w:r w:rsidR="00101852" w:rsidRPr="00E47EC1">
        <w:tab/>
      </w:r>
      <w:r w:rsidRPr="00E47EC1">
        <w:rPr>
          <w:color w:val="auto"/>
        </w:rPr>
        <w:t>perfluorooktanska kiselina</w:t>
      </w:r>
    </w:p>
    <w:p w14:paraId="1A18D960" w14:textId="77777777" w:rsidR="00C16409" w:rsidRPr="00E47EC1" w:rsidRDefault="00C16409" w:rsidP="00E83AC0">
      <w:pPr>
        <w:pStyle w:val="Default"/>
        <w:widowControl w:val="0"/>
        <w:numPr>
          <w:ilvl w:val="0"/>
          <w:numId w:val="31"/>
        </w:numPr>
        <w:jc w:val="both"/>
        <w:rPr>
          <w:color w:val="auto"/>
        </w:rPr>
      </w:pPr>
      <w:r w:rsidRPr="00E47EC1">
        <w:t xml:space="preserve">PFOS – </w:t>
      </w:r>
      <w:r w:rsidRPr="00E47EC1">
        <w:tab/>
      </w:r>
      <w:r w:rsidR="00101852" w:rsidRPr="00E47EC1">
        <w:tab/>
      </w:r>
      <w:r w:rsidR="00165DDD" w:rsidRPr="00E47EC1">
        <w:rPr>
          <w:color w:val="auto"/>
        </w:rPr>
        <w:t>p</w:t>
      </w:r>
      <w:r w:rsidRPr="00E47EC1">
        <w:rPr>
          <w:color w:val="auto"/>
        </w:rPr>
        <w:t xml:space="preserve">erfluorooktan sulfonska kiselina </w:t>
      </w:r>
    </w:p>
    <w:p w14:paraId="1A18D961" w14:textId="77777777" w:rsidR="00C16409" w:rsidRPr="00E47EC1" w:rsidRDefault="00C16409" w:rsidP="00E83AC0">
      <w:pPr>
        <w:pStyle w:val="Default"/>
        <w:widowControl w:val="0"/>
        <w:numPr>
          <w:ilvl w:val="0"/>
          <w:numId w:val="31"/>
        </w:numPr>
        <w:jc w:val="both"/>
        <w:rPr>
          <w:color w:val="auto"/>
        </w:rPr>
      </w:pPr>
      <w:r w:rsidRPr="00E47EC1">
        <w:t xml:space="preserve">PFOSF – </w:t>
      </w:r>
      <w:r w:rsidRPr="00E47EC1">
        <w:tab/>
      </w:r>
      <w:r w:rsidR="00101852" w:rsidRPr="00E47EC1">
        <w:tab/>
      </w:r>
      <w:r w:rsidR="00165DDD" w:rsidRPr="00E47EC1">
        <w:rPr>
          <w:color w:val="auto"/>
        </w:rPr>
        <w:t>p</w:t>
      </w:r>
      <w:r w:rsidRPr="00E47EC1">
        <w:rPr>
          <w:color w:val="auto"/>
        </w:rPr>
        <w:t xml:space="preserve">erfluorooktan sulfonil fluorid </w:t>
      </w:r>
    </w:p>
    <w:p w14:paraId="1A18D962" w14:textId="77777777" w:rsidR="00FE39BB" w:rsidRPr="00E47EC1" w:rsidRDefault="00FE39BB" w:rsidP="00E83AC0">
      <w:pPr>
        <w:pStyle w:val="Default"/>
        <w:widowControl w:val="0"/>
        <w:numPr>
          <w:ilvl w:val="0"/>
          <w:numId w:val="31"/>
        </w:numPr>
        <w:jc w:val="both"/>
        <w:rPr>
          <w:color w:val="auto"/>
        </w:rPr>
        <w:sectPr w:rsidR="00FE39BB" w:rsidRPr="00E47EC1" w:rsidSect="00CA0E23">
          <w:pgSz w:w="11906" w:h="16838"/>
          <w:pgMar w:top="1134" w:right="1134" w:bottom="1134" w:left="1134" w:header="708" w:footer="708" w:gutter="0"/>
          <w:pgNumType w:start="1"/>
          <w:cols w:space="708"/>
          <w:titlePg/>
          <w:docGrid w:linePitch="360"/>
        </w:sectPr>
      </w:pPr>
    </w:p>
    <w:p w14:paraId="1A18D963" w14:textId="77777777" w:rsidR="00C16409" w:rsidRPr="00E47EC1" w:rsidRDefault="00C16409" w:rsidP="00E83AC0">
      <w:pPr>
        <w:pStyle w:val="Default"/>
        <w:widowControl w:val="0"/>
        <w:numPr>
          <w:ilvl w:val="0"/>
          <w:numId w:val="31"/>
        </w:numPr>
        <w:jc w:val="both"/>
        <w:rPr>
          <w:color w:val="auto"/>
        </w:rPr>
      </w:pPr>
      <w:r w:rsidRPr="00E47EC1">
        <w:rPr>
          <w:color w:val="auto"/>
        </w:rPr>
        <w:lastRenderedPageBreak/>
        <w:t xml:space="preserve">PGK </w:t>
      </w:r>
      <w:r w:rsidR="00101852" w:rsidRPr="00E47EC1">
        <w:t xml:space="preserve">– </w:t>
      </w:r>
      <w:r w:rsidR="00101852" w:rsidRPr="00E47EC1">
        <w:tab/>
      </w:r>
      <w:r w:rsidR="00101852" w:rsidRPr="00E47EC1">
        <w:tab/>
      </w:r>
      <w:r w:rsidR="00165DDD" w:rsidRPr="00E47EC1">
        <w:rPr>
          <w:color w:val="auto"/>
        </w:rPr>
        <w:t>p</w:t>
      </w:r>
      <w:r w:rsidRPr="00E47EC1">
        <w:rPr>
          <w:color w:val="auto"/>
        </w:rPr>
        <w:t>rosječna godišnja koncentracija</w:t>
      </w:r>
    </w:p>
    <w:p w14:paraId="1A18D964" w14:textId="77777777" w:rsidR="00C16409" w:rsidRPr="00E47EC1" w:rsidRDefault="00C16409" w:rsidP="00E83AC0">
      <w:pPr>
        <w:pStyle w:val="Default"/>
        <w:widowControl w:val="0"/>
        <w:tabs>
          <w:tab w:val="left" w:pos="1843"/>
        </w:tabs>
        <w:ind w:left="2127" w:hanging="2127"/>
        <w:jc w:val="both"/>
        <w:rPr>
          <w:color w:val="auto"/>
        </w:rPr>
      </w:pPr>
      <w:r w:rsidRPr="00E47EC1">
        <w:rPr>
          <w:color w:val="auto"/>
        </w:rPr>
        <w:t xml:space="preserve">POPs  </w:t>
      </w:r>
      <w:r w:rsidRPr="00E47EC1">
        <w:t xml:space="preserve">– </w:t>
      </w:r>
      <w:r w:rsidRPr="00E47EC1">
        <w:tab/>
        <w:t xml:space="preserve"> </w:t>
      </w:r>
      <w:r w:rsidR="00101852" w:rsidRPr="00E47EC1">
        <w:tab/>
      </w:r>
      <w:r w:rsidRPr="00E47EC1">
        <w:rPr>
          <w:color w:val="auto"/>
        </w:rPr>
        <w:t>eng</w:t>
      </w:r>
      <w:r w:rsidR="00101852" w:rsidRPr="00E47EC1">
        <w:rPr>
          <w:color w:val="auto"/>
        </w:rPr>
        <w:t>l</w:t>
      </w:r>
      <w:r w:rsidRPr="00E47EC1">
        <w:rPr>
          <w:color w:val="auto"/>
        </w:rPr>
        <w:t xml:space="preserve">. </w:t>
      </w:r>
      <w:r w:rsidRPr="00E47EC1">
        <w:rPr>
          <w:i/>
          <w:color w:val="auto"/>
        </w:rPr>
        <w:t>Persistent Organic Pollutants</w:t>
      </w:r>
      <w:r w:rsidR="00101852" w:rsidRPr="00E47EC1">
        <w:rPr>
          <w:color w:val="auto"/>
        </w:rPr>
        <w:t>, hrv. postojane organske onečišćujuće tvari</w:t>
      </w:r>
    </w:p>
    <w:p w14:paraId="1A18D965" w14:textId="77777777" w:rsidR="00C16409" w:rsidRPr="00E47EC1" w:rsidRDefault="00C16409" w:rsidP="00E83AC0">
      <w:pPr>
        <w:pStyle w:val="Default"/>
        <w:widowControl w:val="0"/>
        <w:ind w:left="2124" w:hanging="2124"/>
        <w:jc w:val="both"/>
        <w:rPr>
          <w:color w:val="auto"/>
        </w:rPr>
      </w:pPr>
      <w:r w:rsidRPr="00E47EC1">
        <w:rPr>
          <w:color w:val="auto"/>
        </w:rPr>
        <w:t>POPs Uredba</w:t>
      </w:r>
      <w:r w:rsidR="00101852" w:rsidRPr="00E47EC1">
        <w:rPr>
          <w:color w:val="auto"/>
        </w:rPr>
        <w:t xml:space="preserve"> </w:t>
      </w:r>
      <w:r w:rsidRPr="00E47EC1">
        <w:t xml:space="preserve">– </w:t>
      </w:r>
      <w:r w:rsidRPr="00E47EC1">
        <w:tab/>
        <w:t xml:space="preserve">Uredba (EZ) br. 850/2004 Europskog parlamenta i Vijeća od 29. travnja </w:t>
      </w:r>
      <w:r w:rsidR="007D7B0D" w:rsidRPr="00E47EC1">
        <w:t xml:space="preserve">    </w:t>
      </w:r>
      <w:r w:rsidRPr="00E47EC1">
        <w:t>2004. o postojanim organskim onečišćujućim tvarima</w:t>
      </w:r>
    </w:p>
    <w:p w14:paraId="1A18D966" w14:textId="77777777" w:rsidR="00C16409" w:rsidRPr="00E47EC1" w:rsidRDefault="00C16409" w:rsidP="00E83AC0">
      <w:pPr>
        <w:pStyle w:val="Default"/>
        <w:widowControl w:val="0"/>
        <w:numPr>
          <w:ilvl w:val="0"/>
          <w:numId w:val="31"/>
        </w:numPr>
        <w:jc w:val="both"/>
        <w:rPr>
          <w:color w:val="auto"/>
        </w:rPr>
      </w:pPr>
      <w:r w:rsidRPr="00E47EC1">
        <w:t xml:space="preserve">POPRC – </w:t>
      </w:r>
      <w:r w:rsidRPr="00E47EC1">
        <w:tab/>
      </w:r>
      <w:r w:rsidR="006D135E" w:rsidRPr="00E47EC1">
        <w:tab/>
      </w:r>
      <w:r w:rsidRPr="00E47EC1">
        <w:rPr>
          <w:color w:val="auto"/>
        </w:rPr>
        <w:t xml:space="preserve">Povjerenstvo za razmatranje novih kemikalija/ POPs-ova </w:t>
      </w:r>
    </w:p>
    <w:p w14:paraId="1A18D967" w14:textId="77777777" w:rsidR="00C16409" w:rsidRPr="00E47EC1" w:rsidRDefault="00C16409" w:rsidP="00E83AC0">
      <w:pPr>
        <w:pStyle w:val="Default"/>
        <w:widowControl w:val="0"/>
        <w:ind w:left="2127" w:hanging="2127"/>
        <w:jc w:val="both"/>
        <w:rPr>
          <w:color w:val="auto"/>
        </w:rPr>
      </w:pPr>
      <w:r w:rsidRPr="00E47EC1">
        <w:rPr>
          <w:color w:val="auto"/>
        </w:rPr>
        <w:t>REACH</w:t>
      </w:r>
      <w:r w:rsidR="007D7B0D" w:rsidRPr="00E47EC1">
        <w:rPr>
          <w:color w:val="auto"/>
        </w:rPr>
        <w:t xml:space="preserve"> </w:t>
      </w:r>
      <w:r w:rsidRPr="00E47EC1">
        <w:t xml:space="preserve">– </w:t>
      </w:r>
      <w:r w:rsidRPr="00E47EC1">
        <w:tab/>
        <w:t>Uredb</w:t>
      </w:r>
      <w:r w:rsidR="00143646" w:rsidRPr="00E47EC1">
        <w:t>a</w:t>
      </w:r>
      <w:r w:rsidRPr="00E47EC1">
        <w:t xml:space="preserve"> (EZ) br. 1907/2006 Europskog Parlamenta i Vijeća od 18. prosinca 2006. o registraciji, evaluaciji, autorizaciji i ograničavanju kemikalija  </w:t>
      </w:r>
    </w:p>
    <w:p w14:paraId="1A18D968" w14:textId="77777777" w:rsidR="00C16409" w:rsidRPr="00E47EC1" w:rsidRDefault="00C16409" w:rsidP="00E83AC0">
      <w:pPr>
        <w:pStyle w:val="Default"/>
        <w:widowControl w:val="0"/>
        <w:numPr>
          <w:ilvl w:val="0"/>
          <w:numId w:val="31"/>
        </w:numPr>
        <w:jc w:val="both"/>
        <w:rPr>
          <w:color w:val="auto"/>
        </w:rPr>
      </w:pPr>
      <w:r w:rsidRPr="00E47EC1">
        <w:t xml:space="preserve">ROO – </w:t>
      </w:r>
      <w:r w:rsidRPr="00E47EC1">
        <w:tab/>
      </w:r>
      <w:r w:rsidRPr="00E47EC1">
        <w:tab/>
      </w:r>
      <w:r w:rsidRPr="00E47EC1">
        <w:rPr>
          <w:color w:val="auto"/>
        </w:rPr>
        <w:t xml:space="preserve">Registar onečišćavanja okoliša </w:t>
      </w:r>
    </w:p>
    <w:p w14:paraId="1A18D969" w14:textId="77777777" w:rsidR="00C16409" w:rsidRPr="00E47EC1" w:rsidRDefault="00C16409" w:rsidP="00E83AC0">
      <w:pPr>
        <w:pStyle w:val="Default"/>
        <w:widowControl w:val="0"/>
        <w:ind w:left="2127" w:hanging="2127"/>
        <w:jc w:val="both"/>
        <w:rPr>
          <w:color w:val="auto"/>
        </w:rPr>
      </w:pPr>
      <w:r w:rsidRPr="00E47EC1">
        <w:t xml:space="preserve">RPOT/OPVN – </w:t>
      </w:r>
      <w:r w:rsidRPr="00E47EC1">
        <w:tab/>
      </w:r>
      <w:r w:rsidRPr="00E47EC1">
        <w:rPr>
          <w:color w:val="auto"/>
        </w:rPr>
        <w:t xml:space="preserve">Registar postrojenja u kojima su prisutne opasne tvari/Očevidnik prijavljenih velikih nesreća </w:t>
      </w:r>
    </w:p>
    <w:p w14:paraId="1A18D96A"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SAICM – </w:t>
      </w:r>
      <w:r w:rsidRPr="00E47EC1">
        <w:rPr>
          <w:color w:val="auto"/>
        </w:rPr>
        <w:tab/>
      </w:r>
      <w:r w:rsidR="006D135E" w:rsidRPr="00E47EC1">
        <w:rPr>
          <w:color w:val="auto"/>
        </w:rPr>
        <w:tab/>
      </w:r>
      <w:r w:rsidRPr="00E47EC1">
        <w:rPr>
          <w:color w:val="auto"/>
        </w:rPr>
        <w:t xml:space="preserve">Strateški pristup međunarodnog upravljanja kemikalijama </w:t>
      </w:r>
    </w:p>
    <w:p w14:paraId="52ABA4FE" w14:textId="77777777" w:rsidR="00B70CA6" w:rsidRDefault="00352DF5" w:rsidP="00B70CA6">
      <w:pPr>
        <w:pStyle w:val="Default"/>
        <w:widowControl w:val="0"/>
        <w:numPr>
          <w:ilvl w:val="8"/>
          <w:numId w:val="31"/>
        </w:numPr>
        <w:jc w:val="both"/>
        <w:rPr>
          <w:color w:val="auto"/>
        </w:rPr>
      </w:pPr>
      <w:r w:rsidRPr="00E47EC1">
        <w:rPr>
          <w:color w:val="auto"/>
        </w:rPr>
        <w:t>Seveso III</w:t>
      </w:r>
      <w:r w:rsidR="00E81A5E">
        <w:rPr>
          <w:color w:val="auto"/>
        </w:rPr>
        <w:t xml:space="preserve"> – </w:t>
      </w:r>
      <w:r w:rsidR="00E81A5E">
        <w:rPr>
          <w:color w:val="auto"/>
        </w:rPr>
        <w:tab/>
      </w:r>
      <w:r w:rsidR="00E81A5E">
        <w:rPr>
          <w:color w:val="auto"/>
        </w:rPr>
        <w:tab/>
      </w:r>
      <w:r w:rsidR="00B70CA6" w:rsidRPr="00B70CA6">
        <w:rPr>
          <w:color w:val="auto"/>
        </w:rPr>
        <w:t xml:space="preserve">Direktiva 2012/18/EU Europskog parlamenta i Vijeća od 4. srpnja 2012. o </w:t>
      </w:r>
      <w:r w:rsidR="00B70CA6">
        <w:rPr>
          <w:color w:val="auto"/>
        </w:rPr>
        <w:t xml:space="preserve"> </w:t>
      </w:r>
      <w:r w:rsidR="00B70CA6">
        <w:rPr>
          <w:color w:val="auto"/>
        </w:rPr>
        <w:tab/>
      </w:r>
      <w:r w:rsidR="00B70CA6">
        <w:rPr>
          <w:color w:val="auto"/>
        </w:rPr>
        <w:tab/>
      </w:r>
      <w:r w:rsidR="00B70CA6">
        <w:rPr>
          <w:color w:val="auto"/>
        </w:rPr>
        <w:tab/>
      </w:r>
      <w:r w:rsidR="00B70CA6" w:rsidRPr="00B70CA6">
        <w:rPr>
          <w:color w:val="auto"/>
        </w:rPr>
        <w:t>kontroli opasnosti od velikih nesreća koje uključuju opasne tvari, o izmjeni i</w:t>
      </w:r>
      <w:r w:rsidR="00B70CA6">
        <w:rPr>
          <w:color w:val="auto"/>
        </w:rPr>
        <w:t xml:space="preserve">          </w:t>
      </w:r>
    </w:p>
    <w:p w14:paraId="74FD3271" w14:textId="696E359A" w:rsidR="00B70CA6" w:rsidRDefault="00B70CA6" w:rsidP="00B70CA6">
      <w:pPr>
        <w:pStyle w:val="Default"/>
        <w:widowControl w:val="0"/>
        <w:numPr>
          <w:ilvl w:val="8"/>
          <w:numId w:val="31"/>
        </w:numPr>
        <w:jc w:val="both"/>
        <w:rPr>
          <w:color w:val="auto"/>
        </w:rPr>
      </w:pPr>
      <w:r>
        <w:rPr>
          <w:color w:val="auto"/>
        </w:rPr>
        <w:t xml:space="preserve">                                   </w:t>
      </w:r>
      <w:r w:rsidRPr="00B70CA6">
        <w:rPr>
          <w:color w:val="auto"/>
        </w:rPr>
        <w:t xml:space="preserve">kasnijem stavljanju izvan snage Direktive Vijeća 96/82/EZ </w:t>
      </w:r>
    </w:p>
    <w:p w14:paraId="1A18D96E" w14:textId="7E5FFF3F" w:rsidR="00C16409" w:rsidRPr="00E47EC1" w:rsidRDefault="00C16409" w:rsidP="00B70CA6">
      <w:pPr>
        <w:pStyle w:val="Default"/>
        <w:widowControl w:val="0"/>
        <w:numPr>
          <w:ilvl w:val="6"/>
          <w:numId w:val="31"/>
        </w:numPr>
        <w:jc w:val="both"/>
        <w:rPr>
          <w:color w:val="auto"/>
        </w:rPr>
      </w:pPr>
      <w:r w:rsidRPr="00E47EC1">
        <w:t xml:space="preserve">SCCP – </w:t>
      </w:r>
      <w:r w:rsidRPr="00E47EC1">
        <w:tab/>
      </w:r>
      <w:r w:rsidR="006D135E" w:rsidRPr="00E47EC1">
        <w:tab/>
      </w:r>
      <w:r w:rsidR="006D135E" w:rsidRPr="00E47EC1">
        <w:rPr>
          <w:color w:val="auto"/>
        </w:rPr>
        <w:t>k</w:t>
      </w:r>
      <w:r w:rsidRPr="00E47EC1">
        <w:rPr>
          <w:color w:val="auto"/>
        </w:rPr>
        <w:t xml:space="preserve">ratkolančani klorirani parafini </w:t>
      </w:r>
    </w:p>
    <w:p w14:paraId="1A18D96F" w14:textId="77777777" w:rsidR="00C16409" w:rsidRPr="00E47EC1" w:rsidRDefault="00C16409" w:rsidP="00E83AC0">
      <w:pPr>
        <w:pStyle w:val="Default"/>
        <w:widowControl w:val="0"/>
        <w:numPr>
          <w:ilvl w:val="0"/>
          <w:numId w:val="31"/>
        </w:numPr>
        <w:jc w:val="both"/>
        <w:rPr>
          <w:color w:val="auto"/>
        </w:rPr>
      </w:pPr>
      <w:r w:rsidRPr="00E47EC1">
        <w:rPr>
          <w:color w:val="auto"/>
        </w:rPr>
        <w:t>SKVO</w:t>
      </w:r>
      <w:r w:rsidRPr="00E47EC1">
        <w:t xml:space="preserve"> – </w:t>
      </w:r>
      <w:r w:rsidRPr="00E47EC1">
        <w:tab/>
      </w:r>
      <w:r w:rsidR="006D135E" w:rsidRPr="00E47EC1">
        <w:tab/>
      </w:r>
      <w:r w:rsidRPr="00E47EC1">
        <w:rPr>
          <w:color w:val="auto"/>
        </w:rPr>
        <w:t>standard kvalitete vodenog okoliša</w:t>
      </w:r>
    </w:p>
    <w:p w14:paraId="1A18D970" w14:textId="77777777" w:rsidR="002941B4" w:rsidRPr="00E47EC1" w:rsidRDefault="002941B4" w:rsidP="00E83AC0">
      <w:pPr>
        <w:pStyle w:val="Default"/>
        <w:widowControl w:val="0"/>
        <w:numPr>
          <w:ilvl w:val="0"/>
          <w:numId w:val="31"/>
        </w:numPr>
        <w:jc w:val="both"/>
        <w:rPr>
          <w:color w:val="auto"/>
        </w:rPr>
      </w:pPr>
      <w:r w:rsidRPr="00E47EC1">
        <w:rPr>
          <w:color w:val="auto"/>
        </w:rPr>
        <w:t>SZB –</w:t>
      </w:r>
      <w:r w:rsidRPr="00E47EC1">
        <w:rPr>
          <w:color w:val="auto"/>
        </w:rPr>
        <w:tab/>
      </w:r>
      <w:r w:rsidRPr="00E47EC1">
        <w:rPr>
          <w:color w:val="auto"/>
        </w:rPr>
        <w:tab/>
      </w:r>
      <w:r w:rsidRPr="00E47EC1">
        <w:rPr>
          <w:color w:val="auto"/>
        </w:rPr>
        <w:tab/>
        <w:t>sredstva za zaštitu bilja</w:t>
      </w:r>
    </w:p>
    <w:p w14:paraId="1A18D971" w14:textId="77777777" w:rsidR="00C16409" w:rsidRPr="00E47EC1" w:rsidRDefault="00C16409" w:rsidP="00E83AC0">
      <w:pPr>
        <w:pStyle w:val="Default"/>
        <w:widowControl w:val="0"/>
        <w:numPr>
          <w:ilvl w:val="0"/>
          <w:numId w:val="31"/>
        </w:numPr>
        <w:jc w:val="both"/>
        <w:rPr>
          <w:color w:val="auto"/>
        </w:rPr>
      </w:pPr>
      <w:r w:rsidRPr="00E47EC1">
        <w:t xml:space="preserve">TEQ – </w:t>
      </w:r>
      <w:r w:rsidRPr="00E47EC1">
        <w:tab/>
      </w:r>
      <w:r w:rsidRPr="00E47EC1">
        <w:tab/>
      </w:r>
      <w:r w:rsidR="006D135E" w:rsidRPr="00E47EC1">
        <w:tab/>
      </w:r>
      <w:r w:rsidR="00CB270F" w:rsidRPr="00E47EC1">
        <w:rPr>
          <w:color w:val="auto"/>
        </w:rPr>
        <w:t>t</w:t>
      </w:r>
      <w:r w:rsidRPr="00E47EC1">
        <w:rPr>
          <w:color w:val="auto"/>
        </w:rPr>
        <w:t xml:space="preserve">oksični ekvivalent </w:t>
      </w:r>
    </w:p>
    <w:p w14:paraId="1A18D972" w14:textId="77777777" w:rsidR="00C16409" w:rsidRPr="00E47EC1" w:rsidRDefault="00C16409" w:rsidP="00E83AC0">
      <w:pPr>
        <w:pStyle w:val="Default"/>
        <w:widowControl w:val="0"/>
        <w:ind w:left="2124" w:hanging="2124"/>
        <w:jc w:val="both"/>
        <w:rPr>
          <w:color w:val="auto"/>
        </w:rPr>
      </w:pPr>
      <w:r w:rsidRPr="00E47EC1">
        <w:t xml:space="preserve">UNEP – </w:t>
      </w:r>
      <w:r w:rsidRPr="00E47EC1">
        <w:tab/>
      </w:r>
      <w:r w:rsidRPr="00E47EC1">
        <w:rPr>
          <w:color w:val="auto"/>
        </w:rPr>
        <w:t xml:space="preserve">engl. </w:t>
      </w:r>
      <w:r w:rsidRPr="00E47EC1">
        <w:rPr>
          <w:i/>
          <w:iCs/>
          <w:color w:val="auto"/>
        </w:rPr>
        <w:t>United Nations Environment Programme</w:t>
      </w:r>
      <w:r w:rsidRPr="00E47EC1">
        <w:rPr>
          <w:color w:val="auto"/>
        </w:rPr>
        <w:t xml:space="preserve">, hrv. Program Ujedinjenih naroda za okoliš </w:t>
      </w:r>
    </w:p>
    <w:p w14:paraId="1A18D973" w14:textId="77777777" w:rsidR="00334685" w:rsidRPr="00E47EC1" w:rsidRDefault="00334685">
      <w:pPr>
        <w:spacing w:after="200" w:line="276" w:lineRule="auto"/>
        <w:rPr>
          <w:bCs/>
          <w:kern w:val="32"/>
        </w:rPr>
      </w:pPr>
    </w:p>
    <w:p w14:paraId="1A18D974" w14:textId="77777777" w:rsidR="00C16409" w:rsidRPr="00E47EC1" w:rsidRDefault="00C16409" w:rsidP="00334685">
      <w:pPr>
        <w:spacing w:after="200" w:line="276" w:lineRule="auto"/>
        <w:rPr>
          <w:bCs/>
          <w:kern w:val="32"/>
        </w:rPr>
      </w:pPr>
      <w:r w:rsidRPr="00E47EC1">
        <w:rPr>
          <w:bCs/>
          <w:kern w:val="32"/>
        </w:rPr>
        <w:br w:type="page"/>
      </w:r>
    </w:p>
    <w:p w14:paraId="1A18D975" w14:textId="77777777" w:rsidR="00FE39BB" w:rsidRPr="00E47EC1" w:rsidRDefault="00FE39BB" w:rsidP="00D55E4A">
      <w:pPr>
        <w:pStyle w:val="Naslov1"/>
        <w:numPr>
          <w:ilvl w:val="0"/>
          <w:numId w:val="8"/>
        </w:numPr>
        <w:ind w:left="709" w:hanging="349"/>
        <w:jc w:val="center"/>
        <w:rPr>
          <w:rFonts w:ascii="Times New Roman" w:hAnsi="Times New Roman" w:cs="Times New Roman"/>
          <w:b w:val="0"/>
          <w:sz w:val="28"/>
          <w:szCs w:val="28"/>
        </w:rPr>
        <w:sectPr w:rsidR="00FE39BB" w:rsidRPr="00E47EC1" w:rsidSect="00FE39BB">
          <w:footerReference w:type="default" r:id="rId11"/>
          <w:footerReference w:type="first" r:id="rId12"/>
          <w:pgSz w:w="11906" w:h="16838"/>
          <w:pgMar w:top="1134" w:right="1134" w:bottom="1134" w:left="1134" w:header="708" w:footer="708" w:gutter="0"/>
          <w:pgNumType w:start="1"/>
          <w:cols w:space="708"/>
          <w:titlePg/>
          <w:docGrid w:linePitch="360"/>
        </w:sectPr>
      </w:pPr>
    </w:p>
    <w:p w14:paraId="1A18D976" w14:textId="77777777" w:rsidR="00317EE7" w:rsidRPr="00E47EC1" w:rsidRDefault="00317EE7" w:rsidP="00D55E4A">
      <w:pPr>
        <w:pStyle w:val="Naslov1"/>
        <w:numPr>
          <w:ilvl w:val="0"/>
          <w:numId w:val="8"/>
        </w:numPr>
        <w:ind w:left="709" w:hanging="349"/>
        <w:jc w:val="center"/>
        <w:rPr>
          <w:rFonts w:ascii="Times New Roman" w:hAnsi="Times New Roman" w:cs="Times New Roman"/>
          <w:b w:val="0"/>
          <w:sz w:val="28"/>
          <w:szCs w:val="28"/>
        </w:rPr>
      </w:pPr>
      <w:bookmarkStart w:id="1" w:name="_Toc100840603"/>
      <w:r w:rsidRPr="00E47EC1">
        <w:rPr>
          <w:rFonts w:ascii="Times New Roman" w:hAnsi="Times New Roman" w:cs="Times New Roman"/>
          <w:b w:val="0"/>
          <w:sz w:val="28"/>
          <w:szCs w:val="28"/>
        </w:rPr>
        <w:lastRenderedPageBreak/>
        <w:t>UVOD</w:t>
      </w:r>
      <w:bookmarkEnd w:id="1"/>
    </w:p>
    <w:p w14:paraId="1A18D977" w14:textId="77777777" w:rsidR="00CF5476" w:rsidRPr="00E47EC1" w:rsidRDefault="00CF5476" w:rsidP="00CF5476"/>
    <w:p w14:paraId="1A18D978" w14:textId="77777777" w:rsidR="000B1A82" w:rsidRPr="006304D3" w:rsidRDefault="001B4D93" w:rsidP="000B1A82">
      <w:pPr>
        <w:spacing w:before="80" w:line="276" w:lineRule="auto"/>
        <w:rPr>
          <w:color w:val="000000"/>
        </w:rPr>
      </w:pPr>
      <w:r w:rsidRPr="001B4D93">
        <w:t xml:space="preserve">Stockholmska konvencija o postojanim organskim onečišćujućim tvarima (Stockholmska konvencija) prihvaćena je 2001., a stupila je na snagu 2004. </w:t>
      </w:r>
      <w:r w:rsidR="001B48CC">
        <w:t xml:space="preserve">godine. </w:t>
      </w:r>
      <w:r>
        <w:t>Do sada su 182 d</w:t>
      </w:r>
      <w:r w:rsidR="00317EE7" w:rsidRPr="00E47EC1">
        <w:t>ržave svijeta usvojile Stockholmsku konvenciju</w:t>
      </w:r>
      <w:r>
        <w:t>.</w:t>
      </w:r>
      <w:r w:rsidR="00317EE7" w:rsidRPr="00E47EC1">
        <w:t xml:space="preserve"> </w:t>
      </w:r>
      <w:r w:rsidR="000B1A82" w:rsidRPr="006304D3">
        <w:rPr>
          <w:color w:val="000000"/>
        </w:rPr>
        <w:t xml:space="preserve">Postojane organske onečišćujuće tvari, eng. </w:t>
      </w:r>
      <w:r w:rsidR="000B1A82" w:rsidRPr="006304D3">
        <w:rPr>
          <w:i/>
          <w:color w:val="000000"/>
        </w:rPr>
        <w:t>Persistent Organic Pollutants</w:t>
      </w:r>
      <w:r w:rsidR="000B1A82" w:rsidRPr="006304D3">
        <w:rPr>
          <w:color w:val="000000"/>
        </w:rPr>
        <w:t xml:space="preserve"> (u </w:t>
      </w:r>
      <w:r w:rsidR="000B1A82" w:rsidRPr="006304D3">
        <w:rPr>
          <w:i/>
          <w:iCs/>
          <w:color w:val="000000"/>
        </w:rPr>
        <w:t>daljnjem tekstu</w:t>
      </w:r>
      <w:r w:rsidR="000B1A82" w:rsidRPr="006304D3">
        <w:rPr>
          <w:color w:val="000000"/>
        </w:rPr>
        <w:t>: POPs) obuhvaćaju veliki broj toksičnih organskih spojeva koji s</w:t>
      </w:r>
      <w:r>
        <w:rPr>
          <w:color w:val="000000"/>
        </w:rPr>
        <w:t>u</w:t>
      </w:r>
      <w:r w:rsidR="000B1A82" w:rsidRPr="006304D3">
        <w:rPr>
          <w:color w:val="000000"/>
        </w:rPr>
        <w:t xml:space="preserve"> u različitom </w:t>
      </w:r>
      <w:r w:rsidR="005C21AD">
        <w:rPr>
          <w:color w:val="000000"/>
        </w:rPr>
        <w:t>stupnju</w:t>
      </w:r>
      <w:r w:rsidR="006B3104">
        <w:rPr>
          <w:color w:val="000000"/>
        </w:rPr>
        <w:t xml:space="preserve"> </w:t>
      </w:r>
      <w:r>
        <w:rPr>
          <w:color w:val="000000"/>
        </w:rPr>
        <w:t xml:space="preserve">otporni na </w:t>
      </w:r>
      <w:r w:rsidR="000B1A82" w:rsidRPr="006304D3">
        <w:rPr>
          <w:color w:val="000000"/>
        </w:rPr>
        <w:t>fotolitičk</w:t>
      </w:r>
      <w:r>
        <w:rPr>
          <w:color w:val="000000"/>
        </w:rPr>
        <w:t>u</w:t>
      </w:r>
      <w:r w:rsidR="000B1A82" w:rsidRPr="006304D3">
        <w:rPr>
          <w:color w:val="000000"/>
        </w:rPr>
        <w:t>, biološk</w:t>
      </w:r>
      <w:r>
        <w:rPr>
          <w:color w:val="000000"/>
        </w:rPr>
        <w:t>u</w:t>
      </w:r>
      <w:r w:rsidR="000B1A82" w:rsidRPr="006304D3">
        <w:rPr>
          <w:color w:val="000000"/>
        </w:rPr>
        <w:t xml:space="preserve"> i kemijsk</w:t>
      </w:r>
      <w:r>
        <w:rPr>
          <w:color w:val="000000"/>
        </w:rPr>
        <w:t>u</w:t>
      </w:r>
      <w:r w:rsidR="000B1A82" w:rsidRPr="006304D3">
        <w:rPr>
          <w:color w:val="000000"/>
        </w:rPr>
        <w:t xml:space="preserve"> degradacij</w:t>
      </w:r>
      <w:r>
        <w:rPr>
          <w:color w:val="000000"/>
        </w:rPr>
        <w:t>u</w:t>
      </w:r>
      <w:r w:rsidR="000B1A82" w:rsidRPr="006304D3">
        <w:rPr>
          <w:color w:val="000000"/>
        </w:rPr>
        <w:t xml:space="preserve"> te posjeduju sljedeća svojstva: toksičnost, postojanost (otpornost na kemijsku, fotokemijsku i biološku razgradnju), nakupljanje u živim organizmima (bioakumuliranje, najčešće u masnom tkivu), sklonost prijenosu na velike udaljenosti (zbog svojstva djelomične hlapljivosti nalaze se u parnoj fazi ili se apsorbiraju na čestice u atmosferi) i štetno djelovanje na okoliš i ljudsko zdravlje.</w:t>
      </w:r>
    </w:p>
    <w:p w14:paraId="1A18D979" w14:textId="77777777" w:rsidR="000B1A82" w:rsidRPr="006304D3" w:rsidRDefault="000B1A82" w:rsidP="000B1A82">
      <w:pPr>
        <w:spacing w:before="80" w:line="276" w:lineRule="auto"/>
        <w:rPr>
          <w:color w:val="000000"/>
        </w:rPr>
      </w:pPr>
      <w:r w:rsidRPr="006304D3">
        <w:rPr>
          <w:color w:val="000000"/>
        </w:rPr>
        <w:t xml:space="preserve">POPs-ovi ispušteni u atmosferu prenose se na velike udaljenosti, </w:t>
      </w:r>
      <w:r w:rsidR="001B4D93">
        <w:rPr>
          <w:color w:val="000000"/>
        </w:rPr>
        <w:t xml:space="preserve">te se </w:t>
      </w:r>
      <w:r w:rsidRPr="006304D3">
        <w:rPr>
          <w:color w:val="000000"/>
        </w:rPr>
        <w:t>mogu taložiti na bilo kojem mjestu na svijetu, ne mogu se ukloniti, intenzivno se nakupljaju u prehrambenom lancu i kao takvi imaju štetan utjecaj na sve sastavnice okoliša.</w:t>
      </w:r>
    </w:p>
    <w:p w14:paraId="1A18D97A" w14:textId="77777777" w:rsidR="000B1A82" w:rsidRPr="006304D3" w:rsidRDefault="000B1A82" w:rsidP="000B1A82">
      <w:pPr>
        <w:spacing w:before="80" w:line="276" w:lineRule="auto"/>
        <w:rPr>
          <w:color w:val="000000"/>
        </w:rPr>
      </w:pPr>
      <w:r w:rsidRPr="006304D3">
        <w:rPr>
          <w:color w:val="000000"/>
        </w:rPr>
        <w:t xml:space="preserve">Na temelju mnogobrojnih istraživanja, </w:t>
      </w:r>
      <w:r w:rsidR="006B3104" w:rsidRPr="006304D3">
        <w:rPr>
          <w:color w:val="000000"/>
        </w:rPr>
        <w:t>došlo se do znanstvenih spoznaja kako je njihova uporaba u poljoprivredi, veterinarstvu, šumarstvu i industriji te ispuštanj</w:t>
      </w:r>
      <w:r w:rsidR="00A0617B">
        <w:rPr>
          <w:color w:val="000000"/>
        </w:rPr>
        <w:t>e</w:t>
      </w:r>
      <w:r w:rsidR="006B3104" w:rsidRPr="006304D3">
        <w:rPr>
          <w:color w:val="000000"/>
        </w:rPr>
        <w:t xml:space="preserve"> ovih tvari u atmosferu, vode i tlo štetna po zdravlje ljudi, naročito u zemljama u razvoju te posebice na žene i preko njih na buduće generacije.</w:t>
      </w:r>
      <w:r w:rsidRPr="006304D3">
        <w:rPr>
          <w:color w:val="000000"/>
        </w:rPr>
        <w:t xml:space="preserve"> </w:t>
      </w:r>
    </w:p>
    <w:p w14:paraId="1A18D97B" w14:textId="77777777" w:rsidR="000B1A82" w:rsidRPr="006304D3" w:rsidRDefault="000B1A82" w:rsidP="000B1A82">
      <w:pPr>
        <w:spacing w:before="80" w:line="276" w:lineRule="auto"/>
        <w:rPr>
          <w:color w:val="000000"/>
        </w:rPr>
      </w:pPr>
      <w:r w:rsidRPr="006304D3">
        <w:rPr>
          <w:color w:val="000000"/>
        </w:rPr>
        <w:t>Stockholmska konvencija jedan je od međunarodnih ugovora čije su se odredbe prvobitno odnosile na skupinu od 12 postojanih organskih onečišćujućih tvari, ponekad popularno nazvanih „Dvanaest prljavih“ koji su na temelju njihovog štetnog utjecaja na okoliš svrstani u tri glavne skupine: pesticidi, industrijske kemikalije i nenamjerno proizvedeni POPs-ovi (međuprodukti). No prihvaćanjem Odluka o izmjenama i dopunama dodataka A, B i C Stockholmske konvencije na četvrtoj, petoj i šestoj konferenciji stranaka</w:t>
      </w:r>
      <w:r w:rsidR="001B4D93">
        <w:rPr>
          <w:color w:val="000000"/>
        </w:rPr>
        <w:t>,</w:t>
      </w:r>
      <w:r w:rsidRPr="006304D3">
        <w:rPr>
          <w:color w:val="000000"/>
        </w:rPr>
        <w:t xml:space="preserve"> Konvencija je nadopunjena s još 11 novih te sedmoj i osmoj konferenciji stranaka, nadopunjena je s još pet</w:t>
      </w:r>
      <w:r w:rsidR="001B48CC">
        <w:rPr>
          <w:color w:val="000000"/>
        </w:rPr>
        <w:t xml:space="preserve"> novih POPs-ova</w:t>
      </w:r>
      <w:r w:rsidRPr="006304D3">
        <w:rPr>
          <w:color w:val="000000"/>
        </w:rPr>
        <w:t xml:space="preserve">. </w:t>
      </w:r>
    </w:p>
    <w:p w14:paraId="1A18D97C" w14:textId="77777777" w:rsidR="000B1A82" w:rsidRPr="006304D3" w:rsidRDefault="000B1A82" w:rsidP="000B1A82">
      <w:pPr>
        <w:spacing w:before="80" w:line="276" w:lineRule="auto"/>
        <w:rPr>
          <w:color w:val="000000"/>
        </w:rPr>
      </w:pPr>
      <w:r w:rsidRPr="006304D3">
        <w:rPr>
          <w:color w:val="000000"/>
        </w:rPr>
        <w:t xml:space="preserve">Stockholmska konvencija je usmjerena na smanjenje i gdje je prikladno sprječavanje ispuštanja, postojanih organskih spojeva u okoliš, a danas popis broji 28 tvari ili skupina tvari </w:t>
      </w:r>
      <w:r w:rsidR="004704D8">
        <w:rPr>
          <w:color w:val="000000"/>
        </w:rPr>
        <w:t xml:space="preserve">zajedno </w:t>
      </w:r>
      <w:r w:rsidRPr="006304D3">
        <w:rPr>
          <w:color w:val="000000"/>
        </w:rPr>
        <w:t xml:space="preserve">s uvjetima </w:t>
      </w:r>
      <w:r w:rsidR="006B3104">
        <w:rPr>
          <w:color w:val="000000"/>
        </w:rPr>
        <w:t xml:space="preserve">i zahtjevima </w:t>
      </w:r>
      <w:r w:rsidRPr="006304D3">
        <w:rPr>
          <w:color w:val="000000"/>
        </w:rPr>
        <w:t>koje svaka stranka Konvencije treba ispuniti kako bi se postiglo ukidanje proizvodnje, uporabe, uvoza i izvoza postojanih organskih onečišćujućih tvari</w:t>
      </w:r>
      <w:r w:rsidRPr="006304D3" w:rsidDel="006A4633">
        <w:rPr>
          <w:color w:val="000000"/>
        </w:rPr>
        <w:t xml:space="preserve"> </w:t>
      </w:r>
      <w:r w:rsidRPr="006304D3">
        <w:rPr>
          <w:color w:val="000000"/>
        </w:rPr>
        <w:t>na globalnoj razini</w:t>
      </w:r>
      <w:r w:rsidR="001B48CC">
        <w:rPr>
          <w:color w:val="000000"/>
        </w:rPr>
        <w:t xml:space="preserve">, a sve u cilju </w:t>
      </w:r>
      <w:r w:rsidRPr="006304D3">
        <w:rPr>
          <w:color w:val="000000"/>
        </w:rPr>
        <w:t xml:space="preserve">  značajno</w:t>
      </w:r>
      <w:r w:rsidR="001B48CC">
        <w:rPr>
          <w:color w:val="000000"/>
        </w:rPr>
        <w:t>g</w:t>
      </w:r>
      <w:r w:rsidRPr="006304D3">
        <w:rPr>
          <w:color w:val="000000"/>
        </w:rPr>
        <w:t xml:space="preserve"> smanjenje ili potpuno</w:t>
      </w:r>
      <w:r w:rsidR="001B48CC">
        <w:rPr>
          <w:color w:val="000000"/>
        </w:rPr>
        <w:t>g</w:t>
      </w:r>
      <w:r w:rsidRPr="006304D3">
        <w:rPr>
          <w:color w:val="000000"/>
        </w:rPr>
        <w:t xml:space="preserve"> uklanjanj</w:t>
      </w:r>
      <w:r w:rsidR="001B48CC">
        <w:rPr>
          <w:color w:val="000000"/>
        </w:rPr>
        <w:t>a</w:t>
      </w:r>
      <w:r w:rsidRPr="006304D3">
        <w:rPr>
          <w:color w:val="000000"/>
        </w:rPr>
        <w:t xml:space="preserve"> ispuštanja tih tvari u okoliš.</w:t>
      </w:r>
    </w:p>
    <w:p w14:paraId="1A18D97D" w14:textId="77777777" w:rsidR="000B1A82" w:rsidRPr="006304D3" w:rsidRDefault="000B1A82" w:rsidP="000B1A82">
      <w:pPr>
        <w:spacing w:before="80" w:line="276" w:lineRule="auto"/>
        <w:rPr>
          <w:color w:val="000000"/>
        </w:rPr>
      </w:pPr>
      <w:r w:rsidRPr="006304D3">
        <w:rPr>
          <w:color w:val="000000"/>
        </w:rPr>
        <w:t>Republika Hrvatska potpisala je Konvenciju u svibnju 2001., dok je Hrvatski sabor na sjednici održanoj 30. studenoga 2006. donio odluku o proglašenju Zakona o potvrđivanju Stockholmske konvencije o postojanim organskim onečišćujućim tvarima („Narodne novine –Međunarodni ugovori“, broj 11/06). Konvencija je stupila na snagu u odnosu na Republiku Hrvatsku 30. travnja 2007. („Narodne novine – Međunarodni ugovori“, broj 2/07).</w:t>
      </w:r>
    </w:p>
    <w:p w14:paraId="1A18D97E" w14:textId="77777777" w:rsidR="000B1A82" w:rsidRPr="006304D3" w:rsidRDefault="000B1A82" w:rsidP="000B1A82">
      <w:pPr>
        <w:spacing w:before="80" w:line="276" w:lineRule="auto"/>
        <w:rPr>
          <w:color w:val="000000"/>
        </w:rPr>
      </w:pPr>
      <w:r w:rsidRPr="006304D3">
        <w:rPr>
          <w:color w:val="000000"/>
        </w:rPr>
        <w:t>Sukladno obvezama iz članka 7. Stockholmske konvencije, Republika Hrvatska izradila je prvi Nacionalni plan za provedbu Stockholmske konvencije (u daljnjem tekstu: NIP) koji je prihvaćen od strane Vlade Republike Hrvatske Odlukom o prihvaćanju Nacionalnog plana za provedbu Stockholmske konvencije o postojanim organskim onečišćujućim tvarima („Narodne novine“, broj 145/08). Kao stranka Stockholmske konvencije, Republika Hrvatska dostavila je Prvi NIP Tajništvu Stockholmske konvencije u travnju 2009..</w:t>
      </w:r>
    </w:p>
    <w:p w14:paraId="1A18D97F" w14:textId="77777777" w:rsidR="000B1A82" w:rsidRPr="006304D3" w:rsidRDefault="000B1A82" w:rsidP="000B1A82">
      <w:pPr>
        <w:spacing w:before="80" w:line="276" w:lineRule="auto"/>
        <w:rPr>
          <w:color w:val="000000"/>
        </w:rPr>
      </w:pPr>
      <w:r w:rsidRPr="006304D3">
        <w:rPr>
          <w:color w:val="000000"/>
        </w:rPr>
        <w:lastRenderedPageBreak/>
        <w:t>Prihvaćanjem Odluka o izmjenama i dopunama dodataka A, B i C Stockholmske konvencije 2009., 2011. i 2013. na četvrtoj, petoj i šestoj konferenciji stranaka, Stockholmska konvencija je nadopunjena s još 11 novih POPs-ova. Izmjene i dopune Dodataka A, B i C stupile su na snagu u kolovozu 2010. za devet POPs-ova (alfa i beta heksaklorcikloheksan (alfa- i beta-HCH), klordekon, heksabromobifenil, lindan, pentaklorobenzen, perfluorooktan sulfonska kiselina (PFOS) i njezine soli i perfluorooktan sulfonil fluorid (PFOS-F), tetrabromodifenileter i pentabromodifenil eter). Dodatne izmjene i dopune Dodatka A, uz uključivanje tehničkog endosulfana stupile su na snagu u listopadu 2012., sukladno članku 22. stavku 3(c) Stockholmske konvencije. Izmjene i dopune Dodatka A iz 2013., uz uključivanje heksabromociklododekana, za većinu stranaka stupile su na snagu u studenome 2014.. Temeljem navedenih usvojenih Odluka stranke Stockholmske konvencije obvezne su izraditi novi revidirani NIP koji uključuje iste.</w:t>
      </w:r>
    </w:p>
    <w:p w14:paraId="1A18D980" w14:textId="77777777" w:rsidR="000B1A82" w:rsidRPr="006304D3" w:rsidRDefault="000B1A82" w:rsidP="000B1A82">
      <w:pPr>
        <w:spacing w:before="80" w:line="276" w:lineRule="auto"/>
        <w:rPr>
          <w:color w:val="000000"/>
        </w:rPr>
      </w:pPr>
      <w:r w:rsidRPr="006304D3">
        <w:rPr>
          <w:color w:val="000000"/>
        </w:rPr>
        <w:t xml:space="preserve">U lipnju 2013. od strane Fonda za globalni okoliš (GEF) odobren je projekt za financiranje aktivnosti koje su potrebne za izradu revidiranog NIP-a. U srpnju 2014. osnovano je Povjerenstvo za praćenje provedbe projekta </w:t>
      </w:r>
      <w:r w:rsidRPr="006304D3">
        <w:rPr>
          <w:i/>
          <w:color w:val="000000"/>
        </w:rPr>
        <w:t>„Revizija Nacionalnog provedbenog plana za provedbu Stockholmske konvencije o postojanim organskim onečišćujućim tvarima“</w:t>
      </w:r>
      <w:r w:rsidRPr="006304D3">
        <w:rPr>
          <w:color w:val="000000"/>
        </w:rPr>
        <w:t xml:space="preserve"> te je tadašnje Ministarstvo zaštite okoliša i prirode, a današnje Ministarstvo gospodarstva i održivog razvoja</w:t>
      </w:r>
      <w:r w:rsidRPr="006304D3">
        <w:rPr>
          <w:color w:val="000000"/>
          <w:vertAlign w:val="superscript"/>
        </w:rPr>
        <w:footnoteReference w:id="2"/>
      </w:r>
      <w:r w:rsidRPr="006304D3">
        <w:rPr>
          <w:color w:val="000000"/>
        </w:rPr>
        <w:t xml:space="preserve"> (</w:t>
      </w:r>
      <w:r w:rsidRPr="006304D3">
        <w:rPr>
          <w:i/>
          <w:iCs/>
          <w:color w:val="000000"/>
        </w:rPr>
        <w:t>u daljnjem tekstu:</w:t>
      </w:r>
      <w:r w:rsidRPr="006304D3">
        <w:rPr>
          <w:color w:val="000000"/>
        </w:rPr>
        <w:t xml:space="preserve"> </w:t>
      </w:r>
      <w:bookmarkStart w:id="2" w:name="_Hlk50692800"/>
      <w:r w:rsidRPr="006304D3">
        <w:rPr>
          <w:color w:val="000000"/>
        </w:rPr>
        <w:t>MINGO</w:t>
      </w:r>
      <w:bookmarkEnd w:id="2"/>
      <w:r w:rsidRPr="006304D3">
        <w:rPr>
          <w:color w:val="000000"/>
        </w:rPr>
        <w:t>R) kao korisnik i glavni nositelj projekta u suradnji s Programom Ujedinjenih naroda za okoliš (UNEP) kao provedbenom agencijom i ostalim nadležnim tijelima državne uprave izradilo Drugi NIP. U lipnju 2016. Vlada Republike Hrvatske donijela je Odluku o prihvaćanju Drugog nacionalnog plana za provedbu Stockholmske konvencije o postojanim organskim onečišćujućim tvarima („Narodne novine“, broj 62/16) kojim su između ostaloga predložene i definirane mjere unaprijeđena vezano uz izvještavanje prema obvezama Konvencije. Drugi NIP dostavljen je Tajništv</w:t>
      </w:r>
      <w:r w:rsidR="00604FBC">
        <w:rPr>
          <w:color w:val="000000"/>
        </w:rPr>
        <w:t>u Konvencije 28. studenog 2016.</w:t>
      </w:r>
      <w:r w:rsidRPr="006304D3">
        <w:rPr>
          <w:color w:val="000000"/>
        </w:rPr>
        <w:t xml:space="preserve"> Drugim NIP-om obuhvaćene su Odluke donesene na četvrtoj, petoj i šestoj konferenciji stranaka.</w:t>
      </w:r>
    </w:p>
    <w:p w14:paraId="1A18D981" w14:textId="77777777" w:rsidR="000B1A82" w:rsidRPr="006304D3" w:rsidRDefault="000B1A82" w:rsidP="000B1A82">
      <w:pPr>
        <w:spacing w:before="80" w:line="276" w:lineRule="auto"/>
        <w:rPr>
          <w:color w:val="000000"/>
        </w:rPr>
      </w:pPr>
      <w:r w:rsidRPr="006304D3">
        <w:rPr>
          <w:color w:val="000000"/>
        </w:rPr>
        <w:t xml:space="preserve">Izmjene i dopune Dodataka A i C Konvencije iz 2015., vezane uz uključivanje heksaklorobutadiena (HCBD-a) u Dodatak A, pentaklorofenola i njegovih soli i estera (PCP-a) u Dodatak A te polikloriranih naftalena (PCN-a) u Dodatke A i C, za većinu stranaka pa tako i za Republiku Hrvatsku, stupile su na snagu u prosincu 2016.. Navedene odluke sadržane su u: </w:t>
      </w:r>
    </w:p>
    <w:p w14:paraId="1A18D982" w14:textId="77777777" w:rsidR="000B1A82" w:rsidRPr="006304D3" w:rsidRDefault="000B1A82" w:rsidP="000B1A82">
      <w:pPr>
        <w:numPr>
          <w:ilvl w:val="0"/>
          <w:numId w:val="39"/>
        </w:numPr>
        <w:tabs>
          <w:tab w:val="left" w:pos="1755"/>
        </w:tabs>
        <w:autoSpaceDE w:val="0"/>
        <w:autoSpaceDN w:val="0"/>
        <w:adjustRightInd w:val="0"/>
        <w:spacing w:before="80" w:line="240" w:lineRule="auto"/>
        <w:rPr>
          <w:rFonts w:eastAsia="Calibri"/>
        </w:rPr>
      </w:pPr>
      <w:r w:rsidRPr="006304D3">
        <w:rPr>
          <w:rFonts w:eastAsia="Calibri"/>
        </w:rPr>
        <w:t xml:space="preserve">Uredbi o objavi Dodatka G od 6. svibnja 2005., Izmjena i dopuna Dodataka A, B i C iz svibnja 2009., Izmjene i dopune Dodatka A iz travnja 2011. i izmjene i dopune Dodatka A iz svibnja 2013. Stockholmske konvencije o postojanim organskim onečišćujućim tvarima („Narodne novine – Međunarodni ugovori“, broj 8/15) i </w:t>
      </w:r>
    </w:p>
    <w:p w14:paraId="1A18D983" w14:textId="77777777" w:rsidR="000B1A82" w:rsidRPr="006304D3" w:rsidRDefault="000B1A82" w:rsidP="000B1A82">
      <w:pPr>
        <w:numPr>
          <w:ilvl w:val="0"/>
          <w:numId w:val="39"/>
        </w:numPr>
        <w:tabs>
          <w:tab w:val="left" w:pos="1755"/>
        </w:tabs>
        <w:autoSpaceDE w:val="0"/>
        <w:autoSpaceDN w:val="0"/>
        <w:adjustRightInd w:val="0"/>
        <w:spacing w:before="80" w:line="240" w:lineRule="auto"/>
        <w:rPr>
          <w:rFonts w:eastAsia="Calibri"/>
        </w:rPr>
      </w:pPr>
      <w:r w:rsidRPr="006304D3">
        <w:rPr>
          <w:rFonts w:eastAsia="Calibri"/>
        </w:rPr>
        <w:t xml:space="preserve">Uredbi o objavi Izmjena i dopuna Dodataka A i C iz svibnja 2015. Stockholmske konvencije o postojanim organskim onečišćujućim tvarima („Narodne novine – Međunarodni ugovori“, broj 5/16). </w:t>
      </w:r>
    </w:p>
    <w:p w14:paraId="1A18D984" w14:textId="77777777" w:rsidR="000B1A82" w:rsidRPr="006304D3" w:rsidRDefault="000B1A82" w:rsidP="000B1A82">
      <w:pPr>
        <w:spacing w:before="80" w:line="276" w:lineRule="auto"/>
        <w:rPr>
          <w:color w:val="000000"/>
        </w:rPr>
      </w:pPr>
      <w:r w:rsidRPr="006304D3">
        <w:rPr>
          <w:color w:val="000000"/>
        </w:rPr>
        <w:lastRenderedPageBreak/>
        <w:t xml:space="preserve">Izmjene i dopune Dodataka A i C Konvencije iz 2017. za većinu stranaka pa tako i za Republiku Hrvatsku stupile su na snagu u prosincu 2018., a sadržane su u: </w:t>
      </w:r>
    </w:p>
    <w:p w14:paraId="1A18D985" w14:textId="77777777" w:rsidR="000B1A82" w:rsidRPr="006304D3" w:rsidRDefault="000B1A82" w:rsidP="000B1A82">
      <w:pPr>
        <w:numPr>
          <w:ilvl w:val="0"/>
          <w:numId w:val="40"/>
        </w:numPr>
        <w:tabs>
          <w:tab w:val="left" w:pos="1755"/>
        </w:tabs>
        <w:autoSpaceDE w:val="0"/>
        <w:autoSpaceDN w:val="0"/>
        <w:adjustRightInd w:val="0"/>
        <w:spacing w:before="80" w:line="240" w:lineRule="auto"/>
        <w:rPr>
          <w:rFonts w:eastAsia="Calibri"/>
        </w:rPr>
      </w:pPr>
      <w:r w:rsidRPr="006304D3">
        <w:rPr>
          <w:rFonts w:eastAsia="Calibri"/>
        </w:rPr>
        <w:t>Uredbi o objavi Izmjena i dopuna Dodataka A i C iz svibnja 2017. Stockholmske konvencije o postojanim organskim onečišćujućim tvarima („Narodne novine – Međunarodni ugovori“, broj 1/19).</w:t>
      </w:r>
    </w:p>
    <w:p w14:paraId="1A18D986" w14:textId="77777777" w:rsidR="00604FBC" w:rsidRPr="00604FBC" w:rsidRDefault="000B1A82" w:rsidP="00604FBC">
      <w:pPr>
        <w:spacing w:before="80" w:line="276" w:lineRule="auto"/>
        <w:rPr>
          <w:color w:val="000000"/>
        </w:rPr>
      </w:pPr>
      <w:r w:rsidRPr="006304D3">
        <w:rPr>
          <w:color w:val="000000"/>
        </w:rPr>
        <w:t xml:space="preserve">Temeljem navedenih usvojenih Odluka stranke Stockholmske konvencije obvezne su izraditi novi revidirani NIP koji uključuje iste. </w:t>
      </w:r>
      <w:r w:rsidR="003C2DF6" w:rsidRPr="003C2DF6">
        <w:rPr>
          <w:color w:val="000000"/>
        </w:rPr>
        <w:t>Vlad</w:t>
      </w:r>
      <w:r w:rsidR="003C2DF6">
        <w:rPr>
          <w:color w:val="000000"/>
        </w:rPr>
        <w:t>a</w:t>
      </w:r>
      <w:r w:rsidR="003C2DF6" w:rsidRPr="003C2DF6">
        <w:rPr>
          <w:color w:val="000000"/>
        </w:rPr>
        <w:t xml:space="preserve"> Republike Hrvatske</w:t>
      </w:r>
      <w:r w:rsidR="003C2DF6">
        <w:rPr>
          <w:color w:val="000000"/>
        </w:rPr>
        <w:t xml:space="preserve"> je</w:t>
      </w:r>
      <w:r w:rsidR="003C2DF6" w:rsidRPr="003C2DF6">
        <w:rPr>
          <w:color w:val="000000"/>
        </w:rPr>
        <w:t xml:space="preserve"> na 70. sjednici</w:t>
      </w:r>
      <w:r w:rsidR="003C2DF6">
        <w:rPr>
          <w:color w:val="000000"/>
        </w:rPr>
        <w:t xml:space="preserve"> održanoj 22. srpnja 2021.</w:t>
      </w:r>
      <w:r w:rsidR="003C2DF6" w:rsidRPr="003C2DF6">
        <w:rPr>
          <w:color w:val="000000"/>
        </w:rPr>
        <w:t xml:space="preserve"> usvojila Odluku o donošenju Trećeg nacionalnog plana za provedbu Stockholmske konvencije o postojanim organskim onečišćujućim tvarima u Republici Hrvatskoj</w:t>
      </w:r>
      <w:r w:rsidR="003C2DF6">
        <w:rPr>
          <w:color w:val="000000"/>
        </w:rPr>
        <w:t xml:space="preserve"> u daljnjem tekstu: Treći NIP)</w:t>
      </w:r>
      <w:r w:rsidR="003C2DF6" w:rsidRPr="003C2DF6">
        <w:rPr>
          <w:color w:val="000000"/>
        </w:rPr>
        <w:t>.</w:t>
      </w:r>
      <w:r w:rsidR="003C2DF6">
        <w:rPr>
          <w:color w:val="000000"/>
        </w:rPr>
        <w:t xml:space="preserve"> Treći NIP, uz pripadajuću Odluku, objavljen je na mrežnim stranicama  MINGOR-a i dostavljen Tajništvu Stockholmske konvencije u </w:t>
      </w:r>
      <w:r w:rsidR="00604FBC">
        <w:rPr>
          <w:color w:val="000000"/>
        </w:rPr>
        <w:t xml:space="preserve">rujnu 2021. </w:t>
      </w:r>
      <w:r w:rsidR="00604FBC" w:rsidRPr="00604FBC">
        <w:rPr>
          <w:color w:val="000000"/>
        </w:rPr>
        <w:t xml:space="preserve">Odlukom o donošenju Trećeg </w:t>
      </w:r>
      <w:r w:rsidR="00604FBC">
        <w:rPr>
          <w:color w:val="000000"/>
        </w:rPr>
        <w:t>NIP-a</w:t>
      </w:r>
      <w:r w:rsidR="00604FBC" w:rsidRPr="00604FBC">
        <w:rPr>
          <w:color w:val="000000"/>
        </w:rPr>
        <w:t xml:space="preserve"> </w:t>
      </w:r>
      <w:r w:rsidR="00604FBC">
        <w:rPr>
          <w:color w:val="000000"/>
        </w:rPr>
        <w:t>(</w:t>
      </w:r>
      <w:hyperlink r:id="rId13" w:history="1">
        <w:r w:rsidR="00604FBC" w:rsidRPr="007C69A7">
          <w:rPr>
            <w:rStyle w:val="Hiperveza"/>
          </w:rPr>
          <w:t>https://mingor.gov.hr/UserDocsImages/klimatske_aktivnosti/zrak_tlo_svjetlosno/Postojane%20organske%20one%C4%8Di%C5%A1%C4%87uju%C4%87e%20tvari/NIP/treci_nac_plan_pops.pdf</w:t>
        </w:r>
      </w:hyperlink>
      <w:r w:rsidR="00604FBC">
        <w:rPr>
          <w:color w:val="000000"/>
        </w:rPr>
        <w:t xml:space="preserve">) </w:t>
      </w:r>
      <w:r w:rsidR="00604FBC" w:rsidRPr="00604FBC">
        <w:rPr>
          <w:color w:val="000000"/>
        </w:rPr>
        <w:t>definirano je da Ministarstvo gospodarstva i održivog razvoja (MINGOR) u suradnji s ostalim nadležnim tijelima</w:t>
      </w:r>
      <w:r w:rsidR="00C365EB">
        <w:rPr>
          <w:color w:val="000000"/>
        </w:rPr>
        <w:t xml:space="preserve"> ima obavezu</w:t>
      </w:r>
      <w:r w:rsidR="00604FBC" w:rsidRPr="00604FBC">
        <w:rPr>
          <w:color w:val="000000"/>
        </w:rPr>
        <w:t xml:space="preserve"> izvijesti Vladu Republike Hrvatske o provedbi na dvogodišnjoj osnovi.</w:t>
      </w:r>
    </w:p>
    <w:p w14:paraId="1A18D987" w14:textId="77777777" w:rsidR="00604FBC" w:rsidRPr="00604FBC" w:rsidRDefault="00604FBC" w:rsidP="00604FBC">
      <w:pPr>
        <w:spacing w:before="80" w:line="276" w:lineRule="auto"/>
        <w:rPr>
          <w:color w:val="000000"/>
        </w:rPr>
      </w:pPr>
      <w:r w:rsidRPr="00604FBC">
        <w:rPr>
          <w:color w:val="000000"/>
        </w:rPr>
        <w:t>Do sada je izrađeno pet izvješća</w:t>
      </w:r>
      <w:r w:rsidR="00775CC4">
        <w:rPr>
          <w:color w:val="000000"/>
        </w:rPr>
        <w:t xml:space="preserve"> od kojih su</w:t>
      </w:r>
      <w:r w:rsidRPr="00604FBC">
        <w:rPr>
          <w:color w:val="000000"/>
        </w:rPr>
        <w:t xml:space="preserve"> </w:t>
      </w:r>
      <w:r w:rsidR="00775CC4">
        <w:rPr>
          <w:color w:val="000000"/>
        </w:rPr>
        <w:t>t</w:t>
      </w:r>
      <w:r w:rsidRPr="00604FBC">
        <w:rPr>
          <w:color w:val="000000"/>
        </w:rPr>
        <w:t xml:space="preserve">ri izvješća izrađena na temelju – prvog NIP-a </w:t>
      </w:r>
      <w:hyperlink r:id="rId14" w:history="1">
        <w:r w:rsidR="00775CC4" w:rsidRPr="007C69A7">
          <w:rPr>
            <w:rStyle w:val="Hiperveza"/>
          </w:rPr>
          <w:t>https://narodne-novine.nn.hr/clanci/sluzbeni/2008_12_145_3971.html</w:t>
        </w:r>
      </w:hyperlink>
      <w:r w:rsidR="00775CC4">
        <w:rPr>
          <w:color w:val="000000"/>
        </w:rPr>
        <w:t xml:space="preserve"> </w:t>
      </w:r>
      <w:r w:rsidRPr="00604FBC">
        <w:rPr>
          <w:color w:val="000000"/>
        </w:rPr>
        <w:t xml:space="preserve"> (NN broj 145/08), a četvrto i peto na temelju Drugog NIP-a </w:t>
      </w:r>
      <w:hyperlink r:id="rId15" w:history="1">
        <w:r w:rsidR="00775CC4" w:rsidRPr="007C69A7">
          <w:rPr>
            <w:rStyle w:val="Hiperveza"/>
          </w:rPr>
          <w:t>https://narodne-novine.nn.hr/clanci/sluzbeni/2016_07_62_1566.html</w:t>
        </w:r>
      </w:hyperlink>
      <w:r w:rsidR="00775CC4">
        <w:rPr>
          <w:color w:val="000000"/>
        </w:rPr>
        <w:t xml:space="preserve"> </w:t>
      </w:r>
      <w:r w:rsidRPr="00604FBC">
        <w:rPr>
          <w:color w:val="000000"/>
        </w:rPr>
        <w:t xml:space="preserve"> </w:t>
      </w:r>
      <w:r w:rsidR="00775CC4">
        <w:rPr>
          <w:color w:val="000000"/>
        </w:rPr>
        <w:t xml:space="preserve"> </w:t>
      </w:r>
      <w:r w:rsidRPr="00604FBC">
        <w:rPr>
          <w:color w:val="000000"/>
        </w:rPr>
        <w:t>(NN broj 62/16) kako slijedi:</w:t>
      </w:r>
    </w:p>
    <w:p w14:paraId="1A18D988" w14:textId="77777777" w:rsidR="00604FBC" w:rsidRPr="00775CC4" w:rsidRDefault="00604FBC" w:rsidP="00775CC4">
      <w:pPr>
        <w:pStyle w:val="Odlomakpopisa"/>
        <w:numPr>
          <w:ilvl w:val="0"/>
          <w:numId w:val="42"/>
        </w:numPr>
        <w:spacing w:before="80" w:line="276" w:lineRule="auto"/>
        <w:rPr>
          <w:color w:val="000000"/>
        </w:rPr>
      </w:pPr>
      <w:r w:rsidRPr="00775CC4">
        <w:rPr>
          <w:color w:val="000000"/>
        </w:rPr>
        <w:t xml:space="preserve">Prvo izvješće, za razdoblje siječanj 2009. – prosinac 2010. </w:t>
      </w:r>
    </w:p>
    <w:p w14:paraId="1A18D989" w14:textId="77777777" w:rsidR="00604FBC" w:rsidRPr="00775CC4" w:rsidRDefault="00604FBC" w:rsidP="00775CC4">
      <w:pPr>
        <w:pStyle w:val="Odlomakpopisa"/>
        <w:numPr>
          <w:ilvl w:val="0"/>
          <w:numId w:val="42"/>
        </w:numPr>
        <w:spacing w:before="80" w:line="276" w:lineRule="auto"/>
        <w:rPr>
          <w:color w:val="000000"/>
        </w:rPr>
      </w:pPr>
      <w:r w:rsidRPr="00775CC4">
        <w:rPr>
          <w:color w:val="000000"/>
        </w:rPr>
        <w:t>Drugo izvješće, za razdoblje siječanj 2011. – prosinac 2012.</w:t>
      </w:r>
    </w:p>
    <w:p w14:paraId="1A18D98A" w14:textId="77777777" w:rsidR="00604FBC" w:rsidRPr="00775CC4" w:rsidRDefault="00604FBC" w:rsidP="00775CC4">
      <w:pPr>
        <w:pStyle w:val="Odlomakpopisa"/>
        <w:numPr>
          <w:ilvl w:val="0"/>
          <w:numId w:val="42"/>
        </w:numPr>
        <w:spacing w:before="80" w:line="276" w:lineRule="auto"/>
        <w:rPr>
          <w:color w:val="000000"/>
        </w:rPr>
      </w:pPr>
      <w:r w:rsidRPr="00775CC4">
        <w:rPr>
          <w:color w:val="000000"/>
        </w:rPr>
        <w:t xml:space="preserve">Treće izvješće, za razdoblje siječanj 2013. – prosinac 2014. </w:t>
      </w:r>
    </w:p>
    <w:p w14:paraId="1A18D98B" w14:textId="77777777" w:rsidR="00604FBC" w:rsidRPr="00775CC4" w:rsidRDefault="00604FBC" w:rsidP="00775CC4">
      <w:pPr>
        <w:pStyle w:val="Odlomakpopisa"/>
        <w:numPr>
          <w:ilvl w:val="0"/>
          <w:numId w:val="42"/>
        </w:numPr>
        <w:spacing w:before="80" w:line="276" w:lineRule="auto"/>
        <w:rPr>
          <w:color w:val="000000"/>
        </w:rPr>
      </w:pPr>
      <w:r w:rsidRPr="00775CC4">
        <w:rPr>
          <w:color w:val="000000"/>
        </w:rPr>
        <w:t xml:space="preserve">Četvrto izvješće, za razdoblje siječanj 2015. – prosinac 2017. </w:t>
      </w:r>
    </w:p>
    <w:p w14:paraId="1A18D98C" w14:textId="77777777" w:rsidR="00775CC4" w:rsidRPr="00775CC4" w:rsidRDefault="00604FBC" w:rsidP="00775CC4">
      <w:pPr>
        <w:pStyle w:val="Odlomakpopisa"/>
        <w:numPr>
          <w:ilvl w:val="0"/>
          <w:numId w:val="42"/>
        </w:numPr>
        <w:spacing w:before="80" w:line="276" w:lineRule="auto"/>
        <w:rPr>
          <w:color w:val="000000"/>
        </w:rPr>
      </w:pPr>
      <w:r w:rsidRPr="00775CC4">
        <w:rPr>
          <w:color w:val="000000"/>
        </w:rPr>
        <w:t>Peto izvješće, za razdoblje</w:t>
      </w:r>
      <w:r w:rsidR="00775CC4" w:rsidRPr="00775CC4">
        <w:rPr>
          <w:color w:val="000000"/>
        </w:rPr>
        <w:t xml:space="preserve"> siječanj 2018. – prosinac 2019</w:t>
      </w:r>
      <w:r w:rsidRPr="00775CC4">
        <w:rPr>
          <w:color w:val="000000"/>
        </w:rPr>
        <w:t>.</w:t>
      </w:r>
    </w:p>
    <w:p w14:paraId="1A18D98D" w14:textId="77777777" w:rsidR="00775CC4" w:rsidRPr="00775CC4" w:rsidRDefault="00775CC4" w:rsidP="00775CC4">
      <w:pPr>
        <w:spacing w:before="80" w:line="276" w:lineRule="auto"/>
        <w:rPr>
          <w:color w:val="000000"/>
        </w:rPr>
      </w:pPr>
      <w:r w:rsidRPr="00775CC4">
        <w:rPr>
          <w:color w:val="000000"/>
        </w:rPr>
        <w:t xml:space="preserve">U okviru ispunjavanja obaveza Republike Hrvatske prema Stokholmskoj konvenciji o postojanim organskim onečišćujućim tvarima u zrak, 10. prosinca 2021. u organizaciji </w:t>
      </w:r>
      <w:r>
        <w:rPr>
          <w:color w:val="000000"/>
        </w:rPr>
        <w:t>MINGOR-a</w:t>
      </w:r>
      <w:r w:rsidRPr="00775CC4">
        <w:rPr>
          <w:color w:val="000000"/>
        </w:rPr>
        <w:t xml:space="preserve"> te Hrvatske gospodarske komore kao dugogodišnjeg partnera, održana je radionica pod nazivom „</w:t>
      </w:r>
      <w:r w:rsidR="00FE1651">
        <w:rPr>
          <w:color w:val="000000"/>
        </w:rPr>
        <w:t>T</w:t>
      </w:r>
      <w:r w:rsidR="00FE1651" w:rsidRPr="00775CC4">
        <w:rPr>
          <w:color w:val="000000"/>
        </w:rPr>
        <w:t xml:space="preserve">reći </w:t>
      </w:r>
      <w:r w:rsidR="00FE1651">
        <w:rPr>
          <w:color w:val="000000"/>
        </w:rPr>
        <w:t>N</w:t>
      </w:r>
      <w:r w:rsidR="00FE1651" w:rsidRPr="00775CC4">
        <w:rPr>
          <w:color w:val="000000"/>
        </w:rPr>
        <w:t xml:space="preserve">acionalni plan za provedbu </w:t>
      </w:r>
      <w:r w:rsidR="00FE1651">
        <w:rPr>
          <w:color w:val="000000"/>
        </w:rPr>
        <w:t>S</w:t>
      </w:r>
      <w:r w:rsidR="00FE1651" w:rsidRPr="00775CC4">
        <w:rPr>
          <w:color w:val="000000"/>
        </w:rPr>
        <w:t xml:space="preserve">tockholmske konvencije o postojanim organskim onečišćujućim </w:t>
      </w:r>
      <w:r w:rsidR="00FE1651">
        <w:rPr>
          <w:color w:val="000000"/>
        </w:rPr>
        <w:t>tvarima u Republici Hrvatskoj</w:t>
      </w:r>
      <w:r>
        <w:rPr>
          <w:color w:val="000000"/>
        </w:rPr>
        <w:t xml:space="preserve">“. </w:t>
      </w:r>
      <w:r w:rsidRPr="00775CC4">
        <w:rPr>
          <w:color w:val="000000"/>
        </w:rPr>
        <w:t>Zbog multidisciplinarne problematike pitanja upravljanja i ograničavanja proizvodnje te uporabe, uklanjanja i praćenja postojanih organskih onečišćujućih tvari u okolišu, sudionici radionice su, osim imenovanih predstavnika državnih tijela nadležnih za praćenje Nacionalnog plana za provedbu Stockholmske konvencije, bili i predstavnici institucija s javnim ovlastima, Hrvatske gospodarske komore te predstavnici indu</w:t>
      </w:r>
      <w:r>
        <w:rPr>
          <w:color w:val="000000"/>
        </w:rPr>
        <w:t xml:space="preserve">strije i gospodarstva. </w:t>
      </w:r>
      <w:r w:rsidRPr="00775CC4">
        <w:rPr>
          <w:color w:val="000000"/>
        </w:rPr>
        <w:t>Jedna od glavnih mjera i aktivnosti iz Trećeg NIP-a je podizanje svijesti šire javnosti o POPs-ovima, a sve s ciljem smanjenja njihova štetnog d</w:t>
      </w:r>
      <w:r>
        <w:rPr>
          <w:color w:val="000000"/>
        </w:rPr>
        <w:t xml:space="preserve">jelovanja na zdravlje i okoliš. </w:t>
      </w:r>
      <w:r w:rsidRPr="00775CC4">
        <w:rPr>
          <w:color w:val="000000"/>
        </w:rPr>
        <w:t xml:space="preserve">Radionica je dobila niz pozitivnih komentara sudionika, a organizatori su zaključili kako je i dalje važno nastaviti međuresornu suradnju kao i suradnju s predstavnicima industrije i gospodarstva te znanstveno-istraživačkim institucijama jer je njihovo aktivno sudjelovanje i razmjena znanja i iskustva neophodna u cilju zaštite zdravlja ljudi i okoliša od postojanih organskih onečišćujućih tvari. </w:t>
      </w:r>
    </w:p>
    <w:p w14:paraId="1A18D98E" w14:textId="77777777" w:rsidR="000B1A82" w:rsidRPr="006304D3" w:rsidRDefault="000B1A82" w:rsidP="000B1A82">
      <w:pPr>
        <w:spacing w:before="80" w:line="276" w:lineRule="auto"/>
        <w:rPr>
          <w:color w:val="000000"/>
        </w:rPr>
      </w:pPr>
      <w:r w:rsidRPr="006304D3">
        <w:rPr>
          <w:color w:val="000000"/>
        </w:rPr>
        <w:t xml:space="preserve">Izmjene i dopune Dodataka A i B Konvencije iz 2019. za većinu stranaka pa tako i za Republiku Hrvatsku </w:t>
      </w:r>
      <w:r w:rsidR="00775CC4">
        <w:rPr>
          <w:color w:val="000000"/>
        </w:rPr>
        <w:t>su stupile</w:t>
      </w:r>
      <w:r w:rsidRPr="006304D3">
        <w:rPr>
          <w:color w:val="000000"/>
        </w:rPr>
        <w:t xml:space="preserve"> na snagu u prosincu 2020., a sadržane su u: </w:t>
      </w:r>
    </w:p>
    <w:p w14:paraId="1A18D98F" w14:textId="77777777" w:rsidR="000B1A82" w:rsidRPr="006304D3" w:rsidRDefault="000B1A82" w:rsidP="000B1A82">
      <w:pPr>
        <w:numPr>
          <w:ilvl w:val="0"/>
          <w:numId w:val="40"/>
        </w:numPr>
        <w:tabs>
          <w:tab w:val="left" w:pos="1755"/>
        </w:tabs>
        <w:autoSpaceDE w:val="0"/>
        <w:autoSpaceDN w:val="0"/>
        <w:adjustRightInd w:val="0"/>
        <w:spacing w:before="80" w:line="240" w:lineRule="auto"/>
        <w:rPr>
          <w:rFonts w:eastAsia="Calibri"/>
        </w:rPr>
      </w:pPr>
      <w:r w:rsidRPr="006304D3">
        <w:rPr>
          <w:rFonts w:eastAsia="Calibri"/>
        </w:rPr>
        <w:lastRenderedPageBreak/>
        <w:t>Uredbi o objavi Izmjena i dopuna Dodataka A i B iz svibnja 2019. Stockholmske konvencije o postojanim organskim onečišćujućim tvarima („Narodne novine – Međunarodni ugovori“, broj 5/20) i bit će uzete u obzir prilikom izrade Četvrtog NIP-a.</w:t>
      </w:r>
    </w:p>
    <w:p w14:paraId="1A18D990" w14:textId="77777777" w:rsidR="000B1A82" w:rsidRDefault="000B1A82" w:rsidP="000B1A82">
      <w:pPr>
        <w:spacing w:after="120"/>
        <w:rPr>
          <w:i/>
        </w:rPr>
      </w:pPr>
    </w:p>
    <w:p w14:paraId="1A18D991" w14:textId="0620BA08" w:rsidR="00A449D2" w:rsidRPr="00F920F5" w:rsidRDefault="00A449D2" w:rsidP="00F920F5">
      <w:pPr>
        <w:rPr>
          <w:i/>
        </w:rPr>
      </w:pPr>
      <w:r w:rsidRPr="00F920F5">
        <w:rPr>
          <w:i/>
        </w:rPr>
        <w:t>Tablica 1</w:t>
      </w:r>
      <w:r w:rsidR="00C26CFF" w:rsidRPr="00F920F5">
        <w:rPr>
          <w:i/>
        </w:rPr>
        <w:t>-1</w:t>
      </w:r>
      <w:r w:rsidR="007A78E4" w:rsidRPr="00F920F5">
        <w:rPr>
          <w:i/>
        </w:rPr>
        <w:t>.</w:t>
      </w:r>
      <w:r w:rsidRPr="00F920F5">
        <w:rPr>
          <w:i/>
        </w:rPr>
        <w:t xml:space="preserve"> Popis POPs-ova uvrštenih u dodatke Konvencije</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3636"/>
        <w:gridCol w:w="1136"/>
        <w:gridCol w:w="1667"/>
        <w:gridCol w:w="1666"/>
      </w:tblGrid>
      <w:tr w:rsidR="00A449D2" w:rsidRPr="00E47EC1" w14:paraId="1A18D998" w14:textId="77777777" w:rsidTr="00F920F5">
        <w:trPr>
          <w:tblHeader/>
          <w:jc w:val="center"/>
        </w:trPr>
        <w:tc>
          <w:tcPr>
            <w:tcW w:w="1636" w:type="dxa"/>
            <w:shd w:val="pct10" w:color="auto" w:fill="auto"/>
            <w:vAlign w:val="center"/>
          </w:tcPr>
          <w:p w14:paraId="1A18D993" w14:textId="77777777" w:rsidR="00A449D2" w:rsidRPr="00E47EC1" w:rsidRDefault="00A449D2" w:rsidP="000F1ADC">
            <w:pPr>
              <w:jc w:val="center"/>
              <w:rPr>
                <w:b/>
              </w:rPr>
            </w:pPr>
            <w:r w:rsidRPr="00E47EC1">
              <w:rPr>
                <w:b/>
              </w:rPr>
              <w:t>Dodatak</w:t>
            </w:r>
          </w:p>
        </w:tc>
        <w:tc>
          <w:tcPr>
            <w:tcW w:w="3636" w:type="dxa"/>
            <w:shd w:val="pct10" w:color="auto" w:fill="auto"/>
            <w:vAlign w:val="center"/>
          </w:tcPr>
          <w:p w14:paraId="1A18D994" w14:textId="77777777" w:rsidR="00A449D2" w:rsidRPr="00E47EC1" w:rsidRDefault="00A449D2" w:rsidP="000F1ADC">
            <w:pPr>
              <w:jc w:val="center"/>
              <w:rPr>
                <w:b/>
              </w:rPr>
            </w:pPr>
            <w:r w:rsidRPr="00E47EC1">
              <w:rPr>
                <w:b/>
              </w:rPr>
              <w:t>Tvar</w:t>
            </w:r>
          </w:p>
        </w:tc>
        <w:tc>
          <w:tcPr>
            <w:tcW w:w="1136" w:type="dxa"/>
            <w:shd w:val="pct10" w:color="auto" w:fill="auto"/>
            <w:vAlign w:val="center"/>
          </w:tcPr>
          <w:p w14:paraId="1A18D995" w14:textId="77777777" w:rsidR="00A449D2" w:rsidRPr="00E47EC1" w:rsidRDefault="00A449D2" w:rsidP="000F1ADC">
            <w:pPr>
              <w:jc w:val="center"/>
              <w:rPr>
                <w:b/>
              </w:rPr>
            </w:pPr>
            <w:r w:rsidRPr="00E47EC1">
              <w:rPr>
                <w:b/>
              </w:rPr>
              <w:t>Pesticid</w:t>
            </w:r>
          </w:p>
        </w:tc>
        <w:tc>
          <w:tcPr>
            <w:tcW w:w="1667" w:type="dxa"/>
            <w:shd w:val="pct10" w:color="auto" w:fill="auto"/>
            <w:vAlign w:val="center"/>
          </w:tcPr>
          <w:p w14:paraId="1A18D996" w14:textId="77777777" w:rsidR="00A449D2" w:rsidRPr="00E47EC1" w:rsidRDefault="00A449D2" w:rsidP="000F1ADC">
            <w:pPr>
              <w:jc w:val="center"/>
              <w:rPr>
                <w:b/>
              </w:rPr>
            </w:pPr>
            <w:r w:rsidRPr="00E47EC1">
              <w:rPr>
                <w:b/>
              </w:rPr>
              <w:t>Industrijska kemikalija</w:t>
            </w:r>
          </w:p>
        </w:tc>
        <w:tc>
          <w:tcPr>
            <w:tcW w:w="1666" w:type="dxa"/>
            <w:shd w:val="pct10" w:color="auto" w:fill="auto"/>
            <w:vAlign w:val="center"/>
          </w:tcPr>
          <w:p w14:paraId="1A18D997" w14:textId="77777777" w:rsidR="00A449D2" w:rsidRPr="00E47EC1" w:rsidRDefault="00A449D2" w:rsidP="000F1ADC">
            <w:pPr>
              <w:jc w:val="center"/>
              <w:rPr>
                <w:b/>
              </w:rPr>
            </w:pPr>
            <w:r w:rsidRPr="00E47EC1">
              <w:rPr>
                <w:b/>
              </w:rPr>
              <w:t>Nenamjerna proizvodnja</w:t>
            </w:r>
          </w:p>
        </w:tc>
      </w:tr>
      <w:tr w:rsidR="00FD084B" w:rsidRPr="00E47EC1" w14:paraId="1A18D99E" w14:textId="77777777" w:rsidTr="00F920F5">
        <w:trPr>
          <w:jc w:val="center"/>
        </w:trPr>
        <w:tc>
          <w:tcPr>
            <w:tcW w:w="1636" w:type="dxa"/>
            <w:vMerge w:val="restart"/>
            <w:vAlign w:val="center"/>
          </w:tcPr>
          <w:p w14:paraId="1A18D999" w14:textId="77777777" w:rsidR="00FD084B" w:rsidRPr="00E47EC1" w:rsidRDefault="00FD084B" w:rsidP="000F1ADC">
            <w:pPr>
              <w:jc w:val="center"/>
              <w:rPr>
                <w:b/>
              </w:rPr>
            </w:pPr>
            <w:r w:rsidRPr="00E47EC1">
              <w:rPr>
                <w:b/>
              </w:rPr>
              <w:t>Dodatak A: Uklanjanje</w:t>
            </w:r>
          </w:p>
        </w:tc>
        <w:tc>
          <w:tcPr>
            <w:tcW w:w="3636" w:type="dxa"/>
          </w:tcPr>
          <w:p w14:paraId="1A18D99A" w14:textId="77777777" w:rsidR="00FD084B" w:rsidRPr="00E47EC1" w:rsidRDefault="00FD084B" w:rsidP="000F1ADC">
            <w:r w:rsidRPr="00E47EC1">
              <w:rPr>
                <w:color w:val="000000"/>
              </w:rPr>
              <w:t>aldrin</w:t>
            </w:r>
          </w:p>
        </w:tc>
        <w:tc>
          <w:tcPr>
            <w:tcW w:w="1136" w:type="dxa"/>
          </w:tcPr>
          <w:p w14:paraId="1A18D99B" w14:textId="77777777" w:rsidR="00FD084B" w:rsidRPr="00E47EC1" w:rsidRDefault="00FD084B" w:rsidP="000F1ADC">
            <w:pPr>
              <w:jc w:val="center"/>
            </w:pPr>
            <w:r w:rsidRPr="00E47EC1">
              <w:t>x</w:t>
            </w:r>
          </w:p>
        </w:tc>
        <w:tc>
          <w:tcPr>
            <w:tcW w:w="1667" w:type="dxa"/>
          </w:tcPr>
          <w:p w14:paraId="1A18D99C" w14:textId="77777777" w:rsidR="00FD084B" w:rsidRPr="00E47EC1" w:rsidRDefault="00FD084B" w:rsidP="000F1ADC">
            <w:pPr>
              <w:jc w:val="center"/>
            </w:pPr>
          </w:p>
        </w:tc>
        <w:tc>
          <w:tcPr>
            <w:tcW w:w="1666" w:type="dxa"/>
          </w:tcPr>
          <w:p w14:paraId="1A18D99D" w14:textId="77777777" w:rsidR="00FD084B" w:rsidRPr="00E47EC1" w:rsidRDefault="00FD084B" w:rsidP="000F1ADC">
            <w:pPr>
              <w:jc w:val="center"/>
            </w:pPr>
          </w:p>
        </w:tc>
      </w:tr>
      <w:tr w:rsidR="00FD084B" w:rsidRPr="00E47EC1" w14:paraId="1A18D9A4" w14:textId="77777777" w:rsidTr="00F920F5">
        <w:trPr>
          <w:jc w:val="center"/>
        </w:trPr>
        <w:tc>
          <w:tcPr>
            <w:tcW w:w="1636" w:type="dxa"/>
            <w:vMerge/>
            <w:vAlign w:val="center"/>
          </w:tcPr>
          <w:p w14:paraId="1A18D99F" w14:textId="77777777" w:rsidR="00FD084B" w:rsidRPr="00E47EC1" w:rsidRDefault="00FD084B" w:rsidP="000F1ADC">
            <w:pPr>
              <w:jc w:val="center"/>
              <w:rPr>
                <w:b/>
              </w:rPr>
            </w:pPr>
          </w:p>
        </w:tc>
        <w:tc>
          <w:tcPr>
            <w:tcW w:w="3636" w:type="dxa"/>
          </w:tcPr>
          <w:p w14:paraId="1A18D9A0" w14:textId="77777777" w:rsidR="00FD084B" w:rsidRPr="00E47EC1" w:rsidRDefault="00FD084B" w:rsidP="000F1ADC">
            <w:r w:rsidRPr="00E47EC1">
              <w:rPr>
                <w:color w:val="000000"/>
              </w:rPr>
              <w:t>klordan</w:t>
            </w:r>
          </w:p>
        </w:tc>
        <w:tc>
          <w:tcPr>
            <w:tcW w:w="1136" w:type="dxa"/>
          </w:tcPr>
          <w:p w14:paraId="1A18D9A1" w14:textId="77777777" w:rsidR="00FD084B" w:rsidRPr="00E47EC1" w:rsidRDefault="00FD084B" w:rsidP="000F1ADC">
            <w:pPr>
              <w:jc w:val="center"/>
            </w:pPr>
            <w:r w:rsidRPr="00E47EC1">
              <w:t>x</w:t>
            </w:r>
          </w:p>
        </w:tc>
        <w:tc>
          <w:tcPr>
            <w:tcW w:w="1667" w:type="dxa"/>
          </w:tcPr>
          <w:p w14:paraId="1A18D9A2" w14:textId="77777777" w:rsidR="00FD084B" w:rsidRPr="00E47EC1" w:rsidRDefault="00FD084B" w:rsidP="000F1ADC">
            <w:pPr>
              <w:jc w:val="center"/>
            </w:pPr>
          </w:p>
        </w:tc>
        <w:tc>
          <w:tcPr>
            <w:tcW w:w="1666" w:type="dxa"/>
          </w:tcPr>
          <w:p w14:paraId="1A18D9A3" w14:textId="77777777" w:rsidR="00FD084B" w:rsidRPr="00E47EC1" w:rsidRDefault="00FD084B" w:rsidP="000F1ADC">
            <w:pPr>
              <w:jc w:val="center"/>
            </w:pPr>
          </w:p>
        </w:tc>
      </w:tr>
      <w:tr w:rsidR="00FD084B" w:rsidRPr="00E47EC1" w14:paraId="1A18D9AA" w14:textId="77777777" w:rsidTr="00F920F5">
        <w:trPr>
          <w:jc w:val="center"/>
        </w:trPr>
        <w:tc>
          <w:tcPr>
            <w:tcW w:w="1636" w:type="dxa"/>
            <w:vMerge/>
            <w:vAlign w:val="center"/>
          </w:tcPr>
          <w:p w14:paraId="1A18D9A5" w14:textId="77777777" w:rsidR="00FD084B" w:rsidRPr="00E47EC1" w:rsidRDefault="00FD084B" w:rsidP="000F1ADC">
            <w:pPr>
              <w:jc w:val="center"/>
              <w:rPr>
                <w:b/>
              </w:rPr>
            </w:pPr>
          </w:p>
        </w:tc>
        <w:tc>
          <w:tcPr>
            <w:tcW w:w="3636" w:type="dxa"/>
          </w:tcPr>
          <w:p w14:paraId="1A18D9A6" w14:textId="77777777" w:rsidR="00FD084B" w:rsidRPr="00E47EC1" w:rsidRDefault="00FD084B" w:rsidP="000F1ADC">
            <w:r w:rsidRPr="00E47EC1">
              <w:rPr>
                <w:lang w:eastAsia="de-DE"/>
              </w:rPr>
              <w:t>dieldrin</w:t>
            </w:r>
          </w:p>
        </w:tc>
        <w:tc>
          <w:tcPr>
            <w:tcW w:w="1136" w:type="dxa"/>
          </w:tcPr>
          <w:p w14:paraId="1A18D9A7" w14:textId="77777777" w:rsidR="00FD084B" w:rsidRPr="00E47EC1" w:rsidRDefault="00FD084B" w:rsidP="000F1ADC">
            <w:pPr>
              <w:jc w:val="center"/>
            </w:pPr>
            <w:r w:rsidRPr="00E47EC1">
              <w:t>x</w:t>
            </w:r>
          </w:p>
        </w:tc>
        <w:tc>
          <w:tcPr>
            <w:tcW w:w="1667" w:type="dxa"/>
          </w:tcPr>
          <w:p w14:paraId="1A18D9A8" w14:textId="77777777" w:rsidR="00FD084B" w:rsidRPr="00E47EC1" w:rsidRDefault="00FD084B" w:rsidP="000F1ADC">
            <w:pPr>
              <w:jc w:val="center"/>
            </w:pPr>
          </w:p>
        </w:tc>
        <w:tc>
          <w:tcPr>
            <w:tcW w:w="1666" w:type="dxa"/>
          </w:tcPr>
          <w:p w14:paraId="1A18D9A9" w14:textId="77777777" w:rsidR="00FD084B" w:rsidRPr="00E47EC1" w:rsidRDefault="00FD084B" w:rsidP="000F1ADC">
            <w:pPr>
              <w:jc w:val="center"/>
            </w:pPr>
          </w:p>
        </w:tc>
      </w:tr>
      <w:tr w:rsidR="00FD084B" w:rsidRPr="00E47EC1" w14:paraId="1A18D9B0" w14:textId="77777777" w:rsidTr="00F920F5">
        <w:trPr>
          <w:jc w:val="center"/>
        </w:trPr>
        <w:tc>
          <w:tcPr>
            <w:tcW w:w="1636" w:type="dxa"/>
            <w:vMerge/>
            <w:vAlign w:val="center"/>
          </w:tcPr>
          <w:p w14:paraId="1A18D9AB" w14:textId="77777777" w:rsidR="00FD084B" w:rsidRPr="00E47EC1" w:rsidRDefault="00FD084B" w:rsidP="000F1ADC">
            <w:pPr>
              <w:jc w:val="center"/>
              <w:rPr>
                <w:b/>
              </w:rPr>
            </w:pPr>
          </w:p>
        </w:tc>
        <w:tc>
          <w:tcPr>
            <w:tcW w:w="3636" w:type="dxa"/>
          </w:tcPr>
          <w:p w14:paraId="1A18D9AC" w14:textId="77777777" w:rsidR="00FD084B" w:rsidRPr="00E47EC1" w:rsidRDefault="00FD084B" w:rsidP="000F1ADC">
            <w:r w:rsidRPr="00E47EC1">
              <w:rPr>
                <w:color w:val="000000"/>
              </w:rPr>
              <w:t>endrin</w:t>
            </w:r>
          </w:p>
        </w:tc>
        <w:tc>
          <w:tcPr>
            <w:tcW w:w="1136" w:type="dxa"/>
          </w:tcPr>
          <w:p w14:paraId="1A18D9AD" w14:textId="77777777" w:rsidR="00FD084B" w:rsidRPr="00E47EC1" w:rsidRDefault="00FD084B" w:rsidP="000F1ADC">
            <w:pPr>
              <w:jc w:val="center"/>
            </w:pPr>
            <w:r w:rsidRPr="00E47EC1">
              <w:t>x</w:t>
            </w:r>
          </w:p>
        </w:tc>
        <w:tc>
          <w:tcPr>
            <w:tcW w:w="1667" w:type="dxa"/>
          </w:tcPr>
          <w:p w14:paraId="1A18D9AE" w14:textId="77777777" w:rsidR="00FD084B" w:rsidRPr="00E47EC1" w:rsidRDefault="00FD084B" w:rsidP="000F1ADC">
            <w:pPr>
              <w:jc w:val="center"/>
            </w:pPr>
          </w:p>
        </w:tc>
        <w:tc>
          <w:tcPr>
            <w:tcW w:w="1666" w:type="dxa"/>
          </w:tcPr>
          <w:p w14:paraId="1A18D9AF" w14:textId="77777777" w:rsidR="00FD084B" w:rsidRPr="00E47EC1" w:rsidRDefault="00FD084B" w:rsidP="000F1ADC">
            <w:pPr>
              <w:jc w:val="center"/>
            </w:pPr>
          </w:p>
        </w:tc>
      </w:tr>
      <w:tr w:rsidR="00FD084B" w:rsidRPr="00E47EC1" w14:paraId="1A18D9B6" w14:textId="77777777" w:rsidTr="00F920F5">
        <w:trPr>
          <w:jc w:val="center"/>
        </w:trPr>
        <w:tc>
          <w:tcPr>
            <w:tcW w:w="1636" w:type="dxa"/>
            <w:vMerge/>
            <w:vAlign w:val="center"/>
          </w:tcPr>
          <w:p w14:paraId="1A18D9B1" w14:textId="77777777" w:rsidR="00FD084B" w:rsidRPr="00E47EC1" w:rsidRDefault="00FD084B" w:rsidP="000F1ADC">
            <w:pPr>
              <w:jc w:val="center"/>
              <w:rPr>
                <w:b/>
              </w:rPr>
            </w:pPr>
          </w:p>
        </w:tc>
        <w:tc>
          <w:tcPr>
            <w:tcW w:w="3636" w:type="dxa"/>
          </w:tcPr>
          <w:p w14:paraId="1A18D9B2" w14:textId="77777777" w:rsidR="00FD084B" w:rsidRPr="00E47EC1" w:rsidRDefault="00FD084B" w:rsidP="000F1ADC">
            <w:r w:rsidRPr="00E47EC1">
              <w:rPr>
                <w:color w:val="000000"/>
              </w:rPr>
              <w:t>heptaklor</w:t>
            </w:r>
          </w:p>
        </w:tc>
        <w:tc>
          <w:tcPr>
            <w:tcW w:w="1136" w:type="dxa"/>
          </w:tcPr>
          <w:p w14:paraId="1A18D9B3" w14:textId="77777777" w:rsidR="00FD084B" w:rsidRPr="00E47EC1" w:rsidRDefault="00FD084B" w:rsidP="000F1ADC">
            <w:pPr>
              <w:jc w:val="center"/>
            </w:pPr>
            <w:r w:rsidRPr="00E47EC1">
              <w:t>x</w:t>
            </w:r>
          </w:p>
        </w:tc>
        <w:tc>
          <w:tcPr>
            <w:tcW w:w="1667" w:type="dxa"/>
          </w:tcPr>
          <w:p w14:paraId="1A18D9B4" w14:textId="77777777" w:rsidR="00FD084B" w:rsidRPr="00E47EC1" w:rsidRDefault="00FD084B" w:rsidP="000F1ADC">
            <w:pPr>
              <w:jc w:val="center"/>
            </w:pPr>
          </w:p>
        </w:tc>
        <w:tc>
          <w:tcPr>
            <w:tcW w:w="1666" w:type="dxa"/>
          </w:tcPr>
          <w:p w14:paraId="1A18D9B5" w14:textId="77777777" w:rsidR="00FD084B" w:rsidRPr="00E47EC1" w:rsidRDefault="00FD084B" w:rsidP="000F1ADC">
            <w:pPr>
              <w:jc w:val="center"/>
            </w:pPr>
          </w:p>
        </w:tc>
      </w:tr>
      <w:tr w:rsidR="00FD084B" w:rsidRPr="00E47EC1" w14:paraId="1A18D9BC" w14:textId="77777777" w:rsidTr="00F920F5">
        <w:trPr>
          <w:jc w:val="center"/>
        </w:trPr>
        <w:tc>
          <w:tcPr>
            <w:tcW w:w="1636" w:type="dxa"/>
            <w:vMerge/>
            <w:vAlign w:val="center"/>
          </w:tcPr>
          <w:p w14:paraId="1A18D9B7" w14:textId="77777777" w:rsidR="00FD084B" w:rsidRPr="00E47EC1" w:rsidRDefault="00FD084B" w:rsidP="000F1ADC">
            <w:pPr>
              <w:jc w:val="center"/>
              <w:rPr>
                <w:b/>
              </w:rPr>
            </w:pPr>
          </w:p>
        </w:tc>
        <w:tc>
          <w:tcPr>
            <w:tcW w:w="3636" w:type="dxa"/>
          </w:tcPr>
          <w:p w14:paraId="1A18D9B8" w14:textId="77777777" w:rsidR="00FD084B" w:rsidRPr="00E47EC1" w:rsidRDefault="00FD084B" w:rsidP="000F1ADC">
            <w:pPr>
              <w:rPr>
                <w:color w:val="000000"/>
              </w:rPr>
            </w:pPr>
            <w:r w:rsidRPr="00E47EC1">
              <w:rPr>
                <w:color w:val="000000"/>
              </w:rPr>
              <w:t>heksaklorobenzen (HCB)</w:t>
            </w:r>
          </w:p>
        </w:tc>
        <w:tc>
          <w:tcPr>
            <w:tcW w:w="1136" w:type="dxa"/>
          </w:tcPr>
          <w:p w14:paraId="1A18D9B9" w14:textId="77777777" w:rsidR="00FD084B" w:rsidRPr="00E47EC1" w:rsidRDefault="00FD084B" w:rsidP="000F1ADC">
            <w:pPr>
              <w:jc w:val="center"/>
            </w:pPr>
            <w:r w:rsidRPr="00E47EC1">
              <w:t>x</w:t>
            </w:r>
          </w:p>
        </w:tc>
        <w:tc>
          <w:tcPr>
            <w:tcW w:w="1667" w:type="dxa"/>
          </w:tcPr>
          <w:p w14:paraId="1A18D9BA" w14:textId="77777777" w:rsidR="00FD084B" w:rsidRPr="00E47EC1" w:rsidRDefault="00FD084B" w:rsidP="000F1ADC">
            <w:pPr>
              <w:jc w:val="center"/>
            </w:pPr>
            <w:r w:rsidRPr="00E47EC1">
              <w:t>x</w:t>
            </w:r>
          </w:p>
        </w:tc>
        <w:tc>
          <w:tcPr>
            <w:tcW w:w="1666" w:type="dxa"/>
          </w:tcPr>
          <w:p w14:paraId="1A18D9BB" w14:textId="77777777" w:rsidR="00FD084B" w:rsidRPr="00E47EC1" w:rsidRDefault="00FD084B" w:rsidP="000F1ADC">
            <w:pPr>
              <w:jc w:val="center"/>
            </w:pPr>
          </w:p>
        </w:tc>
      </w:tr>
      <w:tr w:rsidR="00FD084B" w:rsidRPr="00E47EC1" w14:paraId="1A18D9C2" w14:textId="77777777" w:rsidTr="00F920F5">
        <w:trPr>
          <w:jc w:val="center"/>
        </w:trPr>
        <w:tc>
          <w:tcPr>
            <w:tcW w:w="1636" w:type="dxa"/>
            <w:vMerge/>
            <w:vAlign w:val="center"/>
          </w:tcPr>
          <w:p w14:paraId="1A18D9BD" w14:textId="77777777" w:rsidR="00FD084B" w:rsidRPr="00E47EC1" w:rsidRDefault="00FD084B" w:rsidP="000F1ADC">
            <w:pPr>
              <w:jc w:val="center"/>
              <w:rPr>
                <w:b/>
              </w:rPr>
            </w:pPr>
          </w:p>
        </w:tc>
        <w:tc>
          <w:tcPr>
            <w:tcW w:w="3636" w:type="dxa"/>
          </w:tcPr>
          <w:p w14:paraId="1A18D9BE" w14:textId="77777777" w:rsidR="00FD084B" w:rsidRPr="00E47EC1" w:rsidRDefault="00FD084B" w:rsidP="000F1ADC">
            <w:pPr>
              <w:rPr>
                <w:color w:val="000000"/>
              </w:rPr>
            </w:pPr>
            <w:r w:rsidRPr="00E47EC1">
              <w:rPr>
                <w:lang w:eastAsia="de-DE"/>
              </w:rPr>
              <w:t>mireks</w:t>
            </w:r>
          </w:p>
        </w:tc>
        <w:tc>
          <w:tcPr>
            <w:tcW w:w="1136" w:type="dxa"/>
          </w:tcPr>
          <w:p w14:paraId="1A18D9BF" w14:textId="77777777" w:rsidR="00FD084B" w:rsidRPr="00E47EC1" w:rsidRDefault="00FD084B" w:rsidP="000F1ADC">
            <w:pPr>
              <w:jc w:val="center"/>
            </w:pPr>
            <w:r w:rsidRPr="00E47EC1">
              <w:t>x</w:t>
            </w:r>
          </w:p>
        </w:tc>
        <w:tc>
          <w:tcPr>
            <w:tcW w:w="1667" w:type="dxa"/>
          </w:tcPr>
          <w:p w14:paraId="1A18D9C0" w14:textId="77777777" w:rsidR="00FD084B" w:rsidRPr="00E47EC1" w:rsidRDefault="00FD084B" w:rsidP="000F1ADC">
            <w:pPr>
              <w:jc w:val="center"/>
            </w:pPr>
          </w:p>
        </w:tc>
        <w:tc>
          <w:tcPr>
            <w:tcW w:w="1666" w:type="dxa"/>
          </w:tcPr>
          <w:p w14:paraId="1A18D9C1" w14:textId="77777777" w:rsidR="00FD084B" w:rsidRPr="00E47EC1" w:rsidRDefault="00FD084B" w:rsidP="000F1ADC">
            <w:pPr>
              <w:jc w:val="center"/>
            </w:pPr>
          </w:p>
        </w:tc>
      </w:tr>
      <w:tr w:rsidR="00FD084B" w:rsidRPr="00E47EC1" w14:paraId="1A18D9C8" w14:textId="77777777" w:rsidTr="00F920F5">
        <w:trPr>
          <w:jc w:val="center"/>
        </w:trPr>
        <w:tc>
          <w:tcPr>
            <w:tcW w:w="1636" w:type="dxa"/>
            <w:vMerge/>
            <w:vAlign w:val="center"/>
          </w:tcPr>
          <w:p w14:paraId="1A18D9C3" w14:textId="77777777" w:rsidR="00FD084B" w:rsidRPr="00E47EC1" w:rsidRDefault="00FD084B" w:rsidP="000F1ADC">
            <w:pPr>
              <w:jc w:val="center"/>
              <w:rPr>
                <w:b/>
              </w:rPr>
            </w:pPr>
          </w:p>
        </w:tc>
        <w:tc>
          <w:tcPr>
            <w:tcW w:w="3636" w:type="dxa"/>
          </w:tcPr>
          <w:p w14:paraId="1A18D9C4" w14:textId="77777777" w:rsidR="00FD084B" w:rsidRPr="00E47EC1" w:rsidRDefault="00FD084B" w:rsidP="00A449D2">
            <w:pPr>
              <w:rPr>
                <w:color w:val="000000"/>
              </w:rPr>
            </w:pPr>
            <w:r w:rsidRPr="00E47EC1">
              <w:rPr>
                <w:lang w:eastAsia="de-DE"/>
              </w:rPr>
              <w:t>poliklorirani bifenili (PCB)</w:t>
            </w:r>
          </w:p>
        </w:tc>
        <w:tc>
          <w:tcPr>
            <w:tcW w:w="1136" w:type="dxa"/>
          </w:tcPr>
          <w:p w14:paraId="1A18D9C5" w14:textId="77777777" w:rsidR="00FD084B" w:rsidRPr="00E47EC1" w:rsidRDefault="00FD084B" w:rsidP="000F1ADC">
            <w:pPr>
              <w:jc w:val="center"/>
            </w:pPr>
          </w:p>
        </w:tc>
        <w:tc>
          <w:tcPr>
            <w:tcW w:w="1667" w:type="dxa"/>
          </w:tcPr>
          <w:p w14:paraId="1A18D9C6" w14:textId="77777777" w:rsidR="00FD084B" w:rsidRPr="00E47EC1" w:rsidRDefault="00FD084B" w:rsidP="000F1ADC">
            <w:pPr>
              <w:jc w:val="center"/>
            </w:pPr>
            <w:r w:rsidRPr="00E47EC1">
              <w:t>x</w:t>
            </w:r>
          </w:p>
        </w:tc>
        <w:tc>
          <w:tcPr>
            <w:tcW w:w="1666" w:type="dxa"/>
          </w:tcPr>
          <w:p w14:paraId="1A18D9C7" w14:textId="77777777" w:rsidR="00FD084B" w:rsidRPr="00E47EC1" w:rsidRDefault="00FD084B" w:rsidP="000F1ADC">
            <w:pPr>
              <w:jc w:val="center"/>
            </w:pPr>
          </w:p>
        </w:tc>
      </w:tr>
      <w:tr w:rsidR="00FD084B" w:rsidRPr="00E47EC1" w14:paraId="1A18D9CE" w14:textId="77777777" w:rsidTr="00F920F5">
        <w:trPr>
          <w:jc w:val="center"/>
        </w:trPr>
        <w:tc>
          <w:tcPr>
            <w:tcW w:w="1636" w:type="dxa"/>
            <w:vMerge/>
            <w:vAlign w:val="center"/>
          </w:tcPr>
          <w:p w14:paraId="1A18D9C9" w14:textId="77777777" w:rsidR="00FD084B" w:rsidRPr="00E47EC1" w:rsidRDefault="00FD084B" w:rsidP="000F1ADC">
            <w:pPr>
              <w:jc w:val="center"/>
              <w:rPr>
                <w:b/>
              </w:rPr>
            </w:pPr>
          </w:p>
        </w:tc>
        <w:tc>
          <w:tcPr>
            <w:tcW w:w="3636" w:type="dxa"/>
          </w:tcPr>
          <w:p w14:paraId="1A18D9CA" w14:textId="77777777" w:rsidR="00FD084B" w:rsidRPr="00E47EC1" w:rsidRDefault="00FD084B" w:rsidP="000F1ADC">
            <w:pPr>
              <w:rPr>
                <w:color w:val="000000"/>
              </w:rPr>
            </w:pPr>
            <w:r w:rsidRPr="00E47EC1">
              <w:rPr>
                <w:color w:val="000000"/>
              </w:rPr>
              <w:t>toksafen</w:t>
            </w:r>
          </w:p>
        </w:tc>
        <w:tc>
          <w:tcPr>
            <w:tcW w:w="1136" w:type="dxa"/>
          </w:tcPr>
          <w:p w14:paraId="1A18D9CB" w14:textId="77777777" w:rsidR="00FD084B" w:rsidRPr="00E47EC1" w:rsidRDefault="00FD084B" w:rsidP="000F1ADC">
            <w:pPr>
              <w:jc w:val="center"/>
            </w:pPr>
            <w:r w:rsidRPr="00E47EC1">
              <w:t>x</w:t>
            </w:r>
          </w:p>
        </w:tc>
        <w:tc>
          <w:tcPr>
            <w:tcW w:w="1667" w:type="dxa"/>
          </w:tcPr>
          <w:p w14:paraId="1A18D9CC" w14:textId="77777777" w:rsidR="00FD084B" w:rsidRPr="00E47EC1" w:rsidRDefault="00FD084B" w:rsidP="000F1ADC">
            <w:pPr>
              <w:jc w:val="center"/>
            </w:pPr>
          </w:p>
        </w:tc>
        <w:tc>
          <w:tcPr>
            <w:tcW w:w="1666" w:type="dxa"/>
          </w:tcPr>
          <w:p w14:paraId="1A18D9CD" w14:textId="77777777" w:rsidR="00FD084B" w:rsidRPr="00E47EC1" w:rsidRDefault="00FD084B" w:rsidP="000F1ADC">
            <w:pPr>
              <w:jc w:val="center"/>
            </w:pPr>
          </w:p>
        </w:tc>
      </w:tr>
      <w:tr w:rsidR="00FD084B" w:rsidRPr="00E47EC1" w14:paraId="1A18D9D4" w14:textId="77777777" w:rsidTr="00F920F5">
        <w:trPr>
          <w:jc w:val="center"/>
        </w:trPr>
        <w:tc>
          <w:tcPr>
            <w:tcW w:w="1636" w:type="dxa"/>
            <w:vMerge/>
            <w:vAlign w:val="center"/>
          </w:tcPr>
          <w:p w14:paraId="1A18D9CF" w14:textId="77777777" w:rsidR="00FD084B" w:rsidRPr="00E47EC1" w:rsidRDefault="00FD084B" w:rsidP="000F1ADC">
            <w:pPr>
              <w:jc w:val="center"/>
              <w:rPr>
                <w:b/>
              </w:rPr>
            </w:pPr>
          </w:p>
        </w:tc>
        <w:tc>
          <w:tcPr>
            <w:tcW w:w="3636" w:type="dxa"/>
            <w:shd w:val="clear" w:color="auto" w:fill="D6E3BC" w:themeFill="accent3" w:themeFillTint="66"/>
          </w:tcPr>
          <w:p w14:paraId="1A18D9D0" w14:textId="77777777" w:rsidR="00FD084B" w:rsidRPr="00E47EC1" w:rsidRDefault="00FD084B" w:rsidP="001D6A1B">
            <w:r w:rsidRPr="00E47EC1">
              <w:rPr>
                <w:lang w:eastAsia="de-DE"/>
              </w:rPr>
              <w:t>klordekon</w:t>
            </w:r>
          </w:p>
        </w:tc>
        <w:tc>
          <w:tcPr>
            <w:tcW w:w="1136" w:type="dxa"/>
            <w:shd w:val="clear" w:color="auto" w:fill="D6E3BC" w:themeFill="accent3" w:themeFillTint="66"/>
          </w:tcPr>
          <w:p w14:paraId="1A18D9D1" w14:textId="77777777" w:rsidR="00FD084B" w:rsidRPr="00E47EC1" w:rsidRDefault="00FD084B" w:rsidP="000F1ADC">
            <w:pPr>
              <w:jc w:val="center"/>
            </w:pPr>
            <w:r w:rsidRPr="00E47EC1">
              <w:t>x</w:t>
            </w:r>
          </w:p>
        </w:tc>
        <w:tc>
          <w:tcPr>
            <w:tcW w:w="1667" w:type="dxa"/>
            <w:shd w:val="clear" w:color="auto" w:fill="D6E3BC" w:themeFill="accent3" w:themeFillTint="66"/>
          </w:tcPr>
          <w:p w14:paraId="1A18D9D2" w14:textId="77777777" w:rsidR="00FD084B" w:rsidRPr="00E47EC1" w:rsidRDefault="00FD084B" w:rsidP="000F1ADC">
            <w:pPr>
              <w:jc w:val="center"/>
            </w:pPr>
          </w:p>
        </w:tc>
        <w:tc>
          <w:tcPr>
            <w:tcW w:w="1666" w:type="dxa"/>
            <w:shd w:val="clear" w:color="auto" w:fill="D6E3BC" w:themeFill="accent3" w:themeFillTint="66"/>
          </w:tcPr>
          <w:p w14:paraId="1A18D9D3" w14:textId="77777777" w:rsidR="00FD084B" w:rsidRPr="00E47EC1" w:rsidRDefault="00FD084B" w:rsidP="000F1ADC">
            <w:pPr>
              <w:jc w:val="center"/>
            </w:pPr>
          </w:p>
        </w:tc>
      </w:tr>
      <w:tr w:rsidR="00FD084B" w:rsidRPr="00E47EC1" w14:paraId="1A18D9DA" w14:textId="77777777" w:rsidTr="00F920F5">
        <w:trPr>
          <w:jc w:val="center"/>
        </w:trPr>
        <w:tc>
          <w:tcPr>
            <w:tcW w:w="1636" w:type="dxa"/>
            <w:vMerge/>
            <w:vAlign w:val="center"/>
          </w:tcPr>
          <w:p w14:paraId="1A18D9D5" w14:textId="77777777" w:rsidR="00FD084B" w:rsidRPr="00E47EC1" w:rsidRDefault="00FD084B" w:rsidP="000F1ADC">
            <w:pPr>
              <w:jc w:val="center"/>
              <w:rPr>
                <w:b/>
              </w:rPr>
            </w:pPr>
          </w:p>
        </w:tc>
        <w:tc>
          <w:tcPr>
            <w:tcW w:w="3636" w:type="dxa"/>
            <w:shd w:val="clear" w:color="auto" w:fill="D6E3BC" w:themeFill="accent3" w:themeFillTint="66"/>
          </w:tcPr>
          <w:p w14:paraId="1A18D9D6" w14:textId="77777777" w:rsidR="00FD084B" w:rsidRPr="00E47EC1" w:rsidRDefault="00FD084B" w:rsidP="001D6A1B">
            <w:r w:rsidRPr="00E47EC1">
              <w:rPr>
                <w:lang w:eastAsia="de-DE"/>
              </w:rPr>
              <w:t>heksabromobifenil (HBB)</w:t>
            </w:r>
          </w:p>
        </w:tc>
        <w:tc>
          <w:tcPr>
            <w:tcW w:w="1136" w:type="dxa"/>
            <w:shd w:val="clear" w:color="auto" w:fill="D6E3BC" w:themeFill="accent3" w:themeFillTint="66"/>
          </w:tcPr>
          <w:p w14:paraId="1A18D9D7" w14:textId="77777777" w:rsidR="00FD084B" w:rsidRPr="00E47EC1" w:rsidRDefault="00FD084B" w:rsidP="000F1ADC">
            <w:pPr>
              <w:jc w:val="center"/>
            </w:pPr>
          </w:p>
        </w:tc>
        <w:tc>
          <w:tcPr>
            <w:tcW w:w="1667" w:type="dxa"/>
            <w:shd w:val="clear" w:color="auto" w:fill="D6E3BC" w:themeFill="accent3" w:themeFillTint="66"/>
          </w:tcPr>
          <w:p w14:paraId="1A18D9D8" w14:textId="77777777" w:rsidR="00FD084B" w:rsidRPr="00E47EC1" w:rsidRDefault="00FD084B" w:rsidP="000F1ADC">
            <w:pPr>
              <w:jc w:val="center"/>
            </w:pPr>
            <w:r w:rsidRPr="00E47EC1">
              <w:t>x</w:t>
            </w:r>
          </w:p>
        </w:tc>
        <w:tc>
          <w:tcPr>
            <w:tcW w:w="1666" w:type="dxa"/>
            <w:shd w:val="clear" w:color="auto" w:fill="D6E3BC" w:themeFill="accent3" w:themeFillTint="66"/>
          </w:tcPr>
          <w:p w14:paraId="1A18D9D9" w14:textId="77777777" w:rsidR="00FD084B" w:rsidRPr="00E47EC1" w:rsidRDefault="00FD084B" w:rsidP="000F1ADC">
            <w:pPr>
              <w:jc w:val="center"/>
            </w:pPr>
          </w:p>
        </w:tc>
      </w:tr>
      <w:tr w:rsidR="00FD084B" w:rsidRPr="00E47EC1" w14:paraId="1A18D9E0" w14:textId="77777777" w:rsidTr="00F920F5">
        <w:trPr>
          <w:jc w:val="center"/>
        </w:trPr>
        <w:tc>
          <w:tcPr>
            <w:tcW w:w="1636" w:type="dxa"/>
            <w:vMerge/>
            <w:vAlign w:val="center"/>
          </w:tcPr>
          <w:p w14:paraId="1A18D9DB" w14:textId="77777777" w:rsidR="00FD084B" w:rsidRPr="00E47EC1" w:rsidRDefault="00FD084B" w:rsidP="000F1ADC">
            <w:pPr>
              <w:jc w:val="center"/>
              <w:rPr>
                <w:b/>
              </w:rPr>
            </w:pPr>
          </w:p>
        </w:tc>
        <w:tc>
          <w:tcPr>
            <w:tcW w:w="3636" w:type="dxa"/>
            <w:shd w:val="clear" w:color="auto" w:fill="D6E3BC" w:themeFill="accent3" w:themeFillTint="66"/>
          </w:tcPr>
          <w:p w14:paraId="1A18D9DC" w14:textId="77777777" w:rsidR="00FD084B" w:rsidRPr="00E47EC1" w:rsidRDefault="00FD084B" w:rsidP="001D6A1B">
            <w:pPr>
              <w:spacing w:before="20" w:after="20"/>
              <w:rPr>
                <w:lang w:eastAsia="de-DE"/>
              </w:rPr>
            </w:pPr>
            <w:r w:rsidRPr="00E47EC1">
              <w:rPr>
                <w:lang w:eastAsia="de-DE"/>
              </w:rPr>
              <w:t>heksabromodifenil eter i heptabromodifenil eter</w:t>
            </w:r>
          </w:p>
        </w:tc>
        <w:tc>
          <w:tcPr>
            <w:tcW w:w="1136" w:type="dxa"/>
            <w:shd w:val="clear" w:color="auto" w:fill="D6E3BC" w:themeFill="accent3" w:themeFillTint="66"/>
          </w:tcPr>
          <w:p w14:paraId="1A18D9DD" w14:textId="77777777" w:rsidR="00FD084B" w:rsidRPr="00E47EC1" w:rsidRDefault="00FD084B" w:rsidP="000F1ADC">
            <w:pPr>
              <w:spacing w:before="20" w:after="20"/>
              <w:jc w:val="center"/>
              <w:rPr>
                <w:lang w:eastAsia="de-DE"/>
              </w:rPr>
            </w:pPr>
          </w:p>
        </w:tc>
        <w:tc>
          <w:tcPr>
            <w:tcW w:w="1667" w:type="dxa"/>
            <w:shd w:val="clear" w:color="auto" w:fill="D6E3BC" w:themeFill="accent3" w:themeFillTint="66"/>
          </w:tcPr>
          <w:p w14:paraId="1A18D9DE" w14:textId="77777777" w:rsidR="00FD084B" w:rsidRPr="00E47EC1" w:rsidRDefault="00FD084B" w:rsidP="000F1ADC">
            <w:pPr>
              <w:jc w:val="center"/>
            </w:pPr>
            <w:r w:rsidRPr="00E47EC1">
              <w:t>x</w:t>
            </w:r>
          </w:p>
        </w:tc>
        <w:tc>
          <w:tcPr>
            <w:tcW w:w="1666" w:type="dxa"/>
            <w:shd w:val="clear" w:color="auto" w:fill="D6E3BC" w:themeFill="accent3" w:themeFillTint="66"/>
          </w:tcPr>
          <w:p w14:paraId="1A18D9DF" w14:textId="77777777" w:rsidR="00FD084B" w:rsidRPr="00E47EC1" w:rsidRDefault="00FD084B" w:rsidP="000F1ADC">
            <w:pPr>
              <w:jc w:val="center"/>
            </w:pPr>
          </w:p>
        </w:tc>
      </w:tr>
      <w:tr w:rsidR="00FD084B" w:rsidRPr="00E47EC1" w14:paraId="1A18D9E6" w14:textId="77777777" w:rsidTr="00F920F5">
        <w:trPr>
          <w:jc w:val="center"/>
        </w:trPr>
        <w:tc>
          <w:tcPr>
            <w:tcW w:w="1636" w:type="dxa"/>
            <w:vMerge/>
            <w:vAlign w:val="center"/>
          </w:tcPr>
          <w:p w14:paraId="1A18D9E1" w14:textId="77777777" w:rsidR="00FD084B" w:rsidRPr="00E47EC1" w:rsidRDefault="00FD084B" w:rsidP="000F1ADC">
            <w:pPr>
              <w:jc w:val="center"/>
              <w:rPr>
                <w:b/>
              </w:rPr>
            </w:pPr>
          </w:p>
        </w:tc>
        <w:tc>
          <w:tcPr>
            <w:tcW w:w="3636" w:type="dxa"/>
            <w:shd w:val="clear" w:color="auto" w:fill="D6E3BC" w:themeFill="accent3" w:themeFillTint="66"/>
          </w:tcPr>
          <w:p w14:paraId="1A18D9E2" w14:textId="77777777" w:rsidR="00FD084B" w:rsidRPr="00E47EC1" w:rsidRDefault="00FD084B" w:rsidP="000F1ADC">
            <w:pPr>
              <w:rPr>
                <w:color w:val="000000"/>
              </w:rPr>
            </w:pPr>
            <w:r w:rsidRPr="00E47EC1">
              <w:rPr>
                <w:color w:val="000000"/>
              </w:rPr>
              <w:t>alfa heksaklorocikloheksan</w:t>
            </w:r>
          </w:p>
        </w:tc>
        <w:tc>
          <w:tcPr>
            <w:tcW w:w="1136" w:type="dxa"/>
            <w:shd w:val="clear" w:color="auto" w:fill="D6E3BC" w:themeFill="accent3" w:themeFillTint="66"/>
          </w:tcPr>
          <w:p w14:paraId="1A18D9E3" w14:textId="77777777" w:rsidR="00FD084B" w:rsidRPr="00E47EC1" w:rsidRDefault="00FD084B" w:rsidP="000F1ADC">
            <w:pPr>
              <w:jc w:val="center"/>
            </w:pPr>
            <w:r w:rsidRPr="00E47EC1">
              <w:t>x</w:t>
            </w:r>
          </w:p>
        </w:tc>
        <w:tc>
          <w:tcPr>
            <w:tcW w:w="1667" w:type="dxa"/>
            <w:shd w:val="clear" w:color="auto" w:fill="D6E3BC" w:themeFill="accent3" w:themeFillTint="66"/>
          </w:tcPr>
          <w:p w14:paraId="1A18D9E4" w14:textId="77777777" w:rsidR="00FD084B" w:rsidRPr="00E47EC1" w:rsidRDefault="00FD084B" w:rsidP="000F1ADC">
            <w:pPr>
              <w:jc w:val="center"/>
            </w:pPr>
          </w:p>
        </w:tc>
        <w:tc>
          <w:tcPr>
            <w:tcW w:w="1666" w:type="dxa"/>
            <w:shd w:val="clear" w:color="auto" w:fill="D6E3BC" w:themeFill="accent3" w:themeFillTint="66"/>
          </w:tcPr>
          <w:p w14:paraId="1A18D9E5" w14:textId="77777777" w:rsidR="00FD084B" w:rsidRPr="00E47EC1" w:rsidRDefault="00FD084B" w:rsidP="000F1ADC">
            <w:pPr>
              <w:jc w:val="center"/>
            </w:pPr>
          </w:p>
        </w:tc>
      </w:tr>
      <w:tr w:rsidR="00FD084B" w:rsidRPr="00E47EC1" w14:paraId="1A18D9EC" w14:textId="77777777" w:rsidTr="00F920F5">
        <w:trPr>
          <w:jc w:val="center"/>
        </w:trPr>
        <w:tc>
          <w:tcPr>
            <w:tcW w:w="1636" w:type="dxa"/>
            <w:vMerge/>
            <w:vAlign w:val="center"/>
          </w:tcPr>
          <w:p w14:paraId="1A18D9E7" w14:textId="77777777" w:rsidR="00FD084B" w:rsidRPr="00E47EC1" w:rsidRDefault="00FD084B" w:rsidP="000F1ADC">
            <w:pPr>
              <w:jc w:val="center"/>
              <w:rPr>
                <w:b/>
              </w:rPr>
            </w:pPr>
          </w:p>
        </w:tc>
        <w:tc>
          <w:tcPr>
            <w:tcW w:w="3636" w:type="dxa"/>
            <w:shd w:val="clear" w:color="auto" w:fill="D6E3BC" w:themeFill="accent3" w:themeFillTint="66"/>
          </w:tcPr>
          <w:p w14:paraId="1A18D9E8" w14:textId="77777777" w:rsidR="00FD084B" w:rsidRPr="00E47EC1" w:rsidRDefault="00FD084B" w:rsidP="000F1ADC">
            <w:pPr>
              <w:rPr>
                <w:color w:val="000000"/>
              </w:rPr>
            </w:pPr>
            <w:r w:rsidRPr="00E47EC1">
              <w:rPr>
                <w:color w:val="000000"/>
              </w:rPr>
              <w:t>beta heksaklorocikloheksan</w:t>
            </w:r>
          </w:p>
        </w:tc>
        <w:tc>
          <w:tcPr>
            <w:tcW w:w="1136" w:type="dxa"/>
            <w:shd w:val="clear" w:color="auto" w:fill="D6E3BC" w:themeFill="accent3" w:themeFillTint="66"/>
          </w:tcPr>
          <w:p w14:paraId="1A18D9E9" w14:textId="77777777" w:rsidR="00FD084B" w:rsidRPr="00E47EC1" w:rsidRDefault="00FD084B" w:rsidP="000F1ADC">
            <w:pPr>
              <w:jc w:val="center"/>
            </w:pPr>
            <w:r w:rsidRPr="00E47EC1">
              <w:t>x</w:t>
            </w:r>
          </w:p>
        </w:tc>
        <w:tc>
          <w:tcPr>
            <w:tcW w:w="1667" w:type="dxa"/>
            <w:shd w:val="clear" w:color="auto" w:fill="D6E3BC" w:themeFill="accent3" w:themeFillTint="66"/>
          </w:tcPr>
          <w:p w14:paraId="1A18D9EA" w14:textId="77777777" w:rsidR="00FD084B" w:rsidRPr="00E47EC1" w:rsidRDefault="00FD084B" w:rsidP="000F1ADC">
            <w:pPr>
              <w:jc w:val="center"/>
            </w:pPr>
          </w:p>
        </w:tc>
        <w:tc>
          <w:tcPr>
            <w:tcW w:w="1666" w:type="dxa"/>
            <w:shd w:val="clear" w:color="auto" w:fill="D6E3BC" w:themeFill="accent3" w:themeFillTint="66"/>
          </w:tcPr>
          <w:p w14:paraId="1A18D9EB" w14:textId="77777777" w:rsidR="00FD084B" w:rsidRPr="00E47EC1" w:rsidRDefault="00FD084B" w:rsidP="000F1ADC">
            <w:pPr>
              <w:jc w:val="center"/>
            </w:pPr>
          </w:p>
        </w:tc>
      </w:tr>
      <w:tr w:rsidR="00FD084B" w:rsidRPr="00E47EC1" w14:paraId="1A18D9F2" w14:textId="77777777" w:rsidTr="00F920F5">
        <w:trPr>
          <w:jc w:val="center"/>
        </w:trPr>
        <w:tc>
          <w:tcPr>
            <w:tcW w:w="1636" w:type="dxa"/>
            <w:vMerge/>
            <w:vAlign w:val="center"/>
          </w:tcPr>
          <w:p w14:paraId="1A18D9ED" w14:textId="77777777" w:rsidR="00FD084B" w:rsidRPr="00E47EC1" w:rsidRDefault="00FD084B" w:rsidP="000F1ADC">
            <w:pPr>
              <w:jc w:val="center"/>
              <w:rPr>
                <w:b/>
              </w:rPr>
            </w:pPr>
          </w:p>
        </w:tc>
        <w:tc>
          <w:tcPr>
            <w:tcW w:w="3636" w:type="dxa"/>
            <w:shd w:val="clear" w:color="auto" w:fill="D6E3BC" w:themeFill="accent3" w:themeFillTint="66"/>
          </w:tcPr>
          <w:p w14:paraId="1A18D9EE" w14:textId="77777777" w:rsidR="00FD084B" w:rsidRPr="00E47EC1" w:rsidRDefault="00FD084B" w:rsidP="000F1ADC">
            <w:pPr>
              <w:rPr>
                <w:color w:val="000000"/>
              </w:rPr>
            </w:pPr>
            <w:r w:rsidRPr="00E47EC1">
              <w:rPr>
                <w:color w:val="000000"/>
              </w:rPr>
              <w:t>lindan</w:t>
            </w:r>
          </w:p>
        </w:tc>
        <w:tc>
          <w:tcPr>
            <w:tcW w:w="1136" w:type="dxa"/>
            <w:shd w:val="clear" w:color="auto" w:fill="D6E3BC" w:themeFill="accent3" w:themeFillTint="66"/>
          </w:tcPr>
          <w:p w14:paraId="1A18D9EF" w14:textId="77777777" w:rsidR="00FD084B" w:rsidRPr="00E47EC1" w:rsidRDefault="00FD084B" w:rsidP="000F1ADC">
            <w:pPr>
              <w:jc w:val="center"/>
            </w:pPr>
            <w:r w:rsidRPr="00E47EC1">
              <w:t>x</w:t>
            </w:r>
          </w:p>
        </w:tc>
        <w:tc>
          <w:tcPr>
            <w:tcW w:w="1667" w:type="dxa"/>
            <w:shd w:val="clear" w:color="auto" w:fill="D6E3BC" w:themeFill="accent3" w:themeFillTint="66"/>
          </w:tcPr>
          <w:p w14:paraId="1A18D9F0" w14:textId="77777777" w:rsidR="00FD084B" w:rsidRPr="00E47EC1" w:rsidRDefault="00FD084B" w:rsidP="000F1ADC">
            <w:pPr>
              <w:jc w:val="center"/>
            </w:pPr>
          </w:p>
        </w:tc>
        <w:tc>
          <w:tcPr>
            <w:tcW w:w="1666" w:type="dxa"/>
            <w:shd w:val="clear" w:color="auto" w:fill="D6E3BC" w:themeFill="accent3" w:themeFillTint="66"/>
          </w:tcPr>
          <w:p w14:paraId="1A18D9F1" w14:textId="77777777" w:rsidR="00FD084B" w:rsidRPr="00E47EC1" w:rsidRDefault="00FD084B" w:rsidP="000F1ADC">
            <w:pPr>
              <w:jc w:val="center"/>
            </w:pPr>
          </w:p>
        </w:tc>
      </w:tr>
      <w:tr w:rsidR="00FD084B" w:rsidRPr="00E47EC1" w14:paraId="1A18D9F8" w14:textId="77777777" w:rsidTr="00F920F5">
        <w:trPr>
          <w:jc w:val="center"/>
        </w:trPr>
        <w:tc>
          <w:tcPr>
            <w:tcW w:w="1636" w:type="dxa"/>
            <w:vMerge/>
            <w:vAlign w:val="center"/>
          </w:tcPr>
          <w:p w14:paraId="1A18D9F3" w14:textId="77777777" w:rsidR="00FD084B" w:rsidRPr="00E47EC1" w:rsidRDefault="00FD084B" w:rsidP="000F1ADC">
            <w:pPr>
              <w:jc w:val="center"/>
              <w:rPr>
                <w:b/>
              </w:rPr>
            </w:pPr>
          </w:p>
        </w:tc>
        <w:tc>
          <w:tcPr>
            <w:tcW w:w="3636" w:type="dxa"/>
            <w:shd w:val="clear" w:color="auto" w:fill="D6E3BC" w:themeFill="accent3" w:themeFillTint="66"/>
          </w:tcPr>
          <w:p w14:paraId="1A18D9F4" w14:textId="77777777" w:rsidR="00FD084B" w:rsidRPr="00E47EC1" w:rsidRDefault="00FD084B" w:rsidP="000F1ADC">
            <w:pPr>
              <w:rPr>
                <w:color w:val="000000"/>
              </w:rPr>
            </w:pPr>
            <w:r w:rsidRPr="00E47EC1">
              <w:rPr>
                <w:color w:val="000000"/>
              </w:rPr>
              <w:t>pentaklorobenzen</w:t>
            </w:r>
          </w:p>
        </w:tc>
        <w:tc>
          <w:tcPr>
            <w:tcW w:w="1136" w:type="dxa"/>
            <w:shd w:val="clear" w:color="auto" w:fill="D6E3BC" w:themeFill="accent3" w:themeFillTint="66"/>
          </w:tcPr>
          <w:p w14:paraId="1A18D9F5" w14:textId="77777777" w:rsidR="00FD084B" w:rsidRPr="00E47EC1" w:rsidRDefault="00FD084B" w:rsidP="000F1ADC">
            <w:pPr>
              <w:jc w:val="center"/>
            </w:pPr>
            <w:r w:rsidRPr="00E47EC1">
              <w:t>x</w:t>
            </w:r>
          </w:p>
        </w:tc>
        <w:tc>
          <w:tcPr>
            <w:tcW w:w="1667" w:type="dxa"/>
            <w:shd w:val="clear" w:color="auto" w:fill="D6E3BC" w:themeFill="accent3" w:themeFillTint="66"/>
          </w:tcPr>
          <w:p w14:paraId="1A18D9F6" w14:textId="77777777" w:rsidR="00FD084B" w:rsidRPr="00E47EC1" w:rsidRDefault="00FD084B" w:rsidP="000F1ADC">
            <w:pPr>
              <w:jc w:val="center"/>
            </w:pPr>
            <w:r w:rsidRPr="00E47EC1">
              <w:t>x</w:t>
            </w:r>
          </w:p>
        </w:tc>
        <w:tc>
          <w:tcPr>
            <w:tcW w:w="1666" w:type="dxa"/>
            <w:shd w:val="clear" w:color="auto" w:fill="D6E3BC" w:themeFill="accent3" w:themeFillTint="66"/>
          </w:tcPr>
          <w:p w14:paraId="1A18D9F7" w14:textId="77777777" w:rsidR="00FD084B" w:rsidRPr="00E47EC1" w:rsidRDefault="00FD084B" w:rsidP="000F1ADC">
            <w:pPr>
              <w:jc w:val="center"/>
            </w:pPr>
          </w:p>
        </w:tc>
      </w:tr>
      <w:tr w:rsidR="00FD084B" w:rsidRPr="00E47EC1" w14:paraId="1A18D9FE" w14:textId="77777777" w:rsidTr="00F920F5">
        <w:trPr>
          <w:trHeight w:val="456"/>
          <w:jc w:val="center"/>
        </w:trPr>
        <w:tc>
          <w:tcPr>
            <w:tcW w:w="1636" w:type="dxa"/>
            <w:vMerge/>
            <w:vAlign w:val="center"/>
          </w:tcPr>
          <w:p w14:paraId="1A18D9F9" w14:textId="77777777" w:rsidR="00FD084B" w:rsidRPr="00E47EC1" w:rsidRDefault="00FD084B" w:rsidP="000F1ADC">
            <w:pPr>
              <w:jc w:val="center"/>
              <w:rPr>
                <w:b/>
              </w:rPr>
            </w:pPr>
          </w:p>
        </w:tc>
        <w:tc>
          <w:tcPr>
            <w:tcW w:w="3636" w:type="dxa"/>
            <w:shd w:val="clear" w:color="auto" w:fill="D6E3BC" w:themeFill="accent3" w:themeFillTint="66"/>
          </w:tcPr>
          <w:p w14:paraId="1A18D9FA" w14:textId="77777777" w:rsidR="00FD084B" w:rsidRPr="00E47EC1" w:rsidRDefault="00FD084B" w:rsidP="000F1ADC">
            <w:pPr>
              <w:spacing w:before="20" w:after="20"/>
              <w:rPr>
                <w:lang w:eastAsia="de-DE"/>
              </w:rPr>
            </w:pPr>
            <w:r w:rsidRPr="00E47EC1">
              <w:rPr>
                <w:lang w:eastAsia="de-DE"/>
              </w:rPr>
              <w:t>tetrabromodifenil eter i pentabromodifenil eter</w:t>
            </w:r>
          </w:p>
        </w:tc>
        <w:tc>
          <w:tcPr>
            <w:tcW w:w="1136" w:type="dxa"/>
            <w:shd w:val="clear" w:color="auto" w:fill="D6E3BC" w:themeFill="accent3" w:themeFillTint="66"/>
          </w:tcPr>
          <w:p w14:paraId="1A18D9FB" w14:textId="77777777" w:rsidR="00FD084B" w:rsidRPr="00E47EC1" w:rsidRDefault="00FD084B" w:rsidP="000F1ADC">
            <w:pPr>
              <w:jc w:val="center"/>
            </w:pPr>
          </w:p>
        </w:tc>
        <w:tc>
          <w:tcPr>
            <w:tcW w:w="1667" w:type="dxa"/>
            <w:shd w:val="clear" w:color="auto" w:fill="D6E3BC" w:themeFill="accent3" w:themeFillTint="66"/>
          </w:tcPr>
          <w:p w14:paraId="1A18D9FC" w14:textId="77777777" w:rsidR="00FD084B" w:rsidRPr="00E47EC1" w:rsidRDefault="00FD084B" w:rsidP="000F1ADC">
            <w:pPr>
              <w:jc w:val="center"/>
            </w:pPr>
            <w:r w:rsidRPr="00E47EC1">
              <w:t>x</w:t>
            </w:r>
          </w:p>
        </w:tc>
        <w:tc>
          <w:tcPr>
            <w:tcW w:w="1666" w:type="dxa"/>
            <w:shd w:val="clear" w:color="auto" w:fill="D6E3BC" w:themeFill="accent3" w:themeFillTint="66"/>
          </w:tcPr>
          <w:p w14:paraId="1A18D9FD" w14:textId="77777777" w:rsidR="00FD084B" w:rsidRPr="00E47EC1" w:rsidRDefault="00FD084B" w:rsidP="000F1ADC">
            <w:pPr>
              <w:jc w:val="center"/>
            </w:pPr>
          </w:p>
        </w:tc>
      </w:tr>
      <w:tr w:rsidR="00FD084B" w:rsidRPr="00E47EC1" w14:paraId="1A18DA04" w14:textId="77777777" w:rsidTr="00F920F5">
        <w:trPr>
          <w:jc w:val="center"/>
        </w:trPr>
        <w:tc>
          <w:tcPr>
            <w:tcW w:w="1636" w:type="dxa"/>
            <w:vMerge/>
            <w:vAlign w:val="center"/>
          </w:tcPr>
          <w:p w14:paraId="1A18D9FF" w14:textId="77777777" w:rsidR="00FD084B" w:rsidRPr="00E47EC1" w:rsidRDefault="00FD084B" w:rsidP="000F1ADC">
            <w:pPr>
              <w:jc w:val="center"/>
              <w:rPr>
                <w:b/>
              </w:rPr>
            </w:pPr>
          </w:p>
        </w:tc>
        <w:tc>
          <w:tcPr>
            <w:tcW w:w="3636" w:type="dxa"/>
            <w:shd w:val="clear" w:color="auto" w:fill="CCC0D9" w:themeFill="accent4" w:themeFillTint="66"/>
          </w:tcPr>
          <w:p w14:paraId="1A18DA00" w14:textId="77777777" w:rsidR="00FD084B" w:rsidRPr="00E47EC1" w:rsidRDefault="00FD084B" w:rsidP="001D6A1B">
            <w:r w:rsidRPr="00E47EC1">
              <w:rPr>
                <w:bCs/>
                <w:lang w:eastAsia="de-DE"/>
              </w:rPr>
              <w:t>tehnički endosulfan i njegovi izomeri</w:t>
            </w:r>
          </w:p>
        </w:tc>
        <w:tc>
          <w:tcPr>
            <w:tcW w:w="1136" w:type="dxa"/>
            <w:shd w:val="clear" w:color="auto" w:fill="CCC0D9" w:themeFill="accent4" w:themeFillTint="66"/>
          </w:tcPr>
          <w:p w14:paraId="1A18DA01" w14:textId="77777777" w:rsidR="00FD084B" w:rsidRPr="00E47EC1" w:rsidRDefault="00FD084B" w:rsidP="000F1ADC">
            <w:pPr>
              <w:jc w:val="center"/>
            </w:pPr>
            <w:r w:rsidRPr="00E47EC1">
              <w:t>x</w:t>
            </w:r>
          </w:p>
        </w:tc>
        <w:tc>
          <w:tcPr>
            <w:tcW w:w="1667" w:type="dxa"/>
            <w:shd w:val="clear" w:color="auto" w:fill="CCC0D9" w:themeFill="accent4" w:themeFillTint="66"/>
          </w:tcPr>
          <w:p w14:paraId="1A18DA02" w14:textId="77777777" w:rsidR="00FD084B" w:rsidRPr="00E47EC1" w:rsidRDefault="00FD084B" w:rsidP="000F1ADC">
            <w:pPr>
              <w:jc w:val="center"/>
            </w:pPr>
          </w:p>
        </w:tc>
        <w:tc>
          <w:tcPr>
            <w:tcW w:w="1666" w:type="dxa"/>
            <w:shd w:val="clear" w:color="auto" w:fill="CCC0D9" w:themeFill="accent4" w:themeFillTint="66"/>
          </w:tcPr>
          <w:p w14:paraId="1A18DA03" w14:textId="77777777" w:rsidR="00FD084B" w:rsidRPr="00E47EC1" w:rsidRDefault="00FD084B" w:rsidP="000F1ADC">
            <w:pPr>
              <w:jc w:val="center"/>
            </w:pPr>
          </w:p>
        </w:tc>
      </w:tr>
      <w:tr w:rsidR="00FD084B" w:rsidRPr="00E47EC1" w14:paraId="1A18DA0A" w14:textId="77777777" w:rsidTr="00F920F5">
        <w:trPr>
          <w:jc w:val="center"/>
        </w:trPr>
        <w:tc>
          <w:tcPr>
            <w:tcW w:w="1636" w:type="dxa"/>
            <w:vMerge/>
            <w:vAlign w:val="center"/>
          </w:tcPr>
          <w:p w14:paraId="1A18DA05" w14:textId="77777777" w:rsidR="00FD084B" w:rsidRPr="00E47EC1" w:rsidRDefault="00FD084B" w:rsidP="000F1ADC">
            <w:pPr>
              <w:jc w:val="center"/>
              <w:rPr>
                <w:b/>
              </w:rPr>
            </w:pPr>
          </w:p>
        </w:tc>
        <w:tc>
          <w:tcPr>
            <w:tcW w:w="3636" w:type="dxa"/>
            <w:shd w:val="clear" w:color="auto" w:fill="FBD4B4" w:themeFill="accent6" w:themeFillTint="66"/>
          </w:tcPr>
          <w:p w14:paraId="1A18DA06" w14:textId="77777777" w:rsidR="00FD084B" w:rsidRPr="00E47EC1" w:rsidRDefault="00FD084B" w:rsidP="001D6A1B">
            <w:r w:rsidRPr="00E47EC1">
              <w:rPr>
                <w:lang w:eastAsia="de-DE"/>
              </w:rPr>
              <w:t>heksabromociklododekan (HBCD)</w:t>
            </w:r>
          </w:p>
        </w:tc>
        <w:tc>
          <w:tcPr>
            <w:tcW w:w="1136" w:type="dxa"/>
            <w:shd w:val="clear" w:color="auto" w:fill="FBD4B4" w:themeFill="accent6" w:themeFillTint="66"/>
          </w:tcPr>
          <w:p w14:paraId="1A18DA07" w14:textId="77777777" w:rsidR="00FD084B" w:rsidRPr="00E47EC1" w:rsidRDefault="00FD084B" w:rsidP="000F1ADC">
            <w:pPr>
              <w:jc w:val="center"/>
            </w:pPr>
          </w:p>
        </w:tc>
        <w:tc>
          <w:tcPr>
            <w:tcW w:w="1667" w:type="dxa"/>
            <w:shd w:val="clear" w:color="auto" w:fill="FBD4B4" w:themeFill="accent6" w:themeFillTint="66"/>
          </w:tcPr>
          <w:p w14:paraId="1A18DA08" w14:textId="77777777" w:rsidR="00FD084B" w:rsidRPr="00E47EC1" w:rsidRDefault="00FD084B" w:rsidP="000F1ADC">
            <w:pPr>
              <w:jc w:val="center"/>
            </w:pPr>
            <w:r w:rsidRPr="00E47EC1">
              <w:t>x</w:t>
            </w:r>
          </w:p>
        </w:tc>
        <w:tc>
          <w:tcPr>
            <w:tcW w:w="1666" w:type="dxa"/>
            <w:shd w:val="clear" w:color="auto" w:fill="FBD4B4" w:themeFill="accent6" w:themeFillTint="66"/>
          </w:tcPr>
          <w:p w14:paraId="1A18DA09" w14:textId="77777777" w:rsidR="00FD084B" w:rsidRPr="00E47EC1" w:rsidRDefault="00FD084B" w:rsidP="000F1ADC">
            <w:pPr>
              <w:jc w:val="center"/>
            </w:pPr>
          </w:p>
        </w:tc>
      </w:tr>
      <w:tr w:rsidR="00FD084B" w:rsidRPr="00E47EC1" w14:paraId="1A18DA10" w14:textId="77777777" w:rsidTr="00F920F5">
        <w:trPr>
          <w:jc w:val="center"/>
        </w:trPr>
        <w:tc>
          <w:tcPr>
            <w:tcW w:w="1636" w:type="dxa"/>
            <w:vMerge/>
            <w:shd w:val="clear" w:color="auto" w:fill="DAEEF3" w:themeFill="accent5" w:themeFillTint="33"/>
            <w:vAlign w:val="center"/>
          </w:tcPr>
          <w:p w14:paraId="1A18DA0B" w14:textId="77777777" w:rsidR="00FD084B" w:rsidRPr="00E47EC1" w:rsidRDefault="00FD084B" w:rsidP="000F1ADC">
            <w:pPr>
              <w:jc w:val="center"/>
              <w:rPr>
                <w:b/>
              </w:rPr>
            </w:pPr>
          </w:p>
        </w:tc>
        <w:tc>
          <w:tcPr>
            <w:tcW w:w="3636" w:type="dxa"/>
            <w:shd w:val="clear" w:color="auto" w:fill="B6DDE8" w:themeFill="accent5" w:themeFillTint="66"/>
          </w:tcPr>
          <w:p w14:paraId="1A18DA0C" w14:textId="77777777" w:rsidR="00FD084B" w:rsidRPr="00E47EC1" w:rsidRDefault="00FD084B" w:rsidP="00091E25">
            <w:pPr>
              <w:rPr>
                <w:lang w:eastAsia="de-DE"/>
              </w:rPr>
            </w:pPr>
            <w:r w:rsidRPr="00E47EC1">
              <w:rPr>
                <w:lang w:eastAsia="de-DE"/>
              </w:rPr>
              <w:t>heksaklorobutadien (HCBD)</w:t>
            </w:r>
          </w:p>
        </w:tc>
        <w:tc>
          <w:tcPr>
            <w:tcW w:w="1136" w:type="dxa"/>
            <w:shd w:val="clear" w:color="auto" w:fill="B6DDE8" w:themeFill="accent5" w:themeFillTint="66"/>
          </w:tcPr>
          <w:p w14:paraId="1A18DA0D" w14:textId="77777777" w:rsidR="00FD084B" w:rsidRPr="00E47EC1" w:rsidRDefault="00FD084B" w:rsidP="000F1ADC">
            <w:pPr>
              <w:jc w:val="center"/>
            </w:pPr>
          </w:p>
        </w:tc>
        <w:tc>
          <w:tcPr>
            <w:tcW w:w="1667" w:type="dxa"/>
            <w:shd w:val="clear" w:color="auto" w:fill="B6DDE8" w:themeFill="accent5" w:themeFillTint="66"/>
          </w:tcPr>
          <w:p w14:paraId="1A18DA0E" w14:textId="77777777" w:rsidR="00FD084B" w:rsidRPr="00E47EC1" w:rsidRDefault="00FD084B" w:rsidP="000F1ADC">
            <w:pPr>
              <w:jc w:val="center"/>
            </w:pPr>
            <w:r w:rsidRPr="00E47EC1">
              <w:t>x</w:t>
            </w:r>
          </w:p>
        </w:tc>
        <w:tc>
          <w:tcPr>
            <w:tcW w:w="1666" w:type="dxa"/>
            <w:shd w:val="clear" w:color="auto" w:fill="B6DDE8" w:themeFill="accent5" w:themeFillTint="66"/>
          </w:tcPr>
          <w:p w14:paraId="1A18DA0F" w14:textId="77777777" w:rsidR="00FD084B" w:rsidRPr="00E47EC1" w:rsidRDefault="00FD084B" w:rsidP="000F1ADC">
            <w:pPr>
              <w:jc w:val="center"/>
            </w:pPr>
          </w:p>
        </w:tc>
      </w:tr>
      <w:tr w:rsidR="00FD084B" w:rsidRPr="00E47EC1" w14:paraId="1A18DA16" w14:textId="77777777" w:rsidTr="00F920F5">
        <w:trPr>
          <w:jc w:val="center"/>
        </w:trPr>
        <w:tc>
          <w:tcPr>
            <w:tcW w:w="1636" w:type="dxa"/>
            <w:vMerge/>
            <w:shd w:val="clear" w:color="auto" w:fill="DAEEF3" w:themeFill="accent5" w:themeFillTint="33"/>
            <w:vAlign w:val="center"/>
          </w:tcPr>
          <w:p w14:paraId="1A18DA11" w14:textId="77777777" w:rsidR="00FD084B" w:rsidRPr="00E47EC1" w:rsidRDefault="00FD084B" w:rsidP="000F1ADC">
            <w:pPr>
              <w:jc w:val="center"/>
              <w:rPr>
                <w:b/>
              </w:rPr>
            </w:pPr>
          </w:p>
        </w:tc>
        <w:tc>
          <w:tcPr>
            <w:tcW w:w="3636" w:type="dxa"/>
            <w:shd w:val="clear" w:color="auto" w:fill="B6DDE8" w:themeFill="accent5" w:themeFillTint="66"/>
          </w:tcPr>
          <w:p w14:paraId="1A18DA12" w14:textId="77777777" w:rsidR="00FD084B" w:rsidRPr="00E47EC1" w:rsidRDefault="00FD084B" w:rsidP="00091E25">
            <w:pPr>
              <w:rPr>
                <w:lang w:eastAsia="de-DE"/>
              </w:rPr>
            </w:pPr>
            <w:r w:rsidRPr="00E47EC1">
              <w:rPr>
                <w:lang w:eastAsia="de-DE"/>
              </w:rPr>
              <w:t>poliklorirani naftaleni (PCN)</w:t>
            </w:r>
          </w:p>
        </w:tc>
        <w:tc>
          <w:tcPr>
            <w:tcW w:w="1136" w:type="dxa"/>
            <w:shd w:val="clear" w:color="auto" w:fill="B6DDE8" w:themeFill="accent5" w:themeFillTint="66"/>
          </w:tcPr>
          <w:p w14:paraId="1A18DA13" w14:textId="77777777" w:rsidR="00FD084B" w:rsidRPr="00E47EC1" w:rsidRDefault="00FD084B" w:rsidP="000F1ADC">
            <w:pPr>
              <w:jc w:val="center"/>
            </w:pPr>
          </w:p>
        </w:tc>
        <w:tc>
          <w:tcPr>
            <w:tcW w:w="1667" w:type="dxa"/>
            <w:shd w:val="clear" w:color="auto" w:fill="B6DDE8" w:themeFill="accent5" w:themeFillTint="66"/>
          </w:tcPr>
          <w:p w14:paraId="1A18DA14" w14:textId="77777777" w:rsidR="00FD084B" w:rsidRPr="00E47EC1" w:rsidRDefault="00FD084B" w:rsidP="000F1ADC">
            <w:pPr>
              <w:jc w:val="center"/>
            </w:pPr>
            <w:r w:rsidRPr="00E47EC1">
              <w:t>x</w:t>
            </w:r>
          </w:p>
        </w:tc>
        <w:tc>
          <w:tcPr>
            <w:tcW w:w="1666" w:type="dxa"/>
            <w:shd w:val="clear" w:color="auto" w:fill="B6DDE8" w:themeFill="accent5" w:themeFillTint="66"/>
          </w:tcPr>
          <w:p w14:paraId="1A18DA15" w14:textId="77777777" w:rsidR="00FD084B" w:rsidRPr="00E47EC1" w:rsidRDefault="00FD084B" w:rsidP="000F1ADC">
            <w:pPr>
              <w:jc w:val="center"/>
            </w:pPr>
          </w:p>
        </w:tc>
      </w:tr>
      <w:tr w:rsidR="00FD084B" w:rsidRPr="00E47EC1" w14:paraId="1A18DA1C" w14:textId="77777777" w:rsidTr="00F920F5">
        <w:trPr>
          <w:jc w:val="center"/>
        </w:trPr>
        <w:tc>
          <w:tcPr>
            <w:tcW w:w="1636" w:type="dxa"/>
            <w:vMerge/>
            <w:shd w:val="clear" w:color="auto" w:fill="B6DDE8" w:themeFill="accent5" w:themeFillTint="66"/>
            <w:vAlign w:val="center"/>
          </w:tcPr>
          <w:p w14:paraId="1A18DA17" w14:textId="77777777" w:rsidR="00FD084B" w:rsidRPr="00E47EC1" w:rsidRDefault="00FD084B" w:rsidP="000F1ADC">
            <w:pPr>
              <w:jc w:val="center"/>
              <w:rPr>
                <w:b/>
              </w:rPr>
            </w:pPr>
          </w:p>
        </w:tc>
        <w:tc>
          <w:tcPr>
            <w:tcW w:w="3636" w:type="dxa"/>
            <w:shd w:val="clear" w:color="auto" w:fill="B6DDE8" w:themeFill="accent5" w:themeFillTint="66"/>
          </w:tcPr>
          <w:p w14:paraId="1A18DA18" w14:textId="77777777" w:rsidR="00FD084B" w:rsidRPr="00E47EC1" w:rsidRDefault="00FD084B" w:rsidP="00091E25">
            <w:pPr>
              <w:rPr>
                <w:lang w:eastAsia="de-DE"/>
              </w:rPr>
            </w:pPr>
            <w:r w:rsidRPr="00E47EC1">
              <w:rPr>
                <w:lang w:eastAsia="de-DE"/>
              </w:rPr>
              <w:t>pentaklorofenol i njegove soli i esteri (PCP)</w:t>
            </w:r>
          </w:p>
        </w:tc>
        <w:tc>
          <w:tcPr>
            <w:tcW w:w="1136" w:type="dxa"/>
            <w:shd w:val="clear" w:color="auto" w:fill="B6DDE8" w:themeFill="accent5" w:themeFillTint="66"/>
          </w:tcPr>
          <w:p w14:paraId="1A18DA19" w14:textId="77777777" w:rsidR="00FD084B" w:rsidRPr="00E47EC1" w:rsidRDefault="00FD084B" w:rsidP="000F1ADC">
            <w:pPr>
              <w:jc w:val="center"/>
            </w:pPr>
            <w:r w:rsidRPr="00E47EC1">
              <w:t>x</w:t>
            </w:r>
          </w:p>
        </w:tc>
        <w:tc>
          <w:tcPr>
            <w:tcW w:w="1667" w:type="dxa"/>
            <w:shd w:val="clear" w:color="auto" w:fill="B6DDE8" w:themeFill="accent5" w:themeFillTint="66"/>
          </w:tcPr>
          <w:p w14:paraId="1A18DA1A" w14:textId="77777777" w:rsidR="00FD084B" w:rsidRPr="00E47EC1" w:rsidRDefault="00FD084B" w:rsidP="000F1ADC">
            <w:pPr>
              <w:jc w:val="center"/>
            </w:pPr>
          </w:p>
        </w:tc>
        <w:tc>
          <w:tcPr>
            <w:tcW w:w="1666" w:type="dxa"/>
            <w:shd w:val="clear" w:color="auto" w:fill="B6DDE8" w:themeFill="accent5" w:themeFillTint="66"/>
          </w:tcPr>
          <w:p w14:paraId="1A18DA1B" w14:textId="77777777" w:rsidR="00FD084B" w:rsidRPr="00E47EC1" w:rsidRDefault="00FD084B" w:rsidP="000F1ADC">
            <w:pPr>
              <w:jc w:val="center"/>
            </w:pPr>
          </w:p>
        </w:tc>
      </w:tr>
      <w:tr w:rsidR="00FD084B" w:rsidRPr="00E47EC1" w14:paraId="1A18DA22" w14:textId="77777777" w:rsidTr="00F920F5">
        <w:trPr>
          <w:jc w:val="center"/>
        </w:trPr>
        <w:tc>
          <w:tcPr>
            <w:tcW w:w="1636" w:type="dxa"/>
            <w:vMerge/>
            <w:shd w:val="clear" w:color="auto" w:fill="B6DDE8" w:themeFill="accent5" w:themeFillTint="66"/>
            <w:vAlign w:val="center"/>
          </w:tcPr>
          <w:p w14:paraId="1A18DA1D" w14:textId="77777777" w:rsidR="00FD084B" w:rsidRPr="00E47EC1" w:rsidRDefault="00FD084B" w:rsidP="000F1ADC">
            <w:pPr>
              <w:jc w:val="center"/>
              <w:rPr>
                <w:b/>
              </w:rPr>
            </w:pPr>
          </w:p>
        </w:tc>
        <w:tc>
          <w:tcPr>
            <w:tcW w:w="3636" w:type="dxa"/>
            <w:shd w:val="clear" w:color="auto" w:fill="D99594" w:themeFill="accent2" w:themeFillTint="99"/>
          </w:tcPr>
          <w:p w14:paraId="1A18DA1E" w14:textId="77777777" w:rsidR="00FD084B" w:rsidRPr="00E47EC1" w:rsidRDefault="00FD084B" w:rsidP="00B530F5">
            <w:pPr>
              <w:rPr>
                <w:lang w:eastAsia="de-DE"/>
              </w:rPr>
            </w:pPr>
            <w:r>
              <w:t>d</w:t>
            </w:r>
            <w:r w:rsidRPr="00E47EC1">
              <w:t xml:space="preserve">ekabromodifenileter (komercijalna smjesa, c-dekaBDE) </w:t>
            </w:r>
          </w:p>
        </w:tc>
        <w:tc>
          <w:tcPr>
            <w:tcW w:w="1136" w:type="dxa"/>
            <w:shd w:val="clear" w:color="auto" w:fill="D99594" w:themeFill="accent2" w:themeFillTint="99"/>
          </w:tcPr>
          <w:p w14:paraId="1A18DA1F" w14:textId="77777777" w:rsidR="00FD084B" w:rsidRPr="00E47EC1" w:rsidRDefault="00FD084B" w:rsidP="000F1ADC">
            <w:pPr>
              <w:jc w:val="center"/>
            </w:pPr>
          </w:p>
        </w:tc>
        <w:tc>
          <w:tcPr>
            <w:tcW w:w="1667" w:type="dxa"/>
            <w:shd w:val="clear" w:color="auto" w:fill="D99594" w:themeFill="accent2" w:themeFillTint="99"/>
          </w:tcPr>
          <w:p w14:paraId="1A18DA20" w14:textId="77777777" w:rsidR="00FD084B" w:rsidRPr="00E47EC1" w:rsidRDefault="00FD084B" w:rsidP="000F1ADC">
            <w:pPr>
              <w:jc w:val="center"/>
            </w:pPr>
            <w:r w:rsidRPr="00E47EC1">
              <w:t>x</w:t>
            </w:r>
          </w:p>
        </w:tc>
        <w:tc>
          <w:tcPr>
            <w:tcW w:w="1666" w:type="dxa"/>
            <w:shd w:val="clear" w:color="auto" w:fill="D99594" w:themeFill="accent2" w:themeFillTint="99"/>
          </w:tcPr>
          <w:p w14:paraId="1A18DA21" w14:textId="77777777" w:rsidR="00FD084B" w:rsidRPr="00E47EC1" w:rsidRDefault="00FD084B" w:rsidP="000F1ADC">
            <w:pPr>
              <w:jc w:val="center"/>
            </w:pPr>
          </w:p>
        </w:tc>
      </w:tr>
      <w:tr w:rsidR="00FD084B" w:rsidRPr="00E47EC1" w14:paraId="1A18DA28" w14:textId="77777777" w:rsidTr="00F920F5">
        <w:trPr>
          <w:jc w:val="center"/>
        </w:trPr>
        <w:tc>
          <w:tcPr>
            <w:tcW w:w="1636" w:type="dxa"/>
            <w:vMerge/>
            <w:shd w:val="clear" w:color="auto" w:fill="B6DDE8" w:themeFill="accent5" w:themeFillTint="66"/>
            <w:vAlign w:val="center"/>
          </w:tcPr>
          <w:p w14:paraId="1A18DA23" w14:textId="77777777" w:rsidR="00FD084B" w:rsidRPr="00E47EC1" w:rsidRDefault="00FD084B" w:rsidP="000F1ADC">
            <w:pPr>
              <w:jc w:val="center"/>
              <w:rPr>
                <w:b/>
              </w:rPr>
            </w:pPr>
          </w:p>
        </w:tc>
        <w:tc>
          <w:tcPr>
            <w:tcW w:w="3636" w:type="dxa"/>
            <w:shd w:val="clear" w:color="auto" w:fill="D99594" w:themeFill="accent2" w:themeFillTint="99"/>
          </w:tcPr>
          <w:p w14:paraId="1A18DA24" w14:textId="77777777" w:rsidR="00FD084B" w:rsidRPr="00E47EC1" w:rsidRDefault="00FD084B" w:rsidP="001D6A1B">
            <w:pPr>
              <w:rPr>
                <w:lang w:eastAsia="de-DE"/>
              </w:rPr>
            </w:pPr>
            <w:r w:rsidRPr="00E47EC1">
              <w:t>kratkolančani klorirani parafini (SCCP)</w:t>
            </w:r>
          </w:p>
        </w:tc>
        <w:tc>
          <w:tcPr>
            <w:tcW w:w="1136" w:type="dxa"/>
            <w:shd w:val="clear" w:color="auto" w:fill="D99594" w:themeFill="accent2" w:themeFillTint="99"/>
          </w:tcPr>
          <w:p w14:paraId="1A18DA25" w14:textId="77777777" w:rsidR="00FD084B" w:rsidRPr="00E47EC1" w:rsidRDefault="00FD084B" w:rsidP="000F1ADC">
            <w:pPr>
              <w:jc w:val="center"/>
            </w:pPr>
          </w:p>
        </w:tc>
        <w:tc>
          <w:tcPr>
            <w:tcW w:w="1667" w:type="dxa"/>
            <w:shd w:val="clear" w:color="auto" w:fill="D99594" w:themeFill="accent2" w:themeFillTint="99"/>
          </w:tcPr>
          <w:p w14:paraId="1A18DA26" w14:textId="77777777" w:rsidR="00FD084B" w:rsidRPr="00E47EC1" w:rsidRDefault="00FD084B" w:rsidP="000F1ADC">
            <w:pPr>
              <w:jc w:val="center"/>
            </w:pPr>
            <w:r w:rsidRPr="00E47EC1">
              <w:t>x</w:t>
            </w:r>
          </w:p>
        </w:tc>
        <w:tc>
          <w:tcPr>
            <w:tcW w:w="1666" w:type="dxa"/>
            <w:shd w:val="clear" w:color="auto" w:fill="D99594" w:themeFill="accent2" w:themeFillTint="99"/>
          </w:tcPr>
          <w:p w14:paraId="1A18DA27" w14:textId="77777777" w:rsidR="00FD084B" w:rsidRPr="00E47EC1" w:rsidRDefault="00FD084B" w:rsidP="000F1ADC">
            <w:pPr>
              <w:jc w:val="center"/>
            </w:pPr>
          </w:p>
        </w:tc>
      </w:tr>
      <w:tr w:rsidR="00FD084B" w:rsidRPr="00E47EC1" w14:paraId="1A18DA2E" w14:textId="77777777" w:rsidTr="00F920F5">
        <w:trPr>
          <w:jc w:val="center"/>
        </w:trPr>
        <w:tc>
          <w:tcPr>
            <w:tcW w:w="1636" w:type="dxa"/>
            <w:vMerge/>
            <w:shd w:val="clear" w:color="auto" w:fill="B6DDE8" w:themeFill="accent5" w:themeFillTint="66"/>
            <w:vAlign w:val="center"/>
          </w:tcPr>
          <w:p w14:paraId="1A18DA29" w14:textId="77777777" w:rsidR="00FD084B" w:rsidRPr="00E47EC1" w:rsidRDefault="00FD084B" w:rsidP="000F1ADC">
            <w:pPr>
              <w:jc w:val="center"/>
              <w:rPr>
                <w:b/>
              </w:rPr>
            </w:pPr>
          </w:p>
        </w:tc>
        <w:tc>
          <w:tcPr>
            <w:tcW w:w="3636" w:type="dxa"/>
            <w:shd w:val="clear" w:color="auto" w:fill="548DD4" w:themeFill="text2" w:themeFillTint="99"/>
          </w:tcPr>
          <w:p w14:paraId="1A18DA2A" w14:textId="77777777" w:rsidR="00FD084B" w:rsidRPr="00E47EC1" w:rsidRDefault="00FD084B" w:rsidP="001D6A1B">
            <w:r>
              <w:t>dikofol</w:t>
            </w:r>
          </w:p>
        </w:tc>
        <w:tc>
          <w:tcPr>
            <w:tcW w:w="1136" w:type="dxa"/>
            <w:shd w:val="clear" w:color="auto" w:fill="548DD4" w:themeFill="text2" w:themeFillTint="99"/>
          </w:tcPr>
          <w:p w14:paraId="1A18DA2B" w14:textId="77777777" w:rsidR="00FD084B" w:rsidRPr="00E47EC1" w:rsidRDefault="00FD084B" w:rsidP="000F1ADC">
            <w:pPr>
              <w:jc w:val="center"/>
            </w:pPr>
            <w:r>
              <w:t>x</w:t>
            </w:r>
          </w:p>
        </w:tc>
        <w:tc>
          <w:tcPr>
            <w:tcW w:w="1667" w:type="dxa"/>
            <w:shd w:val="clear" w:color="auto" w:fill="548DD4" w:themeFill="text2" w:themeFillTint="99"/>
          </w:tcPr>
          <w:p w14:paraId="1A18DA2C" w14:textId="77777777" w:rsidR="00FD084B" w:rsidRPr="00E47EC1" w:rsidRDefault="00FD084B" w:rsidP="000F1ADC">
            <w:pPr>
              <w:jc w:val="center"/>
            </w:pPr>
          </w:p>
        </w:tc>
        <w:tc>
          <w:tcPr>
            <w:tcW w:w="1666" w:type="dxa"/>
            <w:shd w:val="clear" w:color="auto" w:fill="548DD4" w:themeFill="text2" w:themeFillTint="99"/>
          </w:tcPr>
          <w:p w14:paraId="1A18DA2D" w14:textId="77777777" w:rsidR="00FD084B" w:rsidRPr="00E47EC1" w:rsidRDefault="00FD084B" w:rsidP="000F1ADC">
            <w:pPr>
              <w:jc w:val="center"/>
            </w:pPr>
          </w:p>
        </w:tc>
      </w:tr>
      <w:tr w:rsidR="00FD084B" w:rsidRPr="00E47EC1" w14:paraId="1A18DA34" w14:textId="77777777" w:rsidTr="00F920F5">
        <w:trPr>
          <w:jc w:val="center"/>
        </w:trPr>
        <w:tc>
          <w:tcPr>
            <w:tcW w:w="1636" w:type="dxa"/>
            <w:vMerge/>
            <w:shd w:val="clear" w:color="auto" w:fill="B6DDE8" w:themeFill="accent5" w:themeFillTint="66"/>
            <w:vAlign w:val="center"/>
          </w:tcPr>
          <w:p w14:paraId="1A18DA2F" w14:textId="77777777" w:rsidR="00FD084B" w:rsidRPr="00E47EC1" w:rsidRDefault="00FD084B" w:rsidP="000F1ADC">
            <w:pPr>
              <w:jc w:val="center"/>
              <w:rPr>
                <w:b/>
              </w:rPr>
            </w:pPr>
          </w:p>
        </w:tc>
        <w:tc>
          <w:tcPr>
            <w:tcW w:w="3636" w:type="dxa"/>
            <w:shd w:val="clear" w:color="auto" w:fill="548DD4" w:themeFill="text2" w:themeFillTint="99"/>
          </w:tcPr>
          <w:p w14:paraId="1A18DA30" w14:textId="77777777" w:rsidR="00FD084B" w:rsidRDefault="00FD084B" w:rsidP="00FD084B">
            <w:r w:rsidRPr="00FD084B">
              <w:t>perfluorooktansk</w:t>
            </w:r>
            <w:r>
              <w:t>a</w:t>
            </w:r>
            <w:r w:rsidRPr="00FD084B">
              <w:t xml:space="preserve"> kiselin</w:t>
            </w:r>
            <w:r>
              <w:t>a</w:t>
            </w:r>
            <w:r w:rsidRPr="00FD084B">
              <w:t xml:space="preserve"> (PFOA), njezin</w:t>
            </w:r>
            <w:r>
              <w:t>e</w:t>
            </w:r>
            <w:r w:rsidRPr="00FD084B">
              <w:t xml:space="preserve"> soli i spojev</w:t>
            </w:r>
            <w:r>
              <w:t>i</w:t>
            </w:r>
            <w:r w:rsidRPr="00FD084B">
              <w:t xml:space="preserve"> srodni</w:t>
            </w:r>
            <w:r>
              <w:t xml:space="preserve"> PFOA-u</w:t>
            </w:r>
          </w:p>
        </w:tc>
        <w:tc>
          <w:tcPr>
            <w:tcW w:w="1136" w:type="dxa"/>
            <w:shd w:val="clear" w:color="auto" w:fill="548DD4" w:themeFill="text2" w:themeFillTint="99"/>
          </w:tcPr>
          <w:p w14:paraId="1A18DA31" w14:textId="77777777" w:rsidR="00FD084B" w:rsidRDefault="00FD084B" w:rsidP="000F1ADC">
            <w:pPr>
              <w:jc w:val="center"/>
            </w:pPr>
          </w:p>
        </w:tc>
        <w:tc>
          <w:tcPr>
            <w:tcW w:w="1667" w:type="dxa"/>
            <w:shd w:val="clear" w:color="auto" w:fill="548DD4" w:themeFill="text2" w:themeFillTint="99"/>
          </w:tcPr>
          <w:p w14:paraId="1A18DA32" w14:textId="77777777" w:rsidR="00FD084B" w:rsidRPr="00E47EC1" w:rsidRDefault="00FD084B" w:rsidP="000F1ADC">
            <w:pPr>
              <w:jc w:val="center"/>
            </w:pPr>
            <w:r>
              <w:t>x</w:t>
            </w:r>
          </w:p>
        </w:tc>
        <w:tc>
          <w:tcPr>
            <w:tcW w:w="1666" w:type="dxa"/>
            <w:shd w:val="clear" w:color="auto" w:fill="548DD4" w:themeFill="text2" w:themeFillTint="99"/>
          </w:tcPr>
          <w:p w14:paraId="1A18DA33" w14:textId="77777777" w:rsidR="00FD084B" w:rsidRPr="00E47EC1" w:rsidRDefault="00FD084B" w:rsidP="000F1ADC">
            <w:pPr>
              <w:jc w:val="center"/>
            </w:pPr>
          </w:p>
        </w:tc>
      </w:tr>
      <w:tr w:rsidR="00A449D2" w:rsidRPr="00E47EC1" w14:paraId="1A18DA3A" w14:textId="77777777" w:rsidTr="00F920F5">
        <w:trPr>
          <w:jc w:val="center"/>
        </w:trPr>
        <w:tc>
          <w:tcPr>
            <w:tcW w:w="1636" w:type="dxa"/>
            <w:vMerge w:val="restart"/>
            <w:vAlign w:val="center"/>
          </w:tcPr>
          <w:p w14:paraId="1A18DA35" w14:textId="77777777" w:rsidR="00A449D2" w:rsidRPr="00E47EC1" w:rsidRDefault="00A449D2" w:rsidP="000F1ADC">
            <w:pPr>
              <w:jc w:val="center"/>
              <w:rPr>
                <w:b/>
              </w:rPr>
            </w:pPr>
            <w:r w:rsidRPr="00E47EC1">
              <w:rPr>
                <w:b/>
              </w:rPr>
              <w:t>Dodatak B: Ograničenja</w:t>
            </w:r>
          </w:p>
        </w:tc>
        <w:tc>
          <w:tcPr>
            <w:tcW w:w="3636" w:type="dxa"/>
            <w:vAlign w:val="center"/>
          </w:tcPr>
          <w:p w14:paraId="1A18DA36" w14:textId="77777777" w:rsidR="00A449D2" w:rsidRPr="00E47EC1" w:rsidRDefault="00C5096D" w:rsidP="00C5096D">
            <w:pPr>
              <w:spacing w:before="20" w:after="20"/>
              <w:rPr>
                <w:lang w:eastAsia="de-DE"/>
              </w:rPr>
            </w:pPr>
            <w:r w:rsidRPr="00E47EC1">
              <w:rPr>
                <w:lang w:eastAsia="de-DE"/>
              </w:rPr>
              <w:t>diklor</w:t>
            </w:r>
            <w:r w:rsidR="000B2FA6">
              <w:rPr>
                <w:lang w:eastAsia="de-DE"/>
              </w:rPr>
              <w:t>o</w:t>
            </w:r>
            <w:r w:rsidRPr="00E47EC1">
              <w:rPr>
                <w:lang w:eastAsia="de-DE"/>
              </w:rPr>
              <w:t>difenil-triklor</w:t>
            </w:r>
            <w:r w:rsidR="000B2FA6">
              <w:rPr>
                <w:lang w:eastAsia="de-DE"/>
              </w:rPr>
              <w:t>o</w:t>
            </w:r>
            <w:r w:rsidRPr="00E47EC1">
              <w:rPr>
                <w:lang w:eastAsia="de-DE"/>
              </w:rPr>
              <w:t>etan</w:t>
            </w:r>
            <w:r w:rsidR="00092F70" w:rsidRPr="00E47EC1">
              <w:rPr>
                <w:lang w:eastAsia="de-DE"/>
              </w:rPr>
              <w:t xml:space="preserve"> (DDT)</w:t>
            </w:r>
            <w:r w:rsidRPr="00E47EC1">
              <w:rPr>
                <w:lang w:eastAsia="de-DE"/>
              </w:rPr>
              <w:t xml:space="preserve"> </w:t>
            </w:r>
          </w:p>
        </w:tc>
        <w:tc>
          <w:tcPr>
            <w:tcW w:w="1136" w:type="dxa"/>
          </w:tcPr>
          <w:p w14:paraId="1A18DA37" w14:textId="77777777" w:rsidR="00A449D2" w:rsidRPr="00E47EC1" w:rsidRDefault="00A449D2" w:rsidP="000F1ADC">
            <w:pPr>
              <w:jc w:val="center"/>
            </w:pPr>
            <w:r w:rsidRPr="00E47EC1">
              <w:t>x</w:t>
            </w:r>
          </w:p>
        </w:tc>
        <w:tc>
          <w:tcPr>
            <w:tcW w:w="1667" w:type="dxa"/>
          </w:tcPr>
          <w:p w14:paraId="1A18DA38" w14:textId="77777777" w:rsidR="00A449D2" w:rsidRPr="00E47EC1" w:rsidRDefault="00A449D2" w:rsidP="000F1ADC">
            <w:pPr>
              <w:jc w:val="center"/>
            </w:pPr>
          </w:p>
        </w:tc>
        <w:tc>
          <w:tcPr>
            <w:tcW w:w="1666" w:type="dxa"/>
          </w:tcPr>
          <w:p w14:paraId="1A18DA39" w14:textId="77777777" w:rsidR="00A449D2" w:rsidRPr="00E47EC1" w:rsidRDefault="00A449D2" w:rsidP="000F1ADC">
            <w:pPr>
              <w:jc w:val="center"/>
            </w:pPr>
          </w:p>
        </w:tc>
      </w:tr>
      <w:tr w:rsidR="00A449D2" w:rsidRPr="00E47EC1" w14:paraId="1A18DA40" w14:textId="77777777" w:rsidTr="00F920F5">
        <w:trPr>
          <w:jc w:val="center"/>
        </w:trPr>
        <w:tc>
          <w:tcPr>
            <w:tcW w:w="1636" w:type="dxa"/>
            <w:vMerge/>
            <w:vAlign w:val="center"/>
          </w:tcPr>
          <w:p w14:paraId="1A18DA3B" w14:textId="77777777" w:rsidR="00A449D2" w:rsidRPr="00E47EC1" w:rsidRDefault="00A449D2" w:rsidP="000F1ADC">
            <w:pPr>
              <w:jc w:val="center"/>
              <w:rPr>
                <w:b/>
              </w:rPr>
            </w:pPr>
          </w:p>
        </w:tc>
        <w:tc>
          <w:tcPr>
            <w:tcW w:w="3636" w:type="dxa"/>
            <w:shd w:val="clear" w:color="auto" w:fill="D6E3BC" w:themeFill="accent3" w:themeFillTint="66"/>
            <w:vAlign w:val="center"/>
          </w:tcPr>
          <w:p w14:paraId="1A18DA3C" w14:textId="77777777" w:rsidR="00A449D2" w:rsidRPr="00E47EC1" w:rsidRDefault="00A449D2" w:rsidP="001D6A1B">
            <w:pPr>
              <w:spacing w:before="20" w:after="20"/>
              <w:rPr>
                <w:bCs/>
                <w:lang w:eastAsia="de-DE"/>
              </w:rPr>
            </w:pPr>
            <w:r w:rsidRPr="00E47EC1">
              <w:rPr>
                <w:bCs/>
                <w:lang w:eastAsia="de-DE"/>
              </w:rPr>
              <w:t>perfluorooktan sulfonska kiselina</w:t>
            </w:r>
            <w:r w:rsidR="003C5E25" w:rsidRPr="00E47EC1">
              <w:rPr>
                <w:bCs/>
                <w:lang w:eastAsia="de-DE"/>
              </w:rPr>
              <w:t xml:space="preserve"> (PFOS)</w:t>
            </w:r>
            <w:r w:rsidRPr="00E47EC1">
              <w:rPr>
                <w:bCs/>
                <w:lang w:eastAsia="de-DE"/>
              </w:rPr>
              <w:t>, njezine soli i perfluorooktan sulfonil fluorid</w:t>
            </w:r>
            <w:r w:rsidR="003C5E25" w:rsidRPr="00E47EC1">
              <w:rPr>
                <w:bCs/>
                <w:lang w:eastAsia="de-DE"/>
              </w:rPr>
              <w:t xml:space="preserve"> (PFOSF</w:t>
            </w:r>
            <w:r w:rsidR="001D6A1B" w:rsidRPr="00E47EC1">
              <w:rPr>
                <w:bCs/>
                <w:lang w:eastAsia="de-DE"/>
              </w:rPr>
              <w:t>)</w:t>
            </w:r>
          </w:p>
        </w:tc>
        <w:tc>
          <w:tcPr>
            <w:tcW w:w="1136" w:type="dxa"/>
            <w:shd w:val="clear" w:color="auto" w:fill="D6E3BC" w:themeFill="accent3" w:themeFillTint="66"/>
          </w:tcPr>
          <w:p w14:paraId="1A18DA3D" w14:textId="77777777" w:rsidR="00A449D2" w:rsidRPr="00E47EC1" w:rsidRDefault="00A449D2" w:rsidP="000F1ADC">
            <w:pPr>
              <w:jc w:val="center"/>
            </w:pPr>
          </w:p>
        </w:tc>
        <w:tc>
          <w:tcPr>
            <w:tcW w:w="1667" w:type="dxa"/>
            <w:shd w:val="clear" w:color="auto" w:fill="D6E3BC" w:themeFill="accent3" w:themeFillTint="66"/>
          </w:tcPr>
          <w:p w14:paraId="1A18DA3E" w14:textId="77777777" w:rsidR="00A449D2" w:rsidRPr="00E47EC1" w:rsidRDefault="00A449D2" w:rsidP="000F1ADC">
            <w:pPr>
              <w:jc w:val="center"/>
            </w:pPr>
            <w:r w:rsidRPr="00E47EC1">
              <w:t>x</w:t>
            </w:r>
          </w:p>
        </w:tc>
        <w:tc>
          <w:tcPr>
            <w:tcW w:w="1666" w:type="dxa"/>
            <w:shd w:val="clear" w:color="auto" w:fill="D6E3BC" w:themeFill="accent3" w:themeFillTint="66"/>
          </w:tcPr>
          <w:p w14:paraId="1A18DA3F" w14:textId="77777777" w:rsidR="00A449D2" w:rsidRPr="00E47EC1" w:rsidRDefault="00A449D2" w:rsidP="000F1ADC">
            <w:pPr>
              <w:jc w:val="center"/>
            </w:pPr>
          </w:p>
        </w:tc>
      </w:tr>
      <w:tr w:rsidR="001D6A1B" w:rsidRPr="00E47EC1" w14:paraId="1A18DA46" w14:textId="77777777" w:rsidTr="00F920F5">
        <w:trPr>
          <w:jc w:val="center"/>
        </w:trPr>
        <w:tc>
          <w:tcPr>
            <w:tcW w:w="1636" w:type="dxa"/>
            <w:vMerge w:val="restart"/>
            <w:vAlign w:val="center"/>
          </w:tcPr>
          <w:p w14:paraId="1A18DA41" w14:textId="77777777" w:rsidR="001D6A1B" w:rsidRPr="00E47EC1" w:rsidRDefault="001D6A1B" w:rsidP="000F1ADC">
            <w:pPr>
              <w:spacing w:before="20" w:after="20"/>
              <w:jc w:val="center"/>
              <w:rPr>
                <w:b/>
                <w:lang w:eastAsia="de-DE"/>
              </w:rPr>
            </w:pPr>
            <w:r w:rsidRPr="00E47EC1">
              <w:rPr>
                <w:b/>
              </w:rPr>
              <w:lastRenderedPageBreak/>
              <w:t>Dodatak C: Nenamjerna proizvodnja</w:t>
            </w:r>
          </w:p>
        </w:tc>
        <w:tc>
          <w:tcPr>
            <w:tcW w:w="3636" w:type="dxa"/>
            <w:vAlign w:val="center"/>
          </w:tcPr>
          <w:p w14:paraId="1A18DA42" w14:textId="77777777" w:rsidR="001D6A1B" w:rsidRPr="00E47EC1" w:rsidRDefault="001D6A1B" w:rsidP="000F1ADC">
            <w:pPr>
              <w:spacing w:before="20" w:after="20"/>
              <w:rPr>
                <w:lang w:eastAsia="de-DE"/>
              </w:rPr>
            </w:pPr>
            <w:r w:rsidRPr="00E47EC1">
              <w:rPr>
                <w:lang w:eastAsia="de-DE"/>
              </w:rPr>
              <w:t>poliklorirani dibenzo-p-dioksini (PCDD)</w:t>
            </w:r>
            <w:r w:rsidR="00E51121" w:rsidRPr="00E47EC1">
              <w:rPr>
                <w:lang w:eastAsia="de-DE"/>
              </w:rPr>
              <w:t xml:space="preserve"> </w:t>
            </w:r>
            <w:r w:rsidRPr="00E47EC1">
              <w:rPr>
                <w:lang w:eastAsia="de-DE"/>
              </w:rPr>
              <w:t>/</w:t>
            </w:r>
            <w:r w:rsidR="00E51121" w:rsidRPr="00E47EC1">
              <w:rPr>
                <w:lang w:eastAsia="de-DE"/>
              </w:rPr>
              <w:t xml:space="preserve"> </w:t>
            </w:r>
            <w:r w:rsidRPr="00E47EC1">
              <w:rPr>
                <w:lang w:eastAsia="de-DE"/>
              </w:rPr>
              <w:t>poliklorirani dibenzofurani (PCDF)</w:t>
            </w:r>
          </w:p>
        </w:tc>
        <w:tc>
          <w:tcPr>
            <w:tcW w:w="1136" w:type="dxa"/>
          </w:tcPr>
          <w:p w14:paraId="1A18DA43" w14:textId="77777777" w:rsidR="001D6A1B" w:rsidRPr="00E47EC1" w:rsidRDefault="001D6A1B" w:rsidP="000F1ADC">
            <w:pPr>
              <w:jc w:val="center"/>
            </w:pPr>
          </w:p>
        </w:tc>
        <w:tc>
          <w:tcPr>
            <w:tcW w:w="1667" w:type="dxa"/>
          </w:tcPr>
          <w:p w14:paraId="1A18DA44" w14:textId="77777777" w:rsidR="001D6A1B" w:rsidRPr="00E47EC1" w:rsidRDefault="001D6A1B" w:rsidP="000F1ADC">
            <w:pPr>
              <w:jc w:val="center"/>
            </w:pPr>
          </w:p>
        </w:tc>
        <w:tc>
          <w:tcPr>
            <w:tcW w:w="1666" w:type="dxa"/>
          </w:tcPr>
          <w:p w14:paraId="1A18DA45" w14:textId="77777777" w:rsidR="001D6A1B" w:rsidRPr="00E47EC1" w:rsidRDefault="001D6A1B" w:rsidP="000F1ADC">
            <w:pPr>
              <w:jc w:val="center"/>
            </w:pPr>
            <w:r w:rsidRPr="00E47EC1">
              <w:t>x</w:t>
            </w:r>
          </w:p>
        </w:tc>
      </w:tr>
      <w:tr w:rsidR="001D6A1B" w:rsidRPr="00E47EC1" w14:paraId="1A18DA4C" w14:textId="77777777" w:rsidTr="00F920F5">
        <w:trPr>
          <w:jc w:val="center"/>
        </w:trPr>
        <w:tc>
          <w:tcPr>
            <w:tcW w:w="1636" w:type="dxa"/>
            <w:vMerge/>
            <w:vAlign w:val="center"/>
          </w:tcPr>
          <w:p w14:paraId="1A18DA47" w14:textId="77777777" w:rsidR="001D6A1B" w:rsidRPr="00E47EC1" w:rsidRDefault="001D6A1B" w:rsidP="000F1ADC">
            <w:pPr>
              <w:spacing w:before="20" w:after="20"/>
              <w:rPr>
                <w:lang w:eastAsia="de-DE"/>
              </w:rPr>
            </w:pPr>
          </w:p>
        </w:tc>
        <w:tc>
          <w:tcPr>
            <w:tcW w:w="3636" w:type="dxa"/>
            <w:vAlign w:val="center"/>
          </w:tcPr>
          <w:p w14:paraId="1A18DA48" w14:textId="77777777" w:rsidR="001D6A1B" w:rsidRPr="00E47EC1" w:rsidRDefault="001D6A1B" w:rsidP="000F1ADC">
            <w:pPr>
              <w:spacing w:before="20" w:after="20"/>
              <w:rPr>
                <w:lang w:eastAsia="de-DE"/>
              </w:rPr>
            </w:pPr>
            <w:r w:rsidRPr="00E47EC1">
              <w:rPr>
                <w:lang w:eastAsia="de-DE"/>
              </w:rPr>
              <w:t>heksaklorobenzen (HCB)</w:t>
            </w:r>
          </w:p>
        </w:tc>
        <w:tc>
          <w:tcPr>
            <w:tcW w:w="1136" w:type="dxa"/>
          </w:tcPr>
          <w:p w14:paraId="1A18DA49" w14:textId="77777777" w:rsidR="001D6A1B" w:rsidRPr="00E47EC1" w:rsidRDefault="001D6A1B" w:rsidP="000F1ADC">
            <w:pPr>
              <w:jc w:val="center"/>
            </w:pPr>
          </w:p>
        </w:tc>
        <w:tc>
          <w:tcPr>
            <w:tcW w:w="1667" w:type="dxa"/>
          </w:tcPr>
          <w:p w14:paraId="1A18DA4A" w14:textId="77777777" w:rsidR="001D6A1B" w:rsidRPr="00E47EC1" w:rsidRDefault="001D6A1B" w:rsidP="000F1ADC">
            <w:pPr>
              <w:jc w:val="center"/>
            </w:pPr>
          </w:p>
        </w:tc>
        <w:tc>
          <w:tcPr>
            <w:tcW w:w="1666" w:type="dxa"/>
          </w:tcPr>
          <w:p w14:paraId="1A18DA4B" w14:textId="77777777" w:rsidR="001D6A1B" w:rsidRPr="00E47EC1" w:rsidRDefault="001D6A1B" w:rsidP="000F1ADC">
            <w:pPr>
              <w:jc w:val="center"/>
            </w:pPr>
            <w:r w:rsidRPr="00E47EC1">
              <w:t>x</w:t>
            </w:r>
          </w:p>
        </w:tc>
      </w:tr>
      <w:tr w:rsidR="001D6A1B" w:rsidRPr="00E47EC1" w14:paraId="1A18DA52" w14:textId="77777777" w:rsidTr="00F920F5">
        <w:trPr>
          <w:jc w:val="center"/>
        </w:trPr>
        <w:tc>
          <w:tcPr>
            <w:tcW w:w="1636" w:type="dxa"/>
            <w:vMerge/>
            <w:vAlign w:val="center"/>
          </w:tcPr>
          <w:p w14:paraId="1A18DA4D" w14:textId="77777777" w:rsidR="001D6A1B" w:rsidRPr="00E47EC1" w:rsidRDefault="001D6A1B" w:rsidP="000F1ADC">
            <w:pPr>
              <w:spacing w:before="20" w:after="20"/>
              <w:rPr>
                <w:lang w:eastAsia="de-DE"/>
              </w:rPr>
            </w:pPr>
          </w:p>
        </w:tc>
        <w:tc>
          <w:tcPr>
            <w:tcW w:w="3636" w:type="dxa"/>
            <w:vAlign w:val="center"/>
          </w:tcPr>
          <w:p w14:paraId="1A18DA4E" w14:textId="77777777" w:rsidR="001D6A1B" w:rsidRPr="00E47EC1" w:rsidRDefault="001D6A1B" w:rsidP="00A449D2">
            <w:pPr>
              <w:spacing w:before="20" w:after="20"/>
              <w:rPr>
                <w:lang w:eastAsia="de-DE"/>
              </w:rPr>
            </w:pPr>
            <w:r w:rsidRPr="00E47EC1">
              <w:rPr>
                <w:lang w:eastAsia="de-DE"/>
              </w:rPr>
              <w:t>poliklorirani bifenili (PCB)</w:t>
            </w:r>
          </w:p>
        </w:tc>
        <w:tc>
          <w:tcPr>
            <w:tcW w:w="1136" w:type="dxa"/>
          </w:tcPr>
          <w:p w14:paraId="1A18DA4F" w14:textId="77777777" w:rsidR="001D6A1B" w:rsidRPr="00E47EC1" w:rsidRDefault="001D6A1B" w:rsidP="000F1ADC">
            <w:pPr>
              <w:jc w:val="center"/>
            </w:pPr>
          </w:p>
        </w:tc>
        <w:tc>
          <w:tcPr>
            <w:tcW w:w="1667" w:type="dxa"/>
          </w:tcPr>
          <w:p w14:paraId="1A18DA50" w14:textId="77777777" w:rsidR="001D6A1B" w:rsidRPr="00E47EC1" w:rsidRDefault="001D6A1B" w:rsidP="000F1ADC">
            <w:pPr>
              <w:jc w:val="center"/>
            </w:pPr>
          </w:p>
        </w:tc>
        <w:tc>
          <w:tcPr>
            <w:tcW w:w="1666" w:type="dxa"/>
          </w:tcPr>
          <w:p w14:paraId="1A18DA51" w14:textId="77777777" w:rsidR="001D6A1B" w:rsidRPr="00E47EC1" w:rsidRDefault="001D6A1B" w:rsidP="000F1ADC">
            <w:pPr>
              <w:jc w:val="center"/>
            </w:pPr>
            <w:r w:rsidRPr="00E47EC1">
              <w:t>x</w:t>
            </w:r>
          </w:p>
        </w:tc>
      </w:tr>
      <w:tr w:rsidR="001D6A1B" w:rsidRPr="00E47EC1" w14:paraId="1A18DA58" w14:textId="77777777" w:rsidTr="00F920F5">
        <w:trPr>
          <w:jc w:val="center"/>
        </w:trPr>
        <w:tc>
          <w:tcPr>
            <w:tcW w:w="1636" w:type="dxa"/>
            <w:vMerge/>
            <w:vAlign w:val="center"/>
          </w:tcPr>
          <w:p w14:paraId="1A18DA53" w14:textId="77777777" w:rsidR="001D6A1B" w:rsidRPr="00E47EC1" w:rsidRDefault="001D6A1B" w:rsidP="000F1ADC">
            <w:pPr>
              <w:spacing w:before="20" w:after="20"/>
              <w:rPr>
                <w:lang w:eastAsia="de-DE"/>
              </w:rPr>
            </w:pPr>
          </w:p>
        </w:tc>
        <w:tc>
          <w:tcPr>
            <w:tcW w:w="3636" w:type="dxa"/>
            <w:tcBorders>
              <w:bottom w:val="single" w:sz="4" w:space="0" w:color="auto"/>
            </w:tcBorders>
            <w:shd w:val="clear" w:color="auto" w:fill="D6E3BC" w:themeFill="accent3" w:themeFillTint="66"/>
            <w:vAlign w:val="center"/>
          </w:tcPr>
          <w:p w14:paraId="1A18DA54" w14:textId="77777777" w:rsidR="001D6A1B" w:rsidRPr="00E47EC1" w:rsidRDefault="001D6A1B" w:rsidP="001D6A1B">
            <w:pPr>
              <w:spacing w:before="20" w:after="20"/>
              <w:rPr>
                <w:lang w:eastAsia="de-DE"/>
              </w:rPr>
            </w:pPr>
            <w:r w:rsidRPr="00E47EC1">
              <w:rPr>
                <w:lang w:eastAsia="de-DE"/>
              </w:rPr>
              <w:t>pentaklorobenzen (PeCB)</w:t>
            </w:r>
          </w:p>
        </w:tc>
        <w:tc>
          <w:tcPr>
            <w:tcW w:w="1136" w:type="dxa"/>
            <w:tcBorders>
              <w:bottom w:val="single" w:sz="4" w:space="0" w:color="auto"/>
            </w:tcBorders>
            <w:shd w:val="clear" w:color="auto" w:fill="D6E3BC" w:themeFill="accent3" w:themeFillTint="66"/>
          </w:tcPr>
          <w:p w14:paraId="1A18DA55" w14:textId="77777777" w:rsidR="001D6A1B" w:rsidRPr="00E47EC1" w:rsidRDefault="001D6A1B" w:rsidP="000F1ADC">
            <w:pPr>
              <w:jc w:val="center"/>
            </w:pPr>
          </w:p>
        </w:tc>
        <w:tc>
          <w:tcPr>
            <w:tcW w:w="1667" w:type="dxa"/>
            <w:tcBorders>
              <w:bottom w:val="single" w:sz="4" w:space="0" w:color="auto"/>
            </w:tcBorders>
            <w:shd w:val="clear" w:color="auto" w:fill="D6E3BC" w:themeFill="accent3" w:themeFillTint="66"/>
          </w:tcPr>
          <w:p w14:paraId="1A18DA56" w14:textId="77777777" w:rsidR="001D6A1B" w:rsidRPr="00E47EC1" w:rsidRDefault="001D6A1B" w:rsidP="000F1ADC">
            <w:pPr>
              <w:jc w:val="center"/>
            </w:pPr>
          </w:p>
        </w:tc>
        <w:tc>
          <w:tcPr>
            <w:tcW w:w="1666" w:type="dxa"/>
            <w:tcBorders>
              <w:bottom w:val="single" w:sz="4" w:space="0" w:color="auto"/>
            </w:tcBorders>
            <w:shd w:val="clear" w:color="auto" w:fill="D6E3BC" w:themeFill="accent3" w:themeFillTint="66"/>
          </w:tcPr>
          <w:p w14:paraId="1A18DA57" w14:textId="77777777" w:rsidR="001D6A1B" w:rsidRPr="00E47EC1" w:rsidRDefault="001D6A1B" w:rsidP="000F1ADC">
            <w:pPr>
              <w:jc w:val="center"/>
            </w:pPr>
            <w:r w:rsidRPr="00E47EC1">
              <w:t>x</w:t>
            </w:r>
          </w:p>
        </w:tc>
      </w:tr>
      <w:tr w:rsidR="001D6A1B" w:rsidRPr="00E47EC1" w14:paraId="1A18DA5E" w14:textId="77777777" w:rsidTr="00F920F5">
        <w:trPr>
          <w:jc w:val="center"/>
        </w:trPr>
        <w:tc>
          <w:tcPr>
            <w:tcW w:w="1636" w:type="dxa"/>
            <w:vMerge/>
            <w:shd w:val="clear" w:color="auto" w:fill="B6DDE8" w:themeFill="accent5" w:themeFillTint="66"/>
            <w:vAlign w:val="center"/>
          </w:tcPr>
          <w:p w14:paraId="1A18DA59" w14:textId="77777777" w:rsidR="001D6A1B" w:rsidRPr="00E47EC1" w:rsidRDefault="001D6A1B" w:rsidP="000F1ADC">
            <w:pPr>
              <w:spacing w:before="20" w:after="20"/>
              <w:rPr>
                <w:lang w:eastAsia="de-DE"/>
              </w:rPr>
            </w:pPr>
          </w:p>
        </w:tc>
        <w:tc>
          <w:tcPr>
            <w:tcW w:w="3636" w:type="dxa"/>
            <w:tcBorders>
              <w:bottom w:val="single" w:sz="4" w:space="0" w:color="auto"/>
            </w:tcBorders>
            <w:shd w:val="clear" w:color="auto" w:fill="B6DDE8" w:themeFill="accent5" w:themeFillTint="66"/>
            <w:vAlign w:val="center"/>
          </w:tcPr>
          <w:p w14:paraId="1A18DA5A" w14:textId="77777777" w:rsidR="001D6A1B" w:rsidRPr="00E47EC1" w:rsidRDefault="001D6A1B" w:rsidP="000F1ADC">
            <w:pPr>
              <w:spacing w:before="20" w:after="20"/>
              <w:rPr>
                <w:lang w:eastAsia="de-DE"/>
              </w:rPr>
            </w:pPr>
            <w:r w:rsidRPr="00E47EC1">
              <w:rPr>
                <w:lang w:eastAsia="de-DE"/>
              </w:rPr>
              <w:t>poliklorirani naftaleni (PCN)</w:t>
            </w:r>
          </w:p>
        </w:tc>
        <w:tc>
          <w:tcPr>
            <w:tcW w:w="1136" w:type="dxa"/>
            <w:tcBorders>
              <w:bottom w:val="single" w:sz="4" w:space="0" w:color="auto"/>
            </w:tcBorders>
            <w:shd w:val="clear" w:color="auto" w:fill="B6DDE8" w:themeFill="accent5" w:themeFillTint="66"/>
          </w:tcPr>
          <w:p w14:paraId="1A18DA5B" w14:textId="77777777" w:rsidR="001D6A1B" w:rsidRPr="00E47EC1" w:rsidRDefault="001D6A1B" w:rsidP="000F1ADC">
            <w:pPr>
              <w:jc w:val="center"/>
            </w:pPr>
          </w:p>
        </w:tc>
        <w:tc>
          <w:tcPr>
            <w:tcW w:w="1667" w:type="dxa"/>
            <w:tcBorders>
              <w:bottom w:val="single" w:sz="4" w:space="0" w:color="auto"/>
            </w:tcBorders>
            <w:shd w:val="clear" w:color="auto" w:fill="B6DDE8" w:themeFill="accent5" w:themeFillTint="66"/>
          </w:tcPr>
          <w:p w14:paraId="1A18DA5C" w14:textId="77777777" w:rsidR="001D6A1B" w:rsidRPr="00E47EC1" w:rsidRDefault="001D6A1B" w:rsidP="000F1ADC">
            <w:pPr>
              <w:jc w:val="center"/>
            </w:pPr>
          </w:p>
        </w:tc>
        <w:tc>
          <w:tcPr>
            <w:tcW w:w="1666" w:type="dxa"/>
            <w:tcBorders>
              <w:bottom w:val="single" w:sz="4" w:space="0" w:color="auto"/>
            </w:tcBorders>
            <w:shd w:val="clear" w:color="auto" w:fill="B6DDE8" w:themeFill="accent5" w:themeFillTint="66"/>
          </w:tcPr>
          <w:p w14:paraId="1A18DA5D" w14:textId="77777777" w:rsidR="001D6A1B" w:rsidRPr="00E47EC1" w:rsidRDefault="00BD03C8" w:rsidP="000F1ADC">
            <w:pPr>
              <w:jc w:val="center"/>
            </w:pPr>
            <w:r w:rsidRPr="00E47EC1">
              <w:t>x</w:t>
            </w:r>
          </w:p>
        </w:tc>
      </w:tr>
      <w:tr w:rsidR="001D6A1B" w:rsidRPr="00E47EC1" w14:paraId="1A18DA64" w14:textId="77777777" w:rsidTr="00F920F5">
        <w:trPr>
          <w:jc w:val="center"/>
        </w:trPr>
        <w:tc>
          <w:tcPr>
            <w:tcW w:w="1636" w:type="dxa"/>
            <w:vMerge/>
            <w:tcBorders>
              <w:bottom w:val="single" w:sz="4" w:space="0" w:color="auto"/>
            </w:tcBorders>
            <w:shd w:val="clear" w:color="auto" w:fill="B6DDE8" w:themeFill="accent5" w:themeFillTint="66"/>
            <w:vAlign w:val="center"/>
          </w:tcPr>
          <w:p w14:paraId="1A18DA5F" w14:textId="77777777" w:rsidR="001D6A1B" w:rsidRPr="00E47EC1" w:rsidRDefault="001D6A1B" w:rsidP="000F1ADC">
            <w:pPr>
              <w:spacing w:before="20" w:after="20"/>
              <w:rPr>
                <w:lang w:eastAsia="de-DE"/>
              </w:rPr>
            </w:pPr>
          </w:p>
        </w:tc>
        <w:tc>
          <w:tcPr>
            <w:tcW w:w="3636" w:type="dxa"/>
            <w:tcBorders>
              <w:bottom w:val="single" w:sz="4" w:space="0" w:color="auto"/>
            </w:tcBorders>
            <w:shd w:val="clear" w:color="auto" w:fill="D99594" w:themeFill="accent2" w:themeFillTint="99"/>
            <w:vAlign w:val="center"/>
          </w:tcPr>
          <w:p w14:paraId="1A18DA60" w14:textId="77777777" w:rsidR="001D6A1B" w:rsidRPr="00E47EC1" w:rsidRDefault="001D6A1B" w:rsidP="000F1ADC">
            <w:pPr>
              <w:spacing w:before="20" w:after="20"/>
              <w:rPr>
                <w:lang w:eastAsia="de-DE"/>
              </w:rPr>
            </w:pPr>
            <w:r w:rsidRPr="00E47EC1">
              <w:t>heksaklorobutadien (HCBD)</w:t>
            </w:r>
          </w:p>
        </w:tc>
        <w:tc>
          <w:tcPr>
            <w:tcW w:w="1136" w:type="dxa"/>
            <w:tcBorders>
              <w:bottom w:val="single" w:sz="4" w:space="0" w:color="auto"/>
            </w:tcBorders>
            <w:shd w:val="clear" w:color="auto" w:fill="D99594" w:themeFill="accent2" w:themeFillTint="99"/>
          </w:tcPr>
          <w:p w14:paraId="1A18DA61" w14:textId="77777777" w:rsidR="001D6A1B" w:rsidRPr="00E47EC1" w:rsidRDefault="001D6A1B" w:rsidP="000F1ADC">
            <w:pPr>
              <w:jc w:val="center"/>
            </w:pPr>
          </w:p>
        </w:tc>
        <w:tc>
          <w:tcPr>
            <w:tcW w:w="1667" w:type="dxa"/>
            <w:tcBorders>
              <w:bottom w:val="single" w:sz="4" w:space="0" w:color="auto"/>
            </w:tcBorders>
            <w:shd w:val="clear" w:color="auto" w:fill="D99594" w:themeFill="accent2" w:themeFillTint="99"/>
          </w:tcPr>
          <w:p w14:paraId="1A18DA62" w14:textId="77777777" w:rsidR="001D6A1B" w:rsidRPr="00E47EC1" w:rsidRDefault="001D6A1B" w:rsidP="000F1ADC">
            <w:pPr>
              <w:jc w:val="center"/>
            </w:pPr>
          </w:p>
        </w:tc>
        <w:tc>
          <w:tcPr>
            <w:tcW w:w="1666" w:type="dxa"/>
            <w:tcBorders>
              <w:bottom w:val="single" w:sz="4" w:space="0" w:color="auto"/>
            </w:tcBorders>
            <w:shd w:val="clear" w:color="auto" w:fill="D99594" w:themeFill="accent2" w:themeFillTint="99"/>
          </w:tcPr>
          <w:p w14:paraId="1A18DA63" w14:textId="77777777" w:rsidR="001D6A1B" w:rsidRPr="00E47EC1" w:rsidRDefault="00BD03C8" w:rsidP="000F1ADC">
            <w:pPr>
              <w:jc w:val="center"/>
            </w:pPr>
            <w:r w:rsidRPr="00E47EC1">
              <w:t>x</w:t>
            </w:r>
          </w:p>
        </w:tc>
      </w:tr>
      <w:tr w:rsidR="00885257" w:rsidRPr="00E47EC1" w14:paraId="1A18DA6B" w14:textId="77777777" w:rsidTr="00F920F5">
        <w:trPr>
          <w:jc w:val="center"/>
        </w:trPr>
        <w:tc>
          <w:tcPr>
            <w:tcW w:w="1636" w:type="dxa"/>
            <w:tcBorders>
              <w:left w:val="nil"/>
              <w:bottom w:val="nil"/>
              <w:right w:val="nil"/>
            </w:tcBorders>
            <w:shd w:val="clear" w:color="auto" w:fill="auto"/>
          </w:tcPr>
          <w:p w14:paraId="1A18DA65" w14:textId="77777777" w:rsidR="00885257" w:rsidRPr="00E47EC1" w:rsidRDefault="00885257" w:rsidP="00885257">
            <w:pPr>
              <w:rPr>
                <w:lang w:eastAsia="de-DE"/>
              </w:rPr>
            </w:pPr>
          </w:p>
          <w:p w14:paraId="1A18DA66" w14:textId="77777777" w:rsidR="00885257" w:rsidRPr="00E47EC1" w:rsidRDefault="00885257" w:rsidP="00885257">
            <w:pPr>
              <w:rPr>
                <w:lang w:eastAsia="de-DE"/>
              </w:rPr>
            </w:pPr>
            <w:r w:rsidRPr="00E47EC1">
              <w:rPr>
                <w:lang w:eastAsia="de-DE"/>
              </w:rPr>
              <w:t>Legenda:</w:t>
            </w:r>
          </w:p>
        </w:tc>
        <w:tc>
          <w:tcPr>
            <w:tcW w:w="3636" w:type="dxa"/>
            <w:tcBorders>
              <w:top w:val="single" w:sz="4" w:space="0" w:color="auto"/>
              <w:left w:val="nil"/>
              <w:bottom w:val="nil"/>
              <w:right w:val="nil"/>
            </w:tcBorders>
            <w:shd w:val="clear" w:color="auto" w:fill="auto"/>
          </w:tcPr>
          <w:p w14:paraId="1A18DA67" w14:textId="77777777" w:rsidR="00885257" w:rsidRPr="00E47EC1" w:rsidRDefault="00885257" w:rsidP="00885257">
            <w:pPr>
              <w:spacing w:before="20" w:after="20"/>
            </w:pPr>
          </w:p>
        </w:tc>
        <w:tc>
          <w:tcPr>
            <w:tcW w:w="1136" w:type="dxa"/>
            <w:tcBorders>
              <w:top w:val="single" w:sz="4" w:space="0" w:color="auto"/>
              <w:left w:val="nil"/>
              <w:bottom w:val="nil"/>
              <w:right w:val="nil"/>
            </w:tcBorders>
            <w:shd w:val="clear" w:color="auto" w:fill="auto"/>
          </w:tcPr>
          <w:p w14:paraId="1A18DA68" w14:textId="77777777" w:rsidR="00885257" w:rsidRPr="00E47EC1" w:rsidRDefault="00885257" w:rsidP="00885257">
            <w:pPr>
              <w:jc w:val="center"/>
            </w:pPr>
          </w:p>
        </w:tc>
        <w:tc>
          <w:tcPr>
            <w:tcW w:w="1667" w:type="dxa"/>
            <w:tcBorders>
              <w:top w:val="single" w:sz="4" w:space="0" w:color="auto"/>
              <w:left w:val="nil"/>
              <w:bottom w:val="nil"/>
              <w:right w:val="nil"/>
            </w:tcBorders>
            <w:shd w:val="clear" w:color="auto" w:fill="auto"/>
          </w:tcPr>
          <w:p w14:paraId="1A18DA69" w14:textId="77777777" w:rsidR="00885257" w:rsidRPr="00E47EC1" w:rsidRDefault="00885257" w:rsidP="00885257">
            <w:pPr>
              <w:jc w:val="center"/>
            </w:pPr>
          </w:p>
        </w:tc>
        <w:tc>
          <w:tcPr>
            <w:tcW w:w="1666" w:type="dxa"/>
            <w:tcBorders>
              <w:top w:val="single" w:sz="4" w:space="0" w:color="auto"/>
              <w:left w:val="nil"/>
              <w:bottom w:val="nil"/>
              <w:right w:val="nil"/>
            </w:tcBorders>
            <w:shd w:val="clear" w:color="auto" w:fill="auto"/>
          </w:tcPr>
          <w:p w14:paraId="1A18DA6A" w14:textId="77777777" w:rsidR="00885257" w:rsidRPr="00E47EC1" w:rsidRDefault="00885257" w:rsidP="00885257">
            <w:pPr>
              <w:jc w:val="center"/>
            </w:pPr>
          </w:p>
        </w:tc>
      </w:tr>
      <w:tr w:rsidR="00885257" w:rsidRPr="00E47EC1" w14:paraId="1A18DA71" w14:textId="77777777" w:rsidTr="00F920F5">
        <w:trPr>
          <w:jc w:val="center"/>
        </w:trPr>
        <w:tc>
          <w:tcPr>
            <w:tcW w:w="1636" w:type="dxa"/>
            <w:tcBorders>
              <w:top w:val="nil"/>
              <w:left w:val="nil"/>
              <w:bottom w:val="nil"/>
              <w:right w:val="nil"/>
            </w:tcBorders>
            <w:shd w:val="clear" w:color="auto" w:fill="C2D69B" w:themeFill="accent3" w:themeFillTint="99"/>
          </w:tcPr>
          <w:p w14:paraId="1A18DA6C" w14:textId="77777777" w:rsidR="00885257" w:rsidRPr="00E47EC1" w:rsidRDefault="00885257" w:rsidP="00885257">
            <w:pPr>
              <w:jc w:val="center"/>
            </w:pPr>
          </w:p>
        </w:tc>
        <w:tc>
          <w:tcPr>
            <w:tcW w:w="3636" w:type="dxa"/>
            <w:tcBorders>
              <w:top w:val="nil"/>
              <w:left w:val="nil"/>
              <w:bottom w:val="nil"/>
              <w:right w:val="nil"/>
            </w:tcBorders>
            <w:shd w:val="clear" w:color="auto" w:fill="auto"/>
          </w:tcPr>
          <w:p w14:paraId="1A18DA6D" w14:textId="77777777" w:rsidR="00885257" w:rsidRPr="00E47EC1" w:rsidRDefault="00885257" w:rsidP="00885257">
            <w:pPr>
              <w:spacing w:before="20" w:after="20"/>
              <w:jc w:val="center"/>
            </w:pPr>
            <w:r w:rsidRPr="00E47EC1">
              <w:t>COP-4 (2009. godina)</w:t>
            </w:r>
          </w:p>
        </w:tc>
        <w:tc>
          <w:tcPr>
            <w:tcW w:w="1136" w:type="dxa"/>
            <w:tcBorders>
              <w:top w:val="nil"/>
              <w:left w:val="nil"/>
              <w:bottom w:val="nil"/>
              <w:right w:val="nil"/>
            </w:tcBorders>
            <w:shd w:val="clear" w:color="auto" w:fill="auto"/>
          </w:tcPr>
          <w:p w14:paraId="1A18DA6E" w14:textId="77777777" w:rsidR="00885257" w:rsidRPr="00E47EC1" w:rsidRDefault="00885257" w:rsidP="00885257">
            <w:pPr>
              <w:jc w:val="center"/>
            </w:pPr>
          </w:p>
        </w:tc>
        <w:tc>
          <w:tcPr>
            <w:tcW w:w="1667" w:type="dxa"/>
            <w:tcBorders>
              <w:top w:val="nil"/>
              <w:left w:val="nil"/>
              <w:bottom w:val="nil"/>
              <w:right w:val="nil"/>
            </w:tcBorders>
            <w:shd w:val="clear" w:color="auto" w:fill="auto"/>
          </w:tcPr>
          <w:p w14:paraId="1A18DA6F" w14:textId="77777777" w:rsidR="00885257" w:rsidRPr="00E47EC1" w:rsidRDefault="00885257" w:rsidP="00885257">
            <w:pPr>
              <w:jc w:val="center"/>
            </w:pPr>
          </w:p>
        </w:tc>
        <w:tc>
          <w:tcPr>
            <w:tcW w:w="1666" w:type="dxa"/>
            <w:tcBorders>
              <w:top w:val="nil"/>
              <w:left w:val="nil"/>
              <w:bottom w:val="nil"/>
              <w:right w:val="nil"/>
            </w:tcBorders>
            <w:shd w:val="clear" w:color="auto" w:fill="auto"/>
          </w:tcPr>
          <w:p w14:paraId="1A18DA70" w14:textId="77777777" w:rsidR="00885257" w:rsidRPr="00E47EC1" w:rsidRDefault="00885257" w:rsidP="00885257">
            <w:pPr>
              <w:jc w:val="center"/>
            </w:pPr>
          </w:p>
        </w:tc>
      </w:tr>
      <w:tr w:rsidR="00885257" w:rsidRPr="00E47EC1" w14:paraId="1A18DA77" w14:textId="77777777" w:rsidTr="00F920F5">
        <w:trPr>
          <w:jc w:val="center"/>
        </w:trPr>
        <w:tc>
          <w:tcPr>
            <w:tcW w:w="1636" w:type="dxa"/>
            <w:tcBorders>
              <w:top w:val="nil"/>
              <w:left w:val="nil"/>
              <w:bottom w:val="nil"/>
              <w:right w:val="nil"/>
            </w:tcBorders>
            <w:shd w:val="clear" w:color="auto" w:fill="B2A1C7" w:themeFill="accent4" w:themeFillTint="99"/>
          </w:tcPr>
          <w:p w14:paraId="1A18DA72" w14:textId="77777777" w:rsidR="00885257" w:rsidRPr="00E47EC1" w:rsidRDefault="00885257" w:rsidP="00885257">
            <w:pPr>
              <w:jc w:val="center"/>
            </w:pPr>
          </w:p>
        </w:tc>
        <w:tc>
          <w:tcPr>
            <w:tcW w:w="3636" w:type="dxa"/>
            <w:tcBorders>
              <w:top w:val="nil"/>
              <w:left w:val="nil"/>
              <w:bottom w:val="nil"/>
              <w:right w:val="nil"/>
            </w:tcBorders>
            <w:shd w:val="clear" w:color="auto" w:fill="auto"/>
          </w:tcPr>
          <w:p w14:paraId="1A18DA73" w14:textId="77777777" w:rsidR="00885257" w:rsidRPr="00E47EC1" w:rsidRDefault="00885257" w:rsidP="00885257">
            <w:pPr>
              <w:jc w:val="center"/>
            </w:pPr>
            <w:r w:rsidRPr="00E47EC1">
              <w:t>COP-5 (2011. godina)</w:t>
            </w:r>
          </w:p>
        </w:tc>
        <w:tc>
          <w:tcPr>
            <w:tcW w:w="1136" w:type="dxa"/>
            <w:tcBorders>
              <w:top w:val="nil"/>
              <w:left w:val="nil"/>
              <w:bottom w:val="nil"/>
              <w:right w:val="nil"/>
            </w:tcBorders>
            <w:shd w:val="clear" w:color="auto" w:fill="auto"/>
          </w:tcPr>
          <w:p w14:paraId="1A18DA74" w14:textId="77777777" w:rsidR="00885257" w:rsidRPr="00E47EC1" w:rsidRDefault="00885257" w:rsidP="00885257">
            <w:pPr>
              <w:jc w:val="center"/>
            </w:pPr>
          </w:p>
        </w:tc>
        <w:tc>
          <w:tcPr>
            <w:tcW w:w="1667" w:type="dxa"/>
            <w:tcBorders>
              <w:top w:val="nil"/>
              <w:left w:val="nil"/>
              <w:bottom w:val="nil"/>
              <w:right w:val="nil"/>
            </w:tcBorders>
            <w:shd w:val="clear" w:color="auto" w:fill="auto"/>
          </w:tcPr>
          <w:p w14:paraId="1A18DA75" w14:textId="77777777" w:rsidR="00885257" w:rsidRPr="00E47EC1" w:rsidRDefault="00885257" w:rsidP="00885257">
            <w:pPr>
              <w:jc w:val="center"/>
            </w:pPr>
          </w:p>
        </w:tc>
        <w:tc>
          <w:tcPr>
            <w:tcW w:w="1666" w:type="dxa"/>
            <w:tcBorders>
              <w:top w:val="nil"/>
              <w:left w:val="nil"/>
              <w:bottom w:val="nil"/>
              <w:right w:val="nil"/>
            </w:tcBorders>
            <w:shd w:val="clear" w:color="auto" w:fill="auto"/>
          </w:tcPr>
          <w:p w14:paraId="1A18DA76" w14:textId="77777777" w:rsidR="00885257" w:rsidRPr="00E47EC1" w:rsidRDefault="00885257" w:rsidP="00885257">
            <w:pPr>
              <w:jc w:val="center"/>
            </w:pPr>
          </w:p>
        </w:tc>
      </w:tr>
      <w:tr w:rsidR="00885257" w:rsidRPr="00E47EC1" w14:paraId="1A18DA7D" w14:textId="77777777" w:rsidTr="00F920F5">
        <w:trPr>
          <w:jc w:val="center"/>
        </w:trPr>
        <w:tc>
          <w:tcPr>
            <w:tcW w:w="1636" w:type="dxa"/>
            <w:tcBorders>
              <w:top w:val="nil"/>
              <w:left w:val="nil"/>
              <w:bottom w:val="nil"/>
              <w:right w:val="nil"/>
            </w:tcBorders>
            <w:shd w:val="clear" w:color="auto" w:fill="FABF8F" w:themeFill="accent6" w:themeFillTint="99"/>
          </w:tcPr>
          <w:p w14:paraId="1A18DA78" w14:textId="77777777" w:rsidR="00885257" w:rsidRPr="00E47EC1" w:rsidRDefault="00885257" w:rsidP="00885257">
            <w:pPr>
              <w:jc w:val="center"/>
            </w:pPr>
          </w:p>
        </w:tc>
        <w:tc>
          <w:tcPr>
            <w:tcW w:w="3636" w:type="dxa"/>
            <w:tcBorders>
              <w:top w:val="nil"/>
              <w:left w:val="nil"/>
              <w:bottom w:val="nil"/>
              <w:right w:val="nil"/>
            </w:tcBorders>
            <w:shd w:val="clear" w:color="auto" w:fill="auto"/>
          </w:tcPr>
          <w:p w14:paraId="1A18DA79" w14:textId="77777777" w:rsidR="00885257" w:rsidRPr="00E47EC1" w:rsidRDefault="00885257" w:rsidP="00885257">
            <w:pPr>
              <w:jc w:val="center"/>
            </w:pPr>
            <w:r w:rsidRPr="00E47EC1">
              <w:t>COP-6 (2013. godina)</w:t>
            </w:r>
          </w:p>
        </w:tc>
        <w:tc>
          <w:tcPr>
            <w:tcW w:w="1136" w:type="dxa"/>
            <w:tcBorders>
              <w:top w:val="nil"/>
              <w:left w:val="nil"/>
              <w:bottom w:val="nil"/>
              <w:right w:val="nil"/>
            </w:tcBorders>
            <w:shd w:val="clear" w:color="auto" w:fill="auto"/>
          </w:tcPr>
          <w:p w14:paraId="1A18DA7A" w14:textId="77777777" w:rsidR="00885257" w:rsidRPr="00E47EC1" w:rsidRDefault="00885257" w:rsidP="00885257">
            <w:pPr>
              <w:jc w:val="center"/>
            </w:pPr>
          </w:p>
        </w:tc>
        <w:tc>
          <w:tcPr>
            <w:tcW w:w="1667" w:type="dxa"/>
            <w:tcBorders>
              <w:top w:val="nil"/>
              <w:left w:val="nil"/>
              <w:bottom w:val="nil"/>
              <w:right w:val="nil"/>
            </w:tcBorders>
            <w:shd w:val="clear" w:color="auto" w:fill="auto"/>
          </w:tcPr>
          <w:p w14:paraId="1A18DA7B" w14:textId="77777777" w:rsidR="00885257" w:rsidRPr="00E47EC1" w:rsidRDefault="00885257" w:rsidP="00885257">
            <w:pPr>
              <w:jc w:val="center"/>
            </w:pPr>
          </w:p>
        </w:tc>
        <w:tc>
          <w:tcPr>
            <w:tcW w:w="1666" w:type="dxa"/>
            <w:tcBorders>
              <w:top w:val="nil"/>
              <w:left w:val="nil"/>
              <w:bottom w:val="nil"/>
              <w:right w:val="nil"/>
            </w:tcBorders>
            <w:shd w:val="clear" w:color="auto" w:fill="auto"/>
          </w:tcPr>
          <w:p w14:paraId="1A18DA7C" w14:textId="77777777" w:rsidR="00885257" w:rsidRPr="00E47EC1" w:rsidRDefault="00885257" w:rsidP="00885257">
            <w:pPr>
              <w:jc w:val="center"/>
            </w:pPr>
          </w:p>
        </w:tc>
      </w:tr>
      <w:tr w:rsidR="00885257" w:rsidRPr="00E47EC1" w14:paraId="1A18DA83" w14:textId="77777777" w:rsidTr="00F920F5">
        <w:trPr>
          <w:jc w:val="center"/>
        </w:trPr>
        <w:tc>
          <w:tcPr>
            <w:tcW w:w="1636" w:type="dxa"/>
            <w:tcBorders>
              <w:top w:val="nil"/>
              <w:left w:val="nil"/>
              <w:bottom w:val="nil"/>
              <w:right w:val="nil"/>
            </w:tcBorders>
            <w:shd w:val="clear" w:color="auto" w:fill="92CDDC" w:themeFill="accent5" w:themeFillTint="99"/>
          </w:tcPr>
          <w:p w14:paraId="1A18DA7E" w14:textId="77777777" w:rsidR="00885257" w:rsidRPr="00E47EC1" w:rsidRDefault="00885257" w:rsidP="00885257">
            <w:pPr>
              <w:jc w:val="center"/>
            </w:pPr>
          </w:p>
        </w:tc>
        <w:tc>
          <w:tcPr>
            <w:tcW w:w="3636" w:type="dxa"/>
            <w:tcBorders>
              <w:top w:val="nil"/>
              <w:left w:val="nil"/>
              <w:bottom w:val="nil"/>
              <w:right w:val="nil"/>
            </w:tcBorders>
            <w:shd w:val="clear" w:color="auto" w:fill="auto"/>
          </w:tcPr>
          <w:p w14:paraId="1A18DA7F" w14:textId="77777777" w:rsidR="00885257" w:rsidRPr="00E47EC1" w:rsidRDefault="00885257" w:rsidP="00885257">
            <w:pPr>
              <w:jc w:val="center"/>
            </w:pPr>
            <w:r w:rsidRPr="00E47EC1">
              <w:t>COP-7 (2015. godina)</w:t>
            </w:r>
          </w:p>
        </w:tc>
        <w:tc>
          <w:tcPr>
            <w:tcW w:w="1136" w:type="dxa"/>
            <w:tcBorders>
              <w:top w:val="nil"/>
              <w:left w:val="nil"/>
              <w:bottom w:val="nil"/>
              <w:right w:val="nil"/>
            </w:tcBorders>
            <w:shd w:val="clear" w:color="auto" w:fill="auto"/>
          </w:tcPr>
          <w:p w14:paraId="1A18DA80" w14:textId="77777777" w:rsidR="00885257" w:rsidRPr="00E47EC1" w:rsidRDefault="00885257" w:rsidP="00885257">
            <w:pPr>
              <w:jc w:val="center"/>
            </w:pPr>
          </w:p>
        </w:tc>
        <w:tc>
          <w:tcPr>
            <w:tcW w:w="1667" w:type="dxa"/>
            <w:tcBorders>
              <w:top w:val="nil"/>
              <w:left w:val="nil"/>
              <w:bottom w:val="nil"/>
              <w:right w:val="nil"/>
            </w:tcBorders>
            <w:shd w:val="clear" w:color="auto" w:fill="auto"/>
          </w:tcPr>
          <w:p w14:paraId="1A18DA81" w14:textId="77777777" w:rsidR="00885257" w:rsidRPr="00E47EC1" w:rsidRDefault="00885257" w:rsidP="00885257">
            <w:pPr>
              <w:jc w:val="center"/>
            </w:pPr>
          </w:p>
        </w:tc>
        <w:tc>
          <w:tcPr>
            <w:tcW w:w="1666" w:type="dxa"/>
            <w:tcBorders>
              <w:top w:val="nil"/>
              <w:left w:val="nil"/>
              <w:bottom w:val="nil"/>
              <w:right w:val="nil"/>
            </w:tcBorders>
            <w:shd w:val="clear" w:color="auto" w:fill="auto"/>
          </w:tcPr>
          <w:p w14:paraId="1A18DA82" w14:textId="77777777" w:rsidR="00885257" w:rsidRPr="00E47EC1" w:rsidRDefault="00885257" w:rsidP="00885257">
            <w:pPr>
              <w:jc w:val="center"/>
            </w:pPr>
          </w:p>
        </w:tc>
      </w:tr>
      <w:tr w:rsidR="00885257" w:rsidRPr="00E47EC1" w14:paraId="1A18DA89" w14:textId="77777777" w:rsidTr="00F920F5">
        <w:trPr>
          <w:jc w:val="center"/>
        </w:trPr>
        <w:tc>
          <w:tcPr>
            <w:tcW w:w="1636" w:type="dxa"/>
            <w:tcBorders>
              <w:top w:val="nil"/>
              <w:left w:val="nil"/>
              <w:bottom w:val="nil"/>
              <w:right w:val="nil"/>
            </w:tcBorders>
            <w:shd w:val="clear" w:color="auto" w:fill="D99594" w:themeFill="accent2" w:themeFillTint="99"/>
          </w:tcPr>
          <w:p w14:paraId="1A18DA84" w14:textId="77777777" w:rsidR="00885257" w:rsidRPr="00E47EC1" w:rsidRDefault="00885257" w:rsidP="00885257">
            <w:pPr>
              <w:jc w:val="center"/>
            </w:pPr>
          </w:p>
        </w:tc>
        <w:tc>
          <w:tcPr>
            <w:tcW w:w="3636" w:type="dxa"/>
            <w:tcBorders>
              <w:top w:val="nil"/>
              <w:left w:val="nil"/>
              <w:bottom w:val="nil"/>
              <w:right w:val="nil"/>
            </w:tcBorders>
            <w:shd w:val="clear" w:color="auto" w:fill="auto"/>
          </w:tcPr>
          <w:p w14:paraId="1A18DA85" w14:textId="77777777" w:rsidR="00885257" w:rsidRPr="00E47EC1" w:rsidRDefault="00885257" w:rsidP="00885257">
            <w:pPr>
              <w:jc w:val="center"/>
            </w:pPr>
            <w:r w:rsidRPr="00E47EC1">
              <w:t>COP-8 (2017. godina)</w:t>
            </w:r>
          </w:p>
        </w:tc>
        <w:tc>
          <w:tcPr>
            <w:tcW w:w="1136" w:type="dxa"/>
            <w:tcBorders>
              <w:top w:val="nil"/>
              <w:left w:val="nil"/>
              <w:bottom w:val="nil"/>
              <w:right w:val="nil"/>
            </w:tcBorders>
            <w:shd w:val="clear" w:color="auto" w:fill="auto"/>
          </w:tcPr>
          <w:p w14:paraId="1A18DA86" w14:textId="77777777" w:rsidR="00885257" w:rsidRPr="00E47EC1" w:rsidRDefault="00885257" w:rsidP="00885257">
            <w:pPr>
              <w:jc w:val="center"/>
            </w:pPr>
          </w:p>
        </w:tc>
        <w:tc>
          <w:tcPr>
            <w:tcW w:w="1667" w:type="dxa"/>
            <w:tcBorders>
              <w:top w:val="nil"/>
              <w:left w:val="nil"/>
              <w:bottom w:val="nil"/>
              <w:right w:val="nil"/>
            </w:tcBorders>
            <w:shd w:val="clear" w:color="auto" w:fill="auto"/>
          </w:tcPr>
          <w:p w14:paraId="1A18DA87" w14:textId="77777777" w:rsidR="00885257" w:rsidRPr="00E47EC1" w:rsidRDefault="00885257" w:rsidP="00885257">
            <w:pPr>
              <w:jc w:val="center"/>
            </w:pPr>
          </w:p>
        </w:tc>
        <w:tc>
          <w:tcPr>
            <w:tcW w:w="1666" w:type="dxa"/>
            <w:tcBorders>
              <w:top w:val="nil"/>
              <w:left w:val="nil"/>
              <w:bottom w:val="nil"/>
              <w:right w:val="nil"/>
            </w:tcBorders>
            <w:shd w:val="clear" w:color="auto" w:fill="auto"/>
          </w:tcPr>
          <w:p w14:paraId="1A18DA88" w14:textId="77777777" w:rsidR="00885257" w:rsidRPr="00E47EC1" w:rsidRDefault="00885257" w:rsidP="00885257">
            <w:pPr>
              <w:jc w:val="center"/>
            </w:pPr>
          </w:p>
        </w:tc>
      </w:tr>
      <w:tr w:rsidR="00BD3527" w:rsidRPr="00E47EC1" w14:paraId="1A18DA8F" w14:textId="77777777" w:rsidTr="00F920F5">
        <w:trPr>
          <w:jc w:val="center"/>
        </w:trPr>
        <w:tc>
          <w:tcPr>
            <w:tcW w:w="1636" w:type="dxa"/>
            <w:tcBorders>
              <w:top w:val="nil"/>
              <w:left w:val="nil"/>
              <w:bottom w:val="nil"/>
              <w:right w:val="nil"/>
            </w:tcBorders>
            <w:shd w:val="clear" w:color="auto" w:fill="548DD4" w:themeFill="text2" w:themeFillTint="99"/>
          </w:tcPr>
          <w:p w14:paraId="1A18DA8A" w14:textId="77777777" w:rsidR="00BD3527" w:rsidRPr="00E47EC1" w:rsidRDefault="00BD3527" w:rsidP="00885257">
            <w:pPr>
              <w:jc w:val="center"/>
            </w:pPr>
          </w:p>
        </w:tc>
        <w:tc>
          <w:tcPr>
            <w:tcW w:w="3636" w:type="dxa"/>
            <w:tcBorders>
              <w:top w:val="nil"/>
              <w:left w:val="nil"/>
              <w:bottom w:val="nil"/>
              <w:right w:val="nil"/>
            </w:tcBorders>
            <w:shd w:val="clear" w:color="auto" w:fill="auto"/>
          </w:tcPr>
          <w:p w14:paraId="1A18DA8B" w14:textId="77777777" w:rsidR="00BD3527" w:rsidRPr="00E47EC1" w:rsidRDefault="00BD3527" w:rsidP="00531A2C">
            <w:pPr>
              <w:jc w:val="center"/>
            </w:pPr>
            <w:r w:rsidRPr="00531A2C">
              <w:t>COP-9 (201</w:t>
            </w:r>
            <w:r w:rsidR="00531A2C" w:rsidRPr="00531A2C">
              <w:t>9</w:t>
            </w:r>
            <w:r w:rsidRPr="00531A2C">
              <w:t>. godina)</w:t>
            </w:r>
          </w:p>
        </w:tc>
        <w:tc>
          <w:tcPr>
            <w:tcW w:w="1136" w:type="dxa"/>
            <w:tcBorders>
              <w:top w:val="nil"/>
              <w:left w:val="nil"/>
              <w:bottom w:val="nil"/>
              <w:right w:val="nil"/>
            </w:tcBorders>
            <w:shd w:val="clear" w:color="auto" w:fill="auto"/>
          </w:tcPr>
          <w:p w14:paraId="1A18DA8C" w14:textId="77777777" w:rsidR="00BD3527" w:rsidRPr="00E47EC1" w:rsidRDefault="00BD3527" w:rsidP="00885257">
            <w:pPr>
              <w:jc w:val="center"/>
            </w:pPr>
          </w:p>
        </w:tc>
        <w:tc>
          <w:tcPr>
            <w:tcW w:w="1667" w:type="dxa"/>
            <w:tcBorders>
              <w:top w:val="nil"/>
              <w:left w:val="nil"/>
              <w:bottom w:val="nil"/>
              <w:right w:val="nil"/>
            </w:tcBorders>
            <w:shd w:val="clear" w:color="auto" w:fill="auto"/>
          </w:tcPr>
          <w:p w14:paraId="1A18DA8D" w14:textId="77777777" w:rsidR="00BD3527" w:rsidRPr="00E47EC1" w:rsidRDefault="00BD3527" w:rsidP="00885257">
            <w:pPr>
              <w:jc w:val="center"/>
            </w:pPr>
          </w:p>
        </w:tc>
        <w:tc>
          <w:tcPr>
            <w:tcW w:w="1666" w:type="dxa"/>
            <w:tcBorders>
              <w:top w:val="nil"/>
              <w:left w:val="nil"/>
              <w:bottom w:val="nil"/>
              <w:right w:val="nil"/>
            </w:tcBorders>
            <w:shd w:val="clear" w:color="auto" w:fill="auto"/>
          </w:tcPr>
          <w:p w14:paraId="1A18DA8E" w14:textId="77777777" w:rsidR="00BD3527" w:rsidRPr="00E47EC1" w:rsidRDefault="00BD3527" w:rsidP="00885257">
            <w:pPr>
              <w:jc w:val="center"/>
            </w:pPr>
          </w:p>
        </w:tc>
      </w:tr>
    </w:tbl>
    <w:p w14:paraId="1A18DA90" w14:textId="77777777" w:rsidR="00CA6464" w:rsidRPr="00E47EC1" w:rsidRDefault="00CA6464" w:rsidP="00A449D2"/>
    <w:p w14:paraId="1A18DA91" w14:textId="77777777" w:rsidR="001D1A7C" w:rsidRPr="00E47EC1" w:rsidRDefault="001535E7" w:rsidP="008A6693">
      <w:pPr>
        <w:spacing w:after="120"/>
      </w:pPr>
      <w:r w:rsidRPr="00E47EC1">
        <w:t>T</w:t>
      </w:r>
      <w:r w:rsidR="00BA458D" w:rsidRPr="00E47EC1">
        <w:t>emelj</w:t>
      </w:r>
      <w:r w:rsidRPr="00E47EC1">
        <w:t>em</w:t>
      </w:r>
      <w:r w:rsidR="00BA458D" w:rsidRPr="00E47EC1">
        <w:t xml:space="preserve"> članka 15. Konvencije </w:t>
      </w:r>
      <w:r w:rsidR="001D1A7C" w:rsidRPr="00E47EC1">
        <w:t>n</w:t>
      </w:r>
      <w:r w:rsidR="00BA458D" w:rsidRPr="00E47EC1">
        <w:t>adležna kontakt točka</w:t>
      </w:r>
      <w:r w:rsidR="001D1A7C" w:rsidRPr="00E47EC1">
        <w:t xml:space="preserve">; Ministarstvo zaštite okoliša i prirode u rujnu 2014. dostavilo </w:t>
      </w:r>
      <w:r w:rsidRPr="00E47EC1">
        <w:t xml:space="preserve">je </w:t>
      </w:r>
      <w:r w:rsidR="001D1A7C" w:rsidRPr="00E47EC1">
        <w:t>Tajništvu konvencije redovno treće</w:t>
      </w:r>
      <w:r w:rsidRPr="00E47EC1">
        <w:t xml:space="preserve"> elektroničko</w:t>
      </w:r>
      <w:r w:rsidR="001D1A7C" w:rsidRPr="00E47EC1">
        <w:t xml:space="preserve"> Izvješće o provedbi </w:t>
      </w:r>
      <w:r w:rsidR="00BA458D" w:rsidRPr="00E47EC1">
        <w:t>obveza propisanih Konvencijom</w:t>
      </w:r>
      <w:r w:rsidR="001D1A7C" w:rsidRPr="00E47EC1">
        <w:t>.</w:t>
      </w:r>
      <w:r w:rsidR="00E70917" w:rsidRPr="00E47EC1">
        <w:t xml:space="preserve"> </w:t>
      </w:r>
      <w:r w:rsidR="003A1C7C">
        <w:t>Č</w:t>
      </w:r>
      <w:r w:rsidR="003A1C7C" w:rsidRPr="00E47EC1">
        <w:t xml:space="preserve">etvrto </w:t>
      </w:r>
      <w:r w:rsidR="00E70917" w:rsidRPr="00E47EC1">
        <w:t>elektroničko Izvješće o provedbi obveza propisanih Konvencijom, dostavljeno je Tajništvu konvencije</w:t>
      </w:r>
      <w:r w:rsidR="003A1C7C">
        <w:t xml:space="preserve"> u listopadu</w:t>
      </w:r>
      <w:r w:rsidR="00E70917" w:rsidRPr="00E47EC1">
        <w:t xml:space="preserve"> 2018..</w:t>
      </w:r>
    </w:p>
    <w:p w14:paraId="1A18DA92" w14:textId="77777777" w:rsidR="00317EE7" w:rsidRPr="00E47EC1" w:rsidRDefault="00317EE7" w:rsidP="00D55E4A">
      <w:pPr>
        <w:spacing w:after="120"/>
      </w:pPr>
      <w:r w:rsidRPr="00E47EC1">
        <w:t xml:space="preserve">Osim što je stranka </w:t>
      </w:r>
      <w:r w:rsidR="004B44BB" w:rsidRPr="00E47EC1">
        <w:t xml:space="preserve">predmetne </w:t>
      </w:r>
      <w:r w:rsidRPr="00E47EC1">
        <w:t>Konvencije</w:t>
      </w:r>
      <w:r w:rsidR="00DA6ED9" w:rsidRPr="00E47EC1">
        <w:t>,</w:t>
      </w:r>
      <w:r w:rsidRPr="00E47EC1">
        <w:t xml:space="preserve"> Republika Hrvatska</w:t>
      </w:r>
      <w:r w:rsidR="001535E7" w:rsidRPr="00E47EC1">
        <w:t xml:space="preserve"> je</w:t>
      </w:r>
      <w:r w:rsidRPr="00E47EC1">
        <w:t xml:space="preserve"> </w:t>
      </w:r>
      <w:r w:rsidR="00A74D88">
        <w:t>od prosinca 2007</w:t>
      </w:r>
      <w:r w:rsidR="00A74D88" w:rsidRPr="00E47EC1">
        <w:t xml:space="preserve">. </w:t>
      </w:r>
      <w:r w:rsidR="00A74D88">
        <w:t xml:space="preserve">i </w:t>
      </w:r>
      <w:r w:rsidRPr="00E47EC1">
        <w:t xml:space="preserve">stranka Protokola o postojanim organskim onečišćujućim tvarima </w:t>
      </w:r>
      <w:r w:rsidR="004B44BB" w:rsidRPr="00E47EC1">
        <w:t>(</w:t>
      </w:r>
      <w:r w:rsidR="0058410C" w:rsidRPr="00E47EC1">
        <w:t xml:space="preserve">u daljnjem tekstu: </w:t>
      </w:r>
      <w:r w:rsidR="004B44BB" w:rsidRPr="00E47EC1">
        <w:t>Protokol o POPs-ovima)</w:t>
      </w:r>
      <w:r w:rsidRPr="00E47EC1">
        <w:t xml:space="preserve"> </w:t>
      </w:r>
      <w:r w:rsidR="004B44BB" w:rsidRPr="00E47EC1">
        <w:t xml:space="preserve">uz </w:t>
      </w:r>
      <w:r w:rsidR="00A456A2" w:rsidRPr="00E47EC1">
        <w:t>Konvenciju o dalekosežnom prekograničnom onečišćenju zraka iz 1979. godine (</w:t>
      </w:r>
      <w:r w:rsidR="004B44BB" w:rsidRPr="00E47EC1">
        <w:t>LRTAP Konvencij</w:t>
      </w:r>
      <w:r w:rsidR="00A456A2" w:rsidRPr="00E47EC1">
        <w:t>a)</w:t>
      </w:r>
      <w:r w:rsidR="00A0617B">
        <w:t>.</w:t>
      </w:r>
      <w:r w:rsidR="00A456A2" w:rsidRPr="00E47EC1">
        <w:t xml:space="preserve"> </w:t>
      </w:r>
      <w:r w:rsidR="000F3A0D" w:rsidRPr="00E47EC1">
        <w:t>Jedan od osnovnih c</w:t>
      </w:r>
      <w:r w:rsidRPr="00E47EC1">
        <w:t>ilj</w:t>
      </w:r>
      <w:r w:rsidR="000F3A0D" w:rsidRPr="00E47EC1">
        <w:t>eva</w:t>
      </w:r>
      <w:r w:rsidRPr="00E47EC1">
        <w:t xml:space="preserve"> Protokola </w:t>
      </w:r>
      <w:r w:rsidR="004B44BB" w:rsidRPr="00E47EC1">
        <w:t xml:space="preserve">o POPs-ovima </w:t>
      </w:r>
      <w:r w:rsidR="00A456A2" w:rsidRPr="00E47EC1">
        <w:t>je nadzor te</w:t>
      </w:r>
      <w:r w:rsidRPr="00E47EC1">
        <w:t xml:space="preserve"> smanj</w:t>
      </w:r>
      <w:r w:rsidR="000F3A0D" w:rsidRPr="00E47EC1">
        <w:t xml:space="preserve">ivanje </w:t>
      </w:r>
      <w:r w:rsidRPr="00E47EC1">
        <w:t xml:space="preserve">ukupnih godišnjih emisija </w:t>
      </w:r>
      <w:r w:rsidR="004B44BB" w:rsidRPr="00E47EC1">
        <w:t xml:space="preserve">POPs-ova </w:t>
      </w:r>
      <w:r w:rsidR="000F3A0D" w:rsidRPr="00E47EC1">
        <w:t xml:space="preserve">u odnosu na </w:t>
      </w:r>
      <w:r w:rsidRPr="00E47EC1">
        <w:t>razine emisij</w:t>
      </w:r>
      <w:r w:rsidR="000F3A0D" w:rsidRPr="00E47EC1">
        <w:t>a</w:t>
      </w:r>
      <w:r w:rsidRPr="00E47EC1">
        <w:t xml:space="preserve"> u početnoj godini primjenjivanja obveze</w:t>
      </w:r>
      <w:r w:rsidR="00A74D88">
        <w:t xml:space="preserve"> (2005.)</w:t>
      </w:r>
      <w:r w:rsidRPr="00E47EC1">
        <w:t>, primjenjujući najbolje raspoložive tehnike za smanjivanje emisija iz postrojenja i postižući propisane granične vrijednosti emisije.</w:t>
      </w:r>
    </w:p>
    <w:p w14:paraId="1A18DA93" w14:textId="77777777" w:rsidR="00103E98" w:rsidRPr="006304D3" w:rsidRDefault="00103E98" w:rsidP="00103E98">
      <w:pPr>
        <w:spacing w:before="80" w:line="276" w:lineRule="auto"/>
      </w:pPr>
      <w:r w:rsidRPr="006304D3">
        <w:t xml:space="preserve">Na razini Europske unije temeljni provedbeni propis za Konvenciju i Protokol o POPs-ovima bila je Uredba (EZ) br. 850/2004 Europskog parlamenta i Vijeća od 29. travnja 2004. o postojanim organskim onečišćujućim tvarima </w:t>
      </w:r>
      <w:bookmarkStart w:id="3" w:name="_Hlk43210223"/>
      <w:r w:rsidRPr="006304D3">
        <w:t xml:space="preserve">i izmjeni Direktive 79/117/EEZ (SL L 158, 30. 4. 2004.) </w:t>
      </w:r>
      <w:bookmarkEnd w:id="3"/>
      <w:r w:rsidRPr="006304D3">
        <w:t>koja je direktno primjenjiva u svim državama članicama Europske unije. Navedena Uredba na snazi je bila do srpnja 2019..</w:t>
      </w:r>
    </w:p>
    <w:p w14:paraId="1A18DA94" w14:textId="77777777" w:rsidR="00103E98" w:rsidRPr="006304D3" w:rsidRDefault="00103E98" w:rsidP="00103E98">
      <w:pPr>
        <w:spacing w:before="80" w:line="276" w:lineRule="auto"/>
        <w:rPr>
          <w:color w:val="000000"/>
        </w:rPr>
      </w:pPr>
      <w:r w:rsidRPr="006304D3">
        <w:rPr>
          <w:color w:val="000000"/>
        </w:rPr>
        <w:t>Direktna provedba Uredbe (EZ) br. 850/2004 Europskog parlamenta i Vijeća od 29. travnja 2004. o postojanim organskim onečišćujućim tvarima i izmjeni Direktive 79/117/EEZ (SL L 158, 30. 4. 2004.) te izmjene i dopune Uredbe</w:t>
      </w:r>
      <w:r w:rsidRPr="006304D3">
        <w:rPr>
          <w:color w:val="000000"/>
          <w:vertAlign w:val="superscript"/>
        </w:rPr>
        <w:footnoteReference w:id="3"/>
      </w:r>
      <w:r w:rsidRPr="006304D3">
        <w:rPr>
          <w:color w:val="000000"/>
        </w:rPr>
        <w:t xml:space="preserve">, u Republici Hrvatskoj omogućena je donošenjem Zakona o provedbi Uredbe (EZ) broj 850/2004 o postojanim organskim onečišćujućim tvarima („Narodne novine“, br. 148/13 i 52/19). </w:t>
      </w:r>
    </w:p>
    <w:p w14:paraId="1A18DA95" w14:textId="77777777" w:rsidR="00103E98" w:rsidRPr="006304D3" w:rsidRDefault="00103E98" w:rsidP="00103E98">
      <w:pPr>
        <w:spacing w:before="80" w:line="276" w:lineRule="auto"/>
      </w:pPr>
      <w:r w:rsidRPr="006304D3">
        <w:t>Od srpnja 2019. na je snazi Uredba (EU) 2019/1021 Europskog parlamenta i Vijeća</w:t>
      </w:r>
      <w:r w:rsidRPr="006304D3">
        <w:rPr>
          <w:shd w:val="clear" w:color="auto" w:fill="FFFFFF"/>
        </w:rPr>
        <w:t xml:space="preserve"> od 20. lipnja 2019. o postojanim organskim onečišćujućim tvarima (SL L 169, 25. 6. 2019.) </w:t>
      </w:r>
      <w:r w:rsidRPr="006304D3">
        <w:t xml:space="preserve">(u daljnjem tekstu: </w:t>
      </w:r>
      <w:r w:rsidRPr="006304D3">
        <w:lastRenderedPageBreak/>
        <w:t>POPs Uredba). Direktna provedba POPs Uredbe u Republici Hrvatskoj omogućena je donošenjem Zakona o provedbi Uredbe (EU) 2019/1021 o postojanim organskim onečišćujućim tvarima („Narodne novine“, broj 54/20) (u daljnjem tekstu: Zakon o provedbi POPs Uredbe).</w:t>
      </w:r>
    </w:p>
    <w:p w14:paraId="1A18DA96" w14:textId="77777777" w:rsidR="00103E98" w:rsidRPr="006304D3" w:rsidRDefault="00103E98" w:rsidP="00103E98">
      <w:pPr>
        <w:spacing w:before="80" w:line="276" w:lineRule="auto"/>
        <w:rPr>
          <w:lang w:bidi="hr-HR"/>
        </w:rPr>
      </w:pPr>
      <w:r w:rsidRPr="006304D3">
        <w:rPr>
          <w:lang w:bidi="hr-HR"/>
        </w:rPr>
        <w:t xml:space="preserve">Preinakom Uredbe uvode se samo tehničke izmjene s ciljem otklanjanja postojećih nejasnoća i provedivosti operativnih odredaba. Naime, mijenjaju se definicije „stavljanje na tržište“, „proizvoda“, „tvari“, „otpada“, „odlaganja“ i „oporabe“. Termin „pripravak“ zamijenjen je terminom „smjesa“ sukladno terminologiji prema općem zakonodavstvu vezano uz kemikalije, stoga se dodaju i nove definicije „proizvodnje“, „uporabe“ i „intermedijera u zatvorenom, prostorno ograničenom sustavu“. </w:t>
      </w:r>
    </w:p>
    <w:p w14:paraId="1A18DA97" w14:textId="77777777" w:rsidR="00103E98" w:rsidRPr="006304D3" w:rsidRDefault="00103E98" w:rsidP="00103E98">
      <w:pPr>
        <w:spacing w:before="80" w:line="276" w:lineRule="auto"/>
        <w:rPr>
          <w:lang w:bidi="hr-HR"/>
        </w:rPr>
      </w:pPr>
      <w:r w:rsidRPr="006304D3">
        <w:rPr>
          <w:lang w:bidi="hr-HR"/>
        </w:rPr>
        <w:t xml:space="preserve">Uvodi se Europska agencija za kemikalije (ECHA), u samu provedbu </w:t>
      </w:r>
      <w:r w:rsidRPr="006304D3">
        <w:t>POPs Uredbe</w:t>
      </w:r>
      <w:r w:rsidRPr="006304D3">
        <w:rPr>
          <w:lang w:bidi="hr-HR"/>
        </w:rPr>
        <w:t xml:space="preserve"> te se neke zadaće s Europske komisije prenose </w:t>
      </w:r>
      <w:r w:rsidR="00A14420">
        <w:rPr>
          <w:lang w:bidi="hr-HR"/>
        </w:rPr>
        <w:t xml:space="preserve">na </w:t>
      </w:r>
      <w:r w:rsidRPr="006304D3">
        <w:rPr>
          <w:lang w:bidi="hr-HR"/>
        </w:rPr>
        <w:t>ECHA-i zbog njezinog stručnog znanja i iskustva u provedbi općeg zakonodavstva o kemikalijama i međunarodnim sporazumima o kemikalijama. Uvodi se uloga Foruma za razmjenu informacija o provedbi, uspostavljenog Uredbom (EZ) br. 1907/2006 Europskog parlamenta i Vijeća / REACH Uredba i Uredbom (EU) 649/2012. Preinakom Uredbe ažurirane su ovlasti Europske komisije te su prilagođene odredbe o izvješćivanju i praćenju.</w:t>
      </w:r>
    </w:p>
    <w:p w14:paraId="1A18DA98" w14:textId="77777777" w:rsidR="00103E98" w:rsidRPr="006304D3" w:rsidRDefault="00103E98" w:rsidP="00103E98">
      <w:pPr>
        <w:spacing w:before="80" w:line="276" w:lineRule="auto"/>
      </w:pPr>
      <w:r w:rsidRPr="006304D3">
        <w:t xml:space="preserve">POPs Uredba sadrži i odredbe koje zahtijevaju uspostavu: proračuna emisija/inventara za nenamjerno proizvedene POPs-ove, izradu nacionalnih provedbenih planova i planova Europske unije i mehanizama za provedbu planova, praćenje i razmjenu informacija o POPs-ovima. U određenoj mjeri POPs Uredba ide korak dalje od samog međunarodnog ugovora u smislu ambicioznosti. </w:t>
      </w:r>
    </w:p>
    <w:p w14:paraId="1A18DA99" w14:textId="77777777" w:rsidR="00103E98" w:rsidRPr="006304D3" w:rsidRDefault="00103E98" w:rsidP="00103E98">
      <w:pPr>
        <w:spacing w:before="80" w:line="276" w:lineRule="auto"/>
      </w:pPr>
      <w:r w:rsidRPr="006304D3">
        <w:t xml:space="preserve">Ocjenjivanjem pravnog okvira za područje kemikalija na razini </w:t>
      </w:r>
      <w:r w:rsidRPr="006304D3">
        <w:rPr>
          <w:color w:val="000000"/>
          <w:lang w:bidi="en-US"/>
        </w:rPr>
        <w:t>Europske unije</w:t>
      </w:r>
      <w:r w:rsidRPr="006304D3">
        <w:t>, utvrđen je niz problema vezanih uz provedbu zakonodavstva Europske unije, što je dovelo do razlika u zakonima i drugim propisima država članica koje izravno utječu na funkcioniranje unutarnjega tržišta te je prepoznata potreba da se poduzmu dodatni napori u cilju:</w:t>
      </w:r>
    </w:p>
    <w:p w14:paraId="1A18DA9A" w14:textId="77777777" w:rsidR="00103E98" w:rsidRPr="006304D3" w:rsidRDefault="00103E98" w:rsidP="00103E98">
      <w:pPr>
        <w:numPr>
          <w:ilvl w:val="0"/>
          <w:numId w:val="43"/>
        </w:numPr>
        <w:tabs>
          <w:tab w:val="left" w:pos="1755"/>
        </w:tabs>
        <w:autoSpaceDE w:val="0"/>
        <w:autoSpaceDN w:val="0"/>
        <w:adjustRightInd w:val="0"/>
        <w:spacing w:before="80" w:line="240" w:lineRule="auto"/>
        <w:rPr>
          <w:rFonts w:eastAsia="Calibri"/>
        </w:rPr>
      </w:pPr>
      <w:r w:rsidRPr="006304D3">
        <w:rPr>
          <w:rFonts w:eastAsia="Calibri"/>
        </w:rPr>
        <w:t>zaštite ljudskog zdravlja i okoliša</w:t>
      </w:r>
    </w:p>
    <w:p w14:paraId="1A18DA9B" w14:textId="77777777" w:rsidR="00103E98" w:rsidRPr="006304D3" w:rsidRDefault="00103E98" w:rsidP="00103E98">
      <w:pPr>
        <w:numPr>
          <w:ilvl w:val="0"/>
          <w:numId w:val="43"/>
        </w:numPr>
        <w:tabs>
          <w:tab w:val="left" w:pos="1755"/>
        </w:tabs>
        <w:autoSpaceDE w:val="0"/>
        <w:autoSpaceDN w:val="0"/>
        <w:adjustRightInd w:val="0"/>
        <w:spacing w:before="80" w:line="240" w:lineRule="auto"/>
        <w:rPr>
          <w:rFonts w:eastAsia="Calibri"/>
        </w:rPr>
      </w:pPr>
      <w:r w:rsidRPr="006304D3">
        <w:rPr>
          <w:rFonts w:eastAsia="Calibri"/>
        </w:rPr>
        <w:t>osiguranja svih preduvjeta za ostvarivanja potpune i učinkovite kemijske sigurnosti na razini cijele Europske unije</w:t>
      </w:r>
    </w:p>
    <w:p w14:paraId="1A18DA9C" w14:textId="77777777" w:rsidR="00103E98" w:rsidRPr="006304D3" w:rsidRDefault="00103E98" w:rsidP="00103E98">
      <w:pPr>
        <w:numPr>
          <w:ilvl w:val="0"/>
          <w:numId w:val="43"/>
        </w:numPr>
        <w:tabs>
          <w:tab w:val="left" w:pos="1755"/>
        </w:tabs>
        <w:autoSpaceDE w:val="0"/>
        <w:autoSpaceDN w:val="0"/>
        <w:adjustRightInd w:val="0"/>
        <w:spacing w:before="80" w:line="240" w:lineRule="auto"/>
        <w:rPr>
          <w:rFonts w:eastAsia="Calibri"/>
        </w:rPr>
      </w:pPr>
      <w:r w:rsidRPr="006304D3">
        <w:rPr>
          <w:rFonts w:eastAsia="Calibri"/>
        </w:rPr>
        <w:t>slobode kretanja tvari pojedinačno, u smjesama i proizvodima</w:t>
      </w:r>
    </w:p>
    <w:p w14:paraId="1A18DA9D" w14:textId="77777777" w:rsidR="00103E98" w:rsidRPr="006304D3" w:rsidRDefault="00103E98" w:rsidP="00103E98">
      <w:pPr>
        <w:numPr>
          <w:ilvl w:val="0"/>
          <w:numId w:val="43"/>
        </w:numPr>
        <w:tabs>
          <w:tab w:val="left" w:pos="1755"/>
        </w:tabs>
        <w:autoSpaceDE w:val="0"/>
        <w:autoSpaceDN w:val="0"/>
        <w:adjustRightInd w:val="0"/>
        <w:spacing w:before="80" w:line="240" w:lineRule="auto"/>
        <w:rPr>
          <w:rFonts w:eastAsia="Calibri"/>
        </w:rPr>
      </w:pPr>
      <w:r w:rsidRPr="006304D3">
        <w:rPr>
          <w:rFonts w:eastAsia="Calibri"/>
        </w:rPr>
        <w:t>povećavanja konkurentnosti i inovativnosti i</w:t>
      </w:r>
    </w:p>
    <w:p w14:paraId="1A18DA9E" w14:textId="77777777" w:rsidR="00103E98" w:rsidRPr="006304D3" w:rsidRDefault="00103E98" w:rsidP="00103E98">
      <w:pPr>
        <w:numPr>
          <w:ilvl w:val="0"/>
          <w:numId w:val="43"/>
        </w:numPr>
        <w:tabs>
          <w:tab w:val="left" w:pos="1755"/>
        </w:tabs>
        <w:autoSpaceDE w:val="0"/>
        <w:autoSpaceDN w:val="0"/>
        <w:adjustRightInd w:val="0"/>
        <w:spacing w:before="80" w:line="240" w:lineRule="auto"/>
        <w:rPr>
          <w:rFonts w:eastAsia="Calibri"/>
        </w:rPr>
      </w:pPr>
      <w:r w:rsidRPr="006304D3">
        <w:rPr>
          <w:rFonts w:eastAsia="Calibri"/>
        </w:rPr>
        <w:t>poticanja razvoja alternativnih metoda ocjenjivanja opasnosti tvari.</w:t>
      </w:r>
    </w:p>
    <w:p w14:paraId="1A18DA9F" w14:textId="77777777" w:rsidR="00103E98" w:rsidRPr="006304D3" w:rsidRDefault="00103E98" w:rsidP="00103E98">
      <w:pPr>
        <w:spacing w:before="80" w:line="276" w:lineRule="auto"/>
      </w:pPr>
      <w:r w:rsidRPr="006304D3">
        <w:t xml:space="preserve">Na temelju navedenog, zakonodavstvo </w:t>
      </w:r>
      <w:r w:rsidRPr="006304D3">
        <w:rPr>
          <w:color w:val="000000"/>
          <w:lang w:bidi="en-US"/>
        </w:rPr>
        <w:t>Europske unije</w:t>
      </w:r>
      <w:r w:rsidRPr="006304D3">
        <w:t xml:space="preserve"> kontinuirano se nadopunjuje i ažurira u skladu s novim saznanjima i aktualnim potrebama, dok se POPs Uredba redovno usklađuje i s ostalim zakonodavstvom Europske unije prije svega misli se na Uredbu (EZ) br. 1907/2006 Europskog parlamenta i Vijeća od 18. prosinca 2006. 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 (SL L 396, 30.12.2006) (u daljnjem tekstu REACH Uredba), a koja je prenesena u nacionalno zakonodavstvo putem Zakona o provedbi Uredbe (EZ) broj 1907/2006 Europskog parlamenta i Vijeća EZ o registraciji, evaluaciji, autorizaciji i ograničavanju kemikalija („Narodne novine“, br. 53/08, 18/13 i 115/18).</w:t>
      </w:r>
    </w:p>
    <w:p w14:paraId="1A18DAA0" w14:textId="77777777" w:rsidR="00103E98" w:rsidRPr="006304D3" w:rsidRDefault="00A32A0A" w:rsidP="00103E98">
      <w:pPr>
        <w:spacing w:before="80" w:line="276" w:lineRule="auto"/>
      </w:pPr>
      <w:r w:rsidRPr="00A32A0A">
        <w:t>Trenutno važeća POPs Uredba obuhvaća</w:t>
      </w:r>
      <w:r>
        <w:t xml:space="preserve"> sedam priloga</w:t>
      </w:r>
      <w:r w:rsidR="00EF1CB9">
        <w:t xml:space="preserve"> </w:t>
      </w:r>
      <w:r>
        <w:t>od toga njih pet</w:t>
      </w:r>
      <w:r w:rsidRPr="00A32A0A">
        <w:t xml:space="preserve"> se</w:t>
      </w:r>
      <w:r w:rsidR="00EF1CB9">
        <w:t xml:space="preserve"> </w:t>
      </w:r>
      <w:r w:rsidRPr="00A32A0A">
        <w:t>odnos</w:t>
      </w:r>
      <w:r w:rsidR="00A14420">
        <w:t>i</w:t>
      </w:r>
      <w:r w:rsidRPr="00A32A0A">
        <w:t xml:space="preserve"> na same tvari</w:t>
      </w:r>
      <w:r w:rsidR="00103E98" w:rsidRPr="006304D3">
        <w:t>:</w:t>
      </w:r>
    </w:p>
    <w:p w14:paraId="1A18DAA1" w14:textId="77777777" w:rsidR="00103E98" w:rsidRPr="006304D3" w:rsidRDefault="00103E98" w:rsidP="00103E98">
      <w:pPr>
        <w:pStyle w:val="Odlomakpopisa"/>
        <w:numPr>
          <w:ilvl w:val="0"/>
          <w:numId w:val="44"/>
        </w:numPr>
        <w:spacing w:before="80" w:after="160" w:line="276" w:lineRule="auto"/>
      </w:pPr>
      <w:r w:rsidRPr="006304D3">
        <w:t xml:space="preserve">Prilog I. – popis tvari koje podliježu zabranama – predstavlja popis kemikalija/POPs-ova koje su uključene u dodatke Konvencije i Protokola o POPs-ovima uz LRTAP Konvenciju, odredbe koje se odnose na zabranu proizvodnje, stavljanje na tržište (Dio A. – Tvari navedene </w:t>
      </w:r>
      <w:r w:rsidRPr="006304D3">
        <w:lastRenderedPageBreak/>
        <w:t>u Konvenciji i u Protokolu kao i tvari navedene samo u Konvenciji i Dio B. – Tvari navedene samo u Protokolu)</w:t>
      </w:r>
    </w:p>
    <w:p w14:paraId="1A18DAA2" w14:textId="77777777" w:rsidR="00103E98" w:rsidRPr="006304D3" w:rsidRDefault="00103E98" w:rsidP="00103E98">
      <w:pPr>
        <w:pStyle w:val="Odlomakpopisa"/>
        <w:numPr>
          <w:ilvl w:val="0"/>
          <w:numId w:val="44"/>
        </w:numPr>
        <w:spacing w:before="80" w:after="160" w:line="276" w:lineRule="auto"/>
      </w:pPr>
      <w:r w:rsidRPr="006304D3">
        <w:t>Prilog II. – popis tvari koje podliježu ograničenjima</w:t>
      </w:r>
    </w:p>
    <w:p w14:paraId="1A18DAA3" w14:textId="77777777" w:rsidR="00103E98" w:rsidRPr="006304D3" w:rsidRDefault="00103E98" w:rsidP="00103E98">
      <w:pPr>
        <w:pStyle w:val="Odlomakpopisa"/>
        <w:numPr>
          <w:ilvl w:val="0"/>
          <w:numId w:val="44"/>
        </w:numPr>
        <w:spacing w:before="80" w:after="160" w:line="276" w:lineRule="auto"/>
      </w:pPr>
      <w:r w:rsidRPr="006304D3">
        <w:t>Prilog III. – popis tvari koje podliježu odredbama o ograničenju ispuštanja u okoliš (nenamjerna proizvodnja)</w:t>
      </w:r>
    </w:p>
    <w:p w14:paraId="1A18DAA4" w14:textId="77777777" w:rsidR="00103E98" w:rsidRPr="006304D3" w:rsidRDefault="00103E98" w:rsidP="00103E98">
      <w:pPr>
        <w:pStyle w:val="Odlomakpopisa"/>
        <w:numPr>
          <w:ilvl w:val="0"/>
          <w:numId w:val="44"/>
        </w:numPr>
        <w:spacing w:before="80" w:after="160" w:line="276" w:lineRule="auto"/>
      </w:pPr>
      <w:r w:rsidRPr="006304D3">
        <w:t>Prilog IV. – gospodarenje otpadom – propisane granične vrijednosti koncentracije sadržaja u otpadu</w:t>
      </w:r>
    </w:p>
    <w:p w14:paraId="1A18DAA5" w14:textId="77777777" w:rsidR="00103E98" w:rsidRPr="006304D3" w:rsidRDefault="00103E98" w:rsidP="00103E98">
      <w:pPr>
        <w:pStyle w:val="Odlomakpopisa"/>
        <w:numPr>
          <w:ilvl w:val="0"/>
          <w:numId w:val="44"/>
        </w:numPr>
        <w:spacing w:before="80" w:after="160" w:line="276" w:lineRule="auto"/>
        <w:rPr>
          <w:color w:val="000000"/>
        </w:rPr>
      </w:pPr>
      <w:r w:rsidRPr="006304D3">
        <w:t xml:space="preserve">Prilog V. – gospodarenje otpadom – </w:t>
      </w:r>
      <w:r w:rsidRPr="006304D3">
        <w:rPr>
          <w:color w:val="000000"/>
        </w:rPr>
        <w:t>Zbrinjavanje i oporaba u skladu s Člankom 7. stavkom 2. (Dio 1.) i vrste otpada i postupci na koje se primjenjuje Članak 7. stavak 4. točka (b) (Dio 2.)</w:t>
      </w:r>
    </w:p>
    <w:p w14:paraId="1A18DAA6" w14:textId="77777777" w:rsidR="00103E98" w:rsidRPr="006304D3" w:rsidRDefault="00103E98" w:rsidP="00103E98">
      <w:pPr>
        <w:pStyle w:val="Odlomakpopisa"/>
        <w:numPr>
          <w:ilvl w:val="0"/>
          <w:numId w:val="44"/>
        </w:numPr>
        <w:spacing w:before="80" w:after="160" w:line="276" w:lineRule="auto"/>
      </w:pPr>
      <w:r w:rsidRPr="006304D3">
        <w:t xml:space="preserve">Prilog VI. – Uredba stavljena izvan snage i popis njezinih naknadnih izmjena </w:t>
      </w:r>
    </w:p>
    <w:p w14:paraId="1A18DAA7" w14:textId="77777777" w:rsidR="00103E98" w:rsidRPr="006304D3" w:rsidRDefault="00103E98" w:rsidP="00103E98">
      <w:pPr>
        <w:pStyle w:val="Odlomakpopisa"/>
        <w:numPr>
          <w:ilvl w:val="0"/>
          <w:numId w:val="44"/>
        </w:numPr>
        <w:spacing w:before="80" w:after="160" w:line="276" w:lineRule="auto"/>
        <w:rPr>
          <w:color w:val="000000"/>
        </w:rPr>
      </w:pPr>
      <w:r w:rsidRPr="006304D3">
        <w:t>Prilog VII. – korelacijska tablica.</w:t>
      </w:r>
    </w:p>
    <w:p w14:paraId="1A18DAA8" w14:textId="77777777" w:rsidR="002952C0" w:rsidRDefault="00103E98" w:rsidP="00103E98">
      <w:r w:rsidRPr="006304D3">
        <w:t>Zakonom o provedbi POPs Uredbe omoguć</w:t>
      </w:r>
      <w:r w:rsidR="00A14420">
        <w:t>ena je</w:t>
      </w:r>
      <w:r w:rsidRPr="006304D3">
        <w:t xml:space="preserve"> izravna provedba POPs Uredbe kojom se zabranjuje/ograničava proizvodnja, uporaba i stavljanje na tržište POPs-ova navedenih u dodacima Konvencije i Protokola o POPs-ovima, a sadrži odredbe o zalihama i gospodarenju otpadom. Za provedbu POPs Uredbe u Republici Hrvatskoj određena su tijela državne uprave nadležna za zdravstvo, poljoprivredu, gospodarstvo, zaštitu okoliša, vodno gospodarstvo, šumarstvo, veterinarstvo te inspekcijski nadzor</w:t>
      </w:r>
      <w:r w:rsidR="00A14420">
        <w:t>.</w:t>
      </w:r>
    </w:p>
    <w:p w14:paraId="19C5407A" w14:textId="77777777" w:rsidR="00DE6D79" w:rsidRPr="00E47EC1" w:rsidRDefault="00DE6D79" w:rsidP="00103E98">
      <w:pPr>
        <w:rPr>
          <w:b/>
        </w:rPr>
      </w:pPr>
    </w:p>
    <w:p w14:paraId="1A18DAA9" w14:textId="77777777" w:rsidR="00317EE7" w:rsidRPr="00E47EC1" w:rsidRDefault="00D663A8" w:rsidP="00D55E4A">
      <w:pPr>
        <w:pStyle w:val="Naslov1"/>
        <w:numPr>
          <w:ilvl w:val="0"/>
          <w:numId w:val="8"/>
        </w:numPr>
        <w:ind w:left="709" w:hanging="349"/>
        <w:jc w:val="center"/>
        <w:rPr>
          <w:rFonts w:ascii="Times New Roman" w:hAnsi="Times New Roman" w:cs="Times New Roman"/>
          <w:b w:val="0"/>
          <w:sz w:val="28"/>
          <w:szCs w:val="28"/>
        </w:rPr>
      </w:pPr>
      <w:bookmarkStart w:id="4" w:name="_Toc100840604"/>
      <w:r w:rsidRPr="00E47EC1">
        <w:rPr>
          <w:rFonts w:ascii="Times New Roman" w:hAnsi="Times New Roman" w:cs="Times New Roman"/>
          <w:b w:val="0"/>
          <w:sz w:val="28"/>
          <w:szCs w:val="28"/>
        </w:rPr>
        <w:t xml:space="preserve">PROVEDBA </w:t>
      </w:r>
      <w:r w:rsidR="00317EE7" w:rsidRPr="00E47EC1">
        <w:rPr>
          <w:rFonts w:ascii="Times New Roman" w:hAnsi="Times New Roman" w:cs="Times New Roman"/>
          <w:b w:val="0"/>
          <w:sz w:val="28"/>
          <w:szCs w:val="28"/>
        </w:rPr>
        <w:t>NIP-a</w:t>
      </w:r>
      <w:r w:rsidRPr="00E47EC1">
        <w:rPr>
          <w:rFonts w:ascii="Times New Roman" w:hAnsi="Times New Roman" w:cs="Times New Roman"/>
          <w:b w:val="0"/>
          <w:sz w:val="28"/>
          <w:szCs w:val="28"/>
        </w:rPr>
        <w:t>, ODNOSNO KONVENCIJE</w:t>
      </w:r>
      <w:bookmarkEnd w:id="4"/>
    </w:p>
    <w:p w14:paraId="1A18DAAA" w14:textId="77777777" w:rsidR="00D55E4A" w:rsidRPr="00E47EC1" w:rsidRDefault="00D55E4A" w:rsidP="00D55E4A"/>
    <w:p w14:paraId="1A18DAAB" w14:textId="77777777" w:rsidR="00317EE7" w:rsidRPr="00E47EC1" w:rsidRDefault="00D55E4A" w:rsidP="002664D6">
      <w:pPr>
        <w:pStyle w:val="Naslov2"/>
        <w:numPr>
          <w:ilvl w:val="1"/>
          <w:numId w:val="8"/>
        </w:numPr>
        <w:rPr>
          <w:b w:val="0"/>
        </w:rPr>
      </w:pPr>
      <w:r w:rsidRPr="00E47EC1">
        <w:rPr>
          <w:b w:val="0"/>
        </w:rPr>
        <w:t xml:space="preserve"> </w:t>
      </w:r>
      <w:bookmarkStart w:id="5" w:name="_Toc100840605"/>
      <w:r w:rsidRPr="00E47EC1">
        <w:rPr>
          <w:b w:val="0"/>
        </w:rPr>
        <w:t xml:space="preserve">POPIS ZAKONSKIH PROPISA KOJI PROPISUJU GOSPODARENJE I PRAĆENJE (MONITORING) POPS-OVA KOJI SU BILI NA SNAZI U RAZDOBLJU </w:t>
      </w:r>
      <w:r w:rsidR="00EF1CB9">
        <w:rPr>
          <w:b w:val="0"/>
        </w:rPr>
        <w:t xml:space="preserve">SIJEČNJA </w:t>
      </w:r>
      <w:r w:rsidR="00ED3ED3" w:rsidRPr="00E47EC1">
        <w:rPr>
          <w:b w:val="0"/>
        </w:rPr>
        <w:t>20</w:t>
      </w:r>
      <w:r w:rsidR="00A14420">
        <w:rPr>
          <w:b w:val="0"/>
        </w:rPr>
        <w:t>20</w:t>
      </w:r>
      <w:r w:rsidRPr="00E47EC1">
        <w:rPr>
          <w:b w:val="0"/>
        </w:rPr>
        <w:t xml:space="preserve">. – </w:t>
      </w:r>
      <w:r w:rsidR="00EF1CB9">
        <w:rPr>
          <w:b w:val="0"/>
        </w:rPr>
        <w:t xml:space="preserve">PROSINCA </w:t>
      </w:r>
      <w:r w:rsidR="00ED3ED3" w:rsidRPr="00E47EC1">
        <w:rPr>
          <w:b w:val="0"/>
        </w:rPr>
        <w:t>20</w:t>
      </w:r>
      <w:r w:rsidR="00A14420">
        <w:rPr>
          <w:b w:val="0"/>
        </w:rPr>
        <w:t>21</w:t>
      </w:r>
      <w:r w:rsidRPr="00E47EC1">
        <w:rPr>
          <w:b w:val="0"/>
        </w:rPr>
        <w:t>. GODINE</w:t>
      </w:r>
      <w:bookmarkEnd w:id="5"/>
    </w:p>
    <w:p w14:paraId="1A18DAAC" w14:textId="77777777" w:rsidR="00C1571B" w:rsidRPr="00E47EC1" w:rsidRDefault="00C1571B" w:rsidP="00C157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17EE7" w:rsidRPr="00E47EC1" w14:paraId="1A18DAAE"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AAD" w14:textId="77777777" w:rsidR="00317EE7" w:rsidRPr="00E47EC1" w:rsidRDefault="00317EE7" w:rsidP="00317EE7">
            <w:pPr>
              <w:spacing w:after="120"/>
              <w:jc w:val="center"/>
              <w:rPr>
                <w:b/>
                <w:bCs/>
              </w:rPr>
            </w:pPr>
            <w:r w:rsidRPr="00E47EC1">
              <w:rPr>
                <w:b/>
                <w:bCs/>
              </w:rPr>
              <w:t>BILJNO ZDRAVSTVO – SREDSTVA ZA ZAŠTITU BILJA I OSTATCI PESTICIDA</w:t>
            </w:r>
          </w:p>
        </w:tc>
      </w:tr>
      <w:tr w:rsidR="00317EE7" w:rsidRPr="00E47EC1" w14:paraId="1A18DAB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AF" w14:textId="17E663E6" w:rsidR="00317EE7" w:rsidRPr="00E47EC1" w:rsidRDefault="00317EE7" w:rsidP="00E90D36">
            <w:pPr>
              <w:spacing w:after="120"/>
            </w:pPr>
            <w:r w:rsidRPr="00E47EC1">
              <w:t>Zakon o provedbi Uredbe (EZ) br. 1107/</w:t>
            </w:r>
            <w:r w:rsidR="00F25428" w:rsidRPr="00E47EC1">
              <w:t>20</w:t>
            </w:r>
            <w:r w:rsidRPr="00E47EC1">
              <w:t>09 o stavljanju na tržište sredstava za zaštitu bilja (Narodne novine, br</w:t>
            </w:r>
            <w:r w:rsidR="00F25428" w:rsidRPr="00E47EC1">
              <w:t>.</w:t>
            </w:r>
            <w:r w:rsidRPr="00E47EC1">
              <w:t>80/13</w:t>
            </w:r>
            <w:r w:rsidR="003F2F75">
              <w:t xml:space="preserve">, </w:t>
            </w:r>
            <w:r w:rsidR="00F25428" w:rsidRPr="00E47EC1">
              <w:t>32/19</w:t>
            </w:r>
            <w:r w:rsidR="003F2F75">
              <w:t xml:space="preserve"> i </w:t>
            </w:r>
            <w:r w:rsidR="003F2F75" w:rsidRPr="001B4447">
              <w:t>32/20</w:t>
            </w:r>
            <w:r w:rsidRPr="00E47EC1">
              <w:t>)</w:t>
            </w:r>
          </w:p>
        </w:tc>
      </w:tr>
      <w:tr w:rsidR="00317EE7" w:rsidRPr="00E47EC1" w14:paraId="1A18DAB2" w14:textId="77777777" w:rsidTr="00B738C2">
        <w:trPr>
          <w:trHeight w:val="444"/>
        </w:trPr>
        <w:tc>
          <w:tcPr>
            <w:tcW w:w="9520" w:type="dxa"/>
            <w:tcBorders>
              <w:top w:val="single" w:sz="4" w:space="0" w:color="auto"/>
              <w:left w:val="single" w:sz="4" w:space="0" w:color="auto"/>
              <w:bottom w:val="single" w:sz="4" w:space="0" w:color="auto"/>
              <w:right w:val="single" w:sz="4" w:space="0" w:color="auto"/>
            </w:tcBorders>
            <w:vAlign w:val="center"/>
          </w:tcPr>
          <w:p w14:paraId="1A18DAB1" w14:textId="5541EFFA" w:rsidR="00317EE7" w:rsidRPr="00E47EC1" w:rsidRDefault="00317EE7" w:rsidP="001B4447">
            <w:pPr>
              <w:spacing w:after="120"/>
            </w:pPr>
            <w:r w:rsidRPr="00E47EC1">
              <w:t>Zakon o održivoj uporabi pesticida (Narodne novine, br</w:t>
            </w:r>
            <w:r w:rsidR="001B4447">
              <w:t>oj</w:t>
            </w:r>
            <w:r w:rsidRPr="00E47EC1">
              <w:t xml:space="preserve"> </w:t>
            </w:r>
            <w:r w:rsidR="00B515E5">
              <w:t>46/22</w:t>
            </w:r>
            <w:r w:rsidRPr="00E47EC1">
              <w:t>)</w:t>
            </w:r>
          </w:p>
        </w:tc>
      </w:tr>
      <w:tr w:rsidR="00317EE7" w:rsidRPr="00E47EC1" w14:paraId="1A18DAB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B5" w14:textId="77777777" w:rsidR="00317EE7" w:rsidRPr="00E47EC1" w:rsidRDefault="00317EE7" w:rsidP="0083122D">
            <w:pPr>
              <w:spacing w:after="120"/>
            </w:pPr>
            <w:r w:rsidRPr="00E47EC1">
              <w:t xml:space="preserve">Zakon o provedbi Uredbe (EZ) </w:t>
            </w:r>
            <w:r w:rsidR="00F25428" w:rsidRPr="00E47EC1">
              <w:t xml:space="preserve">br. </w:t>
            </w:r>
            <w:r w:rsidRPr="00E47EC1">
              <w:t>396/05 o maksimalnim razinama ostataka pesticida u i na hrani i hrani za životinje biljnog i životinjskog podrijetla (Narodne novine, br</w:t>
            </w:r>
            <w:r w:rsidR="0083122D">
              <w:t>.</w:t>
            </w:r>
            <w:r w:rsidRPr="00E47EC1">
              <w:t xml:space="preserve"> 80/13</w:t>
            </w:r>
            <w:r w:rsidR="00F25428" w:rsidRPr="00E47EC1">
              <w:t xml:space="preserve"> </w:t>
            </w:r>
            <w:r w:rsidR="00E90D36" w:rsidRPr="00E47EC1">
              <w:t xml:space="preserve">i </w:t>
            </w:r>
            <w:r w:rsidR="00F25428" w:rsidRPr="00E47EC1">
              <w:t>115/18</w:t>
            </w:r>
            <w:r w:rsidRPr="00E47EC1">
              <w:t>)</w:t>
            </w:r>
          </w:p>
        </w:tc>
      </w:tr>
      <w:tr w:rsidR="00317EE7" w:rsidRPr="00E47EC1" w14:paraId="1A18DAB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B7" w14:textId="77777777" w:rsidR="00317EE7" w:rsidRPr="00E47EC1" w:rsidRDefault="00317EE7" w:rsidP="00DD7050">
            <w:pPr>
              <w:spacing w:after="120"/>
            </w:pPr>
            <w:r w:rsidRPr="00E47EC1">
              <w:t>Pravilnik o metodama uzorkovanja za provedbu službene kontrole ostataka pesticida u i na proizvodima biljnog i životinjskog podrijetla (Narodne novine, broj 77/08)</w:t>
            </w:r>
          </w:p>
        </w:tc>
      </w:tr>
      <w:tr w:rsidR="00317EE7" w:rsidRPr="00E47EC1" w14:paraId="1A18DABA" w14:textId="77777777" w:rsidTr="00B738C2">
        <w:trPr>
          <w:trHeight w:val="395"/>
        </w:trPr>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AB9" w14:textId="77777777" w:rsidR="00317EE7" w:rsidRPr="00E47EC1" w:rsidRDefault="00317EE7" w:rsidP="00DD7050">
            <w:pPr>
              <w:pStyle w:val="t-9-8-bez-uvl"/>
              <w:spacing w:before="0" w:beforeAutospacing="0" w:after="120" w:afterAutospacing="0"/>
              <w:jc w:val="center"/>
              <w:rPr>
                <w:color w:val="000000"/>
              </w:rPr>
            </w:pPr>
            <w:r w:rsidRPr="00E47EC1">
              <w:rPr>
                <w:rStyle w:val="bold1"/>
                <w:bCs/>
                <w:color w:val="000000"/>
              </w:rPr>
              <w:t>KEMIKALIJE</w:t>
            </w:r>
          </w:p>
        </w:tc>
      </w:tr>
      <w:tr w:rsidR="00317EE7" w:rsidRPr="00E47EC1" w14:paraId="1A18DAB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BB" w14:textId="77777777" w:rsidR="00317EE7" w:rsidRPr="00E47EC1" w:rsidRDefault="00317EE7" w:rsidP="00DD7050">
            <w:pPr>
              <w:pStyle w:val="t-9-8-bez-uvl"/>
              <w:spacing w:before="0" w:beforeAutospacing="0" w:after="120" w:afterAutospacing="0"/>
            </w:pPr>
            <w:r w:rsidRPr="00E47EC1">
              <w:t>Zakon o potvrđivanju Roterdamske konvencije o postupku prethodnog pristanka za određene opasne kemikalije i pesticide u međunarodnoj trgovini (</w:t>
            </w:r>
            <w:r w:rsidR="00355500" w:rsidRPr="00E47EC1">
              <w:t>Narodne novine</w:t>
            </w:r>
            <w:r w:rsidR="00782F5F" w:rsidRPr="00E47EC1">
              <w:t xml:space="preserve"> – </w:t>
            </w:r>
            <w:r w:rsidR="00355500" w:rsidRPr="00E47EC1">
              <w:t xml:space="preserve">Međunarodni ugovori, </w:t>
            </w:r>
            <w:r w:rsidRPr="00E47EC1">
              <w:t>broj 4/07)</w:t>
            </w:r>
          </w:p>
        </w:tc>
      </w:tr>
      <w:tr w:rsidR="00317EE7" w:rsidRPr="00E47EC1" w14:paraId="1A18DAB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BD" w14:textId="77777777" w:rsidR="00317EE7" w:rsidRPr="00E47EC1" w:rsidRDefault="00317EE7" w:rsidP="00AC2AED">
            <w:pPr>
              <w:pStyle w:val="t-9-8-bez-uvl"/>
              <w:spacing w:before="0" w:beforeAutospacing="0" w:after="120" w:afterAutospacing="0"/>
              <w:rPr>
                <w:color w:val="000000"/>
                <w:lang w:eastAsia="en-US"/>
              </w:rPr>
            </w:pPr>
            <w:r w:rsidRPr="00E47EC1">
              <w:t xml:space="preserve">Zakon o kemikalijama (Narodne novine, </w:t>
            </w:r>
            <w:r w:rsidR="005D2A7C" w:rsidRPr="00E47EC1">
              <w:t xml:space="preserve">br. </w:t>
            </w:r>
            <w:r w:rsidRPr="00E47EC1">
              <w:t>18/13</w:t>
            </w:r>
            <w:r w:rsidR="00AC2AED">
              <w:t xml:space="preserve">, </w:t>
            </w:r>
            <w:r w:rsidR="00EF3C67" w:rsidRPr="00E47EC1">
              <w:t>115/18</w:t>
            </w:r>
            <w:r w:rsidR="00AC2AED">
              <w:t xml:space="preserve"> i 37/20</w:t>
            </w:r>
            <w:r w:rsidRPr="00E47EC1">
              <w:t>)</w:t>
            </w:r>
          </w:p>
        </w:tc>
      </w:tr>
      <w:tr w:rsidR="00317EE7" w:rsidRPr="00E47EC1" w14:paraId="1A18DAC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BF" w14:textId="77777777" w:rsidR="00317EE7" w:rsidRPr="00E47EC1" w:rsidRDefault="00317EE7" w:rsidP="00DD7050">
            <w:pPr>
              <w:pStyle w:val="t-9-8-bez-uvl"/>
              <w:spacing w:before="0" w:beforeAutospacing="0" w:after="120" w:afterAutospacing="0"/>
              <w:rPr>
                <w:color w:val="000000"/>
              </w:rPr>
            </w:pPr>
            <w:r w:rsidRPr="00E47EC1">
              <w:t xml:space="preserve">Zakon o provedbi Uredbe (EZ) br. 1272/08 Europskog parlamenta i Vijeća o razvrstavanju, označavanju i pakiranju tvari i smjesa, kojom se izmjenjuju, dopunjuju i ukidaju Direktiva </w:t>
            </w:r>
            <w:r w:rsidRPr="00E47EC1">
              <w:lastRenderedPageBreak/>
              <w:t>67/548/EEZ i Direktiva 1999/45/EZ i izmjenjuje i dopunjuje Uredba (EZ) br. 1907/06 (Narodne novine, br</w:t>
            </w:r>
            <w:r w:rsidR="000B6F61" w:rsidRPr="00E47EC1">
              <w:t>.</w:t>
            </w:r>
            <w:r w:rsidRPr="00E47EC1">
              <w:t xml:space="preserve"> 50/12</w:t>
            </w:r>
            <w:r w:rsidR="00C370FC">
              <w:t xml:space="preserve">, </w:t>
            </w:r>
            <w:r w:rsidRPr="00E47EC1">
              <w:t>18/13</w:t>
            </w:r>
            <w:r w:rsidR="00C370FC">
              <w:t xml:space="preserve">, </w:t>
            </w:r>
            <w:r w:rsidR="00C370FC" w:rsidRPr="00C370FC">
              <w:t>115/18 i 127/19</w:t>
            </w:r>
            <w:r w:rsidRPr="00E47EC1">
              <w:t>)</w:t>
            </w:r>
          </w:p>
        </w:tc>
      </w:tr>
      <w:tr w:rsidR="00317EE7" w:rsidRPr="00E47EC1" w14:paraId="1A18DAC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C1" w14:textId="77777777" w:rsidR="00317EE7" w:rsidRPr="00E47EC1" w:rsidRDefault="00317EE7" w:rsidP="00DD7050">
            <w:pPr>
              <w:pStyle w:val="t-9-8-bez-uvl"/>
              <w:spacing w:before="0" w:beforeAutospacing="0" w:after="120" w:afterAutospacing="0"/>
              <w:rPr>
                <w:color w:val="000000"/>
              </w:rPr>
            </w:pPr>
            <w:r w:rsidRPr="00E47EC1">
              <w:lastRenderedPageBreak/>
              <w:t>Zakon o provedbi Uredbe (EZ) br. 1907/06 Europskog Parlamenta i Vijeća EZ o registraciji, evaluaciji, autorizaciji i ograničavanju kemikal</w:t>
            </w:r>
            <w:r w:rsidR="00D26AED" w:rsidRPr="00E47EC1">
              <w:t>ija (Narodne novine, br</w:t>
            </w:r>
            <w:r w:rsidR="000B6F61" w:rsidRPr="00E47EC1">
              <w:t>.</w:t>
            </w:r>
            <w:r w:rsidR="00D26AED" w:rsidRPr="00E47EC1">
              <w:t xml:space="preserve"> 53/08</w:t>
            </w:r>
            <w:r w:rsidR="00E972CC" w:rsidRPr="00E47EC1">
              <w:t>,</w:t>
            </w:r>
            <w:r w:rsidRPr="00E47EC1">
              <w:t xml:space="preserve"> 18/13</w:t>
            </w:r>
            <w:r w:rsidR="00E972CC" w:rsidRPr="00E47EC1">
              <w:t xml:space="preserve"> i 115/18</w:t>
            </w:r>
            <w:r w:rsidRPr="00E47EC1">
              <w:t>)</w:t>
            </w:r>
          </w:p>
        </w:tc>
      </w:tr>
      <w:tr w:rsidR="00317EE7" w:rsidRPr="00E47EC1" w14:paraId="1A18DAC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C3" w14:textId="77777777" w:rsidR="00317EE7" w:rsidRPr="00E47EC1" w:rsidRDefault="00317EE7" w:rsidP="00DD7050">
            <w:pPr>
              <w:pStyle w:val="t-9-8-bez-uvl"/>
              <w:spacing w:before="0" w:beforeAutospacing="0" w:after="120" w:afterAutospacing="0"/>
              <w:rPr>
                <w:color w:val="000000"/>
              </w:rPr>
            </w:pPr>
            <w:r w:rsidRPr="00E47EC1">
              <w:t xml:space="preserve">Nacionalna strategija kemijske sigurnosti (Narodne novine, broj </w:t>
            </w:r>
            <w:r w:rsidR="000478CB" w:rsidRPr="00E47EC1">
              <w:t>1</w:t>
            </w:r>
            <w:r w:rsidRPr="00E47EC1">
              <w:t>43/08)</w:t>
            </w:r>
          </w:p>
        </w:tc>
      </w:tr>
      <w:tr w:rsidR="00317EE7" w:rsidRPr="00E47EC1" w14:paraId="1A18DAC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C5" w14:textId="77777777" w:rsidR="00317EE7" w:rsidRPr="00E47EC1" w:rsidRDefault="00317EE7" w:rsidP="005D2A7C">
            <w:pPr>
              <w:pStyle w:val="t-9-8-bez-uvl"/>
              <w:spacing w:before="0" w:beforeAutospacing="0" w:after="120" w:afterAutospacing="0"/>
              <w:rPr>
                <w:color w:val="000000"/>
              </w:rPr>
            </w:pPr>
            <w:r w:rsidRPr="00E47EC1">
              <w:t xml:space="preserve">Zakon o provedbi Uredbe (EU) </w:t>
            </w:r>
            <w:r w:rsidR="005D2A7C" w:rsidRPr="00E47EC1">
              <w:t xml:space="preserve">br. </w:t>
            </w:r>
            <w:r w:rsidRPr="00E47EC1">
              <w:t>528/</w:t>
            </w:r>
            <w:r w:rsidR="005D2A7C" w:rsidRPr="00E47EC1">
              <w:t>20</w:t>
            </w:r>
            <w:r w:rsidRPr="00E47EC1">
              <w:t xml:space="preserve">12 Europskog parlamenta i Vijeća u vezi </w:t>
            </w:r>
            <w:r w:rsidR="005D2A7C" w:rsidRPr="00E47EC1">
              <w:t xml:space="preserve">sa stavljanjem </w:t>
            </w:r>
            <w:r w:rsidR="000478CB" w:rsidRPr="00E47EC1">
              <w:t>na raspolaganje</w:t>
            </w:r>
            <w:r w:rsidRPr="00E47EC1">
              <w:t xml:space="preserve"> na tržištu i uporabi biocidnih proizv</w:t>
            </w:r>
            <w:r w:rsidR="00D26AED" w:rsidRPr="00E47EC1">
              <w:t>oda (Narodne novine, br</w:t>
            </w:r>
            <w:r w:rsidR="000B6F61" w:rsidRPr="00E47EC1">
              <w:t>.</w:t>
            </w:r>
            <w:r w:rsidR="000478CB" w:rsidRPr="00E47EC1">
              <w:t xml:space="preserve"> </w:t>
            </w:r>
            <w:r w:rsidR="00D26AED" w:rsidRPr="00E47EC1">
              <w:t>39/13 i</w:t>
            </w:r>
            <w:r w:rsidRPr="00E47EC1">
              <w:t xml:space="preserve"> 47/14</w:t>
            </w:r>
            <w:r w:rsidR="00C370FC">
              <w:t xml:space="preserve"> i </w:t>
            </w:r>
            <w:r w:rsidR="00C370FC" w:rsidRPr="00C370FC">
              <w:t>115/18</w:t>
            </w:r>
            <w:r w:rsidRPr="00E47EC1">
              <w:t>)</w:t>
            </w:r>
          </w:p>
        </w:tc>
      </w:tr>
      <w:tr w:rsidR="00317EE7" w:rsidRPr="00E47EC1" w14:paraId="1A18DAC8" w14:textId="77777777" w:rsidTr="00B738C2">
        <w:trPr>
          <w:trHeight w:val="262"/>
        </w:trPr>
        <w:tc>
          <w:tcPr>
            <w:tcW w:w="9520" w:type="dxa"/>
            <w:tcBorders>
              <w:top w:val="single" w:sz="4" w:space="0" w:color="auto"/>
              <w:left w:val="single" w:sz="4" w:space="0" w:color="auto"/>
              <w:bottom w:val="single" w:sz="4" w:space="0" w:color="auto"/>
              <w:right w:val="single" w:sz="4" w:space="0" w:color="auto"/>
            </w:tcBorders>
            <w:vAlign w:val="center"/>
          </w:tcPr>
          <w:p w14:paraId="1A18DAC7" w14:textId="77777777" w:rsidR="00317EE7" w:rsidRPr="00E47EC1" w:rsidRDefault="00317EE7" w:rsidP="00DD7050">
            <w:pPr>
              <w:pStyle w:val="t-9-8-bez-uvl"/>
              <w:spacing w:before="0" w:beforeAutospacing="0" w:after="120" w:afterAutospacing="0"/>
              <w:rPr>
                <w:color w:val="000000"/>
              </w:rPr>
            </w:pPr>
            <w:r w:rsidRPr="00E47EC1">
              <w:t>Pravilnik o načinu vođenja očevidnika o kemikalijama te o načinu i rokovima dostave podataka iz očevidnika (Narodne novine, br</w:t>
            </w:r>
            <w:r w:rsidR="000B6F61" w:rsidRPr="00E47EC1">
              <w:t>.</w:t>
            </w:r>
            <w:r w:rsidRPr="00E47EC1">
              <w:t xml:space="preserve"> 99/13</w:t>
            </w:r>
            <w:r w:rsidR="000B6F61" w:rsidRPr="00E47EC1">
              <w:t xml:space="preserve"> i </w:t>
            </w:r>
            <w:r w:rsidRPr="00E47EC1">
              <w:t>157/13</w:t>
            </w:r>
            <w:r w:rsidR="00AC2AED">
              <w:t xml:space="preserve"> i 147/21</w:t>
            </w:r>
            <w:r w:rsidRPr="00E47EC1">
              <w:t>)</w:t>
            </w:r>
          </w:p>
        </w:tc>
      </w:tr>
      <w:tr w:rsidR="00317EE7" w:rsidRPr="00E47EC1" w14:paraId="1A18DAC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C9" w14:textId="77777777" w:rsidR="00317EE7" w:rsidRPr="00E47EC1" w:rsidRDefault="00317EE7" w:rsidP="00DD7050">
            <w:pPr>
              <w:pStyle w:val="t-9-8-bez-uvl"/>
              <w:spacing w:before="0" w:beforeAutospacing="0" w:after="120" w:afterAutospacing="0"/>
              <w:rPr>
                <w:color w:val="000000"/>
              </w:rPr>
            </w:pPr>
            <w:r w:rsidRPr="00E47EC1">
              <w:t>Pravilnik o uvjetima za obavljanje djelatnosti proizvodnje, stavljanja na tržište i korištenja opasnih kemikalija (Narodne novine, br</w:t>
            </w:r>
            <w:r w:rsidR="000B6F61" w:rsidRPr="00E47EC1">
              <w:t>.</w:t>
            </w:r>
            <w:r w:rsidRPr="00E47EC1">
              <w:t xml:space="preserve"> 99/13, 157/13</w:t>
            </w:r>
            <w:r w:rsidR="00AC2AED">
              <w:t xml:space="preserve">, </w:t>
            </w:r>
            <w:r w:rsidRPr="00E47EC1">
              <w:t>122/14</w:t>
            </w:r>
            <w:r w:rsidR="00AC2AED">
              <w:t xml:space="preserve"> i 147/21</w:t>
            </w:r>
            <w:r w:rsidRPr="00E47EC1">
              <w:t>)</w:t>
            </w:r>
          </w:p>
        </w:tc>
      </w:tr>
      <w:tr w:rsidR="00317EE7" w:rsidRPr="00E47EC1" w14:paraId="1A18DAC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CB" w14:textId="77777777" w:rsidR="00317EE7" w:rsidRPr="00E47EC1" w:rsidRDefault="00317EE7" w:rsidP="00DD7050">
            <w:pPr>
              <w:pStyle w:val="t-9-8-bez-uvl"/>
              <w:spacing w:before="0" w:beforeAutospacing="0" w:after="120" w:afterAutospacing="0"/>
              <w:rPr>
                <w:color w:val="000000"/>
              </w:rPr>
            </w:pPr>
            <w:r w:rsidRPr="00E47EC1">
              <w:t>Pravilnik o dobroj laboratorijskoj praksi (Narodne novine, broj 73/12)</w:t>
            </w:r>
          </w:p>
        </w:tc>
      </w:tr>
      <w:tr w:rsidR="00317EE7" w:rsidRPr="00E47EC1" w14:paraId="1A18DAC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CD" w14:textId="77777777" w:rsidR="00317EE7" w:rsidRPr="00E47EC1" w:rsidRDefault="00317EE7" w:rsidP="00DD7050">
            <w:pPr>
              <w:pStyle w:val="t-9-8-bez-uvl"/>
              <w:spacing w:before="0" w:beforeAutospacing="0" w:after="120" w:afterAutospacing="0"/>
            </w:pPr>
            <w:r w:rsidRPr="00E47EC1">
              <w:t>Zakon o</w:t>
            </w:r>
            <w:r w:rsidR="000478CB" w:rsidRPr="00E47EC1">
              <w:t xml:space="preserve"> provedbi Uredbe (EU) br. 649/20</w:t>
            </w:r>
            <w:r w:rsidRPr="00E47EC1">
              <w:t xml:space="preserve">12 o izvozu i uvozu opasnih </w:t>
            </w:r>
            <w:r w:rsidR="00C370FC">
              <w:t>kemikalija (Narodne novine, br.</w:t>
            </w:r>
            <w:r w:rsidRPr="00E47EC1">
              <w:t xml:space="preserve"> 41/14</w:t>
            </w:r>
            <w:r w:rsidR="00C370FC">
              <w:t xml:space="preserve"> i </w:t>
            </w:r>
            <w:r w:rsidR="00C370FC" w:rsidRPr="00C370FC">
              <w:t>115/18</w:t>
            </w:r>
            <w:r w:rsidRPr="00E47EC1">
              <w:t>)</w:t>
            </w:r>
          </w:p>
        </w:tc>
      </w:tr>
      <w:tr w:rsidR="00E972CC" w:rsidRPr="00E47EC1" w14:paraId="1A18DAD0" w14:textId="77777777" w:rsidTr="0083122D">
        <w:tc>
          <w:tcPr>
            <w:tcW w:w="9520" w:type="dxa"/>
            <w:tcBorders>
              <w:top w:val="single" w:sz="4" w:space="0" w:color="auto"/>
              <w:left w:val="single" w:sz="4" w:space="0" w:color="auto"/>
              <w:bottom w:val="single" w:sz="4" w:space="0" w:color="auto"/>
              <w:right w:val="single" w:sz="4" w:space="0" w:color="auto"/>
            </w:tcBorders>
          </w:tcPr>
          <w:p w14:paraId="1A18DACF" w14:textId="54F38EF7" w:rsidR="00E972CC" w:rsidRPr="00E47EC1" w:rsidRDefault="00E972CC" w:rsidP="00E972CC">
            <w:pPr>
              <w:pStyle w:val="t-9-8-bez-uvl"/>
              <w:spacing w:before="0" w:beforeAutospacing="0" w:after="120" w:afterAutospacing="0"/>
            </w:pPr>
            <w:r w:rsidRPr="00E47EC1">
              <w:t>Pravilnik o zaštiti radnika od izloženosti opasnim kemikalijama na radu, graničnim vrijednostima izloženosti i biološkim graničnim vrijednostima (Narodne novine, broj 91/18</w:t>
            </w:r>
            <w:r w:rsidR="00AC2AED">
              <w:t xml:space="preserve"> i 1/21</w:t>
            </w:r>
            <w:r w:rsidRPr="00E47EC1">
              <w:t>)</w:t>
            </w:r>
          </w:p>
        </w:tc>
      </w:tr>
      <w:tr w:rsidR="00317EE7" w:rsidRPr="00E47EC1" w14:paraId="1A18DAD2"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AD1" w14:textId="77777777" w:rsidR="00317EE7" w:rsidRPr="00E47EC1" w:rsidRDefault="00317EE7" w:rsidP="00782F5F">
            <w:pPr>
              <w:pStyle w:val="t-9-8-bez-uvl"/>
              <w:spacing w:before="0" w:beforeAutospacing="0" w:after="120" w:afterAutospacing="0"/>
              <w:jc w:val="center"/>
              <w:rPr>
                <w:color w:val="000000"/>
              </w:rPr>
            </w:pPr>
            <w:r w:rsidRPr="00E47EC1">
              <w:rPr>
                <w:rStyle w:val="bold1"/>
                <w:bCs/>
                <w:color w:val="000000"/>
              </w:rPr>
              <w:t>VODE</w:t>
            </w:r>
          </w:p>
        </w:tc>
      </w:tr>
      <w:tr w:rsidR="00317EE7" w:rsidRPr="00E47EC1" w14:paraId="1A18DAD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D3" w14:textId="77777777" w:rsidR="00317EE7" w:rsidRPr="00E47EC1" w:rsidRDefault="00317EE7" w:rsidP="00B96DC1">
            <w:pPr>
              <w:pStyle w:val="t-9-8-bez-uvl"/>
              <w:spacing w:before="0" w:beforeAutospacing="0" w:after="120" w:afterAutospacing="0"/>
              <w:rPr>
                <w:color w:val="000000"/>
              </w:rPr>
            </w:pPr>
            <w:r w:rsidRPr="00E47EC1">
              <w:t>Zakon o vodama (Narodne novine, br</w:t>
            </w:r>
            <w:r w:rsidR="000B6F61" w:rsidRPr="00E47EC1">
              <w:t>.</w:t>
            </w:r>
            <w:r w:rsidR="009E3F20" w:rsidRPr="00E47EC1">
              <w:t xml:space="preserve"> </w:t>
            </w:r>
            <w:r w:rsidR="00B96DC1">
              <w:t>66/19 i 84/21</w:t>
            </w:r>
            <w:r w:rsidRPr="00E47EC1">
              <w:t>)</w:t>
            </w:r>
          </w:p>
        </w:tc>
      </w:tr>
      <w:tr w:rsidR="00317EE7" w:rsidRPr="00E47EC1" w14:paraId="1A18DAD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D5" w14:textId="77777777" w:rsidR="00317EE7" w:rsidRPr="00E47EC1" w:rsidRDefault="00317EE7" w:rsidP="00B96DC1">
            <w:pPr>
              <w:pStyle w:val="t-9-8-bez-uvl"/>
              <w:spacing w:before="0" w:beforeAutospacing="0" w:after="120" w:afterAutospacing="0"/>
              <w:rPr>
                <w:color w:val="000000"/>
              </w:rPr>
            </w:pPr>
            <w:r w:rsidRPr="00E47EC1">
              <w:t>Uredba o standardu kakvoće voda (Narodne novine, br</w:t>
            </w:r>
            <w:r w:rsidR="00B96DC1">
              <w:t>oj</w:t>
            </w:r>
            <w:r w:rsidRPr="00E47EC1">
              <w:t xml:space="preserve"> </w:t>
            </w:r>
            <w:r w:rsidR="00B96DC1">
              <w:t>96</w:t>
            </w:r>
            <w:r w:rsidR="003E33E2" w:rsidRPr="00E47EC1">
              <w:t>/1</w:t>
            </w:r>
            <w:r w:rsidR="00B96DC1">
              <w:t>9</w:t>
            </w:r>
            <w:r w:rsidR="00D26AED" w:rsidRPr="00E47EC1">
              <w:t>)</w:t>
            </w:r>
          </w:p>
        </w:tc>
      </w:tr>
      <w:tr w:rsidR="00317EE7" w:rsidRPr="00E47EC1" w14:paraId="1A18DAD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D7" w14:textId="77777777" w:rsidR="00317EE7" w:rsidRPr="00E47EC1" w:rsidRDefault="00317EE7" w:rsidP="00B96DC1">
            <w:pPr>
              <w:pStyle w:val="t-9-8-bez-uvl"/>
              <w:spacing w:before="0" w:beforeAutospacing="0" w:after="120" w:afterAutospacing="0"/>
            </w:pPr>
            <w:r w:rsidRPr="00E47EC1">
              <w:t>Pravilnik o posebnim uvjetima za obavljanje djelatnosti uzimanja uzoraka i ispitivanja voda (Narodne novine, br</w:t>
            </w:r>
            <w:r w:rsidR="00B96DC1">
              <w:t>oj</w:t>
            </w:r>
            <w:r w:rsidRPr="00E47EC1">
              <w:t xml:space="preserve"> </w:t>
            </w:r>
            <w:r w:rsidR="00B96DC1">
              <w:t>3/20</w:t>
            </w:r>
            <w:r w:rsidRPr="00E47EC1">
              <w:t>)</w:t>
            </w:r>
          </w:p>
        </w:tc>
      </w:tr>
      <w:tr w:rsidR="00317EE7" w:rsidRPr="00E47EC1" w14:paraId="1A18DADA"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AD9" w14:textId="77777777" w:rsidR="00317EE7" w:rsidRPr="00E47EC1" w:rsidRDefault="00317EE7" w:rsidP="00782F5F">
            <w:pPr>
              <w:pStyle w:val="t-9-8-bez-uvl"/>
              <w:spacing w:before="0" w:beforeAutospacing="0" w:after="120" w:afterAutospacing="0"/>
              <w:jc w:val="center"/>
              <w:rPr>
                <w:color w:val="000000"/>
              </w:rPr>
            </w:pPr>
            <w:r w:rsidRPr="00E47EC1">
              <w:rPr>
                <w:rStyle w:val="bold1"/>
                <w:bCs/>
                <w:color w:val="000000"/>
              </w:rPr>
              <w:t>VETERINARSTVO</w:t>
            </w:r>
          </w:p>
        </w:tc>
      </w:tr>
      <w:tr w:rsidR="00317EE7" w:rsidRPr="00E47EC1" w14:paraId="1A18DAD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DB" w14:textId="77777777" w:rsidR="00317EE7" w:rsidRPr="00E47EC1" w:rsidRDefault="005C534B" w:rsidP="00E63CF2">
            <w:pPr>
              <w:pStyle w:val="t-9-8-bez-uvl"/>
              <w:spacing w:before="0" w:beforeAutospacing="0" w:after="120" w:afterAutospacing="0"/>
              <w:rPr>
                <w:color w:val="000000"/>
              </w:rPr>
            </w:pPr>
            <w:r w:rsidRPr="00E47EC1">
              <w:t>Zakon o veterinarsko</w:t>
            </w:r>
            <w:r w:rsidR="003310CC" w:rsidRPr="00E47EC1">
              <w:t>-</w:t>
            </w:r>
            <w:r w:rsidR="00317EE7" w:rsidRPr="00E47EC1">
              <w:t>medicinskim proizvodima (Narodne novine, br</w:t>
            </w:r>
            <w:r w:rsidR="000B6F61" w:rsidRPr="00E47EC1">
              <w:t>.</w:t>
            </w:r>
            <w:r w:rsidR="00317EE7" w:rsidRPr="00E47EC1">
              <w:t xml:space="preserve"> 84/08</w:t>
            </w:r>
            <w:r w:rsidR="00E63CF2" w:rsidRPr="00E47EC1">
              <w:t>,</w:t>
            </w:r>
            <w:r w:rsidR="00317EE7" w:rsidRPr="00E47EC1">
              <w:t xml:space="preserve"> 56/13</w:t>
            </w:r>
            <w:r w:rsidR="00E63CF2" w:rsidRPr="00E47EC1">
              <w:t>, 94/13, 15/15, 32/19</w:t>
            </w:r>
            <w:r w:rsidR="00317EE7" w:rsidRPr="00E47EC1">
              <w:t>)</w:t>
            </w:r>
          </w:p>
        </w:tc>
      </w:tr>
      <w:tr w:rsidR="00317EE7" w:rsidRPr="00E47EC1" w14:paraId="1A18DAD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DD" w14:textId="1D35982F" w:rsidR="00317EE7" w:rsidRPr="00E47EC1" w:rsidRDefault="00317EE7" w:rsidP="007C453F">
            <w:pPr>
              <w:pStyle w:val="t-9-8-bez-uvl"/>
              <w:spacing w:before="0" w:beforeAutospacing="0" w:after="120" w:afterAutospacing="0"/>
            </w:pPr>
            <w:r w:rsidRPr="00E47EC1">
              <w:t>Zakon o veterinarstvu (Narodne novine, br</w:t>
            </w:r>
            <w:r w:rsidR="000B6F61" w:rsidRPr="00E47EC1">
              <w:t>.</w:t>
            </w:r>
            <w:r w:rsidRPr="00E47EC1">
              <w:t xml:space="preserve"> 82/13</w:t>
            </w:r>
            <w:r w:rsidR="00E63CF2" w:rsidRPr="00E47EC1">
              <w:t>,</w:t>
            </w:r>
            <w:r w:rsidRPr="00E47EC1">
              <w:t xml:space="preserve"> 148/13</w:t>
            </w:r>
            <w:r w:rsidR="007C453F">
              <w:t xml:space="preserve">, </w:t>
            </w:r>
            <w:r w:rsidR="00E63CF2" w:rsidRPr="00E47EC1">
              <w:t>115/18</w:t>
            </w:r>
            <w:r w:rsidR="007C453F">
              <w:t xml:space="preserve"> i 52/21</w:t>
            </w:r>
            <w:r w:rsidRPr="00E47EC1">
              <w:t>)</w:t>
            </w:r>
          </w:p>
        </w:tc>
      </w:tr>
      <w:tr w:rsidR="00317EE7" w:rsidRPr="00E47EC1" w14:paraId="1A18DAE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DF" w14:textId="77777777" w:rsidR="00317EE7" w:rsidRPr="00E47EC1" w:rsidRDefault="00317EE7" w:rsidP="00DD7050">
            <w:pPr>
              <w:pStyle w:val="t-9-8-bez-uvl"/>
              <w:spacing w:before="0" w:beforeAutospacing="0" w:after="120" w:afterAutospacing="0"/>
              <w:rPr>
                <w:color w:val="000000"/>
              </w:rPr>
            </w:pPr>
            <w:r w:rsidRPr="00E47EC1">
              <w:t>Pravilnik o ljekovitoj hrani za životinje (Narodne novine, broj 120/11)</w:t>
            </w:r>
          </w:p>
        </w:tc>
      </w:tr>
      <w:tr w:rsidR="00317EE7" w:rsidRPr="00E47EC1" w14:paraId="1A18DAE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1" w14:textId="77777777" w:rsidR="00317EE7" w:rsidRPr="00E47EC1" w:rsidRDefault="00317EE7" w:rsidP="00DD7050">
            <w:pPr>
              <w:pStyle w:val="t-9-8-bez-uvl"/>
              <w:spacing w:before="0" w:beforeAutospacing="0" w:after="120" w:afterAutospacing="0"/>
              <w:rPr>
                <w:color w:val="000000"/>
              </w:rPr>
            </w:pPr>
            <w:r w:rsidRPr="00E47EC1">
              <w:t>Pravilnik o monitoringu određenih tvari i njihovih rezidua u živim životinjama i proizvodima životinjskoga podrijetla (Narodne novine, br</w:t>
            </w:r>
            <w:r w:rsidR="000B6F61" w:rsidRPr="00E47EC1">
              <w:t>.</w:t>
            </w:r>
            <w:r w:rsidRPr="00E47EC1">
              <w:t xml:space="preserve"> 79/08</w:t>
            </w:r>
            <w:r w:rsidR="00092E64" w:rsidRPr="00E47EC1">
              <w:t xml:space="preserve"> i</w:t>
            </w:r>
            <w:r w:rsidRPr="00E47EC1">
              <w:t xml:space="preserve"> 51/13)</w:t>
            </w:r>
          </w:p>
        </w:tc>
      </w:tr>
      <w:tr w:rsidR="00317EE7" w:rsidRPr="00E47EC1" w14:paraId="1A18DAE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3" w14:textId="77777777" w:rsidR="00317EE7" w:rsidRPr="00E47EC1" w:rsidRDefault="00165336" w:rsidP="00DD7050">
            <w:pPr>
              <w:pStyle w:val="t-9-8-bez-uvl"/>
              <w:spacing w:before="0" w:beforeAutospacing="0" w:after="120" w:afterAutospacing="0"/>
              <w:rPr>
                <w:color w:val="000000"/>
              </w:rPr>
            </w:pPr>
            <w:r w:rsidRPr="00E47EC1">
              <w:t>Pravilnik o sigurnosti hrane za životinje  (Narodne novine, broj 102/16)</w:t>
            </w:r>
          </w:p>
        </w:tc>
      </w:tr>
      <w:tr w:rsidR="00317EE7" w:rsidRPr="00E47EC1" w14:paraId="1A18DAE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5" w14:textId="0BCE10E4" w:rsidR="00317EE7" w:rsidRPr="00E47EC1" w:rsidRDefault="00317EE7" w:rsidP="007C453F">
            <w:pPr>
              <w:pStyle w:val="t-9-8-bez-uvl"/>
              <w:spacing w:before="0" w:beforeAutospacing="0" w:after="120" w:afterAutospacing="0"/>
              <w:rPr>
                <w:color w:val="000000"/>
              </w:rPr>
            </w:pPr>
            <w:r w:rsidRPr="00E47EC1">
              <w:t>Zakon o provedbi Uredbe (EZ)</w:t>
            </w:r>
            <w:r w:rsidR="00F25428" w:rsidRPr="00E47EC1">
              <w:t xml:space="preserve"> br.</w:t>
            </w:r>
            <w:r w:rsidRPr="00E47EC1">
              <w:t xml:space="preserve"> 396/</w:t>
            </w:r>
            <w:r w:rsidR="003310CC" w:rsidRPr="00E47EC1">
              <w:t>20</w:t>
            </w:r>
            <w:r w:rsidRPr="00E47EC1">
              <w:t>05 o maksimalnim razinama ostataka pesticida u i na hrani i hrani za životinje biljnog i životinjskog podrijetla (Narodne novine, br</w:t>
            </w:r>
            <w:r w:rsidR="007C453F">
              <w:t>.</w:t>
            </w:r>
            <w:r w:rsidRPr="00E47EC1">
              <w:t xml:space="preserve"> 80/13</w:t>
            </w:r>
            <w:r w:rsidR="00F25428" w:rsidRPr="00E47EC1">
              <w:t>, 115/18 i 32/20</w:t>
            </w:r>
            <w:r w:rsidRPr="00E47EC1">
              <w:t xml:space="preserve">) </w:t>
            </w:r>
          </w:p>
        </w:tc>
      </w:tr>
      <w:tr w:rsidR="00317EE7" w:rsidRPr="00E47EC1" w14:paraId="1A18DAE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7" w14:textId="225BCB09" w:rsidR="00317EE7" w:rsidRPr="00E47EC1" w:rsidRDefault="00317EE7" w:rsidP="00E63CF2">
            <w:pPr>
              <w:pStyle w:val="t-9-8-bez-uvl"/>
              <w:spacing w:before="0" w:beforeAutospacing="0" w:after="120" w:afterAutospacing="0"/>
              <w:rPr>
                <w:color w:val="000000"/>
              </w:rPr>
            </w:pPr>
            <w:r w:rsidRPr="00E47EC1">
              <w:t xml:space="preserve">Zakon o kontaminantima (Narodne novine, </w:t>
            </w:r>
            <w:r w:rsidR="00E63CF2" w:rsidRPr="00E47EC1">
              <w:t xml:space="preserve">br. </w:t>
            </w:r>
            <w:r w:rsidRPr="00E47EC1">
              <w:t>39/13</w:t>
            </w:r>
            <w:r w:rsidR="007C453F">
              <w:t xml:space="preserve"> i</w:t>
            </w:r>
            <w:r w:rsidR="00E63CF2" w:rsidRPr="00E47EC1">
              <w:t xml:space="preserve"> 114/18</w:t>
            </w:r>
            <w:r w:rsidRPr="00E47EC1">
              <w:t>)</w:t>
            </w:r>
          </w:p>
        </w:tc>
      </w:tr>
      <w:tr w:rsidR="00317EE7" w:rsidRPr="00E47EC1" w14:paraId="1A18DAE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9" w14:textId="7F91DCF6" w:rsidR="00317EE7" w:rsidRPr="00E47EC1" w:rsidRDefault="007C453F" w:rsidP="00DD7050">
            <w:pPr>
              <w:pStyle w:val="t-9-8-bez-uvl"/>
              <w:spacing w:before="0" w:beforeAutospacing="0" w:after="120" w:afterAutospacing="0"/>
              <w:rPr>
                <w:color w:val="000000"/>
              </w:rPr>
            </w:pPr>
            <w:r w:rsidRPr="007C453F">
              <w:t>Zakon o službenim kontrolama i drugim službenim aktivnostima koje se provode sukladno propisima o hrani, hrani za životinje, o zdravlju i dobrobiti životinja, zdravlju bilja i sredstvima za za</w:t>
            </w:r>
            <w:r>
              <w:t>štitu bilja (Narodne novine, broj</w:t>
            </w:r>
            <w:r w:rsidRPr="007C453F">
              <w:t xml:space="preserve"> 52/21)</w:t>
            </w:r>
          </w:p>
        </w:tc>
      </w:tr>
      <w:tr w:rsidR="00317EE7" w:rsidRPr="00E47EC1" w14:paraId="1A18DAE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B" w14:textId="0418A4BC" w:rsidR="00317EE7" w:rsidRPr="00E47EC1" w:rsidRDefault="00317EE7" w:rsidP="007C453F">
            <w:pPr>
              <w:pStyle w:val="t-9-8-bez-uvl"/>
              <w:spacing w:before="0" w:beforeAutospacing="0" w:after="120" w:afterAutospacing="0"/>
              <w:rPr>
                <w:color w:val="000000"/>
              </w:rPr>
            </w:pPr>
            <w:r w:rsidRPr="00E47EC1">
              <w:rPr>
                <w:iCs/>
              </w:rPr>
              <w:t>Zakon o hrani (Narodne novine, br</w:t>
            </w:r>
            <w:r w:rsidR="000B6F61" w:rsidRPr="00E47EC1">
              <w:rPr>
                <w:iCs/>
              </w:rPr>
              <w:t>.</w:t>
            </w:r>
            <w:r w:rsidRPr="00E47EC1">
              <w:rPr>
                <w:iCs/>
              </w:rPr>
              <w:t xml:space="preserve"> 81/13</w:t>
            </w:r>
            <w:r w:rsidR="00E63CF2" w:rsidRPr="00E47EC1">
              <w:rPr>
                <w:iCs/>
              </w:rPr>
              <w:t>,</w:t>
            </w:r>
            <w:r w:rsidRPr="00E47EC1">
              <w:rPr>
                <w:iCs/>
              </w:rPr>
              <w:t xml:space="preserve"> 14/14</w:t>
            </w:r>
            <w:r w:rsidR="007C453F">
              <w:rPr>
                <w:iCs/>
              </w:rPr>
              <w:t xml:space="preserve"> i</w:t>
            </w:r>
            <w:r w:rsidR="00E63CF2" w:rsidRPr="00E47EC1">
              <w:rPr>
                <w:iCs/>
              </w:rPr>
              <w:t xml:space="preserve"> 115/18</w:t>
            </w:r>
            <w:r w:rsidRPr="00E47EC1">
              <w:rPr>
                <w:iCs/>
              </w:rPr>
              <w:t>)</w:t>
            </w:r>
          </w:p>
        </w:tc>
      </w:tr>
      <w:tr w:rsidR="00317EE7" w:rsidRPr="00E47EC1" w14:paraId="1A18DAEE"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AED" w14:textId="77777777" w:rsidR="00317EE7" w:rsidRPr="00E47EC1" w:rsidRDefault="00317EE7" w:rsidP="00782F5F">
            <w:pPr>
              <w:pStyle w:val="t-9-8-bez-uvl"/>
              <w:spacing w:before="0" w:beforeAutospacing="0" w:after="120" w:afterAutospacing="0"/>
              <w:jc w:val="center"/>
              <w:rPr>
                <w:color w:val="000000"/>
              </w:rPr>
            </w:pPr>
            <w:r w:rsidRPr="00E47EC1">
              <w:rPr>
                <w:rStyle w:val="bold1"/>
                <w:bCs/>
                <w:color w:val="000000"/>
              </w:rPr>
              <w:lastRenderedPageBreak/>
              <w:t>OKOLIŠ</w:t>
            </w:r>
          </w:p>
        </w:tc>
      </w:tr>
      <w:tr w:rsidR="00317EE7" w:rsidRPr="00E47EC1" w14:paraId="1A18DAF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EF" w14:textId="77777777" w:rsidR="00317EE7" w:rsidRPr="00E47EC1" w:rsidRDefault="00317EE7" w:rsidP="00DD7050">
            <w:pPr>
              <w:pStyle w:val="t-9-8-bez-uvl"/>
              <w:spacing w:before="0" w:beforeAutospacing="0" w:after="120" w:afterAutospacing="0"/>
              <w:rPr>
                <w:color w:val="000000"/>
              </w:rPr>
            </w:pPr>
            <w:r w:rsidRPr="00E47EC1">
              <w:t>Zakon o zaštiti okoliša (Narodne novine, br</w:t>
            </w:r>
            <w:r w:rsidR="007B4C0A" w:rsidRPr="00E47EC1">
              <w:t xml:space="preserve">. </w:t>
            </w:r>
            <w:r w:rsidR="007B4C0A" w:rsidRPr="00E47EC1">
              <w:rPr>
                <w:color w:val="333333"/>
              </w:rPr>
              <w:t>80/13,</w:t>
            </w:r>
            <w:r w:rsidR="008D55AC" w:rsidRPr="00E47EC1">
              <w:rPr>
                <w:color w:val="333333"/>
              </w:rPr>
              <w:t xml:space="preserve"> 153/13</w:t>
            </w:r>
            <w:r w:rsidR="00F662DE" w:rsidRPr="00E47EC1">
              <w:rPr>
                <w:color w:val="333333"/>
              </w:rPr>
              <w:t>,</w:t>
            </w:r>
            <w:r w:rsidR="008D55AC" w:rsidRPr="00E47EC1">
              <w:rPr>
                <w:color w:val="333333"/>
              </w:rPr>
              <w:t xml:space="preserve"> 78/15</w:t>
            </w:r>
            <w:r w:rsidR="00F662DE" w:rsidRPr="00E47EC1">
              <w:rPr>
                <w:color w:val="333333"/>
              </w:rPr>
              <w:t>, 12/18 i 118/18</w:t>
            </w:r>
            <w:r w:rsidR="008D55AC" w:rsidRPr="00E47EC1">
              <w:rPr>
                <w:color w:val="333333"/>
              </w:rPr>
              <w:t>)</w:t>
            </w:r>
          </w:p>
        </w:tc>
      </w:tr>
      <w:tr w:rsidR="006F0E6B" w:rsidRPr="00E47EC1" w14:paraId="1A18DAF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F1" w14:textId="77777777" w:rsidR="006F0E6B" w:rsidRPr="00E47EC1" w:rsidRDefault="006F0E6B" w:rsidP="00DD7050">
            <w:pPr>
              <w:pStyle w:val="t-9-8-bez-uvl"/>
              <w:spacing w:before="0" w:beforeAutospacing="0" w:after="120" w:afterAutospacing="0"/>
            </w:pPr>
            <w:r w:rsidRPr="00E47EC1">
              <w:t xml:space="preserve">Zakon o potvrđivanju Protokola o postojanim organskim onečišćujućim tvarima </w:t>
            </w:r>
            <w:r w:rsidR="003310CC" w:rsidRPr="00E47EC1">
              <w:t xml:space="preserve">uz Konvenciju o dalekosežnom prekograničnom onečišćenju zraka iz 1979. godine </w:t>
            </w:r>
            <w:r w:rsidRPr="00E47EC1">
              <w:t>(</w:t>
            </w:r>
            <w:r w:rsidR="00355500" w:rsidRPr="00E47EC1">
              <w:t>Narodne novine-Međunarodni ugovori</w:t>
            </w:r>
            <w:r w:rsidRPr="00E47EC1">
              <w:t xml:space="preserve"> broj 5/07)</w:t>
            </w:r>
          </w:p>
        </w:tc>
      </w:tr>
      <w:tr w:rsidR="00317EE7" w:rsidRPr="00E47EC1" w14:paraId="1A18DAF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F3" w14:textId="77777777" w:rsidR="00317EE7" w:rsidRPr="00E47EC1" w:rsidRDefault="00317EE7" w:rsidP="00DD7050">
            <w:pPr>
              <w:pStyle w:val="t-9-8-bez-uvl"/>
              <w:spacing w:before="0" w:beforeAutospacing="0" w:after="120" w:afterAutospacing="0"/>
              <w:rPr>
                <w:color w:val="000000"/>
              </w:rPr>
            </w:pPr>
            <w:r w:rsidRPr="00E47EC1">
              <w:t xml:space="preserve">Uredba o procjeni utjecaja zahvata na okoliš </w:t>
            </w:r>
            <w:r w:rsidR="00F545ED">
              <w:t>(Narodne novine, br.</w:t>
            </w:r>
            <w:r w:rsidRPr="00E47EC1">
              <w:t xml:space="preserve"> 61/14</w:t>
            </w:r>
            <w:r w:rsidR="00F545ED">
              <w:t xml:space="preserve"> i 3/17</w:t>
            </w:r>
            <w:r w:rsidRPr="00E47EC1">
              <w:t>)</w:t>
            </w:r>
          </w:p>
        </w:tc>
      </w:tr>
      <w:tr w:rsidR="00317EE7" w:rsidRPr="00E47EC1" w14:paraId="1A18DAF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F5" w14:textId="77777777" w:rsidR="00317EE7" w:rsidRPr="00E47EC1" w:rsidRDefault="00317EE7" w:rsidP="00DD7050">
            <w:pPr>
              <w:spacing w:after="120"/>
              <w:rPr>
                <w:color w:val="000000"/>
              </w:rPr>
            </w:pPr>
            <w:r w:rsidRPr="00E47EC1">
              <w:t>Uredba o okolišn</w:t>
            </w:r>
            <w:r w:rsidR="00F545ED">
              <w:t>oj dozvoli (Narodne novine, br.</w:t>
            </w:r>
            <w:r w:rsidRPr="00E47EC1">
              <w:t xml:space="preserve"> 8/14</w:t>
            </w:r>
            <w:r w:rsidR="00F545ED">
              <w:t xml:space="preserve"> i 5/18</w:t>
            </w:r>
            <w:r w:rsidRPr="00E47EC1">
              <w:t>)</w:t>
            </w:r>
          </w:p>
        </w:tc>
      </w:tr>
      <w:tr w:rsidR="00317EE7" w:rsidRPr="00E47EC1" w14:paraId="1A18DAF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F7" w14:textId="77777777" w:rsidR="00317EE7" w:rsidRPr="00E47EC1" w:rsidRDefault="00317EE7" w:rsidP="00DD7050">
            <w:pPr>
              <w:spacing w:after="120"/>
            </w:pPr>
            <w:r w:rsidRPr="00E47EC1">
              <w:t>Zakon o provedbi Uredbe (EZ) br. 850/</w:t>
            </w:r>
            <w:r w:rsidR="003310CC" w:rsidRPr="00E47EC1">
              <w:t>20</w:t>
            </w:r>
            <w:r w:rsidRPr="00E47EC1">
              <w:t>04 o postojanim organskim onečišćujućim tvarima (Narodne novine, broj 148/13)</w:t>
            </w:r>
          </w:p>
        </w:tc>
      </w:tr>
      <w:tr w:rsidR="00317EE7" w:rsidRPr="00E47EC1" w14:paraId="1A18DAF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AF9" w14:textId="77777777" w:rsidR="00317EE7" w:rsidRPr="00E47EC1" w:rsidRDefault="00317EE7" w:rsidP="00DD7050">
            <w:pPr>
              <w:spacing w:after="120"/>
            </w:pPr>
            <w:r w:rsidRPr="00E47EC1">
              <w:t>Uredba o izradi i provedbi dokumenata Strategije upravljanja morskim okolišem i obalnim područjem (Narodne novine, broj 112/14)</w:t>
            </w:r>
          </w:p>
        </w:tc>
      </w:tr>
      <w:tr w:rsidR="00D26AED" w:rsidRPr="00E47EC1" w14:paraId="1A18DAFC" w14:textId="77777777" w:rsidTr="00280784">
        <w:tc>
          <w:tcPr>
            <w:tcW w:w="9520" w:type="dxa"/>
            <w:tcBorders>
              <w:top w:val="single" w:sz="4" w:space="0" w:color="auto"/>
              <w:left w:val="single" w:sz="4" w:space="0" w:color="auto"/>
              <w:bottom w:val="single" w:sz="4" w:space="0" w:color="auto"/>
              <w:right w:val="single" w:sz="4" w:space="0" w:color="auto"/>
            </w:tcBorders>
            <w:vAlign w:val="center"/>
          </w:tcPr>
          <w:p w14:paraId="1A18DAFB" w14:textId="77777777" w:rsidR="00D26AED" w:rsidRPr="00E47EC1" w:rsidRDefault="00D26AED" w:rsidP="002A39A4">
            <w:pPr>
              <w:spacing w:after="120"/>
            </w:pPr>
            <w:r w:rsidRPr="00E47EC1">
              <w:t>Uredba o sprječavanju velikih nesreća koje uključuju opasne tvari (Narodne novine, br</w:t>
            </w:r>
            <w:r w:rsidR="00667FB6" w:rsidRPr="00E47EC1">
              <w:t>.</w:t>
            </w:r>
            <w:r w:rsidRPr="00E47EC1">
              <w:t xml:space="preserve"> 44/14</w:t>
            </w:r>
            <w:r w:rsidR="002A39A4" w:rsidRPr="00E47EC1">
              <w:t>, 31/17 i 45/17</w:t>
            </w:r>
            <w:r w:rsidRPr="00E47EC1">
              <w:t>)</w:t>
            </w:r>
          </w:p>
        </w:tc>
      </w:tr>
      <w:tr w:rsidR="00D26AED" w:rsidRPr="00E47EC1" w14:paraId="1A18DAFE" w14:textId="77777777" w:rsidTr="00280784">
        <w:tc>
          <w:tcPr>
            <w:tcW w:w="9520" w:type="dxa"/>
            <w:tcBorders>
              <w:top w:val="single" w:sz="4" w:space="0" w:color="auto"/>
              <w:left w:val="single" w:sz="4" w:space="0" w:color="auto"/>
              <w:bottom w:val="single" w:sz="4" w:space="0" w:color="auto"/>
              <w:right w:val="single" w:sz="4" w:space="0" w:color="auto"/>
            </w:tcBorders>
            <w:vAlign w:val="center"/>
          </w:tcPr>
          <w:p w14:paraId="1A18DAFD" w14:textId="77777777" w:rsidR="00D26AED" w:rsidRPr="00E47EC1" w:rsidRDefault="00D26AED" w:rsidP="007C1DF6">
            <w:pPr>
              <w:spacing w:after="120"/>
              <w:rPr>
                <w:lang w:val="pl-PL"/>
              </w:rPr>
            </w:pPr>
            <w:r w:rsidRPr="00E47EC1">
              <w:t>Pravilnik o registru postrojenja u kojima su prisutne opasne tvari i o očevidniku prijavljenih velikih nesreća (Narodne novine, broj 139/14)</w:t>
            </w:r>
          </w:p>
        </w:tc>
      </w:tr>
      <w:tr w:rsidR="00D26AED" w:rsidRPr="00E47EC1" w14:paraId="1A18DB00" w14:textId="77777777" w:rsidTr="00280784">
        <w:tc>
          <w:tcPr>
            <w:tcW w:w="9520" w:type="dxa"/>
            <w:tcBorders>
              <w:top w:val="single" w:sz="4" w:space="0" w:color="auto"/>
              <w:left w:val="single" w:sz="4" w:space="0" w:color="auto"/>
              <w:bottom w:val="single" w:sz="4" w:space="0" w:color="auto"/>
              <w:right w:val="single" w:sz="4" w:space="0" w:color="auto"/>
            </w:tcBorders>
            <w:vAlign w:val="center"/>
          </w:tcPr>
          <w:p w14:paraId="1A18DAFF" w14:textId="77777777" w:rsidR="00D92CF1" w:rsidRPr="00AC2AED" w:rsidRDefault="00D26AED" w:rsidP="00DD7050">
            <w:pPr>
              <w:spacing w:after="120"/>
            </w:pPr>
            <w:r w:rsidRPr="00E47EC1">
              <w:t>Pravilnik o registru onečišćavanja okoliša (Narodne novine, broj 35/08</w:t>
            </w:r>
            <w:r w:rsidR="003C4F05" w:rsidRPr="00E47EC1">
              <w:t>, 87/15</w:t>
            </w:r>
            <w:r w:rsidR="00AC2AED">
              <w:t>)</w:t>
            </w:r>
          </w:p>
        </w:tc>
      </w:tr>
      <w:tr w:rsidR="00317EE7" w:rsidRPr="00E47EC1" w14:paraId="1A18DB02"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B01" w14:textId="77777777" w:rsidR="00317EE7" w:rsidRPr="00E47EC1" w:rsidRDefault="00317EE7" w:rsidP="00782F5F">
            <w:pPr>
              <w:spacing w:after="120"/>
              <w:jc w:val="center"/>
              <w:rPr>
                <w:b/>
                <w:bCs/>
                <w:color w:val="4F5557"/>
              </w:rPr>
            </w:pPr>
            <w:r w:rsidRPr="00E47EC1">
              <w:rPr>
                <w:b/>
                <w:bCs/>
                <w:color w:val="000000"/>
              </w:rPr>
              <w:t>STRATEŠKO-PLANSKI DOKUMENTI</w:t>
            </w:r>
          </w:p>
        </w:tc>
      </w:tr>
      <w:tr w:rsidR="00317EE7" w:rsidRPr="00E47EC1" w14:paraId="1A18DB0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3" w14:textId="77777777" w:rsidR="00317EE7" w:rsidRPr="00E47EC1" w:rsidRDefault="00317EE7" w:rsidP="00DD7050">
            <w:pPr>
              <w:spacing w:after="120"/>
            </w:pPr>
            <w:r w:rsidRPr="00E47EC1">
              <w:t>Nacionalni plan djelovanja na okoliš (Narodne novine, broj 46/02)</w:t>
            </w:r>
          </w:p>
        </w:tc>
      </w:tr>
      <w:tr w:rsidR="00317EE7" w:rsidRPr="00E47EC1" w14:paraId="1A18DB0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5" w14:textId="77777777" w:rsidR="00317EE7" w:rsidRPr="00E47EC1" w:rsidRDefault="00317EE7" w:rsidP="00DD7050">
            <w:pPr>
              <w:spacing w:after="120"/>
            </w:pPr>
            <w:r w:rsidRPr="00E47EC1">
              <w:t>Strategija gospodarenja otpadom Republike Hrvatske (Narodne novine, broj 130/05)</w:t>
            </w:r>
          </w:p>
        </w:tc>
      </w:tr>
      <w:tr w:rsidR="00B40940" w:rsidRPr="00E47EC1" w14:paraId="1A18DB0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7" w14:textId="77777777" w:rsidR="00B40940" w:rsidRPr="00E47EC1" w:rsidRDefault="00F545ED" w:rsidP="00DD7050">
            <w:pPr>
              <w:pStyle w:val="t-9-8-bez-uvl"/>
              <w:spacing w:before="0" w:beforeAutospacing="0" w:after="120" w:afterAutospacing="0"/>
            </w:pPr>
            <w:r>
              <w:t xml:space="preserve">Odluka o donošenju </w:t>
            </w:r>
            <w:r w:rsidR="00B40940" w:rsidRPr="00E47EC1">
              <w:t>Plan</w:t>
            </w:r>
            <w:r>
              <w:t>a</w:t>
            </w:r>
            <w:r w:rsidR="00B40940" w:rsidRPr="00E47EC1">
              <w:t xml:space="preserve"> gospodarenja otpadom Republik</w:t>
            </w:r>
            <w:r w:rsidR="00782F5F" w:rsidRPr="00E47EC1">
              <w:t xml:space="preserve">e Hrvatske za razdoblje 2017. – </w:t>
            </w:r>
            <w:r w:rsidR="00B40940" w:rsidRPr="00E47EC1">
              <w:t>2022. godine (Narodne novine, br</w:t>
            </w:r>
            <w:r w:rsidR="007C1DF6">
              <w:t>oj</w:t>
            </w:r>
            <w:r w:rsidR="00B40940" w:rsidRPr="00E47EC1">
              <w:t xml:space="preserve"> 3/17)</w:t>
            </w:r>
          </w:p>
        </w:tc>
      </w:tr>
      <w:tr w:rsidR="00317EE7" w:rsidRPr="00E47EC1" w14:paraId="1A18DB0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9" w14:textId="77777777" w:rsidR="00317EE7" w:rsidRPr="00E47EC1" w:rsidRDefault="00317EE7" w:rsidP="00DD7050">
            <w:pPr>
              <w:pStyle w:val="t-9-8-bez-uvl"/>
              <w:spacing w:before="0" w:beforeAutospacing="0" w:after="120" w:afterAutospacing="0"/>
              <w:rPr>
                <w:color w:val="000000"/>
                <w:highlight w:val="yellow"/>
              </w:rPr>
            </w:pPr>
            <w:r w:rsidRPr="00E47EC1">
              <w:t>Plan intervencija u zašti</w:t>
            </w:r>
            <w:r w:rsidR="000F1A2A" w:rsidRPr="00E47EC1">
              <w:t>ti okoliša (Narodne novine, br.</w:t>
            </w:r>
            <w:r w:rsidRPr="00E47EC1">
              <w:t xml:space="preserve"> </w:t>
            </w:r>
            <w:r w:rsidR="000F1A2A" w:rsidRPr="00E47EC1">
              <w:t xml:space="preserve">82/99, 86/99 i </w:t>
            </w:r>
            <w:r w:rsidRPr="00E47EC1">
              <w:t>12/01)</w:t>
            </w:r>
          </w:p>
        </w:tc>
      </w:tr>
      <w:tr w:rsidR="00317EE7" w:rsidRPr="00E47EC1" w14:paraId="1A18DB0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B" w14:textId="77777777" w:rsidR="00317EE7" w:rsidRPr="00E47EC1" w:rsidRDefault="00317EE7" w:rsidP="00DD7050">
            <w:pPr>
              <w:pStyle w:val="t-9-8-bez-uvl"/>
              <w:spacing w:before="0" w:beforeAutospacing="0" w:after="120" w:afterAutospacing="0"/>
              <w:rPr>
                <w:color w:val="000000"/>
              </w:rPr>
            </w:pPr>
            <w:r w:rsidRPr="00E47EC1">
              <w:t>Odluka o donošenju plana zaštite zraka, ozonskog sloja i ublažavanja klimatskih promjena u Republici Hrvatskoj za razdoblje od 2013. do 2017. godine (Narodne novine, broj 139/13)</w:t>
            </w:r>
          </w:p>
        </w:tc>
      </w:tr>
      <w:tr w:rsidR="00317EE7" w:rsidRPr="00E47EC1" w14:paraId="1A18DB0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D" w14:textId="77777777" w:rsidR="00317EE7" w:rsidRPr="00E47EC1" w:rsidRDefault="00317EE7" w:rsidP="00DD7050">
            <w:pPr>
              <w:spacing w:after="120"/>
              <w:rPr>
                <w:b/>
                <w:bCs/>
                <w:lang w:val="pl-PL"/>
              </w:rPr>
            </w:pPr>
            <w:r w:rsidRPr="00E47EC1">
              <w:t>Plan intervencija kod iznenadnih onečišćenja mora (Narodne novine, broj 92/08)</w:t>
            </w:r>
          </w:p>
        </w:tc>
      </w:tr>
      <w:tr w:rsidR="00317EE7" w:rsidRPr="00E47EC1" w14:paraId="1A18DB1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0F" w14:textId="77777777" w:rsidR="00F545ED" w:rsidRPr="00E47EC1" w:rsidRDefault="00317EE7" w:rsidP="00DD7050">
            <w:pPr>
              <w:spacing w:after="120"/>
              <w:rPr>
                <w:rStyle w:val="Naglaeno"/>
                <w:b w:val="0"/>
                <w:bCs w:val="0"/>
              </w:rPr>
            </w:pPr>
            <w:r w:rsidRPr="0083122D">
              <w:t>Strategija održivog razvitka Republike Hrvatske (Narodne novine, broj 30/09)</w:t>
            </w:r>
          </w:p>
        </w:tc>
      </w:tr>
      <w:tr w:rsidR="00317EE7" w:rsidRPr="00E47EC1" w14:paraId="1A18DB12"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B11" w14:textId="77777777" w:rsidR="00317EE7" w:rsidRPr="00E47EC1" w:rsidRDefault="00D26AED" w:rsidP="00782F5F">
            <w:pPr>
              <w:spacing w:after="120"/>
              <w:jc w:val="center"/>
              <w:rPr>
                <w:b/>
                <w:bCs/>
              </w:rPr>
            </w:pPr>
            <w:r w:rsidRPr="00E47EC1">
              <w:rPr>
                <w:b/>
                <w:bCs/>
                <w:lang w:val="en-US"/>
              </w:rPr>
              <w:t xml:space="preserve">ODRŽIVO </w:t>
            </w:r>
            <w:r w:rsidR="00317EE7" w:rsidRPr="00E47EC1">
              <w:rPr>
                <w:b/>
                <w:bCs/>
                <w:lang w:val="en-US"/>
              </w:rPr>
              <w:t>GOSPODARENJE OTPADOM</w:t>
            </w:r>
          </w:p>
        </w:tc>
      </w:tr>
      <w:tr w:rsidR="00317EE7" w:rsidRPr="00E47EC1" w14:paraId="1A18DB1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3" w14:textId="77777777" w:rsidR="00317EE7" w:rsidRPr="00E47EC1" w:rsidRDefault="00317EE7" w:rsidP="00277611">
            <w:pPr>
              <w:spacing w:after="120"/>
            </w:pPr>
            <w:r w:rsidRPr="00E47EC1">
              <w:t>Zakon o potvrđivanju</w:t>
            </w:r>
            <w:r w:rsidR="00D663A8" w:rsidRPr="00E47EC1">
              <w:t xml:space="preserve"> </w:t>
            </w:r>
            <w:r w:rsidRPr="00E47EC1">
              <w:t>konvencije o nadzoru prekograničnog prometa opasnog otpada i njegovu odlaganju (</w:t>
            </w:r>
            <w:r w:rsidR="00355500" w:rsidRPr="00E47EC1">
              <w:t>Narodne novine</w:t>
            </w:r>
            <w:r w:rsidR="00B40940" w:rsidRPr="00E47EC1">
              <w:t xml:space="preserve"> </w:t>
            </w:r>
            <w:r w:rsidR="00782F5F" w:rsidRPr="00E47EC1">
              <w:t>–</w:t>
            </w:r>
            <w:r w:rsidR="00B40940" w:rsidRPr="00E47EC1">
              <w:rPr>
                <w:i/>
              </w:rPr>
              <w:t xml:space="preserve"> </w:t>
            </w:r>
            <w:r w:rsidR="00355500" w:rsidRPr="00E47EC1">
              <w:t>Međunarodni ugovori</w:t>
            </w:r>
            <w:r w:rsidRPr="00E47EC1">
              <w:t>, broj 3/94)</w:t>
            </w:r>
          </w:p>
        </w:tc>
      </w:tr>
      <w:tr w:rsidR="00ED3ED3" w:rsidRPr="00E47EC1" w14:paraId="1A18DB1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5" w14:textId="77777777" w:rsidR="00ED3ED3" w:rsidRPr="00E47EC1" w:rsidRDefault="00ED3ED3" w:rsidP="007C1DF6">
            <w:pPr>
              <w:spacing w:after="120"/>
            </w:pPr>
            <w:r w:rsidRPr="00E47EC1">
              <w:t>Zakon o potvrđivanju izmjene i dopune Baselske konvencije o nadzoru prekograničnog prometa opasnog otpada i njegovu odlaganju, (Narodne novine – Međunarodni ugovori, broj 7/19)</w:t>
            </w:r>
          </w:p>
        </w:tc>
      </w:tr>
      <w:tr w:rsidR="00317EE7" w:rsidRPr="00E47EC1" w14:paraId="1A18DB1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7" w14:textId="05FC6A21" w:rsidR="00317EE7" w:rsidRPr="00E47EC1" w:rsidRDefault="00FD36A7" w:rsidP="00FD36A7">
            <w:pPr>
              <w:spacing w:after="120"/>
            </w:pPr>
            <w:r>
              <w:t>Zakon o gospodarenju otpadom (Narodne novine, broj 84/21)</w:t>
            </w:r>
          </w:p>
        </w:tc>
      </w:tr>
      <w:tr w:rsidR="00B40940" w:rsidRPr="00E47EC1" w14:paraId="1A18DB1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9" w14:textId="77777777" w:rsidR="00B40940" w:rsidRPr="00E47EC1" w:rsidRDefault="00B40940" w:rsidP="00DD7050">
            <w:pPr>
              <w:spacing w:after="120"/>
            </w:pPr>
            <w:r w:rsidRPr="00E47EC1">
              <w:t>Pravilnik o gospodarenju otpadom (Narodne novine</w:t>
            </w:r>
            <w:r w:rsidR="00ED3ED3" w:rsidRPr="00E47EC1">
              <w:t>, broj</w:t>
            </w:r>
            <w:r w:rsidRPr="00E47EC1">
              <w:t xml:space="preserve"> 117/17)</w:t>
            </w:r>
          </w:p>
        </w:tc>
      </w:tr>
      <w:tr w:rsidR="00317EE7" w:rsidRPr="00E47EC1" w14:paraId="1A18DB1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B" w14:textId="77777777" w:rsidR="00317EE7" w:rsidRPr="00E47EC1" w:rsidRDefault="00317EE7" w:rsidP="00DD7050">
            <w:pPr>
              <w:spacing w:after="120"/>
              <w:rPr>
                <w:b/>
                <w:bCs/>
              </w:rPr>
            </w:pPr>
            <w:r w:rsidRPr="00E47EC1">
              <w:t>Pravilnik o gospodarenju polikloriranim bifenilima i polikloriranim terfenilima (Narodne novine, broj 103/14)</w:t>
            </w:r>
          </w:p>
        </w:tc>
      </w:tr>
      <w:tr w:rsidR="00317EE7" w:rsidRPr="00E47EC1" w14:paraId="1A18DB1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D" w14:textId="77777777" w:rsidR="00C1571B" w:rsidRPr="00E47EC1" w:rsidRDefault="00317EE7" w:rsidP="00DD7050">
            <w:pPr>
              <w:spacing w:after="120"/>
              <w:rPr>
                <w:rStyle w:val="Naglaeno"/>
                <w:b w:val="0"/>
                <w:bCs w:val="0"/>
              </w:rPr>
            </w:pPr>
            <w:r w:rsidRPr="007C1DF6">
              <w:t>Pravilnik o gospodarenju otpadnom električnom i elektroničkom opremom (Narodne novine, br</w:t>
            </w:r>
            <w:r w:rsidR="000B6F61" w:rsidRPr="00E47EC1">
              <w:t>.</w:t>
            </w:r>
            <w:r w:rsidRPr="00E47EC1">
              <w:t xml:space="preserve"> 42/14, 48/14, 107/14</w:t>
            </w:r>
            <w:r w:rsidR="00090862" w:rsidRPr="00E47EC1">
              <w:t>,</w:t>
            </w:r>
            <w:r w:rsidRPr="00E47EC1">
              <w:t>139/14</w:t>
            </w:r>
            <w:r w:rsidR="00090862" w:rsidRPr="00E47EC1">
              <w:t xml:space="preserve"> i 11/19</w:t>
            </w:r>
            <w:r w:rsidRPr="00E47EC1">
              <w:t>)</w:t>
            </w:r>
          </w:p>
        </w:tc>
      </w:tr>
      <w:tr w:rsidR="00ED3ED3" w:rsidRPr="00E47EC1" w14:paraId="1A18DB2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1F" w14:textId="77777777" w:rsidR="00ED3ED3" w:rsidRPr="00E47EC1" w:rsidRDefault="00ED3ED3" w:rsidP="00ED3ED3">
            <w:pPr>
              <w:spacing w:after="120"/>
            </w:pPr>
            <w:r w:rsidRPr="00E47EC1">
              <w:lastRenderedPageBreak/>
              <w:t>Pravilnik o gospodarenju otpadnim vozilima (Narodne novine, br. 125/15, 90/16, 60/18 i 72/18)</w:t>
            </w:r>
          </w:p>
        </w:tc>
      </w:tr>
      <w:tr w:rsidR="00ED3ED3" w:rsidRPr="00E47EC1" w14:paraId="1A18DB22"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B21" w14:textId="77777777" w:rsidR="00ED3ED3" w:rsidRPr="00E47EC1" w:rsidRDefault="00ED3ED3" w:rsidP="00ED3ED3">
            <w:pPr>
              <w:spacing w:after="120"/>
              <w:jc w:val="center"/>
              <w:rPr>
                <w:b/>
                <w:bCs/>
                <w:lang w:val="pl-PL"/>
              </w:rPr>
            </w:pPr>
            <w:r w:rsidRPr="00E47EC1">
              <w:rPr>
                <w:b/>
                <w:bCs/>
                <w:lang w:val="pl-PL"/>
              </w:rPr>
              <w:t>KVALITETA ZRAKA</w:t>
            </w:r>
          </w:p>
        </w:tc>
      </w:tr>
      <w:tr w:rsidR="00ED3ED3" w:rsidRPr="00E47EC1" w14:paraId="1A18DB2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23" w14:textId="77777777" w:rsidR="00ED3ED3" w:rsidRPr="00E47EC1" w:rsidRDefault="00ED3ED3" w:rsidP="00ED3ED3">
            <w:pPr>
              <w:spacing w:after="120"/>
              <w:rPr>
                <w:rStyle w:val="Naglaeno"/>
                <w:b w:val="0"/>
                <w:bCs w:val="0"/>
              </w:rPr>
            </w:pPr>
            <w:r w:rsidRPr="007C1DF6">
              <w:t>Zakon o zaštiti zraka (Narodne novine, br</w:t>
            </w:r>
            <w:r w:rsidR="007C1DF6">
              <w:t>oj</w:t>
            </w:r>
            <w:r w:rsidRPr="007C1DF6">
              <w:t xml:space="preserve"> </w:t>
            </w:r>
            <w:r w:rsidRPr="00E47EC1">
              <w:t>127/19)</w:t>
            </w:r>
          </w:p>
        </w:tc>
      </w:tr>
      <w:tr w:rsidR="00ED3ED3" w:rsidRPr="00E47EC1" w14:paraId="1A18DB2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25" w14:textId="77777777" w:rsidR="00ED3ED3" w:rsidRPr="00E47EC1" w:rsidRDefault="00ED3ED3" w:rsidP="00ED3ED3">
            <w:pPr>
              <w:spacing w:after="120"/>
              <w:rPr>
                <w:b/>
                <w:bCs/>
                <w:lang w:val="pl-PL"/>
              </w:rPr>
            </w:pPr>
            <w:r w:rsidRPr="00E47EC1">
              <w:t xml:space="preserve">Pravilnik o praćenju kvalitete zraka (Narodne novine, broj </w:t>
            </w:r>
            <w:r w:rsidR="00297E56">
              <w:t>72/20</w:t>
            </w:r>
            <w:r w:rsidRPr="00E47EC1">
              <w:t>)</w:t>
            </w:r>
          </w:p>
        </w:tc>
      </w:tr>
      <w:tr w:rsidR="00ED3ED3" w:rsidRPr="00E47EC1" w14:paraId="1A18DB2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27" w14:textId="77777777" w:rsidR="00ED3ED3" w:rsidRPr="00E47EC1" w:rsidRDefault="00ED3ED3" w:rsidP="00297E56">
            <w:pPr>
              <w:spacing w:after="120"/>
              <w:rPr>
                <w:rStyle w:val="Naglaeno"/>
                <w:b w:val="0"/>
                <w:bCs w:val="0"/>
              </w:rPr>
            </w:pPr>
            <w:r w:rsidRPr="007C1DF6">
              <w:t xml:space="preserve">Uredba o razinama onečišćujućih tvari u zraku (Narodne novine, </w:t>
            </w:r>
            <w:r w:rsidR="007C1DF6" w:rsidRPr="007C1DF6">
              <w:t>br</w:t>
            </w:r>
            <w:r w:rsidR="007C1DF6">
              <w:t>.</w:t>
            </w:r>
            <w:r w:rsidR="00297E56">
              <w:t>77/20</w:t>
            </w:r>
            <w:r w:rsidRPr="007C1DF6">
              <w:t>)</w:t>
            </w:r>
          </w:p>
        </w:tc>
      </w:tr>
      <w:tr w:rsidR="00ED3ED3" w:rsidRPr="00E47EC1" w14:paraId="1A18DB2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29" w14:textId="77777777" w:rsidR="00ED3ED3" w:rsidRPr="00E47EC1" w:rsidRDefault="00ED3ED3" w:rsidP="00297E56">
            <w:pPr>
              <w:spacing w:after="120"/>
              <w:rPr>
                <w:b/>
                <w:bCs/>
                <w:lang w:val="pl-PL"/>
              </w:rPr>
            </w:pPr>
            <w:r w:rsidRPr="00E47EC1">
              <w:t>Pravilnik o praćenju emisija onečišćujućih tvari u zrak iz nepokretnih izvora (Narodne novine, br.</w:t>
            </w:r>
            <w:r w:rsidR="00297E56">
              <w:t>47/21</w:t>
            </w:r>
            <w:r w:rsidRPr="00E47EC1">
              <w:t>)</w:t>
            </w:r>
          </w:p>
        </w:tc>
      </w:tr>
      <w:tr w:rsidR="00ED3ED3" w:rsidRPr="00E47EC1" w14:paraId="1A18DB2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2B" w14:textId="77777777" w:rsidR="00ED3ED3" w:rsidRPr="00E47EC1" w:rsidRDefault="00ED3ED3" w:rsidP="00297E56">
            <w:pPr>
              <w:spacing w:after="120"/>
              <w:rPr>
                <w:rStyle w:val="Naglaeno"/>
                <w:b w:val="0"/>
                <w:bCs w:val="0"/>
              </w:rPr>
            </w:pPr>
            <w:r w:rsidRPr="007C1DF6">
              <w:t>Uredba o kvaliteti tekućih naftnih goriva (Narodne novine, broj</w:t>
            </w:r>
            <w:r w:rsidR="00297E56">
              <w:t xml:space="preserve"> 131/21</w:t>
            </w:r>
            <w:r w:rsidRPr="007C1DF6">
              <w:t xml:space="preserve">) </w:t>
            </w:r>
          </w:p>
        </w:tc>
      </w:tr>
      <w:tr w:rsidR="00ED3ED3" w:rsidRPr="00E47EC1" w14:paraId="1A18DB2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2D" w14:textId="77777777" w:rsidR="00ED3ED3" w:rsidRPr="00E47EC1" w:rsidRDefault="00ED3ED3" w:rsidP="00297E56">
            <w:pPr>
              <w:spacing w:after="120"/>
              <w:rPr>
                <w:b/>
                <w:bCs/>
                <w:lang w:val="pl-PL"/>
              </w:rPr>
            </w:pPr>
            <w:r w:rsidRPr="00E47EC1">
              <w:t xml:space="preserve">Uredba o graničnim vrijednostima emisija onečišćujućih tvari u zrak iz nepokretnih izvora (Narodne novine, broj </w:t>
            </w:r>
            <w:r w:rsidR="00297E56">
              <w:t>42/</w:t>
            </w:r>
            <w:r w:rsidR="00297E56" w:rsidRPr="00297E56">
              <w:t>21</w:t>
            </w:r>
            <w:r w:rsidRPr="00E47EC1">
              <w:t>)</w:t>
            </w:r>
          </w:p>
        </w:tc>
      </w:tr>
      <w:tr w:rsidR="00ED3ED3" w:rsidRPr="00E47EC1" w14:paraId="1A18DB30"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B2F" w14:textId="77777777" w:rsidR="00ED3ED3" w:rsidRPr="00E47EC1" w:rsidRDefault="00ED3ED3" w:rsidP="00ED3ED3">
            <w:pPr>
              <w:pStyle w:val="t-9-8-bez-uvl"/>
              <w:spacing w:before="0" w:beforeAutospacing="0" w:after="120" w:afterAutospacing="0"/>
              <w:jc w:val="center"/>
              <w:rPr>
                <w:b/>
                <w:bCs/>
                <w:color w:val="000000"/>
              </w:rPr>
            </w:pPr>
            <w:r w:rsidRPr="00E47EC1">
              <w:rPr>
                <w:b/>
                <w:bCs/>
                <w:color w:val="000000"/>
              </w:rPr>
              <w:t>ZAŠTITA POLJOPRIVREDNOG ZEMLJIŠTA</w:t>
            </w:r>
          </w:p>
        </w:tc>
      </w:tr>
      <w:tr w:rsidR="00ED3ED3" w:rsidRPr="00E47EC1" w14:paraId="1A18DB3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1" w14:textId="77777777" w:rsidR="00ED3ED3" w:rsidRPr="00E47EC1" w:rsidRDefault="00ED3ED3" w:rsidP="007C1DF6">
            <w:pPr>
              <w:pStyle w:val="t-9-8-bez-uvl"/>
              <w:spacing w:before="0" w:beforeAutospacing="0" w:after="120" w:afterAutospacing="0"/>
              <w:rPr>
                <w:color w:val="000000"/>
              </w:rPr>
            </w:pPr>
            <w:r w:rsidRPr="00E47EC1">
              <w:t xml:space="preserve">Zakon o poljoprivrednom zemljištu (Narodne novine, </w:t>
            </w:r>
            <w:r w:rsidR="007C1DF6" w:rsidRPr="00E47EC1">
              <w:t>br</w:t>
            </w:r>
            <w:r w:rsidR="007C1DF6">
              <w:t>.</w:t>
            </w:r>
            <w:r w:rsidR="007C1DF6" w:rsidRPr="00E47EC1">
              <w:t xml:space="preserve"> </w:t>
            </w:r>
            <w:r w:rsidR="00A34681" w:rsidRPr="00E47EC1">
              <w:t>20/18, 115/18 i 98/19</w:t>
            </w:r>
            <w:r w:rsidRPr="00E47EC1">
              <w:t>)</w:t>
            </w:r>
          </w:p>
        </w:tc>
      </w:tr>
      <w:tr w:rsidR="00ED3ED3" w:rsidRPr="00E47EC1" w14:paraId="1A18DB3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3" w14:textId="77777777" w:rsidR="00ED3ED3" w:rsidRPr="00E47EC1" w:rsidRDefault="00ED3ED3" w:rsidP="00ED3ED3">
            <w:pPr>
              <w:pStyle w:val="t-9-8-bez-uvl"/>
              <w:spacing w:before="0" w:beforeAutospacing="0" w:after="120" w:afterAutospacing="0"/>
              <w:rPr>
                <w:color w:val="000000"/>
              </w:rPr>
            </w:pPr>
            <w:r w:rsidRPr="00E47EC1">
              <w:t xml:space="preserve">Pravilnik o zaštiti poljoprivrednog zemljišta od onečišćenja (Narodne novine, broj </w:t>
            </w:r>
            <w:r w:rsidR="00A34681" w:rsidRPr="00E47EC1">
              <w:t>71/19</w:t>
            </w:r>
            <w:r w:rsidRPr="00E47EC1">
              <w:t>)</w:t>
            </w:r>
          </w:p>
        </w:tc>
      </w:tr>
      <w:tr w:rsidR="00ED3ED3" w:rsidRPr="00E47EC1" w14:paraId="1A18DB3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5" w14:textId="77777777" w:rsidR="00ED3ED3" w:rsidRPr="00E47EC1" w:rsidRDefault="00ED3ED3" w:rsidP="00E63861">
            <w:pPr>
              <w:pStyle w:val="t-9-8-bez-uvl"/>
              <w:spacing w:before="0" w:beforeAutospacing="0" w:after="120" w:afterAutospacing="0"/>
              <w:rPr>
                <w:color w:val="000000"/>
              </w:rPr>
            </w:pPr>
            <w:r w:rsidRPr="00E47EC1">
              <w:t>Pravilnik o metodologiji za praćenje stanja poljoprivrednog zemljišta (Narodne novine, broj 4</w:t>
            </w:r>
            <w:r w:rsidR="00E63861">
              <w:t>7</w:t>
            </w:r>
            <w:r w:rsidRPr="00E47EC1">
              <w:t>/1</w:t>
            </w:r>
            <w:r w:rsidR="00E63861">
              <w:t>9</w:t>
            </w:r>
            <w:r w:rsidRPr="00E47EC1">
              <w:t>)</w:t>
            </w:r>
          </w:p>
        </w:tc>
      </w:tr>
      <w:tr w:rsidR="00ED3ED3" w:rsidRPr="00E47EC1" w14:paraId="1A18DB3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7" w14:textId="77777777" w:rsidR="00ED3ED3" w:rsidRPr="00E47EC1" w:rsidRDefault="00ED3ED3" w:rsidP="00ED3ED3">
            <w:pPr>
              <w:pStyle w:val="t-9-8-bez-uvl"/>
              <w:spacing w:before="0" w:beforeAutospacing="0" w:after="120" w:afterAutospacing="0"/>
              <w:rPr>
                <w:color w:val="000000"/>
              </w:rPr>
            </w:pPr>
            <w:r w:rsidRPr="00E47EC1">
              <w:t xml:space="preserve">Pravilnik o agrotehničkim mjerama (Narodne novine, broj </w:t>
            </w:r>
            <w:r w:rsidR="00A34681" w:rsidRPr="00E47EC1">
              <w:t>22/19</w:t>
            </w:r>
            <w:r w:rsidRPr="00E47EC1">
              <w:t>)</w:t>
            </w:r>
          </w:p>
        </w:tc>
      </w:tr>
      <w:tr w:rsidR="00ED3ED3" w:rsidRPr="00E47EC1" w14:paraId="1A18DB3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9" w14:textId="77777777" w:rsidR="00ED3ED3" w:rsidRPr="00E47EC1" w:rsidRDefault="00ED3ED3" w:rsidP="00ED3ED3">
            <w:pPr>
              <w:pStyle w:val="t-9-8-bez-uvl"/>
              <w:spacing w:before="0" w:beforeAutospacing="0" w:after="120" w:afterAutospacing="0"/>
              <w:rPr>
                <w:color w:val="000000"/>
              </w:rPr>
            </w:pPr>
            <w:r w:rsidRPr="00E47EC1">
              <w:t xml:space="preserve">Pravilnik o mjerilima za utvrđivanje osobito vrijednog obradivog (P1) i vrijednog obradivog (P2) poljoprivrednog zemljišta (Narodne novine, broj </w:t>
            </w:r>
            <w:r w:rsidR="00A34681" w:rsidRPr="00E47EC1">
              <w:t>23/19</w:t>
            </w:r>
            <w:r w:rsidRPr="00E47EC1">
              <w:t>)</w:t>
            </w:r>
          </w:p>
        </w:tc>
      </w:tr>
      <w:tr w:rsidR="00ED3ED3" w:rsidRPr="00E47EC1" w14:paraId="1A18DB3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B" w14:textId="77777777" w:rsidR="00ED3ED3" w:rsidRPr="00E47EC1" w:rsidRDefault="00ED3ED3" w:rsidP="00ED3ED3">
            <w:pPr>
              <w:pStyle w:val="t-9-8-bez-uvl"/>
              <w:spacing w:before="0" w:beforeAutospacing="0" w:after="120" w:afterAutospacing="0"/>
              <w:rPr>
                <w:color w:val="000000"/>
              </w:rPr>
            </w:pPr>
            <w:r w:rsidRPr="00E47EC1">
              <w:t>Pravilnik o postupku registracije sredstava za zaštitu bilja (Narodne novine, br. 57/07, 119/09, 142/12 i 80/13)</w:t>
            </w:r>
          </w:p>
        </w:tc>
      </w:tr>
      <w:tr w:rsidR="00ED3ED3" w:rsidRPr="00E47EC1" w14:paraId="1A18DB3E"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18DB3D" w14:textId="77777777" w:rsidR="00ED3ED3" w:rsidRPr="00E47EC1" w:rsidRDefault="00ED3ED3" w:rsidP="00ED3ED3">
            <w:pPr>
              <w:pStyle w:val="t-9-8-bez-uvl"/>
              <w:spacing w:before="0" w:beforeAutospacing="0" w:after="120" w:afterAutospacing="0"/>
              <w:jc w:val="center"/>
              <w:rPr>
                <w:b/>
              </w:rPr>
            </w:pPr>
            <w:r w:rsidRPr="00E47EC1">
              <w:rPr>
                <w:b/>
              </w:rPr>
              <w:t>ZAŠTITA ŠUMSKIH EKOSUSTAVA</w:t>
            </w:r>
          </w:p>
        </w:tc>
      </w:tr>
      <w:tr w:rsidR="00ED3ED3" w:rsidRPr="00E47EC1" w14:paraId="1A18DB4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3F" w14:textId="77777777" w:rsidR="00ED3ED3" w:rsidRPr="00E47EC1" w:rsidRDefault="00ED3ED3" w:rsidP="00ED3ED3">
            <w:pPr>
              <w:pStyle w:val="t-9-8-bez-uvl"/>
              <w:spacing w:before="0" w:beforeAutospacing="0" w:after="120" w:afterAutospacing="0"/>
            </w:pPr>
            <w:r w:rsidRPr="00E47EC1">
              <w:t xml:space="preserve">Zakon o šumama (Narodne novine, br. </w:t>
            </w:r>
            <w:r w:rsidR="00CA55CB" w:rsidRPr="00CA55CB">
              <w:t>68/18, 115/18, 98/19, 32/20 i 145/20</w:t>
            </w:r>
            <w:r w:rsidRPr="00E47EC1">
              <w:t xml:space="preserve">) </w:t>
            </w:r>
          </w:p>
        </w:tc>
      </w:tr>
      <w:tr w:rsidR="00ED3ED3" w:rsidRPr="00E47EC1" w14:paraId="1A18DB4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41" w14:textId="77777777" w:rsidR="00ED3ED3" w:rsidRPr="00E47EC1" w:rsidRDefault="00ED3ED3" w:rsidP="00C11A75">
            <w:pPr>
              <w:pStyle w:val="t-9-8-bez-uvl"/>
              <w:spacing w:before="0" w:beforeAutospacing="0" w:after="120" w:afterAutospacing="0"/>
            </w:pPr>
            <w:r w:rsidRPr="00E47EC1">
              <w:t>Pravilnik o zaštiti šuma od požara (Narodne novine, br</w:t>
            </w:r>
            <w:r w:rsidR="00C11A75" w:rsidRPr="00E47EC1">
              <w:t>oj</w:t>
            </w:r>
            <w:r w:rsidRPr="00E47EC1">
              <w:t xml:space="preserve"> 33/14)</w:t>
            </w:r>
          </w:p>
        </w:tc>
      </w:tr>
      <w:tr w:rsidR="00ED3ED3" w:rsidRPr="00E47EC1" w14:paraId="1A18DB4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43" w14:textId="77777777" w:rsidR="00ED3ED3" w:rsidRPr="00E47EC1" w:rsidRDefault="00ED3ED3" w:rsidP="00ED3ED3">
            <w:pPr>
              <w:pStyle w:val="t-9-8-bez-uvl"/>
              <w:spacing w:before="0" w:beforeAutospacing="0" w:after="120" w:afterAutospacing="0"/>
            </w:pPr>
            <w:r w:rsidRPr="00E47EC1">
              <w:t>Pravilnik o načinu prikupljanja podataka, vođenju registra te uvjetima korištenja podataka o šumskim požarima (Narodne novine, br. 75/13, 150/14 i 21/17</w:t>
            </w:r>
            <w:r w:rsidR="00C82E55">
              <w:t xml:space="preserve"> i 82/19</w:t>
            </w:r>
            <w:r w:rsidRPr="00E47EC1">
              <w:t>)</w:t>
            </w:r>
          </w:p>
        </w:tc>
      </w:tr>
      <w:tr w:rsidR="00ED3ED3" w:rsidRPr="00E47EC1" w14:paraId="1A18DB4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18DB45" w14:textId="77777777" w:rsidR="00ED3ED3" w:rsidRPr="00E47EC1" w:rsidRDefault="00ED3ED3" w:rsidP="000303B8">
            <w:pPr>
              <w:pStyle w:val="t-9-8-bez-uvl"/>
              <w:spacing w:before="0" w:beforeAutospacing="0" w:after="120" w:afterAutospacing="0"/>
            </w:pPr>
            <w:r w:rsidRPr="00E47EC1">
              <w:t>Pravilnik o načinu motrenja oštećenosti šumskih ekosustava (Narodne novine, br. 76/13</w:t>
            </w:r>
            <w:r w:rsidR="000303B8">
              <w:t>,</w:t>
            </w:r>
            <w:r w:rsidRPr="00E47EC1">
              <w:t xml:space="preserve"> 122/14</w:t>
            </w:r>
            <w:r w:rsidR="00C82E55">
              <w:t xml:space="preserve"> </w:t>
            </w:r>
            <w:r w:rsidR="00C82E55" w:rsidRPr="00C82E55">
              <w:t>i 54/19</w:t>
            </w:r>
            <w:r w:rsidRPr="00E47EC1">
              <w:t>)</w:t>
            </w:r>
          </w:p>
        </w:tc>
      </w:tr>
    </w:tbl>
    <w:p w14:paraId="1A18DB47" w14:textId="77777777" w:rsidR="002B2221" w:rsidRDefault="002B2221" w:rsidP="00317EE7">
      <w:pPr>
        <w:spacing w:after="120"/>
      </w:pPr>
    </w:p>
    <w:p w14:paraId="1A18DB48" w14:textId="77777777" w:rsidR="00FC5A5E" w:rsidRDefault="00FC5A5E" w:rsidP="00317EE7">
      <w:pPr>
        <w:spacing w:after="120"/>
      </w:pPr>
    </w:p>
    <w:p w14:paraId="1A18DB49" w14:textId="77777777" w:rsidR="00FC5A5E" w:rsidRDefault="00FC5A5E" w:rsidP="00317EE7">
      <w:pPr>
        <w:spacing w:after="120"/>
      </w:pPr>
    </w:p>
    <w:p w14:paraId="1A18DB4A" w14:textId="28CF48BF" w:rsidR="00FC5A5E" w:rsidRDefault="00FC5A5E" w:rsidP="00317EE7">
      <w:pPr>
        <w:spacing w:after="120"/>
      </w:pPr>
    </w:p>
    <w:p w14:paraId="33269F0E" w14:textId="77777777" w:rsidR="00FB13AA" w:rsidRDefault="00FB13AA" w:rsidP="00317EE7">
      <w:pPr>
        <w:spacing w:after="120"/>
      </w:pPr>
    </w:p>
    <w:p w14:paraId="1A18DB4B" w14:textId="6D0014FD" w:rsidR="00FC5A5E" w:rsidRDefault="00FC5A5E" w:rsidP="00317EE7">
      <w:pPr>
        <w:spacing w:after="120"/>
      </w:pPr>
    </w:p>
    <w:p w14:paraId="37322A24" w14:textId="5A834287" w:rsidR="001B4447" w:rsidRDefault="001B4447" w:rsidP="00317EE7">
      <w:pPr>
        <w:spacing w:after="120"/>
      </w:pPr>
    </w:p>
    <w:p w14:paraId="789C274E" w14:textId="742FB993" w:rsidR="001B4447" w:rsidRDefault="001B4447" w:rsidP="00317EE7">
      <w:pPr>
        <w:spacing w:after="120"/>
      </w:pPr>
    </w:p>
    <w:p w14:paraId="65EF1F75" w14:textId="77777777" w:rsidR="001B4447" w:rsidRPr="00E47EC1" w:rsidRDefault="001B4447" w:rsidP="00317EE7">
      <w:pPr>
        <w:spacing w:after="120"/>
      </w:pPr>
    </w:p>
    <w:p w14:paraId="1A18DB4C" w14:textId="77777777" w:rsidR="00317EE7" w:rsidRPr="00E47EC1" w:rsidRDefault="002664D6" w:rsidP="00165336">
      <w:pPr>
        <w:pStyle w:val="Naslov2"/>
        <w:numPr>
          <w:ilvl w:val="1"/>
          <w:numId w:val="8"/>
        </w:numPr>
        <w:spacing w:after="120"/>
        <w:rPr>
          <w:b w:val="0"/>
        </w:rPr>
      </w:pPr>
      <w:r w:rsidRPr="00E47EC1">
        <w:rPr>
          <w:b w:val="0"/>
        </w:rPr>
        <w:lastRenderedPageBreak/>
        <w:t xml:space="preserve"> </w:t>
      </w:r>
      <w:bookmarkStart w:id="6" w:name="_Toc100840606"/>
      <w:r w:rsidR="00D55E4A" w:rsidRPr="00E47EC1">
        <w:rPr>
          <w:b w:val="0"/>
        </w:rPr>
        <w:t>PREGLED PODATAKA O IZVRŠENIM OBVEZAMA U GOSPODARENJU POLIKLORIRANIM BIFENILIMA I POLIKLORIRANIM TERFENILIMA (PCB</w:t>
      </w:r>
      <w:r w:rsidR="00BC5A46" w:rsidRPr="00E47EC1">
        <w:rPr>
          <w:b w:val="0"/>
        </w:rPr>
        <w:t>/PCT</w:t>
      </w:r>
      <w:r w:rsidR="00D55E4A" w:rsidRPr="00E47EC1">
        <w:rPr>
          <w:b w:val="0"/>
        </w:rPr>
        <w:t xml:space="preserve">) SUKLADNO PRAVILNIKU O GOSPODARENJU POLIKLORIRANIM BIFENILIMA I POLIKLORIRANIM TERFENILIMA (NARODNE NOVINE, BROJ 103/14), STATUS </w:t>
      </w:r>
      <w:r w:rsidR="00D55E4A" w:rsidRPr="00E47EC1">
        <w:rPr>
          <w:b w:val="0"/>
          <w:color w:val="000000" w:themeColor="text1"/>
        </w:rPr>
        <w:t>U RAZDOBLJU 20</w:t>
      </w:r>
      <w:r w:rsidR="00A14420">
        <w:rPr>
          <w:b w:val="0"/>
          <w:color w:val="000000" w:themeColor="text1"/>
        </w:rPr>
        <w:t>20</w:t>
      </w:r>
      <w:r w:rsidR="00D55E4A" w:rsidRPr="00E47EC1">
        <w:rPr>
          <w:b w:val="0"/>
          <w:color w:val="000000" w:themeColor="text1"/>
        </w:rPr>
        <w:t>.</w:t>
      </w:r>
      <w:r w:rsidR="00165336" w:rsidRPr="00E47EC1">
        <w:rPr>
          <w:b w:val="0"/>
          <w:color w:val="000000" w:themeColor="text1"/>
        </w:rPr>
        <w:t xml:space="preserve"> – </w:t>
      </w:r>
      <w:r w:rsidR="00D55E4A" w:rsidRPr="00E47EC1">
        <w:rPr>
          <w:b w:val="0"/>
          <w:color w:val="000000" w:themeColor="text1"/>
        </w:rPr>
        <w:t>20</w:t>
      </w:r>
      <w:r w:rsidR="000A1EE9">
        <w:rPr>
          <w:b w:val="0"/>
          <w:color w:val="000000" w:themeColor="text1"/>
        </w:rPr>
        <w:t>2</w:t>
      </w:r>
      <w:r w:rsidR="00A14420">
        <w:rPr>
          <w:b w:val="0"/>
          <w:color w:val="000000" w:themeColor="text1"/>
        </w:rPr>
        <w:t>1</w:t>
      </w:r>
      <w:r w:rsidR="00D55E4A" w:rsidRPr="00E47EC1">
        <w:rPr>
          <w:b w:val="0"/>
          <w:color w:val="000000" w:themeColor="text1"/>
        </w:rPr>
        <w:t>. GODINE</w:t>
      </w:r>
      <w:bookmarkEnd w:id="6"/>
    </w:p>
    <w:p w14:paraId="1A18DB4D" w14:textId="77777777" w:rsidR="00317EE7" w:rsidRPr="00E47EC1" w:rsidRDefault="00317EE7" w:rsidP="00D55E4A">
      <w:pPr>
        <w:spacing w:after="120"/>
      </w:pPr>
      <w:r w:rsidRPr="00E47EC1">
        <w:t xml:space="preserve">Direktiva </w:t>
      </w:r>
      <w:r w:rsidR="0043390C" w:rsidRPr="00E47EC1">
        <w:t xml:space="preserve">Vijeća </w:t>
      </w:r>
      <w:r w:rsidRPr="00E47EC1">
        <w:t xml:space="preserve">96/59/EZ od 16. rujna 1996. o </w:t>
      </w:r>
      <w:r w:rsidR="0043390C" w:rsidRPr="00E47EC1">
        <w:t xml:space="preserve">odlaganju </w:t>
      </w:r>
      <w:r w:rsidRPr="00E47EC1">
        <w:t>polikloriranih bifenila i polikloriranih terfenila (PCB/PCT) (SL L 243, 24. 9. 1996.) (u daljnjem tekstu: Direktiva 96/59/EZ) propisuje zabrane i ograničenja kao i svako drugo obvezno postupanje pri zbrinjavanju polikloriranih bifenila i polikloriranih terfenila (u daljnjem tekstu: PCB) i otpadnih PCB-a pri dekontaminaciji i zbrinjavanju opreme koja sadrži PCB kako bi se oni u potpunosti zbrinuli i uklonili zbog opasnosti koje predstavljaju za okoliš i ljudsko zdravlje te se propisuje obveza izvješćivanja Europskoj komisiji.</w:t>
      </w:r>
    </w:p>
    <w:p w14:paraId="1A18DB4E" w14:textId="77777777" w:rsidR="00317EE7" w:rsidRPr="00E47EC1" w:rsidRDefault="00317EE7" w:rsidP="00D55E4A">
      <w:pPr>
        <w:spacing w:after="120"/>
        <w:rPr>
          <w:rFonts w:eastAsia="Calibri"/>
          <w:lang w:eastAsia="en-US"/>
        </w:rPr>
      </w:pPr>
      <w:r w:rsidRPr="00E47EC1">
        <w:t>Direktiva 96/59/EZ prenesena je u nacionalno zakonodavstvo Pravilnikom o gospodarenju polikloriranim bifenilima i polikloriranim terfenilima</w:t>
      </w:r>
      <w:r w:rsidR="003E2039" w:rsidRPr="00E47EC1">
        <w:t xml:space="preserve"> </w:t>
      </w:r>
      <w:r w:rsidRPr="00E47EC1">
        <w:t>(Narodne novine, broj 103/14; u daljnjem tekstu: Pravilnik)</w:t>
      </w:r>
      <w:r w:rsidR="000F1A2A" w:rsidRPr="00E47EC1">
        <w:t>. Donošenjem ovoga</w:t>
      </w:r>
      <w:r w:rsidRPr="00E47EC1">
        <w:t xml:space="preserve"> Pravilnika stavljen je izvan snage Pravilnik o gospodarenju polikloriranim bifenilima i polikloriranim terfenilima (Narodne novine, broj 105/08). Nadalje, </w:t>
      </w:r>
      <w:r w:rsidR="00BC5A46" w:rsidRPr="00E47EC1">
        <w:t xml:space="preserve">Pravilnik </w:t>
      </w:r>
      <w:r w:rsidRPr="00E47EC1">
        <w:t>propisuje uvjete gospodarenja PCB-ima, otpadnim PCB-ima i opremom koja sadrži PCB, zahtjev</w:t>
      </w:r>
      <w:r w:rsidR="00DC151D" w:rsidRPr="00E47EC1">
        <w:t>e</w:t>
      </w:r>
      <w:r w:rsidRPr="00E47EC1">
        <w:t xml:space="preserve"> u pogledu označavanja, skladištenja, prijevoza i obrade, obvez</w:t>
      </w:r>
      <w:r w:rsidR="00DC151D" w:rsidRPr="00E47EC1">
        <w:t>e vođenja evidencije, dokazivanje</w:t>
      </w:r>
      <w:r w:rsidRPr="00E47EC1">
        <w:t xml:space="preserve"> te dostav</w:t>
      </w:r>
      <w:r w:rsidR="00DC151D" w:rsidRPr="00E47EC1">
        <w:t>u</w:t>
      </w:r>
      <w:r w:rsidRPr="00E47EC1">
        <w:t xml:space="preserve"> izvješća, uključujući izvješćivanje prema Europskoj komisiji.</w:t>
      </w:r>
    </w:p>
    <w:p w14:paraId="1A18DB4F" w14:textId="78D6B44D" w:rsidR="00317EE7" w:rsidRPr="00E47EC1" w:rsidRDefault="00277611" w:rsidP="00317EE7">
      <w:pPr>
        <w:spacing w:after="120"/>
        <w:rPr>
          <w:rFonts w:eastAsia="Calibri"/>
          <w:lang w:eastAsia="en-US"/>
        </w:rPr>
      </w:pPr>
      <w:r w:rsidRPr="00E47EC1">
        <w:rPr>
          <w:rFonts w:eastAsia="Calibri"/>
          <w:lang w:eastAsia="en-US"/>
        </w:rPr>
        <w:t>T</w:t>
      </w:r>
      <w:r w:rsidR="00317EE7" w:rsidRPr="00E47EC1">
        <w:rPr>
          <w:rFonts w:eastAsia="Calibri"/>
          <w:lang w:eastAsia="en-US"/>
        </w:rPr>
        <w:t>emeljem Direktive 96/59/EZ i Pravilnika o gospodarenju polikloriranim bifenilima i polikloriranim terfenilima (Narodne novine, broj 105/08)</w:t>
      </w:r>
      <w:r w:rsidRPr="00E47EC1">
        <w:rPr>
          <w:rFonts w:eastAsia="Calibri"/>
          <w:lang w:eastAsia="en-US"/>
        </w:rPr>
        <w:t xml:space="preserve"> oprema s volumenom PCB-a većim od 5 dm</w:t>
      </w:r>
      <w:r w:rsidRPr="00E47EC1">
        <w:rPr>
          <w:rFonts w:eastAsia="Calibri"/>
          <w:vertAlign w:val="superscript"/>
          <w:lang w:eastAsia="en-US"/>
        </w:rPr>
        <w:t>3</w:t>
      </w:r>
      <w:r w:rsidR="00317EE7" w:rsidRPr="00E47EC1">
        <w:rPr>
          <w:rFonts w:eastAsia="Calibri"/>
          <w:lang w:eastAsia="en-US"/>
        </w:rPr>
        <w:t xml:space="preserve"> morala </w:t>
      </w:r>
      <w:r w:rsidRPr="00E47EC1">
        <w:rPr>
          <w:rFonts w:eastAsia="Calibri"/>
          <w:lang w:eastAsia="en-US"/>
        </w:rPr>
        <w:t xml:space="preserve">je biti </w:t>
      </w:r>
      <w:r w:rsidR="00317EE7" w:rsidRPr="00E47EC1">
        <w:rPr>
          <w:rFonts w:eastAsia="Calibri"/>
          <w:lang w:eastAsia="en-US"/>
        </w:rPr>
        <w:t>dekontaminira</w:t>
      </w:r>
      <w:r w:rsidRPr="00E47EC1">
        <w:rPr>
          <w:rFonts w:eastAsia="Calibri"/>
          <w:lang w:eastAsia="en-US"/>
        </w:rPr>
        <w:t>na</w:t>
      </w:r>
      <w:r w:rsidR="00317EE7" w:rsidRPr="00E47EC1">
        <w:rPr>
          <w:rFonts w:eastAsia="Calibri"/>
          <w:lang w:eastAsia="en-US"/>
        </w:rPr>
        <w:t xml:space="preserve"> do 31. prosinca 2010.</w:t>
      </w:r>
      <w:r w:rsidRPr="00E47EC1">
        <w:rPr>
          <w:rFonts w:eastAsia="Calibri"/>
          <w:lang w:eastAsia="en-US"/>
        </w:rPr>
        <w:t xml:space="preserve"> O</w:t>
      </w:r>
      <w:r w:rsidR="00317EE7" w:rsidRPr="00E47EC1">
        <w:rPr>
          <w:rFonts w:eastAsia="Calibri"/>
          <w:lang w:eastAsia="en-US"/>
        </w:rPr>
        <w:t>stalu opremu</w:t>
      </w:r>
      <w:r w:rsidRPr="00E47EC1">
        <w:rPr>
          <w:rFonts w:eastAsia="Calibri"/>
          <w:lang w:eastAsia="en-US"/>
        </w:rPr>
        <w:t xml:space="preserve">, nakon što su uređaji čiji je bila sastavni dio povučeni iz uporabe, </w:t>
      </w:r>
      <w:r w:rsidR="00317EE7" w:rsidRPr="00E47EC1">
        <w:rPr>
          <w:rFonts w:eastAsia="Calibri"/>
          <w:lang w:eastAsia="en-US"/>
        </w:rPr>
        <w:t xml:space="preserve">potrebno je zasebno sakupiti te predati ovlaštenoj osobi na dekontaminaciju i/ili zbrinjavanje u najkraćem mogućem roku u skladu s odredbama Pravilnika i Zakona o gospodarenju otpadom </w:t>
      </w:r>
      <w:r w:rsidR="00806467" w:rsidRPr="00E47EC1">
        <w:rPr>
          <w:rFonts w:eastAsia="Calibri"/>
          <w:lang w:eastAsia="en-US"/>
        </w:rPr>
        <w:t>(</w:t>
      </w:r>
      <w:r w:rsidR="008F1CD6" w:rsidRPr="00E47EC1">
        <w:rPr>
          <w:rFonts w:eastAsia="Calibri"/>
          <w:lang w:eastAsia="en-US"/>
        </w:rPr>
        <w:t>Narodne novine, br</w:t>
      </w:r>
      <w:r w:rsidR="00BF685A">
        <w:rPr>
          <w:rFonts w:eastAsia="Calibri"/>
          <w:lang w:eastAsia="en-US"/>
        </w:rPr>
        <w:t>oj</w:t>
      </w:r>
      <w:r w:rsidR="00BF685A" w:rsidRPr="00E47EC1">
        <w:rPr>
          <w:rFonts w:eastAsia="Calibri"/>
          <w:lang w:eastAsia="en-US"/>
        </w:rPr>
        <w:t xml:space="preserve"> </w:t>
      </w:r>
      <w:r w:rsidR="004C26EB">
        <w:rPr>
          <w:rFonts w:eastAsia="Calibri"/>
          <w:lang w:eastAsia="en-US"/>
        </w:rPr>
        <w:t>84/21</w:t>
      </w:r>
      <w:r w:rsidR="008F1CD6" w:rsidRPr="00E47EC1">
        <w:rPr>
          <w:rFonts w:eastAsia="Calibri"/>
          <w:lang w:eastAsia="en-US"/>
        </w:rPr>
        <w:t>)</w:t>
      </w:r>
      <w:r w:rsidR="00317EE7" w:rsidRPr="00E47EC1">
        <w:rPr>
          <w:rFonts w:eastAsia="Calibri"/>
          <w:lang w:eastAsia="en-US"/>
        </w:rPr>
        <w:t>, a najkasnije u roku određenom Zakonom o potvrđivanju Stockholmske konvencije o postojanim organskim onečišćujućim tvarima.</w:t>
      </w:r>
    </w:p>
    <w:p w14:paraId="1A18DB50" w14:textId="77777777" w:rsidR="00317EE7" w:rsidRPr="00E47EC1" w:rsidRDefault="00317EE7" w:rsidP="00317EE7">
      <w:pPr>
        <w:spacing w:after="120"/>
        <w:rPr>
          <w:rFonts w:eastAsia="Calibri"/>
          <w:lang w:eastAsia="en-US"/>
        </w:rPr>
      </w:pPr>
      <w:r w:rsidRPr="00E47EC1">
        <w:rPr>
          <w:rFonts w:eastAsia="Calibri"/>
          <w:lang w:eastAsia="en-US"/>
        </w:rPr>
        <w:t xml:space="preserve">Posjednik opreme dužan je popisati i prijaviti </w:t>
      </w:r>
      <w:r w:rsidR="00507E93" w:rsidRPr="00E47EC1">
        <w:rPr>
          <w:rFonts w:eastAsia="Calibri"/>
          <w:lang w:eastAsia="en-US"/>
        </w:rPr>
        <w:t xml:space="preserve">u </w:t>
      </w:r>
      <w:r w:rsidR="00975E26" w:rsidRPr="00E47EC1">
        <w:rPr>
          <w:rFonts w:eastAsia="Calibri"/>
          <w:lang w:eastAsia="en-US"/>
        </w:rPr>
        <w:t>M</w:t>
      </w:r>
      <w:r w:rsidR="000A1EE9">
        <w:rPr>
          <w:rFonts w:eastAsia="Calibri"/>
          <w:lang w:eastAsia="en-US"/>
        </w:rPr>
        <w:t>INGOR</w:t>
      </w:r>
      <w:r w:rsidR="00975E26" w:rsidRPr="00E47EC1">
        <w:rPr>
          <w:rFonts w:eastAsia="Calibri"/>
          <w:lang w:eastAsia="en-US"/>
        </w:rPr>
        <w:t xml:space="preserve"> </w:t>
      </w:r>
      <w:r w:rsidRPr="00E47EC1">
        <w:rPr>
          <w:rFonts w:eastAsia="Calibri"/>
          <w:lang w:eastAsia="en-US"/>
        </w:rPr>
        <w:t xml:space="preserve">putem propisanih </w:t>
      </w:r>
      <w:r w:rsidR="003E2039" w:rsidRPr="00E47EC1">
        <w:rPr>
          <w:rFonts w:eastAsia="Calibri"/>
          <w:lang w:eastAsia="en-US"/>
        </w:rPr>
        <w:t>o</w:t>
      </w:r>
      <w:r w:rsidRPr="00E47EC1">
        <w:rPr>
          <w:rFonts w:eastAsia="Calibri"/>
          <w:lang w:eastAsia="en-US"/>
        </w:rPr>
        <w:t xml:space="preserve">brazaca iz </w:t>
      </w:r>
      <w:r w:rsidR="003E2039" w:rsidRPr="00E47EC1">
        <w:rPr>
          <w:rFonts w:eastAsia="Calibri"/>
          <w:lang w:eastAsia="en-US"/>
        </w:rPr>
        <w:t>d</w:t>
      </w:r>
      <w:r w:rsidRPr="00E47EC1">
        <w:rPr>
          <w:rFonts w:eastAsia="Calibri"/>
          <w:lang w:eastAsia="en-US"/>
        </w:rPr>
        <w:t>odatka Pravilnika, opremu s volumenom PCB-a većim od 5 dm</w:t>
      </w:r>
      <w:r w:rsidRPr="00E47EC1">
        <w:rPr>
          <w:rFonts w:eastAsia="Calibri"/>
          <w:vertAlign w:val="superscript"/>
          <w:lang w:eastAsia="en-US"/>
        </w:rPr>
        <w:t>3</w:t>
      </w:r>
      <w:r w:rsidRPr="00E47EC1">
        <w:rPr>
          <w:rFonts w:eastAsia="Calibri"/>
          <w:lang w:eastAsia="en-US"/>
        </w:rPr>
        <w:t>. Kod električnih kondenzatora, granična vrijednost od 5 dm</w:t>
      </w:r>
      <w:r w:rsidRPr="00E47EC1">
        <w:rPr>
          <w:rFonts w:eastAsia="Calibri"/>
          <w:vertAlign w:val="superscript"/>
          <w:lang w:eastAsia="en-US"/>
        </w:rPr>
        <w:t>3</w:t>
      </w:r>
      <w:r w:rsidRPr="00E47EC1">
        <w:rPr>
          <w:rFonts w:eastAsia="Calibri"/>
          <w:lang w:eastAsia="en-US"/>
        </w:rPr>
        <w:t xml:space="preserve"> odnosi se na cjelokupnu zapreminu svih pojedinih elemenata koji sadrže PCB i čine dio uređaja. Za opremu za koju se opravdano može pretpostaviti da sadrži PCB u stopi od 0,05</w:t>
      </w:r>
      <w:r w:rsidR="00541243">
        <w:rPr>
          <w:rFonts w:eastAsia="Calibri"/>
          <w:lang w:eastAsia="en-US"/>
        </w:rPr>
        <w:t xml:space="preserve"> </w:t>
      </w:r>
      <w:r w:rsidRPr="00E47EC1">
        <w:rPr>
          <w:rFonts w:eastAsia="Calibri"/>
          <w:lang w:eastAsia="en-US"/>
        </w:rPr>
        <w:t>% do 0,005</w:t>
      </w:r>
      <w:r w:rsidR="00541243">
        <w:rPr>
          <w:rFonts w:eastAsia="Calibri"/>
          <w:lang w:eastAsia="en-US"/>
        </w:rPr>
        <w:t xml:space="preserve"> </w:t>
      </w:r>
      <w:r w:rsidRPr="00E47EC1">
        <w:rPr>
          <w:rFonts w:eastAsia="Calibri"/>
          <w:lang w:eastAsia="en-US"/>
        </w:rPr>
        <w:t xml:space="preserve">% ukupne mase tekućine, posjednik opreme dužan je uz prijavu priložiti i rezultate mjerenja koji navedeno dokazuju, a </w:t>
      </w:r>
      <w:r w:rsidR="00BC5A46" w:rsidRPr="00E47EC1">
        <w:rPr>
          <w:rFonts w:eastAsia="Calibri"/>
          <w:lang w:eastAsia="en-US"/>
        </w:rPr>
        <w:t xml:space="preserve">oprema se </w:t>
      </w:r>
      <w:r w:rsidRPr="00E47EC1">
        <w:rPr>
          <w:rFonts w:eastAsia="Calibri"/>
          <w:lang w:eastAsia="en-US"/>
        </w:rPr>
        <w:t>mora dekontaminirati i/ili zbrinuti sukl</w:t>
      </w:r>
      <w:r w:rsidR="000F1A2A" w:rsidRPr="00E47EC1">
        <w:rPr>
          <w:rFonts w:eastAsia="Calibri"/>
          <w:lang w:eastAsia="en-US"/>
        </w:rPr>
        <w:t>adno uvjetima propisanima čl</w:t>
      </w:r>
      <w:r w:rsidR="008D55AC" w:rsidRPr="00E47EC1">
        <w:rPr>
          <w:rFonts w:eastAsia="Calibri"/>
          <w:lang w:eastAsia="en-US"/>
        </w:rPr>
        <w:t>ank</w:t>
      </w:r>
      <w:r w:rsidR="00BC5A46" w:rsidRPr="00E47EC1">
        <w:rPr>
          <w:rFonts w:eastAsia="Calibri"/>
          <w:lang w:eastAsia="en-US"/>
        </w:rPr>
        <w:t>om</w:t>
      </w:r>
      <w:r w:rsidR="000F1A2A" w:rsidRPr="00E47EC1">
        <w:rPr>
          <w:rFonts w:eastAsia="Calibri"/>
          <w:lang w:eastAsia="en-US"/>
        </w:rPr>
        <w:t xml:space="preserve"> 9</w:t>
      </w:r>
      <w:r w:rsidR="008D55AC" w:rsidRPr="00E47EC1">
        <w:rPr>
          <w:rFonts w:eastAsia="Calibri"/>
          <w:lang w:eastAsia="en-US"/>
        </w:rPr>
        <w:t>.</w:t>
      </w:r>
      <w:r w:rsidRPr="00E47EC1">
        <w:rPr>
          <w:rFonts w:eastAsia="Calibri"/>
          <w:lang w:eastAsia="en-US"/>
        </w:rPr>
        <w:t xml:space="preserve"> navedenog Pravilnika.</w:t>
      </w:r>
    </w:p>
    <w:p w14:paraId="1A18DB51" w14:textId="77777777" w:rsidR="00317EE7" w:rsidRPr="00E47EC1" w:rsidRDefault="00317EE7" w:rsidP="00317EE7">
      <w:pPr>
        <w:spacing w:after="120"/>
        <w:rPr>
          <w:rFonts w:eastAsia="Calibri"/>
          <w:lang w:eastAsia="en-US"/>
        </w:rPr>
      </w:pPr>
      <w:r w:rsidRPr="00E47EC1">
        <w:rPr>
          <w:rFonts w:eastAsia="Calibri"/>
          <w:lang w:eastAsia="en-US"/>
        </w:rPr>
        <w:t xml:space="preserve">Sukladno istom Pravilniku, </w:t>
      </w:r>
      <w:r w:rsidR="00975E26" w:rsidRPr="00E47EC1">
        <w:rPr>
          <w:rFonts w:eastAsia="Calibri"/>
          <w:lang w:eastAsia="en-US"/>
        </w:rPr>
        <w:t>M</w:t>
      </w:r>
      <w:r w:rsidR="000A1EE9">
        <w:rPr>
          <w:rFonts w:eastAsia="Calibri"/>
          <w:lang w:eastAsia="en-US"/>
        </w:rPr>
        <w:t>INGOR</w:t>
      </w:r>
      <w:r w:rsidR="00975E26" w:rsidRPr="00E47EC1">
        <w:rPr>
          <w:rFonts w:eastAsia="Calibri"/>
          <w:lang w:eastAsia="en-US"/>
        </w:rPr>
        <w:t xml:space="preserve"> </w:t>
      </w:r>
      <w:r w:rsidRPr="00E47EC1">
        <w:rPr>
          <w:rFonts w:eastAsia="Calibri"/>
          <w:lang w:eastAsia="en-US"/>
        </w:rPr>
        <w:t xml:space="preserve">ima obvezu vođenja evidencije o dostavljenim obrascima o opremi koja sadrži PCB i PCB opremi koja je dekontaminirana/zbrinuta. Pravilnikom je propisano da osobe koje posjeduju dozvolu za gospodarenje otpadnim PCB-om trebaju do 31. ožujka tekuće godine za prethodnu godinu dostaviti </w:t>
      </w:r>
      <w:r w:rsidR="00975E26" w:rsidRPr="00E47EC1">
        <w:rPr>
          <w:rFonts w:eastAsia="Calibri"/>
          <w:lang w:eastAsia="en-US"/>
        </w:rPr>
        <w:t>M</w:t>
      </w:r>
      <w:r w:rsidR="000A1EE9">
        <w:rPr>
          <w:rFonts w:eastAsia="Calibri"/>
          <w:lang w:eastAsia="en-US"/>
        </w:rPr>
        <w:t>INGOR</w:t>
      </w:r>
      <w:r w:rsidR="003E2039" w:rsidRPr="00E47EC1">
        <w:rPr>
          <w:rFonts w:eastAsia="Calibri"/>
          <w:lang w:eastAsia="en-US"/>
        </w:rPr>
        <w:t xml:space="preserve">-u </w:t>
      </w:r>
      <w:r w:rsidR="000F1A2A" w:rsidRPr="00E47EC1">
        <w:rPr>
          <w:rFonts w:eastAsia="Calibri"/>
          <w:lang w:eastAsia="en-US"/>
        </w:rPr>
        <w:t>g</w:t>
      </w:r>
      <w:r w:rsidRPr="00E47EC1">
        <w:rPr>
          <w:rFonts w:eastAsia="Calibri"/>
          <w:lang w:eastAsia="en-US"/>
        </w:rPr>
        <w:t>odišnje izvješće o dekontaminiranom/zbrinutom PCB-u. Također, podaci o postupanju s ovim otpadom dostavljaju</w:t>
      </w:r>
      <w:r w:rsidR="00572B97" w:rsidRPr="00E47EC1">
        <w:rPr>
          <w:rFonts w:eastAsia="Calibri"/>
          <w:lang w:eastAsia="en-US"/>
        </w:rPr>
        <w:t xml:space="preserve"> se</w:t>
      </w:r>
      <w:r w:rsidRPr="00E47EC1">
        <w:rPr>
          <w:rFonts w:eastAsia="Calibri"/>
          <w:lang w:eastAsia="en-US"/>
        </w:rPr>
        <w:t xml:space="preserve"> u bazu </w:t>
      </w:r>
      <w:r w:rsidR="008D55AC" w:rsidRPr="00E47EC1">
        <w:rPr>
          <w:rFonts w:eastAsia="Calibri"/>
          <w:lang w:eastAsia="en-US"/>
        </w:rPr>
        <w:t xml:space="preserve">Registar </w:t>
      </w:r>
      <w:r w:rsidRPr="00E47EC1">
        <w:rPr>
          <w:rFonts w:eastAsia="Calibri"/>
          <w:lang w:eastAsia="en-US"/>
        </w:rPr>
        <w:t>onečišćavanja okoliša (baza ROO) koju vodi</w:t>
      </w:r>
      <w:r w:rsidR="007C1DF6">
        <w:rPr>
          <w:rFonts w:eastAsia="Calibri"/>
          <w:lang w:eastAsia="en-US"/>
        </w:rPr>
        <w:t xml:space="preserve"> </w:t>
      </w:r>
      <w:r w:rsidR="00975E26" w:rsidRPr="00E47EC1">
        <w:rPr>
          <w:rFonts w:eastAsia="Calibri"/>
          <w:lang w:eastAsia="en-US"/>
        </w:rPr>
        <w:t>M</w:t>
      </w:r>
      <w:r w:rsidR="000A1EE9">
        <w:rPr>
          <w:rFonts w:eastAsia="Calibri"/>
          <w:lang w:eastAsia="en-US"/>
        </w:rPr>
        <w:t>INGOR</w:t>
      </w:r>
      <w:r w:rsidRPr="00E47EC1">
        <w:rPr>
          <w:rFonts w:eastAsia="Calibri"/>
          <w:lang w:eastAsia="en-US"/>
        </w:rPr>
        <w:t xml:space="preserve">. </w:t>
      </w:r>
    </w:p>
    <w:p w14:paraId="1A18DB52" w14:textId="77777777" w:rsidR="008F1CD6" w:rsidRPr="00E47EC1" w:rsidRDefault="00772945" w:rsidP="00AA4D81">
      <w:pPr>
        <w:spacing w:after="120"/>
        <w:rPr>
          <w:rFonts w:eastAsia="Calibri"/>
          <w:lang w:eastAsia="en-US"/>
        </w:rPr>
      </w:pPr>
      <w:r w:rsidRPr="00E47EC1">
        <w:rPr>
          <w:rFonts w:eastAsia="Calibri"/>
          <w:lang w:eastAsia="en-US"/>
        </w:rPr>
        <w:t xml:space="preserve">Pregled podataka o izvršenju obveza sukladno Pravilniku, kojeg izrađuje </w:t>
      </w:r>
      <w:r w:rsidR="006074C7" w:rsidRPr="00E47EC1">
        <w:rPr>
          <w:rFonts w:eastAsia="Calibri"/>
          <w:lang w:eastAsia="en-US"/>
        </w:rPr>
        <w:t>M</w:t>
      </w:r>
      <w:r w:rsidR="000A1EE9">
        <w:rPr>
          <w:rFonts w:eastAsia="Calibri"/>
          <w:lang w:eastAsia="en-US"/>
        </w:rPr>
        <w:t>INGOR</w:t>
      </w:r>
      <w:r w:rsidRPr="00E47EC1">
        <w:rPr>
          <w:rFonts w:eastAsia="Calibri"/>
          <w:lang w:eastAsia="en-US"/>
        </w:rPr>
        <w:t xml:space="preserve"> dostupan je na </w:t>
      </w:r>
      <w:r w:rsidR="0043390C" w:rsidRPr="00E47EC1">
        <w:rPr>
          <w:rFonts w:eastAsia="Calibri"/>
          <w:lang w:eastAsia="en-US"/>
        </w:rPr>
        <w:t>mrežnim</w:t>
      </w:r>
      <w:r w:rsidR="00C24732" w:rsidRPr="00E47EC1">
        <w:rPr>
          <w:rFonts w:eastAsia="Calibri"/>
          <w:lang w:eastAsia="en-US"/>
        </w:rPr>
        <w:t xml:space="preserve"> </w:t>
      </w:r>
      <w:r w:rsidRPr="00E47EC1">
        <w:rPr>
          <w:rFonts w:eastAsia="Calibri"/>
          <w:lang w:eastAsia="en-US"/>
        </w:rPr>
        <w:t>stranicama</w:t>
      </w:r>
      <w:r w:rsidR="00A035E0">
        <w:rPr>
          <w:rFonts w:eastAsia="Calibri"/>
          <w:lang w:eastAsia="en-US"/>
        </w:rPr>
        <w:t xml:space="preserve"> </w:t>
      </w:r>
      <w:hyperlink r:id="rId16" w:history="1">
        <w:r w:rsidR="00A035E0" w:rsidRPr="004B6EDC">
          <w:rPr>
            <w:rStyle w:val="Hiperveza"/>
            <w:rFonts w:eastAsia="Calibri"/>
            <w:lang w:eastAsia="en-US"/>
          </w:rPr>
          <w:t>http://www.haop.hr/hr/tematska-podrucja/otpad-registri-oneciscavanja-i-ostali-sektorski-pritisci/gospodarenje-otpadom-0</w:t>
        </w:r>
      </w:hyperlink>
      <w:r w:rsidR="00A035E0">
        <w:rPr>
          <w:rFonts w:eastAsia="Calibri"/>
          <w:lang w:eastAsia="en-US"/>
        </w:rPr>
        <w:t xml:space="preserve"> </w:t>
      </w:r>
      <w:r w:rsidR="008F1CD6" w:rsidRPr="00E47EC1">
        <w:rPr>
          <w:rFonts w:eastAsia="Calibri"/>
          <w:lang w:eastAsia="en-US"/>
        </w:rPr>
        <w:t xml:space="preserve"> </w:t>
      </w:r>
    </w:p>
    <w:p w14:paraId="1A18DB53" w14:textId="77777777" w:rsidR="00103E98" w:rsidRDefault="00317EE7" w:rsidP="00D06971">
      <w:pPr>
        <w:rPr>
          <w:rFonts w:eastAsia="Calibri"/>
          <w:lang w:eastAsia="en-US"/>
        </w:rPr>
      </w:pPr>
      <w:r w:rsidRPr="00E47EC1">
        <w:rPr>
          <w:rFonts w:eastAsia="Calibri"/>
          <w:lang w:eastAsia="en-US"/>
        </w:rPr>
        <w:t xml:space="preserve">Izvješćivanje prema Europskoj komisiji o provedbi Pravilnika obavlja </w:t>
      </w:r>
      <w:r w:rsidR="00E60191" w:rsidRPr="00E47EC1">
        <w:rPr>
          <w:rFonts w:eastAsia="Calibri"/>
          <w:lang w:eastAsia="en-US"/>
        </w:rPr>
        <w:t>M</w:t>
      </w:r>
      <w:r w:rsidR="000A1EE9">
        <w:rPr>
          <w:rFonts w:eastAsia="Calibri"/>
          <w:lang w:eastAsia="en-US"/>
        </w:rPr>
        <w:t>INGOR</w:t>
      </w:r>
      <w:r w:rsidRPr="00E47EC1">
        <w:rPr>
          <w:rFonts w:eastAsia="Calibri"/>
          <w:lang w:eastAsia="en-US"/>
        </w:rPr>
        <w:t xml:space="preserve"> sukladno odredbama </w:t>
      </w:r>
      <w:r w:rsidR="00DC151D" w:rsidRPr="00E47EC1">
        <w:rPr>
          <w:rFonts w:eastAsia="Calibri"/>
          <w:lang w:eastAsia="en-US"/>
        </w:rPr>
        <w:t>istog</w:t>
      </w:r>
      <w:r w:rsidRPr="00E47EC1">
        <w:rPr>
          <w:rFonts w:eastAsia="Calibri"/>
          <w:lang w:eastAsia="en-US"/>
        </w:rPr>
        <w:t xml:space="preserve"> te Zakon</w:t>
      </w:r>
      <w:r w:rsidR="00A035E0">
        <w:rPr>
          <w:rFonts w:eastAsia="Calibri"/>
          <w:lang w:eastAsia="en-US"/>
        </w:rPr>
        <w:t>a</w:t>
      </w:r>
      <w:r w:rsidRPr="00E47EC1">
        <w:rPr>
          <w:rFonts w:eastAsia="Calibri"/>
          <w:lang w:eastAsia="en-US"/>
        </w:rPr>
        <w:t xml:space="preserve"> o provedbi </w:t>
      </w:r>
      <w:r w:rsidR="003E2039" w:rsidRPr="00E47EC1">
        <w:rPr>
          <w:rFonts w:eastAsia="Calibri"/>
          <w:lang w:eastAsia="en-US"/>
        </w:rPr>
        <w:t>POPs Uredbe</w:t>
      </w:r>
      <w:r w:rsidRPr="00E47EC1">
        <w:rPr>
          <w:rFonts w:eastAsia="Calibri"/>
          <w:lang w:eastAsia="en-US"/>
        </w:rPr>
        <w:t>.</w:t>
      </w:r>
    </w:p>
    <w:p w14:paraId="1A18DB54" w14:textId="77777777" w:rsidR="00FC5A5E" w:rsidRPr="00D06971" w:rsidRDefault="00FC5A5E" w:rsidP="00D06971">
      <w:pPr>
        <w:rPr>
          <w:rFonts w:eastAsia="Calibri"/>
          <w:lang w:eastAsia="en-US"/>
        </w:rPr>
      </w:pPr>
    </w:p>
    <w:p w14:paraId="1A18DB55" w14:textId="77777777" w:rsidR="00317EE7" w:rsidRPr="00E47EC1" w:rsidRDefault="00317EE7" w:rsidP="00D55E4A">
      <w:pPr>
        <w:spacing w:before="120"/>
        <w:rPr>
          <w:i/>
        </w:rPr>
      </w:pPr>
      <w:r w:rsidRPr="00E47EC1">
        <w:rPr>
          <w:i/>
        </w:rPr>
        <w:t xml:space="preserve">Tablica </w:t>
      </w:r>
      <w:r w:rsidR="00C90C55" w:rsidRPr="00E47EC1">
        <w:rPr>
          <w:i/>
        </w:rPr>
        <w:t>2</w:t>
      </w:r>
      <w:r w:rsidRPr="00E47EC1">
        <w:rPr>
          <w:i/>
        </w:rPr>
        <w:t>.</w:t>
      </w:r>
      <w:r w:rsidR="00C26CFF" w:rsidRPr="00E47EC1">
        <w:rPr>
          <w:i/>
        </w:rPr>
        <w:t>2-1</w:t>
      </w:r>
      <w:r w:rsidR="007A78E4">
        <w:rPr>
          <w:i/>
        </w:rPr>
        <w:t>.</w:t>
      </w:r>
      <w:r w:rsidRPr="00E47EC1">
        <w:rPr>
          <w:i/>
        </w:rPr>
        <w:t xml:space="preserve"> Prikaz ključnih brojeva otpada koji sadrže PCB</w:t>
      </w:r>
    </w:p>
    <w:p w14:paraId="1A18DB56" w14:textId="77777777" w:rsidR="00363268" w:rsidRPr="00E47EC1" w:rsidRDefault="00363268" w:rsidP="00667FB6">
      <w:pPr>
        <w:rPr>
          <w:i/>
          <w:sz w:val="20"/>
          <w:szCs w:val="20"/>
        </w:rPr>
      </w:pPr>
    </w:p>
    <w:tbl>
      <w:tblPr>
        <w:tblW w:w="9736" w:type="dxa"/>
        <w:jc w:val="center"/>
        <w:tblLook w:val="04A0" w:firstRow="1" w:lastRow="0" w:firstColumn="1" w:lastColumn="0" w:noHBand="0" w:noVBand="1"/>
      </w:tblPr>
      <w:tblGrid>
        <w:gridCol w:w="1822"/>
        <w:gridCol w:w="7914"/>
      </w:tblGrid>
      <w:tr w:rsidR="00317EE7" w:rsidRPr="00E47EC1" w14:paraId="1A18DB59" w14:textId="77777777" w:rsidTr="00FB13AA">
        <w:trPr>
          <w:jc w:val="center"/>
        </w:trPr>
        <w:tc>
          <w:tcPr>
            <w:tcW w:w="1822" w:type="dxa"/>
            <w:tcBorders>
              <w:top w:val="single" w:sz="8" w:space="0" w:color="999999"/>
              <w:left w:val="single" w:sz="8" w:space="0" w:color="999999"/>
              <w:bottom w:val="single" w:sz="8" w:space="0" w:color="999999"/>
              <w:right w:val="single" w:sz="8" w:space="0" w:color="999999"/>
            </w:tcBorders>
            <w:shd w:val="clear" w:color="auto" w:fill="D9D9D9"/>
            <w:vAlign w:val="center"/>
          </w:tcPr>
          <w:p w14:paraId="1A18DB57" w14:textId="77777777" w:rsidR="00317EE7" w:rsidRPr="00E47EC1" w:rsidRDefault="00317EE7" w:rsidP="00DC151D">
            <w:pPr>
              <w:jc w:val="center"/>
              <w:rPr>
                <w:b/>
                <w:bCs/>
                <w:color w:val="000000"/>
              </w:rPr>
            </w:pPr>
            <w:r w:rsidRPr="00E47EC1">
              <w:rPr>
                <w:b/>
                <w:bCs/>
                <w:color w:val="000000"/>
              </w:rPr>
              <w:t>Ključni broj otpada</w:t>
            </w:r>
          </w:p>
        </w:tc>
        <w:tc>
          <w:tcPr>
            <w:tcW w:w="7914" w:type="dxa"/>
            <w:tcBorders>
              <w:top w:val="single" w:sz="8" w:space="0" w:color="999999"/>
              <w:left w:val="nil"/>
              <w:bottom w:val="single" w:sz="8" w:space="0" w:color="999999"/>
              <w:right w:val="single" w:sz="8" w:space="0" w:color="999999"/>
            </w:tcBorders>
            <w:shd w:val="clear" w:color="auto" w:fill="D9D9D9"/>
            <w:vAlign w:val="center"/>
          </w:tcPr>
          <w:p w14:paraId="1A18DB58" w14:textId="77777777" w:rsidR="00317EE7" w:rsidRPr="00E47EC1" w:rsidRDefault="00317EE7" w:rsidP="00DC151D">
            <w:pPr>
              <w:jc w:val="center"/>
              <w:rPr>
                <w:b/>
                <w:bCs/>
                <w:color w:val="000000"/>
              </w:rPr>
            </w:pPr>
            <w:r w:rsidRPr="00E47EC1">
              <w:rPr>
                <w:b/>
                <w:bCs/>
                <w:color w:val="000000"/>
              </w:rPr>
              <w:t>Naziv otpada</w:t>
            </w:r>
          </w:p>
        </w:tc>
      </w:tr>
      <w:tr w:rsidR="00317EE7" w:rsidRPr="00E47EC1" w14:paraId="1A18DB5C"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5A" w14:textId="77777777" w:rsidR="00317EE7" w:rsidRPr="00E47EC1" w:rsidRDefault="00317EE7" w:rsidP="00317EE7">
            <w:pPr>
              <w:rPr>
                <w:color w:val="000000"/>
              </w:rPr>
            </w:pPr>
            <w:r w:rsidRPr="00E47EC1">
              <w:rPr>
                <w:color w:val="000000"/>
              </w:rPr>
              <w:t>13</w:t>
            </w:r>
          </w:p>
        </w:tc>
        <w:tc>
          <w:tcPr>
            <w:tcW w:w="7914" w:type="dxa"/>
            <w:tcBorders>
              <w:top w:val="nil"/>
              <w:left w:val="nil"/>
              <w:bottom w:val="single" w:sz="8" w:space="0" w:color="999999"/>
              <w:right w:val="single" w:sz="8" w:space="0" w:color="999999"/>
            </w:tcBorders>
            <w:shd w:val="clear" w:color="auto" w:fill="D9D9D9"/>
            <w:vAlign w:val="center"/>
          </w:tcPr>
          <w:p w14:paraId="1A18DB5B" w14:textId="77777777" w:rsidR="00317EE7" w:rsidRPr="00E47EC1" w:rsidRDefault="00317EE7" w:rsidP="00317EE7">
            <w:r w:rsidRPr="00E47EC1">
              <w:t>OTPADNA ULJA I OTPAD OD TEKUĆIH GORIVA (osim jestivih ulja i ulja iz poglavlja 05, 12 i 19)</w:t>
            </w:r>
          </w:p>
        </w:tc>
      </w:tr>
      <w:tr w:rsidR="00317EE7" w:rsidRPr="00E47EC1" w14:paraId="1A18DB5F"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5D" w14:textId="77777777" w:rsidR="00317EE7" w:rsidRPr="00E47EC1" w:rsidRDefault="00317EE7" w:rsidP="00317EE7">
            <w:pPr>
              <w:rPr>
                <w:color w:val="000000"/>
              </w:rPr>
            </w:pPr>
            <w:r w:rsidRPr="00E47EC1">
              <w:rPr>
                <w:color w:val="000000"/>
              </w:rPr>
              <w:t>13 01</w:t>
            </w:r>
          </w:p>
        </w:tc>
        <w:tc>
          <w:tcPr>
            <w:tcW w:w="7914" w:type="dxa"/>
            <w:tcBorders>
              <w:top w:val="nil"/>
              <w:left w:val="nil"/>
              <w:bottom w:val="single" w:sz="8" w:space="0" w:color="999999"/>
              <w:right w:val="single" w:sz="8" w:space="0" w:color="999999"/>
            </w:tcBorders>
            <w:shd w:val="clear" w:color="auto" w:fill="D9D9D9"/>
            <w:vAlign w:val="center"/>
          </w:tcPr>
          <w:p w14:paraId="1A18DB5E" w14:textId="77777777" w:rsidR="00317EE7" w:rsidRPr="00E47EC1" w:rsidRDefault="00317EE7" w:rsidP="00317EE7">
            <w:pPr>
              <w:rPr>
                <w:color w:val="000000"/>
              </w:rPr>
            </w:pPr>
            <w:r w:rsidRPr="00E47EC1">
              <w:t>otpadna hidraulična ulja</w:t>
            </w:r>
            <w:r w:rsidRPr="00E47EC1">
              <w:rPr>
                <w:color w:val="000000"/>
              </w:rPr>
              <w:t xml:space="preserve"> </w:t>
            </w:r>
          </w:p>
        </w:tc>
      </w:tr>
      <w:tr w:rsidR="00317EE7" w:rsidRPr="00E47EC1" w14:paraId="1A18DB62"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auto"/>
            <w:vAlign w:val="center"/>
          </w:tcPr>
          <w:p w14:paraId="1A18DB60" w14:textId="77777777" w:rsidR="00317EE7" w:rsidRPr="00E47EC1" w:rsidRDefault="00317EE7" w:rsidP="00317EE7">
            <w:pPr>
              <w:rPr>
                <w:color w:val="000000"/>
              </w:rPr>
            </w:pPr>
            <w:r w:rsidRPr="00E47EC1">
              <w:rPr>
                <w:color w:val="000000"/>
              </w:rPr>
              <w:t>13 01 01*</w:t>
            </w:r>
          </w:p>
        </w:tc>
        <w:tc>
          <w:tcPr>
            <w:tcW w:w="7914" w:type="dxa"/>
            <w:tcBorders>
              <w:top w:val="nil"/>
              <w:left w:val="nil"/>
              <w:bottom w:val="single" w:sz="8" w:space="0" w:color="999999"/>
              <w:right w:val="single" w:sz="8" w:space="0" w:color="999999"/>
            </w:tcBorders>
            <w:shd w:val="clear" w:color="auto" w:fill="auto"/>
            <w:vAlign w:val="center"/>
          </w:tcPr>
          <w:p w14:paraId="1A18DB61" w14:textId="77777777" w:rsidR="00317EE7" w:rsidRPr="00E47EC1" w:rsidRDefault="00317EE7" w:rsidP="00317EE7">
            <w:pPr>
              <w:rPr>
                <w:color w:val="000000"/>
              </w:rPr>
            </w:pPr>
            <w:r w:rsidRPr="00E47EC1">
              <w:t>hidraulična ulja koja sadrže poliklorirane bifenile (PCB)</w:t>
            </w:r>
          </w:p>
        </w:tc>
      </w:tr>
      <w:tr w:rsidR="00317EE7" w:rsidRPr="00E47EC1" w14:paraId="1A18DB65"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63" w14:textId="77777777" w:rsidR="00317EE7" w:rsidRPr="00E47EC1" w:rsidRDefault="00317EE7" w:rsidP="00317EE7">
            <w:pPr>
              <w:rPr>
                <w:color w:val="000000"/>
              </w:rPr>
            </w:pPr>
            <w:r w:rsidRPr="00E47EC1">
              <w:t>13 03</w:t>
            </w:r>
          </w:p>
        </w:tc>
        <w:tc>
          <w:tcPr>
            <w:tcW w:w="7914" w:type="dxa"/>
            <w:tcBorders>
              <w:top w:val="nil"/>
              <w:left w:val="nil"/>
              <w:bottom w:val="single" w:sz="8" w:space="0" w:color="999999"/>
              <w:right w:val="single" w:sz="8" w:space="0" w:color="999999"/>
            </w:tcBorders>
            <w:shd w:val="clear" w:color="auto" w:fill="D9D9D9"/>
            <w:vAlign w:val="center"/>
          </w:tcPr>
          <w:p w14:paraId="1A18DB64" w14:textId="77777777" w:rsidR="00317EE7" w:rsidRPr="00E47EC1" w:rsidRDefault="00317EE7" w:rsidP="00317EE7">
            <w:pPr>
              <w:rPr>
                <w:color w:val="000000"/>
              </w:rPr>
            </w:pPr>
            <w:r w:rsidRPr="00E47EC1">
              <w:t>otpadna izolacijska ulja i ulja za prijenos topline</w:t>
            </w:r>
          </w:p>
        </w:tc>
      </w:tr>
      <w:tr w:rsidR="00317EE7" w:rsidRPr="00E47EC1" w14:paraId="1A18DB68"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auto"/>
            <w:vAlign w:val="center"/>
          </w:tcPr>
          <w:p w14:paraId="1A18DB66" w14:textId="77777777" w:rsidR="00317EE7" w:rsidRPr="00E47EC1" w:rsidRDefault="00317EE7" w:rsidP="00317EE7">
            <w:pPr>
              <w:rPr>
                <w:color w:val="000000"/>
              </w:rPr>
            </w:pPr>
            <w:r w:rsidRPr="00E47EC1">
              <w:t>13 03 01*</w:t>
            </w:r>
          </w:p>
        </w:tc>
        <w:tc>
          <w:tcPr>
            <w:tcW w:w="7914" w:type="dxa"/>
            <w:tcBorders>
              <w:top w:val="nil"/>
              <w:left w:val="nil"/>
              <w:bottom w:val="single" w:sz="8" w:space="0" w:color="999999"/>
              <w:right w:val="single" w:sz="8" w:space="0" w:color="999999"/>
            </w:tcBorders>
            <w:shd w:val="clear" w:color="auto" w:fill="auto"/>
            <w:vAlign w:val="center"/>
          </w:tcPr>
          <w:p w14:paraId="1A18DB67" w14:textId="77777777" w:rsidR="00317EE7" w:rsidRPr="00E47EC1" w:rsidRDefault="00317EE7" w:rsidP="00317EE7">
            <w:pPr>
              <w:rPr>
                <w:color w:val="000000"/>
              </w:rPr>
            </w:pPr>
            <w:r w:rsidRPr="00E47EC1">
              <w:t>izolacijska ulja ili ulja za prijenos topline koja sadrže PCB-e</w:t>
            </w:r>
          </w:p>
        </w:tc>
      </w:tr>
      <w:tr w:rsidR="00317EE7" w:rsidRPr="00E47EC1" w14:paraId="1A18DB6B"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69" w14:textId="77777777" w:rsidR="00317EE7" w:rsidRPr="00E47EC1" w:rsidRDefault="00317EE7" w:rsidP="00317EE7">
            <w:pPr>
              <w:rPr>
                <w:color w:val="000000"/>
              </w:rPr>
            </w:pPr>
            <w:r w:rsidRPr="00E47EC1">
              <w:rPr>
                <w:color w:val="000000"/>
              </w:rPr>
              <w:t>16</w:t>
            </w:r>
          </w:p>
        </w:tc>
        <w:tc>
          <w:tcPr>
            <w:tcW w:w="7914" w:type="dxa"/>
            <w:tcBorders>
              <w:top w:val="nil"/>
              <w:left w:val="nil"/>
              <w:bottom w:val="single" w:sz="8" w:space="0" w:color="999999"/>
              <w:right w:val="single" w:sz="8" w:space="0" w:color="999999"/>
            </w:tcBorders>
            <w:shd w:val="clear" w:color="auto" w:fill="D9D9D9"/>
            <w:vAlign w:val="center"/>
          </w:tcPr>
          <w:p w14:paraId="1A18DB6A" w14:textId="77777777" w:rsidR="00317EE7" w:rsidRPr="00E47EC1" w:rsidRDefault="00317EE7" w:rsidP="00317EE7">
            <w:pPr>
              <w:rPr>
                <w:color w:val="000000"/>
              </w:rPr>
            </w:pPr>
            <w:r w:rsidRPr="00E47EC1">
              <w:rPr>
                <w:color w:val="000000"/>
              </w:rPr>
              <w:t>OTPAD KOJI NIJE DRUGDJE SPECIFICIRAN U KATALOGU</w:t>
            </w:r>
          </w:p>
        </w:tc>
      </w:tr>
      <w:tr w:rsidR="00317EE7" w:rsidRPr="00E47EC1" w14:paraId="1A18DB6E"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6C" w14:textId="77777777" w:rsidR="00317EE7" w:rsidRPr="00E47EC1" w:rsidRDefault="00317EE7" w:rsidP="00317EE7">
            <w:pPr>
              <w:rPr>
                <w:color w:val="000000"/>
              </w:rPr>
            </w:pPr>
            <w:r w:rsidRPr="00E47EC1">
              <w:rPr>
                <w:color w:val="000000"/>
              </w:rPr>
              <w:t>16 01</w:t>
            </w:r>
          </w:p>
        </w:tc>
        <w:tc>
          <w:tcPr>
            <w:tcW w:w="7914" w:type="dxa"/>
            <w:tcBorders>
              <w:top w:val="nil"/>
              <w:left w:val="nil"/>
              <w:bottom w:val="single" w:sz="8" w:space="0" w:color="999999"/>
              <w:right w:val="single" w:sz="8" w:space="0" w:color="999999"/>
            </w:tcBorders>
            <w:shd w:val="clear" w:color="auto" w:fill="D9D9D9"/>
            <w:vAlign w:val="center"/>
          </w:tcPr>
          <w:p w14:paraId="1A18DB6D" w14:textId="77777777" w:rsidR="00317EE7" w:rsidRPr="00E47EC1" w:rsidRDefault="00317EE7" w:rsidP="00317EE7">
            <w:pPr>
              <w:rPr>
                <w:color w:val="000000"/>
              </w:rPr>
            </w:pPr>
            <w:r w:rsidRPr="00E47EC1">
              <w:rPr>
                <w:color w:val="000000"/>
              </w:rPr>
              <w:t>istrošena vozila iz različitih načina prijevoza (uključujući ne cestovnu mehanizaciju) i otpad od rastavljanja istrošenih vozila i od održavanja vozila (osim 13, 14, 16 06 i 16 08)</w:t>
            </w:r>
          </w:p>
        </w:tc>
      </w:tr>
      <w:tr w:rsidR="00317EE7" w:rsidRPr="00E47EC1" w14:paraId="1A18DB71"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auto"/>
            <w:vAlign w:val="center"/>
          </w:tcPr>
          <w:p w14:paraId="1A18DB6F" w14:textId="77777777" w:rsidR="00317EE7" w:rsidRPr="00E47EC1" w:rsidRDefault="00317EE7" w:rsidP="00317EE7">
            <w:pPr>
              <w:rPr>
                <w:color w:val="000000"/>
              </w:rPr>
            </w:pPr>
            <w:r w:rsidRPr="00E47EC1">
              <w:rPr>
                <w:color w:val="000000"/>
              </w:rPr>
              <w:t>16 01 09*</w:t>
            </w:r>
          </w:p>
        </w:tc>
        <w:tc>
          <w:tcPr>
            <w:tcW w:w="7914" w:type="dxa"/>
            <w:tcBorders>
              <w:top w:val="nil"/>
              <w:left w:val="nil"/>
              <w:bottom w:val="single" w:sz="8" w:space="0" w:color="999999"/>
              <w:right w:val="single" w:sz="8" w:space="0" w:color="999999"/>
            </w:tcBorders>
            <w:shd w:val="clear" w:color="auto" w:fill="auto"/>
            <w:vAlign w:val="center"/>
          </w:tcPr>
          <w:p w14:paraId="1A18DB70" w14:textId="77777777" w:rsidR="00317EE7" w:rsidRPr="00E47EC1" w:rsidRDefault="00317EE7" w:rsidP="00317EE7">
            <w:pPr>
              <w:rPr>
                <w:color w:val="000000"/>
              </w:rPr>
            </w:pPr>
            <w:r w:rsidRPr="00E47EC1">
              <w:rPr>
                <w:color w:val="000000"/>
              </w:rPr>
              <w:t>komponente koje sadrže PCB-e</w:t>
            </w:r>
          </w:p>
        </w:tc>
      </w:tr>
      <w:tr w:rsidR="00317EE7" w:rsidRPr="00E47EC1" w14:paraId="1A18DB74"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72" w14:textId="77777777" w:rsidR="00317EE7" w:rsidRPr="00E47EC1" w:rsidRDefault="00317EE7" w:rsidP="00317EE7">
            <w:pPr>
              <w:rPr>
                <w:color w:val="000000"/>
              </w:rPr>
            </w:pPr>
            <w:r w:rsidRPr="00E47EC1">
              <w:rPr>
                <w:color w:val="000000"/>
              </w:rPr>
              <w:t>16 02</w:t>
            </w:r>
          </w:p>
        </w:tc>
        <w:tc>
          <w:tcPr>
            <w:tcW w:w="7914" w:type="dxa"/>
            <w:tcBorders>
              <w:top w:val="nil"/>
              <w:left w:val="nil"/>
              <w:bottom w:val="single" w:sz="8" w:space="0" w:color="999999"/>
              <w:right w:val="single" w:sz="8" w:space="0" w:color="999999"/>
            </w:tcBorders>
            <w:shd w:val="clear" w:color="auto" w:fill="D9D9D9"/>
            <w:vAlign w:val="center"/>
          </w:tcPr>
          <w:p w14:paraId="1A18DB73" w14:textId="77777777" w:rsidR="00317EE7" w:rsidRPr="00E47EC1" w:rsidRDefault="00317EE7" w:rsidP="00317EE7">
            <w:pPr>
              <w:rPr>
                <w:color w:val="000000"/>
              </w:rPr>
            </w:pPr>
            <w:r w:rsidRPr="00E47EC1">
              <w:rPr>
                <w:color w:val="000000"/>
              </w:rPr>
              <w:t>otpad iz električne i elektroničke opreme</w:t>
            </w:r>
          </w:p>
        </w:tc>
      </w:tr>
      <w:tr w:rsidR="00317EE7" w:rsidRPr="00E47EC1" w14:paraId="1A18DB77"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auto"/>
            <w:vAlign w:val="center"/>
          </w:tcPr>
          <w:p w14:paraId="1A18DB75" w14:textId="77777777" w:rsidR="00317EE7" w:rsidRPr="00E47EC1" w:rsidRDefault="00317EE7" w:rsidP="00317EE7">
            <w:pPr>
              <w:rPr>
                <w:color w:val="000000"/>
              </w:rPr>
            </w:pPr>
            <w:r w:rsidRPr="00E47EC1">
              <w:rPr>
                <w:color w:val="000000"/>
              </w:rPr>
              <w:t>16 02 09*</w:t>
            </w:r>
          </w:p>
        </w:tc>
        <w:tc>
          <w:tcPr>
            <w:tcW w:w="7914" w:type="dxa"/>
            <w:tcBorders>
              <w:top w:val="nil"/>
              <w:left w:val="nil"/>
              <w:bottom w:val="single" w:sz="8" w:space="0" w:color="999999"/>
              <w:right w:val="single" w:sz="8" w:space="0" w:color="999999"/>
            </w:tcBorders>
            <w:shd w:val="clear" w:color="auto" w:fill="auto"/>
            <w:vAlign w:val="center"/>
          </w:tcPr>
          <w:p w14:paraId="1A18DB76" w14:textId="77777777" w:rsidR="00317EE7" w:rsidRPr="00E47EC1" w:rsidRDefault="00317EE7" w:rsidP="00317EE7">
            <w:pPr>
              <w:rPr>
                <w:color w:val="000000"/>
              </w:rPr>
            </w:pPr>
            <w:r w:rsidRPr="00E47EC1">
              <w:rPr>
                <w:color w:val="000000"/>
              </w:rPr>
              <w:t>transformatori i kondenzatori koji sadrže PCB-e</w:t>
            </w:r>
          </w:p>
        </w:tc>
      </w:tr>
      <w:tr w:rsidR="00317EE7" w:rsidRPr="00E47EC1" w14:paraId="1A18DB7A"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auto"/>
            <w:vAlign w:val="center"/>
          </w:tcPr>
          <w:p w14:paraId="1A18DB78" w14:textId="77777777" w:rsidR="00317EE7" w:rsidRPr="00E47EC1" w:rsidRDefault="00317EE7" w:rsidP="00317EE7">
            <w:pPr>
              <w:rPr>
                <w:color w:val="000000"/>
              </w:rPr>
            </w:pPr>
            <w:r w:rsidRPr="00E47EC1">
              <w:rPr>
                <w:color w:val="000000"/>
              </w:rPr>
              <w:t>16 02 10*</w:t>
            </w:r>
          </w:p>
        </w:tc>
        <w:tc>
          <w:tcPr>
            <w:tcW w:w="7914" w:type="dxa"/>
            <w:tcBorders>
              <w:top w:val="nil"/>
              <w:left w:val="nil"/>
              <w:bottom w:val="single" w:sz="8" w:space="0" w:color="999999"/>
              <w:right w:val="single" w:sz="8" w:space="0" w:color="999999"/>
            </w:tcBorders>
            <w:shd w:val="clear" w:color="auto" w:fill="auto"/>
            <w:vAlign w:val="center"/>
          </w:tcPr>
          <w:p w14:paraId="1A18DB79" w14:textId="77777777" w:rsidR="00317EE7" w:rsidRPr="00E47EC1" w:rsidRDefault="00317EE7" w:rsidP="00317EE7">
            <w:pPr>
              <w:rPr>
                <w:color w:val="000000"/>
              </w:rPr>
            </w:pPr>
            <w:r w:rsidRPr="00E47EC1">
              <w:t>odbačena oprema koja sadrži PCB-e ili je onečišćena istima, a nije navedena pod 16 02 09</w:t>
            </w:r>
          </w:p>
        </w:tc>
      </w:tr>
      <w:tr w:rsidR="00317EE7" w:rsidRPr="00E47EC1" w14:paraId="1A18DB7D"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7B" w14:textId="77777777" w:rsidR="00317EE7" w:rsidRPr="00E47EC1" w:rsidRDefault="00317EE7" w:rsidP="00317EE7">
            <w:r w:rsidRPr="00E47EC1">
              <w:t>17</w:t>
            </w:r>
          </w:p>
        </w:tc>
        <w:tc>
          <w:tcPr>
            <w:tcW w:w="7914" w:type="dxa"/>
            <w:tcBorders>
              <w:top w:val="nil"/>
              <w:left w:val="nil"/>
              <w:bottom w:val="single" w:sz="8" w:space="0" w:color="999999"/>
              <w:right w:val="single" w:sz="8" w:space="0" w:color="999999"/>
            </w:tcBorders>
            <w:shd w:val="clear" w:color="auto" w:fill="D9D9D9"/>
            <w:vAlign w:val="center"/>
          </w:tcPr>
          <w:p w14:paraId="1A18DB7C" w14:textId="77777777" w:rsidR="00317EE7" w:rsidRPr="00E47EC1" w:rsidRDefault="00317EE7" w:rsidP="00317EE7">
            <w:r w:rsidRPr="00E47EC1">
              <w:t>GRAĐEVINSKI OTPAD I OTPAD OD RUŠENJA OBJEKATA (UKLJUČUJUĆI ISKOPANU ZEMLJU S ONEČIŠĆENIH LOKACIJA)</w:t>
            </w:r>
          </w:p>
        </w:tc>
      </w:tr>
      <w:tr w:rsidR="00317EE7" w:rsidRPr="00E47EC1" w14:paraId="1A18DB80"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D9D9D9"/>
            <w:vAlign w:val="center"/>
          </w:tcPr>
          <w:p w14:paraId="1A18DB7E" w14:textId="77777777" w:rsidR="00317EE7" w:rsidRPr="00E47EC1" w:rsidRDefault="00317EE7" w:rsidP="00317EE7">
            <w:pPr>
              <w:rPr>
                <w:color w:val="000000"/>
              </w:rPr>
            </w:pPr>
            <w:r w:rsidRPr="00E47EC1">
              <w:rPr>
                <w:color w:val="000000"/>
              </w:rPr>
              <w:t>17 09</w:t>
            </w:r>
          </w:p>
        </w:tc>
        <w:tc>
          <w:tcPr>
            <w:tcW w:w="7914" w:type="dxa"/>
            <w:tcBorders>
              <w:top w:val="nil"/>
              <w:left w:val="nil"/>
              <w:bottom w:val="single" w:sz="8" w:space="0" w:color="999999"/>
              <w:right w:val="single" w:sz="8" w:space="0" w:color="999999"/>
            </w:tcBorders>
            <w:shd w:val="clear" w:color="auto" w:fill="D9D9D9"/>
            <w:vAlign w:val="center"/>
          </w:tcPr>
          <w:p w14:paraId="1A18DB7F" w14:textId="77777777" w:rsidR="00317EE7" w:rsidRPr="00E47EC1" w:rsidRDefault="00317EE7" w:rsidP="00317EE7">
            <w:pPr>
              <w:rPr>
                <w:color w:val="000000"/>
              </w:rPr>
            </w:pPr>
            <w:r w:rsidRPr="00E47EC1">
              <w:rPr>
                <w:color w:val="000000"/>
              </w:rPr>
              <w:t>ostali građevinski otpad i otpad od rušenja objekata</w:t>
            </w:r>
          </w:p>
        </w:tc>
      </w:tr>
      <w:tr w:rsidR="00317EE7" w:rsidRPr="00E47EC1" w14:paraId="1A18DB83" w14:textId="77777777" w:rsidTr="00FB13AA">
        <w:trPr>
          <w:jc w:val="center"/>
        </w:trPr>
        <w:tc>
          <w:tcPr>
            <w:tcW w:w="1822" w:type="dxa"/>
            <w:tcBorders>
              <w:top w:val="nil"/>
              <w:left w:val="single" w:sz="8" w:space="0" w:color="999999"/>
              <w:bottom w:val="single" w:sz="8" w:space="0" w:color="999999"/>
              <w:right w:val="single" w:sz="8" w:space="0" w:color="999999"/>
            </w:tcBorders>
            <w:shd w:val="clear" w:color="auto" w:fill="auto"/>
            <w:vAlign w:val="center"/>
          </w:tcPr>
          <w:p w14:paraId="1A18DB81" w14:textId="77777777" w:rsidR="00317EE7" w:rsidRPr="00E47EC1" w:rsidRDefault="00317EE7" w:rsidP="00317EE7">
            <w:pPr>
              <w:rPr>
                <w:color w:val="000000"/>
              </w:rPr>
            </w:pPr>
            <w:r w:rsidRPr="00E47EC1">
              <w:rPr>
                <w:color w:val="000000"/>
              </w:rPr>
              <w:t>17 09 02*</w:t>
            </w:r>
          </w:p>
        </w:tc>
        <w:tc>
          <w:tcPr>
            <w:tcW w:w="7914" w:type="dxa"/>
            <w:tcBorders>
              <w:top w:val="nil"/>
              <w:left w:val="nil"/>
              <w:bottom w:val="single" w:sz="8" w:space="0" w:color="999999"/>
              <w:right w:val="single" w:sz="8" w:space="0" w:color="999999"/>
            </w:tcBorders>
            <w:shd w:val="clear" w:color="auto" w:fill="auto"/>
            <w:vAlign w:val="center"/>
          </w:tcPr>
          <w:p w14:paraId="1A18DB82" w14:textId="77777777" w:rsidR="00317EE7" w:rsidRPr="00E47EC1" w:rsidRDefault="00317EE7" w:rsidP="00317EE7">
            <w:pPr>
              <w:rPr>
                <w:color w:val="000000"/>
              </w:rPr>
            </w:pPr>
            <w:r w:rsidRPr="00E47EC1">
              <w:rPr>
                <w:color w:val="000000"/>
              </w:rPr>
              <w:t>građevinski otpad i otpad od rušenja koji sadrži poliklorirane bifenile (PCB) (npr. sredstva za brtvljenje koja sadrže PCB-e, podne obloge na bazi smola koje sadrže PCB-e, nepropusni prozorski elementi od izostakla koji sadrže PCB-e, kondenzatori koji sadrže PCB-e)</w:t>
            </w:r>
          </w:p>
        </w:tc>
      </w:tr>
    </w:tbl>
    <w:p w14:paraId="1A18DB84" w14:textId="77777777" w:rsidR="00317EE7" w:rsidRPr="00E47EC1" w:rsidRDefault="00317EE7" w:rsidP="00317EE7">
      <w:pPr>
        <w:spacing w:after="120"/>
        <w:rPr>
          <w:rFonts w:eastAsia="Calibri"/>
          <w:lang w:eastAsia="en-US"/>
        </w:rPr>
      </w:pPr>
    </w:p>
    <w:p w14:paraId="1A18DB85" w14:textId="5626EE85" w:rsidR="00317EE7" w:rsidRPr="00FB13AA" w:rsidRDefault="006F32A8" w:rsidP="00FB13AA">
      <w:pPr>
        <w:pStyle w:val="Naslov3"/>
        <w:rPr>
          <w:rFonts w:eastAsia="Calibri"/>
        </w:rPr>
      </w:pPr>
      <w:bookmarkStart w:id="7" w:name="_Toc100840607"/>
      <w:r>
        <w:rPr>
          <w:rFonts w:eastAsia="Calibri"/>
        </w:rPr>
        <w:t xml:space="preserve">2.2.1. </w:t>
      </w:r>
      <w:r w:rsidR="00317EE7" w:rsidRPr="00FB13AA">
        <w:rPr>
          <w:rFonts w:eastAsia="Calibri"/>
        </w:rPr>
        <w:t>Pregled podataka o izvršenju obveza</w:t>
      </w:r>
      <w:bookmarkEnd w:id="7"/>
    </w:p>
    <w:p w14:paraId="03D464C9" w14:textId="77777777" w:rsidR="002E2664" w:rsidRPr="00E47EC1" w:rsidRDefault="002E2664" w:rsidP="002E2664">
      <w:pPr>
        <w:spacing w:after="120"/>
        <w:rPr>
          <w:rFonts w:eastAsia="Calibri"/>
          <w:lang w:eastAsia="en-US"/>
        </w:rPr>
      </w:pPr>
      <w:r w:rsidRPr="00E47EC1">
        <w:rPr>
          <w:rFonts w:eastAsia="Calibri"/>
          <w:lang w:eastAsia="en-US"/>
        </w:rPr>
        <w:t>Polazna osnova</w:t>
      </w:r>
      <w:r>
        <w:rPr>
          <w:rFonts w:eastAsia="Calibri"/>
          <w:lang w:eastAsia="en-US"/>
        </w:rPr>
        <w:t xml:space="preserve"> za</w:t>
      </w:r>
      <w:r w:rsidRPr="00E47EC1">
        <w:rPr>
          <w:rFonts w:eastAsia="Calibri"/>
          <w:lang w:eastAsia="en-US"/>
        </w:rPr>
        <w:t xml:space="preserve"> izrad</w:t>
      </w:r>
      <w:r>
        <w:rPr>
          <w:rFonts w:eastAsia="Calibri"/>
          <w:lang w:eastAsia="en-US"/>
        </w:rPr>
        <w:t>u</w:t>
      </w:r>
      <w:r w:rsidRPr="00E47EC1">
        <w:rPr>
          <w:rFonts w:eastAsia="Calibri"/>
          <w:lang w:eastAsia="en-US"/>
        </w:rPr>
        <w:t xml:space="preserve"> Pregleda podataka o izvršenju obveza bili su podaci prikupljeni tijekom izrade inventara (Inventarizacije) opreme koja sadrži PCB i PCT </w:t>
      </w:r>
      <w:r>
        <w:rPr>
          <w:rFonts w:eastAsia="Calibri"/>
          <w:lang w:eastAsia="en-US"/>
        </w:rPr>
        <w:t xml:space="preserve">koja je </w:t>
      </w:r>
      <w:r w:rsidRPr="00E47EC1">
        <w:rPr>
          <w:rFonts w:eastAsia="Calibri"/>
          <w:lang w:eastAsia="en-US"/>
        </w:rPr>
        <w:t>proveden</w:t>
      </w:r>
      <w:r>
        <w:rPr>
          <w:rFonts w:eastAsia="Calibri"/>
          <w:lang w:eastAsia="en-US"/>
        </w:rPr>
        <w:t>a</w:t>
      </w:r>
      <w:r w:rsidRPr="00E47EC1">
        <w:rPr>
          <w:rFonts w:eastAsia="Calibri"/>
          <w:lang w:eastAsia="en-US"/>
        </w:rPr>
        <w:t xml:space="preserve"> 2009..</w:t>
      </w:r>
    </w:p>
    <w:p w14:paraId="062B35EF" w14:textId="77777777" w:rsidR="002E2664" w:rsidRPr="00E47EC1" w:rsidRDefault="002E2664" w:rsidP="002E2664">
      <w:pPr>
        <w:spacing w:after="120"/>
        <w:rPr>
          <w:rFonts w:eastAsia="Calibri"/>
          <w:bCs/>
          <w:lang w:eastAsia="en-US"/>
        </w:rPr>
      </w:pPr>
      <w:r w:rsidRPr="00E47EC1">
        <w:rPr>
          <w:rFonts w:eastAsia="Calibri"/>
          <w:lang w:eastAsia="en-US"/>
        </w:rPr>
        <w:t xml:space="preserve">Zadnje raspoložive podatke </w:t>
      </w:r>
      <w:r>
        <w:rPr>
          <w:rFonts w:eastAsia="Calibri"/>
          <w:lang w:eastAsia="en-US"/>
        </w:rPr>
        <w:t xml:space="preserve">koje je </w:t>
      </w:r>
      <w:r w:rsidRPr="00E47EC1">
        <w:rPr>
          <w:rFonts w:eastAsia="Calibri"/>
          <w:lang w:eastAsia="en-US"/>
        </w:rPr>
        <w:t>M</w:t>
      </w:r>
      <w:r>
        <w:rPr>
          <w:rFonts w:eastAsia="Calibri"/>
          <w:lang w:eastAsia="en-US"/>
        </w:rPr>
        <w:t>INGOR</w:t>
      </w:r>
      <w:r w:rsidRPr="00E47EC1">
        <w:rPr>
          <w:rFonts w:eastAsia="Calibri"/>
          <w:lang w:eastAsia="en-US"/>
        </w:rPr>
        <w:t xml:space="preserve"> </w:t>
      </w:r>
      <w:r>
        <w:rPr>
          <w:rFonts w:eastAsia="Calibri"/>
          <w:lang w:eastAsia="en-US"/>
        </w:rPr>
        <w:t>koristio su bili:</w:t>
      </w:r>
      <w:r w:rsidRPr="00E47EC1">
        <w:rPr>
          <w:rFonts w:eastAsia="Calibri"/>
          <w:bCs/>
          <w:lang w:eastAsia="en-US"/>
        </w:rPr>
        <w:t xml:space="preserve"> Godišnje izvješće o dekontaminiranom/zbrinutom PCB-u</w:t>
      </w:r>
      <w:r>
        <w:rPr>
          <w:rFonts w:eastAsia="Calibri"/>
          <w:bCs/>
          <w:lang w:eastAsia="en-US"/>
        </w:rPr>
        <w:t xml:space="preserve">, Registar onečišćavanja okoliša (ROO), </w:t>
      </w:r>
      <w:r w:rsidRPr="00E47EC1">
        <w:rPr>
          <w:rFonts w:eastAsia="Calibri"/>
          <w:bCs/>
          <w:lang w:eastAsia="en-US"/>
        </w:rPr>
        <w:t>Izvješće o prekograničnom prometu otpada</w:t>
      </w:r>
      <w:r>
        <w:rPr>
          <w:rFonts w:eastAsia="Calibri"/>
          <w:bCs/>
          <w:lang w:eastAsia="en-US"/>
        </w:rPr>
        <w:t xml:space="preserve"> i</w:t>
      </w:r>
      <w:r w:rsidRPr="00E47EC1">
        <w:rPr>
          <w:rFonts w:eastAsia="Calibri"/>
          <w:bCs/>
          <w:lang w:eastAsia="en-US"/>
        </w:rPr>
        <w:t xml:space="preserve"> podaci prikupljeni/dostavljeni od evidentiranih posjednika PCB opreme</w:t>
      </w:r>
      <w:r>
        <w:rPr>
          <w:rFonts w:eastAsia="Calibri"/>
          <w:bCs/>
          <w:lang w:eastAsia="en-US"/>
        </w:rPr>
        <w:t>. T</w:t>
      </w:r>
      <w:r w:rsidRPr="00E47EC1">
        <w:rPr>
          <w:rFonts w:eastAsia="Calibri"/>
          <w:bCs/>
          <w:lang w:eastAsia="en-US"/>
        </w:rPr>
        <w:t>emeljem</w:t>
      </w:r>
      <w:r>
        <w:rPr>
          <w:rFonts w:eastAsia="Calibri"/>
          <w:bCs/>
          <w:lang w:eastAsia="en-US"/>
        </w:rPr>
        <w:t xml:space="preserve"> navedenih izvora MINGOR je </w:t>
      </w:r>
      <w:r w:rsidRPr="00E47EC1">
        <w:rPr>
          <w:rFonts w:eastAsia="Calibri"/>
          <w:bCs/>
          <w:lang w:eastAsia="en-US"/>
        </w:rPr>
        <w:t>ažurir</w:t>
      </w:r>
      <w:r>
        <w:rPr>
          <w:rFonts w:eastAsia="Calibri"/>
          <w:bCs/>
          <w:lang w:eastAsia="en-US"/>
        </w:rPr>
        <w:t>ao</w:t>
      </w:r>
      <w:r w:rsidRPr="00E47EC1">
        <w:rPr>
          <w:rFonts w:eastAsia="Calibri"/>
          <w:bCs/>
          <w:lang w:eastAsia="en-US"/>
        </w:rPr>
        <w:t xml:space="preserve"> poda</w:t>
      </w:r>
      <w:r>
        <w:rPr>
          <w:rFonts w:eastAsia="Calibri"/>
          <w:bCs/>
          <w:lang w:eastAsia="en-US"/>
        </w:rPr>
        <w:t>tke</w:t>
      </w:r>
      <w:r w:rsidRPr="00E47EC1">
        <w:rPr>
          <w:rFonts w:eastAsia="Calibri"/>
          <w:bCs/>
          <w:lang w:eastAsia="en-US"/>
        </w:rPr>
        <w:t xml:space="preserve"> o posjednicima</w:t>
      </w:r>
      <w:r>
        <w:rPr>
          <w:rFonts w:eastAsia="Calibri"/>
          <w:bCs/>
          <w:lang w:eastAsia="en-US"/>
        </w:rPr>
        <w:t xml:space="preserve"> i PCB opremi </w:t>
      </w:r>
      <w:r w:rsidRPr="00E47EC1">
        <w:rPr>
          <w:rFonts w:eastAsia="Calibri"/>
          <w:bCs/>
          <w:lang w:eastAsia="en-US"/>
        </w:rPr>
        <w:t>(transformatori</w:t>
      </w:r>
      <w:r>
        <w:rPr>
          <w:rFonts w:eastAsia="Calibri"/>
          <w:bCs/>
          <w:lang w:eastAsia="en-US"/>
        </w:rPr>
        <w:t xml:space="preserve"> i kondenzatori</w:t>
      </w:r>
      <w:r w:rsidRPr="00E47EC1">
        <w:rPr>
          <w:rFonts w:eastAsia="Calibri"/>
          <w:bCs/>
          <w:lang w:eastAsia="en-US"/>
        </w:rPr>
        <w:t>)</w:t>
      </w:r>
      <w:r>
        <w:rPr>
          <w:rFonts w:eastAsia="Calibri"/>
          <w:bCs/>
          <w:lang w:eastAsia="en-US"/>
        </w:rPr>
        <w:t xml:space="preserve"> koja nije zbrinuta i PCB opremi koja je predana na zbrinjavanje (otpad koji sadrži PCB pod KB 16 02 09*) te podatke o ostalim zbrinutim </w:t>
      </w:r>
      <w:r w:rsidRPr="00E47EC1">
        <w:rPr>
          <w:rFonts w:eastAsia="Calibri"/>
          <w:bCs/>
          <w:lang w:eastAsia="en-US"/>
        </w:rPr>
        <w:t>otpadni</w:t>
      </w:r>
      <w:r>
        <w:rPr>
          <w:rFonts w:eastAsia="Calibri"/>
          <w:bCs/>
          <w:lang w:eastAsia="en-US"/>
        </w:rPr>
        <w:t>m</w:t>
      </w:r>
      <w:r w:rsidRPr="00E47EC1">
        <w:rPr>
          <w:rFonts w:eastAsia="Calibri"/>
          <w:bCs/>
          <w:lang w:eastAsia="en-US"/>
        </w:rPr>
        <w:t xml:space="preserve"> predmeti</w:t>
      </w:r>
      <w:r>
        <w:rPr>
          <w:rFonts w:eastAsia="Calibri"/>
          <w:bCs/>
          <w:lang w:eastAsia="en-US"/>
        </w:rPr>
        <w:t>ma</w:t>
      </w:r>
      <w:r w:rsidRPr="00E47EC1">
        <w:rPr>
          <w:rFonts w:eastAsia="Calibri"/>
          <w:bCs/>
          <w:lang w:eastAsia="en-US"/>
        </w:rPr>
        <w:t>, materijali</w:t>
      </w:r>
      <w:r>
        <w:rPr>
          <w:rFonts w:eastAsia="Calibri"/>
          <w:bCs/>
          <w:lang w:eastAsia="en-US"/>
        </w:rPr>
        <w:t>ma</w:t>
      </w:r>
      <w:r w:rsidRPr="00E47EC1">
        <w:rPr>
          <w:rFonts w:eastAsia="Calibri"/>
          <w:bCs/>
          <w:lang w:eastAsia="en-US"/>
        </w:rPr>
        <w:t xml:space="preserve"> ili tekućin</w:t>
      </w:r>
      <w:r>
        <w:rPr>
          <w:rFonts w:eastAsia="Calibri"/>
          <w:bCs/>
          <w:lang w:eastAsia="en-US"/>
        </w:rPr>
        <w:t>ama</w:t>
      </w:r>
      <w:r w:rsidRPr="00E47EC1">
        <w:rPr>
          <w:rFonts w:eastAsia="Calibri"/>
          <w:bCs/>
          <w:lang w:eastAsia="en-US"/>
        </w:rPr>
        <w:t xml:space="preserve"> koje sadrže ili su onečišćene PCB-om</w:t>
      </w:r>
      <w:r>
        <w:rPr>
          <w:rFonts w:eastAsia="Calibri"/>
          <w:bCs/>
          <w:lang w:eastAsia="en-US"/>
        </w:rPr>
        <w:t xml:space="preserve"> (ostali otpad koji sadrži PCB pod KB 13 01 01*, KB 13 03 01*, KB 16 01 09*, KB 16 02 10* i 17 09 02*).</w:t>
      </w:r>
    </w:p>
    <w:p w14:paraId="42C0CD2B" w14:textId="77777777" w:rsidR="002E2664" w:rsidRPr="00E47EC1" w:rsidRDefault="002E2664" w:rsidP="002E2664">
      <w:pPr>
        <w:spacing w:after="120"/>
        <w:rPr>
          <w:rFonts w:eastAsia="Calibri"/>
          <w:lang w:eastAsia="en-US"/>
        </w:rPr>
      </w:pPr>
      <w:r w:rsidRPr="00E47EC1">
        <w:rPr>
          <w:rFonts w:eastAsia="Calibri"/>
          <w:lang w:eastAsia="en-US"/>
        </w:rPr>
        <w:t>Izvršenje obveza od siječnja 2008. do prosinca 20</w:t>
      </w:r>
      <w:r>
        <w:rPr>
          <w:rFonts w:eastAsia="Calibri"/>
          <w:lang w:eastAsia="en-US"/>
        </w:rPr>
        <w:t>21</w:t>
      </w:r>
      <w:r w:rsidRPr="00E47EC1">
        <w:rPr>
          <w:rFonts w:eastAsia="Calibri"/>
          <w:lang w:eastAsia="en-US"/>
        </w:rPr>
        <w:t>.:</w:t>
      </w:r>
    </w:p>
    <w:p w14:paraId="798BBF10" w14:textId="77777777" w:rsidR="002E2664" w:rsidRPr="00E47EC1" w:rsidRDefault="002E2664" w:rsidP="002E2664">
      <w:pPr>
        <w:numPr>
          <w:ilvl w:val="0"/>
          <w:numId w:val="2"/>
        </w:numPr>
        <w:spacing w:after="120"/>
        <w:contextualSpacing/>
        <w:rPr>
          <w:rFonts w:eastAsia="Calibri"/>
          <w:lang w:eastAsia="en-US"/>
        </w:rPr>
      </w:pPr>
      <w:r>
        <w:rPr>
          <w:rFonts w:eastAsia="Calibri"/>
          <w:lang w:eastAsia="en-US"/>
        </w:rPr>
        <w:t>kod 172 posjednika evidentirane su</w:t>
      </w:r>
      <w:r w:rsidRPr="00E47EC1">
        <w:rPr>
          <w:rFonts w:eastAsia="Calibri"/>
          <w:lang w:eastAsia="en-US"/>
        </w:rPr>
        <w:t xml:space="preserve"> ukupn</w:t>
      </w:r>
      <w:r>
        <w:rPr>
          <w:rFonts w:eastAsia="Calibri"/>
          <w:lang w:eastAsia="en-US"/>
        </w:rPr>
        <w:t xml:space="preserve">o </w:t>
      </w:r>
      <w:r w:rsidRPr="00E47EC1">
        <w:rPr>
          <w:rFonts w:eastAsia="Calibri"/>
          <w:lang w:eastAsia="en-US"/>
        </w:rPr>
        <w:t>7</w:t>
      </w:r>
      <w:r>
        <w:rPr>
          <w:rFonts w:eastAsia="Calibri"/>
          <w:lang w:eastAsia="en-US"/>
        </w:rPr>
        <w:t>35 tone</w:t>
      </w:r>
      <w:r w:rsidRPr="00E47EC1">
        <w:rPr>
          <w:rFonts w:eastAsia="Calibri"/>
          <w:lang w:eastAsia="en-US"/>
        </w:rPr>
        <w:t xml:space="preserve"> opreme koja sadrži PCB,</w:t>
      </w:r>
      <w:r>
        <w:rPr>
          <w:rFonts w:eastAsia="Calibri"/>
          <w:lang w:eastAsia="en-US"/>
        </w:rPr>
        <w:t xml:space="preserve"> od čega je</w:t>
      </w:r>
      <w:r w:rsidRPr="00E47EC1">
        <w:rPr>
          <w:rFonts w:eastAsia="Calibri"/>
          <w:lang w:eastAsia="en-US"/>
        </w:rPr>
        <w:t xml:space="preserve"> do prosinca 20</w:t>
      </w:r>
      <w:r>
        <w:rPr>
          <w:rFonts w:eastAsia="Calibri"/>
          <w:lang w:eastAsia="en-US"/>
        </w:rPr>
        <w:t>20</w:t>
      </w:r>
      <w:r w:rsidRPr="00E47EC1">
        <w:rPr>
          <w:rFonts w:eastAsia="Calibri"/>
          <w:lang w:eastAsia="en-US"/>
        </w:rPr>
        <w:t xml:space="preserve">. godine </w:t>
      </w:r>
      <w:r>
        <w:rPr>
          <w:rFonts w:eastAsia="Calibri"/>
          <w:lang w:eastAsia="en-US"/>
        </w:rPr>
        <w:t>predano je na zbrinjavanje</w:t>
      </w:r>
      <w:r w:rsidRPr="00E47EC1">
        <w:rPr>
          <w:rFonts w:eastAsia="Calibri"/>
          <w:lang w:eastAsia="en-US"/>
        </w:rPr>
        <w:t xml:space="preserve"> 55</w:t>
      </w:r>
      <w:r>
        <w:rPr>
          <w:rFonts w:eastAsia="Calibri"/>
          <w:lang w:eastAsia="en-US"/>
        </w:rPr>
        <w:t>8</w:t>
      </w:r>
      <w:r w:rsidRPr="00E47EC1">
        <w:rPr>
          <w:rFonts w:eastAsia="Calibri"/>
          <w:lang w:eastAsia="en-US"/>
        </w:rPr>
        <w:t xml:space="preserve"> t</w:t>
      </w:r>
      <w:r>
        <w:rPr>
          <w:rFonts w:eastAsia="Calibri"/>
          <w:lang w:eastAsia="en-US"/>
        </w:rPr>
        <w:t xml:space="preserve">ona (76%), a </w:t>
      </w:r>
      <w:r w:rsidRPr="00E47EC1">
        <w:rPr>
          <w:rFonts w:eastAsia="Calibri"/>
          <w:lang w:eastAsia="en-US"/>
        </w:rPr>
        <w:t>preostal</w:t>
      </w:r>
      <w:r>
        <w:rPr>
          <w:rFonts w:eastAsia="Calibri"/>
          <w:lang w:eastAsia="en-US"/>
        </w:rPr>
        <w:t>o</w:t>
      </w:r>
      <w:r w:rsidRPr="00E47EC1">
        <w:rPr>
          <w:rFonts w:eastAsia="Calibri"/>
          <w:lang w:eastAsia="en-US"/>
        </w:rPr>
        <w:t xml:space="preserve"> </w:t>
      </w:r>
      <w:r>
        <w:rPr>
          <w:rFonts w:eastAsia="Calibri"/>
          <w:lang w:eastAsia="en-US"/>
        </w:rPr>
        <w:t>je</w:t>
      </w:r>
      <w:r w:rsidRPr="00E47EC1">
        <w:rPr>
          <w:rFonts w:eastAsia="Calibri"/>
          <w:lang w:eastAsia="en-US"/>
        </w:rPr>
        <w:t xml:space="preserve"> za zbrinuti 1</w:t>
      </w:r>
      <w:r>
        <w:rPr>
          <w:rFonts w:eastAsia="Calibri"/>
          <w:lang w:eastAsia="en-US"/>
        </w:rPr>
        <w:t>77</w:t>
      </w:r>
      <w:r w:rsidRPr="00E47EC1">
        <w:rPr>
          <w:rFonts w:eastAsia="Calibri"/>
          <w:lang w:eastAsia="en-US"/>
        </w:rPr>
        <w:t xml:space="preserve"> t</w:t>
      </w:r>
      <w:r>
        <w:rPr>
          <w:rFonts w:eastAsia="Calibri"/>
          <w:lang w:eastAsia="en-US"/>
        </w:rPr>
        <w:t xml:space="preserve">ona (24%) PCB opreme (63 transformatora i 1.608 kondenzatora), a do prosinca 2021. godine zbrinuto je 565 tona (77%), a preostalo je za zbrinuti 170 tona (23%) PCB opreme </w:t>
      </w:r>
      <w:r>
        <w:rPr>
          <w:rFonts w:eastAsia="Calibri"/>
          <w:lang w:eastAsia="en-US"/>
        </w:rPr>
        <w:br/>
        <w:t>(63 transformatora i 1.569 kondenzatora) koja je u posjedu</w:t>
      </w:r>
      <w:r w:rsidRPr="00E47EC1">
        <w:rPr>
          <w:rFonts w:eastAsia="Calibri"/>
          <w:lang w:eastAsia="en-US"/>
        </w:rPr>
        <w:t xml:space="preserve"> 3</w:t>
      </w:r>
      <w:r>
        <w:rPr>
          <w:rFonts w:eastAsia="Calibri"/>
          <w:lang w:eastAsia="en-US"/>
        </w:rPr>
        <w:t>0</w:t>
      </w:r>
      <w:r w:rsidRPr="00E47EC1">
        <w:rPr>
          <w:rFonts w:eastAsia="Calibri"/>
          <w:lang w:eastAsia="en-US"/>
        </w:rPr>
        <w:t xml:space="preserve"> posjednika, Grafikon 2.2-1.</w:t>
      </w:r>
    </w:p>
    <w:p w14:paraId="012DBDDB" w14:textId="77777777" w:rsidR="002E2664" w:rsidRPr="00E47EC1" w:rsidRDefault="002E2664" w:rsidP="002E2664">
      <w:pPr>
        <w:spacing w:after="120"/>
        <w:rPr>
          <w:bCs/>
        </w:rPr>
      </w:pPr>
    </w:p>
    <w:p w14:paraId="52D9238B" w14:textId="77777777" w:rsidR="002E2664" w:rsidRPr="00E47EC1" w:rsidRDefault="002E2664" w:rsidP="002E2664">
      <w:pPr>
        <w:spacing w:after="120"/>
        <w:jc w:val="center"/>
        <w:rPr>
          <w:bCs/>
        </w:rPr>
      </w:pPr>
      <w:r>
        <w:rPr>
          <w:bCs/>
          <w:noProof/>
        </w:rPr>
        <w:lastRenderedPageBreak/>
        <w:drawing>
          <wp:inline distT="0" distB="0" distL="0" distR="0" wp14:anchorId="47F475B5" wp14:editId="08548277">
            <wp:extent cx="5810021" cy="35718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455" cy="3585667"/>
                    </a:xfrm>
                    <a:prstGeom prst="rect">
                      <a:avLst/>
                    </a:prstGeom>
                    <a:noFill/>
                  </pic:spPr>
                </pic:pic>
              </a:graphicData>
            </a:graphic>
          </wp:inline>
        </w:drawing>
      </w:r>
    </w:p>
    <w:p w14:paraId="6F35730C" w14:textId="77777777" w:rsidR="002E2664" w:rsidRPr="00E47EC1" w:rsidRDefault="002E2664" w:rsidP="002E2664">
      <w:pPr>
        <w:pStyle w:val="Slika"/>
        <w:spacing w:before="0" w:after="120"/>
        <w:jc w:val="left"/>
        <w:rPr>
          <w:rFonts w:ascii="Times New Roman" w:hAnsi="Times New Roman"/>
          <w:sz w:val="24"/>
        </w:rPr>
      </w:pPr>
      <w:r w:rsidRPr="00E47EC1">
        <w:rPr>
          <w:rFonts w:ascii="Times New Roman" w:hAnsi="Times New Roman"/>
          <w:sz w:val="24"/>
        </w:rPr>
        <w:t xml:space="preserve">Grafikon 2.2-1. </w:t>
      </w:r>
      <w:r>
        <w:rPr>
          <w:rFonts w:ascii="Times New Roman" w:hAnsi="Times New Roman"/>
          <w:sz w:val="24"/>
        </w:rPr>
        <w:t>K</w:t>
      </w:r>
      <w:r w:rsidRPr="00E47EC1">
        <w:rPr>
          <w:rFonts w:ascii="Times New Roman" w:hAnsi="Times New Roman"/>
          <w:sz w:val="24"/>
        </w:rPr>
        <w:t xml:space="preserve">oličina opreme koja sadrži PCB, evidentirana / </w:t>
      </w:r>
      <w:r>
        <w:rPr>
          <w:rFonts w:ascii="Times New Roman" w:hAnsi="Times New Roman"/>
          <w:sz w:val="24"/>
        </w:rPr>
        <w:t>predana na zbrinjavanje</w:t>
      </w:r>
      <w:r w:rsidRPr="00E47EC1">
        <w:rPr>
          <w:rFonts w:ascii="Times New Roman" w:hAnsi="Times New Roman"/>
          <w:sz w:val="24"/>
        </w:rPr>
        <w:t xml:space="preserve"> / preostala za zbrinuti,</w:t>
      </w:r>
      <w:r>
        <w:rPr>
          <w:rFonts w:ascii="Times New Roman" w:hAnsi="Times New Roman"/>
          <w:sz w:val="24"/>
        </w:rPr>
        <w:t xml:space="preserve"> po godinama, od </w:t>
      </w:r>
      <w:r w:rsidRPr="00E47EC1">
        <w:rPr>
          <w:rFonts w:ascii="Times New Roman" w:hAnsi="Times New Roman"/>
          <w:sz w:val="24"/>
        </w:rPr>
        <w:t xml:space="preserve">2008. </w:t>
      </w:r>
      <w:r>
        <w:rPr>
          <w:rFonts w:ascii="Times New Roman" w:hAnsi="Times New Roman"/>
          <w:sz w:val="24"/>
        </w:rPr>
        <w:t>-</w:t>
      </w:r>
      <w:r w:rsidRPr="00E47EC1">
        <w:rPr>
          <w:rFonts w:ascii="Times New Roman" w:hAnsi="Times New Roman"/>
          <w:sz w:val="24"/>
        </w:rPr>
        <w:t xml:space="preserve"> 20</w:t>
      </w:r>
      <w:r>
        <w:rPr>
          <w:rFonts w:ascii="Times New Roman" w:hAnsi="Times New Roman"/>
          <w:sz w:val="24"/>
        </w:rPr>
        <w:t>21</w:t>
      </w:r>
      <w:r w:rsidRPr="00E47EC1">
        <w:rPr>
          <w:rFonts w:ascii="Times New Roman" w:hAnsi="Times New Roman"/>
          <w:sz w:val="24"/>
        </w:rPr>
        <w:t>. godine (Izvor: M</w:t>
      </w:r>
      <w:r>
        <w:rPr>
          <w:rFonts w:ascii="Times New Roman" w:hAnsi="Times New Roman"/>
          <w:sz w:val="24"/>
        </w:rPr>
        <w:t>INGOR</w:t>
      </w:r>
      <w:r w:rsidRPr="00E47EC1">
        <w:rPr>
          <w:rFonts w:ascii="Times New Roman" w:hAnsi="Times New Roman"/>
          <w:sz w:val="24"/>
        </w:rPr>
        <w:t>, 202</w:t>
      </w:r>
      <w:r>
        <w:rPr>
          <w:rFonts w:ascii="Times New Roman" w:hAnsi="Times New Roman"/>
          <w:sz w:val="24"/>
        </w:rPr>
        <w:t>1</w:t>
      </w:r>
      <w:r w:rsidRPr="00E47EC1">
        <w:rPr>
          <w:rFonts w:ascii="Times New Roman" w:hAnsi="Times New Roman"/>
          <w:sz w:val="24"/>
        </w:rPr>
        <w:t>.)</w:t>
      </w:r>
    </w:p>
    <w:p w14:paraId="708B79B5" w14:textId="77777777" w:rsidR="002E2664" w:rsidRPr="00E47EC1" w:rsidRDefault="002E2664" w:rsidP="002E2664">
      <w:pPr>
        <w:pStyle w:val="Slika"/>
        <w:spacing w:before="0" w:after="120"/>
        <w:jc w:val="left"/>
        <w:rPr>
          <w:rFonts w:ascii="Times New Roman" w:hAnsi="Times New Roman"/>
          <w:sz w:val="24"/>
        </w:rPr>
      </w:pPr>
    </w:p>
    <w:p w14:paraId="31C919C1" w14:textId="77777777" w:rsidR="002E2664" w:rsidRPr="00E47EC1" w:rsidRDefault="002E2664" w:rsidP="002E2664">
      <w:pPr>
        <w:pStyle w:val="Odlomakpopisa"/>
        <w:numPr>
          <w:ilvl w:val="0"/>
          <w:numId w:val="21"/>
        </w:numPr>
        <w:spacing w:after="120"/>
      </w:pPr>
      <w:r w:rsidRPr="00E47EC1">
        <w:t xml:space="preserve">od </w:t>
      </w:r>
      <w:r>
        <w:t xml:space="preserve">siječnja </w:t>
      </w:r>
      <w:r w:rsidRPr="00E47EC1">
        <w:t>2008. do prosinca 20</w:t>
      </w:r>
      <w:r>
        <w:t>21</w:t>
      </w:r>
      <w:r w:rsidRPr="00E47EC1">
        <w:t>. zbrinuto je ukupno 7</w:t>
      </w:r>
      <w:r>
        <w:t>5,70</w:t>
      </w:r>
      <w:r w:rsidRPr="00E47EC1">
        <w:t xml:space="preserve"> t</w:t>
      </w:r>
      <w:r>
        <w:t>ona</w:t>
      </w:r>
      <w:r w:rsidRPr="00E47EC1">
        <w:t xml:space="preserve"> </w:t>
      </w:r>
      <w:r>
        <w:t>ostalog otpada koji sadrži PCB</w:t>
      </w:r>
      <w:r w:rsidRPr="00E47EC1">
        <w:t xml:space="preserve"> </w:t>
      </w:r>
      <w:r>
        <w:t>(</w:t>
      </w:r>
      <w:r w:rsidRPr="00E47EC1">
        <w:t>KB 13 01 01*, KB 13 03 01*, KB 16 01 09*, KB 16 02 10* i KB 17 09 02*).</w:t>
      </w:r>
      <w:r w:rsidRPr="001909D1">
        <w:t xml:space="preserve"> U 2020. nisu predavani na zbrinjavanje otpadni predmeti, materijali ili tekućine koje sadrže ili su onečišćene PCB-om</w:t>
      </w:r>
      <w:r>
        <w:t xml:space="preserve"> dok je u 2021. predano na zbrinjavanje 1,60 tona.</w:t>
      </w:r>
    </w:p>
    <w:p w14:paraId="0AEDC47A" w14:textId="77777777" w:rsidR="002E2664" w:rsidRPr="00E47EC1" w:rsidRDefault="002E2664" w:rsidP="002E2664">
      <w:pPr>
        <w:spacing w:after="120"/>
        <w:rPr>
          <w:bCs/>
        </w:rPr>
      </w:pPr>
      <w:r w:rsidRPr="00E47EC1">
        <w:rPr>
          <w:bCs/>
        </w:rPr>
        <w:t>Od ukupno 1</w:t>
      </w:r>
      <w:r>
        <w:rPr>
          <w:bCs/>
        </w:rPr>
        <w:t>70</w:t>
      </w:r>
      <w:r w:rsidRPr="00E47EC1">
        <w:rPr>
          <w:bCs/>
        </w:rPr>
        <w:t xml:space="preserve"> ton</w:t>
      </w:r>
      <w:r>
        <w:rPr>
          <w:bCs/>
        </w:rPr>
        <w:t>a</w:t>
      </w:r>
      <w:r w:rsidRPr="00E47EC1">
        <w:rPr>
          <w:bCs/>
        </w:rPr>
        <w:t xml:space="preserve"> opreme koja sadrži PCB preostal</w:t>
      </w:r>
      <w:r>
        <w:rPr>
          <w:bCs/>
        </w:rPr>
        <w:t xml:space="preserve">o je </w:t>
      </w:r>
      <w:r w:rsidRPr="00E47EC1">
        <w:rPr>
          <w:bCs/>
        </w:rPr>
        <w:t xml:space="preserve"> za zbrinuti</w:t>
      </w:r>
      <w:r>
        <w:rPr>
          <w:bCs/>
        </w:rPr>
        <w:t>:</w:t>
      </w:r>
    </w:p>
    <w:p w14:paraId="5E973B1C" w14:textId="77777777" w:rsidR="002E2664" w:rsidRPr="00E47EC1" w:rsidRDefault="002E2664" w:rsidP="002E2664">
      <w:pPr>
        <w:pStyle w:val="Odlomakpopisa"/>
        <w:numPr>
          <w:ilvl w:val="0"/>
          <w:numId w:val="20"/>
        </w:numPr>
        <w:spacing w:after="120"/>
      </w:pPr>
      <w:r w:rsidRPr="001A7529">
        <w:t xml:space="preserve">110 tona (65 %) opreme </w:t>
      </w:r>
      <w:r>
        <w:t xml:space="preserve">koja je </w:t>
      </w:r>
      <w:r w:rsidRPr="001A7529">
        <w:t>u posjedu je četiri tvrtke od kojih svaka ima pojedinačni udio veći od 10 tona (49 tona Dalit CORP d.d., u stečaju; 27 tona Impol-TLM d.o.o., 23 tone Industrogradnja-Izoind d.o.o. - brisani iz popisa poslovnih subjekata i 11 tona Sojara d.o.o.), a 60 tona (35 %) opreme u posjedu je 26 posjednika od kojih svaki ima pojedinačni udio manji od 10 tona</w:t>
      </w:r>
      <w:r w:rsidRPr="00063F91">
        <w:rPr>
          <w:color w:val="7030A0"/>
          <w:lang w:eastAsia="en-US"/>
        </w:rPr>
        <w:t xml:space="preserve"> </w:t>
      </w:r>
      <w:r w:rsidRPr="00E47EC1">
        <w:t>, Grafikon 2.2-2.</w:t>
      </w:r>
    </w:p>
    <w:p w14:paraId="6AC38340" w14:textId="77777777" w:rsidR="002E2664" w:rsidRPr="00E47EC1" w:rsidRDefault="002E2664" w:rsidP="002E2664">
      <w:pPr>
        <w:pStyle w:val="Odlomakpopisa"/>
        <w:spacing w:after="120"/>
        <w:jc w:val="center"/>
      </w:pPr>
    </w:p>
    <w:p w14:paraId="698F2589" w14:textId="77777777" w:rsidR="002E2664" w:rsidRPr="00E47EC1" w:rsidRDefault="002E2664" w:rsidP="002E2664">
      <w:pPr>
        <w:pStyle w:val="Odlomakpopisa"/>
        <w:spacing w:after="120"/>
        <w:jc w:val="center"/>
      </w:pPr>
      <w:r>
        <w:rPr>
          <w:noProof/>
        </w:rPr>
        <w:lastRenderedPageBreak/>
        <w:drawing>
          <wp:inline distT="0" distB="0" distL="0" distR="0" wp14:anchorId="2D1DBD50" wp14:editId="68F474BC">
            <wp:extent cx="5231130" cy="314579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130" cy="3145790"/>
                    </a:xfrm>
                    <a:prstGeom prst="rect">
                      <a:avLst/>
                    </a:prstGeom>
                    <a:noFill/>
                  </pic:spPr>
                </pic:pic>
              </a:graphicData>
            </a:graphic>
          </wp:inline>
        </w:drawing>
      </w:r>
    </w:p>
    <w:p w14:paraId="339FD934" w14:textId="77777777" w:rsidR="002E2664" w:rsidRPr="00E47EC1" w:rsidRDefault="002E2664" w:rsidP="002E2664">
      <w:pPr>
        <w:spacing w:after="120"/>
        <w:rPr>
          <w:bCs/>
          <w:i/>
        </w:rPr>
      </w:pPr>
      <w:r w:rsidRPr="00E47EC1">
        <w:rPr>
          <w:bCs/>
          <w:i/>
        </w:rPr>
        <w:t>Grafikon 2.2-2. Prikaz udjela PCB opreme preostale za zbrinuti, po posjednicima , sta</w:t>
      </w:r>
      <w:r>
        <w:rPr>
          <w:bCs/>
          <w:i/>
        </w:rPr>
        <w:t>nje</w:t>
      </w:r>
      <w:r w:rsidRPr="00E47EC1">
        <w:rPr>
          <w:bCs/>
          <w:i/>
        </w:rPr>
        <w:t xml:space="preserve"> u prosincu 20</w:t>
      </w:r>
      <w:r>
        <w:rPr>
          <w:bCs/>
          <w:i/>
        </w:rPr>
        <w:t>21</w:t>
      </w:r>
      <w:r w:rsidRPr="00E47EC1">
        <w:rPr>
          <w:bCs/>
          <w:i/>
        </w:rPr>
        <w:t>. (Izvor: M</w:t>
      </w:r>
      <w:r>
        <w:rPr>
          <w:bCs/>
          <w:i/>
        </w:rPr>
        <w:t>INGOR</w:t>
      </w:r>
      <w:r w:rsidRPr="00E47EC1">
        <w:rPr>
          <w:bCs/>
          <w:i/>
        </w:rPr>
        <w:t>, 202</w:t>
      </w:r>
      <w:r>
        <w:rPr>
          <w:bCs/>
          <w:i/>
        </w:rPr>
        <w:t>1</w:t>
      </w:r>
      <w:r w:rsidRPr="00E47EC1">
        <w:rPr>
          <w:bCs/>
          <w:i/>
        </w:rPr>
        <w:t>.)</w:t>
      </w:r>
    </w:p>
    <w:p w14:paraId="165C70F7" w14:textId="77777777" w:rsidR="002E2664" w:rsidRPr="00E47EC1" w:rsidRDefault="002E2664" w:rsidP="002E2664">
      <w:pPr>
        <w:spacing w:after="120"/>
      </w:pPr>
    </w:p>
    <w:p w14:paraId="73667BBC" w14:textId="77777777" w:rsidR="002E2664" w:rsidRPr="00E47EC1" w:rsidRDefault="002E2664" w:rsidP="002E2664">
      <w:pPr>
        <w:spacing w:after="120"/>
      </w:pPr>
      <w:r w:rsidRPr="00E47EC1">
        <w:t>Status podataka za 2</w:t>
      </w:r>
      <w:r>
        <w:t>020</w:t>
      </w:r>
      <w:r w:rsidRPr="00E47EC1">
        <w:t>.</w:t>
      </w:r>
      <w:r>
        <w:t xml:space="preserve"> i 2021. godinu</w:t>
      </w:r>
      <w:r w:rsidRPr="00E47EC1">
        <w:t>:</w:t>
      </w:r>
    </w:p>
    <w:p w14:paraId="3DA5CA7E" w14:textId="77777777" w:rsidR="002E2664" w:rsidRDefault="002E2664" w:rsidP="002E2664">
      <w:pPr>
        <w:pStyle w:val="Odlomakpopisa"/>
        <w:numPr>
          <w:ilvl w:val="0"/>
          <w:numId w:val="11"/>
        </w:numPr>
      </w:pPr>
      <w:r>
        <w:t>u 2020. godini posjednici su predali na zbrinjavanje ukupno 7,91 tona otpada koji sadrži PCB (oprema koja sadrži PCB – kondenzatori</w:t>
      </w:r>
      <w:r w:rsidRPr="00315DA1">
        <w:t xml:space="preserve"> i trans</w:t>
      </w:r>
      <w:r>
        <w:t xml:space="preserve">formatori, KB 16 02 09*). </w:t>
      </w:r>
      <w:r w:rsidRPr="00052967">
        <w:t>U 2020. godini nisu predavani na zbrinjavanje otpadni predmeti, materijali ili tekućine koje sadrže ili su onečišćene PCB-om.</w:t>
      </w:r>
      <w:r>
        <w:t xml:space="preserve"> Prema podacima iz izvješća o prekograničnom prometu otpada, u 2020</w:t>
      </w:r>
      <w:r w:rsidRPr="00B43F48">
        <w:t>. godini izvezeno je u</w:t>
      </w:r>
      <w:r>
        <w:t xml:space="preserve">kupno 76,31 tona otpada koji sadrži PCB. </w:t>
      </w:r>
      <w:r w:rsidRPr="00B43F48">
        <w:t xml:space="preserve">Izvezen je i PCB otpad preuzet prethodnih godina te je iz tog razloga više PCB </w:t>
      </w:r>
      <w:r>
        <w:t>otpada izvezeno nego što je 2020</w:t>
      </w:r>
      <w:r w:rsidRPr="00B43F48">
        <w:t>. godine preuzeto od posjednika.</w:t>
      </w:r>
    </w:p>
    <w:p w14:paraId="1C560C88" w14:textId="77777777" w:rsidR="002E2664" w:rsidRDefault="002E2664" w:rsidP="002E2664">
      <w:pPr>
        <w:pStyle w:val="Odlomakpopisa"/>
        <w:numPr>
          <w:ilvl w:val="0"/>
          <w:numId w:val="11"/>
        </w:numPr>
      </w:pPr>
      <w:r>
        <w:t>u 2021. godini posjednici su predali na zbrinjavanje ukupno 8,23 tona otpada koji sadrži PCB od čega je bilo 6,63</w:t>
      </w:r>
      <w:r w:rsidRPr="00315DA1">
        <w:t xml:space="preserve"> t</w:t>
      </w:r>
      <w:r>
        <w:t>ona</w:t>
      </w:r>
      <w:r w:rsidRPr="00315DA1">
        <w:t xml:space="preserve"> opreme koja sadrži PCB – kondenzatora i trans</w:t>
      </w:r>
      <w:r>
        <w:t xml:space="preserve">formatora </w:t>
      </w:r>
      <w:r>
        <w:br/>
        <w:t>(KB 16 02 09*) i 1,60 tona</w:t>
      </w:r>
      <w:r w:rsidRPr="00315DA1">
        <w:t xml:space="preserve"> otpadnih predmeta, materijala ili tekućina koje sa</w:t>
      </w:r>
      <w:r>
        <w:t>drže ili su onečišćene PCB-om (KB 16 02 10*)</w:t>
      </w:r>
      <w:r w:rsidRPr="00315DA1">
        <w:t>.</w:t>
      </w:r>
      <w:r>
        <w:t xml:space="preserve"> Prema podacima iz izvješća o prekograničnom prometu otpada, u</w:t>
      </w:r>
      <w:r w:rsidRPr="00B43F48">
        <w:t xml:space="preserve"> 2021. godini izvezeno je ukupno 10</w:t>
      </w:r>
      <w:r>
        <w:t xml:space="preserve">,55 tona otpada koji sadrži PCB. </w:t>
      </w:r>
      <w:r w:rsidRPr="00B43F48">
        <w:t>Izvezen je i PCB otpad preuzet prethodnih godina te je iz tog razloga više PCB otpada izvezeno nego što je 2021. godine preuzeto od posjednika.</w:t>
      </w:r>
    </w:p>
    <w:p w14:paraId="2C2B7F32" w14:textId="77777777" w:rsidR="002E2664" w:rsidRDefault="002E2664" w:rsidP="002E2664">
      <w:pPr>
        <w:pStyle w:val="Odlomakpopisa"/>
        <w:rPr>
          <w:bCs/>
        </w:rPr>
      </w:pPr>
    </w:p>
    <w:p w14:paraId="1BBB6713" w14:textId="77777777" w:rsidR="002E2664" w:rsidRPr="00E47EC1" w:rsidRDefault="002E2664" w:rsidP="002E2664">
      <w:r w:rsidRPr="00E47EC1">
        <w:t>Uređaji koji sadrže PCB i tekućine s PCB-om spaljuju se isključivo u spalionicama opasnog otpada. Budući da u Republici Hrvatskoj nema odgovarajućih spalionica za ovu vrstu otpada, on se mora izvoziti na zbrinjavanje izvan države. Sakupljeni otpad tvrtke izvoze po dobivanju rješenja od M</w:t>
      </w:r>
      <w:r>
        <w:t>INGOR-a</w:t>
      </w:r>
      <w:r w:rsidRPr="00E47EC1">
        <w:t xml:space="preserve">, u skladu s procedurom prema Baselskoj Konvenciji o nadzoru prekograničnog prometa opasnog otpada i njegovu odlaganju (Narodne novine-Međunarodni ugovori, broj 3/94) i Uredbi (EZ) br. 1013/2006 Europskog parlamenta i Vijeća o otpremi pošiljaka sukladno članku 118. Zakona o </w:t>
      </w:r>
      <w:r>
        <w:t>gospodarenju otpadom</w:t>
      </w:r>
      <w:r w:rsidRPr="00E47EC1">
        <w:t xml:space="preserve"> (Narodne novine, br. </w:t>
      </w:r>
      <w:r>
        <w:t>84/21</w:t>
      </w:r>
      <w:r w:rsidRPr="00E47EC1">
        <w:t>).</w:t>
      </w:r>
    </w:p>
    <w:p w14:paraId="7F6E096F" w14:textId="77777777" w:rsidR="002E2664" w:rsidRPr="00E47EC1" w:rsidRDefault="002E2664" w:rsidP="002E2664"/>
    <w:p w14:paraId="3B6CD6BE" w14:textId="77777777" w:rsidR="002E2664" w:rsidRPr="00FB13AA" w:rsidRDefault="002E2664" w:rsidP="002E2664">
      <w:pPr>
        <w:pStyle w:val="Naslov3"/>
      </w:pPr>
      <w:bookmarkStart w:id="8" w:name="_Toc100840608"/>
      <w:r>
        <w:lastRenderedPageBreak/>
        <w:t xml:space="preserve">2.2.2. </w:t>
      </w:r>
      <w:r w:rsidRPr="006F32A8">
        <w:t>Zaključak</w:t>
      </w:r>
      <w:bookmarkEnd w:id="8"/>
    </w:p>
    <w:p w14:paraId="597714C2" w14:textId="77777777" w:rsidR="002E2664" w:rsidRPr="005C2483" w:rsidRDefault="002E2664" w:rsidP="002E2664">
      <w:pPr>
        <w:spacing w:after="120"/>
        <w:rPr>
          <w:lang w:val="pl-PL"/>
        </w:rPr>
      </w:pPr>
      <w:r w:rsidRPr="00A51A0D">
        <w:rPr>
          <w:lang w:val="pl-PL"/>
        </w:rPr>
        <w:t>U razdoblju od stupanja Pravilnika na snagu od 2008. do 20</w:t>
      </w:r>
      <w:r>
        <w:rPr>
          <w:lang w:val="pl-PL"/>
        </w:rPr>
        <w:t>21</w:t>
      </w:r>
      <w:r w:rsidRPr="00A51A0D">
        <w:rPr>
          <w:lang w:val="pl-PL"/>
        </w:rPr>
        <w:t>. obveze posjednika PCB opreme djelomično su provedene (</w:t>
      </w:r>
      <w:r>
        <w:rPr>
          <w:lang w:val="pl-PL"/>
        </w:rPr>
        <w:t>predano je na zbrinjavanje</w:t>
      </w:r>
      <w:r w:rsidRPr="00A51A0D">
        <w:rPr>
          <w:lang w:val="pl-PL"/>
        </w:rPr>
        <w:t xml:space="preserve"> 7</w:t>
      </w:r>
      <w:r>
        <w:rPr>
          <w:lang w:val="pl-PL"/>
        </w:rPr>
        <w:t>7</w:t>
      </w:r>
      <w:r w:rsidRPr="00A51A0D">
        <w:rPr>
          <w:lang w:val="pl-PL"/>
        </w:rPr>
        <w:t>% odnosno 5</w:t>
      </w:r>
      <w:r>
        <w:rPr>
          <w:lang w:val="pl-PL"/>
        </w:rPr>
        <w:t>65</w:t>
      </w:r>
      <w:r w:rsidRPr="00A51A0D">
        <w:rPr>
          <w:lang w:val="pl-PL"/>
        </w:rPr>
        <w:t xml:space="preserve"> t</w:t>
      </w:r>
      <w:r>
        <w:rPr>
          <w:lang w:val="pl-PL"/>
        </w:rPr>
        <w:t>ona</w:t>
      </w:r>
      <w:r w:rsidRPr="00A51A0D">
        <w:rPr>
          <w:lang w:val="pl-PL"/>
        </w:rPr>
        <w:t>, a preostal</w:t>
      </w:r>
      <w:r>
        <w:rPr>
          <w:lang w:val="pl-PL"/>
        </w:rPr>
        <w:t>o je za zbrinuti 23% odnosno 170</w:t>
      </w:r>
      <w:r w:rsidRPr="00A51A0D">
        <w:rPr>
          <w:lang w:val="pl-PL"/>
        </w:rPr>
        <w:t xml:space="preserve"> t</w:t>
      </w:r>
      <w:r>
        <w:rPr>
          <w:lang w:val="pl-PL"/>
        </w:rPr>
        <w:t>ona</w:t>
      </w:r>
      <w:r w:rsidRPr="00A51A0D">
        <w:rPr>
          <w:lang w:val="pl-PL"/>
        </w:rPr>
        <w:t xml:space="preserve"> od ukupno evidentiran</w:t>
      </w:r>
      <w:r>
        <w:rPr>
          <w:lang w:val="pl-PL"/>
        </w:rPr>
        <w:t>e</w:t>
      </w:r>
      <w:r w:rsidRPr="00A51A0D">
        <w:rPr>
          <w:lang w:val="pl-PL"/>
        </w:rPr>
        <w:t xml:space="preserve"> 7</w:t>
      </w:r>
      <w:r>
        <w:rPr>
          <w:lang w:val="pl-PL"/>
        </w:rPr>
        <w:t>34</w:t>
      </w:r>
      <w:r w:rsidRPr="00A51A0D">
        <w:rPr>
          <w:lang w:val="pl-PL"/>
        </w:rPr>
        <w:t xml:space="preserve"> t</w:t>
      </w:r>
      <w:r>
        <w:rPr>
          <w:lang w:val="pl-PL"/>
        </w:rPr>
        <w:t>one</w:t>
      </w:r>
      <w:r w:rsidRPr="00A51A0D">
        <w:rPr>
          <w:lang w:val="pl-PL"/>
        </w:rPr>
        <w:t xml:space="preserve"> PCB opreme), no uočljiv je trend kumulativnog povećanja zbrinute opreme. </w:t>
      </w:r>
      <w:r w:rsidRPr="005C2483">
        <w:rPr>
          <w:lang w:val="pl-PL"/>
        </w:rPr>
        <w:t>Obzirom da u RH ne postoje kapaciteti za obradu, oprema koja sadrži PCB i dalje će se izvoziti na obradu izvan RH.</w:t>
      </w:r>
    </w:p>
    <w:p w14:paraId="4864393B" w14:textId="77777777" w:rsidR="002E2664" w:rsidRPr="00A51A0D" w:rsidRDefault="002E2664" w:rsidP="002E2664">
      <w:pPr>
        <w:spacing w:after="120"/>
        <w:rPr>
          <w:lang w:val="pl-PL"/>
        </w:rPr>
      </w:pPr>
      <w:r w:rsidRPr="005C2483">
        <w:rPr>
          <w:lang w:val="pl-PL"/>
        </w:rPr>
        <w:t>Od 2017. do 202</w:t>
      </w:r>
      <w:r>
        <w:rPr>
          <w:lang w:val="pl-PL"/>
        </w:rPr>
        <w:t>1</w:t>
      </w:r>
      <w:r w:rsidRPr="005C2483">
        <w:rPr>
          <w:lang w:val="pl-PL"/>
        </w:rPr>
        <w:t xml:space="preserve">., u odnosu na prijašnje razdoblje, smanjio se godišnji prosjek količine zbrinute opreme iz razloga što je 56 % preostale PCB opreme u posjedu tvrtki koje su u stečaju ili su brisane iz popisa poslovnih subjekata. Nadalje, obzirom da se svake godine evidentira određeni broj novih posjednika PCB opreme, </w:t>
      </w:r>
      <w:r>
        <w:rPr>
          <w:lang w:val="pl-PL"/>
        </w:rPr>
        <w:t xml:space="preserve">za pretpostaviti je </w:t>
      </w:r>
      <w:r w:rsidRPr="005C2483">
        <w:rPr>
          <w:lang w:val="pl-PL"/>
        </w:rPr>
        <w:t xml:space="preserve"> da i dalje postoji određeni broj posjednika koji nisu prepoznali vlastite odgovornosti i obveze sukladno Pravilniku te stoga nisu evidentirani u sustavu.</w:t>
      </w:r>
    </w:p>
    <w:p w14:paraId="1A18DB9E" w14:textId="77777777" w:rsidR="00667FB6" w:rsidRPr="00E47EC1" w:rsidRDefault="00667FB6" w:rsidP="00317EE7">
      <w:pPr>
        <w:spacing w:after="120"/>
        <w:rPr>
          <w:lang w:val="pl-PL"/>
        </w:rPr>
      </w:pPr>
    </w:p>
    <w:p w14:paraId="1A18DB9F" w14:textId="77777777" w:rsidR="00317EE7" w:rsidRPr="007348AA" w:rsidRDefault="002664D6" w:rsidP="002664D6">
      <w:pPr>
        <w:pStyle w:val="Naslov2"/>
        <w:numPr>
          <w:ilvl w:val="1"/>
          <w:numId w:val="8"/>
        </w:numPr>
        <w:spacing w:after="120"/>
        <w:rPr>
          <w:b w:val="0"/>
        </w:rPr>
      </w:pPr>
      <w:r w:rsidRPr="00E47EC1">
        <w:rPr>
          <w:b w:val="0"/>
        </w:rPr>
        <w:t xml:space="preserve"> </w:t>
      </w:r>
      <w:bookmarkStart w:id="9" w:name="_Toc100840609"/>
      <w:r w:rsidR="00D55E4A" w:rsidRPr="007348AA">
        <w:rPr>
          <w:b w:val="0"/>
        </w:rPr>
        <w:t>PRAĆENJE/MONITORING POP</w:t>
      </w:r>
      <w:r w:rsidR="002A11B4" w:rsidRPr="007348AA">
        <w:rPr>
          <w:b w:val="0"/>
        </w:rPr>
        <w:t>s</w:t>
      </w:r>
      <w:r w:rsidR="00D55E4A" w:rsidRPr="007348AA">
        <w:rPr>
          <w:b w:val="0"/>
        </w:rPr>
        <w:t>-OVA</w:t>
      </w:r>
      <w:bookmarkEnd w:id="9"/>
    </w:p>
    <w:p w14:paraId="1A18DBA0" w14:textId="77777777" w:rsidR="00317EE7" w:rsidRPr="007348AA" w:rsidRDefault="00317EE7" w:rsidP="00D55E4A">
      <w:pPr>
        <w:pStyle w:val="Naslov3"/>
        <w:numPr>
          <w:ilvl w:val="2"/>
          <w:numId w:val="9"/>
        </w:numPr>
        <w:spacing w:before="120" w:after="120"/>
        <w:rPr>
          <w:b/>
          <w:i w:val="0"/>
        </w:rPr>
      </w:pPr>
      <w:bookmarkStart w:id="10" w:name="_Toc100840610"/>
      <w:r w:rsidRPr="007348AA">
        <w:t>Monitoring POPs-ova u vodama</w:t>
      </w:r>
      <w:bookmarkEnd w:id="10"/>
    </w:p>
    <w:p w14:paraId="1A18DBA1" w14:textId="77777777" w:rsidR="001C4163" w:rsidRPr="007348AA" w:rsidRDefault="001C4163" w:rsidP="001C4163">
      <w:pPr>
        <w:spacing w:after="120"/>
      </w:pPr>
      <w:r w:rsidRPr="007348AA">
        <w:t xml:space="preserve">Monitoring stanja površinskih voda provodi se kao nadzorni i operativni  monitoring, a prema potrebi i kao istraživački monitoring. </w:t>
      </w:r>
    </w:p>
    <w:p w14:paraId="1A18DBA2" w14:textId="7FE4DF9D" w:rsidR="001C4163" w:rsidRPr="007348AA" w:rsidRDefault="001C4163" w:rsidP="001C4163">
      <w:pPr>
        <w:spacing w:after="120"/>
      </w:pPr>
      <w:r w:rsidRPr="007348AA">
        <w:t xml:space="preserve">Stanje prirodnih, znatno promijenjenih i umjetnih vodnih tijela površinskih voda u 2019. i 2020., koje uključuje rijeke, jezera, prijelazne i priobalne vode određeno je na temelju ekološkog ili kemijskog stanja toga tijela (Uredba o standardu kakvoće voda (Prilog 2c, </w:t>
      </w:r>
      <w:r w:rsidR="0054056B" w:rsidRPr="007348AA">
        <w:t>za ekološko stanje</w:t>
      </w:r>
      <w:r w:rsidRPr="007348AA">
        <w:t xml:space="preserve"> te Prilog 5 za kemijsko stanje), a odnosi se na podatke monitoringa prikupljene do kraja 2019. i 2020.</w:t>
      </w:r>
      <w:r w:rsidR="0054056B" w:rsidRPr="007348AA">
        <w:t xml:space="preserve"> godine</w:t>
      </w:r>
      <w:r w:rsidRPr="007348AA">
        <w:t xml:space="preserve">. </w:t>
      </w:r>
    </w:p>
    <w:p w14:paraId="1A18DBA3" w14:textId="77777777" w:rsidR="001C4163" w:rsidRPr="007348AA" w:rsidRDefault="001C4163" w:rsidP="001C4163">
      <w:pPr>
        <w:spacing w:after="120"/>
      </w:pPr>
      <w:r w:rsidRPr="007348AA">
        <w:t xml:space="preserve">Nadzorni monitoring prema članku 30. Uredbe o standardu kakvoće voda (Narodne novine, br. 96/2019) ima za cilj ocjenjivanje dugoročnih promjena prirodnih uvjeta i dugoročnih promjena uzrokovanih intenzivnim ljudskim aktivnostima, planiranje budućeg monitoringa te dopunu i vrednovanje postupka ocjene utjecaja ljudskih aktivnosti na stanje voda. </w:t>
      </w:r>
    </w:p>
    <w:p w14:paraId="1A18DBA4" w14:textId="7ABBF15A" w:rsidR="001C4163" w:rsidRPr="007348AA" w:rsidRDefault="001C4163" w:rsidP="001C4163">
      <w:pPr>
        <w:spacing w:after="120"/>
      </w:pPr>
      <w:r w:rsidRPr="007348AA">
        <w:t>Zadaća operativnog monitoringa je prema članku 31. (za površinske vode) i članku 5</w:t>
      </w:r>
      <w:r w:rsidR="0054056B" w:rsidRPr="007348AA">
        <w:t>3</w:t>
      </w:r>
      <w:r w:rsidRPr="007348AA">
        <w:t xml:space="preserve">. (za podzemne vode) Uredbe o standardu kakvoće voda utvrđivanje stanja površinskih i podzemnih vodnih tijela za koja je utvrđen rizik od nepostizanja ciljeva zaštite voda,  utvrđivanje stanja površinskih voda u koje se ispuštaju prioritetne tvari i stanja podzemnih voda radi utvrđivanja znatno i trajno rastućih trendova koncentracije onečišćujućih tvari uslijed utjecaja ljudskih aktivnosti te utvrđivanje bilo kakvih promjena u stanju takvih vodnih tijela koja su rezultat provedbe Programa mjera. </w:t>
      </w:r>
    </w:p>
    <w:p w14:paraId="1A18DBA5" w14:textId="77777777" w:rsidR="001C4163" w:rsidRPr="007348AA" w:rsidRDefault="001C4163" w:rsidP="001C4163">
      <w:pPr>
        <w:spacing w:after="120"/>
      </w:pPr>
      <w:r w:rsidRPr="007348AA">
        <w:t xml:space="preserve">Prema članku 32. navedene Uredbe istraživački monitoring se provodi kad razlozi prekoračenja graničnih vrijednosti pokazatelja za ocjenu stanja voda nisu poznati, kad nadzorni monitoring ukazuje na malu vjerojatnost da određeno tijelo površinske vode postigne ciljeve zaštite voda, a operativni monitoring još nije uspostavljen kako bi se utvrdili razlozi nepostizanja ciljeva zaštite voda te kod utvrđivanja veličine i utjecaja iznenadnog onečišćenja te radi osiguranja informacija za uspostavljanje programa mjera za postizanje ciljeva zaštite voda i određivanja programa posebnih mjera za otklanjanje posljedica iznenadnih onečišćenja. </w:t>
      </w:r>
    </w:p>
    <w:p w14:paraId="1A18DBA6" w14:textId="77777777" w:rsidR="001C4163" w:rsidRPr="007348AA" w:rsidRDefault="001C4163" w:rsidP="001C4163">
      <w:pPr>
        <w:spacing w:after="120"/>
      </w:pPr>
      <w:r w:rsidRPr="007348AA">
        <w:t xml:space="preserve">Temeljem rezultata monitoringa se za svako vodno tijelo pojedinačno donosi ocjena njegovog stanja i razvrstava se u odgovarajuću kategoriju (klasifikacija stanja tijela) uz analizu utjecaja, procjenjuje se rizik da određeno tijelo površinske ili podzemne vode neće postići ciljeve zaštite vodnog okoliša, odnosno da neće zadržati stanje sukladno ciljevima zaštite voda. Rezultati monitoringa pokazuju stanje elemenata kakvoće te samim time i  napredak u postizanju ciljeva zaštite voda. </w:t>
      </w:r>
    </w:p>
    <w:p w14:paraId="1A18DBA7" w14:textId="77777777" w:rsidR="001C4163" w:rsidRPr="007348AA" w:rsidRDefault="001C4163" w:rsidP="001C4163">
      <w:pPr>
        <w:spacing w:after="120"/>
      </w:pPr>
      <w:r w:rsidRPr="007348AA">
        <w:lastRenderedPageBreak/>
        <w:t>U članku 15. Uredbe o standardu kakvoće voda propisano je da se ekološko stanje ocjenjuje na temelju lošije vrijednosti, uzimajući u obzir ocjenu bioloških elemenata, te osnovnih fizikalno - kemijskih i kemijskih elemenata koji prate biološke elemente. Pet je  kategorija ekološkog stanja: vrlo dobro, dobro, umjereno, loše i vrlo loše. Vrlo dobro ekološko stanje se dodatno provjerava u odnosu na hidromorfološke elemente te se u slučaju da nisu zadovoljeni hidromorfološki uvjeti vrlo dobrog stanja utvrđuje dobro ekološko stanje.</w:t>
      </w:r>
    </w:p>
    <w:p w14:paraId="1A18DBA8" w14:textId="77777777" w:rsidR="001C4163" w:rsidRPr="007348AA" w:rsidRDefault="001C4163" w:rsidP="001C4163">
      <w:pPr>
        <w:spacing w:after="120"/>
      </w:pPr>
      <w:r w:rsidRPr="007348AA">
        <w:t>Ocjena kemijskog stanja površinskih kopnenih voda je napravljena u odnosu na dozvoljenu prosječnu (PGK) i maksimalnu godišnju koncentraciju (MGK) prioritetnih i prioritetno opasnih tvari u vodi propisanih u Prilogu 5, tablici 5.B Uredbe o standardu kakvoće voda. Kemijsko stanje se raspodjeljuje u dvije klase: dobro kemijsko stanje i nije postignuto dobro kemijsko stanje.</w:t>
      </w:r>
    </w:p>
    <w:p w14:paraId="1A18DBA9" w14:textId="77777777" w:rsidR="001C4163" w:rsidRPr="007348AA" w:rsidRDefault="001C4163" w:rsidP="001C4163">
      <w:pPr>
        <w:spacing w:after="120"/>
      </w:pPr>
      <w:r w:rsidRPr="007348AA">
        <w:t>Dobro kemijsko stanje se utvrđuje na onim mjernim postajama na kojima prosječne godišnje koncentracije izračunate kao aritmetičke sredine izmjerenih koncentracija (PGK) i maksimalne koncentracije (MGK) ne prelaze vrijednosti standarda kakvoće voda.</w:t>
      </w:r>
    </w:p>
    <w:p w14:paraId="1A18DBAA" w14:textId="77777777" w:rsidR="001C4163" w:rsidRPr="007348AA" w:rsidRDefault="001C4163" w:rsidP="001C4163">
      <w:pPr>
        <w:spacing w:after="120"/>
      </w:pPr>
      <w:r w:rsidRPr="007348AA">
        <w:t>Prilikom ocjene ekološkog stanja, kemijskog stanja i stanja u zaštićenim područjima uzeti su u obzir, gdje je to primjenjivo, svi analitički rezultati gdje je granica kvantifikacije (LOQ) nekog pokazatelja bila niža ili jednaka graničnoj vrijednosti dobrog ekološkog stanja fizikalno - kemijskih elemenata kakvoće i specifičnih onečišćujućih tvari, standardu kakvoće vodnog okoliša (SKVO) i/ili graničnoj vrijednosti pokazatelja u zaštićenim područjima.</w:t>
      </w:r>
    </w:p>
    <w:p w14:paraId="1A18DBAB" w14:textId="77777777" w:rsidR="0009203A" w:rsidRPr="007348AA" w:rsidRDefault="001C4163" w:rsidP="001C4163">
      <w:pPr>
        <w:spacing w:after="120"/>
      </w:pPr>
      <w:r w:rsidRPr="007348AA">
        <w:t xml:space="preserve">Rezultati praćenja monitoringa POP-sova u površinskim i podzemnim vodama Republike Hrvatske za 2021. biti će prikazani u sklopu sljedećeg </w:t>
      </w:r>
      <w:r w:rsidR="008C62E8" w:rsidRPr="007348AA">
        <w:t>sedmog</w:t>
      </w:r>
      <w:r w:rsidRPr="007348AA">
        <w:t xml:space="preserve"> izvješća o provedbi Stockholmske konvencije o postojanim organskim onečišćujućim tvarima.</w:t>
      </w:r>
    </w:p>
    <w:p w14:paraId="1A18DBB8" w14:textId="77777777" w:rsidR="00317EE7" w:rsidRPr="007348AA" w:rsidRDefault="00317EE7" w:rsidP="002664D6">
      <w:pPr>
        <w:pStyle w:val="Naslov4"/>
        <w:numPr>
          <w:ilvl w:val="3"/>
          <w:numId w:val="9"/>
        </w:numPr>
        <w:spacing w:before="100" w:beforeAutospacing="1" w:after="120"/>
        <w:jc w:val="center"/>
        <w:rPr>
          <w:rFonts w:ascii="Times New Roman" w:hAnsi="Times New Roman" w:cs="Times New Roman"/>
          <w:b w:val="0"/>
          <w:i w:val="0"/>
          <w:color w:val="auto"/>
        </w:rPr>
      </w:pPr>
      <w:r w:rsidRPr="007348AA">
        <w:rPr>
          <w:rFonts w:ascii="Times New Roman" w:hAnsi="Times New Roman" w:cs="Times New Roman"/>
          <w:b w:val="0"/>
          <w:i w:val="0"/>
          <w:color w:val="auto"/>
        </w:rPr>
        <w:t>Monitoring površinskih voda</w:t>
      </w:r>
    </w:p>
    <w:p w14:paraId="1A18DBB9" w14:textId="77777777" w:rsidR="00403E8D" w:rsidRPr="007348AA" w:rsidRDefault="001C4163" w:rsidP="009C2AF2">
      <w:pPr>
        <w:spacing w:after="120"/>
        <w:rPr>
          <w:rFonts w:eastAsia="Calibri"/>
        </w:rPr>
      </w:pPr>
      <w:r w:rsidRPr="007348AA">
        <w:rPr>
          <w:rFonts w:eastAsia="Calibri"/>
        </w:rPr>
        <w:t>Plan monitoringa stanja voda u rijekama Hrvatske u 2019. obuhvatio je 107 postaja nadzornog monitoringa, 441 postaju operativnog monitoringa (od kojih su 83 postaje nadzornog i operativnog monitoringa), 178 mjernih postaja istraživačkog monitoringa te mjerne postaje u područjima od posebne zaštite voda: vodama određenima pogodnima za život slatkovodnih riba, vodama iz kojih se zahvaća voda namijenjena ljudskoj potrošnji te u ranjivim i potencijalno ranjivim područjima. Monitoring pokazatelja ekološkog stanja je proveden na 638 mjernih postaja, a pokazatelja kemijskog stanja na 299 mjernih postaja. U 2020. plan monitoringa stanja voda u rijekama obuhvatio je 644 mjerne postaje od čega je 107 postaja nadzornog monitoringa, 441 postaju operativnog monitoringa (83 postaje su postaje i nadzornog i operativnog monitoringa) te 180 postaja istraživačkog monitoringa.</w:t>
      </w:r>
    </w:p>
    <w:p w14:paraId="1A18DBBA" w14:textId="77777777" w:rsidR="001C4163" w:rsidRPr="007348AA" w:rsidRDefault="001C4163" w:rsidP="009C2AF2">
      <w:pPr>
        <w:spacing w:after="120"/>
        <w:rPr>
          <w:rFonts w:eastAsia="Calibri"/>
          <w:i/>
          <w:caps/>
        </w:rPr>
      </w:pPr>
    </w:p>
    <w:p w14:paraId="1A18DBBB" w14:textId="77777777" w:rsidR="009C2AF2" w:rsidRPr="007348AA" w:rsidRDefault="009C2AF2" w:rsidP="009C2AF2">
      <w:pPr>
        <w:spacing w:after="120"/>
        <w:rPr>
          <w:rFonts w:eastAsia="Calibri"/>
          <w:i/>
          <w:caps/>
        </w:rPr>
      </w:pPr>
      <w:r w:rsidRPr="007348AA">
        <w:rPr>
          <w:rFonts w:eastAsia="Calibri"/>
          <w:i/>
          <w:caps/>
        </w:rPr>
        <w:t>Rijeke</w:t>
      </w:r>
    </w:p>
    <w:p w14:paraId="1A18DBBC" w14:textId="77777777" w:rsidR="001C4163" w:rsidRPr="007348AA" w:rsidRDefault="009C2AF2" w:rsidP="001C4163">
      <w:pPr>
        <w:spacing w:after="120"/>
        <w:rPr>
          <w:rFonts w:eastAsia="Calibri"/>
          <w:i/>
        </w:rPr>
      </w:pPr>
      <w:r w:rsidRPr="007348AA">
        <w:rPr>
          <w:rFonts w:eastAsia="Calibri"/>
          <w:i/>
        </w:rPr>
        <w:t>Ekološko stanje pov</w:t>
      </w:r>
      <w:r w:rsidR="001C4163" w:rsidRPr="007348AA">
        <w:rPr>
          <w:rFonts w:eastAsia="Calibri"/>
          <w:i/>
        </w:rPr>
        <w:t>ršinskih kopnenih voda – rijeke</w:t>
      </w:r>
    </w:p>
    <w:p w14:paraId="1A18DBBD" w14:textId="77777777" w:rsidR="001C4163" w:rsidRPr="007348AA" w:rsidRDefault="001C4163" w:rsidP="001C4163">
      <w:pPr>
        <w:spacing w:after="120"/>
        <w:rPr>
          <w:rFonts w:eastAsia="Calibri"/>
          <w:i/>
        </w:rPr>
      </w:pPr>
      <w:r w:rsidRPr="007348AA">
        <w:rPr>
          <w:rFonts w:eastAsia="Calibri"/>
        </w:rPr>
        <w:t xml:space="preserve">Ekološko stanje određeno je u 2019. na 638 mjernih postaja u rijekama. Temeljem dobivenih ocjena stanja najmanje jedan biološki element je analiziran na ukupno 314 mjernih postaja, fizikalno - kemijski elementi su ispitivani na 644 mjerne postaje, a najmanje jedna specifična tvar na 231 mjernoj postaji. Sukladno propisanom u Uredbi o standardu kakvoće voda specifične onečišćujuće tvari obuhvaćaju nesintetske (arsen, bakar, cink te krom i njihove spojeve), sintetske (fluoride) te ostale koji obuhvaćaju organski vezane halogene koji se mogu adsorbirati (AOX) i poliklorirane bifenile (PCB). Hidromorfološki elementi kakvoće su ocjenjivani na 47 mjernih postaja. Vrlo dobro i dobro ekološko stanje je utvrđeno na 145 mjernih postaja nadzornog i operativnog monitoringa, te na 102 </w:t>
      </w:r>
      <w:r w:rsidRPr="007348AA">
        <w:rPr>
          <w:rFonts w:eastAsia="Calibri"/>
        </w:rPr>
        <w:lastRenderedPageBreak/>
        <w:t xml:space="preserve">mjerne postaje istraživačkog monitoringa. Umjereno stanje je utvrđeno na 154 mjerne postaje nadzornog i operativnog monitoringa, loše stanje na 93, a vrlo loše na 71 mjernoj postaji. Što se tiče istraživačkog monitoringa umjereno stanje je utvrđeno na 55, loše stanje na 11, a vrlo loše na 7 mjernih postaja. Na jadranskom vodnom području je zabilježen najveći postotak mjernih postaja u vrlo dobrom i dobrom stanju (55 % nadzornog i operativnog monitoringa te 76 % postaja istraživačkog monitoringa). Kada se promatraju elementi kakvoće na postajama nadzornog i operativnog monitoringa, biološki elementi su na 204 mjerne postaje (71 %) bili u nezadovoljavajućem stanju, fizikalno - kemijski elementi na 244 mjerne postaje (53 %), dok su specifične onečišćujuće tvari na svega osam postaja prelazile granične vrijednosti za dobro ekološko stanje (4 %). Na postajama istraživačkog monitoringa su fizikalno - kemijski elementi bili u nezadovoljavajućem stanju na 104 mjerne postaje (41 %).  </w:t>
      </w:r>
    </w:p>
    <w:p w14:paraId="1A18DBBE" w14:textId="77777777" w:rsidR="001C4163" w:rsidRPr="007348AA" w:rsidRDefault="001C4163" w:rsidP="001C4163">
      <w:pPr>
        <w:spacing w:before="100" w:beforeAutospacing="1" w:after="120"/>
        <w:rPr>
          <w:rFonts w:eastAsia="Calibri"/>
        </w:rPr>
      </w:pPr>
      <w:r w:rsidRPr="007348AA">
        <w:rPr>
          <w:rFonts w:eastAsia="Calibri"/>
        </w:rPr>
        <w:t xml:space="preserve">U 2019. su specifične onečišćujuće tvari na 8 mjernih postaja prelazile granične vrijednosti za dobro ekološko stanje. Razlozi nepostizanja dobrog stanja voda u 2019. prema specifičnim onečišćujućim tvarima su u najvećem broju slučajeva cink (5 mjernih postaja), krom (4 mjerne postaje), fluoridi (1 mjerna postaja) te na 1 mjernoj postaji organski vezani halogeni spojevi koji se mogu adsorbirati (AOX). </w:t>
      </w:r>
    </w:p>
    <w:p w14:paraId="1A18DBBF" w14:textId="77777777" w:rsidR="001C4163" w:rsidRPr="007348AA" w:rsidRDefault="001C4163" w:rsidP="001C4163">
      <w:pPr>
        <w:spacing w:before="100" w:beforeAutospacing="1" w:after="120"/>
        <w:rPr>
          <w:rFonts w:eastAsia="Calibri"/>
        </w:rPr>
      </w:pPr>
      <w:r w:rsidRPr="007348AA">
        <w:rPr>
          <w:rFonts w:eastAsia="Calibri"/>
        </w:rPr>
        <w:t>U 2020. vrlo dobro i dobro ekološko stanje na mjernim postajama nadzornog i operativnog monitoringa određeno je na 71 mjernoj postaji, umjereno stanje na 130, loše stanje na 166 te vrlo loše na 97 mjernih postaja. Na ukupno 7 mjernih postaja operativnog i nadzornog monitoringa u 2020. nije dosegnuto dobro stanje prema specifičnim onečišćujućim tvarima zbog prekoračenja graničnih vrijednosti za krom (6 postaja), arsen (2 mjerne postaje), cink (1 postaja) i fluoride (1 mjerna postaja). U sklopu istraživačkog monitoringa u 2020. dobro ekološko stanje određeno je 43 mjerne postaje, umjereno na 43, loše na 56 te vrlo loše na 37 mjernih postaja. Na mjernim postajama istraživačkog monitoringa u 2020. nije bilo prekoračenja graničnih vrijednosti za pokazatelje specifičnih onečišćujućih tvari.</w:t>
      </w:r>
    </w:p>
    <w:p w14:paraId="1A18DBC0" w14:textId="77777777" w:rsidR="009C2AF2" w:rsidRPr="007348AA" w:rsidRDefault="009C2AF2" w:rsidP="001C4163">
      <w:pPr>
        <w:spacing w:before="100" w:beforeAutospacing="1" w:after="120"/>
        <w:rPr>
          <w:rFonts w:eastAsia="Calibri"/>
          <w:i/>
        </w:rPr>
      </w:pPr>
      <w:r w:rsidRPr="007348AA">
        <w:rPr>
          <w:rFonts w:eastAsia="Calibri"/>
          <w:i/>
        </w:rPr>
        <w:t>Kemijsko stanje površinskih kopnenih voda</w:t>
      </w:r>
      <w:r w:rsidR="00403E8D" w:rsidRPr="007348AA">
        <w:rPr>
          <w:rFonts w:eastAsia="Calibri"/>
          <w:i/>
        </w:rPr>
        <w:t xml:space="preserve"> –</w:t>
      </w:r>
      <w:r w:rsidRPr="007348AA">
        <w:rPr>
          <w:rFonts w:eastAsia="Calibri"/>
          <w:i/>
        </w:rPr>
        <w:t xml:space="preserve"> rijeke</w:t>
      </w:r>
    </w:p>
    <w:p w14:paraId="1A18DBC1" w14:textId="6AF2787D" w:rsidR="001C4163" w:rsidRPr="007348AA" w:rsidRDefault="001C4163" w:rsidP="001C4163">
      <w:pPr>
        <w:spacing w:after="120"/>
        <w:rPr>
          <w:rFonts w:eastAsia="Calibri"/>
        </w:rPr>
      </w:pPr>
      <w:r w:rsidRPr="007348AA">
        <w:rPr>
          <w:rFonts w:eastAsia="Calibri"/>
        </w:rPr>
        <w:t>Kemijsko stanje, s pojedinačnim pokazateljima kemijskog stanja je određeno na  323 mjern</w:t>
      </w:r>
      <w:r w:rsidR="002E0D16" w:rsidRPr="007348AA">
        <w:rPr>
          <w:rFonts w:eastAsia="Calibri"/>
        </w:rPr>
        <w:t>e</w:t>
      </w:r>
      <w:r w:rsidRPr="007348AA">
        <w:rPr>
          <w:rFonts w:eastAsia="Calibri"/>
        </w:rPr>
        <w:t xml:space="preserve"> postaj</w:t>
      </w:r>
      <w:r w:rsidR="002E0D16" w:rsidRPr="007348AA">
        <w:rPr>
          <w:rFonts w:eastAsia="Calibri"/>
        </w:rPr>
        <w:t>e površinskih voda u 2019.</w:t>
      </w:r>
      <w:r w:rsidRPr="007348AA">
        <w:rPr>
          <w:rFonts w:eastAsia="Calibri"/>
        </w:rPr>
        <w:t xml:space="preserve"> Izvori su obrađeni prema standardima kakvoće vodnog okoliša (SKVO) za površinske vode, a ušća rijeka prema SKVO za prijelazne vode. Ispitivani su svi pokazatelji kemijskog stanja definiranih prilogom 5. Uredbe o standardu kakvoće voda. Granice kvantifikacije analitičkih metoda za pokazatelje benzo(a)piren, tributilkositar, cipermetrin, heptaklor i heptaklor-epoksid bile su više od prosječnih godišnjih vrijednosti relevantnih standarda kakvoće okoliša (PGK-SKVO), stoga te tvari nisu ocjenjene prema PGK-SKVO.</w:t>
      </w:r>
    </w:p>
    <w:p w14:paraId="1A18DBC2" w14:textId="77777777" w:rsidR="001C4163" w:rsidRPr="007348AA" w:rsidRDefault="001C4163" w:rsidP="001C4163">
      <w:pPr>
        <w:spacing w:after="120"/>
        <w:rPr>
          <w:rFonts w:eastAsia="Calibri"/>
        </w:rPr>
      </w:pPr>
      <w:r w:rsidRPr="007348AA">
        <w:rPr>
          <w:rFonts w:eastAsia="Calibri"/>
        </w:rPr>
        <w:t xml:space="preserve">Dobro kemijsko stanje je utvrđeno na 244 mjerne postaje rijeka, što predstavlja 82 % mjernih postaja nadzornog i/ili operativnog monitoringa na rijekama na kojima je obavljeno ispitivanje pokazatelja kemijskog stanja. Prema rezultatima monitoringa na postajama vodnog područja rijeke Dunav i jadranskog vodnog područja nekoliko prioritetnih tvari prelaze definirane standarde kakvoće vodnog okoliša. Prema prosječnoj godišnjoj koncentraciji (PGK) nije postignuto dobro stanje prema pokazateljima fluoranten (11 mjernih postaja), olovo i njegovi spojevi (13 mjernih postaja), dok prema maksimalnoj godišnjoj koncentraciji (MGK) na najviše mjernih postaja nije postignuto dobro stanje prema pokazatelju živa i njezini spojevi (7 mjernih postaja). </w:t>
      </w:r>
    </w:p>
    <w:p w14:paraId="1A18DBC3" w14:textId="77777777" w:rsidR="001C4163" w:rsidRPr="007348AA" w:rsidRDefault="001C4163" w:rsidP="001C4163">
      <w:pPr>
        <w:spacing w:after="120"/>
        <w:rPr>
          <w:rFonts w:eastAsia="Calibri"/>
        </w:rPr>
      </w:pPr>
      <w:r w:rsidRPr="007348AA">
        <w:rPr>
          <w:rFonts w:eastAsia="Calibri"/>
        </w:rPr>
        <w:t xml:space="preserve">Na jadranskom vodnom području dobro stanje nije postignuto na po dvije mjerne postaje s obzirom na MGK žive i njezinih spojeva i PGK perfluoroktansulfonske kiseline, te na po jednoj mjernoj postaji s obzirom na diklorvos i endosulfan. Na svim ostalim postajama utvrđeno je dobro kemijsko </w:t>
      </w:r>
      <w:r w:rsidRPr="007348AA">
        <w:rPr>
          <w:rFonts w:eastAsia="Calibri"/>
        </w:rPr>
        <w:lastRenderedPageBreak/>
        <w:t xml:space="preserve">stanje prema prosječnim i/ili maksimalnim godišnjim koncentracijama. Ispitivanja svih pokazatelja predviđenih planom monitoringa nisu realizirana u cijelosti. </w:t>
      </w:r>
    </w:p>
    <w:p w14:paraId="1A18DBC4" w14:textId="77777777" w:rsidR="001C4163" w:rsidRPr="007348AA" w:rsidRDefault="001C4163" w:rsidP="001C4163">
      <w:pPr>
        <w:spacing w:after="120"/>
        <w:rPr>
          <w:rFonts w:eastAsia="Calibri"/>
        </w:rPr>
      </w:pPr>
      <w:r w:rsidRPr="007348AA">
        <w:rPr>
          <w:rFonts w:eastAsia="Calibri"/>
        </w:rPr>
        <w:t xml:space="preserve">Monitoring kemijskog stanje površinskih kopnenih voda je u 2020. proveden u vodnom području rijeke Dunav na 232 mjerne postaje, a u jadranskom vodnom području na 57 mjernih postaja. </w:t>
      </w:r>
    </w:p>
    <w:p w14:paraId="1A18DBC5" w14:textId="77777777" w:rsidR="001C4163" w:rsidRPr="007348AA" w:rsidRDefault="001C4163" w:rsidP="001C4163">
      <w:pPr>
        <w:spacing w:after="120"/>
        <w:rPr>
          <w:rFonts w:eastAsia="Calibri"/>
        </w:rPr>
      </w:pPr>
      <w:r w:rsidRPr="007348AA">
        <w:rPr>
          <w:rFonts w:eastAsia="Calibri"/>
        </w:rPr>
        <w:t>U vodnom području rijeke Dunav u 2020. dobro kemijsko stanje utvrđeno je na 173 mjerne postaje dok na ukupno 59 mjernih postaja nije postignuto ukupno dobro kemijsko stanje. Razlozi ne postizanja dobrog kemijskog stanja bila su prekoračenja graničnih vrijednosti koncentracija bromiranih difenil etera u filetu ribe (30 mjernih postaja), prekoračenja PGK i MGK za kadmij i njegove spojeve (2 mjerne postaje), MGK za C10-13 kloroalkane (1 mjerna postaja), MGK za endosulfan (1 postaja), PGK za fluoranten (11 postaja), PGK za olovo i njegove spojeve  (4 postaje), MGK za živu i njezine spojeve u vodi (11 postaja) i u ribi (29 postaja), PGK i MDK za nikal i njegove spojeve na 2 mjerne postaje, PGK za pentaklorbenzen na jednoj postaji, MGK za benzo(a)piren na jednoj postaji, PGK i MGK za tributilkositar na 4 postaje, PGK za PFOS u vodi na 2 mjerne postaje i u filetu ribe na dvije mjerne postaje te PGK i MGK za heptaklorepoksid na jednoj mjernoj postaji.</w:t>
      </w:r>
    </w:p>
    <w:p w14:paraId="1A18DBC6" w14:textId="77777777" w:rsidR="00403E8D" w:rsidRPr="007348AA" w:rsidRDefault="001C4163" w:rsidP="001C4163">
      <w:pPr>
        <w:spacing w:after="120"/>
        <w:rPr>
          <w:rFonts w:eastAsia="Calibri"/>
          <w:i/>
          <w:caps/>
        </w:rPr>
      </w:pPr>
      <w:r w:rsidRPr="007348AA">
        <w:rPr>
          <w:rFonts w:eastAsia="Calibri"/>
        </w:rPr>
        <w:t>Na jadranskom vodnom području u 2020. od ukupno 57 mjernih postaja dobro stanje nije postignuto na 13 mjernih postaja. Razlozi loše ocjene kemijskog stanja bila su prekoračenja graničnih vrijednosti za bromirane difeniletere u filetu ribe na 8 mjernih postaja, MGK za živu i njezine spojeve u vodi (na 3 mjerne postaje) i u cijeloj ribi na 8 mjernih postaja, te prekoračenje PGK za tributilkositrove spojeve na jednoj postaji.</w:t>
      </w:r>
    </w:p>
    <w:p w14:paraId="1A18DBC7" w14:textId="77777777" w:rsidR="00B542EA" w:rsidRPr="007348AA" w:rsidRDefault="00B542EA" w:rsidP="009C2AF2">
      <w:pPr>
        <w:spacing w:after="120"/>
        <w:rPr>
          <w:rFonts w:eastAsia="Calibri"/>
          <w:i/>
          <w:caps/>
        </w:rPr>
      </w:pPr>
    </w:p>
    <w:p w14:paraId="1A18DBC8" w14:textId="77777777" w:rsidR="009C2AF2" w:rsidRPr="007348AA" w:rsidRDefault="009C2AF2" w:rsidP="009C2AF2">
      <w:pPr>
        <w:spacing w:after="120"/>
        <w:rPr>
          <w:rFonts w:eastAsia="Calibri"/>
          <w:i/>
          <w:caps/>
        </w:rPr>
      </w:pPr>
      <w:r w:rsidRPr="007348AA">
        <w:rPr>
          <w:rFonts w:eastAsia="Calibri"/>
          <w:i/>
          <w:caps/>
        </w:rPr>
        <w:t>Jezera</w:t>
      </w:r>
    </w:p>
    <w:p w14:paraId="1A18DBC9" w14:textId="77777777" w:rsidR="009C2AF2" w:rsidRPr="007348AA" w:rsidRDefault="009C2AF2" w:rsidP="009C2AF2">
      <w:pPr>
        <w:spacing w:after="120"/>
        <w:rPr>
          <w:rFonts w:eastAsia="Calibri"/>
          <w:i/>
        </w:rPr>
      </w:pPr>
      <w:r w:rsidRPr="007348AA">
        <w:rPr>
          <w:rFonts w:eastAsia="Calibri"/>
          <w:i/>
        </w:rPr>
        <w:t>Ekološko stanje površinskih kopnenih voda - jezera</w:t>
      </w:r>
    </w:p>
    <w:p w14:paraId="1A18DBCA" w14:textId="77777777" w:rsidR="001C4163" w:rsidRPr="007348AA" w:rsidRDefault="001C4163" w:rsidP="009C2AF2">
      <w:pPr>
        <w:spacing w:after="120"/>
        <w:rPr>
          <w:rFonts w:eastAsia="Calibri"/>
        </w:rPr>
      </w:pPr>
      <w:r w:rsidRPr="007348AA">
        <w:rPr>
          <w:rFonts w:eastAsia="Calibri"/>
        </w:rPr>
        <w:t xml:space="preserve">Od sedam tipiziranih prirodnih jezera dva se nalaze na podslivu rijeke Save, a pet na jadranskom vodnom području. U 2019. na pet jezera je utvrđeno dobro ekološko stanje, a na dva jezera umjereno (Vransko jezero kod Biograda i Baćinsko jezero Crniševo) gdje je srednja godišnja koncentracija adsorbilnih organskih halogena premašivala graničnu vrijednost dobrog stanja (50 μg/l). U Vranskom jezeru kod Biograda je umjereno stanje utvrđeno i prema biološkim elementima makrozoobentos i ribe. U 2020. dobro ekološko stanje utvrđeno je na pet jezera, a umjereno stanje utvrđeno je na Baćinskim jezerima-jezero Crniševo te na lokaciji Vransko jezero motel, na navedenim lokacijama su iz skupine specifičnih onečišćujućih tvari prijeđene granične vrijednosti za pokazatelj adsorbilni organski halogeni. </w:t>
      </w:r>
    </w:p>
    <w:p w14:paraId="1A18DBCB" w14:textId="77777777" w:rsidR="001C4163" w:rsidRPr="007348AA" w:rsidRDefault="001C4163" w:rsidP="009C2AF2">
      <w:pPr>
        <w:spacing w:after="120"/>
        <w:rPr>
          <w:rFonts w:eastAsia="Calibri"/>
        </w:rPr>
      </w:pPr>
    </w:p>
    <w:p w14:paraId="1A18DBCC" w14:textId="77777777" w:rsidR="009C2AF2" w:rsidRPr="007348AA" w:rsidRDefault="009C2AF2" w:rsidP="009C2AF2">
      <w:pPr>
        <w:spacing w:after="120"/>
        <w:rPr>
          <w:rFonts w:eastAsia="Calibri"/>
          <w:i/>
        </w:rPr>
      </w:pPr>
      <w:r w:rsidRPr="007348AA">
        <w:rPr>
          <w:rFonts w:eastAsia="Calibri"/>
          <w:i/>
        </w:rPr>
        <w:t>Kemijsko stanje površinskih kopnenih voda - jezera</w:t>
      </w:r>
    </w:p>
    <w:p w14:paraId="1A18DBCD" w14:textId="77777777" w:rsidR="001C4163" w:rsidRPr="007348AA" w:rsidRDefault="001C4163" w:rsidP="001C4163">
      <w:pPr>
        <w:spacing w:after="120"/>
        <w:rPr>
          <w:rFonts w:eastAsia="Calibri"/>
        </w:rPr>
      </w:pPr>
      <w:r w:rsidRPr="007348AA">
        <w:rPr>
          <w:rFonts w:eastAsia="Calibri"/>
        </w:rPr>
        <w:t xml:space="preserve">Monitoringom kemijskog stanja koji je obavljen 2019. obuhvaćena su dva prirodna jezera na vodnom području rijeke Dunav. Na jadranskom vodnom području monitoring kemijskog stanja obavljen je na pet prirodnih jezera. Dobro kemijsko stanje je utvrđeno na svim jezerima osim na Visovačkom jezeru i Baćinskom jezeru Oćuša gdje je kritični pokazatelj bio perfluoroktansulfonska kiselina i njezini derivati. </w:t>
      </w:r>
    </w:p>
    <w:p w14:paraId="1A18DBCE" w14:textId="77777777" w:rsidR="009C2AF2" w:rsidRPr="007348AA" w:rsidRDefault="001C4163" w:rsidP="001C4163">
      <w:pPr>
        <w:spacing w:after="120"/>
        <w:rPr>
          <w:rFonts w:eastAsia="Calibri"/>
        </w:rPr>
      </w:pPr>
      <w:r w:rsidRPr="007348AA">
        <w:rPr>
          <w:rFonts w:eastAsia="Calibri"/>
        </w:rPr>
        <w:t>Monitoringom kemijskog stanja u 2020. dobro kemijsko stanje nije postignuto na mjernim postajama Baćinska jezera-jezero Crniševo, Plitvička jezera (Prošćansko jezero i jezero Kozjak) i Visovačko jezero -Visovac zbog prekoračenja koncentracije bromiranih difenil etera te žive i njezinih spojeva u filetu ribe, te zbog prekoračenja koncentracije žive i njezinih spojeva u filetu ribe na mjernoj postaji Jezero Vrana-Cres.</w:t>
      </w:r>
    </w:p>
    <w:p w14:paraId="1A18DBCF" w14:textId="77777777" w:rsidR="009C2AF2" w:rsidRPr="007348AA" w:rsidRDefault="009C2AF2" w:rsidP="009C2AF2">
      <w:pPr>
        <w:spacing w:after="120"/>
        <w:rPr>
          <w:rFonts w:eastAsia="Calibri"/>
          <w:i/>
          <w:caps/>
        </w:rPr>
      </w:pPr>
      <w:r w:rsidRPr="007348AA">
        <w:rPr>
          <w:rFonts w:eastAsia="Calibri"/>
          <w:i/>
          <w:caps/>
        </w:rPr>
        <w:lastRenderedPageBreak/>
        <w:t>Akumulacije</w:t>
      </w:r>
    </w:p>
    <w:p w14:paraId="1A18DBD0" w14:textId="77777777" w:rsidR="009C2AF2" w:rsidRPr="007348AA" w:rsidRDefault="009C2AF2" w:rsidP="009C2AF2">
      <w:pPr>
        <w:spacing w:after="120"/>
        <w:rPr>
          <w:rFonts w:eastAsia="Calibri"/>
        </w:rPr>
      </w:pPr>
      <w:r w:rsidRPr="007348AA">
        <w:rPr>
          <w:rFonts w:eastAsia="Calibri"/>
          <w:i/>
        </w:rPr>
        <w:t>Ekološko stanje površinskih kopnenih voda - akumulacije</w:t>
      </w:r>
    </w:p>
    <w:p w14:paraId="1A18DBD1" w14:textId="77777777" w:rsidR="001C4163" w:rsidRPr="007348AA" w:rsidRDefault="001C4163" w:rsidP="001C4163">
      <w:pPr>
        <w:spacing w:after="120"/>
        <w:rPr>
          <w:rFonts w:eastAsia="Calibri"/>
        </w:rPr>
      </w:pPr>
      <w:r w:rsidRPr="007348AA">
        <w:rPr>
          <w:rFonts w:eastAsia="Calibri"/>
        </w:rPr>
        <w:t xml:space="preserve">Planom monitoringa stanja voda u 2019. bilo je obuhvaćeno 38 akumulacija i ostalih stajaćica koje nisu prirodnog porijekla, prije svega šljunčara. Dobar i bolji ekološki potencijal je utvrđen na 34 % akumulacija. Tijekom 2019. godine ispitivani su  fizikalno - kemijski elementi kakvoće u 36 akumulacija, a specifične onečišćujuće tvari u 31 akumulaciji. Umjereno i lošije stanje prema fizikalno - kemijskim pokazateljima je utvrđeno u 16 akumulacija, a prema specifičnim onečišćujućim tvarima u jednoj akumulacije i to Akumulacija HE Dubrava gdje su srednje godišnje koncentracije bakra premašivale granične vrijednosti za dobro stanje. </w:t>
      </w:r>
    </w:p>
    <w:p w14:paraId="1A18DBD2" w14:textId="77777777" w:rsidR="001C4163" w:rsidRPr="007348AA" w:rsidRDefault="001C4163" w:rsidP="001C4163">
      <w:pPr>
        <w:spacing w:after="120"/>
        <w:rPr>
          <w:rFonts w:eastAsia="Calibri"/>
        </w:rPr>
      </w:pPr>
      <w:r w:rsidRPr="007348AA">
        <w:rPr>
          <w:rFonts w:eastAsia="Calibri"/>
        </w:rPr>
        <w:t xml:space="preserve">U 2020. je ekološki potencijal akumulacija ocijenjen na mjernim postajama 37 akumulacija. Ekološki potencijal predstavlja stupanj kakvoće akvatičkog ekosustava tijela površinske vode u odnosu na maksimalni stupanj koji je moguće doseći, s obzirom na znatno promijenjene ili umjetne karakteristike vodnog tijela potrebne za njegovu namjenu ili za zaštitu šireg okoliša. U akumulacijama je u 2020. na 13 mjernih postaja ekološki potencijal ocijenjen vrlo lošim, na 7 lošim, na 14 umjeren dok je na 3 akumulacije ekološki potencijal ocijenjen kao dobar i bolji. </w:t>
      </w:r>
    </w:p>
    <w:p w14:paraId="1A18DBD3" w14:textId="77777777" w:rsidR="001C4163" w:rsidRPr="007348AA" w:rsidRDefault="001C4163" w:rsidP="001C4163">
      <w:pPr>
        <w:spacing w:after="120"/>
        <w:rPr>
          <w:rFonts w:eastAsia="Calibri"/>
        </w:rPr>
      </w:pPr>
    </w:p>
    <w:p w14:paraId="1A18DBD4" w14:textId="77777777" w:rsidR="009C2AF2" w:rsidRPr="007348AA" w:rsidRDefault="009C2AF2" w:rsidP="001C4163">
      <w:pPr>
        <w:spacing w:after="120"/>
        <w:rPr>
          <w:rFonts w:eastAsia="Calibri"/>
          <w:i/>
        </w:rPr>
      </w:pPr>
      <w:r w:rsidRPr="007348AA">
        <w:rPr>
          <w:rFonts w:eastAsia="Calibri"/>
          <w:i/>
        </w:rPr>
        <w:t xml:space="preserve">Kemijsko stanje površinskih kopnenih voda – akumulacije </w:t>
      </w:r>
    </w:p>
    <w:p w14:paraId="1A18DBD5" w14:textId="77777777" w:rsidR="001C4163" w:rsidRPr="007348AA" w:rsidRDefault="001C4163" w:rsidP="001C4163">
      <w:pPr>
        <w:spacing w:after="120"/>
        <w:rPr>
          <w:rFonts w:eastAsia="Calibri"/>
        </w:rPr>
      </w:pPr>
      <w:r w:rsidRPr="007348AA">
        <w:rPr>
          <w:rFonts w:eastAsia="Calibri"/>
        </w:rPr>
        <w:t xml:space="preserve">U 2019. monitoring kemijskog stanja obuhvatio je osam akumulacija na vodnom području rijeke Dunav i osam akumulacija na jadranskom vodnom području. Dobro kemijsko stanje nije utvrđeno na dvije mjerne postaje jadranskog vodnog područja Akumulacija Brlog, Gusić polje i Jezero Lepenica zbog prekoračenja MGK za živu i njezine spojeve. </w:t>
      </w:r>
    </w:p>
    <w:p w14:paraId="1A18DBD6" w14:textId="77777777" w:rsidR="00B542EA" w:rsidRPr="007348AA" w:rsidRDefault="001C4163" w:rsidP="009C2AF2">
      <w:pPr>
        <w:spacing w:after="120"/>
        <w:rPr>
          <w:rFonts w:eastAsia="Calibri"/>
        </w:rPr>
      </w:pPr>
      <w:r w:rsidRPr="007348AA">
        <w:rPr>
          <w:rFonts w:eastAsia="Calibri"/>
        </w:rPr>
        <w:t>Dobro kemijsko stanje u 2020. nije postignuto na ukupno tri mjerne postaje u vodnom području rijeke Dunav zbog prekoračenja PGK flurantena u vodi na jednoj mjernoj postaji (akumulacija Jošava) te na dvije mjerne postaje zbog prekoračenja koncentracije bromiranih difeniletera u filetu ribe te žive i njezinih spojeva u cijeloj ribi (Akumulacija Pakra, Banova jaruga i Akumulacija Borovik). Na jadranskom vodnom području u 2020. dobro kemijsko stanje nije postignuto na dvije mjerne postaje zbog prekoračenja MGK žive i njezinih spojeva u vodi (Akumulacija Brlog i jezero Bajer).</w:t>
      </w:r>
    </w:p>
    <w:p w14:paraId="1A18DBD7" w14:textId="77777777" w:rsidR="00CA55CB" w:rsidRPr="007348AA" w:rsidRDefault="00CA55CB" w:rsidP="009C2AF2">
      <w:pPr>
        <w:spacing w:after="120"/>
        <w:rPr>
          <w:rFonts w:eastAsia="Calibri"/>
        </w:rPr>
      </w:pPr>
    </w:p>
    <w:p w14:paraId="1A18DBD8" w14:textId="77777777" w:rsidR="0006570D" w:rsidRPr="007348AA" w:rsidRDefault="0006570D" w:rsidP="002A0A98">
      <w:pPr>
        <w:pStyle w:val="Odlomakpopisa"/>
        <w:numPr>
          <w:ilvl w:val="3"/>
          <w:numId w:val="9"/>
        </w:numPr>
        <w:spacing w:before="100" w:beforeAutospacing="1" w:after="120" w:afterAutospacing="1"/>
        <w:jc w:val="center"/>
        <w:rPr>
          <w:rFonts w:eastAsia="Calibri"/>
        </w:rPr>
      </w:pPr>
      <w:r w:rsidRPr="007348AA">
        <w:rPr>
          <w:rFonts w:eastAsia="Calibri"/>
          <w:bCs/>
        </w:rPr>
        <w:t xml:space="preserve">Kemijsko stanje podzemnih voda u Republici Hrvatskoj u </w:t>
      </w:r>
      <w:r w:rsidR="002A0A98" w:rsidRPr="007348AA">
        <w:rPr>
          <w:rFonts w:eastAsia="Calibri"/>
          <w:bCs/>
        </w:rPr>
        <w:t xml:space="preserve"> 2019. i 2020. godini</w:t>
      </w:r>
    </w:p>
    <w:p w14:paraId="1A18DBD9" w14:textId="77777777" w:rsidR="002A0A98" w:rsidRPr="007348AA" w:rsidRDefault="002A0A98" w:rsidP="002A0A98">
      <w:pPr>
        <w:autoSpaceDE w:val="0"/>
        <w:autoSpaceDN w:val="0"/>
        <w:adjustRightInd w:val="0"/>
        <w:spacing w:before="120" w:after="120"/>
      </w:pPr>
      <w:r w:rsidRPr="007348AA">
        <w:t xml:space="preserve">Sustavno praćenje podzemnih voda provodi se u svrhu utvrđivanja kemijskog stanja voda, dugoročnih promjena prirodnih uvjeta, promjena uzrokovanih intenzivnim ljudskim aktivnostima i promjena uslijed provođenja mjera na područjima za koja je utvrđeno da ne ispunjavaju uvjete za dobro stanje. Kao posljedica usklađenja s Okvirnom direktivom o vodama Europske Unije (ODV), u Zakonu o vodama je propisan monitoring stanja voda, što zahtijeva uspostavu praćenja količinskog i kemijskog stanja za podzemne vode. Današnji opseg, vrsta i način ispitivanja voda u Republici Hrvatskoj definirani su Zakonom o vodama, Uredbom o standardu kakvoće voda te Pravilnikom o posebnim uvjetima za obavljanje djelatnosti uzimanja uzoraka i ispitivanja voda. </w:t>
      </w:r>
    </w:p>
    <w:p w14:paraId="1A18DBDA" w14:textId="77777777" w:rsidR="009C2AF2" w:rsidRPr="007348AA" w:rsidRDefault="002A0A98" w:rsidP="002A0A98">
      <w:pPr>
        <w:autoSpaceDE w:val="0"/>
        <w:autoSpaceDN w:val="0"/>
        <w:adjustRightInd w:val="0"/>
        <w:spacing w:before="120" w:after="120"/>
      </w:pPr>
      <w:r w:rsidRPr="007348AA">
        <w:t>Nacionalni monitoring kemijskog stanja podzemnih voda na monitoring postajama u Republici Hrvatskoj obuhvaća nadzorni i operativni monitoring.</w:t>
      </w:r>
    </w:p>
    <w:p w14:paraId="1A18DBDC" w14:textId="7D509E4D" w:rsidR="00CA55CB" w:rsidRDefault="00CA55CB" w:rsidP="002A0A98">
      <w:pPr>
        <w:autoSpaceDE w:val="0"/>
        <w:autoSpaceDN w:val="0"/>
        <w:adjustRightInd w:val="0"/>
        <w:spacing w:before="120" w:after="120"/>
      </w:pPr>
    </w:p>
    <w:p w14:paraId="18D5DFFE" w14:textId="77777777" w:rsidR="002E2664" w:rsidRPr="007348AA" w:rsidRDefault="002E2664" w:rsidP="002A0A98">
      <w:pPr>
        <w:autoSpaceDE w:val="0"/>
        <w:autoSpaceDN w:val="0"/>
        <w:adjustRightInd w:val="0"/>
        <w:spacing w:before="120" w:after="120"/>
      </w:pPr>
    </w:p>
    <w:p w14:paraId="1A18DBDD" w14:textId="77777777" w:rsidR="009C2AF2" w:rsidRPr="007348AA" w:rsidRDefault="009C2AF2" w:rsidP="009C2AF2">
      <w:pPr>
        <w:autoSpaceDE w:val="0"/>
        <w:autoSpaceDN w:val="0"/>
        <w:adjustRightInd w:val="0"/>
        <w:spacing w:before="120" w:after="120"/>
        <w:rPr>
          <w:i/>
        </w:rPr>
      </w:pPr>
      <w:r w:rsidRPr="007348AA">
        <w:rPr>
          <w:i/>
        </w:rPr>
        <w:lastRenderedPageBreak/>
        <w:t xml:space="preserve">Monitoring kemijskog stanja podzemnih voda u </w:t>
      </w:r>
      <w:r w:rsidR="002A0A98" w:rsidRPr="007348AA">
        <w:rPr>
          <w:i/>
        </w:rPr>
        <w:t>2019. i 2020. godini</w:t>
      </w:r>
    </w:p>
    <w:p w14:paraId="1A18DBDE" w14:textId="77777777" w:rsidR="002A0A98" w:rsidRPr="007348AA" w:rsidRDefault="002A0A98" w:rsidP="002A0A98">
      <w:pPr>
        <w:autoSpaceDE w:val="0"/>
        <w:autoSpaceDN w:val="0"/>
        <w:adjustRightInd w:val="0"/>
        <w:spacing w:before="120" w:after="120"/>
      </w:pPr>
      <w:r w:rsidRPr="007348AA">
        <w:t xml:space="preserve">Program praćenja i ocjene stanja podzemnih voda obavlja se radi jasnog i cjelovitog pregleda i ocjene stanja, uključujući i praćenje količinskog i kemijskog stanja podzemnih voda.  Monitoring kemijskog stanja podzemnih voda osigurava cjeloviti pregled kemijskog stanja podzemnih voda u vodnom području i omogućava utvrđivanje prisutnosti znatno i trajno rastućeg trenda onečišćenja. </w:t>
      </w:r>
    </w:p>
    <w:p w14:paraId="1A18DBDF" w14:textId="77777777" w:rsidR="002A0A98" w:rsidRPr="007348AA" w:rsidRDefault="002A0A98" w:rsidP="002A0A98">
      <w:pPr>
        <w:autoSpaceDE w:val="0"/>
        <w:autoSpaceDN w:val="0"/>
        <w:adjustRightInd w:val="0"/>
        <w:spacing w:before="120" w:after="120"/>
      </w:pPr>
      <w:r w:rsidRPr="007348AA">
        <w:t xml:space="preserve">Nadzorni monitoring provodi se radi ocjene stanja na podzemnim vodnim tijelima, vrednovanja i dopunjavanja postupka ocjenjivanja utjecaja onečišćenja te  pribavljanja informacija za ocjenu znatno i trajno rastućih trendova koji su rezultat promjena prirodnih uvjeta i utjecaja ljudske djelatnosti. </w:t>
      </w:r>
    </w:p>
    <w:p w14:paraId="1A18DBE0" w14:textId="77777777" w:rsidR="002A0A98" w:rsidRPr="007348AA" w:rsidRDefault="002A0A98" w:rsidP="002A0A98">
      <w:pPr>
        <w:autoSpaceDE w:val="0"/>
        <w:autoSpaceDN w:val="0"/>
        <w:adjustRightInd w:val="0"/>
        <w:spacing w:before="120" w:after="120"/>
      </w:pPr>
      <w:r w:rsidRPr="007348AA">
        <w:t xml:space="preserve">U 2019. nadzorni monitoring je proveden na 384 monitoring postaje, a u 2020. na 385 postaja. </w:t>
      </w:r>
    </w:p>
    <w:p w14:paraId="1A18DBE1" w14:textId="77777777" w:rsidR="002A0A98" w:rsidRPr="007348AA" w:rsidRDefault="002A0A98" w:rsidP="002A0A98">
      <w:pPr>
        <w:autoSpaceDE w:val="0"/>
        <w:autoSpaceDN w:val="0"/>
        <w:adjustRightInd w:val="0"/>
        <w:spacing w:before="120" w:after="120"/>
      </w:pPr>
      <w:r w:rsidRPr="007348AA">
        <w:t xml:space="preserve">Operativni monitoring provodi se u razdobljima programa nadzornog monitoringa radi utvrđivanja kemijskog stanja svih podzemnih voda, u 2019. je operativni monitoring obuhvatio 119 monitoring postaja, a u 2020. proveden je na 113 postaja. </w:t>
      </w:r>
    </w:p>
    <w:p w14:paraId="1A18DBE2" w14:textId="77777777" w:rsidR="009C2AF2" w:rsidRPr="007348AA" w:rsidRDefault="002A0A98" w:rsidP="002A0A98">
      <w:pPr>
        <w:autoSpaceDE w:val="0"/>
        <w:autoSpaceDN w:val="0"/>
        <w:adjustRightInd w:val="0"/>
        <w:spacing w:before="120" w:after="120"/>
      </w:pPr>
      <w:r w:rsidRPr="007348AA">
        <w:t>Monitoring kemijskog stanja podzemnih voda treba osigurati cjelovitu informaciju o kemijskom stanju pojedinog vodnog tijela i vodnog područja u cjelini te omogućiti utvrđivanje prisutnosti znatnog i trajno rastućeg trenda onečišćenja podzemnih voda.  Za ocjenu kemijskog stanja grupiranog tijela podzemne vode prate se pokazatelji u okviru nadzornog i operativnog monitoringa, a koristi se i prosječna godišnja koncentracija nitrata i aktivnih tvari pesticida (pojedinačnih i ukupno ispitanih) na svim monitoring postajama unutar grupiranog tijela podzemne vode i uspoređuje sa standardom kakvoće podzemnih voda.  Uz standarde kakvoće podzemnih voda, za ocjenu kemijskog stanja uzima se prosječna godišnja koncentracija specifičnih onečišćujućih tvari i to: arsena, kadmija, olova, žive, amonija, klorida, sulfata, ortofosfata, nitrita, ukupnog fosfora, sume trikloretilena i tetrakloretilena, te električne vodljivosti na svim monitoring postajama unutar grupiranog tijela podzemne vode i uspoređuje se s graničnim vrijednostima.</w:t>
      </w:r>
    </w:p>
    <w:p w14:paraId="1A18DBE3" w14:textId="77777777" w:rsidR="009C2AF2" w:rsidRPr="007348AA" w:rsidRDefault="009C2AF2" w:rsidP="009C2AF2">
      <w:pPr>
        <w:autoSpaceDE w:val="0"/>
        <w:autoSpaceDN w:val="0"/>
        <w:adjustRightInd w:val="0"/>
        <w:spacing w:before="120" w:after="120"/>
        <w:rPr>
          <w:i/>
        </w:rPr>
      </w:pPr>
      <w:r w:rsidRPr="007348AA">
        <w:rPr>
          <w:i/>
        </w:rPr>
        <w:t>Podzemne vode vodnog područja rijeke Dunav</w:t>
      </w:r>
    </w:p>
    <w:p w14:paraId="1A18DBE4" w14:textId="77D0C2AC" w:rsidR="002A0A98" w:rsidRPr="007348AA" w:rsidRDefault="002A0A98" w:rsidP="009C2AF2">
      <w:pPr>
        <w:autoSpaceDE w:val="0"/>
        <w:autoSpaceDN w:val="0"/>
        <w:adjustRightInd w:val="0"/>
        <w:spacing w:before="120" w:after="120"/>
      </w:pPr>
      <w:r w:rsidRPr="007348AA">
        <w:t xml:space="preserve">Na 13 grupiranih tijela podzemne vode na vodnom području rijeke Dunav, rezultati monitoringa provedenog u okviru Nacionalnog programa u 2019. ukazuju na dobro stanje. Neodgovarajuće stanje u 2019. godini utvrđeno je na 7 grupiranih tijela podzemne vode odnosno na 19 mjernih postaja na vodnom području rijeke Dunav zbog prekoračenja propisanih vrijednosti parametara poput metala i/ili hranjivih soli. </w:t>
      </w:r>
    </w:p>
    <w:p w14:paraId="77E6C989" w14:textId="77777777" w:rsidR="001606FA" w:rsidRPr="007348AA" w:rsidRDefault="001606FA" w:rsidP="001606FA">
      <w:pPr>
        <w:autoSpaceDE w:val="0"/>
        <w:autoSpaceDN w:val="0"/>
        <w:adjustRightInd w:val="0"/>
        <w:spacing w:before="120" w:after="120"/>
      </w:pPr>
      <w:r w:rsidRPr="007348AA">
        <w:t>Na 16 grupiranih tijela podzemne vode u Republici Hrvatskoj, rezultati monitoringa provedenog u okviru Nacionalnog programa u 2020. ukazuju na dobro stanje, a neodgovarajuće stanje zabilježeno je na četiri grupirana tijela podzemne vode (pet mjernih postaja) zbog prekoračenja standarda za hranjive tvari i/ili arsen.</w:t>
      </w:r>
    </w:p>
    <w:p w14:paraId="1EC946AF" w14:textId="77777777" w:rsidR="001606FA" w:rsidRPr="007348AA" w:rsidRDefault="001606FA" w:rsidP="009C2AF2">
      <w:pPr>
        <w:autoSpaceDE w:val="0"/>
        <w:autoSpaceDN w:val="0"/>
        <w:adjustRightInd w:val="0"/>
        <w:spacing w:before="120" w:after="120"/>
      </w:pPr>
    </w:p>
    <w:p w14:paraId="1A18DBE5" w14:textId="205115A5" w:rsidR="009C2AF2" w:rsidRPr="007348AA" w:rsidRDefault="009C2AF2" w:rsidP="009C2AF2">
      <w:pPr>
        <w:autoSpaceDE w:val="0"/>
        <w:autoSpaceDN w:val="0"/>
        <w:adjustRightInd w:val="0"/>
        <w:spacing w:before="120" w:after="120"/>
        <w:rPr>
          <w:i/>
        </w:rPr>
      </w:pPr>
      <w:r w:rsidRPr="007348AA">
        <w:rPr>
          <w:i/>
        </w:rPr>
        <w:t>Podzemne vode jadranskog vodnog područj</w:t>
      </w:r>
      <w:r w:rsidR="001606FA" w:rsidRPr="007348AA">
        <w:rPr>
          <w:i/>
        </w:rPr>
        <w:t>a</w:t>
      </w:r>
    </w:p>
    <w:p w14:paraId="1A18DBE6" w14:textId="77777777" w:rsidR="002A0A98" w:rsidRPr="007348AA" w:rsidRDefault="002A0A98" w:rsidP="009C2AF2">
      <w:pPr>
        <w:autoSpaceDE w:val="0"/>
        <w:autoSpaceDN w:val="0"/>
        <w:adjustRightInd w:val="0"/>
        <w:spacing w:before="120" w:after="120"/>
      </w:pPr>
      <w:r w:rsidRPr="007348AA">
        <w:t>Na Jadranskom slivnom području ju u 2019. i 2020. od 13 grupiranih tijela podzemne vode na njih 9 nije zabilježeno niti jedno prekoračenje graničnih vrijednosti praćenih parametara. Neodgovarajuće stanje utvrđeno je na 4 grupirana tijela podzemne vode zbog prekoračenja granične vrijednosti za kloride.</w:t>
      </w:r>
    </w:p>
    <w:p w14:paraId="1A18DBE7" w14:textId="77777777" w:rsidR="00317EE7" w:rsidRPr="007348AA" w:rsidRDefault="00317EE7" w:rsidP="00D55E4A">
      <w:pPr>
        <w:pStyle w:val="Naslov3"/>
        <w:numPr>
          <w:ilvl w:val="2"/>
          <w:numId w:val="9"/>
        </w:numPr>
        <w:spacing w:before="100" w:beforeAutospacing="1" w:after="120"/>
        <w:rPr>
          <w:b/>
          <w:i w:val="0"/>
        </w:rPr>
      </w:pPr>
      <w:bookmarkStart w:id="11" w:name="_Toc100840611"/>
      <w:r w:rsidRPr="007348AA">
        <w:t>Monitoring POPs-ova u moru</w:t>
      </w:r>
      <w:bookmarkEnd w:id="11"/>
    </w:p>
    <w:p w14:paraId="1A18DBE8" w14:textId="77777777" w:rsidR="002A0A98" w:rsidRPr="007348AA" w:rsidRDefault="002A0A98" w:rsidP="002A0A98">
      <w:pPr>
        <w:rPr>
          <w:rFonts w:eastAsia="Calibri"/>
        </w:rPr>
      </w:pPr>
      <w:r w:rsidRPr="007348AA">
        <w:rPr>
          <w:rFonts w:eastAsia="Calibri"/>
        </w:rPr>
        <w:t xml:space="preserve">U razdoblju 2019. i 2020. u okviru ugovora o sustavnom ispitivanju kakvoće prijelaznih i priobalnih voda u 2019 i 2020., financiranog od strane Hrvatskih voda, rađene su analize niza organskih </w:t>
      </w:r>
      <w:r w:rsidRPr="007348AA">
        <w:rPr>
          <w:rFonts w:eastAsia="Calibri"/>
        </w:rPr>
        <w:lastRenderedPageBreak/>
        <w:t>onečišćivala koja ulaze u skupinu POPs-ova (</w:t>
      </w:r>
      <w:r w:rsidRPr="007348AA">
        <w:rPr>
          <w:rFonts w:eastAsia="Calibri"/>
          <w:bCs/>
          <w:i/>
        </w:rPr>
        <w:t>Tablica 2.3-2</w:t>
      </w:r>
      <w:r w:rsidRPr="007348AA">
        <w:rPr>
          <w:rFonts w:eastAsia="Calibri"/>
        </w:rPr>
        <w:t xml:space="preserve">). Izvođači Ugovora bili su konzorcij između Instituta za oceanografiju i ribarstvo iz Splita (IOR), Instituta Ruđer Bošković iz Zagreba (IRB) i Nacionalnog laboratorija za zdravje, okolje i hrano iz Maribora, Slovenija (NZLO). Analize POPs-ova rađene su u laboratorijima IRB-a i NZLO-a.  U ovom izvješću prikazani su rezultati analiza uzoraka (voda, sediment, biota) iz priobalnih  voda sakupljenih u 2019. godini i prijelaznih voda sakupljenih u 2020. godini, a detaljniji podaci o lokacijama uzorkovanja mogu se naći u izvještajima navedenih Ugovora.  Podaci za 2021. još nisu obrađeni, te će biti prikazani u slijedećem izvještajnom razdoblju. </w:t>
      </w:r>
    </w:p>
    <w:p w14:paraId="1A18DBE9" w14:textId="77777777" w:rsidR="002A0A98" w:rsidRPr="007348AA" w:rsidRDefault="002A0A98" w:rsidP="002A0A98">
      <w:pPr>
        <w:rPr>
          <w:rFonts w:eastAsia="Calibri"/>
        </w:rPr>
      </w:pPr>
    </w:p>
    <w:p w14:paraId="1A18DBEA" w14:textId="77777777" w:rsidR="002A0A98" w:rsidRPr="007348AA" w:rsidRDefault="002A0A98" w:rsidP="002A0A98">
      <w:pPr>
        <w:rPr>
          <w:rFonts w:eastAsia="Calibri"/>
        </w:rPr>
      </w:pPr>
      <w:r w:rsidRPr="007348AA">
        <w:rPr>
          <w:rFonts w:eastAsia="Calibri"/>
        </w:rPr>
        <w:t>Analize su provođene prema zahtjevima Europske direktive o vodama o praćenju prioritetnih tvari u vodama, te je ocjena kemijskog stanja rađena prema važećoj europskoj i hrvatskoj regulativi  u kojoj su definirane dozvoljene koncentracije tih tvari u vodama i bioti (Narodne novine, br. 96/19). Ocjena stanja za sediment (za koji ne postoji niti hrvatska niti europska regulativa) rađena je prema dostupnoj znanstvenoj literaturi. Detaljniji rezultati dostupni su u izvještajima navedenih Ugovora.</w:t>
      </w:r>
    </w:p>
    <w:p w14:paraId="1A18DBEB" w14:textId="77777777" w:rsidR="002A0A98" w:rsidRPr="007348AA" w:rsidRDefault="002A0A98" w:rsidP="002A0A98">
      <w:pPr>
        <w:rPr>
          <w:rFonts w:eastAsia="Calibri"/>
        </w:rPr>
      </w:pPr>
    </w:p>
    <w:p w14:paraId="1A18DBEC" w14:textId="77777777" w:rsidR="002A0A98" w:rsidRPr="007348AA" w:rsidRDefault="002A0A98" w:rsidP="002A0A98">
      <w:pPr>
        <w:rPr>
          <w:rFonts w:eastAsia="Calibri"/>
        </w:rPr>
      </w:pPr>
      <w:r w:rsidRPr="007348AA">
        <w:rPr>
          <w:rFonts w:eastAsia="Calibri"/>
          <w:bCs/>
          <w:i/>
        </w:rPr>
        <w:t xml:space="preserve">Tablica 2.3-2. </w:t>
      </w:r>
      <w:r w:rsidRPr="007348AA">
        <w:rPr>
          <w:rFonts w:eastAsia="Calibri"/>
          <w:i/>
        </w:rPr>
        <w:t>Popis POPs-ova određivanih u vodi, sedimentu i bioti u okviru monitoringa prijelaznih i priobalnih voda istočne jadranske obale u 2019. i 2020. godini</w:t>
      </w:r>
    </w:p>
    <w:p w14:paraId="1A18DBED" w14:textId="77777777" w:rsidR="002A0A98" w:rsidRPr="007348AA" w:rsidRDefault="002A0A98" w:rsidP="002A0A98">
      <w:pPr>
        <w:rPr>
          <w:rFonts w:eastAsia="Calibri"/>
        </w:rPr>
      </w:pP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7492"/>
      </w:tblGrid>
      <w:tr w:rsidR="002A0A98" w:rsidRPr="007348AA" w14:paraId="1A18DBF0" w14:textId="77777777" w:rsidTr="00FB13AA">
        <w:trPr>
          <w:trHeight w:val="534"/>
          <w:jc w:val="center"/>
        </w:trPr>
        <w:tc>
          <w:tcPr>
            <w:tcW w:w="2249" w:type="dxa"/>
            <w:vAlign w:val="center"/>
          </w:tcPr>
          <w:p w14:paraId="1A18DBEE" w14:textId="77777777" w:rsidR="002A0A98" w:rsidRPr="007348AA" w:rsidRDefault="002A0A98" w:rsidP="00B922E7">
            <w:pPr>
              <w:rPr>
                <w:rFonts w:eastAsia="Calibri"/>
                <w:b/>
              </w:rPr>
            </w:pPr>
            <w:r w:rsidRPr="007348AA">
              <w:rPr>
                <w:rFonts w:eastAsia="Calibri"/>
                <w:b/>
              </w:rPr>
              <w:t>Dio vodenog okoliša</w:t>
            </w:r>
          </w:p>
        </w:tc>
        <w:tc>
          <w:tcPr>
            <w:tcW w:w="7492" w:type="dxa"/>
            <w:vAlign w:val="center"/>
          </w:tcPr>
          <w:p w14:paraId="1A18DBEF" w14:textId="77777777" w:rsidR="002A0A98" w:rsidRPr="007348AA" w:rsidRDefault="002A0A98" w:rsidP="00B922E7">
            <w:pPr>
              <w:rPr>
                <w:rFonts w:eastAsia="Calibri"/>
                <w:b/>
              </w:rPr>
            </w:pPr>
            <w:r w:rsidRPr="007348AA">
              <w:rPr>
                <w:rFonts w:eastAsia="Calibri"/>
                <w:b/>
              </w:rPr>
              <w:t>Postojana organska onečišćujuća tvar (POP) mjerena u 2019. i 2020. godini u prijelaznim i priobalnim vodama</w:t>
            </w:r>
          </w:p>
        </w:tc>
      </w:tr>
      <w:tr w:rsidR="002A0A98" w:rsidRPr="007348AA" w14:paraId="1A18DBF5" w14:textId="77777777" w:rsidTr="00FB13AA">
        <w:trPr>
          <w:trHeight w:val="710"/>
          <w:jc w:val="center"/>
        </w:trPr>
        <w:tc>
          <w:tcPr>
            <w:tcW w:w="2249" w:type="dxa"/>
          </w:tcPr>
          <w:p w14:paraId="1A18DBF1" w14:textId="77777777" w:rsidR="002A0A98" w:rsidRPr="007348AA" w:rsidRDefault="002A0A98" w:rsidP="00B922E7">
            <w:pPr>
              <w:rPr>
                <w:rFonts w:eastAsia="Calibri"/>
                <w:b/>
              </w:rPr>
            </w:pPr>
          </w:p>
          <w:p w14:paraId="1A18DBF2" w14:textId="77777777" w:rsidR="002A0A98" w:rsidRPr="007348AA" w:rsidRDefault="002A0A98" w:rsidP="00B922E7">
            <w:pPr>
              <w:rPr>
                <w:rFonts w:eastAsia="Calibri"/>
                <w:b/>
              </w:rPr>
            </w:pPr>
            <w:r w:rsidRPr="007348AA">
              <w:rPr>
                <w:rFonts w:eastAsia="Calibri"/>
                <w:b/>
              </w:rPr>
              <w:t>Voda</w:t>
            </w:r>
          </w:p>
        </w:tc>
        <w:tc>
          <w:tcPr>
            <w:tcW w:w="7492" w:type="dxa"/>
            <w:vAlign w:val="center"/>
          </w:tcPr>
          <w:p w14:paraId="1A18DBF3" w14:textId="77777777" w:rsidR="002A0A98" w:rsidRPr="007348AA" w:rsidRDefault="002A0A98" w:rsidP="00B922E7">
            <w:pPr>
              <w:rPr>
                <w:rFonts w:eastAsia="Calibri"/>
              </w:rPr>
            </w:pPr>
            <w:r w:rsidRPr="007348AA">
              <w:rPr>
                <w:rFonts w:eastAsia="Calibri"/>
              </w:rPr>
              <w:t>Perfluorooktansulfonska kiselina (PFOS) (2019)</w:t>
            </w:r>
          </w:p>
          <w:p w14:paraId="1A18DBF4" w14:textId="77777777" w:rsidR="002A0A98" w:rsidRPr="007348AA" w:rsidRDefault="002A0A98" w:rsidP="00B922E7">
            <w:pPr>
              <w:rPr>
                <w:rFonts w:eastAsia="Calibri"/>
              </w:rPr>
            </w:pPr>
            <w:r w:rsidRPr="007348AA">
              <w:rPr>
                <w:rFonts w:eastAsia="Calibri"/>
              </w:rPr>
              <w:t>Heksabromociklododekan (HBCDD) (2019)</w:t>
            </w:r>
          </w:p>
        </w:tc>
      </w:tr>
      <w:tr w:rsidR="002A0A98" w:rsidRPr="007348AA" w14:paraId="1A18DC00" w14:textId="77777777" w:rsidTr="00FB13AA">
        <w:trPr>
          <w:trHeight w:val="2094"/>
          <w:jc w:val="center"/>
        </w:trPr>
        <w:tc>
          <w:tcPr>
            <w:tcW w:w="2249" w:type="dxa"/>
          </w:tcPr>
          <w:p w14:paraId="1A18DBF6" w14:textId="77777777" w:rsidR="002A0A98" w:rsidRPr="007348AA" w:rsidRDefault="002A0A98" w:rsidP="00B922E7">
            <w:pPr>
              <w:rPr>
                <w:rFonts w:eastAsia="Calibri"/>
              </w:rPr>
            </w:pPr>
          </w:p>
          <w:p w14:paraId="1A18DBF7" w14:textId="77777777" w:rsidR="002A0A98" w:rsidRPr="007348AA" w:rsidRDefault="002A0A98" w:rsidP="00B922E7">
            <w:pPr>
              <w:rPr>
                <w:rFonts w:eastAsia="Calibri"/>
                <w:b/>
              </w:rPr>
            </w:pPr>
            <w:r w:rsidRPr="007348AA">
              <w:rPr>
                <w:rFonts w:eastAsia="Calibri"/>
                <w:b/>
              </w:rPr>
              <w:t>Biota</w:t>
            </w:r>
          </w:p>
        </w:tc>
        <w:tc>
          <w:tcPr>
            <w:tcW w:w="7492" w:type="dxa"/>
            <w:vAlign w:val="center"/>
          </w:tcPr>
          <w:p w14:paraId="1A18DBF8" w14:textId="77777777" w:rsidR="002A0A98" w:rsidRPr="007348AA" w:rsidRDefault="002A0A98" w:rsidP="00B922E7">
            <w:pPr>
              <w:rPr>
                <w:rFonts w:eastAsia="Calibri"/>
              </w:rPr>
            </w:pPr>
            <w:r w:rsidRPr="007348AA">
              <w:rPr>
                <w:rFonts w:eastAsia="Calibri"/>
              </w:rPr>
              <w:t>Polibromirani difenileteri</w:t>
            </w:r>
          </w:p>
          <w:p w14:paraId="1A18DBF9" w14:textId="77777777" w:rsidR="002A0A98" w:rsidRPr="007348AA" w:rsidRDefault="002A0A98" w:rsidP="00B922E7">
            <w:pPr>
              <w:rPr>
                <w:rFonts w:eastAsia="Calibri"/>
              </w:rPr>
            </w:pPr>
            <w:r w:rsidRPr="007348AA">
              <w:rPr>
                <w:rFonts w:eastAsia="Calibri"/>
              </w:rPr>
              <w:t>Heksaklorobenzen</w:t>
            </w:r>
          </w:p>
          <w:p w14:paraId="1A18DBFA" w14:textId="77777777" w:rsidR="002A0A98" w:rsidRPr="007348AA" w:rsidRDefault="002A0A98" w:rsidP="00B922E7">
            <w:pPr>
              <w:rPr>
                <w:rFonts w:eastAsia="Calibri"/>
              </w:rPr>
            </w:pPr>
            <w:r w:rsidRPr="007348AA">
              <w:rPr>
                <w:rFonts w:eastAsia="Calibri"/>
              </w:rPr>
              <w:t>Heksaklorobutadien</w:t>
            </w:r>
          </w:p>
          <w:p w14:paraId="1A18DBFB" w14:textId="77777777" w:rsidR="002A0A98" w:rsidRPr="007348AA" w:rsidRDefault="002A0A98" w:rsidP="00B922E7">
            <w:pPr>
              <w:rPr>
                <w:rFonts w:eastAsia="Calibri"/>
              </w:rPr>
            </w:pPr>
            <w:r w:rsidRPr="007348AA">
              <w:rPr>
                <w:rFonts w:eastAsia="Calibri"/>
              </w:rPr>
              <w:t>Alfa-, beta-, gama- heksaklorocikloheksan</w:t>
            </w:r>
          </w:p>
          <w:p w14:paraId="1A18DBFC" w14:textId="77777777" w:rsidR="002A0A98" w:rsidRPr="007348AA" w:rsidRDefault="002A0A98" w:rsidP="00B922E7">
            <w:pPr>
              <w:rPr>
                <w:rFonts w:eastAsia="Calibri"/>
              </w:rPr>
            </w:pPr>
            <w:r w:rsidRPr="007348AA">
              <w:rPr>
                <w:rFonts w:eastAsia="Calibri"/>
              </w:rPr>
              <w:t>Perfluorooktansulfonska kiselina (PFOS)</w:t>
            </w:r>
          </w:p>
          <w:p w14:paraId="1A18DBFD" w14:textId="77777777" w:rsidR="002A0A98" w:rsidRPr="007348AA" w:rsidRDefault="002A0A98" w:rsidP="00B922E7">
            <w:pPr>
              <w:rPr>
                <w:rFonts w:eastAsia="Calibri"/>
              </w:rPr>
            </w:pPr>
            <w:r w:rsidRPr="007348AA">
              <w:rPr>
                <w:rFonts w:eastAsia="Calibri"/>
              </w:rPr>
              <w:t>Dioksini i spojevi poput dioksina</w:t>
            </w:r>
          </w:p>
          <w:p w14:paraId="1A18DBFE" w14:textId="77777777" w:rsidR="002A0A98" w:rsidRPr="007348AA" w:rsidRDefault="002A0A98" w:rsidP="00B922E7">
            <w:pPr>
              <w:rPr>
                <w:rFonts w:eastAsia="Calibri"/>
              </w:rPr>
            </w:pPr>
            <w:r w:rsidRPr="007348AA">
              <w:rPr>
                <w:rFonts w:eastAsia="Calibri"/>
              </w:rPr>
              <w:t>Heksabromociklododekan (HBCDD)</w:t>
            </w:r>
          </w:p>
          <w:p w14:paraId="1A18DBFF" w14:textId="77777777" w:rsidR="002A0A98" w:rsidRPr="007348AA" w:rsidRDefault="002A0A98" w:rsidP="00B922E7">
            <w:pPr>
              <w:rPr>
                <w:rFonts w:eastAsia="Calibri"/>
              </w:rPr>
            </w:pPr>
            <w:r w:rsidRPr="007348AA">
              <w:rPr>
                <w:rFonts w:eastAsia="Calibri"/>
              </w:rPr>
              <w:t>Heptaklor i heptaklorepkosid</w:t>
            </w:r>
          </w:p>
        </w:tc>
      </w:tr>
      <w:tr w:rsidR="002A0A98" w:rsidRPr="007348AA" w14:paraId="1A18DC0B" w14:textId="77777777" w:rsidTr="00FB13AA">
        <w:trPr>
          <w:trHeight w:val="2356"/>
          <w:jc w:val="center"/>
        </w:trPr>
        <w:tc>
          <w:tcPr>
            <w:tcW w:w="2249" w:type="dxa"/>
          </w:tcPr>
          <w:p w14:paraId="1A18DC01" w14:textId="77777777" w:rsidR="002A0A98" w:rsidRPr="007348AA" w:rsidRDefault="002A0A98" w:rsidP="00B922E7">
            <w:pPr>
              <w:rPr>
                <w:rFonts w:eastAsia="Calibri"/>
              </w:rPr>
            </w:pPr>
          </w:p>
          <w:p w14:paraId="1A18DC02" w14:textId="77777777" w:rsidR="002A0A98" w:rsidRPr="007348AA" w:rsidRDefault="002A0A98" w:rsidP="00B922E7">
            <w:pPr>
              <w:rPr>
                <w:rFonts w:eastAsia="Calibri"/>
                <w:b/>
              </w:rPr>
            </w:pPr>
            <w:r w:rsidRPr="007348AA">
              <w:rPr>
                <w:rFonts w:eastAsia="Calibri"/>
                <w:b/>
              </w:rPr>
              <w:t>Sediment</w:t>
            </w:r>
          </w:p>
        </w:tc>
        <w:tc>
          <w:tcPr>
            <w:tcW w:w="7492" w:type="dxa"/>
            <w:vAlign w:val="center"/>
          </w:tcPr>
          <w:p w14:paraId="1A18DC03" w14:textId="77777777" w:rsidR="002A0A98" w:rsidRPr="007348AA" w:rsidRDefault="002A0A98" w:rsidP="00B922E7">
            <w:pPr>
              <w:rPr>
                <w:rFonts w:eastAsia="Calibri"/>
              </w:rPr>
            </w:pPr>
            <w:r w:rsidRPr="007348AA">
              <w:rPr>
                <w:rFonts w:eastAsia="Calibri"/>
              </w:rPr>
              <w:t>Polibromirani difenileteri</w:t>
            </w:r>
          </w:p>
          <w:p w14:paraId="1A18DC04" w14:textId="77777777" w:rsidR="002A0A98" w:rsidRPr="007348AA" w:rsidRDefault="002A0A98" w:rsidP="00B922E7">
            <w:pPr>
              <w:rPr>
                <w:rFonts w:eastAsia="Calibri"/>
              </w:rPr>
            </w:pPr>
            <w:r w:rsidRPr="007348AA">
              <w:rPr>
                <w:rFonts w:eastAsia="Calibri"/>
              </w:rPr>
              <w:t>Kloroalkani C10-C13</w:t>
            </w:r>
          </w:p>
          <w:p w14:paraId="1A18DC05" w14:textId="77777777" w:rsidR="002A0A98" w:rsidRPr="007348AA" w:rsidRDefault="002A0A98" w:rsidP="00B922E7">
            <w:pPr>
              <w:rPr>
                <w:rFonts w:eastAsia="Calibri"/>
              </w:rPr>
            </w:pPr>
            <w:r w:rsidRPr="007348AA">
              <w:rPr>
                <w:rFonts w:eastAsia="Calibri"/>
              </w:rPr>
              <w:t>Organoklorovi pesticidi (heksaklorobenzen i heksaklorocikloheksan)</w:t>
            </w:r>
          </w:p>
          <w:p w14:paraId="1A18DC06" w14:textId="77777777" w:rsidR="002A0A98" w:rsidRPr="007348AA" w:rsidRDefault="002A0A98" w:rsidP="00B922E7">
            <w:pPr>
              <w:rPr>
                <w:rFonts w:eastAsia="Calibri"/>
              </w:rPr>
            </w:pPr>
            <w:r w:rsidRPr="007348AA">
              <w:rPr>
                <w:rFonts w:eastAsia="Calibri"/>
              </w:rPr>
              <w:t>Pentaklorobenzen</w:t>
            </w:r>
          </w:p>
          <w:p w14:paraId="1A18DC07" w14:textId="77777777" w:rsidR="002A0A98" w:rsidRPr="007348AA" w:rsidRDefault="002A0A98" w:rsidP="00B922E7">
            <w:pPr>
              <w:rPr>
                <w:rFonts w:eastAsia="Calibri"/>
              </w:rPr>
            </w:pPr>
            <w:r w:rsidRPr="007348AA">
              <w:rPr>
                <w:rFonts w:eastAsia="Calibri"/>
              </w:rPr>
              <w:t>Perfluorooktansulfonska kiselina (PFOS)</w:t>
            </w:r>
          </w:p>
          <w:p w14:paraId="1A18DC08" w14:textId="77777777" w:rsidR="002A0A98" w:rsidRPr="007348AA" w:rsidRDefault="002A0A98" w:rsidP="00B922E7">
            <w:pPr>
              <w:rPr>
                <w:rFonts w:eastAsia="Calibri"/>
              </w:rPr>
            </w:pPr>
            <w:r w:rsidRPr="007348AA">
              <w:rPr>
                <w:rFonts w:eastAsia="Calibri"/>
              </w:rPr>
              <w:t>Dioksini i spojevi poput dioksina (TEQ)</w:t>
            </w:r>
          </w:p>
          <w:p w14:paraId="1A18DC09" w14:textId="77777777" w:rsidR="002A0A98" w:rsidRPr="007348AA" w:rsidRDefault="002A0A98" w:rsidP="00B922E7">
            <w:pPr>
              <w:rPr>
                <w:rFonts w:eastAsia="Calibri"/>
              </w:rPr>
            </w:pPr>
            <w:r w:rsidRPr="007348AA">
              <w:rPr>
                <w:rFonts w:eastAsia="Calibri"/>
              </w:rPr>
              <w:t>Heksabromociklododekan</w:t>
            </w:r>
          </w:p>
          <w:p w14:paraId="1A18DC0A" w14:textId="77777777" w:rsidR="002A0A98" w:rsidRPr="007348AA" w:rsidRDefault="002A0A98" w:rsidP="00B922E7">
            <w:pPr>
              <w:rPr>
                <w:rFonts w:eastAsia="Calibri"/>
              </w:rPr>
            </w:pPr>
            <w:r w:rsidRPr="007348AA">
              <w:rPr>
                <w:rFonts w:eastAsia="Calibri"/>
              </w:rPr>
              <w:t>Heptaklor i heptaklorepoksid</w:t>
            </w:r>
          </w:p>
        </w:tc>
      </w:tr>
    </w:tbl>
    <w:p w14:paraId="1A18DC0C" w14:textId="77777777" w:rsidR="002A0A98" w:rsidRPr="007348AA" w:rsidRDefault="002A0A98" w:rsidP="00E972CC">
      <w:pPr>
        <w:rPr>
          <w:noProof/>
        </w:rPr>
      </w:pPr>
    </w:p>
    <w:p w14:paraId="1A18DC0D" w14:textId="77777777" w:rsidR="00E972CC" w:rsidRPr="007348AA" w:rsidRDefault="00E972CC" w:rsidP="00E972CC">
      <w:pPr>
        <w:rPr>
          <w:noProof/>
        </w:rPr>
      </w:pPr>
    </w:p>
    <w:p w14:paraId="1A18DC0E" w14:textId="77777777" w:rsidR="00E972CC" w:rsidRPr="007348AA" w:rsidRDefault="00E972CC" w:rsidP="00E972CC">
      <w:pPr>
        <w:rPr>
          <w:i/>
          <w:noProof/>
        </w:rPr>
      </w:pPr>
      <w:r w:rsidRPr="007348AA">
        <w:rPr>
          <w:i/>
          <w:noProof/>
        </w:rPr>
        <w:t>POP</w:t>
      </w:r>
      <w:r w:rsidR="00B417A6" w:rsidRPr="007348AA">
        <w:rPr>
          <w:i/>
          <w:noProof/>
        </w:rPr>
        <w:t>s</w:t>
      </w:r>
      <w:r w:rsidRPr="007348AA">
        <w:rPr>
          <w:i/>
          <w:noProof/>
        </w:rPr>
        <w:t xml:space="preserve">-ovi </w:t>
      </w:r>
      <w:r w:rsidR="002A0A98" w:rsidRPr="007348AA">
        <w:rPr>
          <w:i/>
          <w:noProof/>
        </w:rPr>
        <w:t>u vodi, bioti i sedimentu priobalnih voda u 2019. godini</w:t>
      </w:r>
    </w:p>
    <w:p w14:paraId="1A18DC0F" w14:textId="77777777" w:rsidR="00B417A6" w:rsidRPr="007348AA" w:rsidRDefault="00B417A6" w:rsidP="00E972CC">
      <w:pPr>
        <w:rPr>
          <w:rFonts w:eastAsia="Calibri"/>
          <w:b/>
          <w:u w:val="single"/>
        </w:rPr>
      </w:pPr>
    </w:p>
    <w:p w14:paraId="1A18DC10" w14:textId="77777777" w:rsidR="00E972CC" w:rsidRPr="007348AA" w:rsidRDefault="00E972CC" w:rsidP="00E972CC">
      <w:pPr>
        <w:rPr>
          <w:rFonts w:eastAsia="Calibri"/>
          <w:b/>
          <w:u w:val="single"/>
        </w:rPr>
      </w:pPr>
      <w:r w:rsidRPr="007348AA">
        <w:rPr>
          <w:rFonts w:eastAsia="Calibri"/>
          <w:b/>
          <w:u w:val="single"/>
        </w:rPr>
        <w:t>VODA</w:t>
      </w:r>
    </w:p>
    <w:p w14:paraId="1A18DC11" w14:textId="77777777" w:rsidR="00B417A6" w:rsidRPr="007348AA" w:rsidRDefault="00FE402D" w:rsidP="00E972CC">
      <w:pPr>
        <w:rPr>
          <w:b/>
          <w:noProof/>
          <w:u w:val="single"/>
        </w:rPr>
      </w:pPr>
      <w:r w:rsidRPr="007348AA">
        <w:rPr>
          <w:noProof/>
        </w:rPr>
        <w:t xml:space="preserve">Praćenje odabranih prioritetnih tvari u priobalnim vodama tijekom 2019., obuhvatilo je 4 sezonska izlaska pri čemu su praćene koncentracije heksabromociklododekana i perfluoroktanske kiseline. Razina HBCD bila je u svim uzorcima niža od propisanog kriterija PGK-SKVO (0,8 ng/L). Izmjerene </w:t>
      </w:r>
      <w:r w:rsidRPr="007348AA">
        <w:rPr>
          <w:noProof/>
        </w:rPr>
        <w:lastRenderedPageBreak/>
        <w:t>koncentracije PFOS bile su u na većini lokacija niže od PGK-SKVO, (0,13 ng/L), osim u Bakarskom zaljevu (O37) i Pulskoj luci (O45) gdje su premašile propisani kriterij za SKVO.</w:t>
      </w:r>
    </w:p>
    <w:p w14:paraId="1A18DC12" w14:textId="77777777" w:rsidR="00FE402D" w:rsidRPr="007348AA" w:rsidRDefault="00FE402D" w:rsidP="00E972CC">
      <w:pPr>
        <w:rPr>
          <w:b/>
          <w:noProof/>
          <w:u w:val="single"/>
        </w:rPr>
      </w:pPr>
    </w:p>
    <w:p w14:paraId="1A18DC13" w14:textId="77777777" w:rsidR="00E972CC" w:rsidRPr="007348AA" w:rsidRDefault="00E972CC" w:rsidP="00E972CC">
      <w:pPr>
        <w:rPr>
          <w:b/>
          <w:noProof/>
          <w:u w:val="single"/>
        </w:rPr>
      </w:pPr>
      <w:r w:rsidRPr="007348AA">
        <w:rPr>
          <w:b/>
          <w:noProof/>
          <w:u w:val="single"/>
        </w:rPr>
        <w:t>BIOTA</w:t>
      </w:r>
    </w:p>
    <w:p w14:paraId="1A18DC14" w14:textId="77777777" w:rsidR="00B417A6" w:rsidRPr="007348AA" w:rsidRDefault="00FE402D" w:rsidP="00E972CC">
      <w:r w:rsidRPr="007348AA">
        <w:t xml:space="preserve">Na </w:t>
      </w:r>
      <w:r w:rsidRPr="007348AA">
        <w:rPr>
          <w:i/>
        </w:rPr>
        <w:t>grafikonu 2.3-1.</w:t>
      </w:r>
      <w:r w:rsidRPr="007348AA">
        <w:t xml:space="preserve"> prikazana je raspodjela koncentracija polibromiranih difeniletera (PBDE) u mišiću riba priobalnih voda. Zbog izrazito strogog kriterija SKVO od 0,0085 ng/g za sumu reprezentativnih 6 kongenera PBDE niti jedan uzorak nije zadovoljio taj kriterij. Koncentracije su se kretale u rasponu od 0,03 do 0,95 ng/g, a prosječna koncentracija od 0,15 ng/g višestruko premašuje propisani kriterij. Najjača žarišta unosa PBDE nalaze u blizini naših većih gradova, Splita, Rijeke i Pule te Umaga. Rezultati su potvrdili da koncentracija polibromiranih difeniletera (PBDE) u mišiću riba predstavlja najkritičniji pokazatelj sa stajališta zadovoljavanja kriterija SKVO. Vrlo slična situacija nađena je i u nekim drugim područjima Europe, te je očito da će biti potrebni sustavni dogovori oko implementacije kriterija i, dakako, dodatnih mjera za smanjenje utjecaja PBDE na okoliš.</w:t>
      </w:r>
    </w:p>
    <w:p w14:paraId="1A18DC15" w14:textId="77777777" w:rsidR="00B46B9B" w:rsidRPr="007348AA" w:rsidRDefault="00B46B9B" w:rsidP="00E972CC"/>
    <w:p w14:paraId="1A18DC16" w14:textId="77777777" w:rsidR="00E972CC" w:rsidRPr="007348AA" w:rsidRDefault="00B46B9B" w:rsidP="00B417A6">
      <w:pPr>
        <w:jc w:val="center"/>
        <w:rPr>
          <w:rFonts w:eastAsia="Calibri"/>
        </w:rPr>
      </w:pPr>
      <w:r w:rsidRPr="007348AA">
        <w:rPr>
          <w:rFonts w:eastAsia="Calibri"/>
          <w:noProof/>
        </w:rPr>
        <w:drawing>
          <wp:inline distT="0" distB="0" distL="0" distR="0" wp14:anchorId="1A18E313" wp14:editId="1A18E314">
            <wp:extent cx="3749675" cy="2243455"/>
            <wp:effectExtent l="0" t="0" r="3175"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675" cy="2243455"/>
                    </a:xfrm>
                    <a:prstGeom prst="rect">
                      <a:avLst/>
                    </a:prstGeom>
                    <a:noFill/>
                  </pic:spPr>
                </pic:pic>
              </a:graphicData>
            </a:graphic>
          </wp:inline>
        </w:drawing>
      </w:r>
    </w:p>
    <w:p w14:paraId="1A18DC17" w14:textId="77777777" w:rsidR="00B417A6" w:rsidRPr="007348AA" w:rsidRDefault="007A78E4" w:rsidP="00E972CC">
      <w:pPr>
        <w:rPr>
          <w:i/>
        </w:rPr>
      </w:pPr>
      <w:r w:rsidRPr="007348AA">
        <w:rPr>
          <w:i/>
        </w:rPr>
        <w:t xml:space="preserve">Grafikon 2.3-1. </w:t>
      </w:r>
      <w:r w:rsidR="00B46B9B" w:rsidRPr="007348AA">
        <w:rPr>
          <w:i/>
        </w:rPr>
        <w:t xml:space="preserve">Raspodjela polibromiranih difeniletera (PBDE) u ribama priobalnih voda 2019. </w:t>
      </w:r>
    </w:p>
    <w:p w14:paraId="1A18DC18" w14:textId="77777777" w:rsidR="00B46B9B" w:rsidRPr="007348AA" w:rsidRDefault="00B46B9B" w:rsidP="00E972CC"/>
    <w:p w14:paraId="1A18DC19" w14:textId="77777777" w:rsidR="00B417A6" w:rsidRPr="007348AA" w:rsidRDefault="00B922E7" w:rsidP="00E972CC">
      <w:pPr>
        <w:rPr>
          <w:noProof/>
        </w:rPr>
      </w:pPr>
      <w:r w:rsidRPr="007348AA">
        <w:rPr>
          <w:noProof/>
        </w:rPr>
        <w:t xml:space="preserve">Monitoringom biote obuhvaćen je i drugi tip usporivača gorenja - heksabromociklododekan (HBCD) pri čemu se analizira cijela riba.  Razina koncentracija HBCDD u analiziranim ribama priobalnih voda slična je kao i za PBDE (raspon: &lt;0,1-1 ng/g; prosječna vrijednost: 0,11 ng/g; </w:t>
      </w:r>
      <w:r w:rsidRPr="007348AA">
        <w:rPr>
          <w:i/>
        </w:rPr>
        <w:t>Grafikon 2.3-2.</w:t>
      </w:r>
      <w:r w:rsidRPr="007348AA">
        <w:rPr>
          <w:noProof/>
        </w:rPr>
        <w:t>). Međutim, zbog dosta visokog kriterija SKVO za koncentraciju u ribama (167 ng/g), sve su izmjerene vrijednosti barem sto puta manje od propisanog kriterija. Koncentracije heptaklora i heptaklorepoksida u ribama priobalnih voda 2019. bile su gotovo u svim uzorcima niže od granice određivanja (0,05 ng/g) te ne ukazuju na neko značajnije onečišćenje tim sastojcima. Međutim, kako je već naglašeno, SKVO za heptaklor i heptaklorepoksid je vrlo rigorozan (0,0067 ng/g) te se dostupnom metodom (granica određivanja 0,05 ng/g) ne može utvrditi ispunjavanje kriterija SKVO. Nasuprot tome, kriterij za klorirani insekticid  heksaklorbenzen (</w:t>
      </w:r>
      <w:r w:rsidRPr="007348AA">
        <w:rPr>
          <w:i/>
        </w:rPr>
        <w:t>Grafikon 2.3-3.</w:t>
      </w:r>
      <w:r w:rsidRPr="007348AA">
        <w:rPr>
          <w:noProof/>
        </w:rPr>
        <w:t>) mnogo je blaži (SKVO 10 ng/g) i sve izmjerene vrijednosti (raspon 0,1 do 1,1 ng/g; prosječna vrijednost: 0,28 ng/g) znatno su niže od propisane. Osim lokacije O14 (Brački kanal), ostale su lokacije pokazale relativno uniformnu raspodjelu, potvrđujući da na našoj obali vjerojatno nema značajnijih izvora recentnog unošenja.</w:t>
      </w:r>
    </w:p>
    <w:p w14:paraId="1A18DC1A" w14:textId="77777777" w:rsidR="00B922E7" w:rsidRPr="007348AA" w:rsidRDefault="00B922E7" w:rsidP="00E972CC">
      <w:pPr>
        <w:rPr>
          <w:noProof/>
        </w:rPr>
      </w:pPr>
    </w:p>
    <w:p w14:paraId="1A18DC1B" w14:textId="77777777" w:rsidR="00E972CC" w:rsidRPr="007348AA" w:rsidRDefault="00E972CC" w:rsidP="00B417A6">
      <w:pPr>
        <w:jc w:val="center"/>
        <w:rPr>
          <w:rFonts w:eastAsia="Calibri"/>
          <w:noProof/>
        </w:rPr>
      </w:pPr>
    </w:p>
    <w:p w14:paraId="1A18DC1C" w14:textId="77777777" w:rsidR="00B922E7" w:rsidRPr="007348AA" w:rsidRDefault="00B922E7" w:rsidP="00B417A6">
      <w:pPr>
        <w:jc w:val="center"/>
        <w:rPr>
          <w:noProof/>
        </w:rPr>
      </w:pPr>
      <w:r w:rsidRPr="007348AA">
        <w:rPr>
          <w:noProof/>
        </w:rPr>
        <w:lastRenderedPageBreak/>
        <w:drawing>
          <wp:inline distT="0" distB="0" distL="0" distR="0" wp14:anchorId="1A18E315" wp14:editId="1A18E316">
            <wp:extent cx="3408045" cy="2109470"/>
            <wp:effectExtent l="0" t="0" r="1905"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2109470"/>
                    </a:xfrm>
                    <a:prstGeom prst="rect">
                      <a:avLst/>
                    </a:prstGeom>
                    <a:noFill/>
                  </pic:spPr>
                </pic:pic>
              </a:graphicData>
            </a:graphic>
          </wp:inline>
        </w:drawing>
      </w:r>
    </w:p>
    <w:p w14:paraId="1A18DC1D" w14:textId="77777777" w:rsidR="00B417A6" w:rsidRPr="007348AA" w:rsidRDefault="007A78E4" w:rsidP="00E972CC">
      <w:r w:rsidRPr="007348AA">
        <w:rPr>
          <w:i/>
        </w:rPr>
        <w:t xml:space="preserve">Grafikon 2.3-2. </w:t>
      </w:r>
      <w:r w:rsidR="00E972CC" w:rsidRPr="007348AA">
        <w:rPr>
          <w:i/>
        </w:rPr>
        <w:t xml:space="preserve"> Raspodjela hek</w:t>
      </w:r>
      <w:r w:rsidR="00B922E7" w:rsidRPr="007348AA">
        <w:rPr>
          <w:i/>
        </w:rPr>
        <w:t xml:space="preserve">sabromociklododekana (HBCDD) u </w:t>
      </w:r>
      <w:r w:rsidR="00E972CC" w:rsidRPr="007348AA">
        <w:rPr>
          <w:i/>
        </w:rPr>
        <w:t xml:space="preserve">ribama </w:t>
      </w:r>
      <w:r w:rsidR="00B922E7" w:rsidRPr="007348AA">
        <w:rPr>
          <w:i/>
        </w:rPr>
        <w:t xml:space="preserve">priobalnih voda 2019. </w:t>
      </w:r>
      <w:r w:rsidR="00941E2C" w:rsidRPr="007348AA">
        <w:rPr>
          <w:i/>
        </w:rPr>
        <w:t>godine</w:t>
      </w:r>
    </w:p>
    <w:p w14:paraId="1A18DC1E" w14:textId="77777777" w:rsidR="00B922E7" w:rsidRPr="007348AA" w:rsidRDefault="00B922E7" w:rsidP="00E972CC">
      <w:pPr>
        <w:rPr>
          <w:noProof/>
        </w:rPr>
      </w:pPr>
    </w:p>
    <w:p w14:paraId="1A18DC1F" w14:textId="77777777" w:rsidR="00E972CC" w:rsidRPr="007348AA" w:rsidRDefault="00B922E7" w:rsidP="00B417A6">
      <w:pPr>
        <w:jc w:val="center"/>
        <w:rPr>
          <w:noProof/>
        </w:rPr>
      </w:pPr>
      <w:r w:rsidRPr="007348AA">
        <w:rPr>
          <w:noProof/>
        </w:rPr>
        <w:drawing>
          <wp:inline distT="0" distB="0" distL="0" distR="0" wp14:anchorId="1A18E317" wp14:editId="07917B20">
            <wp:extent cx="3333750" cy="2151683"/>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151683"/>
                    </a:xfrm>
                    <a:prstGeom prst="rect">
                      <a:avLst/>
                    </a:prstGeom>
                    <a:noFill/>
                  </pic:spPr>
                </pic:pic>
              </a:graphicData>
            </a:graphic>
          </wp:inline>
        </w:drawing>
      </w:r>
    </w:p>
    <w:p w14:paraId="1A18DC20" w14:textId="77777777" w:rsidR="00E972CC" w:rsidRPr="007348AA" w:rsidRDefault="007A78E4" w:rsidP="00E972CC">
      <w:pPr>
        <w:rPr>
          <w:i/>
        </w:rPr>
      </w:pPr>
      <w:r w:rsidRPr="007348AA">
        <w:rPr>
          <w:i/>
        </w:rPr>
        <w:t xml:space="preserve">Grafikon 2.3-3. </w:t>
      </w:r>
      <w:r w:rsidR="00E972CC" w:rsidRPr="007348AA">
        <w:rPr>
          <w:i/>
        </w:rPr>
        <w:t>Raspodjela heksaklor</w:t>
      </w:r>
      <w:r w:rsidR="00603E26" w:rsidRPr="007348AA">
        <w:rPr>
          <w:i/>
        </w:rPr>
        <w:t>o</w:t>
      </w:r>
      <w:r w:rsidR="00E972CC" w:rsidRPr="007348AA">
        <w:rPr>
          <w:i/>
        </w:rPr>
        <w:t>benzena</w:t>
      </w:r>
      <w:r w:rsidR="00201DAE" w:rsidRPr="007348AA">
        <w:rPr>
          <w:i/>
        </w:rPr>
        <w:t xml:space="preserve"> (HCB)</w:t>
      </w:r>
      <w:r w:rsidR="00E972CC" w:rsidRPr="007348AA">
        <w:rPr>
          <w:i/>
        </w:rPr>
        <w:t xml:space="preserve"> u ribama pri</w:t>
      </w:r>
      <w:r w:rsidR="00201DAE" w:rsidRPr="007348AA">
        <w:rPr>
          <w:i/>
        </w:rPr>
        <w:t>obalnih</w:t>
      </w:r>
      <w:r w:rsidR="00E972CC" w:rsidRPr="007348AA">
        <w:rPr>
          <w:i/>
        </w:rPr>
        <w:t xml:space="preserve"> voda 201</w:t>
      </w:r>
      <w:r w:rsidR="00201DAE" w:rsidRPr="007348AA">
        <w:rPr>
          <w:i/>
        </w:rPr>
        <w:t>9</w:t>
      </w:r>
      <w:r w:rsidR="00E972CC" w:rsidRPr="007348AA">
        <w:rPr>
          <w:i/>
        </w:rPr>
        <w:t>. godine</w:t>
      </w:r>
    </w:p>
    <w:p w14:paraId="1A18DC21" w14:textId="77777777" w:rsidR="00201DAE" w:rsidRPr="007348AA" w:rsidRDefault="00201DAE" w:rsidP="00E972CC"/>
    <w:p w14:paraId="1A18DC22" w14:textId="77777777" w:rsidR="007A78E4" w:rsidRPr="007348AA" w:rsidRDefault="00201DAE" w:rsidP="00E972CC">
      <w:r w:rsidRPr="007348AA">
        <w:t>Razina dioksina i njima srodnih spojeva kretale su se u rasponu od &lt;0,00002 do 0,0068 ng/g TEQ (prosječna vrijednost: 0,0011 ng/g TEQ) te su u gotovo svim uzorcima bile niže od propisanog SKVO (0,0065 ng/g, zbroj TEQ) (</w:t>
      </w:r>
      <w:r w:rsidRPr="007348AA">
        <w:rPr>
          <w:i/>
        </w:rPr>
        <w:t>Grafikon 2.3-4.</w:t>
      </w:r>
      <w:r w:rsidRPr="007348AA">
        <w:t>). Najviša razina, zabilježena u Splitskoj luci (O15A; 0,0068 ng/g TEQ), premašivala je SKVO. Koncentracija PFOS u ribama priobalnih voda kretala se u rasponu od &lt;0,1 do 2,0 ng/g (prosječna vrijednost: 0,39 ng/g), što je dosta niže od propisanog kriterija SKVO (9,1 ng/g) (</w:t>
      </w:r>
      <w:r w:rsidR="00966815" w:rsidRPr="007348AA">
        <w:rPr>
          <w:i/>
        </w:rPr>
        <w:t>Grafikon 2.3-5.</w:t>
      </w:r>
      <w:r w:rsidRPr="007348AA">
        <w:t>). Najviša koncentracija zabilježena je u ribama u području riječke luke (O38; 2 ng/g) i Zadra (lokacije O22A i O24).</w:t>
      </w:r>
    </w:p>
    <w:p w14:paraId="1A18DC23" w14:textId="77777777" w:rsidR="00201DAE" w:rsidRPr="007348AA" w:rsidRDefault="00201DAE" w:rsidP="00201DAE">
      <w:pPr>
        <w:jc w:val="center"/>
        <w:rPr>
          <w:i/>
        </w:rPr>
      </w:pPr>
      <w:r w:rsidRPr="007348AA">
        <w:rPr>
          <w:i/>
          <w:noProof/>
        </w:rPr>
        <w:drawing>
          <wp:inline distT="0" distB="0" distL="0" distR="0" wp14:anchorId="1A18E319" wp14:editId="1A18E31A">
            <wp:extent cx="3987165" cy="2261870"/>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7165" cy="2261870"/>
                    </a:xfrm>
                    <a:prstGeom prst="rect">
                      <a:avLst/>
                    </a:prstGeom>
                    <a:noFill/>
                  </pic:spPr>
                </pic:pic>
              </a:graphicData>
            </a:graphic>
          </wp:inline>
        </w:drawing>
      </w:r>
    </w:p>
    <w:p w14:paraId="1A18DC24" w14:textId="77777777" w:rsidR="00B417A6" w:rsidRPr="007348AA" w:rsidRDefault="007A78E4" w:rsidP="00E972CC">
      <w:pPr>
        <w:rPr>
          <w:i/>
        </w:rPr>
      </w:pPr>
      <w:r w:rsidRPr="007348AA">
        <w:rPr>
          <w:i/>
        </w:rPr>
        <w:t>Grafikon 2.3-</w:t>
      </w:r>
      <w:r w:rsidR="00865DA9" w:rsidRPr="007348AA">
        <w:rPr>
          <w:i/>
        </w:rPr>
        <w:t>4</w:t>
      </w:r>
      <w:r w:rsidRPr="007348AA">
        <w:rPr>
          <w:i/>
        </w:rPr>
        <w:t xml:space="preserve">. </w:t>
      </w:r>
      <w:r w:rsidR="00E972CC" w:rsidRPr="007348AA">
        <w:rPr>
          <w:i/>
        </w:rPr>
        <w:t xml:space="preserve"> Raspodjela dioksina i njima srodnih spojeva u  ribama </w:t>
      </w:r>
      <w:r w:rsidR="00201DAE" w:rsidRPr="007348AA">
        <w:rPr>
          <w:i/>
        </w:rPr>
        <w:t>priobalnih</w:t>
      </w:r>
      <w:r w:rsidR="00E972CC" w:rsidRPr="007348AA">
        <w:rPr>
          <w:i/>
        </w:rPr>
        <w:t xml:space="preserve"> voda 201</w:t>
      </w:r>
      <w:r w:rsidR="00201DAE" w:rsidRPr="007348AA">
        <w:rPr>
          <w:i/>
        </w:rPr>
        <w:t>9</w:t>
      </w:r>
      <w:r w:rsidR="00E972CC" w:rsidRPr="007348AA">
        <w:rPr>
          <w:i/>
        </w:rPr>
        <w:t>. godine</w:t>
      </w:r>
    </w:p>
    <w:p w14:paraId="1A18DC25" w14:textId="77777777" w:rsidR="00E972CC" w:rsidRPr="007348AA" w:rsidRDefault="00966815" w:rsidP="00B417A6">
      <w:pPr>
        <w:jc w:val="center"/>
        <w:rPr>
          <w:noProof/>
        </w:rPr>
      </w:pPr>
      <w:r w:rsidRPr="007348AA">
        <w:rPr>
          <w:noProof/>
        </w:rPr>
        <w:lastRenderedPageBreak/>
        <w:drawing>
          <wp:inline distT="0" distB="0" distL="0" distR="0" wp14:anchorId="1A18E31B" wp14:editId="1A18E31C">
            <wp:extent cx="3749675" cy="2334895"/>
            <wp:effectExtent l="0" t="0" r="3175"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9675" cy="2334895"/>
                    </a:xfrm>
                    <a:prstGeom prst="rect">
                      <a:avLst/>
                    </a:prstGeom>
                    <a:noFill/>
                  </pic:spPr>
                </pic:pic>
              </a:graphicData>
            </a:graphic>
          </wp:inline>
        </w:drawing>
      </w:r>
    </w:p>
    <w:p w14:paraId="1A18DC26" w14:textId="77777777" w:rsidR="00E972CC" w:rsidRPr="007348AA" w:rsidRDefault="00865DA9" w:rsidP="00E972CC">
      <w:pPr>
        <w:rPr>
          <w:i/>
          <w:noProof/>
        </w:rPr>
      </w:pPr>
      <w:r w:rsidRPr="007348AA">
        <w:rPr>
          <w:i/>
        </w:rPr>
        <w:t xml:space="preserve">Grafikon 2.3-5. </w:t>
      </w:r>
      <w:r w:rsidR="00E972CC" w:rsidRPr="007348AA">
        <w:rPr>
          <w:i/>
          <w:noProof/>
        </w:rPr>
        <w:t xml:space="preserve"> Raspodjela perfluor</w:t>
      </w:r>
      <w:r w:rsidR="00603E26" w:rsidRPr="007348AA">
        <w:rPr>
          <w:i/>
          <w:noProof/>
        </w:rPr>
        <w:t>o</w:t>
      </w:r>
      <w:r w:rsidR="00E972CC" w:rsidRPr="007348AA">
        <w:rPr>
          <w:i/>
          <w:noProof/>
        </w:rPr>
        <w:t>oktan</w:t>
      </w:r>
      <w:r w:rsidR="00603E26" w:rsidRPr="007348AA">
        <w:rPr>
          <w:i/>
          <w:noProof/>
        </w:rPr>
        <w:t xml:space="preserve"> </w:t>
      </w:r>
      <w:r w:rsidR="00966815" w:rsidRPr="007348AA">
        <w:rPr>
          <w:i/>
          <w:noProof/>
        </w:rPr>
        <w:t xml:space="preserve">sulfonske kiseline (PFOS) u </w:t>
      </w:r>
      <w:r w:rsidR="00E972CC" w:rsidRPr="007348AA">
        <w:rPr>
          <w:i/>
          <w:noProof/>
        </w:rPr>
        <w:t>ribam</w:t>
      </w:r>
      <w:r w:rsidRPr="007348AA">
        <w:rPr>
          <w:i/>
          <w:noProof/>
        </w:rPr>
        <w:t xml:space="preserve">a </w:t>
      </w:r>
      <w:r w:rsidR="00966815" w:rsidRPr="007348AA">
        <w:rPr>
          <w:i/>
          <w:noProof/>
        </w:rPr>
        <w:t>priobalnih</w:t>
      </w:r>
      <w:r w:rsidRPr="007348AA">
        <w:rPr>
          <w:i/>
          <w:noProof/>
        </w:rPr>
        <w:t xml:space="preserve"> voda 201</w:t>
      </w:r>
      <w:r w:rsidR="00966815" w:rsidRPr="007348AA">
        <w:rPr>
          <w:i/>
          <w:noProof/>
        </w:rPr>
        <w:t>9</w:t>
      </w:r>
      <w:r w:rsidRPr="007348AA">
        <w:rPr>
          <w:i/>
          <w:noProof/>
        </w:rPr>
        <w:t>. godine</w:t>
      </w:r>
    </w:p>
    <w:p w14:paraId="1A18DC28" w14:textId="7D7C737A" w:rsidR="00E972CC" w:rsidRPr="007348AA" w:rsidRDefault="00E972CC" w:rsidP="00E972CC">
      <w:pPr>
        <w:rPr>
          <w:b/>
          <w:noProof/>
          <w:u w:val="single"/>
        </w:rPr>
      </w:pPr>
      <w:r w:rsidRPr="007348AA">
        <w:rPr>
          <w:b/>
          <w:noProof/>
          <w:u w:val="single"/>
        </w:rPr>
        <w:t>SEDIMENT</w:t>
      </w:r>
    </w:p>
    <w:p w14:paraId="1A18DC29" w14:textId="77777777" w:rsidR="007C2708" w:rsidRPr="007348AA" w:rsidRDefault="00966815" w:rsidP="00E972CC">
      <w:pPr>
        <w:rPr>
          <w:rFonts w:eastAsia="Calibri"/>
        </w:rPr>
      </w:pPr>
      <w:r w:rsidRPr="007348AA">
        <w:rPr>
          <w:rFonts w:eastAsia="Calibri"/>
        </w:rPr>
        <w:t xml:space="preserve">Budući za kakvoću sedimenta nisu propisani jedinstveni europski kriteriji, ocjena stanja načinjena je prema kriterijima koje su u Norveškoj predložili Bakke i suradnici (2010). Prema Bakkeu i suradnicima kakvoća sedimenata je razvrstana u pet kategorija pri čemu su prve dvije, što se tiče stanja okoliša, smatrane dobrom i/ili zadovoljavajućom, dok su III, IV i V smatrane nezadovoljavajućom jer se u tom rasponu koncentracija  mogu očekivati toksični učinci.  Kao što se vidi na </w:t>
      </w:r>
      <w:r w:rsidRPr="007348AA">
        <w:rPr>
          <w:i/>
        </w:rPr>
        <w:t>Grafikonu 2.3-6.</w:t>
      </w:r>
      <w:r w:rsidRPr="007348AA">
        <w:rPr>
          <w:rFonts w:eastAsia="Calibri"/>
        </w:rPr>
        <w:t>, raspon koncentracija PBDE u sedimentima bio je &lt;0,02 ng/g do 0,67 ng/g (srednja vrijednost 0,09 ng/g) što je preko 100 puta niže od kriterija (62 ng/g) koji su Bakke i sur. (2010) predložili za onečišćeni sediment. Budući da su koncentracije PBDE u vodi ekstremno niske i vrlo teške za praćenje, podatak o koncentraciji u sedimentu treba promatrati kao pokazatelj za detekciju vrućih točaka na našoj obali te kao indikator mogućeg prijenosa u biotu putem kontakta s kontaminiranim sedimentom. Najviše koncentracije PBDE u sedimentima priobalnih voda tijekom 2019. godine izmjerene su na lokacijama u područjima Splita (O15A), Bakra (O37), i Šibenika (O21A) te u Raškom zaljevu (O43A).</w:t>
      </w:r>
    </w:p>
    <w:p w14:paraId="1A18DC2A" w14:textId="77777777" w:rsidR="00966815" w:rsidRPr="007348AA" w:rsidRDefault="00966815" w:rsidP="00E972CC">
      <w:pPr>
        <w:rPr>
          <w:noProof/>
        </w:rPr>
      </w:pPr>
    </w:p>
    <w:p w14:paraId="1A18DC2B" w14:textId="77777777" w:rsidR="00E972CC" w:rsidRPr="007348AA" w:rsidRDefault="00966815" w:rsidP="007C2708">
      <w:pPr>
        <w:jc w:val="center"/>
        <w:rPr>
          <w:noProof/>
        </w:rPr>
      </w:pPr>
      <w:r w:rsidRPr="007348AA">
        <w:rPr>
          <w:noProof/>
        </w:rPr>
        <w:drawing>
          <wp:inline distT="0" distB="0" distL="0" distR="0" wp14:anchorId="1A18E31D" wp14:editId="1A18E31E">
            <wp:extent cx="3645535" cy="22498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5535" cy="2249805"/>
                    </a:xfrm>
                    <a:prstGeom prst="rect">
                      <a:avLst/>
                    </a:prstGeom>
                    <a:noFill/>
                  </pic:spPr>
                </pic:pic>
              </a:graphicData>
            </a:graphic>
          </wp:inline>
        </w:drawing>
      </w:r>
    </w:p>
    <w:p w14:paraId="1A18DC2C" w14:textId="77777777" w:rsidR="00E972CC" w:rsidRPr="007348AA" w:rsidRDefault="00865DA9" w:rsidP="00E972CC">
      <w:pPr>
        <w:rPr>
          <w:i/>
          <w:noProof/>
        </w:rPr>
      </w:pPr>
      <w:r w:rsidRPr="007348AA">
        <w:rPr>
          <w:i/>
        </w:rPr>
        <w:t xml:space="preserve">Grafikon 2.3-6. </w:t>
      </w:r>
      <w:r w:rsidR="00E972CC" w:rsidRPr="007348AA">
        <w:rPr>
          <w:i/>
          <w:noProof/>
        </w:rPr>
        <w:t>Raspodjela polibr</w:t>
      </w:r>
      <w:r w:rsidR="00966815" w:rsidRPr="007348AA">
        <w:rPr>
          <w:i/>
          <w:noProof/>
        </w:rPr>
        <w:t xml:space="preserve">omiranih difeniletera (PBDE) u </w:t>
      </w:r>
      <w:r w:rsidR="00E972CC" w:rsidRPr="007348AA">
        <w:rPr>
          <w:i/>
          <w:noProof/>
        </w:rPr>
        <w:t xml:space="preserve">sedimentima </w:t>
      </w:r>
      <w:r w:rsidR="00966815" w:rsidRPr="007348AA">
        <w:rPr>
          <w:i/>
          <w:noProof/>
        </w:rPr>
        <w:t>priobalnih</w:t>
      </w:r>
      <w:r w:rsidR="00E972CC" w:rsidRPr="007348AA">
        <w:rPr>
          <w:i/>
          <w:noProof/>
        </w:rPr>
        <w:t xml:space="preserve"> voda 201</w:t>
      </w:r>
      <w:r w:rsidR="00966815" w:rsidRPr="007348AA">
        <w:rPr>
          <w:i/>
          <w:noProof/>
        </w:rPr>
        <w:t>9</w:t>
      </w:r>
      <w:r w:rsidR="00E972CC" w:rsidRPr="007348AA">
        <w:rPr>
          <w:i/>
          <w:noProof/>
        </w:rPr>
        <w:t>. godine</w:t>
      </w:r>
    </w:p>
    <w:p w14:paraId="1A18DC2D" w14:textId="77777777" w:rsidR="007C2708" w:rsidRPr="007348AA" w:rsidRDefault="007C2708" w:rsidP="00E972CC">
      <w:pPr>
        <w:rPr>
          <w:noProof/>
        </w:rPr>
      </w:pPr>
    </w:p>
    <w:p w14:paraId="1A18DC2E" w14:textId="77777777" w:rsidR="00966815" w:rsidRPr="007348AA" w:rsidRDefault="00966815" w:rsidP="00966815">
      <w:pPr>
        <w:spacing w:line="240" w:lineRule="auto"/>
        <w:rPr>
          <w:rFonts w:eastAsia="Calibri"/>
        </w:rPr>
      </w:pPr>
      <w:r w:rsidRPr="007348AA">
        <w:rPr>
          <w:rFonts w:eastAsia="Calibri"/>
        </w:rPr>
        <w:t>Raspon izmjerenih koncentracija HBCDD (</w:t>
      </w:r>
      <w:r w:rsidR="003746DC" w:rsidRPr="007348AA">
        <w:rPr>
          <w:i/>
        </w:rPr>
        <w:t>Grafikon 2.3-7.</w:t>
      </w:r>
      <w:r w:rsidRPr="007348AA">
        <w:rPr>
          <w:rFonts w:eastAsia="Calibri"/>
        </w:rPr>
        <w:t xml:space="preserve">) bio je od &lt;0,1 do 12,2 ng/g (prosječna vrijednost: 0,86 ng/g). Najviša vrijednost izmjerena je na lokaciji O15A u splitskoj luci, a ostala područja koja su pokazala povišene koncentracije su Marinski zaljev (O17A), područje ispred </w:t>
      </w:r>
      <w:r w:rsidRPr="007348AA">
        <w:rPr>
          <w:rFonts w:eastAsia="Calibri"/>
        </w:rPr>
        <w:lastRenderedPageBreak/>
        <w:t>Šibenika (O21) i Zadra (O24) te riječku (O38) i pulsku luku (O45). Međutim, i te povišene razine bile su višestruko niže od graničnog kriterija za onečišćeni sediment prema Bakkeu i sur. (86 ng/g).</w:t>
      </w:r>
    </w:p>
    <w:p w14:paraId="1A18DC2F" w14:textId="77777777" w:rsidR="00E972CC" w:rsidRPr="007348AA" w:rsidRDefault="003746DC" w:rsidP="007C2708">
      <w:pPr>
        <w:jc w:val="center"/>
        <w:rPr>
          <w:noProof/>
        </w:rPr>
      </w:pPr>
      <w:r w:rsidRPr="007348AA">
        <w:rPr>
          <w:noProof/>
        </w:rPr>
        <w:drawing>
          <wp:inline distT="0" distB="0" distL="0" distR="0" wp14:anchorId="1A18E31F" wp14:editId="4C0F9ED9">
            <wp:extent cx="3524250" cy="2134007"/>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9171" cy="2143042"/>
                    </a:xfrm>
                    <a:prstGeom prst="rect">
                      <a:avLst/>
                    </a:prstGeom>
                    <a:noFill/>
                  </pic:spPr>
                </pic:pic>
              </a:graphicData>
            </a:graphic>
          </wp:inline>
        </w:drawing>
      </w:r>
    </w:p>
    <w:p w14:paraId="1A18DC30" w14:textId="77777777" w:rsidR="00E972CC" w:rsidRPr="007348AA" w:rsidRDefault="00865DA9" w:rsidP="00E972CC">
      <w:pPr>
        <w:rPr>
          <w:i/>
          <w:noProof/>
        </w:rPr>
      </w:pPr>
      <w:r w:rsidRPr="007348AA">
        <w:rPr>
          <w:i/>
        </w:rPr>
        <w:t xml:space="preserve">Grafikon 2.3-7. </w:t>
      </w:r>
      <w:r w:rsidR="00E972CC" w:rsidRPr="007348AA">
        <w:rPr>
          <w:noProof/>
        </w:rPr>
        <w:t xml:space="preserve"> </w:t>
      </w:r>
      <w:r w:rsidR="00E972CC" w:rsidRPr="007348AA">
        <w:rPr>
          <w:i/>
          <w:noProof/>
        </w:rPr>
        <w:t>Raspodjela hek</w:t>
      </w:r>
      <w:r w:rsidR="003746DC" w:rsidRPr="007348AA">
        <w:rPr>
          <w:i/>
          <w:noProof/>
        </w:rPr>
        <w:t xml:space="preserve">sabromociklododekana (HBCDD) u </w:t>
      </w:r>
      <w:r w:rsidR="00E972CC" w:rsidRPr="007348AA">
        <w:rPr>
          <w:i/>
          <w:noProof/>
        </w:rPr>
        <w:t xml:space="preserve">sedimentima </w:t>
      </w:r>
      <w:r w:rsidR="003746DC" w:rsidRPr="007348AA">
        <w:rPr>
          <w:i/>
          <w:noProof/>
        </w:rPr>
        <w:t>priobalnih</w:t>
      </w:r>
      <w:r w:rsidR="00E972CC" w:rsidRPr="007348AA">
        <w:rPr>
          <w:i/>
          <w:noProof/>
        </w:rPr>
        <w:t xml:space="preserve"> voda 201</w:t>
      </w:r>
      <w:r w:rsidR="003746DC" w:rsidRPr="007348AA">
        <w:rPr>
          <w:i/>
          <w:noProof/>
        </w:rPr>
        <w:t>9</w:t>
      </w:r>
      <w:r w:rsidR="00E972CC" w:rsidRPr="007348AA">
        <w:rPr>
          <w:i/>
          <w:noProof/>
        </w:rPr>
        <w:t>. godine</w:t>
      </w:r>
    </w:p>
    <w:p w14:paraId="1A18DC31" w14:textId="77777777" w:rsidR="003746DC" w:rsidRPr="007348AA" w:rsidRDefault="003746DC" w:rsidP="00E972CC">
      <w:pPr>
        <w:rPr>
          <w:i/>
          <w:noProof/>
        </w:rPr>
      </w:pPr>
    </w:p>
    <w:p w14:paraId="1A18DC32" w14:textId="77777777" w:rsidR="003746DC" w:rsidRPr="007348AA" w:rsidRDefault="003746DC" w:rsidP="003746DC">
      <w:pPr>
        <w:rPr>
          <w:noProof/>
        </w:rPr>
      </w:pPr>
      <w:r w:rsidRPr="007348AA">
        <w:rPr>
          <w:noProof/>
        </w:rPr>
        <w:t>Klasična lipofilna zagađivala kao što su klorirani insekticidi heksaklorcikloheksan (HCH) i heksaklorbenzen (HCB) te njima srodne prioritetne tvari pentaklorbenzen (PeCB) i heksaklorbutadien (HCBD) bila su široko rasprostranjena u analiziranim priobalnim sedimentima, ali su njihove koncentracije bile relativno niske (</w:t>
      </w:r>
      <w:r w:rsidRPr="007348AA">
        <w:rPr>
          <w:i/>
        </w:rPr>
        <w:t xml:space="preserve">Grafikon 2.3-8. </w:t>
      </w:r>
      <w:r w:rsidRPr="007348AA">
        <w:t>i</w:t>
      </w:r>
      <w:r w:rsidRPr="007348AA">
        <w:rPr>
          <w:i/>
        </w:rPr>
        <w:t xml:space="preserve"> 2.3-9.</w:t>
      </w:r>
      <w:r w:rsidR="00F3095D" w:rsidRPr="007348AA">
        <w:rPr>
          <w:noProof/>
        </w:rPr>
        <w:t>)</w:t>
      </w:r>
      <w:r w:rsidRPr="007348AA">
        <w:rPr>
          <w:noProof/>
        </w:rPr>
        <w:t>. Rasponi koncentracija kloriranih insekticida bili su od 0,06 do 5,85 ng/g za HCH (prosječna vrijednost 0,86 ng/g) i &lt;0,03 do 6,46 ng/g (prosječna vrijednost 0,51 ng/g). Najviša koncentracija HCH zabilježena je na lokaciji ispred Šibenika (O21), dok je za HCB najviša vrijednost izmjerena u Kaštelanskom zaljevu (O16). Za pentaklorbenzen i heksaklorbutadien rasponi koncentracija bili su od &lt;0,02 do 1,41 ng/g za PeCB (prosječna vrijednost 0,13 ng/g) i &lt;0,02 do 0,56 ng/g (prosječna vrijednost 0,08 ng/g) za HCBD, a maksimalne koncentracije zabulježene su u  Kaštelanskom zaljevu (O16 i O16A).</w:t>
      </w:r>
    </w:p>
    <w:p w14:paraId="1A18DC33" w14:textId="77777777" w:rsidR="007C2708" w:rsidRPr="007348AA" w:rsidRDefault="007C2708" w:rsidP="00E972CC">
      <w:pPr>
        <w:rPr>
          <w:noProof/>
        </w:rPr>
      </w:pPr>
    </w:p>
    <w:p w14:paraId="1A18DC34" w14:textId="77777777" w:rsidR="00E972CC" w:rsidRPr="007348AA" w:rsidRDefault="00F3095D" w:rsidP="007C2708">
      <w:pPr>
        <w:jc w:val="center"/>
        <w:rPr>
          <w:noProof/>
        </w:rPr>
      </w:pPr>
      <w:r w:rsidRPr="007348AA">
        <w:rPr>
          <w:noProof/>
        </w:rPr>
        <w:drawing>
          <wp:inline distT="0" distB="0" distL="0" distR="0" wp14:anchorId="1A18E321" wp14:editId="1A18E322">
            <wp:extent cx="4029710" cy="2609215"/>
            <wp:effectExtent l="0" t="0" r="889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710" cy="2609215"/>
                    </a:xfrm>
                    <a:prstGeom prst="rect">
                      <a:avLst/>
                    </a:prstGeom>
                    <a:noFill/>
                  </pic:spPr>
                </pic:pic>
              </a:graphicData>
            </a:graphic>
          </wp:inline>
        </w:drawing>
      </w:r>
    </w:p>
    <w:p w14:paraId="1A18DC35" w14:textId="77777777" w:rsidR="00E972CC" w:rsidRPr="007348AA" w:rsidRDefault="00F3095D" w:rsidP="00E972CC">
      <w:pPr>
        <w:rPr>
          <w:i/>
          <w:noProof/>
        </w:rPr>
      </w:pPr>
      <w:r w:rsidRPr="007348AA">
        <w:rPr>
          <w:i/>
          <w:noProof/>
        </w:rPr>
        <w:t xml:space="preserve">Grafikon 2.3-8. </w:t>
      </w:r>
      <w:r w:rsidR="00E972CC" w:rsidRPr="007348AA">
        <w:rPr>
          <w:i/>
          <w:noProof/>
        </w:rPr>
        <w:t xml:space="preserve">Raspodjela </w:t>
      </w:r>
      <w:r w:rsidRPr="007348AA">
        <w:rPr>
          <w:i/>
          <w:noProof/>
        </w:rPr>
        <w:t xml:space="preserve">heksaklorocikloheksana (HCH) i </w:t>
      </w:r>
      <w:r w:rsidR="00E972CC" w:rsidRPr="007348AA">
        <w:rPr>
          <w:i/>
          <w:noProof/>
        </w:rPr>
        <w:t>heksaklor</w:t>
      </w:r>
      <w:r w:rsidR="00603E26" w:rsidRPr="007348AA">
        <w:rPr>
          <w:i/>
          <w:noProof/>
        </w:rPr>
        <w:t>o</w:t>
      </w:r>
      <w:r w:rsidR="00E972CC" w:rsidRPr="007348AA">
        <w:rPr>
          <w:i/>
          <w:noProof/>
        </w:rPr>
        <w:t xml:space="preserve">benzena (HCB) u  sedimentima </w:t>
      </w:r>
      <w:r w:rsidRPr="007348AA">
        <w:rPr>
          <w:i/>
          <w:noProof/>
        </w:rPr>
        <w:t>priobalnih</w:t>
      </w:r>
      <w:r w:rsidR="00E972CC" w:rsidRPr="007348AA">
        <w:rPr>
          <w:i/>
          <w:noProof/>
        </w:rPr>
        <w:t xml:space="preserve"> voda 201</w:t>
      </w:r>
      <w:r w:rsidRPr="007348AA">
        <w:rPr>
          <w:i/>
          <w:noProof/>
        </w:rPr>
        <w:t>9</w:t>
      </w:r>
      <w:r w:rsidR="00E972CC" w:rsidRPr="007348AA">
        <w:rPr>
          <w:i/>
          <w:noProof/>
        </w:rPr>
        <w:t>. godine</w:t>
      </w:r>
    </w:p>
    <w:p w14:paraId="1A18DC36" w14:textId="77777777" w:rsidR="00E972CC" w:rsidRPr="007348AA" w:rsidRDefault="00F3095D" w:rsidP="007C2708">
      <w:pPr>
        <w:jc w:val="center"/>
        <w:rPr>
          <w:noProof/>
        </w:rPr>
      </w:pPr>
      <w:r w:rsidRPr="007348AA">
        <w:rPr>
          <w:noProof/>
        </w:rPr>
        <w:lastRenderedPageBreak/>
        <w:drawing>
          <wp:inline distT="0" distB="0" distL="0" distR="0" wp14:anchorId="1A18E323" wp14:editId="1A18E324">
            <wp:extent cx="3792220" cy="2512060"/>
            <wp:effectExtent l="0" t="0" r="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220" cy="2512060"/>
                    </a:xfrm>
                    <a:prstGeom prst="rect">
                      <a:avLst/>
                    </a:prstGeom>
                    <a:noFill/>
                  </pic:spPr>
                </pic:pic>
              </a:graphicData>
            </a:graphic>
          </wp:inline>
        </w:drawing>
      </w:r>
    </w:p>
    <w:p w14:paraId="1A18DC37" w14:textId="77777777" w:rsidR="00F3095D" w:rsidRPr="007348AA" w:rsidRDefault="00865DA9" w:rsidP="00F3095D">
      <w:pPr>
        <w:rPr>
          <w:i/>
          <w:noProof/>
        </w:rPr>
      </w:pPr>
      <w:r w:rsidRPr="007348AA">
        <w:rPr>
          <w:i/>
          <w:noProof/>
        </w:rPr>
        <w:t>Grafikon</w:t>
      </w:r>
      <w:r w:rsidR="00E972CC" w:rsidRPr="007348AA">
        <w:rPr>
          <w:i/>
          <w:noProof/>
        </w:rPr>
        <w:t xml:space="preserve"> </w:t>
      </w:r>
      <w:r w:rsidRPr="007348AA">
        <w:rPr>
          <w:i/>
          <w:noProof/>
        </w:rPr>
        <w:t>2.3-9</w:t>
      </w:r>
      <w:r w:rsidR="00E972CC" w:rsidRPr="007348AA">
        <w:rPr>
          <w:i/>
          <w:noProof/>
        </w:rPr>
        <w:t xml:space="preserve">. </w:t>
      </w:r>
      <w:r w:rsidR="00F3095D" w:rsidRPr="007348AA">
        <w:rPr>
          <w:i/>
          <w:noProof/>
        </w:rPr>
        <w:t>Raspodjela pentaklorbenzena (PeCB) i heksaklorbutadiena (HCBD) u sedimentima priobalnih voda 2019. godine.</w:t>
      </w:r>
    </w:p>
    <w:p w14:paraId="1A18DC38" w14:textId="77777777" w:rsidR="007C2708" w:rsidRPr="007348AA" w:rsidRDefault="007C2708" w:rsidP="00E972CC">
      <w:pPr>
        <w:rPr>
          <w:noProof/>
        </w:rPr>
      </w:pPr>
    </w:p>
    <w:p w14:paraId="1A18DC39" w14:textId="77777777" w:rsidR="007C2708" w:rsidRPr="007348AA" w:rsidRDefault="00F3095D" w:rsidP="00E972CC">
      <w:pPr>
        <w:rPr>
          <w:noProof/>
        </w:rPr>
      </w:pPr>
      <w:r w:rsidRPr="007348AA">
        <w:rPr>
          <w:noProof/>
        </w:rPr>
        <w:t>Dioksini i njima srodni spojevi prisutni su u sedimentima priobalnih voda u relativno niskim koncentracijama (</w:t>
      </w:r>
      <w:r w:rsidRPr="007348AA">
        <w:rPr>
          <w:i/>
          <w:noProof/>
        </w:rPr>
        <w:t>Grafikon 2.3-10.</w:t>
      </w:r>
      <w:r w:rsidRPr="007348AA">
        <w:rPr>
          <w:noProof/>
        </w:rPr>
        <w:t>), koje su višestruko niže od kriterija za značajno onečišćeni sediment prema Bakkeu i sur. (0,03 ng/g TEQ za dioksinske spojeve). To upućuje na zaključak da u našim priobalnom području nema nekog jačeg specifičnog izvora dioksinskih spojeva.</w:t>
      </w:r>
    </w:p>
    <w:p w14:paraId="1A18DC3A" w14:textId="77777777" w:rsidR="00E972CC" w:rsidRPr="007348AA" w:rsidRDefault="00244774" w:rsidP="007C2708">
      <w:pPr>
        <w:jc w:val="center"/>
        <w:rPr>
          <w:noProof/>
        </w:rPr>
      </w:pPr>
      <w:r w:rsidRPr="007348AA">
        <w:rPr>
          <w:noProof/>
        </w:rPr>
        <w:drawing>
          <wp:inline distT="0" distB="0" distL="0" distR="0" wp14:anchorId="1A18E325" wp14:editId="1A18E326">
            <wp:extent cx="3663950" cy="2188845"/>
            <wp:effectExtent l="0" t="0" r="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3950" cy="2188845"/>
                    </a:xfrm>
                    <a:prstGeom prst="rect">
                      <a:avLst/>
                    </a:prstGeom>
                    <a:noFill/>
                  </pic:spPr>
                </pic:pic>
              </a:graphicData>
            </a:graphic>
          </wp:inline>
        </w:drawing>
      </w:r>
    </w:p>
    <w:p w14:paraId="1A18DC3B" w14:textId="77777777" w:rsidR="008A25F6" w:rsidRPr="007348AA" w:rsidRDefault="00865DA9" w:rsidP="00E972CC">
      <w:pPr>
        <w:rPr>
          <w:noProof/>
        </w:rPr>
      </w:pPr>
      <w:r w:rsidRPr="007348AA">
        <w:rPr>
          <w:i/>
          <w:noProof/>
        </w:rPr>
        <w:t xml:space="preserve">Grafikon 2.3-10. </w:t>
      </w:r>
      <w:r w:rsidR="00244774" w:rsidRPr="007348AA">
        <w:rPr>
          <w:i/>
          <w:noProof/>
        </w:rPr>
        <w:t>Raspodjela dioksina i njima srodnih spojeva u sedimentima priobalnih voda 2019. godine.</w:t>
      </w:r>
    </w:p>
    <w:p w14:paraId="1A18DC3C" w14:textId="77777777" w:rsidR="00244774" w:rsidRPr="007348AA" w:rsidRDefault="00244774" w:rsidP="00E972CC">
      <w:pPr>
        <w:rPr>
          <w:noProof/>
        </w:rPr>
      </w:pPr>
    </w:p>
    <w:p w14:paraId="1A18DC3D" w14:textId="77777777" w:rsidR="00244774" w:rsidRPr="007348AA" w:rsidRDefault="00244774" w:rsidP="00244774">
      <w:pPr>
        <w:rPr>
          <w:noProof/>
        </w:rPr>
      </w:pPr>
      <w:r w:rsidRPr="007348AA">
        <w:rPr>
          <w:noProof/>
        </w:rPr>
        <w:t>Osim kloriranih insekticida i dioksinskih spojeva, u sedimentima priobalnih voda izmjerene su i značajne koncentracije dugolančastih kloralkana (C10-13) (</w:t>
      </w:r>
      <w:r w:rsidRPr="007348AA">
        <w:rPr>
          <w:i/>
          <w:noProof/>
        </w:rPr>
        <w:t>Grafikon 2.3-11.</w:t>
      </w:r>
      <w:r w:rsidRPr="007348AA">
        <w:rPr>
          <w:noProof/>
        </w:rPr>
        <w:t xml:space="preserve">). Zabilježene su koncentracije u širokom rasponu od 3,5 do 176 ng/g uz prosječnu vrijednost od 28,7 ng/g. Najviše razine izmjerene su u riječkoj (O38) i pulskoj (O45) luci. Prema kanadskim kriterijima (Environment Canada, 2016), izmjerene su koncentracije preko 1000 puta niže od kritičnih. </w:t>
      </w:r>
    </w:p>
    <w:p w14:paraId="1A18DC3E" w14:textId="77777777" w:rsidR="00244774" w:rsidRPr="007348AA" w:rsidRDefault="00244774" w:rsidP="00244774">
      <w:pPr>
        <w:rPr>
          <w:noProof/>
        </w:rPr>
      </w:pPr>
    </w:p>
    <w:p w14:paraId="1A18DC3F" w14:textId="77777777" w:rsidR="00244774" w:rsidRPr="007348AA" w:rsidRDefault="00244774" w:rsidP="00244774">
      <w:pPr>
        <w:rPr>
          <w:noProof/>
        </w:rPr>
      </w:pPr>
      <w:r w:rsidRPr="007348AA">
        <w:rPr>
          <w:noProof/>
        </w:rPr>
        <w:t>U sedimentima priobanih voda praćene su i dvije skupine polarnijih tvari industrijskog porijekla: perfluoroktansulfonske kiseline (PFOS) i njezini derivati te dietilheksilftalat (DEHP). Koncentracija PFOS u sedimentima priobalnih voda 2019. bila je dosta niska i kretala se se u rasponu od &lt;0,1 do 0,5 ng/g (prosječna koncentracija: 0,02 ng/g). Izmjeren razine PFOS su preko 100 puta niže od kriterija za značajno onečišćeni sediment  (220 ng/g) prema Bakkeu i sur. (2010).</w:t>
      </w:r>
    </w:p>
    <w:p w14:paraId="1A18DC40" w14:textId="77777777" w:rsidR="00244774" w:rsidRPr="007348AA" w:rsidRDefault="00244774" w:rsidP="00244774">
      <w:pPr>
        <w:rPr>
          <w:noProof/>
        </w:rPr>
      </w:pPr>
    </w:p>
    <w:p w14:paraId="1A18DC41" w14:textId="77777777" w:rsidR="007C2708" w:rsidRPr="007348AA" w:rsidRDefault="007C2708" w:rsidP="00E972CC">
      <w:pPr>
        <w:rPr>
          <w:noProof/>
        </w:rPr>
      </w:pPr>
    </w:p>
    <w:p w14:paraId="1A18DC42" w14:textId="77777777" w:rsidR="00E972CC" w:rsidRPr="007348AA" w:rsidRDefault="00244774" w:rsidP="007C2708">
      <w:pPr>
        <w:jc w:val="center"/>
        <w:rPr>
          <w:noProof/>
        </w:rPr>
      </w:pPr>
      <w:r w:rsidRPr="007348AA">
        <w:rPr>
          <w:noProof/>
        </w:rPr>
        <w:lastRenderedPageBreak/>
        <w:drawing>
          <wp:inline distT="0" distB="0" distL="0" distR="0" wp14:anchorId="1A18E327" wp14:editId="1A18E328">
            <wp:extent cx="3816350" cy="2182495"/>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182495"/>
                    </a:xfrm>
                    <a:prstGeom prst="rect">
                      <a:avLst/>
                    </a:prstGeom>
                    <a:noFill/>
                  </pic:spPr>
                </pic:pic>
              </a:graphicData>
            </a:graphic>
          </wp:inline>
        </w:drawing>
      </w:r>
    </w:p>
    <w:p w14:paraId="1A18DC43" w14:textId="77777777" w:rsidR="00244774" w:rsidRPr="007348AA" w:rsidRDefault="00865DA9" w:rsidP="00244774">
      <w:pPr>
        <w:rPr>
          <w:i/>
          <w:noProof/>
        </w:rPr>
      </w:pPr>
      <w:r w:rsidRPr="007348AA">
        <w:rPr>
          <w:i/>
          <w:noProof/>
        </w:rPr>
        <w:t xml:space="preserve">Grafikon 2.3-11. </w:t>
      </w:r>
      <w:r w:rsidR="00244774" w:rsidRPr="007348AA">
        <w:rPr>
          <w:i/>
          <w:noProof/>
        </w:rPr>
        <w:t>Raspodjela dugolančastih kloralkana (C10-C13) u sedimentima priobalnih voda 2019. godine</w:t>
      </w:r>
    </w:p>
    <w:p w14:paraId="1A18DC44" w14:textId="77777777" w:rsidR="00244774" w:rsidRPr="007348AA" w:rsidRDefault="00244774" w:rsidP="00244774">
      <w:pPr>
        <w:rPr>
          <w:i/>
          <w:noProof/>
        </w:rPr>
      </w:pPr>
    </w:p>
    <w:p w14:paraId="1A18DC45" w14:textId="77777777" w:rsidR="00244774" w:rsidRPr="007348AA" w:rsidRDefault="00244774" w:rsidP="00244774">
      <w:pPr>
        <w:rPr>
          <w:i/>
          <w:noProof/>
        </w:rPr>
      </w:pPr>
    </w:p>
    <w:p w14:paraId="1A18DC46" w14:textId="77777777" w:rsidR="00244774" w:rsidRPr="007348AA" w:rsidRDefault="00244774" w:rsidP="00244774">
      <w:pPr>
        <w:rPr>
          <w:i/>
          <w:noProof/>
        </w:rPr>
      </w:pPr>
      <w:r w:rsidRPr="007348AA">
        <w:rPr>
          <w:i/>
          <w:noProof/>
        </w:rPr>
        <w:t>POPs-ovi u bioti i sedimentu prijelaznih voda u 2020. godini</w:t>
      </w:r>
    </w:p>
    <w:p w14:paraId="1A18DC47" w14:textId="77777777" w:rsidR="00244774" w:rsidRPr="007348AA" w:rsidRDefault="00244774" w:rsidP="00244774">
      <w:pPr>
        <w:rPr>
          <w:rFonts w:eastAsia="Calibri"/>
          <w:b/>
        </w:rPr>
      </w:pPr>
    </w:p>
    <w:p w14:paraId="1A18DC48" w14:textId="77777777" w:rsidR="00244774" w:rsidRPr="007348AA" w:rsidRDefault="00244774" w:rsidP="00244774">
      <w:pPr>
        <w:rPr>
          <w:rFonts w:eastAsia="Calibri"/>
          <w:b/>
          <w:u w:val="single"/>
        </w:rPr>
      </w:pPr>
      <w:r w:rsidRPr="007348AA">
        <w:rPr>
          <w:rFonts w:eastAsia="Calibri"/>
          <w:b/>
          <w:u w:val="single"/>
        </w:rPr>
        <w:t>BIOTA</w:t>
      </w:r>
    </w:p>
    <w:p w14:paraId="1A18DC49" w14:textId="77777777" w:rsidR="00244774" w:rsidRPr="007348AA" w:rsidRDefault="00244774" w:rsidP="00244774">
      <w:pPr>
        <w:rPr>
          <w:rFonts w:eastAsia="Calibri"/>
        </w:rPr>
      </w:pPr>
      <w:r w:rsidRPr="007348AA">
        <w:rPr>
          <w:rFonts w:eastAsia="Calibri"/>
        </w:rPr>
        <w:t>Najkritičniji pokazatelj sa stajališta zadovoljavanja kriterija u uzorcima biote predstavlja koncentracija polibromiranih difeniletera (PBDE) u mišiću riba. Zbog izrazito strogog kriterija SKVO od 0,0085 ng/g za sumu reprezentativnih 6 kongenera PBDE-ova niti jedan uzorak nije zadovoljio taj kriterij (</w:t>
      </w:r>
      <w:r w:rsidRPr="007348AA">
        <w:rPr>
          <w:i/>
          <w:noProof/>
        </w:rPr>
        <w:t>Grafikon 2.3-12.</w:t>
      </w:r>
      <w:r w:rsidRPr="007348AA">
        <w:rPr>
          <w:rFonts w:eastAsia="Calibri"/>
        </w:rPr>
        <w:t xml:space="preserve">). Raspon koncentracija kretao se od 0,079 do 0,838 ng/g pa prosječna koncentracija od 0,26 ng/g višestruko premašuje propisani kriterij. Vrlo slična situacija nađena je i u nekim drugim područjima Europe. S ovim problemom očito će se suočiti gotovo sve članice EU-a te su potrebni sustavni dogovori oko implementacije kriterija i, dakako, dodatnih mjera za smanjenje utjecaja PBDE-ova na okoliš. Kao i tijekom prethodnih monitoringa prijelaznih voda u 2016. i 2018. godini, i u 2020. godini najjače žarište unosa PBDE-ova zabilježeno je u estuariju Omble (FP-P1 0,84 ng/g; FP-P2 0,36 ng/g). </w:t>
      </w:r>
    </w:p>
    <w:p w14:paraId="1A18DC4A" w14:textId="77777777" w:rsidR="00244774" w:rsidRPr="007348AA" w:rsidRDefault="00244774" w:rsidP="00244774">
      <w:pPr>
        <w:rPr>
          <w:rFonts w:eastAsia="Calibri"/>
        </w:rPr>
      </w:pPr>
    </w:p>
    <w:p w14:paraId="1A18DC4B" w14:textId="77777777" w:rsidR="00244774" w:rsidRPr="007348AA" w:rsidRDefault="00244774" w:rsidP="00244774">
      <w:pPr>
        <w:jc w:val="center"/>
        <w:rPr>
          <w:rFonts w:eastAsia="Calibri"/>
        </w:rPr>
      </w:pPr>
      <w:r w:rsidRPr="007348AA">
        <w:rPr>
          <w:rFonts w:eastAsia="Calibri"/>
          <w:noProof/>
        </w:rPr>
        <w:drawing>
          <wp:inline distT="0" distB="0" distL="0" distR="0" wp14:anchorId="1A18E329" wp14:editId="1A18E32A">
            <wp:extent cx="3928533" cy="2399607"/>
            <wp:effectExtent l="0" t="0" r="0" b="1270"/>
            <wp:docPr id="18"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482" cy="2408738"/>
                    </a:xfrm>
                    <a:prstGeom prst="rect">
                      <a:avLst/>
                    </a:prstGeom>
                    <a:noFill/>
                  </pic:spPr>
                </pic:pic>
              </a:graphicData>
            </a:graphic>
          </wp:inline>
        </w:drawing>
      </w:r>
    </w:p>
    <w:p w14:paraId="1A18DC4C" w14:textId="77777777" w:rsidR="00244774" w:rsidRPr="007348AA" w:rsidRDefault="00244774" w:rsidP="00244774">
      <w:pPr>
        <w:rPr>
          <w:rFonts w:eastAsia="Calibri"/>
          <w:i/>
        </w:rPr>
      </w:pPr>
      <w:r w:rsidRPr="007348AA">
        <w:rPr>
          <w:i/>
          <w:noProof/>
        </w:rPr>
        <w:t xml:space="preserve">Grafikon 2.3-12. </w:t>
      </w:r>
      <w:r w:rsidRPr="007348AA">
        <w:rPr>
          <w:rFonts w:eastAsia="Calibri"/>
          <w:i/>
        </w:rPr>
        <w:t>Raspodjela polibromiranih difeniletera (PBDE) u ribama prijelaznih voda 2020. godine</w:t>
      </w:r>
    </w:p>
    <w:p w14:paraId="1A18DC4D" w14:textId="77777777" w:rsidR="00244774" w:rsidRPr="007348AA" w:rsidRDefault="00244774" w:rsidP="00244774">
      <w:pPr>
        <w:rPr>
          <w:rFonts w:eastAsia="Calibri"/>
        </w:rPr>
      </w:pPr>
    </w:p>
    <w:p w14:paraId="1A18DC4E" w14:textId="77777777" w:rsidR="00244774" w:rsidRPr="007348AA" w:rsidRDefault="00244774" w:rsidP="00244774">
      <w:pPr>
        <w:rPr>
          <w:rFonts w:eastAsia="Calibri"/>
        </w:rPr>
      </w:pPr>
      <w:r w:rsidRPr="007348AA">
        <w:rPr>
          <w:rFonts w:eastAsia="Calibri"/>
        </w:rPr>
        <w:t xml:space="preserve">Drugi tip bromiranih usporivača gorenja je obuhvaćen monitoringom biote, heksabromociklododekan (HBCDD), pri čemu se analizira cijela riba, izmjeren je u vrijednostima koje su u 2020. na svim lokacijama osim jedne bile ispod razine detekcije (&lt; 0,2 ng/g), dok je mjerljiva koncentracija od 0,4 </w:t>
      </w:r>
      <w:r w:rsidRPr="007348AA">
        <w:rPr>
          <w:rFonts w:eastAsia="Calibri"/>
        </w:rPr>
        <w:lastRenderedPageBreak/>
        <w:t xml:space="preserve">ng/g pronađena samo u bioti rijeke Zrmanje (FP-P16). SKVO za HBCDD-ove u ribama je dosta visok (167 ng/g) pa su izmjerene vrijednosti barem sto puta manje od propisanog kriterija. Niske koncentracije HBCDD-ova izmjerene u bioti u 2020. godini slične su onima zabilježenim tijekom 2016. i 2018.. </w:t>
      </w:r>
    </w:p>
    <w:p w14:paraId="1A18DC4F" w14:textId="77777777" w:rsidR="00244774" w:rsidRPr="007348AA" w:rsidRDefault="00244774" w:rsidP="00244774">
      <w:pPr>
        <w:rPr>
          <w:rFonts w:eastAsia="Calibri"/>
        </w:rPr>
      </w:pPr>
    </w:p>
    <w:p w14:paraId="1A18DC50" w14:textId="77777777" w:rsidR="00244774" w:rsidRPr="007348AA" w:rsidRDefault="00244774" w:rsidP="00244774">
      <w:pPr>
        <w:rPr>
          <w:rFonts w:eastAsia="Calibri"/>
        </w:rPr>
      </w:pPr>
      <w:r w:rsidRPr="007348AA">
        <w:rPr>
          <w:rFonts w:eastAsia="Calibri"/>
        </w:rPr>
        <w:t>Koncentracije heptaklora i heptaklorepoksida bile su u svim uzorcima niže od granice određivanja (0,05 ng/g) te ne ukazuju na neko značajnije onečišćenje tim sastojcima. Međutim, treba naglasiti da je SKVO za heptaklor i heptaklorepoksid vrlo rigorozan (0,0067 ng/g) te se dostupnom metodom ne može utvrditi ispunjavanje kriterija SKVO. Za vrlo sličan klorirani insekticid heksaklorbenzen kriterij je mnogo blaži (SKVO 10 ng/g) i sve izmjerene vrijednosti (raspon &lt;0,02 do 0,13 ng/g) znatno su niže od propisanih, a njihova prostorna varijabilnost ukazuje na postojanje pojačanog unosa pesticida u ušća rijeke Neretve i Mirne (</w:t>
      </w:r>
      <w:r w:rsidR="00210987" w:rsidRPr="007348AA">
        <w:rPr>
          <w:i/>
          <w:noProof/>
        </w:rPr>
        <w:t>Grafikon 2.3-13.</w:t>
      </w:r>
      <w:r w:rsidRPr="007348AA">
        <w:rPr>
          <w:rFonts w:eastAsia="Calibri"/>
        </w:rPr>
        <w:t xml:space="preserve">). Koncentracije za klorirani POPS heksaklorbutadien bile su uglavnom ispod ili na samoj granici detekcije (0,02 ng/g) i time višestruko ispod kriterija SKVO 0,6 ng/g. </w:t>
      </w:r>
    </w:p>
    <w:p w14:paraId="1A18DC51" w14:textId="77777777" w:rsidR="00244774" w:rsidRPr="007348AA" w:rsidRDefault="00244774" w:rsidP="00244774">
      <w:pPr>
        <w:rPr>
          <w:rFonts w:eastAsia="Calibri"/>
        </w:rPr>
      </w:pPr>
    </w:p>
    <w:p w14:paraId="1A18DC52" w14:textId="77777777" w:rsidR="00244774" w:rsidRPr="007348AA" w:rsidRDefault="00244774" w:rsidP="00210987">
      <w:pPr>
        <w:jc w:val="center"/>
        <w:rPr>
          <w:rFonts w:eastAsia="Calibri"/>
        </w:rPr>
      </w:pPr>
      <w:r w:rsidRPr="007348AA">
        <w:rPr>
          <w:rFonts w:eastAsia="Calibri"/>
          <w:noProof/>
        </w:rPr>
        <w:drawing>
          <wp:inline distT="0" distB="0" distL="0" distR="0" wp14:anchorId="1A18E32B" wp14:editId="1A18E32C">
            <wp:extent cx="3691466" cy="2282799"/>
            <wp:effectExtent l="0" t="0" r="4445" b="381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5213" cy="2291300"/>
                    </a:xfrm>
                    <a:prstGeom prst="rect">
                      <a:avLst/>
                    </a:prstGeom>
                    <a:noFill/>
                  </pic:spPr>
                </pic:pic>
              </a:graphicData>
            </a:graphic>
          </wp:inline>
        </w:drawing>
      </w:r>
    </w:p>
    <w:p w14:paraId="1A18DC53" w14:textId="77777777" w:rsidR="00244774" w:rsidRPr="007348AA" w:rsidRDefault="00210987" w:rsidP="00244774">
      <w:pPr>
        <w:rPr>
          <w:rFonts w:eastAsia="Calibri"/>
          <w:i/>
        </w:rPr>
      </w:pPr>
      <w:r w:rsidRPr="007348AA">
        <w:rPr>
          <w:i/>
          <w:noProof/>
        </w:rPr>
        <w:t xml:space="preserve">Grafikon 2.3-13. </w:t>
      </w:r>
      <w:r w:rsidR="00244774" w:rsidRPr="007348AA">
        <w:rPr>
          <w:rFonts w:eastAsia="Calibri"/>
          <w:i/>
        </w:rPr>
        <w:t>Raspodjela heksaklorbenzena u ribama prijelaznih voda 2020. godine</w:t>
      </w:r>
    </w:p>
    <w:p w14:paraId="1A18DC54" w14:textId="77777777" w:rsidR="00244774" w:rsidRPr="007348AA" w:rsidRDefault="00244774" w:rsidP="00244774">
      <w:pPr>
        <w:rPr>
          <w:rFonts w:eastAsia="Calibri"/>
        </w:rPr>
      </w:pPr>
    </w:p>
    <w:p w14:paraId="1A18DC55" w14:textId="77777777" w:rsidR="00244774" w:rsidRPr="007348AA" w:rsidRDefault="00244774" w:rsidP="00244774">
      <w:pPr>
        <w:rPr>
          <w:rFonts w:eastAsia="Calibri"/>
        </w:rPr>
      </w:pPr>
      <w:r w:rsidRPr="007348AA">
        <w:rPr>
          <w:rFonts w:eastAsia="Calibri"/>
        </w:rPr>
        <w:t>Razina dioksina i njima srodnih spojeva kretale su se u rasponu od 0,00013 do 0,0027 ng/g TEQ te su u svim uzorcima bile niže od propisanog SKVO (0,0065 ng/g TEQ). Najviše razine zabilježene su u estuarijima Omble (FP-P1; 0,0027 ng/g TEQ), Krke (FP-P11; 0,0024 ng/g TEQ) i Mirne (FP-P22; 0,0023 ng/g TEQ) (</w:t>
      </w:r>
      <w:r w:rsidR="00210987" w:rsidRPr="007348AA">
        <w:rPr>
          <w:i/>
          <w:noProof/>
        </w:rPr>
        <w:t>Grafikon 2.3-14.</w:t>
      </w:r>
      <w:r w:rsidRPr="007348AA">
        <w:rPr>
          <w:rFonts w:eastAsia="Calibri"/>
        </w:rPr>
        <w:t>).</w:t>
      </w:r>
    </w:p>
    <w:p w14:paraId="1A18DC56" w14:textId="77777777" w:rsidR="00244774" w:rsidRPr="007348AA" w:rsidRDefault="00244774" w:rsidP="00244774">
      <w:pPr>
        <w:rPr>
          <w:rFonts w:eastAsia="Calibri"/>
        </w:rPr>
      </w:pPr>
    </w:p>
    <w:p w14:paraId="1A18DC57" w14:textId="77777777" w:rsidR="00244774" w:rsidRPr="007348AA" w:rsidRDefault="00244774" w:rsidP="00210987">
      <w:pPr>
        <w:jc w:val="center"/>
        <w:rPr>
          <w:rFonts w:eastAsia="Calibri"/>
        </w:rPr>
      </w:pPr>
      <w:r w:rsidRPr="007348AA">
        <w:rPr>
          <w:rFonts w:eastAsia="Calibri"/>
          <w:noProof/>
        </w:rPr>
        <w:drawing>
          <wp:inline distT="0" distB="0" distL="0" distR="0" wp14:anchorId="1A18E32D" wp14:editId="1A18E32E">
            <wp:extent cx="3703420" cy="2292773"/>
            <wp:effectExtent l="0" t="0" r="0" b="0"/>
            <wp:docPr id="19"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3949" cy="2299291"/>
                    </a:xfrm>
                    <a:prstGeom prst="rect">
                      <a:avLst/>
                    </a:prstGeom>
                    <a:noFill/>
                  </pic:spPr>
                </pic:pic>
              </a:graphicData>
            </a:graphic>
          </wp:inline>
        </w:drawing>
      </w:r>
    </w:p>
    <w:p w14:paraId="1A18DC58" w14:textId="77777777" w:rsidR="00244774" w:rsidRPr="007348AA" w:rsidRDefault="00210987" w:rsidP="00244774">
      <w:pPr>
        <w:rPr>
          <w:rFonts w:eastAsia="Calibri"/>
          <w:i/>
        </w:rPr>
      </w:pPr>
      <w:r w:rsidRPr="007348AA">
        <w:rPr>
          <w:rFonts w:eastAsia="Calibri"/>
          <w:i/>
        </w:rPr>
        <w:t xml:space="preserve">Grafikon 2.3-14. </w:t>
      </w:r>
      <w:r w:rsidR="00244774" w:rsidRPr="007348AA">
        <w:rPr>
          <w:rFonts w:eastAsia="Calibri"/>
          <w:i/>
        </w:rPr>
        <w:t>Raspodjela dioksina i njima srodnih spojeva u ribama prijelaznih voda 2020. godine</w:t>
      </w:r>
    </w:p>
    <w:p w14:paraId="1A18DC59" w14:textId="77777777" w:rsidR="00244774" w:rsidRPr="007348AA" w:rsidRDefault="00244774" w:rsidP="00244774">
      <w:pPr>
        <w:rPr>
          <w:rFonts w:eastAsia="Calibri"/>
          <w:i/>
        </w:rPr>
      </w:pPr>
    </w:p>
    <w:p w14:paraId="1A18DC5A" w14:textId="77777777" w:rsidR="00244774" w:rsidRPr="007348AA" w:rsidRDefault="00244774" w:rsidP="00244774">
      <w:pPr>
        <w:rPr>
          <w:rFonts w:eastAsia="Calibri"/>
        </w:rPr>
      </w:pPr>
      <w:r w:rsidRPr="007348AA">
        <w:rPr>
          <w:rFonts w:eastAsia="Calibri"/>
        </w:rPr>
        <w:lastRenderedPageBreak/>
        <w:t>Koncentracija PFOS u ribama kretala se u rasponu od &lt;0,1 do 1,2 ng/g, što je dosta niže od propisanog kriterija SKVO (9,1 ng/g) (</w:t>
      </w:r>
      <w:r w:rsidR="00210987" w:rsidRPr="007348AA">
        <w:rPr>
          <w:rFonts w:eastAsia="Calibri"/>
          <w:i/>
        </w:rPr>
        <w:t>Grafikon 2.3-15</w:t>
      </w:r>
      <w:r w:rsidR="00210987" w:rsidRPr="007348AA">
        <w:rPr>
          <w:rFonts w:eastAsia="Calibri"/>
        </w:rPr>
        <w:t>.</w:t>
      </w:r>
      <w:r w:rsidRPr="007348AA">
        <w:rPr>
          <w:rFonts w:eastAsia="Calibri"/>
        </w:rPr>
        <w:t>). Sadašnja razina onečišćenja u bioti samo na lokaciji rijeke Krke (FP-P13) premašuje 10 % propisanih vrijednosti te se čini da ne postoji neposredna opasnost od njihovog prekoračenja.</w:t>
      </w:r>
    </w:p>
    <w:p w14:paraId="1A18DC5B" w14:textId="77777777" w:rsidR="00244774" w:rsidRPr="007348AA" w:rsidRDefault="00244774" w:rsidP="00244774">
      <w:pPr>
        <w:rPr>
          <w:rFonts w:eastAsia="Calibri"/>
        </w:rPr>
      </w:pPr>
    </w:p>
    <w:p w14:paraId="1A18DC5C" w14:textId="77777777" w:rsidR="00244774" w:rsidRPr="007348AA" w:rsidRDefault="00244774" w:rsidP="00210987">
      <w:pPr>
        <w:jc w:val="center"/>
        <w:rPr>
          <w:rFonts w:eastAsia="Calibri"/>
        </w:rPr>
      </w:pPr>
      <w:r w:rsidRPr="007348AA">
        <w:rPr>
          <w:rFonts w:eastAsia="Calibri"/>
          <w:noProof/>
        </w:rPr>
        <w:drawing>
          <wp:inline distT="0" distB="0" distL="0" distR="0" wp14:anchorId="1A18E32F" wp14:editId="1A18E330">
            <wp:extent cx="3665268" cy="2270311"/>
            <wp:effectExtent l="0" t="0" r="0" b="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9728" cy="2279268"/>
                    </a:xfrm>
                    <a:prstGeom prst="rect">
                      <a:avLst/>
                    </a:prstGeom>
                    <a:noFill/>
                  </pic:spPr>
                </pic:pic>
              </a:graphicData>
            </a:graphic>
          </wp:inline>
        </w:drawing>
      </w:r>
    </w:p>
    <w:p w14:paraId="1A18DC5D" w14:textId="77777777" w:rsidR="00244774" w:rsidRPr="007348AA" w:rsidRDefault="00210987" w:rsidP="00244774">
      <w:pPr>
        <w:rPr>
          <w:rFonts w:eastAsia="Calibri"/>
        </w:rPr>
      </w:pPr>
      <w:r w:rsidRPr="007348AA">
        <w:rPr>
          <w:rFonts w:eastAsia="Calibri"/>
          <w:i/>
        </w:rPr>
        <w:t>Grafikon 2.3-15</w:t>
      </w:r>
      <w:r w:rsidRPr="007348AA">
        <w:rPr>
          <w:rFonts w:eastAsia="Calibri"/>
        </w:rPr>
        <w:t xml:space="preserve">. </w:t>
      </w:r>
      <w:r w:rsidR="00244774" w:rsidRPr="007348AA">
        <w:rPr>
          <w:rFonts w:eastAsia="Calibri"/>
        </w:rPr>
        <w:t>Raspodjela perfluoroktansulfonske kiseline (PFOS) u ribama prijelaznih voda 2020. godine</w:t>
      </w:r>
    </w:p>
    <w:p w14:paraId="1A18DC5E" w14:textId="77777777" w:rsidR="00244774" w:rsidRPr="007348AA" w:rsidRDefault="00244774" w:rsidP="00244774">
      <w:pPr>
        <w:rPr>
          <w:rFonts w:eastAsia="Calibri"/>
        </w:rPr>
      </w:pPr>
    </w:p>
    <w:p w14:paraId="1A18DC5F" w14:textId="77777777" w:rsidR="00244774" w:rsidRPr="007348AA" w:rsidRDefault="00244774" w:rsidP="00244774">
      <w:pPr>
        <w:rPr>
          <w:rFonts w:eastAsia="Calibri"/>
          <w:b/>
          <w:u w:val="single"/>
        </w:rPr>
      </w:pPr>
      <w:r w:rsidRPr="007348AA">
        <w:rPr>
          <w:rFonts w:eastAsia="Calibri"/>
          <w:b/>
          <w:u w:val="single"/>
        </w:rPr>
        <w:t>SEDIMENT</w:t>
      </w:r>
    </w:p>
    <w:p w14:paraId="1A18DC60" w14:textId="77777777" w:rsidR="00244774" w:rsidRPr="007348AA" w:rsidRDefault="00244774" w:rsidP="00244774">
      <w:pPr>
        <w:rPr>
          <w:rFonts w:eastAsia="Calibri"/>
        </w:rPr>
      </w:pPr>
      <w:r w:rsidRPr="007348AA">
        <w:rPr>
          <w:rFonts w:eastAsia="Calibri"/>
        </w:rPr>
        <w:t xml:space="preserve">Koncentracija prioritetnih organskih tvari u sedimentima prijelaznih voda tijekom 2020. bila je za većinu praćenih pokazatelja relativno niska. Budući da za kakvoću sedimenta nisu propisani jedinstveni europski kriteriji, kao što je to slučaj za vodu i biotu, ocjena stanja načinjena je prema kriterijima koje su u Norveškoj predložili Bakke i suradnici (2010). Prema Bakke-u i suradnicima kakvoća sedimenata je razvrstana u pet kategorija pri čemu su prve dvije, što se tiče stanja okoliša, smatrane dobrom i/ili zadovoljavajućom, dok su III., IV. i V. kategorija smatrane nezadovoljavajućim jer se u tom rasponu koncentracija mogu očekivati toksični učinci. </w:t>
      </w:r>
    </w:p>
    <w:p w14:paraId="1A18DC61" w14:textId="77777777" w:rsidR="00244774" w:rsidRPr="007348AA" w:rsidRDefault="00244774" w:rsidP="00244774">
      <w:pPr>
        <w:rPr>
          <w:rFonts w:eastAsia="Calibri"/>
        </w:rPr>
      </w:pPr>
    </w:p>
    <w:p w14:paraId="1A18DC62" w14:textId="77777777" w:rsidR="00244774" w:rsidRPr="007348AA" w:rsidRDefault="00244774" w:rsidP="00244774">
      <w:pPr>
        <w:rPr>
          <w:rFonts w:eastAsia="Calibri"/>
        </w:rPr>
      </w:pPr>
      <w:r w:rsidRPr="007348AA">
        <w:rPr>
          <w:rFonts w:eastAsia="Calibri"/>
        </w:rPr>
        <w:t xml:space="preserve">Prema Bakkeu i sur. (2010) kriterij za značajno onečišćenje sedimenta PBDE-ovima je 62 ng/g što je u odnosu na koncentracije izmjerene u sedimentima naših prijelaznih voda vrlo visoko. Kao što se vidi na </w:t>
      </w:r>
      <w:r w:rsidR="00210987" w:rsidRPr="007348AA">
        <w:rPr>
          <w:rFonts w:eastAsia="Calibri"/>
          <w:i/>
        </w:rPr>
        <w:t>Grafikonu 2.3-16</w:t>
      </w:r>
      <w:r w:rsidR="00210987" w:rsidRPr="007348AA">
        <w:rPr>
          <w:rFonts w:eastAsia="Calibri"/>
        </w:rPr>
        <w:t>.</w:t>
      </w:r>
      <w:r w:rsidRPr="007348AA">
        <w:rPr>
          <w:rFonts w:eastAsia="Calibri"/>
        </w:rPr>
        <w:t>, raspon koncetracija PBDE-ova u sedimentima bio je od &lt;0,02 ng/g do 0,3 ng/g (srednja vrijednost 0,08 ng/g) što je više nego 100 puta niže od predloženog kriterija. Najviše koncentracije PBDE-ova tijekom 2020. izmjerene su na lokacijama u estuarijima rijeka Neretve (FP-P5b), Jadra (FP-P9a, FP-P10) i Rječine (FP-P18).</w:t>
      </w:r>
    </w:p>
    <w:p w14:paraId="1A18DC63" w14:textId="77777777" w:rsidR="00210987" w:rsidRPr="007348AA" w:rsidRDefault="00210987" w:rsidP="00244774">
      <w:pPr>
        <w:rPr>
          <w:rFonts w:eastAsia="Calibri"/>
        </w:rPr>
      </w:pPr>
    </w:p>
    <w:p w14:paraId="1A18DC64" w14:textId="77777777" w:rsidR="00244774" w:rsidRPr="007348AA" w:rsidRDefault="00244774" w:rsidP="00210987">
      <w:pPr>
        <w:jc w:val="center"/>
        <w:rPr>
          <w:rFonts w:eastAsia="Calibri"/>
        </w:rPr>
      </w:pPr>
      <w:r w:rsidRPr="007348AA">
        <w:rPr>
          <w:rFonts w:eastAsia="Calibri"/>
          <w:noProof/>
        </w:rPr>
        <w:lastRenderedPageBreak/>
        <w:drawing>
          <wp:inline distT="0" distB="0" distL="0" distR="0" wp14:anchorId="1A18E331" wp14:editId="1A18E332">
            <wp:extent cx="3878728" cy="2369185"/>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6861" cy="2374153"/>
                    </a:xfrm>
                    <a:prstGeom prst="rect">
                      <a:avLst/>
                    </a:prstGeom>
                    <a:noFill/>
                  </pic:spPr>
                </pic:pic>
              </a:graphicData>
            </a:graphic>
          </wp:inline>
        </w:drawing>
      </w:r>
    </w:p>
    <w:p w14:paraId="1A18DC65" w14:textId="77777777" w:rsidR="00244774" w:rsidRPr="007348AA" w:rsidRDefault="00210987" w:rsidP="00244774">
      <w:pPr>
        <w:rPr>
          <w:rFonts w:eastAsia="Calibri"/>
          <w:i/>
        </w:rPr>
      </w:pPr>
      <w:r w:rsidRPr="007348AA">
        <w:rPr>
          <w:rFonts w:eastAsia="Calibri"/>
          <w:i/>
        </w:rPr>
        <w:t>Grafikon 2.3-16</w:t>
      </w:r>
      <w:r w:rsidRPr="007348AA">
        <w:rPr>
          <w:rFonts w:eastAsia="Calibri"/>
        </w:rPr>
        <w:t xml:space="preserve">. </w:t>
      </w:r>
      <w:r w:rsidR="00244774" w:rsidRPr="007348AA">
        <w:rPr>
          <w:rFonts w:eastAsia="Calibri"/>
          <w:i/>
        </w:rPr>
        <w:t>Raspodjela polibromiranih difeniletera (PBDE) u sedimentima prijelaznih voda 2020. godine</w:t>
      </w:r>
    </w:p>
    <w:p w14:paraId="1A18DC66" w14:textId="77777777" w:rsidR="00244774" w:rsidRPr="007348AA" w:rsidRDefault="00244774" w:rsidP="00244774">
      <w:pPr>
        <w:rPr>
          <w:rFonts w:eastAsia="Calibri"/>
        </w:rPr>
      </w:pPr>
    </w:p>
    <w:p w14:paraId="1A18DC67" w14:textId="412CC433" w:rsidR="00244774" w:rsidRPr="007348AA" w:rsidRDefault="00244774" w:rsidP="00244774">
      <w:pPr>
        <w:rPr>
          <w:rFonts w:eastAsia="Calibri"/>
        </w:rPr>
      </w:pPr>
      <w:r w:rsidRPr="007348AA">
        <w:rPr>
          <w:rFonts w:eastAsia="Calibri"/>
        </w:rPr>
        <w:t>Koncentracija heksabromociklododekana (HBCDD) u sedimentima pokazala je da su razine ovih spojeva na većini lokacija naših prijelaznih voda srazmjerno niske (&lt;5 ng/g), ali na nekoliko lokacija zabilježene su povišene vrijednosti u rasponu od 18,4 do 40,7 ng/g (</w:t>
      </w:r>
      <w:r w:rsidR="00210987" w:rsidRPr="007348AA">
        <w:rPr>
          <w:rFonts w:eastAsia="Calibri"/>
          <w:i/>
        </w:rPr>
        <w:t>Grafikon 2.3-17</w:t>
      </w:r>
      <w:r w:rsidR="00210987" w:rsidRPr="007348AA">
        <w:rPr>
          <w:rFonts w:eastAsia="Calibri"/>
        </w:rPr>
        <w:t>.</w:t>
      </w:r>
      <w:r w:rsidRPr="007348AA">
        <w:rPr>
          <w:rFonts w:eastAsia="Calibri"/>
        </w:rPr>
        <w:t>), prvenstveno na postajama u estuarijima Jadra (FP-P9a i FP-P10; 18,4 i 40,7 ng/g) i Krke (FP-P13; 30 ng/g). Vrijednosti izmjerene u 2020. godini na tim lokacijama pokazuju višestruki porast kon</w:t>
      </w:r>
      <w:r w:rsidR="00F87088">
        <w:rPr>
          <w:rFonts w:eastAsia="Calibri"/>
        </w:rPr>
        <w:t>c</w:t>
      </w:r>
      <w:r w:rsidRPr="007348AA">
        <w:rPr>
          <w:rFonts w:eastAsia="Calibri"/>
        </w:rPr>
        <w:t>entracija HBCDD-ova u odnosu na 2018. godinu (3-5 puta) i dostižu gotovo 50% kriterija (PNEC = 86 ng/g) iznad kojeg se sediment može smatrati onečišćenim HBCDD-ovima prema Bakkeu i sur. (2010).</w:t>
      </w:r>
    </w:p>
    <w:p w14:paraId="1A18DC68" w14:textId="77777777" w:rsidR="00244774" w:rsidRPr="007348AA" w:rsidRDefault="00244774" w:rsidP="00210987">
      <w:pPr>
        <w:jc w:val="center"/>
        <w:rPr>
          <w:rFonts w:eastAsia="Calibri"/>
        </w:rPr>
      </w:pPr>
      <w:r w:rsidRPr="007348AA">
        <w:rPr>
          <w:rFonts w:eastAsia="Calibri"/>
          <w:noProof/>
        </w:rPr>
        <w:drawing>
          <wp:inline distT="0" distB="0" distL="0" distR="0" wp14:anchorId="1A18E333" wp14:editId="1A18E334">
            <wp:extent cx="3738880" cy="2315908"/>
            <wp:effectExtent l="0" t="0" r="0" b="8255"/>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3359" cy="2324876"/>
                    </a:xfrm>
                    <a:prstGeom prst="rect">
                      <a:avLst/>
                    </a:prstGeom>
                    <a:noFill/>
                  </pic:spPr>
                </pic:pic>
              </a:graphicData>
            </a:graphic>
          </wp:inline>
        </w:drawing>
      </w:r>
    </w:p>
    <w:p w14:paraId="1A18DC69" w14:textId="77777777" w:rsidR="00244774" w:rsidRPr="007348AA" w:rsidRDefault="00210987" w:rsidP="00244774">
      <w:pPr>
        <w:rPr>
          <w:rFonts w:eastAsia="Calibri"/>
          <w:i/>
        </w:rPr>
      </w:pPr>
      <w:r w:rsidRPr="007348AA">
        <w:rPr>
          <w:rFonts w:eastAsia="Calibri"/>
          <w:i/>
        </w:rPr>
        <w:t>Grafikon 2.3-17</w:t>
      </w:r>
      <w:r w:rsidRPr="007348AA">
        <w:rPr>
          <w:rFonts w:eastAsia="Calibri"/>
        </w:rPr>
        <w:t xml:space="preserve">. </w:t>
      </w:r>
      <w:r w:rsidR="00244774" w:rsidRPr="007348AA">
        <w:rPr>
          <w:rFonts w:eastAsia="Calibri"/>
          <w:i/>
        </w:rPr>
        <w:t>Raspodjela heksabromociklododekana (HBCDD) u sedimentima prijelaznih voda 2020. godine</w:t>
      </w:r>
    </w:p>
    <w:p w14:paraId="1A18DC6A" w14:textId="77777777" w:rsidR="00244774" w:rsidRPr="007348AA" w:rsidRDefault="00244774" w:rsidP="00244774">
      <w:pPr>
        <w:rPr>
          <w:rFonts w:eastAsia="Calibri"/>
        </w:rPr>
      </w:pPr>
    </w:p>
    <w:p w14:paraId="1A18DC6B" w14:textId="77777777" w:rsidR="00244774" w:rsidRPr="007348AA" w:rsidRDefault="00244774" w:rsidP="00244774">
      <w:pPr>
        <w:rPr>
          <w:rFonts w:eastAsia="Calibri"/>
        </w:rPr>
      </w:pPr>
      <w:r w:rsidRPr="007348AA">
        <w:rPr>
          <w:rFonts w:eastAsia="Calibri"/>
        </w:rPr>
        <w:t>Klasične lipofilne prioritetne tvari kao što su klorirani insekticidi i njima srodni spojevi (heksaklorbenzen, heptaklor i heptaklorepoksid, pentaklorbenzen, heksaklorcikloheksan i heksaklorbutadien) prisutne su u sedimentima prijelaznih voda u relativno niskim koncentracijama. Vrijednosti organoklornih pesticida heptaklora i heptaklor epoksida i heksaklorbutadiena u svim su analiziranim uzorcima bile ispod ili na samoj granici detekcije od 0,1 ng/g. Heksaklorbenzen (HCB) u sedimentima (</w:t>
      </w:r>
      <w:r w:rsidR="00210987" w:rsidRPr="007348AA">
        <w:rPr>
          <w:rFonts w:eastAsia="Calibri"/>
          <w:i/>
        </w:rPr>
        <w:t>Grafikon 2.3-18</w:t>
      </w:r>
      <w:r w:rsidRPr="007348AA">
        <w:rPr>
          <w:rFonts w:eastAsia="Calibri"/>
        </w:rPr>
        <w:t xml:space="preserve">) mnogo je češće prisutan u mjerljivim koncentracijama nego heptaklor, iako su i njegove koncentracije vrlo niske (&lt;0,1 do 0,84 ng/g, srednja vrijednost 0,14 ng/g) pa prema kriterijima za HCB u sedimentu (Bakke i sur. 2010) pripadaju u kategoriju u kojoj se ne očekuju toksični učinci (PNEC=17 ng/g). Razine pentaklorbenzena su u analiziranim sedimentima </w:t>
      </w:r>
      <w:r w:rsidRPr="007348AA">
        <w:rPr>
          <w:rFonts w:eastAsia="Calibri"/>
        </w:rPr>
        <w:lastRenderedPageBreak/>
        <w:t>(</w:t>
      </w:r>
      <w:r w:rsidR="00210987" w:rsidRPr="007348AA">
        <w:rPr>
          <w:rFonts w:eastAsia="Calibri"/>
          <w:i/>
        </w:rPr>
        <w:t>Grafikon 2.3-19</w:t>
      </w:r>
      <w:r w:rsidR="00210987" w:rsidRPr="007348AA">
        <w:rPr>
          <w:rFonts w:eastAsia="Calibri"/>
        </w:rPr>
        <w:t>.</w:t>
      </w:r>
      <w:r w:rsidRPr="007348AA">
        <w:rPr>
          <w:rFonts w:eastAsia="Calibri"/>
        </w:rPr>
        <w:t xml:space="preserve">) još niže od razina HCB-a (od &lt;0.1 do 0,27 ng/g; srednja vrijednost 0,06 ng/g) i nekoliko stotina puta niže od granice iznad koje se očekuju toksični efekti (PNEC=400 ng/g). </w:t>
      </w:r>
    </w:p>
    <w:p w14:paraId="1A18DC6C" w14:textId="77777777" w:rsidR="00244774" w:rsidRPr="007348AA" w:rsidRDefault="00244774" w:rsidP="00210987">
      <w:pPr>
        <w:jc w:val="center"/>
        <w:rPr>
          <w:rFonts w:eastAsia="Calibri"/>
        </w:rPr>
      </w:pPr>
      <w:r w:rsidRPr="007348AA">
        <w:rPr>
          <w:rFonts w:eastAsia="Calibri"/>
          <w:noProof/>
        </w:rPr>
        <w:drawing>
          <wp:inline distT="0" distB="0" distL="0" distR="0" wp14:anchorId="1A18E335" wp14:editId="1A18E336">
            <wp:extent cx="3870068" cy="2363894"/>
            <wp:effectExtent l="0" t="0" r="0" b="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91121" cy="2376753"/>
                    </a:xfrm>
                    <a:prstGeom prst="rect">
                      <a:avLst/>
                    </a:prstGeom>
                    <a:noFill/>
                  </pic:spPr>
                </pic:pic>
              </a:graphicData>
            </a:graphic>
          </wp:inline>
        </w:drawing>
      </w:r>
    </w:p>
    <w:p w14:paraId="1A18DC6D" w14:textId="77777777" w:rsidR="00244774" w:rsidRPr="007348AA" w:rsidRDefault="00210987" w:rsidP="00244774">
      <w:pPr>
        <w:rPr>
          <w:rFonts w:eastAsia="Calibri"/>
          <w:i/>
        </w:rPr>
      </w:pPr>
      <w:r w:rsidRPr="007348AA">
        <w:rPr>
          <w:rFonts w:eastAsia="Calibri"/>
          <w:i/>
        </w:rPr>
        <w:t>Grafikon 2.3-18</w:t>
      </w:r>
      <w:r w:rsidRPr="007348AA">
        <w:rPr>
          <w:rFonts w:eastAsia="Calibri"/>
        </w:rPr>
        <w:t xml:space="preserve">. </w:t>
      </w:r>
      <w:r w:rsidR="00244774" w:rsidRPr="007348AA">
        <w:rPr>
          <w:rFonts w:eastAsia="Calibri"/>
          <w:i/>
        </w:rPr>
        <w:t>Raspodjela heksaklorbenzena (HCB) u sedimentima prijelaznih voda 2020. godine</w:t>
      </w:r>
    </w:p>
    <w:p w14:paraId="1A18DC6E" w14:textId="77777777" w:rsidR="00210987" w:rsidRPr="007348AA" w:rsidRDefault="00210987" w:rsidP="00244774">
      <w:pPr>
        <w:rPr>
          <w:rFonts w:eastAsia="Calibri"/>
        </w:rPr>
      </w:pPr>
    </w:p>
    <w:p w14:paraId="1A18DC6F" w14:textId="77777777" w:rsidR="00244774" w:rsidRPr="007348AA" w:rsidRDefault="00244774" w:rsidP="00210987">
      <w:pPr>
        <w:jc w:val="center"/>
        <w:rPr>
          <w:rFonts w:eastAsia="Calibri"/>
        </w:rPr>
      </w:pPr>
      <w:r w:rsidRPr="007348AA">
        <w:rPr>
          <w:rFonts w:eastAsia="Calibri"/>
          <w:noProof/>
        </w:rPr>
        <w:drawing>
          <wp:inline distT="0" distB="0" distL="0" distR="0" wp14:anchorId="1A18E337" wp14:editId="1A18E338">
            <wp:extent cx="3591422" cy="2190106"/>
            <wp:effectExtent l="0" t="0" r="0" b="127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9354" cy="2201041"/>
                    </a:xfrm>
                    <a:prstGeom prst="rect">
                      <a:avLst/>
                    </a:prstGeom>
                    <a:noFill/>
                  </pic:spPr>
                </pic:pic>
              </a:graphicData>
            </a:graphic>
          </wp:inline>
        </w:drawing>
      </w:r>
    </w:p>
    <w:p w14:paraId="1A18DC70" w14:textId="77777777" w:rsidR="00244774" w:rsidRPr="007348AA" w:rsidRDefault="00E0796C" w:rsidP="00244774">
      <w:pPr>
        <w:rPr>
          <w:rFonts w:eastAsia="Calibri"/>
          <w:i/>
        </w:rPr>
      </w:pPr>
      <w:r w:rsidRPr="007348AA">
        <w:rPr>
          <w:rFonts w:eastAsia="Calibri"/>
          <w:i/>
        </w:rPr>
        <w:t>Grafikon 2.3-19</w:t>
      </w:r>
      <w:r w:rsidRPr="007348AA">
        <w:rPr>
          <w:rFonts w:eastAsia="Calibri"/>
        </w:rPr>
        <w:t xml:space="preserve">. </w:t>
      </w:r>
      <w:r w:rsidR="00244774" w:rsidRPr="007348AA">
        <w:rPr>
          <w:rFonts w:eastAsia="Calibri"/>
        </w:rPr>
        <w:t xml:space="preserve"> </w:t>
      </w:r>
      <w:r w:rsidR="00244774" w:rsidRPr="007348AA">
        <w:rPr>
          <w:rFonts w:eastAsia="Calibri"/>
          <w:i/>
        </w:rPr>
        <w:t>Raspodjela pentaklorbenzena (HCB) u sedimentima prijelaznih voda 2020. godine</w:t>
      </w:r>
    </w:p>
    <w:p w14:paraId="1A18DC71" w14:textId="77777777" w:rsidR="00244774" w:rsidRPr="007348AA" w:rsidRDefault="00244774" w:rsidP="00244774">
      <w:pPr>
        <w:rPr>
          <w:rFonts w:eastAsia="Calibri"/>
        </w:rPr>
      </w:pPr>
    </w:p>
    <w:p w14:paraId="1A18DC72" w14:textId="77777777" w:rsidR="00244774" w:rsidRPr="007348AA" w:rsidRDefault="00244774" w:rsidP="00244774">
      <w:pPr>
        <w:rPr>
          <w:rFonts w:eastAsia="Calibri"/>
        </w:rPr>
      </w:pPr>
      <w:r w:rsidRPr="007348AA">
        <w:rPr>
          <w:rFonts w:eastAsia="Calibri"/>
        </w:rPr>
        <w:t>Organoklorov pesticid heksaklorcikloheksan (HCH) jedan je od POP</w:t>
      </w:r>
      <w:r w:rsidR="00E0796C" w:rsidRPr="007348AA">
        <w:rPr>
          <w:rFonts w:eastAsia="Calibri"/>
        </w:rPr>
        <w:t>s</w:t>
      </w:r>
      <w:r w:rsidRPr="007348AA">
        <w:rPr>
          <w:rFonts w:eastAsia="Calibri"/>
        </w:rPr>
        <w:t xml:space="preserve">-ova koje još uvijek nalazimo u vodama Hrvatske u mjerljivim koncentracijama. Koncentracije HCH-ova (izražene kao zbroj α-, β- i γ-izomera, </w:t>
      </w:r>
      <w:r w:rsidR="00E0796C" w:rsidRPr="007348AA">
        <w:rPr>
          <w:rFonts w:eastAsia="Calibri"/>
          <w:i/>
        </w:rPr>
        <w:t>Grafikon 2.3-20</w:t>
      </w:r>
      <w:r w:rsidR="00E0796C" w:rsidRPr="007348AA">
        <w:rPr>
          <w:rFonts w:eastAsia="Calibri"/>
        </w:rPr>
        <w:t>.</w:t>
      </w:r>
      <w:r w:rsidRPr="007348AA">
        <w:rPr>
          <w:rFonts w:eastAsia="Calibri"/>
        </w:rPr>
        <w:t>) kretale su se u rasponu od &lt;0,1 do 0,8 ng/g (srednja vrijednost 0,26 ng/g). Prema kriteriju koji su predložili Bakke i sur. (2010), za procjenu stupnja zagađenosti sedimenta uzima se koncentracija γ-izomera (lindana) koji nosi većinu pesticidne aktivnosti (PNEC = 1,1 ng/g). Evaluacija zagađenja sedimenata na temelju γ-izomera pokazuje da na promatranim lokacijama njegova koncentracija ne premašuje granicu zagađenosti, ali u sedimentima rijeke Neretve (FP-P3) dostiže skoro 50% vrijednosti predloženog kriterija.</w:t>
      </w:r>
    </w:p>
    <w:p w14:paraId="1A18DC73" w14:textId="77777777" w:rsidR="00244774" w:rsidRPr="007348AA" w:rsidRDefault="00244774" w:rsidP="00E0796C">
      <w:pPr>
        <w:jc w:val="center"/>
        <w:rPr>
          <w:rFonts w:eastAsia="Calibri"/>
        </w:rPr>
      </w:pPr>
      <w:r w:rsidRPr="007348AA">
        <w:rPr>
          <w:rFonts w:eastAsia="Calibri"/>
          <w:noProof/>
        </w:rPr>
        <w:lastRenderedPageBreak/>
        <w:drawing>
          <wp:inline distT="0" distB="0" distL="0" distR="0" wp14:anchorId="1A18E339" wp14:editId="1A18E33A">
            <wp:extent cx="3720907" cy="2269067"/>
            <wp:effectExtent l="0" t="0" r="0" b="0"/>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ar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39870" cy="2280631"/>
                    </a:xfrm>
                    <a:prstGeom prst="rect">
                      <a:avLst/>
                    </a:prstGeom>
                    <a:noFill/>
                  </pic:spPr>
                </pic:pic>
              </a:graphicData>
            </a:graphic>
          </wp:inline>
        </w:drawing>
      </w:r>
    </w:p>
    <w:p w14:paraId="1A18DC74" w14:textId="77777777" w:rsidR="00244774" w:rsidRPr="007348AA" w:rsidRDefault="00E0796C" w:rsidP="00244774">
      <w:pPr>
        <w:rPr>
          <w:rFonts w:eastAsia="Calibri"/>
        </w:rPr>
      </w:pPr>
      <w:r w:rsidRPr="007348AA">
        <w:rPr>
          <w:rFonts w:eastAsia="Calibri"/>
          <w:i/>
        </w:rPr>
        <w:t>Grafikon 2.3-20</w:t>
      </w:r>
      <w:r w:rsidRPr="007348AA">
        <w:rPr>
          <w:rFonts w:eastAsia="Calibri"/>
        </w:rPr>
        <w:t xml:space="preserve">. </w:t>
      </w:r>
      <w:r w:rsidR="00244774" w:rsidRPr="007348AA">
        <w:rPr>
          <w:rFonts w:eastAsia="Calibri"/>
          <w:i/>
        </w:rPr>
        <w:t>Raspodjela sume četiri izomera heksaklorcikloheksana te lindana u sedimentima prijelaznih voda 2020. godine</w:t>
      </w:r>
    </w:p>
    <w:p w14:paraId="1A18DC75" w14:textId="77777777" w:rsidR="00244774" w:rsidRPr="007348AA" w:rsidRDefault="00244774" w:rsidP="00244774">
      <w:pPr>
        <w:rPr>
          <w:rFonts w:eastAsia="Calibri"/>
        </w:rPr>
      </w:pPr>
    </w:p>
    <w:p w14:paraId="1A18DC76" w14:textId="77777777" w:rsidR="00244774" w:rsidRPr="007348AA" w:rsidRDefault="00244774" w:rsidP="00244774">
      <w:pPr>
        <w:rPr>
          <w:rFonts w:eastAsia="Calibri"/>
        </w:rPr>
      </w:pPr>
      <w:r w:rsidRPr="007348AA">
        <w:rPr>
          <w:rFonts w:eastAsia="Calibri"/>
        </w:rPr>
        <w:t>Dioksini i njima srodni spojevi (</w:t>
      </w:r>
      <w:r w:rsidR="00E0796C" w:rsidRPr="007348AA">
        <w:rPr>
          <w:rFonts w:eastAsia="Calibri"/>
          <w:i/>
        </w:rPr>
        <w:t>Grafikon 2.3-21</w:t>
      </w:r>
      <w:r w:rsidR="00E0796C" w:rsidRPr="007348AA">
        <w:rPr>
          <w:rFonts w:eastAsia="Calibri"/>
        </w:rPr>
        <w:t>.</w:t>
      </w:r>
      <w:r w:rsidRPr="007348AA">
        <w:rPr>
          <w:rFonts w:eastAsia="Calibri"/>
        </w:rPr>
        <w:t xml:space="preserve">) prisutni su u sedimentima prijelaznih voda na relativno niskim razinama od &lt;0,00005 do 0,0028 ng/g TEQ. Te su razine višestruko niže od kriterija za značajno onečišćeni sediment prema Bakkeu i sur. (PNEC = 0,03 ng/g TEQ), ali treba uočiti da su povišene vrijednosti izmjerene u sedimentima ušća rijeka Jadro, Krka, Neretva, Rječina i Mirna, što je u podudarnosti s lokacijama na kojima su detektirane više vrijednosti dioksina i u 2018.. </w:t>
      </w:r>
    </w:p>
    <w:p w14:paraId="1A18DC77" w14:textId="77777777" w:rsidR="00244774" w:rsidRPr="007348AA" w:rsidRDefault="00244774" w:rsidP="00244774">
      <w:pPr>
        <w:rPr>
          <w:rFonts w:eastAsia="Calibri"/>
        </w:rPr>
      </w:pPr>
    </w:p>
    <w:p w14:paraId="1A18DC78" w14:textId="77777777" w:rsidR="00244774" w:rsidRPr="007348AA" w:rsidRDefault="00244774" w:rsidP="00244774">
      <w:pPr>
        <w:rPr>
          <w:rFonts w:eastAsia="Calibri"/>
        </w:rPr>
      </w:pPr>
      <w:r w:rsidRPr="007348AA">
        <w:rPr>
          <w:rFonts w:eastAsia="Calibri"/>
        </w:rPr>
        <w:t>Osim kloriranih insekticida i dioksinskih spojeva, u sedimentima priobalnih voda izmjerene su i značajne koncentracije kratkolančastih kloralkana (C10-13) (</w:t>
      </w:r>
      <w:r w:rsidR="00E0796C" w:rsidRPr="007348AA">
        <w:rPr>
          <w:rFonts w:eastAsia="Calibri"/>
          <w:i/>
        </w:rPr>
        <w:t>Grafikon 2.3-22</w:t>
      </w:r>
      <w:r w:rsidR="00E0796C" w:rsidRPr="007348AA">
        <w:rPr>
          <w:rFonts w:eastAsia="Calibri"/>
        </w:rPr>
        <w:t>.</w:t>
      </w:r>
      <w:r w:rsidRPr="007348AA">
        <w:rPr>
          <w:rFonts w:eastAsia="Calibri"/>
        </w:rPr>
        <w:t xml:space="preserve">). Njihova  prostorna raspodjela pokazuje povišene vrijednosti u estuarijima Neretve (FP-P5c), Jadra (FP-P9a), Krke (FP-P13) i Rječine (FP-P18), a izmjerene na lokacijama FP-P9a (590 ng/g) i FP-P5c (2800 ng/g) u 2020. godini su 40 do 250 puta više od onih u 2018., pa u sedimentu ušća Neretve ulaze u kategoriju zagađenosti sedimenata u kojoj se očekuju toksični učinci kod akutne izloženosti (Bakke i sur. 2010). </w:t>
      </w:r>
    </w:p>
    <w:p w14:paraId="1A18DC79" w14:textId="77777777" w:rsidR="00E0796C" w:rsidRPr="007348AA" w:rsidRDefault="00E0796C" w:rsidP="00244774">
      <w:pPr>
        <w:rPr>
          <w:rFonts w:eastAsia="Calibri"/>
        </w:rPr>
      </w:pPr>
    </w:p>
    <w:p w14:paraId="1A18DC7A" w14:textId="77777777" w:rsidR="00244774" w:rsidRPr="007348AA" w:rsidRDefault="00244774" w:rsidP="00E0796C">
      <w:pPr>
        <w:jc w:val="center"/>
        <w:rPr>
          <w:rFonts w:eastAsia="Calibri"/>
        </w:rPr>
      </w:pPr>
      <w:r w:rsidRPr="007348AA">
        <w:rPr>
          <w:rFonts w:eastAsia="Calibri"/>
          <w:noProof/>
        </w:rPr>
        <w:drawing>
          <wp:inline distT="0" distB="0" distL="0" distR="0" wp14:anchorId="1A18E33B" wp14:editId="1A18E33C">
            <wp:extent cx="3596640" cy="2196884"/>
            <wp:effectExtent l="0" t="0" r="3810" b="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21099" cy="2211824"/>
                    </a:xfrm>
                    <a:prstGeom prst="rect">
                      <a:avLst/>
                    </a:prstGeom>
                    <a:noFill/>
                  </pic:spPr>
                </pic:pic>
              </a:graphicData>
            </a:graphic>
          </wp:inline>
        </w:drawing>
      </w:r>
    </w:p>
    <w:p w14:paraId="1A18DC7B" w14:textId="77777777" w:rsidR="00244774" w:rsidRPr="007348AA" w:rsidRDefault="00E0796C" w:rsidP="00244774">
      <w:pPr>
        <w:rPr>
          <w:rFonts w:eastAsia="Calibri"/>
          <w:i/>
        </w:rPr>
      </w:pPr>
      <w:r w:rsidRPr="007348AA">
        <w:rPr>
          <w:rFonts w:eastAsia="Calibri"/>
          <w:i/>
        </w:rPr>
        <w:t>Grafikon 2.3-21</w:t>
      </w:r>
      <w:r w:rsidRPr="007348AA">
        <w:rPr>
          <w:rFonts w:eastAsia="Calibri"/>
        </w:rPr>
        <w:t xml:space="preserve">. </w:t>
      </w:r>
      <w:r w:rsidR="00244774" w:rsidRPr="007348AA">
        <w:rPr>
          <w:rFonts w:eastAsia="Calibri"/>
          <w:i/>
        </w:rPr>
        <w:t>Raspodjela dioksina i njima srodnih spojeva u sedimentima prijelaznih voda 2020. godine</w:t>
      </w:r>
    </w:p>
    <w:p w14:paraId="1A18DC7C" w14:textId="77777777" w:rsidR="00244774" w:rsidRPr="007348AA" w:rsidRDefault="00244774" w:rsidP="00E0796C">
      <w:pPr>
        <w:jc w:val="center"/>
        <w:rPr>
          <w:rFonts w:eastAsia="Calibri"/>
        </w:rPr>
      </w:pPr>
      <w:r w:rsidRPr="007348AA">
        <w:rPr>
          <w:rFonts w:eastAsia="Calibri"/>
          <w:noProof/>
        </w:rPr>
        <w:lastRenderedPageBreak/>
        <w:drawing>
          <wp:inline distT="0" distB="0" distL="0" distR="0" wp14:anchorId="1A18E33D" wp14:editId="1A18E33E">
            <wp:extent cx="3481493" cy="2126547"/>
            <wp:effectExtent l="0" t="0" r="5080" b="7620"/>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03594" cy="2140047"/>
                    </a:xfrm>
                    <a:prstGeom prst="rect">
                      <a:avLst/>
                    </a:prstGeom>
                    <a:noFill/>
                  </pic:spPr>
                </pic:pic>
              </a:graphicData>
            </a:graphic>
          </wp:inline>
        </w:drawing>
      </w:r>
    </w:p>
    <w:p w14:paraId="1A18DC7D" w14:textId="77777777" w:rsidR="00244774" w:rsidRPr="007348AA" w:rsidRDefault="00E0796C" w:rsidP="00244774">
      <w:pPr>
        <w:rPr>
          <w:rFonts w:eastAsia="Calibri"/>
          <w:i/>
        </w:rPr>
      </w:pPr>
      <w:r w:rsidRPr="007348AA">
        <w:rPr>
          <w:rFonts w:eastAsia="Calibri"/>
          <w:i/>
        </w:rPr>
        <w:t>Grafikon 2.3-22</w:t>
      </w:r>
      <w:r w:rsidRPr="007348AA">
        <w:rPr>
          <w:rFonts w:eastAsia="Calibri"/>
        </w:rPr>
        <w:t xml:space="preserve">. </w:t>
      </w:r>
      <w:r w:rsidR="00244774" w:rsidRPr="007348AA">
        <w:rPr>
          <w:rFonts w:eastAsia="Calibri"/>
          <w:i/>
        </w:rPr>
        <w:t>Raspodjela kratkolančastih kloralkana (C10-C13) u sedimentima prijelaznih voda 2020. godine</w:t>
      </w:r>
    </w:p>
    <w:p w14:paraId="1A18DC7E" w14:textId="77777777" w:rsidR="00244774" w:rsidRPr="007348AA" w:rsidRDefault="00244774" w:rsidP="00244774">
      <w:pPr>
        <w:rPr>
          <w:rFonts w:eastAsia="Calibri"/>
        </w:rPr>
      </w:pPr>
    </w:p>
    <w:p w14:paraId="1A18DC7F" w14:textId="77777777" w:rsidR="00244774" w:rsidRPr="007348AA" w:rsidRDefault="00244774" w:rsidP="00244774">
      <w:pPr>
        <w:rPr>
          <w:rFonts w:eastAsia="Calibri"/>
        </w:rPr>
      </w:pPr>
      <w:r w:rsidRPr="007348AA">
        <w:rPr>
          <w:rFonts w:eastAsia="Calibri"/>
        </w:rPr>
        <w:t>Koncentracija PFOS-a u sedimentima prijelaznih voda 2020. bila je dosta niska i kretala se u rasponu od &lt;0,1 do 0,55 ng/g (</w:t>
      </w:r>
      <w:r w:rsidR="00E0796C" w:rsidRPr="007348AA">
        <w:rPr>
          <w:rFonts w:eastAsia="Calibri"/>
          <w:i/>
        </w:rPr>
        <w:t>Grafikon 2.3-23</w:t>
      </w:r>
      <w:r w:rsidR="00E0796C" w:rsidRPr="007348AA">
        <w:rPr>
          <w:rFonts w:eastAsia="Calibri"/>
        </w:rPr>
        <w:t>.</w:t>
      </w:r>
      <w:r w:rsidRPr="007348AA">
        <w:rPr>
          <w:rFonts w:eastAsia="Calibri"/>
        </w:rPr>
        <w:t>). Blago povišene vrijednosti zabilježene su u estuarijima Neretve, Krke i Dragonje. Izmjerene razine PFOS-a su preko 100 puta niže od kriterija za značajno onečišćeni sediment (PNEC = 220 ng/g) prema Bakkeu i sur. (2010).</w:t>
      </w:r>
    </w:p>
    <w:p w14:paraId="1A18DC80" w14:textId="77777777" w:rsidR="00E0796C" w:rsidRPr="007348AA" w:rsidRDefault="00E0796C" w:rsidP="00244774">
      <w:pPr>
        <w:rPr>
          <w:rFonts w:eastAsia="Calibri"/>
        </w:rPr>
      </w:pPr>
    </w:p>
    <w:p w14:paraId="1A18DC81" w14:textId="77777777" w:rsidR="00244774" w:rsidRPr="007348AA" w:rsidRDefault="00244774" w:rsidP="00E0796C">
      <w:pPr>
        <w:jc w:val="center"/>
        <w:rPr>
          <w:rFonts w:eastAsia="Calibri"/>
        </w:rPr>
      </w:pPr>
      <w:r w:rsidRPr="007348AA">
        <w:rPr>
          <w:rFonts w:eastAsia="Calibri"/>
          <w:noProof/>
        </w:rPr>
        <w:drawing>
          <wp:inline distT="0" distB="0" distL="0" distR="0" wp14:anchorId="1A18E33F" wp14:editId="2CD6A11B">
            <wp:extent cx="3133725" cy="1914127"/>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7353" cy="1934668"/>
                    </a:xfrm>
                    <a:prstGeom prst="rect">
                      <a:avLst/>
                    </a:prstGeom>
                    <a:noFill/>
                  </pic:spPr>
                </pic:pic>
              </a:graphicData>
            </a:graphic>
          </wp:inline>
        </w:drawing>
      </w:r>
    </w:p>
    <w:p w14:paraId="1A18DC82" w14:textId="77777777" w:rsidR="00244774" w:rsidRPr="007348AA" w:rsidRDefault="00E0796C" w:rsidP="00244774">
      <w:pPr>
        <w:rPr>
          <w:rFonts w:eastAsia="Calibri"/>
          <w:i/>
        </w:rPr>
      </w:pPr>
      <w:r w:rsidRPr="007348AA">
        <w:rPr>
          <w:rFonts w:eastAsia="Calibri"/>
          <w:i/>
        </w:rPr>
        <w:t>Grafikon 2.3-23</w:t>
      </w:r>
      <w:r w:rsidRPr="007348AA">
        <w:rPr>
          <w:rFonts w:eastAsia="Calibri"/>
        </w:rPr>
        <w:t xml:space="preserve">. </w:t>
      </w:r>
      <w:r w:rsidR="00244774" w:rsidRPr="007348AA">
        <w:rPr>
          <w:rFonts w:eastAsia="Calibri"/>
          <w:i/>
        </w:rPr>
        <w:t>Raspodjela perfluoroktansulfonske kiseline (PFOS) i njezinih derivata u  sedimentima prijelaznih voda 2020. godine</w:t>
      </w:r>
    </w:p>
    <w:p w14:paraId="1A18DC83" w14:textId="77777777" w:rsidR="00244774" w:rsidRPr="007348AA" w:rsidRDefault="00244774" w:rsidP="00244774">
      <w:pPr>
        <w:rPr>
          <w:rFonts w:eastAsia="Calibri"/>
        </w:rPr>
      </w:pPr>
    </w:p>
    <w:p w14:paraId="1A18DC84" w14:textId="77777777" w:rsidR="00244774" w:rsidRPr="007348AA" w:rsidRDefault="00244774" w:rsidP="00244774">
      <w:pPr>
        <w:rPr>
          <w:rFonts w:eastAsia="Calibri"/>
          <w:b/>
        </w:rPr>
      </w:pPr>
      <w:r w:rsidRPr="007348AA">
        <w:rPr>
          <w:rFonts w:eastAsia="Calibri"/>
          <w:b/>
        </w:rPr>
        <w:t>Literatura</w:t>
      </w:r>
    </w:p>
    <w:p w14:paraId="1A18DC85" w14:textId="77777777" w:rsidR="00244774" w:rsidRPr="007348AA" w:rsidRDefault="00244774" w:rsidP="00244774">
      <w:pPr>
        <w:rPr>
          <w:rFonts w:eastAsia="Calibri"/>
        </w:rPr>
      </w:pPr>
      <w:r w:rsidRPr="007348AA">
        <w:rPr>
          <w:rFonts w:eastAsia="Calibri"/>
        </w:rPr>
        <w:t>Bakke T, Kallqvit T, Ruus A, Breedveld GD, Hylland K, Development of sediment quality criteria in Norway. J. Soil Sediments 10 (2010) 172-178.</w:t>
      </w:r>
    </w:p>
    <w:p w14:paraId="61F1B354" w14:textId="77777777" w:rsidR="0082552B" w:rsidRPr="0082552B" w:rsidRDefault="0082552B" w:rsidP="0082552B">
      <w:pPr>
        <w:rPr>
          <w:rFonts w:eastAsia="Calibri"/>
        </w:rPr>
      </w:pPr>
      <w:r w:rsidRPr="007348AA">
        <w:rPr>
          <w:rFonts w:eastAsia="Calibri"/>
        </w:rPr>
        <w:t>Environment Canada, Canadian Environmental Protection Act, 1999, Federal Environmental Quality Guidelines. Chlorinated Alkanes,  Environment and Climate Change Canada, May 2016</w:t>
      </w:r>
    </w:p>
    <w:p w14:paraId="1A18DC86" w14:textId="77777777" w:rsidR="00E972CC" w:rsidRPr="00B417A6" w:rsidRDefault="00E972CC" w:rsidP="00E972CC">
      <w:pPr>
        <w:rPr>
          <w:rFonts w:eastAsia="Calibri"/>
        </w:rPr>
      </w:pPr>
    </w:p>
    <w:p w14:paraId="1A18DC87" w14:textId="77777777" w:rsidR="00317EE7" w:rsidRPr="00E47EC1" w:rsidRDefault="00317EE7" w:rsidP="007E5335">
      <w:pPr>
        <w:pStyle w:val="Naslov3"/>
        <w:numPr>
          <w:ilvl w:val="2"/>
          <w:numId w:val="9"/>
        </w:numPr>
        <w:spacing w:before="100" w:beforeAutospacing="1" w:after="120"/>
        <w:rPr>
          <w:b/>
          <w:i w:val="0"/>
        </w:rPr>
      </w:pPr>
      <w:bookmarkStart w:id="12" w:name="_Toc100840612"/>
      <w:r w:rsidRPr="00E47EC1">
        <w:t xml:space="preserve">Monitoring POPs-ova u </w:t>
      </w:r>
      <w:r w:rsidR="00280784" w:rsidRPr="00E47EC1">
        <w:t>tlu</w:t>
      </w:r>
      <w:r w:rsidR="0075251A" w:rsidRPr="00E47EC1">
        <w:t xml:space="preserve"> (poljoprivredno zemljište)</w:t>
      </w:r>
      <w:bookmarkEnd w:id="12"/>
    </w:p>
    <w:p w14:paraId="1A18DC88" w14:textId="77777777" w:rsidR="00F22D2C" w:rsidRDefault="00F22D2C" w:rsidP="00F22D2C">
      <w:r>
        <w:t xml:space="preserve">U ožujku 2018. </w:t>
      </w:r>
      <w:r w:rsidR="002F039F">
        <w:t xml:space="preserve">je </w:t>
      </w:r>
      <w:r>
        <w:t>stup</w:t>
      </w:r>
      <w:r w:rsidR="002F039F">
        <w:t>io</w:t>
      </w:r>
      <w:r>
        <w:t xml:space="preserve"> na snagu novi Zakon o poljoprivrednom zemljištu (Narodne novine, br. 20/18, 115/18 i 98/19) te </w:t>
      </w:r>
      <w:r w:rsidR="002F039F">
        <w:t xml:space="preserve">je </w:t>
      </w:r>
      <w:r>
        <w:t>Agencija za poljoprivredno zemljište presta</w:t>
      </w:r>
      <w:r w:rsidR="002F039F">
        <w:t>la</w:t>
      </w:r>
      <w:r>
        <w:t xml:space="preserve"> s radom, a Odjel za praćenje stanja poljoprivrednog zemljišta </w:t>
      </w:r>
      <w:r w:rsidR="002F039F">
        <w:t xml:space="preserve">je promijenio </w:t>
      </w:r>
      <w:r>
        <w:t xml:space="preserve">naziv u Zavod za tlo </w:t>
      </w:r>
      <w:r w:rsidR="002F039F">
        <w:t xml:space="preserve">te je </w:t>
      </w:r>
      <w:r>
        <w:t xml:space="preserve"> ponovno </w:t>
      </w:r>
      <w:r w:rsidR="002F039F">
        <w:t xml:space="preserve">počeo </w:t>
      </w:r>
      <w:r>
        <w:t>djel</w:t>
      </w:r>
      <w:r w:rsidR="002F039F">
        <w:t xml:space="preserve">ovati </w:t>
      </w:r>
      <w:r>
        <w:t xml:space="preserve"> kao ustrojstvena jedinica Hrvatskog centra za poljoprivredu i hranu i selo (u daljnjem tekstu: HCPHS). HCPHS preuzima sve djelatnosti Zavoda za tlo. Na temelju Zakona o Hrvatskoj agenciji za poljoprivredu i hranu (Narodne novine, broj 111/18), koji je stupio na snagu 1. siječnja 2019., članak 13. Hrvatski centar za poljoprivredu, hranu i selo, osnovan Zakonom o osnivanju Hrvatskog </w:t>
      </w:r>
      <w:r>
        <w:lastRenderedPageBreak/>
        <w:t xml:space="preserve">centra za poljoprivredu, hranu i selo (Narodne novine, br. 25/09, 124/10 i 39/13) sa sjedištem u Zagrebu, nastavlja s radom pod nazivom: Hrvatska agencija za poljoprivredu i hranu (dalje u tekstu:                                                                                                                                                                                                                                                                                                                                                                                                                                                                                                                                                                                                                                                              HAPIH) sa sjedištem u Osijeku.  Zavod za tlo u skladu s odredbama ovoga Zakona, članak. 4., mijenja ime u Centar za tlo sa sjedištem u Osijeku. </w:t>
      </w:r>
    </w:p>
    <w:p w14:paraId="1A18DC89" w14:textId="77777777" w:rsidR="00F22D2C" w:rsidRDefault="00F22D2C" w:rsidP="00F22D2C">
      <w:r>
        <w:t xml:space="preserve">Temeljem članka 6. Zakona o poljoprivrednom zemljištu, radi zaštite poljoprivrednog zemljišta od oštećenja, provodi se utvrđivanje stanja oštećenja poljoprivrednog zemljišta, provodi se trajno praćenje stanja poljoprivrednog zemljišta – monitoring – kojim se trajno prati stanje svih promjena u poljoprivrednom zemljištu (fizikalnih, kemijskih i bioloških) i vodi se informacijski sustav za zaštitu poljoprivrednog zemljišta, za koje poslove je nadležan HAPIH, Centar za tlo. </w:t>
      </w:r>
    </w:p>
    <w:p w14:paraId="1A18DC8A" w14:textId="77777777" w:rsidR="00F22D2C" w:rsidRDefault="00F22D2C" w:rsidP="00F22D2C">
      <w:r>
        <w:t xml:space="preserve">Tijekom 2019. dolazi do izmjena pratećih propisa, novim Pravilnikom o metodologiji za praćenje stanja poljoprivrednog zemljišta (Narodne novine, broj 47/19), propisana je metodologija za praćenje stanja poljoprivrednog zemljišta (monitoring i ispitivanja plodnosti tla), informacijski sustav za zaštitu poljoprivrednog zemljišta, dokumentacija i sadržaj zahtjeva te detaljni uvjeti koje moraju ispunjavati ovlašteni laboratoriji, zadaće referentnog laboratorija, kao i obveze laboratorija i institucija te način provedbe kontrole koji je propisao ministar. </w:t>
      </w:r>
    </w:p>
    <w:p w14:paraId="1A18DC8B" w14:textId="77777777" w:rsidR="00F22D2C" w:rsidRDefault="00F22D2C" w:rsidP="00F22D2C">
      <w:r w:rsidRPr="006C5BDE">
        <w:t xml:space="preserve">U periodu siječanj 2020. – prosinac 2021. </w:t>
      </w:r>
      <w:r>
        <w:t>na području cijele Republike Hrvatske, HAPIH, Centar za tlo sukladno obvezama propisanim zakonom i podzakonskim aktima provodio je praćenje stanja poljoprivrednog zemljišta ispitivanjem plodnosti tla, a financijska sredstva za provedbu propisanih djelatnosti trajnog praćenja stanja poljoprivrednog zemljišta (monitoringa), izradu informacijskog sustava te kontrolu provedbe u laboratoriju i na terenu nisu osigurana u navedenom vremenskom periodu.</w:t>
      </w:r>
    </w:p>
    <w:p w14:paraId="1A18DC8C" w14:textId="77777777" w:rsidR="00F22D2C" w:rsidRPr="00F22D2C" w:rsidRDefault="00F22D2C" w:rsidP="00F22D2C">
      <w:pPr>
        <w:rPr>
          <w:color w:val="FF0000"/>
        </w:rPr>
      </w:pPr>
      <w:r>
        <w:t xml:space="preserve">Kao referentni laboratorij sukladno članku 39. Pravilnika o metodologiji za praćenje stanja poljoprivrednog zemljišta (Narodne novine, broj 47/19) svi ovlašteni laboratoriji za ispitivanje plodnosti tla dostavili </w:t>
      </w:r>
      <w:r w:rsidRPr="006C5BDE">
        <w:t xml:space="preserve">su Centru za tlo objedinjena pisana izvješća o ispitivanju plodnosti tla u elektronskom obliku za 2020. i 2021.. </w:t>
      </w:r>
    </w:p>
    <w:p w14:paraId="1A18DC8D" w14:textId="77777777" w:rsidR="00F22D2C" w:rsidRDefault="00F22D2C" w:rsidP="00F22D2C">
      <w:r>
        <w:t xml:space="preserve">Objedinjena izvješća za 2020. sadrže </w:t>
      </w:r>
      <w:r w:rsidRPr="006C5BDE">
        <w:t xml:space="preserve">12 146 rezultata analiza tla i za 2021. 27 751 rezultata </w:t>
      </w:r>
      <w:r w:rsidRPr="00EB6887">
        <w:t>analiza tla</w:t>
      </w:r>
      <w:r>
        <w:t>. Analize su odrađene u referentnom i ovlaštenim laboratorijima metodama propisanim pravilnikom i pod istim uvjetima za sve laboratorije.</w:t>
      </w:r>
    </w:p>
    <w:p w14:paraId="1A18DC8E" w14:textId="77777777" w:rsidR="00F22D2C" w:rsidRDefault="00F22D2C" w:rsidP="00F22D2C">
      <w:r>
        <w:t xml:space="preserve">Prikupljeni su i opći podaci o lokacijama uzorkovanja koje sadrže administrativne, lokacijske, geografske i ostale podatke. </w:t>
      </w:r>
    </w:p>
    <w:p w14:paraId="1A18DC8F" w14:textId="77777777" w:rsidR="00F22D2C" w:rsidRDefault="00F22D2C" w:rsidP="00F22D2C">
      <w:r>
        <w:t xml:space="preserve">Lokacije uzimanja uzoraka tla korisnici obavezno geopozicioniraju uzimajući referentne točke (GPS koordinate). </w:t>
      </w:r>
    </w:p>
    <w:p w14:paraId="1A18DC90" w14:textId="77777777" w:rsidR="00F22D2C" w:rsidRDefault="00F22D2C" w:rsidP="00F22D2C">
      <w:r>
        <w:t>Uzorci tla za ispitivanje plodnosti tla su arhivirani te ih je moguće do uspostave monitoringa poljoprivrednog zemljišta, analizirati na neke od organskih onečišćenja za potrebe provedbe Konvencije.</w:t>
      </w:r>
    </w:p>
    <w:p w14:paraId="1A18DC91" w14:textId="77777777" w:rsidR="00317EE7" w:rsidRPr="00E47EC1" w:rsidRDefault="00317EE7" w:rsidP="007E5335">
      <w:pPr>
        <w:pStyle w:val="Naslov3"/>
        <w:numPr>
          <w:ilvl w:val="2"/>
          <w:numId w:val="9"/>
        </w:numPr>
        <w:spacing w:before="100" w:beforeAutospacing="1" w:after="120"/>
        <w:rPr>
          <w:b/>
          <w:i w:val="0"/>
        </w:rPr>
      </w:pPr>
      <w:bookmarkStart w:id="13" w:name="_Toc100840613"/>
      <w:r w:rsidRPr="00E47EC1">
        <w:t>Monitoring POPs-ova u hrani za životinje</w:t>
      </w:r>
      <w:bookmarkEnd w:id="13"/>
    </w:p>
    <w:p w14:paraId="1A18DC92" w14:textId="77777777" w:rsidR="0045315A" w:rsidRPr="00E47EC1" w:rsidRDefault="0045315A" w:rsidP="0045315A">
      <w:pPr>
        <w:spacing w:after="120"/>
      </w:pPr>
      <w:r w:rsidRPr="00E47EC1">
        <w:t>Ministarstvo poljoprivrede u sklopu službenih kontrola provodi Plan monitoringa hrane za životinje u sklopu kojega se analiziraju uzorci hrane za životinje na organoklorne pesticide (DDT, HCH, HCB i klordan), te na dioksine i dioksinima slične PCB-e.</w:t>
      </w:r>
    </w:p>
    <w:p w14:paraId="1A18DC93" w14:textId="77777777" w:rsidR="00317EE7" w:rsidRPr="00E47EC1" w:rsidRDefault="00317EE7" w:rsidP="007E5335">
      <w:pPr>
        <w:pStyle w:val="Naslov3"/>
        <w:numPr>
          <w:ilvl w:val="2"/>
          <w:numId w:val="9"/>
        </w:numPr>
        <w:spacing w:before="100" w:beforeAutospacing="1" w:after="120"/>
        <w:rPr>
          <w:b/>
          <w:i w:val="0"/>
        </w:rPr>
      </w:pPr>
      <w:bookmarkStart w:id="14" w:name="_Toc100840614"/>
      <w:r w:rsidRPr="00E47EC1">
        <w:t>Mo</w:t>
      </w:r>
      <w:r w:rsidR="0075251A" w:rsidRPr="00E47EC1">
        <w:t>trenje šumsk</w:t>
      </w:r>
      <w:r w:rsidR="000E3035" w:rsidRPr="00E47EC1">
        <w:t>ih</w:t>
      </w:r>
      <w:r w:rsidR="0075251A" w:rsidRPr="00E47EC1">
        <w:t xml:space="preserve"> ekosustava</w:t>
      </w:r>
      <w:bookmarkEnd w:id="14"/>
    </w:p>
    <w:p w14:paraId="1A18DC94" w14:textId="77777777" w:rsidR="00317EE7" w:rsidRPr="00E47EC1" w:rsidRDefault="00317EE7" w:rsidP="00317EE7">
      <w:pPr>
        <w:spacing w:after="120"/>
      </w:pPr>
      <w:r w:rsidRPr="00E47EC1">
        <w:t xml:space="preserve">Zakon o šumama (Narodne novine, br. </w:t>
      </w:r>
      <w:r w:rsidR="00CA55CB">
        <w:t xml:space="preserve">68/18, </w:t>
      </w:r>
      <w:r w:rsidR="00C82E55" w:rsidRPr="00C82E55">
        <w:t>115/18</w:t>
      </w:r>
      <w:r w:rsidR="00CA55CB">
        <w:t>, 98/19, 32/20 i</w:t>
      </w:r>
      <w:r w:rsidR="00CA55CB" w:rsidRPr="00CA55CB">
        <w:t xml:space="preserve"> 145/20</w:t>
      </w:r>
      <w:r w:rsidRPr="00E47EC1">
        <w:t xml:space="preserve">) osobito u Poglavlju VII. – Zaštita šuma, regulira obveze koje posljedično imaju stvoriti preduvjete za učinkovito poduzimanje mjera koje proizlaze iz zahtjeva </w:t>
      </w:r>
      <w:r w:rsidR="006C4DE5" w:rsidRPr="00E47EC1">
        <w:t>K</w:t>
      </w:r>
      <w:r w:rsidRPr="00E47EC1">
        <w:t>onvencije.</w:t>
      </w:r>
    </w:p>
    <w:p w14:paraId="1A18DC95" w14:textId="77777777" w:rsidR="00317EE7" w:rsidRPr="00E47EC1" w:rsidRDefault="00317EE7" w:rsidP="00317EE7">
      <w:pPr>
        <w:spacing w:after="120"/>
      </w:pPr>
      <w:r w:rsidRPr="00E47EC1">
        <w:t>Shodno tim zakonskim obvezama te usklađujući iste s pravnom stečevinom Europske unije, Pravilnikom o načinu motrenja oštećenosti šumskih ek</w:t>
      </w:r>
      <w:r w:rsidR="00667FB6" w:rsidRPr="00E47EC1">
        <w:t>osustava (Narodne novine, br.</w:t>
      </w:r>
      <w:r w:rsidRPr="00E47EC1">
        <w:t xml:space="preserve"> 76/13</w:t>
      </w:r>
      <w:r w:rsidR="00C82E55">
        <w:t>,</w:t>
      </w:r>
      <w:r w:rsidRPr="00E47EC1">
        <w:t xml:space="preserve"> 122/14</w:t>
      </w:r>
      <w:r w:rsidR="00C82E55" w:rsidRPr="00C82E55">
        <w:t xml:space="preserve"> i </w:t>
      </w:r>
      <w:r w:rsidR="00C82E55" w:rsidRPr="00C82E55">
        <w:lastRenderedPageBreak/>
        <w:t>54/19</w:t>
      </w:r>
      <w:r w:rsidRPr="00E47EC1">
        <w:t xml:space="preserve">) se propisuju načini za sustavno i dugoročno motrenje oštećenosti šumskih ekosustava, mreža točaka, načini prikupljanja podataka, vođenje registra te uvjeti korištenja i dostave prikupljenih podataka o oštećenosti šumskih ekosustava domaćim i međunarodnim tijelima i institucijama. </w:t>
      </w:r>
    </w:p>
    <w:p w14:paraId="1A18DC96" w14:textId="77777777" w:rsidR="00317EE7" w:rsidRPr="00E47EC1" w:rsidRDefault="00317EE7" w:rsidP="00317EE7">
      <w:pPr>
        <w:spacing w:after="120"/>
      </w:pPr>
      <w:r w:rsidRPr="00E47EC1">
        <w:t>Motrenje oštećenosti šumskih ekosustava u Republici Hrvatskoj provodi se u okviru Međunarodnog programa za procjenu i motrenje utjecaja onečišćenja</w:t>
      </w:r>
      <w:r w:rsidR="006C4DE5" w:rsidRPr="00E47EC1">
        <w:t xml:space="preserve"> zraka</w:t>
      </w:r>
      <w:r w:rsidRPr="00E47EC1">
        <w:t xml:space="preserve"> na šume na mreži točaka Razine 1 i plohama Razine 2, sukladno LRTAP Konvenciji. </w:t>
      </w:r>
    </w:p>
    <w:p w14:paraId="1A18DC97" w14:textId="77777777" w:rsidR="00317EE7" w:rsidRPr="00E47EC1" w:rsidRDefault="00317EE7" w:rsidP="00317EE7">
      <w:pPr>
        <w:spacing w:after="120"/>
      </w:pPr>
      <w:r w:rsidRPr="00E47EC1">
        <w:t>Ciljevi programa su:</w:t>
      </w:r>
    </w:p>
    <w:p w14:paraId="1A18DC98" w14:textId="77777777" w:rsidR="00317EE7" w:rsidRPr="00E47EC1" w:rsidRDefault="00317EE7" w:rsidP="00F525BB">
      <w:pPr>
        <w:pStyle w:val="Odlomakpopisa"/>
        <w:numPr>
          <w:ilvl w:val="0"/>
          <w:numId w:val="14"/>
        </w:numPr>
        <w:spacing w:after="120"/>
      </w:pPr>
      <w:r w:rsidRPr="00E47EC1">
        <w:t>razvijati praćenje onečišćenja zraka i njegove učinke te motrenje drugih uzročnika i čimbenika koji imaju utjecaja na šume (biotički, abi</w:t>
      </w:r>
      <w:r w:rsidR="00256AF6" w:rsidRPr="00E47EC1">
        <w:t>otički i antropogeni čimbenici)</w:t>
      </w:r>
    </w:p>
    <w:p w14:paraId="1A18DC99" w14:textId="77777777" w:rsidR="00317EE7" w:rsidRPr="00E47EC1" w:rsidRDefault="00317EE7" w:rsidP="00F525BB">
      <w:pPr>
        <w:pStyle w:val="Odlomakpopisa"/>
        <w:numPr>
          <w:ilvl w:val="0"/>
          <w:numId w:val="14"/>
        </w:numPr>
        <w:spacing w:after="120"/>
      </w:pPr>
      <w:r w:rsidRPr="00E47EC1">
        <w:t>ocijeniti zahtjeve za motrenjem šumskih ekosustava i razvijati motrenje tala, ponora ugljika, učinaka klimatskih promjena i biološke raznoli</w:t>
      </w:r>
      <w:r w:rsidR="00256AF6" w:rsidRPr="00E47EC1">
        <w:t>kosti te zaštitne funkcije šuma</w:t>
      </w:r>
    </w:p>
    <w:p w14:paraId="1A18DC9A" w14:textId="77777777" w:rsidR="00317EE7" w:rsidRPr="00E47EC1" w:rsidRDefault="00317EE7" w:rsidP="00F525BB">
      <w:pPr>
        <w:pStyle w:val="Odlomakpopisa"/>
        <w:numPr>
          <w:ilvl w:val="0"/>
          <w:numId w:val="14"/>
        </w:numPr>
        <w:spacing w:after="120"/>
      </w:pPr>
      <w:r w:rsidRPr="00E47EC1">
        <w:t>trajno vrednovati učinkovitost aktivnosti motrenja u procjeni stanja oštećenosti šumskih ekosustava i daljnji razvoj aktivnosti motrenja.</w:t>
      </w:r>
    </w:p>
    <w:p w14:paraId="1A18DC9B" w14:textId="77777777" w:rsidR="00317EE7" w:rsidRPr="00E47EC1" w:rsidRDefault="009F577B" w:rsidP="00317EE7">
      <w:pPr>
        <w:spacing w:after="120"/>
      </w:pPr>
      <w:r w:rsidRPr="00E47EC1">
        <w:t>M</w:t>
      </w:r>
      <w:r w:rsidR="00317EE7" w:rsidRPr="00E47EC1">
        <w:t>otrenja koje se provode pri Hrvatskom šumarskom institutu u Jastrebarskom (nacionalni koordinacijski centar za procjenu i motrenje utjecaja atmosferskog onečišćenja i drugih čimbenika na šumske ekosustave) primarno</w:t>
      </w:r>
      <w:r w:rsidRPr="00E47EC1">
        <w:t xml:space="preserve"> su</w:t>
      </w:r>
      <w:r w:rsidR="00317EE7" w:rsidRPr="00E47EC1">
        <w:t xml:space="preserve"> usmjeren</w:t>
      </w:r>
      <w:r w:rsidRPr="00E47EC1">
        <w:t>a na analizu biogenih elemenata, a</w:t>
      </w:r>
      <w:r w:rsidR="00317EE7" w:rsidRPr="00E47EC1">
        <w:t xml:space="preserve"> Pravilnik o načinu motrenja oštećenosti šumskih ekosustava svojim programom propisuje povezivanje i usklađivanje s odgovarajućim međunarodnim sporazumima. </w:t>
      </w:r>
    </w:p>
    <w:p w14:paraId="1A18DC9C" w14:textId="77777777" w:rsidR="00317EE7" w:rsidRPr="00E47EC1" w:rsidRDefault="00317EE7" w:rsidP="00317EE7">
      <w:pPr>
        <w:spacing w:after="120"/>
      </w:pPr>
      <w:r w:rsidRPr="00E47EC1">
        <w:t>Obzirom da su Konvencijom izdvojeni POPs-ovi koji oštećuju šume ponajviše putem atmosferskog onečišćenja (PCDD i PCDF, kao uzgredni proizvodi nastali izgaranjem drvne tvari) prevencija i suzbijanje šumskih požara</w:t>
      </w:r>
      <w:r w:rsidR="009F577B" w:rsidRPr="00E47EC1">
        <w:t xml:space="preserve"> je</w:t>
      </w:r>
      <w:r w:rsidRPr="00E47EC1">
        <w:t xml:space="preserve"> izravan prilog šumarskog sektora smanjivanju štetnih emisija PCDD i PCDF u zrak. </w:t>
      </w:r>
    </w:p>
    <w:p w14:paraId="1381B874" w14:textId="77777777" w:rsidR="001B4447" w:rsidRDefault="00317EE7" w:rsidP="00317EE7">
      <w:pPr>
        <w:spacing w:after="120"/>
      </w:pPr>
      <w:r w:rsidRPr="00E47EC1">
        <w:t>Republika Hrvatska kontinuirano ulaže znatna financijska sredstva kako bi se štete od požara izazvane prirodnim i antropogenim utjecajem svele na najmanju moguću mjeru.</w:t>
      </w:r>
    </w:p>
    <w:p w14:paraId="1A18DC9D" w14:textId="025185B5" w:rsidR="00CA4423" w:rsidRPr="00E47EC1" w:rsidRDefault="001B4447" w:rsidP="00317EE7">
      <w:pPr>
        <w:spacing w:after="120"/>
      </w:pPr>
      <w:r w:rsidRPr="005F715E">
        <w:t xml:space="preserve">Sukladno Pravilniku o postupku, načinu ostvarivanja prava i načinu korištenja sredstava naknade za korištenje općekorisnih funkcija šuma (Narodne novine, broj 107/21) za vatrogasne djelatnosti i to aktivnosti opremanja i aktivnosti osposobljavanja u skladu s propisom koji uređuje područje vatrogastva minimalno 20 % sredstava. </w:t>
      </w:r>
      <w:r w:rsidR="00317EE7" w:rsidRPr="00E47EC1">
        <w:t xml:space="preserve"> </w:t>
      </w:r>
    </w:p>
    <w:p w14:paraId="1A18DC9F" w14:textId="77777777" w:rsidR="00317EE7" w:rsidRPr="00E47EC1" w:rsidRDefault="00317EE7" w:rsidP="00317EE7">
      <w:pPr>
        <w:spacing w:after="120"/>
      </w:pPr>
      <w:r w:rsidRPr="00E47EC1">
        <w:t xml:space="preserve">Saniranje i pošumljavanje opožarenih površina uz učinkovitu protupožarnu zaštitu i operativu provode se uz koordinirane kampanje podizanja svijesti ljudi o značenju i važnosti šuma s posebnim naglaskom na prevenciju šumskih požara. Program ruralnog razvoja Republike Hrvatske za razdoblje 2014.-2020. </w:t>
      </w:r>
      <w:r w:rsidR="00B73AF2" w:rsidRPr="00E47EC1">
        <w:t>će</w:t>
      </w:r>
      <w:r w:rsidRPr="00E47EC1">
        <w:t xml:space="preserve"> kroz operacije 4.3.3. „Izgradnja šumske infrastrukture“ i 8.5.1. „Konverzija degradiranih šumskih sastojina i šumskih kultura“ omogućit</w:t>
      </w:r>
      <w:r w:rsidR="00B73AF2" w:rsidRPr="00E47EC1">
        <w:t>i</w:t>
      </w:r>
      <w:r w:rsidRPr="00E47EC1">
        <w:t xml:space="preserve"> veća ulaganja u protupožarnu preventivu i zaštitu šuma povećanjem otvorenosti šumskih područja šumskim prometnicama te šumskim radovima koji održivim i stručnim gospodarenjem u degradiranim šumama i šumskim monokulturama smanjuju stupanj opasnosti od šumskih požara.</w:t>
      </w:r>
    </w:p>
    <w:p w14:paraId="1A18DCA0" w14:textId="77777777" w:rsidR="00894577" w:rsidRPr="00E47EC1" w:rsidRDefault="00317EE7" w:rsidP="00317EE7">
      <w:pPr>
        <w:spacing w:after="120"/>
      </w:pPr>
      <w:r w:rsidRPr="00E47EC1">
        <w:t>Protupožarna zaštita i preventiva u šumarstvu uređena je legislativno Pravilnikom o zaštiti šuma od požara (Narodne novine, br</w:t>
      </w:r>
      <w:r w:rsidR="008053DA" w:rsidRPr="00E47EC1">
        <w:t>oj</w:t>
      </w:r>
      <w:r w:rsidRPr="00E47EC1">
        <w:t xml:space="preserve"> 33/14) koji propisuje tehničke, preventivno-uzgojne i druge mjere zaštite šuma od požara koje su dužni provoditi vlasnici, odnosno korisnici šuma i šumskog zemljišta. </w:t>
      </w:r>
    </w:p>
    <w:p w14:paraId="1A18DCA1" w14:textId="77777777" w:rsidR="00894577" w:rsidRPr="00E47EC1" w:rsidRDefault="00894577" w:rsidP="00894577">
      <w:pPr>
        <w:spacing w:after="120"/>
      </w:pPr>
      <w:r w:rsidRPr="00E47EC1">
        <w:t xml:space="preserve">U skladu sa Zakonom o šumama od 1. siječnja 2009., započeo je s radom Registar požara (sustav dokumentacije, podataka i informacija o šumskim požarima) usklađen s bazom podataka </w:t>
      </w:r>
      <w:r w:rsidR="00BF1EC8" w:rsidRPr="00E47EC1">
        <w:t xml:space="preserve">Europskog informacijskog sustava za šumske požare (EFFIS, eng. </w:t>
      </w:r>
      <w:r w:rsidR="00BF1EC8" w:rsidRPr="00E47EC1">
        <w:rPr>
          <w:i/>
        </w:rPr>
        <w:t>The European Forest Fire Information System</w:t>
      </w:r>
      <w:r w:rsidR="00BF1EC8" w:rsidRPr="00E47EC1">
        <w:t>)</w:t>
      </w:r>
      <w:r w:rsidRPr="00E47EC1">
        <w:t>. Rad Registra propisan je Pravilnikom o načinu prikupljanja podataka, vođenju registra te uvjetima korištenja podataka o šumskim požarima (Narodne novine, br. 75/13, 150/14</w:t>
      </w:r>
      <w:r w:rsidR="00C82E55">
        <w:t>,</w:t>
      </w:r>
      <w:r w:rsidRPr="00E47EC1">
        <w:t xml:space="preserve"> 21/17</w:t>
      </w:r>
      <w:r w:rsidR="00C82E55">
        <w:t xml:space="preserve"> i 82/19</w:t>
      </w:r>
      <w:r w:rsidRPr="00E47EC1">
        <w:t xml:space="preserve">). </w:t>
      </w:r>
      <w:r w:rsidRPr="00E47EC1">
        <w:lastRenderedPageBreak/>
        <w:t xml:space="preserve">Isti Pravilnik propisuje i obvezu Republike Hrvatske da do 1. srpnja svake godine za potrebe </w:t>
      </w:r>
      <w:r w:rsidR="00BF1EC8" w:rsidRPr="00E47EC1">
        <w:t xml:space="preserve">EFFIS-a </w:t>
      </w:r>
      <w:r w:rsidRPr="00E47EC1">
        <w:t>dostavi Zajedničkom istraživačkom centru Europske komisije sedam tipova podataka o svakom šumskom požaru koji se dogodio na području Republike Hrvatske tijekom prethodne godine. Cilj opisanih mjera je rano otkrivanje i dojava o nastanku i širenju šumskog požara te osiguravanje pravovremenog djelovanja u njegovu gašenju.</w:t>
      </w:r>
      <w:r w:rsidR="00C06757" w:rsidRPr="00E47EC1">
        <w:t xml:space="preserve"> </w:t>
      </w:r>
      <w:r w:rsidRPr="00E47EC1">
        <w:t>“Hrvatske šume” d.o.o., trgovačko društvo koje gospodari državnim šumama, posjeduje međunarodni FSC certifikat koji obvezuje da se šumom gospodari prema strogim ekološkim, socijalnim i ekonomskim standardima. Upravo strogi ekološki standardi FSC certifikata jamče da se hrvatske šume ne tretiraju ili na bilo koji drugi način kontaminiraju nekim od POPs-ova koji su uključeni u dodacima Konvencije.</w:t>
      </w:r>
    </w:p>
    <w:p w14:paraId="1A18DCA2" w14:textId="77777777" w:rsidR="007627AA" w:rsidRPr="00E47EC1" w:rsidRDefault="007627AA" w:rsidP="007627AA">
      <w:pPr>
        <w:pStyle w:val="Naslov3"/>
        <w:numPr>
          <w:ilvl w:val="2"/>
          <w:numId w:val="9"/>
        </w:numPr>
        <w:spacing w:before="100" w:beforeAutospacing="1" w:after="120"/>
        <w:rPr>
          <w:b/>
          <w:i w:val="0"/>
        </w:rPr>
      </w:pPr>
      <w:bookmarkStart w:id="15" w:name="_Toc100840615"/>
      <w:r w:rsidRPr="00E47EC1">
        <w:t>Praćenje emisija i imisija POPs-ova u zraku</w:t>
      </w:r>
      <w:bookmarkEnd w:id="15"/>
    </w:p>
    <w:p w14:paraId="1A18DCA3" w14:textId="77777777" w:rsidR="00317EE7" w:rsidRPr="00E47EC1" w:rsidRDefault="007627AA" w:rsidP="002664D6">
      <w:pPr>
        <w:pStyle w:val="Naslov3"/>
        <w:numPr>
          <w:ilvl w:val="3"/>
          <w:numId w:val="9"/>
        </w:numPr>
        <w:spacing w:before="100" w:beforeAutospacing="1" w:after="120"/>
        <w:rPr>
          <w:b/>
        </w:rPr>
      </w:pPr>
      <w:bookmarkStart w:id="16" w:name="_Toc100840616"/>
      <w:r w:rsidRPr="00E47EC1">
        <w:t>Praćenje imisija POPs-ova u zraku</w:t>
      </w:r>
      <w:bookmarkEnd w:id="16"/>
    </w:p>
    <w:p w14:paraId="1A18DCA4" w14:textId="77777777" w:rsidR="00317EE7" w:rsidRPr="00E47EC1" w:rsidRDefault="00317EE7" w:rsidP="007E5335">
      <w:pPr>
        <w:pStyle w:val="Odlomakpopisa"/>
        <w:spacing w:after="120"/>
        <w:ind w:left="0"/>
        <w:contextualSpacing w:val="0"/>
        <w:rPr>
          <w:i/>
          <w:color w:val="000000" w:themeColor="text1"/>
        </w:rPr>
      </w:pPr>
      <w:r w:rsidRPr="00E47EC1">
        <w:rPr>
          <w:i/>
          <w:color w:val="000000" w:themeColor="text1"/>
        </w:rPr>
        <w:t>Rezultati određivanja benzo(a)pirena (BaP) u česticama PM</w:t>
      </w:r>
      <w:r w:rsidRPr="00E47EC1">
        <w:rPr>
          <w:i/>
          <w:color w:val="000000" w:themeColor="text1"/>
          <w:vertAlign w:val="subscript"/>
        </w:rPr>
        <w:t>10</w:t>
      </w:r>
      <w:r w:rsidRPr="00E47EC1">
        <w:rPr>
          <w:i/>
          <w:color w:val="000000" w:themeColor="text1"/>
        </w:rPr>
        <w:t xml:space="preserve"> – </w:t>
      </w:r>
      <w:r w:rsidR="00004A9F" w:rsidRPr="00E47EC1">
        <w:rPr>
          <w:i/>
          <w:color w:val="000000" w:themeColor="text1"/>
        </w:rPr>
        <w:t>20</w:t>
      </w:r>
      <w:r w:rsidR="00004A9F">
        <w:rPr>
          <w:i/>
          <w:color w:val="000000" w:themeColor="text1"/>
        </w:rPr>
        <w:t>20</w:t>
      </w:r>
      <w:r w:rsidRPr="00E47EC1">
        <w:rPr>
          <w:i/>
          <w:color w:val="000000" w:themeColor="text1"/>
        </w:rPr>
        <w:t>. godina</w:t>
      </w:r>
    </w:p>
    <w:p w14:paraId="1A18DCA5" w14:textId="50A386EA" w:rsidR="00317EE7" w:rsidRPr="00E47EC1" w:rsidRDefault="00AD1FC5" w:rsidP="007E5335">
      <w:pPr>
        <w:pStyle w:val="Odlomakpopisa"/>
        <w:spacing w:after="120"/>
        <w:ind w:left="0"/>
        <w:contextualSpacing w:val="0"/>
      </w:pPr>
      <w:r w:rsidRPr="00E47EC1">
        <w:t>Jedna od obve</w:t>
      </w:r>
      <w:r w:rsidR="00232310" w:rsidRPr="00E47EC1">
        <w:t xml:space="preserve">za </w:t>
      </w:r>
      <w:r w:rsidR="000F7128">
        <w:t>MINGOR</w:t>
      </w:r>
      <w:r w:rsidR="00232310" w:rsidRPr="00E47EC1">
        <w:t>-a je i izrada g</w:t>
      </w:r>
      <w:r w:rsidRPr="00E47EC1">
        <w:t xml:space="preserve">odišnjih izvješća o praćenju kvalitete zraka na području Republike Hrvatske. Izvješća se izrađuju u tekućoj godini za proteklu kalendarsku godinu te obuhvaćaju podatke o koncentracijama onečišćujućih tvari s </w:t>
      </w:r>
      <w:r w:rsidR="005C5B30" w:rsidRPr="005C5B30">
        <w:t>državne mreže, mjerni</w:t>
      </w:r>
      <w:r w:rsidR="005C5B30">
        <w:t>h postaja</w:t>
      </w:r>
      <w:r w:rsidR="005C5B30" w:rsidRPr="005C5B30">
        <w:t xml:space="preserve"> na području jedinica područne (regionalne) samouprave, Grada Zagreba, jedinica lokalne samouprave te mjernim postajama onečišćivača (u daljnjem tekstu: lokalna mreža)</w:t>
      </w:r>
      <w:r w:rsidR="001863D9">
        <w:t xml:space="preserve">. Sva izvješća kao i podaci o kvaliteti zraka su dostupna javnosti u sklopu Portala kvaliteta zraka u Republici Hrvatskoj: </w:t>
      </w:r>
      <w:hyperlink r:id="rId42" w:history="1">
        <w:r w:rsidR="001863D9" w:rsidRPr="00C302A8">
          <w:rPr>
            <w:rStyle w:val="Hiperveza"/>
          </w:rPr>
          <w:t>http://iszz.azo.hr/iskzl/</w:t>
        </w:r>
      </w:hyperlink>
      <w:r w:rsidR="001863D9">
        <w:t>.</w:t>
      </w:r>
    </w:p>
    <w:p w14:paraId="1A18DCA6" w14:textId="77777777" w:rsidR="00317EE7" w:rsidRPr="00E47EC1" w:rsidRDefault="00317EE7" w:rsidP="007E5335">
      <w:pPr>
        <w:spacing w:after="120"/>
      </w:pPr>
      <w:r w:rsidRPr="00E47EC1">
        <w:t>Na postajama državne i lokaln</w:t>
      </w:r>
      <w:r w:rsidR="00351284">
        <w:t>ih</w:t>
      </w:r>
      <w:r w:rsidRPr="00E47EC1">
        <w:t xml:space="preserve"> mrež</w:t>
      </w:r>
      <w:r w:rsidR="00351284">
        <w:t>a</w:t>
      </w:r>
      <w:r w:rsidRPr="00E47EC1">
        <w:t xml:space="preserve"> u Republici Hrvatskoj od POPs-ova mjere se policiklički aromatski ugljikovodici (PAU): benzo(a)piren (BaP), benzo</w:t>
      </w:r>
      <w:r w:rsidR="009E255B" w:rsidRPr="00E47EC1">
        <w:t>(a)</w:t>
      </w:r>
      <w:r w:rsidRPr="00E47EC1">
        <w:t>antracen, benzo(b)fluoranten, benzo(j)fluoranten, benzo(k)fluoranten, indenopiren i dibenzo</w:t>
      </w:r>
      <w:r w:rsidR="009E255B" w:rsidRPr="00E47EC1">
        <w:t>(a)</w:t>
      </w:r>
      <w:r w:rsidRPr="00E47EC1">
        <w:t>antracen u frakcijama lebdećih čestica PM</w:t>
      </w:r>
      <w:r w:rsidRPr="00E47EC1">
        <w:rPr>
          <w:vertAlign w:val="subscript"/>
        </w:rPr>
        <w:t>10</w:t>
      </w:r>
      <w:r w:rsidRPr="00E47EC1">
        <w:t xml:space="preserve"> na lokacijama: mjern</w:t>
      </w:r>
      <w:r w:rsidR="00D77279" w:rsidRPr="00E47EC1">
        <w:t>e</w:t>
      </w:r>
      <w:r w:rsidRPr="00E47EC1">
        <w:t xml:space="preserve"> postaj</w:t>
      </w:r>
      <w:r w:rsidR="00D77279" w:rsidRPr="00E47EC1">
        <w:t>e</w:t>
      </w:r>
      <w:r w:rsidRPr="00E47EC1">
        <w:t xml:space="preserve"> državne mreže </w:t>
      </w:r>
      <w:r w:rsidR="00D77279" w:rsidRPr="00E47EC1">
        <w:t xml:space="preserve">u aglomeraciji Zagreb: </w:t>
      </w:r>
      <w:r w:rsidRPr="00E47EC1">
        <w:t>Zagreb-1 (</w:t>
      </w:r>
      <w:r w:rsidR="003523A3" w:rsidRPr="00E47EC1">
        <w:t xml:space="preserve">raskrižje </w:t>
      </w:r>
      <w:r w:rsidRPr="00E47EC1">
        <w:t>Miramarsk</w:t>
      </w:r>
      <w:r w:rsidR="003523A3" w:rsidRPr="00E47EC1">
        <w:t>e ulice i Vukovarske</w:t>
      </w:r>
      <w:r w:rsidR="002D4766">
        <w:t xml:space="preserve"> </w:t>
      </w:r>
      <w:r w:rsidR="003523A3" w:rsidRPr="00E47EC1">
        <w:t>ulice</w:t>
      </w:r>
      <w:r w:rsidRPr="00E47EC1">
        <w:t>)</w:t>
      </w:r>
      <w:r w:rsidR="00D77279" w:rsidRPr="00E47EC1">
        <w:t xml:space="preserve"> i Zagreb-3 (raskrižje Sarajevske ulice i Kauzlarićevog prilaza) i </w:t>
      </w:r>
      <w:r w:rsidRPr="00E47EC1">
        <w:t>mjerna postaja državne mreže Sisak-1 (na lokaciji Caprag)</w:t>
      </w:r>
      <w:r w:rsidR="00D77279" w:rsidRPr="00E47EC1">
        <w:t xml:space="preserve"> koja se nalazi u Industrijskoj zoni (HR2). </w:t>
      </w:r>
      <w:r w:rsidR="00F81041">
        <w:t xml:space="preserve">Od 2018. godine </w:t>
      </w:r>
      <w:r w:rsidR="00A3593C">
        <w:t xml:space="preserve">u Industrijskoj zoni (HR2) </w:t>
      </w:r>
      <w:r w:rsidR="00F81041">
        <w:t>POPs-ovi se mjere i na mjerno</w:t>
      </w:r>
      <w:r w:rsidR="003234EC">
        <w:t>j postaji Slavonski Brod- 1</w:t>
      </w:r>
      <w:r w:rsidR="00A3593C">
        <w:t>.</w:t>
      </w:r>
    </w:p>
    <w:p w14:paraId="1A18DCA7" w14:textId="77777777" w:rsidR="00BB6A94" w:rsidRPr="00E47EC1" w:rsidRDefault="00BB6A94" w:rsidP="007E5335">
      <w:pPr>
        <w:spacing w:after="120"/>
      </w:pPr>
      <w:r w:rsidRPr="00E47EC1">
        <w:t xml:space="preserve">Uredba o razinama onečišćujućih tvari u zraku </w:t>
      </w:r>
      <w:r w:rsidR="00FC47D2" w:rsidRPr="00E47EC1">
        <w:t>(</w:t>
      </w:r>
      <w:r w:rsidRPr="00E47EC1">
        <w:t>Narodne novine</w:t>
      </w:r>
      <w:r w:rsidR="00FC47D2" w:rsidRPr="00E47EC1">
        <w:t>,</w:t>
      </w:r>
      <w:r w:rsidRPr="00E47EC1">
        <w:t xml:space="preserve"> br</w:t>
      </w:r>
      <w:r w:rsidR="00DD73F2">
        <w:t>.</w:t>
      </w:r>
      <w:r w:rsidR="005B56A0">
        <w:t>77/20</w:t>
      </w:r>
      <w:r w:rsidR="00FC47D2" w:rsidRPr="00E47EC1">
        <w:t>) propisuje ciljnu vrijednost</w:t>
      </w:r>
      <w:r w:rsidR="00FF33DD" w:rsidRPr="00E47EC1">
        <w:t xml:space="preserve"> (CV)</w:t>
      </w:r>
      <w:r w:rsidR="00FC47D2" w:rsidRPr="00E47EC1">
        <w:t xml:space="preserve"> PAU BaP u PM</w:t>
      </w:r>
      <w:r w:rsidR="00FC47D2" w:rsidRPr="00E47EC1">
        <w:rPr>
          <w:vertAlign w:val="subscript"/>
        </w:rPr>
        <w:t>10</w:t>
      </w:r>
      <w:r w:rsidR="00FC47D2" w:rsidRPr="00E47EC1">
        <w:t xml:space="preserve"> od 1,0 ng</w:t>
      </w:r>
      <w:r w:rsidR="004F75C6" w:rsidRPr="00E47EC1">
        <w:t xml:space="preserve"> </w:t>
      </w:r>
      <w:r w:rsidR="00FC47D2" w:rsidRPr="00E47EC1">
        <w:t>m</w:t>
      </w:r>
      <w:r w:rsidR="004F75C6" w:rsidRPr="00E47EC1">
        <w:rPr>
          <w:vertAlign w:val="superscript"/>
        </w:rPr>
        <w:t>-</w:t>
      </w:r>
      <w:r w:rsidR="00FC47D2" w:rsidRPr="00E47EC1">
        <w:rPr>
          <w:vertAlign w:val="superscript"/>
        </w:rPr>
        <w:t>3</w:t>
      </w:r>
      <w:r w:rsidR="00FC47D2" w:rsidRPr="00E47EC1">
        <w:t>.</w:t>
      </w:r>
      <w:r w:rsidR="00530B9D">
        <w:t xml:space="preserve"> Ocjena kvalitete zraka daje se samo za B(a)P, jer za ostale PAU nisu propisane GV i/ili CV.</w:t>
      </w:r>
      <w:r w:rsidR="00FC47D2" w:rsidRPr="00E47EC1">
        <w:t xml:space="preserve"> </w:t>
      </w:r>
      <w:r w:rsidR="00351284">
        <w:t xml:space="preserve"> Srednje godišnje vrijednosti se zaokružuju na jednaki broj decimalnih mjesta kao što ga ima i ciljna vrijednost, navedeno je propisano i u skladu sa zahtjevima iz Provedbene odluke Komisije 2011/850/EU-IPR.</w:t>
      </w:r>
    </w:p>
    <w:p w14:paraId="1A18DCA8" w14:textId="77777777" w:rsidR="00004A9F" w:rsidRPr="00004A9F" w:rsidRDefault="00004A9F" w:rsidP="008B12EA">
      <w:pPr>
        <w:spacing w:after="120"/>
        <w:rPr>
          <w:bCs/>
          <w:i/>
        </w:rPr>
      </w:pPr>
      <w:bookmarkStart w:id="17" w:name="_Toc426066121"/>
      <w:r w:rsidRPr="00004A9F">
        <w:rPr>
          <w:bCs/>
          <w:i/>
        </w:rPr>
        <w:t>Za ocjenu onečišćenosti zona i aglomeracija u 2020. godini (ocjenu sukladnosti s okolišnim ciljevima) obrađena su mjerenja benzo(a)pirena (B(a)P</w:t>
      </w:r>
      <w:r w:rsidR="001863D9">
        <w:rPr>
          <w:bCs/>
          <w:i/>
        </w:rPr>
        <w:t>) s četiri</w:t>
      </w:r>
      <w:r w:rsidRPr="00004A9F">
        <w:rPr>
          <w:bCs/>
          <w:i/>
        </w:rPr>
        <w:t xml:space="preserve"> mjerne postaje Zagreb-1 i Zagreb-3 u aglomeraciji Zagreb, te Sisak-1 </w:t>
      </w:r>
      <w:r w:rsidR="001863D9">
        <w:rPr>
          <w:bCs/>
          <w:i/>
        </w:rPr>
        <w:t xml:space="preserve">i Slavonski Brod-1 </w:t>
      </w:r>
      <w:r w:rsidRPr="00004A9F">
        <w:rPr>
          <w:bCs/>
          <w:i/>
        </w:rPr>
        <w:t>u Industrijskoj zoni</w:t>
      </w:r>
      <w:r>
        <w:rPr>
          <w:bCs/>
          <w:i/>
        </w:rPr>
        <w:t xml:space="preserve"> (Izvor: Godišnje izvješće o praćenju kvalitete zraka na teritoriju Republike Hrvatske za 2020. godinu, MINGOR, 2021.)</w:t>
      </w:r>
      <w:r w:rsidRPr="00004A9F">
        <w:rPr>
          <w:bCs/>
          <w:i/>
        </w:rPr>
        <w:t>.</w:t>
      </w:r>
    </w:p>
    <w:p w14:paraId="1A18DCAA" w14:textId="28C68A8C" w:rsidR="00F920F5" w:rsidRDefault="00004A9F" w:rsidP="007348AA">
      <w:pPr>
        <w:spacing w:after="120"/>
        <w:rPr>
          <w:bCs/>
          <w:i/>
        </w:rPr>
      </w:pPr>
      <w:r w:rsidRPr="00004A9F">
        <w:rPr>
          <w:bCs/>
          <w:i/>
        </w:rPr>
        <w:t>Sumarni statistički podaci koncentracija BaP u lebdećim česticama PM</w:t>
      </w:r>
      <w:r w:rsidRPr="00FB13AA">
        <w:rPr>
          <w:bCs/>
          <w:i/>
          <w:vertAlign w:val="subscript"/>
        </w:rPr>
        <w:t>10</w:t>
      </w:r>
      <w:r w:rsidRPr="00004A9F">
        <w:rPr>
          <w:bCs/>
          <w:i/>
        </w:rPr>
        <w:t xml:space="preserve"> u zraku u 2020. godini prikazani su u tablici 2.3-</w:t>
      </w:r>
      <w:r w:rsidR="002D7C82">
        <w:rPr>
          <w:bCs/>
          <w:i/>
        </w:rPr>
        <w:t>6.1</w:t>
      </w:r>
      <w:r w:rsidRPr="00004A9F">
        <w:rPr>
          <w:bCs/>
          <w:i/>
        </w:rPr>
        <w:t>.</w:t>
      </w:r>
      <w:r w:rsidR="00F920F5">
        <w:rPr>
          <w:bCs/>
          <w:i/>
        </w:rPr>
        <w:br w:type="page"/>
      </w:r>
    </w:p>
    <w:p w14:paraId="1A18DCAB" w14:textId="74D7D8A4" w:rsidR="00865DA9" w:rsidRDefault="00004A9F" w:rsidP="00004A9F">
      <w:pPr>
        <w:spacing w:after="120"/>
        <w:rPr>
          <w:bCs/>
          <w:i/>
        </w:rPr>
      </w:pPr>
      <w:r w:rsidRPr="00004A9F">
        <w:rPr>
          <w:bCs/>
          <w:i/>
        </w:rPr>
        <w:lastRenderedPageBreak/>
        <w:t>Tablica 2.3-</w:t>
      </w:r>
      <w:r w:rsidR="002D7C82">
        <w:rPr>
          <w:bCs/>
          <w:i/>
        </w:rPr>
        <w:t>6</w:t>
      </w:r>
      <w:r w:rsidRPr="00004A9F">
        <w:rPr>
          <w:bCs/>
          <w:i/>
        </w:rPr>
        <w:t>.</w:t>
      </w:r>
      <w:r w:rsidR="002D7C82">
        <w:rPr>
          <w:bCs/>
          <w:i/>
        </w:rPr>
        <w:t>1</w:t>
      </w:r>
      <w:r w:rsidRPr="00004A9F">
        <w:rPr>
          <w:bCs/>
          <w:i/>
        </w:rPr>
        <w:t xml:space="preserve">  Sumarni podaci</w:t>
      </w:r>
      <w:r w:rsidR="001863D9">
        <w:rPr>
          <w:bCs/>
          <w:i/>
        </w:rPr>
        <w:t xml:space="preserve"> o</w:t>
      </w:r>
      <w:r w:rsidRPr="00004A9F">
        <w:rPr>
          <w:bCs/>
          <w:i/>
        </w:rPr>
        <w:t xml:space="preserve"> koncentracija benzo(a)pirena </w:t>
      </w:r>
      <w:r w:rsidR="001863D9">
        <w:rPr>
          <w:bCs/>
          <w:i/>
        </w:rPr>
        <w:t xml:space="preserve">i ostalih PAU </w:t>
      </w:r>
      <w:r w:rsidRPr="00004A9F">
        <w:rPr>
          <w:bCs/>
          <w:i/>
        </w:rPr>
        <w:t>u lebdećim česticama PM</w:t>
      </w:r>
      <w:r w:rsidRPr="00FB13AA">
        <w:rPr>
          <w:bCs/>
          <w:i/>
          <w:vertAlign w:val="subscript"/>
        </w:rPr>
        <w:t>10</w:t>
      </w:r>
      <w:r w:rsidRPr="00004A9F">
        <w:rPr>
          <w:bCs/>
          <w:i/>
        </w:rPr>
        <w:t xml:space="preserve"> u zraku u 2020. godini</w:t>
      </w:r>
    </w:p>
    <w:p w14:paraId="179F0903" w14:textId="77777777" w:rsidR="00FB13AA" w:rsidRDefault="00FB13AA" w:rsidP="00004A9F">
      <w:pPr>
        <w:spacing w:after="120"/>
        <w:rPr>
          <w:bCs/>
          <w:i/>
        </w:rPr>
      </w:pPr>
    </w:p>
    <w:tbl>
      <w:tblPr>
        <w:tblW w:w="9628" w:type="dxa"/>
        <w:tblLayout w:type="fixed"/>
        <w:tblLook w:val="04A0" w:firstRow="1" w:lastRow="0" w:firstColumn="1" w:lastColumn="0" w:noHBand="0" w:noVBand="1"/>
      </w:tblPr>
      <w:tblGrid>
        <w:gridCol w:w="58"/>
        <w:gridCol w:w="1179"/>
        <w:gridCol w:w="176"/>
        <w:gridCol w:w="1417"/>
        <w:gridCol w:w="1479"/>
        <w:gridCol w:w="648"/>
        <w:gridCol w:w="1559"/>
        <w:gridCol w:w="513"/>
        <w:gridCol w:w="548"/>
        <w:gridCol w:w="640"/>
        <w:gridCol w:w="1411"/>
      </w:tblGrid>
      <w:tr w:rsidR="00004A9F" w:rsidRPr="00FC5A5E" w14:paraId="1A18DCAD" w14:textId="77777777" w:rsidTr="00FB13AA">
        <w:trPr>
          <w:trHeight w:val="445"/>
          <w:tblHeader/>
        </w:trPr>
        <w:tc>
          <w:tcPr>
            <w:tcW w:w="9628" w:type="dxa"/>
            <w:gridSpan w:val="11"/>
            <w:tcBorders>
              <w:top w:val="single" w:sz="4" w:space="0" w:color="auto"/>
              <w:left w:val="single" w:sz="4" w:space="0" w:color="auto"/>
              <w:bottom w:val="single" w:sz="4" w:space="0" w:color="auto"/>
              <w:right w:val="single" w:sz="4" w:space="0" w:color="auto"/>
            </w:tcBorders>
            <w:shd w:val="clear" w:color="000000" w:fill="003C71"/>
            <w:vAlign w:val="center"/>
            <w:hideMark/>
          </w:tcPr>
          <w:p w14:paraId="1A18DCAC"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B(a)P i ostali PAU u PM</w:t>
            </w:r>
            <w:r w:rsidRPr="00FC5A5E">
              <w:rPr>
                <w:rFonts w:ascii="Segoe UI" w:hAnsi="Segoe UI" w:cs="Segoe UI"/>
                <w:b/>
                <w:bCs/>
                <w:color w:val="FFFFFF"/>
                <w:sz w:val="15"/>
                <w:szCs w:val="15"/>
                <w:vertAlign w:val="subscript"/>
              </w:rPr>
              <w:t>10</w:t>
            </w:r>
            <w:r w:rsidRPr="00FC5A5E">
              <w:rPr>
                <w:rFonts w:ascii="Segoe UI" w:hAnsi="Segoe UI" w:cs="Segoe UI"/>
                <w:b/>
                <w:bCs/>
                <w:color w:val="FFFFFF"/>
                <w:sz w:val="15"/>
                <w:szCs w:val="15"/>
              </w:rPr>
              <w:t xml:space="preserve"> (ng/m</w:t>
            </w:r>
            <w:r w:rsidRPr="00FC5A5E">
              <w:rPr>
                <w:rFonts w:ascii="Segoe UI" w:hAnsi="Segoe UI" w:cs="Segoe UI"/>
                <w:b/>
                <w:bCs/>
                <w:color w:val="FFFFFF"/>
                <w:sz w:val="15"/>
                <w:szCs w:val="15"/>
                <w:vertAlign w:val="superscript"/>
              </w:rPr>
              <w:t>3</w:t>
            </w:r>
            <w:r w:rsidRPr="00FC5A5E">
              <w:rPr>
                <w:rFonts w:ascii="Segoe UI" w:hAnsi="Segoe UI" w:cs="Segoe UI"/>
                <w:b/>
                <w:bCs/>
                <w:color w:val="FFFFFF"/>
                <w:sz w:val="15"/>
                <w:szCs w:val="15"/>
              </w:rPr>
              <w:t>)</w:t>
            </w:r>
          </w:p>
        </w:tc>
      </w:tr>
      <w:tr w:rsidR="00004A9F" w:rsidRPr="00FC5A5E" w14:paraId="1A18DCB3" w14:textId="77777777" w:rsidTr="00FB13AA">
        <w:trPr>
          <w:trHeight w:val="298"/>
          <w:tblHeader/>
        </w:trPr>
        <w:tc>
          <w:tcPr>
            <w:tcW w:w="1413" w:type="dxa"/>
            <w:gridSpan w:val="3"/>
            <w:vMerge w:val="restart"/>
            <w:tcBorders>
              <w:top w:val="nil"/>
              <w:left w:val="single" w:sz="4" w:space="0" w:color="auto"/>
              <w:bottom w:val="single" w:sz="4" w:space="0" w:color="auto"/>
              <w:right w:val="single" w:sz="4" w:space="0" w:color="auto"/>
            </w:tcBorders>
            <w:shd w:val="clear" w:color="000000" w:fill="003C71"/>
            <w:vAlign w:val="center"/>
            <w:hideMark/>
          </w:tcPr>
          <w:p w14:paraId="1A18DCAE"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Zona / Aglomeracija</w:t>
            </w:r>
          </w:p>
        </w:tc>
        <w:tc>
          <w:tcPr>
            <w:tcW w:w="1417" w:type="dxa"/>
            <w:vMerge w:val="restart"/>
            <w:tcBorders>
              <w:top w:val="nil"/>
              <w:left w:val="single" w:sz="4" w:space="0" w:color="auto"/>
              <w:bottom w:val="single" w:sz="4" w:space="0" w:color="auto"/>
              <w:right w:val="single" w:sz="4" w:space="0" w:color="auto"/>
            </w:tcBorders>
            <w:shd w:val="clear" w:color="000000" w:fill="003C71"/>
            <w:vAlign w:val="center"/>
            <w:hideMark/>
          </w:tcPr>
          <w:p w14:paraId="1A18DCAF"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Mjerna postaja / Modeliranje</w:t>
            </w:r>
          </w:p>
        </w:tc>
        <w:tc>
          <w:tcPr>
            <w:tcW w:w="1479" w:type="dxa"/>
            <w:vMerge w:val="restart"/>
            <w:tcBorders>
              <w:top w:val="nil"/>
              <w:left w:val="single" w:sz="4" w:space="0" w:color="auto"/>
              <w:bottom w:val="single" w:sz="4" w:space="0" w:color="auto"/>
              <w:right w:val="single" w:sz="4" w:space="0" w:color="auto"/>
            </w:tcBorders>
            <w:shd w:val="clear" w:color="000000" w:fill="003C71"/>
            <w:vAlign w:val="center"/>
            <w:hideMark/>
          </w:tcPr>
          <w:p w14:paraId="1A18DCB0"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Onečišćujuća tvar</w:t>
            </w:r>
          </w:p>
        </w:tc>
        <w:tc>
          <w:tcPr>
            <w:tcW w:w="3908" w:type="dxa"/>
            <w:gridSpan w:val="5"/>
            <w:tcBorders>
              <w:top w:val="single" w:sz="4" w:space="0" w:color="auto"/>
              <w:left w:val="nil"/>
              <w:bottom w:val="single" w:sz="4" w:space="0" w:color="auto"/>
              <w:right w:val="single" w:sz="4" w:space="0" w:color="auto"/>
            </w:tcBorders>
            <w:shd w:val="clear" w:color="000000" w:fill="003C71"/>
            <w:vAlign w:val="center"/>
            <w:hideMark/>
          </w:tcPr>
          <w:p w14:paraId="1A18DCB1"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24-satne koncentracije</w:t>
            </w:r>
          </w:p>
        </w:tc>
        <w:tc>
          <w:tcPr>
            <w:tcW w:w="1411" w:type="dxa"/>
            <w:vMerge w:val="restart"/>
            <w:tcBorders>
              <w:top w:val="nil"/>
              <w:left w:val="single" w:sz="4" w:space="0" w:color="auto"/>
              <w:bottom w:val="single" w:sz="4" w:space="0" w:color="auto"/>
              <w:right w:val="single" w:sz="4" w:space="0" w:color="auto"/>
            </w:tcBorders>
            <w:shd w:val="clear" w:color="000000" w:fill="003C71"/>
            <w:vAlign w:val="center"/>
            <w:hideMark/>
          </w:tcPr>
          <w:p w14:paraId="1A18DCB2"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Ocjena</w:t>
            </w:r>
            <w:r w:rsidRPr="00FC5A5E">
              <w:rPr>
                <w:rFonts w:ascii="Segoe UI" w:hAnsi="Segoe UI" w:cs="Segoe UI"/>
                <w:b/>
                <w:bCs/>
                <w:color w:val="FFFFFF"/>
                <w:sz w:val="15"/>
                <w:szCs w:val="15"/>
              </w:rPr>
              <w:br/>
              <w:t>onečišćenosti</w:t>
            </w:r>
            <w:r w:rsidRPr="00FC5A5E">
              <w:rPr>
                <w:rFonts w:ascii="Segoe UI" w:hAnsi="Segoe UI" w:cs="Segoe UI"/>
                <w:b/>
                <w:bCs/>
                <w:color w:val="FFFFFF"/>
                <w:sz w:val="15"/>
                <w:szCs w:val="15"/>
              </w:rPr>
              <w:br/>
              <w:t>(sukladnosti)</w:t>
            </w:r>
          </w:p>
        </w:tc>
      </w:tr>
      <w:tr w:rsidR="00B542EA" w:rsidRPr="00FC5A5E" w14:paraId="1A18DCBC" w14:textId="77777777" w:rsidTr="00FB13AA">
        <w:trPr>
          <w:trHeight w:val="556"/>
          <w:tblHeader/>
        </w:trPr>
        <w:tc>
          <w:tcPr>
            <w:tcW w:w="1413" w:type="dxa"/>
            <w:gridSpan w:val="3"/>
            <w:vMerge/>
            <w:tcBorders>
              <w:top w:val="nil"/>
              <w:left w:val="single" w:sz="4" w:space="0" w:color="auto"/>
              <w:bottom w:val="single" w:sz="4" w:space="0" w:color="auto"/>
              <w:right w:val="single" w:sz="4" w:space="0" w:color="auto"/>
            </w:tcBorders>
            <w:vAlign w:val="center"/>
            <w:hideMark/>
          </w:tcPr>
          <w:p w14:paraId="1A18DCB4" w14:textId="77777777" w:rsidR="00004A9F" w:rsidRPr="00FC5A5E" w:rsidRDefault="00004A9F" w:rsidP="00004A9F">
            <w:pPr>
              <w:rPr>
                <w:rFonts w:ascii="Segoe UI" w:hAnsi="Segoe UI" w:cs="Segoe UI"/>
                <w:b/>
                <w:bCs/>
                <w:color w:val="FFFFFF"/>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B5" w14:textId="77777777" w:rsidR="00004A9F" w:rsidRPr="00FC5A5E" w:rsidRDefault="00004A9F" w:rsidP="00004A9F">
            <w:pPr>
              <w:rPr>
                <w:rFonts w:ascii="Segoe UI" w:hAnsi="Segoe UI" w:cs="Segoe UI"/>
                <w:b/>
                <w:bCs/>
                <w:color w:val="FFFFFF"/>
                <w:sz w:val="15"/>
                <w:szCs w:val="15"/>
              </w:rPr>
            </w:pPr>
          </w:p>
        </w:tc>
        <w:tc>
          <w:tcPr>
            <w:tcW w:w="1479" w:type="dxa"/>
            <w:vMerge/>
            <w:tcBorders>
              <w:top w:val="nil"/>
              <w:left w:val="single" w:sz="4" w:space="0" w:color="auto"/>
              <w:bottom w:val="single" w:sz="4" w:space="0" w:color="auto"/>
              <w:right w:val="single" w:sz="4" w:space="0" w:color="auto"/>
            </w:tcBorders>
            <w:vAlign w:val="center"/>
            <w:hideMark/>
          </w:tcPr>
          <w:p w14:paraId="1A18DCB6" w14:textId="77777777" w:rsidR="00004A9F" w:rsidRPr="00FC5A5E" w:rsidRDefault="00004A9F" w:rsidP="00004A9F">
            <w:pPr>
              <w:rPr>
                <w:rFonts w:ascii="Segoe UI" w:hAnsi="Segoe UI" w:cs="Segoe UI"/>
                <w:b/>
                <w:bCs/>
                <w:color w:val="FFFFFF"/>
                <w:sz w:val="15"/>
                <w:szCs w:val="15"/>
              </w:rPr>
            </w:pPr>
          </w:p>
        </w:tc>
        <w:tc>
          <w:tcPr>
            <w:tcW w:w="648" w:type="dxa"/>
            <w:tcBorders>
              <w:top w:val="nil"/>
              <w:left w:val="nil"/>
              <w:bottom w:val="single" w:sz="4" w:space="0" w:color="auto"/>
              <w:right w:val="single" w:sz="4" w:space="0" w:color="auto"/>
            </w:tcBorders>
            <w:shd w:val="clear" w:color="000000" w:fill="003C71"/>
            <w:vAlign w:val="center"/>
            <w:hideMark/>
          </w:tcPr>
          <w:p w14:paraId="1A18DCB7"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OP %</w:t>
            </w:r>
          </w:p>
        </w:tc>
        <w:tc>
          <w:tcPr>
            <w:tcW w:w="1559" w:type="dxa"/>
            <w:tcBorders>
              <w:top w:val="nil"/>
              <w:left w:val="nil"/>
              <w:bottom w:val="single" w:sz="4" w:space="0" w:color="auto"/>
              <w:right w:val="single" w:sz="4" w:space="0" w:color="auto"/>
            </w:tcBorders>
            <w:shd w:val="clear" w:color="000000" w:fill="003C71"/>
            <w:vAlign w:val="center"/>
            <w:hideMark/>
          </w:tcPr>
          <w:p w14:paraId="1A18DCB8"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C</w:t>
            </w:r>
            <w:r w:rsidRPr="00FC5A5E">
              <w:rPr>
                <w:rFonts w:ascii="Segoe UI" w:hAnsi="Segoe UI" w:cs="Segoe UI"/>
                <w:b/>
                <w:bCs/>
                <w:color w:val="FFFFFF"/>
                <w:sz w:val="15"/>
                <w:szCs w:val="15"/>
                <w:vertAlign w:val="subscript"/>
              </w:rPr>
              <w:t xml:space="preserve">godina </w:t>
            </w:r>
            <w:r w:rsidRPr="00FC5A5E">
              <w:rPr>
                <w:rFonts w:ascii="Segoe UI" w:hAnsi="Segoe UI" w:cs="Segoe UI"/>
                <w:b/>
                <w:bCs/>
                <w:color w:val="FFFFFF"/>
                <w:sz w:val="15"/>
                <w:szCs w:val="15"/>
              </w:rPr>
              <w:t>(prije zaokruživanja)</w:t>
            </w:r>
          </w:p>
        </w:tc>
        <w:tc>
          <w:tcPr>
            <w:tcW w:w="1061" w:type="dxa"/>
            <w:gridSpan w:val="2"/>
            <w:tcBorders>
              <w:top w:val="nil"/>
              <w:left w:val="nil"/>
              <w:bottom w:val="single" w:sz="4" w:space="0" w:color="auto"/>
              <w:right w:val="single" w:sz="4" w:space="0" w:color="auto"/>
            </w:tcBorders>
            <w:shd w:val="clear" w:color="000000" w:fill="003C71"/>
            <w:vAlign w:val="center"/>
            <w:hideMark/>
          </w:tcPr>
          <w:p w14:paraId="1A18DCB9"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C</w:t>
            </w:r>
            <w:r w:rsidRPr="00FC5A5E">
              <w:rPr>
                <w:rFonts w:ascii="Segoe UI" w:hAnsi="Segoe UI" w:cs="Segoe UI"/>
                <w:b/>
                <w:bCs/>
                <w:color w:val="FFFFFF"/>
                <w:sz w:val="15"/>
                <w:szCs w:val="15"/>
                <w:vertAlign w:val="subscript"/>
              </w:rPr>
              <w:t xml:space="preserve">godina </w:t>
            </w:r>
            <w:r w:rsidRPr="00FC5A5E">
              <w:rPr>
                <w:rFonts w:ascii="Segoe UI" w:hAnsi="Segoe UI" w:cs="Segoe UI"/>
                <w:b/>
                <w:bCs/>
                <w:color w:val="FFFFFF"/>
                <w:sz w:val="15"/>
                <w:szCs w:val="15"/>
              </w:rPr>
              <w:t>(nakon zaokruživanja)</w:t>
            </w:r>
          </w:p>
        </w:tc>
        <w:tc>
          <w:tcPr>
            <w:tcW w:w="640" w:type="dxa"/>
            <w:tcBorders>
              <w:top w:val="nil"/>
              <w:left w:val="nil"/>
              <w:bottom w:val="single" w:sz="4" w:space="0" w:color="auto"/>
              <w:right w:val="nil"/>
            </w:tcBorders>
            <w:shd w:val="clear" w:color="000000" w:fill="003C71"/>
            <w:vAlign w:val="center"/>
            <w:hideMark/>
          </w:tcPr>
          <w:p w14:paraId="1A18DCBA" w14:textId="77777777" w:rsidR="00004A9F" w:rsidRPr="00FC5A5E" w:rsidRDefault="00004A9F" w:rsidP="00004A9F">
            <w:pPr>
              <w:jc w:val="center"/>
              <w:rPr>
                <w:rFonts w:ascii="Segoe UI" w:hAnsi="Segoe UI" w:cs="Segoe UI"/>
                <w:b/>
                <w:bCs/>
                <w:color w:val="FFFFFF"/>
                <w:sz w:val="15"/>
                <w:szCs w:val="15"/>
              </w:rPr>
            </w:pPr>
            <w:r w:rsidRPr="00FC5A5E">
              <w:rPr>
                <w:rFonts w:ascii="Segoe UI" w:hAnsi="Segoe UI" w:cs="Segoe UI"/>
                <w:b/>
                <w:bCs/>
                <w:color w:val="FFFFFF"/>
                <w:sz w:val="15"/>
                <w:szCs w:val="15"/>
              </w:rPr>
              <w:t>C</w:t>
            </w:r>
            <w:r w:rsidRPr="00FC5A5E">
              <w:rPr>
                <w:rFonts w:ascii="Segoe UI" w:hAnsi="Segoe UI" w:cs="Segoe UI"/>
                <w:b/>
                <w:bCs/>
                <w:color w:val="FFFFFF"/>
                <w:sz w:val="15"/>
                <w:szCs w:val="15"/>
                <w:vertAlign w:val="subscript"/>
              </w:rPr>
              <w:t>max</w:t>
            </w:r>
            <w:r w:rsidRPr="00FC5A5E">
              <w:rPr>
                <w:rFonts w:ascii="Segoe UI" w:hAnsi="Segoe UI" w:cs="Segoe UI"/>
                <w:b/>
                <w:bCs/>
                <w:color w:val="FFFFFF"/>
                <w:sz w:val="15"/>
                <w:szCs w:val="15"/>
                <w:vertAlign w:val="superscript"/>
              </w:rPr>
              <w:t>*</w:t>
            </w:r>
          </w:p>
        </w:tc>
        <w:tc>
          <w:tcPr>
            <w:tcW w:w="1411" w:type="dxa"/>
            <w:vMerge/>
            <w:tcBorders>
              <w:top w:val="nil"/>
              <w:left w:val="single" w:sz="4" w:space="0" w:color="auto"/>
              <w:bottom w:val="single" w:sz="4" w:space="0" w:color="auto"/>
              <w:right w:val="single" w:sz="4" w:space="0" w:color="auto"/>
            </w:tcBorders>
            <w:vAlign w:val="center"/>
            <w:hideMark/>
          </w:tcPr>
          <w:p w14:paraId="1A18DCBB" w14:textId="77777777" w:rsidR="00004A9F" w:rsidRPr="00FC5A5E" w:rsidRDefault="00004A9F" w:rsidP="00004A9F">
            <w:pPr>
              <w:rPr>
                <w:rFonts w:ascii="Segoe UI" w:hAnsi="Segoe UI" w:cs="Segoe UI"/>
                <w:b/>
                <w:bCs/>
                <w:color w:val="FFFFFF"/>
                <w:sz w:val="15"/>
                <w:szCs w:val="15"/>
              </w:rPr>
            </w:pPr>
          </w:p>
        </w:tc>
      </w:tr>
      <w:tr w:rsidR="00B542EA" w:rsidRPr="00FC5A5E" w14:paraId="1A18DCC5" w14:textId="77777777" w:rsidTr="00B542EA">
        <w:trPr>
          <w:trHeight w:val="236"/>
        </w:trPr>
        <w:tc>
          <w:tcPr>
            <w:tcW w:w="141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A18DCBD" w14:textId="77777777" w:rsidR="00004A9F" w:rsidRPr="00FC5A5E" w:rsidRDefault="00004A9F" w:rsidP="00004A9F">
            <w:pPr>
              <w:jc w:val="center"/>
              <w:rPr>
                <w:rFonts w:ascii="Segoe UI" w:hAnsi="Segoe UI" w:cs="Segoe UI"/>
                <w:color w:val="000000"/>
                <w:sz w:val="15"/>
                <w:szCs w:val="15"/>
              </w:rPr>
            </w:pPr>
            <w:r w:rsidRPr="00FC5A5E">
              <w:rPr>
                <w:rFonts w:ascii="Segoe UI" w:hAnsi="Segoe UI" w:cs="Segoe UI"/>
                <w:color w:val="000000"/>
                <w:sz w:val="15"/>
                <w:szCs w:val="15"/>
              </w:rPr>
              <w:t>HR ZG</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A18DCBE"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Zagreb-1</w:t>
            </w:r>
          </w:p>
        </w:tc>
        <w:tc>
          <w:tcPr>
            <w:tcW w:w="1479" w:type="dxa"/>
            <w:tcBorders>
              <w:top w:val="nil"/>
              <w:left w:val="nil"/>
              <w:bottom w:val="single" w:sz="4" w:space="0" w:color="auto"/>
              <w:right w:val="single" w:sz="4" w:space="0" w:color="auto"/>
            </w:tcBorders>
            <w:shd w:val="clear" w:color="auto" w:fill="auto"/>
            <w:vAlign w:val="center"/>
            <w:hideMark/>
          </w:tcPr>
          <w:p w14:paraId="1A18DCBF"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BaP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C0"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CC1"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1,333</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CC2"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w:t>
            </w:r>
          </w:p>
        </w:tc>
        <w:tc>
          <w:tcPr>
            <w:tcW w:w="640" w:type="dxa"/>
            <w:tcBorders>
              <w:top w:val="nil"/>
              <w:left w:val="nil"/>
              <w:bottom w:val="single" w:sz="4" w:space="0" w:color="auto"/>
              <w:right w:val="single" w:sz="4" w:space="0" w:color="auto"/>
            </w:tcBorders>
            <w:shd w:val="clear" w:color="auto" w:fill="auto"/>
            <w:noWrap/>
            <w:vAlign w:val="center"/>
            <w:hideMark/>
          </w:tcPr>
          <w:p w14:paraId="1A18DCC3"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24,8</w:t>
            </w:r>
          </w:p>
        </w:tc>
        <w:tc>
          <w:tcPr>
            <w:tcW w:w="1411" w:type="dxa"/>
            <w:tcBorders>
              <w:top w:val="nil"/>
              <w:left w:val="nil"/>
              <w:bottom w:val="single" w:sz="4" w:space="0" w:color="auto"/>
              <w:right w:val="single" w:sz="4" w:space="0" w:color="auto"/>
            </w:tcBorders>
            <w:shd w:val="clear" w:color="000000" w:fill="D2FFBE"/>
            <w:noWrap/>
            <w:vAlign w:val="center"/>
            <w:hideMark/>
          </w:tcPr>
          <w:p w14:paraId="1A18DCC4" w14:textId="77777777" w:rsidR="00004A9F" w:rsidRPr="00FC5A5E" w:rsidRDefault="00004A9F" w:rsidP="00004A9F">
            <w:pPr>
              <w:jc w:val="center"/>
              <w:rPr>
                <w:rFonts w:ascii="Palatino Linotype" w:hAnsi="Palatino Linotype" w:cs="Arial"/>
                <w:sz w:val="15"/>
                <w:szCs w:val="15"/>
              </w:rPr>
            </w:pPr>
            <w:r w:rsidRPr="00FC5A5E">
              <w:rPr>
                <w:rFonts w:ascii="Palatino Linotype" w:hAnsi="Palatino Linotype" w:cs="Arial"/>
                <w:sz w:val="15"/>
                <w:szCs w:val="15"/>
              </w:rPr>
              <w:t> </w:t>
            </w:r>
          </w:p>
        </w:tc>
      </w:tr>
      <w:tr w:rsidR="00B542EA" w:rsidRPr="00FC5A5E" w14:paraId="1A18DCCE"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C6"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C7" w14:textId="77777777" w:rsidR="00004A9F" w:rsidRPr="00FC5A5E" w:rsidRDefault="00004A9F" w:rsidP="00004A9F">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CC8"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Benzo(a)antracen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C9"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nil"/>
              <w:right w:val="nil"/>
            </w:tcBorders>
            <w:shd w:val="clear" w:color="auto" w:fill="auto"/>
            <w:noWrap/>
            <w:vAlign w:val="bottom"/>
            <w:hideMark/>
          </w:tcPr>
          <w:p w14:paraId="1A18DCCA"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0,769</w:t>
            </w:r>
          </w:p>
        </w:tc>
        <w:tc>
          <w:tcPr>
            <w:tcW w:w="1061" w:type="dxa"/>
            <w:gridSpan w:val="2"/>
            <w:tcBorders>
              <w:top w:val="nil"/>
              <w:left w:val="single" w:sz="4" w:space="0" w:color="auto"/>
              <w:bottom w:val="single" w:sz="4" w:space="0" w:color="auto"/>
              <w:right w:val="single" w:sz="4" w:space="0" w:color="auto"/>
            </w:tcBorders>
            <w:shd w:val="clear" w:color="auto" w:fill="auto"/>
            <w:vAlign w:val="center"/>
            <w:hideMark/>
          </w:tcPr>
          <w:p w14:paraId="1A18DCCB"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0,77</w:t>
            </w:r>
          </w:p>
        </w:tc>
        <w:tc>
          <w:tcPr>
            <w:tcW w:w="640" w:type="dxa"/>
            <w:tcBorders>
              <w:top w:val="nil"/>
              <w:left w:val="nil"/>
              <w:bottom w:val="single" w:sz="4" w:space="0" w:color="auto"/>
              <w:right w:val="single" w:sz="4" w:space="0" w:color="auto"/>
            </w:tcBorders>
            <w:shd w:val="clear" w:color="auto" w:fill="auto"/>
            <w:noWrap/>
            <w:vAlign w:val="center"/>
            <w:hideMark/>
          </w:tcPr>
          <w:p w14:paraId="1A18DCCC"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17,1</w:t>
            </w:r>
          </w:p>
        </w:tc>
        <w:tc>
          <w:tcPr>
            <w:tcW w:w="1411" w:type="dxa"/>
            <w:tcBorders>
              <w:top w:val="nil"/>
              <w:left w:val="nil"/>
              <w:bottom w:val="single" w:sz="4" w:space="0" w:color="auto"/>
              <w:right w:val="single" w:sz="4" w:space="0" w:color="auto"/>
            </w:tcBorders>
            <w:shd w:val="clear" w:color="auto" w:fill="auto"/>
            <w:noWrap/>
            <w:vAlign w:val="bottom"/>
            <w:hideMark/>
          </w:tcPr>
          <w:p w14:paraId="1A18DCCD"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CD7"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CF"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D0" w14:textId="77777777" w:rsidR="00004A9F" w:rsidRPr="00FC5A5E" w:rsidRDefault="00004A9F" w:rsidP="00004A9F">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CD1"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Benzo(b)fluoranten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D2"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A18DCD3"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1,601</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CD4"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1,6</w:t>
            </w:r>
          </w:p>
        </w:tc>
        <w:tc>
          <w:tcPr>
            <w:tcW w:w="640" w:type="dxa"/>
            <w:tcBorders>
              <w:top w:val="nil"/>
              <w:left w:val="nil"/>
              <w:bottom w:val="single" w:sz="4" w:space="0" w:color="auto"/>
              <w:right w:val="single" w:sz="4" w:space="0" w:color="auto"/>
            </w:tcBorders>
            <w:shd w:val="clear" w:color="auto" w:fill="auto"/>
            <w:noWrap/>
            <w:vAlign w:val="center"/>
            <w:hideMark/>
          </w:tcPr>
          <w:p w14:paraId="1A18DCD5"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23,9</w:t>
            </w:r>
          </w:p>
        </w:tc>
        <w:tc>
          <w:tcPr>
            <w:tcW w:w="1411" w:type="dxa"/>
            <w:tcBorders>
              <w:top w:val="nil"/>
              <w:left w:val="nil"/>
              <w:bottom w:val="single" w:sz="4" w:space="0" w:color="auto"/>
              <w:right w:val="single" w:sz="4" w:space="0" w:color="auto"/>
            </w:tcBorders>
            <w:shd w:val="clear" w:color="auto" w:fill="auto"/>
            <w:noWrap/>
            <w:vAlign w:val="center"/>
            <w:hideMark/>
          </w:tcPr>
          <w:p w14:paraId="1A18DCD6"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CE0"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D8"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D9" w14:textId="77777777" w:rsidR="00004A9F" w:rsidRPr="00FC5A5E" w:rsidRDefault="00004A9F" w:rsidP="00004A9F">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CDA"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Benzo(j)fluoranten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DB"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CDC"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0,787</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CDD"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0,79</w:t>
            </w:r>
          </w:p>
        </w:tc>
        <w:tc>
          <w:tcPr>
            <w:tcW w:w="640" w:type="dxa"/>
            <w:tcBorders>
              <w:top w:val="nil"/>
              <w:left w:val="nil"/>
              <w:bottom w:val="single" w:sz="4" w:space="0" w:color="auto"/>
              <w:right w:val="single" w:sz="4" w:space="0" w:color="auto"/>
            </w:tcBorders>
            <w:shd w:val="clear" w:color="auto" w:fill="auto"/>
            <w:vAlign w:val="center"/>
            <w:hideMark/>
          </w:tcPr>
          <w:p w14:paraId="1A18DCDE"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13,8</w:t>
            </w:r>
          </w:p>
        </w:tc>
        <w:tc>
          <w:tcPr>
            <w:tcW w:w="1411" w:type="dxa"/>
            <w:tcBorders>
              <w:top w:val="nil"/>
              <w:left w:val="nil"/>
              <w:bottom w:val="single" w:sz="4" w:space="0" w:color="auto"/>
              <w:right w:val="single" w:sz="4" w:space="0" w:color="auto"/>
            </w:tcBorders>
            <w:shd w:val="clear" w:color="auto" w:fill="auto"/>
            <w:noWrap/>
            <w:vAlign w:val="center"/>
            <w:hideMark/>
          </w:tcPr>
          <w:p w14:paraId="1A18DCDF"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CE9"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E1"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E2" w14:textId="77777777" w:rsidR="00004A9F" w:rsidRPr="00FC5A5E" w:rsidRDefault="00004A9F" w:rsidP="00004A9F">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CE3"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 xml:space="preserve"> Benzo(k)fluoranten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E4"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CE5"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0,598</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CE6"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0,60</w:t>
            </w:r>
          </w:p>
        </w:tc>
        <w:tc>
          <w:tcPr>
            <w:tcW w:w="640" w:type="dxa"/>
            <w:tcBorders>
              <w:top w:val="nil"/>
              <w:left w:val="nil"/>
              <w:bottom w:val="single" w:sz="4" w:space="0" w:color="auto"/>
              <w:right w:val="single" w:sz="4" w:space="0" w:color="auto"/>
            </w:tcBorders>
            <w:shd w:val="clear" w:color="auto" w:fill="auto"/>
            <w:noWrap/>
            <w:vAlign w:val="center"/>
            <w:hideMark/>
          </w:tcPr>
          <w:p w14:paraId="1A18DCE7"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9,3</w:t>
            </w:r>
          </w:p>
        </w:tc>
        <w:tc>
          <w:tcPr>
            <w:tcW w:w="1411" w:type="dxa"/>
            <w:tcBorders>
              <w:top w:val="nil"/>
              <w:left w:val="nil"/>
              <w:bottom w:val="single" w:sz="4" w:space="0" w:color="auto"/>
              <w:right w:val="single" w:sz="4" w:space="0" w:color="auto"/>
            </w:tcBorders>
            <w:shd w:val="clear" w:color="auto" w:fill="auto"/>
            <w:noWrap/>
            <w:vAlign w:val="center"/>
            <w:hideMark/>
          </w:tcPr>
          <w:p w14:paraId="1A18DCE8"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CF2"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EA"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EB" w14:textId="77777777" w:rsidR="00004A9F" w:rsidRPr="00FC5A5E" w:rsidRDefault="00004A9F" w:rsidP="00004A9F">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CEC"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Indeno(1,2,3,-cd)piren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ED"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CEE"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1,437</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CEF"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1,4</w:t>
            </w:r>
          </w:p>
        </w:tc>
        <w:tc>
          <w:tcPr>
            <w:tcW w:w="640" w:type="dxa"/>
            <w:tcBorders>
              <w:top w:val="nil"/>
              <w:left w:val="nil"/>
              <w:bottom w:val="single" w:sz="4" w:space="0" w:color="auto"/>
              <w:right w:val="single" w:sz="4" w:space="0" w:color="auto"/>
            </w:tcBorders>
            <w:shd w:val="clear" w:color="auto" w:fill="auto"/>
            <w:noWrap/>
            <w:vAlign w:val="center"/>
            <w:hideMark/>
          </w:tcPr>
          <w:p w14:paraId="1A18DCF0"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20,2</w:t>
            </w:r>
          </w:p>
        </w:tc>
        <w:tc>
          <w:tcPr>
            <w:tcW w:w="1411" w:type="dxa"/>
            <w:tcBorders>
              <w:top w:val="nil"/>
              <w:left w:val="nil"/>
              <w:bottom w:val="single" w:sz="4" w:space="0" w:color="auto"/>
              <w:right w:val="single" w:sz="4" w:space="0" w:color="auto"/>
            </w:tcBorders>
            <w:shd w:val="clear" w:color="auto" w:fill="auto"/>
            <w:noWrap/>
            <w:vAlign w:val="center"/>
            <w:hideMark/>
          </w:tcPr>
          <w:p w14:paraId="1A18DCF1"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CFB"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F3"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CF4" w14:textId="77777777" w:rsidR="00004A9F" w:rsidRPr="00FC5A5E" w:rsidRDefault="00004A9F" w:rsidP="00004A9F">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CF5"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Dibenzo(a,h)antracen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F6"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CF7"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0,156</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CF8"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0,16</w:t>
            </w:r>
          </w:p>
        </w:tc>
        <w:tc>
          <w:tcPr>
            <w:tcW w:w="640" w:type="dxa"/>
            <w:tcBorders>
              <w:top w:val="nil"/>
              <w:left w:val="nil"/>
              <w:bottom w:val="single" w:sz="4" w:space="0" w:color="auto"/>
              <w:right w:val="single" w:sz="4" w:space="0" w:color="auto"/>
            </w:tcBorders>
            <w:shd w:val="clear" w:color="auto" w:fill="auto"/>
            <w:noWrap/>
            <w:vAlign w:val="center"/>
            <w:hideMark/>
          </w:tcPr>
          <w:p w14:paraId="1A18DCF9"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2,1</w:t>
            </w:r>
          </w:p>
        </w:tc>
        <w:tc>
          <w:tcPr>
            <w:tcW w:w="1411" w:type="dxa"/>
            <w:tcBorders>
              <w:top w:val="nil"/>
              <w:left w:val="nil"/>
              <w:bottom w:val="single" w:sz="4" w:space="0" w:color="auto"/>
              <w:right w:val="single" w:sz="4" w:space="0" w:color="auto"/>
            </w:tcBorders>
            <w:shd w:val="clear" w:color="auto" w:fill="auto"/>
            <w:noWrap/>
            <w:vAlign w:val="center"/>
            <w:hideMark/>
          </w:tcPr>
          <w:p w14:paraId="1A18DCFA"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D04"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CFC" w14:textId="77777777" w:rsidR="00004A9F" w:rsidRPr="00FC5A5E" w:rsidRDefault="00004A9F" w:rsidP="00004A9F">
            <w:pPr>
              <w:rPr>
                <w:rFonts w:ascii="Segoe UI" w:hAnsi="Segoe UI" w:cs="Segoe UI"/>
                <w:color w:val="000000"/>
                <w:sz w:val="15"/>
                <w:szCs w:val="15"/>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A18DCFD" w14:textId="77777777" w:rsidR="00004A9F" w:rsidRPr="00FC5A5E" w:rsidRDefault="00004A9F" w:rsidP="00004A9F">
            <w:pPr>
              <w:jc w:val="center"/>
              <w:rPr>
                <w:rFonts w:ascii="Segoe UI" w:hAnsi="Segoe UI" w:cs="Segoe UI"/>
                <w:color w:val="000000"/>
                <w:sz w:val="15"/>
                <w:szCs w:val="15"/>
              </w:rPr>
            </w:pPr>
            <w:r w:rsidRPr="00FC5A5E">
              <w:rPr>
                <w:rFonts w:ascii="Segoe UI" w:hAnsi="Segoe UI" w:cs="Segoe UI"/>
                <w:color w:val="000000"/>
                <w:sz w:val="15"/>
                <w:szCs w:val="15"/>
              </w:rPr>
              <w:t>Zagreb-3</w:t>
            </w:r>
          </w:p>
        </w:tc>
        <w:tc>
          <w:tcPr>
            <w:tcW w:w="1479" w:type="dxa"/>
            <w:tcBorders>
              <w:top w:val="nil"/>
              <w:left w:val="nil"/>
              <w:bottom w:val="single" w:sz="4" w:space="0" w:color="auto"/>
              <w:right w:val="single" w:sz="4" w:space="0" w:color="auto"/>
            </w:tcBorders>
            <w:shd w:val="clear" w:color="auto" w:fill="auto"/>
            <w:vAlign w:val="center"/>
            <w:hideMark/>
          </w:tcPr>
          <w:p w14:paraId="1A18DCFE"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BaP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CFF"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00"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1,801</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01" w14:textId="77777777" w:rsidR="00004A9F" w:rsidRPr="00FC5A5E" w:rsidRDefault="00004A9F" w:rsidP="00004A9F">
            <w:pPr>
              <w:jc w:val="center"/>
              <w:rPr>
                <w:rFonts w:ascii="Segoe UI" w:hAnsi="Segoe UI" w:cs="Segoe UI"/>
                <w:color w:val="FF0000"/>
                <w:sz w:val="15"/>
                <w:szCs w:val="15"/>
              </w:rPr>
            </w:pPr>
            <w:r w:rsidRPr="00FC5A5E">
              <w:rPr>
                <w:rFonts w:ascii="Segoe UI" w:hAnsi="Segoe UI" w:cs="Segoe UI"/>
                <w:color w:val="FF0000"/>
                <w:sz w:val="15"/>
                <w:szCs w:val="15"/>
              </w:rPr>
              <w:t>2</w:t>
            </w:r>
          </w:p>
        </w:tc>
        <w:tc>
          <w:tcPr>
            <w:tcW w:w="640" w:type="dxa"/>
            <w:tcBorders>
              <w:top w:val="nil"/>
              <w:left w:val="nil"/>
              <w:bottom w:val="single" w:sz="4" w:space="0" w:color="auto"/>
              <w:right w:val="single" w:sz="4" w:space="0" w:color="auto"/>
            </w:tcBorders>
            <w:shd w:val="clear" w:color="auto" w:fill="auto"/>
            <w:noWrap/>
            <w:vAlign w:val="center"/>
            <w:hideMark/>
          </w:tcPr>
          <w:p w14:paraId="1A18DD02"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17,7</w:t>
            </w:r>
          </w:p>
        </w:tc>
        <w:tc>
          <w:tcPr>
            <w:tcW w:w="1411" w:type="dxa"/>
            <w:tcBorders>
              <w:top w:val="nil"/>
              <w:left w:val="nil"/>
              <w:bottom w:val="single" w:sz="4" w:space="0" w:color="auto"/>
              <w:right w:val="single" w:sz="4" w:space="0" w:color="auto"/>
            </w:tcBorders>
            <w:shd w:val="clear" w:color="000000" w:fill="EE1010"/>
            <w:noWrap/>
            <w:vAlign w:val="center"/>
            <w:hideMark/>
          </w:tcPr>
          <w:p w14:paraId="1A18DD03"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 </w:t>
            </w:r>
          </w:p>
        </w:tc>
      </w:tr>
      <w:tr w:rsidR="00B542EA" w:rsidRPr="00FC5A5E" w14:paraId="1A18DD0D"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05"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06" w14:textId="77777777" w:rsidR="00004A9F" w:rsidRPr="00FC5A5E" w:rsidRDefault="00004A9F"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07"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Benzo(a)antracen uPM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08"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09"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1,077</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0A"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1,1</w:t>
            </w:r>
          </w:p>
        </w:tc>
        <w:tc>
          <w:tcPr>
            <w:tcW w:w="640" w:type="dxa"/>
            <w:tcBorders>
              <w:top w:val="nil"/>
              <w:left w:val="nil"/>
              <w:bottom w:val="single" w:sz="4" w:space="0" w:color="auto"/>
              <w:right w:val="single" w:sz="4" w:space="0" w:color="auto"/>
            </w:tcBorders>
            <w:shd w:val="clear" w:color="auto" w:fill="auto"/>
            <w:noWrap/>
            <w:vAlign w:val="center"/>
            <w:hideMark/>
          </w:tcPr>
          <w:p w14:paraId="1A18DD0B"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14,9</w:t>
            </w:r>
          </w:p>
        </w:tc>
        <w:tc>
          <w:tcPr>
            <w:tcW w:w="1411" w:type="dxa"/>
            <w:tcBorders>
              <w:top w:val="nil"/>
              <w:left w:val="nil"/>
              <w:bottom w:val="single" w:sz="4" w:space="0" w:color="auto"/>
              <w:right w:val="single" w:sz="4" w:space="0" w:color="auto"/>
            </w:tcBorders>
            <w:shd w:val="clear" w:color="auto" w:fill="auto"/>
            <w:noWrap/>
            <w:vAlign w:val="center"/>
            <w:hideMark/>
          </w:tcPr>
          <w:p w14:paraId="1A18DD0C"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D16"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0E"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0F" w14:textId="77777777" w:rsidR="00004A9F" w:rsidRPr="00FC5A5E" w:rsidRDefault="00004A9F"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10"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Benzo(b)fluoranten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11"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12"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2,081</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13"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2,1</w:t>
            </w:r>
          </w:p>
        </w:tc>
        <w:tc>
          <w:tcPr>
            <w:tcW w:w="640" w:type="dxa"/>
            <w:tcBorders>
              <w:top w:val="nil"/>
              <w:left w:val="nil"/>
              <w:bottom w:val="single" w:sz="4" w:space="0" w:color="auto"/>
              <w:right w:val="single" w:sz="4" w:space="0" w:color="auto"/>
            </w:tcBorders>
            <w:shd w:val="clear" w:color="auto" w:fill="auto"/>
            <w:noWrap/>
            <w:vAlign w:val="center"/>
            <w:hideMark/>
          </w:tcPr>
          <w:p w14:paraId="1A18DD14"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18,4</w:t>
            </w:r>
          </w:p>
        </w:tc>
        <w:tc>
          <w:tcPr>
            <w:tcW w:w="1411" w:type="dxa"/>
            <w:tcBorders>
              <w:top w:val="nil"/>
              <w:left w:val="nil"/>
              <w:bottom w:val="single" w:sz="4" w:space="0" w:color="auto"/>
              <w:right w:val="single" w:sz="4" w:space="0" w:color="auto"/>
            </w:tcBorders>
            <w:shd w:val="clear" w:color="auto" w:fill="auto"/>
            <w:noWrap/>
            <w:vAlign w:val="center"/>
            <w:hideMark/>
          </w:tcPr>
          <w:p w14:paraId="1A18DD15"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D1F"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17"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18" w14:textId="77777777" w:rsidR="00004A9F" w:rsidRPr="00FC5A5E" w:rsidRDefault="00004A9F"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19"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Benzo(j)fluoranten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1A"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1B"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1,076</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1C"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1,1</w:t>
            </w:r>
          </w:p>
        </w:tc>
        <w:tc>
          <w:tcPr>
            <w:tcW w:w="640" w:type="dxa"/>
            <w:tcBorders>
              <w:top w:val="nil"/>
              <w:left w:val="nil"/>
              <w:bottom w:val="single" w:sz="4" w:space="0" w:color="auto"/>
              <w:right w:val="single" w:sz="4" w:space="0" w:color="auto"/>
            </w:tcBorders>
            <w:shd w:val="clear" w:color="auto" w:fill="auto"/>
            <w:vAlign w:val="center"/>
            <w:hideMark/>
          </w:tcPr>
          <w:p w14:paraId="1A18DD1D"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11,6</w:t>
            </w:r>
          </w:p>
        </w:tc>
        <w:tc>
          <w:tcPr>
            <w:tcW w:w="1411" w:type="dxa"/>
            <w:tcBorders>
              <w:top w:val="nil"/>
              <w:left w:val="nil"/>
              <w:bottom w:val="single" w:sz="4" w:space="0" w:color="auto"/>
              <w:right w:val="single" w:sz="4" w:space="0" w:color="auto"/>
            </w:tcBorders>
            <w:shd w:val="clear" w:color="auto" w:fill="auto"/>
            <w:noWrap/>
            <w:vAlign w:val="center"/>
            <w:hideMark/>
          </w:tcPr>
          <w:p w14:paraId="1A18DD1E"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D28"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20"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21" w14:textId="77777777" w:rsidR="00004A9F" w:rsidRPr="00FC5A5E" w:rsidRDefault="00004A9F"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22"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 xml:space="preserve"> Benzo(k)fluoranten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23"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24"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0,776</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25"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0,78</w:t>
            </w:r>
          </w:p>
        </w:tc>
        <w:tc>
          <w:tcPr>
            <w:tcW w:w="640" w:type="dxa"/>
            <w:tcBorders>
              <w:top w:val="nil"/>
              <w:left w:val="nil"/>
              <w:bottom w:val="single" w:sz="4" w:space="0" w:color="auto"/>
              <w:right w:val="single" w:sz="4" w:space="0" w:color="auto"/>
            </w:tcBorders>
            <w:shd w:val="clear" w:color="auto" w:fill="auto"/>
            <w:noWrap/>
            <w:vAlign w:val="center"/>
            <w:hideMark/>
          </w:tcPr>
          <w:p w14:paraId="1A18DD26"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7,4</w:t>
            </w:r>
          </w:p>
        </w:tc>
        <w:tc>
          <w:tcPr>
            <w:tcW w:w="1411" w:type="dxa"/>
            <w:tcBorders>
              <w:top w:val="nil"/>
              <w:left w:val="nil"/>
              <w:bottom w:val="single" w:sz="4" w:space="0" w:color="auto"/>
              <w:right w:val="single" w:sz="4" w:space="0" w:color="auto"/>
            </w:tcBorders>
            <w:shd w:val="clear" w:color="auto" w:fill="auto"/>
            <w:noWrap/>
            <w:vAlign w:val="center"/>
            <w:hideMark/>
          </w:tcPr>
          <w:p w14:paraId="1A18DD27"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D31"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29"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2A" w14:textId="77777777" w:rsidR="00004A9F" w:rsidRPr="00FC5A5E" w:rsidRDefault="00004A9F"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2B"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Indeno(1,2,3,-cd)piren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2C"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2D"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2,012</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2E"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2,0</w:t>
            </w:r>
          </w:p>
        </w:tc>
        <w:tc>
          <w:tcPr>
            <w:tcW w:w="640" w:type="dxa"/>
            <w:tcBorders>
              <w:top w:val="nil"/>
              <w:left w:val="nil"/>
              <w:bottom w:val="single" w:sz="4" w:space="0" w:color="auto"/>
              <w:right w:val="single" w:sz="4" w:space="0" w:color="auto"/>
            </w:tcBorders>
            <w:shd w:val="clear" w:color="auto" w:fill="auto"/>
            <w:noWrap/>
            <w:vAlign w:val="center"/>
            <w:hideMark/>
          </w:tcPr>
          <w:p w14:paraId="1A18DD2F"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11,5</w:t>
            </w:r>
          </w:p>
        </w:tc>
        <w:tc>
          <w:tcPr>
            <w:tcW w:w="1411" w:type="dxa"/>
            <w:tcBorders>
              <w:top w:val="nil"/>
              <w:left w:val="nil"/>
              <w:bottom w:val="single" w:sz="4" w:space="0" w:color="auto"/>
              <w:right w:val="single" w:sz="4" w:space="0" w:color="auto"/>
            </w:tcBorders>
            <w:shd w:val="clear" w:color="auto" w:fill="auto"/>
            <w:noWrap/>
            <w:vAlign w:val="center"/>
            <w:hideMark/>
          </w:tcPr>
          <w:p w14:paraId="1A18DD30"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B542EA" w:rsidRPr="00FC5A5E" w14:paraId="1A18DD3A" w14:textId="77777777" w:rsidTr="00B542EA">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32" w14:textId="77777777" w:rsidR="00004A9F" w:rsidRPr="00FC5A5E" w:rsidRDefault="00004A9F"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33" w14:textId="77777777" w:rsidR="00004A9F" w:rsidRPr="00FC5A5E" w:rsidRDefault="00004A9F"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34"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Dibenzo(a,h)antracen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35"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36"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0,168</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37"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0,17</w:t>
            </w:r>
          </w:p>
        </w:tc>
        <w:tc>
          <w:tcPr>
            <w:tcW w:w="640" w:type="dxa"/>
            <w:tcBorders>
              <w:top w:val="nil"/>
              <w:left w:val="nil"/>
              <w:bottom w:val="single" w:sz="4" w:space="0" w:color="auto"/>
              <w:right w:val="single" w:sz="4" w:space="0" w:color="auto"/>
            </w:tcBorders>
            <w:shd w:val="clear" w:color="auto" w:fill="auto"/>
            <w:noWrap/>
            <w:vAlign w:val="center"/>
            <w:hideMark/>
          </w:tcPr>
          <w:p w14:paraId="1A18DD38"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2,2</w:t>
            </w:r>
          </w:p>
        </w:tc>
        <w:tc>
          <w:tcPr>
            <w:tcW w:w="1411" w:type="dxa"/>
            <w:tcBorders>
              <w:top w:val="nil"/>
              <w:left w:val="nil"/>
              <w:bottom w:val="single" w:sz="4" w:space="0" w:color="auto"/>
              <w:right w:val="single" w:sz="4" w:space="0" w:color="auto"/>
            </w:tcBorders>
            <w:shd w:val="clear" w:color="auto" w:fill="auto"/>
            <w:noWrap/>
            <w:vAlign w:val="center"/>
            <w:hideMark/>
          </w:tcPr>
          <w:p w14:paraId="1A18DD39" w14:textId="77777777" w:rsidR="00004A9F" w:rsidRPr="00FC5A5E" w:rsidRDefault="00004A9F"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43" w14:textId="77777777" w:rsidTr="00C25FA0">
        <w:trPr>
          <w:trHeight w:val="236"/>
        </w:trPr>
        <w:tc>
          <w:tcPr>
            <w:tcW w:w="1413" w:type="dxa"/>
            <w:gridSpan w:val="3"/>
            <w:vMerge w:val="restart"/>
            <w:tcBorders>
              <w:top w:val="nil"/>
              <w:left w:val="single" w:sz="4" w:space="0" w:color="auto"/>
              <w:right w:val="single" w:sz="4" w:space="0" w:color="auto"/>
            </w:tcBorders>
            <w:shd w:val="clear" w:color="auto" w:fill="auto"/>
            <w:vAlign w:val="center"/>
            <w:hideMark/>
          </w:tcPr>
          <w:p w14:paraId="1A18DD3B" w14:textId="77777777" w:rsidR="00D458C1" w:rsidRPr="00FC5A5E" w:rsidRDefault="00D458C1" w:rsidP="00004A9F">
            <w:pPr>
              <w:jc w:val="center"/>
              <w:rPr>
                <w:rFonts w:ascii="Segoe UI" w:hAnsi="Segoe UI" w:cs="Segoe UI"/>
                <w:color w:val="000000"/>
                <w:sz w:val="15"/>
                <w:szCs w:val="15"/>
              </w:rPr>
            </w:pPr>
            <w:r w:rsidRPr="00FC5A5E">
              <w:rPr>
                <w:rFonts w:ascii="Segoe UI" w:hAnsi="Segoe UI" w:cs="Segoe UI"/>
                <w:color w:val="000000"/>
                <w:sz w:val="15"/>
                <w:szCs w:val="15"/>
              </w:rPr>
              <w:t>HR 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A18DD3C" w14:textId="77777777" w:rsidR="00D458C1" w:rsidRPr="00FC5A5E" w:rsidRDefault="00D458C1" w:rsidP="00004A9F">
            <w:pPr>
              <w:jc w:val="center"/>
              <w:rPr>
                <w:rFonts w:ascii="Segoe UI" w:hAnsi="Segoe UI" w:cs="Segoe UI"/>
                <w:color w:val="000000"/>
                <w:sz w:val="15"/>
                <w:szCs w:val="15"/>
              </w:rPr>
            </w:pPr>
            <w:r w:rsidRPr="00FC5A5E">
              <w:rPr>
                <w:rFonts w:ascii="Segoe UI" w:hAnsi="Segoe UI" w:cs="Segoe UI"/>
                <w:color w:val="000000"/>
                <w:sz w:val="15"/>
                <w:szCs w:val="15"/>
              </w:rPr>
              <w:t>Sisak-1</w:t>
            </w:r>
          </w:p>
        </w:tc>
        <w:tc>
          <w:tcPr>
            <w:tcW w:w="1479" w:type="dxa"/>
            <w:tcBorders>
              <w:top w:val="nil"/>
              <w:left w:val="nil"/>
              <w:bottom w:val="single" w:sz="4" w:space="0" w:color="auto"/>
              <w:right w:val="single" w:sz="4" w:space="0" w:color="auto"/>
            </w:tcBorders>
            <w:shd w:val="clear" w:color="auto" w:fill="auto"/>
            <w:vAlign w:val="center"/>
            <w:hideMark/>
          </w:tcPr>
          <w:p w14:paraId="1A18DD3D"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BaP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3E"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3F"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1,973</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40" w14:textId="77777777" w:rsidR="00D458C1" w:rsidRPr="00FC5A5E" w:rsidRDefault="00D458C1" w:rsidP="00004A9F">
            <w:pPr>
              <w:jc w:val="center"/>
              <w:rPr>
                <w:rFonts w:ascii="Segoe UI" w:hAnsi="Segoe UI" w:cs="Segoe UI"/>
                <w:color w:val="FF0000"/>
                <w:sz w:val="15"/>
                <w:szCs w:val="15"/>
              </w:rPr>
            </w:pPr>
            <w:r w:rsidRPr="00FC5A5E">
              <w:rPr>
                <w:rFonts w:ascii="Segoe UI" w:hAnsi="Segoe UI" w:cs="Segoe UI"/>
                <w:color w:val="FF0000"/>
                <w:sz w:val="15"/>
                <w:szCs w:val="15"/>
              </w:rPr>
              <w:t>2</w:t>
            </w:r>
          </w:p>
        </w:tc>
        <w:tc>
          <w:tcPr>
            <w:tcW w:w="640" w:type="dxa"/>
            <w:tcBorders>
              <w:top w:val="nil"/>
              <w:left w:val="nil"/>
              <w:bottom w:val="single" w:sz="4" w:space="0" w:color="auto"/>
              <w:right w:val="single" w:sz="4" w:space="0" w:color="auto"/>
            </w:tcBorders>
            <w:shd w:val="clear" w:color="auto" w:fill="auto"/>
            <w:noWrap/>
            <w:vAlign w:val="center"/>
            <w:hideMark/>
          </w:tcPr>
          <w:p w14:paraId="1A18DD41"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16,7</w:t>
            </w:r>
          </w:p>
        </w:tc>
        <w:tc>
          <w:tcPr>
            <w:tcW w:w="1411" w:type="dxa"/>
            <w:tcBorders>
              <w:top w:val="nil"/>
              <w:left w:val="nil"/>
              <w:bottom w:val="single" w:sz="4" w:space="0" w:color="auto"/>
              <w:right w:val="single" w:sz="4" w:space="0" w:color="auto"/>
            </w:tcBorders>
            <w:shd w:val="clear" w:color="000000" w:fill="EE1010"/>
            <w:noWrap/>
            <w:vAlign w:val="center"/>
            <w:hideMark/>
          </w:tcPr>
          <w:p w14:paraId="1A18DD42"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 </w:t>
            </w:r>
          </w:p>
        </w:tc>
      </w:tr>
      <w:tr w:rsidR="00D458C1" w:rsidRPr="00FC5A5E" w14:paraId="1A18DD4C" w14:textId="77777777" w:rsidTr="00C25FA0">
        <w:trPr>
          <w:trHeight w:val="236"/>
        </w:trPr>
        <w:tc>
          <w:tcPr>
            <w:tcW w:w="1413" w:type="dxa"/>
            <w:gridSpan w:val="3"/>
            <w:vMerge/>
            <w:tcBorders>
              <w:left w:val="single" w:sz="4" w:space="0" w:color="auto"/>
              <w:right w:val="single" w:sz="4" w:space="0" w:color="auto"/>
            </w:tcBorders>
            <w:vAlign w:val="center"/>
            <w:hideMark/>
          </w:tcPr>
          <w:p w14:paraId="1A18DD44" w14:textId="77777777" w:rsidR="00D458C1" w:rsidRPr="00FC5A5E" w:rsidRDefault="00D458C1"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45" w14:textId="77777777" w:rsidR="00D458C1" w:rsidRPr="00FC5A5E" w:rsidRDefault="00D458C1"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46"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Benzo(a)antracen uPM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47"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48"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1,11</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49"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1,1</w:t>
            </w:r>
          </w:p>
        </w:tc>
        <w:tc>
          <w:tcPr>
            <w:tcW w:w="640" w:type="dxa"/>
            <w:tcBorders>
              <w:top w:val="nil"/>
              <w:left w:val="nil"/>
              <w:bottom w:val="single" w:sz="4" w:space="0" w:color="auto"/>
              <w:right w:val="single" w:sz="4" w:space="0" w:color="auto"/>
            </w:tcBorders>
            <w:shd w:val="clear" w:color="auto" w:fill="auto"/>
            <w:noWrap/>
            <w:vAlign w:val="center"/>
            <w:hideMark/>
          </w:tcPr>
          <w:p w14:paraId="1A18DD4A"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13,5</w:t>
            </w:r>
          </w:p>
        </w:tc>
        <w:tc>
          <w:tcPr>
            <w:tcW w:w="1411" w:type="dxa"/>
            <w:tcBorders>
              <w:top w:val="nil"/>
              <w:left w:val="nil"/>
              <w:bottom w:val="single" w:sz="4" w:space="0" w:color="auto"/>
              <w:right w:val="single" w:sz="4" w:space="0" w:color="auto"/>
            </w:tcBorders>
            <w:shd w:val="clear" w:color="auto" w:fill="auto"/>
            <w:noWrap/>
            <w:vAlign w:val="center"/>
            <w:hideMark/>
          </w:tcPr>
          <w:p w14:paraId="1A18DD4B"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55" w14:textId="77777777" w:rsidTr="00C25FA0">
        <w:trPr>
          <w:trHeight w:val="236"/>
        </w:trPr>
        <w:tc>
          <w:tcPr>
            <w:tcW w:w="1413" w:type="dxa"/>
            <w:gridSpan w:val="3"/>
            <w:vMerge/>
            <w:tcBorders>
              <w:left w:val="single" w:sz="4" w:space="0" w:color="auto"/>
              <w:right w:val="single" w:sz="4" w:space="0" w:color="auto"/>
            </w:tcBorders>
            <w:vAlign w:val="center"/>
            <w:hideMark/>
          </w:tcPr>
          <w:p w14:paraId="1A18DD4D" w14:textId="77777777" w:rsidR="00D458C1" w:rsidRPr="00FC5A5E" w:rsidRDefault="00D458C1"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4E" w14:textId="77777777" w:rsidR="00D458C1" w:rsidRPr="00FC5A5E" w:rsidRDefault="00D458C1"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4F" w14:textId="77777777" w:rsidR="00D458C1" w:rsidRPr="00FC5A5E" w:rsidRDefault="00D458C1" w:rsidP="00004A9F">
            <w:pPr>
              <w:jc w:val="center"/>
              <w:rPr>
                <w:rFonts w:ascii="Segoe UI" w:hAnsi="Segoe UI" w:cs="Segoe UI"/>
                <w:color w:val="000000"/>
                <w:sz w:val="15"/>
                <w:szCs w:val="15"/>
              </w:rPr>
            </w:pPr>
            <w:r w:rsidRPr="00FC5A5E">
              <w:rPr>
                <w:rFonts w:ascii="Segoe UI" w:hAnsi="Segoe UI" w:cs="Segoe UI"/>
                <w:color w:val="000000"/>
                <w:sz w:val="15"/>
                <w:szCs w:val="15"/>
              </w:rPr>
              <w:t>Benzo(b)fluoranten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50"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51"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2,455</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52"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2,5</w:t>
            </w:r>
          </w:p>
        </w:tc>
        <w:tc>
          <w:tcPr>
            <w:tcW w:w="640" w:type="dxa"/>
            <w:tcBorders>
              <w:top w:val="nil"/>
              <w:left w:val="nil"/>
              <w:bottom w:val="single" w:sz="4" w:space="0" w:color="auto"/>
              <w:right w:val="single" w:sz="4" w:space="0" w:color="auto"/>
            </w:tcBorders>
            <w:shd w:val="clear" w:color="auto" w:fill="auto"/>
            <w:noWrap/>
            <w:vAlign w:val="center"/>
            <w:hideMark/>
          </w:tcPr>
          <w:p w14:paraId="1A18DD53"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16,9</w:t>
            </w:r>
          </w:p>
        </w:tc>
        <w:tc>
          <w:tcPr>
            <w:tcW w:w="1411" w:type="dxa"/>
            <w:tcBorders>
              <w:top w:val="nil"/>
              <w:left w:val="nil"/>
              <w:bottom w:val="single" w:sz="4" w:space="0" w:color="auto"/>
              <w:right w:val="single" w:sz="4" w:space="0" w:color="auto"/>
            </w:tcBorders>
            <w:shd w:val="clear" w:color="auto" w:fill="auto"/>
            <w:noWrap/>
            <w:vAlign w:val="center"/>
            <w:hideMark/>
          </w:tcPr>
          <w:p w14:paraId="1A18DD54"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5E" w14:textId="77777777" w:rsidTr="00C25FA0">
        <w:trPr>
          <w:trHeight w:val="236"/>
        </w:trPr>
        <w:tc>
          <w:tcPr>
            <w:tcW w:w="1413" w:type="dxa"/>
            <w:gridSpan w:val="3"/>
            <w:vMerge/>
            <w:tcBorders>
              <w:left w:val="single" w:sz="4" w:space="0" w:color="auto"/>
              <w:right w:val="single" w:sz="4" w:space="0" w:color="auto"/>
            </w:tcBorders>
            <w:vAlign w:val="center"/>
            <w:hideMark/>
          </w:tcPr>
          <w:p w14:paraId="1A18DD56" w14:textId="77777777" w:rsidR="00D458C1" w:rsidRPr="00FC5A5E" w:rsidRDefault="00D458C1"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57" w14:textId="77777777" w:rsidR="00D458C1" w:rsidRPr="00FC5A5E" w:rsidRDefault="00D458C1"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58" w14:textId="77777777" w:rsidR="00D458C1" w:rsidRPr="00FC5A5E" w:rsidRDefault="00D458C1" w:rsidP="00004A9F">
            <w:pPr>
              <w:jc w:val="center"/>
              <w:rPr>
                <w:rFonts w:ascii="Segoe UI" w:hAnsi="Segoe UI" w:cs="Segoe UI"/>
                <w:color w:val="000000"/>
                <w:sz w:val="15"/>
                <w:szCs w:val="15"/>
              </w:rPr>
            </w:pPr>
            <w:r w:rsidRPr="00FC5A5E">
              <w:rPr>
                <w:rFonts w:ascii="Segoe UI" w:hAnsi="Segoe UI" w:cs="Segoe UI"/>
                <w:color w:val="000000"/>
                <w:sz w:val="15"/>
                <w:szCs w:val="15"/>
              </w:rPr>
              <w:t>Benzo(j)fluoranten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59"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5A"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1,245</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5B"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1,2</w:t>
            </w:r>
          </w:p>
        </w:tc>
        <w:tc>
          <w:tcPr>
            <w:tcW w:w="640" w:type="dxa"/>
            <w:tcBorders>
              <w:top w:val="nil"/>
              <w:left w:val="nil"/>
              <w:bottom w:val="single" w:sz="4" w:space="0" w:color="auto"/>
              <w:right w:val="single" w:sz="4" w:space="0" w:color="auto"/>
            </w:tcBorders>
            <w:shd w:val="clear" w:color="auto" w:fill="auto"/>
            <w:vAlign w:val="center"/>
            <w:hideMark/>
          </w:tcPr>
          <w:p w14:paraId="1A18DD5C"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10,5</w:t>
            </w:r>
          </w:p>
        </w:tc>
        <w:tc>
          <w:tcPr>
            <w:tcW w:w="1411" w:type="dxa"/>
            <w:tcBorders>
              <w:top w:val="nil"/>
              <w:left w:val="nil"/>
              <w:bottom w:val="single" w:sz="4" w:space="0" w:color="auto"/>
              <w:right w:val="single" w:sz="4" w:space="0" w:color="auto"/>
            </w:tcBorders>
            <w:shd w:val="clear" w:color="auto" w:fill="auto"/>
            <w:noWrap/>
            <w:vAlign w:val="center"/>
            <w:hideMark/>
          </w:tcPr>
          <w:p w14:paraId="1A18DD5D"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67" w14:textId="77777777" w:rsidTr="00C25FA0">
        <w:trPr>
          <w:trHeight w:val="236"/>
        </w:trPr>
        <w:tc>
          <w:tcPr>
            <w:tcW w:w="1413" w:type="dxa"/>
            <w:gridSpan w:val="3"/>
            <w:vMerge/>
            <w:tcBorders>
              <w:left w:val="single" w:sz="4" w:space="0" w:color="auto"/>
              <w:right w:val="single" w:sz="4" w:space="0" w:color="auto"/>
            </w:tcBorders>
            <w:vAlign w:val="center"/>
            <w:hideMark/>
          </w:tcPr>
          <w:p w14:paraId="1A18DD5F" w14:textId="77777777" w:rsidR="00D458C1" w:rsidRPr="00FC5A5E" w:rsidRDefault="00D458C1"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60" w14:textId="77777777" w:rsidR="00D458C1" w:rsidRPr="00FC5A5E" w:rsidRDefault="00D458C1"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61" w14:textId="77777777" w:rsidR="00D458C1" w:rsidRPr="00FC5A5E" w:rsidRDefault="00D458C1" w:rsidP="00004A9F">
            <w:pPr>
              <w:jc w:val="center"/>
              <w:rPr>
                <w:rFonts w:ascii="Segoe UI" w:hAnsi="Segoe UI" w:cs="Segoe UI"/>
                <w:color w:val="000000"/>
                <w:sz w:val="15"/>
                <w:szCs w:val="15"/>
              </w:rPr>
            </w:pPr>
            <w:r w:rsidRPr="00FC5A5E">
              <w:rPr>
                <w:rFonts w:ascii="Segoe UI" w:hAnsi="Segoe UI" w:cs="Segoe UI"/>
                <w:color w:val="000000"/>
                <w:sz w:val="15"/>
                <w:szCs w:val="15"/>
              </w:rPr>
              <w:t xml:space="preserve"> Benzo(k)fluoranten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62"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63"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0,924</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64"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0,92</w:t>
            </w:r>
          </w:p>
        </w:tc>
        <w:tc>
          <w:tcPr>
            <w:tcW w:w="640" w:type="dxa"/>
            <w:tcBorders>
              <w:top w:val="nil"/>
              <w:left w:val="nil"/>
              <w:bottom w:val="single" w:sz="4" w:space="0" w:color="auto"/>
              <w:right w:val="single" w:sz="4" w:space="0" w:color="auto"/>
            </w:tcBorders>
            <w:shd w:val="clear" w:color="auto" w:fill="auto"/>
            <w:noWrap/>
            <w:vAlign w:val="center"/>
            <w:hideMark/>
          </w:tcPr>
          <w:p w14:paraId="1A18DD65"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6,6</w:t>
            </w:r>
          </w:p>
        </w:tc>
        <w:tc>
          <w:tcPr>
            <w:tcW w:w="1411" w:type="dxa"/>
            <w:tcBorders>
              <w:top w:val="nil"/>
              <w:left w:val="nil"/>
              <w:bottom w:val="single" w:sz="4" w:space="0" w:color="auto"/>
              <w:right w:val="single" w:sz="4" w:space="0" w:color="auto"/>
            </w:tcBorders>
            <w:shd w:val="clear" w:color="auto" w:fill="auto"/>
            <w:noWrap/>
            <w:vAlign w:val="center"/>
            <w:hideMark/>
          </w:tcPr>
          <w:p w14:paraId="1A18DD66"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70" w14:textId="77777777" w:rsidTr="00C25FA0">
        <w:trPr>
          <w:trHeight w:val="236"/>
        </w:trPr>
        <w:tc>
          <w:tcPr>
            <w:tcW w:w="1413" w:type="dxa"/>
            <w:gridSpan w:val="3"/>
            <w:vMerge/>
            <w:tcBorders>
              <w:left w:val="single" w:sz="4" w:space="0" w:color="auto"/>
              <w:right w:val="single" w:sz="4" w:space="0" w:color="auto"/>
            </w:tcBorders>
            <w:vAlign w:val="center"/>
            <w:hideMark/>
          </w:tcPr>
          <w:p w14:paraId="1A18DD68" w14:textId="77777777" w:rsidR="00D458C1" w:rsidRPr="00FC5A5E" w:rsidRDefault="00D458C1"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69" w14:textId="77777777" w:rsidR="00D458C1" w:rsidRPr="00FC5A5E" w:rsidRDefault="00D458C1"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6A" w14:textId="77777777" w:rsidR="00D458C1" w:rsidRPr="00FC5A5E" w:rsidRDefault="00D458C1" w:rsidP="00004A9F">
            <w:pPr>
              <w:jc w:val="center"/>
              <w:rPr>
                <w:rFonts w:ascii="Segoe UI" w:hAnsi="Segoe UI" w:cs="Segoe UI"/>
                <w:color w:val="000000"/>
                <w:sz w:val="15"/>
                <w:szCs w:val="15"/>
              </w:rPr>
            </w:pPr>
            <w:r w:rsidRPr="00FC5A5E">
              <w:rPr>
                <w:rFonts w:ascii="Segoe UI" w:hAnsi="Segoe UI" w:cs="Segoe UI"/>
                <w:color w:val="000000"/>
                <w:sz w:val="15"/>
                <w:szCs w:val="15"/>
              </w:rPr>
              <w:t>Indeno(1,2,3,-cd)piren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6B"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6C"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2,262</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6D"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2,3</w:t>
            </w:r>
          </w:p>
        </w:tc>
        <w:tc>
          <w:tcPr>
            <w:tcW w:w="640" w:type="dxa"/>
            <w:tcBorders>
              <w:top w:val="nil"/>
              <w:left w:val="nil"/>
              <w:bottom w:val="single" w:sz="4" w:space="0" w:color="auto"/>
              <w:right w:val="single" w:sz="4" w:space="0" w:color="auto"/>
            </w:tcBorders>
            <w:shd w:val="clear" w:color="auto" w:fill="auto"/>
            <w:noWrap/>
            <w:vAlign w:val="center"/>
            <w:hideMark/>
          </w:tcPr>
          <w:p w14:paraId="1A18DD6E"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12,8</w:t>
            </w:r>
          </w:p>
        </w:tc>
        <w:tc>
          <w:tcPr>
            <w:tcW w:w="1411" w:type="dxa"/>
            <w:tcBorders>
              <w:top w:val="nil"/>
              <w:left w:val="nil"/>
              <w:bottom w:val="single" w:sz="4" w:space="0" w:color="auto"/>
              <w:right w:val="single" w:sz="4" w:space="0" w:color="auto"/>
            </w:tcBorders>
            <w:shd w:val="clear" w:color="auto" w:fill="auto"/>
            <w:noWrap/>
            <w:vAlign w:val="center"/>
            <w:hideMark/>
          </w:tcPr>
          <w:p w14:paraId="1A18DD6F"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79" w14:textId="77777777" w:rsidTr="00C25FA0">
        <w:trPr>
          <w:trHeight w:val="236"/>
        </w:trPr>
        <w:tc>
          <w:tcPr>
            <w:tcW w:w="1413" w:type="dxa"/>
            <w:gridSpan w:val="3"/>
            <w:vMerge/>
            <w:tcBorders>
              <w:left w:val="single" w:sz="4" w:space="0" w:color="auto"/>
              <w:right w:val="single" w:sz="4" w:space="0" w:color="auto"/>
            </w:tcBorders>
            <w:vAlign w:val="center"/>
            <w:hideMark/>
          </w:tcPr>
          <w:p w14:paraId="1A18DD71" w14:textId="77777777" w:rsidR="00D458C1" w:rsidRPr="00FC5A5E" w:rsidRDefault="00D458C1" w:rsidP="00004A9F">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72" w14:textId="77777777" w:rsidR="00D458C1" w:rsidRPr="00FC5A5E" w:rsidRDefault="00D458C1" w:rsidP="00004A9F">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73"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Dibenzo(a,h)antracen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74"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D75"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0,191</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76"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0,19</w:t>
            </w:r>
          </w:p>
        </w:tc>
        <w:tc>
          <w:tcPr>
            <w:tcW w:w="640" w:type="dxa"/>
            <w:tcBorders>
              <w:top w:val="nil"/>
              <w:left w:val="nil"/>
              <w:bottom w:val="single" w:sz="4" w:space="0" w:color="auto"/>
              <w:right w:val="single" w:sz="4" w:space="0" w:color="auto"/>
            </w:tcBorders>
            <w:shd w:val="clear" w:color="auto" w:fill="auto"/>
            <w:noWrap/>
            <w:vAlign w:val="center"/>
            <w:hideMark/>
          </w:tcPr>
          <w:p w14:paraId="1A18DD77"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2,7</w:t>
            </w:r>
          </w:p>
        </w:tc>
        <w:tc>
          <w:tcPr>
            <w:tcW w:w="1411" w:type="dxa"/>
            <w:tcBorders>
              <w:top w:val="nil"/>
              <w:left w:val="nil"/>
              <w:bottom w:val="single" w:sz="4" w:space="0" w:color="auto"/>
              <w:right w:val="single" w:sz="4" w:space="0" w:color="auto"/>
            </w:tcBorders>
            <w:shd w:val="clear" w:color="auto" w:fill="auto"/>
            <w:noWrap/>
            <w:vAlign w:val="center"/>
            <w:hideMark/>
          </w:tcPr>
          <w:p w14:paraId="1A18DD78" w14:textId="77777777" w:rsidR="00D458C1" w:rsidRPr="00FC5A5E" w:rsidRDefault="00D458C1" w:rsidP="00004A9F">
            <w:pPr>
              <w:jc w:val="center"/>
              <w:rPr>
                <w:rFonts w:ascii="Segoe UI" w:hAnsi="Segoe UI" w:cs="Segoe UI"/>
                <w:sz w:val="15"/>
                <w:szCs w:val="15"/>
              </w:rPr>
            </w:pPr>
            <w:r w:rsidRPr="00FC5A5E">
              <w:rPr>
                <w:rFonts w:ascii="Segoe UI" w:hAnsi="Segoe UI" w:cs="Segoe UI"/>
                <w:sz w:val="15"/>
                <w:szCs w:val="15"/>
              </w:rPr>
              <w:t>NP</w:t>
            </w:r>
          </w:p>
        </w:tc>
      </w:tr>
      <w:tr w:rsidR="00D458C1" w:rsidRPr="00FC5A5E" w14:paraId="1A18DD82" w14:textId="77777777" w:rsidTr="00FE73F5">
        <w:trPr>
          <w:trHeight w:val="236"/>
        </w:trPr>
        <w:tc>
          <w:tcPr>
            <w:tcW w:w="1413" w:type="dxa"/>
            <w:gridSpan w:val="3"/>
            <w:vMerge/>
            <w:tcBorders>
              <w:left w:val="single" w:sz="4" w:space="0" w:color="auto"/>
              <w:right w:val="single" w:sz="4" w:space="0" w:color="auto"/>
            </w:tcBorders>
            <w:vAlign w:val="center"/>
          </w:tcPr>
          <w:p w14:paraId="1A18DD7A" w14:textId="77777777" w:rsidR="00D458C1" w:rsidRPr="00FC5A5E" w:rsidRDefault="00D458C1" w:rsidP="00D458C1">
            <w:pPr>
              <w:rPr>
                <w:rFonts w:ascii="Segoe UI" w:hAnsi="Segoe UI" w:cs="Segoe UI"/>
                <w:color w:val="000000"/>
                <w:sz w:val="15"/>
                <w:szCs w:val="15"/>
              </w:rPr>
            </w:pPr>
          </w:p>
        </w:tc>
        <w:tc>
          <w:tcPr>
            <w:tcW w:w="1417" w:type="dxa"/>
            <w:vMerge w:val="restart"/>
            <w:tcBorders>
              <w:top w:val="nil"/>
              <w:left w:val="single" w:sz="4" w:space="0" w:color="auto"/>
              <w:right w:val="single" w:sz="4" w:space="0" w:color="auto"/>
            </w:tcBorders>
            <w:vAlign w:val="center"/>
          </w:tcPr>
          <w:p w14:paraId="1A18DD7B" w14:textId="77777777" w:rsidR="00D458C1" w:rsidRPr="00FC5A5E" w:rsidRDefault="00D458C1" w:rsidP="00D458C1">
            <w:pPr>
              <w:rPr>
                <w:rFonts w:ascii="Segoe UI" w:hAnsi="Segoe UI" w:cs="Segoe UI"/>
                <w:color w:val="000000"/>
                <w:sz w:val="15"/>
                <w:szCs w:val="15"/>
              </w:rPr>
            </w:pPr>
            <w:r>
              <w:rPr>
                <w:rFonts w:ascii="Segoe UI" w:hAnsi="Segoe UI" w:cs="Segoe UI"/>
                <w:color w:val="000000"/>
                <w:sz w:val="15"/>
                <w:szCs w:val="15"/>
              </w:rPr>
              <w:t xml:space="preserve">Slavonski Brod-1 </w:t>
            </w:r>
          </w:p>
        </w:tc>
        <w:tc>
          <w:tcPr>
            <w:tcW w:w="1479" w:type="dxa"/>
            <w:tcBorders>
              <w:top w:val="nil"/>
              <w:left w:val="nil"/>
              <w:bottom w:val="single" w:sz="4" w:space="0" w:color="auto"/>
              <w:right w:val="single" w:sz="4" w:space="0" w:color="auto"/>
            </w:tcBorders>
            <w:shd w:val="clear" w:color="auto" w:fill="auto"/>
            <w:vAlign w:val="center"/>
          </w:tcPr>
          <w:p w14:paraId="1A18DD7C" w14:textId="77777777" w:rsidR="00D458C1" w:rsidRPr="00FC5A5E" w:rsidRDefault="00D458C1" w:rsidP="00D458C1">
            <w:pPr>
              <w:jc w:val="center"/>
              <w:rPr>
                <w:rFonts w:ascii="Segoe UI" w:hAnsi="Segoe UI" w:cs="Segoe UI"/>
                <w:sz w:val="15"/>
                <w:szCs w:val="15"/>
              </w:rPr>
            </w:pPr>
            <w:r w:rsidRPr="00FC5A5E">
              <w:rPr>
                <w:rFonts w:ascii="Segoe UI" w:hAnsi="Segoe UI" w:cs="Segoe UI"/>
                <w:sz w:val="15"/>
                <w:szCs w:val="15"/>
              </w:rPr>
              <w:t>BaP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7D" w14:textId="77777777" w:rsidR="00D458C1" w:rsidRPr="00FC5A5E" w:rsidRDefault="00E635E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7E" w14:textId="77777777" w:rsidR="00D458C1" w:rsidRPr="00FC5A5E" w:rsidRDefault="00E635E5" w:rsidP="00D458C1">
            <w:pPr>
              <w:jc w:val="center"/>
              <w:rPr>
                <w:rFonts w:ascii="Segoe UI" w:hAnsi="Segoe UI" w:cs="Segoe UI"/>
                <w:sz w:val="15"/>
                <w:szCs w:val="15"/>
              </w:rPr>
            </w:pPr>
            <w:r>
              <w:rPr>
                <w:rFonts w:ascii="Segoe UI" w:hAnsi="Segoe UI" w:cs="Segoe UI"/>
                <w:sz w:val="15"/>
                <w:szCs w:val="15"/>
              </w:rPr>
              <w:t>3,028</w:t>
            </w:r>
          </w:p>
        </w:tc>
        <w:tc>
          <w:tcPr>
            <w:tcW w:w="1061" w:type="dxa"/>
            <w:gridSpan w:val="2"/>
            <w:tcBorders>
              <w:top w:val="nil"/>
              <w:left w:val="nil"/>
              <w:bottom w:val="single" w:sz="4" w:space="0" w:color="auto"/>
              <w:right w:val="single" w:sz="4" w:space="0" w:color="auto"/>
            </w:tcBorders>
            <w:shd w:val="clear" w:color="auto" w:fill="auto"/>
            <w:vAlign w:val="center"/>
          </w:tcPr>
          <w:p w14:paraId="1A18DD7F" w14:textId="77777777" w:rsidR="00D458C1" w:rsidRPr="00FC5A5E" w:rsidRDefault="00E635E5" w:rsidP="00D458C1">
            <w:pPr>
              <w:jc w:val="center"/>
              <w:rPr>
                <w:rFonts w:ascii="Segoe UI" w:hAnsi="Segoe UI" w:cs="Segoe UI"/>
                <w:sz w:val="15"/>
                <w:szCs w:val="15"/>
              </w:rPr>
            </w:pPr>
            <w:r>
              <w:rPr>
                <w:rFonts w:ascii="Segoe UI" w:hAnsi="Segoe UI" w:cs="Segoe UI"/>
                <w:sz w:val="15"/>
                <w:szCs w:val="15"/>
              </w:rPr>
              <w:t>3,03</w:t>
            </w:r>
          </w:p>
        </w:tc>
        <w:tc>
          <w:tcPr>
            <w:tcW w:w="640" w:type="dxa"/>
            <w:tcBorders>
              <w:top w:val="nil"/>
              <w:left w:val="nil"/>
              <w:bottom w:val="single" w:sz="4" w:space="0" w:color="auto"/>
              <w:right w:val="single" w:sz="4" w:space="0" w:color="auto"/>
            </w:tcBorders>
            <w:shd w:val="clear" w:color="auto" w:fill="auto"/>
            <w:noWrap/>
            <w:vAlign w:val="center"/>
          </w:tcPr>
          <w:p w14:paraId="1A18DD80"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33,41</w:t>
            </w:r>
          </w:p>
        </w:tc>
        <w:tc>
          <w:tcPr>
            <w:tcW w:w="1411" w:type="dxa"/>
            <w:tcBorders>
              <w:top w:val="nil"/>
              <w:left w:val="nil"/>
              <w:bottom w:val="single" w:sz="4" w:space="0" w:color="auto"/>
              <w:right w:val="single" w:sz="4" w:space="0" w:color="auto"/>
            </w:tcBorders>
            <w:shd w:val="clear" w:color="auto" w:fill="FF0000"/>
            <w:noWrap/>
            <w:vAlign w:val="center"/>
          </w:tcPr>
          <w:p w14:paraId="1A18DD81" w14:textId="77777777" w:rsidR="00D458C1" w:rsidRPr="00FC5A5E" w:rsidRDefault="00D458C1" w:rsidP="00D458C1">
            <w:pPr>
              <w:jc w:val="center"/>
              <w:rPr>
                <w:rFonts w:ascii="Segoe UI" w:hAnsi="Segoe UI" w:cs="Segoe UI"/>
                <w:sz w:val="15"/>
                <w:szCs w:val="15"/>
              </w:rPr>
            </w:pPr>
          </w:p>
        </w:tc>
      </w:tr>
      <w:tr w:rsidR="00D458C1" w:rsidRPr="00FC5A5E" w14:paraId="1A18DD8B" w14:textId="77777777" w:rsidTr="00C25FA0">
        <w:trPr>
          <w:trHeight w:val="236"/>
        </w:trPr>
        <w:tc>
          <w:tcPr>
            <w:tcW w:w="1413" w:type="dxa"/>
            <w:gridSpan w:val="3"/>
            <w:vMerge/>
            <w:tcBorders>
              <w:left w:val="single" w:sz="4" w:space="0" w:color="auto"/>
              <w:right w:val="single" w:sz="4" w:space="0" w:color="auto"/>
            </w:tcBorders>
            <w:vAlign w:val="center"/>
          </w:tcPr>
          <w:p w14:paraId="1A18DD83" w14:textId="77777777" w:rsidR="00D458C1" w:rsidRPr="00FC5A5E" w:rsidRDefault="00D458C1" w:rsidP="00D458C1">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D84" w14:textId="77777777" w:rsidR="00D458C1" w:rsidRPr="00FC5A5E" w:rsidRDefault="00D458C1" w:rsidP="00D458C1">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D85" w14:textId="77777777" w:rsidR="00D458C1" w:rsidRPr="00FC5A5E" w:rsidRDefault="00D458C1" w:rsidP="00D458C1">
            <w:pPr>
              <w:jc w:val="center"/>
              <w:rPr>
                <w:rFonts w:ascii="Segoe UI" w:hAnsi="Segoe UI" w:cs="Segoe UI"/>
                <w:sz w:val="15"/>
                <w:szCs w:val="15"/>
              </w:rPr>
            </w:pPr>
            <w:r w:rsidRPr="00FC5A5E">
              <w:rPr>
                <w:rFonts w:ascii="Segoe UI" w:hAnsi="Segoe UI" w:cs="Segoe UI"/>
                <w:sz w:val="15"/>
                <w:szCs w:val="15"/>
              </w:rPr>
              <w:t>Benzo(a)antracen uPM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86"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87"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1,876</w:t>
            </w:r>
          </w:p>
        </w:tc>
        <w:tc>
          <w:tcPr>
            <w:tcW w:w="1061" w:type="dxa"/>
            <w:gridSpan w:val="2"/>
            <w:tcBorders>
              <w:top w:val="nil"/>
              <w:left w:val="nil"/>
              <w:bottom w:val="single" w:sz="4" w:space="0" w:color="auto"/>
              <w:right w:val="single" w:sz="4" w:space="0" w:color="auto"/>
            </w:tcBorders>
            <w:shd w:val="clear" w:color="auto" w:fill="auto"/>
            <w:vAlign w:val="center"/>
          </w:tcPr>
          <w:p w14:paraId="1A18DD88"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1,9</w:t>
            </w:r>
          </w:p>
        </w:tc>
        <w:tc>
          <w:tcPr>
            <w:tcW w:w="640" w:type="dxa"/>
            <w:tcBorders>
              <w:top w:val="nil"/>
              <w:left w:val="nil"/>
              <w:bottom w:val="single" w:sz="4" w:space="0" w:color="auto"/>
              <w:right w:val="single" w:sz="4" w:space="0" w:color="auto"/>
            </w:tcBorders>
            <w:shd w:val="clear" w:color="auto" w:fill="auto"/>
            <w:noWrap/>
            <w:vAlign w:val="center"/>
          </w:tcPr>
          <w:p w14:paraId="1A18DD89"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24,38</w:t>
            </w:r>
          </w:p>
        </w:tc>
        <w:tc>
          <w:tcPr>
            <w:tcW w:w="1411" w:type="dxa"/>
            <w:tcBorders>
              <w:top w:val="nil"/>
              <w:left w:val="nil"/>
              <w:bottom w:val="single" w:sz="4" w:space="0" w:color="auto"/>
              <w:right w:val="single" w:sz="4" w:space="0" w:color="auto"/>
            </w:tcBorders>
            <w:shd w:val="clear" w:color="auto" w:fill="auto"/>
            <w:noWrap/>
            <w:vAlign w:val="center"/>
          </w:tcPr>
          <w:p w14:paraId="1A18DD8A"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NP</w:t>
            </w:r>
          </w:p>
        </w:tc>
      </w:tr>
      <w:tr w:rsidR="00D458C1" w:rsidRPr="00FC5A5E" w14:paraId="1A18DD94" w14:textId="77777777" w:rsidTr="00C25FA0">
        <w:trPr>
          <w:trHeight w:val="236"/>
        </w:trPr>
        <w:tc>
          <w:tcPr>
            <w:tcW w:w="1413" w:type="dxa"/>
            <w:gridSpan w:val="3"/>
            <w:vMerge/>
            <w:tcBorders>
              <w:left w:val="single" w:sz="4" w:space="0" w:color="auto"/>
              <w:right w:val="single" w:sz="4" w:space="0" w:color="auto"/>
            </w:tcBorders>
            <w:vAlign w:val="center"/>
          </w:tcPr>
          <w:p w14:paraId="1A18DD8C" w14:textId="77777777" w:rsidR="00D458C1" w:rsidRPr="00FC5A5E" w:rsidRDefault="00D458C1" w:rsidP="00D458C1">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D8D" w14:textId="77777777" w:rsidR="00D458C1" w:rsidRPr="00FC5A5E" w:rsidRDefault="00D458C1" w:rsidP="00D458C1">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D8E" w14:textId="77777777" w:rsidR="00D458C1" w:rsidRPr="00FC5A5E" w:rsidRDefault="00D458C1" w:rsidP="00D458C1">
            <w:pPr>
              <w:jc w:val="center"/>
              <w:rPr>
                <w:rFonts w:ascii="Segoe UI" w:hAnsi="Segoe UI" w:cs="Segoe UI"/>
                <w:sz w:val="15"/>
                <w:szCs w:val="15"/>
              </w:rPr>
            </w:pPr>
            <w:r w:rsidRPr="00FC5A5E">
              <w:rPr>
                <w:rFonts w:ascii="Segoe UI" w:hAnsi="Segoe UI" w:cs="Segoe UI"/>
                <w:color w:val="000000"/>
                <w:sz w:val="15"/>
                <w:szCs w:val="15"/>
              </w:rPr>
              <w:t>Benzo(b)fluoranten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8F"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90"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3,591</w:t>
            </w:r>
          </w:p>
        </w:tc>
        <w:tc>
          <w:tcPr>
            <w:tcW w:w="1061" w:type="dxa"/>
            <w:gridSpan w:val="2"/>
            <w:tcBorders>
              <w:top w:val="nil"/>
              <w:left w:val="nil"/>
              <w:bottom w:val="single" w:sz="4" w:space="0" w:color="auto"/>
              <w:right w:val="single" w:sz="4" w:space="0" w:color="auto"/>
            </w:tcBorders>
            <w:shd w:val="clear" w:color="auto" w:fill="auto"/>
            <w:vAlign w:val="center"/>
          </w:tcPr>
          <w:p w14:paraId="1A18DD91"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3,6</w:t>
            </w:r>
          </w:p>
        </w:tc>
        <w:tc>
          <w:tcPr>
            <w:tcW w:w="640" w:type="dxa"/>
            <w:tcBorders>
              <w:top w:val="nil"/>
              <w:left w:val="nil"/>
              <w:bottom w:val="single" w:sz="4" w:space="0" w:color="auto"/>
              <w:right w:val="single" w:sz="4" w:space="0" w:color="auto"/>
            </w:tcBorders>
            <w:shd w:val="clear" w:color="auto" w:fill="auto"/>
            <w:noWrap/>
            <w:vAlign w:val="center"/>
          </w:tcPr>
          <w:p w14:paraId="1A18DD92"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34,77</w:t>
            </w:r>
          </w:p>
        </w:tc>
        <w:tc>
          <w:tcPr>
            <w:tcW w:w="1411" w:type="dxa"/>
            <w:tcBorders>
              <w:top w:val="nil"/>
              <w:left w:val="nil"/>
              <w:bottom w:val="single" w:sz="4" w:space="0" w:color="auto"/>
              <w:right w:val="single" w:sz="4" w:space="0" w:color="auto"/>
            </w:tcBorders>
            <w:shd w:val="clear" w:color="auto" w:fill="auto"/>
            <w:noWrap/>
            <w:vAlign w:val="center"/>
          </w:tcPr>
          <w:p w14:paraId="1A18DD93"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NP</w:t>
            </w:r>
          </w:p>
        </w:tc>
      </w:tr>
      <w:tr w:rsidR="00D458C1" w:rsidRPr="00FC5A5E" w14:paraId="1A18DD9D" w14:textId="77777777" w:rsidTr="00C25FA0">
        <w:trPr>
          <w:trHeight w:val="236"/>
        </w:trPr>
        <w:tc>
          <w:tcPr>
            <w:tcW w:w="1413" w:type="dxa"/>
            <w:gridSpan w:val="3"/>
            <w:vMerge/>
            <w:tcBorders>
              <w:left w:val="single" w:sz="4" w:space="0" w:color="auto"/>
              <w:right w:val="single" w:sz="4" w:space="0" w:color="auto"/>
            </w:tcBorders>
            <w:vAlign w:val="center"/>
          </w:tcPr>
          <w:p w14:paraId="1A18DD95" w14:textId="77777777" w:rsidR="00D458C1" w:rsidRPr="00FC5A5E" w:rsidRDefault="00D458C1" w:rsidP="00D458C1">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D96" w14:textId="77777777" w:rsidR="00D458C1" w:rsidRPr="00FC5A5E" w:rsidRDefault="00D458C1" w:rsidP="00D458C1">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D97" w14:textId="77777777" w:rsidR="00D458C1" w:rsidRPr="00FC5A5E" w:rsidRDefault="00D458C1" w:rsidP="00D458C1">
            <w:pPr>
              <w:jc w:val="center"/>
              <w:rPr>
                <w:rFonts w:ascii="Segoe UI" w:hAnsi="Segoe UI" w:cs="Segoe UI"/>
                <w:sz w:val="15"/>
                <w:szCs w:val="15"/>
              </w:rPr>
            </w:pPr>
            <w:r w:rsidRPr="00FC5A5E">
              <w:rPr>
                <w:rFonts w:ascii="Segoe UI" w:hAnsi="Segoe UI" w:cs="Segoe UI"/>
                <w:color w:val="000000"/>
                <w:sz w:val="15"/>
                <w:szCs w:val="15"/>
              </w:rPr>
              <w:t>Benzo(j)fluoranten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98"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99"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1,764</w:t>
            </w:r>
          </w:p>
        </w:tc>
        <w:tc>
          <w:tcPr>
            <w:tcW w:w="1061" w:type="dxa"/>
            <w:gridSpan w:val="2"/>
            <w:tcBorders>
              <w:top w:val="nil"/>
              <w:left w:val="nil"/>
              <w:bottom w:val="single" w:sz="4" w:space="0" w:color="auto"/>
              <w:right w:val="single" w:sz="4" w:space="0" w:color="auto"/>
            </w:tcBorders>
            <w:shd w:val="clear" w:color="auto" w:fill="auto"/>
            <w:vAlign w:val="center"/>
          </w:tcPr>
          <w:p w14:paraId="1A18DD9A"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1,8</w:t>
            </w:r>
          </w:p>
        </w:tc>
        <w:tc>
          <w:tcPr>
            <w:tcW w:w="640" w:type="dxa"/>
            <w:tcBorders>
              <w:top w:val="nil"/>
              <w:left w:val="nil"/>
              <w:bottom w:val="single" w:sz="4" w:space="0" w:color="auto"/>
              <w:right w:val="single" w:sz="4" w:space="0" w:color="auto"/>
            </w:tcBorders>
            <w:shd w:val="clear" w:color="auto" w:fill="auto"/>
            <w:noWrap/>
            <w:vAlign w:val="center"/>
          </w:tcPr>
          <w:p w14:paraId="1A18DD9B"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20,99</w:t>
            </w:r>
          </w:p>
        </w:tc>
        <w:tc>
          <w:tcPr>
            <w:tcW w:w="1411" w:type="dxa"/>
            <w:tcBorders>
              <w:top w:val="nil"/>
              <w:left w:val="nil"/>
              <w:bottom w:val="single" w:sz="4" w:space="0" w:color="auto"/>
              <w:right w:val="single" w:sz="4" w:space="0" w:color="auto"/>
            </w:tcBorders>
            <w:shd w:val="clear" w:color="auto" w:fill="auto"/>
            <w:noWrap/>
            <w:vAlign w:val="center"/>
          </w:tcPr>
          <w:p w14:paraId="1A18DD9C"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NP</w:t>
            </w:r>
          </w:p>
        </w:tc>
      </w:tr>
      <w:tr w:rsidR="00D458C1" w:rsidRPr="00FC5A5E" w14:paraId="1A18DDA6" w14:textId="77777777" w:rsidTr="00C25FA0">
        <w:trPr>
          <w:trHeight w:val="236"/>
        </w:trPr>
        <w:tc>
          <w:tcPr>
            <w:tcW w:w="1413" w:type="dxa"/>
            <w:gridSpan w:val="3"/>
            <w:vMerge/>
            <w:tcBorders>
              <w:left w:val="single" w:sz="4" w:space="0" w:color="auto"/>
              <w:right w:val="single" w:sz="4" w:space="0" w:color="auto"/>
            </w:tcBorders>
            <w:vAlign w:val="center"/>
          </w:tcPr>
          <w:p w14:paraId="1A18DD9E" w14:textId="77777777" w:rsidR="00D458C1" w:rsidRPr="00FC5A5E" w:rsidRDefault="00D458C1" w:rsidP="00D458C1">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D9F" w14:textId="77777777" w:rsidR="00D458C1" w:rsidRPr="00FC5A5E" w:rsidRDefault="00D458C1" w:rsidP="00D458C1">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DA0" w14:textId="77777777" w:rsidR="00D458C1" w:rsidRPr="00FC5A5E" w:rsidRDefault="00D458C1" w:rsidP="00D458C1">
            <w:pPr>
              <w:jc w:val="center"/>
              <w:rPr>
                <w:rFonts w:ascii="Segoe UI" w:hAnsi="Segoe UI" w:cs="Segoe UI"/>
                <w:sz w:val="15"/>
                <w:szCs w:val="15"/>
              </w:rPr>
            </w:pPr>
            <w:r w:rsidRPr="00FC5A5E">
              <w:rPr>
                <w:rFonts w:ascii="Segoe UI" w:hAnsi="Segoe UI" w:cs="Segoe UI"/>
                <w:color w:val="000000"/>
                <w:sz w:val="15"/>
                <w:szCs w:val="15"/>
              </w:rPr>
              <w:t xml:space="preserve"> Benzo(k)fluoranten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A1"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A2"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1,321</w:t>
            </w:r>
          </w:p>
        </w:tc>
        <w:tc>
          <w:tcPr>
            <w:tcW w:w="1061" w:type="dxa"/>
            <w:gridSpan w:val="2"/>
            <w:tcBorders>
              <w:top w:val="nil"/>
              <w:left w:val="nil"/>
              <w:bottom w:val="single" w:sz="4" w:space="0" w:color="auto"/>
              <w:right w:val="single" w:sz="4" w:space="0" w:color="auto"/>
            </w:tcBorders>
            <w:shd w:val="clear" w:color="auto" w:fill="auto"/>
            <w:vAlign w:val="center"/>
          </w:tcPr>
          <w:p w14:paraId="1A18DDA3"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1,3</w:t>
            </w:r>
          </w:p>
        </w:tc>
        <w:tc>
          <w:tcPr>
            <w:tcW w:w="640" w:type="dxa"/>
            <w:tcBorders>
              <w:top w:val="nil"/>
              <w:left w:val="nil"/>
              <w:bottom w:val="single" w:sz="4" w:space="0" w:color="auto"/>
              <w:right w:val="single" w:sz="4" w:space="0" w:color="auto"/>
            </w:tcBorders>
            <w:shd w:val="clear" w:color="auto" w:fill="auto"/>
            <w:noWrap/>
            <w:vAlign w:val="center"/>
          </w:tcPr>
          <w:p w14:paraId="1A18DDA4"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13,25</w:t>
            </w:r>
          </w:p>
        </w:tc>
        <w:tc>
          <w:tcPr>
            <w:tcW w:w="1411" w:type="dxa"/>
            <w:tcBorders>
              <w:top w:val="nil"/>
              <w:left w:val="nil"/>
              <w:bottom w:val="single" w:sz="4" w:space="0" w:color="auto"/>
              <w:right w:val="single" w:sz="4" w:space="0" w:color="auto"/>
            </w:tcBorders>
            <w:shd w:val="clear" w:color="auto" w:fill="auto"/>
            <w:noWrap/>
            <w:vAlign w:val="center"/>
          </w:tcPr>
          <w:p w14:paraId="1A18DDA5"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NP</w:t>
            </w:r>
          </w:p>
        </w:tc>
      </w:tr>
      <w:tr w:rsidR="00D458C1" w:rsidRPr="00FC5A5E" w14:paraId="1A18DDAF" w14:textId="77777777" w:rsidTr="00C25FA0">
        <w:trPr>
          <w:trHeight w:val="236"/>
        </w:trPr>
        <w:tc>
          <w:tcPr>
            <w:tcW w:w="1413" w:type="dxa"/>
            <w:gridSpan w:val="3"/>
            <w:vMerge/>
            <w:tcBorders>
              <w:left w:val="single" w:sz="4" w:space="0" w:color="auto"/>
              <w:right w:val="single" w:sz="4" w:space="0" w:color="auto"/>
            </w:tcBorders>
            <w:vAlign w:val="center"/>
          </w:tcPr>
          <w:p w14:paraId="1A18DDA7" w14:textId="77777777" w:rsidR="00D458C1" w:rsidRPr="00FC5A5E" w:rsidRDefault="00D458C1" w:rsidP="00D458C1">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DA8" w14:textId="77777777" w:rsidR="00D458C1" w:rsidRPr="00FC5A5E" w:rsidRDefault="00D458C1" w:rsidP="00D458C1">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DA9" w14:textId="77777777" w:rsidR="00D458C1" w:rsidRPr="00FC5A5E" w:rsidRDefault="00D458C1" w:rsidP="00D458C1">
            <w:pPr>
              <w:jc w:val="center"/>
              <w:rPr>
                <w:rFonts w:ascii="Segoe UI" w:hAnsi="Segoe UI" w:cs="Segoe UI"/>
                <w:sz w:val="15"/>
                <w:szCs w:val="15"/>
              </w:rPr>
            </w:pPr>
            <w:r w:rsidRPr="00FC5A5E">
              <w:rPr>
                <w:rFonts w:ascii="Segoe UI" w:hAnsi="Segoe UI" w:cs="Segoe UI"/>
                <w:color w:val="000000"/>
                <w:sz w:val="15"/>
                <w:szCs w:val="15"/>
              </w:rPr>
              <w:t>Indeno(1,2,3,-cd)piren u PM</w:t>
            </w:r>
            <w:r w:rsidRPr="00FC5A5E">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AA"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AB"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3,366</w:t>
            </w:r>
          </w:p>
        </w:tc>
        <w:tc>
          <w:tcPr>
            <w:tcW w:w="1061" w:type="dxa"/>
            <w:gridSpan w:val="2"/>
            <w:tcBorders>
              <w:top w:val="nil"/>
              <w:left w:val="nil"/>
              <w:bottom w:val="single" w:sz="4" w:space="0" w:color="auto"/>
              <w:right w:val="single" w:sz="4" w:space="0" w:color="auto"/>
            </w:tcBorders>
            <w:shd w:val="clear" w:color="auto" w:fill="auto"/>
            <w:vAlign w:val="center"/>
          </w:tcPr>
          <w:p w14:paraId="1A18DDAC"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3,4</w:t>
            </w:r>
          </w:p>
        </w:tc>
        <w:tc>
          <w:tcPr>
            <w:tcW w:w="640" w:type="dxa"/>
            <w:tcBorders>
              <w:top w:val="nil"/>
              <w:left w:val="nil"/>
              <w:bottom w:val="single" w:sz="4" w:space="0" w:color="auto"/>
              <w:right w:val="single" w:sz="4" w:space="0" w:color="auto"/>
            </w:tcBorders>
            <w:shd w:val="clear" w:color="auto" w:fill="auto"/>
            <w:noWrap/>
            <w:vAlign w:val="center"/>
          </w:tcPr>
          <w:p w14:paraId="1A18DDAD"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32,47</w:t>
            </w:r>
          </w:p>
        </w:tc>
        <w:tc>
          <w:tcPr>
            <w:tcW w:w="1411" w:type="dxa"/>
            <w:tcBorders>
              <w:top w:val="nil"/>
              <w:left w:val="nil"/>
              <w:bottom w:val="single" w:sz="4" w:space="0" w:color="auto"/>
              <w:right w:val="single" w:sz="4" w:space="0" w:color="auto"/>
            </w:tcBorders>
            <w:shd w:val="clear" w:color="auto" w:fill="auto"/>
            <w:noWrap/>
            <w:vAlign w:val="center"/>
          </w:tcPr>
          <w:p w14:paraId="1A18DDAE"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NP</w:t>
            </w:r>
          </w:p>
        </w:tc>
      </w:tr>
      <w:tr w:rsidR="00D458C1" w:rsidRPr="00FC5A5E" w14:paraId="1A18DDB8" w14:textId="77777777" w:rsidTr="00C25FA0">
        <w:trPr>
          <w:trHeight w:val="236"/>
        </w:trPr>
        <w:tc>
          <w:tcPr>
            <w:tcW w:w="1413" w:type="dxa"/>
            <w:gridSpan w:val="3"/>
            <w:vMerge/>
            <w:tcBorders>
              <w:left w:val="single" w:sz="4" w:space="0" w:color="auto"/>
              <w:bottom w:val="single" w:sz="4" w:space="0" w:color="auto"/>
              <w:right w:val="single" w:sz="4" w:space="0" w:color="auto"/>
            </w:tcBorders>
            <w:vAlign w:val="center"/>
          </w:tcPr>
          <w:p w14:paraId="1A18DDB0" w14:textId="77777777" w:rsidR="00D458C1" w:rsidRPr="00FC5A5E" w:rsidRDefault="00D458C1" w:rsidP="00D458C1">
            <w:pPr>
              <w:rPr>
                <w:rFonts w:ascii="Segoe UI" w:hAnsi="Segoe UI" w:cs="Segoe UI"/>
                <w:color w:val="000000"/>
                <w:sz w:val="15"/>
                <w:szCs w:val="15"/>
              </w:rPr>
            </w:pPr>
          </w:p>
        </w:tc>
        <w:tc>
          <w:tcPr>
            <w:tcW w:w="1417" w:type="dxa"/>
            <w:vMerge/>
            <w:tcBorders>
              <w:left w:val="single" w:sz="4" w:space="0" w:color="auto"/>
              <w:bottom w:val="single" w:sz="4" w:space="0" w:color="auto"/>
              <w:right w:val="single" w:sz="4" w:space="0" w:color="auto"/>
            </w:tcBorders>
            <w:vAlign w:val="center"/>
          </w:tcPr>
          <w:p w14:paraId="1A18DDB1" w14:textId="77777777" w:rsidR="00D458C1" w:rsidRPr="00FC5A5E" w:rsidRDefault="00D458C1" w:rsidP="00D458C1">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DB2" w14:textId="77777777" w:rsidR="00D458C1" w:rsidRPr="00FC5A5E" w:rsidRDefault="00D458C1" w:rsidP="00D458C1">
            <w:pPr>
              <w:jc w:val="center"/>
              <w:rPr>
                <w:rFonts w:ascii="Segoe UI" w:hAnsi="Segoe UI" w:cs="Segoe UI"/>
                <w:sz w:val="15"/>
                <w:szCs w:val="15"/>
              </w:rPr>
            </w:pPr>
            <w:r w:rsidRPr="00FC5A5E">
              <w:rPr>
                <w:rFonts w:ascii="Segoe UI" w:hAnsi="Segoe UI" w:cs="Segoe UI"/>
                <w:sz w:val="15"/>
                <w:szCs w:val="15"/>
              </w:rPr>
              <w:t>Dibenzo(a,h)antracen u PM</w:t>
            </w:r>
            <w:r w:rsidRPr="00FC5A5E">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DB3"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tcPr>
          <w:p w14:paraId="1A18DDB4"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0,265</w:t>
            </w:r>
          </w:p>
        </w:tc>
        <w:tc>
          <w:tcPr>
            <w:tcW w:w="1061" w:type="dxa"/>
            <w:gridSpan w:val="2"/>
            <w:tcBorders>
              <w:top w:val="nil"/>
              <w:left w:val="nil"/>
              <w:bottom w:val="single" w:sz="4" w:space="0" w:color="auto"/>
              <w:right w:val="single" w:sz="4" w:space="0" w:color="auto"/>
            </w:tcBorders>
            <w:shd w:val="clear" w:color="auto" w:fill="auto"/>
            <w:vAlign w:val="center"/>
          </w:tcPr>
          <w:p w14:paraId="1A18DDB5"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0,3</w:t>
            </w:r>
          </w:p>
        </w:tc>
        <w:tc>
          <w:tcPr>
            <w:tcW w:w="640" w:type="dxa"/>
            <w:tcBorders>
              <w:top w:val="nil"/>
              <w:left w:val="nil"/>
              <w:bottom w:val="single" w:sz="4" w:space="0" w:color="auto"/>
              <w:right w:val="single" w:sz="4" w:space="0" w:color="auto"/>
            </w:tcBorders>
            <w:shd w:val="clear" w:color="auto" w:fill="auto"/>
            <w:noWrap/>
            <w:vAlign w:val="center"/>
          </w:tcPr>
          <w:p w14:paraId="1A18DDB6"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2,33</w:t>
            </w:r>
          </w:p>
        </w:tc>
        <w:tc>
          <w:tcPr>
            <w:tcW w:w="1411" w:type="dxa"/>
            <w:tcBorders>
              <w:top w:val="nil"/>
              <w:left w:val="nil"/>
              <w:bottom w:val="single" w:sz="4" w:space="0" w:color="auto"/>
              <w:right w:val="single" w:sz="4" w:space="0" w:color="auto"/>
            </w:tcBorders>
            <w:shd w:val="clear" w:color="auto" w:fill="auto"/>
            <w:noWrap/>
            <w:vAlign w:val="center"/>
          </w:tcPr>
          <w:p w14:paraId="1A18DDB7" w14:textId="77777777" w:rsidR="00D458C1" w:rsidRPr="00FC5A5E" w:rsidRDefault="00FE73F5" w:rsidP="00D458C1">
            <w:pPr>
              <w:jc w:val="center"/>
              <w:rPr>
                <w:rFonts w:ascii="Segoe UI" w:hAnsi="Segoe UI" w:cs="Segoe UI"/>
                <w:sz w:val="15"/>
                <w:szCs w:val="15"/>
              </w:rPr>
            </w:pPr>
            <w:r>
              <w:rPr>
                <w:rFonts w:ascii="Segoe UI" w:hAnsi="Segoe UI" w:cs="Segoe UI"/>
                <w:sz w:val="15"/>
                <w:szCs w:val="15"/>
              </w:rPr>
              <w:t>NP</w:t>
            </w:r>
          </w:p>
        </w:tc>
      </w:tr>
      <w:tr w:rsidR="00D458C1" w:rsidRPr="00FC5A5E" w14:paraId="1A18DDBC"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DB9" w14:textId="77777777" w:rsidR="00D458C1" w:rsidRPr="00FC5A5E" w:rsidRDefault="00D458C1" w:rsidP="00D458C1">
            <w:pPr>
              <w:rPr>
                <w:sz w:val="15"/>
                <w:szCs w:val="15"/>
                <w:u w:val="single"/>
              </w:rPr>
            </w:pPr>
          </w:p>
          <w:p w14:paraId="1A18DDBA" w14:textId="77777777" w:rsidR="00D458C1" w:rsidRPr="00FC5A5E" w:rsidRDefault="00D458C1" w:rsidP="00D458C1">
            <w:pPr>
              <w:rPr>
                <w:sz w:val="15"/>
                <w:szCs w:val="15"/>
                <w:u w:val="single"/>
              </w:rPr>
            </w:pPr>
            <w:r w:rsidRPr="00FC5A5E">
              <w:rPr>
                <w:sz w:val="15"/>
                <w:szCs w:val="15"/>
                <w:u w:val="single"/>
              </w:rPr>
              <w:t>Legenda:</w:t>
            </w:r>
          </w:p>
        </w:tc>
        <w:tc>
          <w:tcPr>
            <w:tcW w:w="5792" w:type="dxa"/>
            <w:gridSpan w:val="6"/>
            <w:tcBorders>
              <w:top w:val="nil"/>
              <w:left w:val="nil"/>
              <w:bottom w:val="nil"/>
              <w:right w:val="nil"/>
            </w:tcBorders>
            <w:shd w:val="clear" w:color="auto" w:fill="auto"/>
            <w:noWrap/>
            <w:vAlign w:val="bottom"/>
            <w:hideMark/>
          </w:tcPr>
          <w:p w14:paraId="1A18DDBB" w14:textId="77777777" w:rsidR="00D458C1" w:rsidRPr="00FC5A5E" w:rsidRDefault="00D458C1" w:rsidP="00D458C1">
            <w:pPr>
              <w:rPr>
                <w:sz w:val="15"/>
                <w:szCs w:val="15"/>
              </w:rPr>
            </w:pPr>
          </w:p>
        </w:tc>
      </w:tr>
      <w:tr w:rsidR="00D458C1" w:rsidRPr="00FC5A5E" w14:paraId="1A18DDBF"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center"/>
            <w:hideMark/>
          </w:tcPr>
          <w:p w14:paraId="1A18DDBD" w14:textId="77777777" w:rsidR="00D458C1" w:rsidRPr="00FC5A5E" w:rsidRDefault="00D458C1" w:rsidP="00D458C1">
            <w:pPr>
              <w:rPr>
                <w:color w:val="0070C0"/>
                <w:sz w:val="15"/>
                <w:szCs w:val="15"/>
              </w:rPr>
            </w:pPr>
            <w:r w:rsidRPr="00FC5A5E">
              <w:rPr>
                <w:color w:val="0070C0"/>
                <w:sz w:val="15"/>
                <w:szCs w:val="15"/>
              </w:rPr>
              <w:t>Plavo</w:t>
            </w:r>
          </w:p>
        </w:tc>
        <w:tc>
          <w:tcPr>
            <w:tcW w:w="5792" w:type="dxa"/>
            <w:gridSpan w:val="6"/>
            <w:tcBorders>
              <w:top w:val="nil"/>
              <w:left w:val="nil"/>
              <w:bottom w:val="nil"/>
              <w:right w:val="nil"/>
            </w:tcBorders>
            <w:shd w:val="clear" w:color="auto" w:fill="auto"/>
            <w:noWrap/>
            <w:vAlign w:val="center"/>
            <w:hideMark/>
          </w:tcPr>
          <w:p w14:paraId="1A18DDBE" w14:textId="77777777" w:rsidR="00D458C1" w:rsidRPr="00FC5A5E" w:rsidRDefault="00D458C1" w:rsidP="00D458C1">
            <w:pPr>
              <w:rPr>
                <w:color w:val="000000"/>
                <w:sz w:val="15"/>
                <w:szCs w:val="15"/>
              </w:rPr>
            </w:pPr>
            <w:r w:rsidRPr="00FC5A5E">
              <w:rPr>
                <w:color w:val="000000"/>
                <w:sz w:val="15"/>
                <w:szCs w:val="15"/>
              </w:rPr>
              <w:t>Obuhvat podataka manji od 85 %</w:t>
            </w:r>
          </w:p>
        </w:tc>
      </w:tr>
      <w:tr w:rsidR="00D458C1" w:rsidRPr="00FC5A5E" w14:paraId="1A18DDC2"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center"/>
            <w:hideMark/>
          </w:tcPr>
          <w:p w14:paraId="1A18DDC0" w14:textId="77777777" w:rsidR="00D458C1" w:rsidRPr="00FC5A5E" w:rsidRDefault="00D458C1" w:rsidP="00D458C1">
            <w:pPr>
              <w:rPr>
                <w:color w:val="FF0000"/>
                <w:sz w:val="15"/>
                <w:szCs w:val="15"/>
              </w:rPr>
            </w:pPr>
            <w:r w:rsidRPr="00FC5A5E">
              <w:rPr>
                <w:color w:val="FF0000"/>
                <w:sz w:val="15"/>
                <w:szCs w:val="15"/>
              </w:rPr>
              <w:t>Crveno</w:t>
            </w:r>
          </w:p>
        </w:tc>
        <w:tc>
          <w:tcPr>
            <w:tcW w:w="5792" w:type="dxa"/>
            <w:gridSpan w:val="6"/>
            <w:tcBorders>
              <w:top w:val="nil"/>
              <w:left w:val="nil"/>
              <w:bottom w:val="nil"/>
              <w:right w:val="nil"/>
            </w:tcBorders>
            <w:shd w:val="clear" w:color="auto" w:fill="auto"/>
            <w:noWrap/>
            <w:vAlign w:val="center"/>
            <w:hideMark/>
          </w:tcPr>
          <w:p w14:paraId="1A18DDC1" w14:textId="77777777" w:rsidR="00D458C1" w:rsidRPr="00FC5A5E" w:rsidRDefault="00D458C1" w:rsidP="00D458C1">
            <w:pPr>
              <w:rPr>
                <w:color w:val="000000"/>
                <w:sz w:val="15"/>
                <w:szCs w:val="15"/>
              </w:rPr>
            </w:pPr>
            <w:r w:rsidRPr="00FC5A5E">
              <w:rPr>
                <w:color w:val="000000"/>
                <w:sz w:val="15"/>
                <w:szCs w:val="15"/>
              </w:rPr>
              <w:t>Prekoračena srednja godišnja CV</w:t>
            </w:r>
          </w:p>
        </w:tc>
      </w:tr>
      <w:tr w:rsidR="00D458C1" w:rsidRPr="00FC5A5E" w14:paraId="1A18DDC5" w14:textId="77777777" w:rsidTr="00B542EA">
        <w:trPr>
          <w:gridBefore w:val="1"/>
          <w:gridAfter w:val="3"/>
          <w:wBefore w:w="58" w:type="dxa"/>
          <w:wAfter w:w="2599" w:type="dxa"/>
          <w:trHeight w:val="14"/>
        </w:trPr>
        <w:tc>
          <w:tcPr>
            <w:tcW w:w="1179" w:type="dxa"/>
            <w:tcBorders>
              <w:top w:val="nil"/>
              <w:left w:val="nil"/>
              <w:bottom w:val="nil"/>
              <w:right w:val="nil"/>
            </w:tcBorders>
            <w:shd w:val="clear" w:color="000000" w:fill="EE1010"/>
            <w:noWrap/>
            <w:vAlign w:val="center"/>
            <w:hideMark/>
          </w:tcPr>
          <w:p w14:paraId="1A18DDC3" w14:textId="77777777" w:rsidR="00D458C1" w:rsidRPr="00FC5A5E" w:rsidRDefault="00D458C1" w:rsidP="00D458C1">
            <w:pPr>
              <w:jc w:val="center"/>
              <w:rPr>
                <w:sz w:val="15"/>
                <w:szCs w:val="15"/>
              </w:rPr>
            </w:pPr>
            <w:r w:rsidRPr="00FC5A5E">
              <w:rPr>
                <w:sz w:val="15"/>
                <w:szCs w:val="15"/>
              </w:rPr>
              <w:t> </w:t>
            </w:r>
          </w:p>
        </w:tc>
        <w:tc>
          <w:tcPr>
            <w:tcW w:w="5792" w:type="dxa"/>
            <w:gridSpan w:val="6"/>
            <w:tcBorders>
              <w:top w:val="nil"/>
              <w:left w:val="nil"/>
              <w:bottom w:val="nil"/>
              <w:right w:val="nil"/>
            </w:tcBorders>
            <w:shd w:val="clear" w:color="auto" w:fill="auto"/>
            <w:noWrap/>
            <w:vAlign w:val="bottom"/>
            <w:hideMark/>
          </w:tcPr>
          <w:p w14:paraId="1A18DDC4" w14:textId="77777777" w:rsidR="00D458C1" w:rsidRPr="00FC5A5E" w:rsidRDefault="00D458C1" w:rsidP="00D458C1">
            <w:pPr>
              <w:rPr>
                <w:sz w:val="15"/>
                <w:szCs w:val="15"/>
              </w:rPr>
            </w:pPr>
            <w:r w:rsidRPr="00FC5A5E">
              <w:rPr>
                <w:sz w:val="15"/>
                <w:szCs w:val="15"/>
              </w:rPr>
              <w:t>Nesukladno s ciljevima zaštite okoliša (prekoračena CV)</w:t>
            </w:r>
          </w:p>
        </w:tc>
      </w:tr>
      <w:tr w:rsidR="00D458C1" w:rsidRPr="00FC5A5E" w14:paraId="1A18DDC8" w14:textId="77777777" w:rsidTr="00B542EA">
        <w:trPr>
          <w:gridBefore w:val="1"/>
          <w:gridAfter w:val="3"/>
          <w:wBefore w:w="58" w:type="dxa"/>
          <w:wAfter w:w="2599" w:type="dxa"/>
          <w:trHeight w:val="14"/>
        </w:trPr>
        <w:tc>
          <w:tcPr>
            <w:tcW w:w="1179" w:type="dxa"/>
            <w:tcBorders>
              <w:top w:val="nil"/>
              <w:left w:val="nil"/>
              <w:bottom w:val="nil"/>
              <w:right w:val="nil"/>
            </w:tcBorders>
            <w:shd w:val="clear" w:color="000000" w:fill="D2FFBE"/>
            <w:noWrap/>
            <w:vAlign w:val="center"/>
            <w:hideMark/>
          </w:tcPr>
          <w:p w14:paraId="1A18DDC6" w14:textId="77777777" w:rsidR="00D458C1" w:rsidRPr="00FC5A5E" w:rsidRDefault="00D458C1" w:rsidP="00D458C1">
            <w:pPr>
              <w:jc w:val="center"/>
              <w:rPr>
                <w:sz w:val="15"/>
                <w:szCs w:val="15"/>
              </w:rPr>
            </w:pPr>
            <w:r w:rsidRPr="00FC5A5E">
              <w:rPr>
                <w:sz w:val="15"/>
                <w:szCs w:val="15"/>
              </w:rPr>
              <w:t> </w:t>
            </w:r>
          </w:p>
        </w:tc>
        <w:tc>
          <w:tcPr>
            <w:tcW w:w="5792" w:type="dxa"/>
            <w:gridSpan w:val="6"/>
            <w:tcBorders>
              <w:top w:val="nil"/>
              <w:left w:val="nil"/>
              <w:bottom w:val="nil"/>
              <w:right w:val="nil"/>
            </w:tcBorders>
            <w:shd w:val="clear" w:color="auto" w:fill="auto"/>
            <w:noWrap/>
            <w:vAlign w:val="bottom"/>
            <w:hideMark/>
          </w:tcPr>
          <w:p w14:paraId="1A18DDC7" w14:textId="77777777" w:rsidR="00D458C1" w:rsidRPr="00FC5A5E" w:rsidRDefault="00D458C1" w:rsidP="00D458C1">
            <w:pPr>
              <w:rPr>
                <w:sz w:val="15"/>
                <w:szCs w:val="15"/>
              </w:rPr>
            </w:pPr>
            <w:r w:rsidRPr="00FC5A5E">
              <w:rPr>
                <w:sz w:val="15"/>
                <w:szCs w:val="15"/>
              </w:rPr>
              <w:t>Sukladno s ciljevima zaštite okoliša (nije prekoračena CV)</w:t>
            </w:r>
          </w:p>
        </w:tc>
      </w:tr>
      <w:tr w:rsidR="00D458C1" w:rsidRPr="00FC5A5E" w14:paraId="1A18DDCB" w14:textId="77777777" w:rsidTr="00B542EA">
        <w:trPr>
          <w:gridBefore w:val="1"/>
          <w:gridAfter w:val="3"/>
          <w:wBefore w:w="58" w:type="dxa"/>
          <w:wAfter w:w="2599" w:type="dxa"/>
          <w:trHeight w:val="14"/>
        </w:trPr>
        <w:tc>
          <w:tcPr>
            <w:tcW w:w="1179" w:type="dxa"/>
            <w:tcBorders>
              <w:top w:val="nil"/>
              <w:left w:val="nil"/>
              <w:bottom w:val="nil"/>
              <w:right w:val="nil"/>
            </w:tcBorders>
            <w:shd w:val="clear" w:color="000000" w:fill="E1E1E1"/>
            <w:noWrap/>
            <w:vAlign w:val="center"/>
            <w:hideMark/>
          </w:tcPr>
          <w:p w14:paraId="1A18DDC9" w14:textId="77777777" w:rsidR="00D458C1" w:rsidRPr="00FC5A5E" w:rsidRDefault="00D458C1" w:rsidP="00D458C1">
            <w:pPr>
              <w:jc w:val="center"/>
              <w:rPr>
                <w:sz w:val="15"/>
                <w:szCs w:val="15"/>
              </w:rPr>
            </w:pPr>
            <w:r w:rsidRPr="00FC5A5E">
              <w:rPr>
                <w:sz w:val="15"/>
                <w:szCs w:val="15"/>
              </w:rPr>
              <w:t> </w:t>
            </w:r>
          </w:p>
        </w:tc>
        <w:tc>
          <w:tcPr>
            <w:tcW w:w="5792" w:type="dxa"/>
            <w:gridSpan w:val="6"/>
            <w:tcBorders>
              <w:top w:val="nil"/>
              <w:left w:val="nil"/>
              <w:bottom w:val="nil"/>
              <w:right w:val="nil"/>
            </w:tcBorders>
            <w:shd w:val="clear" w:color="auto" w:fill="auto"/>
            <w:noWrap/>
            <w:vAlign w:val="bottom"/>
            <w:hideMark/>
          </w:tcPr>
          <w:p w14:paraId="1A18DDCA" w14:textId="77777777" w:rsidR="00D458C1" w:rsidRPr="00FC5A5E" w:rsidRDefault="00D458C1" w:rsidP="00D458C1">
            <w:pPr>
              <w:rPr>
                <w:sz w:val="15"/>
                <w:szCs w:val="15"/>
              </w:rPr>
            </w:pPr>
            <w:r w:rsidRPr="00FC5A5E">
              <w:rPr>
                <w:sz w:val="15"/>
                <w:szCs w:val="15"/>
              </w:rPr>
              <w:t>Neocijenjeno</w:t>
            </w:r>
          </w:p>
        </w:tc>
      </w:tr>
      <w:tr w:rsidR="00D458C1" w:rsidRPr="00FC5A5E" w14:paraId="1A18DDCE"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DCC" w14:textId="77777777" w:rsidR="00D458C1" w:rsidRPr="00FC5A5E" w:rsidRDefault="00D458C1" w:rsidP="00D458C1">
            <w:pPr>
              <w:rPr>
                <w:sz w:val="15"/>
                <w:szCs w:val="15"/>
              </w:rPr>
            </w:pPr>
            <w:r w:rsidRPr="00FC5A5E">
              <w:rPr>
                <w:sz w:val="15"/>
                <w:szCs w:val="15"/>
              </w:rPr>
              <w:t>*</w:t>
            </w:r>
          </w:p>
        </w:tc>
        <w:tc>
          <w:tcPr>
            <w:tcW w:w="5792" w:type="dxa"/>
            <w:gridSpan w:val="6"/>
            <w:tcBorders>
              <w:top w:val="nil"/>
              <w:left w:val="nil"/>
              <w:bottom w:val="nil"/>
              <w:right w:val="nil"/>
            </w:tcBorders>
            <w:shd w:val="clear" w:color="auto" w:fill="auto"/>
            <w:noWrap/>
            <w:vAlign w:val="bottom"/>
            <w:hideMark/>
          </w:tcPr>
          <w:p w14:paraId="1A18DDCD" w14:textId="77777777" w:rsidR="00D458C1" w:rsidRPr="00FC5A5E" w:rsidRDefault="00D458C1" w:rsidP="00D458C1">
            <w:pPr>
              <w:rPr>
                <w:sz w:val="15"/>
                <w:szCs w:val="15"/>
              </w:rPr>
            </w:pPr>
            <w:r w:rsidRPr="00FC5A5E">
              <w:rPr>
                <w:sz w:val="15"/>
                <w:szCs w:val="15"/>
              </w:rPr>
              <w:t>ne koristi se za ocjenu sukladnosti</w:t>
            </w:r>
          </w:p>
        </w:tc>
      </w:tr>
      <w:tr w:rsidR="00D458C1" w:rsidRPr="00FC5A5E" w14:paraId="1A18DDD1"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DCF" w14:textId="77777777" w:rsidR="00D458C1" w:rsidRPr="00FC5A5E" w:rsidRDefault="00D458C1" w:rsidP="00D458C1">
            <w:pPr>
              <w:rPr>
                <w:sz w:val="15"/>
                <w:szCs w:val="15"/>
              </w:rPr>
            </w:pPr>
            <w:r w:rsidRPr="00FC5A5E">
              <w:rPr>
                <w:sz w:val="15"/>
                <w:szCs w:val="15"/>
              </w:rPr>
              <w:t>CV</w:t>
            </w:r>
          </w:p>
        </w:tc>
        <w:tc>
          <w:tcPr>
            <w:tcW w:w="5792" w:type="dxa"/>
            <w:gridSpan w:val="6"/>
            <w:tcBorders>
              <w:top w:val="nil"/>
              <w:left w:val="nil"/>
              <w:bottom w:val="nil"/>
              <w:right w:val="nil"/>
            </w:tcBorders>
            <w:shd w:val="clear" w:color="auto" w:fill="auto"/>
            <w:noWrap/>
            <w:vAlign w:val="bottom"/>
            <w:hideMark/>
          </w:tcPr>
          <w:p w14:paraId="1A18DDD0" w14:textId="77777777" w:rsidR="00D458C1" w:rsidRPr="00FC5A5E" w:rsidRDefault="00D458C1" w:rsidP="00D458C1">
            <w:pPr>
              <w:rPr>
                <w:sz w:val="15"/>
                <w:szCs w:val="15"/>
              </w:rPr>
            </w:pPr>
            <w:r w:rsidRPr="00FC5A5E">
              <w:rPr>
                <w:sz w:val="15"/>
                <w:szCs w:val="15"/>
              </w:rPr>
              <w:t>Ciljna vrijednost</w:t>
            </w:r>
          </w:p>
        </w:tc>
      </w:tr>
      <w:tr w:rsidR="00D458C1" w:rsidRPr="00FC5A5E" w14:paraId="1A18DDD4"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center"/>
            <w:hideMark/>
          </w:tcPr>
          <w:p w14:paraId="1A18DDD2" w14:textId="77777777" w:rsidR="00D458C1" w:rsidRPr="00FC5A5E" w:rsidRDefault="00D458C1" w:rsidP="00D458C1">
            <w:pPr>
              <w:rPr>
                <w:sz w:val="15"/>
                <w:szCs w:val="15"/>
              </w:rPr>
            </w:pPr>
            <w:r w:rsidRPr="00FC5A5E">
              <w:rPr>
                <w:sz w:val="15"/>
                <w:szCs w:val="15"/>
              </w:rPr>
              <w:t>-</w:t>
            </w:r>
          </w:p>
        </w:tc>
        <w:tc>
          <w:tcPr>
            <w:tcW w:w="5792" w:type="dxa"/>
            <w:gridSpan w:val="6"/>
            <w:tcBorders>
              <w:top w:val="nil"/>
              <w:left w:val="nil"/>
              <w:bottom w:val="nil"/>
              <w:right w:val="nil"/>
            </w:tcBorders>
            <w:shd w:val="clear" w:color="auto" w:fill="auto"/>
            <w:noWrap/>
            <w:vAlign w:val="center"/>
            <w:hideMark/>
          </w:tcPr>
          <w:p w14:paraId="1A18DDD3" w14:textId="77777777" w:rsidR="00D458C1" w:rsidRPr="00FC5A5E" w:rsidRDefault="00D458C1" w:rsidP="00D458C1">
            <w:pPr>
              <w:rPr>
                <w:sz w:val="15"/>
                <w:szCs w:val="15"/>
              </w:rPr>
            </w:pPr>
            <w:r w:rsidRPr="00FC5A5E">
              <w:rPr>
                <w:sz w:val="15"/>
                <w:szCs w:val="15"/>
              </w:rPr>
              <w:t>Nema podatka</w:t>
            </w:r>
          </w:p>
        </w:tc>
      </w:tr>
      <w:tr w:rsidR="00D458C1" w:rsidRPr="00FC5A5E" w14:paraId="1A18DDD7"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DD5" w14:textId="77777777" w:rsidR="00D458C1" w:rsidRPr="00FC5A5E" w:rsidRDefault="00D458C1" w:rsidP="00D458C1">
            <w:pPr>
              <w:rPr>
                <w:sz w:val="15"/>
                <w:szCs w:val="15"/>
              </w:rPr>
            </w:pPr>
            <w:r w:rsidRPr="00FC5A5E">
              <w:rPr>
                <w:sz w:val="15"/>
                <w:szCs w:val="15"/>
              </w:rPr>
              <w:t>NP</w:t>
            </w:r>
          </w:p>
        </w:tc>
        <w:tc>
          <w:tcPr>
            <w:tcW w:w="5792" w:type="dxa"/>
            <w:gridSpan w:val="6"/>
            <w:tcBorders>
              <w:top w:val="nil"/>
              <w:left w:val="nil"/>
              <w:bottom w:val="nil"/>
              <w:right w:val="nil"/>
            </w:tcBorders>
            <w:shd w:val="clear" w:color="auto" w:fill="auto"/>
            <w:noWrap/>
            <w:vAlign w:val="bottom"/>
            <w:hideMark/>
          </w:tcPr>
          <w:p w14:paraId="1A18DDD6" w14:textId="77777777" w:rsidR="00D458C1" w:rsidRPr="00FC5A5E" w:rsidRDefault="00D458C1" w:rsidP="00D458C1">
            <w:pPr>
              <w:rPr>
                <w:sz w:val="15"/>
                <w:szCs w:val="15"/>
              </w:rPr>
            </w:pPr>
            <w:r w:rsidRPr="00FC5A5E">
              <w:rPr>
                <w:sz w:val="15"/>
                <w:szCs w:val="15"/>
              </w:rPr>
              <w:t>Nije primjenjivo</w:t>
            </w:r>
          </w:p>
        </w:tc>
      </w:tr>
      <w:tr w:rsidR="00D458C1" w:rsidRPr="00FC5A5E" w14:paraId="1A18DDDA" w14:textId="77777777" w:rsidTr="00B542EA">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DD8" w14:textId="77777777" w:rsidR="00D458C1" w:rsidRPr="00FC5A5E" w:rsidRDefault="00D458C1" w:rsidP="00D458C1">
            <w:pPr>
              <w:rPr>
                <w:sz w:val="15"/>
                <w:szCs w:val="15"/>
              </w:rPr>
            </w:pPr>
            <w:r w:rsidRPr="00FC5A5E">
              <w:rPr>
                <w:sz w:val="15"/>
                <w:szCs w:val="15"/>
              </w:rPr>
              <w:t>n.d.</w:t>
            </w:r>
          </w:p>
        </w:tc>
        <w:tc>
          <w:tcPr>
            <w:tcW w:w="5792" w:type="dxa"/>
            <w:gridSpan w:val="6"/>
            <w:tcBorders>
              <w:top w:val="nil"/>
              <w:left w:val="nil"/>
              <w:bottom w:val="nil"/>
              <w:right w:val="nil"/>
            </w:tcBorders>
            <w:shd w:val="clear" w:color="auto" w:fill="auto"/>
            <w:noWrap/>
            <w:vAlign w:val="bottom"/>
            <w:hideMark/>
          </w:tcPr>
          <w:p w14:paraId="1A18DDD9" w14:textId="77777777" w:rsidR="00D458C1" w:rsidRPr="00FC5A5E" w:rsidRDefault="00D458C1" w:rsidP="00D458C1">
            <w:pPr>
              <w:rPr>
                <w:sz w:val="15"/>
                <w:szCs w:val="15"/>
              </w:rPr>
            </w:pPr>
            <w:r w:rsidRPr="00FC5A5E">
              <w:rPr>
                <w:sz w:val="15"/>
                <w:szCs w:val="15"/>
              </w:rPr>
              <w:t>Ispod granice osjetljivosti metode</w:t>
            </w:r>
          </w:p>
        </w:tc>
      </w:tr>
    </w:tbl>
    <w:p w14:paraId="1A18DDDB" w14:textId="77777777" w:rsidR="00004A9F" w:rsidRDefault="00004A9F" w:rsidP="00004A9F">
      <w:pPr>
        <w:spacing w:after="120"/>
        <w:rPr>
          <w:bCs/>
          <w:i/>
        </w:rPr>
      </w:pPr>
    </w:p>
    <w:p w14:paraId="1A18DDDC" w14:textId="77777777" w:rsidR="00004A9F" w:rsidRPr="00004A9F" w:rsidRDefault="00004A9F" w:rsidP="00004A9F">
      <w:pPr>
        <w:spacing w:after="120"/>
        <w:rPr>
          <w:bCs/>
        </w:rPr>
      </w:pPr>
      <w:r w:rsidRPr="00004A9F">
        <w:rPr>
          <w:bCs/>
        </w:rPr>
        <w:t xml:space="preserve">Na osnovi analize rezultata mjerenja ocijenjeno je da su aglomeracija Zagreb i Industrijska zona </w:t>
      </w:r>
      <w:r w:rsidR="001C33A4">
        <w:rPr>
          <w:bCs/>
        </w:rPr>
        <w:t xml:space="preserve">u </w:t>
      </w:r>
      <w:r w:rsidRPr="00004A9F">
        <w:rPr>
          <w:bCs/>
        </w:rPr>
        <w:t>2020. nesukladne s ciljnom vrijednošću za srednju godišnju vrijednost B(a)P u PM</w:t>
      </w:r>
      <w:r w:rsidRPr="00B542EA">
        <w:rPr>
          <w:bCs/>
          <w:vertAlign w:val="subscript"/>
        </w:rPr>
        <w:t>10</w:t>
      </w:r>
      <w:r>
        <w:rPr>
          <w:bCs/>
        </w:rPr>
        <w:t xml:space="preserve"> </w:t>
      </w:r>
      <w:r w:rsidRPr="00004A9F">
        <w:rPr>
          <w:bCs/>
        </w:rPr>
        <w:t>obzirom na zaštitu zdravlja ljudi.</w:t>
      </w:r>
    </w:p>
    <w:p w14:paraId="1A18DDDD" w14:textId="77777777" w:rsidR="00FE73F5" w:rsidRDefault="00004A9F" w:rsidP="002F0E71">
      <w:pPr>
        <w:spacing w:after="120"/>
        <w:rPr>
          <w:bCs/>
        </w:rPr>
      </w:pPr>
      <w:r w:rsidRPr="00004A9F">
        <w:rPr>
          <w:bCs/>
        </w:rPr>
        <w:t>U aglomeracijama: Osijek (HR OS), Rijeka (HR RI) i Split (HR ST) kao i zonama: Kontinentalna Hrvatska (HR 1), Lika, Gorski kotar i Primorje (HR 3), Istra (HR 4) i Dalmacija (HR 5) nije dana ocjena sukladnosti s ciljnom vrijednošću za B(a)P u PM</w:t>
      </w:r>
      <w:r w:rsidRPr="00B542EA">
        <w:rPr>
          <w:bCs/>
          <w:vertAlign w:val="subscript"/>
        </w:rPr>
        <w:t>10</w:t>
      </w:r>
      <w:r w:rsidRPr="00004A9F">
        <w:rPr>
          <w:bCs/>
        </w:rPr>
        <w:t xml:space="preserve"> jer mjerenja nisu provođena, a objektivnu procjenu nije bilo moguće primijeniti.</w:t>
      </w:r>
      <w:bookmarkEnd w:id="17"/>
    </w:p>
    <w:p w14:paraId="1A18DDDE" w14:textId="61DE4576" w:rsidR="002F0E71" w:rsidRDefault="002F0E71" w:rsidP="002F0E71">
      <w:pPr>
        <w:spacing w:after="120"/>
        <w:rPr>
          <w:bCs/>
        </w:rPr>
      </w:pPr>
      <w:r w:rsidRPr="002F0E71">
        <w:rPr>
          <w:bCs/>
        </w:rPr>
        <w:t>Rezultati određivanja benzo(a)pirena (BaP) u česticama PM</w:t>
      </w:r>
      <w:r w:rsidRPr="00B542EA">
        <w:rPr>
          <w:vertAlign w:val="subscript"/>
        </w:rPr>
        <w:t>10</w:t>
      </w:r>
      <w:r w:rsidRPr="002F0E71">
        <w:rPr>
          <w:bCs/>
        </w:rPr>
        <w:t xml:space="preserve"> – 20</w:t>
      </w:r>
      <w:r>
        <w:rPr>
          <w:bCs/>
        </w:rPr>
        <w:t>2</w:t>
      </w:r>
      <w:r w:rsidR="00004A9F">
        <w:rPr>
          <w:bCs/>
        </w:rPr>
        <w:t>1</w:t>
      </w:r>
      <w:r w:rsidRPr="002F0E71">
        <w:rPr>
          <w:bCs/>
        </w:rPr>
        <w:t>. godina</w:t>
      </w:r>
    </w:p>
    <w:p w14:paraId="634F4686" w14:textId="4DEB536E" w:rsidR="006B217F" w:rsidRDefault="006B217F" w:rsidP="002F0E71">
      <w:pPr>
        <w:spacing w:after="120"/>
        <w:rPr>
          <w:bCs/>
        </w:rPr>
      </w:pPr>
      <w:r w:rsidRPr="006B217F">
        <w:rPr>
          <w:bCs/>
        </w:rPr>
        <w:t>Sumarni statistički podaci koncentracija BaP u lebdećim česticama PM</w:t>
      </w:r>
      <w:r w:rsidRPr="00FB13AA">
        <w:rPr>
          <w:bCs/>
          <w:vertAlign w:val="subscript"/>
        </w:rPr>
        <w:t>10</w:t>
      </w:r>
      <w:r w:rsidRPr="006B217F">
        <w:rPr>
          <w:bCs/>
        </w:rPr>
        <w:t xml:space="preserve"> u zraku u 202</w:t>
      </w:r>
      <w:r>
        <w:rPr>
          <w:bCs/>
        </w:rPr>
        <w:t>1</w:t>
      </w:r>
      <w:r w:rsidRPr="006B217F">
        <w:rPr>
          <w:bCs/>
        </w:rPr>
        <w:t>. godini prikazani su u tablici 2.3-6.</w:t>
      </w:r>
      <w:r>
        <w:rPr>
          <w:bCs/>
        </w:rPr>
        <w:t>2</w:t>
      </w:r>
      <w:r w:rsidRPr="006B217F">
        <w:rPr>
          <w:bCs/>
        </w:rPr>
        <w:t>.</w:t>
      </w:r>
    </w:p>
    <w:p w14:paraId="1A18DDDF" w14:textId="77777777" w:rsidR="005B56A0" w:rsidRPr="00187FAF" w:rsidRDefault="005B56A0" w:rsidP="002F0E71">
      <w:pPr>
        <w:spacing w:after="120"/>
        <w:rPr>
          <w:bCs/>
          <w:i/>
        </w:rPr>
      </w:pPr>
      <w:r w:rsidRPr="00004A9F">
        <w:rPr>
          <w:bCs/>
          <w:i/>
        </w:rPr>
        <w:t>Tablica 2.3-</w:t>
      </w:r>
      <w:r w:rsidR="002D7C82">
        <w:rPr>
          <w:bCs/>
          <w:i/>
        </w:rPr>
        <w:t>6</w:t>
      </w:r>
      <w:r w:rsidRPr="00004A9F">
        <w:rPr>
          <w:bCs/>
          <w:i/>
        </w:rPr>
        <w:t>.</w:t>
      </w:r>
      <w:r w:rsidR="002D7C82">
        <w:rPr>
          <w:bCs/>
          <w:i/>
        </w:rPr>
        <w:t>2</w:t>
      </w:r>
      <w:r w:rsidRPr="00004A9F">
        <w:rPr>
          <w:bCs/>
          <w:i/>
        </w:rPr>
        <w:t xml:space="preserve">  Sumarni podaci </w:t>
      </w:r>
      <w:r w:rsidR="00D458C1">
        <w:rPr>
          <w:bCs/>
          <w:i/>
        </w:rPr>
        <w:t>o koncentraciji</w:t>
      </w:r>
      <w:r w:rsidRPr="00004A9F">
        <w:rPr>
          <w:bCs/>
          <w:i/>
        </w:rPr>
        <w:t xml:space="preserve"> benzo(a)pirena </w:t>
      </w:r>
      <w:r w:rsidR="00D458C1">
        <w:rPr>
          <w:bCs/>
          <w:i/>
        </w:rPr>
        <w:t xml:space="preserve">i ostalim PAU </w:t>
      </w:r>
      <w:r w:rsidRPr="00004A9F">
        <w:rPr>
          <w:bCs/>
          <w:i/>
        </w:rPr>
        <w:t>u lebdeć</w:t>
      </w:r>
      <w:r>
        <w:rPr>
          <w:bCs/>
          <w:i/>
        </w:rPr>
        <w:t>im česticama PM</w:t>
      </w:r>
      <w:r w:rsidRPr="00FB13AA">
        <w:rPr>
          <w:bCs/>
          <w:i/>
          <w:vertAlign w:val="subscript"/>
        </w:rPr>
        <w:t>10</w:t>
      </w:r>
      <w:r>
        <w:rPr>
          <w:bCs/>
          <w:i/>
        </w:rPr>
        <w:t xml:space="preserve"> u zraku u 2021</w:t>
      </w:r>
      <w:r w:rsidRPr="00004A9F">
        <w:rPr>
          <w:bCs/>
          <w:i/>
        </w:rPr>
        <w:t>. godini</w:t>
      </w:r>
    </w:p>
    <w:tbl>
      <w:tblPr>
        <w:tblW w:w="9628" w:type="dxa"/>
        <w:tblLayout w:type="fixed"/>
        <w:tblLook w:val="04A0" w:firstRow="1" w:lastRow="0" w:firstColumn="1" w:lastColumn="0" w:noHBand="0" w:noVBand="1"/>
      </w:tblPr>
      <w:tblGrid>
        <w:gridCol w:w="58"/>
        <w:gridCol w:w="1179"/>
        <w:gridCol w:w="176"/>
        <w:gridCol w:w="1417"/>
        <w:gridCol w:w="1479"/>
        <w:gridCol w:w="648"/>
        <w:gridCol w:w="1559"/>
        <w:gridCol w:w="513"/>
        <w:gridCol w:w="548"/>
        <w:gridCol w:w="640"/>
        <w:gridCol w:w="1411"/>
      </w:tblGrid>
      <w:tr w:rsidR="005B56A0" w:rsidRPr="005B56A0" w14:paraId="1A18DDE1" w14:textId="77777777" w:rsidTr="00FB13AA">
        <w:trPr>
          <w:trHeight w:val="445"/>
          <w:tblHeader/>
        </w:trPr>
        <w:tc>
          <w:tcPr>
            <w:tcW w:w="9628" w:type="dxa"/>
            <w:gridSpan w:val="11"/>
            <w:tcBorders>
              <w:top w:val="single" w:sz="4" w:space="0" w:color="auto"/>
              <w:left w:val="single" w:sz="4" w:space="0" w:color="auto"/>
              <w:bottom w:val="single" w:sz="4" w:space="0" w:color="auto"/>
              <w:right w:val="single" w:sz="4" w:space="0" w:color="auto"/>
            </w:tcBorders>
            <w:shd w:val="clear" w:color="000000" w:fill="003C71"/>
            <w:vAlign w:val="center"/>
            <w:hideMark/>
          </w:tcPr>
          <w:p w14:paraId="1A18DDE0"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B(a)P i ostali PAU u PM</w:t>
            </w:r>
            <w:r w:rsidRPr="005B56A0">
              <w:rPr>
                <w:rFonts w:ascii="Segoe UI" w:hAnsi="Segoe UI" w:cs="Segoe UI"/>
                <w:b/>
                <w:bCs/>
                <w:color w:val="FFFFFF"/>
                <w:sz w:val="15"/>
                <w:szCs w:val="15"/>
                <w:vertAlign w:val="subscript"/>
              </w:rPr>
              <w:t>10</w:t>
            </w:r>
            <w:r w:rsidRPr="005B56A0">
              <w:rPr>
                <w:rFonts w:ascii="Segoe UI" w:hAnsi="Segoe UI" w:cs="Segoe UI"/>
                <w:b/>
                <w:bCs/>
                <w:color w:val="FFFFFF"/>
                <w:sz w:val="15"/>
                <w:szCs w:val="15"/>
              </w:rPr>
              <w:t xml:space="preserve"> (ng/m</w:t>
            </w:r>
            <w:r w:rsidRPr="005B56A0">
              <w:rPr>
                <w:rFonts w:ascii="Segoe UI" w:hAnsi="Segoe UI" w:cs="Segoe UI"/>
                <w:b/>
                <w:bCs/>
                <w:color w:val="FFFFFF"/>
                <w:sz w:val="15"/>
                <w:szCs w:val="15"/>
                <w:vertAlign w:val="superscript"/>
              </w:rPr>
              <w:t>3</w:t>
            </w:r>
            <w:r w:rsidRPr="005B56A0">
              <w:rPr>
                <w:rFonts w:ascii="Segoe UI" w:hAnsi="Segoe UI" w:cs="Segoe UI"/>
                <w:b/>
                <w:bCs/>
                <w:color w:val="FFFFFF"/>
                <w:sz w:val="15"/>
                <w:szCs w:val="15"/>
              </w:rPr>
              <w:t>)</w:t>
            </w:r>
          </w:p>
        </w:tc>
      </w:tr>
      <w:tr w:rsidR="005B56A0" w:rsidRPr="005B56A0" w14:paraId="1A18DDE7" w14:textId="77777777" w:rsidTr="00FB13AA">
        <w:trPr>
          <w:trHeight w:val="298"/>
          <w:tblHeader/>
        </w:trPr>
        <w:tc>
          <w:tcPr>
            <w:tcW w:w="1413" w:type="dxa"/>
            <w:gridSpan w:val="3"/>
            <w:vMerge w:val="restart"/>
            <w:tcBorders>
              <w:top w:val="nil"/>
              <w:left w:val="single" w:sz="4" w:space="0" w:color="auto"/>
              <w:bottom w:val="single" w:sz="4" w:space="0" w:color="auto"/>
              <w:right w:val="single" w:sz="4" w:space="0" w:color="auto"/>
            </w:tcBorders>
            <w:shd w:val="clear" w:color="000000" w:fill="003C71"/>
            <w:vAlign w:val="center"/>
            <w:hideMark/>
          </w:tcPr>
          <w:p w14:paraId="1A18DDE2"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Zona / Aglomeracija</w:t>
            </w:r>
          </w:p>
        </w:tc>
        <w:tc>
          <w:tcPr>
            <w:tcW w:w="1417" w:type="dxa"/>
            <w:vMerge w:val="restart"/>
            <w:tcBorders>
              <w:top w:val="nil"/>
              <w:left w:val="single" w:sz="4" w:space="0" w:color="auto"/>
              <w:bottom w:val="single" w:sz="4" w:space="0" w:color="auto"/>
              <w:right w:val="single" w:sz="4" w:space="0" w:color="auto"/>
            </w:tcBorders>
            <w:shd w:val="clear" w:color="000000" w:fill="003C71"/>
            <w:vAlign w:val="center"/>
            <w:hideMark/>
          </w:tcPr>
          <w:p w14:paraId="1A18DDE3"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Mjerna postaja / Modeliranje</w:t>
            </w:r>
          </w:p>
        </w:tc>
        <w:tc>
          <w:tcPr>
            <w:tcW w:w="1479" w:type="dxa"/>
            <w:vMerge w:val="restart"/>
            <w:tcBorders>
              <w:top w:val="nil"/>
              <w:left w:val="single" w:sz="4" w:space="0" w:color="auto"/>
              <w:bottom w:val="single" w:sz="4" w:space="0" w:color="auto"/>
              <w:right w:val="single" w:sz="4" w:space="0" w:color="auto"/>
            </w:tcBorders>
            <w:shd w:val="clear" w:color="000000" w:fill="003C71"/>
            <w:vAlign w:val="center"/>
            <w:hideMark/>
          </w:tcPr>
          <w:p w14:paraId="1A18DDE4"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Onečišćujuća tvar</w:t>
            </w:r>
          </w:p>
        </w:tc>
        <w:tc>
          <w:tcPr>
            <w:tcW w:w="3908" w:type="dxa"/>
            <w:gridSpan w:val="5"/>
            <w:tcBorders>
              <w:top w:val="single" w:sz="4" w:space="0" w:color="auto"/>
              <w:left w:val="nil"/>
              <w:bottom w:val="single" w:sz="4" w:space="0" w:color="auto"/>
              <w:right w:val="single" w:sz="4" w:space="0" w:color="auto"/>
            </w:tcBorders>
            <w:shd w:val="clear" w:color="000000" w:fill="003C71"/>
            <w:vAlign w:val="center"/>
            <w:hideMark/>
          </w:tcPr>
          <w:p w14:paraId="1A18DDE5"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24-satne koncentracije</w:t>
            </w:r>
          </w:p>
        </w:tc>
        <w:tc>
          <w:tcPr>
            <w:tcW w:w="1411" w:type="dxa"/>
            <w:vMerge w:val="restart"/>
            <w:tcBorders>
              <w:top w:val="nil"/>
              <w:left w:val="single" w:sz="4" w:space="0" w:color="auto"/>
              <w:bottom w:val="single" w:sz="4" w:space="0" w:color="auto"/>
              <w:right w:val="single" w:sz="4" w:space="0" w:color="auto"/>
            </w:tcBorders>
            <w:shd w:val="clear" w:color="000000" w:fill="003C71"/>
            <w:vAlign w:val="center"/>
            <w:hideMark/>
          </w:tcPr>
          <w:p w14:paraId="1A18DDE6"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Ocjena</w:t>
            </w:r>
            <w:r w:rsidRPr="005B56A0">
              <w:rPr>
                <w:rFonts w:ascii="Segoe UI" w:hAnsi="Segoe UI" w:cs="Segoe UI"/>
                <w:b/>
                <w:bCs/>
                <w:color w:val="FFFFFF"/>
                <w:sz w:val="15"/>
                <w:szCs w:val="15"/>
              </w:rPr>
              <w:br/>
              <w:t>onečišćenosti</w:t>
            </w:r>
            <w:r w:rsidRPr="005B56A0">
              <w:rPr>
                <w:rFonts w:ascii="Segoe UI" w:hAnsi="Segoe UI" w:cs="Segoe UI"/>
                <w:b/>
                <w:bCs/>
                <w:color w:val="FFFFFF"/>
                <w:sz w:val="15"/>
                <w:szCs w:val="15"/>
              </w:rPr>
              <w:br/>
              <w:t>(sukladnosti)</w:t>
            </w:r>
          </w:p>
        </w:tc>
      </w:tr>
      <w:tr w:rsidR="005B56A0" w:rsidRPr="005B56A0" w14:paraId="1A18DDF0" w14:textId="77777777" w:rsidTr="00FB13AA">
        <w:trPr>
          <w:trHeight w:val="556"/>
          <w:tblHeader/>
        </w:trPr>
        <w:tc>
          <w:tcPr>
            <w:tcW w:w="1413" w:type="dxa"/>
            <w:gridSpan w:val="3"/>
            <w:vMerge/>
            <w:tcBorders>
              <w:top w:val="nil"/>
              <w:left w:val="single" w:sz="4" w:space="0" w:color="auto"/>
              <w:bottom w:val="single" w:sz="4" w:space="0" w:color="auto"/>
              <w:right w:val="single" w:sz="4" w:space="0" w:color="auto"/>
            </w:tcBorders>
            <w:vAlign w:val="center"/>
            <w:hideMark/>
          </w:tcPr>
          <w:p w14:paraId="1A18DDE8" w14:textId="77777777" w:rsidR="005B56A0" w:rsidRPr="005B56A0" w:rsidRDefault="005B56A0" w:rsidP="005B56A0">
            <w:pPr>
              <w:rPr>
                <w:rFonts w:ascii="Segoe UI" w:hAnsi="Segoe UI" w:cs="Segoe UI"/>
                <w:b/>
                <w:bCs/>
                <w:color w:val="FFFFFF"/>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E9" w14:textId="77777777" w:rsidR="005B56A0" w:rsidRPr="005B56A0" w:rsidRDefault="005B56A0" w:rsidP="005B56A0">
            <w:pPr>
              <w:rPr>
                <w:rFonts w:ascii="Segoe UI" w:hAnsi="Segoe UI" w:cs="Segoe UI"/>
                <w:b/>
                <w:bCs/>
                <w:color w:val="FFFFFF"/>
                <w:sz w:val="15"/>
                <w:szCs w:val="15"/>
              </w:rPr>
            </w:pPr>
          </w:p>
        </w:tc>
        <w:tc>
          <w:tcPr>
            <w:tcW w:w="1479" w:type="dxa"/>
            <w:vMerge/>
            <w:tcBorders>
              <w:top w:val="nil"/>
              <w:left w:val="single" w:sz="4" w:space="0" w:color="auto"/>
              <w:bottom w:val="single" w:sz="4" w:space="0" w:color="auto"/>
              <w:right w:val="single" w:sz="4" w:space="0" w:color="auto"/>
            </w:tcBorders>
            <w:vAlign w:val="center"/>
            <w:hideMark/>
          </w:tcPr>
          <w:p w14:paraId="1A18DDEA" w14:textId="77777777" w:rsidR="005B56A0" w:rsidRPr="005B56A0" w:rsidRDefault="005B56A0" w:rsidP="005B56A0">
            <w:pPr>
              <w:rPr>
                <w:rFonts w:ascii="Segoe UI" w:hAnsi="Segoe UI" w:cs="Segoe UI"/>
                <w:b/>
                <w:bCs/>
                <w:color w:val="FFFFFF"/>
                <w:sz w:val="15"/>
                <w:szCs w:val="15"/>
              </w:rPr>
            </w:pPr>
          </w:p>
        </w:tc>
        <w:tc>
          <w:tcPr>
            <w:tcW w:w="648" w:type="dxa"/>
            <w:tcBorders>
              <w:top w:val="nil"/>
              <w:left w:val="nil"/>
              <w:bottom w:val="single" w:sz="4" w:space="0" w:color="auto"/>
              <w:right w:val="single" w:sz="4" w:space="0" w:color="auto"/>
            </w:tcBorders>
            <w:shd w:val="clear" w:color="000000" w:fill="003C71"/>
            <w:vAlign w:val="center"/>
            <w:hideMark/>
          </w:tcPr>
          <w:p w14:paraId="1A18DDEB"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OP %</w:t>
            </w:r>
          </w:p>
        </w:tc>
        <w:tc>
          <w:tcPr>
            <w:tcW w:w="1559" w:type="dxa"/>
            <w:tcBorders>
              <w:top w:val="nil"/>
              <w:left w:val="nil"/>
              <w:bottom w:val="single" w:sz="4" w:space="0" w:color="auto"/>
              <w:right w:val="single" w:sz="4" w:space="0" w:color="auto"/>
            </w:tcBorders>
            <w:shd w:val="clear" w:color="000000" w:fill="003C71"/>
            <w:vAlign w:val="center"/>
            <w:hideMark/>
          </w:tcPr>
          <w:p w14:paraId="1A18DDEC"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C</w:t>
            </w:r>
            <w:r w:rsidRPr="005B56A0">
              <w:rPr>
                <w:rFonts w:ascii="Segoe UI" w:hAnsi="Segoe UI" w:cs="Segoe UI"/>
                <w:b/>
                <w:bCs/>
                <w:color w:val="FFFFFF"/>
                <w:sz w:val="15"/>
                <w:szCs w:val="15"/>
                <w:vertAlign w:val="subscript"/>
              </w:rPr>
              <w:t xml:space="preserve">godina </w:t>
            </w:r>
            <w:r w:rsidRPr="005B56A0">
              <w:rPr>
                <w:rFonts w:ascii="Segoe UI" w:hAnsi="Segoe UI" w:cs="Segoe UI"/>
                <w:b/>
                <w:bCs/>
                <w:color w:val="FFFFFF"/>
                <w:sz w:val="15"/>
                <w:szCs w:val="15"/>
              </w:rPr>
              <w:t>(prije zaokruživanja)</w:t>
            </w:r>
          </w:p>
        </w:tc>
        <w:tc>
          <w:tcPr>
            <w:tcW w:w="1061" w:type="dxa"/>
            <w:gridSpan w:val="2"/>
            <w:tcBorders>
              <w:top w:val="nil"/>
              <w:left w:val="nil"/>
              <w:bottom w:val="single" w:sz="4" w:space="0" w:color="auto"/>
              <w:right w:val="single" w:sz="4" w:space="0" w:color="auto"/>
            </w:tcBorders>
            <w:shd w:val="clear" w:color="000000" w:fill="003C71"/>
            <w:vAlign w:val="center"/>
            <w:hideMark/>
          </w:tcPr>
          <w:p w14:paraId="1A18DDED"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C</w:t>
            </w:r>
            <w:r w:rsidRPr="005B56A0">
              <w:rPr>
                <w:rFonts w:ascii="Segoe UI" w:hAnsi="Segoe UI" w:cs="Segoe UI"/>
                <w:b/>
                <w:bCs/>
                <w:color w:val="FFFFFF"/>
                <w:sz w:val="15"/>
                <w:szCs w:val="15"/>
                <w:vertAlign w:val="subscript"/>
              </w:rPr>
              <w:t xml:space="preserve">godina </w:t>
            </w:r>
            <w:r w:rsidRPr="005B56A0">
              <w:rPr>
                <w:rFonts w:ascii="Segoe UI" w:hAnsi="Segoe UI" w:cs="Segoe UI"/>
                <w:b/>
                <w:bCs/>
                <w:color w:val="FFFFFF"/>
                <w:sz w:val="15"/>
                <w:szCs w:val="15"/>
              </w:rPr>
              <w:t>(nakon zaokruživanja)</w:t>
            </w:r>
          </w:p>
        </w:tc>
        <w:tc>
          <w:tcPr>
            <w:tcW w:w="640" w:type="dxa"/>
            <w:tcBorders>
              <w:top w:val="nil"/>
              <w:left w:val="nil"/>
              <w:bottom w:val="single" w:sz="4" w:space="0" w:color="auto"/>
              <w:right w:val="nil"/>
            </w:tcBorders>
            <w:shd w:val="clear" w:color="000000" w:fill="003C71"/>
            <w:vAlign w:val="center"/>
            <w:hideMark/>
          </w:tcPr>
          <w:p w14:paraId="1A18DDEE" w14:textId="77777777" w:rsidR="005B56A0" w:rsidRPr="005B56A0" w:rsidRDefault="005B56A0" w:rsidP="005B56A0">
            <w:pPr>
              <w:jc w:val="center"/>
              <w:rPr>
                <w:rFonts w:ascii="Segoe UI" w:hAnsi="Segoe UI" w:cs="Segoe UI"/>
                <w:b/>
                <w:bCs/>
                <w:color w:val="FFFFFF"/>
                <w:sz w:val="15"/>
                <w:szCs w:val="15"/>
              </w:rPr>
            </w:pPr>
            <w:r w:rsidRPr="005B56A0">
              <w:rPr>
                <w:rFonts w:ascii="Segoe UI" w:hAnsi="Segoe UI" w:cs="Segoe UI"/>
                <w:b/>
                <w:bCs/>
                <w:color w:val="FFFFFF"/>
                <w:sz w:val="15"/>
                <w:szCs w:val="15"/>
              </w:rPr>
              <w:t>C</w:t>
            </w:r>
            <w:r w:rsidRPr="005B56A0">
              <w:rPr>
                <w:rFonts w:ascii="Segoe UI" w:hAnsi="Segoe UI" w:cs="Segoe UI"/>
                <w:b/>
                <w:bCs/>
                <w:color w:val="FFFFFF"/>
                <w:sz w:val="15"/>
                <w:szCs w:val="15"/>
                <w:vertAlign w:val="subscript"/>
              </w:rPr>
              <w:t>max</w:t>
            </w:r>
            <w:r w:rsidRPr="005B56A0">
              <w:rPr>
                <w:rFonts w:ascii="Segoe UI" w:hAnsi="Segoe UI" w:cs="Segoe UI"/>
                <w:b/>
                <w:bCs/>
                <w:color w:val="FFFFFF"/>
                <w:sz w:val="15"/>
                <w:szCs w:val="15"/>
                <w:vertAlign w:val="superscript"/>
              </w:rPr>
              <w:t>*</w:t>
            </w:r>
          </w:p>
        </w:tc>
        <w:tc>
          <w:tcPr>
            <w:tcW w:w="1411" w:type="dxa"/>
            <w:vMerge/>
            <w:tcBorders>
              <w:top w:val="nil"/>
              <w:left w:val="single" w:sz="4" w:space="0" w:color="auto"/>
              <w:bottom w:val="single" w:sz="4" w:space="0" w:color="auto"/>
              <w:right w:val="single" w:sz="4" w:space="0" w:color="auto"/>
            </w:tcBorders>
            <w:vAlign w:val="center"/>
            <w:hideMark/>
          </w:tcPr>
          <w:p w14:paraId="1A18DDEF" w14:textId="77777777" w:rsidR="005B56A0" w:rsidRPr="005B56A0" w:rsidRDefault="005B56A0" w:rsidP="005B56A0">
            <w:pPr>
              <w:rPr>
                <w:rFonts w:ascii="Segoe UI" w:hAnsi="Segoe UI" w:cs="Segoe UI"/>
                <w:b/>
                <w:bCs/>
                <w:color w:val="FFFFFF"/>
                <w:sz w:val="15"/>
                <w:szCs w:val="15"/>
              </w:rPr>
            </w:pPr>
          </w:p>
        </w:tc>
      </w:tr>
      <w:tr w:rsidR="005B56A0" w:rsidRPr="005B56A0" w14:paraId="1A18DDF9" w14:textId="77777777" w:rsidTr="007A7A0C">
        <w:trPr>
          <w:trHeight w:val="236"/>
        </w:trPr>
        <w:tc>
          <w:tcPr>
            <w:tcW w:w="141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A18DDF1"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HR ZG</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A18DDF2"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Zagreb-1</w:t>
            </w:r>
          </w:p>
        </w:tc>
        <w:tc>
          <w:tcPr>
            <w:tcW w:w="1479" w:type="dxa"/>
            <w:tcBorders>
              <w:top w:val="nil"/>
              <w:left w:val="nil"/>
              <w:bottom w:val="single" w:sz="4" w:space="0" w:color="auto"/>
              <w:right w:val="single" w:sz="4" w:space="0" w:color="auto"/>
            </w:tcBorders>
            <w:shd w:val="clear" w:color="auto" w:fill="auto"/>
            <w:vAlign w:val="center"/>
            <w:hideMark/>
          </w:tcPr>
          <w:p w14:paraId="1A18DDF3"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BaP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F4"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nil"/>
              <w:left w:val="nil"/>
              <w:bottom w:val="single" w:sz="4" w:space="0" w:color="auto"/>
              <w:right w:val="single" w:sz="4" w:space="0" w:color="auto"/>
            </w:tcBorders>
            <w:shd w:val="clear" w:color="auto" w:fill="auto"/>
            <w:vAlign w:val="center"/>
            <w:hideMark/>
          </w:tcPr>
          <w:p w14:paraId="1A18DDF5"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1,178</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DF6"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w:t>
            </w:r>
          </w:p>
        </w:tc>
        <w:tc>
          <w:tcPr>
            <w:tcW w:w="640" w:type="dxa"/>
            <w:tcBorders>
              <w:top w:val="nil"/>
              <w:left w:val="nil"/>
              <w:bottom w:val="single" w:sz="4" w:space="0" w:color="auto"/>
              <w:right w:val="single" w:sz="4" w:space="0" w:color="auto"/>
            </w:tcBorders>
            <w:shd w:val="clear" w:color="auto" w:fill="auto"/>
            <w:noWrap/>
            <w:vAlign w:val="center"/>
            <w:hideMark/>
          </w:tcPr>
          <w:p w14:paraId="1A18DDF7"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15,34</w:t>
            </w:r>
          </w:p>
        </w:tc>
        <w:tc>
          <w:tcPr>
            <w:tcW w:w="1411" w:type="dxa"/>
            <w:tcBorders>
              <w:top w:val="nil"/>
              <w:left w:val="nil"/>
              <w:bottom w:val="single" w:sz="4" w:space="0" w:color="auto"/>
              <w:right w:val="single" w:sz="4" w:space="0" w:color="auto"/>
            </w:tcBorders>
            <w:shd w:val="clear" w:color="000000" w:fill="D2FFBE"/>
            <w:noWrap/>
            <w:vAlign w:val="center"/>
            <w:hideMark/>
          </w:tcPr>
          <w:p w14:paraId="1A18DDF8" w14:textId="77777777" w:rsidR="005B56A0" w:rsidRPr="005B56A0" w:rsidRDefault="005B56A0" w:rsidP="005B56A0">
            <w:pPr>
              <w:jc w:val="center"/>
              <w:rPr>
                <w:rFonts w:ascii="Palatino Linotype" w:hAnsi="Palatino Linotype" w:cs="Arial"/>
                <w:sz w:val="15"/>
                <w:szCs w:val="15"/>
              </w:rPr>
            </w:pPr>
            <w:r w:rsidRPr="005B56A0">
              <w:rPr>
                <w:rFonts w:ascii="Palatino Linotype" w:hAnsi="Palatino Linotype" w:cs="Arial"/>
                <w:sz w:val="15"/>
                <w:szCs w:val="15"/>
              </w:rPr>
              <w:t> </w:t>
            </w:r>
          </w:p>
        </w:tc>
      </w:tr>
      <w:tr w:rsidR="005B56A0" w:rsidRPr="005B56A0" w14:paraId="1A18DE02"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DFA"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DFB" w14:textId="77777777" w:rsidR="005B56A0" w:rsidRPr="005B56A0" w:rsidRDefault="005B56A0" w:rsidP="005B56A0">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DFC"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Benzo(a)antracen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DFD"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nil"/>
              <w:left w:val="nil"/>
              <w:bottom w:val="nil"/>
              <w:right w:val="nil"/>
            </w:tcBorders>
            <w:shd w:val="clear" w:color="auto" w:fill="auto"/>
            <w:noWrap/>
            <w:vAlign w:val="bottom"/>
            <w:hideMark/>
          </w:tcPr>
          <w:p w14:paraId="1A18DDFE"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0,606</w:t>
            </w:r>
          </w:p>
        </w:tc>
        <w:tc>
          <w:tcPr>
            <w:tcW w:w="1061" w:type="dxa"/>
            <w:gridSpan w:val="2"/>
            <w:tcBorders>
              <w:top w:val="nil"/>
              <w:left w:val="single" w:sz="4" w:space="0" w:color="auto"/>
              <w:bottom w:val="single" w:sz="4" w:space="0" w:color="auto"/>
              <w:right w:val="single" w:sz="4" w:space="0" w:color="auto"/>
            </w:tcBorders>
            <w:shd w:val="clear" w:color="auto" w:fill="auto"/>
            <w:vAlign w:val="center"/>
            <w:hideMark/>
          </w:tcPr>
          <w:p w14:paraId="1A18DDFF"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0,60</w:t>
            </w:r>
          </w:p>
        </w:tc>
        <w:tc>
          <w:tcPr>
            <w:tcW w:w="640" w:type="dxa"/>
            <w:tcBorders>
              <w:top w:val="nil"/>
              <w:left w:val="nil"/>
              <w:bottom w:val="single" w:sz="4" w:space="0" w:color="auto"/>
              <w:right w:val="single" w:sz="4" w:space="0" w:color="auto"/>
            </w:tcBorders>
            <w:shd w:val="clear" w:color="auto" w:fill="auto"/>
            <w:noWrap/>
            <w:vAlign w:val="center"/>
            <w:hideMark/>
          </w:tcPr>
          <w:p w14:paraId="1A18DE00"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10,16</w:t>
            </w:r>
          </w:p>
        </w:tc>
        <w:tc>
          <w:tcPr>
            <w:tcW w:w="1411" w:type="dxa"/>
            <w:tcBorders>
              <w:top w:val="nil"/>
              <w:left w:val="nil"/>
              <w:bottom w:val="single" w:sz="4" w:space="0" w:color="auto"/>
              <w:right w:val="single" w:sz="4" w:space="0" w:color="auto"/>
            </w:tcBorders>
            <w:shd w:val="clear" w:color="auto" w:fill="auto"/>
            <w:noWrap/>
            <w:vAlign w:val="bottom"/>
            <w:hideMark/>
          </w:tcPr>
          <w:p w14:paraId="1A18DE01"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0B"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03"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04" w14:textId="77777777" w:rsidR="005B56A0" w:rsidRPr="005B56A0" w:rsidRDefault="005B56A0" w:rsidP="005B56A0">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05"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Benzo(b)fluoranten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06"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A18DE07"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1,530</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08"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1,6</w:t>
            </w:r>
          </w:p>
        </w:tc>
        <w:tc>
          <w:tcPr>
            <w:tcW w:w="640" w:type="dxa"/>
            <w:tcBorders>
              <w:top w:val="nil"/>
              <w:left w:val="nil"/>
              <w:bottom w:val="single" w:sz="4" w:space="0" w:color="auto"/>
              <w:right w:val="single" w:sz="4" w:space="0" w:color="auto"/>
            </w:tcBorders>
            <w:shd w:val="clear" w:color="auto" w:fill="auto"/>
            <w:noWrap/>
            <w:vAlign w:val="center"/>
            <w:hideMark/>
          </w:tcPr>
          <w:p w14:paraId="1A18DE09"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16,00</w:t>
            </w:r>
          </w:p>
        </w:tc>
        <w:tc>
          <w:tcPr>
            <w:tcW w:w="1411" w:type="dxa"/>
            <w:tcBorders>
              <w:top w:val="nil"/>
              <w:left w:val="nil"/>
              <w:bottom w:val="single" w:sz="4" w:space="0" w:color="auto"/>
              <w:right w:val="single" w:sz="4" w:space="0" w:color="auto"/>
            </w:tcBorders>
            <w:shd w:val="clear" w:color="auto" w:fill="auto"/>
            <w:noWrap/>
            <w:vAlign w:val="center"/>
            <w:hideMark/>
          </w:tcPr>
          <w:p w14:paraId="1A18DE0A"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14"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0C"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0D" w14:textId="77777777" w:rsidR="005B56A0" w:rsidRPr="005B56A0" w:rsidRDefault="005B56A0" w:rsidP="005B56A0">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0E"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Benzo(j)fluoranten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0F"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nil"/>
              <w:left w:val="nil"/>
              <w:bottom w:val="single" w:sz="4" w:space="0" w:color="auto"/>
              <w:right w:val="single" w:sz="4" w:space="0" w:color="auto"/>
            </w:tcBorders>
            <w:shd w:val="clear" w:color="auto" w:fill="auto"/>
            <w:vAlign w:val="center"/>
            <w:hideMark/>
          </w:tcPr>
          <w:p w14:paraId="1A18DE10"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0,693</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11"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0,69</w:t>
            </w:r>
          </w:p>
        </w:tc>
        <w:tc>
          <w:tcPr>
            <w:tcW w:w="640" w:type="dxa"/>
            <w:tcBorders>
              <w:top w:val="nil"/>
              <w:left w:val="nil"/>
              <w:bottom w:val="single" w:sz="4" w:space="0" w:color="auto"/>
              <w:right w:val="single" w:sz="4" w:space="0" w:color="auto"/>
            </w:tcBorders>
            <w:shd w:val="clear" w:color="auto" w:fill="auto"/>
            <w:vAlign w:val="center"/>
            <w:hideMark/>
          </w:tcPr>
          <w:p w14:paraId="1A18DE12"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6,288</w:t>
            </w:r>
          </w:p>
        </w:tc>
        <w:tc>
          <w:tcPr>
            <w:tcW w:w="1411" w:type="dxa"/>
            <w:tcBorders>
              <w:top w:val="nil"/>
              <w:left w:val="nil"/>
              <w:bottom w:val="single" w:sz="4" w:space="0" w:color="auto"/>
              <w:right w:val="single" w:sz="4" w:space="0" w:color="auto"/>
            </w:tcBorders>
            <w:shd w:val="clear" w:color="auto" w:fill="auto"/>
            <w:noWrap/>
            <w:vAlign w:val="center"/>
            <w:hideMark/>
          </w:tcPr>
          <w:p w14:paraId="1A18DE13"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1D"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15"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16" w14:textId="77777777" w:rsidR="005B56A0" w:rsidRPr="005B56A0" w:rsidRDefault="005B56A0" w:rsidP="005B56A0">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17"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 xml:space="preserve"> Benzo(k)fluoranten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18"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nil"/>
              <w:left w:val="nil"/>
              <w:bottom w:val="single" w:sz="4" w:space="0" w:color="auto"/>
              <w:right w:val="single" w:sz="4" w:space="0" w:color="auto"/>
            </w:tcBorders>
            <w:shd w:val="clear" w:color="auto" w:fill="auto"/>
            <w:vAlign w:val="center"/>
            <w:hideMark/>
          </w:tcPr>
          <w:p w14:paraId="1A18DE19"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0,572</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1A"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0,60</w:t>
            </w:r>
          </w:p>
        </w:tc>
        <w:tc>
          <w:tcPr>
            <w:tcW w:w="640" w:type="dxa"/>
            <w:tcBorders>
              <w:top w:val="nil"/>
              <w:left w:val="nil"/>
              <w:bottom w:val="single" w:sz="4" w:space="0" w:color="auto"/>
              <w:right w:val="single" w:sz="4" w:space="0" w:color="auto"/>
            </w:tcBorders>
            <w:shd w:val="clear" w:color="auto" w:fill="auto"/>
            <w:noWrap/>
            <w:vAlign w:val="center"/>
            <w:hideMark/>
          </w:tcPr>
          <w:p w14:paraId="1A18DE1B"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6,088</w:t>
            </w:r>
          </w:p>
        </w:tc>
        <w:tc>
          <w:tcPr>
            <w:tcW w:w="1411" w:type="dxa"/>
            <w:tcBorders>
              <w:top w:val="nil"/>
              <w:left w:val="nil"/>
              <w:bottom w:val="single" w:sz="4" w:space="0" w:color="auto"/>
              <w:right w:val="single" w:sz="4" w:space="0" w:color="auto"/>
            </w:tcBorders>
            <w:shd w:val="clear" w:color="auto" w:fill="auto"/>
            <w:noWrap/>
            <w:vAlign w:val="center"/>
            <w:hideMark/>
          </w:tcPr>
          <w:p w14:paraId="1A18DE1C"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26"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1E"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1F" w14:textId="77777777" w:rsidR="005B56A0" w:rsidRPr="005B56A0" w:rsidRDefault="005B56A0" w:rsidP="005B56A0">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20"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Indeno(1,2,3,-cd)piren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21"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nil"/>
              <w:left w:val="nil"/>
              <w:bottom w:val="single" w:sz="4" w:space="0" w:color="auto"/>
              <w:right w:val="single" w:sz="4" w:space="0" w:color="auto"/>
            </w:tcBorders>
            <w:shd w:val="clear" w:color="auto" w:fill="auto"/>
            <w:vAlign w:val="center"/>
            <w:hideMark/>
          </w:tcPr>
          <w:p w14:paraId="1A18DE22"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1,284</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23"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1,3</w:t>
            </w:r>
          </w:p>
        </w:tc>
        <w:tc>
          <w:tcPr>
            <w:tcW w:w="640" w:type="dxa"/>
            <w:tcBorders>
              <w:top w:val="nil"/>
              <w:left w:val="nil"/>
              <w:bottom w:val="single" w:sz="4" w:space="0" w:color="auto"/>
              <w:right w:val="single" w:sz="4" w:space="0" w:color="auto"/>
            </w:tcBorders>
            <w:shd w:val="clear" w:color="auto" w:fill="auto"/>
            <w:noWrap/>
            <w:vAlign w:val="center"/>
            <w:hideMark/>
          </w:tcPr>
          <w:p w14:paraId="1A18DE24"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12,78</w:t>
            </w:r>
          </w:p>
        </w:tc>
        <w:tc>
          <w:tcPr>
            <w:tcW w:w="1411" w:type="dxa"/>
            <w:tcBorders>
              <w:top w:val="nil"/>
              <w:left w:val="nil"/>
              <w:bottom w:val="single" w:sz="4" w:space="0" w:color="auto"/>
              <w:right w:val="single" w:sz="4" w:space="0" w:color="auto"/>
            </w:tcBorders>
            <w:shd w:val="clear" w:color="auto" w:fill="auto"/>
            <w:noWrap/>
            <w:vAlign w:val="center"/>
            <w:hideMark/>
          </w:tcPr>
          <w:p w14:paraId="1A18DE25"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2F"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27"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28" w14:textId="77777777" w:rsidR="005B56A0" w:rsidRPr="005B56A0" w:rsidRDefault="005B56A0" w:rsidP="005B56A0">
            <w:pPr>
              <w:rPr>
                <w:rFonts w:ascii="Segoe UI" w:hAnsi="Segoe UI" w:cs="Segoe UI"/>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29"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Dibenzo(a,h)antracen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2A"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90,7</w:t>
            </w:r>
          </w:p>
        </w:tc>
        <w:tc>
          <w:tcPr>
            <w:tcW w:w="1559" w:type="dxa"/>
            <w:tcBorders>
              <w:top w:val="nil"/>
              <w:left w:val="nil"/>
              <w:bottom w:val="single" w:sz="4" w:space="0" w:color="auto"/>
              <w:right w:val="single" w:sz="4" w:space="0" w:color="auto"/>
            </w:tcBorders>
            <w:shd w:val="clear" w:color="auto" w:fill="auto"/>
            <w:vAlign w:val="center"/>
            <w:hideMark/>
          </w:tcPr>
          <w:p w14:paraId="1A18DE2B"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0,116</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2C"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0,12</w:t>
            </w:r>
          </w:p>
        </w:tc>
        <w:tc>
          <w:tcPr>
            <w:tcW w:w="640" w:type="dxa"/>
            <w:tcBorders>
              <w:top w:val="nil"/>
              <w:left w:val="nil"/>
              <w:bottom w:val="single" w:sz="4" w:space="0" w:color="auto"/>
              <w:right w:val="single" w:sz="4" w:space="0" w:color="auto"/>
            </w:tcBorders>
            <w:shd w:val="clear" w:color="auto" w:fill="auto"/>
            <w:noWrap/>
            <w:vAlign w:val="center"/>
            <w:hideMark/>
          </w:tcPr>
          <w:p w14:paraId="1A18DE2D"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1,034</w:t>
            </w:r>
          </w:p>
        </w:tc>
        <w:tc>
          <w:tcPr>
            <w:tcW w:w="1411" w:type="dxa"/>
            <w:tcBorders>
              <w:top w:val="nil"/>
              <w:left w:val="nil"/>
              <w:bottom w:val="single" w:sz="4" w:space="0" w:color="auto"/>
              <w:right w:val="single" w:sz="4" w:space="0" w:color="auto"/>
            </w:tcBorders>
            <w:shd w:val="clear" w:color="auto" w:fill="auto"/>
            <w:noWrap/>
            <w:vAlign w:val="center"/>
            <w:hideMark/>
          </w:tcPr>
          <w:p w14:paraId="1A18DE2E"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38"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30" w14:textId="77777777" w:rsidR="005B56A0" w:rsidRPr="005B56A0" w:rsidRDefault="005B56A0" w:rsidP="005B56A0">
            <w:pPr>
              <w:rPr>
                <w:rFonts w:ascii="Segoe UI" w:hAnsi="Segoe UI" w:cs="Segoe UI"/>
                <w:color w:val="000000"/>
                <w:sz w:val="15"/>
                <w:szCs w:val="15"/>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A18DE31"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Zagreb-3</w:t>
            </w:r>
          </w:p>
        </w:tc>
        <w:tc>
          <w:tcPr>
            <w:tcW w:w="1479" w:type="dxa"/>
            <w:tcBorders>
              <w:top w:val="nil"/>
              <w:left w:val="nil"/>
              <w:bottom w:val="single" w:sz="4" w:space="0" w:color="auto"/>
              <w:right w:val="single" w:sz="4" w:space="0" w:color="auto"/>
            </w:tcBorders>
            <w:shd w:val="clear" w:color="auto" w:fill="auto"/>
            <w:vAlign w:val="center"/>
            <w:hideMark/>
          </w:tcPr>
          <w:p w14:paraId="1A18DE32"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BaP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33"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34"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1,605</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35" w14:textId="77777777" w:rsidR="005B56A0" w:rsidRPr="005B56A0" w:rsidRDefault="005B56A0" w:rsidP="005B56A0">
            <w:pPr>
              <w:jc w:val="center"/>
              <w:rPr>
                <w:rFonts w:ascii="Segoe UI" w:hAnsi="Segoe UI" w:cs="Segoe UI"/>
                <w:color w:val="FF0000"/>
                <w:sz w:val="15"/>
                <w:szCs w:val="15"/>
              </w:rPr>
            </w:pPr>
            <w:r w:rsidRPr="005B56A0">
              <w:rPr>
                <w:rFonts w:ascii="Segoe UI" w:hAnsi="Segoe UI" w:cs="Segoe UI"/>
                <w:color w:val="FF0000"/>
                <w:sz w:val="15"/>
                <w:szCs w:val="15"/>
              </w:rPr>
              <w:t>2</w:t>
            </w:r>
          </w:p>
        </w:tc>
        <w:tc>
          <w:tcPr>
            <w:tcW w:w="640" w:type="dxa"/>
            <w:tcBorders>
              <w:top w:val="nil"/>
              <w:left w:val="nil"/>
              <w:bottom w:val="single" w:sz="4" w:space="0" w:color="auto"/>
              <w:right w:val="single" w:sz="4" w:space="0" w:color="auto"/>
            </w:tcBorders>
            <w:shd w:val="clear" w:color="auto" w:fill="auto"/>
            <w:noWrap/>
            <w:vAlign w:val="center"/>
            <w:hideMark/>
          </w:tcPr>
          <w:p w14:paraId="1A18DE36"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19,42</w:t>
            </w:r>
          </w:p>
        </w:tc>
        <w:tc>
          <w:tcPr>
            <w:tcW w:w="1411" w:type="dxa"/>
            <w:tcBorders>
              <w:top w:val="nil"/>
              <w:left w:val="nil"/>
              <w:bottom w:val="single" w:sz="4" w:space="0" w:color="auto"/>
              <w:right w:val="single" w:sz="4" w:space="0" w:color="auto"/>
            </w:tcBorders>
            <w:shd w:val="clear" w:color="000000" w:fill="EE1010"/>
            <w:noWrap/>
            <w:vAlign w:val="center"/>
            <w:hideMark/>
          </w:tcPr>
          <w:p w14:paraId="1A18DE37"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 </w:t>
            </w:r>
          </w:p>
        </w:tc>
      </w:tr>
      <w:tr w:rsidR="005B56A0" w:rsidRPr="005B56A0" w14:paraId="1A18DE41"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39"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3A"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3B"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Benzo(a)antracen uPM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3C"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3D"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0,922</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3E"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1,0</w:t>
            </w:r>
          </w:p>
        </w:tc>
        <w:tc>
          <w:tcPr>
            <w:tcW w:w="640" w:type="dxa"/>
            <w:tcBorders>
              <w:top w:val="nil"/>
              <w:left w:val="nil"/>
              <w:bottom w:val="single" w:sz="4" w:space="0" w:color="auto"/>
              <w:right w:val="single" w:sz="4" w:space="0" w:color="auto"/>
            </w:tcBorders>
            <w:shd w:val="clear" w:color="auto" w:fill="auto"/>
            <w:noWrap/>
            <w:vAlign w:val="center"/>
            <w:hideMark/>
          </w:tcPr>
          <w:p w14:paraId="1A18DE3F"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5,95</w:t>
            </w:r>
          </w:p>
        </w:tc>
        <w:tc>
          <w:tcPr>
            <w:tcW w:w="1411" w:type="dxa"/>
            <w:tcBorders>
              <w:top w:val="nil"/>
              <w:left w:val="nil"/>
              <w:bottom w:val="single" w:sz="4" w:space="0" w:color="auto"/>
              <w:right w:val="single" w:sz="4" w:space="0" w:color="auto"/>
            </w:tcBorders>
            <w:shd w:val="clear" w:color="auto" w:fill="auto"/>
            <w:noWrap/>
            <w:vAlign w:val="center"/>
            <w:hideMark/>
          </w:tcPr>
          <w:p w14:paraId="1A18DE40"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4A"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42"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43"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44"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Benzo(b)fluoranten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45"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46"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2,006</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47" w14:textId="77777777" w:rsidR="005B56A0" w:rsidRPr="005B56A0" w:rsidRDefault="005B56A0" w:rsidP="00973139">
            <w:pPr>
              <w:jc w:val="center"/>
              <w:rPr>
                <w:rFonts w:ascii="Segoe UI" w:hAnsi="Segoe UI" w:cs="Segoe UI"/>
                <w:sz w:val="15"/>
                <w:szCs w:val="15"/>
              </w:rPr>
            </w:pPr>
            <w:r w:rsidRPr="005B56A0">
              <w:rPr>
                <w:rFonts w:ascii="Segoe UI" w:hAnsi="Segoe UI" w:cs="Segoe UI"/>
                <w:sz w:val="15"/>
                <w:szCs w:val="15"/>
              </w:rPr>
              <w:t>2,</w:t>
            </w:r>
            <w:r w:rsidR="00973139">
              <w:rPr>
                <w:rFonts w:ascii="Segoe UI" w:hAnsi="Segoe UI" w:cs="Segoe UI"/>
                <w:sz w:val="15"/>
                <w:szCs w:val="15"/>
              </w:rPr>
              <w:t>0</w:t>
            </w:r>
          </w:p>
        </w:tc>
        <w:tc>
          <w:tcPr>
            <w:tcW w:w="640" w:type="dxa"/>
            <w:tcBorders>
              <w:top w:val="nil"/>
              <w:left w:val="nil"/>
              <w:bottom w:val="single" w:sz="4" w:space="0" w:color="auto"/>
              <w:right w:val="single" w:sz="4" w:space="0" w:color="auto"/>
            </w:tcBorders>
            <w:shd w:val="clear" w:color="auto" w:fill="auto"/>
            <w:noWrap/>
            <w:vAlign w:val="center"/>
            <w:hideMark/>
          </w:tcPr>
          <w:p w14:paraId="1A18DE48"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w:t>
            </w:r>
            <w:r w:rsidR="00973139">
              <w:rPr>
                <w:rFonts w:ascii="Segoe UI" w:hAnsi="Segoe UI" w:cs="Segoe UI"/>
                <w:sz w:val="15"/>
                <w:szCs w:val="15"/>
              </w:rPr>
              <w:t>9,05</w:t>
            </w:r>
          </w:p>
        </w:tc>
        <w:tc>
          <w:tcPr>
            <w:tcW w:w="1411" w:type="dxa"/>
            <w:tcBorders>
              <w:top w:val="nil"/>
              <w:left w:val="nil"/>
              <w:bottom w:val="single" w:sz="4" w:space="0" w:color="auto"/>
              <w:right w:val="single" w:sz="4" w:space="0" w:color="auto"/>
            </w:tcBorders>
            <w:shd w:val="clear" w:color="auto" w:fill="auto"/>
            <w:noWrap/>
            <w:vAlign w:val="center"/>
            <w:hideMark/>
          </w:tcPr>
          <w:p w14:paraId="1A18DE49"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53"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4B"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4C"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4D"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Benzo(j)fluoranten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4E"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4F"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0,901</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50"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1,0</w:t>
            </w:r>
          </w:p>
        </w:tc>
        <w:tc>
          <w:tcPr>
            <w:tcW w:w="640" w:type="dxa"/>
            <w:tcBorders>
              <w:top w:val="nil"/>
              <w:left w:val="nil"/>
              <w:bottom w:val="single" w:sz="4" w:space="0" w:color="auto"/>
              <w:right w:val="single" w:sz="4" w:space="0" w:color="auto"/>
            </w:tcBorders>
            <w:shd w:val="clear" w:color="auto" w:fill="auto"/>
            <w:vAlign w:val="center"/>
            <w:hideMark/>
          </w:tcPr>
          <w:p w14:paraId="1A18DE51"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12,71</w:t>
            </w:r>
          </w:p>
        </w:tc>
        <w:tc>
          <w:tcPr>
            <w:tcW w:w="1411" w:type="dxa"/>
            <w:tcBorders>
              <w:top w:val="nil"/>
              <w:left w:val="nil"/>
              <w:bottom w:val="single" w:sz="4" w:space="0" w:color="auto"/>
              <w:right w:val="single" w:sz="4" w:space="0" w:color="auto"/>
            </w:tcBorders>
            <w:shd w:val="clear" w:color="auto" w:fill="auto"/>
            <w:noWrap/>
            <w:vAlign w:val="center"/>
            <w:hideMark/>
          </w:tcPr>
          <w:p w14:paraId="1A18DE52"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5C"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54"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55"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56"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 xml:space="preserve"> Benzo(k)fluoranten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57"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58"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0,762</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59"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0,77</w:t>
            </w:r>
          </w:p>
        </w:tc>
        <w:tc>
          <w:tcPr>
            <w:tcW w:w="640" w:type="dxa"/>
            <w:tcBorders>
              <w:top w:val="nil"/>
              <w:left w:val="nil"/>
              <w:bottom w:val="single" w:sz="4" w:space="0" w:color="auto"/>
              <w:right w:val="single" w:sz="4" w:space="0" w:color="auto"/>
            </w:tcBorders>
            <w:shd w:val="clear" w:color="auto" w:fill="auto"/>
            <w:noWrap/>
            <w:vAlign w:val="center"/>
            <w:hideMark/>
          </w:tcPr>
          <w:p w14:paraId="1A18DE5A"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8,65</w:t>
            </w:r>
          </w:p>
        </w:tc>
        <w:tc>
          <w:tcPr>
            <w:tcW w:w="1411" w:type="dxa"/>
            <w:tcBorders>
              <w:top w:val="nil"/>
              <w:left w:val="nil"/>
              <w:bottom w:val="single" w:sz="4" w:space="0" w:color="auto"/>
              <w:right w:val="single" w:sz="4" w:space="0" w:color="auto"/>
            </w:tcBorders>
            <w:shd w:val="clear" w:color="auto" w:fill="auto"/>
            <w:noWrap/>
            <w:vAlign w:val="center"/>
            <w:hideMark/>
          </w:tcPr>
          <w:p w14:paraId="1A18DE5B"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65"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5D"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5E"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5F"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Indeno(1,2,3,-cd)piren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60"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61"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1,667</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62" w14:textId="77777777" w:rsidR="005B56A0" w:rsidRPr="005B56A0" w:rsidRDefault="003D4DDD" w:rsidP="003D4DDD">
            <w:pPr>
              <w:jc w:val="center"/>
              <w:rPr>
                <w:rFonts w:ascii="Segoe UI" w:hAnsi="Segoe UI" w:cs="Segoe UI"/>
                <w:sz w:val="15"/>
                <w:szCs w:val="15"/>
              </w:rPr>
            </w:pPr>
            <w:r>
              <w:rPr>
                <w:rFonts w:ascii="Segoe UI" w:hAnsi="Segoe UI" w:cs="Segoe UI"/>
                <w:sz w:val="15"/>
                <w:szCs w:val="15"/>
              </w:rPr>
              <w:t>1,7</w:t>
            </w:r>
          </w:p>
        </w:tc>
        <w:tc>
          <w:tcPr>
            <w:tcW w:w="640" w:type="dxa"/>
            <w:tcBorders>
              <w:top w:val="nil"/>
              <w:left w:val="nil"/>
              <w:bottom w:val="single" w:sz="4" w:space="0" w:color="auto"/>
              <w:right w:val="single" w:sz="4" w:space="0" w:color="auto"/>
            </w:tcBorders>
            <w:shd w:val="clear" w:color="auto" w:fill="auto"/>
            <w:noWrap/>
            <w:vAlign w:val="center"/>
            <w:hideMark/>
          </w:tcPr>
          <w:p w14:paraId="1A18DE63"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15,97</w:t>
            </w:r>
          </w:p>
        </w:tc>
        <w:tc>
          <w:tcPr>
            <w:tcW w:w="1411" w:type="dxa"/>
            <w:tcBorders>
              <w:top w:val="nil"/>
              <w:left w:val="nil"/>
              <w:bottom w:val="single" w:sz="4" w:space="0" w:color="auto"/>
              <w:right w:val="single" w:sz="4" w:space="0" w:color="auto"/>
            </w:tcBorders>
            <w:shd w:val="clear" w:color="auto" w:fill="auto"/>
            <w:noWrap/>
            <w:vAlign w:val="center"/>
            <w:hideMark/>
          </w:tcPr>
          <w:p w14:paraId="1A18DE64"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6E"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66"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67"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68"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Dibenzo(a,h)antracen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69"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96,4</w:t>
            </w:r>
          </w:p>
        </w:tc>
        <w:tc>
          <w:tcPr>
            <w:tcW w:w="1559" w:type="dxa"/>
            <w:tcBorders>
              <w:top w:val="nil"/>
              <w:left w:val="nil"/>
              <w:bottom w:val="single" w:sz="4" w:space="0" w:color="auto"/>
              <w:right w:val="single" w:sz="4" w:space="0" w:color="auto"/>
            </w:tcBorders>
            <w:shd w:val="clear" w:color="auto" w:fill="auto"/>
            <w:vAlign w:val="center"/>
            <w:hideMark/>
          </w:tcPr>
          <w:p w14:paraId="1A18DE6A"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0,143</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6B"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0,15</w:t>
            </w:r>
          </w:p>
        </w:tc>
        <w:tc>
          <w:tcPr>
            <w:tcW w:w="640" w:type="dxa"/>
            <w:tcBorders>
              <w:top w:val="nil"/>
              <w:left w:val="nil"/>
              <w:bottom w:val="single" w:sz="4" w:space="0" w:color="auto"/>
              <w:right w:val="single" w:sz="4" w:space="0" w:color="auto"/>
            </w:tcBorders>
            <w:shd w:val="clear" w:color="auto" w:fill="auto"/>
            <w:noWrap/>
            <w:vAlign w:val="center"/>
            <w:hideMark/>
          </w:tcPr>
          <w:p w14:paraId="1A18DE6C"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1,004</w:t>
            </w:r>
          </w:p>
        </w:tc>
        <w:tc>
          <w:tcPr>
            <w:tcW w:w="1411" w:type="dxa"/>
            <w:tcBorders>
              <w:top w:val="nil"/>
              <w:left w:val="nil"/>
              <w:bottom w:val="single" w:sz="4" w:space="0" w:color="auto"/>
              <w:right w:val="single" w:sz="4" w:space="0" w:color="auto"/>
            </w:tcBorders>
            <w:shd w:val="clear" w:color="auto" w:fill="auto"/>
            <w:noWrap/>
            <w:vAlign w:val="center"/>
            <w:hideMark/>
          </w:tcPr>
          <w:p w14:paraId="1A18DE6D"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77" w14:textId="77777777" w:rsidTr="007A7A0C">
        <w:trPr>
          <w:trHeight w:val="236"/>
        </w:trPr>
        <w:tc>
          <w:tcPr>
            <w:tcW w:w="141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A18DE6F"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HR 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A18DE70"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Sisak-1</w:t>
            </w:r>
          </w:p>
        </w:tc>
        <w:tc>
          <w:tcPr>
            <w:tcW w:w="1479" w:type="dxa"/>
            <w:tcBorders>
              <w:top w:val="nil"/>
              <w:left w:val="nil"/>
              <w:bottom w:val="single" w:sz="4" w:space="0" w:color="auto"/>
              <w:right w:val="single" w:sz="4" w:space="0" w:color="auto"/>
            </w:tcBorders>
            <w:shd w:val="clear" w:color="auto" w:fill="auto"/>
            <w:vAlign w:val="center"/>
            <w:hideMark/>
          </w:tcPr>
          <w:p w14:paraId="1A18DE71"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BaP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72"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73"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2,217</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74" w14:textId="77777777" w:rsidR="005B56A0" w:rsidRPr="005B56A0" w:rsidRDefault="005B56A0" w:rsidP="005B56A0">
            <w:pPr>
              <w:jc w:val="center"/>
              <w:rPr>
                <w:rFonts w:ascii="Segoe UI" w:hAnsi="Segoe UI" w:cs="Segoe UI"/>
                <w:color w:val="FF0000"/>
                <w:sz w:val="15"/>
                <w:szCs w:val="15"/>
              </w:rPr>
            </w:pPr>
            <w:r w:rsidRPr="005B56A0">
              <w:rPr>
                <w:rFonts w:ascii="Segoe UI" w:hAnsi="Segoe UI" w:cs="Segoe UI"/>
                <w:color w:val="FF0000"/>
                <w:sz w:val="15"/>
                <w:szCs w:val="15"/>
              </w:rPr>
              <w:t>2</w:t>
            </w:r>
          </w:p>
        </w:tc>
        <w:tc>
          <w:tcPr>
            <w:tcW w:w="640" w:type="dxa"/>
            <w:tcBorders>
              <w:top w:val="nil"/>
              <w:left w:val="nil"/>
              <w:bottom w:val="single" w:sz="4" w:space="0" w:color="auto"/>
              <w:right w:val="single" w:sz="4" w:space="0" w:color="auto"/>
            </w:tcBorders>
            <w:shd w:val="clear" w:color="auto" w:fill="auto"/>
            <w:noWrap/>
            <w:vAlign w:val="center"/>
            <w:hideMark/>
          </w:tcPr>
          <w:p w14:paraId="1A18DE75" w14:textId="77777777" w:rsidR="005B56A0" w:rsidRPr="005B56A0" w:rsidRDefault="0032121E" w:rsidP="005B56A0">
            <w:pPr>
              <w:jc w:val="center"/>
              <w:rPr>
                <w:rFonts w:ascii="Segoe UI" w:hAnsi="Segoe UI" w:cs="Segoe UI"/>
                <w:sz w:val="15"/>
                <w:szCs w:val="15"/>
              </w:rPr>
            </w:pPr>
            <w:r>
              <w:rPr>
                <w:rFonts w:ascii="Segoe UI" w:hAnsi="Segoe UI" w:cs="Segoe UI"/>
                <w:sz w:val="15"/>
                <w:szCs w:val="15"/>
              </w:rPr>
              <w:t>19,68</w:t>
            </w:r>
          </w:p>
        </w:tc>
        <w:tc>
          <w:tcPr>
            <w:tcW w:w="1411" w:type="dxa"/>
            <w:tcBorders>
              <w:top w:val="nil"/>
              <w:left w:val="nil"/>
              <w:bottom w:val="single" w:sz="4" w:space="0" w:color="auto"/>
              <w:right w:val="single" w:sz="4" w:space="0" w:color="auto"/>
            </w:tcBorders>
            <w:shd w:val="clear" w:color="000000" w:fill="EE1010"/>
            <w:noWrap/>
            <w:vAlign w:val="center"/>
            <w:hideMark/>
          </w:tcPr>
          <w:p w14:paraId="1A18DE76" w14:textId="77777777" w:rsidR="005B56A0" w:rsidRPr="005924D7" w:rsidRDefault="005B56A0" w:rsidP="005B56A0">
            <w:pPr>
              <w:jc w:val="center"/>
              <w:rPr>
                <w:rFonts w:ascii="Segoe UI" w:hAnsi="Segoe UI" w:cs="Segoe UI"/>
                <w:sz w:val="15"/>
                <w:szCs w:val="15"/>
                <w:highlight w:val="red"/>
              </w:rPr>
            </w:pPr>
            <w:r w:rsidRPr="005924D7">
              <w:rPr>
                <w:rFonts w:ascii="Segoe UI" w:hAnsi="Segoe UI" w:cs="Segoe UI"/>
                <w:sz w:val="15"/>
                <w:szCs w:val="15"/>
                <w:highlight w:val="red"/>
              </w:rPr>
              <w:t> </w:t>
            </w:r>
          </w:p>
        </w:tc>
      </w:tr>
      <w:tr w:rsidR="005B56A0" w:rsidRPr="005B56A0" w14:paraId="1A18DE80"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78"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79"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7A"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Benzo(a)antracen uPM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7B"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7C"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1,338</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7D" w14:textId="77777777" w:rsidR="005B56A0" w:rsidRPr="005B56A0" w:rsidRDefault="005924D7" w:rsidP="005B56A0">
            <w:pPr>
              <w:jc w:val="center"/>
              <w:rPr>
                <w:rFonts w:ascii="Segoe UI" w:hAnsi="Segoe UI" w:cs="Segoe UI"/>
                <w:sz w:val="15"/>
                <w:szCs w:val="15"/>
              </w:rPr>
            </w:pPr>
            <w:r>
              <w:rPr>
                <w:rFonts w:ascii="Segoe UI" w:hAnsi="Segoe UI" w:cs="Segoe UI"/>
                <w:sz w:val="15"/>
                <w:szCs w:val="15"/>
              </w:rPr>
              <w:t>1,3</w:t>
            </w:r>
          </w:p>
        </w:tc>
        <w:tc>
          <w:tcPr>
            <w:tcW w:w="640" w:type="dxa"/>
            <w:tcBorders>
              <w:top w:val="nil"/>
              <w:left w:val="nil"/>
              <w:bottom w:val="single" w:sz="4" w:space="0" w:color="auto"/>
              <w:right w:val="single" w:sz="4" w:space="0" w:color="auto"/>
            </w:tcBorders>
            <w:shd w:val="clear" w:color="auto" w:fill="auto"/>
            <w:noWrap/>
            <w:vAlign w:val="center"/>
            <w:hideMark/>
          </w:tcPr>
          <w:p w14:paraId="1A18DE7E"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8,41</w:t>
            </w:r>
          </w:p>
        </w:tc>
        <w:tc>
          <w:tcPr>
            <w:tcW w:w="1411" w:type="dxa"/>
            <w:tcBorders>
              <w:top w:val="nil"/>
              <w:left w:val="nil"/>
              <w:bottom w:val="single" w:sz="4" w:space="0" w:color="auto"/>
              <w:right w:val="single" w:sz="4" w:space="0" w:color="auto"/>
            </w:tcBorders>
            <w:shd w:val="clear" w:color="auto" w:fill="auto"/>
            <w:noWrap/>
            <w:vAlign w:val="center"/>
            <w:hideMark/>
          </w:tcPr>
          <w:p w14:paraId="1A18DE7F"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89"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81"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82"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83"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Benzo(b)fluoranten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84"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85"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2,826</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86"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2,9</w:t>
            </w:r>
          </w:p>
        </w:tc>
        <w:tc>
          <w:tcPr>
            <w:tcW w:w="640" w:type="dxa"/>
            <w:tcBorders>
              <w:top w:val="nil"/>
              <w:left w:val="nil"/>
              <w:bottom w:val="single" w:sz="4" w:space="0" w:color="auto"/>
              <w:right w:val="single" w:sz="4" w:space="0" w:color="auto"/>
            </w:tcBorders>
            <w:shd w:val="clear" w:color="auto" w:fill="auto"/>
            <w:noWrap/>
            <w:vAlign w:val="center"/>
            <w:hideMark/>
          </w:tcPr>
          <w:p w14:paraId="1A18DE87" w14:textId="77777777" w:rsidR="005B56A0" w:rsidRPr="005B56A0" w:rsidRDefault="00973139" w:rsidP="005B56A0">
            <w:pPr>
              <w:jc w:val="center"/>
              <w:rPr>
                <w:rFonts w:ascii="Segoe UI" w:hAnsi="Segoe UI" w:cs="Segoe UI"/>
                <w:sz w:val="15"/>
                <w:szCs w:val="15"/>
              </w:rPr>
            </w:pPr>
            <w:r>
              <w:rPr>
                <w:rFonts w:ascii="Segoe UI" w:hAnsi="Segoe UI" w:cs="Segoe UI"/>
                <w:sz w:val="15"/>
                <w:szCs w:val="15"/>
              </w:rPr>
              <w:t>21,08</w:t>
            </w:r>
          </w:p>
        </w:tc>
        <w:tc>
          <w:tcPr>
            <w:tcW w:w="1411" w:type="dxa"/>
            <w:tcBorders>
              <w:top w:val="nil"/>
              <w:left w:val="nil"/>
              <w:bottom w:val="single" w:sz="4" w:space="0" w:color="auto"/>
              <w:right w:val="single" w:sz="4" w:space="0" w:color="auto"/>
            </w:tcBorders>
            <w:shd w:val="clear" w:color="auto" w:fill="auto"/>
            <w:noWrap/>
            <w:vAlign w:val="center"/>
            <w:hideMark/>
          </w:tcPr>
          <w:p w14:paraId="1A18DE88"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92"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8A"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8B"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8C"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Benzo(j)fluoranten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8D"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8E"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1,364</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8F"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1,3</w:t>
            </w:r>
          </w:p>
        </w:tc>
        <w:tc>
          <w:tcPr>
            <w:tcW w:w="640" w:type="dxa"/>
            <w:tcBorders>
              <w:top w:val="nil"/>
              <w:left w:val="nil"/>
              <w:bottom w:val="single" w:sz="4" w:space="0" w:color="auto"/>
              <w:right w:val="single" w:sz="4" w:space="0" w:color="auto"/>
            </w:tcBorders>
            <w:shd w:val="clear" w:color="auto" w:fill="auto"/>
            <w:vAlign w:val="center"/>
            <w:hideMark/>
          </w:tcPr>
          <w:p w14:paraId="1A18DE90"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8,95</w:t>
            </w:r>
          </w:p>
        </w:tc>
        <w:tc>
          <w:tcPr>
            <w:tcW w:w="1411" w:type="dxa"/>
            <w:tcBorders>
              <w:top w:val="nil"/>
              <w:left w:val="nil"/>
              <w:bottom w:val="single" w:sz="4" w:space="0" w:color="auto"/>
              <w:right w:val="single" w:sz="4" w:space="0" w:color="auto"/>
            </w:tcBorders>
            <w:shd w:val="clear" w:color="auto" w:fill="auto"/>
            <w:noWrap/>
            <w:vAlign w:val="center"/>
            <w:hideMark/>
          </w:tcPr>
          <w:p w14:paraId="1A18DE91"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9B"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93"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94"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95"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 xml:space="preserve"> Benzo(k)fluoranten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96"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97"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1,087</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98" w14:textId="77777777" w:rsidR="003D4DDD" w:rsidRPr="005B56A0" w:rsidRDefault="003D4DDD" w:rsidP="003D4DDD">
            <w:pPr>
              <w:jc w:val="center"/>
              <w:rPr>
                <w:rFonts w:ascii="Segoe UI" w:hAnsi="Segoe UI" w:cs="Segoe UI"/>
                <w:sz w:val="15"/>
                <w:szCs w:val="15"/>
              </w:rPr>
            </w:pPr>
            <w:r>
              <w:rPr>
                <w:rFonts w:ascii="Segoe UI" w:hAnsi="Segoe UI" w:cs="Segoe UI"/>
                <w:sz w:val="15"/>
                <w:szCs w:val="15"/>
              </w:rPr>
              <w:t>1,1</w:t>
            </w:r>
          </w:p>
        </w:tc>
        <w:tc>
          <w:tcPr>
            <w:tcW w:w="640" w:type="dxa"/>
            <w:tcBorders>
              <w:top w:val="nil"/>
              <w:left w:val="nil"/>
              <w:bottom w:val="single" w:sz="4" w:space="0" w:color="auto"/>
              <w:right w:val="single" w:sz="4" w:space="0" w:color="auto"/>
            </w:tcBorders>
            <w:shd w:val="clear" w:color="auto" w:fill="auto"/>
            <w:noWrap/>
            <w:vAlign w:val="center"/>
            <w:hideMark/>
          </w:tcPr>
          <w:p w14:paraId="1A18DE99"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8,31</w:t>
            </w:r>
          </w:p>
        </w:tc>
        <w:tc>
          <w:tcPr>
            <w:tcW w:w="1411" w:type="dxa"/>
            <w:tcBorders>
              <w:top w:val="nil"/>
              <w:left w:val="nil"/>
              <w:bottom w:val="single" w:sz="4" w:space="0" w:color="auto"/>
              <w:right w:val="single" w:sz="4" w:space="0" w:color="auto"/>
            </w:tcBorders>
            <w:shd w:val="clear" w:color="auto" w:fill="auto"/>
            <w:noWrap/>
            <w:vAlign w:val="center"/>
            <w:hideMark/>
          </w:tcPr>
          <w:p w14:paraId="1A18DE9A"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A4"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9C"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9D"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9E" w14:textId="77777777" w:rsidR="005B56A0" w:rsidRPr="005B56A0" w:rsidRDefault="005B56A0" w:rsidP="005B56A0">
            <w:pPr>
              <w:jc w:val="center"/>
              <w:rPr>
                <w:rFonts w:ascii="Segoe UI" w:hAnsi="Segoe UI" w:cs="Segoe UI"/>
                <w:color w:val="000000"/>
                <w:sz w:val="15"/>
                <w:szCs w:val="15"/>
              </w:rPr>
            </w:pPr>
            <w:r w:rsidRPr="005B56A0">
              <w:rPr>
                <w:rFonts w:ascii="Segoe UI" w:hAnsi="Segoe UI" w:cs="Segoe UI"/>
                <w:color w:val="000000"/>
                <w:sz w:val="15"/>
                <w:szCs w:val="15"/>
              </w:rPr>
              <w:t>Indeno(1,2,3,-cd)piren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9F"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A0"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2,490</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A1"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2,5</w:t>
            </w:r>
          </w:p>
        </w:tc>
        <w:tc>
          <w:tcPr>
            <w:tcW w:w="640" w:type="dxa"/>
            <w:tcBorders>
              <w:top w:val="nil"/>
              <w:left w:val="nil"/>
              <w:bottom w:val="single" w:sz="4" w:space="0" w:color="auto"/>
              <w:right w:val="single" w:sz="4" w:space="0" w:color="auto"/>
            </w:tcBorders>
            <w:shd w:val="clear" w:color="auto" w:fill="auto"/>
            <w:noWrap/>
            <w:vAlign w:val="center"/>
            <w:hideMark/>
          </w:tcPr>
          <w:p w14:paraId="1A18DEA2"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17,09</w:t>
            </w:r>
          </w:p>
        </w:tc>
        <w:tc>
          <w:tcPr>
            <w:tcW w:w="1411" w:type="dxa"/>
            <w:tcBorders>
              <w:top w:val="nil"/>
              <w:left w:val="nil"/>
              <w:bottom w:val="single" w:sz="4" w:space="0" w:color="auto"/>
              <w:right w:val="single" w:sz="4" w:space="0" w:color="auto"/>
            </w:tcBorders>
            <w:shd w:val="clear" w:color="auto" w:fill="auto"/>
            <w:noWrap/>
            <w:vAlign w:val="center"/>
            <w:hideMark/>
          </w:tcPr>
          <w:p w14:paraId="1A18DEA3"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5B56A0" w:rsidRPr="005B56A0" w14:paraId="1A18DEAD" w14:textId="77777777" w:rsidTr="007A7A0C">
        <w:trPr>
          <w:trHeight w:val="236"/>
        </w:trPr>
        <w:tc>
          <w:tcPr>
            <w:tcW w:w="1413" w:type="dxa"/>
            <w:gridSpan w:val="3"/>
            <w:vMerge/>
            <w:tcBorders>
              <w:top w:val="nil"/>
              <w:left w:val="single" w:sz="4" w:space="0" w:color="auto"/>
              <w:bottom w:val="single" w:sz="4" w:space="0" w:color="auto"/>
              <w:right w:val="single" w:sz="4" w:space="0" w:color="auto"/>
            </w:tcBorders>
            <w:vAlign w:val="center"/>
            <w:hideMark/>
          </w:tcPr>
          <w:p w14:paraId="1A18DEA5" w14:textId="77777777" w:rsidR="005B56A0" w:rsidRPr="005B56A0" w:rsidRDefault="005B56A0" w:rsidP="005B56A0">
            <w:pPr>
              <w:rPr>
                <w:rFonts w:ascii="Segoe UI" w:hAnsi="Segoe UI" w:cs="Segoe UI"/>
                <w:color w:val="000000"/>
                <w:sz w:val="15"/>
                <w:szCs w:val="15"/>
              </w:rPr>
            </w:pPr>
          </w:p>
        </w:tc>
        <w:tc>
          <w:tcPr>
            <w:tcW w:w="1417" w:type="dxa"/>
            <w:vMerge/>
            <w:tcBorders>
              <w:top w:val="nil"/>
              <w:left w:val="single" w:sz="4" w:space="0" w:color="auto"/>
              <w:bottom w:val="single" w:sz="4" w:space="0" w:color="auto"/>
              <w:right w:val="single" w:sz="4" w:space="0" w:color="auto"/>
            </w:tcBorders>
            <w:vAlign w:val="center"/>
            <w:hideMark/>
          </w:tcPr>
          <w:p w14:paraId="1A18DEA6" w14:textId="77777777" w:rsidR="005B56A0" w:rsidRPr="005B56A0" w:rsidRDefault="005B56A0"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hideMark/>
          </w:tcPr>
          <w:p w14:paraId="1A18DEA7"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Dibenzo(a,h)antracen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hideMark/>
          </w:tcPr>
          <w:p w14:paraId="1A18DEA8"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100</w:t>
            </w:r>
          </w:p>
        </w:tc>
        <w:tc>
          <w:tcPr>
            <w:tcW w:w="1559" w:type="dxa"/>
            <w:tcBorders>
              <w:top w:val="nil"/>
              <w:left w:val="nil"/>
              <w:bottom w:val="single" w:sz="4" w:space="0" w:color="auto"/>
              <w:right w:val="single" w:sz="4" w:space="0" w:color="auto"/>
            </w:tcBorders>
            <w:shd w:val="clear" w:color="auto" w:fill="auto"/>
            <w:vAlign w:val="center"/>
            <w:hideMark/>
          </w:tcPr>
          <w:p w14:paraId="1A18DEA9"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0,238</w:t>
            </w:r>
          </w:p>
        </w:tc>
        <w:tc>
          <w:tcPr>
            <w:tcW w:w="1061" w:type="dxa"/>
            <w:gridSpan w:val="2"/>
            <w:tcBorders>
              <w:top w:val="nil"/>
              <w:left w:val="nil"/>
              <w:bottom w:val="single" w:sz="4" w:space="0" w:color="auto"/>
              <w:right w:val="single" w:sz="4" w:space="0" w:color="auto"/>
            </w:tcBorders>
            <w:shd w:val="clear" w:color="auto" w:fill="auto"/>
            <w:vAlign w:val="center"/>
            <w:hideMark/>
          </w:tcPr>
          <w:p w14:paraId="1A18DEAA" w14:textId="77777777" w:rsidR="005B56A0" w:rsidRPr="005B56A0" w:rsidRDefault="003D4DDD" w:rsidP="005B56A0">
            <w:pPr>
              <w:jc w:val="center"/>
              <w:rPr>
                <w:rFonts w:ascii="Segoe UI" w:hAnsi="Segoe UI" w:cs="Segoe UI"/>
                <w:sz w:val="15"/>
                <w:szCs w:val="15"/>
              </w:rPr>
            </w:pPr>
            <w:r>
              <w:rPr>
                <w:rFonts w:ascii="Segoe UI" w:hAnsi="Segoe UI" w:cs="Segoe UI"/>
                <w:sz w:val="15"/>
                <w:szCs w:val="15"/>
              </w:rPr>
              <w:t>0,24</w:t>
            </w:r>
          </w:p>
        </w:tc>
        <w:tc>
          <w:tcPr>
            <w:tcW w:w="640" w:type="dxa"/>
            <w:tcBorders>
              <w:top w:val="nil"/>
              <w:left w:val="nil"/>
              <w:bottom w:val="single" w:sz="4" w:space="0" w:color="auto"/>
              <w:right w:val="single" w:sz="4" w:space="0" w:color="auto"/>
            </w:tcBorders>
            <w:shd w:val="clear" w:color="auto" w:fill="auto"/>
            <w:noWrap/>
            <w:vAlign w:val="center"/>
            <w:hideMark/>
          </w:tcPr>
          <w:p w14:paraId="1A18DEAB" w14:textId="77777777" w:rsidR="005B56A0" w:rsidRPr="005B56A0" w:rsidRDefault="000253EF" w:rsidP="005B56A0">
            <w:pPr>
              <w:jc w:val="center"/>
              <w:rPr>
                <w:rFonts w:ascii="Segoe UI" w:hAnsi="Segoe UI" w:cs="Segoe UI"/>
                <w:sz w:val="15"/>
                <w:szCs w:val="15"/>
              </w:rPr>
            </w:pPr>
            <w:r>
              <w:rPr>
                <w:rFonts w:ascii="Segoe UI" w:hAnsi="Segoe UI" w:cs="Segoe UI"/>
                <w:sz w:val="15"/>
                <w:szCs w:val="15"/>
              </w:rPr>
              <w:t>1,679</w:t>
            </w:r>
          </w:p>
        </w:tc>
        <w:tc>
          <w:tcPr>
            <w:tcW w:w="1411" w:type="dxa"/>
            <w:tcBorders>
              <w:top w:val="nil"/>
              <w:left w:val="nil"/>
              <w:bottom w:val="single" w:sz="4" w:space="0" w:color="auto"/>
              <w:right w:val="single" w:sz="4" w:space="0" w:color="auto"/>
            </w:tcBorders>
            <w:shd w:val="clear" w:color="auto" w:fill="auto"/>
            <w:noWrap/>
            <w:vAlign w:val="center"/>
            <w:hideMark/>
          </w:tcPr>
          <w:p w14:paraId="1A18DEAC" w14:textId="77777777" w:rsidR="005B56A0" w:rsidRPr="005B56A0" w:rsidRDefault="005B56A0" w:rsidP="005B56A0">
            <w:pPr>
              <w:jc w:val="center"/>
              <w:rPr>
                <w:rFonts w:ascii="Segoe UI" w:hAnsi="Segoe UI" w:cs="Segoe UI"/>
                <w:sz w:val="15"/>
                <w:szCs w:val="15"/>
              </w:rPr>
            </w:pPr>
            <w:r w:rsidRPr="005B56A0">
              <w:rPr>
                <w:rFonts w:ascii="Segoe UI" w:hAnsi="Segoe UI" w:cs="Segoe UI"/>
                <w:sz w:val="15"/>
                <w:szCs w:val="15"/>
              </w:rPr>
              <w:t>NP</w:t>
            </w:r>
          </w:p>
        </w:tc>
      </w:tr>
      <w:tr w:rsidR="0032121E" w:rsidRPr="005B56A0" w14:paraId="1A18DEB6" w14:textId="77777777" w:rsidTr="005924D7">
        <w:trPr>
          <w:trHeight w:val="236"/>
        </w:trPr>
        <w:tc>
          <w:tcPr>
            <w:tcW w:w="1413" w:type="dxa"/>
            <w:gridSpan w:val="3"/>
            <w:vMerge w:val="restart"/>
            <w:tcBorders>
              <w:top w:val="nil"/>
              <w:left w:val="single" w:sz="4" w:space="0" w:color="auto"/>
              <w:right w:val="single" w:sz="4" w:space="0" w:color="auto"/>
            </w:tcBorders>
            <w:vAlign w:val="center"/>
          </w:tcPr>
          <w:p w14:paraId="1A18DEAE" w14:textId="77777777" w:rsidR="0032121E" w:rsidRPr="005B56A0" w:rsidRDefault="0032121E" w:rsidP="005B56A0">
            <w:pPr>
              <w:rPr>
                <w:rFonts w:ascii="Segoe UI" w:hAnsi="Segoe UI" w:cs="Segoe UI"/>
                <w:color w:val="000000"/>
                <w:sz w:val="15"/>
                <w:szCs w:val="15"/>
              </w:rPr>
            </w:pPr>
          </w:p>
        </w:tc>
        <w:tc>
          <w:tcPr>
            <w:tcW w:w="1417" w:type="dxa"/>
            <w:vMerge w:val="restart"/>
            <w:tcBorders>
              <w:top w:val="nil"/>
              <w:left w:val="single" w:sz="4" w:space="0" w:color="auto"/>
              <w:right w:val="single" w:sz="4" w:space="0" w:color="auto"/>
            </w:tcBorders>
            <w:vAlign w:val="center"/>
          </w:tcPr>
          <w:p w14:paraId="1A18DEAF" w14:textId="77777777" w:rsidR="0032121E" w:rsidRPr="005B56A0" w:rsidRDefault="0032121E" w:rsidP="005B56A0">
            <w:pPr>
              <w:rPr>
                <w:rFonts w:ascii="Segoe UI" w:hAnsi="Segoe UI" w:cs="Segoe UI"/>
                <w:color w:val="000000"/>
                <w:sz w:val="15"/>
                <w:szCs w:val="15"/>
              </w:rPr>
            </w:pPr>
            <w:r>
              <w:rPr>
                <w:rFonts w:ascii="Segoe UI" w:hAnsi="Segoe UI" w:cs="Segoe UI"/>
                <w:color w:val="000000"/>
                <w:sz w:val="15"/>
                <w:szCs w:val="15"/>
              </w:rPr>
              <w:t>Slavonski Brod -1</w:t>
            </w:r>
          </w:p>
        </w:tc>
        <w:tc>
          <w:tcPr>
            <w:tcW w:w="1479" w:type="dxa"/>
            <w:tcBorders>
              <w:top w:val="nil"/>
              <w:left w:val="nil"/>
              <w:bottom w:val="single" w:sz="4" w:space="0" w:color="auto"/>
              <w:right w:val="single" w:sz="4" w:space="0" w:color="auto"/>
            </w:tcBorders>
            <w:shd w:val="clear" w:color="auto" w:fill="auto"/>
            <w:vAlign w:val="center"/>
          </w:tcPr>
          <w:p w14:paraId="1A18DEB0" w14:textId="77777777" w:rsidR="0032121E" w:rsidRPr="005B56A0" w:rsidRDefault="0032121E" w:rsidP="005B56A0">
            <w:pPr>
              <w:jc w:val="center"/>
              <w:rPr>
                <w:rFonts w:ascii="Segoe UI" w:hAnsi="Segoe UI" w:cs="Segoe UI"/>
                <w:sz w:val="15"/>
                <w:szCs w:val="15"/>
              </w:rPr>
            </w:pPr>
            <w:r w:rsidRPr="005B56A0">
              <w:rPr>
                <w:rFonts w:ascii="Segoe UI" w:hAnsi="Segoe UI" w:cs="Segoe UI"/>
                <w:sz w:val="15"/>
                <w:szCs w:val="15"/>
              </w:rPr>
              <w:t>BaP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B1" w14:textId="77777777" w:rsidR="0032121E" w:rsidRPr="005B56A0" w:rsidRDefault="005924D7" w:rsidP="005B56A0">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B2" w14:textId="77777777" w:rsidR="0032121E" w:rsidRPr="005B56A0" w:rsidRDefault="005924D7" w:rsidP="005B56A0">
            <w:pPr>
              <w:jc w:val="center"/>
              <w:rPr>
                <w:rFonts w:ascii="Segoe UI" w:hAnsi="Segoe UI" w:cs="Segoe UI"/>
                <w:sz w:val="15"/>
                <w:szCs w:val="15"/>
              </w:rPr>
            </w:pPr>
            <w:r>
              <w:rPr>
                <w:rFonts w:ascii="Segoe UI" w:hAnsi="Segoe UI" w:cs="Segoe UI"/>
                <w:sz w:val="15"/>
                <w:szCs w:val="15"/>
              </w:rPr>
              <w:t>3,312</w:t>
            </w:r>
          </w:p>
        </w:tc>
        <w:tc>
          <w:tcPr>
            <w:tcW w:w="1061" w:type="dxa"/>
            <w:gridSpan w:val="2"/>
            <w:tcBorders>
              <w:top w:val="nil"/>
              <w:left w:val="nil"/>
              <w:bottom w:val="single" w:sz="4" w:space="0" w:color="auto"/>
              <w:right w:val="single" w:sz="4" w:space="0" w:color="auto"/>
            </w:tcBorders>
            <w:shd w:val="clear" w:color="auto" w:fill="auto"/>
            <w:vAlign w:val="center"/>
          </w:tcPr>
          <w:p w14:paraId="1A18DEB3" w14:textId="77777777" w:rsidR="0032121E" w:rsidRPr="005B56A0" w:rsidRDefault="005924D7" w:rsidP="005B56A0">
            <w:pPr>
              <w:jc w:val="center"/>
              <w:rPr>
                <w:rFonts w:ascii="Segoe UI" w:hAnsi="Segoe UI" w:cs="Segoe UI"/>
                <w:sz w:val="15"/>
                <w:szCs w:val="15"/>
              </w:rPr>
            </w:pPr>
            <w:r w:rsidRPr="005924D7">
              <w:rPr>
                <w:rFonts w:ascii="Segoe UI" w:hAnsi="Segoe UI" w:cs="Segoe UI"/>
                <w:color w:val="FF0000"/>
                <w:sz w:val="15"/>
                <w:szCs w:val="15"/>
              </w:rPr>
              <w:t>3</w:t>
            </w:r>
          </w:p>
        </w:tc>
        <w:tc>
          <w:tcPr>
            <w:tcW w:w="640" w:type="dxa"/>
            <w:tcBorders>
              <w:top w:val="nil"/>
              <w:left w:val="nil"/>
              <w:bottom w:val="single" w:sz="4" w:space="0" w:color="auto"/>
              <w:right w:val="single" w:sz="4" w:space="0" w:color="auto"/>
            </w:tcBorders>
            <w:shd w:val="clear" w:color="auto" w:fill="auto"/>
            <w:noWrap/>
            <w:vAlign w:val="center"/>
          </w:tcPr>
          <w:p w14:paraId="1A18DEB4" w14:textId="77777777" w:rsidR="0032121E" w:rsidRPr="005B56A0" w:rsidRDefault="005924D7" w:rsidP="005B56A0">
            <w:pPr>
              <w:jc w:val="center"/>
              <w:rPr>
                <w:rFonts w:ascii="Segoe UI" w:hAnsi="Segoe UI" w:cs="Segoe UI"/>
                <w:sz w:val="15"/>
                <w:szCs w:val="15"/>
              </w:rPr>
            </w:pPr>
            <w:r>
              <w:rPr>
                <w:rFonts w:ascii="Segoe UI" w:hAnsi="Segoe UI" w:cs="Segoe UI"/>
                <w:sz w:val="15"/>
                <w:szCs w:val="15"/>
              </w:rPr>
              <w:t>43,12</w:t>
            </w:r>
          </w:p>
        </w:tc>
        <w:tc>
          <w:tcPr>
            <w:tcW w:w="1411" w:type="dxa"/>
            <w:tcBorders>
              <w:top w:val="nil"/>
              <w:left w:val="nil"/>
              <w:bottom w:val="single" w:sz="4" w:space="0" w:color="auto"/>
              <w:right w:val="single" w:sz="4" w:space="0" w:color="auto"/>
            </w:tcBorders>
            <w:shd w:val="clear" w:color="auto" w:fill="FF0000"/>
            <w:noWrap/>
            <w:vAlign w:val="center"/>
          </w:tcPr>
          <w:p w14:paraId="1A18DEB5" w14:textId="77777777" w:rsidR="0032121E" w:rsidRPr="005924D7" w:rsidRDefault="0032121E" w:rsidP="005B56A0">
            <w:pPr>
              <w:jc w:val="center"/>
              <w:rPr>
                <w:rFonts w:ascii="Segoe UI" w:hAnsi="Segoe UI" w:cs="Segoe UI"/>
                <w:sz w:val="15"/>
                <w:szCs w:val="15"/>
              </w:rPr>
            </w:pPr>
          </w:p>
        </w:tc>
      </w:tr>
      <w:tr w:rsidR="0032121E" w:rsidRPr="005B56A0" w14:paraId="1A18DEBF" w14:textId="77777777" w:rsidTr="00C365EB">
        <w:trPr>
          <w:trHeight w:val="236"/>
        </w:trPr>
        <w:tc>
          <w:tcPr>
            <w:tcW w:w="1413" w:type="dxa"/>
            <w:gridSpan w:val="3"/>
            <w:vMerge/>
            <w:tcBorders>
              <w:left w:val="single" w:sz="4" w:space="0" w:color="auto"/>
              <w:right w:val="single" w:sz="4" w:space="0" w:color="auto"/>
            </w:tcBorders>
            <w:vAlign w:val="center"/>
          </w:tcPr>
          <w:p w14:paraId="1A18DEB7" w14:textId="77777777" w:rsidR="0032121E" w:rsidRPr="005B56A0" w:rsidRDefault="0032121E" w:rsidP="005B56A0">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EB8" w14:textId="77777777" w:rsidR="0032121E" w:rsidRPr="005B56A0" w:rsidRDefault="0032121E" w:rsidP="005B56A0">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EB9" w14:textId="77777777" w:rsidR="0032121E" w:rsidRPr="005B56A0" w:rsidRDefault="005924D7" w:rsidP="005B56A0">
            <w:pPr>
              <w:jc w:val="center"/>
              <w:rPr>
                <w:rFonts w:ascii="Segoe UI" w:hAnsi="Segoe UI" w:cs="Segoe UI"/>
                <w:sz w:val="15"/>
                <w:szCs w:val="15"/>
              </w:rPr>
            </w:pPr>
            <w:r w:rsidRPr="005B56A0">
              <w:rPr>
                <w:rFonts w:ascii="Segoe UI" w:hAnsi="Segoe UI" w:cs="Segoe UI"/>
                <w:sz w:val="15"/>
                <w:szCs w:val="15"/>
              </w:rPr>
              <w:t>Benzo(a)antracen uPM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BA" w14:textId="77777777" w:rsidR="0032121E" w:rsidRPr="005B56A0" w:rsidRDefault="00973139" w:rsidP="005B56A0">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BB" w14:textId="77777777" w:rsidR="0032121E" w:rsidRPr="005B56A0" w:rsidRDefault="00973139" w:rsidP="005B56A0">
            <w:pPr>
              <w:jc w:val="center"/>
              <w:rPr>
                <w:rFonts w:ascii="Segoe UI" w:hAnsi="Segoe UI" w:cs="Segoe UI"/>
                <w:sz w:val="15"/>
                <w:szCs w:val="15"/>
              </w:rPr>
            </w:pPr>
            <w:r>
              <w:rPr>
                <w:rFonts w:ascii="Segoe UI" w:hAnsi="Segoe UI" w:cs="Segoe UI"/>
                <w:sz w:val="15"/>
                <w:szCs w:val="15"/>
              </w:rPr>
              <w:t>2,270</w:t>
            </w:r>
          </w:p>
        </w:tc>
        <w:tc>
          <w:tcPr>
            <w:tcW w:w="1061" w:type="dxa"/>
            <w:gridSpan w:val="2"/>
            <w:tcBorders>
              <w:top w:val="nil"/>
              <w:left w:val="nil"/>
              <w:bottom w:val="single" w:sz="4" w:space="0" w:color="auto"/>
              <w:right w:val="single" w:sz="4" w:space="0" w:color="auto"/>
            </w:tcBorders>
            <w:shd w:val="clear" w:color="auto" w:fill="auto"/>
            <w:vAlign w:val="center"/>
          </w:tcPr>
          <w:p w14:paraId="1A18DEBC" w14:textId="77777777" w:rsidR="0032121E" w:rsidRPr="005B56A0" w:rsidRDefault="00973139" w:rsidP="005B56A0">
            <w:pPr>
              <w:jc w:val="center"/>
              <w:rPr>
                <w:rFonts w:ascii="Segoe UI" w:hAnsi="Segoe UI" w:cs="Segoe UI"/>
                <w:sz w:val="15"/>
                <w:szCs w:val="15"/>
              </w:rPr>
            </w:pPr>
            <w:r>
              <w:rPr>
                <w:rFonts w:ascii="Segoe UI" w:hAnsi="Segoe UI" w:cs="Segoe UI"/>
                <w:sz w:val="15"/>
                <w:szCs w:val="15"/>
              </w:rPr>
              <w:t>2,2</w:t>
            </w:r>
          </w:p>
        </w:tc>
        <w:tc>
          <w:tcPr>
            <w:tcW w:w="640" w:type="dxa"/>
            <w:tcBorders>
              <w:top w:val="nil"/>
              <w:left w:val="nil"/>
              <w:bottom w:val="single" w:sz="4" w:space="0" w:color="auto"/>
              <w:right w:val="single" w:sz="4" w:space="0" w:color="auto"/>
            </w:tcBorders>
            <w:shd w:val="clear" w:color="auto" w:fill="auto"/>
            <w:noWrap/>
            <w:vAlign w:val="center"/>
          </w:tcPr>
          <w:p w14:paraId="1A18DEBD" w14:textId="77777777" w:rsidR="0032121E" w:rsidRPr="005B56A0" w:rsidRDefault="00973139" w:rsidP="005B56A0">
            <w:pPr>
              <w:jc w:val="center"/>
              <w:rPr>
                <w:rFonts w:ascii="Segoe UI" w:hAnsi="Segoe UI" w:cs="Segoe UI"/>
                <w:sz w:val="15"/>
                <w:szCs w:val="15"/>
              </w:rPr>
            </w:pPr>
            <w:r>
              <w:rPr>
                <w:rFonts w:ascii="Segoe UI" w:hAnsi="Segoe UI" w:cs="Segoe UI"/>
                <w:sz w:val="15"/>
                <w:szCs w:val="15"/>
              </w:rPr>
              <w:t>16,56</w:t>
            </w:r>
          </w:p>
        </w:tc>
        <w:tc>
          <w:tcPr>
            <w:tcW w:w="1411" w:type="dxa"/>
            <w:tcBorders>
              <w:top w:val="nil"/>
              <w:left w:val="nil"/>
              <w:bottom w:val="single" w:sz="4" w:space="0" w:color="auto"/>
              <w:right w:val="single" w:sz="4" w:space="0" w:color="auto"/>
            </w:tcBorders>
            <w:shd w:val="clear" w:color="auto" w:fill="auto"/>
            <w:noWrap/>
            <w:vAlign w:val="center"/>
          </w:tcPr>
          <w:p w14:paraId="1A18DEBE" w14:textId="77777777" w:rsidR="0032121E" w:rsidRPr="005B56A0" w:rsidRDefault="00973139" w:rsidP="005B56A0">
            <w:pPr>
              <w:jc w:val="center"/>
              <w:rPr>
                <w:rFonts w:ascii="Segoe UI" w:hAnsi="Segoe UI" w:cs="Segoe UI"/>
                <w:sz w:val="15"/>
                <w:szCs w:val="15"/>
              </w:rPr>
            </w:pPr>
            <w:r>
              <w:rPr>
                <w:rFonts w:ascii="Segoe UI" w:hAnsi="Segoe UI" w:cs="Segoe UI"/>
                <w:sz w:val="15"/>
                <w:szCs w:val="15"/>
              </w:rPr>
              <w:t>NP</w:t>
            </w:r>
          </w:p>
        </w:tc>
      </w:tr>
      <w:tr w:rsidR="005924D7" w:rsidRPr="005B56A0" w14:paraId="1A18DEC8" w14:textId="77777777" w:rsidTr="00C365EB">
        <w:trPr>
          <w:trHeight w:val="236"/>
        </w:trPr>
        <w:tc>
          <w:tcPr>
            <w:tcW w:w="1413" w:type="dxa"/>
            <w:gridSpan w:val="3"/>
            <w:vMerge/>
            <w:tcBorders>
              <w:left w:val="single" w:sz="4" w:space="0" w:color="auto"/>
              <w:right w:val="single" w:sz="4" w:space="0" w:color="auto"/>
            </w:tcBorders>
            <w:vAlign w:val="center"/>
          </w:tcPr>
          <w:p w14:paraId="1A18DEC0" w14:textId="77777777" w:rsidR="005924D7" w:rsidRPr="005B56A0" w:rsidRDefault="005924D7" w:rsidP="005924D7">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EC1" w14:textId="77777777" w:rsidR="005924D7" w:rsidRPr="005B56A0" w:rsidRDefault="005924D7" w:rsidP="005924D7">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EC2" w14:textId="77777777" w:rsidR="005924D7" w:rsidRPr="005B56A0" w:rsidRDefault="005924D7" w:rsidP="005924D7">
            <w:pPr>
              <w:jc w:val="center"/>
              <w:rPr>
                <w:rFonts w:ascii="Segoe UI" w:hAnsi="Segoe UI" w:cs="Segoe UI"/>
                <w:sz w:val="15"/>
                <w:szCs w:val="15"/>
              </w:rPr>
            </w:pPr>
            <w:r w:rsidRPr="005B56A0">
              <w:rPr>
                <w:rFonts w:ascii="Segoe UI" w:hAnsi="Segoe UI" w:cs="Segoe UI"/>
                <w:color w:val="000000"/>
                <w:sz w:val="15"/>
                <w:szCs w:val="15"/>
              </w:rPr>
              <w:t>Benzo(b)fluoranten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C3" w14:textId="77777777" w:rsidR="005924D7" w:rsidRPr="005B56A0" w:rsidRDefault="00973139" w:rsidP="005924D7">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C4" w14:textId="77777777" w:rsidR="005924D7" w:rsidRPr="005B56A0" w:rsidRDefault="00973139" w:rsidP="005924D7">
            <w:pPr>
              <w:jc w:val="center"/>
              <w:rPr>
                <w:rFonts w:ascii="Segoe UI" w:hAnsi="Segoe UI" w:cs="Segoe UI"/>
                <w:sz w:val="15"/>
                <w:szCs w:val="15"/>
              </w:rPr>
            </w:pPr>
            <w:r>
              <w:rPr>
                <w:rFonts w:ascii="Segoe UI" w:hAnsi="Segoe UI" w:cs="Segoe UI"/>
                <w:sz w:val="15"/>
                <w:szCs w:val="15"/>
              </w:rPr>
              <w:t>4,181</w:t>
            </w:r>
          </w:p>
        </w:tc>
        <w:tc>
          <w:tcPr>
            <w:tcW w:w="1061" w:type="dxa"/>
            <w:gridSpan w:val="2"/>
            <w:tcBorders>
              <w:top w:val="nil"/>
              <w:left w:val="nil"/>
              <w:bottom w:val="single" w:sz="4" w:space="0" w:color="auto"/>
              <w:right w:val="single" w:sz="4" w:space="0" w:color="auto"/>
            </w:tcBorders>
            <w:shd w:val="clear" w:color="auto" w:fill="auto"/>
            <w:vAlign w:val="center"/>
          </w:tcPr>
          <w:p w14:paraId="1A18DEC5" w14:textId="77777777" w:rsidR="005924D7" w:rsidRPr="005B56A0" w:rsidRDefault="00973139" w:rsidP="005924D7">
            <w:pPr>
              <w:jc w:val="center"/>
              <w:rPr>
                <w:rFonts w:ascii="Segoe UI" w:hAnsi="Segoe UI" w:cs="Segoe UI"/>
                <w:sz w:val="15"/>
                <w:szCs w:val="15"/>
              </w:rPr>
            </w:pPr>
            <w:r>
              <w:rPr>
                <w:rFonts w:ascii="Segoe UI" w:hAnsi="Segoe UI" w:cs="Segoe UI"/>
                <w:sz w:val="15"/>
                <w:szCs w:val="15"/>
              </w:rPr>
              <w:t>4,2</w:t>
            </w:r>
          </w:p>
        </w:tc>
        <w:tc>
          <w:tcPr>
            <w:tcW w:w="640" w:type="dxa"/>
            <w:tcBorders>
              <w:top w:val="nil"/>
              <w:left w:val="nil"/>
              <w:bottom w:val="single" w:sz="4" w:space="0" w:color="auto"/>
              <w:right w:val="single" w:sz="4" w:space="0" w:color="auto"/>
            </w:tcBorders>
            <w:shd w:val="clear" w:color="auto" w:fill="auto"/>
            <w:noWrap/>
            <w:vAlign w:val="center"/>
          </w:tcPr>
          <w:p w14:paraId="1A18DEC6" w14:textId="77777777" w:rsidR="005924D7" w:rsidRPr="005B56A0" w:rsidRDefault="00973139" w:rsidP="005924D7">
            <w:pPr>
              <w:jc w:val="center"/>
              <w:rPr>
                <w:rFonts w:ascii="Segoe UI" w:hAnsi="Segoe UI" w:cs="Segoe UI"/>
                <w:sz w:val="15"/>
                <w:szCs w:val="15"/>
              </w:rPr>
            </w:pPr>
            <w:r>
              <w:rPr>
                <w:rFonts w:ascii="Segoe UI" w:hAnsi="Segoe UI" w:cs="Segoe UI"/>
                <w:sz w:val="15"/>
                <w:szCs w:val="15"/>
              </w:rPr>
              <w:t>45,21</w:t>
            </w:r>
          </w:p>
        </w:tc>
        <w:tc>
          <w:tcPr>
            <w:tcW w:w="1411" w:type="dxa"/>
            <w:tcBorders>
              <w:top w:val="nil"/>
              <w:left w:val="nil"/>
              <w:bottom w:val="single" w:sz="4" w:space="0" w:color="auto"/>
              <w:right w:val="single" w:sz="4" w:space="0" w:color="auto"/>
            </w:tcBorders>
            <w:shd w:val="clear" w:color="auto" w:fill="auto"/>
            <w:noWrap/>
            <w:vAlign w:val="center"/>
          </w:tcPr>
          <w:p w14:paraId="1A18DEC7" w14:textId="77777777" w:rsidR="005924D7" w:rsidRPr="005B56A0" w:rsidRDefault="00973139" w:rsidP="005924D7">
            <w:pPr>
              <w:jc w:val="center"/>
              <w:rPr>
                <w:rFonts w:ascii="Segoe UI" w:hAnsi="Segoe UI" w:cs="Segoe UI"/>
                <w:sz w:val="15"/>
                <w:szCs w:val="15"/>
              </w:rPr>
            </w:pPr>
            <w:r>
              <w:rPr>
                <w:rFonts w:ascii="Segoe UI" w:hAnsi="Segoe UI" w:cs="Segoe UI"/>
                <w:sz w:val="15"/>
                <w:szCs w:val="15"/>
              </w:rPr>
              <w:t>NP</w:t>
            </w:r>
          </w:p>
        </w:tc>
      </w:tr>
      <w:tr w:rsidR="005924D7" w:rsidRPr="005B56A0" w14:paraId="1A18DED1" w14:textId="77777777" w:rsidTr="00C365EB">
        <w:trPr>
          <w:trHeight w:val="236"/>
        </w:trPr>
        <w:tc>
          <w:tcPr>
            <w:tcW w:w="1413" w:type="dxa"/>
            <w:gridSpan w:val="3"/>
            <w:vMerge/>
            <w:tcBorders>
              <w:left w:val="single" w:sz="4" w:space="0" w:color="auto"/>
              <w:right w:val="single" w:sz="4" w:space="0" w:color="auto"/>
            </w:tcBorders>
            <w:vAlign w:val="center"/>
          </w:tcPr>
          <w:p w14:paraId="1A18DEC9" w14:textId="77777777" w:rsidR="005924D7" w:rsidRPr="005B56A0" w:rsidRDefault="005924D7" w:rsidP="005924D7">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ECA" w14:textId="77777777" w:rsidR="005924D7" w:rsidRPr="005B56A0" w:rsidRDefault="005924D7" w:rsidP="005924D7">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ECB" w14:textId="77777777" w:rsidR="005924D7" w:rsidRPr="005B56A0" w:rsidRDefault="005924D7" w:rsidP="005924D7">
            <w:pPr>
              <w:jc w:val="center"/>
              <w:rPr>
                <w:rFonts w:ascii="Segoe UI" w:hAnsi="Segoe UI" w:cs="Segoe UI"/>
                <w:sz w:val="15"/>
                <w:szCs w:val="15"/>
              </w:rPr>
            </w:pPr>
            <w:r w:rsidRPr="005B56A0">
              <w:rPr>
                <w:rFonts w:ascii="Segoe UI" w:hAnsi="Segoe UI" w:cs="Segoe UI"/>
                <w:color w:val="000000"/>
                <w:sz w:val="15"/>
                <w:szCs w:val="15"/>
              </w:rPr>
              <w:t>Benzo(j)fluoranten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CC"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CD"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2,053</w:t>
            </w:r>
          </w:p>
        </w:tc>
        <w:tc>
          <w:tcPr>
            <w:tcW w:w="1061" w:type="dxa"/>
            <w:gridSpan w:val="2"/>
            <w:tcBorders>
              <w:top w:val="nil"/>
              <w:left w:val="nil"/>
              <w:bottom w:val="single" w:sz="4" w:space="0" w:color="auto"/>
              <w:right w:val="single" w:sz="4" w:space="0" w:color="auto"/>
            </w:tcBorders>
            <w:shd w:val="clear" w:color="auto" w:fill="auto"/>
            <w:vAlign w:val="center"/>
          </w:tcPr>
          <w:p w14:paraId="1A18DECE"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2,1</w:t>
            </w:r>
          </w:p>
        </w:tc>
        <w:tc>
          <w:tcPr>
            <w:tcW w:w="640" w:type="dxa"/>
            <w:tcBorders>
              <w:top w:val="nil"/>
              <w:left w:val="nil"/>
              <w:bottom w:val="single" w:sz="4" w:space="0" w:color="auto"/>
              <w:right w:val="single" w:sz="4" w:space="0" w:color="auto"/>
            </w:tcBorders>
            <w:shd w:val="clear" w:color="auto" w:fill="auto"/>
            <w:noWrap/>
            <w:vAlign w:val="center"/>
          </w:tcPr>
          <w:p w14:paraId="1A18DECF"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28,11</w:t>
            </w:r>
          </w:p>
        </w:tc>
        <w:tc>
          <w:tcPr>
            <w:tcW w:w="1411" w:type="dxa"/>
            <w:tcBorders>
              <w:top w:val="nil"/>
              <w:left w:val="nil"/>
              <w:bottom w:val="single" w:sz="4" w:space="0" w:color="auto"/>
              <w:right w:val="single" w:sz="4" w:space="0" w:color="auto"/>
            </w:tcBorders>
            <w:shd w:val="clear" w:color="auto" w:fill="auto"/>
            <w:noWrap/>
            <w:vAlign w:val="center"/>
          </w:tcPr>
          <w:p w14:paraId="1A18DED0"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NP</w:t>
            </w:r>
          </w:p>
        </w:tc>
      </w:tr>
      <w:tr w:rsidR="005924D7" w:rsidRPr="005B56A0" w14:paraId="1A18DEDA" w14:textId="77777777" w:rsidTr="00C365EB">
        <w:trPr>
          <w:trHeight w:val="236"/>
        </w:trPr>
        <w:tc>
          <w:tcPr>
            <w:tcW w:w="1413" w:type="dxa"/>
            <w:gridSpan w:val="3"/>
            <w:vMerge/>
            <w:tcBorders>
              <w:left w:val="single" w:sz="4" w:space="0" w:color="auto"/>
              <w:right w:val="single" w:sz="4" w:space="0" w:color="auto"/>
            </w:tcBorders>
            <w:vAlign w:val="center"/>
          </w:tcPr>
          <w:p w14:paraId="1A18DED2" w14:textId="77777777" w:rsidR="005924D7" w:rsidRPr="005B56A0" w:rsidRDefault="005924D7" w:rsidP="005924D7">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ED3" w14:textId="77777777" w:rsidR="005924D7" w:rsidRPr="005B56A0" w:rsidRDefault="005924D7" w:rsidP="005924D7">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ED4" w14:textId="77777777" w:rsidR="005924D7" w:rsidRPr="005B56A0" w:rsidRDefault="005924D7" w:rsidP="005924D7">
            <w:pPr>
              <w:jc w:val="center"/>
              <w:rPr>
                <w:rFonts w:ascii="Segoe UI" w:hAnsi="Segoe UI" w:cs="Segoe UI"/>
                <w:sz w:val="15"/>
                <w:szCs w:val="15"/>
              </w:rPr>
            </w:pPr>
            <w:r w:rsidRPr="005B56A0">
              <w:rPr>
                <w:rFonts w:ascii="Segoe UI" w:hAnsi="Segoe UI" w:cs="Segoe UI"/>
                <w:color w:val="000000"/>
                <w:sz w:val="15"/>
                <w:szCs w:val="15"/>
              </w:rPr>
              <w:t>Benzo(k)fluoranten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D5"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D6"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1,579</w:t>
            </w:r>
          </w:p>
        </w:tc>
        <w:tc>
          <w:tcPr>
            <w:tcW w:w="1061" w:type="dxa"/>
            <w:gridSpan w:val="2"/>
            <w:tcBorders>
              <w:top w:val="nil"/>
              <w:left w:val="nil"/>
              <w:bottom w:val="single" w:sz="4" w:space="0" w:color="auto"/>
              <w:right w:val="single" w:sz="4" w:space="0" w:color="auto"/>
            </w:tcBorders>
            <w:shd w:val="clear" w:color="auto" w:fill="auto"/>
            <w:vAlign w:val="center"/>
          </w:tcPr>
          <w:p w14:paraId="1A18DED7"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1,6</w:t>
            </w:r>
          </w:p>
        </w:tc>
        <w:tc>
          <w:tcPr>
            <w:tcW w:w="640" w:type="dxa"/>
            <w:tcBorders>
              <w:top w:val="nil"/>
              <w:left w:val="nil"/>
              <w:bottom w:val="single" w:sz="4" w:space="0" w:color="auto"/>
              <w:right w:val="single" w:sz="4" w:space="0" w:color="auto"/>
            </w:tcBorders>
            <w:shd w:val="clear" w:color="auto" w:fill="auto"/>
            <w:noWrap/>
            <w:vAlign w:val="center"/>
          </w:tcPr>
          <w:p w14:paraId="1A18DED8"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17,17</w:t>
            </w:r>
          </w:p>
        </w:tc>
        <w:tc>
          <w:tcPr>
            <w:tcW w:w="1411" w:type="dxa"/>
            <w:tcBorders>
              <w:top w:val="nil"/>
              <w:left w:val="nil"/>
              <w:bottom w:val="single" w:sz="4" w:space="0" w:color="auto"/>
              <w:right w:val="single" w:sz="4" w:space="0" w:color="auto"/>
            </w:tcBorders>
            <w:shd w:val="clear" w:color="auto" w:fill="auto"/>
            <w:noWrap/>
            <w:vAlign w:val="center"/>
          </w:tcPr>
          <w:p w14:paraId="1A18DED9"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NP</w:t>
            </w:r>
          </w:p>
        </w:tc>
      </w:tr>
      <w:tr w:rsidR="005924D7" w:rsidRPr="005B56A0" w14:paraId="1A18DEE3" w14:textId="77777777" w:rsidTr="00C365EB">
        <w:trPr>
          <w:trHeight w:val="236"/>
        </w:trPr>
        <w:tc>
          <w:tcPr>
            <w:tcW w:w="1413" w:type="dxa"/>
            <w:gridSpan w:val="3"/>
            <w:vMerge/>
            <w:tcBorders>
              <w:left w:val="single" w:sz="4" w:space="0" w:color="auto"/>
              <w:right w:val="single" w:sz="4" w:space="0" w:color="auto"/>
            </w:tcBorders>
            <w:vAlign w:val="center"/>
          </w:tcPr>
          <w:p w14:paraId="1A18DEDB" w14:textId="77777777" w:rsidR="005924D7" w:rsidRPr="005B56A0" w:rsidRDefault="005924D7" w:rsidP="005924D7">
            <w:pPr>
              <w:rPr>
                <w:rFonts w:ascii="Segoe UI" w:hAnsi="Segoe UI" w:cs="Segoe UI"/>
                <w:color w:val="000000"/>
                <w:sz w:val="15"/>
                <w:szCs w:val="15"/>
              </w:rPr>
            </w:pPr>
          </w:p>
        </w:tc>
        <w:tc>
          <w:tcPr>
            <w:tcW w:w="1417" w:type="dxa"/>
            <w:vMerge/>
            <w:tcBorders>
              <w:left w:val="single" w:sz="4" w:space="0" w:color="auto"/>
              <w:right w:val="single" w:sz="4" w:space="0" w:color="auto"/>
            </w:tcBorders>
            <w:vAlign w:val="center"/>
          </w:tcPr>
          <w:p w14:paraId="1A18DEDC" w14:textId="77777777" w:rsidR="005924D7" w:rsidRPr="005B56A0" w:rsidRDefault="005924D7" w:rsidP="005924D7">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EDD" w14:textId="77777777" w:rsidR="005924D7" w:rsidRPr="005B56A0" w:rsidRDefault="005924D7" w:rsidP="005924D7">
            <w:pPr>
              <w:jc w:val="center"/>
              <w:rPr>
                <w:rFonts w:ascii="Segoe UI" w:hAnsi="Segoe UI" w:cs="Segoe UI"/>
                <w:sz w:val="15"/>
                <w:szCs w:val="15"/>
              </w:rPr>
            </w:pPr>
            <w:r w:rsidRPr="005B56A0">
              <w:rPr>
                <w:rFonts w:ascii="Segoe UI" w:hAnsi="Segoe UI" w:cs="Segoe UI"/>
                <w:color w:val="000000"/>
                <w:sz w:val="15"/>
                <w:szCs w:val="15"/>
              </w:rPr>
              <w:t>Indeno(1,2,3,-cd)piren u PM</w:t>
            </w:r>
            <w:r w:rsidRPr="005B56A0">
              <w:rPr>
                <w:rFonts w:ascii="Segoe UI" w:hAnsi="Segoe UI" w:cs="Segoe UI"/>
                <w:color w:val="000000"/>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DE"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DF"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3,554</w:t>
            </w:r>
          </w:p>
        </w:tc>
        <w:tc>
          <w:tcPr>
            <w:tcW w:w="1061" w:type="dxa"/>
            <w:gridSpan w:val="2"/>
            <w:tcBorders>
              <w:top w:val="nil"/>
              <w:left w:val="nil"/>
              <w:bottom w:val="single" w:sz="4" w:space="0" w:color="auto"/>
              <w:right w:val="single" w:sz="4" w:space="0" w:color="auto"/>
            </w:tcBorders>
            <w:shd w:val="clear" w:color="auto" w:fill="auto"/>
            <w:vAlign w:val="center"/>
          </w:tcPr>
          <w:p w14:paraId="1A18DEE0"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3,6</w:t>
            </w:r>
          </w:p>
        </w:tc>
        <w:tc>
          <w:tcPr>
            <w:tcW w:w="640" w:type="dxa"/>
            <w:tcBorders>
              <w:top w:val="nil"/>
              <w:left w:val="nil"/>
              <w:bottom w:val="single" w:sz="4" w:space="0" w:color="auto"/>
              <w:right w:val="single" w:sz="4" w:space="0" w:color="auto"/>
            </w:tcBorders>
            <w:shd w:val="clear" w:color="auto" w:fill="auto"/>
            <w:noWrap/>
            <w:vAlign w:val="center"/>
          </w:tcPr>
          <w:p w14:paraId="1A18DEE1"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39,46</w:t>
            </w:r>
          </w:p>
        </w:tc>
        <w:tc>
          <w:tcPr>
            <w:tcW w:w="1411" w:type="dxa"/>
            <w:tcBorders>
              <w:top w:val="nil"/>
              <w:left w:val="nil"/>
              <w:bottom w:val="single" w:sz="4" w:space="0" w:color="auto"/>
              <w:right w:val="single" w:sz="4" w:space="0" w:color="auto"/>
            </w:tcBorders>
            <w:shd w:val="clear" w:color="auto" w:fill="auto"/>
            <w:noWrap/>
            <w:vAlign w:val="center"/>
          </w:tcPr>
          <w:p w14:paraId="1A18DEE2" w14:textId="77777777" w:rsidR="005924D7" w:rsidRPr="005B56A0" w:rsidRDefault="003D4DDD" w:rsidP="005924D7">
            <w:pPr>
              <w:jc w:val="center"/>
              <w:rPr>
                <w:rFonts w:ascii="Segoe UI" w:hAnsi="Segoe UI" w:cs="Segoe UI"/>
                <w:sz w:val="15"/>
                <w:szCs w:val="15"/>
              </w:rPr>
            </w:pPr>
            <w:r>
              <w:rPr>
                <w:rFonts w:ascii="Segoe UI" w:hAnsi="Segoe UI" w:cs="Segoe UI"/>
                <w:sz w:val="15"/>
                <w:szCs w:val="15"/>
              </w:rPr>
              <w:t>NP</w:t>
            </w:r>
          </w:p>
        </w:tc>
      </w:tr>
      <w:tr w:rsidR="005924D7" w:rsidRPr="005B56A0" w14:paraId="1A18DEEC" w14:textId="77777777" w:rsidTr="00C365EB">
        <w:trPr>
          <w:trHeight w:val="236"/>
        </w:trPr>
        <w:tc>
          <w:tcPr>
            <w:tcW w:w="1413" w:type="dxa"/>
            <w:gridSpan w:val="3"/>
            <w:vMerge/>
            <w:tcBorders>
              <w:left w:val="single" w:sz="4" w:space="0" w:color="auto"/>
              <w:bottom w:val="single" w:sz="4" w:space="0" w:color="auto"/>
              <w:right w:val="single" w:sz="4" w:space="0" w:color="auto"/>
            </w:tcBorders>
            <w:vAlign w:val="center"/>
          </w:tcPr>
          <w:p w14:paraId="1A18DEE4" w14:textId="77777777" w:rsidR="005924D7" w:rsidRPr="005B56A0" w:rsidRDefault="005924D7" w:rsidP="005924D7">
            <w:pPr>
              <w:rPr>
                <w:rFonts w:ascii="Segoe UI" w:hAnsi="Segoe UI" w:cs="Segoe UI"/>
                <w:color w:val="000000"/>
                <w:sz w:val="15"/>
                <w:szCs w:val="15"/>
              </w:rPr>
            </w:pPr>
          </w:p>
        </w:tc>
        <w:tc>
          <w:tcPr>
            <w:tcW w:w="1417" w:type="dxa"/>
            <w:vMerge/>
            <w:tcBorders>
              <w:left w:val="single" w:sz="4" w:space="0" w:color="auto"/>
              <w:bottom w:val="single" w:sz="4" w:space="0" w:color="auto"/>
              <w:right w:val="single" w:sz="4" w:space="0" w:color="auto"/>
            </w:tcBorders>
            <w:vAlign w:val="center"/>
          </w:tcPr>
          <w:p w14:paraId="1A18DEE5" w14:textId="77777777" w:rsidR="005924D7" w:rsidRPr="005B56A0" w:rsidRDefault="005924D7" w:rsidP="005924D7">
            <w:pPr>
              <w:rPr>
                <w:rFonts w:ascii="Segoe UI" w:hAnsi="Segoe UI" w:cs="Segoe UI"/>
                <w:color w:val="000000"/>
                <w:sz w:val="15"/>
                <w:szCs w:val="15"/>
              </w:rPr>
            </w:pPr>
          </w:p>
        </w:tc>
        <w:tc>
          <w:tcPr>
            <w:tcW w:w="1479" w:type="dxa"/>
            <w:tcBorders>
              <w:top w:val="nil"/>
              <w:left w:val="nil"/>
              <w:bottom w:val="single" w:sz="4" w:space="0" w:color="auto"/>
              <w:right w:val="single" w:sz="4" w:space="0" w:color="auto"/>
            </w:tcBorders>
            <w:shd w:val="clear" w:color="auto" w:fill="auto"/>
            <w:vAlign w:val="center"/>
          </w:tcPr>
          <w:p w14:paraId="1A18DEE6" w14:textId="77777777" w:rsidR="005924D7" w:rsidRPr="005B56A0" w:rsidRDefault="005924D7" w:rsidP="005924D7">
            <w:pPr>
              <w:jc w:val="center"/>
              <w:rPr>
                <w:rFonts w:ascii="Segoe UI" w:hAnsi="Segoe UI" w:cs="Segoe UI"/>
                <w:sz w:val="15"/>
                <w:szCs w:val="15"/>
              </w:rPr>
            </w:pPr>
            <w:r w:rsidRPr="005B56A0">
              <w:rPr>
                <w:rFonts w:ascii="Segoe UI" w:hAnsi="Segoe UI" w:cs="Segoe UI"/>
                <w:sz w:val="15"/>
                <w:szCs w:val="15"/>
              </w:rPr>
              <w:t>Dibenzo(a,h)antracen u PM</w:t>
            </w:r>
            <w:r w:rsidRPr="005B56A0">
              <w:rPr>
                <w:rFonts w:ascii="Segoe UI" w:hAnsi="Segoe UI" w:cs="Segoe UI"/>
                <w:sz w:val="15"/>
                <w:szCs w:val="15"/>
                <w:vertAlign w:val="subscript"/>
              </w:rPr>
              <w:t>10</w:t>
            </w:r>
          </w:p>
        </w:tc>
        <w:tc>
          <w:tcPr>
            <w:tcW w:w="648" w:type="dxa"/>
            <w:tcBorders>
              <w:top w:val="nil"/>
              <w:left w:val="nil"/>
              <w:bottom w:val="single" w:sz="4" w:space="0" w:color="auto"/>
              <w:right w:val="single" w:sz="4" w:space="0" w:color="auto"/>
            </w:tcBorders>
            <w:shd w:val="clear" w:color="auto" w:fill="auto"/>
            <w:vAlign w:val="center"/>
          </w:tcPr>
          <w:p w14:paraId="1A18DEE7" w14:textId="77777777" w:rsidR="005924D7" w:rsidRPr="005B56A0" w:rsidRDefault="000253EF" w:rsidP="005924D7">
            <w:pPr>
              <w:jc w:val="center"/>
              <w:rPr>
                <w:rFonts w:ascii="Segoe UI" w:hAnsi="Segoe UI" w:cs="Segoe UI"/>
                <w:sz w:val="15"/>
                <w:szCs w:val="15"/>
              </w:rPr>
            </w:pPr>
            <w:r>
              <w:rPr>
                <w:rFonts w:ascii="Segoe UI" w:hAnsi="Segoe UI" w:cs="Segoe UI"/>
                <w:sz w:val="15"/>
                <w:szCs w:val="15"/>
              </w:rPr>
              <w:t>97,8</w:t>
            </w:r>
          </w:p>
        </w:tc>
        <w:tc>
          <w:tcPr>
            <w:tcW w:w="1559" w:type="dxa"/>
            <w:tcBorders>
              <w:top w:val="nil"/>
              <w:left w:val="nil"/>
              <w:bottom w:val="single" w:sz="4" w:space="0" w:color="auto"/>
              <w:right w:val="single" w:sz="4" w:space="0" w:color="auto"/>
            </w:tcBorders>
            <w:shd w:val="clear" w:color="auto" w:fill="auto"/>
            <w:vAlign w:val="center"/>
          </w:tcPr>
          <w:p w14:paraId="1A18DEE8" w14:textId="77777777" w:rsidR="005924D7" w:rsidRPr="005B56A0" w:rsidRDefault="000253EF" w:rsidP="005924D7">
            <w:pPr>
              <w:jc w:val="center"/>
              <w:rPr>
                <w:rFonts w:ascii="Segoe UI" w:hAnsi="Segoe UI" w:cs="Segoe UI"/>
                <w:sz w:val="15"/>
                <w:szCs w:val="15"/>
              </w:rPr>
            </w:pPr>
            <w:r>
              <w:rPr>
                <w:rFonts w:ascii="Segoe UI" w:hAnsi="Segoe UI" w:cs="Segoe UI"/>
                <w:sz w:val="15"/>
                <w:szCs w:val="15"/>
              </w:rPr>
              <w:t>0,360</w:t>
            </w:r>
          </w:p>
        </w:tc>
        <w:tc>
          <w:tcPr>
            <w:tcW w:w="1061" w:type="dxa"/>
            <w:gridSpan w:val="2"/>
            <w:tcBorders>
              <w:top w:val="nil"/>
              <w:left w:val="nil"/>
              <w:bottom w:val="single" w:sz="4" w:space="0" w:color="auto"/>
              <w:right w:val="single" w:sz="4" w:space="0" w:color="auto"/>
            </w:tcBorders>
            <w:shd w:val="clear" w:color="auto" w:fill="auto"/>
            <w:vAlign w:val="center"/>
          </w:tcPr>
          <w:p w14:paraId="1A18DEE9" w14:textId="77777777" w:rsidR="005924D7" w:rsidRPr="005B56A0" w:rsidRDefault="000253EF" w:rsidP="005924D7">
            <w:pPr>
              <w:jc w:val="center"/>
              <w:rPr>
                <w:rFonts w:ascii="Segoe UI" w:hAnsi="Segoe UI" w:cs="Segoe UI"/>
                <w:sz w:val="15"/>
                <w:szCs w:val="15"/>
              </w:rPr>
            </w:pPr>
            <w:r>
              <w:rPr>
                <w:rFonts w:ascii="Segoe UI" w:hAnsi="Segoe UI" w:cs="Segoe UI"/>
                <w:sz w:val="15"/>
                <w:szCs w:val="15"/>
              </w:rPr>
              <w:t>0,4</w:t>
            </w:r>
          </w:p>
        </w:tc>
        <w:tc>
          <w:tcPr>
            <w:tcW w:w="640" w:type="dxa"/>
            <w:tcBorders>
              <w:top w:val="nil"/>
              <w:left w:val="nil"/>
              <w:bottom w:val="single" w:sz="4" w:space="0" w:color="auto"/>
              <w:right w:val="single" w:sz="4" w:space="0" w:color="auto"/>
            </w:tcBorders>
            <w:shd w:val="clear" w:color="auto" w:fill="auto"/>
            <w:noWrap/>
            <w:vAlign w:val="center"/>
          </w:tcPr>
          <w:p w14:paraId="1A18DEEA" w14:textId="77777777" w:rsidR="005924D7" w:rsidRPr="005B56A0" w:rsidRDefault="000253EF" w:rsidP="005924D7">
            <w:pPr>
              <w:jc w:val="center"/>
              <w:rPr>
                <w:rFonts w:ascii="Segoe UI" w:hAnsi="Segoe UI" w:cs="Segoe UI"/>
                <w:sz w:val="15"/>
                <w:szCs w:val="15"/>
              </w:rPr>
            </w:pPr>
            <w:r>
              <w:rPr>
                <w:rFonts w:ascii="Segoe UI" w:hAnsi="Segoe UI" w:cs="Segoe UI"/>
                <w:sz w:val="15"/>
                <w:szCs w:val="15"/>
              </w:rPr>
              <w:t>4,228</w:t>
            </w:r>
          </w:p>
        </w:tc>
        <w:tc>
          <w:tcPr>
            <w:tcW w:w="1411" w:type="dxa"/>
            <w:tcBorders>
              <w:top w:val="nil"/>
              <w:left w:val="nil"/>
              <w:bottom w:val="single" w:sz="4" w:space="0" w:color="auto"/>
              <w:right w:val="single" w:sz="4" w:space="0" w:color="auto"/>
            </w:tcBorders>
            <w:shd w:val="clear" w:color="auto" w:fill="auto"/>
            <w:noWrap/>
            <w:vAlign w:val="center"/>
          </w:tcPr>
          <w:p w14:paraId="1A18DEEB" w14:textId="77777777" w:rsidR="005924D7" w:rsidRPr="005B56A0" w:rsidRDefault="000253EF" w:rsidP="005924D7">
            <w:pPr>
              <w:jc w:val="center"/>
              <w:rPr>
                <w:rFonts w:ascii="Segoe UI" w:hAnsi="Segoe UI" w:cs="Segoe UI"/>
                <w:sz w:val="15"/>
                <w:szCs w:val="15"/>
              </w:rPr>
            </w:pPr>
            <w:r>
              <w:rPr>
                <w:rFonts w:ascii="Segoe UI" w:hAnsi="Segoe UI" w:cs="Segoe UI"/>
                <w:sz w:val="15"/>
                <w:szCs w:val="15"/>
              </w:rPr>
              <w:t>NP</w:t>
            </w:r>
          </w:p>
        </w:tc>
      </w:tr>
      <w:tr w:rsidR="005924D7" w:rsidRPr="005B56A0" w14:paraId="1A18DEF0"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EED" w14:textId="77777777" w:rsidR="005924D7" w:rsidRPr="005B56A0" w:rsidRDefault="005924D7" w:rsidP="005924D7">
            <w:pPr>
              <w:rPr>
                <w:sz w:val="15"/>
                <w:szCs w:val="15"/>
                <w:u w:val="single"/>
              </w:rPr>
            </w:pPr>
          </w:p>
          <w:p w14:paraId="1A18DEEE" w14:textId="77777777" w:rsidR="005924D7" w:rsidRPr="005B56A0" w:rsidRDefault="005924D7" w:rsidP="005924D7">
            <w:pPr>
              <w:rPr>
                <w:sz w:val="15"/>
                <w:szCs w:val="15"/>
                <w:u w:val="single"/>
              </w:rPr>
            </w:pPr>
            <w:r w:rsidRPr="005B56A0">
              <w:rPr>
                <w:sz w:val="15"/>
                <w:szCs w:val="15"/>
                <w:u w:val="single"/>
              </w:rPr>
              <w:t>Legenda:</w:t>
            </w:r>
          </w:p>
        </w:tc>
        <w:tc>
          <w:tcPr>
            <w:tcW w:w="5792" w:type="dxa"/>
            <w:gridSpan w:val="6"/>
            <w:tcBorders>
              <w:top w:val="nil"/>
              <w:left w:val="nil"/>
              <w:bottom w:val="nil"/>
              <w:right w:val="nil"/>
            </w:tcBorders>
            <w:shd w:val="clear" w:color="auto" w:fill="auto"/>
            <w:noWrap/>
            <w:vAlign w:val="bottom"/>
            <w:hideMark/>
          </w:tcPr>
          <w:p w14:paraId="1A18DEEF" w14:textId="77777777" w:rsidR="005924D7" w:rsidRPr="005B56A0" w:rsidRDefault="005924D7" w:rsidP="005924D7">
            <w:pPr>
              <w:rPr>
                <w:sz w:val="15"/>
                <w:szCs w:val="15"/>
              </w:rPr>
            </w:pPr>
          </w:p>
        </w:tc>
      </w:tr>
      <w:tr w:rsidR="005924D7" w:rsidRPr="005B56A0" w14:paraId="1A18DEF3"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center"/>
            <w:hideMark/>
          </w:tcPr>
          <w:p w14:paraId="1A18DEF1" w14:textId="77777777" w:rsidR="005924D7" w:rsidRPr="005B56A0" w:rsidRDefault="005924D7" w:rsidP="005924D7">
            <w:pPr>
              <w:rPr>
                <w:color w:val="0070C0"/>
                <w:sz w:val="15"/>
                <w:szCs w:val="15"/>
              </w:rPr>
            </w:pPr>
            <w:r w:rsidRPr="005B56A0">
              <w:rPr>
                <w:color w:val="0070C0"/>
                <w:sz w:val="15"/>
                <w:szCs w:val="15"/>
              </w:rPr>
              <w:t>Plavo</w:t>
            </w:r>
          </w:p>
        </w:tc>
        <w:tc>
          <w:tcPr>
            <w:tcW w:w="5792" w:type="dxa"/>
            <w:gridSpan w:val="6"/>
            <w:tcBorders>
              <w:top w:val="nil"/>
              <w:left w:val="nil"/>
              <w:bottom w:val="nil"/>
              <w:right w:val="nil"/>
            </w:tcBorders>
            <w:shd w:val="clear" w:color="auto" w:fill="auto"/>
            <w:noWrap/>
            <w:vAlign w:val="center"/>
            <w:hideMark/>
          </w:tcPr>
          <w:p w14:paraId="1A18DEF2" w14:textId="77777777" w:rsidR="005924D7" w:rsidRPr="005B56A0" w:rsidRDefault="005924D7" w:rsidP="005924D7">
            <w:pPr>
              <w:rPr>
                <w:color w:val="000000"/>
                <w:sz w:val="15"/>
                <w:szCs w:val="15"/>
              </w:rPr>
            </w:pPr>
            <w:r w:rsidRPr="005B56A0">
              <w:rPr>
                <w:color w:val="000000"/>
                <w:sz w:val="15"/>
                <w:szCs w:val="15"/>
              </w:rPr>
              <w:t>Obuhvat podataka manji od 85 %</w:t>
            </w:r>
          </w:p>
        </w:tc>
      </w:tr>
      <w:tr w:rsidR="005924D7" w:rsidRPr="005B56A0" w14:paraId="1A18DEF6"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center"/>
            <w:hideMark/>
          </w:tcPr>
          <w:p w14:paraId="1A18DEF4" w14:textId="77777777" w:rsidR="005924D7" w:rsidRPr="005B56A0" w:rsidRDefault="005924D7" w:rsidP="005924D7">
            <w:pPr>
              <w:rPr>
                <w:color w:val="FF0000"/>
                <w:sz w:val="15"/>
                <w:szCs w:val="15"/>
              </w:rPr>
            </w:pPr>
            <w:r w:rsidRPr="005B56A0">
              <w:rPr>
                <w:color w:val="FF0000"/>
                <w:sz w:val="15"/>
                <w:szCs w:val="15"/>
              </w:rPr>
              <w:t>Crveno</w:t>
            </w:r>
          </w:p>
        </w:tc>
        <w:tc>
          <w:tcPr>
            <w:tcW w:w="5792" w:type="dxa"/>
            <w:gridSpan w:val="6"/>
            <w:tcBorders>
              <w:top w:val="nil"/>
              <w:left w:val="nil"/>
              <w:bottom w:val="nil"/>
              <w:right w:val="nil"/>
            </w:tcBorders>
            <w:shd w:val="clear" w:color="auto" w:fill="auto"/>
            <w:noWrap/>
            <w:vAlign w:val="center"/>
            <w:hideMark/>
          </w:tcPr>
          <w:p w14:paraId="1A18DEF5" w14:textId="77777777" w:rsidR="005924D7" w:rsidRPr="005B56A0" w:rsidRDefault="005924D7" w:rsidP="005924D7">
            <w:pPr>
              <w:rPr>
                <w:color w:val="000000"/>
                <w:sz w:val="15"/>
                <w:szCs w:val="15"/>
              </w:rPr>
            </w:pPr>
            <w:r w:rsidRPr="005B56A0">
              <w:rPr>
                <w:color w:val="000000"/>
                <w:sz w:val="15"/>
                <w:szCs w:val="15"/>
              </w:rPr>
              <w:t>Prekoračena srednja godišnja CV</w:t>
            </w:r>
          </w:p>
        </w:tc>
      </w:tr>
      <w:tr w:rsidR="005924D7" w:rsidRPr="005B56A0" w14:paraId="1A18DEF9" w14:textId="77777777" w:rsidTr="007A7A0C">
        <w:trPr>
          <w:gridBefore w:val="1"/>
          <w:gridAfter w:val="3"/>
          <w:wBefore w:w="58" w:type="dxa"/>
          <w:wAfter w:w="2599" w:type="dxa"/>
          <w:trHeight w:val="14"/>
        </w:trPr>
        <w:tc>
          <w:tcPr>
            <w:tcW w:w="1179" w:type="dxa"/>
            <w:tcBorders>
              <w:top w:val="nil"/>
              <w:left w:val="nil"/>
              <w:bottom w:val="nil"/>
              <w:right w:val="nil"/>
            </w:tcBorders>
            <w:shd w:val="clear" w:color="000000" w:fill="EE1010"/>
            <w:noWrap/>
            <w:vAlign w:val="center"/>
            <w:hideMark/>
          </w:tcPr>
          <w:p w14:paraId="1A18DEF7" w14:textId="77777777" w:rsidR="005924D7" w:rsidRPr="005B56A0" w:rsidRDefault="005924D7" w:rsidP="005924D7">
            <w:pPr>
              <w:jc w:val="center"/>
              <w:rPr>
                <w:sz w:val="15"/>
                <w:szCs w:val="15"/>
              </w:rPr>
            </w:pPr>
            <w:r w:rsidRPr="005B56A0">
              <w:rPr>
                <w:sz w:val="15"/>
                <w:szCs w:val="15"/>
              </w:rPr>
              <w:t> </w:t>
            </w:r>
          </w:p>
        </w:tc>
        <w:tc>
          <w:tcPr>
            <w:tcW w:w="5792" w:type="dxa"/>
            <w:gridSpan w:val="6"/>
            <w:tcBorders>
              <w:top w:val="nil"/>
              <w:left w:val="nil"/>
              <w:bottom w:val="nil"/>
              <w:right w:val="nil"/>
            </w:tcBorders>
            <w:shd w:val="clear" w:color="auto" w:fill="auto"/>
            <w:noWrap/>
            <w:vAlign w:val="bottom"/>
            <w:hideMark/>
          </w:tcPr>
          <w:p w14:paraId="1A18DEF8" w14:textId="77777777" w:rsidR="005924D7" w:rsidRPr="005B56A0" w:rsidRDefault="005924D7" w:rsidP="005924D7">
            <w:pPr>
              <w:rPr>
                <w:sz w:val="15"/>
                <w:szCs w:val="15"/>
              </w:rPr>
            </w:pPr>
            <w:r w:rsidRPr="005B56A0">
              <w:rPr>
                <w:sz w:val="15"/>
                <w:szCs w:val="15"/>
              </w:rPr>
              <w:t>Nesukladno s ciljevima zaštite okoliša (prekoračena CV)</w:t>
            </w:r>
          </w:p>
        </w:tc>
      </w:tr>
      <w:tr w:rsidR="005924D7" w:rsidRPr="005B56A0" w14:paraId="1A18DEFC" w14:textId="77777777" w:rsidTr="007A7A0C">
        <w:trPr>
          <w:gridBefore w:val="1"/>
          <w:gridAfter w:val="3"/>
          <w:wBefore w:w="58" w:type="dxa"/>
          <w:wAfter w:w="2599" w:type="dxa"/>
          <w:trHeight w:val="14"/>
        </w:trPr>
        <w:tc>
          <w:tcPr>
            <w:tcW w:w="1179" w:type="dxa"/>
            <w:tcBorders>
              <w:top w:val="nil"/>
              <w:left w:val="nil"/>
              <w:bottom w:val="nil"/>
              <w:right w:val="nil"/>
            </w:tcBorders>
            <w:shd w:val="clear" w:color="000000" w:fill="D2FFBE"/>
            <w:noWrap/>
            <w:vAlign w:val="center"/>
            <w:hideMark/>
          </w:tcPr>
          <w:p w14:paraId="1A18DEFA" w14:textId="77777777" w:rsidR="005924D7" w:rsidRPr="005B56A0" w:rsidRDefault="005924D7" w:rsidP="005924D7">
            <w:pPr>
              <w:jc w:val="center"/>
              <w:rPr>
                <w:sz w:val="15"/>
                <w:szCs w:val="15"/>
              </w:rPr>
            </w:pPr>
            <w:r w:rsidRPr="005B56A0">
              <w:rPr>
                <w:sz w:val="15"/>
                <w:szCs w:val="15"/>
              </w:rPr>
              <w:t> </w:t>
            </w:r>
          </w:p>
        </w:tc>
        <w:tc>
          <w:tcPr>
            <w:tcW w:w="5792" w:type="dxa"/>
            <w:gridSpan w:val="6"/>
            <w:tcBorders>
              <w:top w:val="nil"/>
              <w:left w:val="nil"/>
              <w:bottom w:val="nil"/>
              <w:right w:val="nil"/>
            </w:tcBorders>
            <w:shd w:val="clear" w:color="auto" w:fill="auto"/>
            <w:noWrap/>
            <w:vAlign w:val="bottom"/>
            <w:hideMark/>
          </w:tcPr>
          <w:p w14:paraId="1A18DEFB" w14:textId="77777777" w:rsidR="005924D7" w:rsidRPr="005B56A0" w:rsidRDefault="005924D7" w:rsidP="005924D7">
            <w:pPr>
              <w:rPr>
                <w:sz w:val="15"/>
                <w:szCs w:val="15"/>
              </w:rPr>
            </w:pPr>
            <w:r w:rsidRPr="005B56A0">
              <w:rPr>
                <w:sz w:val="15"/>
                <w:szCs w:val="15"/>
              </w:rPr>
              <w:t>Sukladno s ciljevima zaštite okoliša (nije prekoračena CV)</w:t>
            </w:r>
          </w:p>
        </w:tc>
      </w:tr>
      <w:tr w:rsidR="005924D7" w:rsidRPr="005B56A0" w14:paraId="1A18DEFF" w14:textId="77777777" w:rsidTr="007A7A0C">
        <w:trPr>
          <w:gridBefore w:val="1"/>
          <w:gridAfter w:val="3"/>
          <w:wBefore w:w="58" w:type="dxa"/>
          <w:wAfter w:w="2599" w:type="dxa"/>
          <w:trHeight w:val="14"/>
        </w:trPr>
        <w:tc>
          <w:tcPr>
            <w:tcW w:w="1179" w:type="dxa"/>
            <w:tcBorders>
              <w:top w:val="nil"/>
              <w:left w:val="nil"/>
              <w:bottom w:val="nil"/>
              <w:right w:val="nil"/>
            </w:tcBorders>
            <w:shd w:val="clear" w:color="000000" w:fill="E1E1E1"/>
            <w:noWrap/>
            <w:vAlign w:val="center"/>
            <w:hideMark/>
          </w:tcPr>
          <w:p w14:paraId="1A18DEFD" w14:textId="77777777" w:rsidR="005924D7" w:rsidRPr="005B56A0" w:rsidRDefault="005924D7" w:rsidP="005924D7">
            <w:pPr>
              <w:jc w:val="center"/>
              <w:rPr>
                <w:sz w:val="15"/>
                <w:szCs w:val="15"/>
              </w:rPr>
            </w:pPr>
            <w:r w:rsidRPr="005B56A0">
              <w:rPr>
                <w:sz w:val="15"/>
                <w:szCs w:val="15"/>
              </w:rPr>
              <w:t> </w:t>
            </w:r>
          </w:p>
        </w:tc>
        <w:tc>
          <w:tcPr>
            <w:tcW w:w="5792" w:type="dxa"/>
            <w:gridSpan w:val="6"/>
            <w:tcBorders>
              <w:top w:val="nil"/>
              <w:left w:val="nil"/>
              <w:bottom w:val="nil"/>
              <w:right w:val="nil"/>
            </w:tcBorders>
            <w:shd w:val="clear" w:color="auto" w:fill="auto"/>
            <w:noWrap/>
            <w:vAlign w:val="bottom"/>
            <w:hideMark/>
          </w:tcPr>
          <w:p w14:paraId="1A18DEFE" w14:textId="77777777" w:rsidR="005924D7" w:rsidRPr="005B56A0" w:rsidRDefault="005924D7" w:rsidP="005924D7">
            <w:pPr>
              <w:rPr>
                <w:sz w:val="15"/>
                <w:szCs w:val="15"/>
              </w:rPr>
            </w:pPr>
            <w:r w:rsidRPr="005B56A0">
              <w:rPr>
                <w:sz w:val="15"/>
                <w:szCs w:val="15"/>
              </w:rPr>
              <w:t>Neocijenjeno</w:t>
            </w:r>
          </w:p>
        </w:tc>
      </w:tr>
      <w:tr w:rsidR="005924D7" w:rsidRPr="005B56A0" w14:paraId="1A18DF02"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F00" w14:textId="77777777" w:rsidR="005924D7" w:rsidRPr="005B56A0" w:rsidRDefault="005924D7" w:rsidP="005924D7">
            <w:pPr>
              <w:rPr>
                <w:sz w:val="15"/>
                <w:szCs w:val="15"/>
              </w:rPr>
            </w:pPr>
            <w:r w:rsidRPr="005B56A0">
              <w:rPr>
                <w:sz w:val="15"/>
                <w:szCs w:val="15"/>
              </w:rPr>
              <w:t>*</w:t>
            </w:r>
          </w:p>
        </w:tc>
        <w:tc>
          <w:tcPr>
            <w:tcW w:w="5792" w:type="dxa"/>
            <w:gridSpan w:val="6"/>
            <w:tcBorders>
              <w:top w:val="nil"/>
              <w:left w:val="nil"/>
              <w:bottom w:val="nil"/>
              <w:right w:val="nil"/>
            </w:tcBorders>
            <w:shd w:val="clear" w:color="auto" w:fill="auto"/>
            <w:noWrap/>
            <w:vAlign w:val="bottom"/>
            <w:hideMark/>
          </w:tcPr>
          <w:p w14:paraId="1A18DF01" w14:textId="77777777" w:rsidR="005924D7" w:rsidRPr="005B56A0" w:rsidRDefault="005924D7" w:rsidP="005924D7">
            <w:pPr>
              <w:rPr>
                <w:sz w:val="15"/>
                <w:szCs w:val="15"/>
              </w:rPr>
            </w:pPr>
            <w:r w:rsidRPr="005B56A0">
              <w:rPr>
                <w:sz w:val="15"/>
                <w:szCs w:val="15"/>
              </w:rPr>
              <w:t>ne koristi se za ocjenu sukladnosti</w:t>
            </w:r>
          </w:p>
        </w:tc>
      </w:tr>
      <w:tr w:rsidR="005924D7" w:rsidRPr="005B56A0" w14:paraId="1A18DF05"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F03" w14:textId="77777777" w:rsidR="005924D7" w:rsidRPr="005B56A0" w:rsidRDefault="005924D7" w:rsidP="005924D7">
            <w:pPr>
              <w:rPr>
                <w:sz w:val="15"/>
                <w:szCs w:val="15"/>
              </w:rPr>
            </w:pPr>
            <w:r w:rsidRPr="005B56A0">
              <w:rPr>
                <w:sz w:val="15"/>
                <w:szCs w:val="15"/>
              </w:rPr>
              <w:t>CV</w:t>
            </w:r>
          </w:p>
        </w:tc>
        <w:tc>
          <w:tcPr>
            <w:tcW w:w="5792" w:type="dxa"/>
            <w:gridSpan w:val="6"/>
            <w:tcBorders>
              <w:top w:val="nil"/>
              <w:left w:val="nil"/>
              <w:bottom w:val="nil"/>
              <w:right w:val="nil"/>
            </w:tcBorders>
            <w:shd w:val="clear" w:color="auto" w:fill="auto"/>
            <w:noWrap/>
            <w:vAlign w:val="bottom"/>
            <w:hideMark/>
          </w:tcPr>
          <w:p w14:paraId="1A18DF04" w14:textId="77777777" w:rsidR="005924D7" w:rsidRPr="005B56A0" w:rsidRDefault="005924D7" w:rsidP="005924D7">
            <w:pPr>
              <w:rPr>
                <w:sz w:val="15"/>
                <w:szCs w:val="15"/>
              </w:rPr>
            </w:pPr>
            <w:r w:rsidRPr="005B56A0">
              <w:rPr>
                <w:sz w:val="15"/>
                <w:szCs w:val="15"/>
              </w:rPr>
              <w:t>Ciljna vrijednost</w:t>
            </w:r>
          </w:p>
        </w:tc>
      </w:tr>
      <w:tr w:rsidR="005924D7" w:rsidRPr="005B56A0" w14:paraId="1A18DF08"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center"/>
            <w:hideMark/>
          </w:tcPr>
          <w:p w14:paraId="1A18DF06" w14:textId="77777777" w:rsidR="005924D7" w:rsidRPr="005B56A0" w:rsidRDefault="005924D7" w:rsidP="005924D7">
            <w:pPr>
              <w:rPr>
                <w:sz w:val="15"/>
                <w:szCs w:val="15"/>
              </w:rPr>
            </w:pPr>
            <w:r w:rsidRPr="005B56A0">
              <w:rPr>
                <w:sz w:val="15"/>
                <w:szCs w:val="15"/>
              </w:rPr>
              <w:t>-</w:t>
            </w:r>
          </w:p>
        </w:tc>
        <w:tc>
          <w:tcPr>
            <w:tcW w:w="5792" w:type="dxa"/>
            <w:gridSpan w:val="6"/>
            <w:tcBorders>
              <w:top w:val="nil"/>
              <w:left w:val="nil"/>
              <w:bottom w:val="nil"/>
              <w:right w:val="nil"/>
            </w:tcBorders>
            <w:shd w:val="clear" w:color="auto" w:fill="auto"/>
            <w:noWrap/>
            <w:vAlign w:val="center"/>
            <w:hideMark/>
          </w:tcPr>
          <w:p w14:paraId="1A18DF07" w14:textId="77777777" w:rsidR="005924D7" w:rsidRPr="005B56A0" w:rsidRDefault="005924D7" w:rsidP="005924D7">
            <w:pPr>
              <w:rPr>
                <w:sz w:val="15"/>
                <w:szCs w:val="15"/>
              </w:rPr>
            </w:pPr>
            <w:r w:rsidRPr="005B56A0">
              <w:rPr>
                <w:sz w:val="15"/>
                <w:szCs w:val="15"/>
              </w:rPr>
              <w:t>Nema podatka</w:t>
            </w:r>
          </w:p>
        </w:tc>
      </w:tr>
      <w:tr w:rsidR="005924D7" w:rsidRPr="005B56A0" w14:paraId="1A18DF0B"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F09" w14:textId="77777777" w:rsidR="005924D7" w:rsidRPr="005B56A0" w:rsidRDefault="005924D7" w:rsidP="005924D7">
            <w:pPr>
              <w:rPr>
                <w:sz w:val="15"/>
                <w:szCs w:val="15"/>
              </w:rPr>
            </w:pPr>
            <w:r w:rsidRPr="005B56A0">
              <w:rPr>
                <w:sz w:val="15"/>
                <w:szCs w:val="15"/>
              </w:rPr>
              <w:t>NP</w:t>
            </w:r>
          </w:p>
        </w:tc>
        <w:tc>
          <w:tcPr>
            <w:tcW w:w="5792" w:type="dxa"/>
            <w:gridSpan w:val="6"/>
            <w:tcBorders>
              <w:top w:val="nil"/>
              <w:left w:val="nil"/>
              <w:bottom w:val="nil"/>
              <w:right w:val="nil"/>
            </w:tcBorders>
            <w:shd w:val="clear" w:color="auto" w:fill="auto"/>
            <w:noWrap/>
            <w:vAlign w:val="bottom"/>
            <w:hideMark/>
          </w:tcPr>
          <w:p w14:paraId="1A18DF0A" w14:textId="77777777" w:rsidR="005924D7" w:rsidRPr="005B56A0" w:rsidRDefault="005924D7" w:rsidP="005924D7">
            <w:pPr>
              <w:rPr>
                <w:sz w:val="15"/>
                <w:szCs w:val="15"/>
              </w:rPr>
            </w:pPr>
            <w:r w:rsidRPr="005B56A0">
              <w:rPr>
                <w:sz w:val="15"/>
                <w:szCs w:val="15"/>
              </w:rPr>
              <w:t>Nije primjenjivo</w:t>
            </w:r>
          </w:p>
        </w:tc>
      </w:tr>
      <w:tr w:rsidR="005924D7" w:rsidRPr="005B56A0" w14:paraId="1A18DF0E" w14:textId="77777777" w:rsidTr="007A7A0C">
        <w:trPr>
          <w:gridBefore w:val="1"/>
          <w:gridAfter w:val="3"/>
          <w:wBefore w:w="58" w:type="dxa"/>
          <w:wAfter w:w="2599" w:type="dxa"/>
          <w:trHeight w:val="14"/>
        </w:trPr>
        <w:tc>
          <w:tcPr>
            <w:tcW w:w="1179" w:type="dxa"/>
            <w:tcBorders>
              <w:top w:val="nil"/>
              <w:left w:val="nil"/>
              <w:bottom w:val="nil"/>
              <w:right w:val="nil"/>
            </w:tcBorders>
            <w:shd w:val="clear" w:color="auto" w:fill="auto"/>
            <w:noWrap/>
            <w:vAlign w:val="bottom"/>
            <w:hideMark/>
          </w:tcPr>
          <w:p w14:paraId="1A18DF0C" w14:textId="77777777" w:rsidR="005924D7" w:rsidRPr="005B56A0" w:rsidRDefault="005924D7" w:rsidP="005924D7">
            <w:pPr>
              <w:rPr>
                <w:sz w:val="15"/>
                <w:szCs w:val="15"/>
              </w:rPr>
            </w:pPr>
            <w:r w:rsidRPr="005B56A0">
              <w:rPr>
                <w:sz w:val="15"/>
                <w:szCs w:val="15"/>
              </w:rPr>
              <w:t>n.d.</w:t>
            </w:r>
          </w:p>
        </w:tc>
        <w:tc>
          <w:tcPr>
            <w:tcW w:w="5792" w:type="dxa"/>
            <w:gridSpan w:val="6"/>
            <w:tcBorders>
              <w:top w:val="nil"/>
              <w:left w:val="nil"/>
              <w:bottom w:val="nil"/>
              <w:right w:val="nil"/>
            </w:tcBorders>
            <w:shd w:val="clear" w:color="auto" w:fill="auto"/>
            <w:noWrap/>
            <w:vAlign w:val="bottom"/>
            <w:hideMark/>
          </w:tcPr>
          <w:p w14:paraId="1A18DF0D" w14:textId="77777777" w:rsidR="005924D7" w:rsidRPr="005B56A0" w:rsidRDefault="005924D7" w:rsidP="005924D7">
            <w:pPr>
              <w:rPr>
                <w:sz w:val="15"/>
                <w:szCs w:val="15"/>
              </w:rPr>
            </w:pPr>
            <w:r w:rsidRPr="005B56A0">
              <w:rPr>
                <w:sz w:val="15"/>
                <w:szCs w:val="15"/>
              </w:rPr>
              <w:t>Ispod granice osjetljivosti metode</w:t>
            </w:r>
          </w:p>
        </w:tc>
      </w:tr>
    </w:tbl>
    <w:p w14:paraId="1A18DF0F" w14:textId="77777777" w:rsidR="005B56A0" w:rsidRDefault="005B56A0" w:rsidP="007627AA">
      <w:pPr>
        <w:spacing w:after="120"/>
        <w:rPr>
          <w:bCs/>
        </w:rPr>
      </w:pPr>
    </w:p>
    <w:p w14:paraId="1A18DF10" w14:textId="77777777" w:rsidR="008A0C6B" w:rsidRPr="008A0C6B" w:rsidRDefault="008A0C6B" w:rsidP="008A0C6B">
      <w:pPr>
        <w:spacing w:after="120"/>
        <w:rPr>
          <w:bCs/>
        </w:rPr>
      </w:pPr>
      <w:r w:rsidRPr="008A0C6B">
        <w:rPr>
          <w:bCs/>
        </w:rPr>
        <w:t xml:space="preserve">Na osnovi analize rezultata mjerenja ocijenjeno je da su aglomeracija Zagreb i Industrijska zona </w:t>
      </w:r>
      <w:r w:rsidR="001C33A4">
        <w:rPr>
          <w:bCs/>
        </w:rPr>
        <w:t xml:space="preserve">u </w:t>
      </w:r>
      <w:r w:rsidRPr="008A0C6B">
        <w:rPr>
          <w:bCs/>
        </w:rPr>
        <w:t>202</w:t>
      </w:r>
      <w:r>
        <w:rPr>
          <w:bCs/>
        </w:rPr>
        <w:t>1</w:t>
      </w:r>
      <w:r w:rsidRPr="008A0C6B">
        <w:rPr>
          <w:bCs/>
        </w:rPr>
        <w:t>. nesukladne s ciljnom vrijednošću za srednju godišnju vrijednost B(a)P u PM</w:t>
      </w:r>
      <w:r w:rsidRPr="008A0C6B">
        <w:rPr>
          <w:bCs/>
          <w:vertAlign w:val="subscript"/>
        </w:rPr>
        <w:t>10</w:t>
      </w:r>
      <w:r w:rsidRPr="008A0C6B">
        <w:rPr>
          <w:bCs/>
        </w:rPr>
        <w:t xml:space="preserve"> obzirom na zaštitu zdravlja ljudi.</w:t>
      </w:r>
    </w:p>
    <w:p w14:paraId="1A18DF11" w14:textId="77777777" w:rsidR="008A0C6B" w:rsidRPr="008A0C6B" w:rsidRDefault="008A0C6B" w:rsidP="008A0C6B">
      <w:pPr>
        <w:spacing w:after="120"/>
        <w:rPr>
          <w:bCs/>
        </w:rPr>
      </w:pPr>
      <w:r w:rsidRPr="008A0C6B">
        <w:rPr>
          <w:bCs/>
        </w:rPr>
        <w:lastRenderedPageBreak/>
        <w:t>U aglomeracijama: Osijek (HR OS), Rijeka (HR RI) i Split (HR ST) kao i zonama: Kontinentalna Hrvatska (HR 1), Lika, Gorski kotar i Primorje (HR 3), Istra (HR 4) i Dalmacija (HR 5) nije dana ocjena sukladnosti s ciljnom vrijednošću za B(a)P u PM</w:t>
      </w:r>
      <w:r w:rsidRPr="008A0C6B">
        <w:rPr>
          <w:bCs/>
          <w:vertAlign w:val="subscript"/>
        </w:rPr>
        <w:t>10</w:t>
      </w:r>
      <w:r w:rsidRPr="008A0C6B">
        <w:rPr>
          <w:bCs/>
        </w:rPr>
        <w:t xml:space="preserve"> jer mjerenja nisu provođena, a objektivnu procjenu nije bilo moguće primijeniti.</w:t>
      </w:r>
    </w:p>
    <w:p w14:paraId="1A18DF12" w14:textId="77777777" w:rsidR="005B56A0" w:rsidRPr="00E47EC1" w:rsidRDefault="005B56A0" w:rsidP="007627AA">
      <w:pPr>
        <w:spacing w:after="120"/>
        <w:rPr>
          <w:bCs/>
        </w:rPr>
      </w:pPr>
    </w:p>
    <w:p w14:paraId="1A18DF13" w14:textId="631B0053" w:rsidR="00317EE7" w:rsidRPr="007276D5" w:rsidRDefault="007276D5" w:rsidP="00FB13AA">
      <w:pPr>
        <w:pStyle w:val="Naslov3"/>
      </w:pPr>
      <w:r>
        <w:rPr>
          <w:rStyle w:val="Naslov4Char"/>
          <w:rFonts w:ascii="Times New Roman" w:hAnsi="Times New Roman" w:cs="Times New Roman"/>
          <w:b w:val="0"/>
          <w:i/>
          <w:color w:val="auto"/>
        </w:rPr>
        <w:t>2</w:t>
      </w:r>
      <w:r w:rsidR="00E979C5">
        <w:rPr>
          <w:rStyle w:val="Naslov4Char"/>
          <w:rFonts w:ascii="Times New Roman" w:hAnsi="Times New Roman" w:cs="Times New Roman"/>
          <w:b w:val="0"/>
          <w:i/>
          <w:color w:val="auto"/>
        </w:rPr>
        <w:t>.</w:t>
      </w:r>
      <w:r>
        <w:rPr>
          <w:rStyle w:val="Naslov4Char"/>
          <w:rFonts w:ascii="Times New Roman" w:hAnsi="Times New Roman" w:cs="Times New Roman"/>
          <w:b w:val="0"/>
          <w:i/>
          <w:color w:val="auto"/>
        </w:rPr>
        <w:t xml:space="preserve">3.6.2 </w:t>
      </w:r>
      <w:r w:rsidR="00317EE7" w:rsidRPr="007276D5">
        <w:rPr>
          <w:rStyle w:val="Naslov4Char"/>
          <w:rFonts w:ascii="Times New Roman" w:hAnsi="Times New Roman" w:cs="Times New Roman"/>
          <w:b w:val="0"/>
          <w:i/>
          <w:color w:val="auto"/>
        </w:rPr>
        <w:t xml:space="preserve">Praćenje emisija POPs-ova sukladno obvezama LRTAP </w:t>
      </w:r>
      <w:r w:rsidR="005A6151" w:rsidRPr="007276D5">
        <w:rPr>
          <w:rStyle w:val="Naslov4Char"/>
          <w:rFonts w:ascii="Times New Roman" w:hAnsi="Times New Roman" w:cs="Times New Roman"/>
          <w:b w:val="0"/>
          <w:i/>
          <w:color w:val="auto"/>
        </w:rPr>
        <w:t>K</w:t>
      </w:r>
      <w:r w:rsidR="00317EE7" w:rsidRPr="007276D5">
        <w:rPr>
          <w:rStyle w:val="Naslov4Char"/>
          <w:rFonts w:ascii="Times New Roman" w:hAnsi="Times New Roman" w:cs="Times New Roman"/>
          <w:b w:val="0"/>
          <w:i/>
          <w:color w:val="auto"/>
        </w:rPr>
        <w:t>onvencije</w:t>
      </w:r>
      <w:r w:rsidR="00941E91" w:rsidRPr="007276D5">
        <w:rPr>
          <w:rStyle w:val="Naslov4Char"/>
          <w:rFonts w:ascii="Times New Roman" w:hAnsi="Times New Roman" w:cs="Times New Roman"/>
          <w:b w:val="0"/>
          <w:i/>
          <w:color w:val="auto"/>
        </w:rPr>
        <w:t xml:space="preserve"> i</w:t>
      </w:r>
      <w:r w:rsidR="0029013E" w:rsidRPr="007276D5">
        <w:rPr>
          <w:rStyle w:val="Naslov4Char"/>
          <w:rFonts w:ascii="Times New Roman" w:hAnsi="Times New Roman" w:cs="Times New Roman"/>
          <w:b w:val="0"/>
          <w:i/>
          <w:color w:val="auto"/>
        </w:rPr>
        <w:t xml:space="preserve"> </w:t>
      </w:r>
      <w:r w:rsidR="00941E91" w:rsidRPr="007276D5">
        <w:rPr>
          <w:rStyle w:val="Naslov4Char"/>
          <w:rFonts w:ascii="Times New Roman" w:hAnsi="Times New Roman" w:cs="Times New Roman"/>
          <w:b w:val="0"/>
          <w:i/>
          <w:color w:val="auto"/>
        </w:rPr>
        <w:t>pripadajućih protokola</w:t>
      </w:r>
    </w:p>
    <w:p w14:paraId="1A18DF14" w14:textId="77777777" w:rsidR="00317EE7" w:rsidRPr="00E47EC1" w:rsidRDefault="00317EE7" w:rsidP="00317EE7">
      <w:pPr>
        <w:spacing w:after="120"/>
      </w:pPr>
      <w:r w:rsidRPr="00E47EC1">
        <w:t>Republika Hrvatska ratificirala je sljedeće protokole uz LRTAP</w:t>
      </w:r>
      <w:r w:rsidR="00FF33DD" w:rsidRPr="00E47EC1">
        <w:t xml:space="preserve"> Konvenciju</w:t>
      </w:r>
      <w:r w:rsidRPr="00E47EC1">
        <w:t>: Protokol o daljnjem smanjenju emisija sumpora (</w:t>
      </w:r>
      <w:r w:rsidR="0004470C" w:rsidRPr="00E47EC1">
        <w:t xml:space="preserve">Narodne novine – </w:t>
      </w:r>
      <w:r w:rsidR="00355500" w:rsidRPr="00E47EC1">
        <w:t>Međunarodni ugovori</w:t>
      </w:r>
      <w:r w:rsidR="00232310" w:rsidRPr="00E47EC1">
        <w:t>, br.</w:t>
      </w:r>
      <w:r w:rsidRPr="00E47EC1">
        <w:t xml:space="preserve"> 17/98 i 3/99), Protokol o teškim metalima (</w:t>
      </w:r>
      <w:r w:rsidR="00355500" w:rsidRPr="00E47EC1">
        <w:t>Narodne novine</w:t>
      </w:r>
      <w:r w:rsidR="0004470C" w:rsidRPr="00E47EC1">
        <w:t xml:space="preserve"> – </w:t>
      </w:r>
      <w:r w:rsidR="00355500" w:rsidRPr="00E47EC1">
        <w:t>Međunarodni ugovori</w:t>
      </w:r>
      <w:r w:rsidRPr="00E47EC1">
        <w:t>, broj 05/07), Protokol o postojanim organskim onečišćujućim tvarima (</w:t>
      </w:r>
      <w:r w:rsidR="00355500" w:rsidRPr="00E47EC1">
        <w:t>Narodne novine</w:t>
      </w:r>
      <w:r w:rsidR="0004470C" w:rsidRPr="00E47EC1">
        <w:t xml:space="preserve"> – </w:t>
      </w:r>
      <w:r w:rsidR="00355500" w:rsidRPr="00E47EC1">
        <w:t>Međunarodni ugovori</w:t>
      </w:r>
      <w:r w:rsidRPr="00E47EC1">
        <w:t>, broj 05/07), Protokol o nadzoru emisija dušikovih oksida ili njihovih prekograničnih strujanja (</w:t>
      </w:r>
      <w:r w:rsidR="00355500" w:rsidRPr="00E47EC1">
        <w:t>Narodne novine</w:t>
      </w:r>
      <w:r w:rsidR="0004470C" w:rsidRPr="00E47EC1">
        <w:t xml:space="preserve"> –</w:t>
      </w:r>
      <w:r w:rsidR="00355500" w:rsidRPr="00E47EC1">
        <w:t>Međunarodni ugovori</w:t>
      </w:r>
      <w:r w:rsidRPr="00E47EC1">
        <w:t>, broj 10/07), Protokol o nadzoru emisija hlapivih organskih spojeva ili njihovih prekograničnih strujanja (</w:t>
      </w:r>
      <w:r w:rsidR="00355500" w:rsidRPr="00E47EC1">
        <w:t>Narodne novine</w:t>
      </w:r>
      <w:r w:rsidR="0004470C" w:rsidRPr="00E47EC1">
        <w:t xml:space="preserve"> – </w:t>
      </w:r>
      <w:r w:rsidR="00355500" w:rsidRPr="00E47EC1">
        <w:t>Međunarodni ugovori</w:t>
      </w:r>
      <w:r w:rsidRPr="00E47EC1">
        <w:t>, broj 10/07) i Protokol o suzbijanju zakiseljavanja, eutrofikacije i prizemnog ozona</w:t>
      </w:r>
      <w:r w:rsidR="00D6309A" w:rsidRPr="00E47EC1">
        <w:t xml:space="preserve"> </w:t>
      </w:r>
      <w:r w:rsidRPr="00E47EC1">
        <w:t>(</w:t>
      </w:r>
      <w:r w:rsidR="00355500" w:rsidRPr="00E47EC1">
        <w:t>Narodne novine</w:t>
      </w:r>
      <w:r w:rsidR="0004470C" w:rsidRPr="00E47EC1">
        <w:t xml:space="preserve"> – </w:t>
      </w:r>
      <w:r w:rsidR="00355500" w:rsidRPr="00E47EC1">
        <w:t>Međunarodni ugovori</w:t>
      </w:r>
      <w:r w:rsidRPr="00E47EC1">
        <w:t>, broj 07/08).</w:t>
      </w:r>
    </w:p>
    <w:p w14:paraId="1A18DF15" w14:textId="77777777" w:rsidR="00B66D7B" w:rsidRPr="00E47EC1" w:rsidRDefault="00205E21" w:rsidP="00B66D7B">
      <w:pPr>
        <w:spacing w:after="120"/>
      </w:pPr>
      <w:r w:rsidRPr="00E47EC1">
        <w:t xml:space="preserve">Izračun </w:t>
      </w:r>
      <w:r w:rsidR="00B66D7B" w:rsidRPr="00E47EC1">
        <w:t>emisij</w:t>
      </w:r>
      <w:r w:rsidRPr="00E47EC1">
        <w:t>a</w:t>
      </w:r>
      <w:r w:rsidR="00B66D7B" w:rsidRPr="00E47EC1">
        <w:t xml:space="preserve"> POPs-ova u Republici Hrvatskoj započe</w:t>
      </w:r>
      <w:r w:rsidRPr="00E47EC1">
        <w:t>o</w:t>
      </w:r>
      <w:r w:rsidR="00B66D7B" w:rsidRPr="00E47EC1">
        <w:t xml:space="preserve"> je 1996. u skladu s međunarodnom metodologijom EMEP/CORINAIR, službeno prihvaćenom od izvršnog tijela LRTAP Konvencije, </w:t>
      </w:r>
      <w:r w:rsidR="00941E91" w:rsidRPr="00E47EC1">
        <w:t>kojima je izmeđ</w:t>
      </w:r>
      <w:r w:rsidR="00055DE9" w:rsidRPr="00E47EC1">
        <w:t xml:space="preserve">u </w:t>
      </w:r>
      <w:r w:rsidR="00941E91" w:rsidRPr="00E47EC1">
        <w:t xml:space="preserve">ostalog obuhvaćeno </w:t>
      </w:r>
      <w:r w:rsidR="00FF33DD" w:rsidRPr="00E47EC1">
        <w:t xml:space="preserve">praćenje </w:t>
      </w:r>
      <w:r w:rsidR="00B66D7B" w:rsidRPr="00E47EC1">
        <w:t>emisij</w:t>
      </w:r>
      <w:r w:rsidR="00FF33DD" w:rsidRPr="00E47EC1">
        <w:t>a</w:t>
      </w:r>
      <w:r w:rsidR="00B66D7B" w:rsidRPr="00E47EC1">
        <w:t>: PCDD/PCDF, PAU</w:t>
      </w:r>
      <w:r w:rsidR="00504141" w:rsidRPr="00E47EC1">
        <w:t xml:space="preserve"> </w:t>
      </w:r>
      <w:r w:rsidR="00FF33DD" w:rsidRPr="00E47EC1">
        <w:t>(benzo(a)</w:t>
      </w:r>
      <w:r w:rsidR="00941E91" w:rsidRPr="00E47EC1">
        <w:t>pirena, benzo(b)fluorantena, benzo(k)fluorantena i indeno(1,2,3-cd)piren)</w:t>
      </w:r>
      <w:r w:rsidR="00B66D7B" w:rsidRPr="00E47EC1">
        <w:t xml:space="preserve"> i </w:t>
      </w:r>
      <w:r w:rsidR="00FF33DD" w:rsidRPr="00E47EC1">
        <w:t>kloriranih ugljikovodika</w:t>
      </w:r>
      <w:r w:rsidR="00941E91" w:rsidRPr="00E47EC1">
        <w:t xml:space="preserve"> </w:t>
      </w:r>
      <w:r w:rsidR="00FF33DD" w:rsidRPr="00E47EC1">
        <w:t>(HCB</w:t>
      </w:r>
      <w:r w:rsidR="00941E91" w:rsidRPr="00E47EC1">
        <w:t>-a, HCH-a i PCB-a</w:t>
      </w:r>
      <w:r w:rsidR="00FF33DD" w:rsidRPr="00E47EC1">
        <w:t>)</w:t>
      </w:r>
      <w:r w:rsidR="00B66D7B" w:rsidRPr="00E47EC1">
        <w:t>.</w:t>
      </w:r>
    </w:p>
    <w:p w14:paraId="1A18DF16" w14:textId="77777777" w:rsidR="00A71CB4" w:rsidRPr="00E47EC1" w:rsidRDefault="00320378" w:rsidP="00B66D7B">
      <w:pPr>
        <w:spacing w:after="120"/>
      </w:pPr>
      <w:r>
        <w:t>MINGOR</w:t>
      </w:r>
      <w:r w:rsidRPr="00E47EC1">
        <w:t xml:space="preserve"> </w:t>
      </w:r>
      <w:r w:rsidR="00A71CB4" w:rsidRPr="00E47EC1">
        <w:t xml:space="preserve">izrađuje godišnja izvješća o </w:t>
      </w:r>
      <w:r w:rsidR="008A0C6B">
        <w:t>inventaru</w:t>
      </w:r>
      <w:r w:rsidR="0059712B" w:rsidRPr="00E47EC1">
        <w:t xml:space="preserve"> </w:t>
      </w:r>
      <w:r w:rsidR="00A71CB4" w:rsidRPr="00E47EC1">
        <w:t xml:space="preserve">emisija određenih onečišćujućih tvari prema obvezama LRTAP </w:t>
      </w:r>
      <w:r w:rsidR="008505FA" w:rsidRPr="00E47EC1">
        <w:t>K</w:t>
      </w:r>
      <w:r w:rsidR="00A71CB4" w:rsidRPr="00E47EC1">
        <w:t>onvencije i objavljuje</w:t>
      </w:r>
      <w:r w:rsidR="00C5461F" w:rsidRPr="00E47EC1">
        <w:t xml:space="preserve"> ih</w:t>
      </w:r>
      <w:r w:rsidR="008A0C6B">
        <w:t xml:space="preserve"> na svojim mrežnim stranicama, dostupno na linku u nastavku: </w:t>
      </w:r>
      <w:hyperlink r:id="rId43" w:history="1">
        <w:r w:rsidR="008A0C6B" w:rsidRPr="00C302A8">
          <w:rPr>
            <w:rStyle w:val="Hiperveza"/>
          </w:rPr>
          <w:t>http://www.haop.hr/hr/emisije-oneciscujucih-tvari-u-zrak-na-podrucju-republike-hrvatske/emisije-oneciscujucih-tvari-u</w:t>
        </w:r>
      </w:hyperlink>
      <w:r w:rsidR="008A0C6B">
        <w:t xml:space="preserve"> </w:t>
      </w:r>
    </w:p>
    <w:p w14:paraId="1A18DF17" w14:textId="77777777" w:rsidR="004F1C5A" w:rsidRPr="008A0C6B" w:rsidRDefault="00317EE7" w:rsidP="007E5335">
      <w:pPr>
        <w:spacing w:after="120"/>
      </w:pPr>
      <w:r w:rsidRPr="00E47EC1">
        <w:t>Protokol o</w:t>
      </w:r>
      <w:r w:rsidR="001F6B08" w:rsidRPr="00E47EC1">
        <w:t xml:space="preserve"> POPs-ovima s</w:t>
      </w:r>
      <w:r w:rsidRPr="00E47EC1">
        <w:t xml:space="preserve">tupio je na snagu </w:t>
      </w:r>
      <w:r w:rsidR="00815905" w:rsidRPr="00E47EC1">
        <w:t xml:space="preserve">u odnosu na </w:t>
      </w:r>
      <w:r w:rsidRPr="00E47EC1">
        <w:t xml:space="preserve">Republiku Hrvatsku 6. prosinca 2008.. U skladu s </w:t>
      </w:r>
      <w:r w:rsidR="00232310" w:rsidRPr="00E47EC1">
        <w:t xml:space="preserve">člankom 3. </w:t>
      </w:r>
      <w:r w:rsidRPr="00E47EC1">
        <w:t xml:space="preserve">stavkom 5. </w:t>
      </w:r>
      <w:r w:rsidR="00941E91" w:rsidRPr="00E47EC1">
        <w:t xml:space="preserve">Protokola o POPs-ovima </w:t>
      </w:r>
      <w:r w:rsidRPr="00E47EC1">
        <w:t>Republika Hrvatska ima obvezu  zadržati emisije POPs-ova ispod onih u baznoj godini (1990. godina)</w:t>
      </w:r>
      <w:r w:rsidR="00EB2BFD">
        <w:t xml:space="preserve"> (</w:t>
      </w:r>
      <w:r w:rsidR="00EB2BFD" w:rsidRPr="00E47EC1">
        <w:rPr>
          <w:color w:val="000000"/>
        </w:rPr>
        <w:t>tablic</w:t>
      </w:r>
      <w:r w:rsidR="00EB2BFD">
        <w:rPr>
          <w:color w:val="000000"/>
        </w:rPr>
        <w:t>a</w:t>
      </w:r>
      <w:r w:rsidR="00EB2BFD" w:rsidRPr="00E47EC1">
        <w:rPr>
          <w:color w:val="000000"/>
        </w:rPr>
        <w:t xml:space="preserve"> </w:t>
      </w:r>
      <w:r w:rsidR="0060167E" w:rsidRPr="00D75298">
        <w:rPr>
          <w:i/>
          <w:color w:val="000000"/>
        </w:rPr>
        <w:t>2.3-</w:t>
      </w:r>
      <w:r w:rsidR="00EF4CE9">
        <w:rPr>
          <w:i/>
          <w:color w:val="000000"/>
        </w:rPr>
        <w:t>6.2.</w:t>
      </w:r>
      <w:r w:rsidR="00EB2BFD">
        <w:rPr>
          <w:i/>
          <w:color w:val="000000"/>
        </w:rPr>
        <w:t>)</w:t>
      </w:r>
      <w:bookmarkStart w:id="18" w:name="_Toc425772745"/>
    </w:p>
    <w:p w14:paraId="1A18DF18" w14:textId="24828131" w:rsidR="0060167E" w:rsidRPr="00E47EC1" w:rsidRDefault="0060167E" w:rsidP="007E5335">
      <w:pPr>
        <w:spacing w:after="120"/>
        <w:rPr>
          <w:bCs/>
          <w:i/>
        </w:rPr>
      </w:pPr>
      <w:r w:rsidRPr="00E47EC1">
        <w:rPr>
          <w:i/>
          <w:color w:val="000000"/>
        </w:rPr>
        <w:t>Tablica 2.3-</w:t>
      </w:r>
      <w:r w:rsidR="00187FAF">
        <w:rPr>
          <w:i/>
          <w:color w:val="000000"/>
        </w:rPr>
        <w:t>6.</w:t>
      </w:r>
      <w:r w:rsidR="007F1855">
        <w:rPr>
          <w:i/>
          <w:color w:val="000000"/>
        </w:rPr>
        <w:t>3</w:t>
      </w:r>
      <w:r w:rsidR="00187FAF">
        <w:rPr>
          <w:i/>
          <w:color w:val="000000"/>
        </w:rPr>
        <w:t>.</w:t>
      </w:r>
      <w:r w:rsidRPr="00E47EC1">
        <w:rPr>
          <w:i/>
          <w:color w:val="000000"/>
        </w:rPr>
        <w:t xml:space="preserve"> </w:t>
      </w:r>
      <w:r w:rsidR="00317EE7" w:rsidRPr="00E47EC1">
        <w:rPr>
          <w:bCs/>
          <w:i/>
        </w:rPr>
        <w:t>Razine emisija određenih POPs-ova sukladno</w:t>
      </w:r>
      <w:r w:rsidR="0029013E" w:rsidRPr="00E47EC1">
        <w:rPr>
          <w:bCs/>
          <w:i/>
        </w:rPr>
        <w:t xml:space="preserve"> </w:t>
      </w:r>
      <w:r w:rsidR="00317EE7" w:rsidRPr="00E47EC1">
        <w:rPr>
          <w:bCs/>
          <w:i/>
        </w:rPr>
        <w:t>Protokolu</w:t>
      </w:r>
      <w:bookmarkEnd w:id="18"/>
      <w:r w:rsidR="00941E91" w:rsidRPr="00E47EC1">
        <w:rPr>
          <w:bCs/>
          <w:i/>
        </w:rPr>
        <w:t xml:space="preserve"> o POPs-ovima</w:t>
      </w:r>
      <w:r w:rsidR="00583DBD" w:rsidRPr="00E47EC1">
        <w:rPr>
          <w:bCs/>
          <w:i/>
        </w:rPr>
        <w:t xml:space="preserve"> u baznoj godini </w:t>
      </w:r>
      <w:r w:rsidR="00F85D69" w:rsidRPr="00E47EC1">
        <w:rPr>
          <w:bCs/>
          <w:i/>
        </w:rPr>
        <w:t>(</w:t>
      </w:r>
      <w:r w:rsidR="00941E91" w:rsidRPr="00E47EC1">
        <w:rPr>
          <w:bCs/>
          <w:i/>
        </w:rPr>
        <w:t>I</w:t>
      </w:r>
      <w:r w:rsidR="009C5CAB" w:rsidRPr="00E47EC1">
        <w:rPr>
          <w:bCs/>
          <w:i/>
        </w:rPr>
        <w:t>zvor</w:t>
      </w:r>
      <w:r w:rsidR="00941E91" w:rsidRPr="00E47EC1">
        <w:rPr>
          <w:bCs/>
          <w:i/>
        </w:rPr>
        <w:t xml:space="preserve">: </w:t>
      </w:r>
      <w:r w:rsidR="007419EA">
        <w:rPr>
          <w:bCs/>
          <w:i/>
        </w:rPr>
        <w:t xml:space="preserve">MINGOR, </w:t>
      </w:r>
      <w:r w:rsidR="00941E91" w:rsidRPr="00E47EC1">
        <w:rPr>
          <w:bCs/>
          <w:i/>
        </w:rPr>
        <w:t>Godišnje i</w:t>
      </w:r>
      <w:r w:rsidR="00F85D69" w:rsidRPr="00E47EC1">
        <w:rPr>
          <w:bCs/>
          <w:i/>
        </w:rPr>
        <w:t xml:space="preserve">zvješće </w:t>
      </w:r>
      <w:r w:rsidR="00956673" w:rsidRPr="00E47EC1">
        <w:rPr>
          <w:bCs/>
          <w:i/>
        </w:rPr>
        <w:t xml:space="preserve">o proračunu emisija </w:t>
      </w:r>
      <w:r w:rsidR="00F85D69" w:rsidRPr="00E47EC1">
        <w:rPr>
          <w:bCs/>
          <w:i/>
        </w:rPr>
        <w:t xml:space="preserve">za </w:t>
      </w:r>
      <w:r w:rsidR="00E51982" w:rsidRPr="00E47EC1">
        <w:rPr>
          <w:bCs/>
          <w:i/>
        </w:rPr>
        <w:t>20</w:t>
      </w:r>
      <w:r w:rsidR="00E51982">
        <w:rPr>
          <w:bCs/>
          <w:i/>
        </w:rPr>
        <w:t>2</w:t>
      </w:r>
      <w:r w:rsidR="007419EA">
        <w:rPr>
          <w:bCs/>
          <w:i/>
        </w:rPr>
        <w:t>0</w:t>
      </w:r>
      <w:r w:rsidR="00F85D69" w:rsidRPr="00E47EC1">
        <w:rPr>
          <w:bCs/>
          <w:i/>
        </w:rPr>
        <w:t>. godinu)</w:t>
      </w:r>
    </w:p>
    <w:tbl>
      <w:tblPr>
        <w:tblW w:w="4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163"/>
      </w:tblGrid>
      <w:tr w:rsidR="008A0C6B" w:rsidRPr="008A0C6B" w14:paraId="1A18DF1B" w14:textId="77777777" w:rsidTr="00FB13AA">
        <w:trPr>
          <w:jc w:val="center"/>
        </w:trPr>
        <w:tc>
          <w:tcPr>
            <w:tcW w:w="1710" w:type="dxa"/>
            <w:shd w:val="clear" w:color="auto" w:fill="365F91" w:themeFill="accent1" w:themeFillShade="BF"/>
          </w:tcPr>
          <w:p w14:paraId="1A18DF19" w14:textId="77777777" w:rsidR="00317EE7" w:rsidRPr="008A0C6B" w:rsidRDefault="00317EE7" w:rsidP="00317EE7">
            <w:pPr>
              <w:spacing w:after="120"/>
              <w:rPr>
                <w:b/>
                <w:color w:val="FFFFFF" w:themeColor="background1"/>
                <w:sz w:val="22"/>
              </w:rPr>
            </w:pPr>
            <w:r w:rsidRPr="008A0C6B">
              <w:rPr>
                <w:b/>
                <w:color w:val="FFFFFF" w:themeColor="background1"/>
                <w:sz w:val="22"/>
              </w:rPr>
              <w:t>POPs</w:t>
            </w:r>
          </w:p>
        </w:tc>
        <w:tc>
          <w:tcPr>
            <w:tcW w:w="3163" w:type="dxa"/>
            <w:shd w:val="clear" w:color="auto" w:fill="365F91" w:themeFill="accent1" w:themeFillShade="BF"/>
          </w:tcPr>
          <w:p w14:paraId="1A18DF1A" w14:textId="77777777" w:rsidR="00317EE7" w:rsidRPr="008A0C6B" w:rsidRDefault="00317EE7" w:rsidP="00317EE7">
            <w:pPr>
              <w:spacing w:after="120"/>
              <w:rPr>
                <w:b/>
                <w:color w:val="FFFFFF" w:themeColor="background1"/>
              </w:rPr>
            </w:pPr>
            <w:r w:rsidRPr="008A0C6B">
              <w:rPr>
                <w:b/>
                <w:color w:val="FFFFFF" w:themeColor="background1"/>
              </w:rPr>
              <w:t>Razine emisije 1990. godine</w:t>
            </w:r>
          </w:p>
        </w:tc>
      </w:tr>
      <w:tr w:rsidR="00317EE7" w:rsidRPr="00E47EC1" w14:paraId="1A18DF1E" w14:textId="77777777" w:rsidTr="00FB13AA">
        <w:trPr>
          <w:trHeight w:val="71"/>
          <w:jc w:val="center"/>
        </w:trPr>
        <w:tc>
          <w:tcPr>
            <w:tcW w:w="1710" w:type="dxa"/>
            <w:shd w:val="clear" w:color="auto" w:fill="auto"/>
            <w:vAlign w:val="center"/>
          </w:tcPr>
          <w:p w14:paraId="1A18DF1C" w14:textId="77777777" w:rsidR="00317EE7" w:rsidRPr="008A0C6B" w:rsidRDefault="00317EE7" w:rsidP="00317EE7">
            <w:pPr>
              <w:spacing w:after="120"/>
              <w:rPr>
                <w:b/>
              </w:rPr>
            </w:pPr>
            <w:r w:rsidRPr="008A0C6B">
              <w:rPr>
                <w:b/>
              </w:rPr>
              <w:t>PAU</w:t>
            </w:r>
          </w:p>
        </w:tc>
        <w:tc>
          <w:tcPr>
            <w:tcW w:w="3163" w:type="dxa"/>
            <w:shd w:val="clear" w:color="auto" w:fill="auto"/>
            <w:vAlign w:val="center"/>
          </w:tcPr>
          <w:p w14:paraId="1A18DF1D" w14:textId="77777777" w:rsidR="00317EE7" w:rsidRPr="00E47EC1" w:rsidRDefault="00E51982" w:rsidP="00317EE7">
            <w:pPr>
              <w:spacing w:after="120"/>
            </w:pPr>
            <w:r>
              <w:t>22,07</w:t>
            </w:r>
            <w:r w:rsidR="00317EE7" w:rsidRPr="00E47EC1">
              <w:t xml:space="preserve"> t </w:t>
            </w:r>
          </w:p>
        </w:tc>
      </w:tr>
      <w:tr w:rsidR="00317EE7" w:rsidRPr="00E47EC1" w14:paraId="1A18DF21" w14:textId="77777777" w:rsidTr="00FB13AA">
        <w:trPr>
          <w:trHeight w:val="60"/>
          <w:jc w:val="center"/>
        </w:trPr>
        <w:tc>
          <w:tcPr>
            <w:tcW w:w="1710" w:type="dxa"/>
            <w:shd w:val="clear" w:color="auto" w:fill="auto"/>
            <w:vAlign w:val="center"/>
          </w:tcPr>
          <w:p w14:paraId="1A18DF1F" w14:textId="77777777" w:rsidR="00317EE7" w:rsidRPr="008A0C6B" w:rsidRDefault="00317EE7" w:rsidP="00317EE7">
            <w:pPr>
              <w:spacing w:after="120"/>
              <w:rPr>
                <w:b/>
              </w:rPr>
            </w:pPr>
            <w:r w:rsidRPr="008A0C6B">
              <w:rPr>
                <w:b/>
              </w:rPr>
              <w:t>PCDD/PCDF</w:t>
            </w:r>
          </w:p>
        </w:tc>
        <w:tc>
          <w:tcPr>
            <w:tcW w:w="3163" w:type="dxa"/>
            <w:shd w:val="clear" w:color="auto" w:fill="auto"/>
            <w:vAlign w:val="center"/>
          </w:tcPr>
          <w:p w14:paraId="1A18DF20" w14:textId="77777777" w:rsidR="00317EE7" w:rsidRPr="00E47EC1" w:rsidRDefault="00E51982" w:rsidP="00317EE7">
            <w:pPr>
              <w:spacing w:after="120"/>
            </w:pPr>
            <w:r>
              <w:t>89,05</w:t>
            </w:r>
            <w:r w:rsidR="00317EE7" w:rsidRPr="00E47EC1">
              <w:t xml:space="preserve"> g I-Teq </w:t>
            </w:r>
          </w:p>
        </w:tc>
      </w:tr>
      <w:tr w:rsidR="00317EE7" w:rsidRPr="00E47EC1" w14:paraId="1A18DF24" w14:textId="77777777" w:rsidTr="00FB13AA">
        <w:trPr>
          <w:trHeight w:val="60"/>
          <w:jc w:val="center"/>
        </w:trPr>
        <w:tc>
          <w:tcPr>
            <w:tcW w:w="1710" w:type="dxa"/>
            <w:shd w:val="clear" w:color="auto" w:fill="auto"/>
            <w:vAlign w:val="center"/>
          </w:tcPr>
          <w:p w14:paraId="1A18DF22" w14:textId="77777777" w:rsidR="00317EE7" w:rsidRPr="008A0C6B" w:rsidRDefault="00317EE7" w:rsidP="00317EE7">
            <w:pPr>
              <w:spacing w:after="120"/>
              <w:rPr>
                <w:b/>
              </w:rPr>
            </w:pPr>
            <w:r w:rsidRPr="008A0C6B">
              <w:rPr>
                <w:b/>
              </w:rPr>
              <w:t>HCB</w:t>
            </w:r>
          </w:p>
        </w:tc>
        <w:tc>
          <w:tcPr>
            <w:tcW w:w="3163" w:type="dxa"/>
            <w:shd w:val="clear" w:color="auto" w:fill="auto"/>
            <w:vAlign w:val="center"/>
          </w:tcPr>
          <w:p w14:paraId="1A18DF23" w14:textId="77777777" w:rsidR="00317EE7" w:rsidRPr="00E47EC1" w:rsidRDefault="00E51982" w:rsidP="00317EE7">
            <w:pPr>
              <w:spacing w:after="120"/>
            </w:pPr>
            <w:r>
              <w:t>7,09</w:t>
            </w:r>
            <w:r w:rsidR="00317EE7" w:rsidRPr="00E47EC1">
              <w:t xml:space="preserve"> kg </w:t>
            </w:r>
          </w:p>
        </w:tc>
      </w:tr>
      <w:tr w:rsidR="00317EE7" w:rsidRPr="00E47EC1" w14:paraId="1A18DF27" w14:textId="77777777" w:rsidTr="00FB13AA">
        <w:trPr>
          <w:trHeight w:val="140"/>
          <w:jc w:val="center"/>
        </w:trPr>
        <w:tc>
          <w:tcPr>
            <w:tcW w:w="1710" w:type="dxa"/>
            <w:shd w:val="clear" w:color="auto" w:fill="auto"/>
            <w:vAlign w:val="center"/>
          </w:tcPr>
          <w:p w14:paraId="1A18DF25" w14:textId="77777777" w:rsidR="00317EE7" w:rsidRPr="008A0C6B" w:rsidRDefault="00317EE7" w:rsidP="00317EE7">
            <w:pPr>
              <w:spacing w:after="120"/>
              <w:rPr>
                <w:b/>
              </w:rPr>
            </w:pPr>
            <w:r w:rsidRPr="008A0C6B">
              <w:rPr>
                <w:b/>
              </w:rPr>
              <w:t>PCB</w:t>
            </w:r>
          </w:p>
        </w:tc>
        <w:tc>
          <w:tcPr>
            <w:tcW w:w="3163" w:type="dxa"/>
            <w:shd w:val="clear" w:color="auto" w:fill="auto"/>
            <w:vAlign w:val="center"/>
          </w:tcPr>
          <w:p w14:paraId="1A18DF26" w14:textId="77777777" w:rsidR="00317EE7" w:rsidRPr="00E47EC1" w:rsidRDefault="00E51982" w:rsidP="00317EE7">
            <w:pPr>
              <w:spacing w:after="120"/>
            </w:pPr>
            <w:r>
              <w:t>482,78</w:t>
            </w:r>
            <w:r w:rsidR="00317EE7" w:rsidRPr="00E47EC1">
              <w:t xml:space="preserve"> kg </w:t>
            </w:r>
          </w:p>
        </w:tc>
      </w:tr>
    </w:tbl>
    <w:p w14:paraId="1A18DF28" w14:textId="77777777" w:rsidR="00061929" w:rsidRPr="00E47EC1" w:rsidRDefault="00061929" w:rsidP="00317EE7">
      <w:pPr>
        <w:spacing w:after="120"/>
      </w:pPr>
    </w:p>
    <w:p w14:paraId="1A18DF29" w14:textId="77777777" w:rsidR="00253A27" w:rsidRPr="008A0C6B" w:rsidRDefault="00317EE7" w:rsidP="007E5335">
      <w:pPr>
        <w:spacing w:after="120"/>
      </w:pPr>
      <w:r w:rsidRPr="00E47EC1">
        <w:t>Ukupne emisije, prema pojedinačnim onečišćujućim tvarima u R</w:t>
      </w:r>
      <w:r w:rsidR="00941E91" w:rsidRPr="00E47EC1">
        <w:t>epublici Hrvatskoj</w:t>
      </w:r>
      <w:r w:rsidRPr="00E47EC1">
        <w:t xml:space="preserve">, u razdoblju 1990. </w:t>
      </w:r>
      <w:r w:rsidR="00772EC3" w:rsidRPr="00E47EC1">
        <w:t>–</w:t>
      </w:r>
      <w:r w:rsidRPr="00E47EC1">
        <w:t xml:space="preserve"> </w:t>
      </w:r>
      <w:r w:rsidR="00320378" w:rsidRPr="00E47EC1">
        <w:t>20</w:t>
      </w:r>
      <w:r w:rsidR="00320378">
        <w:t>20</w:t>
      </w:r>
      <w:r w:rsidRPr="00E47EC1">
        <w:t xml:space="preserve">. dane su u </w:t>
      </w:r>
      <w:r w:rsidR="00772EC3" w:rsidRPr="00E47EC1">
        <w:t xml:space="preserve">tablici </w:t>
      </w:r>
      <w:r w:rsidR="00772EC3" w:rsidRPr="00EF4CE9">
        <w:rPr>
          <w:i/>
        </w:rPr>
        <w:t>2.3-</w:t>
      </w:r>
      <w:r w:rsidR="003602BD" w:rsidRPr="00EF4CE9">
        <w:rPr>
          <w:i/>
        </w:rPr>
        <w:t>6</w:t>
      </w:r>
      <w:r w:rsidRPr="00EF4CE9">
        <w:rPr>
          <w:i/>
        </w:rPr>
        <w:t>.</w:t>
      </w:r>
      <w:bookmarkStart w:id="19" w:name="_Toc425772746"/>
      <w:r w:rsidR="002D7C82" w:rsidRPr="00EF4CE9">
        <w:rPr>
          <w:i/>
        </w:rPr>
        <w:t>3</w:t>
      </w:r>
    </w:p>
    <w:p w14:paraId="3B17DA83" w14:textId="77777777" w:rsidR="007F1855" w:rsidRDefault="007F1855">
      <w:pPr>
        <w:spacing w:after="200" w:line="276" w:lineRule="auto"/>
        <w:jc w:val="left"/>
        <w:rPr>
          <w:i/>
          <w:color w:val="000000"/>
        </w:rPr>
      </w:pPr>
      <w:r>
        <w:rPr>
          <w:i/>
          <w:color w:val="000000"/>
        </w:rPr>
        <w:br w:type="page"/>
      </w:r>
    </w:p>
    <w:p w14:paraId="1A18DF2A" w14:textId="030E22E9" w:rsidR="00361572" w:rsidRDefault="00772EC3" w:rsidP="00A55F99">
      <w:pPr>
        <w:spacing w:after="120"/>
        <w:rPr>
          <w:bCs/>
          <w:i/>
        </w:rPr>
      </w:pPr>
      <w:r w:rsidRPr="00E47EC1">
        <w:rPr>
          <w:i/>
          <w:color w:val="000000"/>
        </w:rPr>
        <w:lastRenderedPageBreak/>
        <w:t>Tablica 2.3-</w:t>
      </w:r>
      <w:r w:rsidR="00547F2D">
        <w:rPr>
          <w:i/>
          <w:color w:val="000000"/>
        </w:rPr>
        <w:t>6</w:t>
      </w:r>
      <w:r w:rsidR="00D75298">
        <w:rPr>
          <w:i/>
          <w:color w:val="000000"/>
        </w:rPr>
        <w:t>.</w:t>
      </w:r>
      <w:r w:rsidR="007F1855">
        <w:rPr>
          <w:i/>
          <w:color w:val="000000"/>
        </w:rPr>
        <w:t>4</w:t>
      </w:r>
      <w:r w:rsidR="00EF4CE9">
        <w:rPr>
          <w:i/>
          <w:color w:val="000000"/>
        </w:rPr>
        <w:t xml:space="preserve"> </w:t>
      </w:r>
      <w:r w:rsidR="00583DBD" w:rsidRPr="00E47EC1">
        <w:rPr>
          <w:bCs/>
          <w:i/>
        </w:rPr>
        <w:t>Prikaz trenda u</w:t>
      </w:r>
      <w:r w:rsidR="00317EE7" w:rsidRPr="00E47EC1">
        <w:rPr>
          <w:bCs/>
          <w:i/>
        </w:rPr>
        <w:t>kupn</w:t>
      </w:r>
      <w:r w:rsidR="00583DBD" w:rsidRPr="00E47EC1">
        <w:rPr>
          <w:bCs/>
          <w:i/>
        </w:rPr>
        <w:t>ih</w:t>
      </w:r>
      <w:r w:rsidR="00317EE7" w:rsidRPr="00E47EC1">
        <w:rPr>
          <w:bCs/>
          <w:i/>
        </w:rPr>
        <w:t xml:space="preserve"> emisij</w:t>
      </w:r>
      <w:r w:rsidR="00583DBD" w:rsidRPr="00E47EC1">
        <w:rPr>
          <w:bCs/>
          <w:i/>
        </w:rPr>
        <w:t>a POP</w:t>
      </w:r>
      <w:r w:rsidR="0060167E" w:rsidRPr="00E47EC1">
        <w:rPr>
          <w:bCs/>
          <w:i/>
        </w:rPr>
        <w:t>s</w:t>
      </w:r>
      <w:r w:rsidR="00583DBD" w:rsidRPr="00E47EC1">
        <w:rPr>
          <w:bCs/>
          <w:i/>
        </w:rPr>
        <w:t xml:space="preserve">-ova </w:t>
      </w:r>
      <w:r w:rsidR="00317EE7" w:rsidRPr="00E47EC1">
        <w:rPr>
          <w:bCs/>
          <w:i/>
        </w:rPr>
        <w:t>u Rep</w:t>
      </w:r>
      <w:r w:rsidRPr="00E47EC1">
        <w:rPr>
          <w:bCs/>
          <w:i/>
        </w:rPr>
        <w:t xml:space="preserve">ublici Hrvatskoj, 1990. – </w:t>
      </w:r>
      <w:r w:rsidR="00320378" w:rsidRPr="00E47EC1">
        <w:rPr>
          <w:bCs/>
          <w:i/>
        </w:rPr>
        <w:t>20</w:t>
      </w:r>
      <w:r w:rsidR="00320378">
        <w:rPr>
          <w:bCs/>
          <w:i/>
        </w:rPr>
        <w:t>20</w:t>
      </w:r>
      <w:r w:rsidR="00317EE7" w:rsidRPr="00E47EC1">
        <w:rPr>
          <w:bCs/>
          <w:i/>
        </w:rPr>
        <w:t xml:space="preserve">. </w:t>
      </w:r>
      <w:r w:rsidR="00361572" w:rsidRPr="00E47EC1">
        <w:rPr>
          <w:bCs/>
          <w:i/>
        </w:rPr>
        <w:t>godine</w:t>
      </w:r>
    </w:p>
    <w:tbl>
      <w:tblPr>
        <w:tblW w:w="9742" w:type="dxa"/>
        <w:tblInd w:w="-10" w:type="dxa"/>
        <w:tblLook w:val="04A0" w:firstRow="1" w:lastRow="0" w:firstColumn="1" w:lastColumn="0" w:noHBand="0" w:noVBand="1"/>
      </w:tblPr>
      <w:tblGrid>
        <w:gridCol w:w="861"/>
        <w:gridCol w:w="928"/>
        <w:gridCol w:w="748"/>
        <w:gridCol w:w="748"/>
        <w:gridCol w:w="748"/>
        <w:gridCol w:w="748"/>
        <w:gridCol w:w="748"/>
        <w:gridCol w:w="748"/>
        <w:gridCol w:w="748"/>
        <w:gridCol w:w="748"/>
        <w:gridCol w:w="1038"/>
        <w:gridCol w:w="1038"/>
      </w:tblGrid>
      <w:tr w:rsidR="00B542EA" w:rsidRPr="00361572" w14:paraId="1A18DF37" w14:textId="77777777" w:rsidTr="00FB13AA">
        <w:trPr>
          <w:trHeight w:val="975"/>
          <w:tblHeader/>
        </w:trPr>
        <w:tc>
          <w:tcPr>
            <w:tcW w:w="839" w:type="dxa"/>
            <w:tcBorders>
              <w:top w:val="single" w:sz="8" w:space="0" w:color="auto"/>
              <w:left w:val="single" w:sz="8" w:space="0" w:color="auto"/>
              <w:bottom w:val="nil"/>
              <w:right w:val="single" w:sz="8" w:space="0" w:color="auto"/>
            </w:tcBorders>
            <w:shd w:val="clear" w:color="000000" w:fill="003C71"/>
            <w:vAlign w:val="center"/>
            <w:hideMark/>
          </w:tcPr>
          <w:p w14:paraId="1A18DF2B" w14:textId="77777777" w:rsidR="00361572" w:rsidRPr="00361572" w:rsidRDefault="00361572" w:rsidP="00361572">
            <w:pPr>
              <w:jc w:val="center"/>
              <w:rPr>
                <w:b/>
                <w:bCs/>
                <w:color w:val="FFFFFF"/>
                <w:sz w:val="20"/>
                <w:szCs w:val="20"/>
              </w:rPr>
            </w:pPr>
            <w:r w:rsidRPr="00361572">
              <w:rPr>
                <w:b/>
                <w:bCs/>
                <w:color w:val="FFFFFF"/>
                <w:sz w:val="20"/>
                <w:szCs w:val="20"/>
              </w:rPr>
              <w:t>Onečiš-ćujuća tvar</w:t>
            </w:r>
          </w:p>
        </w:tc>
        <w:tc>
          <w:tcPr>
            <w:tcW w:w="903" w:type="dxa"/>
            <w:tcBorders>
              <w:top w:val="single" w:sz="8" w:space="0" w:color="auto"/>
              <w:left w:val="nil"/>
              <w:bottom w:val="nil"/>
              <w:right w:val="single" w:sz="8" w:space="0" w:color="auto"/>
            </w:tcBorders>
            <w:shd w:val="clear" w:color="000000" w:fill="003C71"/>
            <w:vAlign w:val="center"/>
            <w:hideMark/>
          </w:tcPr>
          <w:p w14:paraId="1A18DF2C" w14:textId="77777777" w:rsidR="00361572" w:rsidRPr="00361572" w:rsidRDefault="00361572" w:rsidP="00361572">
            <w:pPr>
              <w:jc w:val="center"/>
              <w:rPr>
                <w:b/>
                <w:bCs/>
                <w:color w:val="FFFFFF"/>
                <w:sz w:val="20"/>
                <w:szCs w:val="20"/>
              </w:rPr>
            </w:pPr>
            <w:r w:rsidRPr="00361572">
              <w:rPr>
                <w:b/>
                <w:bCs/>
                <w:color w:val="FFFFFF"/>
                <w:sz w:val="20"/>
                <w:szCs w:val="20"/>
              </w:rPr>
              <w:t>Jedinica</w:t>
            </w:r>
          </w:p>
        </w:tc>
        <w:tc>
          <w:tcPr>
            <w:tcW w:w="748" w:type="dxa"/>
            <w:tcBorders>
              <w:top w:val="single" w:sz="8" w:space="0" w:color="auto"/>
              <w:left w:val="nil"/>
              <w:bottom w:val="nil"/>
              <w:right w:val="single" w:sz="8" w:space="0" w:color="auto"/>
            </w:tcBorders>
            <w:shd w:val="clear" w:color="000000" w:fill="003C71"/>
            <w:noWrap/>
            <w:vAlign w:val="center"/>
            <w:hideMark/>
          </w:tcPr>
          <w:p w14:paraId="1A18DF2D" w14:textId="77777777" w:rsidR="00361572" w:rsidRPr="00361572" w:rsidRDefault="00361572" w:rsidP="00361572">
            <w:pPr>
              <w:jc w:val="center"/>
              <w:rPr>
                <w:b/>
                <w:bCs/>
                <w:color w:val="FFFFFF"/>
                <w:sz w:val="20"/>
                <w:szCs w:val="20"/>
              </w:rPr>
            </w:pPr>
            <w:r w:rsidRPr="00361572">
              <w:rPr>
                <w:b/>
                <w:bCs/>
                <w:color w:val="FFFFFF"/>
                <w:sz w:val="20"/>
                <w:szCs w:val="20"/>
              </w:rPr>
              <w:t>1990.</w:t>
            </w:r>
          </w:p>
        </w:tc>
        <w:tc>
          <w:tcPr>
            <w:tcW w:w="748" w:type="dxa"/>
            <w:tcBorders>
              <w:top w:val="single" w:sz="8" w:space="0" w:color="auto"/>
              <w:left w:val="nil"/>
              <w:bottom w:val="nil"/>
              <w:right w:val="single" w:sz="8" w:space="0" w:color="auto"/>
            </w:tcBorders>
            <w:shd w:val="clear" w:color="000000" w:fill="003C71"/>
            <w:noWrap/>
            <w:vAlign w:val="center"/>
            <w:hideMark/>
          </w:tcPr>
          <w:p w14:paraId="1A18DF2E" w14:textId="77777777" w:rsidR="00361572" w:rsidRPr="00361572" w:rsidRDefault="00361572" w:rsidP="00361572">
            <w:pPr>
              <w:jc w:val="center"/>
              <w:rPr>
                <w:b/>
                <w:bCs/>
                <w:color w:val="FFFFFF"/>
                <w:sz w:val="20"/>
                <w:szCs w:val="20"/>
              </w:rPr>
            </w:pPr>
            <w:r w:rsidRPr="00361572">
              <w:rPr>
                <w:b/>
                <w:bCs/>
                <w:color w:val="FFFFFF"/>
                <w:sz w:val="20"/>
                <w:szCs w:val="20"/>
              </w:rPr>
              <w:t>1995.</w:t>
            </w:r>
          </w:p>
        </w:tc>
        <w:tc>
          <w:tcPr>
            <w:tcW w:w="748" w:type="dxa"/>
            <w:tcBorders>
              <w:top w:val="single" w:sz="8" w:space="0" w:color="auto"/>
              <w:left w:val="nil"/>
              <w:bottom w:val="nil"/>
              <w:right w:val="single" w:sz="8" w:space="0" w:color="auto"/>
            </w:tcBorders>
            <w:shd w:val="clear" w:color="000000" w:fill="003C71"/>
            <w:noWrap/>
            <w:vAlign w:val="center"/>
            <w:hideMark/>
          </w:tcPr>
          <w:p w14:paraId="1A18DF2F" w14:textId="77777777" w:rsidR="00361572" w:rsidRPr="00361572" w:rsidRDefault="00361572" w:rsidP="00361572">
            <w:pPr>
              <w:jc w:val="center"/>
              <w:rPr>
                <w:b/>
                <w:bCs/>
                <w:color w:val="FFFFFF"/>
                <w:sz w:val="20"/>
                <w:szCs w:val="20"/>
              </w:rPr>
            </w:pPr>
            <w:r w:rsidRPr="00361572">
              <w:rPr>
                <w:b/>
                <w:bCs/>
                <w:color w:val="FFFFFF"/>
                <w:sz w:val="20"/>
                <w:szCs w:val="20"/>
              </w:rPr>
              <w:t>2000.</w:t>
            </w:r>
          </w:p>
        </w:tc>
        <w:tc>
          <w:tcPr>
            <w:tcW w:w="748" w:type="dxa"/>
            <w:tcBorders>
              <w:top w:val="single" w:sz="8" w:space="0" w:color="auto"/>
              <w:left w:val="nil"/>
              <w:bottom w:val="nil"/>
              <w:right w:val="single" w:sz="8" w:space="0" w:color="auto"/>
            </w:tcBorders>
            <w:shd w:val="clear" w:color="000000" w:fill="003C71"/>
            <w:noWrap/>
            <w:vAlign w:val="center"/>
            <w:hideMark/>
          </w:tcPr>
          <w:p w14:paraId="1A18DF30" w14:textId="77777777" w:rsidR="00361572" w:rsidRPr="00361572" w:rsidRDefault="00361572" w:rsidP="00361572">
            <w:pPr>
              <w:jc w:val="center"/>
              <w:rPr>
                <w:b/>
                <w:bCs/>
                <w:color w:val="FFFFFF"/>
                <w:sz w:val="20"/>
                <w:szCs w:val="20"/>
              </w:rPr>
            </w:pPr>
            <w:r w:rsidRPr="00361572">
              <w:rPr>
                <w:b/>
                <w:bCs/>
                <w:color w:val="FFFFFF"/>
                <w:sz w:val="20"/>
                <w:szCs w:val="20"/>
              </w:rPr>
              <w:t>2005.</w:t>
            </w:r>
          </w:p>
        </w:tc>
        <w:tc>
          <w:tcPr>
            <w:tcW w:w="748" w:type="dxa"/>
            <w:tcBorders>
              <w:top w:val="single" w:sz="8" w:space="0" w:color="auto"/>
              <w:left w:val="nil"/>
              <w:bottom w:val="nil"/>
              <w:right w:val="single" w:sz="8" w:space="0" w:color="auto"/>
            </w:tcBorders>
            <w:shd w:val="clear" w:color="000000" w:fill="003C71"/>
            <w:noWrap/>
            <w:vAlign w:val="center"/>
            <w:hideMark/>
          </w:tcPr>
          <w:p w14:paraId="1A18DF31" w14:textId="77777777" w:rsidR="00361572" w:rsidRPr="00361572" w:rsidRDefault="00361572" w:rsidP="00361572">
            <w:pPr>
              <w:jc w:val="center"/>
              <w:rPr>
                <w:b/>
                <w:bCs/>
                <w:color w:val="FFFFFF"/>
                <w:sz w:val="20"/>
                <w:szCs w:val="20"/>
              </w:rPr>
            </w:pPr>
            <w:r w:rsidRPr="00361572">
              <w:rPr>
                <w:b/>
                <w:bCs/>
                <w:color w:val="FFFFFF"/>
                <w:sz w:val="20"/>
                <w:szCs w:val="20"/>
              </w:rPr>
              <w:t>2010.</w:t>
            </w:r>
          </w:p>
        </w:tc>
        <w:tc>
          <w:tcPr>
            <w:tcW w:w="748" w:type="dxa"/>
            <w:tcBorders>
              <w:top w:val="single" w:sz="8" w:space="0" w:color="auto"/>
              <w:left w:val="nil"/>
              <w:bottom w:val="nil"/>
              <w:right w:val="single" w:sz="8" w:space="0" w:color="auto"/>
            </w:tcBorders>
            <w:shd w:val="clear" w:color="000000" w:fill="003C71"/>
            <w:noWrap/>
            <w:vAlign w:val="center"/>
            <w:hideMark/>
          </w:tcPr>
          <w:p w14:paraId="1A18DF32" w14:textId="77777777" w:rsidR="00361572" w:rsidRPr="00361572" w:rsidRDefault="00361572" w:rsidP="00361572">
            <w:pPr>
              <w:jc w:val="center"/>
              <w:rPr>
                <w:b/>
                <w:bCs/>
                <w:color w:val="FFFFFF"/>
                <w:sz w:val="20"/>
                <w:szCs w:val="20"/>
              </w:rPr>
            </w:pPr>
            <w:r w:rsidRPr="00361572">
              <w:rPr>
                <w:b/>
                <w:bCs/>
                <w:color w:val="FFFFFF"/>
                <w:sz w:val="20"/>
                <w:szCs w:val="20"/>
              </w:rPr>
              <w:t>2015.</w:t>
            </w:r>
          </w:p>
        </w:tc>
        <w:tc>
          <w:tcPr>
            <w:tcW w:w="748" w:type="dxa"/>
            <w:tcBorders>
              <w:top w:val="single" w:sz="8" w:space="0" w:color="auto"/>
              <w:left w:val="nil"/>
              <w:bottom w:val="nil"/>
              <w:right w:val="single" w:sz="8" w:space="0" w:color="auto"/>
            </w:tcBorders>
            <w:shd w:val="clear" w:color="000000" w:fill="003C71"/>
            <w:noWrap/>
            <w:vAlign w:val="center"/>
            <w:hideMark/>
          </w:tcPr>
          <w:p w14:paraId="1A18DF33" w14:textId="77777777" w:rsidR="00361572" w:rsidRPr="00361572" w:rsidRDefault="00361572" w:rsidP="00361572">
            <w:pPr>
              <w:jc w:val="center"/>
              <w:rPr>
                <w:b/>
                <w:bCs/>
                <w:color w:val="FFFFFF"/>
                <w:sz w:val="20"/>
                <w:szCs w:val="20"/>
              </w:rPr>
            </w:pPr>
            <w:r w:rsidRPr="00361572">
              <w:rPr>
                <w:b/>
                <w:bCs/>
                <w:color w:val="FFFFFF"/>
                <w:sz w:val="20"/>
                <w:szCs w:val="20"/>
              </w:rPr>
              <w:t>2019.</w:t>
            </w:r>
          </w:p>
        </w:tc>
        <w:tc>
          <w:tcPr>
            <w:tcW w:w="748" w:type="dxa"/>
            <w:tcBorders>
              <w:top w:val="single" w:sz="8" w:space="0" w:color="auto"/>
              <w:left w:val="nil"/>
              <w:bottom w:val="nil"/>
              <w:right w:val="single" w:sz="8" w:space="0" w:color="auto"/>
            </w:tcBorders>
            <w:shd w:val="clear" w:color="000000" w:fill="003C71"/>
            <w:noWrap/>
            <w:vAlign w:val="center"/>
            <w:hideMark/>
          </w:tcPr>
          <w:p w14:paraId="1A18DF34" w14:textId="77777777" w:rsidR="00361572" w:rsidRPr="00361572" w:rsidRDefault="00361572" w:rsidP="00361572">
            <w:pPr>
              <w:jc w:val="center"/>
              <w:rPr>
                <w:b/>
                <w:bCs/>
                <w:color w:val="FFFFFF"/>
                <w:sz w:val="20"/>
                <w:szCs w:val="20"/>
              </w:rPr>
            </w:pPr>
            <w:r w:rsidRPr="00361572">
              <w:rPr>
                <w:b/>
                <w:bCs/>
                <w:color w:val="FFFFFF"/>
                <w:sz w:val="20"/>
                <w:szCs w:val="20"/>
              </w:rPr>
              <w:t>2020.</w:t>
            </w:r>
          </w:p>
        </w:tc>
        <w:tc>
          <w:tcPr>
            <w:tcW w:w="1008" w:type="dxa"/>
            <w:tcBorders>
              <w:top w:val="single" w:sz="8" w:space="0" w:color="auto"/>
              <w:left w:val="nil"/>
              <w:bottom w:val="nil"/>
              <w:right w:val="single" w:sz="8" w:space="0" w:color="auto"/>
            </w:tcBorders>
            <w:shd w:val="clear" w:color="000000" w:fill="003C71"/>
            <w:vAlign w:val="center"/>
            <w:hideMark/>
          </w:tcPr>
          <w:p w14:paraId="1A18DF35" w14:textId="77777777" w:rsidR="00361572" w:rsidRPr="00361572" w:rsidRDefault="00361572" w:rsidP="00361572">
            <w:pPr>
              <w:jc w:val="center"/>
              <w:rPr>
                <w:b/>
                <w:bCs/>
                <w:color w:val="FFFFFF"/>
                <w:sz w:val="20"/>
                <w:szCs w:val="20"/>
              </w:rPr>
            </w:pPr>
            <w:r w:rsidRPr="00361572">
              <w:rPr>
                <w:b/>
                <w:bCs/>
                <w:color w:val="FFFFFF"/>
                <w:sz w:val="20"/>
                <w:szCs w:val="20"/>
              </w:rPr>
              <w:t>Udio promjene od 1990. do 2020.</w:t>
            </w:r>
          </w:p>
        </w:tc>
        <w:tc>
          <w:tcPr>
            <w:tcW w:w="1008" w:type="dxa"/>
            <w:tcBorders>
              <w:top w:val="single" w:sz="8" w:space="0" w:color="auto"/>
              <w:left w:val="nil"/>
              <w:bottom w:val="nil"/>
              <w:right w:val="single" w:sz="8" w:space="0" w:color="auto"/>
            </w:tcBorders>
            <w:shd w:val="clear" w:color="000000" w:fill="003C71"/>
            <w:vAlign w:val="center"/>
            <w:hideMark/>
          </w:tcPr>
          <w:p w14:paraId="1A18DF36" w14:textId="77777777" w:rsidR="00361572" w:rsidRPr="00361572" w:rsidRDefault="00361572" w:rsidP="00361572">
            <w:pPr>
              <w:jc w:val="center"/>
              <w:rPr>
                <w:b/>
                <w:bCs/>
                <w:color w:val="FFFFFF"/>
                <w:sz w:val="20"/>
                <w:szCs w:val="20"/>
              </w:rPr>
            </w:pPr>
            <w:r w:rsidRPr="00361572">
              <w:rPr>
                <w:b/>
                <w:bCs/>
                <w:color w:val="FFFFFF"/>
                <w:sz w:val="20"/>
                <w:szCs w:val="20"/>
              </w:rPr>
              <w:t>Udio promjene od 2019. do 2020.</w:t>
            </w:r>
          </w:p>
        </w:tc>
      </w:tr>
      <w:tr w:rsidR="00361572" w:rsidRPr="00361572" w14:paraId="1A18DF44" w14:textId="77777777" w:rsidTr="00FB13AA">
        <w:trPr>
          <w:trHeight w:val="517"/>
        </w:trPr>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8" w14:textId="77777777" w:rsidR="00361572" w:rsidRPr="00361572" w:rsidRDefault="00361572" w:rsidP="00361572">
            <w:pPr>
              <w:rPr>
                <w:b/>
                <w:bCs/>
                <w:color w:val="000000"/>
                <w:sz w:val="20"/>
                <w:szCs w:val="20"/>
              </w:rPr>
            </w:pPr>
            <w:r w:rsidRPr="00361572">
              <w:rPr>
                <w:b/>
                <w:bCs/>
                <w:color w:val="000000"/>
                <w:sz w:val="20"/>
                <w:szCs w:val="20"/>
              </w:rPr>
              <w:t>PCDD/ PCDF</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9" w14:textId="77777777" w:rsidR="00361572" w:rsidRPr="003602BD" w:rsidRDefault="00361572" w:rsidP="00361572">
            <w:pPr>
              <w:rPr>
                <w:color w:val="000000"/>
                <w:sz w:val="20"/>
                <w:szCs w:val="20"/>
              </w:rPr>
            </w:pPr>
            <w:r w:rsidRPr="003602BD">
              <w:rPr>
                <w:color w:val="000000"/>
                <w:sz w:val="20"/>
                <w:szCs w:val="20"/>
              </w:rPr>
              <w:t>g I-Teq</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A" w14:textId="77777777" w:rsidR="00361572" w:rsidRPr="003602BD" w:rsidRDefault="003602BD" w:rsidP="00361572">
            <w:pPr>
              <w:jc w:val="center"/>
              <w:rPr>
                <w:color w:val="000000"/>
                <w:sz w:val="20"/>
                <w:szCs w:val="20"/>
              </w:rPr>
            </w:pPr>
            <w:r>
              <w:rPr>
                <w:color w:val="000000"/>
                <w:sz w:val="20"/>
              </w:rPr>
              <w:t>89,0</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B" w14:textId="77777777" w:rsidR="00361572" w:rsidRPr="003602BD" w:rsidRDefault="003602BD" w:rsidP="00361572">
            <w:pPr>
              <w:jc w:val="center"/>
              <w:rPr>
                <w:color w:val="000000"/>
                <w:sz w:val="20"/>
                <w:szCs w:val="20"/>
              </w:rPr>
            </w:pPr>
            <w:r>
              <w:rPr>
                <w:color w:val="000000"/>
                <w:sz w:val="20"/>
              </w:rPr>
              <w:t>78,8</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C" w14:textId="77777777" w:rsidR="00361572" w:rsidRPr="003602BD" w:rsidRDefault="003602BD" w:rsidP="00361572">
            <w:pPr>
              <w:jc w:val="center"/>
              <w:rPr>
                <w:color w:val="000000"/>
                <w:sz w:val="20"/>
                <w:szCs w:val="20"/>
              </w:rPr>
            </w:pPr>
            <w:r>
              <w:rPr>
                <w:color w:val="000000"/>
                <w:sz w:val="20"/>
              </w:rPr>
              <w:t>78,0</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D" w14:textId="77777777" w:rsidR="00361572" w:rsidRPr="003602BD" w:rsidRDefault="003602BD" w:rsidP="00361572">
            <w:pPr>
              <w:jc w:val="center"/>
              <w:rPr>
                <w:color w:val="000000"/>
                <w:sz w:val="20"/>
                <w:szCs w:val="20"/>
              </w:rPr>
            </w:pPr>
            <w:r>
              <w:rPr>
                <w:color w:val="000000"/>
                <w:sz w:val="20"/>
              </w:rPr>
              <w:t>116,8</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E" w14:textId="77777777" w:rsidR="00361572" w:rsidRPr="003602BD" w:rsidRDefault="003602BD" w:rsidP="00361572">
            <w:pPr>
              <w:jc w:val="center"/>
              <w:rPr>
                <w:color w:val="000000"/>
                <w:sz w:val="20"/>
                <w:szCs w:val="20"/>
              </w:rPr>
            </w:pPr>
            <w:r>
              <w:rPr>
                <w:color w:val="000000"/>
                <w:sz w:val="20"/>
              </w:rPr>
              <w:t>82,1</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3F" w14:textId="77777777" w:rsidR="00361572" w:rsidRPr="003602BD" w:rsidRDefault="003602BD" w:rsidP="00361572">
            <w:pPr>
              <w:jc w:val="center"/>
              <w:rPr>
                <w:color w:val="000000"/>
                <w:sz w:val="20"/>
                <w:szCs w:val="20"/>
              </w:rPr>
            </w:pPr>
            <w:r>
              <w:rPr>
                <w:color w:val="000000"/>
                <w:sz w:val="20"/>
              </w:rPr>
              <w:t>39,6</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40" w14:textId="77777777" w:rsidR="00361572" w:rsidRPr="003602BD" w:rsidRDefault="003602BD" w:rsidP="00361572">
            <w:pPr>
              <w:jc w:val="center"/>
              <w:rPr>
                <w:color w:val="000000"/>
                <w:sz w:val="20"/>
                <w:szCs w:val="20"/>
              </w:rPr>
            </w:pPr>
            <w:r>
              <w:rPr>
                <w:color w:val="000000"/>
                <w:sz w:val="20"/>
              </w:rPr>
              <w:t>26,1</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DF41" w14:textId="77777777" w:rsidR="00361572" w:rsidRPr="003602BD" w:rsidRDefault="003602BD" w:rsidP="00361572">
            <w:pPr>
              <w:jc w:val="center"/>
              <w:rPr>
                <w:color w:val="000000"/>
                <w:sz w:val="20"/>
                <w:szCs w:val="20"/>
              </w:rPr>
            </w:pPr>
            <w:r>
              <w:rPr>
                <w:color w:val="000000"/>
                <w:sz w:val="20"/>
              </w:rPr>
              <w:t>25,5</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18DF42" w14:textId="77777777" w:rsidR="00361572" w:rsidRPr="003602BD" w:rsidRDefault="0050182E" w:rsidP="00361572">
            <w:pPr>
              <w:jc w:val="center"/>
              <w:rPr>
                <w:color w:val="000000"/>
                <w:sz w:val="20"/>
                <w:szCs w:val="20"/>
              </w:rPr>
            </w:pPr>
            <w:r>
              <w:rPr>
                <w:color w:val="000000"/>
                <w:sz w:val="20"/>
              </w:rPr>
              <w:t xml:space="preserve">- </w:t>
            </w:r>
            <w:r w:rsidR="003602BD">
              <w:rPr>
                <w:color w:val="000000"/>
                <w:sz w:val="20"/>
              </w:rPr>
              <w:t>71,3%</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18DF43" w14:textId="77777777" w:rsidR="00361572" w:rsidRPr="003602BD" w:rsidRDefault="003602BD" w:rsidP="00361572">
            <w:pPr>
              <w:jc w:val="center"/>
              <w:rPr>
                <w:color w:val="000000"/>
                <w:sz w:val="20"/>
                <w:szCs w:val="20"/>
              </w:rPr>
            </w:pPr>
            <w:r>
              <w:rPr>
                <w:color w:val="000000"/>
                <w:sz w:val="20"/>
              </w:rPr>
              <w:t>-2,0%</w:t>
            </w:r>
          </w:p>
        </w:tc>
      </w:tr>
      <w:tr w:rsidR="00361572" w:rsidRPr="00361572" w14:paraId="1A18DF51" w14:textId="77777777" w:rsidTr="00FB13AA">
        <w:trPr>
          <w:trHeight w:val="517"/>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1A18DF45" w14:textId="77777777" w:rsidR="00361572" w:rsidRPr="00361572" w:rsidRDefault="00361572" w:rsidP="00361572">
            <w:pPr>
              <w:rPr>
                <w:b/>
                <w:bCs/>
                <w:color w:val="000000"/>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14:paraId="1A18DF46"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7"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8"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9"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A"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B"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C"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D" w14:textId="77777777" w:rsidR="00361572" w:rsidRPr="003602BD" w:rsidRDefault="00361572" w:rsidP="00361572">
            <w:pPr>
              <w:rPr>
                <w:color w:val="000000"/>
                <w:sz w:val="20"/>
                <w:szCs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A18DF4E" w14:textId="77777777" w:rsidR="00361572" w:rsidRPr="003602BD" w:rsidRDefault="00361572" w:rsidP="00361572">
            <w:pPr>
              <w:rPr>
                <w:color w:val="000000"/>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1A18DF4F" w14:textId="77777777" w:rsidR="00361572" w:rsidRPr="003602BD" w:rsidRDefault="00361572" w:rsidP="00361572">
            <w:pPr>
              <w:rPr>
                <w:color w:val="000000"/>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1A18DF50" w14:textId="77777777" w:rsidR="00361572" w:rsidRPr="003602BD" w:rsidRDefault="00361572" w:rsidP="00361572">
            <w:pPr>
              <w:rPr>
                <w:color w:val="000000"/>
                <w:sz w:val="20"/>
                <w:szCs w:val="20"/>
              </w:rPr>
            </w:pPr>
          </w:p>
        </w:tc>
      </w:tr>
      <w:tr w:rsidR="00361572" w:rsidRPr="00361572" w14:paraId="1A18DF5E" w14:textId="77777777" w:rsidTr="00FB13AA">
        <w:trPr>
          <w:trHeight w:val="27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A18DF52" w14:textId="77777777" w:rsidR="00361572" w:rsidRPr="00361572" w:rsidRDefault="00361572" w:rsidP="00361572">
            <w:pPr>
              <w:rPr>
                <w:b/>
                <w:bCs/>
                <w:color w:val="000000"/>
                <w:sz w:val="20"/>
                <w:szCs w:val="20"/>
              </w:rPr>
            </w:pPr>
            <w:r w:rsidRPr="00361572">
              <w:rPr>
                <w:b/>
                <w:bCs/>
                <w:color w:val="000000"/>
                <w:sz w:val="20"/>
                <w:szCs w:val="20"/>
              </w:rPr>
              <w:t>PAU</w:t>
            </w:r>
          </w:p>
        </w:tc>
        <w:tc>
          <w:tcPr>
            <w:tcW w:w="903" w:type="dxa"/>
            <w:tcBorders>
              <w:top w:val="nil"/>
              <w:left w:val="nil"/>
              <w:bottom w:val="single" w:sz="4" w:space="0" w:color="auto"/>
              <w:right w:val="single" w:sz="4" w:space="0" w:color="auto"/>
            </w:tcBorders>
            <w:shd w:val="clear" w:color="auto" w:fill="auto"/>
            <w:noWrap/>
            <w:vAlign w:val="center"/>
            <w:hideMark/>
          </w:tcPr>
          <w:p w14:paraId="1A18DF53" w14:textId="77777777" w:rsidR="00361572" w:rsidRPr="003602BD" w:rsidRDefault="00361572" w:rsidP="00361572">
            <w:pPr>
              <w:rPr>
                <w:color w:val="000000"/>
                <w:sz w:val="20"/>
                <w:szCs w:val="20"/>
              </w:rPr>
            </w:pPr>
            <w:r w:rsidRPr="003602BD">
              <w:rPr>
                <w:color w:val="000000"/>
                <w:sz w:val="20"/>
                <w:szCs w:val="20"/>
              </w:rPr>
              <w:t>t</w:t>
            </w:r>
          </w:p>
        </w:tc>
        <w:tc>
          <w:tcPr>
            <w:tcW w:w="748" w:type="dxa"/>
            <w:tcBorders>
              <w:top w:val="nil"/>
              <w:left w:val="nil"/>
              <w:bottom w:val="single" w:sz="4" w:space="0" w:color="auto"/>
              <w:right w:val="single" w:sz="4" w:space="0" w:color="auto"/>
            </w:tcBorders>
            <w:shd w:val="clear" w:color="auto" w:fill="auto"/>
            <w:noWrap/>
            <w:vAlign w:val="center"/>
            <w:hideMark/>
          </w:tcPr>
          <w:p w14:paraId="1A18DF54" w14:textId="77777777" w:rsidR="00361572" w:rsidRPr="003602BD" w:rsidRDefault="003602BD" w:rsidP="00361572">
            <w:pPr>
              <w:jc w:val="center"/>
              <w:rPr>
                <w:color w:val="000000"/>
                <w:sz w:val="20"/>
                <w:szCs w:val="20"/>
              </w:rPr>
            </w:pPr>
            <w:r>
              <w:rPr>
                <w:color w:val="000000"/>
                <w:sz w:val="20"/>
              </w:rPr>
              <w:t>22,1</w:t>
            </w:r>
          </w:p>
        </w:tc>
        <w:tc>
          <w:tcPr>
            <w:tcW w:w="748" w:type="dxa"/>
            <w:tcBorders>
              <w:top w:val="nil"/>
              <w:left w:val="nil"/>
              <w:bottom w:val="single" w:sz="4" w:space="0" w:color="auto"/>
              <w:right w:val="single" w:sz="4" w:space="0" w:color="auto"/>
            </w:tcBorders>
            <w:shd w:val="clear" w:color="auto" w:fill="auto"/>
            <w:noWrap/>
            <w:vAlign w:val="center"/>
            <w:hideMark/>
          </w:tcPr>
          <w:p w14:paraId="1A18DF55" w14:textId="77777777" w:rsidR="00361572" w:rsidRPr="003602BD" w:rsidRDefault="003602BD" w:rsidP="00361572">
            <w:pPr>
              <w:jc w:val="center"/>
              <w:rPr>
                <w:color w:val="000000"/>
                <w:sz w:val="20"/>
                <w:szCs w:val="20"/>
              </w:rPr>
            </w:pPr>
            <w:r>
              <w:rPr>
                <w:color w:val="000000"/>
                <w:sz w:val="20"/>
              </w:rPr>
              <w:t>16,9</w:t>
            </w:r>
          </w:p>
        </w:tc>
        <w:tc>
          <w:tcPr>
            <w:tcW w:w="748" w:type="dxa"/>
            <w:tcBorders>
              <w:top w:val="nil"/>
              <w:left w:val="nil"/>
              <w:bottom w:val="single" w:sz="4" w:space="0" w:color="auto"/>
              <w:right w:val="single" w:sz="4" w:space="0" w:color="auto"/>
            </w:tcBorders>
            <w:shd w:val="clear" w:color="auto" w:fill="auto"/>
            <w:noWrap/>
            <w:vAlign w:val="center"/>
            <w:hideMark/>
          </w:tcPr>
          <w:p w14:paraId="1A18DF56" w14:textId="77777777" w:rsidR="00361572" w:rsidRPr="003602BD" w:rsidRDefault="003602BD" w:rsidP="00361572">
            <w:pPr>
              <w:jc w:val="center"/>
              <w:rPr>
                <w:color w:val="000000"/>
                <w:sz w:val="20"/>
                <w:szCs w:val="20"/>
              </w:rPr>
            </w:pPr>
            <w:r>
              <w:rPr>
                <w:color w:val="000000"/>
                <w:sz w:val="20"/>
              </w:rPr>
              <w:t>15,2</w:t>
            </w:r>
          </w:p>
        </w:tc>
        <w:tc>
          <w:tcPr>
            <w:tcW w:w="748" w:type="dxa"/>
            <w:tcBorders>
              <w:top w:val="nil"/>
              <w:left w:val="nil"/>
              <w:bottom w:val="single" w:sz="4" w:space="0" w:color="auto"/>
              <w:right w:val="single" w:sz="4" w:space="0" w:color="auto"/>
            </w:tcBorders>
            <w:shd w:val="clear" w:color="auto" w:fill="auto"/>
            <w:noWrap/>
            <w:vAlign w:val="center"/>
            <w:hideMark/>
          </w:tcPr>
          <w:p w14:paraId="1A18DF57" w14:textId="77777777" w:rsidR="00361572" w:rsidRPr="003602BD" w:rsidRDefault="003602BD" w:rsidP="00361572">
            <w:pPr>
              <w:jc w:val="center"/>
              <w:rPr>
                <w:color w:val="000000"/>
                <w:sz w:val="20"/>
                <w:szCs w:val="20"/>
              </w:rPr>
            </w:pPr>
            <w:r>
              <w:rPr>
                <w:color w:val="000000"/>
                <w:sz w:val="20"/>
              </w:rPr>
              <w:t>19,0</w:t>
            </w:r>
          </w:p>
        </w:tc>
        <w:tc>
          <w:tcPr>
            <w:tcW w:w="748" w:type="dxa"/>
            <w:tcBorders>
              <w:top w:val="nil"/>
              <w:left w:val="nil"/>
              <w:bottom w:val="single" w:sz="4" w:space="0" w:color="auto"/>
              <w:right w:val="single" w:sz="4" w:space="0" w:color="auto"/>
            </w:tcBorders>
            <w:shd w:val="clear" w:color="auto" w:fill="auto"/>
            <w:noWrap/>
            <w:vAlign w:val="center"/>
            <w:hideMark/>
          </w:tcPr>
          <w:p w14:paraId="1A18DF58" w14:textId="77777777" w:rsidR="00361572" w:rsidRPr="003602BD" w:rsidRDefault="003602BD" w:rsidP="00361572">
            <w:pPr>
              <w:jc w:val="center"/>
              <w:rPr>
                <w:color w:val="000000"/>
                <w:sz w:val="20"/>
                <w:szCs w:val="20"/>
              </w:rPr>
            </w:pPr>
            <w:r>
              <w:rPr>
                <w:color w:val="000000"/>
                <w:sz w:val="20"/>
              </w:rPr>
              <w:t>17,9</w:t>
            </w:r>
          </w:p>
        </w:tc>
        <w:tc>
          <w:tcPr>
            <w:tcW w:w="748" w:type="dxa"/>
            <w:tcBorders>
              <w:top w:val="nil"/>
              <w:left w:val="nil"/>
              <w:bottom w:val="single" w:sz="4" w:space="0" w:color="auto"/>
              <w:right w:val="single" w:sz="4" w:space="0" w:color="auto"/>
            </w:tcBorders>
            <w:shd w:val="clear" w:color="auto" w:fill="auto"/>
            <w:noWrap/>
            <w:vAlign w:val="center"/>
            <w:hideMark/>
          </w:tcPr>
          <w:p w14:paraId="1A18DF59" w14:textId="77777777" w:rsidR="00361572" w:rsidRPr="003602BD" w:rsidRDefault="003602BD" w:rsidP="00361572">
            <w:pPr>
              <w:jc w:val="center"/>
              <w:rPr>
                <w:color w:val="000000"/>
                <w:sz w:val="20"/>
                <w:szCs w:val="20"/>
              </w:rPr>
            </w:pPr>
            <w:r>
              <w:rPr>
                <w:color w:val="000000"/>
                <w:sz w:val="20"/>
              </w:rPr>
              <w:t>15,9</w:t>
            </w:r>
          </w:p>
        </w:tc>
        <w:tc>
          <w:tcPr>
            <w:tcW w:w="748" w:type="dxa"/>
            <w:tcBorders>
              <w:top w:val="nil"/>
              <w:left w:val="nil"/>
              <w:bottom w:val="single" w:sz="4" w:space="0" w:color="auto"/>
              <w:right w:val="single" w:sz="4" w:space="0" w:color="auto"/>
            </w:tcBorders>
            <w:shd w:val="clear" w:color="auto" w:fill="auto"/>
            <w:noWrap/>
            <w:vAlign w:val="center"/>
            <w:hideMark/>
          </w:tcPr>
          <w:p w14:paraId="1A18DF5A" w14:textId="77777777" w:rsidR="00361572" w:rsidRPr="003602BD" w:rsidRDefault="003602BD" w:rsidP="00361572">
            <w:pPr>
              <w:jc w:val="center"/>
              <w:rPr>
                <w:color w:val="000000"/>
                <w:sz w:val="20"/>
                <w:szCs w:val="20"/>
              </w:rPr>
            </w:pPr>
            <w:r>
              <w:rPr>
                <w:color w:val="000000"/>
                <w:sz w:val="20"/>
              </w:rPr>
              <w:t>13,4</w:t>
            </w:r>
          </w:p>
        </w:tc>
        <w:tc>
          <w:tcPr>
            <w:tcW w:w="748" w:type="dxa"/>
            <w:tcBorders>
              <w:top w:val="nil"/>
              <w:left w:val="nil"/>
              <w:bottom w:val="single" w:sz="4" w:space="0" w:color="auto"/>
              <w:right w:val="single" w:sz="4" w:space="0" w:color="auto"/>
            </w:tcBorders>
            <w:shd w:val="clear" w:color="auto" w:fill="auto"/>
            <w:noWrap/>
            <w:vAlign w:val="center"/>
            <w:hideMark/>
          </w:tcPr>
          <w:p w14:paraId="1A18DF5B" w14:textId="77777777" w:rsidR="00361572" w:rsidRPr="003602BD" w:rsidRDefault="003602BD" w:rsidP="00361572">
            <w:pPr>
              <w:jc w:val="center"/>
              <w:rPr>
                <w:color w:val="000000"/>
                <w:sz w:val="20"/>
                <w:szCs w:val="20"/>
              </w:rPr>
            </w:pPr>
            <w:r>
              <w:rPr>
                <w:color w:val="000000"/>
                <w:sz w:val="20"/>
              </w:rPr>
              <w:t>13,3</w:t>
            </w:r>
          </w:p>
        </w:tc>
        <w:tc>
          <w:tcPr>
            <w:tcW w:w="1008" w:type="dxa"/>
            <w:tcBorders>
              <w:top w:val="nil"/>
              <w:left w:val="nil"/>
              <w:bottom w:val="single" w:sz="4" w:space="0" w:color="auto"/>
              <w:right w:val="single" w:sz="4" w:space="0" w:color="auto"/>
            </w:tcBorders>
            <w:shd w:val="clear" w:color="auto" w:fill="auto"/>
            <w:noWrap/>
            <w:vAlign w:val="center"/>
            <w:hideMark/>
          </w:tcPr>
          <w:p w14:paraId="1A18DF5C" w14:textId="77777777" w:rsidR="00361572" w:rsidRPr="003602BD" w:rsidRDefault="0050182E" w:rsidP="00361572">
            <w:pPr>
              <w:jc w:val="center"/>
              <w:rPr>
                <w:color w:val="000000"/>
                <w:sz w:val="20"/>
                <w:szCs w:val="20"/>
              </w:rPr>
            </w:pPr>
            <w:r>
              <w:rPr>
                <w:color w:val="000000"/>
                <w:sz w:val="20"/>
              </w:rPr>
              <w:t xml:space="preserve">- </w:t>
            </w:r>
            <w:r w:rsidR="003602BD">
              <w:rPr>
                <w:color w:val="000000"/>
                <w:sz w:val="20"/>
              </w:rPr>
              <w:t>39,6%</w:t>
            </w:r>
          </w:p>
        </w:tc>
        <w:tc>
          <w:tcPr>
            <w:tcW w:w="1008" w:type="dxa"/>
            <w:tcBorders>
              <w:top w:val="nil"/>
              <w:left w:val="nil"/>
              <w:bottom w:val="single" w:sz="4" w:space="0" w:color="auto"/>
              <w:right w:val="single" w:sz="4" w:space="0" w:color="auto"/>
            </w:tcBorders>
            <w:shd w:val="clear" w:color="auto" w:fill="auto"/>
            <w:noWrap/>
            <w:vAlign w:val="center"/>
            <w:hideMark/>
          </w:tcPr>
          <w:p w14:paraId="1A18DF5D" w14:textId="77777777" w:rsidR="00361572" w:rsidRPr="003602BD" w:rsidRDefault="003602BD" w:rsidP="00361572">
            <w:pPr>
              <w:jc w:val="center"/>
              <w:rPr>
                <w:color w:val="000000"/>
                <w:sz w:val="20"/>
                <w:szCs w:val="20"/>
              </w:rPr>
            </w:pPr>
            <w:r>
              <w:rPr>
                <w:color w:val="000000"/>
                <w:sz w:val="20"/>
              </w:rPr>
              <w:t>-0,3%</w:t>
            </w:r>
          </w:p>
        </w:tc>
      </w:tr>
      <w:tr w:rsidR="00361572" w:rsidRPr="00361572" w14:paraId="1A18DF6B" w14:textId="77777777" w:rsidTr="00FB13AA">
        <w:trPr>
          <w:trHeight w:val="27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A18DF5F" w14:textId="77777777" w:rsidR="00361572" w:rsidRPr="00361572" w:rsidRDefault="00361572" w:rsidP="00361572">
            <w:pPr>
              <w:rPr>
                <w:b/>
                <w:bCs/>
                <w:color w:val="000000"/>
                <w:sz w:val="20"/>
                <w:szCs w:val="20"/>
              </w:rPr>
            </w:pPr>
            <w:r w:rsidRPr="00361572">
              <w:rPr>
                <w:b/>
                <w:bCs/>
                <w:color w:val="000000"/>
                <w:sz w:val="20"/>
                <w:szCs w:val="20"/>
              </w:rPr>
              <w:t>HCB</w:t>
            </w:r>
          </w:p>
        </w:tc>
        <w:tc>
          <w:tcPr>
            <w:tcW w:w="903" w:type="dxa"/>
            <w:tcBorders>
              <w:top w:val="nil"/>
              <w:left w:val="nil"/>
              <w:bottom w:val="single" w:sz="4" w:space="0" w:color="auto"/>
              <w:right w:val="single" w:sz="4" w:space="0" w:color="auto"/>
            </w:tcBorders>
            <w:shd w:val="clear" w:color="auto" w:fill="auto"/>
            <w:noWrap/>
            <w:vAlign w:val="center"/>
            <w:hideMark/>
          </w:tcPr>
          <w:p w14:paraId="1A18DF60" w14:textId="77777777" w:rsidR="00361572" w:rsidRPr="00361572" w:rsidRDefault="00361572" w:rsidP="00361572">
            <w:pPr>
              <w:rPr>
                <w:color w:val="000000"/>
                <w:sz w:val="20"/>
                <w:szCs w:val="20"/>
              </w:rPr>
            </w:pPr>
            <w:r w:rsidRPr="00361572">
              <w:rPr>
                <w:color w:val="000000"/>
                <w:sz w:val="20"/>
                <w:szCs w:val="20"/>
              </w:rPr>
              <w:t>kg</w:t>
            </w:r>
          </w:p>
        </w:tc>
        <w:tc>
          <w:tcPr>
            <w:tcW w:w="748" w:type="dxa"/>
            <w:tcBorders>
              <w:top w:val="nil"/>
              <w:left w:val="nil"/>
              <w:bottom w:val="single" w:sz="4" w:space="0" w:color="auto"/>
              <w:right w:val="single" w:sz="4" w:space="0" w:color="auto"/>
            </w:tcBorders>
            <w:shd w:val="clear" w:color="auto" w:fill="auto"/>
            <w:noWrap/>
            <w:vAlign w:val="center"/>
            <w:hideMark/>
          </w:tcPr>
          <w:p w14:paraId="1A18DF61" w14:textId="77777777" w:rsidR="00361572" w:rsidRPr="003602BD" w:rsidRDefault="00361572" w:rsidP="004A237B">
            <w:pPr>
              <w:jc w:val="center"/>
              <w:rPr>
                <w:color w:val="000000"/>
                <w:sz w:val="20"/>
                <w:szCs w:val="20"/>
              </w:rPr>
            </w:pPr>
            <w:r w:rsidRPr="003602BD">
              <w:rPr>
                <w:color w:val="000000"/>
                <w:sz w:val="20"/>
                <w:szCs w:val="20"/>
              </w:rPr>
              <w:t>7,</w:t>
            </w:r>
            <w:r w:rsidR="004A237B">
              <w:rPr>
                <w:color w:val="000000"/>
                <w:sz w:val="20"/>
                <w:szCs w:val="20"/>
              </w:rPr>
              <w:t>1</w:t>
            </w:r>
          </w:p>
        </w:tc>
        <w:tc>
          <w:tcPr>
            <w:tcW w:w="748" w:type="dxa"/>
            <w:tcBorders>
              <w:top w:val="nil"/>
              <w:left w:val="nil"/>
              <w:bottom w:val="single" w:sz="4" w:space="0" w:color="auto"/>
              <w:right w:val="single" w:sz="4" w:space="0" w:color="auto"/>
            </w:tcBorders>
            <w:shd w:val="clear" w:color="auto" w:fill="auto"/>
            <w:noWrap/>
            <w:vAlign w:val="center"/>
            <w:hideMark/>
          </w:tcPr>
          <w:p w14:paraId="1A18DF62" w14:textId="77777777" w:rsidR="00361572" w:rsidRPr="003602BD" w:rsidRDefault="00361572" w:rsidP="00361572">
            <w:pPr>
              <w:jc w:val="center"/>
              <w:rPr>
                <w:color w:val="000000"/>
                <w:sz w:val="20"/>
                <w:szCs w:val="20"/>
              </w:rPr>
            </w:pPr>
            <w:r w:rsidRPr="003602BD">
              <w:rPr>
                <w:color w:val="000000"/>
                <w:sz w:val="20"/>
                <w:szCs w:val="20"/>
              </w:rPr>
              <w:t>6,4</w:t>
            </w:r>
          </w:p>
        </w:tc>
        <w:tc>
          <w:tcPr>
            <w:tcW w:w="748" w:type="dxa"/>
            <w:tcBorders>
              <w:top w:val="nil"/>
              <w:left w:val="nil"/>
              <w:bottom w:val="single" w:sz="4" w:space="0" w:color="auto"/>
              <w:right w:val="single" w:sz="4" w:space="0" w:color="auto"/>
            </w:tcBorders>
            <w:shd w:val="clear" w:color="auto" w:fill="auto"/>
            <w:noWrap/>
            <w:vAlign w:val="center"/>
            <w:hideMark/>
          </w:tcPr>
          <w:p w14:paraId="1A18DF63" w14:textId="77777777" w:rsidR="00361572" w:rsidRPr="003602BD" w:rsidRDefault="00361572" w:rsidP="004A237B">
            <w:pPr>
              <w:jc w:val="center"/>
              <w:rPr>
                <w:color w:val="000000"/>
                <w:sz w:val="20"/>
                <w:szCs w:val="20"/>
              </w:rPr>
            </w:pPr>
            <w:r w:rsidRPr="003602BD">
              <w:rPr>
                <w:color w:val="000000"/>
                <w:sz w:val="20"/>
                <w:szCs w:val="20"/>
              </w:rPr>
              <w:t>1,9</w:t>
            </w:r>
          </w:p>
        </w:tc>
        <w:tc>
          <w:tcPr>
            <w:tcW w:w="748" w:type="dxa"/>
            <w:tcBorders>
              <w:top w:val="nil"/>
              <w:left w:val="nil"/>
              <w:bottom w:val="single" w:sz="4" w:space="0" w:color="auto"/>
              <w:right w:val="single" w:sz="4" w:space="0" w:color="auto"/>
            </w:tcBorders>
            <w:shd w:val="clear" w:color="auto" w:fill="auto"/>
            <w:noWrap/>
            <w:vAlign w:val="center"/>
            <w:hideMark/>
          </w:tcPr>
          <w:p w14:paraId="1A18DF64" w14:textId="77777777" w:rsidR="00361572" w:rsidRPr="003602BD" w:rsidRDefault="00361572" w:rsidP="004A237B">
            <w:pPr>
              <w:jc w:val="center"/>
              <w:rPr>
                <w:color w:val="000000"/>
                <w:sz w:val="20"/>
                <w:szCs w:val="20"/>
              </w:rPr>
            </w:pPr>
            <w:r w:rsidRPr="003602BD">
              <w:rPr>
                <w:color w:val="000000"/>
                <w:sz w:val="20"/>
                <w:szCs w:val="20"/>
              </w:rPr>
              <w:t>0,4</w:t>
            </w:r>
          </w:p>
        </w:tc>
        <w:tc>
          <w:tcPr>
            <w:tcW w:w="748" w:type="dxa"/>
            <w:tcBorders>
              <w:top w:val="nil"/>
              <w:left w:val="nil"/>
              <w:bottom w:val="single" w:sz="4" w:space="0" w:color="auto"/>
              <w:right w:val="single" w:sz="4" w:space="0" w:color="auto"/>
            </w:tcBorders>
            <w:shd w:val="clear" w:color="auto" w:fill="auto"/>
            <w:noWrap/>
            <w:vAlign w:val="center"/>
            <w:hideMark/>
          </w:tcPr>
          <w:p w14:paraId="1A18DF65" w14:textId="77777777" w:rsidR="00361572" w:rsidRPr="003602BD" w:rsidRDefault="00361572" w:rsidP="004A237B">
            <w:pPr>
              <w:jc w:val="center"/>
              <w:rPr>
                <w:color w:val="000000"/>
                <w:sz w:val="20"/>
                <w:szCs w:val="20"/>
              </w:rPr>
            </w:pPr>
            <w:r w:rsidRPr="003602BD">
              <w:rPr>
                <w:color w:val="000000"/>
                <w:sz w:val="20"/>
                <w:szCs w:val="20"/>
              </w:rPr>
              <w:t>0,8</w:t>
            </w:r>
          </w:p>
        </w:tc>
        <w:tc>
          <w:tcPr>
            <w:tcW w:w="748" w:type="dxa"/>
            <w:tcBorders>
              <w:top w:val="nil"/>
              <w:left w:val="nil"/>
              <w:bottom w:val="single" w:sz="4" w:space="0" w:color="auto"/>
              <w:right w:val="single" w:sz="4" w:space="0" w:color="auto"/>
            </w:tcBorders>
            <w:shd w:val="clear" w:color="auto" w:fill="auto"/>
            <w:noWrap/>
            <w:vAlign w:val="center"/>
            <w:hideMark/>
          </w:tcPr>
          <w:p w14:paraId="1A18DF66" w14:textId="77777777" w:rsidR="00361572" w:rsidRPr="003602BD" w:rsidRDefault="00361572" w:rsidP="004A237B">
            <w:pPr>
              <w:jc w:val="center"/>
              <w:rPr>
                <w:color w:val="000000"/>
                <w:sz w:val="20"/>
                <w:szCs w:val="20"/>
              </w:rPr>
            </w:pPr>
            <w:r w:rsidRPr="003602BD">
              <w:rPr>
                <w:color w:val="000000"/>
                <w:sz w:val="20"/>
                <w:szCs w:val="20"/>
              </w:rPr>
              <w:t>0,4</w:t>
            </w:r>
          </w:p>
        </w:tc>
        <w:tc>
          <w:tcPr>
            <w:tcW w:w="748" w:type="dxa"/>
            <w:tcBorders>
              <w:top w:val="nil"/>
              <w:left w:val="nil"/>
              <w:bottom w:val="single" w:sz="4" w:space="0" w:color="auto"/>
              <w:right w:val="single" w:sz="4" w:space="0" w:color="auto"/>
            </w:tcBorders>
            <w:shd w:val="clear" w:color="auto" w:fill="auto"/>
            <w:noWrap/>
            <w:vAlign w:val="center"/>
            <w:hideMark/>
          </w:tcPr>
          <w:p w14:paraId="1A18DF67" w14:textId="77777777" w:rsidR="00361572" w:rsidRPr="003602BD" w:rsidRDefault="00361572" w:rsidP="00361572">
            <w:pPr>
              <w:jc w:val="center"/>
              <w:rPr>
                <w:color w:val="000000"/>
                <w:sz w:val="20"/>
                <w:szCs w:val="20"/>
              </w:rPr>
            </w:pPr>
            <w:r w:rsidRPr="003602BD">
              <w:rPr>
                <w:color w:val="000000"/>
                <w:sz w:val="20"/>
                <w:szCs w:val="20"/>
              </w:rPr>
              <w:t>0,6</w:t>
            </w:r>
          </w:p>
        </w:tc>
        <w:tc>
          <w:tcPr>
            <w:tcW w:w="748" w:type="dxa"/>
            <w:tcBorders>
              <w:top w:val="nil"/>
              <w:left w:val="nil"/>
              <w:bottom w:val="single" w:sz="4" w:space="0" w:color="auto"/>
              <w:right w:val="single" w:sz="4" w:space="0" w:color="auto"/>
            </w:tcBorders>
            <w:shd w:val="clear" w:color="auto" w:fill="auto"/>
            <w:noWrap/>
            <w:vAlign w:val="center"/>
            <w:hideMark/>
          </w:tcPr>
          <w:p w14:paraId="1A18DF68" w14:textId="77777777" w:rsidR="00361572" w:rsidRPr="003602BD" w:rsidRDefault="00361572" w:rsidP="004A237B">
            <w:pPr>
              <w:jc w:val="center"/>
              <w:rPr>
                <w:color w:val="000000"/>
                <w:sz w:val="20"/>
                <w:szCs w:val="20"/>
              </w:rPr>
            </w:pPr>
            <w:r w:rsidRPr="003602BD">
              <w:rPr>
                <w:color w:val="000000"/>
                <w:sz w:val="20"/>
                <w:szCs w:val="20"/>
              </w:rPr>
              <w:t>0,3</w:t>
            </w:r>
          </w:p>
        </w:tc>
        <w:tc>
          <w:tcPr>
            <w:tcW w:w="1008" w:type="dxa"/>
            <w:tcBorders>
              <w:top w:val="nil"/>
              <w:left w:val="nil"/>
              <w:bottom w:val="single" w:sz="4" w:space="0" w:color="auto"/>
              <w:right w:val="single" w:sz="4" w:space="0" w:color="auto"/>
            </w:tcBorders>
            <w:shd w:val="clear" w:color="auto" w:fill="auto"/>
            <w:noWrap/>
            <w:vAlign w:val="center"/>
            <w:hideMark/>
          </w:tcPr>
          <w:p w14:paraId="1A18DF69" w14:textId="77777777" w:rsidR="00361572" w:rsidRPr="0050182E" w:rsidRDefault="0050182E" w:rsidP="0050182E">
            <w:pPr>
              <w:jc w:val="center"/>
              <w:rPr>
                <w:color w:val="000000"/>
                <w:sz w:val="20"/>
                <w:szCs w:val="20"/>
              </w:rPr>
            </w:pPr>
            <w:r>
              <w:rPr>
                <w:color w:val="000000"/>
                <w:sz w:val="20"/>
              </w:rPr>
              <w:t xml:space="preserve">- </w:t>
            </w:r>
            <w:r w:rsidR="00A31003" w:rsidRPr="0050182E">
              <w:rPr>
                <w:color w:val="000000"/>
                <w:sz w:val="20"/>
              </w:rPr>
              <w:t>94,9%</w:t>
            </w:r>
          </w:p>
        </w:tc>
        <w:tc>
          <w:tcPr>
            <w:tcW w:w="1008" w:type="dxa"/>
            <w:tcBorders>
              <w:top w:val="nil"/>
              <w:left w:val="nil"/>
              <w:bottom w:val="single" w:sz="4" w:space="0" w:color="auto"/>
              <w:right w:val="single" w:sz="4" w:space="0" w:color="auto"/>
            </w:tcBorders>
            <w:shd w:val="clear" w:color="auto" w:fill="auto"/>
            <w:noWrap/>
            <w:vAlign w:val="center"/>
            <w:hideMark/>
          </w:tcPr>
          <w:p w14:paraId="1A18DF6A" w14:textId="77777777" w:rsidR="00361572" w:rsidRPr="00361572" w:rsidRDefault="0050182E" w:rsidP="00361572">
            <w:pPr>
              <w:jc w:val="center"/>
              <w:rPr>
                <w:color w:val="000000"/>
                <w:sz w:val="20"/>
                <w:szCs w:val="20"/>
              </w:rPr>
            </w:pPr>
            <w:r>
              <w:rPr>
                <w:color w:val="000000"/>
                <w:sz w:val="20"/>
              </w:rPr>
              <w:t xml:space="preserve">- </w:t>
            </w:r>
            <w:r w:rsidR="00A31003">
              <w:rPr>
                <w:color w:val="000000"/>
                <w:sz w:val="20"/>
              </w:rPr>
              <w:t>40,4%</w:t>
            </w:r>
          </w:p>
        </w:tc>
      </w:tr>
      <w:tr w:rsidR="00361572" w:rsidRPr="00885122" w14:paraId="1A18DF78" w14:textId="77777777" w:rsidTr="00FB13AA">
        <w:trPr>
          <w:trHeight w:val="272"/>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A18DF6C" w14:textId="77777777" w:rsidR="00361572" w:rsidRPr="00361572" w:rsidRDefault="00361572" w:rsidP="00361572">
            <w:pPr>
              <w:rPr>
                <w:b/>
                <w:bCs/>
                <w:color w:val="000000"/>
                <w:sz w:val="20"/>
                <w:szCs w:val="20"/>
              </w:rPr>
            </w:pPr>
            <w:r w:rsidRPr="00361572">
              <w:rPr>
                <w:b/>
                <w:bCs/>
                <w:color w:val="000000"/>
                <w:sz w:val="20"/>
                <w:szCs w:val="20"/>
              </w:rPr>
              <w:t>PCB</w:t>
            </w:r>
          </w:p>
        </w:tc>
        <w:tc>
          <w:tcPr>
            <w:tcW w:w="903" w:type="dxa"/>
            <w:tcBorders>
              <w:top w:val="nil"/>
              <w:left w:val="nil"/>
              <w:bottom w:val="single" w:sz="4" w:space="0" w:color="auto"/>
              <w:right w:val="single" w:sz="4" w:space="0" w:color="auto"/>
            </w:tcBorders>
            <w:shd w:val="clear" w:color="auto" w:fill="auto"/>
            <w:noWrap/>
            <w:vAlign w:val="center"/>
            <w:hideMark/>
          </w:tcPr>
          <w:p w14:paraId="1A18DF6D" w14:textId="77777777" w:rsidR="00361572" w:rsidRPr="00361572" w:rsidRDefault="00361572" w:rsidP="00361572">
            <w:pPr>
              <w:rPr>
                <w:color w:val="000000"/>
                <w:sz w:val="20"/>
                <w:szCs w:val="20"/>
              </w:rPr>
            </w:pPr>
            <w:r w:rsidRPr="00361572">
              <w:rPr>
                <w:color w:val="000000"/>
                <w:sz w:val="20"/>
                <w:szCs w:val="20"/>
              </w:rPr>
              <w:t>kg</w:t>
            </w:r>
          </w:p>
        </w:tc>
        <w:tc>
          <w:tcPr>
            <w:tcW w:w="748" w:type="dxa"/>
            <w:tcBorders>
              <w:top w:val="nil"/>
              <w:left w:val="nil"/>
              <w:bottom w:val="single" w:sz="4" w:space="0" w:color="auto"/>
              <w:right w:val="single" w:sz="4" w:space="0" w:color="auto"/>
            </w:tcBorders>
            <w:shd w:val="clear" w:color="auto" w:fill="auto"/>
            <w:noWrap/>
            <w:vAlign w:val="center"/>
            <w:hideMark/>
          </w:tcPr>
          <w:p w14:paraId="1A18DF6E" w14:textId="77777777" w:rsidR="00361572" w:rsidRPr="003602BD" w:rsidRDefault="004A237B" w:rsidP="00361572">
            <w:pPr>
              <w:jc w:val="center"/>
              <w:rPr>
                <w:color w:val="000000"/>
                <w:sz w:val="20"/>
                <w:szCs w:val="20"/>
              </w:rPr>
            </w:pPr>
            <w:r>
              <w:rPr>
                <w:color w:val="000000"/>
                <w:sz w:val="20"/>
                <w:szCs w:val="20"/>
              </w:rPr>
              <w:t>482,</w:t>
            </w:r>
            <w:r w:rsidR="00361572" w:rsidRPr="003602BD">
              <w:rPr>
                <w:color w:val="000000"/>
                <w:sz w:val="20"/>
                <w:szCs w:val="20"/>
              </w:rPr>
              <w:t>8</w:t>
            </w:r>
          </w:p>
        </w:tc>
        <w:tc>
          <w:tcPr>
            <w:tcW w:w="748" w:type="dxa"/>
            <w:tcBorders>
              <w:top w:val="nil"/>
              <w:left w:val="nil"/>
              <w:bottom w:val="single" w:sz="4" w:space="0" w:color="auto"/>
              <w:right w:val="single" w:sz="4" w:space="0" w:color="auto"/>
            </w:tcBorders>
            <w:shd w:val="clear" w:color="auto" w:fill="auto"/>
            <w:noWrap/>
            <w:vAlign w:val="center"/>
            <w:hideMark/>
          </w:tcPr>
          <w:p w14:paraId="1A18DF6F" w14:textId="77777777" w:rsidR="00361572" w:rsidRPr="003602BD" w:rsidRDefault="00361572" w:rsidP="004A237B">
            <w:pPr>
              <w:jc w:val="center"/>
              <w:rPr>
                <w:color w:val="000000"/>
                <w:sz w:val="20"/>
                <w:szCs w:val="20"/>
              </w:rPr>
            </w:pPr>
            <w:r w:rsidRPr="003602BD">
              <w:rPr>
                <w:color w:val="000000"/>
                <w:sz w:val="20"/>
                <w:szCs w:val="20"/>
              </w:rPr>
              <w:t>468,2</w:t>
            </w:r>
          </w:p>
        </w:tc>
        <w:tc>
          <w:tcPr>
            <w:tcW w:w="748" w:type="dxa"/>
            <w:tcBorders>
              <w:top w:val="nil"/>
              <w:left w:val="nil"/>
              <w:bottom w:val="single" w:sz="4" w:space="0" w:color="auto"/>
              <w:right w:val="single" w:sz="4" w:space="0" w:color="auto"/>
            </w:tcBorders>
            <w:shd w:val="clear" w:color="auto" w:fill="auto"/>
            <w:noWrap/>
            <w:vAlign w:val="center"/>
            <w:hideMark/>
          </w:tcPr>
          <w:p w14:paraId="1A18DF70" w14:textId="77777777" w:rsidR="00361572" w:rsidRPr="003602BD" w:rsidRDefault="00361572" w:rsidP="004A237B">
            <w:pPr>
              <w:jc w:val="center"/>
              <w:rPr>
                <w:color w:val="000000"/>
                <w:sz w:val="20"/>
                <w:szCs w:val="20"/>
              </w:rPr>
            </w:pPr>
            <w:r w:rsidRPr="003602BD">
              <w:rPr>
                <w:color w:val="000000"/>
                <w:sz w:val="20"/>
                <w:szCs w:val="20"/>
              </w:rPr>
              <w:t>441,4</w:t>
            </w:r>
          </w:p>
        </w:tc>
        <w:tc>
          <w:tcPr>
            <w:tcW w:w="748" w:type="dxa"/>
            <w:tcBorders>
              <w:top w:val="nil"/>
              <w:left w:val="nil"/>
              <w:bottom w:val="single" w:sz="4" w:space="0" w:color="auto"/>
              <w:right w:val="single" w:sz="4" w:space="0" w:color="auto"/>
            </w:tcBorders>
            <w:shd w:val="clear" w:color="auto" w:fill="auto"/>
            <w:noWrap/>
            <w:vAlign w:val="center"/>
            <w:hideMark/>
          </w:tcPr>
          <w:p w14:paraId="1A18DF71" w14:textId="77777777" w:rsidR="00361572" w:rsidRPr="003602BD" w:rsidRDefault="00361572" w:rsidP="004A237B">
            <w:pPr>
              <w:jc w:val="center"/>
              <w:rPr>
                <w:color w:val="000000"/>
                <w:sz w:val="20"/>
                <w:szCs w:val="20"/>
              </w:rPr>
            </w:pPr>
            <w:r w:rsidRPr="003602BD">
              <w:rPr>
                <w:color w:val="000000"/>
                <w:sz w:val="20"/>
                <w:szCs w:val="20"/>
              </w:rPr>
              <w:t>435,7</w:t>
            </w:r>
          </w:p>
        </w:tc>
        <w:tc>
          <w:tcPr>
            <w:tcW w:w="748" w:type="dxa"/>
            <w:tcBorders>
              <w:top w:val="nil"/>
              <w:left w:val="nil"/>
              <w:bottom w:val="single" w:sz="4" w:space="0" w:color="auto"/>
              <w:right w:val="single" w:sz="4" w:space="0" w:color="auto"/>
            </w:tcBorders>
            <w:shd w:val="clear" w:color="auto" w:fill="auto"/>
            <w:noWrap/>
            <w:vAlign w:val="center"/>
            <w:hideMark/>
          </w:tcPr>
          <w:p w14:paraId="1A18DF72" w14:textId="77777777" w:rsidR="00361572" w:rsidRPr="003602BD" w:rsidRDefault="00361572" w:rsidP="004A237B">
            <w:pPr>
              <w:jc w:val="center"/>
              <w:rPr>
                <w:color w:val="000000"/>
                <w:sz w:val="20"/>
                <w:szCs w:val="20"/>
              </w:rPr>
            </w:pPr>
            <w:r w:rsidRPr="003602BD">
              <w:rPr>
                <w:color w:val="000000"/>
                <w:sz w:val="20"/>
                <w:szCs w:val="20"/>
              </w:rPr>
              <w:t>433,</w:t>
            </w:r>
            <w:r w:rsidR="004A237B">
              <w:rPr>
                <w:color w:val="000000"/>
                <w:sz w:val="20"/>
                <w:szCs w:val="20"/>
              </w:rPr>
              <w:t>7</w:t>
            </w:r>
          </w:p>
        </w:tc>
        <w:tc>
          <w:tcPr>
            <w:tcW w:w="748" w:type="dxa"/>
            <w:tcBorders>
              <w:top w:val="nil"/>
              <w:left w:val="nil"/>
              <w:bottom w:val="single" w:sz="4" w:space="0" w:color="auto"/>
              <w:right w:val="single" w:sz="4" w:space="0" w:color="auto"/>
            </w:tcBorders>
            <w:shd w:val="clear" w:color="auto" w:fill="auto"/>
            <w:noWrap/>
            <w:vAlign w:val="center"/>
            <w:hideMark/>
          </w:tcPr>
          <w:p w14:paraId="1A18DF73" w14:textId="77777777" w:rsidR="00361572" w:rsidRPr="003602BD" w:rsidRDefault="00361572" w:rsidP="004A237B">
            <w:pPr>
              <w:jc w:val="center"/>
              <w:rPr>
                <w:color w:val="000000"/>
                <w:sz w:val="20"/>
                <w:szCs w:val="20"/>
              </w:rPr>
            </w:pPr>
            <w:r w:rsidRPr="003602BD">
              <w:rPr>
                <w:color w:val="000000"/>
                <w:sz w:val="20"/>
                <w:szCs w:val="20"/>
              </w:rPr>
              <w:t>424,</w:t>
            </w:r>
            <w:r w:rsidR="004A237B">
              <w:rPr>
                <w:color w:val="000000"/>
                <w:sz w:val="20"/>
                <w:szCs w:val="20"/>
              </w:rPr>
              <w:t>9</w:t>
            </w:r>
          </w:p>
        </w:tc>
        <w:tc>
          <w:tcPr>
            <w:tcW w:w="748" w:type="dxa"/>
            <w:tcBorders>
              <w:top w:val="nil"/>
              <w:left w:val="nil"/>
              <w:bottom w:val="single" w:sz="4" w:space="0" w:color="auto"/>
              <w:right w:val="single" w:sz="4" w:space="0" w:color="auto"/>
            </w:tcBorders>
            <w:shd w:val="clear" w:color="auto" w:fill="auto"/>
            <w:noWrap/>
            <w:vAlign w:val="center"/>
            <w:hideMark/>
          </w:tcPr>
          <w:p w14:paraId="1A18DF74" w14:textId="77777777" w:rsidR="00361572" w:rsidRPr="003602BD" w:rsidRDefault="00361572" w:rsidP="004A237B">
            <w:pPr>
              <w:jc w:val="center"/>
              <w:rPr>
                <w:color w:val="000000"/>
                <w:sz w:val="20"/>
                <w:szCs w:val="20"/>
              </w:rPr>
            </w:pPr>
            <w:r w:rsidRPr="003602BD">
              <w:rPr>
                <w:color w:val="000000"/>
                <w:sz w:val="20"/>
                <w:szCs w:val="20"/>
              </w:rPr>
              <w:t>409,7</w:t>
            </w:r>
          </w:p>
        </w:tc>
        <w:tc>
          <w:tcPr>
            <w:tcW w:w="748" w:type="dxa"/>
            <w:tcBorders>
              <w:top w:val="nil"/>
              <w:left w:val="nil"/>
              <w:bottom w:val="single" w:sz="4" w:space="0" w:color="auto"/>
              <w:right w:val="single" w:sz="4" w:space="0" w:color="auto"/>
            </w:tcBorders>
            <w:shd w:val="clear" w:color="auto" w:fill="auto"/>
            <w:noWrap/>
            <w:vAlign w:val="center"/>
            <w:hideMark/>
          </w:tcPr>
          <w:p w14:paraId="1A18DF75" w14:textId="77777777" w:rsidR="00361572" w:rsidRPr="003602BD" w:rsidRDefault="00361572" w:rsidP="00361572">
            <w:pPr>
              <w:jc w:val="center"/>
              <w:rPr>
                <w:color w:val="000000"/>
                <w:sz w:val="20"/>
                <w:szCs w:val="20"/>
              </w:rPr>
            </w:pPr>
            <w:r w:rsidRPr="003602BD">
              <w:rPr>
                <w:color w:val="000000"/>
                <w:sz w:val="20"/>
                <w:szCs w:val="20"/>
              </w:rPr>
              <w:t>4</w:t>
            </w:r>
            <w:r w:rsidR="004A237B">
              <w:rPr>
                <w:color w:val="000000"/>
                <w:sz w:val="20"/>
                <w:szCs w:val="20"/>
              </w:rPr>
              <w:t>07,1</w:t>
            </w:r>
          </w:p>
        </w:tc>
        <w:tc>
          <w:tcPr>
            <w:tcW w:w="1008" w:type="dxa"/>
            <w:tcBorders>
              <w:top w:val="nil"/>
              <w:left w:val="nil"/>
              <w:bottom w:val="single" w:sz="4" w:space="0" w:color="auto"/>
              <w:right w:val="single" w:sz="4" w:space="0" w:color="auto"/>
            </w:tcBorders>
            <w:shd w:val="clear" w:color="auto" w:fill="auto"/>
            <w:noWrap/>
            <w:vAlign w:val="center"/>
            <w:hideMark/>
          </w:tcPr>
          <w:p w14:paraId="1A18DF76" w14:textId="77777777" w:rsidR="00361572" w:rsidRPr="00EE3EE3" w:rsidRDefault="004A237B" w:rsidP="00361572">
            <w:pPr>
              <w:jc w:val="center"/>
              <w:rPr>
                <w:color w:val="000000"/>
                <w:sz w:val="20"/>
                <w:szCs w:val="20"/>
              </w:rPr>
            </w:pPr>
            <w:r>
              <w:rPr>
                <w:color w:val="000000"/>
                <w:sz w:val="20"/>
              </w:rPr>
              <w:t>-15,7%</w:t>
            </w:r>
          </w:p>
        </w:tc>
        <w:tc>
          <w:tcPr>
            <w:tcW w:w="1008" w:type="dxa"/>
            <w:tcBorders>
              <w:top w:val="nil"/>
              <w:left w:val="nil"/>
              <w:bottom w:val="single" w:sz="4" w:space="0" w:color="auto"/>
              <w:right w:val="single" w:sz="4" w:space="0" w:color="auto"/>
            </w:tcBorders>
            <w:shd w:val="clear" w:color="auto" w:fill="auto"/>
            <w:noWrap/>
            <w:vAlign w:val="center"/>
            <w:hideMark/>
          </w:tcPr>
          <w:p w14:paraId="1A18DF77" w14:textId="77777777" w:rsidR="00361572" w:rsidRPr="00A31003" w:rsidRDefault="004A237B" w:rsidP="00361572">
            <w:pPr>
              <w:jc w:val="center"/>
              <w:rPr>
                <w:color w:val="000000"/>
                <w:sz w:val="20"/>
                <w:szCs w:val="20"/>
              </w:rPr>
            </w:pPr>
            <w:r>
              <w:rPr>
                <w:color w:val="000000"/>
                <w:sz w:val="20"/>
              </w:rPr>
              <w:t>-0,6%</w:t>
            </w:r>
          </w:p>
        </w:tc>
      </w:tr>
    </w:tbl>
    <w:p w14:paraId="1A18DF79" w14:textId="77777777" w:rsidR="00361572" w:rsidRDefault="00361572" w:rsidP="00A55F99">
      <w:pPr>
        <w:spacing w:after="120"/>
        <w:rPr>
          <w:bCs/>
          <w:i/>
        </w:rPr>
      </w:pPr>
    </w:p>
    <w:bookmarkEnd w:id="19"/>
    <w:p w14:paraId="1A18DF7A" w14:textId="77777777" w:rsidR="00A3366E" w:rsidRPr="00E47EC1" w:rsidRDefault="00317EE7" w:rsidP="00A55F99">
      <w:pPr>
        <w:spacing w:before="100" w:beforeAutospacing="1" w:after="120"/>
      </w:pPr>
      <w:r w:rsidRPr="00E47EC1">
        <w:rPr>
          <w:i/>
        </w:rPr>
        <w:t>Emisija PCDD/PCDF</w:t>
      </w:r>
    </w:p>
    <w:p w14:paraId="1A18DF7B" w14:textId="77777777" w:rsidR="00A3366E" w:rsidRPr="00E47EC1" w:rsidRDefault="00A3366E" w:rsidP="00A3366E">
      <w:pPr>
        <w:spacing w:after="120"/>
      </w:pPr>
      <w:r w:rsidRPr="00E47EC1">
        <w:t xml:space="preserve">PCDD i PCDF (Dioksini i furani) su postojani organski spojevi koji nastaju kao produkt izgaranja organskih tvari, koje sadrže </w:t>
      </w:r>
      <w:r w:rsidR="00583C93">
        <w:t xml:space="preserve">halogene elemente, npr. </w:t>
      </w:r>
      <w:r w:rsidRPr="00E47EC1">
        <w:t xml:space="preserve">klor (Cl) na temperaturama između 250 ºC i 400 ºC i mogu se susresti u svim sektorima. Najveće emisije dioksina i furana nastaju pri izgaranju ogrjevnog drva i ugljena u kućnim ložištima. Ostali procesi koji doprinose ovoj emisiji jesu procesi proizvodnje čelika u elektrolučnim pećima, izgaranja goriva u energetskim postrojenjima kao i pri spaljivanju otpada i kremiranju. </w:t>
      </w:r>
    </w:p>
    <w:p w14:paraId="1A18DF7C" w14:textId="77777777" w:rsidR="0094163F" w:rsidRDefault="00B01F7D" w:rsidP="00B01F7D">
      <w:r>
        <w:t xml:space="preserve">U 2020. emisija dioksina i furana iznosila je 25,5 g I-TEQ (slika </w:t>
      </w:r>
      <w:r w:rsidR="006F119E">
        <w:t>x</w:t>
      </w:r>
      <w:r>
        <w:t xml:space="preserve">). Emisija se smanjila za 71,3 % u odnosu na 1990. i 2 % u odnosu na godinu ranije. Ključni izvor emisije PCDD/PCDF) u 2020. je </w:t>
      </w:r>
      <w:r w:rsidR="0050182E">
        <w:t xml:space="preserve">bila </w:t>
      </w:r>
      <w:r>
        <w:t>kategorija Mala ložišta i radni strojevi (85,8 %) uz dominaciju izgaranj</w:t>
      </w:r>
      <w:r w:rsidR="0050182E">
        <w:t xml:space="preserve">a biomase u sektoru kućanstva. </w:t>
      </w:r>
    </w:p>
    <w:p w14:paraId="1A18DF7D" w14:textId="77777777" w:rsidR="00EB2BFD" w:rsidRDefault="00EB2BFD" w:rsidP="00EB2BFD">
      <w:r>
        <w:t>U povijesnom trendu su osim spomenutog izvora, ključni izvori su bili i sektori Poljoprivreda: spaljivanje žetvenih ostataka i Otpad: spaljivanje otpada na otvorenom</w:t>
      </w:r>
      <w:r w:rsidR="0094163F">
        <w:t xml:space="preserve"> (odnosi se na otpad od orezivanja voćnjaka, vrtova i sl.</w:t>
      </w:r>
      <w:r>
        <w:t xml:space="preserve">). Za fluktuacije u povijesnom trendu, odgovorna je aktivnost spaljivanja žetvenih ostataka. </w:t>
      </w:r>
      <w:r w:rsidR="0094163F">
        <w:t>P</w:t>
      </w:r>
      <w:r w:rsidR="0094163F" w:rsidRPr="00F16D3F">
        <w:t>ikov</w:t>
      </w:r>
      <w:r w:rsidR="0094163F">
        <w:t>i</w:t>
      </w:r>
      <w:r w:rsidR="0094163F" w:rsidRPr="00F16D3F">
        <w:t xml:space="preserve"> </w:t>
      </w:r>
      <w:r w:rsidR="0094163F">
        <w:t>u godinama</w:t>
      </w:r>
      <w:r w:rsidR="0094163F" w:rsidRPr="00F16D3F">
        <w:t xml:space="preserve"> 1991., 1999., 2002., 2005., i 2008.</w:t>
      </w:r>
      <w:r w:rsidR="0094163F">
        <w:t xml:space="preserve"> i padovi emisije nakon njih su </w:t>
      </w:r>
      <w:r w:rsidR="0094163F" w:rsidRPr="00F16D3F">
        <w:t>uzrokovan</w:t>
      </w:r>
      <w:r w:rsidR="0094163F">
        <w:t>i</w:t>
      </w:r>
      <w:r w:rsidR="0094163F" w:rsidRPr="00F16D3F">
        <w:t xml:space="preserve"> </w:t>
      </w:r>
      <w:r w:rsidR="0094163F" w:rsidRPr="00984026">
        <w:t xml:space="preserve">promjenama površina pod kukuruzom </w:t>
      </w:r>
      <w:r w:rsidR="0094163F" w:rsidRPr="00B542EA">
        <w:t xml:space="preserve">čiji se žetveni ostaci </w:t>
      </w:r>
      <w:r w:rsidR="0094163F" w:rsidRPr="00984026">
        <w:t xml:space="preserve">spaljuju te </w:t>
      </w:r>
      <w:r w:rsidR="0094163F" w:rsidRPr="00B542EA">
        <w:t xml:space="preserve">promjenama </w:t>
      </w:r>
      <w:r w:rsidR="0094163F" w:rsidRPr="00984026">
        <w:t>u prinosu kukuruza</w:t>
      </w:r>
      <w:r w:rsidRPr="00F16D3F">
        <w:t xml:space="preserve"> </w:t>
      </w:r>
      <w:r w:rsidRPr="00984026">
        <w:t xml:space="preserve">U razdoblju 2008. – 2011. </w:t>
      </w:r>
      <w:r>
        <w:t xml:space="preserve">razlog smanjenja emisije </w:t>
      </w:r>
      <w:r w:rsidRPr="00984026">
        <w:t xml:space="preserve">je smanjenje spaljivanja žetvenih ostataka zbog edukacije poljoprivrednih proizvođača te njihovo kažnjavanje (odnosno smanjenje </w:t>
      </w:r>
      <w:r>
        <w:t xml:space="preserve">državnih </w:t>
      </w:r>
      <w:r w:rsidRPr="00984026">
        <w:t xml:space="preserve">potpora po jedinici </w:t>
      </w:r>
      <w:r>
        <w:t xml:space="preserve">poljoprivredne </w:t>
      </w:r>
      <w:r w:rsidRPr="00984026">
        <w:t>površine).</w:t>
      </w:r>
      <w:r>
        <w:t xml:space="preserve"> Sektor Energetike s dominacijom malih ložišta (izgaranje biomase u kućanstvima) također doprinosi izgledu putanje trenda. </w:t>
      </w:r>
      <w:r w:rsidRPr="00B907EC">
        <w:t>Smanjenj</w:t>
      </w:r>
      <w:r>
        <w:t>e</w:t>
      </w:r>
      <w:r w:rsidRPr="00B907EC">
        <w:t xml:space="preserve"> emisije do 1995. </w:t>
      </w:r>
      <w:r>
        <w:t xml:space="preserve">u sektoru mala ložišta, uzrok je </w:t>
      </w:r>
      <w:r w:rsidRPr="00B907EC">
        <w:t xml:space="preserve">smanjena potrošnja energenata (biomase i ugljena), </w:t>
      </w:r>
      <w:r>
        <w:t xml:space="preserve">što je pak </w:t>
      </w:r>
      <w:r w:rsidRPr="00B907EC">
        <w:t xml:space="preserve">uzrokovano ratom za hrvatsku neovisnost (1991. – 1995.). </w:t>
      </w:r>
      <w:r w:rsidRPr="00117298">
        <w:t xml:space="preserve">Nadalje, smanjenja emisija ovog sektora koja mogu se vidjeti i u godinama 1994., 2000., 2002. i 2014. uzrokovana su klimatskim prilikama, kada je zbog toplije zime potrošnja biomase za ogrjev u kućanstvima bila </w:t>
      </w:r>
      <w:r w:rsidRPr="0050182E">
        <w:t>manja (</w:t>
      </w:r>
      <w:r w:rsidR="0050182E">
        <w:rPr>
          <w:rFonts w:eastAsia="Calibri"/>
          <w:i/>
        </w:rPr>
        <w:t>Grafikon 2.3-6.4</w:t>
      </w:r>
      <w:r w:rsidRPr="0050182E">
        <w:t>).</w:t>
      </w:r>
      <w:r w:rsidRPr="00117298">
        <w:t xml:space="preserve"> Također, prisutan trend smanjenja u ovom sektoru od 2005. je rezultat postupnog uključivanja tehnika izgaranja biomase s manjim emisijama (postupne zamjene tradicionalnih peći</w:t>
      </w:r>
      <w:r w:rsidR="00CA55CB">
        <w:t xml:space="preserve"> i kotlova na drva, s naprednim</w:t>
      </w:r>
      <w:r w:rsidRPr="00117298">
        <w:t>/ s eko oznakama pećima, pećima i kotlovima visoke učinkovitosti te pećima i kotlovima na pelete.</w:t>
      </w:r>
    </w:p>
    <w:p w14:paraId="1A18DF7E" w14:textId="77777777" w:rsidR="00EB2BFD" w:rsidRDefault="00EB2BFD" w:rsidP="00EB2BFD">
      <w:pPr>
        <w:jc w:val="center"/>
      </w:pPr>
      <w:r w:rsidRPr="009F32F8">
        <w:rPr>
          <w:noProof/>
        </w:rPr>
        <w:lastRenderedPageBreak/>
        <w:drawing>
          <wp:inline distT="0" distB="0" distL="0" distR="0" wp14:anchorId="1A18E341" wp14:editId="1A18E342">
            <wp:extent cx="5613400" cy="4031615"/>
            <wp:effectExtent l="0" t="0" r="6350" b="698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3400" cy="4031615"/>
                    </a:xfrm>
                    <a:prstGeom prst="rect">
                      <a:avLst/>
                    </a:prstGeom>
                    <a:noFill/>
                    <a:ln>
                      <a:noFill/>
                    </a:ln>
                  </pic:spPr>
                </pic:pic>
              </a:graphicData>
            </a:graphic>
          </wp:inline>
        </w:drawing>
      </w:r>
    </w:p>
    <w:p w14:paraId="1A18DF7F" w14:textId="77777777" w:rsidR="00EB2BFD" w:rsidRPr="00CB5085" w:rsidRDefault="00EB2BFD" w:rsidP="00EB2BFD">
      <w:pPr>
        <w:jc w:val="center"/>
      </w:pPr>
      <w:r w:rsidRPr="009F32F8">
        <w:rPr>
          <w:noProof/>
        </w:rPr>
        <w:drawing>
          <wp:inline distT="0" distB="0" distL="0" distR="0" wp14:anchorId="1A18E343" wp14:editId="08BC73D1">
            <wp:extent cx="6134342" cy="1571625"/>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41006" cy="1573332"/>
                    </a:xfrm>
                    <a:prstGeom prst="rect">
                      <a:avLst/>
                    </a:prstGeom>
                    <a:noFill/>
                    <a:ln>
                      <a:noFill/>
                    </a:ln>
                  </pic:spPr>
                </pic:pic>
              </a:graphicData>
            </a:graphic>
          </wp:inline>
        </w:drawing>
      </w:r>
    </w:p>
    <w:p w14:paraId="1A18DF80" w14:textId="7AFEA645" w:rsidR="00EB2BFD" w:rsidRPr="00172FD9" w:rsidRDefault="00172FD9" w:rsidP="00172FD9">
      <w:pPr>
        <w:pStyle w:val="Slikaigrafnaslov"/>
      </w:pPr>
      <w:bookmarkStart w:id="20" w:name="_Toc96598348"/>
      <w:r w:rsidRPr="00172FD9">
        <w:t>Grafikon 2.3-</w:t>
      </w:r>
      <w:r w:rsidR="00DD4ED3">
        <w:t>6.</w:t>
      </w:r>
      <w:r w:rsidR="007F1855">
        <w:t>1</w:t>
      </w:r>
      <w:r w:rsidRPr="00172FD9">
        <w:t>.</w:t>
      </w:r>
      <w:r w:rsidR="00513CA0" w:rsidRPr="00172FD9">
        <w:t>:</w:t>
      </w:r>
      <w:r w:rsidR="00EB2BFD" w:rsidRPr="00172FD9">
        <w:t xml:space="preserve"> Emisija PCDD/PCDF (g I-TEQ/god) i postotni udio po sektoru </w:t>
      </w:r>
      <w:bookmarkEnd w:id="20"/>
    </w:p>
    <w:p w14:paraId="1A18DF81" w14:textId="77777777" w:rsidR="0050182E" w:rsidRDefault="0050182E" w:rsidP="007B70A8">
      <w:pPr>
        <w:spacing w:after="120"/>
      </w:pPr>
    </w:p>
    <w:p w14:paraId="1A18DF82" w14:textId="25C54B16" w:rsidR="00583DBD" w:rsidRPr="00172FD9" w:rsidRDefault="00583DBD" w:rsidP="007B70A8">
      <w:pPr>
        <w:spacing w:after="120"/>
      </w:pPr>
      <w:r w:rsidRPr="00172FD9">
        <w:t xml:space="preserve">Na </w:t>
      </w:r>
      <w:r w:rsidR="00172FD9" w:rsidRPr="00172FD9">
        <w:rPr>
          <w:i/>
          <w:noProof/>
        </w:rPr>
        <w:t>Grafikonu 2.3-</w:t>
      </w:r>
      <w:r w:rsidR="00DD4ED3">
        <w:rPr>
          <w:i/>
          <w:noProof/>
        </w:rPr>
        <w:t>6.</w:t>
      </w:r>
      <w:r w:rsidR="007F1855">
        <w:rPr>
          <w:i/>
          <w:noProof/>
        </w:rPr>
        <w:t>1</w:t>
      </w:r>
      <w:r w:rsidR="00172FD9" w:rsidRPr="00172FD9">
        <w:rPr>
          <w:i/>
          <w:noProof/>
        </w:rPr>
        <w:t>.</w:t>
      </w:r>
      <w:r w:rsidRPr="00172FD9">
        <w:t xml:space="preserve"> prikazan je trend emisija za PCDD/PCDF i PAU</w:t>
      </w:r>
      <w:r w:rsidR="0014716B" w:rsidRPr="00172FD9">
        <w:t xml:space="preserve"> u razdoblju od </w:t>
      </w:r>
      <w:r w:rsidRPr="00172FD9">
        <w:t xml:space="preserve">1990. do </w:t>
      </w:r>
      <w:r w:rsidR="00513CA0" w:rsidRPr="00172FD9">
        <w:t>2020</w:t>
      </w:r>
      <w:r w:rsidRPr="00172FD9">
        <w:t>.</w:t>
      </w:r>
    </w:p>
    <w:p w14:paraId="1A18DF83" w14:textId="77777777" w:rsidR="0050182E" w:rsidRPr="00172FD9" w:rsidRDefault="0050182E" w:rsidP="0050182E">
      <w:pPr>
        <w:spacing w:before="100" w:beforeAutospacing="1" w:after="120"/>
        <w:rPr>
          <w:i/>
        </w:rPr>
      </w:pPr>
      <w:r w:rsidRPr="00172FD9">
        <w:rPr>
          <w:i/>
        </w:rPr>
        <w:t>Emisija PAU</w:t>
      </w:r>
    </w:p>
    <w:p w14:paraId="1A18DF84" w14:textId="77777777" w:rsidR="00513CA0" w:rsidRDefault="00513CA0" w:rsidP="00513CA0">
      <w:pPr>
        <w:rPr>
          <w:rStyle w:val="longtext"/>
        </w:rPr>
      </w:pPr>
      <w:r w:rsidRPr="009939C1">
        <w:t>Emis</w:t>
      </w:r>
      <w:r>
        <w:t>ije PAU su iznosile 13,3 t u 2020. te su se smanjile za 39,6 % u odnosu na 1990..</w:t>
      </w:r>
      <w:r w:rsidRPr="00F57F28">
        <w:rPr>
          <w:rStyle w:val="longtext"/>
        </w:rPr>
        <w:t xml:space="preserve"> </w:t>
      </w:r>
      <w:r>
        <w:rPr>
          <w:rStyle w:val="longtext"/>
        </w:rPr>
        <w:t>Trend emisije PAU dominantno prati trend izgaranja biomase u malim kućnim ložištima, a kao rezultat njihovog sadržaja u tom gorivu</w:t>
      </w:r>
      <w:r w:rsidRPr="00AB1E49">
        <w:rPr>
          <w:rStyle w:val="longtext"/>
        </w:rPr>
        <w:t>.</w:t>
      </w:r>
      <w:r>
        <w:rPr>
          <w:rStyle w:val="longtext"/>
        </w:rPr>
        <w:t xml:space="preserve"> </w:t>
      </w:r>
    </w:p>
    <w:p w14:paraId="1A18DF85" w14:textId="77777777" w:rsidR="00513CA0" w:rsidRDefault="00513CA0" w:rsidP="00513CA0">
      <w:r>
        <w:t xml:space="preserve">Do smanjenja emisije 1991. i 1992. došlo je zbog smanjenja potrošnje ugljena u sektoru kućanstva te zbog zaustavljanja procesa proizvodnje aluminija (sa </w:t>
      </w:r>
      <w:r w:rsidRPr="009939C1">
        <w:t xml:space="preserve">Söderberg </w:t>
      </w:r>
      <w:r>
        <w:t xml:space="preserve">anodama) u Šibeniku 1992, proizvodnje željeza (punjenje visoke peći) u Sisku i Splitu 1992. i proizvodnje koksa u Bakru 1994. godine. Sve ranije navedeno zbilo se kao posljedica rata za hrvatsku neovisnost (1991. – 1995.). </w:t>
      </w:r>
      <w:r>
        <w:rPr>
          <w:rStyle w:val="longtext"/>
        </w:rPr>
        <w:t>Vidljiv je i blagi t</w:t>
      </w:r>
      <w:r>
        <w:t>rend</w:t>
      </w:r>
      <w:r w:rsidRPr="00BA4788">
        <w:t xml:space="preserve"> smanjenj</w:t>
      </w:r>
      <w:r>
        <w:t>a</w:t>
      </w:r>
      <w:r w:rsidRPr="00BA4788">
        <w:t xml:space="preserve"> od 200</w:t>
      </w:r>
      <w:r>
        <w:t>5</w:t>
      </w:r>
      <w:r w:rsidRPr="00BA4788">
        <w:t xml:space="preserve">. </w:t>
      </w:r>
      <w:r>
        <w:t>kao</w:t>
      </w:r>
      <w:r w:rsidRPr="00BA4788">
        <w:t xml:space="preserve"> </w:t>
      </w:r>
      <w:r>
        <w:t>rezultat</w:t>
      </w:r>
      <w:r w:rsidRPr="00BA4788">
        <w:t xml:space="preserve"> </w:t>
      </w:r>
      <w:r>
        <w:t>uključivanja tehnika izgaranja biomase u kućnim ložištima s manjim emisijama</w:t>
      </w:r>
      <w:r w:rsidRPr="00BA4788">
        <w:t>.</w:t>
      </w:r>
      <w:r>
        <w:t xml:space="preserve"> Osim spomenutog, smanjenja emisija kao rezultat klimatskih faktora mogu se vidjeti u godinama 1994., 2000., 2002. i 2014. kada je zbog toplije zime potrošnja biomase za ogrjev u kućanstvima bila manja.</w:t>
      </w:r>
    </w:p>
    <w:p w14:paraId="1A18DF86" w14:textId="77777777" w:rsidR="00513CA0" w:rsidRDefault="00513CA0" w:rsidP="00513CA0">
      <w:r w:rsidRPr="004E61FB">
        <w:lastRenderedPageBreak/>
        <w:t>Republika Hrvatska ima obvezu prema Protokolu</w:t>
      </w:r>
      <w:r w:rsidRPr="00CB5085">
        <w:t xml:space="preserve"> POO, sukladno kojem emisije </w:t>
      </w:r>
      <w:r>
        <w:t xml:space="preserve">PAU </w:t>
      </w:r>
      <w:r w:rsidRPr="00CB5085">
        <w:t xml:space="preserve">ne smiju prelaziti emisiju u baznoj godini (1990.). Hrvatska </w:t>
      </w:r>
      <w:r>
        <w:t xml:space="preserve">za 2020. </w:t>
      </w:r>
      <w:r w:rsidRPr="00CB5085">
        <w:t>ispunjava obveze spram Protokola POO.</w:t>
      </w:r>
    </w:p>
    <w:p w14:paraId="1A18DF87" w14:textId="77777777" w:rsidR="00513CA0" w:rsidRDefault="00513CA0" w:rsidP="00513CA0">
      <w:r w:rsidRPr="009F32F8">
        <w:rPr>
          <w:noProof/>
        </w:rPr>
        <w:drawing>
          <wp:inline distT="0" distB="0" distL="0" distR="0" wp14:anchorId="1A18E345" wp14:editId="1A18E346">
            <wp:extent cx="5613400" cy="4031615"/>
            <wp:effectExtent l="0" t="0" r="6350" b="6985"/>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0" cy="4031615"/>
                    </a:xfrm>
                    <a:prstGeom prst="rect">
                      <a:avLst/>
                    </a:prstGeom>
                    <a:noFill/>
                    <a:ln>
                      <a:noFill/>
                    </a:ln>
                  </pic:spPr>
                </pic:pic>
              </a:graphicData>
            </a:graphic>
          </wp:inline>
        </w:drawing>
      </w:r>
    </w:p>
    <w:p w14:paraId="1A18DF88" w14:textId="77777777" w:rsidR="00513CA0" w:rsidRPr="00CB5085" w:rsidRDefault="00513CA0" w:rsidP="00513CA0">
      <w:pPr>
        <w:jc w:val="center"/>
      </w:pPr>
      <w:r w:rsidRPr="009F32F8">
        <w:rPr>
          <w:noProof/>
        </w:rPr>
        <w:drawing>
          <wp:inline distT="0" distB="0" distL="0" distR="0" wp14:anchorId="1A18E347" wp14:editId="7AAE52CF">
            <wp:extent cx="6277016" cy="1619250"/>
            <wp:effectExtent l="0" t="0" r="9525"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7950" cy="1619491"/>
                    </a:xfrm>
                    <a:prstGeom prst="rect">
                      <a:avLst/>
                    </a:prstGeom>
                    <a:noFill/>
                    <a:ln>
                      <a:noFill/>
                    </a:ln>
                  </pic:spPr>
                </pic:pic>
              </a:graphicData>
            </a:graphic>
          </wp:inline>
        </w:drawing>
      </w:r>
    </w:p>
    <w:p w14:paraId="1A18DF89" w14:textId="4FE9D235" w:rsidR="00103E98" w:rsidRPr="0050182E" w:rsidRDefault="00172FD9" w:rsidP="0050182E">
      <w:pPr>
        <w:pStyle w:val="Slikaigrafnaslov"/>
      </w:pPr>
      <w:bookmarkStart w:id="21" w:name="_Toc96598349"/>
      <w:r w:rsidRPr="00172FD9">
        <w:t>Grafikon 2.3-</w:t>
      </w:r>
      <w:r w:rsidR="00DD4ED3">
        <w:t>6.</w:t>
      </w:r>
      <w:r w:rsidR="00586119">
        <w:t>2</w:t>
      </w:r>
      <w:r w:rsidRPr="00172FD9">
        <w:t>.</w:t>
      </w:r>
      <w:r w:rsidR="00513CA0">
        <w:t>:</w:t>
      </w:r>
      <w:r w:rsidR="00513CA0" w:rsidRPr="00CB5085">
        <w:t xml:space="preserve"> Emisija </w:t>
      </w:r>
      <w:r w:rsidR="00513CA0" w:rsidRPr="00B254F6">
        <w:t>PAU (kg/god)</w:t>
      </w:r>
      <w:r w:rsidR="00513CA0">
        <w:t xml:space="preserve"> i</w:t>
      </w:r>
      <w:r w:rsidR="00513CA0" w:rsidRPr="00CB5085">
        <w:t xml:space="preserve"> </w:t>
      </w:r>
      <w:r w:rsidR="00513CA0">
        <w:t>postotni udio po sektoru</w:t>
      </w:r>
      <w:r w:rsidR="00513CA0" w:rsidRPr="00CB5085">
        <w:t xml:space="preserve"> i promjene u emisiji</w:t>
      </w:r>
      <w:r w:rsidR="00513CA0">
        <w:t xml:space="preserve"> </w:t>
      </w:r>
      <w:r w:rsidR="00513CA0" w:rsidRPr="00B254F6">
        <w:t>PAU</w:t>
      </w:r>
      <w:bookmarkEnd w:id="21"/>
    </w:p>
    <w:p w14:paraId="1A18DF8A" w14:textId="77777777" w:rsidR="00513CA0" w:rsidRPr="00172FD9" w:rsidRDefault="00317EE7" w:rsidP="00172FD9">
      <w:pPr>
        <w:spacing w:before="100" w:beforeAutospacing="1" w:after="120"/>
        <w:rPr>
          <w:i/>
        </w:rPr>
      </w:pPr>
      <w:r w:rsidRPr="00172FD9">
        <w:rPr>
          <w:i/>
        </w:rPr>
        <w:t>Emisija HCB</w:t>
      </w:r>
    </w:p>
    <w:p w14:paraId="1A18DF8B" w14:textId="77777777" w:rsidR="00513CA0" w:rsidRDefault="00513CA0" w:rsidP="00513CA0">
      <w:r>
        <w:t xml:space="preserve">Heksaklorbenzen (HCB) je industrijska kemikalija no također je i sastavni je dio krutih fosilnih goriva i biomase. </w:t>
      </w:r>
      <w:r w:rsidR="009F3836">
        <w:t>Dio emisija potječe</w:t>
      </w:r>
      <w:r w:rsidRPr="00B542EA">
        <w:t xml:space="preserve"> od uporabe pesticida u poljoprivredi i šumarstvu zbog prisutnosti HCB kao kontaminanta</w:t>
      </w:r>
      <w:r w:rsidR="00172FD9">
        <w:t xml:space="preserve">. </w:t>
      </w:r>
      <w:r>
        <w:t>Emisija HCB je u 2020. iznosila 0,36 kg (</w:t>
      </w:r>
      <w:r w:rsidR="0050182E">
        <w:rPr>
          <w:rFonts w:eastAsia="Calibri"/>
          <w:i/>
        </w:rPr>
        <w:t>Grafikon 2.3-6.6</w:t>
      </w:r>
      <w:r w:rsidR="00BC61C5" w:rsidRPr="00172FD9">
        <w:rPr>
          <w:rFonts w:eastAsia="Calibri"/>
          <w:i/>
        </w:rPr>
        <w:t>.</w:t>
      </w:r>
      <w:r w:rsidRPr="009939C1">
        <w:t>)</w:t>
      </w:r>
      <w:r>
        <w:t>. U usporedbi s 1990., emisija HCB se smanjila za 94,9 % zbog smanjenja uporabe pesticida u sektoru Poljoprivreda koji je ključni izvor emisije HCB u povijesnom trendu (96,1 % u 1990. i 18 % u 2020.)</w:t>
      </w:r>
      <w:r w:rsidRPr="00750E84">
        <w:t xml:space="preserve">. </w:t>
      </w:r>
      <w:r>
        <w:t xml:space="preserve">Prvi ključni izvor u 2020. su mala ložišta i radni strojevi (60,4 %) uz dominaciju izgaranja biomase u kućnim ložištima. Izgaranja biomase u energetskim postrojenjima (javne toplane) rastućeg je karaktera od 2011. s rastućim utjecajem na emisiju HCB (0,1 % u 1990. i 15,1 % u 2020.). </w:t>
      </w:r>
    </w:p>
    <w:p w14:paraId="1A18DF8C" w14:textId="77777777" w:rsidR="00513CA0" w:rsidRDefault="00513CA0" w:rsidP="00513CA0">
      <w:r w:rsidRPr="008B27F4">
        <w:t xml:space="preserve">Republika Hrvatska ima obvezu spram Protokolu POO, da ukupna emisija HCB ne smije prelaziti emisiju u baznoj 1990.. U </w:t>
      </w:r>
      <w:r>
        <w:t>2020</w:t>
      </w:r>
      <w:r w:rsidRPr="008B27F4">
        <w:t xml:space="preserve">. </w:t>
      </w:r>
      <w:r>
        <w:t xml:space="preserve">je </w:t>
      </w:r>
      <w:r w:rsidRPr="008B27F4">
        <w:t xml:space="preserve">ta obveza ispunjena. </w:t>
      </w:r>
    </w:p>
    <w:p w14:paraId="1A18DF8D" w14:textId="77777777" w:rsidR="00513CA0" w:rsidRPr="00910BCB" w:rsidRDefault="00513CA0" w:rsidP="00513CA0">
      <w:pPr>
        <w:pStyle w:val="DRUGIPODNASLOV"/>
        <w:spacing w:before="0"/>
        <w:ind w:left="0" w:firstLine="0"/>
        <w:jc w:val="center"/>
        <w:rPr>
          <w:rFonts w:ascii="Times New Roman" w:hAnsi="Times New Roman"/>
          <w:b w:val="0"/>
          <w:sz w:val="24"/>
        </w:rPr>
      </w:pPr>
      <w:r w:rsidRPr="009F32F8">
        <w:rPr>
          <w:noProof/>
          <w:lang w:eastAsia="hr-HR"/>
        </w:rPr>
        <w:lastRenderedPageBreak/>
        <w:drawing>
          <wp:inline distT="0" distB="0" distL="0" distR="0" wp14:anchorId="1A18E349" wp14:editId="1A18E34A">
            <wp:extent cx="5661025" cy="4031615"/>
            <wp:effectExtent l="0" t="0" r="0" b="6985"/>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1025" cy="4031615"/>
                    </a:xfrm>
                    <a:prstGeom prst="rect">
                      <a:avLst/>
                    </a:prstGeom>
                    <a:noFill/>
                    <a:ln>
                      <a:noFill/>
                    </a:ln>
                  </pic:spPr>
                </pic:pic>
              </a:graphicData>
            </a:graphic>
          </wp:inline>
        </w:drawing>
      </w:r>
    </w:p>
    <w:p w14:paraId="1A18DF8E" w14:textId="77777777" w:rsidR="00513CA0" w:rsidRPr="00910BCB" w:rsidRDefault="00513CA0" w:rsidP="00513CA0">
      <w:pPr>
        <w:pStyle w:val="DRUGIPODNASLOV"/>
        <w:spacing w:before="0"/>
        <w:ind w:left="0" w:firstLine="0"/>
        <w:jc w:val="center"/>
        <w:rPr>
          <w:rFonts w:ascii="Times New Roman" w:hAnsi="Times New Roman"/>
          <w:b w:val="0"/>
          <w:sz w:val="24"/>
        </w:rPr>
      </w:pPr>
      <w:r w:rsidRPr="009F32F8">
        <w:rPr>
          <w:noProof/>
          <w:lang w:eastAsia="hr-HR"/>
        </w:rPr>
        <w:drawing>
          <wp:inline distT="0" distB="0" distL="0" distR="0" wp14:anchorId="1A18E34B" wp14:editId="1A18E34C">
            <wp:extent cx="5760085" cy="1464945"/>
            <wp:effectExtent l="0" t="0" r="0" b="1905"/>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1464945"/>
                    </a:xfrm>
                    <a:prstGeom prst="rect">
                      <a:avLst/>
                    </a:prstGeom>
                    <a:noFill/>
                    <a:ln>
                      <a:noFill/>
                    </a:ln>
                  </pic:spPr>
                </pic:pic>
              </a:graphicData>
            </a:graphic>
          </wp:inline>
        </w:drawing>
      </w:r>
    </w:p>
    <w:p w14:paraId="1A18DF8F" w14:textId="76CCD011" w:rsidR="00513CA0" w:rsidRPr="00CB5085" w:rsidRDefault="00BC61C5" w:rsidP="00172FD9">
      <w:pPr>
        <w:pStyle w:val="Slikaigrafnaslov"/>
      </w:pPr>
      <w:bookmarkStart w:id="22" w:name="_Toc96598350"/>
      <w:r w:rsidRPr="00172FD9">
        <w:t>Grafikon 2.3-</w:t>
      </w:r>
      <w:r w:rsidR="00DD4ED3">
        <w:t>6.</w:t>
      </w:r>
      <w:r w:rsidR="00586119">
        <w:t>3</w:t>
      </w:r>
      <w:r w:rsidRPr="00172FD9">
        <w:t>.</w:t>
      </w:r>
      <w:r w:rsidR="009F3836">
        <w:t>:</w:t>
      </w:r>
      <w:r w:rsidR="00513CA0" w:rsidRPr="00CB5085">
        <w:t xml:space="preserve"> Emisija </w:t>
      </w:r>
      <w:r w:rsidR="00513CA0">
        <w:t xml:space="preserve">HCB </w:t>
      </w:r>
      <w:r w:rsidR="00513CA0" w:rsidRPr="00B254F6">
        <w:t>(kg/god)</w:t>
      </w:r>
      <w:r w:rsidR="00513CA0">
        <w:t xml:space="preserve"> i</w:t>
      </w:r>
      <w:r w:rsidR="00513CA0" w:rsidRPr="00CB5085">
        <w:t xml:space="preserve"> </w:t>
      </w:r>
      <w:r w:rsidR="00513CA0">
        <w:t>postotni udio po sektoru</w:t>
      </w:r>
      <w:r w:rsidR="00513CA0" w:rsidRPr="00CB5085">
        <w:t xml:space="preserve"> i promjene u emisiji</w:t>
      </w:r>
      <w:r w:rsidR="00513CA0">
        <w:t xml:space="preserve"> HCB</w:t>
      </w:r>
      <w:bookmarkEnd w:id="22"/>
    </w:p>
    <w:p w14:paraId="1A18DF90" w14:textId="77777777" w:rsidR="00317EE7" w:rsidRPr="00C60ED7" w:rsidRDefault="00317EE7" w:rsidP="00317EE7">
      <w:pPr>
        <w:spacing w:after="120"/>
        <w:rPr>
          <w:highlight w:val="yellow"/>
        </w:rPr>
      </w:pPr>
    </w:p>
    <w:p w14:paraId="1A18DF91" w14:textId="77777777" w:rsidR="00317EE7" w:rsidRPr="00BC61C5" w:rsidRDefault="00317EE7" w:rsidP="007E5335">
      <w:pPr>
        <w:spacing w:before="100" w:beforeAutospacing="1" w:after="120"/>
        <w:rPr>
          <w:i/>
        </w:rPr>
      </w:pPr>
      <w:r w:rsidRPr="00BC61C5">
        <w:rPr>
          <w:i/>
        </w:rPr>
        <w:t>Emisija PCB</w:t>
      </w:r>
    </w:p>
    <w:p w14:paraId="1A18DF92" w14:textId="77777777" w:rsidR="00192507" w:rsidRDefault="00192507" w:rsidP="00192507">
      <w:pPr>
        <w:rPr>
          <w:rStyle w:val="longtext"/>
        </w:rPr>
      </w:pPr>
      <w:r w:rsidRPr="00BF2FA4">
        <w:rPr>
          <w:rStyle w:val="longtext"/>
        </w:rPr>
        <w:t>Pol</w:t>
      </w:r>
      <w:r>
        <w:rPr>
          <w:rStyle w:val="longtext"/>
        </w:rPr>
        <w:t>iklorirani bifenili</w:t>
      </w:r>
      <w:r w:rsidRPr="00BF2FA4">
        <w:rPr>
          <w:rStyle w:val="longtext"/>
        </w:rPr>
        <w:t xml:space="preserve"> (PCB) </w:t>
      </w:r>
      <w:r>
        <w:rPr>
          <w:rStyle w:val="longtext"/>
        </w:rPr>
        <w:t xml:space="preserve">su industrijske kemikalije. </w:t>
      </w:r>
      <w:r w:rsidRPr="00CB5085">
        <w:rPr>
          <w:rStyle w:val="longtext"/>
        </w:rPr>
        <w:t>Dominantan izvor emisije PCB-ova je uporaba POO</w:t>
      </w:r>
      <w:r w:rsidRPr="00BF2FA4">
        <w:rPr>
          <w:rStyle w:val="longtext"/>
        </w:rPr>
        <w:t xml:space="preserve"> </w:t>
      </w:r>
      <w:r>
        <w:rPr>
          <w:rStyle w:val="longtext"/>
        </w:rPr>
        <w:t>i teških metala, aktivnost unutar sektora Proizvodni procesi i upotreba proizvoda. Ostale aktivnosti kao što su proizvodnja čelika</w:t>
      </w:r>
      <w:r w:rsidRPr="00BF2FA4">
        <w:rPr>
          <w:rStyle w:val="longtext"/>
        </w:rPr>
        <w:t xml:space="preserve">, </w:t>
      </w:r>
      <w:r>
        <w:rPr>
          <w:rStyle w:val="longtext"/>
        </w:rPr>
        <w:t xml:space="preserve">termička obrada infektivnog otpada i izgaranje goriva </w:t>
      </w:r>
      <w:r w:rsidRPr="00CB5085">
        <w:rPr>
          <w:rStyle w:val="longtext"/>
        </w:rPr>
        <w:t xml:space="preserve">pridonose emisiji </w:t>
      </w:r>
      <w:r>
        <w:rPr>
          <w:rStyle w:val="longtext"/>
        </w:rPr>
        <w:t xml:space="preserve">PCB </w:t>
      </w:r>
      <w:r w:rsidRPr="00CB5085">
        <w:rPr>
          <w:rStyle w:val="longtext"/>
        </w:rPr>
        <w:t>u manjoj mjeri</w:t>
      </w:r>
      <w:r>
        <w:rPr>
          <w:rStyle w:val="longtext"/>
        </w:rPr>
        <w:t xml:space="preserve">. </w:t>
      </w:r>
    </w:p>
    <w:p w14:paraId="1A18DF93" w14:textId="77777777" w:rsidR="00192507" w:rsidRDefault="00192507" w:rsidP="00192507">
      <w:pPr>
        <w:rPr>
          <w:rStyle w:val="longtext"/>
        </w:rPr>
      </w:pPr>
      <w:r w:rsidRPr="00BF2FA4">
        <w:rPr>
          <w:rStyle w:val="longtext"/>
        </w:rPr>
        <w:t>Emis</w:t>
      </w:r>
      <w:r>
        <w:rPr>
          <w:rStyle w:val="longtext"/>
        </w:rPr>
        <w:t xml:space="preserve">ija PCB u 2020. iznosila je </w:t>
      </w:r>
      <w:r w:rsidRPr="00BF2FA4">
        <w:rPr>
          <w:rStyle w:val="longtext"/>
        </w:rPr>
        <w:t>4</w:t>
      </w:r>
      <w:r>
        <w:rPr>
          <w:rStyle w:val="longtext"/>
        </w:rPr>
        <w:t xml:space="preserve">07,1 </w:t>
      </w:r>
      <w:r w:rsidRPr="00BF2FA4">
        <w:rPr>
          <w:rStyle w:val="longtext"/>
        </w:rPr>
        <w:t>kg (</w:t>
      </w:r>
      <w:r w:rsidR="00BC61C5" w:rsidRPr="00172FD9">
        <w:rPr>
          <w:rFonts w:eastAsia="Calibri"/>
          <w:i/>
        </w:rPr>
        <w:t>Grafikon 2.3-</w:t>
      </w:r>
      <w:r w:rsidR="00DD4ED3">
        <w:rPr>
          <w:rFonts w:eastAsia="Calibri"/>
          <w:i/>
        </w:rPr>
        <w:t>6.7</w:t>
      </w:r>
      <w:r w:rsidR="00BC61C5" w:rsidRPr="00172FD9">
        <w:rPr>
          <w:rFonts w:eastAsia="Calibri"/>
          <w:i/>
        </w:rPr>
        <w:t>.</w:t>
      </w:r>
      <w:r w:rsidRPr="00BF2FA4">
        <w:rPr>
          <w:rStyle w:val="longtext"/>
        </w:rPr>
        <w:t xml:space="preserve">). </w:t>
      </w:r>
      <w:r>
        <w:rPr>
          <w:rStyle w:val="longtext"/>
        </w:rPr>
        <w:t xml:space="preserve">Ključni izvor, uporaba POO i teških metala, je </w:t>
      </w:r>
      <w:r w:rsidRPr="00E22E21">
        <w:rPr>
          <w:rStyle w:val="longtext"/>
        </w:rPr>
        <w:t>PCB emisij</w:t>
      </w:r>
      <w:r>
        <w:rPr>
          <w:rStyle w:val="longtext"/>
        </w:rPr>
        <w:t>a</w:t>
      </w:r>
      <w:r w:rsidRPr="00E22E21">
        <w:rPr>
          <w:rStyle w:val="longtext"/>
        </w:rPr>
        <w:t xml:space="preserve"> iz rashladnih i klima</w:t>
      </w:r>
      <w:r>
        <w:rPr>
          <w:rStyle w:val="longtext"/>
        </w:rPr>
        <w:t>tizacijskih</w:t>
      </w:r>
      <w:r w:rsidRPr="00E22E21">
        <w:rPr>
          <w:rStyle w:val="longtext"/>
        </w:rPr>
        <w:t xml:space="preserve"> </w:t>
      </w:r>
      <w:r>
        <w:rPr>
          <w:rStyle w:val="longtext"/>
        </w:rPr>
        <w:t>uređaja</w:t>
      </w:r>
      <w:r w:rsidRPr="00E22E21">
        <w:rPr>
          <w:rStyle w:val="longtext"/>
        </w:rPr>
        <w:t xml:space="preserve"> </w:t>
      </w:r>
      <w:r w:rsidRPr="00814D66">
        <w:t xml:space="preserve">koji koriste halogenirane ugljikovodike, </w:t>
      </w:r>
      <w:r w:rsidRPr="00FB13AA">
        <w:rPr>
          <w:i/>
        </w:rPr>
        <w:t>„foam blowing“</w:t>
      </w:r>
      <w:r w:rsidRPr="00814D66">
        <w:t xml:space="preserve"> i električna oprem</w:t>
      </w:r>
      <w:r>
        <w:t>a</w:t>
      </w:r>
      <w:r w:rsidRPr="00BF2FA4">
        <w:rPr>
          <w:rStyle w:val="longtext"/>
        </w:rPr>
        <w:t xml:space="preserve">. </w:t>
      </w:r>
      <w:r>
        <w:rPr>
          <w:rStyle w:val="longtext"/>
        </w:rPr>
        <w:t xml:space="preserve">Taj izvor doprinosi s 99,4 % ukupnoj nacionalnoj emisiji PCB u 2020.. Promjene u emisiji PCB su minimalne i izravno ovise o broju stanovnika u Republici Hrvatskoj, </w:t>
      </w:r>
      <w:r w:rsidRPr="00CB5085">
        <w:rPr>
          <w:rStyle w:val="longtext"/>
        </w:rPr>
        <w:t>budući se emisija ključnog izvora temelj</w:t>
      </w:r>
      <w:r>
        <w:rPr>
          <w:rStyle w:val="longtext"/>
        </w:rPr>
        <w:t>i na</w:t>
      </w:r>
      <w:r w:rsidRPr="00CB5085">
        <w:rPr>
          <w:rStyle w:val="longtext"/>
        </w:rPr>
        <w:t xml:space="preserve"> broj</w:t>
      </w:r>
      <w:r>
        <w:rPr>
          <w:rStyle w:val="longtext"/>
        </w:rPr>
        <w:t>u</w:t>
      </w:r>
      <w:r w:rsidRPr="00CB5085">
        <w:rPr>
          <w:rStyle w:val="longtext"/>
        </w:rPr>
        <w:t xml:space="preserve"> stanovnika</w:t>
      </w:r>
      <w:r>
        <w:rPr>
          <w:rStyle w:val="longtext"/>
        </w:rPr>
        <w:t>, koji ima blago padajući trend.</w:t>
      </w:r>
    </w:p>
    <w:p w14:paraId="1A18DF94" w14:textId="77777777" w:rsidR="00192507" w:rsidRDefault="00192507" w:rsidP="00192507">
      <w:r w:rsidRPr="008B27F4">
        <w:t xml:space="preserve">Republika Hrvatska ima obvezu spram Protokolu POO, da ukupna emisija </w:t>
      </w:r>
      <w:r>
        <w:t>P</w:t>
      </w:r>
      <w:r w:rsidRPr="008B27F4">
        <w:t xml:space="preserve">CB ne smije prelaziti emisiju u baznoj 1990. U </w:t>
      </w:r>
      <w:r>
        <w:t>2020</w:t>
      </w:r>
      <w:r w:rsidRPr="008B27F4">
        <w:t xml:space="preserve">. </w:t>
      </w:r>
      <w:r>
        <w:t xml:space="preserve">je </w:t>
      </w:r>
      <w:r w:rsidRPr="008B27F4">
        <w:t xml:space="preserve">ta obveza ispunjena. </w:t>
      </w:r>
    </w:p>
    <w:p w14:paraId="1A18DF95" w14:textId="77777777" w:rsidR="00192507" w:rsidRPr="00CB5085" w:rsidRDefault="00192507" w:rsidP="00192507">
      <w:pPr>
        <w:rPr>
          <w:rStyle w:val="longtext"/>
        </w:rPr>
      </w:pPr>
    </w:p>
    <w:p w14:paraId="1A18DF96" w14:textId="77777777" w:rsidR="00192507" w:rsidRDefault="00192507" w:rsidP="00192507">
      <w:r w:rsidRPr="009F32F8">
        <w:rPr>
          <w:noProof/>
        </w:rPr>
        <w:lastRenderedPageBreak/>
        <w:drawing>
          <wp:inline distT="0" distB="0" distL="0" distR="0" wp14:anchorId="1A18E34D" wp14:editId="1A18E34E">
            <wp:extent cx="5613400" cy="4031615"/>
            <wp:effectExtent l="0" t="0" r="6350" b="6985"/>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3400" cy="4031615"/>
                    </a:xfrm>
                    <a:prstGeom prst="rect">
                      <a:avLst/>
                    </a:prstGeom>
                    <a:noFill/>
                    <a:ln>
                      <a:noFill/>
                    </a:ln>
                  </pic:spPr>
                </pic:pic>
              </a:graphicData>
            </a:graphic>
          </wp:inline>
        </w:drawing>
      </w:r>
    </w:p>
    <w:p w14:paraId="1A18DF97" w14:textId="77777777" w:rsidR="00192507" w:rsidRPr="00CB5085" w:rsidRDefault="00192507" w:rsidP="00192507">
      <w:pPr>
        <w:jc w:val="center"/>
      </w:pPr>
      <w:r w:rsidRPr="00DA2D3E">
        <w:rPr>
          <w:noProof/>
        </w:rPr>
        <w:drawing>
          <wp:inline distT="0" distB="0" distL="0" distR="0" wp14:anchorId="1A18E34F" wp14:editId="1A18E350">
            <wp:extent cx="5760085" cy="1496695"/>
            <wp:effectExtent l="0" t="0" r="0" b="8255"/>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1496695"/>
                    </a:xfrm>
                    <a:prstGeom prst="rect">
                      <a:avLst/>
                    </a:prstGeom>
                    <a:noFill/>
                    <a:ln>
                      <a:noFill/>
                    </a:ln>
                  </pic:spPr>
                </pic:pic>
              </a:graphicData>
            </a:graphic>
          </wp:inline>
        </w:drawing>
      </w:r>
    </w:p>
    <w:p w14:paraId="1A18DF98" w14:textId="402F7B7B" w:rsidR="00192507" w:rsidRPr="00CB5085" w:rsidRDefault="00BC61C5" w:rsidP="00172FD9">
      <w:pPr>
        <w:pStyle w:val="Slikaigrafnaslov"/>
      </w:pPr>
      <w:bookmarkStart w:id="23" w:name="_Toc96598351"/>
      <w:r w:rsidRPr="00172FD9">
        <w:t>Grafikon 2.3-</w:t>
      </w:r>
      <w:r w:rsidR="00DD4ED3">
        <w:t>6.</w:t>
      </w:r>
      <w:r w:rsidR="00586119">
        <w:t>4</w:t>
      </w:r>
      <w:r w:rsidRPr="00172FD9">
        <w:t>.</w:t>
      </w:r>
      <w:r>
        <w:t xml:space="preserve"> </w:t>
      </w:r>
      <w:r w:rsidR="00192507" w:rsidRPr="00CB5085">
        <w:t xml:space="preserve">Emisija </w:t>
      </w:r>
      <w:r w:rsidR="00192507">
        <w:t xml:space="preserve">PCB </w:t>
      </w:r>
      <w:r w:rsidR="00192507" w:rsidRPr="00B254F6">
        <w:t>(kg/god)</w:t>
      </w:r>
      <w:r w:rsidR="00192507">
        <w:t xml:space="preserve"> i</w:t>
      </w:r>
      <w:r w:rsidR="00192507" w:rsidRPr="00CB5085">
        <w:t xml:space="preserve"> </w:t>
      </w:r>
      <w:r w:rsidR="00192507">
        <w:t>postotni udio po sektoru</w:t>
      </w:r>
      <w:r w:rsidR="00192507" w:rsidRPr="00CB5085">
        <w:t xml:space="preserve"> i promjene u emisiji</w:t>
      </w:r>
      <w:r w:rsidR="00192507">
        <w:t xml:space="preserve"> PCB</w:t>
      </w:r>
      <w:bookmarkEnd w:id="23"/>
    </w:p>
    <w:p w14:paraId="1A18DF99" w14:textId="77777777" w:rsidR="00A3366E" w:rsidRPr="00C60ED7" w:rsidRDefault="00A3366E" w:rsidP="00AD0270">
      <w:pPr>
        <w:spacing w:after="120"/>
        <w:jc w:val="center"/>
        <w:rPr>
          <w:highlight w:val="yellow"/>
        </w:rPr>
      </w:pPr>
    </w:p>
    <w:p w14:paraId="1A18DF9A" w14:textId="77777777" w:rsidR="009F5921" w:rsidRPr="00E47EC1" w:rsidRDefault="009F5921" w:rsidP="00317EE7">
      <w:pPr>
        <w:spacing w:after="120"/>
        <w:rPr>
          <w:i/>
          <w:sz w:val="20"/>
          <w:szCs w:val="20"/>
        </w:rPr>
      </w:pPr>
    </w:p>
    <w:p w14:paraId="1A18DF9B" w14:textId="77777777" w:rsidR="00317EE7" w:rsidRPr="00E47EC1" w:rsidRDefault="007E5335" w:rsidP="007E5335">
      <w:pPr>
        <w:pStyle w:val="Naslov2"/>
        <w:numPr>
          <w:ilvl w:val="1"/>
          <w:numId w:val="9"/>
        </w:numPr>
        <w:rPr>
          <w:b w:val="0"/>
        </w:rPr>
      </w:pPr>
      <w:bookmarkStart w:id="24" w:name="_Toc100840617"/>
      <w:r w:rsidRPr="00E47EC1">
        <w:rPr>
          <w:b w:val="0"/>
        </w:rPr>
        <w:t>TRENUTNA I PROCIJENJENA PROIZVODNJA, UPORABA I ISPUŠTANJE POP</w:t>
      </w:r>
      <w:r w:rsidR="00D82F52">
        <w:rPr>
          <w:b w:val="0"/>
        </w:rPr>
        <w:t>s</w:t>
      </w:r>
      <w:r w:rsidRPr="00E47EC1">
        <w:rPr>
          <w:b w:val="0"/>
        </w:rPr>
        <w:t>-OVA</w:t>
      </w:r>
      <w:bookmarkEnd w:id="24"/>
    </w:p>
    <w:p w14:paraId="1A18DF9C" w14:textId="77777777" w:rsidR="001E4B85" w:rsidRPr="00E47EC1" w:rsidRDefault="001E4B85" w:rsidP="001E4B85">
      <w:pPr>
        <w:pStyle w:val="Odlomakpopisa"/>
        <w:ind w:left="360"/>
      </w:pPr>
    </w:p>
    <w:p w14:paraId="1A18DF9D" w14:textId="77777777" w:rsidR="00BC61C5" w:rsidRPr="0050182E" w:rsidRDefault="00317EE7" w:rsidP="0050182E">
      <w:pPr>
        <w:spacing w:after="120"/>
      </w:pPr>
      <w:r w:rsidRPr="00E47EC1">
        <w:t xml:space="preserve">Trenutna i procijenjena proizvodnja, uporaba i ispuštanje POPs-ova je prikazana u tablici </w:t>
      </w:r>
      <w:r w:rsidR="0097052D" w:rsidRPr="00E47EC1">
        <w:t>2.4-1</w:t>
      </w:r>
      <w:r w:rsidR="0050182E">
        <w:t>.</w:t>
      </w:r>
    </w:p>
    <w:p w14:paraId="1A18DF9F" w14:textId="013AE9AE" w:rsidR="00DE5CBC" w:rsidRPr="00F41126" w:rsidRDefault="004E45FE" w:rsidP="00F41126">
      <w:pPr>
        <w:rPr>
          <w:i/>
        </w:rPr>
      </w:pPr>
      <w:r w:rsidRPr="00F41126">
        <w:rPr>
          <w:i/>
          <w:color w:val="000000"/>
        </w:rPr>
        <w:t>Tablica 2.4-1</w:t>
      </w:r>
      <w:r w:rsidR="00D75298" w:rsidRPr="00F41126">
        <w:rPr>
          <w:i/>
          <w:color w:val="000000"/>
        </w:rPr>
        <w:t>.</w:t>
      </w:r>
      <w:r w:rsidRPr="00F41126">
        <w:rPr>
          <w:i/>
          <w:color w:val="000000"/>
        </w:rPr>
        <w:t xml:space="preserve"> </w:t>
      </w:r>
      <w:r w:rsidR="00653CA9" w:rsidRPr="00F41126">
        <w:rPr>
          <w:i/>
        </w:rPr>
        <w:t>Trenutna i procijenjena proizvodnja, uporaba i ispuštanje POPs-ova</w:t>
      </w:r>
    </w:p>
    <w:tbl>
      <w:tblPr>
        <w:tblStyle w:val="Reetkatablice"/>
        <w:tblW w:w="9377" w:type="dxa"/>
        <w:jc w:val="center"/>
        <w:tblLook w:val="04A0" w:firstRow="1" w:lastRow="0" w:firstColumn="1" w:lastColumn="0" w:noHBand="0" w:noVBand="1"/>
      </w:tblPr>
      <w:tblGrid>
        <w:gridCol w:w="5242"/>
        <w:gridCol w:w="2383"/>
        <w:gridCol w:w="876"/>
        <w:gridCol w:w="876"/>
      </w:tblGrid>
      <w:tr w:rsidR="00653CA9" w:rsidRPr="00E47EC1" w14:paraId="1A18DFA4" w14:textId="77777777" w:rsidTr="00FB13AA">
        <w:trPr>
          <w:trHeight w:val="397"/>
          <w:tblHeader/>
          <w:jc w:val="center"/>
        </w:trPr>
        <w:tc>
          <w:tcPr>
            <w:tcW w:w="5242" w:type="dxa"/>
            <w:vAlign w:val="center"/>
          </w:tcPr>
          <w:p w14:paraId="1A18DFA0" w14:textId="77777777" w:rsidR="00653CA9" w:rsidRPr="00E47EC1" w:rsidRDefault="00653CA9" w:rsidP="003A09DB">
            <w:pPr>
              <w:rPr>
                <w:b/>
                <w:bCs/>
                <w:color w:val="000000"/>
              </w:rPr>
            </w:pPr>
            <w:r w:rsidRPr="00E47EC1">
              <w:rPr>
                <w:b/>
                <w:bCs/>
                <w:color w:val="000000"/>
              </w:rPr>
              <w:t>Godina</w:t>
            </w:r>
          </w:p>
        </w:tc>
        <w:tc>
          <w:tcPr>
            <w:tcW w:w="2383" w:type="dxa"/>
            <w:vAlign w:val="center"/>
          </w:tcPr>
          <w:p w14:paraId="1A18DFA1" w14:textId="77777777" w:rsidR="00653CA9" w:rsidRPr="00E47EC1" w:rsidRDefault="00653CA9" w:rsidP="003A09DB">
            <w:pPr>
              <w:rPr>
                <w:b/>
                <w:bCs/>
                <w:color w:val="000000"/>
              </w:rPr>
            </w:pPr>
            <w:r w:rsidRPr="00E47EC1">
              <w:rPr>
                <w:b/>
                <w:bCs/>
                <w:color w:val="000000"/>
              </w:rPr>
              <w:t>2013.</w:t>
            </w:r>
          </w:p>
        </w:tc>
        <w:tc>
          <w:tcPr>
            <w:tcW w:w="876" w:type="dxa"/>
            <w:vAlign w:val="center"/>
          </w:tcPr>
          <w:p w14:paraId="1A18DFA2" w14:textId="77777777" w:rsidR="00653CA9" w:rsidRPr="00E47EC1" w:rsidRDefault="00653CA9" w:rsidP="003A09DB">
            <w:pPr>
              <w:rPr>
                <w:b/>
                <w:bCs/>
                <w:color w:val="000000"/>
              </w:rPr>
            </w:pPr>
            <w:r w:rsidRPr="00E47EC1">
              <w:rPr>
                <w:b/>
                <w:bCs/>
                <w:color w:val="000000"/>
              </w:rPr>
              <w:t>2020.</w:t>
            </w:r>
          </w:p>
        </w:tc>
        <w:tc>
          <w:tcPr>
            <w:tcW w:w="876" w:type="dxa"/>
            <w:vAlign w:val="center"/>
          </w:tcPr>
          <w:p w14:paraId="1A18DFA3" w14:textId="77777777" w:rsidR="00653CA9" w:rsidRPr="00E47EC1" w:rsidRDefault="00653CA9" w:rsidP="003A09DB">
            <w:pPr>
              <w:rPr>
                <w:b/>
                <w:bCs/>
                <w:color w:val="000000"/>
              </w:rPr>
            </w:pPr>
            <w:r w:rsidRPr="00E47EC1">
              <w:rPr>
                <w:b/>
                <w:bCs/>
                <w:color w:val="000000"/>
              </w:rPr>
              <w:t>2030.</w:t>
            </w:r>
          </w:p>
        </w:tc>
      </w:tr>
      <w:tr w:rsidR="00653CA9" w:rsidRPr="00E47EC1" w14:paraId="1A18DFA9" w14:textId="77777777" w:rsidTr="00FB13AA">
        <w:trPr>
          <w:trHeight w:val="397"/>
          <w:jc w:val="center"/>
        </w:trPr>
        <w:tc>
          <w:tcPr>
            <w:tcW w:w="5242" w:type="dxa"/>
            <w:shd w:val="clear" w:color="auto" w:fill="D9D9D9" w:themeFill="background1" w:themeFillShade="D9"/>
            <w:vAlign w:val="center"/>
          </w:tcPr>
          <w:p w14:paraId="1A18DFA5" w14:textId="77777777" w:rsidR="00653CA9" w:rsidRPr="00E47EC1" w:rsidRDefault="00653CA9" w:rsidP="003A09DB">
            <w:pPr>
              <w:rPr>
                <w:color w:val="000000"/>
              </w:rPr>
            </w:pPr>
            <w:r w:rsidRPr="00E47EC1">
              <w:rPr>
                <w:color w:val="000000"/>
              </w:rPr>
              <w:t>POPs Pesticidi</w:t>
            </w:r>
          </w:p>
        </w:tc>
        <w:tc>
          <w:tcPr>
            <w:tcW w:w="2383" w:type="dxa"/>
            <w:shd w:val="clear" w:color="auto" w:fill="D9D9D9" w:themeFill="background1" w:themeFillShade="D9"/>
            <w:vAlign w:val="center"/>
          </w:tcPr>
          <w:p w14:paraId="1A18DFA6"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DFA7"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DFA8" w14:textId="77777777" w:rsidR="00653CA9" w:rsidRPr="00E47EC1" w:rsidRDefault="00653CA9" w:rsidP="003A09DB">
            <w:pPr>
              <w:rPr>
                <w:color w:val="000000"/>
              </w:rPr>
            </w:pPr>
            <w:r w:rsidRPr="00E47EC1">
              <w:rPr>
                <w:color w:val="000000"/>
              </w:rPr>
              <w:t> </w:t>
            </w:r>
          </w:p>
        </w:tc>
      </w:tr>
      <w:tr w:rsidR="00653CA9" w:rsidRPr="00E47EC1" w14:paraId="1A18DFAE" w14:textId="77777777" w:rsidTr="00FB13AA">
        <w:trPr>
          <w:trHeight w:val="397"/>
          <w:jc w:val="center"/>
        </w:trPr>
        <w:tc>
          <w:tcPr>
            <w:tcW w:w="5242" w:type="dxa"/>
            <w:shd w:val="clear" w:color="auto" w:fill="D9D9D9" w:themeFill="background1" w:themeFillShade="D9"/>
            <w:vAlign w:val="center"/>
          </w:tcPr>
          <w:p w14:paraId="1A18DFAA" w14:textId="77777777" w:rsidR="00653CA9" w:rsidRPr="00E47EC1" w:rsidRDefault="00653CA9" w:rsidP="003A09DB">
            <w:pPr>
              <w:rPr>
                <w:color w:val="000000"/>
              </w:rPr>
            </w:pPr>
            <w:r w:rsidRPr="00E47EC1">
              <w:rPr>
                <w:color w:val="000000"/>
              </w:rPr>
              <w:t>Proizvodnja (tona)</w:t>
            </w:r>
          </w:p>
        </w:tc>
        <w:tc>
          <w:tcPr>
            <w:tcW w:w="2383" w:type="dxa"/>
            <w:shd w:val="clear" w:color="auto" w:fill="D9D9D9" w:themeFill="background1" w:themeFillShade="D9"/>
            <w:vAlign w:val="center"/>
          </w:tcPr>
          <w:p w14:paraId="1A18DFAB"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DFAC"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DFAD" w14:textId="77777777" w:rsidR="00653CA9" w:rsidRPr="00E47EC1" w:rsidRDefault="00653CA9" w:rsidP="003A09DB">
            <w:pPr>
              <w:rPr>
                <w:color w:val="000000"/>
              </w:rPr>
            </w:pPr>
            <w:r w:rsidRPr="00E47EC1">
              <w:rPr>
                <w:color w:val="000000"/>
              </w:rPr>
              <w:t> </w:t>
            </w:r>
          </w:p>
        </w:tc>
      </w:tr>
      <w:tr w:rsidR="00653CA9" w:rsidRPr="00E47EC1" w14:paraId="1A18DFB3" w14:textId="77777777" w:rsidTr="00FB13AA">
        <w:trPr>
          <w:trHeight w:val="397"/>
          <w:jc w:val="center"/>
        </w:trPr>
        <w:tc>
          <w:tcPr>
            <w:tcW w:w="5242" w:type="dxa"/>
            <w:vAlign w:val="center"/>
          </w:tcPr>
          <w:p w14:paraId="1A18DFAF" w14:textId="77777777" w:rsidR="00653CA9" w:rsidRPr="00E47EC1" w:rsidRDefault="00653CA9" w:rsidP="003A09DB">
            <w:pPr>
              <w:rPr>
                <w:color w:val="000000"/>
              </w:rPr>
            </w:pPr>
            <w:r w:rsidRPr="00E47EC1">
              <w:rPr>
                <w:color w:val="000000"/>
              </w:rPr>
              <w:t>aldrin</w:t>
            </w:r>
          </w:p>
        </w:tc>
        <w:tc>
          <w:tcPr>
            <w:tcW w:w="2383" w:type="dxa"/>
            <w:vAlign w:val="center"/>
          </w:tcPr>
          <w:p w14:paraId="1A18DFB0" w14:textId="77777777" w:rsidR="00653CA9" w:rsidRPr="00E47EC1" w:rsidRDefault="00653CA9" w:rsidP="003A09DB">
            <w:pPr>
              <w:rPr>
                <w:color w:val="000000"/>
              </w:rPr>
            </w:pPr>
            <w:r w:rsidRPr="00E47EC1">
              <w:rPr>
                <w:color w:val="000000"/>
              </w:rPr>
              <w:t>0</w:t>
            </w:r>
          </w:p>
        </w:tc>
        <w:tc>
          <w:tcPr>
            <w:tcW w:w="876" w:type="dxa"/>
            <w:vAlign w:val="center"/>
          </w:tcPr>
          <w:p w14:paraId="1A18DFB1" w14:textId="77777777" w:rsidR="00653CA9" w:rsidRPr="00E47EC1" w:rsidRDefault="00653CA9" w:rsidP="003A09DB">
            <w:pPr>
              <w:rPr>
                <w:color w:val="000000"/>
              </w:rPr>
            </w:pPr>
            <w:r w:rsidRPr="00E47EC1">
              <w:rPr>
                <w:color w:val="000000"/>
              </w:rPr>
              <w:t>0</w:t>
            </w:r>
          </w:p>
        </w:tc>
        <w:tc>
          <w:tcPr>
            <w:tcW w:w="876" w:type="dxa"/>
            <w:vAlign w:val="center"/>
          </w:tcPr>
          <w:p w14:paraId="1A18DFB2" w14:textId="77777777" w:rsidR="00653CA9" w:rsidRPr="00E47EC1" w:rsidRDefault="00653CA9" w:rsidP="003A09DB">
            <w:pPr>
              <w:rPr>
                <w:color w:val="000000"/>
              </w:rPr>
            </w:pPr>
            <w:r w:rsidRPr="00E47EC1">
              <w:rPr>
                <w:color w:val="000000"/>
              </w:rPr>
              <w:t>0</w:t>
            </w:r>
          </w:p>
        </w:tc>
      </w:tr>
      <w:tr w:rsidR="00653CA9" w:rsidRPr="00E47EC1" w14:paraId="1A18DFB8" w14:textId="77777777" w:rsidTr="00FB13AA">
        <w:trPr>
          <w:trHeight w:val="397"/>
          <w:jc w:val="center"/>
        </w:trPr>
        <w:tc>
          <w:tcPr>
            <w:tcW w:w="5242" w:type="dxa"/>
            <w:vAlign w:val="center"/>
          </w:tcPr>
          <w:p w14:paraId="1A18DFB4" w14:textId="77777777" w:rsidR="00653CA9" w:rsidRPr="00E47EC1" w:rsidRDefault="00653CA9" w:rsidP="003A09DB">
            <w:pPr>
              <w:rPr>
                <w:color w:val="000000"/>
              </w:rPr>
            </w:pPr>
            <w:r w:rsidRPr="00E47EC1">
              <w:rPr>
                <w:color w:val="000000"/>
              </w:rPr>
              <w:t>klordan</w:t>
            </w:r>
          </w:p>
        </w:tc>
        <w:tc>
          <w:tcPr>
            <w:tcW w:w="2383" w:type="dxa"/>
            <w:vAlign w:val="center"/>
          </w:tcPr>
          <w:p w14:paraId="1A18DFB5" w14:textId="77777777" w:rsidR="00653CA9" w:rsidRPr="00E47EC1" w:rsidRDefault="00653CA9" w:rsidP="003A09DB">
            <w:pPr>
              <w:rPr>
                <w:color w:val="000000"/>
              </w:rPr>
            </w:pPr>
            <w:r w:rsidRPr="00E47EC1">
              <w:rPr>
                <w:color w:val="000000"/>
              </w:rPr>
              <w:t>0</w:t>
            </w:r>
          </w:p>
        </w:tc>
        <w:tc>
          <w:tcPr>
            <w:tcW w:w="876" w:type="dxa"/>
            <w:vAlign w:val="center"/>
          </w:tcPr>
          <w:p w14:paraId="1A18DFB6" w14:textId="77777777" w:rsidR="00653CA9" w:rsidRPr="00E47EC1" w:rsidRDefault="00653CA9" w:rsidP="003A09DB">
            <w:pPr>
              <w:rPr>
                <w:color w:val="000000"/>
              </w:rPr>
            </w:pPr>
            <w:r w:rsidRPr="00E47EC1">
              <w:rPr>
                <w:color w:val="000000"/>
              </w:rPr>
              <w:t>0</w:t>
            </w:r>
          </w:p>
        </w:tc>
        <w:tc>
          <w:tcPr>
            <w:tcW w:w="876" w:type="dxa"/>
            <w:vAlign w:val="center"/>
          </w:tcPr>
          <w:p w14:paraId="1A18DFB7" w14:textId="77777777" w:rsidR="00653CA9" w:rsidRPr="00E47EC1" w:rsidRDefault="00653CA9" w:rsidP="003A09DB">
            <w:pPr>
              <w:rPr>
                <w:color w:val="000000"/>
              </w:rPr>
            </w:pPr>
            <w:r w:rsidRPr="00E47EC1">
              <w:rPr>
                <w:color w:val="000000"/>
              </w:rPr>
              <w:t>0</w:t>
            </w:r>
          </w:p>
        </w:tc>
      </w:tr>
      <w:tr w:rsidR="00653CA9" w:rsidRPr="00E47EC1" w14:paraId="1A18DFBD" w14:textId="77777777" w:rsidTr="00FB13AA">
        <w:trPr>
          <w:trHeight w:val="397"/>
          <w:jc w:val="center"/>
        </w:trPr>
        <w:tc>
          <w:tcPr>
            <w:tcW w:w="5242" w:type="dxa"/>
            <w:vAlign w:val="center"/>
          </w:tcPr>
          <w:p w14:paraId="1A18DFB9" w14:textId="77777777" w:rsidR="00653CA9" w:rsidRPr="00E47EC1" w:rsidRDefault="00653CA9" w:rsidP="003A09DB">
            <w:pPr>
              <w:rPr>
                <w:color w:val="000000"/>
              </w:rPr>
            </w:pPr>
            <w:r w:rsidRPr="00E47EC1">
              <w:rPr>
                <w:color w:val="000000"/>
              </w:rPr>
              <w:t>dieldrin</w:t>
            </w:r>
          </w:p>
        </w:tc>
        <w:tc>
          <w:tcPr>
            <w:tcW w:w="2383" w:type="dxa"/>
            <w:vAlign w:val="center"/>
          </w:tcPr>
          <w:p w14:paraId="1A18DFBA" w14:textId="77777777" w:rsidR="00653CA9" w:rsidRPr="00E47EC1" w:rsidRDefault="00653CA9" w:rsidP="003A09DB">
            <w:pPr>
              <w:rPr>
                <w:color w:val="000000"/>
              </w:rPr>
            </w:pPr>
            <w:r w:rsidRPr="00E47EC1">
              <w:rPr>
                <w:color w:val="000000"/>
              </w:rPr>
              <w:t>0</w:t>
            </w:r>
          </w:p>
        </w:tc>
        <w:tc>
          <w:tcPr>
            <w:tcW w:w="876" w:type="dxa"/>
            <w:vAlign w:val="center"/>
          </w:tcPr>
          <w:p w14:paraId="1A18DFBB" w14:textId="77777777" w:rsidR="00653CA9" w:rsidRPr="00E47EC1" w:rsidRDefault="00653CA9" w:rsidP="003A09DB">
            <w:pPr>
              <w:rPr>
                <w:color w:val="000000"/>
              </w:rPr>
            </w:pPr>
            <w:r w:rsidRPr="00E47EC1">
              <w:rPr>
                <w:color w:val="000000"/>
              </w:rPr>
              <w:t>0</w:t>
            </w:r>
          </w:p>
        </w:tc>
        <w:tc>
          <w:tcPr>
            <w:tcW w:w="876" w:type="dxa"/>
            <w:vAlign w:val="center"/>
          </w:tcPr>
          <w:p w14:paraId="1A18DFBC" w14:textId="77777777" w:rsidR="00653CA9" w:rsidRPr="00E47EC1" w:rsidRDefault="00653CA9" w:rsidP="003A09DB">
            <w:pPr>
              <w:rPr>
                <w:color w:val="000000"/>
              </w:rPr>
            </w:pPr>
            <w:r w:rsidRPr="00E47EC1">
              <w:rPr>
                <w:color w:val="000000"/>
              </w:rPr>
              <w:t>0</w:t>
            </w:r>
          </w:p>
        </w:tc>
      </w:tr>
      <w:tr w:rsidR="00653CA9" w:rsidRPr="00E47EC1" w14:paraId="1A18DFC2" w14:textId="77777777" w:rsidTr="00FB13AA">
        <w:trPr>
          <w:trHeight w:val="397"/>
          <w:jc w:val="center"/>
        </w:trPr>
        <w:tc>
          <w:tcPr>
            <w:tcW w:w="5242" w:type="dxa"/>
            <w:vAlign w:val="center"/>
          </w:tcPr>
          <w:p w14:paraId="1A18DFBE" w14:textId="77777777" w:rsidR="00653CA9" w:rsidRPr="00E47EC1" w:rsidRDefault="00653CA9" w:rsidP="003A09DB">
            <w:pPr>
              <w:rPr>
                <w:color w:val="000000"/>
              </w:rPr>
            </w:pPr>
            <w:r w:rsidRPr="00E47EC1">
              <w:rPr>
                <w:color w:val="000000"/>
              </w:rPr>
              <w:t>endrin</w:t>
            </w:r>
          </w:p>
        </w:tc>
        <w:tc>
          <w:tcPr>
            <w:tcW w:w="2383" w:type="dxa"/>
            <w:vAlign w:val="center"/>
          </w:tcPr>
          <w:p w14:paraId="1A18DFBF" w14:textId="77777777" w:rsidR="00653CA9" w:rsidRPr="00E47EC1" w:rsidRDefault="00653CA9" w:rsidP="003A09DB">
            <w:pPr>
              <w:rPr>
                <w:color w:val="000000"/>
              </w:rPr>
            </w:pPr>
            <w:r w:rsidRPr="00E47EC1">
              <w:rPr>
                <w:color w:val="000000"/>
              </w:rPr>
              <w:t>0</w:t>
            </w:r>
          </w:p>
        </w:tc>
        <w:tc>
          <w:tcPr>
            <w:tcW w:w="876" w:type="dxa"/>
            <w:vAlign w:val="center"/>
          </w:tcPr>
          <w:p w14:paraId="1A18DFC0" w14:textId="77777777" w:rsidR="00653CA9" w:rsidRPr="00E47EC1" w:rsidRDefault="00653CA9" w:rsidP="003A09DB">
            <w:pPr>
              <w:rPr>
                <w:color w:val="000000"/>
              </w:rPr>
            </w:pPr>
            <w:r w:rsidRPr="00E47EC1">
              <w:rPr>
                <w:color w:val="000000"/>
              </w:rPr>
              <w:t>0</w:t>
            </w:r>
          </w:p>
        </w:tc>
        <w:tc>
          <w:tcPr>
            <w:tcW w:w="876" w:type="dxa"/>
            <w:vAlign w:val="center"/>
          </w:tcPr>
          <w:p w14:paraId="1A18DFC1" w14:textId="77777777" w:rsidR="00653CA9" w:rsidRPr="00E47EC1" w:rsidRDefault="00653CA9" w:rsidP="003A09DB">
            <w:pPr>
              <w:rPr>
                <w:color w:val="000000"/>
              </w:rPr>
            </w:pPr>
            <w:r w:rsidRPr="00E47EC1">
              <w:rPr>
                <w:color w:val="000000"/>
              </w:rPr>
              <w:t>0</w:t>
            </w:r>
          </w:p>
        </w:tc>
      </w:tr>
      <w:tr w:rsidR="00653CA9" w:rsidRPr="00E47EC1" w14:paraId="1A18DFC7" w14:textId="77777777" w:rsidTr="00FB13AA">
        <w:trPr>
          <w:trHeight w:val="397"/>
          <w:jc w:val="center"/>
        </w:trPr>
        <w:tc>
          <w:tcPr>
            <w:tcW w:w="5242" w:type="dxa"/>
            <w:vAlign w:val="center"/>
          </w:tcPr>
          <w:p w14:paraId="1A18DFC3" w14:textId="77777777" w:rsidR="00653CA9" w:rsidRPr="00E47EC1" w:rsidRDefault="00653CA9" w:rsidP="003A09DB">
            <w:pPr>
              <w:rPr>
                <w:color w:val="000000"/>
              </w:rPr>
            </w:pPr>
            <w:r w:rsidRPr="00E47EC1">
              <w:rPr>
                <w:color w:val="000000"/>
              </w:rPr>
              <w:lastRenderedPageBreak/>
              <w:t>heptaklor</w:t>
            </w:r>
          </w:p>
        </w:tc>
        <w:tc>
          <w:tcPr>
            <w:tcW w:w="2383" w:type="dxa"/>
            <w:vAlign w:val="center"/>
          </w:tcPr>
          <w:p w14:paraId="1A18DFC4" w14:textId="77777777" w:rsidR="00653CA9" w:rsidRPr="00E47EC1" w:rsidRDefault="00653CA9" w:rsidP="003A09DB">
            <w:pPr>
              <w:rPr>
                <w:color w:val="000000"/>
              </w:rPr>
            </w:pPr>
            <w:r w:rsidRPr="00E47EC1">
              <w:rPr>
                <w:color w:val="000000"/>
              </w:rPr>
              <w:t>0</w:t>
            </w:r>
          </w:p>
        </w:tc>
        <w:tc>
          <w:tcPr>
            <w:tcW w:w="876" w:type="dxa"/>
            <w:vAlign w:val="center"/>
          </w:tcPr>
          <w:p w14:paraId="1A18DFC5" w14:textId="77777777" w:rsidR="00653CA9" w:rsidRPr="00E47EC1" w:rsidRDefault="00653CA9" w:rsidP="003A09DB">
            <w:pPr>
              <w:rPr>
                <w:color w:val="000000"/>
              </w:rPr>
            </w:pPr>
            <w:r w:rsidRPr="00E47EC1">
              <w:rPr>
                <w:color w:val="000000"/>
              </w:rPr>
              <w:t>0</w:t>
            </w:r>
          </w:p>
        </w:tc>
        <w:tc>
          <w:tcPr>
            <w:tcW w:w="876" w:type="dxa"/>
            <w:vAlign w:val="center"/>
          </w:tcPr>
          <w:p w14:paraId="1A18DFC6" w14:textId="77777777" w:rsidR="00653CA9" w:rsidRPr="00E47EC1" w:rsidRDefault="00653CA9" w:rsidP="003A09DB">
            <w:pPr>
              <w:rPr>
                <w:color w:val="000000"/>
              </w:rPr>
            </w:pPr>
            <w:r w:rsidRPr="00E47EC1">
              <w:rPr>
                <w:color w:val="000000"/>
              </w:rPr>
              <w:t>0</w:t>
            </w:r>
          </w:p>
        </w:tc>
      </w:tr>
      <w:tr w:rsidR="00653CA9" w:rsidRPr="00E47EC1" w14:paraId="1A18DFCC" w14:textId="77777777" w:rsidTr="00FB13AA">
        <w:trPr>
          <w:trHeight w:val="397"/>
          <w:jc w:val="center"/>
        </w:trPr>
        <w:tc>
          <w:tcPr>
            <w:tcW w:w="5242" w:type="dxa"/>
            <w:vAlign w:val="center"/>
          </w:tcPr>
          <w:p w14:paraId="1A18DFC8" w14:textId="77777777" w:rsidR="00653CA9" w:rsidRPr="00E47EC1" w:rsidRDefault="00653CA9" w:rsidP="003A09DB">
            <w:pPr>
              <w:rPr>
                <w:color w:val="000000"/>
              </w:rPr>
            </w:pPr>
            <w:r w:rsidRPr="00E47EC1">
              <w:rPr>
                <w:color w:val="000000"/>
              </w:rPr>
              <w:t>heksaklorobenzen</w:t>
            </w:r>
          </w:p>
        </w:tc>
        <w:tc>
          <w:tcPr>
            <w:tcW w:w="2383" w:type="dxa"/>
            <w:vAlign w:val="center"/>
          </w:tcPr>
          <w:p w14:paraId="1A18DFC9" w14:textId="77777777" w:rsidR="00653CA9" w:rsidRPr="00E47EC1" w:rsidRDefault="00653CA9" w:rsidP="003A09DB">
            <w:pPr>
              <w:rPr>
                <w:color w:val="000000"/>
              </w:rPr>
            </w:pPr>
            <w:r w:rsidRPr="00E47EC1">
              <w:rPr>
                <w:color w:val="000000"/>
              </w:rPr>
              <w:t>0</w:t>
            </w:r>
          </w:p>
        </w:tc>
        <w:tc>
          <w:tcPr>
            <w:tcW w:w="876" w:type="dxa"/>
            <w:vAlign w:val="center"/>
          </w:tcPr>
          <w:p w14:paraId="1A18DFCA" w14:textId="77777777" w:rsidR="00653CA9" w:rsidRPr="00E47EC1" w:rsidRDefault="00653CA9" w:rsidP="003A09DB">
            <w:pPr>
              <w:rPr>
                <w:color w:val="000000"/>
              </w:rPr>
            </w:pPr>
            <w:r w:rsidRPr="00E47EC1">
              <w:rPr>
                <w:color w:val="000000"/>
              </w:rPr>
              <w:t>0</w:t>
            </w:r>
          </w:p>
        </w:tc>
        <w:tc>
          <w:tcPr>
            <w:tcW w:w="876" w:type="dxa"/>
            <w:vAlign w:val="center"/>
          </w:tcPr>
          <w:p w14:paraId="1A18DFCB" w14:textId="77777777" w:rsidR="00653CA9" w:rsidRPr="00E47EC1" w:rsidRDefault="00653CA9" w:rsidP="003A09DB">
            <w:pPr>
              <w:rPr>
                <w:color w:val="000000"/>
              </w:rPr>
            </w:pPr>
            <w:r w:rsidRPr="00E47EC1">
              <w:rPr>
                <w:color w:val="000000"/>
              </w:rPr>
              <w:t>0</w:t>
            </w:r>
          </w:p>
        </w:tc>
      </w:tr>
      <w:tr w:rsidR="00653CA9" w:rsidRPr="00E47EC1" w14:paraId="1A18DFD1" w14:textId="77777777" w:rsidTr="00FB13AA">
        <w:trPr>
          <w:trHeight w:val="397"/>
          <w:jc w:val="center"/>
        </w:trPr>
        <w:tc>
          <w:tcPr>
            <w:tcW w:w="5242" w:type="dxa"/>
            <w:vAlign w:val="center"/>
          </w:tcPr>
          <w:p w14:paraId="1A18DFCD" w14:textId="77777777" w:rsidR="00653CA9" w:rsidRPr="00E47EC1" w:rsidRDefault="00653CA9" w:rsidP="003A09DB">
            <w:pPr>
              <w:rPr>
                <w:color w:val="000000"/>
              </w:rPr>
            </w:pPr>
            <w:r w:rsidRPr="00E47EC1">
              <w:rPr>
                <w:color w:val="000000"/>
              </w:rPr>
              <w:t>mireks</w:t>
            </w:r>
          </w:p>
        </w:tc>
        <w:tc>
          <w:tcPr>
            <w:tcW w:w="2383" w:type="dxa"/>
            <w:vAlign w:val="center"/>
          </w:tcPr>
          <w:p w14:paraId="1A18DFCE" w14:textId="77777777" w:rsidR="00653CA9" w:rsidRPr="00E47EC1" w:rsidRDefault="00653CA9" w:rsidP="003A09DB">
            <w:pPr>
              <w:rPr>
                <w:color w:val="000000"/>
              </w:rPr>
            </w:pPr>
            <w:r w:rsidRPr="00E47EC1">
              <w:rPr>
                <w:color w:val="000000"/>
              </w:rPr>
              <w:t>0</w:t>
            </w:r>
          </w:p>
        </w:tc>
        <w:tc>
          <w:tcPr>
            <w:tcW w:w="876" w:type="dxa"/>
            <w:vAlign w:val="center"/>
          </w:tcPr>
          <w:p w14:paraId="1A18DFCF" w14:textId="77777777" w:rsidR="00653CA9" w:rsidRPr="00E47EC1" w:rsidRDefault="00653CA9" w:rsidP="003A09DB">
            <w:pPr>
              <w:rPr>
                <w:color w:val="000000"/>
              </w:rPr>
            </w:pPr>
            <w:r w:rsidRPr="00E47EC1">
              <w:rPr>
                <w:color w:val="000000"/>
              </w:rPr>
              <w:t>0</w:t>
            </w:r>
          </w:p>
        </w:tc>
        <w:tc>
          <w:tcPr>
            <w:tcW w:w="876" w:type="dxa"/>
            <w:vAlign w:val="center"/>
          </w:tcPr>
          <w:p w14:paraId="1A18DFD0" w14:textId="77777777" w:rsidR="00653CA9" w:rsidRPr="00E47EC1" w:rsidRDefault="00653CA9" w:rsidP="003A09DB">
            <w:pPr>
              <w:rPr>
                <w:color w:val="000000"/>
              </w:rPr>
            </w:pPr>
            <w:r w:rsidRPr="00E47EC1">
              <w:rPr>
                <w:color w:val="000000"/>
              </w:rPr>
              <w:t>0</w:t>
            </w:r>
          </w:p>
        </w:tc>
      </w:tr>
      <w:tr w:rsidR="00653CA9" w:rsidRPr="00E47EC1" w14:paraId="1A18DFD6" w14:textId="77777777" w:rsidTr="00FB13AA">
        <w:trPr>
          <w:trHeight w:val="397"/>
          <w:jc w:val="center"/>
        </w:trPr>
        <w:tc>
          <w:tcPr>
            <w:tcW w:w="5242" w:type="dxa"/>
            <w:vAlign w:val="center"/>
          </w:tcPr>
          <w:p w14:paraId="1A18DFD2" w14:textId="77777777" w:rsidR="00653CA9" w:rsidRPr="00E47EC1" w:rsidRDefault="00653CA9" w:rsidP="003A09DB">
            <w:pPr>
              <w:rPr>
                <w:color w:val="000000"/>
              </w:rPr>
            </w:pPr>
            <w:r w:rsidRPr="00E47EC1">
              <w:rPr>
                <w:color w:val="000000"/>
              </w:rPr>
              <w:t>toksafen</w:t>
            </w:r>
          </w:p>
        </w:tc>
        <w:tc>
          <w:tcPr>
            <w:tcW w:w="2383" w:type="dxa"/>
            <w:vAlign w:val="center"/>
          </w:tcPr>
          <w:p w14:paraId="1A18DFD3" w14:textId="77777777" w:rsidR="00653CA9" w:rsidRPr="00E47EC1" w:rsidRDefault="00653CA9" w:rsidP="003A09DB">
            <w:pPr>
              <w:rPr>
                <w:color w:val="000000"/>
              </w:rPr>
            </w:pPr>
            <w:r w:rsidRPr="00E47EC1">
              <w:rPr>
                <w:color w:val="000000"/>
              </w:rPr>
              <w:t>0</w:t>
            </w:r>
          </w:p>
        </w:tc>
        <w:tc>
          <w:tcPr>
            <w:tcW w:w="876" w:type="dxa"/>
            <w:vAlign w:val="center"/>
          </w:tcPr>
          <w:p w14:paraId="1A18DFD4" w14:textId="77777777" w:rsidR="00653CA9" w:rsidRPr="00E47EC1" w:rsidRDefault="00653CA9" w:rsidP="003A09DB">
            <w:pPr>
              <w:rPr>
                <w:color w:val="000000"/>
              </w:rPr>
            </w:pPr>
            <w:r w:rsidRPr="00E47EC1">
              <w:rPr>
                <w:color w:val="000000"/>
              </w:rPr>
              <w:t>0</w:t>
            </w:r>
          </w:p>
        </w:tc>
        <w:tc>
          <w:tcPr>
            <w:tcW w:w="876" w:type="dxa"/>
            <w:vAlign w:val="center"/>
          </w:tcPr>
          <w:p w14:paraId="1A18DFD5" w14:textId="77777777" w:rsidR="00653CA9" w:rsidRPr="00E47EC1" w:rsidRDefault="00653CA9" w:rsidP="003A09DB">
            <w:pPr>
              <w:rPr>
                <w:color w:val="000000"/>
              </w:rPr>
            </w:pPr>
            <w:r w:rsidRPr="00E47EC1">
              <w:rPr>
                <w:color w:val="000000"/>
              </w:rPr>
              <w:t>0</w:t>
            </w:r>
          </w:p>
        </w:tc>
      </w:tr>
      <w:tr w:rsidR="00021C31" w:rsidRPr="00E47EC1" w14:paraId="1A18DFDB" w14:textId="77777777" w:rsidTr="00FB13AA">
        <w:trPr>
          <w:trHeight w:val="397"/>
          <w:jc w:val="center"/>
        </w:trPr>
        <w:tc>
          <w:tcPr>
            <w:tcW w:w="5242" w:type="dxa"/>
            <w:vAlign w:val="center"/>
          </w:tcPr>
          <w:p w14:paraId="1A18DFD7" w14:textId="77777777" w:rsidR="00021C31" w:rsidRPr="00E47EC1" w:rsidRDefault="00021C31" w:rsidP="003A09DB">
            <w:pPr>
              <w:rPr>
                <w:color w:val="000000"/>
              </w:rPr>
            </w:pPr>
            <w:r w:rsidRPr="00E47EC1">
              <w:rPr>
                <w:color w:val="000000"/>
              </w:rPr>
              <w:t>lindan</w:t>
            </w:r>
          </w:p>
        </w:tc>
        <w:tc>
          <w:tcPr>
            <w:tcW w:w="2383" w:type="dxa"/>
            <w:vAlign w:val="center"/>
          </w:tcPr>
          <w:p w14:paraId="1A18DFD8" w14:textId="77777777" w:rsidR="00021C31" w:rsidRPr="00E47EC1" w:rsidRDefault="00021C31" w:rsidP="003A09DB">
            <w:pPr>
              <w:rPr>
                <w:color w:val="000000"/>
              </w:rPr>
            </w:pPr>
            <w:r w:rsidRPr="00E47EC1">
              <w:rPr>
                <w:color w:val="000000"/>
              </w:rPr>
              <w:t>0</w:t>
            </w:r>
          </w:p>
        </w:tc>
        <w:tc>
          <w:tcPr>
            <w:tcW w:w="876" w:type="dxa"/>
            <w:vAlign w:val="center"/>
          </w:tcPr>
          <w:p w14:paraId="1A18DFD9" w14:textId="77777777" w:rsidR="00021C31" w:rsidRPr="00E47EC1" w:rsidRDefault="00021C31" w:rsidP="003A09DB">
            <w:pPr>
              <w:rPr>
                <w:color w:val="000000"/>
              </w:rPr>
            </w:pPr>
            <w:r w:rsidRPr="00E47EC1">
              <w:rPr>
                <w:color w:val="000000"/>
              </w:rPr>
              <w:t>0</w:t>
            </w:r>
          </w:p>
        </w:tc>
        <w:tc>
          <w:tcPr>
            <w:tcW w:w="876" w:type="dxa"/>
            <w:vAlign w:val="center"/>
          </w:tcPr>
          <w:p w14:paraId="1A18DFDA" w14:textId="77777777" w:rsidR="00021C31" w:rsidRPr="00E47EC1" w:rsidRDefault="00021C31" w:rsidP="003A09DB">
            <w:pPr>
              <w:rPr>
                <w:color w:val="000000"/>
              </w:rPr>
            </w:pPr>
            <w:r w:rsidRPr="00E47EC1">
              <w:rPr>
                <w:color w:val="000000"/>
              </w:rPr>
              <w:t>0</w:t>
            </w:r>
          </w:p>
        </w:tc>
      </w:tr>
      <w:tr w:rsidR="00021C31" w:rsidRPr="00E47EC1" w14:paraId="1A18DFE0" w14:textId="77777777" w:rsidTr="00FB13AA">
        <w:trPr>
          <w:trHeight w:val="397"/>
          <w:jc w:val="center"/>
        </w:trPr>
        <w:tc>
          <w:tcPr>
            <w:tcW w:w="5242" w:type="dxa"/>
            <w:vAlign w:val="center"/>
          </w:tcPr>
          <w:p w14:paraId="1A18DFDC" w14:textId="77777777" w:rsidR="00021C31" w:rsidRPr="00E47EC1" w:rsidRDefault="00021C31" w:rsidP="003A09DB">
            <w:pPr>
              <w:rPr>
                <w:color w:val="000000"/>
              </w:rPr>
            </w:pPr>
            <w:r w:rsidRPr="00E47EC1">
              <w:rPr>
                <w:color w:val="000000"/>
              </w:rPr>
              <w:t>endosulfan</w:t>
            </w:r>
          </w:p>
        </w:tc>
        <w:tc>
          <w:tcPr>
            <w:tcW w:w="2383" w:type="dxa"/>
            <w:vAlign w:val="center"/>
          </w:tcPr>
          <w:p w14:paraId="1A18DFDD" w14:textId="77777777" w:rsidR="00021C31" w:rsidRPr="00E47EC1" w:rsidRDefault="00021C31" w:rsidP="003A09DB">
            <w:pPr>
              <w:rPr>
                <w:color w:val="000000"/>
              </w:rPr>
            </w:pPr>
            <w:r w:rsidRPr="00E47EC1">
              <w:rPr>
                <w:color w:val="000000"/>
              </w:rPr>
              <w:t>0</w:t>
            </w:r>
          </w:p>
        </w:tc>
        <w:tc>
          <w:tcPr>
            <w:tcW w:w="876" w:type="dxa"/>
            <w:vAlign w:val="center"/>
          </w:tcPr>
          <w:p w14:paraId="1A18DFDE" w14:textId="77777777" w:rsidR="00021C31" w:rsidRPr="00E47EC1" w:rsidRDefault="00021C31" w:rsidP="003A09DB">
            <w:pPr>
              <w:rPr>
                <w:color w:val="000000"/>
              </w:rPr>
            </w:pPr>
            <w:r w:rsidRPr="00E47EC1">
              <w:rPr>
                <w:color w:val="000000"/>
              </w:rPr>
              <w:t>0</w:t>
            </w:r>
          </w:p>
        </w:tc>
        <w:tc>
          <w:tcPr>
            <w:tcW w:w="876" w:type="dxa"/>
            <w:vAlign w:val="center"/>
          </w:tcPr>
          <w:p w14:paraId="1A18DFDF" w14:textId="77777777" w:rsidR="00021C31" w:rsidRPr="00E47EC1" w:rsidRDefault="00021C31" w:rsidP="003A09DB">
            <w:pPr>
              <w:rPr>
                <w:color w:val="000000"/>
              </w:rPr>
            </w:pPr>
            <w:r w:rsidRPr="00E47EC1">
              <w:rPr>
                <w:color w:val="000000"/>
              </w:rPr>
              <w:t>0</w:t>
            </w:r>
          </w:p>
        </w:tc>
      </w:tr>
      <w:tr w:rsidR="00653CA9" w:rsidRPr="00E47EC1" w14:paraId="1A18DFE5" w14:textId="77777777" w:rsidTr="00FB13AA">
        <w:trPr>
          <w:trHeight w:val="397"/>
          <w:jc w:val="center"/>
        </w:trPr>
        <w:tc>
          <w:tcPr>
            <w:tcW w:w="5242" w:type="dxa"/>
            <w:shd w:val="clear" w:color="auto" w:fill="D9D9D9" w:themeFill="background1" w:themeFillShade="D9"/>
            <w:vAlign w:val="center"/>
          </w:tcPr>
          <w:p w14:paraId="1A18DFE1" w14:textId="77777777" w:rsidR="00653CA9" w:rsidRPr="00E47EC1" w:rsidRDefault="00653CA9" w:rsidP="003A09DB">
            <w:pPr>
              <w:rPr>
                <w:color w:val="000000"/>
              </w:rPr>
            </w:pPr>
            <w:r w:rsidRPr="00E47EC1">
              <w:rPr>
                <w:color w:val="000000"/>
              </w:rPr>
              <w:t>Uporaba (tona)</w:t>
            </w:r>
          </w:p>
        </w:tc>
        <w:tc>
          <w:tcPr>
            <w:tcW w:w="2383" w:type="dxa"/>
            <w:shd w:val="clear" w:color="auto" w:fill="D9D9D9" w:themeFill="background1" w:themeFillShade="D9"/>
            <w:vAlign w:val="center"/>
          </w:tcPr>
          <w:p w14:paraId="1A18DFE2"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DFE3"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DFE4" w14:textId="77777777" w:rsidR="00653CA9" w:rsidRPr="00E47EC1" w:rsidRDefault="00653CA9" w:rsidP="003A09DB">
            <w:pPr>
              <w:rPr>
                <w:color w:val="000000"/>
              </w:rPr>
            </w:pPr>
            <w:r w:rsidRPr="00E47EC1">
              <w:rPr>
                <w:color w:val="000000"/>
              </w:rPr>
              <w:t> </w:t>
            </w:r>
          </w:p>
        </w:tc>
      </w:tr>
      <w:tr w:rsidR="00653CA9" w:rsidRPr="00E47EC1" w14:paraId="1A18DFEA" w14:textId="77777777" w:rsidTr="00FB13AA">
        <w:trPr>
          <w:trHeight w:val="397"/>
          <w:jc w:val="center"/>
        </w:trPr>
        <w:tc>
          <w:tcPr>
            <w:tcW w:w="5242" w:type="dxa"/>
            <w:vAlign w:val="center"/>
          </w:tcPr>
          <w:p w14:paraId="1A18DFE6" w14:textId="77777777" w:rsidR="00653CA9" w:rsidRPr="00E47EC1" w:rsidRDefault="00653CA9" w:rsidP="003A09DB">
            <w:pPr>
              <w:rPr>
                <w:color w:val="000000"/>
              </w:rPr>
            </w:pPr>
            <w:r w:rsidRPr="00E47EC1">
              <w:rPr>
                <w:color w:val="000000"/>
              </w:rPr>
              <w:t>aldrin</w:t>
            </w:r>
          </w:p>
        </w:tc>
        <w:tc>
          <w:tcPr>
            <w:tcW w:w="2383" w:type="dxa"/>
            <w:vAlign w:val="center"/>
          </w:tcPr>
          <w:p w14:paraId="1A18DFE7" w14:textId="77777777" w:rsidR="00653CA9" w:rsidRPr="00E47EC1" w:rsidRDefault="00653CA9" w:rsidP="003A09DB">
            <w:pPr>
              <w:rPr>
                <w:color w:val="000000"/>
              </w:rPr>
            </w:pPr>
            <w:r w:rsidRPr="00E47EC1">
              <w:rPr>
                <w:color w:val="000000"/>
              </w:rPr>
              <w:t>0</w:t>
            </w:r>
          </w:p>
        </w:tc>
        <w:tc>
          <w:tcPr>
            <w:tcW w:w="876" w:type="dxa"/>
            <w:vAlign w:val="center"/>
          </w:tcPr>
          <w:p w14:paraId="1A18DFE8" w14:textId="77777777" w:rsidR="00653CA9" w:rsidRPr="00E47EC1" w:rsidRDefault="00653CA9" w:rsidP="003A09DB">
            <w:pPr>
              <w:rPr>
                <w:color w:val="000000"/>
              </w:rPr>
            </w:pPr>
            <w:r w:rsidRPr="00E47EC1">
              <w:rPr>
                <w:color w:val="000000"/>
              </w:rPr>
              <w:t>0</w:t>
            </w:r>
          </w:p>
        </w:tc>
        <w:tc>
          <w:tcPr>
            <w:tcW w:w="876" w:type="dxa"/>
            <w:vAlign w:val="center"/>
          </w:tcPr>
          <w:p w14:paraId="1A18DFE9" w14:textId="77777777" w:rsidR="00653CA9" w:rsidRPr="00E47EC1" w:rsidRDefault="00653CA9" w:rsidP="003A09DB">
            <w:pPr>
              <w:rPr>
                <w:color w:val="000000"/>
              </w:rPr>
            </w:pPr>
            <w:r w:rsidRPr="00E47EC1">
              <w:rPr>
                <w:color w:val="000000"/>
              </w:rPr>
              <w:t>0</w:t>
            </w:r>
          </w:p>
        </w:tc>
      </w:tr>
      <w:tr w:rsidR="00653CA9" w:rsidRPr="00E47EC1" w14:paraId="1A18DFEF" w14:textId="77777777" w:rsidTr="00FB13AA">
        <w:trPr>
          <w:trHeight w:val="397"/>
          <w:jc w:val="center"/>
        </w:trPr>
        <w:tc>
          <w:tcPr>
            <w:tcW w:w="5242" w:type="dxa"/>
            <w:vAlign w:val="center"/>
          </w:tcPr>
          <w:p w14:paraId="1A18DFEB" w14:textId="77777777" w:rsidR="00653CA9" w:rsidRPr="00E47EC1" w:rsidRDefault="00653CA9" w:rsidP="003A09DB">
            <w:pPr>
              <w:rPr>
                <w:color w:val="000000"/>
              </w:rPr>
            </w:pPr>
            <w:r w:rsidRPr="00E47EC1">
              <w:rPr>
                <w:color w:val="000000"/>
              </w:rPr>
              <w:t>klordan</w:t>
            </w:r>
          </w:p>
        </w:tc>
        <w:tc>
          <w:tcPr>
            <w:tcW w:w="2383" w:type="dxa"/>
            <w:vAlign w:val="center"/>
          </w:tcPr>
          <w:p w14:paraId="1A18DFEC" w14:textId="77777777" w:rsidR="00653CA9" w:rsidRPr="00E47EC1" w:rsidRDefault="00653CA9" w:rsidP="003A09DB">
            <w:pPr>
              <w:rPr>
                <w:color w:val="000000"/>
              </w:rPr>
            </w:pPr>
            <w:r w:rsidRPr="00E47EC1">
              <w:rPr>
                <w:color w:val="000000"/>
              </w:rPr>
              <w:t>0</w:t>
            </w:r>
          </w:p>
        </w:tc>
        <w:tc>
          <w:tcPr>
            <w:tcW w:w="876" w:type="dxa"/>
            <w:vAlign w:val="center"/>
          </w:tcPr>
          <w:p w14:paraId="1A18DFED" w14:textId="77777777" w:rsidR="00653CA9" w:rsidRPr="00E47EC1" w:rsidRDefault="00653CA9" w:rsidP="003A09DB">
            <w:pPr>
              <w:rPr>
                <w:color w:val="000000"/>
              </w:rPr>
            </w:pPr>
            <w:r w:rsidRPr="00E47EC1">
              <w:rPr>
                <w:color w:val="000000"/>
              </w:rPr>
              <w:t>0</w:t>
            </w:r>
          </w:p>
        </w:tc>
        <w:tc>
          <w:tcPr>
            <w:tcW w:w="876" w:type="dxa"/>
            <w:vAlign w:val="center"/>
          </w:tcPr>
          <w:p w14:paraId="1A18DFEE" w14:textId="77777777" w:rsidR="00653CA9" w:rsidRPr="00E47EC1" w:rsidRDefault="00653CA9" w:rsidP="003A09DB">
            <w:pPr>
              <w:rPr>
                <w:color w:val="000000"/>
              </w:rPr>
            </w:pPr>
            <w:r w:rsidRPr="00E47EC1">
              <w:rPr>
                <w:color w:val="000000"/>
              </w:rPr>
              <w:t>0</w:t>
            </w:r>
          </w:p>
        </w:tc>
      </w:tr>
      <w:tr w:rsidR="00653CA9" w:rsidRPr="00E47EC1" w14:paraId="1A18DFF4" w14:textId="77777777" w:rsidTr="00FB13AA">
        <w:trPr>
          <w:trHeight w:val="397"/>
          <w:jc w:val="center"/>
        </w:trPr>
        <w:tc>
          <w:tcPr>
            <w:tcW w:w="5242" w:type="dxa"/>
            <w:vAlign w:val="center"/>
          </w:tcPr>
          <w:p w14:paraId="1A18DFF0" w14:textId="77777777" w:rsidR="00653CA9" w:rsidRPr="00E47EC1" w:rsidRDefault="00653CA9" w:rsidP="003A09DB">
            <w:pPr>
              <w:rPr>
                <w:color w:val="000000"/>
              </w:rPr>
            </w:pPr>
            <w:r w:rsidRPr="00E47EC1">
              <w:rPr>
                <w:color w:val="000000"/>
              </w:rPr>
              <w:t>dieldrin</w:t>
            </w:r>
          </w:p>
        </w:tc>
        <w:tc>
          <w:tcPr>
            <w:tcW w:w="2383" w:type="dxa"/>
            <w:vAlign w:val="center"/>
          </w:tcPr>
          <w:p w14:paraId="1A18DFF1" w14:textId="77777777" w:rsidR="00653CA9" w:rsidRPr="00E47EC1" w:rsidRDefault="00653CA9" w:rsidP="003A09DB">
            <w:pPr>
              <w:rPr>
                <w:color w:val="000000"/>
              </w:rPr>
            </w:pPr>
            <w:r w:rsidRPr="00E47EC1">
              <w:rPr>
                <w:color w:val="000000"/>
              </w:rPr>
              <w:t>0</w:t>
            </w:r>
          </w:p>
        </w:tc>
        <w:tc>
          <w:tcPr>
            <w:tcW w:w="876" w:type="dxa"/>
            <w:vAlign w:val="center"/>
          </w:tcPr>
          <w:p w14:paraId="1A18DFF2" w14:textId="77777777" w:rsidR="00653CA9" w:rsidRPr="00E47EC1" w:rsidRDefault="00653CA9" w:rsidP="003A09DB">
            <w:pPr>
              <w:rPr>
                <w:color w:val="000000"/>
              </w:rPr>
            </w:pPr>
            <w:r w:rsidRPr="00E47EC1">
              <w:rPr>
                <w:color w:val="000000"/>
              </w:rPr>
              <w:t>0</w:t>
            </w:r>
          </w:p>
        </w:tc>
        <w:tc>
          <w:tcPr>
            <w:tcW w:w="876" w:type="dxa"/>
            <w:vAlign w:val="center"/>
          </w:tcPr>
          <w:p w14:paraId="1A18DFF3" w14:textId="77777777" w:rsidR="00653CA9" w:rsidRPr="00E47EC1" w:rsidRDefault="00653CA9" w:rsidP="003A09DB">
            <w:pPr>
              <w:rPr>
                <w:color w:val="000000"/>
              </w:rPr>
            </w:pPr>
            <w:r w:rsidRPr="00E47EC1">
              <w:rPr>
                <w:color w:val="000000"/>
              </w:rPr>
              <w:t>0</w:t>
            </w:r>
          </w:p>
        </w:tc>
      </w:tr>
      <w:tr w:rsidR="00653CA9" w:rsidRPr="00E47EC1" w14:paraId="1A18DFF9" w14:textId="77777777" w:rsidTr="00FB13AA">
        <w:trPr>
          <w:trHeight w:val="397"/>
          <w:jc w:val="center"/>
        </w:trPr>
        <w:tc>
          <w:tcPr>
            <w:tcW w:w="5242" w:type="dxa"/>
            <w:vAlign w:val="center"/>
          </w:tcPr>
          <w:p w14:paraId="1A18DFF5" w14:textId="77777777" w:rsidR="00653CA9" w:rsidRPr="00E47EC1" w:rsidRDefault="00653CA9" w:rsidP="003A09DB">
            <w:pPr>
              <w:rPr>
                <w:color w:val="000000"/>
              </w:rPr>
            </w:pPr>
            <w:r w:rsidRPr="00E47EC1">
              <w:rPr>
                <w:color w:val="000000"/>
              </w:rPr>
              <w:t>endrin</w:t>
            </w:r>
          </w:p>
        </w:tc>
        <w:tc>
          <w:tcPr>
            <w:tcW w:w="2383" w:type="dxa"/>
            <w:vAlign w:val="center"/>
          </w:tcPr>
          <w:p w14:paraId="1A18DFF6" w14:textId="77777777" w:rsidR="00653CA9" w:rsidRPr="00E47EC1" w:rsidRDefault="00653CA9" w:rsidP="003A09DB">
            <w:pPr>
              <w:rPr>
                <w:color w:val="000000"/>
              </w:rPr>
            </w:pPr>
            <w:r w:rsidRPr="00E47EC1">
              <w:rPr>
                <w:color w:val="000000"/>
              </w:rPr>
              <w:t>0</w:t>
            </w:r>
          </w:p>
        </w:tc>
        <w:tc>
          <w:tcPr>
            <w:tcW w:w="876" w:type="dxa"/>
            <w:vAlign w:val="center"/>
          </w:tcPr>
          <w:p w14:paraId="1A18DFF7" w14:textId="77777777" w:rsidR="00653CA9" w:rsidRPr="00E47EC1" w:rsidRDefault="00653CA9" w:rsidP="003A09DB">
            <w:pPr>
              <w:rPr>
                <w:color w:val="000000"/>
              </w:rPr>
            </w:pPr>
            <w:r w:rsidRPr="00E47EC1">
              <w:rPr>
                <w:color w:val="000000"/>
              </w:rPr>
              <w:t>0</w:t>
            </w:r>
          </w:p>
        </w:tc>
        <w:tc>
          <w:tcPr>
            <w:tcW w:w="876" w:type="dxa"/>
            <w:vAlign w:val="center"/>
          </w:tcPr>
          <w:p w14:paraId="1A18DFF8" w14:textId="77777777" w:rsidR="00653CA9" w:rsidRPr="00E47EC1" w:rsidRDefault="00653CA9" w:rsidP="003A09DB">
            <w:pPr>
              <w:rPr>
                <w:color w:val="000000"/>
              </w:rPr>
            </w:pPr>
            <w:r w:rsidRPr="00E47EC1">
              <w:rPr>
                <w:color w:val="000000"/>
              </w:rPr>
              <w:t>0</w:t>
            </w:r>
          </w:p>
        </w:tc>
      </w:tr>
      <w:tr w:rsidR="00653CA9" w:rsidRPr="00E47EC1" w14:paraId="1A18DFFE" w14:textId="77777777" w:rsidTr="00FB13AA">
        <w:trPr>
          <w:trHeight w:val="397"/>
          <w:jc w:val="center"/>
        </w:trPr>
        <w:tc>
          <w:tcPr>
            <w:tcW w:w="5242" w:type="dxa"/>
            <w:vAlign w:val="center"/>
          </w:tcPr>
          <w:p w14:paraId="1A18DFFA" w14:textId="77777777" w:rsidR="00653CA9" w:rsidRPr="00E47EC1" w:rsidRDefault="00653CA9" w:rsidP="003A09DB">
            <w:pPr>
              <w:rPr>
                <w:color w:val="000000"/>
              </w:rPr>
            </w:pPr>
            <w:r w:rsidRPr="00E47EC1">
              <w:rPr>
                <w:color w:val="000000"/>
              </w:rPr>
              <w:t>heptaklor</w:t>
            </w:r>
          </w:p>
        </w:tc>
        <w:tc>
          <w:tcPr>
            <w:tcW w:w="2383" w:type="dxa"/>
            <w:vAlign w:val="center"/>
          </w:tcPr>
          <w:p w14:paraId="1A18DFFB" w14:textId="77777777" w:rsidR="00653CA9" w:rsidRPr="00E47EC1" w:rsidRDefault="00653CA9" w:rsidP="003A09DB">
            <w:pPr>
              <w:rPr>
                <w:color w:val="000000"/>
              </w:rPr>
            </w:pPr>
            <w:r w:rsidRPr="00E47EC1">
              <w:rPr>
                <w:color w:val="000000"/>
              </w:rPr>
              <w:t>0</w:t>
            </w:r>
          </w:p>
        </w:tc>
        <w:tc>
          <w:tcPr>
            <w:tcW w:w="876" w:type="dxa"/>
            <w:vAlign w:val="center"/>
          </w:tcPr>
          <w:p w14:paraId="1A18DFFC" w14:textId="77777777" w:rsidR="00653CA9" w:rsidRPr="00E47EC1" w:rsidRDefault="00653CA9" w:rsidP="003A09DB">
            <w:pPr>
              <w:rPr>
                <w:color w:val="000000"/>
              </w:rPr>
            </w:pPr>
            <w:r w:rsidRPr="00E47EC1">
              <w:rPr>
                <w:color w:val="000000"/>
              </w:rPr>
              <w:t>0</w:t>
            </w:r>
          </w:p>
        </w:tc>
        <w:tc>
          <w:tcPr>
            <w:tcW w:w="876" w:type="dxa"/>
            <w:vAlign w:val="center"/>
          </w:tcPr>
          <w:p w14:paraId="1A18DFFD" w14:textId="77777777" w:rsidR="00653CA9" w:rsidRPr="00E47EC1" w:rsidRDefault="00653CA9" w:rsidP="003A09DB">
            <w:pPr>
              <w:rPr>
                <w:color w:val="000000"/>
              </w:rPr>
            </w:pPr>
            <w:r w:rsidRPr="00E47EC1">
              <w:rPr>
                <w:color w:val="000000"/>
              </w:rPr>
              <w:t>0</w:t>
            </w:r>
          </w:p>
        </w:tc>
      </w:tr>
      <w:tr w:rsidR="00653CA9" w:rsidRPr="00E47EC1" w14:paraId="1A18E003" w14:textId="77777777" w:rsidTr="00FB13AA">
        <w:trPr>
          <w:trHeight w:val="397"/>
          <w:jc w:val="center"/>
        </w:trPr>
        <w:tc>
          <w:tcPr>
            <w:tcW w:w="5242" w:type="dxa"/>
            <w:vAlign w:val="center"/>
          </w:tcPr>
          <w:p w14:paraId="1A18DFFF" w14:textId="77777777" w:rsidR="00653CA9" w:rsidRPr="00E47EC1" w:rsidRDefault="00653CA9" w:rsidP="003A09DB">
            <w:pPr>
              <w:rPr>
                <w:color w:val="000000"/>
              </w:rPr>
            </w:pPr>
            <w:r w:rsidRPr="00E47EC1">
              <w:rPr>
                <w:color w:val="000000"/>
              </w:rPr>
              <w:t>heksaklorobenzen</w:t>
            </w:r>
          </w:p>
        </w:tc>
        <w:tc>
          <w:tcPr>
            <w:tcW w:w="2383" w:type="dxa"/>
            <w:vAlign w:val="center"/>
          </w:tcPr>
          <w:p w14:paraId="1A18E000" w14:textId="77777777" w:rsidR="00653CA9" w:rsidRPr="00E47EC1" w:rsidRDefault="00653CA9" w:rsidP="003A09DB">
            <w:pPr>
              <w:rPr>
                <w:color w:val="000000"/>
              </w:rPr>
            </w:pPr>
            <w:r w:rsidRPr="00E47EC1">
              <w:rPr>
                <w:color w:val="000000"/>
              </w:rPr>
              <w:t>0</w:t>
            </w:r>
          </w:p>
        </w:tc>
        <w:tc>
          <w:tcPr>
            <w:tcW w:w="876" w:type="dxa"/>
            <w:vAlign w:val="center"/>
          </w:tcPr>
          <w:p w14:paraId="1A18E001" w14:textId="77777777" w:rsidR="00653CA9" w:rsidRPr="00E47EC1" w:rsidRDefault="00653CA9" w:rsidP="003A09DB">
            <w:pPr>
              <w:rPr>
                <w:color w:val="000000"/>
              </w:rPr>
            </w:pPr>
            <w:r w:rsidRPr="00E47EC1">
              <w:rPr>
                <w:color w:val="000000"/>
              </w:rPr>
              <w:t>0</w:t>
            </w:r>
          </w:p>
        </w:tc>
        <w:tc>
          <w:tcPr>
            <w:tcW w:w="876" w:type="dxa"/>
            <w:vAlign w:val="center"/>
          </w:tcPr>
          <w:p w14:paraId="1A18E002" w14:textId="77777777" w:rsidR="00653CA9" w:rsidRPr="00E47EC1" w:rsidRDefault="00653CA9" w:rsidP="003A09DB">
            <w:pPr>
              <w:rPr>
                <w:color w:val="000000"/>
              </w:rPr>
            </w:pPr>
            <w:r w:rsidRPr="00E47EC1">
              <w:rPr>
                <w:color w:val="000000"/>
              </w:rPr>
              <w:t>0</w:t>
            </w:r>
          </w:p>
        </w:tc>
      </w:tr>
      <w:tr w:rsidR="00653CA9" w:rsidRPr="00E47EC1" w14:paraId="1A18E008" w14:textId="77777777" w:rsidTr="00FB13AA">
        <w:trPr>
          <w:trHeight w:val="397"/>
          <w:jc w:val="center"/>
        </w:trPr>
        <w:tc>
          <w:tcPr>
            <w:tcW w:w="5242" w:type="dxa"/>
            <w:vAlign w:val="center"/>
          </w:tcPr>
          <w:p w14:paraId="1A18E004" w14:textId="77777777" w:rsidR="00653CA9" w:rsidRPr="00E47EC1" w:rsidRDefault="00653CA9" w:rsidP="003A09DB">
            <w:pPr>
              <w:rPr>
                <w:color w:val="000000"/>
              </w:rPr>
            </w:pPr>
            <w:r w:rsidRPr="00E47EC1">
              <w:rPr>
                <w:color w:val="000000"/>
              </w:rPr>
              <w:t>mireks</w:t>
            </w:r>
          </w:p>
        </w:tc>
        <w:tc>
          <w:tcPr>
            <w:tcW w:w="2383" w:type="dxa"/>
            <w:vAlign w:val="center"/>
          </w:tcPr>
          <w:p w14:paraId="1A18E005" w14:textId="77777777" w:rsidR="00653CA9" w:rsidRPr="00E47EC1" w:rsidRDefault="00653CA9" w:rsidP="003A09DB">
            <w:pPr>
              <w:rPr>
                <w:color w:val="000000"/>
              </w:rPr>
            </w:pPr>
            <w:r w:rsidRPr="00E47EC1">
              <w:rPr>
                <w:color w:val="000000"/>
              </w:rPr>
              <w:t>0</w:t>
            </w:r>
          </w:p>
        </w:tc>
        <w:tc>
          <w:tcPr>
            <w:tcW w:w="876" w:type="dxa"/>
            <w:vAlign w:val="center"/>
          </w:tcPr>
          <w:p w14:paraId="1A18E006" w14:textId="77777777" w:rsidR="00653CA9" w:rsidRPr="00E47EC1" w:rsidRDefault="00653CA9" w:rsidP="003A09DB">
            <w:pPr>
              <w:rPr>
                <w:color w:val="000000"/>
              </w:rPr>
            </w:pPr>
            <w:r w:rsidRPr="00E47EC1">
              <w:rPr>
                <w:color w:val="000000"/>
              </w:rPr>
              <w:t>0</w:t>
            </w:r>
          </w:p>
        </w:tc>
        <w:tc>
          <w:tcPr>
            <w:tcW w:w="876" w:type="dxa"/>
            <w:vAlign w:val="center"/>
          </w:tcPr>
          <w:p w14:paraId="1A18E007" w14:textId="77777777" w:rsidR="00653CA9" w:rsidRPr="00E47EC1" w:rsidRDefault="00653CA9" w:rsidP="003A09DB">
            <w:pPr>
              <w:rPr>
                <w:color w:val="000000"/>
              </w:rPr>
            </w:pPr>
            <w:r w:rsidRPr="00E47EC1">
              <w:rPr>
                <w:color w:val="000000"/>
              </w:rPr>
              <w:t>0</w:t>
            </w:r>
          </w:p>
        </w:tc>
      </w:tr>
      <w:tr w:rsidR="00653CA9" w:rsidRPr="00E47EC1" w14:paraId="1A18E00D" w14:textId="77777777" w:rsidTr="00FB13AA">
        <w:trPr>
          <w:trHeight w:val="397"/>
          <w:jc w:val="center"/>
        </w:trPr>
        <w:tc>
          <w:tcPr>
            <w:tcW w:w="5242" w:type="dxa"/>
            <w:vAlign w:val="center"/>
          </w:tcPr>
          <w:p w14:paraId="1A18E009" w14:textId="77777777" w:rsidR="00653CA9" w:rsidRPr="00E47EC1" w:rsidRDefault="00653CA9" w:rsidP="003A09DB">
            <w:pPr>
              <w:rPr>
                <w:color w:val="000000"/>
              </w:rPr>
            </w:pPr>
            <w:r w:rsidRPr="00E47EC1">
              <w:rPr>
                <w:color w:val="000000"/>
              </w:rPr>
              <w:t>toksafen</w:t>
            </w:r>
          </w:p>
        </w:tc>
        <w:tc>
          <w:tcPr>
            <w:tcW w:w="2383" w:type="dxa"/>
            <w:vAlign w:val="center"/>
          </w:tcPr>
          <w:p w14:paraId="1A18E00A" w14:textId="77777777" w:rsidR="00653CA9" w:rsidRPr="00E47EC1" w:rsidRDefault="00653CA9" w:rsidP="003A09DB">
            <w:pPr>
              <w:rPr>
                <w:color w:val="000000"/>
              </w:rPr>
            </w:pPr>
            <w:r w:rsidRPr="00E47EC1">
              <w:rPr>
                <w:color w:val="000000"/>
              </w:rPr>
              <w:t>0</w:t>
            </w:r>
          </w:p>
        </w:tc>
        <w:tc>
          <w:tcPr>
            <w:tcW w:w="876" w:type="dxa"/>
            <w:vAlign w:val="center"/>
          </w:tcPr>
          <w:p w14:paraId="1A18E00B" w14:textId="77777777" w:rsidR="00653CA9" w:rsidRPr="00E47EC1" w:rsidRDefault="00653CA9" w:rsidP="003A09DB">
            <w:pPr>
              <w:rPr>
                <w:color w:val="000000"/>
              </w:rPr>
            </w:pPr>
            <w:r w:rsidRPr="00E47EC1">
              <w:rPr>
                <w:color w:val="000000"/>
              </w:rPr>
              <w:t>0</w:t>
            </w:r>
          </w:p>
        </w:tc>
        <w:tc>
          <w:tcPr>
            <w:tcW w:w="876" w:type="dxa"/>
            <w:vAlign w:val="center"/>
          </w:tcPr>
          <w:p w14:paraId="1A18E00C" w14:textId="77777777" w:rsidR="00653CA9" w:rsidRPr="00E47EC1" w:rsidRDefault="00653CA9" w:rsidP="003A09DB">
            <w:pPr>
              <w:rPr>
                <w:color w:val="000000"/>
              </w:rPr>
            </w:pPr>
            <w:r w:rsidRPr="00E47EC1">
              <w:rPr>
                <w:color w:val="000000"/>
              </w:rPr>
              <w:t>0</w:t>
            </w:r>
          </w:p>
        </w:tc>
      </w:tr>
      <w:tr w:rsidR="00021C31" w:rsidRPr="00E47EC1" w14:paraId="1A18E012" w14:textId="77777777" w:rsidTr="00FB13AA">
        <w:trPr>
          <w:trHeight w:val="397"/>
          <w:jc w:val="center"/>
        </w:trPr>
        <w:tc>
          <w:tcPr>
            <w:tcW w:w="5242" w:type="dxa"/>
            <w:vAlign w:val="center"/>
          </w:tcPr>
          <w:p w14:paraId="1A18E00E" w14:textId="77777777" w:rsidR="00021C31" w:rsidRPr="00E47EC1" w:rsidRDefault="00021C31" w:rsidP="00021C31">
            <w:pPr>
              <w:rPr>
                <w:color w:val="000000"/>
              </w:rPr>
            </w:pPr>
            <w:r w:rsidRPr="00E47EC1">
              <w:rPr>
                <w:color w:val="000000"/>
              </w:rPr>
              <w:t>lindan</w:t>
            </w:r>
          </w:p>
        </w:tc>
        <w:tc>
          <w:tcPr>
            <w:tcW w:w="2383" w:type="dxa"/>
            <w:vAlign w:val="center"/>
          </w:tcPr>
          <w:p w14:paraId="1A18E00F" w14:textId="77777777" w:rsidR="00021C31" w:rsidRPr="00E47EC1" w:rsidRDefault="00021C31" w:rsidP="00021C31">
            <w:pPr>
              <w:rPr>
                <w:color w:val="000000"/>
              </w:rPr>
            </w:pPr>
            <w:r w:rsidRPr="00E47EC1">
              <w:rPr>
                <w:color w:val="000000"/>
              </w:rPr>
              <w:t>0</w:t>
            </w:r>
          </w:p>
        </w:tc>
        <w:tc>
          <w:tcPr>
            <w:tcW w:w="876" w:type="dxa"/>
            <w:vAlign w:val="center"/>
          </w:tcPr>
          <w:p w14:paraId="1A18E010" w14:textId="77777777" w:rsidR="00021C31" w:rsidRPr="00E47EC1" w:rsidRDefault="00021C31" w:rsidP="00021C31">
            <w:pPr>
              <w:rPr>
                <w:color w:val="000000"/>
              </w:rPr>
            </w:pPr>
            <w:r w:rsidRPr="00E47EC1">
              <w:rPr>
                <w:color w:val="000000"/>
              </w:rPr>
              <w:t>0</w:t>
            </w:r>
          </w:p>
        </w:tc>
        <w:tc>
          <w:tcPr>
            <w:tcW w:w="876" w:type="dxa"/>
            <w:vAlign w:val="center"/>
          </w:tcPr>
          <w:p w14:paraId="1A18E011" w14:textId="77777777" w:rsidR="00021C31" w:rsidRPr="00E47EC1" w:rsidRDefault="00021C31" w:rsidP="00021C31">
            <w:pPr>
              <w:rPr>
                <w:color w:val="000000"/>
              </w:rPr>
            </w:pPr>
            <w:r w:rsidRPr="00E47EC1">
              <w:rPr>
                <w:color w:val="000000"/>
              </w:rPr>
              <w:t>0</w:t>
            </w:r>
          </w:p>
        </w:tc>
      </w:tr>
      <w:tr w:rsidR="00021C31" w:rsidRPr="00E47EC1" w14:paraId="1A18E017" w14:textId="77777777" w:rsidTr="00FB13AA">
        <w:trPr>
          <w:trHeight w:val="397"/>
          <w:jc w:val="center"/>
        </w:trPr>
        <w:tc>
          <w:tcPr>
            <w:tcW w:w="5242" w:type="dxa"/>
            <w:vAlign w:val="center"/>
          </w:tcPr>
          <w:p w14:paraId="1A18E013" w14:textId="77777777" w:rsidR="00021C31" w:rsidRPr="00E47EC1" w:rsidRDefault="00021C31" w:rsidP="00021C31">
            <w:pPr>
              <w:rPr>
                <w:color w:val="000000"/>
              </w:rPr>
            </w:pPr>
            <w:r w:rsidRPr="00E47EC1">
              <w:rPr>
                <w:color w:val="000000"/>
              </w:rPr>
              <w:t>endosulfan</w:t>
            </w:r>
          </w:p>
        </w:tc>
        <w:tc>
          <w:tcPr>
            <w:tcW w:w="2383" w:type="dxa"/>
            <w:vAlign w:val="center"/>
          </w:tcPr>
          <w:p w14:paraId="1A18E014" w14:textId="77777777" w:rsidR="00021C31" w:rsidRPr="00E47EC1" w:rsidRDefault="00021C31" w:rsidP="00021C31">
            <w:pPr>
              <w:rPr>
                <w:color w:val="000000"/>
              </w:rPr>
            </w:pPr>
            <w:r w:rsidRPr="00E47EC1">
              <w:rPr>
                <w:color w:val="000000"/>
              </w:rPr>
              <w:t>0</w:t>
            </w:r>
          </w:p>
        </w:tc>
        <w:tc>
          <w:tcPr>
            <w:tcW w:w="876" w:type="dxa"/>
            <w:vAlign w:val="center"/>
          </w:tcPr>
          <w:p w14:paraId="1A18E015" w14:textId="77777777" w:rsidR="00021C31" w:rsidRPr="00E47EC1" w:rsidRDefault="00021C31" w:rsidP="00021C31">
            <w:pPr>
              <w:rPr>
                <w:color w:val="000000"/>
              </w:rPr>
            </w:pPr>
            <w:r w:rsidRPr="00E47EC1">
              <w:rPr>
                <w:color w:val="000000"/>
              </w:rPr>
              <w:t>0</w:t>
            </w:r>
          </w:p>
        </w:tc>
        <w:tc>
          <w:tcPr>
            <w:tcW w:w="876" w:type="dxa"/>
            <w:vAlign w:val="center"/>
          </w:tcPr>
          <w:p w14:paraId="1A18E016" w14:textId="77777777" w:rsidR="00021C31" w:rsidRPr="00E47EC1" w:rsidRDefault="00021C31" w:rsidP="00021C31">
            <w:pPr>
              <w:rPr>
                <w:color w:val="000000"/>
              </w:rPr>
            </w:pPr>
            <w:r w:rsidRPr="00E47EC1">
              <w:rPr>
                <w:color w:val="000000"/>
              </w:rPr>
              <w:t>0</w:t>
            </w:r>
          </w:p>
        </w:tc>
      </w:tr>
      <w:tr w:rsidR="00653CA9" w:rsidRPr="00E47EC1" w14:paraId="1A18E01C" w14:textId="77777777" w:rsidTr="00FB13AA">
        <w:trPr>
          <w:trHeight w:val="397"/>
          <w:jc w:val="center"/>
        </w:trPr>
        <w:tc>
          <w:tcPr>
            <w:tcW w:w="5242" w:type="dxa"/>
            <w:shd w:val="clear" w:color="auto" w:fill="D9D9D9" w:themeFill="background1" w:themeFillShade="D9"/>
            <w:vAlign w:val="center"/>
          </w:tcPr>
          <w:p w14:paraId="1A18E018" w14:textId="77777777" w:rsidR="00653CA9" w:rsidRPr="00E47EC1" w:rsidRDefault="00653CA9" w:rsidP="003A09DB">
            <w:pPr>
              <w:rPr>
                <w:color w:val="000000"/>
              </w:rPr>
            </w:pPr>
            <w:r w:rsidRPr="00E47EC1">
              <w:rPr>
                <w:color w:val="000000"/>
              </w:rPr>
              <w:t>DDT</w:t>
            </w:r>
          </w:p>
        </w:tc>
        <w:tc>
          <w:tcPr>
            <w:tcW w:w="2383" w:type="dxa"/>
            <w:shd w:val="clear" w:color="auto" w:fill="D9D9D9" w:themeFill="background1" w:themeFillShade="D9"/>
            <w:vAlign w:val="center"/>
          </w:tcPr>
          <w:p w14:paraId="1A18E019"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E01A"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E01B" w14:textId="77777777" w:rsidR="00653CA9" w:rsidRPr="00E47EC1" w:rsidRDefault="00653CA9" w:rsidP="003A09DB">
            <w:pPr>
              <w:rPr>
                <w:color w:val="000000"/>
              </w:rPr>
            </w:pPr>
            <w:r w:rsidRPr="00E47EC1">
              <w:rPr>
                <w:color w:val="000000"/>
              </w:rPr>
              <w:t> </w:t>
            </w:r>
          </w:p>
        </w:tc>
      </w:tr>
      <w:tr w:rsidR="00653CA9" w:rsidRPr="00E47EC1" w14:paraId="1A18E021" w14:textId="77777777" w:rsidTr="00FB13AA">
        <w:trPr>
          <w:trHeight w:val="397"/>
          <w:jc w:val="center"/>
        </w:trPr>
        <w:tc>
          <w:tcPr>
            <w:tcW w:w="5242" w:type="dxa"/>
            <w:vAlign w:val="center"/>
          </w:tcPr>
          <w:p w14:paraId="1A18E01D" w14:textId="77777777" w:rsidR="00653CA9" w:rsidRPr="00E47EC1" w:rsidRDefault="00653CA9" w:rsidP="003A09DB">
            <w:pPr>
              <w:rPr>
                <w:color w:val="000000"/>
              </w:rPr>
            </w:pPr>
            <w:r w:rsidRPr="00E47EC1">
              <w:rPr>
                <w:color w:val="000000"/>
              </w:rPr>
              <w:t>Proizvodnja (tona)</w:t>
            </w:r>
          </w:p>
        </w:tc>
        <w:tc>
          <w:tcPr>
            <w:tcW w:w="2383" w:type="dxa"/>
            <w:vAlign w:val="center"/>
          </w:tcPr>
          <w:p w14:paraId="1A18E01E" w14:textId="77777777" w:rsidR="00653CA9" w:rsidRPr="00E47EC1" w:rsidRDefault="00653CA9" w:rsidP="003A09DB">
            <w:pPr>
              <w:rPr>
                <w:color w:val="000000"/>
              </w:rPr>
            </w:pPr>
            <w:r w:rsidRPr="00E47EC1">
              <w:rPr>
                <w:color w:val="000000"/>
              </w:rPr>
              <w:t>0</w:t>
            </w:r>
          </w:p>
        </w:tc>
        <w:tc>
          <w:tcPr>
            <w:tcW w:w="876" w:type="dxa"/>
            <w:vAlign w:val="center"/>
          </w:tcPr>
          <w:p w14:paraId="1A18E01F" w14:textId="77777777" w:rsidR="00653CA9" w:rsidRPr="00E47EC1" w:rsidRDefault="00653CA9" w:rsidP="003A09DB">
            <w:pPr>
              <w:rPr>
                <w:color w:val="000000"/>
              </w:rPr>
            </w:pPr>
            <w:r w:rsidRPr="00E47EC1">
              <w:rPr>
                <w:color w:val="000000"/>
              </w:rPr>
              <w:t>0</w:t>
            </w:r>
          </w:p>
        </w:tc>
        <w:tc>
          <w:tcPr>
            <w:tcW w:w="876" w:type="dxa"/>
            <w:vAlign w:val="center"/>
          </w:tcPr>
          <w:p w14:paraId="1A18E020" w14:textId="77777777" w:rsidR="00653CA9" w:rsidRPr="00E47EC1" w:rsidRDefault="00653CA9" w:rsidP="003A09DB">
            <w:pPr>
              <w:rPr>
                <w:color w:val="000000"/>
              </w:rPr>
            </w:pPr>
            <w:r w:rsidRPr="00E47EC1">
              <w:rPr>
                <w:color w:val="000000"/>
              </w:rPr>
              <w:t>0</w:t>
            </w:r>
          </w:p>
        </w:tc>
      </w:tr>
      <w:tr w:rsidR="00653CA9" w:rsidRPr="00E47EC1" w14:paraId="1A18E026" w14:textId="77777777" w:rsidTr="00FB13AA">
        <w:trPr>
          <w:trHeight w:val="397"/>
          <w:jc w:val="center"/>
        </w:trPr>
        <w:tc>
          <w:tcPr>
            <w:tcW w:w="5242" w:type="dxa"/>
            <w:vAlign w:val="center"/>
          </w:tcPr>
          <w:p w14:paraId="1A18E022" w14:textId="77777777" w:rsidR="00653CA9" w:rsidRPr="00E47EC1" w:rsidRDefault="00653CA9" w:rsidP="003A09DB">
            <w:pPr>
              <w:rPr>
                <w:color w:val="000000"/>
              </w:rPr>
            </w:pPr>
            <w:r w:rsidRPr="00E47EC1">
              <w:rPr>
                <w:color w:val="000000"/>
              </w:rPr>
              <w:t>Uporaba (tona)</w:t>
            </w:r>
          </w:p>
        </w:tc>
        <w:tc>
          <w:tcPr>
            <w:tcW w:w="2383" w:type="dxa"/>
            <w:vAlign w:val="center"/>
          </w:tcPr>
          <w:p w14:paraId="1A18E023" w14:textId="77777777" w:rsidR="00653CA9" w:rsidRPr="00E47EC1" w:rsidRDefault="00653CA9" w:rsidP="003A09DB">
            <w:pPr>
              <w:rPr>
                <w:color w:val="000000"/>
              </w:rPr>
            </w:pPr>
            <w:r w:rsidRPr="00E47EC1">
              <w:rPr>
                <w:color w:val="000000"/>
              </w:rPr>
              <w:t>0</w:t>
            </w:r>
          </w:p>
        </w:tc>
        <w:tc>
          <w:tcPr>
            <w:tcW w:w="876" w:type="dxa"/>
            <w:vAlign w:val="center"/>
          </w:tcPr>
          <w:p w14:paraId="1A18E024" w14:textId="77777777" w:rsidR="00653CA9" w:rsidRPr="00E47EC1" w:rsidRDefault="00653CA9" w:rsidP="003A09DB">
            <w:pPr>
              <w:rPr>
                <w:color w:val="000000"/>
              </w:rPr>
            </w:pPr>
            <w:r w:rsidRPr="00E47EC1">
              <w:rPr>
                <w:color w:val="000000"/>
              </w:rPr>
              <w:t>0</w:t>
            </w:r>
          </w:p>
        </w:tc>
        <w:tc>
          <w:tcPr>
            <w:tcW w:w="876" w:type="dxa"/>
            <w:vAlign w:val="center"/>
          </w:tcPr>
          <w:p w14:paraId="1A18E025" w14:textId="77777777" w:rsidR="00653CA9" w:rsidRPr="00E47EC1" w:rsidRDefault="00653CA9" w:rsidP="003A09DB">
            <w:pPr>
              <w:rPr>
                <w:color w:val="000000"/>
              </w:rPr>
            </w:pPr>
            <w:r w:rsidRPr="00E47EC1">
              <w:rPr>
                <w:color w:val="000000"/>
              </w:rPr>
              <w:t>0</w:t>
            </w:r>
          </w:p>
        </w:tc>
      </w:tr>
      <w:tr w:rsidR="00021C31" w:rsidRPr="00E47EC1" w14:paraId="1A18E02B" w14:textId="77777777" w:rsidTr="00FB13AA">
        <w:trPr>
          <w:trHeight w:val="397"/>
          <w:jc w:val="center"/>
        </w:trPr>
        <w:tc>
          <w:tcPr>
            <w:tcW w:w="5242" w:type="dxa"/>
            <w:shd w:val="clear" w:color="auto" w:fill="D9D9D9" w:themeFill="background1" w:themeFillShade="D9"/>
            <w:vAlign w:val="center"/>
          </w:tcPr>
          <w:p w14:paraId="1A18E027" w14:textId="77777777" w:rsidR="00021C31" w:rsidRPr="00E47EC1" w:rsidRDefault="00021C31" w:rsidP="003A09DB">
            <w:pPr>
              <w:rPr>
                <w:color w:val="000000"/>
              </w:rPr>
            </w:pPr>
            <w:r w:rsidRPr="00E47EC1">
              <w:rPr>
                <w:color w:val="000000"/>
              </w:rPr>
              <w:t>Industrijske kemikalije</w:t>
            </w:r>
          </w:p>
        </w:tc>
        <w:tc>
          <w:tcPr>
            <w:tcW w:w="2383" w:type="dxa"/>
            <w:shd w:val="clear" w:color="auto" w:fill="D9D9D9" w:themeFill="background1" w:themeFillShade="D9"/>
            <w:vAlign w:val="center"/>
          </w:tcPr>
          <w:p w14:paraId="1A18E028" w14:textId="77777777" w:rsidR="00021C31" w:rsidRPr="00E47EC1" w:rsidRDefault="00021C31" w:rsidP="003A09DB">
            <w:pPr>
              <w:rPr>
                <w:color w:val="000000"/>
              </w:rPr>
            </w:pPr>
          </w:p>
        </w:tc>
        <w:tc>
          <w:tcPr>
            <w:tcW w:w="876" w:type="dxa"/>
            <w:shd w:val="clear" w:color="auto" w:fill="D9D9D9" w:themeFill="background1" w:themeFillShade="D9"/>
            <w:vAlign w:val="center"/>
          </w:tcPr>
          <w:p w14:paraId="1A18E029" w14:textId="77777777" w:rsidR="00021C31" w:rsidRPr="00E47EC1" w:rsidRDefault="00021C31" w:rsidP="003A09DB">
            <w:pPr>
              <w:rPr>
                <w:color w:val="000000"/>
              </w:rPr>
            </w:pPr>
          </w:p>
        </w:tc>
        <w:tc>
          <w:tcPr>
            <w:tcW w:w="876" w:type="dxa"/>
            <w:shd w:val="clear" w:color="auto" w:fill="D9D9D9" w:themeFill="background1" w:themeFillShade="D9"/>
            <w:vAlign w:val="center"/>
          </w:tcPr>
          <w:p w14:paraId="1A18E02A" w14:textId="77777777" w:rsidR="00021C31" w:rsidRPr="00E47EC1" w:rsidRDefault="00021C31" w:rsidP="003A09DB">
            <w:pPr>
              <w:rPr>
                <w:color w:val="000000"/>
              </w:rPr>
            </w:pPr>
          </w:p>
        </w:tc>
      </w:tr>
      <w:tr w:rsidR="00021C31" w:rsidRPr="00E47EC1" w14:paraId="1A18E030" w14:textId="77777777" w:rsidTr="00FB13AA">
        <w:trPr>
          <w:trHeight w:val="397"/>
          <w:jc w:val="center"/>
        </w:trPr>
        <w:tc>
          <w:tcPr>
            <w:tcW w:w="5242" w:type="dxa"/>
            <w:shd w:val="clear" w:color="auto" w:fill="D9D9D9" w:themeFill="background1" w:themeFillShade="D9"/>
            <w:vAlign w:val="center"/>
          </w:tcPr>
          <w:p w14:paraId="1A18E02C" w14:textId="77777777" w:rsidR="00021C31" w:rsidRPr="00E47EC1" w:rsidRDefault="00021C31" w:rsidP="003A09DB">
            <w:pPr>
              <w:rPr>
                <w:color w:val="000000"/>
              </w:rPr>
            </w:pPr>
            <w:r w:rsidRPr="00E47EC1">
              <w:rPr>
                <w:color w:val="000000"/>
              </w:rPr>
              <w:t>Proizvodnja (tona)</w:t>
            </w:r>
          </w:p>
        </w:tc>
        <w:tc>
          <w:tcPr>
            <w:tcW w:w="2383" w:type="dxa"/>
            <w:shd w:val="clear" w:color="auto" w:fill="D9D9D9" w:themeFill="background1" w:themeFillShade="D9"/>
            <w:vAlign w:val="center"/>
          </w:tcPr>
          <w:p w14:paraId="1A18E02D" w14:textId="77777777" w:rsidR="00021C31" w:rsidRPr="00E47EC1" w:rsidRDefault="00021C31" w:rsidP="003A09DB">
            <w:pPr>
              <w:rPr>
                <w:color w:val="000000"/>
              </w:rPr>
            </w:pPr>
            <w:r w:rsidRPr="00E47EC1">
              <w:rPr>
                <w:color w:val="000000"/>
              </w:rPr>
              <w:t>0</w:t>
            </w:r>
          </w:p>
        </w:tc>
        <w:tc>
          <w:tcPr>
            <w:tcW w:w="876" w:type="dxa"/>
            <w:shd w:val="clear" w:color="auto" w:fill="D9D9D9" w:themeFill="background1" w:themeFillShade="D9"/>
            <w:vAlign w:val="center"/>
          </w:tcPr>
          <w:p w14:paraId="1A18E02E" w14:textId="77777777" w:rsidR="00021C31" w:rsidRPr="00E47EC1" w:rsidRDefault="00021C31" w:rsidP="003A09DB">
            <w:pPr>
              <w:rPr>
                <w:color w:val="000000"/>
              </w:rPr>
            </w:pPr>
            <w:r w:rsidRPr="00E47EC1">
              <w:rPr>
                <w:color w:val="000000"/>
              </w:rPr>
              <w:t>0</w:t>
            </w:r>
          </w:p>
        </w:tc>
        <w:tc>
          <w:tcPr>
            <w:tcW w:w="876" w:type="dxa"/>
            <w:shd w:val="clear" w:color="auto" w:fill="D9D9D9" w:themeFill="background1" w:themeFillShade="D9"/>
            <w:vAlign w:val="center"/>
          </w:tcPr>
          <w:p w14:paraId="1A18E02F" w14:textId="77777777" w:rsidR="00021C31" w:rsidRPr="00E47EC1" w:rsidRDefault="00021C31" w:rsidP="003A09DB">
            <w:pPr>
              <w:rPr>
                <w:color w:val="000000"/>
              </w:rPr>
            </w:pPr>
            <w:r w:rsidRPr="00E47EC1">
              <w:rPr>
                <w:color w:val="000000"/>
              </w:rPr>
              <w:t>0</w:t>
            </w:r>
          </w:p>
        </w:tc>
      </w:tr>
      <w:tr w:rsidR="00021C31" w:rsidRPr="00E47EC1" w14:paraId="1A18E035" w14:textId="77777777" w:rsidTr="00FB13AA">
        <w:trPr>
          <w:trHeight w:val="397"/>
          <w:jc w:val="center"/>
        </w:trPr>
        <w:tc>
          <w:tcPr>
            <w:tcW w:w="5242" w:type="dxa"/>
            <w:shd w:val="clear" w:color="auto" w:fill="D9D9D9" w:themeFill="background1" w:themeFillShade="D9"/>
            <w:vAlign w:val="center"/>
          </w:tcPr>
          <w:p w14:paraId="1A18E031" w14:textId="77777777" w:rsidR="00021C31" w:rsidRPr="00E47EC1" w:rsidRDefault="00021C31" w:rsidP="003A09DB">
            <w:pPr>
              <w:rPr>
                <w:color w:val="000000"/>
              </w:rPr>
            </w:pPr>
            <w:r w:rsidRPr="00E47EC1">
              <w:rPr>
                <w:color w:val="000000"/>
              </w:rPr>
              <w:t>Zalihe/Uporaba (tona)</w:t>
            </w:r>
          </w:p>
        </w:tc>
        <w:tc>
          <w:tcPr>
            <w:tcW w:w="2383" w:type="dxa"/>
            <w:shd w:val="clear" w:color="auto" w:fill="D9D9D9" w:themeFill="background1" w:themeFillShade="D9"/>
            <w:vAlign w:val="center"/>
          </w:tcPr>
          <w:p w14:paraId="1A18E032" w14:textId="77777777" w:rsidR="00021C31" w:rsidRPr="00E47EC1" w:rsidRDefault="00021C31" w:rsidP="003A09DB">
            <w:pPr>
              <w:rPr>
                <w:color w:val="000000"/>
              </w:rPr>
            </w:pPr>
          </w:p>
        </w:tc>
        <w:tc>
          <w:tcPr>
            <w:tcW w:w="876" w:type="dxa"/>
            <w:shd w:val="clear" w:color="auto" w:fill="D9D9D9" w:themeFill="background1" w:themeFillShade="D9"/>
            <w:vAlign w:val="center"/>
          </w:tcPr>
          <w:p w14:paraId="1A18E033" w14:textId="77777777" w:rsidR="00021C31" w:rsidRPr="00E47EC1" w:rsidRDefault="00021C31" w:rsidP="003A09DB">
            <w:pPr>
              <w:rPr>
                <w:color w:val="000000"/>
              </w:rPr>
            </w:pPr>
          </w:p>
        </w:tc>
        <w:tc>
          <w:tcPr>
            <w:tcW w:w="876" w:type="dxa"/>
            <w:shd w:val="clear" w:color="auto" w:fill="D9D9D9" w:themeFill="background1" w:themeFillShade="D9"/>
            <w:vAlign w:val="center"/>
          </w:tcPr>
          <w:p w14:paraId="1A18E034" w14:textId="77777777" w:rsidR="00021C31" w:rsidRPr="00E47EC1" w:rsidRDefault="00021C31" w:rsidP="003A09DB">
            <w:pPr>
              <w:rPr>
                <w:color w:val="000000"/>
              </w:rPr>
            </w:pPr>
          </w:p>
        </w:tc>
      </w:tr>
      <w:tr w:rsidR="00653CA9" w:rsidRPr="00E47EC1" w14:paraId="1A18E03A" w14:textId="77777777" w:rsidTr="00FB13AA">
        <w:trPr>
          <w:trHeight w:val="397"/>
          <w:jc w:val="center"/>
        </w:trPr>
        <w:tc>
          <w:tcPr>
            <w:tcW w:w="5242" w:type="dxa"/>
            <w:vAlign w:val="center"/>
          </w:tcPr>
          <w:p w14:paraId="1A18E036" w14:textId="77777777" w:rsidR="00653CA9" w:rsidRPr="00E47EC1" w:rsidRDefault="00653CA9" w:rsidP="003A09DB">
            <w:pPr>
              <w:rPr>
                <w:color w:val="000000"/>
              </w:rPr>
            </w:pPr>
            <w:r w:rsidRPr="00E47EC1">
              <w:rPr>
                <w:color w:val="000000"/>
              </w:rPr>
              <w:t>Ukupna masa opreme koja sadrži PCB (tona)</w:t>
            </w:r>
          </w:p>
        </w:tc>
        <w:tc>
          <w:tcPr>
            <w:tcW w:w="2383" w:type="dxa"/>
            <w:vAlign w:val="center"/>
          </w:tcPr>
          <w:p w14:paraId="1A18E037" w14:textId="77777777" w:rsidR="00653CA9" w:rsidRPr="00E47EC1" w:rsidRDefault="00653CA9" w:rsidP="003A09DB">
            <w:pPr>
              <w:rPr>
                <w:color w:val="000000"/>
              </w:rPr>
            </w:pPr>
            <w:r w:rsidRPr="00E47EC1">
              <w:rPr>
                <w:color w:val="000000"/>
              </w:rPr>
              <w:t>706,89**</w:t>
            </w:r>
          </w:p>
        </w:tc>
        <w:tc>
          <w:tcPr>
            <w:tcW w:w="876" w:type="dxa"/>
            <w:vAlign w:val="center"/>
          </w:tcPr>
          <w:p w14:paraId="1A18E038" w14:textId="77777777" w:rsidR="00653CA9" w:rsidRPr="00E47EC1" w:rsidRDefault="00653CA9" w:rsidP="003A09DB">
            <w:pPr>
              <w:rPr>
                <w:color w:val="000000"/>
              </w:rPr>
            </w:pPr>
            <w:r w:rsidRPr="00E47EC1">
              <w:rPr>
                <w:color w:val="000000"/>
              </w:rPr>
              <w:t>*</w:t>
            </w:r>
          </w:p>
        </w:tc>
        <w:tc>
          <w:tcPr>
            <w:tcW w:w="876" w:type="dxa"/>
            <w:vAlign w:val="center"/>
          </w:tcPr>
          <w:p w14:paraId="1A18E039" w14:textId="77777777" w:rsidR="00653CA9" w:rsidRPr="00E47EC1" w:rsidRDefault="00653CA9" w:rsidP="003A09DB">
            <w:pPr>
              <w:rPr>
                <w:color w:val="000000"/>
              </w:rPr>
            </w:pPr>
            <w:r w:rsidRPr="00E47EC1">
              <w:rPr>
                <w:color w:val="000000"/>
              </w:rPr>
              <w:t>*</w:t>
            </w:r>
          </w:p>
        </w:tc>
      </w:tr>
      <w:tr w:rsidR="009D0C43" w:rsidRPr="00E47EC1" w14:paraId="1A18E03F" w14:textId="77777777" w:rsidTr="00FB13AA">
        <w:trPr>
          <w:trHeight w:val="397"/>
          <w:jc w:val="center"/>
        </w:trPr>
        <w:tc>
          <w:tcPr>
            <w:tcW w:w="5242" w:type="dxa"/>
            <w:vAlign w:val="center"/>
          </w:tcPr>
          <w:p w14:paraId="1A18E03B" w14:textId="77777777" w:rsidR="009D0C43" w:rsidRPr="00E47EC1" w:rsidRDefault="009D0C43" w:rsidP="003A09DB">
            <w:pPr>
              <w:rPr>
                <w:color w:val="000000"/>
              </w:rPr>
            </w:pPr>
            <w:r w:rsidRPr="00E47EC1">
              <w:rPr>
                <w:color w:val="000000"/>
              </w:rPr>
              <w:t>HBCD/HBCDD</w:t>
            </w:r>
          </w:p>
        </w:tc>
        <w:tc>
          <w:tcPr>
            <w:tcW w:w="2383" w:type="dxa"/>
            <w:vAlign w:val="center"/>
          </w:tcPr>
          <w:p w14:paraId="1A18E03C" w14:textId="77777777" w:rsidR="009D0C43" w:rsidRPr="00E47EC1" w:rsidRDefault="009D0C43" w:rsidP="003A09DB">
            <w:pPr>
              <w:rPr>
                <w:color w:val="000000"/>
              </w:rPr>
            </w:pPr>
            <w:r w:rsidRPr="00E47EC1">
              <w:rPr>
                <w:color w:val="000000"/>
              </w:rPr>
              <w:t>6,5</w:t>
            </w:r>
          </w:p>
        </w:tc>
        <w:tc>
          <w:tcPr>
            <w:tcW w:w="876" w:type="dxa"/>
            <w:vAlign w:val="center"/>
          </w:tcPr>
          <w:p w14:paraId="1A18E03D" w14:textId="77777777" w:rsidR="009D0C43" w:rsidRPr="00E47EC1" w:rsidRDefault="009D0C43" w:rsidP="003A09DB">
            <w:pPr>
              <w:rPr>
                <w:color w:val="000000"/>
              </w:rPr>
            </w:pPr>
            <w:r w:rsidRPr="00E47EC1">
              <w:rPr>
                <w:color w:val="000000"/>
              </w:rPr>
              <w:t>*</w:t>
            </w:r>
          </w:p>
        </w:tc>
        <w:tc>
          <w:tcPr>
            <w:tcW w:w="876" w:type="dxa"/>
            <w:vAlign w:val="center"/>
          </w:tcPr>
          <w:p w14:paraId="1A18E03E" w14:textId="77777777" w:rsidR="009D0C43" w:rsidRPr="00E47EC1" w:rsidRDefault="009D0C43" w:rsidP="003A09DB">
            <w:pPr>
              <w:rPr>
                <w:color w:val="000000"/>
              </w:rPr>
            </w:pPr>
            <w:r w:rsidRPr="00E47EC1">
              <w:rPr>
                <w:color w:val="000000"/>
              </w:rPr>
              <w:t>*</w:t>
            </w:r>
          </w:p>
        </w:tc>
      </w:tr>
      <w:tr w:rsidR="009D0C43" w:rsidRPr="00E47EC1" w14:paraId="1A18E044" w14:textId="77777777" w:rsidTr="00FB13AA">
        <w:trPr>
          <w:trHeight w:val="397"/>
          <w:jc w:val="center"/>
        </w:trPr>
        <w:tc>
          <w:tcPr>
            <w:tcW w:w="5242" w:type="dxa"/>
            <w:vAlign w:val="center"/>
          </w:tcPr>
          <w:p w14:paraId="1A18E040" w14:textId="77777777" w:rsidR="009D0C43" w:rsidRPr="00E47EC1" w:rsidRDefault="009D0C43" w:rsidP="003A09DB">
            <w:pPr>
              <w:rPr>
                <w:color w:val="000000"/>
              </w:rPr>
            </w:pPr>
            <w:r w:rsidRPr="00E47EC1">
              <w:rPr>
                <w:color w:val="000000"/>
              </w:rPr>
              <w:t>PFOS, PBDE</w:t>
            </w:r>
          </w:p>
        </w:tc>
        <w:tc>
          <w:tcPr>
            <w:tcW w:w="2383" w:type="dxa"/>
            <w:vAlign w:val="center"/>
          </w:tcPr>
          <w:p w14:paraId="1A18E041" w14:textId="77777777" w:rsidR="009D0C43" w:rsidRPr="00E47EC1" w:rsidRDefault="009D0C43" w:rsidP="003A09DB">
            <w:pPr>
              <w:rPr>
                <w:color w:val="000000"/>
              </w:rPr>
            </w:pPr>
            <w:r w:rsidRPr="00E47EC1">
              <w:rPr>
                <w:color w:val="000000"/>
              </w:rPr>
              <w:t>Preliminarni inventar</w:t>
            </w:r>
          </w:p>
        </w:tc>
        <w:tc>
          <w:tcPr>
            <w:tcW w:w="876" w:type="dxa"/>
            <w:vAlign w:val="center"/>
          </w:tcPr>
          <w:p w14:paraId="1A18E042" w14:textId="77777777" w:rsidR="009D0C43" w:rsidRPr="00E47EC1" w:rsidRDefault="009D0C43" w:rsidP="003A09DB">
            <w:pPr>
              <w:rPr>
                <w:color w:val="000000"/>
              </w:rPr>
            </w:pPr>
            <w:r w:rsidRPr="00E47EC1">
              <w:rPr>
                <w:color w:val="000000"/>
              </w:rPr>
              <w:t>0</w:t>
            </w:r>
          </w:p>
        </w:tc>
        <w:tc>
          <w:tcPr>
            <w:tcW w:w="876" w:type="dxa"/>
            <w:vAlign w:val="center"/>
          </w:tcPr>
          <w:p w14:paraId="1A18E043" w14:textId="77777777" w:rsidR="009D0C43" w:rsidRPr="00E47EC1" w:rsidRDefault="009D0C43" w:rsidP="003A09DB">
            <w:pPr>
              <w:rPr>
                <w:color w:val="000000"/>
              </w:rPr>
            </w:pPr>
            <w:r w:rsidRPr="00E47EC1">
              <w:rPr>
                <w:color w:val="000000"/>
              </w:rPr>
              <w:t>0</w:t>
            </w:r>
          </w:p>
        </w:tc>
      </w:tr>
      <w:tr w:rsidR="00653CA9" w:rsidRPr="00E47EC1" w14:paraId="1A18E049" w14:textId="77777777" w:rsidTr="00FB13AA">
        <w:trPr>
          <w:trHeight w:val="397"/>
          <w:jc w:val="center"/>
        </w:trPr>
        <w:tc>
          <w:tcPr>
            <w:tcW w:w="5242" w:type="dxa"/>
            <w:shd w:val="clear" w:color="auto" w:fill="D9D9D9" w:themeFill="background1" w:themeFillShade="D9"/>
            <w:vAlign w:val="center"/>
          </w:tcPr>
          <w:p w14:paraId="1A18E045" w14:textId="77777777" w:rsidR="00653CA9" w:rsidRPr="00E47EC1" w:rsidRDefault="00653CA9" w:rsidP="003A09DB">
            <w:pPr>
              <w:rPr>
                <w:color w:val="000000"/>
              </w:rPr>
            </w:pPr>
            <w:r w:rsidRPr="00E47EC1">
              <w:rPr>
                <w:color w:val="000000"/>
              </w:rPr>
              <w:t>Ispuštanje iz nenamjerne proizvodnje</w:t>
            </w:r>
          </w:p>
        </w:tc>
        <w:tc>
          <w:tcPr>
            <w:tcW w:w="2383" w:type="dxa"/>
            <w:shd w:val="clear" w:color="auto" w:fill="D9D9D9" w:themeFill="background1" w:themeFillShade="D9"/>
            <w:vAlign w:val="center"/>
          </w:tcPr>
          <w:p w14:paraId="1A18E046" w14:textId="77777777" w:rsidR="00653CA9" w:rsidRPr="00E47EC1" w:rsidRDefault="00653CA9" w:rsidP="003A09DB">
            <w:pPr>
              <w:rPr>
                <w:color w:val="000000"/>
              </w:rPr>
            </w:pPr>
          </w:p>
        </w:tc>
        <w:tc>
          <w:tcPr>
            <w:tcW w:w="876" w:type="dxa"/>
            <w:shd w:val="clear" w:color="auto" w:fill="D9D9D9" w:themeFill="background1" w:themeFillShade="D9"/>
            <w:vAlign w:val="center"/>
          </w:tcPr>
          <w:p w14:paraId="1A18E047"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E048" w14:textId="77777777" w:rsidR="00653CA9" w:rsidRPr="00E47EC1" w:rsidRDefault="00653CA9" w:rsidP="003A09DB">
            <w:pPr>
              <w:rPr>
                <w:color w:val="000000"/>
              </w:rPr>
            </w:pPr>
            <w:r w:rsidRPr="00E47EC1">
              <w:rPr>
                <w:color w:val="000000"/>
              </w:rPr>
              <w:t> </w:t>
            </w:r>
          </w:p>
        </w:tc>
      </w:tr>
      <w:tr w:rsidR="00653CA9" w:rsidRPr="00E47EC1" w14:paraId="1A18E04E" w14:textId="77777777" w:rsidTr="00FB13AA">
        <w:trPr>
          <w:trHeight w:val="397"/>
          <w:jc w:val="center"/>
        </w:trPr>
        <w:tc>
          <w:tcPr>
            <w:tcW w:w="5242" w:type="dxa"/>
            <w:shd w:val="clear" w:color="auto" w:fill="D9D9D9" w:themeFill="background1" w:themeFillShade="D9"/>
            <w:vAlign w:val="center"/>
          </w:tcPr>
          <w:p w14:paraId="1A18E04A" w14:textId="77777777" w:rsidR="00653CA9" w:rsidRPr="00E47EC1" w:rsidRDefault="00653CA9" w:rsidP="003A09DB">
            <w:pPr>
              <w:rPr>
                <w:color w:val="000000"/>
              </w:rPr>
            </w:pPr>
            <w:r w:rsidRPr="00E47EC1">
              <w:rPr>
                <w:color w:val="000000"/>
              </w:rPr>
              <w:t>PCDD/PCDF (g TEQ godina</w:t>
            </w:r>
            <w:r w:rsidRPr="00E47EC1">
              <w:rPr>
                <w:color w:val="000000"/>
                <w:vertAlign w:val="superscript"/>
              </w:rPr>
              <w:t>-1</w:t>
            </w:r>
            <w:r w:rsidRPr="00E47EC1">
              <w:rPr>
                <w:color w:val="000000"/>
              </w:rPr>
              <w:t>)</w:t>
            </w:r>
          </w:p>
        </w:tc>
        <w:tc>
          <w:tcPr>
            <w:tcW w:w="2383" w:type="dxa"/>
            <w:shd w:val="clear" w:color="auto" w:fill="D9D9D9" w:themeFill="background1" w:themeFillShade="D9"/>
            <w:vAlign w:val="center"/>
          </w:tcPr>
          <w:p w14:paraId="1A18E04B"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E04C" w14:textId="77777777" w:rsidR="00653CA9" w:rsidRPr="00E47EC1" w:rsidRDefault="00653CA9" w:rsidP="003A09DB">
            <w:pPr>
              <w:rPr>
                <w:color w:val="000000"/>
              </w:rPr>
            </w:pPr>
            <w:r w:rsidRPr="00E47EC1">
              <w:rPr>
                <w:color w:val="000000"/>
              </w:rPr>
              <w:t> </w:t>
            </w:r>
          </w:p>
        </w:tc>
        <w:tc>
          <w:tcPr>
            <w:tcW w:w="876" w:type="dxa"/>
            <w:shd w:val="clear" w:color="auto" w:fill="D9D9D9" w:themeFill="background1" w:themeFillShade="D9"/>
            <w:vAlign w:val="center"/>
          </w:tcPr>
          <w:p w14:paraId="1A18E04D" w14:textId="77777777" w:rsidR="00653CA9" w:rsidRPr="00E47EC1" w:rsidRDefault="00653CA9" w:rsidP="003A09DB">
            <w:pPr>
              <w:rPr>
                <w:color w:val="000000"/>
              </w:rPr>
            </w:pPr>
            <w:r w:rsidRPr="00E47EC1">
              <w:rPr>
                <w:color w:val="000000"/>
              </w:rPr>
              <w:t> </w:t>
            </w:r>
          </w:p>
        </w:tc>
      </w:tr>
      <w:tr w:rsidR="00653CA9" w:rsidRPr="00E47EC1" w14:paraId="1A18E053" w14:textId="77777777" w:rsidTr="00FB13AA">
        <w:trPr>
          <w:trHeight w:val="397"/>
          <w:jc w:val="center"/>
        </w:trPr>
        <w:tc>
          <w:tcPr>
            <w:tcW w:w="5242" w:type="dxa"/>
            <w:vAlign w:val="center"/>
          </w:tcPr>
          <w:p w14:paraId="1A18E04F" w14:textId="77777777" w:rsidR="00653CA9" w:rsidRPr="00E47EC1" w:rsidRDefault="00653CA9" w:rsidP="003A09DB">
            <w:pPr>
              <w:rPr>
                <w:color w:val="000000"/>
              </w:rPr>
            </w:pPr>
            <w:r w:rsidRPr="00E47EC1">
              <w:rPr>
                <w:color w:val="000000"/>
              </w:rPr>
              <w:t>Spalionice otpada</w:t>
            </w:r>
          </w:p>
        </w:tc>
        <w:tc>
          <w:tcPr>
            <w:tcW w:w="2383" w:type="dxa"/>
            <w:vAlign w:val="center"/>
          </w:tcPr>
          <w:p w14:paraId="1A18E050" w14:textId="77777777" w:rsidR="00653CA9" w:rsidRPr="00E47EC1" w:rsidRDefault="00653CA9" w:rsidP="003A09DB">
            <w:pPr>
              <w:rPr>
                <w:color w:val="000000"/>
              </w:rPr>
            </w:pPr>
            <w:r w:rsidRPr="00E47EC1">
              <w:rPr>
                <w:color w:val="000000"/>
              </w:rPr>
              <w:t>0,07</w:t>
            </w:r>
          </w:p>
        </w:tc>
        <w:tc>
          <w:tcPr>
            <w:tcW w:w="876" w:type="dxa"/>
            <w:vAlign w:val="center"/>
          </w:tcPr>
          <w:p w14:paraId="1A18E051" w14:textId="77777777" w:rsidR="00653CA9" w:rsidRPr="00E47EC1" w:rsidRDefault="00653CA9" w:rsidP="003A09DB">
            <w:pPr>
              <w:rPr>
                <w:color w:val="000000"/>
              </w:rPr>
            </w:pPr>
            <w:r w:rsidRPr="00E47EC1">
              <w:rPr>
                <w:color w:val="000000"/>
              </w:rPr>
              <w:t>*</w:t>
            </w:r>
          </w:p>
        </w:tc>
        <w:tc>
          <w:tcPr>
            <w:tcW w:w="876" w:type="dxa"/>
            <w:vAlign w:val="center"/>
          </w:tcPr>
          <w:p w14:paraId="1A18E052" w14:textId="77777777" w:rsidR="00653CA9" w:rsidRPr="00E47EC1" w:rsidRDefault="00653CA9" w:rsidP="003A09DB">
            <w:pPr>
              <w:rPr>
                <w:color w:val="000000"/>
              </w:rPr>
            </w:pPr>
            <w:r w:rsidRPr="00E47EC1">
              <w:rPr>
                <w:color w:val="000000"/>
              </w:rPr>
              <w:t>*</w:t>
            </w:r>
          </w:p>
        </w:tc>
      </w:tr>
      <w:tr w:rsidR="00653CA9" w:rsidRPr="00E47EC1" w14:paraId="1A18E058" w14:textId="77777777" w:rsidTr="00FB13AA">
        <w:trPr>
          <w:trHeight w:val="397"/>
          <w:jc w:val="center"/>
        </w:trPr>
        <w:tc>
          <w:tcPr>
            <w:tcW w:w="5242" w:type="dxa"/>
            <w:vAlign w:val="center"/>
          </w:tcPr>
          <w:p w14:paraId="1A18E054" w14:textId="77777777" w:rsidR="00653CA9" w:rsidRPr="00E47EC1" w:rsidRDefault="00653CA9" w:rsidP="003A09DB">
            <w:pPr>
              <w:rPr>
                <w:color w:val="000000"/>
              </w:rPr>
            </w:pPr>
            <w:r w:rsidRPr="00E47EC1">
              <w:rPr>
                <w:color w:val="000000"/>
              </w:rPr>
              <w:t>Proizvodnja željeza i obojenih metala</w:t>
            </w:r>
          </w:p>
        </w:tc>
        <w:tc>
          <w:tcPr>
            <w:tcW w:w="2383" w:type="dxa"/>
            <w:vAlign w:val="center"/>
          </w:tcPr>
          <w:p w14:paraId="1A18E055" w14:textId="77777777" w:rsidR="00653CA9" w:rsidRPr="00E47EC1" w:rsidRDefault="00653CA9" w:rsidP="003A09DB">
            <w:pPr>
              <w:rPr>
                <w:color w:val="000000"/>
              </w:rPr>
            </w:pPr>
            <w:r w:rsidRPr="00E47EC1">
              <w:rPr>
                <w:color w:val="000000"/>
              </w:rPr>
              <w:t>0,38</w:t>
            </w:r>
          </w:p>
        </w:tc>
        <w:tc>
          <w:tcPr>
            <w:tcW w:w="876" w:type="dxa"/>
            <w:vAlign w:val="center"/>
          </w:tcPr>
          <w:p w14:paraId="1A18E056" w14:textId="77777777" w:rsidR="00653CA9" w:rsidRPr="00E47EC1" w:rsidRDefault="00653CA9" w:rsidP="003A09DB">
            <w:pPr>
              <w:rPr>
                <w:color w:val="000000"/>
              </w:rPr>
            </w:pPr>
            <w:r w:rsidRPr="00E47EC1">
              <w:rPr>
                <w:color w:val="000000"/>
              </w:rPr>
              <w:t>*</w:t>
            </w:r>
          </w:p>
        </w:tc>
        <w:tc>
          <w:tcPr>
            <w:tcW w:w="876" w:type="dxa"/>
            <w:vAlign w:val="center"/>
          </w:tcPr>
          <w:p w14:paraId="1A18E057" w14:textId="77777777" w:rsidR="00653CA9" w:rsidRPr="00E47EC1" w:rsidRDefault="00653CA9" w:rsidP="003A09DB">
            <w:pPr>
              <w:rPr>
                <w:color w:val="000000"/>
              </w:rPr>
            </w:pPr>
            <w:r w:rsidRPr="00E47EC1">
              <w:rPr>
                <w:color w:val="000000"/>
              </w:rPr>
              <w:t>*</w:t>
            </w:r>
          </w:p>
        </w:tc>
      </w:tr>
      <w:tr w:rsidR="00653CA9" w:rsidRPr="00E47EC1" w14:paraId="1A18E05D" w14:textId="77777777" w:rsidTr="00FB13AA">
        <w:trPr>
          <w:trHeight w:val="397"/>
          <w:jc w:val="center"/>
        </w:trPr>
        <w:tc>
          <w:tcPr>
            <w:tcW w:w="5242" w:type="dxa"/>
            <w:vAlign w:val="center"/>
          </w:tcPr>
          <w:p w14:paraId="1A18E059" w14:textId="77777777" w:rsidR="00653CA9" w:rsidRPr="00E47EC1" w:rsidRDefault="00653CA9" w:rsidP="003A09DB">
            <w:pPr>
              <w:rPr>
                <w:color w:val="000000"/>
              </w:rPr>
            </w:pPr>
            <w:r w:rsidRPr="00E47EC1">
              <w:rPr>
                <w:color w:val="000000"/>
              </w:rPr>
              <w:t>Proizvodnja energije i topline</w:t>
            </w:r>
          </w:p>
        </w:tc>
        <w:tc>
          <w:tcPr>
            <w:tcW w:w="2383" w:type="dxa"/>
            <w:vAlign w:val="center"/>
          </w:tcPr>
          <w:p w14:paraId="1A18E05A" w14:textId="77777777" w:rsidR="00653CA9" w:rsidRPr="00E47EC1" w:rsidRDefault="00653CA9" w:rsidP="003A09DB">
            <w:pPr>
              <w:rPr>
                <w:color w:val="000000"/>
              </w:rPr>
            </w:pPr>
            <w:r w:rsidRPr="00E47EC1">
              <w:rPr>
                <w:color w:val="000000"/>
              </w:rPr>
              <w:t>20.054,4</w:t>
            </w:r>
          </w:p>
        </w:tc>
        <w:tc>
          <w:tcPr>
            <w:tcW w:w="876" w:type="dxa"/>
            <w:vAlign w:val="center"/>
          </w:tcPr>
          <w:p w14:paraId="1A18E05B" w14:textId="77777777" w:rsidR="00653CA9" w:rsidRPr="00E47EC1" w:rsidRDefault="00653CA9" w:rsidP="003A09DB">
            <w:pPr>
              <w:rPr>
                <w:color w:val="000000"/>
              </w:rPr>
            </w:pPr>
            <w:r w:rsidRPr="00E47EC1">
              <w:rPr>
                <w:color w:val="000000"/>
              </w:rPr>
              <w:t>*</w:t>
            </w:r>
          </w:p>
        </w:tc>
        <w:tc>
          <w:tcPr>
            <w:tcW w:w="876" w:type="dxa"/>
            <w:vAlign w:val="center"/>
          </w:tcPr>
          <w:p w14:paraId="1A18E05C" w14:textId="77777777" w:rsidR="00653CA9" w:rsidRPr="00E47EC1" w:rsidRDefault="00653CA9" w:rsidP="003A09DB">
            <w:pPr>
              <w:rPr>
                <w:color w:val="000000"/>
              </w:rPr>
            </w:pPr>
            <w:r w:rsidRPr="00E47EC1">
              <w:rPr>
                <w:color w:val="000000"/>
              </w:rPr>
              <w:t>*</w:t>
            </w:r>
          </w:p>
        </w:tc>
      </w:tr>
      <w:tr w:rsidR="00653CA9" w:rsidRPr="00E47EC1" w14:paraId="1A18E062" w14:textId="77777777" w:rsidTr="00FB13AA">
        <w:trPr>
          <w:trHeight w:val="397"/>
          <w:jc w:val="center"/>
        </w:trPr>
        <w:tc>
          <w:tcPr>
            <w:tcW w:w="5242" w:type="dxa"/>
            <w:vAlign w:val="center"/>
          </w:tcPr>
          <w:p w14:paraId="1A18E05E" w14:textId="77777777" w:rsidR="00653CA9" w:rsidRPr="00E47EC1" w:rsidRDefault="00653CA9" w:rsidP="003A09DB">
            <w:pPr>
              <w:rPr>
                <w:color w:val="000000"/>
              </w:rPr>
            </w:pPr>
            <w:r w:rsidRPr="00E47EC1">
              <w:rPr>
                <w:color w:val="000000"/>
              </w:rPr>
              <w:t>Proizvodnja mineralnih proizvoda</w:t>
            </w:r>
          </w:p>
        </w:tc>
        <w:tc>
          <w:tcPr>
            <w:tcW w:w="2383" w:type="dxa"/>
            <w:vAlign w:val="center"/>
          </w:tcPr>
          <w:p w14:paraId="1A18E05F" w14:textId="77777777" w:rsidR="00653CA9" w:rsidRPr="00E47EC1" w:rsidRDefault="00653CA9" w:rsidP="003A09DB">
            <w:pPr>
              <w:rPr>
                <w:color w:val="000000"/>
              </w:rPr>
            </w:pPr>
            <w:r w:rsidRPr="00E47EC1">
              <w:rPr>
                <w:color w:val="000000"/>
              </w:rPr>
              <w:t>0,20</w:t>
            </w:r>
          </w:p>
        </w:tc>
        <w:tc>
          <w:tcPr>
            <w:tcW w:w="876" w:type="dxa"/>
            <w:vAlign w:val="center"/>
          </w:tcPr>
          <w:p w14:paraId="1A18E060" w14:textId="77777777" w:rsidR="00653CA9" w:rsidRPr="00E47EC1" w:rsidRDefault="00653CA9" w:rsidP="003A09DB">
            <w:pPr>
              <w:rPr>
                <w:color w:val="000000"/>
              </w:rPr>
            </w:pPr>
            <w:r w:rsidRPr="00E47EC1">
              <w:rPr>
                <w:color w:val="000000"/>
              </w:rPr>
              <w:t>*</w:t>
            </w:r>
          </w:p>
        </w:tc>
        <w:tc>
          <w:tcPr>
            <w:tcW w:w="876" w:type="dxa"/>
            <w:vAlign w:val="center"/>
          </w:tcPr>
          <w:p w14:paraId="1A18E061" w14:textId="77777777" w:rsidR="00653CA9" w:rsidRPr="00E47EC1" w:rsidRDefault="00653CA9" w:rsidP="003A09DB">
            <w:pPr>
              <w:rPr>
                <w:color w:val="000000"/>
              </w:rPr>
            </w:pPr>
            <w:r w:rsidRPr="00E47EC1">
              <w:rPr>
                <w:color w:val="000000"/>
              </w:rPr>
              <w:t>*</w:t>
            </w:r>
          </w:p>
        </w:tc>
      </w:tr>
      <w:tr w:rsidR="00653CA9" w:rsidRPr="00E47EC1" w14:paraId="1A18E067" w14:textId="77777777" w:rsidTr="00FB13AA">
        <w:trPr>
          <w:trHeight w:val="397"/>
          <w:jc w:val="center"/>
        </w:trPr>
        <w:tc>
          <w:tcPr>
            <w:tcW w:w="5242" w:type="dxa"/>
            <w:vAlign w:val="center"/>
          </w:tcPr>
          <w:p w14:paraId="1A18E063" w14:textId="77777777" w:rsidR="00653CA9" w:rsidRPr="00E47EC1" w:rsidRDefault="00653CA9" w:rsidP="003A09DB">
            <w:pPr>
              <w:rPr>
                <w:color w:val="000000"/>
              </w:rPr>
            </w:pPr>
            <w:r w:rsidRPr="00E47EC1">
              <w:rPr>
                <w:color w:val="000000"/>
              </w:rPr>
              <w:t>Promet</w:t>
            </w:r>
          </w:p>
        </w:tc>
        <w:tc>
          <w:tcPr>
            <w:tcW w:w="2383" w:type="dxa"/>
            <w:vAlign w:val="center"/>
          </w:tcPr>
          <w:p w14:paraId="1A18E064" w14:textId="77777777" w:rsidR="00653CA9" w:rsidRPr="00E47EC1" w:rsidRDefault="00653CA9" w:rsidP="003A09DB">
            <w:pPr>
              <w:rPr>
                <w:color w:val="000000"/>
              </w:rPr>
            </w:pPr>
            <w:r w:rsidRPr="00E47EC1">
              <w:rPr>
                <w:color w:val="000000"/>
              </w:rPr>
              <w:t>0,22</w:t>
            </w:r>
          </w:p>
        </w:tc>
        <w:tc>
          <w:tcPr>
            <w:tcW w:w="876" w:type="dxa"/>
            <w:vAlign w:val="center"/>
          </w:tcPr>
          <w:p w14:paraId="1A18E065" w14:textId="77777777" w:rsidR="00653CA9" w:rsidRPr="00E47EC1" w:rsidRDefault="00653CA9" w:rsidP="003A09DB">
            <w:pPr>
              <w:rPr>
                <w:color w:val="000000"/>
              </w:rPr>
            </w:pPr>
            <w:r w:rsidRPr="00E47EC1">
              <w:rPr>
                <w:color w:val="000000"/>
              </w:rPr>
              <w:t>*</w:t>
            </w:r>
          </w:p>
        </w:tc>
        <w:tc>
          <w:tcPr>
            <w:tcW w:w="876" w:type="dxa"/>
            <w:vAlign w:val="center"/>
          </w:tcPr>
          <w:p w14:paraId="1A18E066" w14:textId="77777777" w:rsidR="00653CA9" w:rsidRPr="00E47EC1" w:rsidRDefault="00653CA9" w:rsidP="003A09DB">
            <w:pPr>
              <w:rPr>
                <w:color w:val="000000"/>
              </w:rPr>
            </w:pPr>
            <w:r w:rsidRPr="00E47EC1">
              <w:rPr>
                <w:color w:val="000000"/>
              </w:rPr>
              <w:t>*</w:t>
            </w:r>
          </w:p>
        </w:tc>
      </w:tr>
      <w:tr w:rsidR="00653CA9" w:rsidRPr="00E47EC1" w14:paraId="1A18E06C" w14:textId="77777777" w:rsidTr="00FB13AA">
        <w:trPr>
          <w:trHeight w:val="397"/>
          <w:jc w:val="center"/>
        </w:trPr>
        <w:tc>
          <w:tcPr>
            <w:tcW w:w="5242" w:type="dxa"/>
            <w:vAlign w:val="center"/>
          </w:tcPr>
          <w:p w14:paraId="1A18E068" w14:textId="77777777" w:rsidR="00653CA9" w:rsidRPr="00E47EC1" w:rsidRDefault="00653CA9" w:rsidP="003A09DB">
            <w:pPr>
              <w:rPr>
                <w:color w:val="000000"/>
              </w:rPr>
            </w:pPr>
            <w:r w:rsidRPr="00E47EC1">
              <w:rPr>
                <w:color w:val="000000"/>
              </w:rPr>
              <w:t>Nekontrolirani procesi izgaranja</w:t>
            </w:r>
          </w:p>
        </w:tc>
        <w:tc>
          <w:tcPr>
            <w:tcW w:w="2383" w:type="dxa"/>
            <w:vAlign w:val="center"/>
          </w:tcPr>
          <w:p w14:paraId="1A18E069" w14:textId="77777777" w:rsidR="00653CA9" w:rsidRPr="00E47EC1" w:rsidRDefault="00653CA9" w:rsidP="003A09DB">
            <w:pPr>
              <w:rPr>
                <w:color w:val="000000"/>
              </w:rPr>
            </w:pPr>
            <w:r w:rsidRPr="00E47EC1">
              <w:rPr>
                <w:color w:val="000000"/>
              </w:rPr>
              <w:t>0,02</w:t>
            </w:r>
          </w:p>
        </w:tc>
        <w:tc>
          <w:tcPr>
            <w:tcW w:w="876" w:type="dxa"/>
            <w:vAlign w:val="center"/>
          </w:tcPr>
          <w:p w14:paraId="1A18E06A" w14:textId="77777777" w:rsidR="00653CA9" w:rsidRPr="00E47EC1" w:rsidRDefault="00653CA9" w:rsidP="003A09DB">
            <w:pPr>
              <w:rPr>
                <w:color w:val="000000"/>
              </w:rPr>
            </w:pPr>
            <w:r w:rsidRPr="00E47EC1">
              <w:rPr>
                <w:color w:val="000000"/>
              </w:rPr>
              <w:t>*</w:t>
            </w:r>
          </w:p>
        </w:tc>
        <w:tc>
          <w:tcPr>
            <w:tcW w:w="876" w:type="dxa"/>
            <w:vAlign w:val="center"/>
          </w:tcPr>
          <w:p w14:paraId="1A18E06B" w14:textId="77777777" w:rsidR="00653CA9" w:rsidRPr="00E47EC1" w:rsidRDefault="00653CA9" w:rsidP="003A09DB">
            <w:pPr>
              <w:rPr>
                <w:color w:val="000000"/>
              </w:rPr>
            </w:pPr>
            <w:r w:rsidRPr="00E47EC1">
              <w:rPr>
                <w:color w:val="000000"/>
              </w:rPr>
              <w:t>*</w:t>
            </w:r>
          </w:p>
        </w:tc>
      </w:tr>
      <w:tr w:rsidR="00653CA9" w:rsidRPr="00E47EC1" w14:paraId="1A18E071" w14:textId="77777777" w:rsidTr="00FB13AA">
        <w:trPr>
          <w:trHeight w:val="397"/>
          <w:jc w:val="center"/>
        </w:trPr>
        <w:tc>
          <w:tcPr>
            <w:tcW w:w="5242" w:type="dxa"/>
            <w:vAlign w:val="center"/>
          </w:tcPr>
          <w:p w14:paraId="1A18E06D" w14:textId="77777777" w:rsidR="00653CA9" w:rsidRPr="00E47EC1" w:rsidRDefault="00653CA9" w:rsidP="003A09DB">
            <w:pPr>
              <w:rPr>
                <w:color w:val="000000"/>
              </w:rPr>
            </w:pPr>
            <w:r w:rsidRPr="00E47EC1">
              <w:rPr>
                <w:color w:val="000000"/>
              </w:rPr>
              <w:lastRenderedPageBreak/>
              <w:t>Proizvodnja i uporaba kemikalija i potrošačke robe</w:t>
            </w:r>
          </w:p>
        </w:tc>
        <w:tc>
          <w:tcPr>
            <w:tcW w:w="2383" w:type="dxa"/>
            <w:vAlign w:val="center"/>
          </w:tcPr>
          <w:p w14:paraId="1A18E06E" w14:textId="77777777" w:rsidR="00653CA9" w:rsidRPr="00E47EC1" w:rsidRDefault="00653CA9" w:rsidP="003A09DB">
            <w:pPr>
              <w:rPr>
                <w:color w:val="000000"/>
              </w:rPr>
            </w:pPr>
            <w:r w:rsidRPr="00E47EC1">
              <w:rPr>
                <w:color w:val="000000"/>
              </w:rPr>
              <w:t>0,66</w:t>
            </w:r>
          </w:p>
        </w:tc>
        <w:tc>
          <w:tcPr>
            <w:tcW w:w="876" w:type="dxa"/>
            <w:vAlign w:val="center"/>
          </w:tcPr>
          <w:p w14:paraId="1A18E06F" w14:textId="77777777" w:rsidR="00653CA9" w:rsidRPr="00E47EC1" w:rsidRDefault="00653CA9" w:rsidP="003A09DB">
            <w:pPr>
              <w:rPr>
                <w:color w:val="000000"/>
              </w:rPr>
            </w:pPr>
            <w:r w:rsidRPr="00E47EC1">
              <w:rPr>
                <w:color w:val="000000"/>
              </w:rPr>
              <w:t>*</w:t>
            </w:r>
          </w:p>
        </w:tc>
        <w:tc>
          <w:tcPr>
            <w:tcW w:w="876" w:type="dxa"/>
            <w:vAlign w:val="center"/>
          </w:tcPr>
          <w:p w14:paraId="1A18E070" w14:textId="77777777" w:rsidR="00653CA9" w:rsidRPr="00E47EC1" w:rsidRDefault="00653CA9" w:rsidP="003A09DB">
            <w:pPr>
              <w:rPr>
                <w:color w:val="000000"/>
              </w:rPr>
            </w:pPr>
            <w:r w:rsidRPr="00E47EC1">
              <w:rPr>
                <w:color w:val="000000"/>
              </w:rPr>
              <w:t>*</w:t>
            </w:r>
          </w:p>
        </w:tc>
      </w:tr>
      <w:tr w:rsidR="00653CA9" w:rsidRPr="00E47EC1" w14:paraId="1A18E076" w14:textId="77777777" w:rsidTr="00FB13AA">
        <w:trPr>
          <w:trHeight w:val="397"/>
          <w:jc w:val="center"/>
        </w:trPr>
        <w:tc>
          <w:tcPr>
            <w:tcW w:w="5242" w:type="dxa"/>
            <w:vAlign w:val="center"/>
          </w:tcPr>
          <w:p w14:paraId="1A18E072" w14:textId="77777777" w:rsidR="00653CA9" w:rsidRPr="00E47EC1" w:rsidRDefault="00653CA9" w:rsidP="003A09DB">
            <w:pPr>
              <w:rPr>
                <w:color w:val="000000"/>
              </w:rPr>
            </w:pPr>
            <w:r w:rsidRPr="00E47EC1">
              <w:rPr>
                <w:color w:val="000000"/>
              </w:rPr>
              <w:t>Zbrinjavanje/odlaganje otpada</w:t>
            </w:r>
          </w:p>
        </w:tc>
        <w:tc>
          <w:tcPr>
            <w:tcW w:w="2383" w:type="dxa"/>
            <w:vAlign w:val="center"/>
          </w:tcPr>
          <w:p w14:paraId="1A18E073" w14:textId="77777777" w:rsidR="00653CA9" w:rsidRPr="00E47EC1" w:rsidRDefault="00653CA9" w:rsidP="003A09DB">
            <w:pPr>
              <w:rPr>
                <w:color w:val="000000"/>
              </w:rPr>
            </w:pPr>
            <w:r w:rsidRPr="00E47EC1">
              <w:rPr>
                <w:color w:val="000000"/>
              </w:rPr>
              <w:t>7.066,5</w:t>
            </w:r>
          </w:p>
        </w:tc>
        <w:tc>
          <w:tcPr>
            <w:tcW w:w="876" w:type="dxa"/>
            <w:vAlign w:val="center"/>
          </w:tcPr>
          <w:p w14:paraId="1A18E074" w14:textId="77777777" w:rsidR="00653CA9" w:rsidRPr="00E47EC1" w:rsidRDefault="00653CA9" w:rsidP="003A09DB">
            <w:pPr>
              <w:rPr>
                <w:color w:val="000000"/>
              </w:rPr>
            </w:pPr>
            <w:r w:rsidRPr="00E47EC1">
              <w:rPr>
                <w:color w:val="000000"/>
              </w:rPr>
              <w:t>*</w:t>
            </w:r>
          </w:p>
        </w:tc>
        <w:tc>
          <w:tcPr>
            <w:tcW w:w="876" w:type="dxa"/>
            <w:vAlign w:val="center"/>
          </w:tcPr>
          <w:p w14:paraId="1A18E075" w14:textId="77777777" w:rsidR="00653CA9" w:rsidRPr="00E47EC1" w:rsidRDefault="00653CA9" w:rsidP="003A09DB">
            <w:pPr>
              <w:rPr>
                <w:color w:val="000000"/>
              </w:rPr>
            </w:pPr>
            <w:r w:rsidRPr="00E47EC1">
              <w:rPr>
                <w:color w:val="000000"/>
              </w:rPr>
              <w:t>*</w:t>
            </w:r>
          </w:p>
        </w:tc>
      </w:tr>
      <w:tr w:rsidR="00653CA9" w:rsidRPr="00E47EC1" w14:paraId="1A18E07B" w14:textId="77777777" w:rsidTr="00FB13AA">
        <w:trPr>
          <w:trHeight w:val="397"/>
          <w:jc w:val="center"/>
        </w:trPr>
        <w:tc>
          <w:tcPr>
            <w:tcW w:w="5242" w:type="dxa"/>
            <w:vAlign w:val="center"/>
          </w:tcPr>
          <w:p w14:paraId="1A18E077" w14:textId="77777777" w:rsidR="00653CA9" w:rsidRPr="00E47EC1" w:rsidRDefault="00653CA9" w:rsidP="003A09DB">
            <w:pPr>
              <w:rPr>
                <w:color w:val="000000"/>
              </w:rPr>
            </w:pPr>
            <w:r w:rsidRPr="00E47EC1">
              <w:rPr>
                <w:color w:val="000000"/>
              </w:rPr>
              <w:t>Razno</w:t>
            </w:r>
          </w:p>
        </w:tc>
        <w:tc>
          <w:tcPr>
            <w:tcW w:w="2383" w:type="dxa"/>
            <w:vAlign w:val="center"/>
          </w:tcPr>
          <w:p w14:paraId="1A18E078" w14:textId="77777777" w:rsidR="00653CA9" w:rsidRPr="00E47EC1" w:rsidRDefault="00653CA9" w:rsidP="003A09DB">
            <w:pPr>
              <w:rPr>
                <w:color w:val="000000"/>
              </w:rPr>
            </w:pPr>
            <w:r w:rsidRPr="00E47EC1">
              <w:rPr>
                <w:color w:val="000000"/>
              </w:rPr>
              <w:t>0,02</w:t>
            </w:r>
          </w:p>
        </w:tc>
        <w:tc>
          <w:tcPr>
            <w:tcW w:w="876" w:type="dxa"/>
            <w:vAlign w:val="center"/>
          </w:tcPr>
          <w:p w14:paraId="1A18E079" w14:textId="77777777" w:rsidR="00653CA9" w:rsidRPr="00E47EC1" w:rsidRDefault="00653CA9" w:rsidP="003A09DB">
            <w:pPr>
              <w:rPr>
                <w:color w:val="000000"/>
              </w:rPr>
            </w:pPr>
            <w:r w:rsidRPr="00E47EC1">
              <w:rPr>
                <w:color w:val="000000"/>
              </w:rPr>
              <w:t>*</w:t>
            </w:r>
          </w:p>
        </w:tc>
        <w:tc>
          <w:tcPr>
            <w:tcW w:w="876" w:type="dxa"/>
            <w:vAlign w:val="center"/>
          </w:tcPr>
          <w:p w14:paraId="1A18E07A" w14:textId="77777777" w:rsidR="00653CA9" w:rsidRPr="00E47EC1" w:rsidRDefault="00653CA9" w:rsidP="003A09DB">
            <w:pPr>
              <w:rPr>
                <w:color w:val="000000"/>
              </w:rPr>
            </w:pPr>
            <w:r w:rsidRPr="00E47EC1">
              <w:rPr>
                <w:color w:val="000000"/>
              </w:rPr>
              <w:t>*</w:t>
            </w:r>
          </w:p>
        </w:tc>
      </w:tr>
      <w:tr w:rsidR="00653CA9" w:rsidRPr="00E47EC1" w14:paraId="1A18E080" w14:textId="77777777" w:rsidTr="00FB13AA">
        <w:trPr>
          <w:trHeight w:val="397"/>
          <w:jc w:val="center"/>
        </w:trPr>
        <w:tc>
          <w:tcPr>
            <w:tcW w:w="5242" w:type="dxa"/>
            <w:vAlign w:val="center"/>
          </w:tcPr>
          <w:p w14:paraId="1A18E07C" w14:textId="77777777" w:rsidR="00653CA9" w:rsidRPr="00E47EC1" w:rsidRDefault="00653CA9" w:rsidP="003A09DB">
            <w:pPr>
              <w:rPr>
                <w:color w:val="000000"/>
              </w:rPr>
            </w:pPr>
            <w:r w:rsidRPr="00E47EC1">
              <w:rPr>
                <w:color w:val="000000"/>
              </w:rPr>
              <w:t>HCB (kg)</w:t>
            </w:r>
          </w:p>
        </w:tc>
        <w:tc>
          <w:tcPr>
            <w:tcW w:w="2383" w:type="dxa"/>
            <w:vAlign w:val="center"/>
          </w:tcPr>
          <w:p w14:paraId="1A18E07D" w14:textId="77777777" w:rsidR="00653CA9" w:rsidRPr="00E47EC1" w:rsidRDefault="00653CA9" w:rsidP="003A09DB">
            <w:pPr>
              <w:rPr>
                <w:color w:val="000000"/>
              </w:rPr>
            </w:pPr>
            <w:r w:rsidRPr="00E47EC1">
              <w:rPr>
                <w:color w:val="000000"/>
              </w:rPr>
              <w:t>0,13</w:t>
            </w:r>
          </w:p>
        </w:tc>
        <w:tc>
          <w:tcPr>
            <w:tcW w:w="876" w:type="dxa"/>
            <w:vAlign w:val="center"/>
          </w:tcPr>
          <w:p w14:paraId="1A18E07E" w14:textId="77777777" w:rsidR="00653CA9" w:rsidRPr="00E47EC1" w:rsidRDefault="00653CA9" w:rsidP="003A09DB">
            <w:pPr>
              <w:rPr>
                <w:color w:val="000000"/>
              </w:rPr>
            </w:pPr>
            <w:r w:rsidRPr="00E47EC1">
              <w:rPr>
                <w:color w:val="000000"/>
              </w:rPr>
              <w:t>*</w:t>
            </w:r>
          </w:p>
        </w:tc>
        <w:tc>
          <w:tcPr>
            <w:tcW w:w="876" w:type="dxa"/>
            <w:vAlign w:val="center"/>
          </w:tcPr>
          <w:p w14:paraId="1A18E07F" w14:textId="77777777" w:rsidR="00653CA9" w:rsidRPr="00E47EC1" w:rsidRDefault="00653CA9" w:rsidP="003A09DB">
            <w:pPr>
              <w:rPr>
                <w:color w:val="000000"/>
              </w:rPr>
            </w:pPr>
            <w:r w:rsidRPr="00E47EC1">
              <w:rPr>
                <w:color w:val="000000"/>
              </w:rPr>
              <w:t>*</w:t>
            </w:r>
          </w:p>
        </w:tc>
      </w:tr>
      <w:tr w:rsidR="00653CA9" w:rsidRPr="00E47EC1" w14:paraId="1A18E085" w14:textId="77777777" w:rsidTr="00FB13AA">
        <w:trPr>
          <w:trHeight w:val="397"/>
          <w:jc w:val="center"/>
        </w:trPr>
        <w:tc>
          <w:tcPr>
            <w:tcW w:w="5242" w:type="dxa"/>
            <w:vAlign w:val="center"/>
          </w:tcPr>
          <w:p w14:paraId="1A18E081" w14:textId="77777777" w:rsidR="00653CA9" w:rsidRPr="00E47EC1" w:rsidRDefault="00653CA9" w:rsidP="003A09DB">
            <w:pPr>
              <w:rPr>
                <w:color w:val="000000"/>
              </w:rPr>
            </w:pPr>
            <w:r w:rsidRPr="00E47EC1">
              <w:rPr>
                <w:color w:val="000000"/>
              </w:rPr>
              <w:t>PCB (kg)</w:t>
            </w:r>
          </w:p>
        </w:tc>
        <w:tc>
          <w:tcPr>
            <w:tcW w:w="2383" w:type="dxa"/>
            <w:vAlign w:val="center"/>
          </w:tcPr>
          <w:p w14:paraId="1A18E082" w14:textId="77777777" w:rsidR="00653CA9" w:rsidRPr="00E47EC1" w:rsidRDefault="00653CA9" w:rsidP="003A09DB">
            <w:pPr>
              <w:rPr>
                <w:color w:val="000000"/>
              </w:rPr>
            </w:pPr>
            <w:r w:rsidRPr="00E47EC1">
              <w:rPr>
                <w:color w:val="000000"/>
              </w:rPr>
              <w:t>430,40</w:t>
            </w:r>
          </w:p>
        </w:tc>
        <w:tc>
          <w:tcPr>
            <w:tcW w:w="876" w:type="dxa"/>
            <w:vAlign w:val="center"/>
          </w:tcPr>
          <w:p w14:paraId="1A18E083" w14:textId="77777777" w:rsidR="00653CA9" w:rsidRPr="00E47EC1" w:rsidRDefault="00653CA9" w:rsidP="003A09DB">
            <w:pPr>
              <w:rPr>
                <w:color w:val="000000"/>
              </w:rPr>
            </w:pPr>
            <w:r w:rsidRPr="00E47EC1">
              <w:rPr>
                <w:color w:val="000000"/>
              </w:rPr>
              <w:t>*</w:t>
            </w:r>
          </w:p>
        </w:tc>
        <w:tc>
          <w:tcPr>
            <w:tcW w:w="876" w:type="dxa"/>
            <w:vAlign w:val="center"/>
          </w:tcPr>
          <w:p w14:paraId="1A18E084" w14:textId="77777777" w:rsidR="00653CA9" w:rsidRPr="00E47EC1" w:rsidRDefault="00653CA9" w:rsidP="003A09DB">
            <w:pPr>
              <w:rPr>
                <w:color w:val="000000"/>
              </w:rPr>
            </w:pPr>
            <w:r w:rsidRPr="00E47EC1">
              <w:rPr>
                <w:color w:val="000000"/>
              </w:rPr>
              <w:t>*</w:t>
            </w:r>
          </w:p>
        </w:tc>
      </w:tr>
      <w:tr w:rsidR="009D0C43" w:rsidRPr="00E47EC1" w14:paraId="1A18E08A" w14:textId="77777777" w:rsidTr="00FB13AA">
        <w:trPr>
          <w:trHeight w:val="397"/>
          <w:jc w:val="center"/>
        </w:trPr>
        <w:tc>
          <w:tcPr>
            <w:tcW w:w="5242" w:type="dxa"/>
            <w:vAlign w:val="center"/>
          </w:tcPr>
          <w:p w14:paraId="1A18E086" w14:textId="77777777" w:rsidR="009D0C43" w:rsidRPr="00E47EC1" w:rsidRDefault="009D0C43" w:rsidP="003A09DB">
            <w:pPr>
              <w:rPr>
                <w:color w:val="000000"/>
              </w:rPr>
            </w:pPr>
            <w:r w:rsidRPr="00E47EC1">
              <w:rPr>
                <w:color w:val="000000"/>
              </w:rPr>
              <w:t>PeCB (kg)</w:t>
            </w:r>
          </w:p>
        </w:tc>
        <w:tc>
          <w:tcPr>
            <w:tcW w:w="2383" w:type="dxa"/>
            <w:vAlign w:val="center"/>
          </w:tcPr>
          <w:p w14:paraId="1A18E087" w14:textId="77777777" w:rsidR="009D0C43" w:rsidRPr="00E47EC1" w:rsidRDefault="009D0C43" w:rsidP="003A09DB">
            <w:pPr>
              <w:rPr>
                <w:color w:val="000000"/>
              </w:rPr>
            </w:pPr>
            <w:r w:rsidRPr="00E47EC1">
              <w:rPr>
                <w:color w:val="000000"/>
              </w:rPr>
              <w:t>0</w:t>
            </w:r>
          </w:p>
        </w:tc>
        <w:tc>
          <w:tcPr>
            <w:tcW w:w="876" w:type="dxa"/>
            <w:vAlign w:val="center"/>
          </w:tcPr>
          <w:p w14:paraId="1A18E088" w14:textId="77777777" w:rsidR="009D0C43" w:rsidRPr="00E47EC1" w:rsidRDefault="009D0C43" w:rsidP="003A09DB">
            <w:pPr>
              <w:rPr>
                <w:color w:val="000000"/>
              </w:rPr>
            </w:pPr>
            <w:r w:rsidRPr="00E47EC1">
              <w:rPr>
                <w:color w:val="000000"/>
              </w:rPr>
              <w:t>*</w:t>
            </w:r>
          </w:p>
        </w:tc>
        <w:tc>
          <w:tcPr>
            <w:tcW w:w="876" w:type="dxa"/>
            <w:vAlign w:val="center"/>
          </w:tcPr>
          <w:p w14:paraId="1A18E089" w14:textId="77777777" w:rsidR="009D0C43" w:rsidRPr="00E47EC1" w:rsidRDefault="009D0C43" w:rsidP="003A09DB">
            <w:pPr>
              <w:rPr>
                <w:color w:val="000000"/>
              </w:rPr>
            </w:pPr>
            <w:r w:rsidRPr="00E47EC1">
              <w:rPr>
                <w:color w:val="000000"/>
              </w:rPr>
              <w:t>*</w:t>
            </w:r>
          </w:p>
        </w:tc>
      </w:tr>
    </w:tbl>
    <w:p w14:paraId="1A18E08B" w14:textId="77777777" w:rsidR="00317EE7" w:rsidRPr="00E47EC1" w:rsidRDefault="00317EE7" w:rsidP="00055DE9">
      <w:r w:rsidRPr="00E47EC1">
        <w:t xml:space="preserve">* </w:t>
      </w:r>
      <w:r w:rsidR="00D24702" w:rsidRPr="00E47EC1">
        <w:t xml:space="preserve">  </w:t>
      </w:r>
      <w:r w:rsidRPr="00E47EC1">
        <w:t>potrebno odrediti</w:t>
      </w:r>
    </w:p>
    <w:p w14:paraId="1A18E08C" w14:textId="77777777" w:rsidR="00317EE7" w:rsidRPr="00E47EC1" w:rsidRDefault="00317EE7" w:rsidP="00055DE9">
      <w:r w:rsidRPr="00E47EC1">
        <w:t>** ukupna masa evidentirane opreme koja sadrži PCB</w:t>
      </w:r>
      <w:r w:rsidR="003E4350" w:rsidRPr="00E47EC1">
        <w:t xml:space="preserve"> iz 2013. godine</w:t>
      </w:r>
      <w:r w:rsidRPr="00E47EC1">
        <w:t xml:space="preserve"> </w:t>
      </w:r>
    </w:p>
    <w:p w14:paraId="1A18E08D" w14:textId="77777777" w:rsidR="00112EDC" w:rsidRPr="00E47EC1" w:rsidRDefault="00112EDC" w:rsidP="002D2EE9">
      <w:pPr>
        <w:spacing w:after="120"/>
        <w:jc w:val="right"/>
        <w:rPr>
          <w:i/>
          <w:sz w:val="20"/>
          <w:szCs w:val="20"/>
        </w:rPr>
      </w:pPr>
    </w:p>
    <w:p w14:paraId="1A18E08E" w14:textId="77777777" w:rsidR="003E3CB3" w:rsidRPr="00E47EC1" w:rsidRDefault="002D2EE9" w:rsidP="003E3CB3">
      <w:pPr>
        <w:rPr>
          <w:i/>
          <w:sz w:val="20"/>
          <w:szCs w:val="20"/>
        </w:rPr>
      </w:pPr>
      <w:r w:rsidRPr="00E47EC1">
        <w:rPr>
          <w:i/>
          <w:sz w:val="20"/>
          <w:szCs w:val="20"/>
        </w:rPr>
        <w:t>Izvor: Odluka o prihvaćanju Drugog nacionalnog plana za provedbu Stockholmske ko</w:t>
      </w:r>
      <w:r w:rsidR="003E3CB3" w:rsidRPr="00E47EC1">
        <w:rPr>
          <w:i/>
          <w:sz w:val="20"/>
          <w:szCs w:val="20"/>
        </w:rPr>
        <w:t>nvencije o postojanim organskim</w:t>
      </w:r>
    </w:p>
    <w:p w14:paraId="1A18E08F" w14:textId="77777777" w:rsidR="002D2EE9" w:rsidRPr="00E47EC1" w:rsidRDefault="002D2EE9" w:rsidP="003E3CB3">
      <w:r w:rsidRPr="00E47EC1">
        <w:rPr>
          <w:i/>
          <w:sz w:val="20"/>
          <w:szCs w:val="20"/>
        </w:rPr>
        <w:t>onečišćujućim tvarima u Republici Hrvatskoj</w:t>
      </w:r>
      <w:r w:rsidR="00112EDC" w:rsidRPr="00E47EC1">
        <w:rPr>
          <w:i/>
          <w:sz w:val="20"/>
          <w:szCs w:val="20"/>
        </w:rPr>
        <w:t xml:space="preserve"> (Narodne novine, broj 62/16)</w:t>
      </w:r>
    </w:p>
    <w:p w14:paraId="1A18E090" w14:textId="77777777" w:rsidR="003E3CB3" w:rsidRPr="00E47EC1" w:rsidRDefault="003E3CB3" w:rsidP="00112EDC"/>
    <w:p w14:paraId="1A18E091" w14:textId="6E8C0776" w:rsidR="000A4E49" w:rsidRDefault="00112EDC" w:rsidP="00B21020">
      <w:r w:rsidRPr="00E47EC1">
        <w:t xml:space="preserve">Prema najnovijim dostupnim podacima </w:t>
      </w:r>
      <w:r w:rsidR="00B21020">
        <w:t>od ukupno 730 tone evidentirane opreme koja sadrži PCB, do prosinca 2020. godine zbrinuto 558 tona (76%), a preostale su za zbrinuti 172 tone (24%) PCB opreme (63 transformatora i 1.608 kondenzatora) koja je u posjedu 30 posjednika.</w:t>
      </w:r>
    </w:p>
    <w:p w14:paraId="0CABD553" w14:textId="77777777" w:rsidR="00EA1CA0" w:rsidRPr="00E47EC1" w:rsidRDefault="00EA1CA0" w:rsidP="00112EDC"/>
    <w:p w14:paraId="1A18E092" w14:textId="77777777" w:rsidR="008B12EA" w:rsidRPr="00BC61C5" w:rsidRDefault="008B12EA" w:rsidP="008B12EA">
      <w:pPr>
        <w:pStyle w:val="Naslov2"/>
        <w:numPr>
          <w:ilvl w:val="1"/>
          <w:numId w:val="9"/>
        </w:numPr>
        <w:spacing w:before="100" w:beforeAutospacing="1" w:after="120"/>
        <w:rPr>
          <w:b w:val="0"/>
        </w:rPr>
      </w:pPr>
      <w:bookmarkStart w:id="25" w:name="_Toc97815101"/>
      <w:bookmarkStart w:id="26" w:name="_Toc100840618"/>
      <w:r w:rsidRPr="00BC61C5">
        <w:rPr>
          <w:b w:val="0"/>
        </w:rPr>
        <w:t>PREGLED POPs-OVA PRIJAVLJENIH U BAZU REGISTAR ONEČIŠĆAVANJA OKOLIŠA (ROO)</w:t>
      </w:r>
      <w:r w:rsidRPr="00BC61C5">
        <w:rPr>
          <w:rStyle w:val="Referencafusnote"/>
          <w:b w:val="0"/>
        </w:rPr>
        <w:footnoteReference w:id="4"/>
      </w:r>
      <w:r w:rsidRPr="00BC61C5">
        <w:rPr>
          <w:b w:val="0"/>
        </w:rPr>
        <w:t xml:space="preserve"> I U BAZU REGISTAR POSTROJENJA U KOJIMA SU PRISUTNE OPASNE TVARI/OČEVIDNIK PRIJAVLJENIH VELIKIH NESREĆA (RPOT/OPVN)</w:t>
      </w:r>
      <w:r w:rsidRPr="00BC61C5">
        <w:rPr>
          <w:rStyle w:val="Referencafusnote"/>
          <w:b w:val="0"/>
        </w:rPr>
        <w:footnoteReference w:id="5"/>
      </w:r>
      <w:bookmarkEnd w:id="25"/>
      <w:bookmarkEnd w:id="26"/>
    </w:p>
    <w:p w14:paraId="1A18E093" w14:textId="77777777" w:rsidR="008B12EA" w:rsidRDefault="008B12EA" w:rsidP="008B12EA"/>
    <w:p w14:paraId="1A18E094" w14:textId="40469B6F" w:rsidR="008B12EA" w:rsidRDefault="008B12EA" w:rsidP="008B12EA">
      <w:r>
        <w:t>Pojedine kemikalije mogu imati to</w:t>
      </w:r>
      <w:r w:rsidR="0050182E">
        <w:t xml:space="preserve">ksično djelovanje na ljude, </w:t>
      </w:r>
      <w:r>
        <w:t xml:space="preserve">npr. izazvati rak, oštetiti živčani, reproduktivni ili imunološki sustav. Postojane organske onečišćujuće tvari (POPs) spadaju u takve toksične kemikalije, a jednom kada se nađu u okolišu mogu </w:t>
      </w:r>
      <w:r w:rsidR="00DD4ED3">
        <w:t xml:space="preserve">opstati </w:t>
      </w:r>
      <w:r>
        <w:t xml:space="preserve">godinama, raširiti se kilometrima daleko od mjesta ispuštanja i izazvati nepoželjne reakcije kod ljudi </w:t>
      </w:r>
      <w:r w:rsidR="003379CD">
        <w:t xml:space="preserve">te </w:t>
      </w:r>
      <w:r>
        <w:t>imati ekološke posljedice koje nisu namjerne niti su bile očekivane.</w:t>
      </w:r>
    </w:p>
    <w:p w14:paraId="1A18E095" w14:textId="77777777" w:rsidR="008B12EA" w:rsidRDefault="008B12EA" w:rsidP="008B12EA"/>
    <w:p w14:paraId="1A18E096" w14:textId="146012F4" w:rsidR="008B12EA" w:rsidRDefault="008B12EA" w:rsidP="008B12EA">
      <w:r w:rsidRPr="002F585D">
        <w:t>Sukladno Pravilniku o registru onečišćavanja okoliša</w:t>
      </w:r>
      <w:r>
        <w:rPr>
          <w:rStyle w:val="Referencafusnote"/>
        </w:rPr>
        <w:footnoteReference w:id="6"/>
      </w:r>
      <w:r>
        <w:t xml:space="preserve"> (u daljnjem tekstu: ROO),</w:t>
      </w:r>
      <w:r w:rsidRPr="002F585D">
        <w:t xml:space="preserve"> </w:t>
      </w:r>
      <w:r>
        <w:t>podaci o opterećenju okoliša prikupljaju se za emisije</w:t>
      </w:r>
      <w:r w:rsidRPr="002F585D">
        <w:t xml:space="preserve"> u zrak, </w:t>
      </w:r>
      <w:r w:rsidR="003379CD">
        <w:t xml:space="preserve">ispuštanja u </w:t>
      </w:r>
      <w:r w:rsidRPr="002F585D">
        <w:t xml:space="preserve">vodu i/ili more i tlo iz pojedinačnih izvora te </w:t>
      </w:r>
      <w:r>
        <w:t xml:space="preserve">podaci o nastanku, sakupljanju i obradi otpada. </w:t>
      </w:r>
    </w:p>
    <w:p w14:paraId="0A3DDB94" w14:textId="77777777" w:rsidR="004E2A08" w:rsidRDefault="004E2A08" w:rsidP="008B12EA"/>
    <w:p w14:paraId="1A18E097" w14:textId="786C4880" w:rsidR="008B12EA" w:rsidRDefault="008B12EA" w:rsidP="008B12EA">
      <w:r>
        <w:t>P</w:t>
      </w:r>
      <w:r w:rsidRPr="002F585D">
        <w:t>odaci o POPs-ov</w:t>
      </w:r>
      <w:r>
        <w:t>im</w:t>
      </w:r>
      <w:r w:rsidRPr="002F585D">
        <w:t>a</w:t>
      </w:r>
      <w:r>
        <w:t xml:space="preserve"> prijavljuju se putem aplikacije ROO mrežnim unosom podataka temeljem Priloga 2</w:t>
      </w:r>
      <w:r w:rsidR="003E533E">
        <w:t>. Pravilnika ROO (Tablica 2.5.</w:t>
      </w:r>
      <w:r>
        <w:t>-1)</w:t>
      </w:r>
      <w:r w:rsidR="004E2A08">
        <w:t>,</w:t>
      </w:r>
      <w:r>
        <w:t xml:space="preserve"> što čini popis od 25 izdvojenih onečišćujućih tvari.</w:t>
      </w:r>
    </w:p>
    <w:p w14:paraId="1A18E098" w14:textId="77777777" w:rsidR="008B12EA" w:rsidRDefault="008B12EA" w:rsidP="008B12EA"/>
    <w:p w14:paraId="1A18E099" w14:textId="5601A0F5" w:rsidR="008B12EA" w:rsidRDefault="008B12EA" w:rsidP="008B12EA">
      <w:r>
        <w:t xml:space="preserve">U razdoblju od 2017. do 2021. u bazu ROO </w:t>
      </w:r>
      <w:r w:rsidRPr="00374132">
        <w:t xml:space="preserve">prijavljeno je ukupno </w:t>
      </w:r>
      <w:r>
        <w:t>sedam</w:t>
      </w:r>
      <w:r w:rsidRPr="00374132">
        <w:t xml:space="preserve"> POPs-ova pri ispuštanju </w:t>
      </w:r>
      <w:r w:rsidR="003379CD">
        <w:t>emisija</w:t>
      </w:r>
      <w:r w:rsidRPr="00374132">
        <w:t xml:space="preserve"> u zrak i pri ispuštanju</w:t>
      </w:r>
      <w:r>
        <w:t xml:space="preserve"> otpadnih voda, </w:t>
      </w:r>
      <w:r w:rsidRPr="00374132">
        <w:t xml:space="preserve"> iz pojedinačnih ispusta.</w:t>
      </w:r>
    </w:p>
    <w:p w14:paraId="1A18E09A" w14:textId="77777777" w:rsidR="008B12EA" w:rsidRDefault="008B12EA" w:rsidP="008B12EA"/>
    <w:p w14:paraId="1A18E09B" w14:textId="77777777" w:rsidR="008B12EA" w:rsidRDefault="008B12EA" w:rsidP="008B12EA">
      <w:r>
        <w:t xml:space="preserve">Što se tiče opasnog otpada koji može sadržavati POPs-ove,  u bazu ROO podaci se o takvom otpadu prikupljaju ukoliko proizvođač opasnog otpada prelazi prag nastanka u količini većoj od 500 kg/god i/ili je obveznik koji gospodari opasnim otpadom (obrada). </w:t>
      </w:r>
    </w:p>
    <w:p w14:paraId="1A18E09C" w14:textId="77777777" w:rsidR="008B12EA" w:rsidRDefault="008B12EA" w:rsidP="008B12EA"/>
    <w:p w14:paraId="1A18E09D" w14:textId="77777777" w:rsidR="008B12EA" w:rsidRPr="00AC43F3" w:rsidRDefault="008B12EA" w:rsidP="008B12EA">
      <w:pPr>
        <w:rPr>
          <w:i/>
        </w:rPr>
      </w:pPr>
      <w:r w:rsidRPr="00AC43F3">
        <w:rPr>
          <w:i/>
        </w:rPr>
        <w:lastRenderedPageBreak/>
        <w:t>Tablica 2.5.-1 Popis POPs-ova unutar Priloga 2. Pravilnika ROO</w:t>
      </w:r>
    </w:p>
    <w:tbl>
      <w:tblPr>
        <w:tblW w:w="971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4"/>
        <w:gridCol w:w="951"/>
        <w:gridCol w:w="2416"/>
        <w:gridCol w:w="986"/>
        <w:gridCol w:w="861"/>
        <w:gridCol w:w="993"/>
        <w:gridCol w:w="1134"/>
        <w:gridCol w:w="958"/>
        <w:gridCol w:w="906"/>
      </w:tblGrid>
      <w:tr w:rsidR="008B12EA" w:rsidRPr="00050963" w14:paraId="1A18E0A4" w14:textId="77777777" w:rsidTr="00B542EA">
        <w:trPr>
          <w:trHeight w:val="900"/>
          <w:tblHeader/>
        </w:trPr>
        <w:tc>
          <w:tcPr>
            <w:tcW w:w="514" w:type="dxa"/>
            <w:vMerge w:val="restart"/>
            <w:shd w:val="clear" w:color="000000" w:fill="D9D9D9"/>
            <w:vAlign w:val="center"/>
          </w:tcPr>
          <w:p w14:paraId="1A18E09E" w14:textId="77777777" w:rsidR="008B12EA" w:rsidRPr="00050963" w:rsidRDefault="008B12EA" w:rsidP="00B542EA">
            <w:pPr>
              <w:jc w:val="center"/>
              <w:rPr>
                <w:b/>
                <w:bCs/>
                <w:color w:val="000000"/>
                <w:sz w:val="20"/>
                <w:szCs w:val="20"/>
              </w:rPr>
            </w:pPr>
            <w:r w:rsidRPr="00050963">
              <w:rPr>
                <w:b/>
                <w:color w:val="000000"/>
                <w:sz w:val="20"/>
                <w:szCs w:val="20"/>
              </w:rPr>
              <w:t>Šifra</w:t>
            </w:r>
          </w:p>
        </w:tc>
        <w:tc>
          <w:tcPr>
            <w:tcW w:w="951" w:type="dxa"/>
            <w:vMerge w:val="restart"/>
            <w:shd w:val="clear" w:color="000000" w:fill="D9D9D9"/>
            <w:vAlign w:val="center"/>
          </w:tcPr>
          <w:p w14:paraId="1A18E09F" w14:textId="77777777" w:rsidR="008B12EA" w:rsidRPr="00050963" w:rsidRDefault="008B12EA" w:rsidP="00B542EA">
            <w:pPr>
              <w:jc w:val="center"/>
              <w:rPr>
                <w:b/>
                <w:bCs/>
                <w:color w:val="000000"/>
                <w:sz w:val="20"/>
                <w:szCs w:val="20"/>
              </w:rPr>
            </w:pPr>
            <w:r w:rsidRPr="00050963">
              <w:rPr>
                <w:b/>
                <w:color w:val="000000"/>
                <w:sz w:val="20"/>
                <w:szCs w:val="20"/>
              </w:rPr>
              <w:t>CAS broj</w:t>
            </w:r>
          </w:p>
        </w:tc>
        <w:tc>
          <w:tcPr>
            <w:tcW w:w="2416" w:type="dxa"/>
            <w:vMerge w:val="restart"/>
            <w:shd w:val="clear" w:color="000000" w:fill="D9D9D9"/>
            <w:vAlign w:val="center"/>
          </w:tcPr>
          <w:p w14:paraId="1A18E0A0" w14:textId="77777777" w:rsidR="008B12EA" w:rsidRPr="00050963" w:rsidRDefault="008B12EA" w:rsidP="00B542EA">
            <w:pPr>
              <w:jc w:val="center"/>
              <w:rPr>
                <w:b/>
                <w:bCs/>
                <w:color w:val="000000"/>
                <w:sz w:val="20"/>
                <w:szCs w:val="20"/>
              </w:rPr>
            </w:pPr>
            <w:r w:rsidRPr="00050963">
              <w:rPr>
                <w:b/>
                <w:color w:val="000000"/>
                <w:sz w:val="20"/>
                <w:szCs w:val="20"/>
              </w:rPr>
              <w:t>Onečišćujuća tvar</w:t>
            </w:r>
          </w:p>
        </w:tc>
        <w:tc>
          <w:tcPr>
            <w:tcW w:w="2840" w:type="dxa"/>
            <w:gridSpan w:val="3"/>
            <w:shd w:val="clear" w:color="000000" w:fill="D9D9D9"/>
            <w:vAlign w:val="center"/>
          </w:tcPr>
          <w:p w14:paraId="1A18E0A1" w14:textId="77777777" w:rsidR="008B12EA" w:rsidRPr="00050963" w:rsidRDefault="008B12EA" w:rsidP="00B542EA">
            <w:pPr>
              <w:jc w:val="center"/>
              <w:rPr>
                <w:b/>
                <w:bCs/>
                <w:color w:val="000000"/>
                <w:sz w:val="20"/>
                <w:szCs w:val="20"/>
              </w:rPr>
            </w:pPr>
            <w:r w:rsidRPr="00050963">
              <w:rPr>
                <w:b/>
                <w:color w:val="000000"/>
                <w:sz w:val="20"/>
                <w:szCs w:val="20"/>
              </w:rPr>
              <w:t>Prag ispuštanja prema Pravilniku ROO</w:t>
            </w:r>
          </w:p>
        </w:tc>
        <w:tc>
          <w:tcPr>
            <w:tcW w:w="2998" w:type="dxa"/>
            <w:gridSpan w:val="3"/>
            <w:shd w:val="clear" w:color="000000" w:fill="D9D9D9"/>
            <w:vAlign w:val="center"/>
          </w:tcPr>
          <w:p w14:paraId="1A18E0A2" w14:textId="77777777" w:rsidR="008B12EA" w:rsidRPr="00050963" w:rsidRDefault="008B12EA" w:rsidP="00B542EA">
            <w:pPr>
              <w:jc w:val="center"/>
              <w:rPr>
                <w:b/>
                <w:bCs/>
                <w:color w:val="000000"/>
                <w:sz w:val="20"/>
                <w:szCs w:val="20"/>
              </w:rPr>
            </w:pPr>
            <w:r w:rsidRPr="00050963">
              <w:rPr>
                <w:b/>
                <w:color w:val="000000"/>
                <w:sz w:val="20"/>
                <w:szCs w:val="20"/>
              </w:rPr>
              <w:t>Prag ispuštanja prema Uredbi</w:t>
            </w:r>
          </w:p>
          <w:p w14:paraId="1A18E0A3" w14:textId="77777777" w:rsidR="008B12EA" w:rsidRPr="00050963" w:rsidRDefault="008B12EA" w:rsidP="00B542EA">
            <w:pPr>
              <w:jc w:val="center"/>
              <w:rPr>
                <w:b/>
                <w:bCs/>
                <w:color w:val="000000"/>
                <w:sz w:val="20"/>
                <w:szCs w:val="20"/>
              </w:rPr>
            </w:pPr>
            <w:r w:rsidRPr="00050963">
              <w:rPr>
                <w:b/>
                <w:color w:val="000000"/>
                <w:sz w:val="20"/>
                <w:szCs w:val="20"/>
              </w:rPr>
              <w:t>(EZ) br. 166/2006</w:t>
            </w:r>
          </w:p>
        </w:tc>
      </w:tr>
      <w:tr w:rsidR="008B12EA" w:rsidRPr="00050963" w14:paraId="1A18E0AE" w14:textId="77777777" w:rsidTr="00B542EA">
        <w:trPr>
          <w:trHeight w:val="900"/>
          <w:tblHeader/>
        </w:trPr>
        <w:tc>
          <w:tcPr>
            <w:tcW w:w="514" w:type="dxa"/>
            <w:vMerge/>
            <w:shd w:val="clear" w:color="000000" w:fill="D9D9D9"/>
            <w:vAlign w:val="center"/>
          </w:tcPr>
          <w:p w14:paraId="1A18E0A5" w14:textId="77777777" w:rsidR="008B12EA" w:rsidRPr="00050963" w:rsidRDefault="008B12EA" w:rsidP="00B542EA">
            <w:pPr>
              <w:rPr>
                <w:bCs/>
                <w:color w:val="000000"/>
                <w:sz w:val="20"/>
                <w:szCs w:val="20"/>
              </w:rPr>
            </w:pPr>
          </w:p>
        </w:tc>
        <w:tc>
          <w:tcPr>
            <w:tcW w:w="951" w:type="dxa"/>
            <w:vMerge/>
            <w:shd w:val="clear" w:color="000000" w:fill="D9D9D9"/>
            <w:vAlign w:val="center"/>
          </w:tcPr>
          <w:p w14:paraId="1A18E0A6" w14:textId="77777777" w:rsidR="008B12EA" w:rsidRPr="00050963" w:rsidRDefault="008B12EA" w:rsidP="00B542EA">
            <w:pPr>
              <w:rPr>
                <w:bCs/>
                <w:color w:val="000000"/>
                <w:sz w:val="20"/>
                <w:szCs w:val="20"/>
              </w:rPr>
            </w:pPr>
          </w:p>
        </w:tc>
        <w:tc>
          <w:tcPr>
            <w:tcW w:w="2416" w:type="dxa"/>
            <w:vMerge/>
            <w:shd w:val="clear" w:color="000000" w:fill="D9D9D9"/>
            <w:vAlign w:val="center"/>
          </w:tcPr>
          <w:p w14:paraId="1A18E0A7" w14:textId="77777777" w:rsidR="008B12EA" w:rsidRPr="00050963" w:rsidRDefault="008B12EA" w:rsidP="00B542EA">
            <w:pPr>
              <w:jc w:val="left"/>
              <w:rPr>
                <w:bCs/>
                <w:color w:val="000000"/>
                <w:sz w:val="20"/>
                <w:szCs w:val="20"/>
              </w:rPr>
            </w:pPr>
          </w:p>
        </w:tc>
        <w:tc>
          <w:tcPr>
            <w:tcW w:w="986" w:type="dxa"/>
            <w:shd w:val="clear" w:color="000000" w:fill="D9D9D9"/>
            <w:vAlign w:val="center"/>
            <w:hideMark/>
          </w:tcPr>
          <w:p w14:paraId="1A18E0A8" w14:textId="77777777" w:rsidR="008B12EA" w:rsidRPr="00050963" w:rsidRDefault="008B12EA" w:rsidP="00B542EA">
            <w:pPr>
              <w:jc w:val="center"/>
              <w:rPr>
                <w:b/>
                <w:bCs/>
                <w:color w:val="000000"/>
                <w:sz w:val="20"/>
                <w:szCs w:val="20"/>
              </w:rPr>
            </w:pPr>
            <w:r w:rsidRPr="00050963">
              <w:rPr>
                <w:b/>
                <w:color w:val="000000"/>
                <w:sz w:val="20"/>
                <w:szCs w:val="20"/>
              </w:rPr>
              <w:t>u zrak (kg/god)</w:t>
            </w:r>
          </w:p>
        </w:tc>
        <w:tc>
          <w:tcPr>
            <w:tcW w:w="861" w:type="dxa"/>
            <w:shd w:val="clear" w:color="000000" w:fill="D9D9D9"/>
            <w:vAlign w:val="center"/>
            <w:hideMark/>
          </w:tcPr>
          <w:p w14:paraId="1A18E0A9" w14:textId="77777777" w:rsidR="008B12EA" w:rsidRPr="00050963" w:rsidRDefault="008B12EA" w:rsidP="00B542EA">
            <w:pPr>
              <w:jc w:val="center"/>
              <w:rPr>
                <w:b/>
                <w:bCs/>
                <w:color w:val="000000"/>
                <w:sz w:val="20"/>
                <w:szCs w:val="20"/>
              </w:rPr>
            </w:pPr>
            <w:r w:rsidRPr="00050963">
              <w:rPr>
                <w:b/>
                <w:color w:val="000000"/>
                <w:sz w:val="20"/>
                <w:szCs w:val="20"/>
              </w:rPr>
              <w:t>u vode i/ili more (kg/god)</w:t>
            </w:r>
          </w:p>
        </w:tc>
        <w:tc>
          <w:tcPr>
            <w:tcW w:w="993" w:type="dxa"/>
            <w:shd w:val="clear" w:color="000000" w:fill="D9D9D9"/>
            <w:vAlign w:val="center"/>
            <w:hideMark/>
          </w:tcPr>
          <w:p w14:paraId="1A18E0AA" w14:textId="77777777" w:rsidR="008B12EA" w:rsidRPr="00050963" w:rsidRDefault="008B12EA" w:rsidP="00B542EA">
            <w:pPr>
              <w:jc w:val="center"/>
              <w:rPr>
                <w:b/>
                <w:bCs/>
                <w:color w:val="000000"/>
                <w:sz w:val="20"/>
                <w:szCs w:val="20"/>
              </w:rPr>
            </w:pPr>
            <w:r w:rsidRPr="00050963">
              <w:rPr>
                <w:b/>
                <w:color w:val="000000"/>
                <w:sz w:val="20"/>
                <w:szCs w:val="20"/>
              </w:rPr>
              <w:t>u tlo (kg/god)</w:t>
            </w:r>
          </w:p>
        </w:tc>
        <w:tc>
          <w:tcPr>
            <w:tcW w:w="1134" w:type="dxa"/>
            <w:shd w:val="clear" w:color="000000" w:fill="D9D9D9"/>
            <w:vAlign w:val="center"/>
            <w:hideMark/>
          </w:tcPr>
          <w:p w14:paraId="1A18E0AB" w14:textId="77777777" w:rsidR="008B12EA" w:rsidRPr="00050963" w:rsidRDefault="008B12EA" w:rsidP="00B542EA">
            <w:pPr>
              <w:jc w:val="center"/>
              <w:rPr>
                <w:b/>
                <w:bCs/>
                <w:color w:val="000000"/>
                <w:sz w:val="20"/>
                <w:szCs w:val="20"/>
              </w:rPr>
            </w:pPr>
            <w:r w:rsidRPr="00050963">
              <w:rPr>
                <w:b/>
                <w:color w:val="000000"/>
                <w:sz w:val="20"/>
                <w:szCs w:val="20"/>
              </w:rPr>
              <w:t>Prag za ispuštanja u zrak (kg/god)</w:t>
            </w:r>
          </w:p>
        </w:tc>
        <w:tc>
          <w:tcPr>
            <w:tcW w:w="958" w:type="dxa"/>
            <w:shd w:val="clear" w:color="000000" w:fill="D9D9D9"/>
            <w:vAlign w:val="center"/>
            <w:hideMark/>
          </w:tcPr>
          <w:p w14:paraId="1A18E0AC" w14:textId="77777777" w:rsidR="008B12EA" w:rsidRPr="00050963" w:rsidRDefault="008B12EA" w:rsidP="00B542EA">
            <w:pPr>
              <w:jc w:val="center"/>
              <w:rPr>
                <w:b/>
                <w:bCs/>
                <w:color w:val="000000"/>
                <w:sz w:val="20"/>
                <w:szCs w:val="20"/>
              </w:rPr>
            </w:pPr>
            <w:r w:rsidRPr="00050963">
              <w:rPr>
                <w:b/>
                <w:color w:val="000000"/>
                <w:sz w:val="20"/>
                <w:szCs w:val="20"/>
              </w:rPr>
              <w:t>Prag za ispuštanja u vodu (kg/god)</w:t>
            </w:r>
          </w:p>
        </w:tc>
        <w:tc>
          <w:tcPr>
            <w:tcW w:w="906" w:type="dxa"/>
            <w:shd w:val="clear" w:color="000000" w:fill="D9D9D9"/>
            <w:vAlign w:val="center"/>
            <w:hideMark/>
          </w:tcPr>
          <w:p w14:paraId="1A18E0AD" w14:textId="77777777" w:rsidR="008B12EA" w:rsidRPr="00050963" w:rsidRDefault="008B12EA" w:rsidP="00B542EA">
            <w:pPr>
              <w:jc w:val="center"/>
              <w:rPr>
                <w:b/>
                <w:bCs/>
                <w:color w:val="000000"/>
                <w:sz w:val="20"/>
                <w:szCs w:val="20"/>
              </w:rPr>
            </w:pPr>
            <w:r w:rsidRPr="00050963">
              <w:rPr>
                <w:b/>
                <w:color w:val="000000"/>
                <w:sz w:val="20"/>
                <w:szCs w:val="20"/>
              </w:rPr>
              <w:t>Prag za ispuštanja u tlo (kg/god)</w:t>
            </w:r>
          </w:p>
        </w:tc>
      </w:tr>
      <w:tr w:rsidR="008B12EA" w:rsidRPr="00050963" w14:paraId="1A18E0B8" w14:textId="77777777" w:rsidTr="00B542EA">
        <w:trPr>
          <w:trHeight w:val="300"/>
        </w:trPr>
        <w:tc>
          <w:tcPr>
            <w:tcW w:w="514" w:type="dxa"/>
            <w:shd w:val="clear" w:color="auto" w:fill="auto"/>
            <w:noWrap/>
            <w:vAlign w:val="center"/>
            <w:hideMark/>
          </w:tcPr>
          <w:p w14:paraId="1A18E0AF" w14:textId="77777777" w:rsidR="008B12EA" w:rsidRPr="00050963" w:rsidRDefault="008B12EA" w:rsidP="00B542EA">
            <w:pPr>
              <w:rPr>
                <w:bCs/>
                <w:color w:val="000000"/>
                <w:sz w:val="20"/>
                <w:szCs w:val="20"/>
              </w:rPr>
            </w:pPr>
            <w:r w:rsidRPr="00050963">
              <w:rPr>
                <w:color w:val="000000"/>
                <w:sz w:val="20"/>
                <w:szCs w:val="20"/>
              </w:rPr>
              <w:t>309</w:t>
            </w:r>
          </w:p>
        </w:tc>
        <w:tc>
          <w:tcPr>
            <w:tcW w:w="951" w:type="dxa"/>
            <w:shd w:val="clear" w:color="auto" w:fill="auto"/>
            <w:noWrap/>
            <w:vAlign w:val="center"/>
            <w:hideMark/>
          </w:tcPr>
          <w:p w14:paraId="1A18E0B0" w14:textId="77777777" w:rsidR="008B12EA" w:rsidRPr="00050963" w:rsidRDefault="008B12EA" w:rsidP="00B542EA">
            <w:pPr>
              <w:rPr>
                <w:bCs/>
                <w:color w:val="000000"/>
                <w:sz w:val="20"/>
                <w:szCs w:val="20"/>
              </w:rPr>
            </w:pPr>
            <w:r w:rsidRPr="00050963">
              <w:rPr>
                <w:color w:val="000000"/>
                <w:sz w:val="20"/>
                <w:szCs w:val="20"/>
              </w:rPr>
              <w:t>309-00-2</w:t>
            </w:r>
          </w:p>
        </w:tc>
        <w:tc>
          <w:tcPr>
            <w:tcW w:w="2416" w:type="dxa"/>
            <w:shd w:val="clear" w:color="auto" w:fill="auto"/>
            <w:noWrap/>
            <w:vAlign w:val="center"/>
            <w:hideMark/>
          </w:tcPr>
          <w:p w14:paraId="1A18E0B1" w14:textId="77777777" w:rsidR="008B12EA" w:rsidRPr="00050963" w:rsidRDefault="008B12EA" w:rsidP="00B542EA">
            <w:pPr>
              <w:jc w:val="left"/>
              <w:rPr>
                <w:bCs/>
                <w:color w:val="000000"/>
                <w:sz w:val="20"/>
                <w:szCs w:val="20"/>
              </w:rPr>
            </w:pPr>
            <w:r w:rsidRPr="00050963">
              <w:rPr>
                <w:color w:val="000000"/>
                <w:sz w:val="20"/>
                <w:szCs w:val="20"/>
              </w:rPr>
              <w:t>Aldrin</w:t>
            </w:r>
          </w:p>
        </w:tc>
        <w:tc>
          <w:tcPr>
            <w:tcW w:w="986" w:type="dxa"/>
            <w:shd w:val="clear" w:color="auto" w:fill="auto"/>
            <w:noWrap/>
            <w:vAlign w:val="center"/>
            <w:hideMark/>
          </w:tcPr>
          <w:p w14:paraId="1A18E0B2"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B3"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B4"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B5"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B6"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0B7" w14:textId="77777777" w:rsidR="008B12EA" w:rsidRPr="00050963" w:rsidRDefault="008B12EA" w:rsidP="00B542EA">
            <w:pPr>
              <w:jc w:val="right"/>
              <w:rPr>
                <w:bCs/>
                <w:sz w:val="20"/>
                <w:szCs w:val="20"/>
              </w:rPr>
            </w:pPr>
            <w:r w:rsidRPr="00050963">
              <w:rPr>
                <w:sz w:val="20"/>
                <w:szCs w:val="20"/>
              </w:rPr>
              <w:t>1,00</w:t>
            </w:r>
          </w:p>
        </w:tc>
      </w:tr>
      <w:tr w:rsidR="008B12EA" w:rsidRPr="00050963" w14:paraId="1A18E0C2" w14:textId="77777777" w:rsidTr="00B542EA">
        <w:trPr>
          <w:trHeight w:val="300"/>
        </w:trPr>
        <w:tc>
          <w:tcPr>
            <w:tcW w:w="514" w:type="dxa"/>
            <w:shd w:val="clear" w:color="auto" w:fill="auto"/>
            <w:noWrap/>
            <w:vAlign w:val="center"/>
            <w:hideMark/>
          </w:tcPr>
          <w:p w14:paraId="1A18E0B9" w14:textId="77777777" w:rsidR="008B12EA" w:rsidRPr="00050963" w:rsidRDefault="008B12EA" w:rsidP="00B542EA">
            <w:pPr>
              <w:rPr>
                <w:bCs/>
                <w:color w:val="000000"/>
                <w:sz w:val="20"/>
                <w:szCs w:val="20"/>
              </w:rPr>
            </w:pPr>
            <w:r w:rsidRPr="00050963">
              <w:rPr>
                <w:color w:val="000000"/>
                <w:sz w:val="20"/>
                <w:szCs w:val="20"/>
              </w:rPr>
              <w:t>311</w:t>
            </w:r>
          </w:p>
        </w:tc>
        <w:tc>
          <w:tcPr>
            <w:tcW w:w="951" w:type="dxa"/>
            <w:shd w:val="clear" w:color="auto" w:fill="auto"/>
            <w:noWrap/>
            <w:vAlign w:val="center"/>
            <w:hideMark/>
          </w:tcPr>
          <w:p w14:paraId="1A18E0BA" w14:textId="77777777" w:rsidR="008B12EA" w:rsidRPr="00050963" w:rsidRDefault="008B12EA" w:rsidP="00B542EA">
            <w:pPr>
              <w:rPr>
                <w:bCs/>
                <w:color w:val="000000"/>
                <w:sz w:val="20"/>
                <w:szCs w:val="20"/>
              </w:rPr>
            </w:pPr>
            <w:r w:rsidRPr="00050963">
              <w:rPr>
                <w:color w:val="000000"/>
                <w:sz w:val="20"/>
                <w:szCs w:val="20"/>
              </w:rPr>
              <w:t>57-74-9</w:t>
            </w:r>
          </w:p>
        </w:tc>
        <w:tc>
          <w:tcPr>
            <w:tcW w:w="2416" w:type="dxa"/>
            <w:shd w:val="clear" w:color="auto" w:fill="auto"/>
            <w:noWrap/>
            <w:vAlign w:val="center"/>
            <w:hideMark/>
          </w:tcPr>
          <w:p w14:paraId="1A18E0BB" w14:textId="77777777" w:rsidR="008B12EA" w:rsidRPr="00050963" w:rsidRDefault="008B12EA" w:rsidP="00B542EA">
            <w:pPr>
              <w:jc w:val="left"/>
              <w:rPr>
                <w:bCs/>
                <w:color w:val="000000"/>
                <w:sz w:val="20"/>
                <w:szCs w:val="20"/>
              </w:rPr>
            </w:pPr>
            <w:r w:rsidRPr="00050963">
              <w:rPr>
                <w:color w:val="000000"/>
                <w:sz w:val="20"/>
                <w:szCs w:val="20"/>
              </w:rPr>
              <w:t>Klordan</w:t>
            </w:r>
          </w:p>
        </w:tc>
        <w:tc>
          <w:tcPr>
            <w:tcW w:w="986" w:type="dxa"/>
            <w:shd w:val="clear" w:color="auto" w:fill="auto"/>
            <w:noWrap/>
            <w:vAlign w:val="center"/>
            <w:hideMark/>
          </w:tcPr>
          <w:p w14:paraId="1A18E0BC"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BD"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BE"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BF"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C0"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0C1" w14:textId="77777777" w:rsidR="008B12EA" w:rsidRPr="00050963" w:rsidRDefault="008B12EA" w:rsidP="00B542EA">
            <w:pPr>
              <w:jc w:val="right"/>
              <w:rPr>
                <w:bCs/>
                <w:sz w:val="20"/>
                <w:szCs w:val="20"/>
              </w:rPr>
            </w:pPr>
            <w:r w:rsidRPr="00050963">
              <w:rPr>
                <w:sz w:val="20"/>
                <w:szCs w:val="20"/>
              </w:rPr>
              <w:t>1,00</w:t>
            </w:r>
          </w:p>
        </w:tc>
      </w:tr>
      <w:tr w:rsidR="008B12EA" w:rsidRPr="00050963" w14:paraId="1A18E0CC" w14:textId="77777777" w:rsidTr="00B542EA">
        <w:trPr>
          <w:trHeight w:val="300"/>
        </w:trPr>
        <w:tc>
          <w:tcPr>
            <w:tcW w:w="514" w:type="dxa"/>
            <w:shd w:val="clear" w:color="auto" w:fill="auto"/>
            <w:noWrap/>
            <w:vAlign w:val="center"/>
            <w:hideMark/>
          </w:tcPr>
          <w:p w14:paraId="1A18E0C3" w14:textId="77777777" w:rsidR="008B12EA" w:rsidRPr="00050963" w:rsidRDefault="008B12EA" w:rsidP="00B542EA">
            <w:pPr>
              <w:rPr>
                <w:bCs/>
                <w:color w:val="000000"/>
                <w:sz w:val="20"/>
                <w:szCs w:val="20"/>
              </w:rPr>
            </w:pPr>
            <w:r w:rsidRPr="00050963">
              <w:rPr>
                <w:color w:val="000000"/>
                <w:sz w:val="20"/>
                <w:szCs w:val="20"/>
              </w:rPr>
              <w:t>312</w:t>
            </w:r>
          </w:p>
        </w:tc>
        <w:tc>
          <w:tcPr>
            <w:tcW w:w="951" w:type="dxa"/>
            <w:shd w:val="clear" w:color="auto" w:fill="auto"/>
            <w:noWrap/>
            <w:vAlign w:val="center"/>
            <w:hideMark/>
          </w:tcPr>
          <w:p w14:paraId="1A18E0C4" w14:textId="77777777" w:rsidR="008B12EA" w:rsidRPr="00050963" w:rsidRDefault="008B12EA" w:rsidP="00B542EA">
            <w:pPr>
              <w:rPr>
                <w:bCs/>
                <w:color w:val="000000"/>
                <w:sz w:val="20"/>
                <w:szCs w:val="20"/>
              </w:rPr>
            </w:pPr>
            <w:r w:rsidRPr="00050963">
              <w:rPr>
                <w:color w:val="000000"/>
                <w:sz w:val="20"/>
                <w:szCs w:val="20"/>
              </w:rPr>
              <w:t>143-50-0</w:t>
            </w:r>
          </w:p>
        </w:tc>
        <w:tc>
          <w:tcPr>
            <w:tcW w:w="2416" w:type="dxa"/>
            <w:shd w:val="clear" w:color="auto" w:fill="auto"/>
            <w:noWrap/>
            <w:vAlign w:val="center"/>
            <w:hideMark/>
          </w:tcPr>
          <w:p w14:paraId="1A18E0C5" w14:textId="77777777" w:rsidR="008B12EA" w:rsidRPr="00050963" w:rsidRDefault="008B12EA" w:rsidP="00B542EA">
            <w:pPr>
              <w:jc w:val="left"/>
              <w:rPr>
                <w:bCs/>
                <w:color w:val="000000"/>
                <w:sz w:val="20"/>
                <w:szCs w:val="20"/>
              </w:rPr>
            </w:pPr>
            <w:r w:rsidRPr="00050963">
              <w:rPr>
                <w:color w:val="000000"/>
                <w:sz w:val="20"/>
                <w:szCs w:val="20"/>
              </w:rPr>
              <w:t>Klordekon</w:t>
            </w:r>
          </w:p>
        </w:tc>
        <w:tc>
          <w:tcPr>
            <w:tcW w:w="986" w:type="dxa"/>
            <w:shd w:val="clear" w:color="auto" w:fill="auto"/>
            <w:noWrap/>
            <w:vAlign w:val="center"/>
            <w:hideMark/>
          </w:tcPr>
          <w:p w14:paraId="1A18E0C6"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C7"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C8"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C9"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CA"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0CB" w14:textId="77777777" w:rsidR="008B12EA" w:rsidRPr="00050963" w:rsidRDefault="008B12EA" w:rsidP="00B542EA">
            <w:pPr>
              <w:jc w:val="right"/>
              <w:rPr>
                <w:bCs/>
                <w:sz w:val="20"/>
                <w:szCs w:val="20"/>
              </w:rPr>
            </w:pPr>
            <w:r w:rsidRPr="00050963">
              <w:rPr>
                <w:sz w:val="20"/>
                <w:szCs w:val="20"/>
              </w:rPr>
              <w:t>1,00</w:t>
            </w:r>
          </w:p>
        </w:tc>
      </w:tr>
      <w:tr w:rsidR="008B12EA" w:rsidRPr="00050963" w14:paraId="1A18E0D6" w14:textId="77777777" w:rsidTr="00B542EA">
        <w:trPr>
          <w:trHeight w:val="300"/>
        </w:trPr>
        <w:tc>
          <w:tcPr>
            <w:tcW w:w="514" w:type="dxa"/>
            <w:shd w:val="clear" w:color="auto" w:fill="auto"/>
            <w:noWrap/>
            <w:vAlign w:val="center"/>
            <w:hideMark/>
          </w:tcPr>
          <w:p w14:paraId="1A18E0CD" w14:textId="77777777" w:rsidR="008B12EA" w:rsidRPr="00050963" w:rsidRDefault="008B12EA" w:rsidP="00B542EA">
            <w:pPr>
              <w:rPr>
                <w:bCs/>
                <w:color w:val="000000"/>
                <w:sz w:val="20"/>
                <w:szCs w:val="20"/>
              </w:rPr>
            </w:pPr>
            <w:r w:rsidRPr="00050963">
              <w:rPr>
                <w:color w:val="000000"/>
                <w:sz w:val="20"/>
                <w:szCs w:val="20"/>
              </w:rPr>
              <w:t>316</w:t>
            </w:r>
          </w:p>
        </w:tc>
        <w:tc>
          <w:tcPr>
            <w:tcW w:w="951" w:type="dxa"/>
            <w:shd w:val="clear" w:color="auto" w:fill="auto"/>
            <w:noWrap/>
            <w:vAlign w:val="center"/>
            <w:hideMark/>
          </w:tcPr>
          <w:p w14:paraId="1A18E0CE" w14:textId="77777777" w:rsidR="008B12EA" w:rsidRPr="00050963" w:rsidRDefault="008B12EA" w:rsidP="00B542EA">
            <w:pPr>
              <w:rPr>
                <w:bCs/>
                <w:color w:val="000000"/>
                <w:sz w:val="20"/>
                <w:szCs w:val="20"/>
              </w:rPr>
            </w:pPr>
            <w:r w:rsidRPr="00050963">
              <w:rPr>
                <w:color w:val="000000"/>
                <w:sz w:val="20"/>
                <w:szCs w:val="20"/>
              </w:rPr>
              <w:t>50-29-3</w:t>
            </w:r>
          </w:p>
        </w:tc>
        <w:tc>
          <w:tcPr>
            <w:tcW w:w="2416" w:type="dxa"/>
            <w:shd w:val="clear" w:color="auto" w:fill="auto"/>
            <w:noWrap/>
            <w:vAlign w:val="center"/>
            <w:hideMark/>
          </w:tcPr>
          <w:p w14:paraId="1A18E0CF" w14:textId="77777777" w:rsidR="008B12EA" w:rsidRPr="00050963" w:rsidRDefault="008B12EA" w:rsidP="00B542EA">
            <w:pPr>
              <w:jc w:val="left"/>
              <w:rPr>
                <w:bCs/>
                <w:color w:val="000000"/>
                <w:sz w:val="20"/>
                <w:szCs w:val="20"/>
              </w:rPr>
            </w:pPr>
            <w:r w:rsidRPr="00050963">
              <w:rPr>
                <w:color w:val="000000"/>
                <w:sz w:val="20"/>
                <w:szCs w:val="20"/>
              </w:rPr>
              <w:t>DDT</w:t>
            </w:r>
          </w:p>
        </w:tc>
        <w:tc>
          <w:tcPr>
            <w:tcW w:w="986" w:type="dxa"/>
            <w:shd w:val="clear" w:color="auto" w:fill="auto"/>
            <w:noWrap/>
            <w:vAlign w:val="center"/>
            <w:hideMark/>
          </w:tcPr>
          <w:p w14:paraId="1A18E0D0"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D1"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D2"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D3"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D4" w14:textId="77777777" w:rsidR="008B12EA" w:rsidRPr="00050963" w:rsidRDefault="008B12EA" w:rsidP="00B542EA">
            <w:pPr>
              <w:jc w:val="right"/>
              <w:rPr>
                <w:bCs/>
                <w:color w:val="000000"/>
                <w:sz w:val="20"/>
                <w:szCs w:val="20"/>
              </w:rPr>
            </w:pPr>
            <w:r w:rsidRPr="00050963">
              <w:rPr>
                <w:color w:val="000000"/>
                <w:sz w:val="20"/>
                <w:szCs w:val="20"/>
              </w:rPr>
              <w:t>1,00</w:t>
            </w:r>
          </w:p>
        </w:tc>
        <w:tc>
          <w:tcPr>
            <w:tcW w:w="906" w:type="dxa"/>
            <w:shd w:val="clear" w:color="auto" w:fill="auto"/>
            <w:vAlign w:val="center"/>
            <w:hideMark/>
          </w:tcPr>
          <w:p w14:paraId="1A18E0D5" w14:textId="77777777" w:rsidR="008B12EA" w:rsidRPr="00050963" w:rsidRDefault="008B12EA" w:rsidP="00B542EA">
            <w:pPr>
              <w:jc w:val="right"/>
              <w:rPr>
                <w:bCs/>
                <w:sz w:val="20"/>
                <w:szCs w:val="20"/>
              </w:rPr>
            </w:pPr>
            <w:r w:rsidRPr="00050963">
              <w:rPr>
                <w:sz w:val="20"/>
                <w:szCs w:val="20"/>
              </w:rPr>
              <w:t>1,00</w:t>
            </w:r>
          </w:p>
        </w:tc>
      </w:tr>
      <w:tr w:rsidR="008B12EA" w:rsidRPr="00050963" w14:paraId="1A18E0E0" w14:textId="77777777" w:rsidTr="00B542EA">
        <w:trPr>
          <w:trHeight w:val="300"/>
        </w:trPr>
        <w:tc>
          <w:tcPr>
            <w:tcW w:w="514" w:type="dxa"/>
            <w:shd w:val="clear" w:color="auto" w:fill="auto"/>
            <w:noWrap/>
            <w:vAlign w:val="center"/>
            <w:hideMark/>
          </w:tcPr>
          <w:p w14:paraId="1A18E0D7" w14:textId="77777777" w:rsidR="008B12EA" w:rsidRPr="00050963" w:rsidRDefault="008B12EA" w:rsidP="00B542EA">
            <w:pPr>
              <w:rPr>
                <w:bCs/>
                <w:color w:val="000000"/>
                <w:sz w:val="20"/>
                <w:szCs w:val="20"/>
              </w:rPr>
            </w:pPr>
            <w:r w:rsidRPr="00050963">
              <w:rPr>
                <w:color w:val="000000"/>
                <w:sz w:val="20"/>
                <w:szCs w:val="20"/>
              </w:rPr>
              <w:t>319</w:t>
            </w:r>
          </w:p>
        </w:tc>
        <w:tc>
          <w:tcPr>
            <w:tcW w:w="951" w:type="dxa"/>
            <w:shd w:val="clear" w:color="auto" w:fill="auto"/>
            <w:noWrap/>
            <w:vAlign w:val="center"/>
            <w:hideMark/>
          </w:tcPr>
          <w:p w14:paraId="1A18E0D8" w14:textId="77777777" w:rsidR="008B12EA" w:rsidRPr="00050963" w:rsidRDefault="008B12EA" w:rsidP="00B542EA">
            <w:pPr>
              <w:rPr>
                <w:bCs/>
                <w:color w:val="000000"/>
                <w:sz w:val="20"/>
                <w:szCs w:val="20"/>
              </w:rPr>
            </w:pPr>
            <w:r w:rsidRPr="00050963">
              <w:rPr>
                <w:color w:val="000000"/>
                <w:sz w:val="20"/>
                <w:szCs w:val="20"/>
              </w:rPr>
              <w:t>60-57-1</w:t>
            </w:r>
          </w:p>
        </w:tc>
        <w:tc>
          <w:tcPr>
            <w:tcW w:w="2416" w:type="dxa"/>
            <w:shd w:val="clear" w:color="auto" w:fill="auto"/>
            <w:noWrap/>
            <w:vAlign w:val="center"/>
            <w:hideMark/>
          </w:tcPr>
          <w:p w14:paraId="1A18E0D9" w14:textId="77777777" w:rsidR="008B12EA" w:rsidRPr="00050963" w:rsidRDefault="008B12EA" w:rsidP="00B542EA">
            <w:pPr>
              <w:jc w:val="left"/>
              <w:rPr>
                <w:bCs/>
                <w:color w:val="000000"/>
                <w:sz w:val="20"/>
                <w:szCs w:val="20"/>
              </w:rPr>
            </w:pPr>
            <w:r w:rsidRPr="00050963">
              <w:rPr>
                <w:color w:val="000000"/>
                <w:sz w:val="20"/>
                <w:szCs w:val="20"/>
              </w:rPr>
              <w:t>Dieldrin</w:t>
            </w:r>
          </w:p>
        </w:tc>
        <w:tc>
          <w:tcPr>
            <w:tcW w:w="986" w:type="dxa"/>
            <w:shd w:val="clear" w:color="auto" w:fill="auto"/>
            <w:noWrap/>
            <w:vAlign w:val="center"/>
            <w:hideMark/>
          </w:tcPr>
          <w:p w14:paraId="1A18E0DA"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DB"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DC"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DD"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DE" w14:textId="77777777" w:rsidR="008B12EA" w:rsidRPr="00050963" w:rsidRDefault="008B12EA" w:rsidP="00B542EA">
            <w:pPr>
              <w:jc w:val="right"/>
              <w:rPr>
                <w:bCs/>
                <w:color w:val="000000"/>
                <w:sz w:val="20"/>
                <w:szCs w:val="20"/>
              </w:rPr>
            </w:pPr>
            <w:r w:rsidRPr="00050963">
              <w:rPr>
                <w:color w:val="000000"/>
                <w:sz w:val="20"/>
                <w:szCs w:val="20"/>
              </w:rPr>
              <w:t>1,00</w:t>
            </w:r>
          </w:p>
        </w:tc>
        <w:tc>
          <w:tcPr>
            <w:tcW w:w="906" w:type="dxa"/>
            <w:shd w:val="clear" w:color="auto" w:fill="auto"/>
            <w:vAlign w:val="center"/>
            <w:hideMark/>
          </w:tcPr>
          <w:p w14:paraId="1A18E0DF" w14:textId="77777777" w:rsidR="008B12EA" w:rsidRPr="00050963" w:rsidRDefault="008B12EA" w:rsidP="00B542EA">
            <w:pPr>
              <w:jc w:val="right"/>
              <w:rPr>
                <w:bCs/>
                <w:sz w:val="20"/>
                <w:szCs w:val="20"/>
              </w:rPr>
            </w:pPr>
            <w:r w:rsidRPr="00050963">
              <w:rPr>
                <w:sz w:val="20"/>
                <w:szCs w:val="20"/>
              </w:rPr>
              <w:t>1,00</w:t>
            </w:r>
          </w:p>
        </w:tc>
      </w:tr>
      <w:tr w:rsidR="008B12EA" w:rsidRPr="00050963" w14:paraId="1A18E0EA" w14:textId="77777777" w:rsidTr="00B542EA">
        <w:trPr>
          <w:trHeight w:val="300"/>
        </w:trPr>
        <w:tc>
          <w:tcPr>
            <w:tcW w:w="514" w:type="dxa"/>
            <w:shd w:val="clear" w:color="auto" w:fill="auto"/>
            <w:noWrap/>
            <w:vAlign w:val="center"/>
            <w:hideMark/>
          </w:tcPr>
          <w:p w14:paraId="1A18E0E1" w14:textId="77777777" w:rsidR="008B12EA" w:rsidRPr="00EF7BC3" w:rsidRDefault="008B12EA" w:rsidP="00B542EA">
            <w:pPr>
              <w:rPr>
                <w:b/>
                <w:bCs/>
                <w:sz w:val="20"/>
                <w:szCs w:val="20"/>
              </w:rPr>
            </w:pPr>
            <w:r w:rsidRPr="00EF7BC3">
              <w:rPr>
                <w:b/>
                <w:sz w:val="20"/>
                <w:szCs w:val="20"/>
              </w:rPr>
              <w:t>321</w:t>
            </w:r>
          </w:p>
        </w:tc>
        <w:tc>
          <w:tcPr>
            <w:tcW w:w="951" w:type="dxa"/>
            <w:shd w:val="clear" w:color="auto" w:fill="auto"/>
            <w:noWrap/>
            <w:vAlign w:val="center"/>
            <w:hideMark/>
          </w:tcPr>
          <w:p w14:paraId="1A18E0E2" w14:textId="77777777" w:rsidR="008B12EA" w:rsidRPr="00EF7BC3" w:rsidRDefault="008B12EA" w:rsidP="00B542EA">
            <w:pPr>
              <w:rPr>
                <w:b/>
                <w:bCs/>
                <w:sz w:val="20"/>
                <w:szCs w:val="20"/>
              </w:rPr>
            </w:pPr>
            <w:r w:rsidRPr="00EF7BC3">
              <w:rPr>
                <w:b/>
                <w:sz w:val="20"/>
                <w:szCs w:val="20"/>
              </w:rPr>
              <w:t>115-29-7</w:t>
            </w:r>
          </w:p>
        </w:tc>
        <w:tc>
          <w:tcPr>
            <w:tcW w:w="2416" w:type="dxa"/>
            <w:shd w:val="clear" w:color="auto" w:fill="auto"/>
            <w:noWrap/>
            <w:vAlign w:val="center"/>
            <w:hideMark/>
          </w:tcPr>
          <w:p w14:paraId="1A18E0E3" w14:textId="77777777" w:rsidR="008B12EA" w:rsidRPr="00EF7BC3" w:rsidRDefault="008B12EA" w:rsidP="00B542EA">
            <w:pPr>
              <w:jc w:val="left"/>
              <w:rPr>
                <w:b/>
                <w:bCs/>
                <w:sz w:val="20"/>
                <w:szCs w:val="20"/>
              </w:rPr>
            </w:pPr>
            <w:r w:rsidRPr="00EF7BC3">
              <w:rPr>
                <w:b/>
                <w:sz w:val="20"/>
                <w:szCs w:val="20"/>
              </w:rPr>
              <w:t>Endosulfan</w:t>
            </w:r>
          </w:p>
        </w:tc>
        <w:tc>
          <w:tcPr>
            <w:tcW w:w="986" w:type="dxa"/>
            <w:shd w:val="clear" w:color="auto" w:fill="auto"/>
            <w:noWrap/>
            <w:vAlign w:val="center"/>
            <w:hideMark/>
          </w:tcPr>
          <w:p w14:paraId="1A18E0E4" w14:textId="77777777" w:rsidR="008B12EA" w:rsidRPr="00050963" w:rsidRDefault="008B12EA" w:rsidP="00B542EA">
            <w:pPr>
              <w:jc w:val="center"/>
              <w:rPr>
                <w:bCs/>
                <w:color w:val="000000"/>
                <w:sz w:val="20"/>
                <w:szCs w:val="20"/>
              </w:rPr>
            </w:pPr>
            <w:r>
              <w:rPr>
                <w:sz w:val="20"/>
                <w:szCs w:val="20"/>
              </w:rPr>
              <w:t>_</w:t>
            </w:r>
          </w:p>
        </w:tc>
        <w:tc>
          <w:tcPr>
            <w:tcW w:w="861" w:type="dxa"/>
            <w:shd w:val="clear" w:color="auto" w:fill="auto"/>
            <w:noWrap/>
            <w:vAlign w:val="center"/>
            <w:hideMark/>
          </w:tcPr>
          <w:p w14:paraId="1A18E0E5"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E6"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noWrap/>
            <w:vAlign w:val="center"/>
            <w:hideMark/>
          </w:tcPr>
          <w:p w14:paraId="1A18E0E7" w14:textId="77777777" w:rsidR="008B12EA" w:rsidRPr="00050963" w:rsidRDefault="008B12EA" w:rsidP="00B542EA">
            <w:pPr>
              <w:jc w:val="right"/>
              <w:rPr>
                <w:bCs/>
                <w:color w:val="000000"/>
                <w:sz w:val="20"/>
                <w:szCs w:val="20"/>
              </w:rPr>
            </w:pPr>
            <w:r>
              <w:rPr>
                <w:sz w:val="20"/>
                <w:szCs w:val="20"/>
              </w:rPr>
              <w:t>_</w:t>
            </w:r>
          </w:p>
        </w:tc>
        <w:tc>
          <w:tcPr>
            <w:tcW w:w="958" w:type="dxa"/>
            <w:shd w:val="clear" w:color="auto" w:fill="auto"/>
            <w:vAlign w:val="center"/>
            <w:hideMark/>
          </w:tcPr>
          <w:p w14:paraId="1A18E0E8" w14:textId="77777777" w:rsidR="008B12EA" w:rsidRPr="00050963" w:rsidRDefault="008B12EA" w:rsidP="00B542EA">
            <w:pPr>
              <w:jc w:val="right"/>
              <w:rPr>
                <w:bCs/>
                <w:color w:val="000000"/>
                <w:sz w:val="20"/>
                <w:szCs w:val="20"/>
              </w:rPr>
            </w:pPr>
            <w:r w:rsidRPr="00050963">
              <w:rPr>
                <w:color w:val="000000"/>
                <w:sz w:val="20"/>
                <w:szCs w:val="20"/>
              </w:rPr>
              <w:t>1,00</w:t>
            </w:r>
          </w:p>
        </w:tc>
        <w:tc>
          <w:tcPr>
            <w:tcW w:w="906" w:type="dxa"/>
            <w:shd w:val="clear" w:color="auto" w:fill="auto"/>
            <w:vAlign w:val="center"/>
            <w:hideMark/>
          </w:tcPr>
          <w:p w14:paraId="1A18E0E9" w14:textId="77777777" w:rsidR="008B12EA" w:rsidRPr="00050963" w:rsidRDefault="008B12EA" w:rsidP="00B542EA">
            <w:pPr>
              <w:jc w:val="right"/>
              <w:rPr>
                <w:bCs/>
                <w:sz w:val="20"/>
                <w:szCs w:val="20"/>
              </w:rPr>
            </w:pPr>
            <w:r w:rsidRPr="00050963">
              <w:rPr>
                <w:sz w:val="20"/>
                <w:szCs w:val="20"/>
              </w:rPr>
              <w:t>1,00</w:t>
            </w:r>
          </w:p>
        </w:tc>
      </w:tr>
      <w:tr w:rsidR="008B12EA" w:rsidRPr="00050963" w14:paraId="1A18E0F4" w14:textId="77777777" w:rsidTr="00B542EA">
        <w:trPr>
          <w:trHeight w:val="300"/>
        </w:trPr>
        <w:tc>
          <w:tcPr>
            <w:tcW w:w="514" w:type="dxa"/>
            <w:shd w:val="clear" w:color="auto" w:fill="auto"/>
            <w:noWrap/>
            <w:vAlign w:val="center"/>
            <w:hideMark/>
          </w:tcPr>
          <w:p w14:paraId="1A18E0EB" w14:textId="77777777" w:rsidR="008B12EA" w:rsidRPr="00F01159" w:rsidRDefault="008B12EA" w:rsidP="00B542EA">
            <w:pPr>
              <w:rPr>
                <w:b/>
                <w:bCs/>
                <w:color w:val="000000"/>
                <w:sz w:val="20"/>
                <w:szCs w:val="20"/>
              </w:rPr>
            </w:pPr>
            <w:r w:rsidRPr="00F01159">
              <w:rPr>
                <w:b/>
                <w:color w:val="000000"/>
                <w:sz w:val="20"/>
                <w:szCs w:val="20"/>
              </w:rPr>
              <w:t>322</w:t>
            </w:r>
          </w:p>
        </w:tc>
        <w:tc>
          <w:tcPr>
            <w:tcW w:w="951" w:type="dxa"/>
            <w:shd w:val="clear" w:color="auto" w:fill="auto"/>
            <w:noWrap/>
            <w:vAlign w:val="center"/>
            <w:hideMark/>
          </w:tcPr>
          <w:p w14:paraId="1A18E0EC" w14:textId="77777777" w:rsidR="008B12EA" w:rsidRPr="00F01159" w:rsidRDefault="008B12EA" w:rsidP="00B542EA">
            <w:pPr>
              <w:rPr>
                <w:b/>
                <w:bCs/>
                <w:color w:val="000000"/>
                <w:sz w:val="20"/>
                <w:szCs w:val="20"/>
              </w:rPr>
            </w:pPr>
            <w:r w:rsidRPr="00F01159">
              <w:rPr>
                <w:b/>
                <w:color w:val="000000"/>
                <w:sz w:val="20"/>
                <w:szCs w:val="20"/>
              </w:rPr>
              <w:t>72-20-8</w:t>
            </w:r>
          </w:p>
        </w:tc>
        <w:tc>
          <w:tcPr>
            <w:tcW w:w="2416" w:type="dxa"/>
            <w:shd w:val="clear" w:color="auto" w:fill="auto"/>
            <w:noWrap/>
            <w:vAlign w:val="center"/>
            <w:hideMark/>
          </w:tcPr>
          <w:p w14:paraId="1A18E0ED" w14:textId="77777777" w:rsidR="008B12EA" w:rsidRPr="00F01159" w:rsidRDefault="008B12EA" w:rsidP="00B542EA">
            <w:pPr>
              <w:jc w:val="left"/>
              <w:rPr>
                <w:b/>
                <w:bCs/>
                <w:color w:val="000000"/>
                <w:sz w:val="20"/>
                <w:szCs w:val="20"/>
              </w:rPr>
            </w:pPr>
            <w:r w:rsidRPr="00F01159">
              <w:rPr>
                <w:b/>
                <w:color w:val="000000"/>
                <w:sz w:val="20"/>
                <w:szCs w:val="20"/>
              </w:rPr>
              <w:t>Endrin</w:t>
            </w:r>
          </w:p>
        </w:tc>
        <w:tc>
          <w:tcPr>
            <w:tcW w:w="986" w:type="dxa"/>
            <w:shd w:val="clear" w:color="auto" w:fill="auto"/>
            <w:noWrap/>
            <w:vAlign w:val="center"/>
            <w:hideMark/>
          </w:tcPr>
          <w:p w14:paraId="1A18E0EE"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EF"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F0"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F1"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F2" w14:textId="77777777" w:rsidR="008B12EA" w:rsidRPr="00050963" w:rsidRDefault="008B12EA" w:rsidP="00B542EA">
            <w:pPr>
              <w:jc w:val="right"/>
              <w:rPr>
                <w:bCs/>
                <w:color w:val="000000"/>
                <w:sz w:val="20"/>
                <w:szCs w:val="20"/>
              </w:rPr>
            </w:pPr>
            <w:r w:rsidRPr="00050963">
              <w:rPr>
                <w:color w:val="000000"/>
                <w:sz w:val="20"/>
                <w:szCs w:val="20"/>
              </w:rPr>
              <w:t>1,00</w:t>
            </w:r>
          </w:p>
        </w:tc>
        <w:tc>
          <w:tcPr>
            <w:tcW w:w="906" w:type="dxa"/>
            <w:shd w:val="clear" w:color="auto" w:fill="auto"/>
            <w:vAlign w:val="center"/>
            <w:hideMark/>
          </w:tcPr>
          <w:p w14:paraId="1A18E0F3" w14:textId="77777777" w:rsidR="008B12EA" w:rsidRPr="00050963" w:rsidRDefault="008B12EA" w:rsidP="00B542EA">
            <w:pPr>
              <w:jc w:val="right"/>
              <w:rPr>
                <w:bCs/>
                <w:sz w:val="20"/>
                <w:szCs w:val="20"/>
              </w:rPr>
            </w:pPr>
            <w:r w:rsidRPr="00050963">
              <w:rPr>
                <w:sz w:val="20"/>
                <w:szCs w:val="20"/>
              </w:rPr>
              <w:t>1,00</w:t>
            </w:r>
          </w:p>
        </w:tc>
      </w:tr>
      <w:tr w:rsidR="008B12EA" w:rsidRPr="00050963" w14:paraId="1A18E0FE" w14:textId="77777777" w:rsidTr="00B542EA">
        <w:trPr>
          <w:trHeight w:val="300"/>
        </w:trPr>
        <w:tc>
          <w:tcPr>
            <w:tcW w:w="514" w:type="dxa"/>
            <w:shd w:val="clear" w:color="auto" w:fill="auto"/>
            <w:noWrap/>
            <w:vAlign w:val="center"/>
            <w:hideMark/>
          </w:tcPr>
          <w:p w14:paraId="1A18E0F5" w14:textId="77777777" w:rsidR="008B12EA" w:rsidRPr="00050963" w:rsidRDefault="008B12EA" w:rsidP="00B542EA">
            <w:pPr>
              <w:rPr>
                <w:bCs/>
                <w:color w:val="000000"/>
                <w:sz w:val="20"/>
                <w:szCs w:val="20"/>
              </w:rPr>
            </w:pPr>
            <w:r w:rsidRPr="00050963">
              <w:rPr>
                <w:color w:val="000000"/>
                <w:sz w:val="20"/>
                <w:szCs w:val="20"/>
              </w:rPr>
              <w:t>324</w:t>
            </w:r>
          </w:p>
        </w:tc>
        <w:tc>
          <w:tcPr>
            <w:tcW w:w="951" w:type="dxa"/>
            <w:shd w:val="clear" w:color="auto" w:fill="auto"/>
            <w:noWrap/>
            <w:vAlign w:val="center"/>
            <w:hideMark/>
          </w:tcPr>
          <w:p w14:paraId="1A18E0F6" w14:textId="77777777" w:rsidR="008B12EA" w:rsidRPr="00050963" w:rsidRDefault="008B12EA" w:rsidP="00B542EA">
            <w:pPr>
              <w:rPr>
                <w:bCs/>
                <w:color w:val="000000"/>
                <w:sz w:val="20"/>
                <w:szCs w:val="20"/>
              </w:rPr>
            </w:pPr>
            <w:r w:rsidRPr="00050963">
              <w:rPr>
                <w:color w:val="000000"/>
                <w:sz w:val="20"/>
                <w:szCs w:val="20"/>
              </w:rPr>
              <w:t>76-44-8</w:t>
            </w:r>
          </w:p>
        </w:tc>
        <w:tc>
          <w:tcPr>
            <w:tcW w:w="2416" w:type="dxa"/>
            <w:shd w:val="clear" w:color="auto" w:fill="auto"/>
            <w:noWrap/>
            <w:vAlign w:val="center"/>
            <w:hideMark/>
          </w:tcPr>
          <w:p w14:paraId="1A18E0F7" w14:textId="77777777" w:rsidR="008B12EA" w:rsidRPr="00050963" w:rsidRDefault="008B12EA" w:rsidP="00B542EA">
            <w:pPr>
              <w:jc w:val="left"/>
              <w:rPr>
                <w:bCs/>
                <w:color w:val="000000"/>
                <w:sz w:val="20"/>
                <w:szCs w:val="20"/>
              </w:rPr>
            </w:pPr>
            <w:r w:rsidRPr="00050963">
              <w:rPr>
                <w:color w:val="000000"/>
                <w:sz w:val="20"/>
                <w:szCs w:val="20"/>
              </w:rPr>
              <w:t>Heptaklor</w:t>
            </w:r>
          </w:p>
        </w:tc>
        <w:tc>
          <w:tcPr>
            <w:tcW w:w="986" w:type="dxa"/>
            <w:shd w:val="clear" w:color="auto" w:fill="auto"/>
            <w:noWrap/>
            <w:vAlign w:val="center"/>
            <w:hideMark/>
          </w:tcPr>
          <w:p w14:paraId="1A18E0F8"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0F9"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0FA"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0FB"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0FC"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0FD" w14:textId="77777777" w:rsidR="008B12EA" w:rsidRPr="00050963" w:rsidRDefault="008B12EA" w:rsidP="00B542EA">
            <w:pPr>
              <w:jc w:val="right"/>
              <w:rPr>
                <w:bCs/>
                <w:sz w:val="20"/>
                <w:szCs w:val="20"/>
              </w:rPr>
            </w:pPr>
            <w:r w:rsidRPr="00050963">
              <w:rPr>
                <w:sz w:val="20"/>
                <w:szCs w:val="20"/>
              </w:rPr>
              <w:t>1,00</w:t>
            </w:r>
          </w:p>
        </w:tc>
      </w:tr>
      <w:tr w:rsidR="008B12EA" w:rsidRPr="00050963" w14:paraId="1A18E108" w14:textId="77777777" w:rsidTr="00B542EA">
        <w:trPr>
          <w:trHeight w:val="300"/>
        </w:trPr>
        <w:tc>
          <w:tcPr>
            <w:tcW w:w="514" w:type="dxa"/>
            <w:shd w:val="clear" w:color="auto" w:fill="auto"/>
            <w:noWrap/>
            <w:vAlign w:val="center"/>
            <w:hideMark/>
          </w:tcPr>
          <w:p w14:paraId="1A18E0FF" w14:textId="77777777" w:rsidR="008B12EA" w:rsidRPr="00050963" w:rsidRDefault="008B12EA" w:rsidP="00B542EA">
            <w:pPr>
              <w:rPr>
                <w:bCs/>
                <w:color w:val="000000"/>
                <w:sz w:val="20"/>
                <w:szCs w:val="20"/>
              </w:rPr>
            </w:pPr>
            <w:r w:rsidRPr="00050963">
              <w:rPr>
                <w:color w:val="000000"/>
                <w:sz w:val="20"/>
                <w:szCs w:val="20"/>
              </w:rPr>
              <w:t>325</w:t>
            </w:r>
          </w:p>
        </w:tc>
        <w:tc>
          <w:tcPr>
            <w:tcW w:w="951" w:type="dxa"/>
            <w:shd w:val="clear" w:color="auto" w:fill="auto"/>
            <w:noWrap/>
            <w:vAlign w:val="center"/>
            <w:hideMark/>
          </w:tcPr>
          <w:p w14:paraId="1A18E100" w14:textId="77777777" w:rsidR="008B12EA" w:rsidRPr="00050963" w:rsidRDefault="008B12EA" w:rsidP="00B542EA">
            <w:pPr>
              <w:rPr>
                <w:bCs/>
                <w:color w:val="000000"/>
                <w:sz w:val="20"/>
                <w:szCs w:val="20"/>
              </w:rPr>
            </w:pPr>
            <w:r w:rsidRPr="00050963">
              <w:rPr>
                <w:color w:val="000000"/>
                <w:sz w:val="20"/>
                <w:szCs w:val="20"/>
              </w:rPr>
              <w:t>118-74-1</w:t>
            </w:r>
          </w:p>
        </w:tc>
        <w:tc>
          <w:tcPr>
            <w:tcW w:w="2416" w:type="dxa"/>
            <w:shd w:val="clear" w:color="auto" w:fill="auto"/>
            <w:noWrap/>
            <w:vAlign w:val="center"/>
            <w:hideMark/>
          </w:tcPr>
          <w:p w14:paraId="1A18E101" w14:textId="77777777" w:rsidR="008B12EA" w:rsidRPr="00050963" w:rsidRDefault="008B12EA" w:rsidP="00B542EA">
            <w:pPr>
              <w:jc w:val="left"/>
              <w:rPr>
                <w:bCs/>
                <w:color w:val="000000"/>
                <w:sz w:val="20"/>
                <w:szCs w:val="20"/>
              </w:rPr>
            </w:pPr>
            <w:r w:rsidRPr="00050963">
              <w:rPr>
                <w:color w:val="000000"/>
                <w:sz w:val="20"/>
                <w:szCs w:val="20"/>
              </w:rPr>
              <w:t>Heksaklorbenzen (HCB)</w:t>
            </w:r>
          </w:p>
        </w:tc>
        <w:tc>
          <w:tcPr>
            <w:tcW w:w="986" w:type="dxa"/>
            <w:shd w:val="clear" w:color="auto" w:fill="auto"/>
            <w:noWrap/>
            <w:vAlign w:val="center"/>
            <w:hideMark/>
          </w:tcPr>
          <w:p w14:paraId="1A18E102" w14:textId="77777777" w:rsidR="008B12EA" w:rsidRPr="00050963" w:rsidRDefault="008B12EA" w:rsidP="00B542EA">
            <w:pPr>
              <w:jc w:val="right"/>
              <w:rPr>
                <w:bCs/>
                <w:color w:val="000000"/>
                <w:sz w:val="20"/>
                <w:szCs w:val="20"/>
              </w:rPr>
            </w:pPr>
            <w:r w:rsidRPr="00050963">
              <w:rPr>
                <w:color w:val="000000"/>
                <w:sz w:val="20"/>
                <w:szCs w:val="20"/>
              </w:rPr>
              <w:t>10,00</w:t>
            </w:r>
          </w:p>
        </w:tc>
        <w:tc>
          <w:tcPr>
            <w:tcW w:w="861" w:type="dxa"/>
            <w:shd w:val="clear" w:color="auto" w:fill="auto"/>
            <w:noWrap/>
            <w:vAlign w:val="center"/>
            <w:hideMark/>
          </w:tcPr>
          <w:p w14:paraId="1A18E103"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104"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05" w14:textId="77777777" w:rsidR="008B12EA" w:rsidRPr="00050963" w:rsidRDefault="008B12EA" w:rsidP="00B542EA">
            <w:pPr>
              <w:jc w:val="right"/>
              <w:rPr>
                <w:bCs/>
                <w:sz w:val="20"/>
                <w:szCs w:val="20"/>
              </w:rPr>
            </w:pPr>
            <w:r w:rsidRPr="00050963">
              <w:rPr>
                <w:sz w:val="20"/>
                <w:szCs w:val="20"/>
              </w:rPr>
              <w:t>10,00</w:t>
            </w:r>
          </w:p>
        </w:tc>
        <w:tc>
          <w:tcPr>
            <w:tcW w:w="958" w:type="dxa"/>
            <w:shd w:val="clear" w:color="auto" w:fill="auto"/>
            <w:vAlign w:val="center"/>
            <w:hideMark/>
          </w:tcPr>
          <w:p w14:paraId="1A18E106"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07" w14:textId="77777777" w:rsidR="008B12EA" w:rsidRPr="00050963" w:rsidRDefault="008B12EA" w:rsidP="00B542EA">
            <w:pPr>
              <w:jc w:val="right"/>
              <w:rPr>
                <w:bCs/>
                <w:sz w:val="20"/>
                <w:szCs w:val="20"/>
              </w:rPr>
            </w:pPr>
            <w:r w:rsidRPr="00050963">
              <w:rPr>
                <w:sz w:val="20"/>
                <w:szCs w:val="20"/>
              </w:rPr>
              <w:t>1,00</w:t>
            </w:r>
          </w:p>
        </w:tc>
      </w:tr>
      <w:tr w:rsidR="008B12EA" w:rsidRPr="00050963" w14:paraId="1A18E112" w14:textId="77777777" w:rsidTr="00B542EA">
        <w:trPr>
          <w:trHeight w:val="300"/>
        </w:trPr>
        <w:tc>
          <w:tcPr>
            <w:tcW w:w="514" w:type="dxa"/>
            <w:shd w:val="clear" w:color="auto" w:fill="auto"/>
            <w:noWrap/>
            <w:vAlign w:val="center"/>
            <w:hideMark/>
          </w:tcPr>
          <w:p w14:paraId="1A18E109" w14:textId="77777777" w:rsidR="008B12EA" w:rsidRPr="00EF7BC3" w:rsidRDefault="008B12EA" w:rsidP="00B542EA">
            <w:pPr>
              <w:rPr>
                <w:b/>
                <w:bCs/>
                <w:sz w:val="20"/>
                <w:szCs w:val="20"/>
              </w:rPr>
            </w:pPr>
            <w:r w:rsidRPr="00EF7BC3">
              <w:rPr>
                <w:b/>
                <w:sz w:val="20"/>
                <w:szCs w:val="20"/>
              </w:rPr>
              <w:t>326</w:t>
            </w:r>
          </w:p>
        </w:tc>
        <w:tc>
          <w:tcPr>
            <w:tcW w:w="951" w:type="dxa"/>
            <w:shd w:val="clear" w:color="auto" w:fill="auto"/>
            <w:noWrap/>
            <w:vAlign w:val="center"/>
            <w:hideMark/>
          </w:tcPr>
          <w:p w14:paraId="1A18E10A" w14:textId="77777777" w:rsidR="008B12EA" w:rsidRPr="00EF7BC3" w:rsidRDefault="008B12EA" w:rsidP="00B542EA">
            <w:pPr>
              <w:rPr>
                <w:b/>
                <w:bCs/>
                <w:sz w:val="20"/>
                <w:szCs w:val="20"/>
              </w:rPr>
            </w:pPr>
            <w:r w:rsidRPr="00EF7BC3">
              <w:rPr>
                <w:b/>
                <w:sz w:val="20"/>
                <w:szCs w:val="20"/>
              </w:rPr>
              <w:t>87-68-3</w:t>
            </w:r>
          </w:p>
        </w:tc>
        <w:tc>
          <w:tcPr>
            <w:tcW w:w="2416" w:type="dxa"/>
            <w:shd w:val="clear" w:color="auto" w:fill="auto"/>
            <w:noWrap/>
            <w:vAlign w:val="center"/>
            <w:hideMark/>
          </w:tcPr>
          <w:p w14:paraId="1A18E10B" w14:textId="77777777" w:rsidR="008B12EA" w:rsidRPr="00EF7BC3" w:rsidRDefault="008B12EA" w:rsidP="00B542EA">
            <w:pPr>
              <w:jc w:val="left"/>
              <w:rPr>
                <w:b/>
                <w:bCs/>
                <w:sz w:val="20"/>
                <w:szCs w:val="20"/>
              </w:rPr>
            </w:pPr>
            <w:r w:rsidRPr="00EF7BC3">
              <w:rPr>
                <w:b/>
                <w:sz w:val="20"/>
                <w:szCs w:val="20"/>
              </w:rPr>
              <w:t>Heksaklorbutadien (HCBD)</w:t>
            </w:r>
          </w:p>
        </w:tc>
        <w:tc>
          <w:tcPr>
            <w:tcW w:w="986" w:type="dxa"/>
            <w:shd w:val="clear" w:color="auto" w:fill="auto"/>
            <w:noWrap/>
            <w:vAlign w:val="center"/>
            <w:hideMark/>
          </w:tcPr>
          <w:p w14:paraId="1A18E10C" w14:textId="77777777" w:rsidR="008B12EA" w:rsidRPr="00050963" w:rsidRDefault="008B12EA" w:rsidP="00B542EA">
            <w:pPr>
              <w:jc w:val="right"/>
              <w:rPr>
                <w:bCs/>
                <w:color w:val="000000"/>
                <w:sz w:val="20"/>
                <w:szCs w:val="20"/>
              </w:rPr>
            </w:pPr>
            <w:r>
              <w:rPr>
                <w:bCs/>
                <w:color w:val="000000"/>
                <w:sz w:val="20"/>
                <w:szCs w:val="20"/>
              </w:rPr>
              <w:t>_</w:t>
            </w:r>
          </w:p>
        </w:tc>
        <w:tc>
          <w:tcPr>
            <w:tcW w:w="861" w:type="dxa"/>
            <w:shd w:val="clear" w:color="auto" w:fill="auto"/>
            <w:noWrap/>
            <w:vAlign w:val="center"/>
            <w:hideMark/>
          </w:tcPr>
          <w:p w14:paraId="1A18E10D"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10E"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0F" w14:textId="77777777" w:rsidR="008B12EA" w:rsidRPr="00050963" w:rsidRDefault="008B12EA" w:rsidP="00B542EA">
            <w:pPr>
              <w:jc w:val="right"/>
              <w:rPr>
                <w:bCs/>
                <w:sz w:val="20"/>
                <w:szCs w:val="20"/>
              </w:rPr>
            </w:pPr>
            <w:r>
              <w:rPr>
                <w:bCs/>
                <w:sz w:val="20"/>
                <w:szCs w:val="20"/>
              </w:rPr>
              <w:t>_</w:t>
            </w:r>
          </w:p>
        </w:tc>
        <w:tc>
          <w:tcPr>
            <w:tcW w:w="958" w:type="dxa"/>
            <w:shd w:val="clear" w:color="auto" w:fill="auto"/>
            <w:vAlign w:val="center"/>
            <w:hideMark/>
          </w:tcPr>
          <w:p w14:paraId="1A18E110"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11" w14:textId="77777777" w:rsidR="008B12EA" w:rsidRPr="00050963" w:rsidRDefault="008B12EA" w:rsidP="00B542EA">
            <w:pPr>
              <w:jc w:val="right"/>
              <w:rPr>
                <w:bCs/>
                <w:sz w:val="20"/>
                <w:szCs w:val="20"/>
              </w:rPr>
            </w:pPr>
            <w:r w:rsidRPr="00050963">
              <w:rPr>
                <w:sz w:val="20"/>
                <w:szCs w:val="20"/>
              </w:rPr>
              <w:t>1,00</w:t>
            </w:r>
          </w:p>
        </w:tc>
      </w:tr>
      <w:tr w:rsidR="008B12EA" w:rsidRPr="00050963" w14:paraId="1A18E11C" w14:textId="77777777" w:rsidTr="00B542EA">
        <w:trPr>
          <w:trHeight w:val="300"/>
        </w:trPr>
        <w:tc>
          <w:tcPr>
            <w:tcW w:w="514" w:type="dxa"/>
            <w:shd w:val="clear" w:color="auto" w:fill="auto"/>
            <w:noWrap/>
            <w:vAlign w:val="center"/>
            <w:hideMark/>
          </w:tcPr>
          <w:p w14:paraId="1A18E113" w14:textId="77777777" w:rsidR="008B12EA" w:rsidRPr="00050963" w:rsidRDefault="008B12EA" w:rsidP="00B542EA">
            <w:pPr>
              <w:rPr>
                <w:bCs/>
                <w:color w:val="000000"/>
                <w:sz w:val="20"/>
                <w:szCs w:val="20"/>
              </w:rPr>
            </w:pPr>
            <w:r w:rsidRPr="00050963">
              <w:rPr>
                <w:color w:val="000000"/>
                <w:sz w:val="20"/>
                <w:szCs w:val="20"/>
              </w:rPr>
              <w:t>327</w:t>
            </w:r>
          </w:p>
        </w:tc>
        <w:tc>
          <w:tcPr>
            <w:tcW w:w="951" w:type="dxa"/>
            <w:shd w:val="clear" w:color="auto" w:fill="auto"/>
            <w:noWrap/>
            <w:vAlign w:val="center"/>
            <w:hideMark/>
          </w:tcPr>
          <w:p w14:paraId="1A18E114" w14:textId="77777777" w:rsidR="008B12EA" w:rsidRPr="00050963" w:rsidRDefault="008B12EA" w:rsidP="00B542EA">
            <w:pPr>
              <w:rPr>
                <w:bCs/>
                <w:color w:val="000000"/>
                <w:sz w:val="20"/>
                <w:szCs w:val="20"/>
              </w:rPr>
            </w:pPr>
            <w:r w:rsidRPr="00050963">
              <w:rPr>
                <w:color w:val="000000"/>
                <w:sz w:val="20"/>
                <w:szCs w:val="20"/>
              </w:rPr>
              <w:t>608-73-1</w:t>
            </w:r>
          </w:p>
        </w:tc>
        <w:tc>
          <w:tcPr>
            <w:tcW w:w="2416" w:type="dxa"/>
            <w:shd w:val="clear" w:color="auto" w:fill="auto"/>
            <w:noWrap/>
            <w:vAlign w:val="center"/>
            <w:hideMark/>
          </w:tcPr>
          <w:p w14:paraId="1A18E115" w14:textId="77777777" w:rsidR="008B12EA" w:rsidRPr="00050963" w:rsidRDefault="008B12EA" w:rsidP="00B542EA">
            <w:pPr>
              <w:jc w:val="left"/>
              <w:rPr>
                <w:bCs/>
                <w:color w:val="000000"/>
                <w:sz w:val="20"/>
                <w:szCs w:val="20"/>
              </w:rPr>
            </w:pPr>
            <w:r w:rsidRPr="00050963">
              <w:rPr>
                <w:color w:val="000000"/>
                <w:sz w:val="20"/>
                <w:szCs w:val="20"/>
              </w:rPr>
              <w:t>1,2,3,4,5,6-heksaklorcikloheksan (HCH)</w:t>
            </w:r>
          </w:p>
        </w:tc>
        <w:tc>
          <w:tcPr>
            <w:tcW w:w="986" w:type="dxa"/>
            <w:shd w:val="clear" w:color="auto" w:fill="auto"/>
            <w:noWrap/>
            <w:vAlign w:val="center"/>
            <w:hideMark/>
          </w:tcPr>
          <w:p w14:paraId="1A18E116" w14:textId="77777777" w:rsidR="008B12EA" w:rsidRPr="00050963" w:rsidRDefault="008B12EA" w:rsidP="00B542EA">
            <w:pPr>
              <w:jc w:val="right"/>
              <w:rPr>
                <w:bCs/>
                <w:color w:val="000000"/>
                <w:sz w:val="20"/>
                <w:szCs w:val="20"/>
              </w:rPr>
            </w:pPr>
            <w:r w:rsidRPr="00050963">
              <w:rPr>
                <w:color w:val="000000"/>
                <w:sz w:val="20"/>
                <w:szCs w:val="20"/>
              </w:rPr>
              <w:t>10,00</w:t>
            </w:r>
          </w:p>
        </w:tc>
        <w:tc>
          <w:tcPr>
            <w:tcW w:w="861" w:type="dxa"/>
            <w:shd w:val="clear" w:color="auto" w:fill="auto"/>
            <w:noWrap/>
            <w:vAlign w:val="center"/>
            <w:hideMark/>
          </w:tcPr>
          <w:p w14:paraId="1A18E117"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118"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19" w14:textId="77777777" w:rsidR="008B12EA" w:rsidRPr="00050963" w:rsidRDefault="008B12EA" w:rsidP="00B542EA">
            <w:pPr>
              <w:jc w:val="right"/>
              <w:rPr>
                <w:bCs/>
                <w:sz w:val="20"/>
                <w:szCs w:val="20"/>
              </w:rPr>
            </w:pPr>
            <w:r w:rsidRPr="00050963">
              <w:rPr>
                <w:sz w:val="20"/>
                <w:szCs w:val="20"/>
              </w:rPr>
              <w:t>10,00</w:t>
            </w:r>
          </w:p>
        </w:tc>
        <w:tc>
          <w:tcPr>
            <w:tcW w:w="958" w:type="dxa"/>
            <w:shd w:val="clear" w:color="auto" w:fill="auto"/>
            <w:vAlign w:val="center"/>
            <w:hideMark/>
          </w:tcPr>
          <w:p w14:paraId="1A18E11A"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1B" w14:textId="77777777" w:rsidR="008B12EA" w:rsidRPr="00050963" w:rsidRDefault="008B12EA" w:rsidP="00B542EA">
            <w:pPr>
              <w:jc w:val="right"/>
              <w:rPr>
                <w:bCs/>
                <w:sz w:val="20"/>
                <w:szCs w:val="20"/>
              </w:rPr>
            </w:pPr>
            <w:r w:rsidRPr="00050963">
              <w:rPr>
                <w:sz w:val="20"/>
                <w:szCs w:val="20"/>
              </w:rPr>
              <w:t>1,00</w:t>
            </w:r>
          </w:p>
        </w:tc>
      </w:tr>
      <w:tr w:rsidR="008B12EA" w:rsidRPr="00050963" w14:paraId="1A18E126" w14:textId="77777777" w:rsidTr="00B542EA">
        <w:trPr>
          <w:trHeight w:val="300"/>
        </w:trPr>
        <w:tc>
          <w:tcPr>
            <w:tcW w:w="514" w:type="dxa"/>
            <w:shd w:val="clear" w:color="auto" w:fill="auto"/>
            <w:noWrap/>
            <w:vAlign w:val="center"/>
            <w:hideMark/>
          </w:tcPr>
          <w:p w14:paraId="1A18E11D" w14:textId="77777777" w:rsidR="008B12EA" w:rsidRPr="00050963" w:rsidRDefault="008B12EA" w:rsidP="00B542EA">
            <w:pPr>
              <w:rPr>
                <w:bCs/>
                <w:color w:val="000000"/>
                <w:sz w:val="20"/>
                <w:szCs w:val="20"/>
              </w:rPr>
            </w:pPr>
            <w:r w:rsidRPr="00050963">
              <w:rPr>
                <w:color w:val="000000"/>
                <w:sz w:val="20"/>
                <w:szCs w:val="20"/>
              </w:rPr>
              <w:t>328</w:t>
            </w:r>
          </w:p>
        </w:tc>
        <w:tc>
          <w:tcPr>
            <w:tcW w:w="951" w:type="dxa"/>
            <w:shd w:val="clear" w:color="auto" w:fill="auto"/>
            <w:noWrap/>
            <w:vAlign w:val="center"/>
            <w:hideMark/>
          </w:tcPr>
          <w:p w14:paraId="1A18E11E" w14:textId="77777777" w:rsidR="008B12EA" w:rsidRPr="00050963" w:rsidRDefault="008B12EA" w:rsidP="00B542EA">
            <w:pPr>
              <w:rPr>
                <w:bCs/>
                <w:color w:val="000000"/>
                <w:sz w:val="20"/>
                <w:szCs w:val="20"/>
              </w:rPr>
            </w:pPr>
            <w:r w:rsidRPr="00050963">
              <w:rPr>
                <w:color w:val="000000"/>
                <w:sz w:val="20"/>
                <w:szCs w:val="20"/>
              </w:rPr>
              <w:t>58-89-9</w:t>
            </w:r>
          </w:p>
        </w:tc>
        <w:tc>
          <w:tcPr>
            <w:tcW w:w="2416" w:type="dxa"/>
            <w:shd w:val="clear" w:color="auto" w:fill="auto"/>
            <w:noWrap/>
            <w:vAlign w:val="center"/>
            <w:hideMark/>
          </w:tcPr>
          <w:p w14:paraId="1A18E11F" w14:textId="77777777" w:rsidR="008B12EA" w:rsidRPr="00050963" w:rsidRDefault="008B12EA" w:rsidP="00B542EA">
            <w:pPr>
              <w:jc w:val="left"/>
              <w:rPr>
                <w:bCs/>
                <w:color w:val="000000"/>
                <w:sz w:val="20"/>
                <w:szCs w:val="20"/>
              </w:rPr>
            </w:pPr>
            <w:r w:rsidRPr="00050963">
              <w:rPr>
                <w:color w:val="000000"/>
                <w:sz w:val="20"/>
                <w:szCs w:val="20"/>
              </w:rPr>
              <w:t>Lindan</w:t>
            </w:r>
          </w:p>
        </w:tc>
        <w:tc>
          <w:tcPr>
            <w:tcW w:w="986" w:type="dxa"/>
            <w:shd w:val="clear" w:color="auto" w:fill="auto"/>
            <w:noWrap/>
            <w:vAlign w:val="center"/>
            <w:hideMark/>
          </w:tcPr>
          <w:p w14:paraId="1A18E120"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121"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122"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23"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124"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25" w14:textId="77777777" w:rsidR="008B12EA" w:rsidRPr="00050963" w:rsidRDefault="008B12EA" w:rsidP="00B542EA">
            <w:pPr>
              <w:jc w:val="right"/>
              <w:rPr>
                <w:bCs/>
                <w:sz w:val="20"/>
                <w:szCs w:val="20"/>
              </w:rPr>
            </w:pPr>
            <w:r w:rsidRPr="00050963">
              <w:rPr>
                <w:sz w:val="20"/>
                <w:szCs w:val="20"/>
              </w:rPr>
              <w:t>1,00</w:t>
            </w:r>
          </w:p>
        </w:tc>
      </w:tr>
      <w:tr w:rsidR="008B12EA" w:rsidRPr="00050963" w14:paraId="1A18E130" w14:textId="77777777" w:rsidTr="00B542EA">
        <w:trPr>
          <w:trHeight w:val="300"/>
        </w:trPr>
        <w:tc>
          <w:tcPr>
            <w:tcW w:w="514" w:type="dxa"/>
            <w:shd w:val="clear" w:color="auto" w:fill="auto"/>
            <w:noWrap/>
            <w:vAlign w:val="center"/>
            <w:hideMark/>
          </w:tcPr>
          <w:p w14:paraId="1A18E127" w14:textId="77777777" w:rsidR="008B12EA" w:rsidRPr="00050963" w:rsidRDefault="008B12EA" w:rsidP="00B542EA">
            <w:pPr>
              <w:rPr>
                <w:bCs/>
                <w:color w:val="000000"/>
                <w:sz w:val="20"/>
                <w:szCs w:val="20"/>
              </w:rPr>
            </w:pPr>
            <w:r w:rsidRPr="00050963">
              <w:rPr>
                <w:color w:val="000000"/>
                <w:sz w:val="20"/>
                <w:szCs w:val="20"/>
              </w:rPr>
              <w:t>329</w:t>
            </w:r>
          </w:p>
        </w:tc>
        <w:tc>
          <w:tcPr>
            <w:tcW w:w="951" w:type="dxa"/>
            <w:shd w:val="clear" w:color="auto" w:fill="auto"/>
            <w:noWrap/>
            <w:vAlign w:val="center"/>
            <w:hideMark/>
          </w:tcPr>
          <w:p w14:paraId="1A18E128" w14:textId="77777777" w:rsidR="008B12EA" w:rsidRPr="00050963" w:rsidRDefault="008B12EA" w:rsidP="00B542EA">
            <w:pPr>
              <w:rPr>
                <w:bCs/>
                <w:color w:val="000000"/>
                <w:sz w:val="20"/>
                <w:szCs w:val="20"/>
              </w:rPr>
            </w:pPr>
            <w:r w:rsidRPr="00050963">
              <w:rPr>
                <w:color w:val="000000"/>
                <w:sz w:val="20"/>
                <w:szCs w:val="20"/>
              </w:rPr>
              <w:t>2385-85-5</w:t>
            </w:r>
          </w:p>
        </w:tc>
        <w:tc>
          <w:tcPr>
            <w:tcW w:w="2416" w:type="dxa"/>
            <w:shd w:val="clear" w:color="auto" w:fill="auto"/>
            <w:noWrap/>
            <w:vAlign w:val="center"/>
            <w:hideMark/>
          </w:tcPr>
          <w:p w14:paraId="1A18E129" w14:textId="77777777" w:rsidR="008B12EA" w:rsidRPr="00050963" w:rsidRDefault="008B12EA" w:rsidP="00B542EA">
            <w:pPr>
              <w:jc w:val="left"/>
              <w:rPr>
                <w:bCs/>
                <w:color w:val="000000"/>
                <w:sz w:val="20"/>
                <w:szCs w:val="20"/>
              </w:rPr>
            </w:pPr>
            <w:r w:rsidRPr="00050963">
              <w:rPr>
                <w:color w:val="000000"/>
                <w:sz w:val="20"/>
                <w:szCs w:val="20"/>
              </w:rPr>
              <w:t>Mireks</w:t>
            </w:r>
          </w:p>
        </w:tc>
        <w:tc>
          <w:tcPr>
            <w:tcW w:w="986" w:type="dxa"/>
            <w:shd w:val="clear" w:color="auto" w:fill="auto"/>
            <w:noWrap/>
            <w:vAlign w:val="center"/>
            <w:hideMark/>
          </w:tcPr>
          <w:p w14:paraId="1A18E12A"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12B"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12C"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2D"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12E"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2F" w14:textId="77777777" w:rsidR="008B12EA" w:rsidRPr="00050963" w:rsidRDefault="008B12EA" w:rsidP="00B542EA">
            <w:pPr>
              <w:jc w:val="right"/>
              <w:rPr>
                <w:bCs/>
                <w:sz w:val="20"/>
                <w:szCs w:val="20"/>
              </w:rPr>
            </w:pPr>
            <w:r w:rsidRPr="00050963">
              <w:rPr>
                <w:sz w:val="20"/>
                <w:szCs w:val="20"/>
              </w:rPr>
              <w:t>1,00</w:t>
            </w:r>
          </w:p>
        </w:tc>
      </w:tr>
      <w:tr w:rsidR="008B12EA" w:rsidRPr="00050963" w14:paraId="1A18E13A" w14:textId="77777777" w:rsidTr="00B542EA">
        <w:trPr>
          <w:trHeight w:val="300"/>
        </w:trPr>
        <w:tc>
          <w:tcPr>
            <w:tcW w:w="514" w:type="dxa"/>
            <w:shd w:val="clear" w:color="auto" w:fill="auto"/>
            <w:noWrap/>
            <w:vAlign w:val="center"/>
            <w:hideMark/>
          </w:tcPr>
          <w:p w14:paraId="1A18E131" w14:textId="77777777" w:rsidR="008B12EA" w:rsidRPr="00EF7BC3" w:rsidRDefault="008B12EA" w:rsidP="00B542EA">
            <w:pPr>
              <w:rPr>
                <w:b/>
                <w:bCs/>
                <w:sz w:val="20"/>
                <w:szCs w:val="20"/>
              </w:rPr>
            </w:pPr>
            <w:r w:rsidRPr="00EF7BC3">
              <w:rPr>
                <w:b/>
                <w:sz w:val="20"/>
                <w:szCs w:val="20"/>
              </w:rPr>
              <w:t>330</w:t>
            </w:r>
          </w:p>
        </w:tc>
        <w:tc>
          <w:tcPr>
            <w:tcW w:w="951" w:type="dxa"/>
            <w:shd w:val="clear" w:color="auto" w:fill="auto"/>
            <w:noWrap/>
            <w:vAlign w:val="center"/>
            <w:hideMark/>
          </w:tcPr>
          <w:p w14:paraId="1A18E132" w14:textId="77777777" w:rsidR="008B12EA" w:rsidRPr="00EF7BC3" w:rsidRDefault="008B12EA" w:rsidP="00B542EA">
            <w:pPr>
              <w:rPr>
                <w:b/>
                <w:bCs/>
                <w:sz w:val="20"/>
                <w:szCs w:val="20"/>
              </w:rPr>
            </w:pPr>
            <w:r w:rsidRPr="00EF7BC3">
              <w:rPr>
                <w:b/>
                <w:sz w:val="20"/>
                <w:szCs w:val="20"/>
              </w:rPr>
              <w:t> </w:t>
            </w:r>
          </w:p>
        </w:tc>
        <w:tc>
          <w:tcPr>
            <w:tcW w:w="2416" w:type="dxa"/>
            <w:shd w:val="clear" w:color="auto" w:fill="auto"/>
            <w:noWrap/>
            <w:vAlign w:val="center"/>
            <w:hideMark/>
          </w:tcPr>
          <w:p w14:paraId="1A18E133" w14:textId="77777777" w:rsidR="008B12EA" w:rsidRPr="00EF7BC3" w:rsidRDefault="008B12EA" w:rsidP="00B542EA">
            <w:pPr>
              <w:jc w:val="left"/>
              <w:rPr>
                <w:b/>
                <w:bCs/>
                <w:sz w:val="20"/>
                <w:szCs w:val="20"/>
              </w:rPr>
            </w:pPr>
            <w:r w:rsidRPr="00EF7BC3">
              <w:rPr>
                <w:b/>
                <w:sz w:val="20"/>
                <w:szCs w:val="20"/>
              </w:rPr>
              <w:t>Poliklorirani dibenzodioksini i poliklororani dibenzofurani (PCDD+PCDF) (kao TEQ)</w:t>
            </w:r>
          </w:p>
        </w:tc>
        <w:tc>
          <w:tcPr>
            <w:tcW w:w="986" w:type="dxa"/>
            <w:shd w:val="clear" w:color="auto" w:fill="auto"/>
            <w:noWrap/>
            <w:vAlign w:val="center"/>
            <w:hideMark/>
          </w:tcPr>
          <w:p w14:paraId="1A18E134" w14:textId="77777777" w:rsidR="008B12EA" w:rsidRPr="00050963" w:rsidRDefault="008B12EA" w:rsidP="00B542EA">
            <w:pPr>
              <w:jc w:val="right"/>
              <w:rPr>
                <w:bCs/>
                <w:color w:val="000000"/>
                <w:sz w:val="20"/>
                <w:szCs w:val="20"/>
              </w:rPr>
            </w:pPr>
            <w:r w:rsidRPr="00050963">
              <w:rPr>
                <w:color w:val="000000"/>
                <w:sz w:val="20"/>
                <w:szCs w:val="20"/>
              </w:rPr>
              <w:t>0,0001</w:t>
            </w:r>
          </w:p>
        </w:tc>
        <w:tc>
          <w:tcPr>
            <w:tcW w:w="861" w:type="dxa"/>
            <w:shd w:val="clear" w:color="auto" w:fill="auto"/>
            <w:noWrap/>
            <w:vAlign w:val="center"/>
            <w:hideMark/>
          </w:tcPr>
          <w:p w14:paraId="1A18E135" w14:textId="77777777" w:rsidR="008B12EA" w:rsidRPr="00050963" w:rsidRDefault="008B12EA" w:rsidP="00B542EA">
            <w:pPr>
              <w:jc w:val="right"/>
              <w:rPr>
                <w:bCs/>
                <w:color w:val="000000"/>
                <w:sz w:val="20"/>
                <w:szCs w:val="20"/>
              </w:rPr>
            </w:pPr>
            <w:r w:rsidRPr="00050963">
              <w:rPr>
                <w:color w:val="000000"/>
                <w:sz w:val="20"/>
                <w:szCs w:val="20"/>
              </w:rPr>
              <w:t>0,0001</w:t>
            </w:r>
          </w:p>
        </w:tc>
        <w:tc>
          <w:tcPr>
            <w:tcW w:w="993" w:type="dxa"/>
            <w:shd w:val="clear" w:color="auto" w:fill="auto"/>
            <w:noWrap/>
            <w:vAlign w:val="center"/>
            <w:hideMark/>
          </w:tcPr>
          <w:p w14:paraId="1A18E136" w14:textId="77777777" w:rsidR="008B12EA" w:rsidRPr="00050963" w:rsidRDefault="008B12EA" w:rsidP="00B542EA">
            <w:pPr>
              <w:jc w:val="right"/>
              <w:rPr>
                <w:bCs/>
                <w:color w:val="000000"/>
                <w:sz w:val="20"/>
                <w:szCs w:val="20"/>
              </w:rPr>
            </w:pPr>
            <w:r w:rsidRPr="00050963">
              <w:rPr>
                <w:color w:val="000000"/>
                <w:sz w:val="20"/>
                <w:szCs w:val="20"/>
              </w:rPr>
              <w:t>0,0001</w:t>
            </w:r>
          </w:p>
        </w:tc>
        <w:tc>
          <w:tcPr>
            <w:tcW w:w="1134" w:type="dxa"/>
            <w:shd w:val="clear" w:color="auto" w:fill="auto"/>
            <w:vAlign w:val="center"/>
            <w:hideMark/>
          </w:tcPr>
          <w:p w14:paraId="1A18E137" w14:textId="77777777" w:rsidR="008B12EA" w:rsidRPr="00050963" w:rsidRDefault="008B12EA" w:rsidP="00B542EA">
            <w:pPr>
              <w:jc w:val="right"/>
              <w:rPr>
                <w:sz w:val="20"/>
                <w:szCs w:val="20"/>
              </w:rPr>
            </w:pPr>
            <w:r w:rsidRPr="00050963">
              <w:rPr>
                <w:color w:val="000000"/>
                <w:sz w:val="20"/>
                <w:szCs w:val="20"/>
              </w:rPr>
              <w:t>0,0001</w:t>
            </w:r>
          </w:p>
        </w:tc>
        <w:tc>
          <w:tcPr>
            <w:tcW w:w="958" w:type="dxa"/>
            <w:shd w:val="clear" w:color="auto" w:fill="auto"/>
            <w:vAlign w:val="center"/>
            <w:hideMark/>
          </w:tcPr>
          <w:p w14:paraId="1A18E138" w14:textId="77777777" w:rsidR="008B12EA" w:rsidRPr="00050963" w:rsidRDefault="008B12EA" w:rsidP="00B542EA">
            <w:pPr>
              <w:jc w:val="right"/>
              <w:rPr>
                <w:sz w:val="20"/>
                <w:szCs w:val="20"/>
              </w:rPr>
            </w:pPr>
            <w:r w:rsidRPr="00050963">
              <w:rPr>
                <w:color w:val="000000"/>
                <w:sz w:val="20"/>
                <w:szCs w:val="20"/>
              </w:rPr>
              <w:t>0,0001</w:t>
            </w:r>
          </w:p>
        </w:tc>
        <w:tc>
          <w:tcPr>
            <w:tcW w:w="906" w:type="dxa"/>
            <w:shd w:val="clear" w:color="auto" w:fill="auto"/>
            <w:vAlign w:val="center"/>
            <w:hideMark/>
          </w:tcPr>
          <w:p w14:paraId="1A18E139" w14:textId="77777777" w:rsidR="008B12EA" w:rsidRPr="00050963" w:rsidRDefault="008B12EA" w:rsidP="00B542EA">
            <w:pPr>
              <w:jc w:val="right"/>
              <w:rPr>
                <w:sz w:val="20"/>
                <w:szCs w:val="20"/>
              </w:rPr>
            </w:pPr>
            <w:r w:rsidRPr="00050963">
              <w:rPr>
                <w:color w:val="000000"/>
                <w:sz w:val="20"/>
                <w:szCs w:val="20"/>
              </w:rPr>
              <w:t>0,0001</w:t>
            </w:r>
          </w:p>
        </w:tc>
      </w:tr>
      <w:tr w:rsidR="008B12EA" w:rsidRPr="00050963" w14:paraId="1A18E144" w14:textId="77777777" w:rsidTr="00B542EA">
        <w:trPr>
          <w:trHeight w:val="300"/>
        </w:trPr>
        <w:tc>
          <w:tcPr>
            <w:tcW w:w="514" w:type="dxa"/>
            <w:shd w:val="clear" w:color="auto" w:fill="auto"/>
            <w:noWrap/>
            <w:vAlign w:val="center"/>
            <w:hideMark/>
          </w:tcPr>
          <w:p w14:paraId="1A18E13B" w14:textId="77777777" w:rsidR="008B12EA" w:rsidRPr="00050963" w:rsidRDefault="008B12EA" w:rsidP="00B542EA">
            <w:pPr>
              <w:rPr>
                <w:bCs/>
                <w:color w:val="000000"/>
                <w:sz w:val="20"/>
                <w:szCs w:val="20"/>
              </w:rPr>
            </w:pPr>
            <w:r w:rsidRPr="00050963">
              <w:rPr>
                <w:color w:val="000000"/>
                <w:sz w:val="20"/>
                <w:szCs w:val="20"/>
              </w:rPr>
              <w:t>331</w:t>
            </w:r>
          </w:p>
        </w:tc>
        <w:tc>
          <w:tcPr>
            <w:tcW w:w="951" w:type="dxa"/>
            <w:shd w:val="clear" w:color="auto" w:fill="auto"/>
            <w:noWrap/>
            <w:vAlign w:val="center"/>
            <w:hideMark/>
          </w:tcPr>
          <w:p w14:paraId="1A18E13C" w14:textId="77777777" w:rsidR="008B12EA" w:rsidRPr="00050963" w:rsidRDefault="008B12EA" w:rsidP="00B542EA">
            <w:pPr>
              <w:rPr>
                <w:bCs/>
                <w:color w:val="000000"/>
                <w:sz w:val="20"/>
                <w:szCs w:val="20"/>
              </w:rPr>
            </w:pPr>
            <w:r w:rsidRPr="00050963">
              <w:rPr>
                <w:color w:val="000000"/>
                <w:sz w:val="20"/>
                <w:szCs w:val="20"/>
              </w:rPr>
              <w:t>608-93-5</w:t>
            </w:r>
          </w:p>
        </w:tc>
        <w:tc>
          <w:tcPr>
            <w:tcW w:w="2416" w:type="dxa"/>
            <w:shd w:val="clear" w:color="auto" w:fill="auto"/>
            <w:noWrap/>
            <w:vAlign w:val="center"/>
            <w:hideMark/>
          </w:tcPr>
          <w:p w14:paraId="1A18E13D" w14:textId="77777777" w:rsidR="008B12EA" w:rsidRPr="00050963" w:rsidRDefault="008B12EA" w:rsidP="00B542EA">
            <w:pPr>
              <w:jc w:val="left"/>
              <w:rPr>
                <w:bCs/>
                <w:color w:val="000000"/>
                <w:sz w:val="20"/>
                <w:szCs w:val="20"/>
              </w:rPr>
            </w:pPr>
            <w:r w:rsidRPr="00050963">
              <w:rPr>
                <w:color w:val="000000"/>
                <w:sz w:val="20"/>
                <w:szCs w:val="20"/>
              </w:rPr>
              <w:t>Pentaklorbenzen</w:t>
            </w:r>
          </w:p>
        </w:tc>
        <w:tc>
          <w:tcPr>
            <w:tcW w:w="986" w:type="dxa"/>
            <w:shd w:val="clear" w:color="auto" w:fill="auto"/>
            <w:noWrap/>
            <w:vAlign w:val="center"/>
            <w:hideMark/>
          </w:tcPr>
          <w:p w14:paraId="1A18E13E" w14:textId="77777777" w:rsidR="008B12EA" w:rsidRPr="00050963" w:rsidRDefault="008B12EA" w:rsidP="00B542EA">
            <w:pPr>
              <w:jc w:val="right"/>
              <w:rPr>
                <w:bCs/>
                <w:color w:val="000000"/>
                <w:sz w:val="20"/>
                <w:szCs w:val="20"/>
              </w:rPr>
            </w:pPr>
            <w:r w:rsidRPr="00050963">
              <w:rPr>
                <w:color w:val="000000"/>
                <w:sz w:val="20"/>
                <w:szCs w:val="20"/>
              </w:rPr>
              <w:t>1,00</w:t>
            </w:r>
          </w:p>
        </w:tc>
        <w:tc>
          <w:tcPr>
            <w:tcW w:w="861" w:type="dxa"/>
            <w:shd w:val="clear" w:color="auto" w:fill="auto"/>
            <w:noWrap/>
            <w:vAlign w:val="center"/>
            <w:hideMark/>
          </w:tcPr>
          <w:p w14:paraId="1A18E13F" w14:textId="77777777" w:rsidR="008B12EA" w:rsidRPr="00050963" w:rsidRDefault="008B12EA" w:rsidP="00B542EA">
            <w:pPr>
              <w:jc w:val="right"/>
              <w:rPr>
                <w:bCs/>
                <w:color w:val="000000"/>
                <w:sz w:val="20"/>
                <w:szCs w:val="20"/>
              </w:rPr>
            </w:pPr>
            <w:r w:rsidRPr="00050963">
              <w:rPr>
                <w:color w:val="000000"/>
                <w:sz w:val="20"/>
                <w:szCs w:val="20"/>
              </w:rPr>
              <w:t>1,00</w:t>
            </w:r>
          </w:p>
        </w:tc>
        <w:tc>
          <w:tcPr>
            <w:tcW w:w="993" w:type="dxa"/>
            <w:shd w:val="clear" w:color="auto" w:fill="auto"/>
            <w:noWrap/>
            <w:vAlign w:val="center"/>
            <w:hideMark/>
          </w:tcPr>
          <w:p w14:paraId="1A18E140"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41" w14:textId="77777777" w:rsidR="008B12EA" w:rsidRPr="00050963" w:rsidRDefault="008B12EA" w:rsidP="00B542EA">
            <w:pPr>
              <w:jc w:val="right"/>
              <w:rPr>
                <w:bCs/>
                <w:sz w:val="20"/>
                <w:szCs w:val="20"/>
              </w:rPr>
            </w:pPr>
            <w:r w:rsidRPr="00050963">
              <w:rPr>
                <w:sz w:val="20"/>
                <w:szCs w:val="20"/>
              </w:rPr>
              <w:t>1,00</w:t>
            </w:r>
          </w:p>
        </w:tc>
        <w:tc>
          <w:tcPr>
            <w:tcW w:w="958" w:type="dxa"/>
            <w:shd w:val="clear" w:color="auto" w:fill="auto"/>
            <w:vAlign w:val="center"/>
            <w:hideMark/>
          </w:tcPr>
          <w:p w14:paraId="1A18E142"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43" w14:textId="77777777" w:rsidR="008B12EA" w:rsidRPr="00050963" w:rsidRDefault="008B12EA" w:rsidP="00B542EA">
            <w:pPr>
              <w:jc w:val="right"/>
              <w:rPr>
                <w:bCs/>
                <w:sz w:val="20"/>
                <w:szCs w:val="20"/>
              </w:rPr>
            </w:pPr>
            <w:r w:rsidRPr="00050963">
              <w:rPr>
                <w:sz w:val="20"/>
                <w:szCs w:val="20"/>
              </w:rPr>
              <w:t>1,00</w:t>
            </w:r>
          </w:p>
        </w:tc>
      </w:tr>
      <w:tr w:rsidR="008B12EA" w:rsidRPr="00050963" w14:paraId="1A18E14E" w14:textId="77777777" w:rsidTr="00B542EA">
        <w:trPr>
          <w:trHeight w:val="300"/>
        </w:trPr>
        <w:tc>
          <w:tcPr>
            <w:tcW w:w="514" w:type="dxa"/>
            <w:shd w:val="clear" w:color="auto" w:fill="auto"/>
            <w:noWrap/>
            <w:vAlign w:val="center"/>
            <w:hideMark/>
          </w:tcPr>
          <w:p w14:paraId="1A18E145" w14:textId="77777777" w:rsidR="008B12EA" w:rsidRPr="00F01159" w:rsidRDefault="008B12EA" w:rsidP="00B542EA">
            <w:pPr>
              <w:rPr>
                <w:b/>
                <w:bCs/>
                <w:color w:val="000000"/>
                <w:sz w:val="20"/>
                <w:szCs w:val="20"/>
              </w:rPr>
            </w:pPr>
            <w:r w:rsidRPr="00F01159">
              <w:rPr>
                <w:b/>
                <w:color w:val="000000"/>
                <w:sz w:val="20"/>
                <w:szCs w:val="20"/>
              </w:rPr>
              <w:t>332</w:t>
            </w:r>
          </w:p>
        </w:tc>
        <w:tc>
          <w:tcPr>
            <w:tcW w:w="951" w:type="dxa"/>
            <w:shd w:val="clear" w:color="auto" w:fill="auto"/>
            <w:noWrap/>
            <w:vAlign w:val="center"/>
            <w:hideMark/>
          </w:tcPr>
          <w:p w14:paraId="1A18E146" w14:textId="77777777" w:rsidR="008B12EA" w:rsidRPr="00F01159" w:rsidRDefault="008B12EA" w:rsidP="00B542EA">
            <w:pPr>
              <w:rPr>
                <w:b/>
                <w:bCs/>
                <w:color w:val="000000"/>
                <w:sz w:val="20"/>
                <w:szCs w:val="20"/>
              </w:rPr>
            </w:pPr>
            <w:r w:rsidRPr="00F01159">
              <w:rPr>
                <w:b/>
                <w:color w:val="000000"/>
                <w:sz w:val="20"/>
                <w:szCs w:val="20"/>
              </w:rPr>
              <w:t>87-86-5</w:t>
            </w:r>
          </w:p>
        </w:tc>
        <w:tc>
          <w:tcPr>
            <w:tcW w:w="2416" w:type="dxa"/>
            <w:shd w:val="clear" w:color="auto" w:fill="auto"/>
            <w:noWrap/>
            <w:vAlign w:val="center"/>
            <w:hideMark/>
          </w:tcPr>
          <w:p w14:paraId="1A18E147" w14:textId="77777777" w:rsidR="008B12EA" w:rsidRPr="00F01159" w:rsidRDefault="008B12EA" w:rsidP="00B542EA">
            <w:pPr>
              <w:jc w:val="left"/>
              <w:rPr>
                <w:b/>
                <w:bCs/>
                <w:color w:val="000000"/>
                <w:sz w:val="20"/>
                <w:szCs w:val="20"/>
              </w:rPr>
            </w:pPr>
            <w:r w:rsidRPr="00F01159">
              <w:rPr>
                <w:b/>
                <w:color w:val="000000"/>
                <w:sz w:val="20"/>
                <w:szCs w:val="20"/>
              </w:rPr>
              <w:t>Pentaklorfenol (PCP)</w:t>
            </w:r>
          </w:p>
        </w:tc>
        <w:tc>
          <w:tcPr>
            <w:tcW w:w="986" w:type="dxa"/>
            <w:shd w:val="clear" w:color="auto" w:fill="auto"/>
            <w:noWrap/>
            <w:vAlign w:val="center"/>
            <w:hideMark/>
          </w:tcPr>
          <w:p w14:paraId="1A18E148" w14:textId="77777777" w:rsidR="008B12EA" w:rsidRPr="00050963" w:rsidRDefault="008B12EA" w:rsidP="00B542EA">
            <w:pPr>
              <w:jc w:val="right"/>
              <w:rPr>
                <w:bCs/>
                <w:sz w:val="20"/>
                <w:szCs w:val="20"/>
              </w:rPr>
            </w:pPr>
            <w:r w:rsidRPr="00050963">
              <w:rPr>
                <w:sz w:val="20"/>
                <w:szCs w:val="20"/>
              </w:rPr>
              <w:t>1,00</w:t>
            </w:r>
          </w:p>
        </w:tc>
        <w:tc>
          <w:tcPr>
            <w:tcW w:w="861" w:type="dxa"/>
            <w:shd w:val="clear" w:color="auto" w:fill="auto"/>
            <w:noWrap/>
            <w:vAlign w:val="center"/>
            <w:hideMark/>
          </w:tcPr>
          <w:p w14:paraId="1A18E149" w14:textId="77777777" w:rsidR="008B12EA" w:rsidRPr="00050963" w:rsidRDefault="008B12EA" w:rsidP="00B542EA">
            <w:pPr>
              <w:jc w:val="right"/>
              <w:rPr>
                <w:bCs/>
                <w:sz w:val="20"/>
                <w:szCs w:val="20"/>
              </w:rPr>
            </w:pPr>
            <w:r w:rsidRPr="00050963">
              <w:rPr>
                <w:sz w:val="20"/>
                <w:szCs w:val="20"/>
              </w:rPr>
              <w:t>1,00</w:t>
            </w:r>
          </w:p>
        </w:tc>
        <w:tc>
          <w:tcPr>
            <w:tcW w:w="993" w:type="dxa"/>
            <w:shd w:val="clear" w:color="auto" w:fill="auto"/>
            <w:noWrap/>
            <w:vAlign w:val="center"/>
            <w:hideMark/>
          </w:tcPr>
          <w:p w14:paraId="1A18E14A"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4B" w14:textId="77777777" w:rsidR="008B12EA" w:rsidRPr="0022124A" w:rsidRDefault="008B12EA" w:rsidP="00B542EA">
            <w:pPr>
              <w:jc w:val="right"/>
              <w:rPr>
                <w:bCs/>
                <w:sz w:val="20"/>
                <w:szCs w:val="20"/>
              </w:rPr>
            </w:pPr>
            <w:r w:rsidRPr="0022124A">
              <w:rPr>
                <w:sz w:val="20"/>
                <w:szCs w:val="20"/>
              </w:rPr>
              <w:t>10,00</w:t>
            </w:r>
          </w:p>
        </w:tc>
        <w:tc>
          <w:tcPr>
            <w:tcW w:w="958" w:type="dxa"/>
            <w:shd w:val="clear" w:color="auto" w:fill="auto"/>
            <w:vAlign w:val="center"/>
            <w:hideMark/>
          </w:tcPr>
          <w:p w14:paraId="1A18E14C"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4D" w14:textId="77777777" w:rsidR="008B12EA" w:rsidRPr="00050963" w:rsidRDefault="008B12EA" w:rsidP="00B542EA">
            <w:pPr>
              <w:jc w:val="right"/>
              <w:rPr>
                <w:bCs/>
                <w:sz w:val="20"/>
                <w:szCs w:val="20"/>
              </w:rPr>
            </w:pPr>
            <w:r w:rsidRPr="00050963">
              <w:rPr>
                <w:sz w:val="20"/>
                <w:szCs w:val="20"/>
              </w:rPr>
              <w:t>1,00</w:t>
            </w:r>
          </w:p>
        </w:tc>
      </w:tr>
      <w:tr w:rsidR="008B12EA" w:rsidRPr="00050963" w14:paraId="1A18E158" w14:textId="77777777" w:rsidTr="00B542EA">
        <w:trPr>
          <w:trHeight w:val="300"/>
        </w:trPr>
        <w:tc>
          <w:tcPr>
            <w:tcW w:w="514" w:type="dxa"/>
            <w:shd w:val="clear" w:color="auto" w:fill="auto"/>
            <w:noWrap/>
            <w:vAlign w:val="center"/>
            <w:hideMark/>
          </w:tcPr>
          <w:p w14:paraId="1A18E14F" w14:textId="77777777" w:rsidR="008B12EA" w:rsidRPr="00EF7BC3" w:rsidRDefault="008B12EA" w:rsidP="00B542EA">
            <w:pPr>
              <w:rPr>
                <w:b/>
                <w:bCs/>
                <w:sz w:val="20"/>
                <w:szCs w:val="20"/>
              </w:rPr>
            </w:pPr>
            <w:r w:rsidRPr="00EF7BC3">
              <w:rPr>
                <w:b/>
                <w:sz w:val="20"/>
                <w:szCs w:val="20"/>
              </w:rPr>
              <w:t>333</w:t>
            </w:r>
          </w:p>
        </w:tc>
        <w:tc>
          <w:tcPr>
            <w:tcW w:w="951" w:type="dxa"/>
            <w:shd w:val="clear" w:color="auto" w:fill="auto"/>
            <w:noWrap/>
            <w:vAlign w:val="center"/>
            <w:hideMark/>
          </w:tcPr>
          <w:p w14:paraId="1A18E150" w14:textId="77777777" w:rsidR="008B12EA" w:rsidRPr="00EF7BC3" w:rsidRDefault="008B12EA" w:rsidP="00B542EA">
            <w:pPr>
              <w:rPr>
                <w:b/>
                <w:bCs/>
                <w:sz w:val="20"/>
                <w:szCs w:val="20"/>
              </w:rPr>
            </w:pPr>
            <w:r w:rsidRPr="00EF7BC3">
              <w:rPr>
                <w:b/>
                <w:sz w:val="20"/>
                <w:szCs w:val="20"/>
              </w:rPr>
              <w:t>1336-36-3</w:t>
            </w:r>
          </w:p>
        </w:tc>
        <w:tc>
          <w:tcPr>
            <w:tcW w:w="2416" w:type="dxa"/>
            <w:shd w:val="clear" w:color="auto" w:fill="auto"/>
            <w:noWrap/>
            <w:vAlign w:val="center"/>
            <w:hideMark/>
          </w:tcPr>
          <w:p w14:paraId="1A18E151" w14:textId="77777777" w:rsidR="008B12EA" w:rsidRPr="00EF7BC3" w:rsidRDefault="008B12EA" w:rsidP="00B542EA">
            <w:pPr>
              <w:jc w:val="left"/>
              <w:rPr>
                <w:b/>
                <w:bCs/>
                <w:sz w:val="20"/>
                <w:szCs w:val="20"/>
              </w:rPr>
            </w:pPr>
            <w:r w:rsidRPr="00EF7BC3">
              <w:rPr>
                <w:b/>
                <w:sz w:val="20"/>
                <w:szCs w:val="20"/>
              </w:rPr>
              <w:t>Polikloriranibifenili (PCB)</w:t>
            </w:r>
          </w:p>
        </w:tc>
        <w:tc>
          <w:tcPr>
            <w:tcW w:w="986" w:type="dxa"/>
            <w:shd w:val="clear" w:color="auto" w:fill="auto"/>
            <w:noWrap/>
            <w:vAlign w:val="center"/>
            <w:hideMark/>
          </w:tcPr>
          <w:p w14:paraId="1A18E152" w14:textId="77777777" w:rsidR="008B12EA" w:rsidRPr="00050963" w:rsidRDefault="008B12EA" w:rsidP="00B542EA">
            <w:pPr>
              <w:jc w:val="right"/>
              <w:rPr>
                <w:bCs/>
                <w:sz w:val="20"/>
                <w:szCs w:val="20"/>
              </w:rPr>
            </w:pPr>
            <w:r w:rsidRPr="00050963">
              <w:rPr>
                <w:sz w:val="20"/>
                <w:szCs w:val="20"/>
              </w:rPr>
              <w:t>0,10</w:t>
            </w:r>
          </w:p>
        </w:tc>
        <w:tc>
          <w:tcPr>
            <w:tcW w:w="861" w:type="dxa"/>
            <w:shd w:val="clear" w:color="auto" w:fill="auto"/>
            <w:noWrap/>
            <w:vAlign w:val="center"/>
            <w:hideMark/>
          </w:tcPr>
          <w:p w14:paraId="1A18E153" w14:textId="77777777" w:rsidR="008B12EA" w:rsidRPr="00050963" w:rsidRDefault="008B12EA" w:rsidP="00B542EA">
            <w:pPr>
              <w:jc w:val="right"/>
              <w:rPr>
                <w:bCs/>
                <w:sz w:val="20"/>
                <w:szCs w:val="20"/>
              </w:rPr>
            </w:pPr>
            <w:r w:rsidRPr="00050963">
              <w:rPr>
                <w:sz w:val="20"/>
                <w:szCs w:val="20"/>
              </w:rPr>
              <w:t>0,10</w:t>
            </w:r>
          </w:p>
        </w:tc>
        <w:tc>
          <w:tcPr>
            <w:tcW w:w="993" w:type="dxa"/>
            <w:shd w:val="clear" w:color="auto" w:fill="auto"/>
            <w:noWrap/>
            <w:vAlign w:val="center"/>
            <w:hideMark/>
          </w:tcPr>
          <w:p w14:paraId="1A18E154" w14:textId="77777777" w:rsidR="008B12EA" w:rsidRPr="00050963" w:rsidRDefault="008B12EA" w:rsidP="00B542EA">
            <w:pPr>
              <w:jc w:val="right"/>
              <w:rPr>
                <w:bCs/>
                <w:color w:val="000000"/>
                <w:sz w:val="20"/>
                <w:szCs w:val="20"/>
              </w:rPr>
            </w:pPr>
            <w:r w:rsidRPr="00050963">
              <w:rPr>
                <w:color w:val="000000"/>
                <w:sz w:val="20"/>
                <w:szCs w:val="20"/>
              </w:rPr>
              <w:t>0,10</w:t>
            </w:r>
          </w:p>
        </w:tc>
        <w:tc>
          <w:tcPr>
            <w:tcW w:w="1134" w:type="dxa"/>
            <w:shd w:val="clear" w:color="auto" w:fill="auto"/>
            <w:vAlign w:val="center"/>
            <w:hideMark/>
          </w:tcPr>
          <w:p w14:paraId="1A18E155" w14:textId="77777777" w:rsidR="008B12EA" w:rsidRPr="0067282E" w:rsidRDefault="008B12EA" w:rsidP="00B542EA">
            <w:pPr>
              <w:jc w:val="right"/>
              <w:rPr>
                <w:bCs/>
                <w:sz w:val="20"/>
                <w:szCs w:val="20"/>
              </w:rPr>
            </w:pPr>
            <w:r w:rsidRPr="0067282E">
              <w:rPr>
                <w:sz w:val="20"/>
                <w:szCs w:val="20"/>
              </w:rPr>
              <w:t>0,10</w:t>
            </w:r>
          </w:p>
        </w:tc>
        <w:tc>
          <w:tcPr>
            <w:tcW w:w="958" w:type="dxa"/>
            <w:shd w:val="clear" w:color="auto" w:fill="auto"/>
            <w:vAlign w:val="center"/>
            <w:hideMark/>
          </w:tcPr>
          <w:p w14:paraId="1A18E156" w14:textId="77777777" w:rsidR="008B12EA" w:rsidRPr="00050963" w:rsidRDefault="008B12EA" w:rsidP="00B542EA">
            <w:pPr>
              <w:jc w:val="right"/>
              <w:rPr>
                <w:bCs/>
                <w:sz w:val="20"/>
                <w:szCs w:val="20"/>
              </w:rPr>
            </w:pPr>
            <w:r w:rsidRPr="00050963">
              <w:rPr>
                <w:sz w:val="20"/>
                <w:szCs w:val="20"/>
              </w:rPr>
              <w:t>0,10</w:t>
            </w:r>
          </w:p>
        </w:tc>
        <w:tc>
          <w:tcPr>
            <w:tcW w:w="906" w:type="dxa"/>
            <w:shd w:val="clear" w:color="auto" w:fill="auto"/>
            <w:vAlign w:val="center"/>
            <w:hideMark/>
          </w:tcPr>
          <w:p w14:paraId="1A18E157" w14:textId="77777777" w:rsidR="008B12EA" w:rsidRPr="00050963" w:rsidRDefault="008B12EA" w:rsidP="00B542EA">
            <w:pPr>
              <w:jc w:val="right"/>
              <w:rPr>
                <w:bCs/>
                <w:sz w:val="20"/>
                <w:szCs w:val="20"/>
              </w:rPr>
            </w:pPr>
            <w:r w:rsidRPr="00050963">
              <w:rPr>
                <w:sz w:val="20"/>
                <w:szCs w:val="20"/>
              </w:rPr>
              <w:t>0,10</w:t>
            </w:r>
          </w:p>
        </w:tc>
      </w:tr>
      <w:tr w:rsidR="008B12EA" w:rsidRPr="00050963" w14:paraId="1A18E162" w14:textId="77777777" w:rsidTr="00B542EA">
        <w:trPr>
          <w:trHeight w:val="300"/>
        </w:trPr>
        <w:tc>
          <w:tcPr>
            <w:tcW w:w="514" w:type="dxa"/>
            <w:shd w:val="clear" w:color="auto" w:fill="auto"/>
            <w:noWrap/>
            <w:vAlign w:val="center"/>
            <w:hideMark/>
          </w:tcPr>
          <w:p w14:paraId="1A18E159" w14:textId="77777777" w:rsidR="008B12EA" w:rsidRPr="00050963" w:rsidRDefault="008B12EA" w:rsidP="00B542EA">
            <w:pPr>
              <w:rPr>
                <w:bCs/>
                <w:color w:val="000000"/>
                <w:sz w:val="20"/>
                <w:szCs w:val="20"/>
              </w:rPr>
            </w:pPr>
            <w:r w:rsidRPr="00050963">
              <w:rPr>
                <w:color w:val="000000"/>
                <w:sz w:val="20"/>
                <w:szCs w:val="20"/>
              </w:rPr>
              <w:t>342</w:t>
            </w:r>
          </w:p>
        </w:tc>
        <w:tc>
          <w:tcPr>
            <w:tcW w:w="951" w:type="dxa"/>
            <w:shd w:val="clear" w:color="auto" w:fill="auto"/>
            <w:noWrap/>
            <w:vAlign w:val="center"/>
            <w:hideMark/>
          </w:tcPr>
          <w:p w14:paraId="1A18E15A" w14:textId="77777777" w:rsidR="008B12EA" w:rsidRPr="00050963" w:rsidRDefault="008B12EA" w:rsidP="00B542EA">
            <w:pPr>
              <w:rPr>
                <w:bCs/>
                <w:color w:val="000000"/>
                <w:sz w:val="20"/>
                <w:szCs w:val="20"/>
              </w:rPr>
            </w:pPr>
            <w:r w:rsidRPr="00050963">
              <w:rPr>
                <w:color w:val="000000"/>
                <w:sz w:val="20"/>
                <w:szCs w:val="20"/>
              </w:rPr>
              <w:t>8001-35-2</w:t>
            </w:r>
          </w:p>
        </w:tc>
        <w:tc>
          <w:tcPr>
            <w:tcW w:w="2416" w:type="dxa"/>
            <w:shd w:val="clear" w:color="auto" w:fill="auto"/>
            <w:noWrap/>
            <w:vAlign w:val="center"/>
            <w:hideMark/>
          </w:tcPr>
          <w:p w14:paraId="1A18E15B" w14:textId="77777777" w:rsidR="008B12EA" w:rsidRPr="00050963" w:rsidRDefault="008B12EA" w:rsidP="00B542EA">
            <w:pPr>
              <w:jc w:val="left"/>
              <w:rPr>
                <w:bCs/>
                <w:color w:val="000000"/>
                <w:sz w:val="20"/>
                <w:szCs w:val="20"/>
              </w:rPr>
            </w:pPr>
            <w:r w:rsidRPr="00050963">
              <w:rPr>
                <w:color w:val="000000"/>
                <w:sz w:val="20"/>
                <w:szCs w:val="20"/>
              </w:rPr>
              <w:t>Toksafen</w:t>
            </w:r>
          </w:p>
        </w:tc>
        <w:tc>
          <w:tcPr>
            <w:tcW w:w="986" w:type="dxa"/>
            <w:shd w:val="clear" w:color="auto" w:fill="auto"/>
            <w:noWrap/>
            <w:vAlign w:val="center"/>
            <w:hideMark/>
          </w:tcPr>
          <w:p w14:paraId="1A18E15C" w14:textId="77777777" w:rsidR="008B12EA" w:rsidRPr="00050963" w:rsidRDefault="008B12EA" w:rsidP="00B542EA">
            <w:pPr>
              <w:jc w:val="right"/>
              <w:rPr>
                <w:bCs/>
                <w:sz w:val="20"/>
                <w:szCs w:val="20"/>
              </w:rPr>
            </w:pPr>
            <w:r w:rsidRPr="00050963">
              <w:rPr>
                <w:sz w:val="20"/>
                <w:szCs w:val="20"/>
              </w:rPr>
              <w:t>1,00</w:t>
            </w:r>
          </w:p>
        </w:tc>
        <w:tc>
          <w:tcPr>
            <w:tcW w:w="861" w:type="dxa"/>
            <w:shd w:val="clear" w:color="auto" w:fill="auto"/>
            <w:noWrap/>
            <w:vAlign w:val="center"/>
            <w:hideMark/>
          </w:tcPr>
          <w:p w14:paraId="1A18E15D" w14:textId="77777777" w:rsidR="008B12EA" w:rsidRPr="00050963" w:rsidRDefault="008B12EA" w:rsidP="00B542EA">
            <w:pPr>
              <w:jc w:val="right"/>
              <w:rPr>
                <w:bCs/>
                <w:sz w:val="20"/>
                <w:szCs w:val="20"/>
              </w:rPr>
            </w:pPr>
            <w:r w:rsidRPr="00050963">
              <w:rPr>
                <w:sz w:val="20"/>
                <w:szCs w:val="20"/>
              </w:rPr>
              <w:t>1,00</w:t>
            </w:r>
          </w:p>
        </w:tc>
        <w:tc>
          <w:tcPr>
            <w:tcW w:w="993" w:type="dxa"/>
            <w:shd w:val="clear" w:color="auto" w:fill="auto"/>
            <w:noWrap/>
            <w:vAlign w:val="center"/>
            <w:hideMark/>
          </w:tcPr>
          <w:p w14:paraId="1A18E15E"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vAlign w:val="center"/>
            <w:hideMark/>
          </w:tcPr>
          <w:p w14:paraId="1A18E15F" w14:textId="77777777" w:rsidR="008B12EA" w:rsidRPr="0067282E" w:rsidRDefault="008B12EA" w:rsidP="00B542EA">
            <w:pPr>
              <w:jc w:val="right"/>
              <w:rPr>
                <w:bCs/>
                <w:sz w:val="20"/>
                <w:szCs w:val="20"/>
              </w:rPr>
            </w:pPr>
            <w:r w:rsidRPr="0067282E">
              <w:rPr>
                <w:sz w:val="20"/>
                <w:szCs w:val="20"/>
              </w:rPr>
              <w:t>1,00</w:t>
            </w:r>
          </w:p>
        </w:tc>
        <w:tc>
          <w:tcPr>
            <w:tcW w:w="958" w:type="dxa"/>
            <w:shd w:val="clear" w:color="auto" w:fill="auto"/>
            <w:vAlign w:val="center"/>
            <w:hideMark/>
          </w:tcPr>
          <w:p w14:paraId="1A18E160"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61" w14:textId="77777777" w:rsidR="008B12EA" w:rsidRPr="00050963" w:rsidRDefault="008B12EA" w:rsidP="00B542EA">
            <w:pPr>
              <w:jc w:val="right"/>
              <w:rPr>
                <w:bCs/>
                <w:sz w:val="20"/>
                <w:szCs w:val="20"/>
              </w:rPr>
            </w:pPr>
            <w:r w:rsidRPr="00050963">
              <w:rPr>
                <w:sz w:val="20"/>
                <w:szCs w:val="20"/>
              </w:rPr>
              <w:t>1,00</w:t>
            </w:r>
          </w:p>
        </w:tc>
      </w:tr>
      <w:tr w:rsidR="008B12EA" w:rsidRPr="00050963" w14:paraId="1A18E16C" w14:textId="77777777" w:rsidTr="00B542EA">
        <w:trPr>
          <w:trHeight w:val="300"/>
        </w:trPr>
        <w:tc>
          <w:tcPr>
            <w:tcW w:w="514" w:type="dxa"/>
            <w:shd w:val="clear" w:color="auto" w:fill="auto"/>
            <w:noWrap/>
            <w:vAlign w:val="center"/>
            <w:hideMark/>
          </w:tcPr>
          <w:p w14:paraId="1A18E163" w14:textId="77777777" w:rsidR="008B12EA" w:rsidRPr="00050963" w:rsidRDefault="008B12EA" w:rsidP="00B542EA">
            <w:pPr>
              <w:rPr>
                <w:bCs/>
                <w:color w:val="000000"/>
                <w:sz w:val="20"/>
                <w:szCs w:val="20"/>
              </w:rPr>
            </w:pPr>
            <w:r w:rsidRPr="00050963">
              <w:rPr>
                <w:color w:val="000000"/>
                <w:sz w:val="20"/>
                <w:szCs w:val="20"/>
              </w:rPr>
              <w:t>346</w:t>
            </w:r>
          </w:p>
        </w:tc>
        <w:tc>
          <w:tcPr>
            <w:tcW w:w="951" w:type="dxa"/>
            <w:shd w:val="clear" w:color="auto" w:fill="auto"/>
            <w:noWrap/>
            <w:vAlign w:val="center"/>
            <w:hideMark/>
          </w:tcPr>
          <w:p w14:paraId="1A18E164" w14:textId="77777777" w:rsidR="008B12EA" w:rsidRPr="00050963" w:rsidRDefault="008B12EA" w:rsidP="00B542EA">
            <w:pPr>
              <w:rPr>
                <w:bCs/>
                <w:color w:val="000000"/>
                <w:sz w:val="20"/>
                <w:szCs w:val="20"/>
              </w:rPr>
            </w:pPr>
            <w:r w:rsidRPr="00050963">
              <w:rPr>
                <w:color w:val="000000"/>
                <w:sz w:val="20"/>
                <w:szCs w:val="20"/>
              </w:rPr>
              <w:t> </w:t>
            </w:r>
          </w:p>
        </w:tc>
        <w:tc>
          <w:tcPr>
            <w:tcW w:w="2416" w:type="dxa"/>
            <w:shd w:val="clear" w:color="auto" w:fill="auto"/>
            <w:noWrap/>
            <w:vAlign w:val="center"/>
            <w:hideMark/>
          </w:tcPr>
          <w:p w14:paraId="1A18E165" w14:textId="77777777" w:rsidR="008B12EA" w:rsidRPr="00050963" w:rsidRDefault="008B12EA" w:rsidP="00B542EA">
            <w:pPr>
              <w:jc w:val="left"/>
              <w:rPr>
                <w:bCs/>
                <w:color w:val="000000"/>
                <w:sz w:val="20"/>
                <w:szCs w:val="20"/>
              </w:rPr>
            </w:pPr>
            <w:r w:rsidRPr="00050963">
              <w:rPr>
                <w:color w:val="000000"/>
                <w:sz w:val="20"/>
                <w:szCs w:val="20"/>
              </w:rPr>
              <w:t xml:space="preserve">Bromirani difenileteri (PBDE) / Polibromni difenileteri (PBDE) </w:t>
            </w:r>
          </w:p>
        </w:tc>
        <w:tc>
          <w:tcPr>
            <w:tcW w:w="986" w:type="dxa"/>
            <w:shd w:val="clear" w:color="auto" w:fill="auto"/>
            <w:noWrap/>
            <w:vAlign w:val="center"/>
            <w:hideMark/>
          </w:tcPr>
          <w:p w14:paraId="1A18E166" w14:textId="77777777" w:rsidR="008B12EA" w:rsidRPr="00050963" w:rsidRDefault="008B12EA" w:rsidP="00B542EA">
            <w:pPr>
              <w:jc w:val="center"/>
              <w:rPr>
                <w:bCs/>
                <w:sz w:val="20"/>
                <w:szCs w:val="20"/>
              </w:rPr>
            </w:pPr>
            <w:r>
              <w:rPr>
                <w:bCs/>
                <w:sz w:val="20"/>
                <w:szCs w:val="20"/>
              </w:rPr>
              <w:t>_</w:t>
            </w:r>
          </w:p>
        </w:tc>
        <w:tc>
          <w:tcPr>
            <w:tcW w:w="861" w:type="dxa"/>
            <w:shd w:val="clear" w:color="auto" w:fill="auto"/>
            <w:noWrap/>
            <w:vAlign w:val="center"/>
            <w:hideMark/>
          </w:tcPr>
          <w:p w14:paraId="1A18E167" w14:textId="77777777" w:rsidR="008B12EA" w:rsidRPr="00050963" w:rsidRDefault="008B12EA" w:rsidP="00B542EA">
            <w:pPr>
              <w:jc w:val="right"/>
              <w:rPr>
                <w:bCs/>
                <w:sz w:val="20"/>
                <w:szCs w:val="20"/>
              </w:rPr>
            </w:pPr>
            <w:r w:rsidRPr="00050963">
              <w:rPr>
                <w:sz w:val="20"/>
                <w:szCs w:val="20"/>
              </w:rPr>
              <w:t>1,00</w:t>
            </w:r>
          </w:p>
        </w:tc>
        <w:tc>
          <w:tcPr>
            <w:tcW w:w="993" w:type="dxa"/>
            <w:shd w:val="clear" w:color="auto" w:fill="auto"/>
            <w:noWrap/>
            <w:vAlign w:val="center"/>
            <w:hideMark/>
          </w:tcPr>
          <w:p w14:paraId="1A18E168" w14:textId="77777777" w:rsidR="008B12EA" w:rsidRPr="00050963" w:rsidRDefault="008B12EA" w:rsidP="00B542EA">
            <w:pPr>
              <w:jc w:val="right"/>
              <w:rPr>
                <w:bCs/>
                <w:color w:val="000000"/>
                <w:sz w:val="20"/>
                <w:szCs w:val="20"/>
              </w:rPr>
            </w:pPr>
            <w:r w:rsidRPr="00050963">
              <w:rPr>
                <w:color w:val="000000"/>
                <w:sz w:val="20"/>
                <w:szCs w:val="20"/>
              </w:rPr>
              <w:t>1,00</w:t>
            </w:r>
          </w:p>
        </w:tc>
        <w:tc>
          <w:tcPr>
            <w:tcW w:w="1134" w:type="dxa"/>
            <w:shd w:val="clear" w:color="auto" w:fill="auto"/>
            <w:noWrap/>
            <w:vAlign w:val="center"/>
            <w:hideMark/>
          </w:tcPr>
          <w:p w14:paraId="1A18E169" w14:textId="77777777" w:rsidR="008B12EA" w:rsidRPr="0022124A" w:rsidRDefault="008B12EA" w:rsidP="00B542EA">
            <w:pPr>
              <w:jc w:val="center"/>
              <w:rPr>
                <w:bCs/>
                <w:sz w:val="20"/>
                <w:szCs w:val="20"/>
              </w:rPr>
            </w:pPr>
            <w:r w:rsidRPr="0022124A">
              <w:rPr>
                <w:sz w:val="20"/>
                <w:szCs w:val="20"/>
              </w:rPr>
              <w:t>_</w:t>
            </w:r>
          </w:p>
        </w:tc>
        <w:tc>
          <w:tcPr>
            <w:tcW w:w="958" w:type="dxa"/>
            <w:shd w:val="clear" w:color="auto" w:fill="auto"/>
            <w:vAlign w:val="center"/>
            <w:hideMark/>
          </w:tcPr>
          <w:p w14:paraId="1A18E16A" w14:textId="77777777" w:rsidR="008B12EA" w:rsidRPr="00050963" w:rsidRDefault="008B12EA" w:rsidP="00B542EA">
            <w:pPr>
              <w:jc w:val="right"/>
              <w:rPr>
                <w:bCs/>
                <w:sz w:val="20"/>
                <w:szCs w:val="20"/>
              </w:rPr>
            </w:pPr>
            <w:r w:rsidRPr="00050963">
              <w:rPr>
                <w:sz w:val="20"/>
                <w:szCs w:val="20"/>
              </w:rPr>
              <w:t>1,00</w:t>
            </w:r>
          </w:p>
        </w:tc>
        <w:tc>
          <w:tcPr>
            <w:tcW w:w="906" w:type="dxa"/>
            <w:shd w:val="clear" w:color="auto" w:fill="auto"/>
            <w:vAlign w:val="center"/>
            <w:hideMark/>
          </w:tcPr>
          <w:p w14:paraId="1A18E16B" w14:textId="77777777" w:rsidR="008B12EA" w:rsidRPr="00050963" w:rsidRDefault="008B12EA" w:rsidP="00B542EA">
            <w:pPr>
              <w:jc w:val="right"/>
              <w:rPr>
                <w:bCs/>
                <w:sz w:val="20"/>
                <w:szCs w:val="20"/>
              </w:rPr>
            </w:pPr>
            <w:r w:rsidRPr="00050963">
              <w:rPr>
                <w:sz w:val="20"/>
                <w:szCs w:val="20"/>
              </w:rPr>
              <w:t>1,00</w:t>
            </w:r>
          </w:p>
        </w:tc>
      </w:tr>
      <w:tr w:rsidR="008B12EA" w:rsidRPr="00050963" w14:paraId="1A18E176" w14:textId="77777777" w:rsidTr="00B542EA">
        <w:trPr>
          <w:trHeight w:val="300"/>
        </w:trPr>
        <w:tc>
          <w:tcPr>
            <w:tcW w:w="514" w:type="dxa"/>
            <w:shd w:val="clear" w:color="auto" w:fill="auto"/>
            <w:noWrap/>
            <w:vAlign w:val="center"/>
            <w:hideMark/>
          </w:tcPr>
          <w:p w14:paraId="1A18E16D" w14:textId="77777777" w:rsidR="008B12EA" w:rsidRPr="00EF7BC3" w:rsidRDefault="008B12EA" w:rsidP="00B542EA">
            <w:pPr>
              <w:rPr>
                <w:b/>
                <w:bCs/>
                <w:sz w:val="20"/>
                <w:szCs w:val="20"/>
              </w:rPr>
            </w:pPr>
            <w:r w:rsidRPr="00EF7BC3">
              <w:rPr>
                <w:b/>
                <w:sz w:val="20"/>
                <w:szCs w:val="20"/>
              </w:rPr>
              <w:t>356</w:t>
            </w:r>
          </w:p>
        </w:tc>
        <w:tc>
          <w:tcPr>
            <w:tcW w:w="951" w:type="dxa"/>
            <w:shd w:val="clear" w:color="auto" w:fill="auto"/>
            <w:noWrap/>
            <w:vAlign w:val="center"/>
            <w:hideMark/>
          </w:tcPr>
          <w:p w14:paraId="1A18E16E" w14:textId="77777777" w:rsidR="008B12EA" w:rsidRPr="00EF7BC3" w:rsidRDefault="008B12EA" w:rsidP="00B542EA">
            <w:pPr>
              <w:rPr>
                <w:b/>
                <w:bCs/>
                <w:sz w:val="20"/>
                <w:szCs w:val="20"/>
              </w:rPr>
            </w:pPr>
            <w:r w:rsidRPr="00EF7BC3">
              <w:rPr>
                <w:b/>
                <w:sz w:val="20"/>
                <w:szCs w:val="20"/>
              </w:rPr>
              <w:t> </w:t>
            </w:r>
          </w:p>
        </w:tc>
        <w:tc>
          <w:tcPr>
            <w:tcW w:w="2416" w:type="dxa"/>
            <w:shd w:val="clear" w:color="auto" w:fill="auto"/>
            <w:noWrap/>
            <w:vAlign w:val="center"/>
            <w:hideMark/>
          </w:tcPr>
          <w:p w14:paraId="1A18E16F" w14:textId="77777777" w:rsidR="008B12EA" w:rsidRPr="00EF7BC3" w:rsidRDefault="008B12EA" w:rsidP="00B542EA">
            <w:pPr>
              <w:jc w:val="left"/>
              <w:rPr>
                <w:b/>
                <w:bCs/>
                <w:sz w:val="20"/>
                <w:szCs w:val="20"/>
              </w:rPr>
            </w:pPr>
            <w:r w:rsidRPr="00EF7BC3">
              <w:rPr>
                <w:b/>
                <w:sz w:val="20"/>
                <w:szCs w:val="20"/>
              </w:rPr>
              <w:t>Policiklički aromatski ugljikovodici (PAU), ((PAHs))</w:t>
            </w:r>
          </w:p>
        </w:tc>
        <w:tc>
          <w:tcPr>
            <w:tcW w:w="986" w:type="dxa"/>
            <w:shd w:val="clear" w:color="auto" w:fill="auto"/>
            <w:noWrap/>
            <w:vAlign w:val="center"/>
            <w:hideMark/>
          </w:tcPr>
          <w:p w14:paraId="1A18E170" w14:textId="77777777" w:rsidR="008B12EA" w:rsidRPr="00050963" w:rsidRDefault="008B12EA" w:rsidP="00B542EA">
            <w:pPr>
              <w:jc w:val="right"/>
              <w:rPr>
                <w:bCs/>
                <w:sz w:val="20"/>
                <w:szCs w:val="20"/>
              </w:rPr>
            </w:pPr>
            <w:r w:rsidRPr="00050963">
              <w:rPr>
                <w:sz w:val="20"/>
                <w:szCs w:val="20"/>
              </w:rPr>
              <w:t>5,00</w:t>
            </w:r>
          </w:p>
        </w:tc>
        <w:tc>
          <w:tcPr>
            <w:tcW w:w="861" w:type="dxa"/>
            <w:shd w:val="clear" w:color="auto" w:fill="auto"/>
            <w:noWrap/>
            <w:vAlign w:val="center"/>
            <w:hideMark/>
          </w:tcPr>
          <w:p w14:paraId="1A18E171" w14:textId="77777777" w:rsidR="008B12EA" w:rsidRPr="00050963" w:rsidRDefault="008B12EA" w:rsidP="00B542EA">
            <w:pPr>
              <w:jc w:val="right"/>
              <w:rPr>
                <w:bCs/>
                <w:sz w:val="20"/>
                <w:szCs w:val="20"/>
              </w:rPr>
            </w:pPr>
            <w:r w:rsidRPr="00050963">
              <w:rPr>
                <w:sz w:val="20"/>
                <w:szCs w:val="20"/>
              </w:rPr>
              <w:t>5,00</w:t>
            </w:r>
          </w:p>
        </w:tc>
        <w:tc>
          <w:tcPr>
            <w:tcW w:w="993" w:type="dxa"/>
            <w:shd w:val="clear" w:color="auto" w:fill="auto"/>
            <w:noWrap/>
            <w:vAlign w:val="center"/>
            <w:hideMark/>
          </w:tcPr>
          <w:p w14:paraId="1A18E172" w14:textId="77777777" w:rsidR="008B12EA" w:rsidRPr="00050963" w:rsidRDefault="008B12EA" w:rsidP="00B542EA">
            <w:pPr>
              <w:jc w:val="right"/>
              <w:rPr>
                <w:bCs/>
                <w:color w:val="000000"/>
                <w:sz w:val="20"/>
                <w:szCs w:val="20"/>
              </w:rPr>
            </w:pPr>
            <w:r w:rsidRPr="00050963">
              <w:rPr>
                <w:color w:val="000000"/>
                <w:sz w:val="20"/>
                <w:szCs w:val="20"/>
              </w:rPr>
              <w:t>5,00</w:t>
            </w:r>
          </w:p>
        </w:tc>
        <w:tc>
          <w:tcPr>
            <w:tcW w:w="1134" w:type="dxa"/>
            <w:shd w:val="clear" w:color="auto" w:fill="auto"/>
            <w:vAlign w:val="center"/>
            <w:hideMark/>
          </w:tcPr>
          <w:p w14:paraId="1A18E173" w14:textId="77777777" w:rsidR="008B12EA" w:rsidRPr="0022124A" w:rsidRDefault="008B12EA" w:rsidP="00B542EA">
            <w:pPr>
              <w:jc w:val="right"/>
              <w:rPr>
                <w:bCs/>
                <w:sz w:val="20"/>
                <w:szCs w:val="20"/>
              </w:rPr>
            </w:pPr>
            <w:r w:rsidRPr="0022124A">
              <w:rPr>
                <w:sz w:val="20"/>
                <w:szCs w:val="20"/>
              </w:rPr>
              <w:t>50,00</w:t>
            </w:r>
          </w:p>
        </w:tc>
        <w:tc>
          <w:tcPr>
            <w:tcW w:w="958" w:type="dxa"/>
            <w:shd w:val="clear" w:color="auto" w:fill="auto"/>
            <w:vAlign w:val="center"/>
            <w:hideMark/>
          </w:tcPr>
          <w:p w14:paraId="1A18E174" w14:textId="77777777" w:rsidR="008B12EA" w:rsidRPr="00050963" w:rsidRDefault="008B12EA" w:rsidP="00B542EA">
            <w:pPr>
              <w:jc w:val="right"/>
              <w:rPr>
                <w:bCs/>
                <w:sz w:val="20"/>
                <w:szCs w:val="20"/>
              </w:rPr>
            </w:pPr>
            <w:r w:rsidRPr="00050963">
              <w:rPr>
                <w:sz w:val="20"/>
                <w:szCs w:val="20"/>
              </w:rPr>
              <w:t>5,00</w:t>
            </w:r>
          </w:p>
        </w:tc>
        <w:tc>
          <w:tcPr>
            <w:tcW w:w="906" w:type="dxa"/>
            <w:shd w:val="clear" w:color="auto" w:fill="auto"/>
            <w:vAlign w:val="center"/>
            <w:hideMark/>
          </w:tcPr>
          <w:p w14:paraId="1A18E175" w14:textId="77777777" w:rsidR="008B12EA" w:rsidRPr="00050963" w:rsidRDefault="008B12EA" w:rsidP="00B542EA">
            <w:pPr>
              <w:jc w:val="right"/>
              <w:rPr>
                <w:bCs/>
                <w:sz w:val="20"/>
                <w:szCs w:val="20"/>
              </w:rPr>
            </w:pPr>
            <w:r w:rsidRPr="00050963">
              <w:rPr>
                <w:sz w:val="20"/>
                <w:szCs w:val="20"/>
              </w:rPr>
              <w:t>5,00</w:t>
            </w:r>
          </w:p>
        </w:tc>
      </w:tr>
      <w:tr w:rsidR="008B12EA" w:rsidRPr="00050963" w14:paraId="1A18E180" w14:textId="77777777" w:rsidTr="00B542EA">
        <w:trPr>
          <w:trHeight w:val="300"/>
        </w:trPr>
        <w:tc>
          <w:tcPr>
            <w:tcW w:w="514" w:type="dxa"/>
            <w:shd w:val="clear" w:color="auto" w:fill="auto"/>
            <w:noWrap/>
            <w:vAlign w:val="center"/>
            <w:hideMark/>
          </w:tcPr>
          <w:p w14:paraId="1A18E177" w14:textId="77777777" w:rsidR="008B12EA" w:rsidRPr="00050963" w:rsidRDefault="008B12EA" w:rsidP="00B542EA">
            <w:pPr>
              <w:rPr>
                <w:bCs/>
                <w:color w:val="000000"/>
                <w:sz w:val="20"/>
                <w:szCs w:val="20"/>
              </w:rPr>
            </w:pPr>
            <w:r w:rsidRPr="00050963">
              <w:rPr>
                <w:color w:val="000000"/>
                <w:sz w:val="20"/>
                <w:szCs w:val="20"/>
              </w:rPr>
              <w:t>365</w:t>
            </w:r>
          </w:p>
        </w:tc>
        <w:tc>
          <w:tcPr>
            <w:tcW w:w="951" w:type="dxa"/>
            <w:shd w:val="clear" w:color="auto" w:fill="auto"/>
            <w:noWrap/>
            <w:vAlign w:val="center"/>
            <w:hideMark/>
          </w:tcPr>
          <w:p w14:paraId="1A18E178" w14:textId="77777777" w:rsidR="008B12EA" w:rsidRPr="00050963" w:rsidRDefault="008B12EA" w:rsidP="00B542EA">
            <w:pPr>
              <w:rPr>
                <w:bCs/>
                <w:color w:val="000000"/>
                <w:sz w:val="20"/>
                <w:szCs w:val="20"/>
              </w:rPr>
            </w:pPr>
            <w:r w:rsidRPr="00050963">
              <w:rPr>
                <w:color w:val="000000"/>
                <w:sz w:val="20"/>
                <w:szCs w:val="20"/>
              </w:rPr>
              <w:t>36355-1-8</w:t>
            </w:r>
          </w:p>
        </w:tc>
        <w:tc>
          <w:tcPr>
            <w:tcW w:w="2416" w:type="dxa"/>
            <w:shd w:val="clear" w:color="auto" w:fill="auto"/>
            <w:noWrap/>
            <w:vAlign w:val="center"/>
            <w:hideMark/>
          </w:tcPr>
          <w:p w14:paraId="1A18E179" w14:textId="77777777" w:rsidR="008B12EA" w:rsidRPr="00050963" w:rsidRDefault="008B12EA" w:rsidP="00B542EA">
            <w:pPr>
              <w:jc w:val="left"/>
              <w:rPr>
                <w:bCs/>
                <w:color w:val="000000"/>
                <w:sz w:val="20"/>
                <w:szCs w:val="20"/>
              </w:rPr>
            </w:pPr>
            <w:r w:rsidRPr="00050963">
              <w:rPr>
                <w:color w:val="000000"/>
                <w:sz w:val="20"/>
                <w:szCs w:val="20"/>
              </w:rPr>
              <w:t xml:space="preserve">Heksabromobifenil </w:t>
            </w:r>
          </w:p>
        </w:tc>
        <w:tc>
          <w:tcPr>
            <w:tcW w:w="986" w:type="dxa"/>
            <w:shd w:val="clear" w:color="auto" w:fill="auto"/>
            <w:noWrap/>
            <w:vAlign w:val="center"/>
            <w:hideMark/>
          </w:tcPr>
          <w:p w14:paraId="1A18E17A" w14:textId="77777777" w:rsidR="008B12EA" w:rsidRPr="00050963" w:rsidRDefault="008B12EA" w:rsidP="00B542EA">
            <w:pPr>
              <w:jc w:val="right"/>
              <w:rPr>
                <w:bCs/>
                <w:color w:val="000000"/>
                <w:sz w:val="20"/>
                <w:szCs w:val="20"/>
              </w:rPr>
            </w:pPr>
            <w:r w:rsidRPr="00050963">
              <w:rPr>
                <w:color w:val="000000"/>
                <w:sz w:val="20"/>
                <w:szCs w:val="20"/>
              </w:rPr>
              <w:t>0,10</w:t>
            </w:r>
          </w:p>
        </w:tc>
        <w:tc>
          <w:tcPr>
            <w:tcW w:w="861" w:type="dxa"/>
            <w:shd w:val="clear" w:color="auto" w:fill="auto"/>
            <w:noWrap/>
            <w:vAlign w:val="center"/>
            <w:hideMark/>
          </w:tcPr>
          <w:p w14:paraId="1A18E17B" w14:textId="77777777" w:rsidR="008B12EA" w:rsidRPr="00050963" w:rsidRDefault="008B12EA" w:rsidP="00B542EA">
            <w:pPr>
              <w:jc w:val="right"/>
              <w:rPr>
                <w:bCs/>
                <w:color w:val="000000"/>
                <w:sz w:val="20"/>
                <w:szCs w:val="20"/>
              </w:rPr>
            </w:pPr>
            <w:r w:rsidRPr="00050963">
              <w:rPr>
                <w:color w:val="000000"/>
                <w:sz w:val="20"/>
                <w:szCs w:val="20"/>
              </w:rPr>
              <w:t>0,10</w:t>
            </w:r>
          </w:p>
        </w:tc>
        <w:tc>
          <w:tcPr>
            <w:tcW w:w="993" w:type="dxa"/>
            <w:shd w:val="clear" w:color="auto" w:fill="auto"/>
            <w:noWrap/>
            <w:vAlign w:val="center"/>
            <w:hideMark/>
          </w:tcPr>
          <w:p w14:paraId="1A18E17C" w14:textId="77777777" w:rsidR="008B12EA" w:rsidRPr="00050963" w:rsidRDefault="008B12EA" w:rsidP="00B542EA">
            <w:pPr>
              <w:jc w:val="right"/>
              <w:rPr>
                <w:bCs/>
                <w:color w:val="000000"/>
                <w:sz w:val="20"/>
                <w:szCs w:val="20"/>
              </w:rPr>
            </w:pPr>
            <w:r w:rsidRPr="00050963">
              <w:rPr>
                <w:color w:val="000000"/>
                <w:sz w:val="20"/>
                <w:szCs w:val="20"/>
              </w:rPr>
              <w:t>0,10</w:t>
            </w:r>
          </w:p>
        </w:tc>
        <w:tc>
          <w:tcPr>
            <w:tcW w:w="1134" w:type="dxa"/>
            <w:shd w:val="clear" w:color="auto" w:fill="auto"/>
            <w:vAlign w:val="center"/>
            <w:hideMark/>
          </w:tcPr>
          <w:p w14:paraId="1A18E17D" w14:textId="77777777" w:rsidR="008B12EA" w:rsidRPr="00050963" w:rsidRDefault="008B12EA" w:rsidP="00B542EA">
            <w:pPr>
              <w:jc w:val="right"/>
              <w:rPr>
                <w:bCs/>
                <w:sz w:val="20"/>
                <w:szCs w:val="20"/>
              </w:rPr>
            </w:pPr>
            <w:r w:rsidRPr="00050963">
              <w:rPr>
                <w:sz w:val="20"/>
                <w:szCs w:val="20"/>
              </w:rPr>
              <w:t>0,10</w:t>
            </w:r>
          </w:p>
        </w:tc>
        <w:tc>
          <w:tcPr>
            <w:tcW w:w="958" w:type="dxa"/>
            <w:shd w:val="clear" w:color="auto" w:fill="auto"/>
            <w:vAlign w:val="center"/>
            <w:hideMark/>
          </w:tcPr>
          <w:p w14:paraId="1A18E17E" w14:textId="77777777" w:rsidR="008B12EA" w:rsidRPr="00050963" w:rsidRDefault="008B12EA" w:rsidP="00B542EA">
            <w:pPr>
              <w:jc w:val="right"/>
              <w:rPr>
                <w:bCs/>
                <w:sz w:val="20"/>
                <w:szCs w:val="20"/>
              </w:rPr>
            </w:pPr>
            <w:r w:rsidRPr="00050963">
              <w:rPr>
                <w:sz w:val="20"/>
                <w:szCs w:val="20"/>
              </w:rPr>
              <w:t>0,10</w:t>
            </w:r>
          </w:p>
        </w:tc>
        <w:tc>
          <w:tcPr>
            <w:tcW w:w="906" w:type="dxa"/>
            <w:shd w:val="clear" w:color="auto" w:fill="auto"/>
            <w:vAlign w:val="center"/>
            <w:hideMark/>
          </w:tcPr>
          <w:p w14:paraId="1A18E17F" w14:textId="77777777" w:rsidR="008B12EA" w:rsidRPr="00050963" w:rsidRDefault="008B12EA" w:rsidP="00B542EA">
            <w:pPr>
              <w:jc w:val="right"/>
              <w:rPr>
                <w:bCs/>
                <w:sz w:val="20"/>
                <w:szCs w:val="20"/>
              </w:rPr>
            </w:pPr>
            <w:r w:rsidRPr="00050963">
              <w:rPr>
                <w:sz w:val="20"/>
                <w:szCs w:val="20"/>
              </w:rPr>
              <w:t>0,10</w:t>
            </w:r>
          </w:p>
        </w:tc>
      </w:tr>
      <w:tr w:rsidR="008B12EA" w:rsidRPr="003559B4" w14:paraId="1A18E18A" w14:textId="77777777" w:rsidTr="00B542EA">
        <w:trPr>
          <w:trHeight w:val="300"/>
        </w:trPr>
        <w:tc>
          <w:tcPr>
            <w:tcW w:w="514" w:type="dxa"/>
            <w:shd w:val="clear" w:color="auto" w:fill="auto"/>
            <w:noWrap/>
            <w:vAlign w:val="center"/>
            <w:hideMark/>
          </w:tcPr>
          <w:p w14:paraId="1A18E181" w14:textId="77777777" w:rsidR="008B12EA" w:rsidRPr="003559B4" w:rsidRDefault="008B12EA" w:rsidP="00B542EA">
            <w:pPr>
              <w:rPr>
                <w:bCs/>
                <w:sz w:val="20"/>
                <w:szCs w:val="20"/>
              </w:rPr>
            </w:pPr>
            <w:r w:rsidRPr="003559B4">
              <w:rPr>
                <w:sz w:val="20"/>
                <w:szCs w:val="20"/>
              </w:rPr>
              <w:t>379</w:t>
            </w:r>
          </w:p>
        </w:tc>
        <w:tc>
          <w:tcPr>
            <w:tcW w:w="951" w:type="dxa"/>
            <w:shd w:val="clear" w:color="auto" w:fill="auto"/>
            <w:noWrap/>
            <w:vAlign w:val="center"/>
            <w:hideMark/>
          </w:tcPr>
          <w:p w14:paraId="1A18E182" w14:textId="77777777" w:rsidR="008B12EA" w:rsidRPr="003559B4" w:rsidRDefault="008B12EA" w:rsidP="00B542EA">
            <w:pPr>
              <w:rPr>
                <w:bCs/>
                <w:sz w:val="20"/>
                <w:szCs w:val="20"/>
              </w:rPr>
            </w:pPr>
            <w:r w:rsidRPr="003559B4">
              <w:rPr>
                <w:sz w:val="20"/>
                <w:szCs w:val="20"/>
              </w:rPr>
              <w:t> </w:t>
            </w:r>
          </w:p>
        </w:tc>
        <w:tc>
          <w:tcPr>
            <w:tcW w:w="2416" w:type="dxa"/>
            <w:shd w:val="clear" w:color="auto" w:fill="auto"/>
            <w:noWrap/>
            <w:vAlign w:val="center"/>
            <w:hideMark/>
          </w:tcPr>
          <w:p w14:paraId="1A18E183" w14:textId="77777777" w:rsidR="008B12EA" w:rsidRPr="003559B4" w:rsidRDefault="008B12EA" w:rsidP="00B542EA">
            <w:pPr>
              <w:jc w:val="left"/>
              <w:rPr>
                <w:bCs/>
                <w:sz w:val="20"/>
                <w:szCs w:val="20"/>
              </w:rPr>
            </w:pPr>
            <w:r w:rsidRPr="003559B4">
              <w:rPr>
                <w:sz w:val="20"/>
                <w:szCs w:val="20"/>
              </w:rPr>
              <w:t>Perfluorooktansulfonska kiselina (PFOS) i njezine soli*</w:t>
            </w:r>
          </w:p>
        </w:tc>
        <w:tc>
          <w:tcPr>
            <w:tcW w:w="986" w:type="dxa"/>
            <w:shd w:val="clear" w:color="auto" w:fill="auto"/>
            <w:noWrap/>
            <w:vAlign w:val="center"/>
            <w:hideMark/>
          </w:tcPr>
          <w:p w14:paraId="1A18E184" w14:textId="77777777" w:rsidR="008B12EA" w:rsidRPr="003559B4" w:rsidRDefault="008B12EA" w:rsidP="00B542EA">
            <w:pPr>
              <w:jc w:val="right"/>
              <w:rPr>
                <w:bCs/>
                <w:sz w:val="20"/>
                <w:szCs w:val="20"/>
              </w:rPr>
            </w:pPr>
            <w:r w:rsidRPr="003559B4">
              <w:rPr>
                <w:sz w:val="20"/>
                <w:szCs w:val="20"/>
              </w:rPr>
              <w:t>NO</w:t>
            </w:r>
            <w:r>
              <w:rPr>
                <w:sz w:val="20"/>
                <w:szCs w:val="20"/>
              </w:rPr>
              <w:t>***</w:t>
            </w:r>
          </w:p>
        </w:tc>
        <w:tc>
          <w:tcPr>
            <w:tcW w:w="861" w:type="dxa"/>
            <w:shd w:val="clear" w:color="auto" w:fill="auto"/>
            <w:noWrap/>
            <w:vAlign w:val="center"/>
            <w:hideMark/>
          </w:tcPr>
          <w:p w14:paraId="1A18E185" w14:textId="77777777" w:rsidR="008B12EA" w:rsidRPr="003559B4" w:rsidRDefault="008B12EA" w:rsidP="00B542EA">
            <w:pPr>
              <w:jc w:val="right"/>
              <w:rPr>
                <w:bCs/>
                <w:sz w:val="20"/>
                <w:szCs w:val="20"/>
              </w:rPr>
            </w:pPr>
            <w:r w:rsidRPr="003559B4">
              <w:rPr>
                <w:sz w:val="20"/>
                <w:szCs w:val="20"/>
              </w:rPr>
              <w:t>NO</w:t>
            </w:r>
          </w:p>
        </w:tc>
        <w:tc>
          <w:tcPr>
            <w:tcW w:w="993" w:type="dxa"/>
            <w:shd w:val="clear" w:color="auto" w:fill="auto"/>
            <w:noWrap/>
            <w:vAlign w:val="center"/>
            <w:hideMark/>
          </w:tcPr>
          <w:p w14:paraId="1A18E186" w14:textId="77777777" w:rsidR="008B12EA" w:rsidRPr="003559B4" w:rsidRDefault="008B12EA" w:rsidP="00B542EA">
            <w:pPr>
              <w:jc w:val="right"/>
              <w:rPr>
                <w:bCs/>
                <w:sz w:val="20"/>
                <w:szCs w:val="20"/>
              </w:rPr>
            </w:pPr>
            <w:r w:rsidRPr="003559B4">
              <w:rPr>
                <w:sz w:val="20"/>
                <w:szCs w:val="20"/>
              </w:rPr>
              <w:t>NO</w:t>
            </w:r>
          </w:p>
        </w:tc>
        <w:tc>
          <w:tcPr>
            <w:tcW w:w="1134" w:type="dxa"/>
            <w:shd w:val="clear" w:color="auto" w:fill="auto"/>
            <w:noWrap/>
            <w:vAlign w:val="center"/>
            <w:hideMark/>
          </w:tcPr>
          <w:p w14:paraId="1A18E187" w14:textId="77777777" w:rsidR="008B12EA" w:rsidRPr="003559B4" w:rsidRDefault="008B12EA" w:rsidP="00B542EA">
            <w:pPr>
              <w:jc w:val="center"/>
              <w:rPr>
                <w:bCs/>
                <w:sz w:val="20"/>
                <w:szCs w:val="20"/>
              </w:rPr>
            </w:pPr>
            <w:r>
              <w:rPr>
                <w:sz w:val="20"/>
                <w:szCs w:val="20"/>
              </w:rPr>
              <w:t>_</w:t>
            </w:r>
          </w:p>
        </w:tc>
        <w:tc>
          <w:tcPr>
            <w:tcW w:w="958" w:type="dxa"/>
            <w:shd w:val="clear" w:color="auto" w:fill="auto"/>
            <w:noWrap/>
            <w:vAlign w:val="center"/>
            <w:hideMark/>
          </w:tcPr>
          <w:p w14:paraId="1A18E188" w14:textId="77777777" w:rsidR="008B12EA" w:rsidRPr="003559B4" w:rsidRDefault="008B12EA" w:rsidP="00B542EA">
            <w:pPr>
              <w:jc w:val="center"/>
              <w:rPr>
                <w:bCs/>
                <w:sz w:val="20"/>
                <w:szCs w:val="20"/>
              </w:rPr>
            </w:pPr>
            <w:r>
              <w:rPr>
                <w:bCs/>
                <w:sz w:val="20"/>
                <w:szCs w:val="20"/>
              </w:rPr>
              <w:t>_</w:t>
            </w:r>
          </w:p>
        </w:tc>
        <w:tc>
          <w:tcPr>
            <w:tcW w:w="906" w:type="dxa"/>
            <w:shd w:val="clear" w:color="auto" w:fill="auto"/>
            <w:noWrap/>
            <w:vAlign w:val="center"/>
            <w:hideMark/>
          </w:tcPr>
          <w:p w14:paraId="1A18E189" w14:textId="77777777" w:rsidR="008B12EA" w:rsidRPr="003559B4" w:rsidRDefault="008B12EA" w:rsidP="00B542EA">
            <w:pPr>
              <w:jc w:val="center"/>
              <w:rPr>
                <w:bCs/>
                <w:sz w:val="20"/>
                <w:szCs w:val="20"/>
              </w:rPr>
            </w:pPr>
            <w:r>
              <w:rPr>
                <w:bCs/>
                <w:sz w:val="20"/>
                <w:szCs w:val="20"/>
              </w:rPr>
              <w:t>_</w:t>
            </w:r>
          </w:p>
        </w:tc>
      </w:tr>
      <w:tr w:rsidR="008B12EA" w:rsidRPr="003559B4" w14:paraId="1A18E194" w14:textId="77777777" w:rsidTr="00B542EA">
        <w:trPr>
          <w:trHeight w:val="300"/>
        </w:trPr>
        <w:tc>
          <w:tcPr>
            <w:tcW w:w="514" w:type="dxa"/>
            <w:shd w:val="clear" w:color="auto" w:fill="auto"/>
            <w:noWrap/>
            <w:vAlign w:val="center"/>
            <w:hideMark/>
          </w:tcPr>
          <w:p w14:paraId="1A18E18B" w14:textId="77777777" w:rsidR="008B12EA" w:rsidRPr="003559B4" w:rsidRDefault="008B12EA" w:rsidP="00B542EA">
            <w:pPr>
              <w:rPr>
                <w:bCs/>
                <w:sz w:val="20"/>
                <w:szCs w:val="20"/>
              </w:rPr>
            </w:pPr>
            <w:r w:rsidRPr="003559B4">
              <w:rPr>
                <w:sz w:val="20"/>
                <w:szCs w:val="20"/>
              </w:rPr>
              <w:t>380</w:t>
            </w:r>
          </w:p>
        </w:tc>
        <w:tc>
          <w:tcPr>
            <w:tcW w:w="951" w:type="dxa"/>
            <w:shd w:val="clear" w:color="auto" w:fill="auto"/>
            <w:noWrap/>
            <w:vAlign w:val="center"/>
            <w:hideMark/>
          </w:tcPr>
          <w:p w14:paraId="1A18E18C" w14:textId="77777777" w:rsidR="008B12EA" w:rsidRPr="003559B4" w:rsidRDefault="008B12EA" w:rsidP="00B542EA">
            <w:pPr>
              <w:rPr>
                <w:bCs/>
                <w:sz w:val="20"/>
                <w:szCs w:val="20"/>
              </w:rPr>
            </w:pPr>
            <w:r w:rsidRPr="003559B4">
              <w:rPr>
                <w:sz w:val="20"/>
                <w:szCs w:val="20"/>
              </w:rPr>
              <w:t> </w:t>
            </w:r>
          </w:p>
        </w:tc>
        <w:tc>
          <w:tcPr>
            <w:tcW w:w="2416" w:type="dxa"/>
            <w:shd w:val="clear" w:color="auto" w:fill="auto"/>
            <w:noWrap/>
            <w:vAlign w:val="center"/>
            <w:hideMark/>
          </w:tcPr>
          <w:p w14:paraId="1A18E18D" w14:textId="77777777" w:rsidR="008B12EA" w:rsidRPr="003559B4" w:rsidRDefault="008B12EA" w:rsidP="00B542EA">
            <w:pPr>
              <w:jc w:val="left"/>
              <w:rPr>
                <w:bCs/>
                <w:sz w:val="20"/>
                <w:szCs w:val="20"/>
              </w:rPr>
            </w:pPr>
            <w:r w:rsidRPr="003559B4">
              <w:rPr>
                <w:sz w:val="20"/>
                <w:szCs w:val="20"/>
              </w:rPr>
              <w:t>Perfluorooktansulfonil fluorid (PFOSF)*</w:t>
            </w:r>
          </w:p>
        </w:tc>
        <w:tc>
          <w:tcPr>
            <w:tcW w:w="986" w:type="dxa"/>
            <w:shd w:val="clear" w:color="auto" w:fill="auto"/>
            <w:noWrap/>
            <w:vAlign w:val="center"/>
            <w:hideMark/>
          </w:tcPr>
          <w:p w14:paraId="1A18E18E" w14:textId="77777777" w:rsidR="008B12EA" w:rsidRPr="003559B4" w:rsidRDefault="008B12EA" w:rsidP="00B542EA">
            <w:pPr>
              <w:jc w:val="right"/>
              <w:rPr>
                <w:bCs/>
                <w:sz w:val="20"/>
                <w:szCs w:val="20"/>
              </w:rPr>
            </w:pPr>
            <w:r w:rsidRPr="003559B4">
              <w:rPr>
                <w:sz w:val="20"/>
                <w:szCs w:val="20"/>
              </w:rPr>
              <w:t>NO</w:t>
            </w:r>
          </w:p>
        </w:tc>
        <w:tc>
          <w:tcPr>
            <w:tcW w:w="861" w:type="dxa"/>
            <w:shd w:val="clear" w:color="auto" w:fill="auto"/>
            <w:noWrap/>
            <w:vAlign w:val="center"/>
            <w:hideMark/>
          </w:tcPr>
          <w:p w14:paraId="1A18E18F" w14:textId="77777777" w:rsidR="008B12EA" w:rsidRPr="003559B4" w:rsidRDefault="008B12EA" w:rsidP="00B542EA">
            <w:pPr>
              <w:jc w:val="right"/>
              <w:rPr>
                <w:bCs/>
                <w:sz w:val="20"/>
                <w:szCs w:val="20"/>
              </w:rPr>
            </w:pPr>
            <w:r w:rsidRPr="003559B4">
              <w:rPr>
                <w:sz w:val="20"/>
                <w:szCs w:val="20"/>
              </w:rPr>
              <w:t>NO</w:t>
            </w:r>
          </w:p>
        </w:tc>
        <w:tc>
          <w:tcPr>
            <w:tcW w:w="993" w:type="dxa"/>
            <w:shd w:val="clear" w:color="auto" w:fill="auto"/>
            <w:noWrap/>
            <w:vAlign w:val="center"/>
            <w:hideMark/>
          </w:tcPr>
          <w:p w14:paraId="1A18E190" w14:textId="77777777" w:rsidR="008B12EA" w:rsidRPr="003559B4" w:rsidRDefault="008B12EA" w:rsidP="00B542EA">
            <w:pPr>
              <w:jc w:val="right"/>
              <w:rPr>
                <w:bCs/>
                <w:sz w:val="20"/>
                <w:szCs w:val="20"/>
              </w:rPr>
            </w:pPr>
            <w:r w:rsidRPr="003559B4">
              <w:rPr>
                <w:sz w:val="20"/>
                <w:szCs w:val="20"/>
              </w:rPr>
              <w:t>NO</w:t>
            </w:r>
          </w:p>
        </w:tc>
        <w:tc>
          <w:tcPr>
            <w:tcW w:w="1134" w:type="dxa"/>
            <w:shd w:val="clear" w:color="auto" w:fill="auto"/>
            <w:noWrap/>
            <w:vAlign w:val="center"/>
            <w:hideMark/>
          </w:tcPr>
          <w:p w14:paraId="1A18E191" w14:textId="77777777" w:rsidR="008B12EA" w:rsidRPr="003559B4" w:rsidRDefault="008B12EA" w:rsidP="00B542EA">
            <w:pPr>
              <w:jc w:val="center"/>
              <w:rPr>
                <w:bCs/>
                <w:sz w:val="20"/>
                <w:szCs w:val="20"/>
              </w:rPr>
            </w:pPr>
            <w:r>
              <w:rPr>
                <w:sz w:val="20"/>
                <w:szCs w:val="20"/>
              </w:rPr>
              <w:t>_</w:t>
            </w:r>
          </w:p>
        </w:tc>
        <w:tc>
          <w:tcPr>
            <w:tcW w:w="958" w:type="dxa"/>
            <w:shd w:val="clear" w:color="auto" w:fill="auto"/>
            <w:noWrap/>
            <w:vAlign w:val="center"/>
            <w:hideMark/>
          </w:tcPr>
          <w:p w14:paraId="1A18E192" w14:textId="77777777" w:rsidR="008B12EA" w:rsidRPr="003559B4" w:rsidRDefault="008B12EA" w:rsidP="00B542EA">
            <w:pPr>
              <w:jc w:val="center"/>
              <w:rPr>
                <w:bCs/>
                <w:sz w:val="20"/>
                <w:szCs w:val="20"/>
              </w:rPr>
            </w:pPr>
            <w:r>
              <w:rPr>
                <w:bCs/>
                <w:sz w:val="20"/>
                <w:szCs w:val="20"/>
              </w:rPr>
              <w:t>_</w:t>
            </w:r>
          </w:p>
        </w:tc>
        <w:tc>
          <w:tcPr>
            <w:tcW w:w="906" w:type="dxa"/>
            <w:shd w:val="clear" w:color="auto" w:fill="auto"/>
            <w:noWrap/>
            <w:vAlign w:val="center"/>
            <w:hideMark/>
          </w:tcPr>
          <w:p w14:paraId="1A18E193" w14:textId="77777777" w:rsidR="008B12EA" w:rsidRPr="003559B4" w:rsidRDefault="008B12EA" w:rsidP="00B542EA">
            <w:pPr>
              <w:jc w:val="center"/>
              <w:rPr>
                <w:bCs/>
                <w:sz w:val="20"/>
                <w:szCs w:val="20"/>
              </w:rPr>
            </w:pPr>
            <w:r>
              <w:rPr>
                <w:bCs/>
                <w:sz w:val="20"/>
                <w:szCs w:val="20"/>
              </w:rPr>
              <w:t>_</w:t>
            </w:r>
          </w:p>
        </w:tc>
      </w:tr>
      <w:tr w:rsidR="008B12EA" w:rsidRPr="003559B4" w14:paraId="1A18E19E" w14:textId="77777777" w:rsidTr="00B542EA">
        <w:trPr>
          <w:trHeight w:val="300"/>
        </w:trPr>
        <w:tc>
          <w:tcPr>
            <w:tcW w:w="514" w:type="dxa"/>
            <w:shd w:val="clear" w:color="auto" w:fill="auto"/>
            <w:noWrap/>
            <w:vAlign w:val="center"/>
            <w:hideMark/>
          </w:tcPr>
          <w:p w14:paraId="1A18E195" w14:textId="77777777" w:rsidR="008B12EA" w:rsidRPr="003559B4" w:rsidRDefault="008B12EA" w:rsidP="00B542EA">
            <w:pPr>
              <w:rPr>
                <w:bCs/>
                <w:sz w:val="20"/>
                <w:szCs w:val="20"/>
              </w:rPr>
            </w:pPr>
            <w:r w:rsidRPr="003559B4">
              <w:rPr>
                <w:sz w:val="20"/>
                <w:szCs w:val="20"/>
              </w:rPr>
              <w:t>381</w:t>
            </w:r>
          </w:p>
        </w:tc>
        <w:tc>
          <w:tcPr>
            <w:tcW w:w="951" w:type="dxa"/>
            <w:shd w:val="clear" w:color="auto" w:fill="auto"/>
            <w:noWrap/>
            <w:vAlign w:val="center"/>
            <w:hideMark/>
          </w:tcPr>
          <w:p w14:paraId="1A18E196" w14:textId="77777777" w:rsidR="008B12EA" w:rsidRPr="003559B4" w:rsidRDefault="008B12EA" w:rsidP="00B542EA">
            <w:pPr>
              <w:rPr>
                <w:bCs/>
                <w:sz w:val="20"/>
                <w:szCs w:val="20"/>
              </w:rPr>
            </w:pPr>
            <w:r w:rsidRPr="003559B4">
              <w:rPr>
                <w:sz w:val="20"/>
                <w:szCs w:val="20"/>
              </w:rPr>
              <w:t> </w:t>
            </w:r>
          </w:p>
        </w:tc>
        <w:tc>
          <w:tcPr>
            <w:tcW w:w="2416" w:type="dxa"/>
            <w:shd w:val="clear" w:color="auto" w:fill="auto"/>
            <w:noWrap/>
            <w:vAlign w:val="center"/>
            <w:hideMark/>
          </w:tcPr>
          <w:p w14:paraId="1A18E197" w14:textId="77777777" w:rsidR="008B12EA" w:rsidRPr="003559B4" w:rsidRDefault="008B12EA" w:rsidP="00B542EA">
            <w:pPr>
              <w:jc w:val="left"/>
              <w:rPr>
                <w:bCs/>
                <w:sz w:val="20"/>
                <w:szCs w:val="20"/>
              </w:rPr>
            </w:pPr>
            <w:r w:rsidRPr="003559B4">
              <w:rPr>
                <w:sz w:val="20"/>
                <w:szCs w:val="20"/>
              </w:rPr>
              <w:t>Heksabromociklododekan (HBCD)*</w:t>
            </w:r>
          </w:p>
        </w:tc>
        <w:tc>
          <w:tcPr>
            <w:tcW w:w="986" w:type="dxa"/>
            <w:shd w:val="clear" w:color="auto" w:fill="auto"/>
            <w:noWrap/>
            <w:vAlign w:val="center"/>
            <w:hideMark/>
          </w:tcPr>
          <w:p w14:paraId="1A18E198" w14:textId="77777777" w:rsidR="008B12EA" w:rsidRPr="003559B4" w:rsidRDefault="008B12EA" w:rsidP="00B542EA">
            <w:pPr>
              <w:jc w:val="right"/>
              <w:rPr>
                <w:bCs/>
                <w:sz w:val="20"/>
                <w:szCs w:val="20"/>
              </w:rPr>
            </w:pPr>
            <w:r w:rsidRPr="003559B4">
              <w:rPr>
                <w:sz w:val="20"/>
                <w:szCs w:val="20"/>
              </w:rPr>
              <w:t>NO</w:t>
            </w:r>
          </w:p>
        </w:tc>
        <w:tc>
          <w:tcPr>
            <w:tcW w:w="861" w:type="dxa"/>
            <w:shd w:val="clear" w:color="auto" w:fill="auto"/>
            <w:noWrap/>
            <w:vAlign w:val="center"/>
            <w:hideMark/>
          </w:tcPr>
          <w:p w14:paraId="1A18E199" w14:textId="77777777" w:rsidR="008B12EA" w:rsidRPr="003559B4" w:rsidRDefault="008B12EA" w:rsidP="00B542EA">
            <w:pPr>
              <w:jc w:val="right"/>
              <w:rPr>
                <w:bCs/>
                <w:sz w:val="20"/>
                <w:szCs w:val="20"/>
              </w:rPr>
            </w:pPr>
            <w:r w:rsidRPr="003559B4">
              <w:rPr>
                <w:sz w:val="20"/>
                <w:szCs w:val="20"/>
              </w:rPr>
              <w:t>NO</w:t>
            </w:r>
          </w:p>
        </w:tc>
        <w:tc>
          <w:tcPr>
            <w:tcW w:w="993" w:type="dxa"/>
            <w:shd w:val="clear" w:color="auto" w:fill="auto"/>
            <w:noWrap/>
            <w:vAlign w:val="center"/>
            <w:hideMark/>
          </w:tcPr>
          <w:p w14:paraId="1A18E19A" w14:textId="77777777" w:rsidR="008B12EA" w:rsidRPr="003559B4" w:rsidRDefault="008B12EA" w:rsidP="00B542EA">
            <w:pPr>
              <w:jc w:val="right"/>
              <w:rPr>
                <w:bCs/>
                <w:sz w:val="20"/>
                <w:szCs w:val="20"/>
              </w:rPr>
            </w:pPr>
            <w:r w:rsidRPr="003559B4">
              <w:rPr>
                <w:sz w:val="20"/>
                <w:szCs w:val="20"/>
              </w:rPr>
              <w:t>NO</w:t>
            </w:r>
          </w:p>
        </w:tc>
        <w:tc>
          <w:tcPr>
            <w:tcW w:w="1134" w:type="dxa"/>
            <w:shd w:val="clear" w:color="auto" w:fill="auto"/>
            <w:noWrap/>
            <w:vAlign w:val="center"/>
            <w:hideMark/>
          </w:tcPr>
          <w:p w14:paraId="1A18E19B" w14:textId="77777777" w:rsidR="008B12EA" w:rsidRPr="003559B4" w:rsidRDefault="008B12EA" w:rsidP="00B542EA">
            <w:pPr>
              <w:jc w:val="center"/>
              <w:rPr>
                <w:bCs/>
                <w:sz w:val="20"/>
                <w:szCs w:val="20"/>
              </w:rPr>
            </w:pPr>
            <w:r>
              <w:rPr>
                <w:sz w:val="20"/>
                <w:szCs w:val="20"/>
              </w:rPr>
              <w:t>_</w:t>
            </w:r>
          </w:p>
        </w:tc>
        <w:tc>
          <w:tcPr>
            <w:tcW w:w="958" w:type="dxa"/>
            <w:shd w:val="clear" w:color="auto" w:fill="auto"/>
            <w:noWrap/>
            <w:vAlign w:val="center"/>
            <w:hideMark/>
          </w:tcPr>
          <w:p w14:paraId="1A18E19C" w14:textId="77777777" w:rsidR="008B12EA" w:rsidRPr="003559B4" w:rsidRDefault="008B12EA" w:rsidP="00B542EA">
            <w:pPr>
              <w:jc w:val="center"/>
              <w:rPr>
                <w:bCs/>
                <w:sz w:val="20"/>
                <w:szCs w:val="20"/>
              </w:rPr>
            </w:pPr>
            <w:r>
              <w:rPr>
                <w:bCs/>
                <w:sz w:val="20"/>
                <w:szCs w:val="20"/>
              </w:rPr>
              <w:t>_</w:t>
            </w:r>
          </w:p>
        </w:tc>
        <w:tc>
          <w:tcPr>
            <w:tcW w:w="906" w:type="dxa"/>
            <w:shd w:val="clear" w:color="auto" w:fill="auto"/>
            <w:noWrap/>
            <w:vAlign w:val="center"/>
            <w:hideMark/>
          </w:tcPr>
          <w:p w14:paraId="1A18E19D" w14:textId="77777777" w:rsidR="008B12EA" w:rsidRPr="003559B4" w:rsidRDefault="008B12EA" w:rsidP="00B542EA">
            <w:pPr>
              <w:jc w:val="center"/>
              <w:rPr>
                <w:bCs/>
                <w:sz w:val="20"/>
                <w:szCs w:val="20"/>
              </w:rPr>
            </w:pPr>
            <w:r>
              <w:rPr>
                <w:bCs/>
                <w:sz w:val="20"/>
                <w:szCs w:val="20"/>
              </w:rPr>
              <w:t>_</w:t>
            </w:r>
          </w:p>
        </w:tc>
      </w:tr>
      <w:tr w:rsidR="008B12EA" w:rsidRPr="003559B4" w14:paraId="1A18E1A8" w14:textId="77777777" w:rsidTr="00B542EA">
        <w:trPr>
          <w:trHeight w:val="300"/>
        </w:trPr>
        <w:tc>
          <w:tcPr>
            <w:tcW w:w="514" w:type="dxa"/>
            <w:shd w:val="clear" w:color="auto" w:fill="auto"/>
            <w:noWrap/>
            <w:vAlign w:val="center"/>
          </w:tcPr>
          <w:p w14:paraId="1A18E19F" w14:textId="77777777" w:rsidR="008B12EA" w:rsidRPr="003559B4" w:rsidRDefault="008B12EA" w:rsidP="00B542EA">
            <w:pPr>
              <w:rPr>
                <w:bCs/>
                <w:sz w:val="20"/>
                <w:szCs w:val="20"/>
              </w:rPr>
            </w:pPr>
            <w:r w:rsidRPr="003559B4">
              <w:rPr>
                <w:bCs/>
                <w:sz w:val="20"/>
                <w:szCs w:val="20"/>
              </w:rPr>
              <w:t>382</w:t>
            </w:r>
          </w:p>
        </w:tc>
        <w:tc>
          <w:tcPr>
            <w:tcW w:w="951" w:type="dxa"/>
            <w:shd w:val="clear" w:color="auto" w:fill="auto"/>
            <w:noWrap/>
            <w:vAlign w:val="center"/>
          </w:tcPr>
          <w:p w14:paraId="1A18E1A0" w14:textId="77777777" w:rsidR="008B12EA" w:rsidRPr="003559B4" w:rsidRDefault="008B12EA" w:rsidP="00B542EA">
            <w:pPr>
              <w:rPr>
                <w:bCs/>
                <w:sz w:val="20"/>
                <w:szCs w:val="20"/>
              </w:rPr>
            </w:pPr>
          </w:p>
        </w:tc>
        <w:tc>
          <w:tcPr>
            <w:tcW w:w="2416" w:type="dxa"/>
            <w:shd w:val="clear" w:color="auto" w:fill="auto"/>
            <w:noWrap/>
            <w:vAlign w:val="center"/>
          </w:tcPr>
          <w:p w14:paraId="1A18E1A1" w14:textId="77777777" w:rsidR="008B12EA" w:rsidRPr="003559B4" w:rsidRDefault="008B12EA" w:rsidP="00B542EA">
            <w:pPr>
              <w:jc w:val="left"/>
              <w:rPr>
                <w:bCs/>
                <w:sz w:val="20"/>
                <w:szCs w:val="20"/>
              </w:rPr>
            </w:pPr>
            <w:r w:rsidRPr="003559B4">
              <w:rPr>
                <w:bCs/>
                <w:sz w:val="20"/>
                <w:szCs w:val="20"/>
              </w:rPr>
              <w:t>Poliklorirani naftaleni (PCN)**</w:t>
            </w:r>
          </w:p>
        </w:tc>
        <w:tc>
          <w:tcPr>
            <w:tcW w:w="986" w:type="dxa"/>
            <w:shd w:val="clear" w:color="auto" w:fill="auto"/>
            <w:noWrap/>
            <w:vAlign w:val="center"/>
          </w:tcPr>
          <w:p w14:paraId="1A18E1A2" w14:textId="77777777" w:rsidR="008B12EA" w:rsidRPr="003559B4" w:rsidRDefault="008B12EA" w:rsidP="00B542EA">
            <w:pPr>
              <w:jc w:val="right"/>
              <w:rPr>
                <w:bCs/>
                <w:sz w:val="20"/>
                <w:szCs w:val="20"/>
              </w:rPr>
            </w:pPr>
            <w:r w:rsidRPr="003559B4">
              <w:rPr>
                <w:bCs/>
                <w:sz w:val="20"/>
                <w:szCs w:val="20"/>
              </w:rPr>
              <w:t>NO</w:t>
            </w:r>
          </w:p>
        </w:tc>
        <w:tc>
          <w:tcPr>
            <w:tcW w:w="861" w:type="dxa"/>
            <w:shd w:val="clear" w:color="auto" w:fill="auto"/>
            <w:noWrap/>
            <w:vAlign w:val="center"/>
          </w:tcPr>
          <w:p w14:paraId="1A18E1A3" w14:textId="77777777" w:rsidR="008B12EA" w:rsidRPr="003559B4" w:rsidRDefault="008B12EA" w:rsidP="00B542EA">
            <w:pPr>
              <w:jc w:val="right"/>
              <w:rPr>
                <w:bCs/>
                <w:sz w:val="20"/>
                <w:szCs w:val="20"/>
              </w:rPr>
            </w:pPr>
            <w:r w:rsidRPr="003559B4">
              <w:rPr>
                <w:bCs/>
                <w:sz w:val="20"/>
                <w:szCs w:val="20"/>
              </w:rPr>
              <w:t>NO</w:t>
            </w:r>
          </w:p>
        </w:tc>
        <w:tc>
          <w:tcPr>
            <w:tcW w:w="993" w:type="dxa"/>
            <w:shd w:val="clear" w:color="auto" w:fill="auto"/>
            <w:noWrap/>
            <w:vAlign w:val="center"/>
          </w:tcPr>
          <w:p w14:paraId="1A18E1A4" w14:textId="77777777" w:rsidR="008B12EA" w:rsidRPr="003559B4" w:rsidRDefault="008B12EA" w:rsidP="00B542EA">
            <w:pPr>
              <w:jc w:val="right"/>
              <w:rPr>
                <w:bCs/>
                <w:sz w:val="20"/>
                <w:szCs w:val="20"/>
              </w:rPr>
            </w:pPr>
            <w:r>
              <w:rPr>
                <w:bCs/>
                <w:sz w:val="20"/>
                <w:szCs w:val="20"/>
              </w:rPr>
              <w:t>_</w:t>
            </w:r>
          </w:p>
        </w:tc>
        <w:tc>
          <w:tcPr>
            <w:tcW w:w="1134" w:type="dxa"/>
            <w:shd w:val="clear" w:color="auto" w:fill="auto"/>
            <w:noWrap/>
            <w:vAlign w:val="center"/>
          </w:tcPr>
          <w:p w14:paraId="1A18E1A5" w14:textId="77777777" w:rsidR="008B12EA" w:rsidRPr="003559B4" w:rsidRDefault="008B12EA" w:rsidP="00B542EA">
            <w:pPr>
              <w:jc w:val="center"/>
              <w:rPr>
                <w:bCs/>
                <w:sz w:val="20"/>
                <w:szCs w:val="20"/>
              </w:rPr>
            </w:pPr>
            <w:r>
              <w:rPr>
                <w:sz w:val="20"/>
                <w:szCs w:val="20"/>
              </w:rPr>
              <w:t>_</w:t>
            </w:r>
          </w:p>
        </w:tc>
        <w:tc>
          <w:tcPr>
            <w:tcW w:w="958" w:type="dxa"/>
            <w:shd w:val="clear" w:color="auto" w:fill="auto"/>
            <w:noWrap/>
            <w:vAlign w:val="center"/>
          </w:tcPr>
          <w:p w14:paraId="1A18E1A6" w14:textId="77777777" w:rsidR="008B12EA" w:rsidRPr="003559B4" w:rsidRDefault="008B12EA" w:rsidP="00B542EA">
            <w:pPr>
              <w:jc w:val="center"/>
              <w:rPr>
                <w:bCs/>
                <w:sz w:val="20"/>
                <w:szCs w:val="20"/>
              </w:rPr>
            </w:pPr>
            <w:r>
              <w:rPr>
                <w:bCs/>
                <w:sz w:val="20"/>
                <w:szCs w:val="20"/>
              </w:rPr>
              <w:t>_</w:t>
            </w:r>
          </w:p>
        </w:tc>
        <w:tc>
          <w:tcPr>
            <w:tcW w:w="906" w:type="dxa"/>
            <w:shd w:val="clear" w:color="auto" w:fill="auto"/>
            <w:noWrap/>
            <w:vAlign w:val="center"/>
          </w:tcPr>
          <w:p w14:paraId="1A18E1A7" w14:textId="77777777" w:rsidR="008B12EA" w:rsidRPr="003559B4" w:rsidRDefault="008B12EA" w:rsidP="00B542EA">
            <w:pPr>
              <w:jc w:val="center"/>
              <w:rPr>
                <w:bCs/>
                <w:sz w:val="20"/>
                <w:szCs w:val="20"/>
              </w:rPr>
            </w:pPr>
            <w:r>
              <w:rPr>
                <w:bCs/>
                <w:sz w:val="20"/>
                <w:szCs w:val="20"/>
              </w:rPr>
              <w:t>_</w:t>
            </w:r>
          </w:p>
        </w:tc>
      </w:tr>
    </w:tbl>
    <w:p w14:paraId="1A18E1A9" w14:textId="77777777" w:rsidR="008B12EA" w:rsidRPr="00D10DC1" w:rsidRDefault="008B12EA" w:rsidP="008B12EA">
      <w:pPr>
        <w:jc w:val="left"/>
        <w:rPr>
          <w:i/>
          <w:sz w:val="18"/>
          <w:szCs w:val="18"/>
        </w:rPr>
      </w:pPr>
      <w:r w:rsidRPr="00E2338C">
        <w:rPr>
          <w:sz w:val="18"/>
          <w:szCs w:val="18"/>
        </w:rPr>
        <w:t>* tvari koje su na popis dodane 2015. godine</w:t>
      </w:r>
      <w:r>
        <w:rPr>
          <w:sz w:val="18"/>
          <w:szCs w:val="18"/>
        </w:rPr>
        <w:t xml:space="preserve">                                                                                                        </w:t>
      </w:r>
      <w:r w:rsidRPr="00D10DC1">
        <w:rPr>
          <w:i/>
          <w:sz w:val="18"/>
          <w:szCs w:val="18"/>
        </w:rPr>
        <w:t xml:space="preserve">Izvor: ROO, </w:t>
      </w:r>
      <w:r w:rsidR="00A56BCC">
        <w:rPr>
          <w:i/>
          <w:sz w:val="18"/>
          <w:szCs w:val="18"/>
        </w:rPr>
        <w:t>MINGOR</w:t>
      </w:r>
    </w:p>
    <w:p w14:paraId="1A18E1AA" w14:textId="77777777" w:rsidR="008B12EA" w:rsidRDefault="008B12EA" w:rsidP="008B12EA">
      <w:pPr>
        <w:rPr>
          <w:sz w:val="18"/>
          <w:szCs w:val="18"/>
        </w:rPr>
      </w:pPr>
      <w:r w:rsidRPr="00E2338C">
        <w:rPr>
          <w:sz w:val="18"/>
          <w:szCs w:val="18"/>
        </w:rPr>
        <w:t>**tvar koja je na popis dodana 2021. godine</w:t>
      </w:r>
    </w:p>
    <w:p w14:paraId="1A18E1AB" w14:textId="77777777" w:rsidR="008B12EA" w:rsidRPr="00E2338C" w:rsidRDefault="008B12EA" w:rsidP="008B12EA">
      <w:pPr>
        <w:rPr>
          <w:sz w:val="18"/>
          <w:szCs w:val="18"/>
        </w:rPr>
      </w:pPr>
      <w:r>
        <w:rPr>
          <w:sz w:val="18"/>
          <w:szCs w:val="18"/>
        </w:rPr>
        <w:t>*** NO – prag nije određen. Prijava je obavezna za bilo koju količinu ispuštene tvari</w:t>
      </w:r>
    </w:p>
    <w:p w14:paraId="1A18E1AC" w14:textId="77777777" w:rsidR="008B12EA" w:rsidRDefault="008B12EA" w:rsidP="008B12EA"/>
    <w:p w14:paraId="1A18E1AD" w14:textId="586B348F" w:rsidR="008B12EA" w:rsidRDefault="008B12EA" w:rsidP="008B12EA">
      <w:r>
        <w:lastRenderedPageBreak/>
        <w:t>Temeljem podataka o ispuštanjima POPs-ova i opasnom otpadu koji može sadržavati POPs</w:t>
      </w:r>
      <w:r w:rsidR="004E2A08">
        <w:t>-ove</w:t>
      </w:r>
      <w:r>
        <w:t>, za promatrani period,  izdvojene su djelatnosti prema kojima su obveznici prijavljivali POPs-ove u ROO.</w:t>
      </w:r>
    </w:p>
    <w:p w14:paraId="1A18E1AE" w14:textId="77777777" w:rsidR="008B12EA" w:rsidRDefault="008B12EA" w:rsidP="008B12EA">
      <w:r>
        <w:t xml:space="preserve"> </w:t>
      </w:r>
    </w:p>
    <w:p w14:paraId="1A18E1AF" w14:textId="77777777" w:rsidR="008B12EA" w:rsidRPr="00AC43F3" w:rsidRDefault="008B12EA" w:rsidP="008B12EA">
      <w:pPr>
        <w:rPr>
          <w:i/>
        </w:rPr>
      </w:pPr>
      <w:r w:rsidRPr="00AC43F3">
        <w:rPr>
          <w:i/>
        </w:rPr>
        <w:t>Tablica 2.5.-2 Popis djelatnosti u kojima su prijavljeni POPs-ovi u ROO</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954"/>
        <w:gridCol w:w="2516"/>
      </w:tblGrid>
      <w:tr w:rsidR="008B12EA" w:rsidRPr="00354937" w14:paraId="1A18E1B3" w14:textId="77777777" w:rsidTr="00B542EA">
        <w:trPr>
          <w:trHeight w:val="255"/>
          <w:tblHeader/>
        </w:trPr>
        <w:tc>
          <w:tcPr>
            <w:tcW w:w="1271" w:type="dxa"/>
            <w:shd w:val="clear" w:color="auto" w:fill="auto"/>
            <w:noWrap/>
            <w:vAlign w:val="center"/>
            <w:hideMark/>
          </w:tcPr>
          <w:p w14:paraId="1A18E1B0" w14:textId="77777777" w:rsidR="008B12EA" w:rsidRPr="00354937" w:rsidRDefault="008B12EA" w:rsidP="00B542EA">
            <w:pPr>
              <w:spacing w:line="240" w:lineRule="auto"/>
              <w:jc w:val="left"/>
              <w:rPr>
                <w:b/>
                <w:bCs/>
                <w:color w:val="000000"/>
                <w:sz w:val="20"/>
                <w:szCs w:val="20"/>
              </w:rPr>
            </w:pPr>
            <w:r w:rsidRPr="00354937">
              <w:rPr>
                <w:b/>
                <w:bCs/>
                <w:color w:val="000000"/>
                <w:sz w:val="20"/>
                <w:szCs w:val="20"/>
              </w:rPr>
              <w:t>NKD 2007</w:t>
            </w:r>
            <w:r>
              <w:rPr>
                <w:rStyle w:val="Referencafusnote"/>
                <w:b/>
                <w:bCs/>
                <w:color w:val="000000"/>
                <w:sz w:val="20"/>
                <w:szCs w:val="20"/>
              </w:rPr>
              <w:footnoteReference w:id="7"/>
            </w:r>
          </w:p>
        </w:tc>
        <w:tc>
          <w:tcPr>
            <w:tcW w:w="5954" w:type="dxa"/>
            <w:shd w:val="clear" w:color="auto" w:fill="auto"/>
            <w:noWrap/>
            <w:vAlign w:val="center"/>
            <w:hideMark/>
          </w:tcPr>
          <w:p w14:paraId="1A18E1B1" w14:textId="77777777" w:rsidR="008B12EA" w:rsidRPr="00354937" w:rsidRDefault="008B12EA" w:rsidP="00B542EA">
            <w:pPr>
              <w:spacing w:line="240" w:lineRule="auto"/>
              <w:jc w:val="left"/>
              <w:rPr>
                <w:b/>
                <w:bCs/>
                <w:color w:val="000000"/>
                <w:sz w:val="20"/>
                <w:szCs w:val="20"/>
              </w:rPr>
            </w:pPr>
            <w:r w:rsidRPr="00354937">
              <w:rPr>
                <w:b/>
                <w:bCs/>
                <w:color w:val="000000"/>
                <w:sz w:val="20"/>
                <w:szCs w:val="20"/>
              </w:rPr>
              <w:t>Naziv djelatnosti</w:t>
            </w:r>
          </w:p>
        </w:tc>
        <w:tc>
          <w:tcPr>
            <w:tcW w:w="2516" w:type="dxa"/>
            <w:shd w:val="clear" w:color="auto" w:fill="auto"/>
            <w:noWrap/>
            <w:vAlign w:val="center"/>
            <w:hideMark/>
          </w:tcPr>
          <w:p w14:paraId="1A18E1B2" w14:textId="77777777" w:rsidR="008B12EA" w:rsidRPr="00354937" w:rsidRDefault="008B12EA" w:rsidP="00B542EA">
            <w:pPr>
              <w:spacing w:line="240" w:lineRule="auto"/>
              <w:jc w:val="left"/>
              <w:rPr>
                <w:b/>
                <w:bCs/>
                <w:color w:val="000000"/>
                <w:sz w:val="20"/>
                <w:szCs w:val="20"/>
              </w:rPr>
            </w:pPr>
            <w:r w:rsidRPr="00354937">
              <w:rPr>
                <w:b/>
                <w:bCs/>
                <w:color w:val="000000"/>
                <w:sz w:val="20"/>
                <w:szCs w:val="20"/>
              </w:rPr>
              <w:t>Kategorije u kojima se pojavljuju POPs-ovi</w:t>
            </w:r>
          </w:p>
        </w:tc>
      </w:tr>
      <w:tr w:rsidR="008B12EA" w:rsidRPr="00354937" w14:paraId="1A18E1B7" w14:textId="77777777" w:rsidTr="00B542EA">
        <w:trPr>
          <w:trHeight w:val="255"/>
        </w:trPr>
        <w:tc>
          <w:tcPr>
            <w:tcW w:w="1271" w:type="dxa"/>
            <w:shd w:val="clear" w:color="auto" w:fill="auto"/>
            <w:noWrap/>
            <w:vAlign w:val="center"/>
            <w:hideMark/>
          </w:tcPr>
          <w:p w14:paraId="1A18E1B4" w14:textId="77777777" w:rsidR="008B12EA" w:rsidRPr="00354937" w:rsidRDefault="008B12EA" w:rsidP="00B542EA">
            <w:pPr>
              <w:spacing w:line="240" w:lineRule="auto"/>
              <w:jc w:val="left"/>
              <w:rPr>
                <w:color w:val="000000"/>
                <w:sz w:val="20"/>
                <w:szCs w:val="20"/>
              </w:rPr>
            </w:pPr>
            <w:r w:rsidRPr="00354937">
              <w:rPr>
                <w:sz w:val="20"/>
                <w:szCs w:val="20"/>
              </w:rPr>
              <w:t>17.21</w:t>
            </w:r>
          </w:p>
        </w:tc>
        <w:tc>
          <w:tcPr>
            <w:tcW w:w="5954" w:type="dxa"/>
            <w:shd w:val="clear" w:color="auto" w:fill="auto"/>
            <w:noWrap/>
            <w:vAlign w:val="center"/>
            <w:hideMark/>
          </w:tcPr>
          <w:p w14:paraId="1A18E1B5" w14:textId="77777777" w:rsidR="008B12EA" w:rsidRPr="00354937" w:rsidRDefault="008B12EA" w:rsidP="00B542EA">
            <w:pPr>
              <w:spacing w:line="240" w:lineRule="auto"/>
              <w:jc w:val="left"/>
              <w:rPr>
                <w:color w:val="000000"/>
                <w:sz w:val="20"/>
                <w:szCs w:val="20"/>
              </w:rPr>
            </w:pPr>
            <w:r w:rsidRPr="00354937">
              <w:rPr>
                <w:sz w:val="20"/>
                <w:szCs w:val="20"/>
              </w:rPr>
              <w:t>Proizvodnja valovitog papira i kartona te ambalaže od papira i kartona</w:t>
            </w:r>
          </w:p>
        </w:tc>
        <w:tc>
          <w:tcPr>
            <w:tcW w:w="2516" w:type="dxa"/>
            <w:shd w:val="clear" w:color="auto" w:fill="auto"/>
            <w:noWrap/>
            <w:vAlign w:val="center"/>
            <w:hideMark/>
          </w:tcPr>
          <w:p w14:paraId="1A18E1B6"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BB" w14:textId="77777777" w:rsidTr="00B542EA">
        <w:trPr>
          <w:trHeight w:val="255"/>
        </w:trPr>
        <w:tc>
          <w:tcPr>
            <w:tcW w:w="1271" w:type="dxa"/>
            <w:shd w:val="clear" w:color="auto" w:fill="auto"/>
            <w:noWrap/>
            <w:vAlign w:val="center"/>
            <w:hideMark/>
          </w:tcPr>
          <w:p w14:paraId="1A18E1B8" w14:textId="77777777" w:rsidR="008B12EA" w:rsidRPr="00354937" w:rsidRDefault="008B12EA" w:rsidP="00B542EA">
            <w:pPr>
              <w:spacing w:line="240" w:lineRule="auto"/>
              <w:jc w:val="left"/>
              <w:rPr>
                <w:color w:val="000000"/>
                <w:sz w:val="20"/>
                <w:szCs w:val="20"/>
              </w:rPr>
            </w:pPr>
            <w:r w:rsidRPr="00354937">
              <w:rPr>
                <w:sz w:val="20"/>
                <w:szCs w:val="20"/>
              </w:rPr>
              <w:t>19.20</w:t>
            </w:r>
          </w:p>
        </w:tc>
        <w:tc>
          <w:tcPr>
            <w:tcW w:w="5954" w:type="dxa"/>
            <w:shd w:val="clear" w:color="auto" w:fill="auto"/>
            <w:noWrap/>
            <w:vAlign w:val="center"/>
            <w:hideMark/>
          </w:tcPr>
          <w:p w14:paraId="1A18E1B9" w14:textId="77777777" w:rsidR="008B12EA" w:rsidRPr="00354937" w:rsidRDefault="008B12EA" w:rsidP="00B542EA">
            <w:pPr>
              <w:spacing w:line="240" w:lineRule="auto"/>
              <w:jc w:val="left"/>
              <w:rPr>
                <w:color w:val="000000"/>
                <w:sz w:val="20"/>
                <w:szCs w:val="20"/>
              </w:rPr>
            </w:pPr>
            <w:r w:rsidRPr="00354937">
              <w:rPr>
                <w:sz w:val="20"/>
                <w:szCs w:val="20"/>
              </w:rPr>
              <w:t>Proizvodnja rafiniranih naftnih proizvoda</w:t>
            </w:r>
          </w:p>
        </w:tc>
        <w:tc>
          <w:tcPr>
            <w:tcW w:w="2516" w:type="dxa"/>
            <w:shd w:val="clear" w:color="auto" w:fill="auto"/>
            <w:noWrap/>
            <w:vAlign w:val="center"/>
            <w:hideMark/>
          </w:tcPr>
          <w:p w14:paraId="1A18E1BA"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BF" w14:textId="77777777" w:rsidTr="00B542EA">
        <w:trPr>
          <w:trHeight w:val="255"/>
        </w:trPr>
        <w:tc>
          <w:tcPr>
            <w:tcW w:w="1271" w:type="dxa"/>
            <w:shd w:val="clear" w:color="auto" w:fill="auto"/>
            <w:noWrap/>
            <w:vAlign w:val="center"/>
            <w:hideMark/>
          </w:tcPr>
          <w:p w14:paraId="1A18E1BC" w14:textId="77777777" w:rsidR="008B12EA" w:rsidRPr="00354937" w:rsidRDefault="008B12EA" w:rsidP="00B542EA">
            <w:pPr>
              <w:spacing w:line="240" w:lineRule="auto"/>
              <w:jc w:val="left"/>
              <w:rPr>
                <w:color w:val="000000"/>
                <w:sz w:val="20"/>
                <w:szCs w:val="20"/>
              </w:rPr>
            </w:pPr>
            <w:r w:rsidRPr="00354937">
              <w:rPr>
                <w:sz w:val="20"/>
                <w:szCs w:val="20"/>
              </w:rPr>
              <w:t>20.20</w:t>
            </w:r>
          </w:p>
        </w:tc>
        <w:tc>
          <w:tcPr>
            <w:tcW w:w="5954" w:type="dxa"/>
            <w:shd w:val="clear" w:color="auto" w:fill="auto"/>
            <w:noWrap/>
            <w:vAlign w:val="center"/>
            <w:hideMark/>
          </w:tcPr>
          <w:p w14:paraId="1A18E1BD" w14:textId="77777777" w:rsidR="008B12EA" w:rsidRPr="00354937" w:rsidRDefault="008B12EA" w:rsidP="00B542EA">
            <w:pPr>
              <w:spacing w:line="240" w:lineRule="auto"/>
              <w:jc w:val="left"/>
              <w:rPr>
                <w:color w:val="000000"/>
                <w:sz w:val="20"/>
                <w:szCs w:val="20"/>
              </w:rPr>
            </w:pPr>
            <w:r w:rsidRPr="00354937">
              <w:rPr>
                <w:sz w:val="20"/>
                <w:szCs w:val="20"/>
              </w:rPr>
              <w:t>Proizvodnja pesticida i drugih agrokemijskih proizvoda</w:t>
            </w:r>
          </w:p>
        </w:tc>
        <w:tc>
          <w:tcPr>
            <w:tcW w:w="2516" w:type="dxa"/>
            <w:shd w:val="clear" w:color="auto" w:fill="auto"/>
            <w:noWrap/>
            <w:vAlign w:val="center"/>
            <w:hideMark/>
          </w:tcPr>
          <w:p w14:paraId="1A18E1BE"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C3" w14:textId="77777777" w:rsidTr="00B542EA">
        <w:trPr>
          <w:trHeight w:val="255"/>
        </w:trPr>
        <w:tc>
          <w:tcPr>
            <w:tcW w:w="1271" w:type="dxa"/>
            <w:shd w:val="clear" w:color="auto" w:fill="auto"/>
            <w:noWrap/>
            <w:vAlign w:val="center"/>
            <w:hideMark/>
          </w:tcPr>
          <w:p w14:paraId="1A18E1C0" w14:textId="77777777" w:rsidR="008B12EA" w:rsidRPr="00354937" w:rsidRDefault="008B12EA" w:rsidP="00B542EA">
            <w:pPr>
              <w:spacing w:line="240" w:lineRule="auto"/>
              <w:jc w:val="left"/>
              <w:rPr>
                <w:color w:val="000000"/>
                <w:sz w:val="20"/>
                <w:szCs w:val="20"/>
              </w:rPr>
            </w:pPr>
            <w:r w:rsidRPr="00354937">
              <w:rPr>
                <w:sz w:val="20"/>
                <w:szCs w:val="20"/>
              </w:rPr>
              <w:t>20.41</w:t>
            </w:r>
          </w:p>
        </w:tc>
        <w:tc>
          <w:tcPr>
            <w:tcW w:w="5954" w:type="dxa"/>
            <w:shd w:val="clear" w:color="auto" w:fill="auto"/>
            <w:noWrap/>
            <w:vAlign w:val="center"/>
            <w:hideMark/>
          </w:tcPr>
          <w:p w14:paraId="1A18E1C1" w14:textId="77777777" w:rsidR="008B12EA" w:rsidRPr="00354937" w:rsidRDefault="008B12EA" w:rsidP="00B542EA">
            <w:pPr>
              <w:spacing w:line="240" w:lineRule="auto"/>
              <w:jc w:val="left"/>
              <w:rPr>
                <w:color w:val="000000"/>
                <w:sz w:val="20"/>
                <w:szCs w:val="20"/>
              </w:rPr>
            </w:pPr>
            <w:r w:rsidRPr="00354937">
              <w:rPr>
                <w:sz w:val="20"/>
                <w:szCs w:val="20"/>
              </w:rPr>
              <w:t>Proizvodnja sapuna i deterdženata, sredstava za čišćenje i poliranje</w:t>
            </w:r>
          </w:p>
        </w:tc>
        <w:tc>
          <w:tcPr>
            <w:tcW w:w="2516" w:type="dxa"/>
            <w:shd w:val="clear" w:color="auto" w:fill="auto"/>
            <w:noWrap/>
            <w:vAlign w:val="center"/>
            <w:hideMark/>
          </w:tcPr>
          <w:p w14:paraId="1A18E1C2"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C7" w14:textId="77777777" w:rsidTr="00B542EA">
        <w:trPr>
          <w:trHeight w:val="255"/>
        </w:trPr>
        <w:tc>
          <w:tcPr>
            <w:tcW w:w="1271" w:type="dxa"/>
            <w:shd w:val="clear" w:color="auto" w:fill="auto"/>
            <w:noWrap/>
            <w:vAlign w:val="center"/>
            <w:hideMark/>
          </w:tcPr>
          <w:p w14:paraId="1A18E1C4" w14:textId="77777777" w:rsidR="008B12EA" w:rsidRPr="00354937" w:rsidRDefault="008B12EA" w:rsidP="00B542EA">
            <w:pPr>
              <w:spacing w:line="240" w:lineRule="auto"/>
              <w:jc w:val="left"/>
              <w:rPr>
                <w:color w:val="000000"/>
                <w:sz w:val="20"/>
                <w:szCs w:val="20"/>
              </w:rPr>
            </w:pPr>
            <w:r w:rsidRPr="00354937">
              <w:rPr>
                <w:sz w:val="20"/>
                <w:szCs w:val="20"/>
              </w:rPr>
              <w:t>21.10</w:t>
            </w:r>
          </w:p>
        </w:tc>
        <w:tc>
          <w:tcPr>
            <w:tcW w:w="5954" w:type="dxa"/>
            <w:shd w:val="clear" w:color="auto" w:fill="auto"/>
            <w:noWrap/>
            <w:vAlign w:val="center"/>
            <w:hideMark/>
          </w:tcPr>
          <w:p w14:paraId="1A18E1C5" w14:textId="77777777" w:rsidR="008B12EA" w:rsidRPr="00354937" w:rsidRDefault="008B12EA" w:rsidP="00B542EA">
            <w:pPr>
              <w:spacing w:line="240" w:lineRule="auto"/>
              <w:jc w:val="left"/>
              <w:rPr>
                <w:color w:val="000000"/>
                <w:sz w:val="20"/>
                <w:szCs w:val="20"/>
              </w:rPr>
            </w:pPr>
            <w:r w:rsidRPr="00354937">
              <w:rPr>
                <w:sz w:val="20"/>
                <w:szCs w:val="20"/>
              </w:rPr>
              <w:t>Proizvodnja osnovnih farmaceutskih proizvoda</w:t>
            </w:r>
          </w:p>
        </w:tc>
        <w:tc>
          <w:tcPr>
            <w:tcW w:w="2516" w:type="dxa"/>
            <w:shd w:val="clear" w:color="auto" w:fill="auto"/>
            <w:noWrap/>
            <w:vAlign w:val="center"/>
            <w:hideMark/>
          </w:tcPr>
          <w:p w14:paraId="1A18E1C6"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CB" w14:textId="77777777" w:rsidTr="00B542EA">
        <w:trPr>
          <w:trHeight w:val="255"/>
        </w:trPr>
        <w:tc>
          <w:tcPr>
            <w:tcW w:w="1271" w:type="dxa"/>
            <w:shd w:val="clear" w:color="auto" w:fill="auto"/>
            <w:noWrap/>
            <w:vAlign w:val="center"/>
            <w:hideMark/>
          </w:tcPr>
          <w:p w14:paraId="1A18E1C8" w14:textId="77777777" w:rsidR="008B12EA" w:rsidRPr="00354937" w:rsidRDefault="008B12EA" w:rsidP="00B542EA">
            <w:pPr>
              <w:spacing w:line="240" w:lineRule="auto"/>
              <w:jc w:val="left"/>
              <w:rPr>
                <w:color w:val="000000"/>
                <w:sz w:val="20"/>
                <w:szCs w:val="20"/>
              </w:rPr>
            </w:pPr>
            <w:r w:rsidRPr="00354937">
              <w:rPr>
                <w:sz w:val="20"/>
                <w:szCs w:val="20"/>
              </w:rPr>
              <w:t>21.20</w:t>
            </w:r>
          </w:p>
        </w:tc>
        <w:tc>
          <w:tcPr>
            <w:tcW w:w="5954" w:type="dxa"/>
            <w:shd w:val="clear" w:color="auto" w:fill="auto"/>
            <w:noWrap/>
            <w:vAlign w:val="center"/>
            <w:hideMark/>
          </w:tcPr>
          <w:p w14:paraId="1A18E1C9" w14:textId="77777777" w:rsidR="008B12EA" w:rsidRPr="00354937" w:rsidRDefault="008B12EA" w:rsidP="00B542EA">
            <w:pPr>
              <w:spacing w:line="240" w:lineRule="auto"/>
              <w:jc w:val="left"/>
              <w:rPr>
                <w:color w:val="000000"/>
                <w:sz w:val="20"/>
                <w:szCs w:val="20"/>
              </w:rPr>
            </w:pPr>
            <w:r w:rsidRPr="00354937">
              <w:rPr>
                <w:sz w:val="20"/>
                <w:szCs w:val="20"/>
              </w:rPr>
              <w:t>Proizvodnja farmaceutskih pripravaka</w:t>
            </w:r>
          </w:p>
        </w:tc>
        <w:tc>
          <w:tcPr>
            <w:tcW w:w="2516" w:type="dxa"/>
            <w:shd w:val="clear" w:color="auto" w:fill="auto"/>
            <w:noWrap/>
            <w:vAlign w:val="center"/>
            <w:hideMark/>
          </w:tcPr>
          <w:p w14:paraId="1A18E1CA"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CF" w14:textId="77777777" w:rsidTr="00B542EA">
        <w:trPr>
          <w:trHeight w:val="255"/>
        </w:trPr>
        <w:tc>
          <w:tcPr>
            <w:tcW w:w="1271" w:type="dxa"/>
            <w:shd w:val="clear" w:color="auto" w:fill="auto"/>
            <w:noWrap/>
            <w:vAlign w:val="center"/>
            <w:hideMark/>
          </w:tcPr>
          <w:p w14:paraId="1A18E1CC" w14:textId="77777777" w:rsidR="008B12EA" w:rsidRPr="00354937" w:rsidRDefault="008B12EA" w:rsidP="00B542EA">
            <w:pPr>
              <w:spacing w:line="240" w:lineRule="auto"/>
              <w:jc w:val="left"/>
              <w:rPr>
                <w:color w:val="000000"/>
                <w:sz w:val="20"/>
                <w:szCs w:val="20"/>
              </w:rPr>
            </w:pPr>
            <w:r w:rsidRPr="00354937">
              <w:rPr>
                <w:sz w:val="20"/>
                <w:szCs w:val="20"/>
              </w:rPr>
              <w:t>23.51</w:t>
            </w:r>
          </w:p>
        </w:tc>
        <w:tc>
          <w:tcPr>
            <w:tcW w:w="5954" w:type="dxa"/>
            <w:shd w:val="clear" w:color="auto" w:fill="auto"/>
            <w:noWrap/>
            <w:vAlign w:val="center"/>
            <w:hideMark/>
          </w:tcPr>
          <w:p w14:paraId="1A18E1CD" w14:textId="77777777" w:rsidR="008B12EA" w:rsidRPr="00354937" w:rsidRDefault="008B12EA" w:rsidP="00B542EA">
            <w:pPr>
              <w:spacing w:line="240" w:lineRule="auto"/>
              <w:jc w:val="left"/>
              <w:rPr>
                <w:color w:val="000000"/>
                <w:sz w:val="20"/>
                <w:szCs w:val="20"/>
              </w:rPr>
            </w:pPr>
            <w:r w:rsidRPr="00354937">
              <w:rPr>
                <w:sz w:val="20"/>
                <w:szCs w:val="20"/>
              </w:rPr>
              <w:t>Proizvodnja cementa</w:t>
            </w:r>
          </w:p>
        </w:tc>
        <w:tc>
          <w:tcPr>
            <w:tcW w:w="2516" w:type="dxa"/>
            <w:shd w:val="clear" w:color="auto" w:fill="auto"/>
            <w:noWrap/>
            <w:vAlign w:val="center"/>
            <w:hideMark/>
          </w:tcPr>
          <w:p w14:paraId="1A18E1CE" w14:textId="77777777" w:rsidR="008B12EA" w:rsidRPr="00354937" w:rsidRDefault="008B12EA" w:rsidP="00B542EA">
            <w:pPr>
              <w:spacing w:line="240" w:lineRule="auto"/>
              <w:jc w:val="left"/>
              <w:rPr>
                <w:color w:val="000000"/>
                <w:sz w:val="20"/>
                <w:szCs w:val="20"/>
              </w:rPr>
            </w:pPr>
            <w:r w:rsidRPr="00354937">
              <w:rPr>
                <w:sz w:val="20"/>
                <w:szCs w:val="20"/>
              </w:rPr>
              <w:t>zrak</w:t>
            </w:r>
          </w:p>
        </w:tc>
      </w:tr>
      <w:tr w:rsidR="008B12EA" w:rsidRPr="00354937" w14:paraId="1A18E1D3" w14:textId="77777777" w:rsidTr="00B542EA">
        <w:trPr>
          <w:trHeight w:val="255"/>
        </w:trPr>
        <w:tc>
          <w:tcPr>
            <w:tcW w:w="1271" w:type="dxa"/>
            <w:shd w:val="clear" w:color="auto" w:fill="auto"/>
            <w:noWrap/>
            <w:vAlign w:val="center"/>
            <w:hideMark/>
          </w:tcPr>
          <w:p w14:paraId="1A18E1D0" w14:textId="77777777" w:rsidR="008B12EA" w:rsidRPr="00354937" w:rsidRDefault="008B12EA" w:rsidP="00B542EA">
            <w:pPr>
              <w:spacing w:line="240" w:lineRule="auto"/>
              <w:jc w:val="left"/>
              <w:rPr>
                <w:sz w:val="20"/>
                <w:szCs w:val="20"/>
              </w:rPr>
            </w:pPr>
            <w:r w:rsidRPr="00354937">
              <w:rPr>
                <w:sz w:val="20"/>
                <w:szCs w:val="20"/>
              </w:rPr>
              <w:t>23.52</w:t>
            </w:r>
          </w:p>
        </w:tc>
        <w:tc>
          <w:tcPr>
            <w:tcW w:w="5954" w:type="dxa"/>
            <w:shd w:val="clear" w:color="auto" w:fill="auto"/>
            <w:noWrap/>
            <w:vAlign w:val="center"/>
            <w:hideMark/>
          </w:tcPr>
          <w:p w14:paraId="1A18E1D1" w14:textId="77777777" w:rsidR="008B12EA" w:rsidRPr="00354937" w:rsidRDefault="008B12EA" w:rsidP="00B542EA">
            <w:pPr>
              <w:spacing w:line="240" w:lineRule="auto"/>
              <w:jc w:val="left"/>
              <w:rPr>
                <w:sz w:val="20"/>
                <w:szCs w:val="20"/>
              </w:rPr>
            </w:pPr>
            <w:r w:rsidRPr="00354937">
              <w:rPr>
                <w:sz w:val="20"/>
                <w:szCs w:val="20"/>
              </w:rPr>
              <w:t>Proizvodnja vapna i gipsa</w:t>
            </w:r>
          </w:p>
        </w:tc>
        <w:tc>
          <w:tcPr>
            <w:tcW w:w="2516" w:type="dxa"/>
            <w:shd w:val="clear" w:color="auto" w:fill="auto"/>
            <w:noWrap/>
            <w:vAlign w:val="center"/>
            <w:hideMark/>
          </w:tcPr>
          <w:p w14:paraId="1A18E1D2" w14:textId="77777777" w:rsidR="008B12EA" w:rsidRPr="00354937" w:rsidRDefault="008B12EA" w:rsidP="00B542EA">
            <w:pPr>
              <w:spacing w:line="240" w:lineRule="auto"/>
              <w:jc w:val="left"/>
              <w:rPr>
                <w:color w:val="000000"/>
                <w:sz w:val="20"/>
                <w:szCs w:val="20"/>
              </w:rPr>
            </w:pPr>
            <w:r w:rsidRPr="00354937">
              <w:rPr>
                <w:sz w:val="20"/>
                <w:szCs w:val="20"/>
              </w:rPr>
              <w:t>zrak,</w:t>
            </w:r>
            <w:r>
              <w:rPr>
                <w:sz w:val="20"/>
                <w:szCs w:val="20"/>
              </w:rPr>
              <w:t xml:space="preserve"> </w:t>
            </w:r>
            <w:r w:rsidRPr="00354937">
              <w:rPr>
                <w:sz w:val="20"/>
                <w:szCs w:val="20"/>
              </w:rPr>
              <w:t>otpad</w:t>
            </w:r>
          </w:p>
        </w:tc>
      </w:tr>
      <w:tr w:rsidR="008B12EA" w:rsidRPr="00354937" w14:paraId="1A18E1D7" w14:textId="77777777" w:rsidTr="00B542EA">
        <w:trPr>
          <w:trHeight w:val="255"/>
        </w:trPr>
        <w:tc>
          <w:tcPr>
            <w:tcW w:w="1271" w:type="dxa"/>
            <w:shd w:val="clear" w:color="auto" w:fill="auto"/>
            <w:noWrap/>
            <w:vAlign w:val="center"/>
            <w:hideMark/>
          </w:tcPr>
          <w:p w14:paraId="1A18E1D4" w14:textId="77777777" w:rsidR="008B12EA" w:rsidRPr="00354937" w:rsidRDefault="008B12EA" w:rsidP="00B542EA">
            <w:pPr>
              <w:spacing w:line="240" w:lineRule="auto"/>
              <w:jc w:val="left"/>
              <w:rPr>
                <w:color w:val="000000"/>
                <w:sz w:val="20"/>
                <w:szCs w:val="20"/>
              </w:rPr>
            </w:pPr>
            <w:r w:rsidRPr="00354937">
              <w:rPr>
                <w:sz w:val="20"/>
                <w:szCs w:val="20"/>
              </w:rPr>
              <w:t>24.43</w:t>
            </w:r>
          </w:p>
        </w:tc>
        <w:tc>
          <w:tcPr>
            <w:tcW w:w="5954" w:type="dxa"/>
            <w:shd w:val="clear" w:color="auto" w:fill="auto"/>
            <w:noWrap/>
            <w:vAlign w:val="center"/>
            <w:hideMark/>
          </w:tcPr>
          <w:p w14:paraId="1A18E1D5" w14:textId="77777777" w:rsidR="008B12EA" w:rsidRPr="00354937" w:rsidRDefault="008B12EA" w:rsidP="00B542EA">
            <w:pPr>
              <w:spacing w:line="240" w:lineRule="auto"/>
              <w:jc w:val="left"/>
              <w:rPr>
                <w:color w:val="000000"/>
                <w:sz w:val="20"/>
                <w:szCs w:val="20"/>
              </w:rPr>
            </w:pPr>
            <w:r w:rsidRPr="00354937">
              <w:rPr>
                <w:sz w:val="20"/>
                <w:szCs w:val="20"/>
              </w:rPr>
              <w:t>Proizvodnja olova, cinka i kositra</w:t>
            </w:r>
          </w:p>
        </w:tc>
        <w:tc>
          <w:tcPr>
            <w:tcW w:w="2516" w:type="dxa"/>
            <w:shd w:val="clear" w:color="auto" w:fill="auto"/>
            <w:noWrap/>
            <w:vAlign w:val="center"/>
            <w:hideMark/>
          </w:tcPr>
          <w:p w14:paraId="1A18E1D6"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1DB" w14:textId="77777777" w:rsidTr="00B542EA">
        <w:trPr>
          <w:trHeight w:val="255"/>
        </w:trPr>
        <w:tc>
          <w:tcPr>
            <w:tcW w:w="1271" w:type="dxa"/>
            <w:shd w:val="clear" w:color="auto" w:fill="auto"/>
            <w:noWrap/>
            <w:vAlign w:val="center"/>
            <w:hideMark/>
          </w:tcPr>
          <w:p w14:paraId="1A18E1D8" w14:textId="77777777" w:rsidR="008B12EA" w:rsidRPr="00354937" w:rsidRDefault="008B12EA" w:rsidP="00B542EA">
            <w:pPr>
              <w:spacing w:line="240" w:lineRule="auto"/>
              <w:jc w:val="left"/>
              <w:rPr>
                <w:sz w:val="20"/>
                <w:szCs w:val="20"/>
              </w:rPr>
            </w:pPr>
            <w:r w:rsidRPr="00354937">
              <w:rPr>
                <w:sz w:val="20"/>
                <w:szCs w:val="20"/>
              </w:rPr>
              <w:t>24.51</w:t>
            </w:r>
          </w:p>
        </w:tc>
        <w:tc>
          <w:tcPr>
            <w:tcW w:w="5954" w:type="dxa"/>
            <w:shd w:val="clear" w:color="auto" w:fill="auto"/>
            <w:noWrap/>
            <w:vAlign w:val="center"/>
            <w:hideMark/>
          </w:tcPr>
          <w:p w14:paraId="1A18E1D9" w14:textId="77777777" w:rsidR="008B12EA" w:rsidRPr="00354937" w:rsidRDefault="008B12EA" w:rsidP="00B542EA">
            <w:pPr>
              <w:spacing w:line="240" w:lineRule="auto"/>
              <w:jc w:val="left"/>
              <w:rPr>
                <w:sz w:val="20"/>
                <w:szCs w:val="20"/>
              </w:rPr>
            </w:pPr>
            <w:r w:rsidRPr="00354937">
              <w:rPr>
                <w:sz w:val="20"/>
                <w:szCs w:val="20"/>
              </w:rPr>
              <w:t>Lijevanje željeza</w:t>
            </w:r>
          </w:p>
        </w:tc>
        <w:tc>
          <w:tcPr>
            <w:tcW w:w="2516" w:type="dxa"/>
            <w:shd w:val="clear" w:color="auto" w:fill="auto"/>
            <w:noWrap/>
            <w:vAlign w:val="center"/>
            <w:hideMark/>
          </w:tcPr>
          <w:p w14:paraId="1A18E1DA" w14:textId="77777777" w:rsidR="008B12EA" w:rsidRPr="00354937" w:rsidRDefault="008B12EA" w:rsidP="00B542EA">
            <w:pPr>
              <w:spacing w:line="240" w:lineRule="auto"/>
              <w:jc w:val="left"/>
              <w:rPr>
                <w:color w:val="000000"/>
                <w:sz w:val="20"/>
                <w:szCs w:val="20"/>
              </w:rPr>
            </w:pPr>
            <w:r w:rsidRPr="00354937">
              <w:rPr>
                <w:sz w:val="20"/>
                <w:szCs w:val="20"/>
              </w:rPr>
              <w:t>zrak</w:t>
            </w:r>
          </w:p>
        </w:tc>
      </w:tr>
      <w:tr w:rsidR="008B12EA" w:rsidRPr="00354937" w14:paraId="1A18E1DF" w14:textId="77777777" w:rsidTr="00B542EA">
        <w:trPr>
          <w:trHeight w:val="255"/>
        </w:trPr>
        <w:tc>
          <w:tcPr>
            <w:tcW w:w="1271" w:type="dxa"/>
            <w:shd w:val="clear" w:color="auto" w:fill="auto"/>
            <w:noWrap/>
            <w:vAlign w:val="center"/>
            <w:hideMark/>
          </w:tcPr>
          <w:p w14:paraId="1A18E1DC" w14:textId="77777777" w:rsidR="008B12EA" w:rsidRPr="00354937" w:rsidRDefault="008B12EA" w:rsidP="00B542EA">
            <w:pPr>
              <w:spacing w:line="240" w:lineRule="auto"/>
              <w:jc w:val="left"/>
              <w:rPr>
                <w:sz w:val="20"/>
                <w:szCs w:val="20"/>
              </w:rPr>
            </w:pPr>
            <w:r w:rsidRPr="00354937">
              <w:rPr>
                <w:sz w:val="20"/>
                <w:szCs w:val="20"/>
              </w:rPr>
              <w:t>24.52</w:t>
            </w:r>
          </w:p>
        </w:tc>
        <w:tc>
          <w:tcPr>
            <w:tcW w:w="5954" w:type="dxa"/>
            <w:shd w:val="clear" w:color="auto" w:fill="auto"/>
            <w:noWrap/>
            <w:vAlign w:val="center"/>
            <w:hideMark/>
          </w:tcPr>
          <w:p w14:paraId="1A18E1DD" w14:textId="77777777" w:rsidR="008B12EA" w:rsidRPr="00354937" w:rsidRDefault="008B12EA" w:rsidP="00B542EA">
            <w:pPr>
              <w:spacing w:line="240" w:lineRule="auto"/>
              <w:jc w:val="left"/>
              <w:rPr>
                <w:sz w:val="20"/>
                <w:szCs w:val="20"/>
              </w:rPr>
            </w:pPr>
            <w:r w:rsidRPr="00354937">
              <w:rPr>
                <w:sz w:val="20"/>
                <w:szCs w:val="20"/>
              </w:rPr>
              <w:t>Lijevanje čelika</w:t>
            </w:r>
          </w:p>
        </w:tc>
        <w:tc>
          <w:tcPr>
            <w:tcW w:w="2516" w:type="dxa"/>
            <w:shd w:val="clear" w:color="auto" w:fill="auto"/>
            <w:noWrap/>
            <w:vAlign w:val="center"/>
            <w:hideMark/>
          </w:tcPr>
          <w:p w14:paraId="1A18E1DE"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1E3" w14:textId="77777777" w:rsidTr="00B542EA">
        <w:trPr>
          <w:trHeight w:val="255"/>
        </w:trPr>
        <w:tc>
          <w:tcPr>
            <w:tcW w:w="1271" w:type="dxa"/>
            <w:shd w:val="clear" w:color="auto" w:fill="auto"/>
            <w:noWrap/>
            <w:vAlign w:val="center"/>
            <w:hideMark/>
          </w:tcPr>
          <w:p w14:paraId="1A18E1E0" w14:textId="77777777" w:rsidR="008B12EA" w:rsidRPr="00354937" w:rsidRDefault="008B12EA" w:rsidP="00B542EA">
            <w:pPr>
              <w:spacing w:line="240" w:lineRule="auto"/>
              <w:jc w:val="left"/>
              <w:rPr>
                <w:color w:val="000000"/>
                <w:sz w:val="20"/>
                <w:szCs w:val="20"/>
              </w:rPr>
            </w:pPr>
            <w:r w:rsidRPr="00354937">
              <w:rPr>
                <w:sz w:val="20"/>
                <w:szCs w:val="20"/>
              </w:rPr>
              <w:t>25.11</w:t>
            </w:r>
          </w:p>
        </w:tc>
        <w:tc>
          <w:tcPr>
            <w:tcW w:w="5954" w:type="dxa"/>
            <w:shd w:val="clear" w:color="auto" w:fill="auto"/>
            <w:noWrap/>
            <w:vAlign w:val="center"/>
            <w:hideMark/>
          </w:tcPr>
          <w:p w14:paraId="1A18E1E1" w14:textId="77777777" w:rsidR="008B12EA" w:rsidRPr="00354937" w:rsidRDefault="008B12EA" w:rsidP="00B542EA">
            <w:pPr>
              <w:spacing w:line="240" w:lineRule="auto"/>
              <w:jc w:val="left"/>
              <w:rPr>
                <w:color w:val="000000"/>
                <w:sz w:val="20"/>
                <w:szCs w:val="20"/>
              </w:rPr>
            </w:pPr>
            <w:r w:rsidRPr="00354937">
              <w:rPr>
                <w:sz w:val="20"/>
                <w:szCs w:val="20"/>
              </w:rPr>
              <w:t>Proizvodnja metalnih konstrukcija i njihovih dijelova</w:t>
            </w:r>
          </w:p>
        </w:tc>
        <w:tc>
          <w:tcPr>
            <w:tcW w:w="2516" w:type="dxa"/>
            <w:shd w:val="clear" w:color="auto" w:fill="auto"/>
            <w:noWrap/>
            <w:vAlign w:val="center"/>
            <w:hideMark/>
          </w:tcPr>
          <w:p w14:paraId="1A18E1E2"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1E7" w14:textId="77777777" w:rsidTr="00B542EA">
        <w:trPr>
          <w:trHeight w:val="255"/>
        </w:trPr>
        <w:tc>
          <w:tcPr>
            <w:tcW w:w="1271" w:type="dxa"/>
            <w:shd w:val="clear" w:color="auto" w:fill="auto"/>
            <w:noWrap/>
            <w:vAlign w:val="center"/>
            <w:hideMark/>
          </w:tcPr>
          <w:p w14:paraId="1A18E1E4" w14:textId="77777777" w:rsidR="008B12EA" w:rsidRPr="00354937" w:rsidRDefault="008B12EA" w:rsidP="00B542EA">
            <w:pPr>
              <w:spacing w:line="240" w:lineRule="auto"/>
              <w:jc w:val="left"/>
              <w:rPr>
                <w:sz w:val="20"/>
                <w:szCs w:val="20"/>
              </w:rPr>
            </w:pPr>
            <w:r w:rsidRPr="00354937">
              <w:rPr>
                <w:sz w:val="20"/>
                <w:szCs w:val="20"/>
              </w:rPr>
              <w:t>25.50</w:t>
            </w:r>
          </w:p>
        </w:tc>
        <w:tc>
          <w:tcPr>
            <w:tcW w:w="5954" w:type="dxa"/>
            <w:shd w:val="clear" w:color="auto" w:fill="auto"/>
            <w:noWrap/>
            <w:vAlign w:val="center"/>
            <w:hideMark/>
          </w:tcPr>
          <w:p w14:paraId="1A18E1E5" w14:textId="77777777" w:rsidR="008B12EA" w:rsidRPr="00354937" w:rsidRDefault="008B12EA" w:rsidP="00B542EA">
            <w:pPr>
              <w:spacing w:line="240" w:lineRule="auto"/>
              <w:jc w:val="left"/>
              <w:rPr>
                <w:sz w:val="20"/>
                <w:szCs w:val="20"/>
              </w:rPr>
            </w:pPr>
            <w:r w:rsidRPr="00354937">
              <w:rPr>
                <w:sz w:val="20"/>
                <w:szCs w:val="20"/>
              </w:rPr>
              <w:t>Kovanje, prešanje, štancanje i valjanje metala</w:t>
            </w:r>
          </w:p>
        </w:tc>
        <w:tc>
          <w:tcPr>
            <w:tcW w:w="2516" w:type="dxa"/>
            <w:shd w:val="clear" w:color="auto" w:fill="auto"/>
            <w:noWrap/>
            <w:vAlign w:val="center"/>
            <w:hideMark/>
          </w:tcPr>
          <w:p w14:paraId="1A18E1E6"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EB" w14:textId="77777777" w:rsidTr="00B542EA">
        <w:trPr>
          <w:trHeight w:val="255"/>
        </w:trPr>
        <w:tc>
          <w:tcPr>
            <w:tcW w:w="1271" w:type="dxa"/>
            <w:shd w:val="clear" w:color="auto" w:fill="auto"/>
            <w:noWrap/>
            <w:vAlign w:val="center"/>
            <w:hideMark/>
          </w:tcPr>
          <w:p w14:paraId="1A18E1E8" w14:textId="77777777" w:rsidR="008B12EA" w:rsidRPr="00354937" w:rsidRDefault="008B12EA" w:rsidP="00B542EA">
            <w:pPr>
              <w:spacing w:line="240" w:lineRule="auto"/>
              <w:jc w:val="left"/>
              <w:rPr>
                <w:color w:val="000000"/>
                <w:sz w:val="20"/>
                <w:szCs w:val="20"/>
              </w:rPr>
            </w:pPr>
            <w:r w:rsidRPr="00354937">
              <w:rPr>
                <w:sz w:val="20"/>
                <w:szCs w:val="20"/>
              </w:rPr>
              <w:t>25.61</w:t>
            </w:r>
          </w:p>
        </w:tc>
        <w:tc>
          <w:tcPr>
            <w:tcW w:w="5954" w:type="dxa"/>
            <w:shd w:val="clear" w:color="auto" w:fill="auto"/>
            <w:noWrap/>
            <w:vAlign w:val="center"/>
            <w:hideMark/>
          </w:tcPr>
          <w:p w14:paraId="1A18E1E9" w14:textId="77777777" w:rsidR="008B12EA" w:rsidRPr="00354937" w:rsidRDefault="008B12EA" w:rsidP="00B542EA">
            <w:pPr>
              <w:spacing w:line="240" w:lineRule="auto"/>
              <w:jc w:val="left"/>
              <w:rPr>
                <w:color w:val="000000"/>
                <w:sz w:val="20"/>
                <w:szCs w:val="20"/>
              </w:rPr>
            </w:pPr>
            <w:r w:rsidRPr="00354937">
              <w:rPr>
                <w:sz w:val="20"/>
                <w:szCs w:val="20"/>
              </w:rPr>
              <w:t>Obrada i prevlačenje metala</w:t>
            </w:r>
          </w:p>
        </w:tc>
        <w:tc>
          <w:tcPr>
            <w:tcW w:w="2516" w:type="dxa"/>
            <w:shd w:val="clear" w:color="auto" w:fill="auto"/>
            <w:noWrap/>
            <w:vAlign w:val="center"/>
            <w:hideMark/>
          </w:tcPr>
          <w:p w14:paraId="1A18E1EA"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1EF" w14:textId="77777777" w:rsidTr="00B542EA">
        <w:trPr>
          <w:trHeight w:val="255"/>
        </w:trPr>
        <w:tc>
          <w:tcPr>
            <w:tcW w:w="1271" w:type="dxa"/>
            <w:shd w:val="clear" w:color="auto" w:fill="auto"/>
            <w:noWrap/>
            <w:vAlign w:val="center"/>
            <w:hideMark/>
          </w:tcPr>
          <w:p w14:paraId="1A18E1EC" w14:textId="77777777" w:rsidR="008B12EA" w:rsidRPr="00354937" w:rsidRDefault="008B12EA" w:rsidP="00B542EA">
            <w:pPr>
              <w:spacing w:line="240" w:lineRule="auto"/>
              <w:jc w:val="left"/>
              <w:rPr>
                <w:color w:val="000000"/>
                <w:sz w:val="20"/>
                <w:szCs w:val="20"/>
              </w:rPr>
            </w:pPr>
            <w:r w:rsidRPr="00354937">
              <w:rPr>
                <w:sz w:val="20"/>
                <w:szCs w:val="20"/>
              </w:rPr>
              <w:t>25.94</w:t>
            </w:r>
          </w:p>
        </w:tc>
        <w:tc>
          <w:tcPr>
            <w:tcW w:w="5954" w:type="dxa"/>
            <w:shd w:val="clear" w:color="auto" w:fill="auto"/>
            <w:noWrap/>
            <w:vAlign w:val="center"/>
            <w:hideMark/>
          </w:tcPr>
          <w:p w14:paraId="1A18E1ED" w14:textId="77777777" w:rsidR="008B12EA" w:rsidRPr="00354937" w:rsidRDefault="008B12EA" w:rsidP="00B542EA">
            <w:pPr>
              <w:spacing w:line="240" w:lineRule="auto"/>
              <w:jc w:val="left"/>
              <w:rPr>
                <w:color w:val="000000"/>
                <w:sz w:val="20"/>
                <w:szCs w:val="20"/>
              </w:rPr>
            </w:pPr>
            <w:r w:rsidRPr="00354937">
              <w:rPr>
                <w:sz w:val="20"/>
                <w:szCs w:val="20"/>
              </w:rPr>
              <w:t>Proizvodnja zakovica i vijčane robe</w:t>
            </w:r>
          </w:p>
        </w:tc>
        <w:tc>
          <w:tcPr>
            <w:tcW w:w="2516" w:type="dxa"/>
            <w:shd w:val="clear" w:color="auto" w:fill="auto"/>
            <w:noWrap/>
            <w:vAlign w:val="center"/>
            <w:hideMark/>
          </w:tcPr>
          <w:p w14:paraId="1A18E1EE"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F3" w14:textId="77777777" w:rsidTr="00B542EA">
        <w:trPr>
          <w:trHeight w:val="255"/>
        </w:trPr>
        <w:tc>
          <w:tcPr>
            <w:tcW w:w="1271" w:type="dxa"/>
            <w:shd w:val="clear" w:color="auto" w:fill="auto"/>
            <w:noWrap/>
            <w:vAlign w:val="center"/>
            <w:hideMark/>
          </w:tcPr>
          <w:p w14:paraId="1A18E1F0" w14:textId="77777777" w:rsidR="008B12EA" w:rsidRPr="00354937" w:rsidRDefault="008B12EA" w:rsidP="00B542EA">
            <w:pPr>
              <w:spacing w:line="240" w:lineRule="auto"/>
              <w:jc w:val="left"/>
              <w:rPr>
                <w:color w:val="000000"/>
                <w:sz w:val="20"/>
                <w:szCs w:val="20"/>
              </w:rPr>
            </w:pPr>
            <w:r w:rsidRPr="00354937">
              <w:rPr>
                <w:sz w:val="20"/>
                <w:szCs w:val="20"/>
              </w:rPr>
              <w:t>27.12</w:t>
            </w:r>
          </w:p>
        </w:tc>
        <w:tc>
          <w:tcPr>
            <w:tcW w:w="5954" w:type="dxa"/>
            <w:shd w:val="clear" w:color="auto" w:fill="auto"/>
            <w:noWrap/>
            <w:vAlign w:val="center"/>
            <w:hideMark/>
          </w:tcPr>
          <w:p w14:paraId="1A18E1F1" w14:textId="77777777" w:rsidR="008B12EA" w:rsidRPr="00354937" w:rsidRDefault="008B12EA" w:rsidP="00B542EA">
            <w:pPr>
              <w:spacing w:line="240" w:lineRule="auto"/>
              <w:jc w:val="left"/>
              <w:rPr>
                <w:color w:val="000000"/>
                <w:sz w:val="20"/>
                <w:szCs w:val="20"/>
              </w:rPr>
            </w:pPr>
            <w:r w:rsidRPr="00354937">
              <w:rPr>
                <w:sz w:val="20"/>
                <w:szCs w:val="20"/>
              </w:rPr>
              <w:t>Proizvodnja uređaja za distribuciju i kontrolu električne energije</w:t>
            </w:r>
          </w:p>
        </w:tc>
        <w:tc>
          <w:tcPr>
            <w:tcW w:w="2516" w:type="dxa"/>
            <w:shd w:val="clear" w:color="auto" w:fill="auto"/>
            <w:noWrap/>
            <w:vAlign w:val="center"/>
            <w:hideMark/>
          </w:tcPr>
          <w:p w14:paraId="1A18E1F2"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F7" w14:textId="77777777" w:rsidTr="00B542EA">
        <w:trPr>
          <w:trHeight w:val="255"/>
        </w:trPr>
        <w:tc>
          <w:tcPr>
            <w:tcW w:w="1271" w:type="dxa"/>
            <w:shd w:val="clear" w:color="auto" w:fill="auto"/>
            <w:noWrap/>
            <w:vAlign w:val="center"/>
            <w:hideMark/>
          </w:tcPr>
          <w:p w14:paraId="1A18E1F4" w14:textId="77777777" w:rsidR="008B12EA" w:rsidRPr="00354937" w:rsidRDefault="008B12EA" w:rsidP="00B542EA">
            <w:pPr>
              <w:spacing w:line="240" w:lineRule="auto"/>
              <w:jc w:val="left"/>
              <w:rPr>
                <w:color w:val="000000"/>
                <w:sz w:val="20"/>
                <w:szCs w:val="20"/>
              </w:rPr>
            </w:pPr>
            <w:r w:rsidRPr="00354937">
              <w:rPr>
                <w:sz w:val="20"/>
                <w:szCs w:val="20"/>
              </w:rPr>
              <w:t>27.40</w:t>
            </w:r>
          </w:p>
        </w:tc>
        <w:tc>
          <w:tcPr>
            <w:tcW w:w="5954" w:type="dxa"/>
            <w:shd w:val="clear" w:color="auto" w:fill="auto"/>
            <w:noWrap/>
            <w:vAlign w:val="center"/>
            <w:hideMark/>
          </w:tcPr>
          <w:p w14:paraId="1A18E1F5" w14:textId="77777777" w:rsidR="008B12EA" w:rsidRPr="00354937" w:rsidRDefault="008B12EA" w:rsidP="00B542EA">
            <w:pPr>
              <w:spacing w:line="240" w:lineRule="auto"/>
              <w:jc w:val="left"/>
              <w:rPr>
                <w:color w:val="000000"/>
                <w:sz w:val="20"/>
                <w:szCs w:val="20"/>
              </w:rPr>
            </w:pPr>
            <w:r w:rsidRPr="00354937">
              <w:rPr>
                <w:sz w:val="20"/>
                <w:szCs w:val="20"/>
              </w:rPr>
              <w:t>Proizvodnja električne opreme za rasvjetu</w:t>
            </w:r>
          </w:p>
        </w:tc>
        <w:tc>
          <w:tcPr>
            <w:tcW w:w="2516" w:type="dxa"/>
            <w:shd w:val="clear" w:color="auto" w:fill="auto"/>
            <w:noWrap/>
            <w:vAlign w:val="center"/>
            <w:hideMark/>
          </w:tcPr>
          <w:p w14:paraId="1A18E1F6"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FB" w14:textId="77777777" w:rsidTr="00B542EA">
        <w:trPr>
          <w:trHeight w:val="255"/>
        </w:trPr>
        <w:tc>
          <w:tcPr>
            <w:tcW w:w="1271" w:type="dxa"/>
            <w:shd w:val="clear" w:color="auto" w:fill="auto"/>
            <w:noWrap/>
            <w:vAlign w:val="center"/>
            <w:hideMark/>
          </w:tcPr>
          <w:p w14:paraId="1A18E1F8" w14:textId="77777777" w:rsidR="008B12EA" w:rsidRPr="00354937" w:rsidRDefault="008B12EA" w:rsidP="00B542EA">
            <w:pPr>
              <w:spacing w:line="240" w:lineRule="auto"/>
              <w:jc w:val="left"/>
              <w:rPr>
                <w:color w:val="000000"/>
                <w:sz w:val="20"/>
                <w:szCs w:val="20"/>
              </w:rPr>
            </w:pPr>
            <w:r w:rsidRPr="00354937">
              <w:rPr>
                <w:sz w:val="20"/>
                <w:szCs w:val="20"/>
              </w:rPr>
              <w:t>27.51</w:t>
            </w:r>
          </w:p>
        </w:tc>
        <w:tc>
          <w:tcPr>
            <w:tcW w:w="5954" w:type="dxa"/>
            <w:shd w:val="clear" w:color="auto" w:fill="auto"/>
            <w:noWrap/>
            <w:vAlign w:val="center"/>
            <w:hideMark/>
          </w:tcPr>
          <w:p w14:paraId="1A18E1F9" w14:textId="77777777" w:rsidR="008B12EA" w:rsidRPr="00354937" w:rsidRDefault="008B12EA" w:rsidP="00B542EA">
            <w:pPr>
              <w:spacing w:line="240" w:lineRule="auto"/>
              <w:jc w:val="left"/>
              <w:rPr>
                <w:color w:val="000000"/>
                <w:sz w:val="20"/>
                <w:szCs w:val="20"/>
              </w:rPr>
            </w:pPr>
            <w:r w:rsidRPr="00354937">
              <w:rPr>
                <w:sz w:val="20"/>
                <w:szCs w:val="20"/>
              </w:rPr>
              <w:t>Proizvodnja električnih aparata za kućanstvo</w:t>
            </w:r>
          </w:p>
        </w:tc>
        <w:tc>
          <w:tcPr>
            <w:tcW w:w="2516" w:type="dxa"/>
            <w:shd w:val="clear" w:color="auto" w:fill="auto"/>
            <w:noWrap/>
            <w:vAlign w:val="center"/>
            <w:hideMark/>
          </w:tcPr>
          <w:p w14:paraId="1A18E1FA"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1FF" w14:textId="77777777" w:rsidTr="00B542EA">
        <w:trPr>
          <w:trHeight w:val="255"/>
        </w:trPr>
        <w:tc>
          <w:tcPr>
            <w:tcW w:w="1271" w:type="dxa"/>
            <w:shd w:val="clear" w:color="auto" w:fill="auto"/>
            <w:noWrap/>
            <w:vAlign w:val="center"/>
            <w:hideMark/>
          </w:tcPr>
          <w:p w14:paraId="1A18E1FC" w14:textId="77777777" w:rsidR="008B12EA" w:rsidRPr="00354937" w:rsidRDefault="008B12EA" w:rsidP="00B542EA">
            <w:pPr>
              <w:spacing w:line="240" w:lineRule="auto"/>
              <w:jc w:val="left"/>
              <w:rPr>
                <w:sz w:val="20"/>
                <w:szCs w:val="20"/>
              </w:rPr>
            </w:pPr>
            <w:r w:rsidRPr="00354937">
              <w:rPr>
                <w:sz w:val="20"/>
                <w:szCs w:val="20"/>
              </w:rPr>
              <w:t>29.32</w:t>
            </w:r>
          </w:p>
        </w:tc>
        <w:tc>
          <w:tcPr>
            <w:tcW w:w="5954" w:type="dxa"/>
            <w:shd w:val="clear" w:color="auto" w:fill="auto"/>
            <w:noWrap/>
            <w:vAlign w:val="center"/>
            <w:hideMark/>
          </w:tcPr>
          <w:p w14:paraId="1A18E1FD" w14:textId="77777777" w:rsidR="008B12EA" w:rsidRPr="00354937" w:rsidRDefault="008B12EA" w:rsidP="00B542EA">
            <w:pPr>
              <w:spacing w:line="240" w:lineRule="auto"/>
              <w:jc w:val="left"/>
              <w:rPr>
                <w:sz w:val="20"/>
                <w:szCs w:val="20"/>
              </w:rPr>
            </w:pPr>
            <w:r w:rsidRPr="00354937">
              <w:rPr>
                <w:sz w:val="20"/>
                <w:szCs w:val="20"/>
              </w:rPr>
              <w:t>Proizvodnja ostalih dijelova i pribora za motorna vozila</w:t>
            </w:r>
          </w:p>
        </w:tc>
        <w:tc>
          <w:tcPr>
            <w:tcW w:w="2516" w:type="dxa"/>
            <w:shd w:val="clear" w:color="auto" w:fill="auto"/>
            <w:noWrap/>
            <w:vAlign w:val="center"/>
            <w:hideMark/>
          </w:tcPr>
          <w:p w14:paraId="1A18E1FE"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203" w14:textId="77777777" w:rsidTr="00B542EA">
        <w:trPr>
          <w:trHeight w:val="255"/>
        </w:trPr>
        <w:tc>
          <w:tcPr>
            <w:tcW w:w="1271" w:type="dxa"/>
            <w:shd w:val="clear" w:color="auto" w:fill="auto"/>
            <w:noWrap/>
            <w:vAlign w:val="center"/>
            <w:hideMark/>
          </w:tcPr>
          <w:p w14:paraId="1A18E200" w14:textId="77777777" w:rsidR="008B12EA" w:rsidRPr="00354937" w:rsidRDefault="008B12EA" w:rsidP="00B542EA">
            <w:pPr>
              <w:spacing w:line="240" w:lineRule="auto"/>
              <w:jc w:val="left"/>
              <w:rPr>
                <w:sz w:val="20"/>
                <w:szCs w:val="20"/>
              </w:rPr>
            </w:pPr>
            <w:r w:rsidRPr="00354937">
              <w:rPr>
                <w:sz w:val="20"/>
                <w:szCs w:val="20"/>
              </w:rPr>
              <w:t>35.11</w:t>
            </w:r>
          </w:p>
        </w:tc>
        <w:tc>
          <w:tcPr>
            <w:tcW w:w="5954" w:type="dxa"/>
            <w:shd w:val="clear" w:color="auto" w:fill="auto"/>
            <w:noWrap/>
            <w:vAlign w:val="center"/>
            <w:hideMark/>
          </w:tcPr>
          <w:p w14:paraId="1A18E201" w14:textId="77777777" w:rsidR="008B12EA" w:rsidRPr="00354937" w:rsidRDefault="008B12EA" w:rsidP="00B542EA">
            <w:pPr>
              <w:spacing w:line="240" w:lineRule="auto"/>
              <w:jc w:val="left"/>
              <w:rPr>
                <w:sz w:val="20"/>
                <w:szCs w:val="20"/>
              </w:rPr>
            </w:pPr>
            <w:r w:rsidRPr="00354937">
              <w:rPr>
                <w:sz w:val="20"/>
                <w:szCs w:val="20"/>
              </w:rPr>
              <w:t>Proizvodnja električne energije</w:t>
            </w:r>
          </w:p>
        </w:tc>
        <w:tc>
          <w:tcPr>
            <w:tcW w:w="2516" w:type="dxa"/>
            <w:shd w:val="clear" w:color="auto" w:fill="auto"/>
            <w:noWrap/>
            <w:vAlign w:val="center"/>
            <w:hideMark/>
          </w:tcPr>
          <w:p w14:paraId="1A18E202"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207" w14:textId="77777777" w:rsidTr="00B542EA">
        <w:trPr>
          <w:trHeight w:val="255"/>
        </w:trPr>
        <w:tc>
          <w:tcPr>
            <w:tcW w:w="1271" w:type="dxa"/>
            <w:shd w:val="clear" w:color="auto" w:fill="auto"/>
            <w:noWrap/>
            <w:vAlign w:val="center"/>
            <w:hideMark/>
          </w:tcPr>
          <w:p w14:paraId="1A18E204" w14:textId="77777777" w:rsidR="008B12EA" w:rsidRPr="00354937" w:rsidRDefault="008B12EA" w:rsidP="00B542EA">
            <w:pPr>
              <w:spacing w:line="240" w:lineRule="auto"/>
              <w:jc w:val="left"/>
              <w:rPr>
                <w:color w:val="000000"/>
                <w:sz w:val="20"/>
                <w:szCs w:val="20"/>
              </w:rPr>
            </w:pPr>
            <w:r w:rsidRPr="00354937">
              <w:rPr>
                <w:sz w:val="20"/>
                <w:szCs w:val="20"/>
              </w:rPr>
              <w:t>35.30</w:t>
            </w:r>
          </w:p>
        </w:tc>
        <w:tc>
          <w:tcPr>
            <w:tcW w:w="5954" w:type="dxa"/>
            <w:shd w:val="clear" w:color="auto" w:fill="auto"/>
            <w:noWrap/>
            <w:vAlign w:val="center"/>
            <w:hideMark/>
          </w:tcPr>
          <w:p w14:paraId="1A18E205" w14:textId="77777777" w:rsidR="008B12EA" w:rsidRPr="00354937" w:rsidRDefault="008B12EA" w:rsidP="00B542EA">
            <w:pPr>
              <w:spacing w:line="240" w:lineRule="auto"/>
              <w:jc w:val="left"/>
              <w:rPr>
                <w:color w:val="000000"/>
                <w:sz w:val="20"/>
                <w:szCs w:val="20"/>
              </w:rPr>
            </w:pPr>
            <w:r w:rsidRPr="00354937">
              <w:rPr>
                <w:sz w:val="20"/>
                <w:szCs w:val="20"/>
              </w:rPr>
              <w:t>Opskrba parom i klimatizacija</w:t>
            </w:r>
          </w:p>
        </w:tc>
        <w:tc>
          <w:tcPr>
            <w:tcW w:w="2516" w:type="dxa"/>
            <w:shd w:val="clear" w:color="auto" w:fill="auto"/>
            <w:noWrap/>
            <w:vAlign w:val="center"/>
            <w:hideMark/>
          </w:tcPr>
          <w:p w14:paraId="1A18E206"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20B" w14:textId="77777777" w:rsidTr="00B542EA">
        <w:trPr>
          <w:trHeight w:val="255"/>
        </w:trPr>
        <w:tc>
          <w:tcPr>
            <w:tcW w:w="1271" w:type="dxa"/>
            <w:shd w:val="clear" w:color="auto" w:fill="auto"/>
            <w:noWrap/>
            <w:vAlign w:val="center"/>
            <w:hideMark/>
          </w:tcPr>
          <w:p w14:paraId="1A18E208" w14:textId="77777777" w:rsidR="008B12EA" w:rsidRPr="00354937" w:rsidRDefault="008B12EA" w:rsidP="00B542EA">
            <w:pPr>
              <w:spacing w:line="240" w:lineRule="auto"/>
              <w:jc w:val="left"/>
              <w:rPr>
                <w:sz w:val="20"/>
                <w:szCs w:val="20"/>
              </w:rPr>
            </w:pPr>
            <w:r w:rsidRPr="00354937">
              <w:rPr>
                <w:sz w:val="20"/>
                <w:szCs w:val="20"/>
              </w:rPr>
              <w:t>38.12</w:t>
            </w:r>
          </w:p>
        </w:tc>
        <w:tc>
          <w:tcPr>
            <w:tcW w:w="5954" w:type="dxa"/>
            <w:shd w:val="clear" w:color="auto" w:fill="auto"/>
            <w:noWrap/>
            <w:vAlign w:val="center"/>
            <w:hideMark/>
          </w:tcPr>
          <w:p w14:paraId="1A18E209" w14:textId="77777777" w:rsidR="008B12EA" w:rsidRPr="00354937" w:rsidRDefault="008B12EA" w:rsidP="00B542EA">
            <w:pPr>
              <w:spacing w:line="240" w:lineRule="auto"/>
              <w:jc w:val="left"/>
              <w:rPr>
                <w:sz w:val="20"/>
                <w:szCs w:val="20"/>
              </w:rPr>
            </w:pPr>
            <w:r w:rsidRPr="00354937">
              <w:rPr>
                <w:sz w:val="20"/>
                <w:szCs w:val="20"/>
              </w:rPr>
              <w:t>Skupljanje opasnog otpada</w:t>
            </w:r>
          </w:p>
        </w:tc>
        <w:tc>
          <w:tcPr>
            <w:tcW w:w="2516" w:type="dxa"/>
            <w:shd w:val="clear" w:color="auto" w:fill="auto"/>
            <w:noWrap/>
            <w:vAlign w:val="center"/>
            <w:hideMark/>
          </w:tcPr>
          <w:p w14:paraId="1A18E20A"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20F" w14:textId="77777777" w:rsidTr="00B542EA">
        <w:trPr>
          <w:trHeight w:val="255"/>
        </w:trPr>
        <w:tc>
          <w:tcPr>
            <w:tcW w:w="1271" w:type="dxa"/>
            <w:shd w:val="clear" w:color="auto" w:fill="auto"/>
            <w:noWrap/>
            <w:vAlign w:val="center"/>
            <w:hideMark/>
          </w:tcPr>
          <w:p w14:paraId="1A18E20C" w14:textId="77777777" w:rsidR="008B12EA" w:rsidRPr="00354937" w:rsidRDefault="008B12EA" w:rsidP="00B542EA">
            <w:pPr>
              <w:spacing w:line="240" w:lineRule="auto"/>
              <w:jc w:val="left"/>
              <w:rPr>
                <w:color w:val="000000"/>
                <w:sz w:val="20"/>
                <w:szCs w:val="20"/>
              </w:rPr>
            </w:pPr>
            <w:r w:rsidRPr="00354937">
              <w:rPr>
                <w:sz w:val="20"/>
                <w:szCs w:val="20"/>
              </w:rPr>
              <w:t>38.22</w:t>
            </w:r>
          </w:p>
        </w:tc>
        <w:tc>
          <w:tcPr>
            <w:tcW w:w="5954" w:type="dxa"/>
            <w:shd w:val="clear" w:color="auto" w:fill="auto"/>
            <w:noWrap/>
            <w:vAlign w:val="center"/>
            <w:hideMark/>
          </w:tcPr>
          <w:p w14:paraId="1A18E20D" w14:textId="77777777" w:rsidR="008B12EA" w:rsidRPr="00354937" w:rsidRDefault="008B12EA" w:rsidP="00B542EA">
            <w:pPr>
              <w:spacing w:line="240" w:lineRule="auto"/>
              <w:jc w:val="left"/>
              <w:rPr>
                <w:color w:val="000000"/>
                <w:sz w:val="20"/>
                <w:szCs w:val="20"/>
              </w:rPr>
            </w:pPr>
            <w:r w:rsidRPr="00354937">
              <w:rPr>
                <w:sz w:val="20"/>
                <w:szCs w:val="20"/>
              </w:rPr>
              <w:t>Obrada i zbrinjavanje opasnog otpada</w:t>
            </w:r>
          </w:p>
        </w:tc>
        <w:tc>
          <w:tcPr>
            <w:tcW w:w="2516" w:type="dxa"/>
            <w:shd w:val="clear" w:color="auto" w:fill="auto"/>
            <w:noWrap/>
            <w:vAlign w:val="center"/>
            <w:hideMark/>
          </w:tcPr>
          <w:p w14:paraId="1A18E20E"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213" w14:textId="77777777" w:rsidTr="00B542EA">
        <w:trPr>
          <w:trHeight w:val="255"/>
        </w:trPr>
        <w:tc>
          <w:tcPr>
            <w:tcW w:w="1271" w:type="dxa"/>
            <w:shd w:val="clear" w:color="auto" w:fill="auto"/>
            <w:noWrap/>
            <w:vAlign w:val="center"/>
            <w:hideMark/>
          </w:tcPr>
          <w:p w14:paraId="1A18E210" w14:textId="77777777" w:rsidR="008B12EA" w:rsidRPr="00354937" w:rsidRDefault="008B12EA" w:rsidP="00B542EA">
            <w:pPr>
              <w:spacing w:line="240" w:lineRule="auto"/>
              <w:jc w:val="left"/>
              <w:rPr>
                <w:color w:val="000000"/>
                <w:sz w:val="20"/>
                <w:szCs w:val="20"/>
              </w:rPr>
            </w:pPr>
            <w:r w:rsidRPr="00354937">
              <w:rPr>
                <w:sz w:val="20"/>
                <w:szCs w:val="20"/>
              </w:rPr>
              <w:t>38.32</w:t>
            </w:r>
          </w:p>
        </w:tc>
        <w:tc>
          <w:tcPr>
            <w:tcW w:w="5954" w:type="dxa"/>
            <w:shd w:val="clear" w:color="auto" w:fill="auto"/>
            <w:noWrap/>
            <w:vAlign w:val="center"/>
            <w:hideMark/>
          </w:tcPr>
          <w:p w14:paraId="1A18E211" w14:textId="77777777" w:rsidR="008B12EA" w:rsidRPr="00354937" w:rsidRDefault="008B12EA" w:rsidP="00B542EA">
            <w:pPr>
              <w:spacing w:line="240" w:lineRule="auto"/>
              <w:jc w:val="left"/>
              <w:rPr>
                <w:color w:val="000000"/>
                <w:sz w:val="20"/>
                <w:szCs w:val="20"/>
              </w:rPr>
            </w:pPr>
            <w:r w:rsidRPr="00354937">
              <w:rPr>
                <w:sz w:val="20"/>
                <w:szCs w:val="20"/>
              </w:rPr>
              <w:t>Oporaba posebno izdvojenih materijala</w:t>
            </w:r>
          </w:p>
        </w:tc>
        <w:tc>
          <w:tcPr>
            <w:tcW w:w="2516" w:type="dxa"/>
            <w:shd w:val="clear" w:color="auto" w:fill="auto"/>
            <w:noWrap/>
            <w:vAlign w:val="center"/>
            <w:hideMark/>
          </w:tcPr>
          <w:p w14:paraId="1A18E212" w14:textId="77777777" w:rsidR="008B12EA" w:rsidRPr="00354937" w:rsidRDefault="008B12EA" w:rsidP="00B542EA">
            <w:pPr>
              <w:spacing w:line="240" w:lineRule="auto"/>
              <w:jc w:val="left"/>
              <w:rPr>
                <w:color w:val="000000"/>
                <w:sz w:val="20"/>
                <w:szCs w:val="20"/>
              </w:rPr>
            </w:pPr>
            <w:r w:rsidRPr="00354937">
              <w:rPr>
                <w:sz w:val="20"/>
                <w:szCs w:val="20"/>
              </w:rPr>
              <w:t>otpadne vode, otpad</w:t>
            </w:r>
          </w:p>
        </w:tc>
      </w:tr>
      <w:tr w:rsidR="008B12EA" w:rsidRPr="00354937" w14:paraId="1A18E217" w14:textId="77777777" w:rsidTr="00B542EA">
        <w:trPr>
          <w:trHeight w:val="255"/>
        </w:trPr>
        <w:tc>
          <w:tcPr>
            <w:tcW w:w="1271" w:type="dxa"/>
            <w:shd w:val="clear" w:color="auto" w:fill="auto"/>
            <w:noWrap/>
            <w:vAlign w:val="center"/>
            <w:hideMark/>
          </w:tcPr>
          <w:p w14:paraId="1A18E214" w14:textId="77777777" w:rsidR="008B12EA" w:rsidRPr="00354937" w:rsidRDefault="008B12EA" w:rsidP="00B542EA">
            <w:pPr>
              <w:spacing w:line="240" w:lineRule="auto"/>
              <w:jc w:val="left"/>
              <w:rPr>
                <w:sz w:val="20"/>
                <w:szCs w:val="20"/>
              </w:rPr>
            </w:pPr>
            <w:r w:rsidRPr="00354937">
              <w:rPr>
                <w:sz w:val="20"/>
                <w:szCs w:val="20"/>
              </w:rPr>
              <w:t>39.00</w:t>
            </w:r>
          </w:p>
        </w:tc>
        <w:tc>
          <w:tcPr>
            <w:tcW w:w="5954" w:type="dxa"/>
            <w:shd w:val="clear" w:color="auto" w:fill="auto"/>
            <w:noWrap/>
            <w:vAlign w:val="center"/>
            <w:hideMark/>
          </w:tcPr>
          <w:p w14:paraId="1A18E215" w14:textId="77777777" w:rsidR="008B12EA" w:rsidRPr="00354937" w:rsidRDefault="008B12EA" w:rsidP="00B542EA">
            <w:pPr>
              <w:spacing w:line="240" w:lineRule="auto"/>
              <w:jc w:val="left"/>
              <w:rPr>
                <w:sz w:val="20"/>
                <w:szCs w:val="20"/>
              </w:rPr>
            </w:pPr>
            <w:r w:rsidRPr="00354937">
              <w:rPr>
                <w:sz w:val="20"/>
                <w:szCs w:val="20"/>
              </w:rPr>
              <w:t>Djelatnosti sanacije okoliša te ostale djelatnosti gospodarenja otpadom</w:t>
            </w:r>
          </w:p>
        </w:tc>
        <w:tc>
          <w:tcPr>
            <w:tcW w:w="2516" w:type="dxa"/>
            <w:shd w:val="clear" w:color="auto" w:fill="auto"/>
            <w:noWrap/>
            <w:vAlign w:val="center"/>
            <w:hideMark/>
          </w:tcPr>
          <w:p w14:paraId="1A18E216" w14:textId="77777777" w:rsidR="008B12EA" w:rsidRPr="00354937" w:rsidRDefault="008B12EA" w:rsidP="00B542EA">
            <w:pPr>
              <w:spacing w:line="240" w:lineRule="auto"/>
              <w:jc w:val="left"/>
              <w:rPr>
                <w:color w:val="000000"/>
                <w:sz w:val="20"/>
                <w:szCs w:val="20"/>
              </w:rPr>
            </w:pPr>
            <w:r w:rsidRPr="00354937">
              <w:rPr>
                <w:sz w:val="20"/>
                <w:szCs w:val="20"/>
              </w:rPr>
              <w:t>otpad</w:t>
            </w:r>
          </w:p>
        </w:tc>
      </w:tr>
      <w:tr w:rsidR="008B12EA" w:rsidRPr="00354937" w14:paraId="1A18E21B" w14:textId="77777777" w:rsidTr="00B542EA">
        <w:trPr>
          <w:trHeight w:val="255"/>
        </w:trPr>
        <w:tc>
          <w:tcPr>
            <w:tcW w:w="1271" w:type="dxa"/>
            <w:shd w:val="clear" w:color="auto" w:fill="auto"/>
            <w:noWrap/>
            <w:vAlign w:val="center"/>
            <w:hideMark/>
          </w:tcPr>
          <w:p w14:paraId="1A18E218" w14:textId="77777777" w:rsidR="008B12EA" w:rsidRPr="00354937" w:rsidRDefault="008B12EA" w:rsidP="00B542EA">
            <w:pPr>
              <w:spacing w:line="240" w:lineRule="auto"/>
              <w:jc w:val="left"/>
              <w:rPr>
                <w:color w:val="000000"/>
                <w:sz w:val="20"/>
                <w:szCs w:val="20"/>
              </w:rPr>
            </w:pPr>
            <w:r w:rsidRPr="00354937">
              <w:rPr>
                <w:sz w:val="20"/>
                <w:szCs w:val="20"/>
              </w:rPr>
              <w:t>46.19</w:t>
            </w:r>
          </w:p>
        </w:tc>
        <w:tc>
          <w:tcPr>
            <w:tcW w:w="5954" w:type="dxa"/>
            <w:shd w:val="clear" w:color="auto" w:fill="auto"/>
            <w:noWrap/>
            <w:vAlign w:val="center"/>
            <w:hideMark/>
          </w:tcPr>
          <w:p w14:paraId="1A18E219" w14:textId="77777777" w:rsidR="008B12EA" w:rsidRPr="00354937" w:rsidRDefault="008B12EA" w:rsidP="00B542EA">
            <w:pPr>
              <w:spacing w:line="240" w:lineRule="auto"/>
              <w:jc w:val="left"/>
              <w:rPr>
                <w:color w:val="000000"/>
                <w:sz w:val="20"/>
                <w:szCs w:val="20"/>
              </w:rPr>
            </w:pPr>
            <w:r w:rsidRPr="00354937">
              <w:rPr>
                <w:sz w:val="20"/>
                <w:szCs w:val="20"/>
              </w:rPr>
              <w:t>Posredovanje u trgovini raznovrsnim proizvodima</w:t>
            </w:r>
          </w:p>
        </w:tc>
        <w:tc>
          <w:tcPr>
            <w:tcW w:w="2516" w:type="dxa"/>
            <w:shd w:val="clear" w:color="auto" w:fill="auto"/>
            <w:noWrap/>
            <w:vAlign w:val="center"/>
            <w:hideMark/>
          </w:tcPr>
          <w:p w14:paraId="1A18E21A" w14:textId="77777777" w:rsidR="008B12EA" w:rsidRPr="00354937" w:rsidRDefault="008B12EA" w:rsidP="00B542EA">
            <w:pPr>
              <w:spacing w:line="240" w:lineRule="auto"/>
              <w:jc w:val="left"/>
              <w:rPr>
                <w:color w:val="000000"/>
                <w:sz w:val="20"/>
                <w:szCs w:val="20"/>
              </w:rPr>
            </w:pPr>
            <w:r w:rsidRPr="00354937">
              <w:rPr>
                <w:sz w:val="20"/>
                <w:szCs w:val="20"/>
              </w:rPr>
              <w:t>otpadne vode</w:t>
            </w:r>
          </w:p>
        </w:tc>
      </w:tr>
      <w:tr w:rsidR="008B12EA" w:rsidRPr="00354937" w14:paraId="1A18E21F" w14:textId="77777777" w:rsidTr="00B542EA">
        <w:trPr>
          <w:trHeight w:val="255"/>
        </w:trPr>
        <w:tc>
          <w:tcPr>
            <w:tcW w:w="1271" w:type="dxa"/>
            <w:shd w:val="clear" w:color="auto" w:fill="auto"/>
            <w:noWrap/>
            <w:vAlign w:val="center"/>
            <w:hideMark/>
          </w:tcPr>
          <w:p w14:paraId="1A18E21C" w14:textId="77777777" w:rsidR="008B12EA" w:rsidRPr="00354937" w:rsidRDefault="008B12EA" w:rsidP="00B542EA">
            <w:pPr>
              <w:spacing w:line="240" w:lineRule="auto"/>
              <w:jc w:val="left"/>
              <w:rPr>
                <w:color w:val="000000"/>
                <w:sz w:val="20"/>
                <w:szCs w:val="20"/>
              </w:rPr>
            </w:pPr>
            <w:r w:rsidRPr="00354937">
              <w:rPr>
                <w:sz w:val="20"/>
                <w:szCs w:val="20"/>
              </w:rPr>
              <w:t>46.90</w:t>
            </w:r>
          </w:p>
        </w:tc>
        <w:tc>
          <w:tcPr>
            <w:tcW w:w="5954" w:type="dxa"/>
            <w:shd w:val="clear" w:color="auto" w:fill="auto"/>
            <w:noWrap/>
            <w:vAlign w:val="center"/>
            <w:hideMark/>
          </w:tcPr>
          <w:p w14:paraId="1A18E21D" w14:textId="77777777" w:rsidR="008B12EA" w:rsidRPr="00354937" w:rsidRDefault="008B12EA" w:rsidP="00B542EA">
            <w:pPr>
              <w:spacing w:line="240" w:lineRule="auto"/>
              <w:jc w:val="left"/>
              <w:rPr>
                <w:color w:val="000000"/>
                <w:sz w:val="20"/>
                <w:szCs w:val="20"/>
              </w:rPr>
            </w:pPr>
            <w:r w:rsidRPr="00354937">
              <w:rPr>
                <w:sz w:val="20"/>
                <w:szCs w:val="20"/>
              </w:rPr>
              <w:t>Nespecijalizirana trgovina na veliko</w:t>
            </w:r>
          </w:p>
        </w:tc>
        <w:tc>
          <w:tcPr>
            <w:tcW w:w="2516" w:type="dxa"/>
            <w:shd w:val="clear" w:color="auto" w:fill="auto"/>
            <w:noWrap/>
            <w:vAlign w:val="center"/>
            <w:hideMark/>
          </w:tcPr>
          <w:p w14:paraId="1A18E21E" w14:textId="77777777" w:rsidR="008B12EA" w:rsidRPr="00354937" w:rsidRDefault="008B12EA" w:rsidP="00B542EA">
            <w:pPr>
              <w:spacing w:line="240" w:lineRule="auto"/>
              <w:jc w:val="left"/>
              <w:rPr>
                <w:color w:val="000000"/>
                <w:sz w:val="20"/>
                <w:szCs w:val="20"/>
              </w:rPr>
            </w:pPr>
            <w:r w:rsidRPr="00354937">
              <w:rPr>
                <w:sz w:val="20"/>
                <w:szCs w:val="20"/>
              </w:rPr>
              <w:t>otpadne vode, otpad</w:t>
            </w:r>
          </w:p>
        </w:tc>
      </w:tr>
    </w:tbl>
    <w:p w14:paraId="1A18E220" w14:textId="77777777" w:rsidR="008B12EA" w:rsidRPr="00D10DC1" w:rsidRDefault="008B12EA" w:rsidP="008B12EA">
      <w:pPr>
        <w:spacing w:before="120" w:after="120"/>
        <w:jc w:val="right"/>
        <w:rPr>
          <w:i/>
          <w:sz w:val="18"/>
          <w:szCs w:val="18"/>
        </w:rPr>
      </w:pPr>
      <w:r w:rsidRPr="00D10DC1">
        <w:rPr>
          <w:i/>
          <w:sz w:val="18"/>
          <w:szCs w:val="18"/>
        </w:rPr>
        <w:t xml:space="preserve">Izvor: ROO, </w:t>
      </w:r>
      <w:r w:rsidR="00A56BCC">
        <w:rPr>
          <w:i/>
          <w:sz w:val="18"/>
          <w:szCs w:val="18"/>
        </w:rPr>
        <w:t>MINGOR</w:t>
      </w:r>
    </w:p>
    <w:p w14:paraId="1A18E221" w14:textId="77777777" w:rsidR="008B12EA" w:rsidRDefault="008B12EA" w:rsidP="008B12EA"/>
    <w:p w14:paraId="1A18E222" w14:textId="77777777" w:rsidR="008B12EA" w:rsidRPr="00F13956" w:rsidRDefault="008B12EA" w:rsidP="008B12EA">
      <w:pPr>
        <w:pStyle w:val="Naslov3"/>
      </w:pPr>
      <w:bookmarkStart w:id="27" w:name="_Toc97815102"/>
      <w:bookmarkStart w:id="28" w:name="_Toc100840619"/>
      <w:r w:rsidRPr="00F13956">
        <w:t>2.5.1. Količine ispuštanja POPs-ova u zrak prema podacima baze ROO</w:t>
      </w:r>
      <w:bookmarkEnd w:id="27"/>
      <w:bookmarkEnd w:id="28"/>
    </w:p>
    <w:p w14:paraId="1A18E223" w14:textId="77777777" w:rsidR="008B12EA" w:rsidRDefault="008B12EA" w:rsidP="008B12EA"/>
    <w:p w14:paraId="1A18E224" w14:textId="77777777" w:rsidR="008B12EA" w:rsidRDefault="008B12EA" w:rsidP="008B12EA">
      <w:r>
        <w:t>Za emisije u zrak prikupljeni su podaci za dv</w:t>
      </w:r>
      <w:r w:rsidR="00AC43F3">
        <w:t>ije skupine onečišćujućih tvari:</w:t>
      </w:r>
      <w:r>
        <w:t xml:space="preserve"> dioksine i furane (PCDD/F)</w:t>
      </w:r>
      <w:r w:rsidRPr="001B7B6E">
        <w:t xml:space="preserve"> </w:t>
      </w:r>
      <w:r>
        <w:t xml:space="preserve">i </w:t>
      </w:r>
      <w:r w:rsidRPr="008469EE">
        <w:t>policikličk</w:t>
      </w:r>
      <w:r>
        <w:t>e aromatske ugljikovodike (PAHs).</w:t>
      </w:r>
      <w:r w:rsidRPr="008469EE">
        <w:t xml:space="preserve"> </w:t>
      </w:r>
      <w:r>
        <w:t>Oni na</w:t>
      </w:r>
      <w:r w:rsidRPr="001B7B6E">
        <w:t>staju kao produkt izgaranja organskih tvari, koje sadrže halogene elemente</w:t>
      </w:r>
      <w:r>
        <w:t>, a u bazi ROO nalazimo ih u</w:t>
      </w:r>
      <w:r w:rsidRPr="001B7B6E">
        <w:t xml:space="preserve"> proizvodnj</w:t>
      </w:r>
      <w:r>
        <w:t>i</w:t>
      </w:r>
      <w:r w:rsidRPr="001B7B6E">
        <w:t xml:space="preserve"> cementa,</w:t>
      </w:r>
      <w:r>
        <w:t xml:space="preserve"> u proizvodnji</w:t>
      </w:r>
      <w:r w:rsidRPr="001B7B6E">
        <w:t xml:space="preserve"> vapna i gipsa</w:t>
      </w:r>
      <w:r>
        <w:t xml:space="preserve"> te u procesima lijevanja željeza. </w:t>
      </w:r>
      <w:r w:rsidRPr="001B7B6E">
        <w:t xml:space="preserve">Najveće </w:t>
      </w:r>
      <w:r>
        <w:t xml:space="preserve">emisije </w:t>
      </w:r>
      <w:r w:rsidRPr="001B7B6E">
        <w:t>nastaju pri izgaranju ogrjevnog drva i ugljena</w:t>
      </w:r>
      <w:r>
        <w:t>, te pri suspaljivanju otpada.</w:t>
      </w:r>
    </w:p>
    <w:p w14:paraId="1A18E225" w14:textId="77777777" w:rsidR="008B12EA" w:rsidRDefault="008B12EA" w:rsidP="008B12EA">
      <w:r>
        <w:t>PCDD/F i PAHs oslobađaju se u zrak izgaranjem goriva i otpada, obradom metala i proizvodnjom celuloze i papira. Većina PAH-ova oslobađa se procesima izgaranja, isparavanjem iz materijala tretiran</w:t>
      </w:r>
      <w:r w:rsidR="003E533E">
        <w:t>ih kreozotom, mineralnim uljima</w:t>
      </w:r>
      <w:r>
        <w:t xml:space="preserve"> te smolom.</w:t>
      </w:r>
    </w:p>
    <w:p w14:paraId="1A18E226" w14:textId="77777777" w:rsidR="008B12EA" w:rsidRDefault="008B12EA" w:rsidP="008B12EA"/>
    <w:p w14:paraId="1A18E228" w14:textId="7B62D9F6" w:rsidR="008B12EA" w:rsidRPr="00D10DC1" w:rsidRDefault="00224EED" w:rsidP="00E77C89">
      <w:pPr>
        <w:jc w:val="right"/>
        <w:rPr>
          <w:i/>
          <w:sz w:val="18"/>
          <w:szCs w:val="18"/>
        </w:rPr>
      </w:pPr>
      <w:bookmarkStart w:id="29" w:name="_Toc91590338"/>
      <w:bookmarkStart w:id="30" w:name="_Toc91590916"/>
      <w:bookmarkStart w:id="31" w:name="_Toc91594286"/>
      <w:bookmarkStart w:id="32" w:name="_Toc91657855"/>
      <w:r>
        <w:rPr>
          <w:noProof/>
        </w:rPr>
        <w:lastRenderedPageBreak/>
        <w:drawing>
          <wp:inline distT="0" distB="0" distL="0" distR="0" wp14:anchorId="2BBAFE85" wp14:editId="57A70A0A">
            <wp:extent cx="6096000" cy="38004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Style w:val="Referencakomentara"/>
        </w:rPr>
        <w:t xml:space="preserve"> </w:t>
      </w:r>
      <w:r>
        <w:rPr>
          <w:noProof/>
        </w:rPr>
        <w:t xml:space="preserve"> </w:t>
      </w:r>
      <w:r w:rsidR="008B12EA" w:rsidRPr="00D10DC1">
        <w:rPr>
          <w:i/>
          <w:sz w:val="18"/>
          <w:szCs w:val="18"/>
        </w:rPr>
        <w:t xml:space="preserve">Izvor: ROO, </w:t>
      </w:r>
      <w:r w:rsidR="00A56BCC">
        <w:rPr>
          <w:i/>
          <w:sz w:val="18"/>
          <w:szCs w:val="18"/>
        </w:rPr>
        <w:t>MINGOR</w:t>
      </w:r>
    </w:p>
    <w:p w14:paraId="7B1E0812" w14:textId="77777777" w:rsidR="00E77C89" w:rsidRDefault="00E77C89" w:rsidP="00E8555A">
      <w:pPr>
        <w:pStyle w:val="Opisslike"/>
        <w:jc w:val="center"/>
        <w:rPr>
          <w:color w:val="auto"/>
          <w:sz w:val="24"/>
          <w:szCs w:val="24"/>
        </w:rPr>
      </w:pPr>
    </w:p>
    <w:p w14:paraId="1A18E229" w14:textId="77777777" w:rsidR="008B12EA" w:rsidRPr="00BC61C5" w:rsidRDefault="003E533E" w:rsidP="00E8555A">
      <w:pPr>
        <w:pStyle w:val="Opisslike"/>
        <w:jc w:val="center"/>
        <w:rPr>
          <w:color w:val="auto"/>
          <w:sz w:val="24"/>
          <w:szCs w:val="24"/>
        </w:rPr>
      </w:pPr>
      <w:r>
        <w:rPr>
          <w:color w:val="auto"/>
          <w:sz w:val="24"/>
          <w:szCs w:val="24"/>
        </w:rPr>
        <w:t>Grafikon</w:t>
      </w:r>
      <w:r w:rsidR="008B12EA" w:rsidRPr="00BC61C5">
        <w:rPr>
          <w:color w:val="auto"/>
          <w:sz w:val="24"/>
          <w:szCs w:val="24"/>
        </w:rPr>
        <w:t xml:space="preserve"> </w:t>
      </w:r>
      <w:r w:rsidR="00BC61C5" w:rsidRPr="00BC61C5">
        <w:rPr>
          <w:color w:val="auto"/>
          <w:sz w:val="24"/>
          <w:szCs w:val="24"/>
        </w:rPr>
        <w:t>2.5.-1.</w:t>
      </w:r>
      <w:r w:rsidR="008B12EA" w:rsidRPr="00BC61C5">
        <w:rPr>
          <w:color w:val="auto"/>
          <w:sz w:val="24"/>
          <w:szCs w:val="24"/>
        </w:rPr>
        <w:t xml:space="preserve"> Trend emisija Postojanih organskih onečišćujućih tvari (POPs) u zrak prema podacima prijavljenim u</w:t>
      </w:r>
      <w:r w:rsidR="008B12EA" w:rsidRPr="00BC61C5">
        <w:rPr>
          <w:rStyle w:val="OpisslikeChar"/>
          <w:color w:val="auto"/>
          <w:sz w:val="24"/>
          <w:szCs w:val="24"/>
        </w:rPr>
        <w:t xml:space="preserve"> ROO</w:t>
      </w:r>
      <w:bookmarkEnd w:id="29"/>
      <w:bookmarkEnd w:id="30"/>
      <w:bookmarkEnd w:id="31"/>
      <w:bookmarkEnd w:id="32"/>
    </w:p>
    <w:p w14:paraId="1A18E22A" w14:textId="77777777" w:rsidR="008B12EA" w:rsidRDefault="008B12EA" w:rsidP="008B12EA"/>
    <w:p w14:paraId="1A18E22B" w14:textId="77777777" w:rsidR="008B12EA" w:rsidRDefault="008B12EA" w:rsidP="008B12EA">
      <w:r w:rsidRPr="0050485F">
        <w:t xml:space="preserve">Za nastavak smanjivanja emisija </w:t>
      </w:r>
      <w:r>
        <w:t>PCDD/F</w:t>
      </w:r>
      <w:r w:rsidRPr="0050485F">
        <w:t xml:space="preserve"> </w:t>
      </w:r>
      <w:r>
        <w:t>i PAHs</w:t>
      </w:r>
      <w:r w:rsidRPr="0050485F">
        <w:t xml:space="preserve"> u zrak, potrebno je poticati prelazak na čistije tehnologije proizvodnje, zamjenu starih kotlovskih postrojenja, te smanjenje izgaranja ogrjevnog drva i ugljena kao dominantnog izvora emisija. </w:t>
      </w:r>
    </w:p>
    <w:p w14:paraId="1A18E22C" w14:textId="77777777" w:rsidR="008B12EA" w:rsidRDefault="008B12EA" w:rsidP="008B12EA"/>
    <w:p w14:paraId="1A18E22D" w14:textId="77777777" w:rsidR="008B12EA" w:rsidRPr="00BF2728" w:rsidRDefault="008B12EA" w:rsidP="008B12EA">
      <w:pPr>
        <w:pStyle w:val="Naslov3"/>
      </w:pPr>
      <w:bookmarkStart w:id="33" w:name="_Toc97815103"/>
      <w:bookmarkStart w:id="34" w:name="_Toc100840620"/>
      <w:r w:rsidRPr="00BF2728">
        <w:t>2.5.2. Količine ispuštanja POPs-ova u otpadnim vodama prema podacima baze ROO</w:t>
      </w:r>
      <w:bookmarkEnd w:id="33"/>
      <w:bookmarkEnd w:id="34"/>
    </w:p>
    <w:p w14:paraId="1A18E22E" w14:textId="77777777" w:rsidR="008B12EA" w:rsidRDefault="008B12EA" w:rsidP="008B12EA"/>
    <w:p w14:paraId="1A18E22F" w14:textId="77777777" w:rsidR="008B12EA" w:rsidRDefault="008B12EA" w:rsidP="008B12EA">
      <w:r>
        <w:t xml:space="preserve">Prema prijavama u ROO u RH najveće emisije POPs iz otpadnih voda predstavljaju djelatnosti zračnog prijevoza i farmaceutske proizvodnje. Sukladno Prilogu 2. Pravilnika ROO moguće je prijaviti godišnje količine ispuštanja 24 različita POPs-a u otpadnim vodama. U promatranom razdoblju prijavljeno je ukupno 13 POPs-ova u otpadnim vodama. Za sedam POPs-ova prijavljena količina bila je jednaka „0“ što znači da su pojedini obveznici bili dužni pratiti ispuštanja onečišćujuće tvari u otpadnoj vodi, ali one nisu prema analitičkoj metodi zabilježene. </w:t>
      </w:r>
    </w:p>
    <w:p w14:paraId="1B1FAE84" w14:textId="3E8224C2" w:rsidR="00C72EC4" w:rsidRDefault="00C72EC4" w:rsidP="008B12EA">
      <w:r w:rsidRPr="000A4B2A">
        <w:t xml:space="preserve">U promatranom razdoblju </w:t>
      </w:r>
      <w:r>
        <w:t>u otpadnim vodama s lokacije obveznika zabilježeno je ispuštanje šest POPs-ova: endosulfana, endrina, heksaklorbutadiena (HCBD), pentaklorfenola (PCP), polikloriranihbifenila (PCB) i policikličkih aromatskih ugljikovodika (PAU) (PAHs).</w:t>
      </w:r>
    </w:p>
    <w:p w14:paraId="1A18E231" w14:textId="4399E23C" w:rsidR="008B12EA" w:rsidRPr="005D7544" w:rsidRDefault="0067282E" w:rsidP="005D7544">
      <w:pPr>
        <w:spacing w:before="120" w:after="120"/>
        <w:jc w:val="right"/>
      </w:pPr>
      <w:r>
        <w:rPr>
          <w:noProof/>
        </w:rPr>
        <w:lastRenderedPageBreak/>
        <w:drawing>
          <wp:inline distT="0" distB="0" distL="0" distR="0" wp14:anchorId="0FF698E2" wp14:editId="56CC60D2">
            <wp:extent cx="6019800" cy="4162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8B12EA" w:rsidRPr="00D10DC1">
        <w:rPr>
          <w:i/>
          <w:sz w:val="18"/>
          <w:szCs w:val="18"/>
        </w:rPr>
        <w:t xml:space="preserve">Izvor: ROO, </w:t>
      </w:r>
      <w:r w:rsidR="00A56BCC">
        <w:rPr>
          <w:i/>
          <w:sz w:val="18"/>
          <w:szCs w:val="18"/>
        </w:rPr>
        <w:t>MINGOR</w:t>
      </w:r>
    </w:p>
    <w:p w14:paraId="1A18E232" w14:textId="45D7214A" w:rsidR="008B12EA" w:rsidRDefault="003E533E" w:rsidP="00EE3388">
      <w:pPr>
        <w:jc w:val="center"/>
      </w:pPr>
      <w:bookmarkStart w:id="35" w:name="_Toc91594289"/>
      <w:bookmarkStart w:id="36" w:name="_Toc95306039"/>
      <w:bookmarkStart w:id="37" w:name="_Toc95466785"/>
      <w:r>
        <w:rPr>
          <w:rStyle w:val="SlikaigrafnaslovChar"/>
        </w:rPr>
        <w:t>Grafikon</w:t>
      </w:r>
      <w:r w:rsidR="008B12EA" w:rsidRPr="008E76F9">
        <w:rPr>
          <w:rStyle w:val="SlikaigrafnaslovChar"/>
        </w:rPr>
        <w:t xml:space="preserve"> </w:t>
      </w:r>
      <w:r w:rsidR="00BC61C5">
        <w:rPr>
          <w:rStyle w:val="SlikaigrafnaslovChar"/>
        </w:rPr>
        <w:t>2.5.-2</w:t>
      </w:r>
      <w:r w:rsidR="008B12EA" w:rsidRPr="008E76F9">
        <w:rPr>
          <w:rStyle w:val="SlikaigrafnaslovChar"/>
        </w:rPr>
        <w:t>. Ispuštanje POPs-ova u otpadnim vodama</w:t>
      </w:r>
      <w:bookmarkEnd w:id="35"/>
      <w:bookmarkEnd w:id="36"/>
      <w:bookmarkEnd w:id="37"/>
    </w:p>
    <w:p w14:paraId="1A18E233" w14:textId="77777777" w:rsidR="008B12EA" w:rsidRDefault="008B12EA" w:rsidP="00EE3388"/>
    <w:p w14:paraId="1A18E234" w14:textId="54CDC124" w:rsidR="008B12EA" w:rsidRDefault="008B12EA" w:rsidP="008B12EA">
      <w:pPr>
        <w:spacing w:before="120" w:after="120"/>
      </w:pPr>
      <w:r>
        <w:t>Ukupno ispuštene količine za pojedini POPs ne premašuju količinu od 1 kg godišnje. Najviše je ispušteno p</w:t>
      </w:r>
      <w:r w:rsidRPr="00AB74E1">
        <w:t>oliklorirani</w:t>
      </w:r>
      <w:r>
        <w:t>hbifenila</w:t>
      </w:r>
      <w:r w:rsidRPr="00AB74E1">
        <w:t xml:space="preserve"> (PCB)</w:t>
      </w:r>
      <w:r>
        <w:t xml:space="preserve"> za koji je maksimum ispuštanja zabilježen 2019. (0,92 kg). Zatim slijedi heksaklorbutadien (HCBD), maksimum ispuštanja zabilježen je isto  2019. (0,84 kg) te p</w:t>
      </w:r>
      <w:r w:rsidRPr="000818E2">
        <w:t>oliciklički aromatski ugljikovodici</w:t>
      </w:r>
      <w:r>
        <w:t xml:space="preserve"> </w:t>
      </w:r>
      <w:r w:rsidR="00327C97">
        <w:t>(PAHs)</w:t>
      </w:r>
      <w:r>
        <w:t xml:space="preserve"> za koje je maksimum ispuštanja zabilježen 2018. i to količina od 0,73 kg. Ostali zabilježeni POPs-ovi ispuštani su u daleko manjim količinama. Najveće količine ispuštenih POPs-ova potječu iz uslužnih djelatnosti vezanih sa zračnim prijevozom, zatim farmaceutske industrije te oporabe posebno izdvojenih metala. </w:t>
      </w:r>
    </w:p>
    <w:p w14:paraId="1E2BCE01" w14:textId="77777777" w:rsidR="00EE3388" w:rsidRDefault="00EE3388" w:rsidP="008B12EA">
      <w:pPr>
        <w:spacing w:before="120" w:after="120"/>
      </w:pPr>
    </w:p>
    <w:p w14:paraId="1A18E235" w14:textId="77777777" w:rsidR="008B12EA" w:rsidRPr="001931C7" w:rsidRDefault="008B12EA" w:rsidP="008B12EA">
      <w:pPr>
        <w:pStyle w:val="Naslov3"/>
      </w:pPr>
      <w:bookmarkStart w:id="38" w:name="_Toc97815104"/>
      <w:bookmarkStart w:id="39" w:name="_Toc100840621"/>
      <w:r w:rsidRPr="001931C7">
        <w:t>2.5.3. Podaci o opasnom otpadu koji može sadržavati POPs</w:t>
      </w:r>
      <w:r>
        <w:t xml:space="preserve">, </w:t>
      </w:r>
      <w:r w:rsidRPr="001931C7">
        <w:t>prema podacima baze ROO i evidencje o prekograničnom prometu otpada</w:t>
      </w:r>
      <w:bookmarkEnd w:id="38"/>
      <w:bookmarkEnd w:id="39"/>
    </w:p>
    <w:p w14:paraId="1A18E236" w14:textId="77777777" w:rsidR="008B12EA" w:rsidRDefault="008B12EA" w:rsidP="008B12EA"/>
    <w:p w14:paraId="1A18E237" w14:textId="77777777" w:rsidR="008B12EA" w:rsidRDefault="008B12EA" w:rsidP="008B12EA">
      <w:r w:rsidRPr="000B7F5F">
        <w:t xml:space="preserve">Podaci </w:t>
      </w:r>
      <w:r>
        <w:t xml:space="preserve">o opasnom otpadu, koji potencijalno može sadržavati POPs-ove, </w:t>
      </w:r>
      <w:r w:rsidRPr="000B7F5F">
        <w:t xml:space="preserve">preuzeti </w:t>
      </w:r>
      <w:r>
        <w:t xml:space="preserve">su i obrađeni </w:t>
      </w:r>
      <w:r w:rsidRPr="000B7F5F">
        <w:t>iz obrasca</w:t>
      </w:r>
      <w:r>
        <w:t xml:space="preserve"> „Oporaba i zbrinjavanje otpada“ (OZO)</w:t>
      </w:r>
      <w:r w:rsidRPr="000B7F5F">
        <w:t xml:space="preserve"> </w:t>
      </w:r>
      <w:r>
        <w:t xml:space="preserve"> iz </w:t>
      </w:r>
      <w:r w:rsidRPr="000B7F5F">
        <w:t xml:space="preserve">baze ROO za </w:t>
      </w:r>
      <w:r>
        <w:t>razdoblje od 2017. do 2021.. Opasni otpad koji je prikazan u nastavku izdvojen je s</w:t>
      </w:r>
      <w:r w:rsidRPr="000B7F5F">
        <w:t xml:space="preserve">ukladno </w:t>
      </w:r>
      <w:r>
        <w:t>popisu iz Priloga</w:t>
      </w:r>
      <w:r w:rsidRPr="000B7F5F">
        <w:t xml:space="preserve"> V. (Dio 2.) </w:t>
      </w:r>
      <w:r>
        <w:t>„</w:t>
      </w:r>
      <w:r w:rsidRPr="00E02A81">
        <w:rPr>
          <w:i/>
        </w:rPr>
        <w:t xml:space="preserve">Uredbe (EU) 2019/1021 </w:t>
      </w:r>
      <w:r w:rsidRPr="005651C8">
        <w:rPr>
          <w:i/>
        </w:rPr>
        <w:t>EUROPSKOG PARLAMENTA I VIJEĆA od 20. lipnja 2019. o postojanim organskim onečišćujućim tvarima“</w:t>
      </w:r>
      <w:r w:rsidRPr="005651C8">
        <w:rPr>
          <w:rStyle w:val="Referencafusnote"/>
          <w:u w:val="single"/>
        </w:rPr>
        <w:footnoteReference w:id="8"/>
      </w:r>
      <w:r w:rsidRPr="005651C8">
        <w:t xml:space="preserve">. </w:t>
      </w:r>
    </w:p>
    <w:p w14:paraId="1A18E239" w14:textId="77777777" w:rsidR="008B12EA" w:rsidRPr="00157BDB" w:rsidRDefault="008B12EA" w:rsidP="008B12EA">
      <w:r>
        <w:lastRenderedPageBreak/>
        <w:t xml:space="preserve">U bazu ROO ne prikupljaju se podaci iz analiza o sadržaju POPs u opasnom otpadu, stoga nije moguće prikazati stvarne količine POPs-ova u otpadu, ali obzirom da je navedeni otpad toliko opasan da se mora zbrinuti na način koji osigurava da se sadržaj POPs-ova uništi ili nepovratno transformira te da preostali otpad ne pokazuje svojstva POPs-ova., pregled u nastavku daje prikaz podataka prikupljenih u ROO o </w:t>
      </w:r>
      <w:r w:rsidRPr="00486079">
        <w:rPr>
          <w:b/>
        </w:rPr>
        <w:t>opasnom otpadu koji može sadržavati POPs</w:t>
      </w:r>
      <w:r>
        <w:rPr>
          <w:b/>
        </w:rPr>
        <w:t>,</w:t>
      </w:r>
      <w:r>
        <w:t xml:space="preserve"> kako bi  se ukazalo na potencijalno  opasno opterećenje okoliša u RH.</w:t>
      </w:r>
    </w:p>
    <w:p w14:paraId="1A18E23A" w14:textId="77777777" w:rsidR="008B12EA" w:rsidRDefault="008B12EA" w:rsidP="008B12EA">
      <w:pPr>
        <w:rPr>
          <w:b/>
        </w:rPr>
      </w:pPr>
    </w:p>
    <w:p w14:paraId="1A18E23B" w14:textId="77777777" w:rsidR="008B12EA" w:rsidRPr="00B71F00" w:rsidRDefault="008B12EA" w:rsidP="008B12EA">
      <w:r w:rsidRPr="00B71F00">
        <w:t>Popis obrađenog opasnog otpada koji može sadržavati POPs (OZO obrazac, ROO):</w:t>
      </w:r>
    </w:p>
    <w:p w14:paraId="1A18E23C" w14:textId="77777777" w:rsidR="008B12EA" w:rsidRPr="00B71F00" w:rsidRDefault="008B12EA" w:rsidP="008B12EA">
      <w:pPr>
        <w:pStyle w:val="Odlomakpopisa"/>
        <w:numPr>
          <w:ilvl w:val="0"/>
          <w:numId w:val="37"/>
        </w:numPr>
      </w:pPr>
      <w:r w:rsidRPr="00B71F00">
        <w:t>10 02 07* kruti otpad od obrade plinova koji sadrži opasne tvari</w:t>
      </w:r>
    </w:p>
    <w:p w14:paraId="1A18E23D" w14:textId="77777777" w:rsidR="008B12EA" w:rsidRPr="00B71F00" w:rsidRDefault="008B12EA" w:rsidP="008B12EA">
      <w:pPr>
        <w:pStyle w:val="Odlomakpopisa"/>
        <w:numPr>
          <w:ilvl w:val="0"/>
          <w:numId w:val="37"/>
        </w:numPr>
      </w:pPr>
      <w:r w:rsidRPr="00B71F00">
        <w:t>10 03 08* šljaka iz sekundarne proizvodnje, a koja sadrži soli</w:t>
      </w:r>
    </w:p>
    <w:p w14:paraId="1A18E23E" w14:textId="77777777" w:rsidR="008B12EA" w:rsidRPr="00B71F00" w:rsidRDefault="008B12EA" w:rsidP="008B12EA">
      <w:pPr>
        <w:pStyle w:val="Odlomakpopisa"/>
        <w:numPr>
          <w:ilvl w:val="0"/>
          <w:numId w:val="37"/>
        </w:numPr>
      </w:pPr>
      <w:r w:rsidRPr="00B71F00">
        <w:t>10 04 01* šljaka iz primarne i sekundarne proizvodnje</w:t>
      </w:r>
    </w:p>
    <w:p w14:paraId="1A18E23F" w14:textId="77777777" w:rsidR="008B12EA" w:rsidRPr="00B71F00" w:rsidRDefault="008B12EA" w:rsidP="008B12EA">
      <w:pPr>
        <w:pStyle w:val="Odlomakpopisa"/>
        <w:numPr>
          <w:ilvl w:val="0"/>
          <w:numId w:val="37"/>
        </w:numPr>
      </w:pPr>
      <w:r w:rsidRPr="00B71F00">
        <w:t>10 04 05* ostale čestice i prašina</w:t>
      </w:r>
    </w:p>
    <w:p w14:paraId="1A18E240" w14:textId="77777777" w:rsidR="008B12EA" w:rsidRPr="00B71F00" w:rsidRDefault="008B12EA" w:rsidP="008B12EA">
      <w:pPr>
        <w:pStyle w:val="Odlomakpopisa"/>
        <w:numPr>
          <w:ilvl w:val="0"/>
          <w:numId w:val="37"/>
        </w:numPr>
      </w:pPr>
      <w:r w:rsidRPr="00B71F00">
        <w:t>16 11 03* ostale obloge i vatrostalni otpad iz metalurških procesa, koji sadrži opasne tvari</w:t>
      </w:r>
    </w:p>
    <w:p w14:paraId="1A18E241" w14:textId="77777777" w:rsidR="008B12EA" w:rsidRPr="00B71F00" w:rsidRDefault="008B12EA" w:rsidP="008B12EA">
      <w:pPr>
        <w:pStyle w:val="Odlomakpopisa"/>
        <w:numPr>
          <w:ilvl w:val="0"/>
          <w:numId w:val="37"/>
        </w:numPr>
      </w:pPr>
      <w:r w:rsidRPr="00B71F00">
        <w:t>17 01 06* mješavine ili odvojene frakcije betona, cigle, crijepa/pločica i keramike, koje sadrže opasne tvari</w:t>
      </w:r>
    </w:p>
    <w:p w14:paraId="1A18E242" w14:textId="77777777" w:rsidR="008B12EA" w:rsidRPr="00B71F00" w:rsidRDefault="008B12EA" w:rsidP="008B12EA">
      <w:pPr>
        <w:pStyle w:val="Odlomakpopisa"/>
        <w:numPr>
          <w:ilvl w:val="0"/>
          <w:numId w:val="37"/>
        </w:numPr>
      </w:pPr>
      <w:r w:rsidRPr="00B71F00">
        <w:t>17 05 03* zemlja i kamenje koji sadrže opasne tvari</w:t>
      </w:r>
    </w:p>
    <w:p w14:paraId="1A18E243" w14:textId="77777777" w:rsidR="008B12EA" w:rsidRPr="00B71F00" w:rsidRDefault="008B12EA" w:rsidP="008B12EA">
      <w:pPr>
        <w:pStyle w:val="Odlomakpopisa"/>
        <w:numPr>
          <w:ilvl w:val="0"/>
          <w:numId w:val="37"/>
        </w:numPr>
      </w:pPr>
      <w:r w:rsidRPr="00B71F00">
        <w:t>17 09 03* ostali građevinski otpad i otpad od rušenja objekata (uključujući miješani otpad), koji sadrži opasne tvari</w:t>
      </w:r>
    </w:p>
    <w:p w14:paraId="1A18E244" w14:textId="77777777" w:rsidR="008B12EA" w:rsidRPr="00B71F00" w:rsidRDefault="008B12EA" w:rsidP="008B12EA">
      <w:pPr>
        <w:pStyle w:val="Odlomakpopisa"/>
        <w:numPr>
          <w:ilvl w:val="0"/>
          <w:numId w:val="37"/>
        </w:numPr>
      </w:pPr>
      <w:r w:rsidRPr="00B71F00">
        <w:t>19 01 11* pepeo i šljaka s rešetke ložišta koji sadrže opasne tvari</w:t>
      </w:r>
    </w:p>
    <w:p w14:paraId="1A18E245" w14:textId="77777777" w:rsidR="008B12EA" w:rsidRDefault="008B12EA" w:rsidP="008B12EA"/>
    <w:p w14:paraId="1A18E246" w14:textId="77777777" w:rsidR="008B12EA" w:rsidRDefault="008B12EA" w:rsidP="008B12EA">
      <w:r>
        <w:t>U nastavku su podaci prikazani zbirno na razini RH, za ukupno obrađeni opasni otpad koji može sadržavati POPs, za razdoblje od 2017. do 2021., a za koji su podaci prijavljeni u OZO obrazac u bazi ROO. U OZO obrascu vodi se evidencija o količinama preuzetog otpada, obrađenog otpada i o količinama koje su na skladištu.</w:t>
      </w:r>
    </w:p>
    <w:p w14:paraId="1A18E247" w14:textId="77777777" w:rsidR="008B12EA" w:rsidRDefault="008B12EA" w:rsidP="008B12EA"/>
    <w:p w14:paraId="1A18E248" w14:textId="77777777" w:rsidR="008B12EA" w:rsidRDefault="008B12EA" w:rsidP="008B12EA">
      <w:r>
        <w:t>Istovremeno, u grafičkom prikazu</w:t>
      </w:r>
      <w:r w:rsidRPr="0043230E">
        <w:t xml:space="preserve"> </w:t>
      </w:r>
      <w:r>
        <w:t>(Slika 2.5.3.-1)  prikazani su i podaci o izvozu spomenutog otpada, a koji se prikupljaju i obrađuju unutar Informacijskog sustava gospodarenja otpadom, a temeljem Zakona o gospodarenju otpadom</w:t>
      </w:r>
      <w:r>
        <w:rPr>
          <w:rStyle w:val="Referencafusnote"/>
        </w:rPr>
        <w:footnoteReference w:id="9"/>
      </w:r>
      <w:r>
        <w:t>. Prema Evidenciji o prekograničnom prometu otpada izvoz je ostvaren samo za tri vrste opasnog otpada koji može sadržavati POPs:</w:t>
      </w:r>
    </w:p>
    <w:p w14:paraId="4CAEE449" w14:textId="77777777" w:rsidR="002A08A5" w:rsidRDefault="002A08A5" w:rsidP="008B12EA"/>
    <w:p w14:paraId="1A18E249" w14:textId="74A92671" w:rsidR="008B12EA" w:rsidRDefault="008B12EA" w:rsidP="0022124A">
      <w:pPr>
        <w:pStyle w:val="Odlomakpopisa"/>
        <w:numPr>
          <w:ilvl w:val="0"/>
          <w:numId w:val="46"/>
        </w:numPr>
      </w:pPr>
      <w:r>
        <w:t xml:space="preserve">10 02 07* - </w:t>
      </w:r>
      <w:r w:rsidR="00323A4B">
        <w:t>k</w:t>
      </w:r>
      <w:r w:rsidR="00323A4B" w:rsidRPr="00730C1E">
        <w:t>ruti otpad od obrade plinova koji sadrže opasne tvari</w:t>
      </w:r>
      <w:r w:rsidR="00323A4B">
        <w:t xml:space="preserve"> (</w:t>
      </w:r>
      <w:r>
        <w:t>Elektropećna prašina</w:t>
      </w:r>
      <w:r w:rsidR="00323A4B">
        <w:t>)</w:t>
      </w:r>
    </w:p>
    <w:p w14:paraId="1A18E24A" w14:textId="77777777" w:rsidR="008B12EA" w:rsidRDefault="008B12EA" w:rsidP="008B12EA">
      <w:pPr>
        <w:pStyle w:val="Odlomakpopisa"/>
        <w:numPr>
          <w:ilvl w:val="0"/>
          <w:numId w:val="36"/>
        </w:numPr>
      </w:pPr>
      <w:r>
        <w:t>10 04 01* - Šljaka iz primarne i sekundarne proizvodnje</w:t>
      </w:r>
    </w:p>
    <w:p w14:paraId="1A18E24B" w14:textId="77777777" w:rsidR="008B12EA" w:rsidRDefault="008B12EA" w:rsidP="008B12EA">
      <w:pPr>
        <w:pStyle w:val="Odlomakpopisa"/>
        <w:numPr>
          <w:ilvl w:val="0"/>
          <w:numId w:val="36"/>
        </w:numPr>
      </w:pPr>
      <w:r>
        <w:t>10 04 05* - Ostale čestice i prašina</w:t>
      </w:r>
    </w:p>
    <w:p w14:paraId="1A18E24C" w14:textId="77777777" w:rsidR="008B12EA" w:rsidRDefault="008B12EA" w:rsidP="008B12EA"/>
    <w:p w14:paraId="1A18E24D" w14:textId="055C76E8" w:rsidR="008B12EA" w:rsidRDefault="008B12EA" w:rsidP="008B12EA"/>
    <w:p w14:paraId="616A31B3" w14:textId="1991099D" w:rsidR="005B4BFE" w:rsidRDefault="005B4BFE" w:rsidP="008B12EA">
      <w:r>
        <w:rPr>
          <w:noProof/>
        </w:rPr>
        <w:lastRenderedPageBreak/>
        <w:drawing>
          <wp:inline distT="0" distB="0" distL="0" distR="0" wp14:anchorId="6C2A9683" wp14:editId="3465B1C5">
            <wp:extent cx="5886450" cy="42957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18E24E" w14:textId="529AE607" w:rsidR="008B12EA" w:rsidRPr="00D10DC1" w:rsidRDefault="008B12EA" w:rsidP="008B12EA">
      <w:pPr>
        <w:spacing w:before="120" w:after="120"/>
        <w:jc w:val="right"/>
        <w:rPr>
          <w:i/>
          <w:sz w:val="18"/>
          <w:szCs w:val="18"/>
        </w:rPr>
      </w:pPr>
      <w:r w:rsidRPr="00D10DC1">
        <w:rPr>
          <w:i/>
          <w:sz w:val="18"/>
          <w:szCs w:val="18"/>
        </w:rPr>
        <w:t>Izvor: ROO,</w:t>
      </w:r>
      <w:r w:rsidR="001A621A">
        <w:rPr>
          <w:i/>
          <w:sz w:val="18"/>
          <w:szCs w:val="18"/>
        </w:rPr>
        <w:t xml:space="preserve"> </w:t>
      </w:r>
      <w:r w:rsidR="00E3486A">
        <w:rPr>
          <w:i/>
          <w:sz w:val="18"/>
          <w:szCs w:val="18"/>
        </w:rPr>
        <w:t>Evidencija</w:t>
      </w:r>
      <w:r w:rsidR="00E3486A" w:rsidRPr="00E3486A">
        <w:rPr>
          <w:i/>
          <w:sz w:val="18"/>
          <w:szCs w:val="18"/>
        </w:rPr>
        <w:t xml:space="preserve"> o prekograničnom prometu otpada</w:t>
      </w:r>
      <w:r w:rsidR="001A621A">
        <w:rPr>
          <w:i/>
          <w:sz w:val="18"/>
          <w:szCs w:val="18"/>
        </w:rPr>
        <w:t>,</w:t>
      </w:r>
      <w:r w:rsidRPr="00D10DC1">
        <w:rPr>
          <w:i/>
          <w:sz w:val="18"/>
          <w:szCs w:val="18"/>
        </w:rPr>
        <w:t xml:space="preserve"> </w:t>
      </w:r>
      <w:r w:rsidR="0022124A">
        <w:rPr>
          <w:i/>
          <w:sz w:val="18"/>
          <w:szCs w:val="18"/>
        </w:rPr>
        <w:t>MINGOR</w:t>
      </w:r>
    </w:p>
    <w:p w14:paraId="1A18E24F" w14:textId="475A1CA8" w:rsidR="008B12EA" w:rsidRPr="003E533E" w:rsidRDefault="001A621A" w:rsidP="008B12EA">
      <w:pPr>
        <w:pStyle w:val="Opisslike"/>
        <w:jc w:val="center"/>
        <w:rPr>
          <w:color w:val="auto"/>
          <w:sz w:val="24"/>
          <w:szCs w:val="24"/>
        </w:rPr>
      </w:pPr>
      <w:r>
        <w:rPr>
          <w:color w:val="auto"/>
          <w:sz w:val="24"/>
          <w:szCs w:val="24"/>
        </w:rPr>
        <w:t>Grafikon</w:t>
      </w:r>
      <w:r w:rsidRPr="003E533E">
        <w:rPr>
          <w:color w:val="auto"/>
          <w:sz w:val="24"/>
          <w:szCs w:val="24"/>
        </w:rPr>
        <w:t xml:space="preserve"> </w:t>
      </w:r>
      <w:r w:rsidR="003E533E" w:rsidRPr="003E533E">
        <w:rPr>
          <w:color w:val="auto"/>
          <w:sz w:val="24"/>
          <w:szCs w:val="24"/>
        </w:rPr>
        <w:t>2.5.</w:t>
      </w:r>
      <w:r w:rsidR="008B12EA" w:rsidRPr="003E533E">
        <w:rPr>
          <w:color w:val="auto"/>
          <w:sz w:val="24"/>
          <w:szCs w:val="24"/>
        </w:rPr>
        <w:t>-</w:t>
      </w:r>
      <w:r w:rsidR="003E533E" w:rsidRPr="003E533E">
        <w:rPr>
          <w:color w:val="auto"/>
          <w:sz w:val="24"/>
          <w:szCs w:val="24"/>
        </w:rPr>
        <w:t>3.</w:t>
      </w:r>
      <w:r w:rsidR="008B12EA" w:rsidRPr="003E533E">
        <w:rPr>
          <w:color w:val="auto"/>
          <w:sz w:val="24"/>
          <w:szCs w:val="24"/>
        </w:rPr>
        <w:t xml:space="preserve"> Prikaz opasnog otpada koji može sadržavati POPs</w:t>
      </w:r>
    </w:p>
    <w:p w14:paraId="1A18E250" w14:textId="77777777" w:rsidR="008B12EA" w:rsidRDefault="008B12EA" w:rsidP="008B12EA"/>
    <w:p w14:paraId="1A18E251" w14:textId="4338A5D6" w:rsidR="008B12EA" w:rsidRDefault="0022124A" w:rsidP="008B12EA">
      <w:r>
        <w:t>Prethodni g</w:t>
      </w:r>
      <w:r w:rsidR="001A621A">
        <w:t>rafikon</w:t>
      </w:r>
      <w:r w:rsidR="008B12EA">
        <w:t xml:space="preserve"> prikazuje trend prijave preuzetog, obrađenog, skladištenog i izvezenog opasnog otpada koji može sadržavati POPs. U promatranom periodu nije bilo uvoza ovog otpada. </w:t>
      </w:r>
    </w:p>
    <w:p w14:paraId="1A18E252" w14:textId="200900D3" w:rsidR="008B12EA" w:rsidRDefault="008B12EA" w:rsidP="008B12EA">
      <w:r>
        <w:t xml:space="preserve">Količine otpada </w:t>
      </w:r>
      <w:r>
        <w:rPr>
          <w:b/>
        </w:rPr>
        <w:t>preuzete</w:t>
      </w:r>
      <w:r w:rsidRPr="00E90A6D">
        <w:rPr>
          <w:b/>
        </w:rPr>
        <w:t xml:space="preserve"> </w:t>
      </w:r>
      <w:r>
        <w:rPr>
          <w:b/>
        </w:rPr>
        <w:t>u</w:t>
      </w:r>
      <w:r w:rsidRPr="00E90A6D">
        <w:rPr>
          <w:b/>
        </w:rPr>
        <w:t xml:space="preserve"> obradu</w:t>
      </w:r>
      <w:r w:rsidR="00A56BCC">
        <w:t xml:space="preserve"> povećavaju se u 2018.</w:t>
      </w:r>
      <w:r>
        <w:t xml:space="preserve">, a od 2019. su u padu. </w:t>
      </w:r>
      <w:r w:rsidRPr="00B42E15">
        <w:t xml:space="preserve">Najveće količine ovog </w:t>
      </w:r>
      <w:r w:rsidRPr="009C537D">
        <w:t xml:space="preserve">otpada preuzete su </w:t>
      </w:r>
      <w:r>
        <w:t xml:space="preserve">za KBO </w:t>
      </w:r>
      <w:r w:rsidRPr="009C537D">
        <w:rPr>
          <w:i/>
        </w:rPr>
        <w:t>17 05 03* zemlja i kamenje koji sadrže opasne tvari</w:t>
      </w:r>
      <w:r>
        <w:t xml:space="preserve">, a najmanje za KBO </w:t>
      </w:r>
      <w:r w:rsidRPr="009C537D">
        <w:rPr>
          <w:i/>
        </w:rPr>
        <w:t>10 04 05*ostale čestice i prašina</w:t>
      </w:r>
      <w:r>
        <w:t>, 2019.</w:t>
      </w:r>
    </w:p>
    <w:p w14:paraId="1A18E253" w14:textId="77777777" w:rsidR="008B12EA" w:rsidRDefault="008B12EA" w:rsidP="008B12EA"/>
    <w:p w14:paraId="1A18E254" w14:textId="76F9E6D3" w:rsidR="008B12EA" w:rsidRDefault="008B12EA" w:rsidP="008B12EA">
      <w:r>
        <w:t xml:space="preserve">Trend </w:t>
      </w:r>
      <w:r w:rsidRPr="007B7C08">
        <w:rPr>
          <w:b/>
        </w:rPr>
        <w:t>skladištenja</w:t>
      </w:r>
      <w:r>
        <w:t xml:space="preserve"> takvog otpada najveći je u 2020., </w:t>
      </w:r>
      <w:r w:rsidR="00A56BCC">
        <w:t xml:space="preserve">a najmanje je skladišteno 2017. </w:t>
      </w:r>
      <w:r w:rsidRPr="0057190D">
        <w:t>Stanje skladišta prikazuje količine koje su zaključno s 31.12. ostale na skladištu i one</w:t>
      </w:r>
      <w:r>
        <w:t xml:space="preserve"> će se prebaciti u iduću godinu prijave.</w:t>
      </w:r>
    </w:p>
    <w:p w14:paraId="1A18E255" w14:textId="77777777" w:rsidR="008B12EA" w:rsidRDefault="008B12EA" w:rsidP="008B12EA"/>
    <w:p w14:paraId="1A18E256" w14:textId="34CD2505" w:rsidR="008B12EA" w:rsidRPr="00C94633" w:rsidRDefault="008B12EA" w:rsidP="008B12EA">
      <w:r>
        <w:t xml:space="preserve">Najveće količine </w:t>
      </w:r>
      <w:r>
        <w:rPr>
          <w:b/>
        </w:rPr>
        <w:t>obrađenog</w:t>
      </w:r>
      <w:r>
        <w:t xml:space="preserve"> otpada </w:t>
      </w:r>
      <w:r w:rsidRPr="00101950">
        <w:t>prijavljene su u 2018. za KBO 1</w:t>
      </w:r>
      <w:r w:rsidRPr="002D2B69">
        <w:rPr>
          <w:i/>
        </w:rPr>
        <w:t>7 05 03* zemlja i kamenje koji sadrže opasne tvari</w:t>
      </w:r>
      <w:r w:rsidRPr="00101950">
        <w:t>,</w:t>
      </w:r>
      <w:r>
        <w:t xml:space="preserve"> a obrađene su postupkom zbrinjavanja</w:t>
      </w:r>
      <w:r w:rsidRPr="0057190D">
        <w:t xml:space="preserve"> D8 </w:t>
      </w:r>
      <w:r w:rsidRPr="00101950">
        <w:t xml:space="preserve">- </w:t>
      </w:r>
      <w:r w:rsidRPr="00B41092">
        <w:rPr>
          <w:i/>
        </w:rPr>
        <w:t>Biološke obrade otpada koja nije specificirana drugdje u ovim postupcima, a koja za posljedicu ima konačne sastojke i mješavine koje se zbrinjavaju bilo kojim postupkom navedenim pod D1-D12</w:t>
      </w:r>
      <w:r>
        <w:t>, dok su</w:t>
      </w:r>
      <w:r w:rsidRPr="0057190D">
        <w:t xml:space="preserve"> najmanje količine </w:t>
      </w:r>
      <w:r>
        <w:t>obrađene</w:t>
      </w:r>
      <w:r w:rsidRPr="0057190D">
        <w:t xml:space="preserve"> </w:t>
      </w:r>
      <w:r w:rsidRPr="003F3FF8">
        <w:t xml:space="preserve">postupkom </w:t>
      </w:r>
      <w:r>
        <w:t xml:space="preserve">PP - </w:t>
      </w:r>
      <w:r w:rsidRPr="001B28E2">
        <w:rPr>
          <w:i/>
        </w:rPr>
        <w:t>Priprema prije oporabe ili zbrinjavanja</w:t>
      </w:r>
      <w:r w:rsidRPr="003F3FF8">
        <w:t xml:space="preserve"> (Ta</w:t>
      </w:r>
      <w:r w:rsidR="003E533E">
        <w:t>blica 2.5</w:t>
      </w:r>
      <w:r w:rsidRPr="003F3FF8">
        <w:t>.</w:t>
      </w:r>
      <w:r w:rsidR="003E533E">
        <w:t>3</w:t>
      </w:r>
      <w:r w:rsidR="001A621A">
        <w:t>-1</w:t>
      </w:r>
      <w:r w:rsidRPr="003F3FF8">
        <w:t>)</w:t>
      </w:r>
      <w:r>
        <w:t>.</w:t>
      </w:r>
    </w:p>
    <w:p w14:paraId="1A18E257" w14:textId="77777777" w:rsidR="008B12EA" w:rsidRDefault="008B12EA" w:rsidP="008B12EA"/>
    <w:p w14:paraId="4618EAA5" w14:textId="5B0AA954" w:rsidR="00730C1E" w:rsidRDefault="008B12EA" w:rsidP="008B12EA">
      <w:r w:rsidRPr="00101950">
        <w:t>Prema prikazu podataka</w:t>
      </w:r>
      <w:r>
        <w:t xml:space="preserve"> na </w:t>
      </w:r>
      <w:r w:rsidR="001A621A">
        <w:t xml:space="preserve">Grafikonu </w:t>
      </w:r>
      <w:r>
        <w:t>2.5.</w:t>
      </w:r>
      <w:r w:rsidR="00385914">
        <w:t>-</w:t>
      </w:r>
      <w:r>
        <w:t>3.</w:t>
      </w:r>
      <w:r w:rsidRPr="00101950">
        <w:t xml:space="preserve"> do povećanja </w:t>
      </w:r>
      <w:r w:rsidRPr="00101950">
        <w:rPr>
          <w:b/>
        </w:rPr>
        <w:t>izvoza</w:t>
      </w:r>
      <w:r w:rsidRPr="00101950">
        <w:t xml:space="preserve"> otpada dolazi 2018. </w:t>
      </w:r>
      <w:r w:rsidR="00323A4B">
        <w:t>od otpada iz industrije željeza i čelika</w:t>
      </w:r>
      <w:r>
        <w:rPr>
          <w:i/>
        </w:rPr>
        <w:t xml:space="preserve">, </w:t>
      </w:r>
      <w:r w:rsidRPr="00B1437F">
        <w:t xml:space="preserve"> da</w:t>
      </w:r>
      <w:r w:rsidRPr="00101950">
        <w:t xml:space="preserve"> bi od 2019. izvoz bio u naglo</w:t>
      </w:r>
      <w:r>
        <w:t xml:space="preserve">m padu te je najmanja količina ostvarenog izvoza bila u 2020. </w:t>
      </w:r>
      <w:r w:rsidR="00323A4B">
        <w:t>od ot</w:t>
      </w:r>
      <w:r w:rsidR="002A7BA5">
        <w:t>p</w:t>
      </w:r>
      <w:r w:rsidR="00323A4B">
        <w:t>ada iz metalurgije olova</w:t>
      </w:r>
      <w:r w:rsidRPr="0026068D">
        <w:t>,</w:t>
      </w:r>
      <w:r w:rsidRPr="00101950">
        <w:t xml:space="preserve"> pri </w:t>
      </w:r>
      <w:r w:rsidR="001706A5">
        <w:t xml:space="preserve">tome otpad  </w:t>
      </w:r>
      <w:r w:rsidR="00323A4B">
        <w:t>iz industrije željeza i čelika</w:t>
      </w:r>
      <w:r w:rsidR="001706A5">
        <w:t xml:space="preserve"> nije bio prijavljen u izvozu za istu godinu. N</w:t>
      </w:r>
      <w:r w:rsidRPr="00101950">
        <w:t>ajveće količine izvezene</w:t>
      </w:r>
      <w:r>
        <w:t xml:space="preserve"> </w:t>
      </w:r>
      <w:r w:rsidR="00323A4B">
        <w:t xml:space="preserve">su </w:t>
      </w:r>
      <w:r>
        <w:t>u Poljsku i Austriju</w:t>
      </w:r>
      <w:r w:rsidRPr="00101950">
        <w:t xml:space="preserve">, a najmanje u Austriju. </w:t>
      </w:r>
      <w:r>
        <w:t xml:space="preserve">U Bugarsku su izvezene sve </w:t>
      </w:r>
      <w:r w:rsidRPr="0026068D">
        <w:t>količine</w:t>
      </w:r>
      <w:r>
        <w:t xml:space="preserve"> KBO</w:t>
      </w:r>
      <w:r w:rsidRPr="0026068D">
        <w:t xml:space="preserve"> </w:t>
      </w:r>
      <w:r w:rsidRPr="0026068D">
        <w:rPr>
          <w:i/>
        </w:rPr>
        <w:t>10 04 05* - Ostale čestice i prašina</w:t>
      </w:r>
      <w:r>
        <w:rPr>
          <w:i/>
        </w:rPr>
        <w:t xml:space="preserve"> </w:t>
      </w:r>
      <w:r>
        <w:t xml:space="preserve">(Tablica </w:t>
      </w:r>
      <w:r>
        <w:lastRenderedPageBreak/>
        <w:t>2.5.3.-2</w:t>
      </w:r>
      <w:r w:rsidRPr="00281489">
        <w:t>)</w:t>
      </w:r>
      <w:r>
        <w:t>.</w:t>
      </w:r>
      <w:r>
        <w:rPr>
          <w:i/>
        </w:rPr>
        <w:t xml:space="preserve"> </w:t>
      </w:r>
      <w:r w:rsidR="00730C1E">
        <w:t>Za 2021. godinu podaci su preliminarni, a najveće količine izvezene su za k</w:t>
      </w:r>
      <w:r w:rsidR="00730C1E" w:rsidRPr="00730C1E">
        <w:t>ruti otpad od obrade plinova koji sadrže opasne tvari</w:t>
      </w:r>
      <w:r w:rsidR="002A7717">
        <w:t>.</w:t>
      </w:r>
    </w:p>
    <w:p w14:paraId="1A18E25A" w14:textId="499F7E13" w:rsidR="008B12EA" w:rsidRPr="002A7BA5" w:rsidRDefault="008B12EA" w:rsidP="008B12EA">
      <w:pPr>
        <w:rPr>
          <w:i/>
        </w:rPr>
      </w:pPr>
      <w:r w:rsidRPr="002A7BA5">
        <w:rPr>
          <w:i/>
        </w:rPr>
        <w:t>Tablica 2.5.</w:t>
      </w:r>
      <w:r w:rsidR="00DD24E2">
        <w:rPr>
          <w:i/>
        </w:rPr>
        <w:t>3</w:t>
      </w:r>
      <w:r w:rsidR="00385914" w:rsidRPr="002A7BA5">
        <w:rPr>
          <w:i/>
        </w:rPr>
        <w:t>-</w:t>
      </w:r>
      <w:r w:rsidR="00DD24E2">
        <w:rPr>
          <w:i/>
        </w:rPr>
        <w:t>1</w:t>
      </w:r>
      <w:r w:rsidRPr="002A7BA5">
        <w:rPr>
          <w:i/>
        </w:rPr>
        <w:t>. Prikaz količina obrađenog opasnog otpada koji može sadržavati POPs-ove u RH</w:t>
      </w:r>
    </w:p>
    <w:tbl>
      <w:tblPr>
        <w:tblW w:w="9741" w:type="dxa"/>
        <w:tblLook w:val="04A0" w:firstRow="1" w:lastRow="0" w:firstColumn="1" w:lastColumn="0" w:noHBand="0" w:noVBand="1"/>
      </w:tblPr>
      <w:tblGrid>
        <w:gridCol w:w="4661"/>
        <w:gridCol w:w="1016"/>
        <w:gridCol w:w="1016"/>
        <w:gridCol w:w="1016"/>
        <w:gridCol w:w="1016"/>
        <w:gridCol w:w="1016"/>
      </w:tblGrid>
      <w:tr w:rsidR="008B12EA" w:rsidRPr="00AC43F3" w14:paraId="1A18E261" w14:textId="77777777" w:rsidTr="00B542EA">
        <w:trPr>
          <w:trHeight w:val="255"/>
          <w:tblHeader/>
        </w:trPr>
        <w:tc>
          <w:tcPr>
            <w:tcW w:w="4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E25B" w14:textId="77777777" w:rsidR="008B12EA" w:rsidRPr="00AC43F3" w:rsidRDefault="008B12EA" w:rsidP="00B542EA">
            <w:pPr>
              <w:spacing w:line="240" w:lineRule="auto"/>
              <w:jc w:val="left"/>
              <w:rPr>
                <w:sz w:val="22"/>
                <w:szCs w:val="22"/>
              </w:rPr>
            </w:pPr>
            <w:r w:rsidRPr="00AC43F3">
              <w:rPr>
                <w:b/>
                <w:sz w:val="22"/>
                <w:szCs w:val="22"/>
              </w:rPr>
              <w:t>Postupak oporabe (R)/zbrinjavanja (D</w:t>
            </w:r>
            <w:r w:rsidRPr="00AC43F3">
              <w:rPr>
                <w:sz w:val="22"/>
                <w:szCs w:val="22"/>
              </w:rPr>
              <w:t>)</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A18E25C" w14:textId="77777777" w:rsidR="008B12EA" w:rsidRPr="00AC43F3" w:rsidRDefault="008B12EA" w:rsidP="00B542EA">
            <w:pPr>
              <w:spacing w:line="240" w:lineRule="auto"/>
              <w:jc w:val="right"/>
              <w:rPr>
                <w:b/>
                <w:bCs/>
                <w:sz w:val="22"/>
                <w:szCs w:val="22"/>
              </w:rPr>
            </w:pPr>
            <w:r w:rsidRPr="00AC43F3">
              <w:rPr>
                <w:b/>
                <w:bCs/>
                <w:sz w:val="22"/>
                <w:szCs w:val="22"/>
              </w:rPr>
              <w:t>2017.</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A18E25D" w14:textId="77777777" w:rsidR="008B12EA" w:rsidRPr="00AC43F3" w:rsidRDefault="008B12EA" w:rsidP="00B542EA">
            <w:pPr>
              <w:spacing w:line="240" w:lineRule="auto"/>
              <w:jc w:val="right"/>
              <w:rPr>
                <w:b/>
                <w:bCs/>
                <w:sz w:val="22"/>
                <w:szCs w:val="22"/>
              </w:rPr>
            </w:pPr>
            <w:r w:rsidRPr="00AC43F3">
              <w:rPr>
                <w:b/>
                <w:bCs/>
                <w:sz w:val="22"/>
                <w:szCs w:val="22"/>
              </w:rPr>
              <w:t>2018.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A18E25E" w14:textId="77777777" w:rsidR="008B12EA" w:rsidRPr="00AC43F3" w:rsidRDefault="008B12EA" w:rsidP="00B542EA">
            <w:pPr>
              <w:spacing w:line="240" w:lineRule="auto"/>
              <w:jc w:val="right"/>
              <w:rPr>
                <w:b/>
                <w:bCs/>
                <w:sz w:val="22"/>
                <w:szCs w:val="22"/>
              </w:rPr>
            </w:pPr>
            <w:r w:rsidRPr="00AC43F3">
              <w:rPr>
                <w:b/>
                <w:bCs/>
                <w:sz w:val="22"/>
                <w:szCs w:val="22"/>
              </w:rPr>
              <w:t>2019.</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A18E25F" w14:textId="77777777" w:rsidR="008B12EA" w:rsidRPr="00AC43F3" w:rsidRDefault="008B12EA" w:rsidP="00B542EA">
            <w:pPr>
              <w:spacing w:line="240" w:lineRule="auto"/>
              <w:jc w:val="right"/>
              <w:rPr>
                <w:b/>
                <w:bCs/>
                <w:sz w:val="22"/>
                <w:szCs w:val="22"/>
              </w:rPr>
            </w:pPr>
            <w:r w:rsidRPr="00AC43F3">
              <w:rPr>
                <w:b/>
                <w:bCs/>
                <w:sz w:val="22"/>
                <w:szCs w:val="22"/>
              </w:rPr>
              <w:t>2020.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A18E260" w14:textId="77777777" w:rsidR="008B12EA" w:rsidRPr="00AC43F3" w:rsidRDefault="008B12EA" w:rsidP="00B542EA">
            <w:pPr>
              <w:spacing w:line="240" w:lineRule="auto"/>
              <w:jc w:val="right"/>
              <w:rPr>
                <w:b/>
                <w:bCs/>
                <w:sz w:val="22"/>
                <w:szCs w:val="22"/>
              </w:rPr>
            </w:pPr>
            <w:r w:rsidRPr="00AC43F3">
              <w:rPr>
                <w:b/>
                <w:bCs/>
                <w:sz w:val="22"/>
                <w:szCs w:val="22"/>
              </w:rPr>
              <w:t>2021.</w:t>
            </w:r>
          </w:p>
        </w:tc>
      </w:tr>
      <w:tr w:rsidR="008B12EA" w:rsidRPr="00AC43F3" w14:paraId="1A18E268" w14:textId="77777777" w:rsidTr="00B542EA">
        <w:trPr>
          <w:trHeight w:val="255"/>
        </w:trPr>
        <w:tc>
          <w:tcPr>
            <w:tcW w:w="4661" w:type="dxa"/>
            <w:tcBorders>
              <w:top w:val="nil"/>
              <w:left w:val="single" w:sz="4" w:space="0" w:color="auto"/>
              <w:bottom w:val="single" w:sz="4" w:space="0" w:color="auto"/>
              <w:right w:val="single" w:sz="4" w:space="0" w:color="auto"/>
            </w:tcBorders>
            <w:shd w:val="clear" w:color="auto" w:fill="auto"/>
            <w:noWrap/>
            <w:vAlign w:val="center"/>
            <w:hideMark/>
          </w:tcPr>
          <w:p w14:paraId="1A18E262" w14:textId="77777777" w:rsidR="008B12EA" w:rsidRPr="00AC43F3" w:rsidRDefault="008B12EA" w:rsidP="00B542EA">
            <w:pPr>
              <w:spacing w:line="240" w:lineRule="auto"/>
              <w:jc w:val="left"/>
              <w:rPr>
                <w:sz w:val="22"/>
                <w:szCs w:val="22"/>
              </w:rPr>
            </w:pPr>
            <w:r w:rsidRPr="00AC43F3">
              <w:rPr>
                <w:sz w:val="22"/>
                <w:szCs w:val="22"/>
              </w:rPr>
              <w:t>PP - Priprema prije oporabe ili zbrinjavanja</w:t>
            </w:r>
          </w:p>
        </w:tc>
        <w:tc>
          <w:tcPr>
            <w:tcW w:w="1016" w:type="dxa"/>
            <w:tcBorders>
              <w:top w:val="nil"/>
              <w:left w:val="nil"/>
              <w:bottom w:val="single" w:sz="4" w:space="0" w:color="auto"/>
              <w:right w:val="single" w:sz="4" w:space="0" w:color="auto"/>
            </w:tcBorders>
            <w:shd w:val="clear" w:color="auto" w:fill="auto"/>
            <w:noWrap/>
            <w:vAlign w:val="center"/>
            <w:hideMark/>
          </w:tcPr>
          <w:p w14:paraId="1A18E263" w14:textId="77777777" w:rsidR="008B12EA" w:rsidRPr="00AC43F3" w:rsidRDefault="008B12EA" w:rsidP="00B542EA">
            <w:pPr>
              <w:spacing w:line="240" w:lineRule="auto"/>
              <w:jc w:val="right"/>
              <w:rPr>
                <w:sz w:val="22"/>
                <w:szCs w:val="22"/>
              </w:rPr>
            </w:pPr>
            <w:r w:rsidRPr="00AC43F3">
              <w:rPr>
                <w:sz w:val="22"/>
                <w:szCs w:val="22"/>
              </w:rPr>
              <w:t>7,14</w:t>
            </w:r>
          </w:p>
        </w:tc>
        <w:tc>
          <w:tcPr>
            <w:tcW w:w="1016" w:type="dxa"/>
            <w:tcBorders>
              <w:top w:val="nil"/>
              <w:left w:val="nil"/>
              <w:bottom w:val="single" w:sz="4" w:space="0" w:color="auto"/>
              <w:right w:val="single" w:sz="4" w:space="0" w:color="auto"/>
            </w:tcBorders>
            <w:shd w:val="clear" w:color="auto" w:fill="auto"/>
            <w:noWrap/>
            <w:vAlign w:val="center"/>
            <w:hideMark/>
          </w:tcPr>
          <w:p w14:paraId="1A18E264" w14:textId="77777777" w:rsidR="008B12EA" w:rsidRPr="00AC43F3" w:rsidRDefault="008B12EA" w:rsidP="00B542EA">
            <w:pPr>
              <w:spacing w:line="240" w:lineRule="auto"/>
              <w:jc w:val="right"/>
              <w:rPr>
                <w:sz w:val="22"/>
                <w:szCs w:val="22"/>
              </w:rPr>
            </w:pPr>
            <w:r w:rsidRPr="002A7BA5">
              <w:rPr>
                <w:sz w:val="22"/>
                <w:szCs w:val="22"/>
              </w:rPr>
              <w:t>0,08</w:t>
            </w:r>
          </w:p>
        </w:tc>
        <w:tc>
          <w:tcPr>
            <w:tcW w:w="1016" w:type="dxa"/>
            <w:tcBorders>
              <w:top w:val="nil"/>
              <w:left w:val="nil"/>
              <w:bottom w:val="single" w:sz="4" w:space="0" w:color="auto"/>
              <w:right w:val="single" w:sz="4" w:space="0" w:color="auto"/>
            </w:tcBorders>
            <w:shd w:val="clear" w:color="auto" w:fill="auto"/>
            <w:noWrap/>
            <w:vAlign w:val="center"/>
            <w:hideMark/>
          </w:tcPr>
          <w:p w14:paraId="1A18E265" w14:textId="77777777" w:rsidR="008B12EA" w:rsidRPr="00AC43F3" w:rsidRDefault="008B12EA" w:rsidP="00B542EA">
            <w:pPr>
              <w:spacing w:line="240" w:lineRule="auto"/>
              <w:jc w:val="right"/>
              <w:rPr>
                <w:sz w:val="22"/>
                <w:szCs w:val="22"/>
              </w:rPr>
            </w:pPr>
            <w:r w:rsidRPr="00AC43F3">
              <w:rPr>
                <w:sz w:val="22"/>
                <w:szCs w:val="22"/>
              </w:rPr>
              <w:t>227,27</w:t>
            </w:r>
          </w:p>
        </w:tc>
        <w:tc>
          <w:tcPr>
            <w:tcW w:w="1016" w:type="dxa"/>
            <w:tcBorders>
              <w:top w:val="nil"/>
              <w:left w:val="nil"/>
              <w:bottom w:val="single" w:sz="4" w:space="0" w:color="auto"/>
              <w:right w:val="single" w:sz="4" w:space="0" w:color="auto"/>
            </w:tcBorders>
            <w:shd w:val="clear" w:color="auto" w:fill="auto"/>
            <w:noWrap/>
            <w:vAlign w:val="center"/>
            <w:hideMark/>
          </w:tcPr>
          <w:p w14:paraId="1A18E266" w14:textId="77777777" w:rsidR="008B12EA" w:rsidRPr="00AC43F3" w:rsidRDefault="008B12EA" w:rsidP="00B542EA">
            <w:pPr>
              <w:spacing w:line="240" w:lineRule="auto"/>
              <w:jc w:val="right"/>
              <w:rPr>
                <w:sz w:val="22"/>
                <w:szCs w:val="22"/>
              </w:rPr>
            </w:pPr>
            <w:r w:rsidRPr="00AC43F3">
              <w:rPr>
                <w:sz w:val="22"/>
                <w:szCs w:val="22"/>
              </w:rPr>
              <w:t>3,13</w:t>
            </w:r>
          </w:p>
        </w:tc>
        <w:tc>
          <w:tcPr>
            <w:tcW w:w="1016" w:type="dxa"/>
            <w:tcBorders>
              <w:top w:val="nil"/>
              <w:left w:val="nil"/>
              <w:bottom w:val="single" w:sz="4" w:space="0" w:color="auto"/>
              <w:right w:val="single" w:sz="4" w:space="0" w:color="auto"/>
            </w:tcBorders>
            <w:shd w:val="clear" w:color="auto" w:fill="auto"/>
            <w:noWrap/>
            <w:vAlign w:val="center"/>
            <w:hideMark/>
          </w:tcPr>
          <w:p w14:paraId="1A18E267" w14:textId="77777777" w:rsidR="008B12EA" w:rsidRPr="00AC43F3" w:rsidRDefault="008B12EA" w:rsidP="00B542EA">
            <w:pPr>
              <w:spacing w:line="240" w:lineRule="auto"/>
              <w:jc w:val="right"/>
              <w:rPr>
                <w:sz w:val="22"/>
                <w:szCs w:val="22"/>
              </w:rPr>
            </w:pPr>
            <w:r w:rsidRPr="00AC43F3">
              <w:rPr>
                <w:sz w:val="22"/>
                <w:szCs w:val="22"/>
              </w:rPr>
              <w:t>0,11</w:t>
            </w:r>
          </w:p>
        </w:tc>
      </w:tr>
      <w:tr w:rsidR="008B12EA" w:rsidRPr="00AC43F3" w14:paraId="1A18E26F" w14:textId="77777777" w:rsidTr="00B542EA">
        <w:trPr>
          <w:trHeight w:val="255"/>
        </w:trPr>
        <w:tc>
          <w:tcPr>
            <w:tcW w:w="4661" w:type="dxa"/>
            <w:tcBorders>
              <w:top w:val="nil"/>
              <w:left w:val="single" w:sz="4" w:space="0" w:color="auto"/>
              <w:bottom w:val="single" w:sz="4" w:space="0" w:color="auto"/>
              <w:right w:val="single" w:sz="4" w:space="0" w:color="auto"/>
            </w:tcBorders>
            <w:shd w:val="clear" w:color="auto" w:fill="auto"/>
            <w:noWrap/>
            <w:vAlign w:val="center"/>
            <w:hideMark/>
          </w:tcPr>
          <w:p w14:paraId="1A18E269" w14:textId="77777777" w:rsidR="008B12EA" w:rsidRPr="00AC43F3" w:rsidRDefault="008B12EA" w:rsidP="00B542EA">
            <w:pPr>
              <w:spacing w:line="240" w:lineRule="auto"/>
              <w:jc w:val="left"/>
              <w:rPr>
                <w:sz w:val="22"/>
                <w:szCs w:val="22"/>
              </w:rPr>
            </w:pPr>
            <w:r w:rsidRPr="00AC43F3">
              <w:rPr>
                <w:sz w:val="22"/>
                <w:szCs w:val="22"/>
              </w:rPr>
              <w:t>R4 - Recikliranje/obnavljanje otpadnih metala i spojeva metala</w:t>
            </w:r>
          </w:p>
        </w:tc>
        <w:tc>
          <w:tcPr>
            <w:tcW w:w="1016" w:type="dxa"/>
            <w:tcBorders>
              <w:top w:val="nil"/>
              <w:left w:val="nil"/>
              <w:bottom w:val="single" w:sz="4" w:space="0" w:color="auto"/>
              <w:right w:val="single" w:sz="4" w:space="0" w:color="auto"/>
            </w:tcBorders>
            <w:shd w:val="clear" w:color="auto" w:fill="auto"/>
            <w:noWrap/>
            <w:vAlign w:val="center"/>
            <w:hideMark/>
          </w:tcPr>
          <w:p w14:paraId="1A18E26A" w14:textId="77777777" w:rsidR="008B12EA" w:rsidRPr="00AC43F3" w:rsidRDefault="008B12EA" w:rsidP="00B542EA">
            <w:pPr>
              <w:spacing w:line="240" w:lineRule="auto"/>
              <w:jc w:val="right"/>
              <w:rPr>
                <w:sz w:val="22"/>
                <w:szCs w:val="22"/>
              </w:rPr>
            </w:pPr>
            <w:r w:rsidRPr="00AC43F3">
              <w:rPr>
                <w:sz w:val="22"/>
                <w:szCs w:val="22"/>
              </w:rPr>
              <w:t>927,41</w:t>
            </w:r>
          </w:p>
        </w:tc>
        <w:tc>
          <w:tcPr>
            <w:tcW w:w="1016" w:type="dxa"/>
            <w:tcBorders>
              <w:top w:val="nil"/>
              <w:left w:val="nil"/>
              <w:bottom w:val="single" w:sz="4" w:space="0" w:color="auto"/>
              <w:right w:val="single" w:sz="4" w:space="0" w:color="auto"/>
            </w:tcBorders>
            <w:shd w:val="clear" w:color="auto" w:fill="auto"/>
            <w:noWrap/>
            <w:vAlign w:val="center"/>
            <w:hideMark/>
          </w:tcPr>
          <w:p w14:paraId="1A18E26B" w14:textId="77777777" w:rsidR="008B12EA" w:rsidRPr="00AC43F3" w:rsidRDefault="008B12EA" w:rsidP="00B542EA">
            <w:pPr>
              <w:spacing w:line="240" w:lineRule="auto"/>
              <w:jc w:val="right"/>
              <w:rPr>
                <w:sz w:val="22"/>
                <w:szCs w:val="22"/>
              </w:rPr>
            </w:pPr>
            <w:r w:rsidRPr="00AC43F3">
              <w:rPr>
                <w:sz w:val="22"/>
                <w:szCs w:val="22"/>
              </w:rPr>
              <w:t>1,40</w:t>
            </w:r>
          </w:p>
        </w:tc>
        <w:tc>
          <w:tcPr>
            <w:tcW w:w="1016" w:type="dxa"/>
            <w:tcBorders>
              <w:top w:val="nil"/>
              <w:left w:val="nil"/>
              <w:bottom w:val="single" w:sz="4" w:space="0" w:color="auto"/>
              <w:right w:val="single" w:sz="4" w:space="0" w:color="auto"/>
            </w:tcBorders>
            <w:shd w:val="clear" w:color="auto" w:fill="auto"/>
            <w:noWrap/>
            <w:vAlign w:val="center"/>
            <w:hideMark/>
          </w:tcPr>
          <w:p w14:paraId="1A18E26C" w14:textId="77777777" w:rsidR="008B12EA" w:rsidRPr="00AC43F3" w:rsidRDefault="008B12EA" w:rsidP="00B542EA">
            <w:pPr>
              <w:spacing w:line="240" w:lineRule="auto"/>
              <w:jc w:val="left"/>
              <w:rPr>
                <w:sz w:val="22"/>
                <w:szCs w:val="22"/>
              </w:rPr>
            </w:pPr>
            <w:r w:rsidRPr="00AC43F3">
              <w:rPr>
                <w:sz w:val="22"/>
                <w:szCs w:val="22"/>
              </w:rPr>
              <w:t> </w:t>
            </w:r>
          </w:p>
        </w:tc>
        <w:tc>
          <w:tcPr>
            <w:tcW w:w="1016" w:type="dxa"/>
            <w:tcBorders>
              <w:top w:val="nil"/>
              <w:left w:val="nil"/>
              <w:bottom w:val="single" w:sz="4" w:space="0" w:color="auto"/>
              <w:right w:val="single" w:sz="4" w:space="0" w:color="auto"/>
            </w:tcBorders>
            <w:shd w:val="clear" w:color="auto" w:fill="auto"/>
            <w:noWrap/>
            <w:vAlign w:val="center"/>
            <w:hideMark/>
          </w:tcPr>
          <w:p w14:paraId="1A18E26D" w14:textId="77777777" w:rsidR="008B12EA" w:rsidRPr="00AC43F3" w:rsidRDefault="008B12EA" w:rsidP="00B542EA">
            <w:pPr>
              <w:spacing w:line="240" w:lineRule="auto"/>
              <w:jc w:val="right"/>
              <w:rPr>
                <w:sz w:val="22"/>
                <w:szCs w:val="22"/>
              </w:rPr>
            </w:pPr>
            <w:r w:rsidRPr="00AC43F3">
              <w:rPr>
                <w:sz w:val="22"/>
                <w:szCs w:val="22"/>
              </w:rPr>
              <w:t>19,66</w:t>
            </w:r>
          </w:p>
        </w:tc>
        <w:tc>
          <w:tcPr>
            <w:tcW w:w="1016" w:type="dxa"/>
            <w:tcBorders>
              <w:top w:val="nil"/>
              <w:left w:val="nil"/>
              <w:bottom w:val="single" w:sz="4" w:space="0" w:color="auto"/>
              <w:right w:val="single" w:sz="4" w:space="0" w:color="auto"/>
            </w:tcBorders>
            <w:shd w:val="clear" w:color="auto" w:fill="auto"/>
            <w:noWrap/>
            <w:vAlign w:val="center"/>
            <w:hideMark/>
          </w:tcPr>
          <w:p w14:paraId="1A18E26E" w14:textId="77777777" w:rsidR="008B12EA" w:rsidRPr="00AC43F3" w:rsidRDefault="008B12EA" w:rsidP="00B542EA">
            <w:pPr>
              <w:spacing w:line="240" w:lineRule="auto"/>
              <w:jc w:val="left"/>
              <w:rPr>
                <w:sz w:val="22"/>
                <w:szCs w:val="22"/>
              </w:rPr>
            </w:pPr>
            <w:r w:rsidRPr="00AC43F3">
              <w:rPr>
                <w:sz w:val="22"/>
                <w:szCs w:val="22"/>
              </w:rPr>
              <w:t> </w:t>
            </w:r>
          </w:p>
        </w:tc>
      </w:tr>
      <w:tr w:rsidR="008B12EA" w:rsidRPr="00AC43F3" w14:paraId="1A18E276" w14:textId="77777777" w:rsidTr="00B542EA">
        <w:trPr>
          <w:trHeight w:val="255"/>
        </w:trPr>
        <w:tc>
          <w:tcPr>
            <w:tcW w:w="4661" w:type="dxa"/>
            <w:tcBorders>
              <w:top w:val="nil"/>
              <w:left w:val="single" w:sz="4" w:space="0" w:color="auto"/>
              <w:bottom w:val="single" w:sz="4" w:space="0" w:color="auto"/>
              <w:right w:val="single" w:sz="4" w:space="0" w:color="auto"/>
            </w:tcBorders>
            <w:shd w:val="clear" w:color="auto" w:fill="auto"/>
            <w:noWrap/>
            <w:vAlign w:val="center"/>
            <w:hideMark/>
          </w:tcPr>
          <w:p w14:paraId="1A18E270" w14:textId="77777777" w:rsidR="008B12EA" w:rsidRPr="00AC43F3" w:rsidRDefault="008B12EA" w:rsidP="00B542EA">
            <w:pPr>
              <w:spacing w:line="240" w:lineRule="auto"/>
              <w:jc w:val="left"/>
              <w:rPr>
                <w:sz w:val="22"/>
                <w:szCs w:val="22"/>
              </w:rPr>
            </w:pPr>
            <w:r w:rsidRPr="00AC43F3">
              <w:rPr>
                <w:sz w:val="22"/>
                <w:szCs w:val="22"/>
              </w:rPr>
              <w:t>R12 - Razmjena otpada radi primjene bilo kojeg od postupaka oporabe navedenim pod R1-R11</w:t>
            </w:r>
          </w:p>
        </w:tc>
        <w:tc>
          <w:tcPr>
            <w:tcW w:w="1016" w:type="dxa"/>
            <w:tcBorders>
              <w:top w:val="nil"/>
              <w:left w:val="nil"/>
              <w:bottom w:val="single" w:sz="4" w:space="0" w:color="auto"/>
              <w:right w:val="single" w:sz="4" w:space="0" w:color="auto"/>
            </w:tcBorders>
            <w:shd w:val="clear" w:color="auto" w:fill="auto"/>
            <w:noWrap/>
            <w:vAlign w:val="center"/>
            <w:hideMark/>
          </w:tcPr>
          <w:p w14:paraId="1A18E271" w14:textId="77777777" w:rsidR="008B12EA" w:rsidRPr="00AC43F3" w:rsidRDefault="008B12EA" w:rsidP="00B542EA">
            <w:pPr>
              <w:spacing w:line="240" w:lineRule="auto"/>
              <w:jc w:val="left"/>
              <w:rPr>
                <w:sz w:val="22"/>
                <w:szCs w:val="22"/>
              </w:rPr>
            </w:pPr>
            <w:r w:rsidRPr="00AC43F3">
              <w:rPr>
                <w:sz w:val="22"/>
                <w:szCs w:val="22"/>
              </w:rPr>
              <w:t> </w:t>
            </w:r>
          </w:p>
        </w:tc>
        <w:tc>
          <w:tcPr>
            <w:tcW w:w="1016" w:type="dxa"/>
            <w:tcBorders>
              <w:top w:val="nil"/>
              <w:left w:val="nil"/>
              <w:bottom w:val="single" w:sz="4" w:space="0" w:color="auto"/>
              <w:right w:val="single" w:sz="4" w:space="0" w:color="auto"/>
            </w:tcBorders>
            <w:shd w:val="clear" w:color="auto" w:fill="auto"/>
            <w:noWrap/>
            <w:vAlign w:val="center"/>
            <w:hideMark/>
          </w:tcPr>
          <w:p w14:paraId="1A18E272" w14:textId="77777777" w:rsidR="008B12EA" w:rsidRPr="00AC43F3" w:rsidRDefault="008B12EA" w:rsidP="00B542EA">
            <w:pPr>
              <w:spacing w:line="240" w:lineRule="auto"/>
              <w:jc w:val="right"/>
              <w:rPr>
                <w:sz w:val="22"/>
                <w:szCs w:val="22"/>
              </w:rPr>
            </w:pPr>
            <w:r w:rsidRPr="00AC43F3">
              <w:rPr>
                <w:sz w:val="22"/>
                <w:szCs w:val="22"/>
              </w:rPr>
              <w:t>0,99</w:t>
            </w:r>
          </w:p>
        </w:tc>
        <w:tc>
          <w:tcPr>
            <w:tcW w:w="1016" w:type="dxa"/>
            <w:tcBorders>
              <w:top w:val="nil"/>
              <w:left w:val="nil"/>
              <w:bottom w:val="single" w:sz="4" w:space="0" w:color="auto"/>
              <w:right w:val="single" w:sz="4" w:space="0" w:color="auto"/>
            </w:tcBorders>
            <w:shd w:val="clear" w:color="auto" w:fill="auto"/>
            <w:noWrap/>
            <w:vAlign w:val="center"/>
            <w:hideMark/>
          </w:tcPr>
          <w:p w14:paraId="1A18E273" w14:textId="77777777" w:rsidR="008B12EA" w:rsidRPr="00AC43F3" w:rsidRDefault="008B12EA" w:rsidP="00B542EA">
            <w:pPr>
              <w:spacing w:line="240" w:lineRule="auto"/>
              <w:jc w:val="right"/>
              <w:rPr>
                <w:sz w:val="22"/>
                <w:szCs w:val="22"/>
              </w:rPr>
            </w:pPr>
            <w:r w:rsidRPr="00AC43F3">
              <w:rPr>
                <w:sz w:val="22"/>
                <w:szCs w:val="22"/>
              </w:rPr>
              <w:t>402,07</w:t>
            </w:r>
          </w:p>
        </w:tc>
        <w:tc>
          <w:tcPr>
            <w:tcW w:w="1016" w:type="dxa"/>
            <w:tcBorders>
              <w:top w:val="nil"/>
              <w:left w:val="nil"/>
              <w:bottom w:val="single" w:sz="4" w:space="0" w:color="auto"/>
              <w:right w:val="single" w:sz="4" w:space="0" w:color="auto"/>
            </w:tcBorders>
            <w:shd w:val="clear" w:color="auto" w:fill="auto"/>
            <w:noWrap/>
            <w:vAlign w:val="center"/>
            <w:hideMark/>
          </w:tcPr>
          <w:p w14:paraId="1A18E274" w14:textId="77777777" w:rsidR="008B12EA" w:rsidRPr="00AC43F3" w:rsidRDefault="008B12EA" w:rsidP="00B542EA">
            <w:pPr>
              <w:spacing w:line="240" w:lineRule="auto"/>
              <w:jc w:val="left"/>
              <w:rPr>
                <w:sz w:val="22"/>
                <w:szCs w:val="22"/>
              </w:rPr>
            </w:pPr>
            <w:r w:rsidRPr="00AC43F3">
              <w:rPr>
                <w:sz w:val="22"/>
                <w:szCs w:val="22"/>
              </w:rPr>
              <w:t> </w:t>
            </w:r>
          </w:p>
        </w:tc>
        <w:tc>
          <w:tcPr>
            <w:tcW w:w="1016" w:type="dxa"/>
            <w:tcBorders>
              <w:top w:val="nil"/>
              <w:left w:val="nil"/>
              <w:bottom w:val="single" w:sz="4" w:space="0" w:color="auto"/>
              <w:right w:val="single" w:sz="4" w:space="0" w:color="auto"/>
            </w:tcBorders>
            <w:shd w:val="clear" w:color="auto" w:fill="auto"/>
            <w:noWrap/>
            <w:vAlign w:val="center"/>
            <w:hideMark/>
          </w:tcPr>
          <w:p w14:paraId="1A18E275" w14:textId="77777777" w:rsidR="008B12EA" w:rsidRPr="00AC43F3" w:rsidRDefault="008B12EA" w:rsidP="00B542EA">
            <w:pPr>
              <w:spacing w:line="240" w:lineRule="auto"/>
              <w:jc w:val="left"/>
              <w:rPr>
                <w:sz w:val="22"/>
                <w:szCs w:val="22"/>
              </w:rPr>
            </w:pPr>
            <w:r w:rsidRPr="00AC43F3">
              <w:rPr>
                <w:sz w:val="22"/>
                <w:szCs w:val="22"/>
              </w:rPr>
              <w:t> </w:t>
            </w:r>
          </w:p>
        </w:tc>
      </w:tr>
      <w:tr w:rsidR="008B12EA" w:rsidRPr="00AC43F3" w14:paraId="1A18E27D" w14:textId="77777777" w:rsidTr="00B542EA">
        <w:trPr>
          <w:trHeight w:val="255"/>
        </w:trPr>
        <w:tc>
          <w:tcPr>
            <w:tcW w:w="4661" w:type="dxa"/>
            <w:tcBorders>
              <w:top w:val="nil"/>
              <w:left w:val="single" w:sz="4" w:space="0" w:color="auto"/>
              <w:bottom w:val="single" w:sz="4" w:space="0" w:color="auto"/>
              <w:right w:val="single" w:sz="4" w:space="0" w:color="auto"/>
            </w:tcBorders>
            <w:shd w:val="clear" w:color="auto" w:fill="auto"/>
            <w:noWrap/>
            <w:vAlign w:val="center"/>
            <w:hideMark/>
          </w:tcPr>
          <w:p w14:paraId="1A18E277" w14:textId="44A5CB32" w:rsidR="008B12EA" w:rsidRPr="00AC43F3" w:rsidRDefault="008B12EA" w:rsidP="00B542EA">
            <w:pPr>
              <w:spacing w:line="240" w:lineRule="auto"/>
              <w:jc w:val="left"/>
              <w:rPr>
                <w:sz w:val="22"/>
                <w:szCs w:val="22"/>
              </w:rPr>
            </w:pPr>
            <w:r w:rsidRPr="00AC43F3">
              <w:rPr>
                <w:sz w:val="22"/>
                <w:szCs w:val="22"/>
              </w:rPr>
              <w:t>D8 - Biološka obrada otpada koja nije specificirana drugdje u ovim postupcima, a koja za posljedicu ima konačne sastojke i mješavine koje se zbrinjavaju bilo kojim postupkom navedenim pod D1-D12</w:t>
            </w:r>
          </w:p>
        </w:tc>
        <w:tc>
          <w:tcPr>
            <w:tcW w:w="1016" w:type="dxa"/>
            <w:tcBorders>
              <w:top w:val="nil"/>
              <w:left w:val="nil"/>
              <w:bottom w:val="single" w:sz="4" w:space="0" w:color="auto"/>
              <w:right w:val="single" w:sz="4" w:space="0" w:color="auto"/>
            </w:tcBorders>
            <w:shd w:val="clear" w:color="auto" w:fill="auto"/>
            <w:noWrap/>
            <w:vAlign w:val="center"/>
            <w:hideMark/>
          </w:tcPr>
          <w:p w14:paraId="1A18E278" w14:textId="77777777" w:rsidR="008B12EA" w:rsidRPr="00AC43F3" w:rsidRDefault="008B12EA" w:rsidP="00B542EA">
            <w:pPr>
              <w:spacing w:line="240" w:lineRule="auto"/>
              <w:jc w:val="right"/>
              <w:rPr>
                <w:sz w:val="22"/>
                <w:szCs w:val="22"/>
              </w:rPr>
            </w:pPr>
            <w:r w:rsidRPr="00AC43F3">
              <w:rPr>
                <w:sz w:val="22"/>
                <w:szCs w:val="22"/>
              </w:rPr>
              <w:t>438,41</w:t>
            </w:r>
          </w:p>
        </w:tc>
        <w:tc>
          <w:tcPr>
            <w:tcW w:w="1016" w:type="dxa"/>
            <w:tcBorders>
              <w:top w:val="nil"/>
              <w:left w:val="nil"/>
              <w:bottom w:val="single" w:sz="4" w:space="0" w:color="auto"/>
              <w:right w:val="single" w:sz="4" w:space="0" w:color="auto"/>
            </w:tcBorders>
            <w:shd w:val="clear" w:color="auto" w:fill="auto"/>
            <w:noWrap/>
            <w:vAlign w:val="center"/>
            <w:hideMark/>
          </w:tcPr>
          <w:p w14:paraId="1A18E279" w14:textId="77777777" w:rsidR="008B12EA" w:rsidRPr="00AC43F3" w:rsidRDefault="008B12EA" w:rsidP="00B542EA">
            <w:pPr>
              <w:spacing w:line="240" w:lineRule="auto"/>
              <w:jc w:val="right"/>
              <w:rPr>
                <w:sz w:val="22"/>
                <w:szCs w:val="22"/>
              </w:rPr>
            </w:pPr>
            <w:r w:rsidRPr="002A7BA5">
              <w:rPr>
                <w:sz w:val="22"/>
                <w:szCs w:val="22"/>
              </w:rPr>
              <w:t>8.420,12</w:t>
            </w:r>
          </w:p>
        </w:tc>
        <w:tc>
          <w:tcPr>
            <w:tcW w:w="1016" w:type="dxa"/>
            <w:tcBorders>
              <w:top w:val="nil"/>
              <w:left w:val="nil"/>
              <w:bottom w:val="single" w:sz="4" w:space="0" w:color="auto"/>
              <w:right w:val="single" w:sz="4" w:space="0" w:color="auto"/>
            </w:tcBorders>
            <w:shd w:val="clear" w:color="auto" w:fill="auto"/>
            <w:noWrap/>
            <w:vAlign w:val="center"/>
            <w:hideMark/>
          </w:tcPr>
          <w:p w14:paraId="1A18E27A" w14:textId="77777777" w:rsidR="008B12EA" w:rsidRPr="00AC43F3" w:rsidRDefault="008B12EA" w:rsidP="00B542EA">
            <w:pPr>
              <w:spacing w:line="240" w:lineRule="auto"/>
              <w:jc w:val="right"/>
              <w:rPr>
                <w:sz w:val="22"/>
                <w:szCs w:val="22"/>
              </w:rPr>
            </w:pPr>
            <w:r w:rsidRPr="00AC43F3">
              <w:rPr>
                <w:sz w:val="22"/>
                <w:szCs w:val="22"/>
              </w:rPr>
              <w:t>5.303,45</w:t>
            </w:r>
          </w:p>
        </w:tc>
        <w:tc>
          <w:tcPr>
            <w:tcW w:w="1016" w:type="dxa"/>
            <w:tcBorders>
              <w:top w:val="nil"/>
              <w:left w:val="nil"/>
              <w:bottom w:val="single" w:sz="4" w:space="0" w:color="auto"/>
              <w:right w:val="single" w:sz="4" w:space="0" w:color="auto"/>
            </w:tcBorders>
            <w:shd w:val="clear" w:color="auto" w:fill="auto"/>
            <w:noWrap/>
            <w:vAlign w:val="center"/>
            <w:hideMark/>
          </w:tcPr>
          <w:p w14:paraId="1A18E27B" w14:textId="77777777" w:rsidR="008B12EA" w:rsidRPr="00AC43F3" w:rsidRDefault="008B12EA" w:rsidP="00B542EA">
            <w:pPr>
              <w:spacing w:line="240" w:lineRule="auto"/>
              <w:jc w:val="right"/>
              <w:rPr>
                <w:sz w:val="22"/>
                <w:szCs w:val="22"/>
              </w:rPr>
            </w:pPr>
            <w:r w:rsidRPr="00AC43F3">
              <w:rPr>
                <w:sz w:val="22"/>
                <w:szCs w:val="22"/>
              </w:rPr>
              <w:t>3.983,07</w:t>
            </w:r>
          </w:p>
        </w:tc>
        <w:tc>
          <w:tcPr>
            <w:tcW w:w="1016" w:type="dxa"/>
            <w:tcBorders>
              <w:top w:val="nil"/>
              <w:left w:val="nil"/>
              <w:bottom w:val="single" w:sz="4" w:space="0" w:color="auto"/>
              <w:right w:val="single" w:sz="4" w:space="0" w:color="auto"/>
            </w:tcBorders>
            <w:shd w:val="clear" w:color="auto" w:fill="auto"/>
            <w:noWrap/>
            <w:vAlign w:val="center"/>
            <w:hideMark/>
          </w:tcPr>
          <w:p w14:paraId="1A18E27C" w14:textId="77777777" w:rsidR="008B12EA" w:rsidRPr="00AC43F3" w:rsidRDefault="008B12EA" w:rsidP="00B542EA">
            <w:pPr>
              <w:spacing w:line="240" w:lineRule="auto"/>
              <w:jc w:val="right"/>
              <w:rPr>
                <w:sz w:val="22"/>
                <w:szCs w:val="22"/>
              </w:rPr>
            </w:pPr>
            <w:r w:rsidRPr="00AC43F3">
              <w:rPr>
                <w:sz w:val="22"/>
                <w:szCs w:val="22"/>
              </w:rPr>
              <w:t>2.413,36</w:t>
            </w:r>
          </w:p>
        </w:tc>
      </w:tr>
      <w:tr w:rsidR="008B12EA" w:rsidRPr="00AC43F3" w14:paraId="1A18E284" w14:textId="77777777" w:rsidTr="00B542EA">
        <w:trPr>
          <w:trHeight w:val="255"/>
        </w:trPr>
        <w:tc>
          <w:tcPr>
            <w:tcW w:w="4661" w:type="dxa"/>
            <w:tcBorders>
              <w:top w:val="nil"/>
              <w:left w:val="single" w:sz="4" w:space="0" w:color="auto"/>
              <w:bottom w:val="single" w:sz="4" w:space="0" w:color="auto"/>
              <w:right w:val="single" w:sz="4" w:space="0" w:color="auto"/>
            </w:tcBorders>
            <w:shd w:val="clear" w:color="auto" w:fill="auto"/>
            <w:noWrap/>
            <w:vAlign w:val="center"/>
            <w:hideMark/>
          </w:tcPr>
          <w:p w14:paraId="1A18E27E" w14:textId="062D1507" w:rsidR="008B12EA" w:rsidRPr="00AC43F3" w:rsidRDefault="008B12EA" w:rsidP="00B542EA">
            <w:pPr>
              <w:spacing w:line="240" w:lineRule="auto"/>
              <w:jc w:val="left"/>
              <w:rPr>
                <w:sz w:val="22"/>
                <w:szCs w:val="22"/>
              </w:rPr>
            </w:pPr>
            <w:r w:rsidRPr="00AC43F3">
              <w:rPr>
                <w:sz w:val="22"/>
                <w:szCs w:val="22"/>
              </w:rPr>
              <w:t>D9 - Fizikalno-kemijska obrada otpada koja nije specificirana drugdje u ovim postupcima, a koja za posljedicu ima konačne sastojke i mješavine koje se zbrinjavaju bilo kojim postupkom navedenim pod D1-D12</w:t>
            </w:r>
          </w:p>
        </w:tc>
        <w:tc>
          <w:tcPr>
            <w:tcW w:w="1016" w:type="dxa"/>
            <w:tcBorders>
              <w:top w:val="nil"/>
              <w:left w:val="nil"/>
              <w:bottom w:val="single" w:sz="4" w:space="0" w:color="auto"/>
              <w:right w:val="single" w:sz="4" w:space="0" w:color="auto"/>
            </w:tcBorders>
            <w:shd w:val="clear" w:color="auto" w:fill="auto"/>
            <w:noWrap/>
            <w:vAlign w:val="center"/>
            <w:hideMark/>
          </w:tcPr>
          <w:p w14:paraId="1A18E27F" w14:textId="77777777" w:rsidR="008B12EA" w:rsidRPr="00AC43F3" w:rsidRDefault="008B12EA" w:rsidP="00B542EA">
            <w:pPr>
              <w:spacing w:line="240" w:lineRule="auto"/>
              <w:jc w:val="right"/>
              <w:rPr>
                <w:sz w:val="22"/>
                <w:szCs w:val="22"/>
              </w:rPr>
            </w:pPr>
            <w:r w:rsidRPr="00AC43F3">
              <w:rPr>
                <w:sz w:val="22"/>
                <w:szCs w:val="22"/>
              </w:rPr>
              <w:t>2.655,63</w:t>
            </w:r>
          </w:p>
        </w:tc>
        <w:tc>
          <w:tcPr>
            <w:tcW w:w="1016" w:type="dxa"/>
            <w:tcBorders>
              <w:top w:val="nil"/>
              <w:left w:val="nil"/>
              <w:bottom w:val="single" w:sz="4" w:space="0" w:color="auto"/>
              <w:right w:val="single" w:sz="4" w:space="0" w:color="auto"/>
            </w:tcBorders>
            <w:shd w:val="clear" w:color="auto" w:fill="auto"/>
            <w:noWrap/>
            <w:vAlign w:val="center"/>
            <w:hideMark/>
          </w:tcPr>
          <w:p w14:paraId="1A18E280" w14:textId="77777777" w:rsidR="008B12EA" w:rsidRPr="00AC43F3" w:rsidRDefault="008B12EA" w:rsidP="00B542EA">
            <w:pPr>
              <w:spacing w:line="240" w:lineRule="auto"/>
              <w:jc w:val="right"/>
              <w:rPr>
                <w:sz w:val="22"/>
                <w:szCs w:val="22"/>
              </w:rPr>
            </w:pPr>
            <w:r w:rsidRPr="00AC43F3">
              <w:rPr>
                <w:sz w:val="22"/>
                <w:szCs w:val="22"/>
              </w:rPr>
              <w:t>1.753,78</w:t>
            </w:r>
          </w:p>
        </w:tc>
        <w:tc>
          <w:tcPr>
            <w:tcW w:w="1016" w:type="dxa"/>
            <w:tcBorders>
              <w:top w:val="nil"/>
              <w:left w:val="nil"/>
              <w:bottom w:val="single" w:sz="4" w:space="0" w:color="auto"/>
              <w:right w:val="single" w:sz="4" w:space="0" w:color="auto"/>
            </w:tcBorders>
            <w:shd w:val="clear" w:color="auto" w:fill="auto"/>
            <w:noWrap/>
            <w:vAlign w:val="center"/>
            <w:hideMark/>
          </w:tcPr>
          <w:p w14:paraId="1A18E281" w14:textId="77777777" w:rsidR="008B12EA" w:rsidRPr="00AC43F3" w:rsidRDefault="008B12EA" w:rsidP="00B542EA">
            <w:pPr>
              <w:spacing w:line="240" w:lineRule="auto"/>
              <w:jc w:val="right"/>
              <w:rPr>
                <w:sz w:val="22"/>
                <w:szCs w:val="22"/>
              </w:rPr>
            </w:pPr>
            <w:r w:rsidRPr="00AC43F3">
              <w:rPr>
                <w:sz w:val="22"/>
                <w:szCs w:val="22"/>
              </w:rPr>
              <w:t>2.705,36</w:t>
            </w:r>
          </w:p>
        </w:tc>
        <w:tc>
          <w:tcPr>
            <w:tcW w:w="1016" w:type="dxa"/>
            <w:tcBorders>
              <w:top w:val="nil"/>
              <w:left w:val="nil"/>
              <w:bottom w:val="single" w:sz="4" w:space="0" w:color="auto"/>
              <w:right w:val="single" w:sz="4" w:space="0" w:color="auto"/>
            </w:tcBorders>
            <w:shd w:val="clear" w:color="auto" w:fill="auto"/>
            <w:noWrap/>
            <w:vAlign w:val="center"/>
            <w:hideMark/>
          </w:tcPr>
          <w:p w14:paraId="1A18E282" w14:textId="77777777" w:rsidR="008B12EA" w:rsidRPr="00AC43F3" w:rsidRDefault="008B12EA" w:rsidP="00B542EA">
            <w:pPr>
              <w:spacing w:line="240" w:lineRule="auto"/>
              <w:jc w:val="right"/>
              <w:rPr>
                <w:sz w:val="22"/>
                <w:szCs w:val="22"/>
              </w:rPr>
            </w:pPr>
            <w:r w:rsidRPr="00AC43F3">
              <w:rPr>
                <w:sz w:val="22"/>
                <w:szCs w:val="22"/>
              </w:rPr>
              <w:t>1.399,97</w:t>
            </w:r>
          </w:p>
        </w:tc>
        <w:tc>
          <w:tcPr>
            <w:tcW w:w="1016" w:type="dxa"/>
            <w:tcBorders>
              <w:top w:val="nil"/>
              <w:left w:val="nil"/>
              <w:bottom w:val="single" w:sz="4" w:space="0" w:color="auto"/>
              <w:right w:val="single" w:sz="4" w:space="0" w:color="auto"/>
            </w:tcBorders>
            <w:shd w:val="clear" w:color="auto" w:fill="auto"/>
            <w:noWrap/>
            <w:vAlign w:val="center"/>
            <w:hideMark/>
          </w:tcPr>
          <w:p w14:paraId="1A18E283" w14:textId="77777777" w:rsidR="008B12EA" w:rsidRPr="00AC43F3" w:rsidRDefault="008B12EA" w:rsidP="00B542EA">
            <w:pPr>
              <w:spacing w:line="240" w:lineRule="auto"/>
              <w:jc w:val="right"/>
              <w:rPr>
                <w:sz w:val="22"/>
                <w:szCs w:val="22"/>
              </w:rPr>
            </w:pPr>
            <w:r w:rsidRPr="00AC43F3">
              <w:rPr>
                <w:sz w:val="22"/>
                <w:szCs w:val="22"/>
              </w:rPr>
              <w:t>938,28</w:t>
            </w:r>
          </w:p>
        </w:tc>
      </w:tr>
      <w:tr w:rsidR="008B12EA" w:rsidRPr="00AC43F3" w14:paraId="1A18E28B" w14:textId="77777777" w:rsidTr="00B542EA">
        <w:trPr>
          <w:trHeight w:val="255"/>
        </w:trPr>
        <w:tc>
          <w:tcPr>
            <w:tcW w:w="4661" w:type="dxa"/>
            <w:tcBorders>
              <w:top w:val="nil"/>
              <w:left w:val="single" w:sz="4" w:space="0" w:color="auto"/>
              <w:bottom w:val="single" w:sz="4" w:space="0" w:color="auto"/>
              <w:right w:val="single" w:sz="4" w:space="0" w:color="auto"/>
            </w:tcBorders>
            <w:shd w:val="clear" w:color="auto" w:fill="auto"/>
            <w:noWrap/>
            <w:vAlign w:val="center"/>
            <w:hideMark/>
          </w:tcPr>
          <w:p w14:paraId="1A18E285" w14:textId="77777777" w:rsidR="008B12EA" w:rsidRPr="00AC43F3" w:rsidRDefault="008B12EA" w:rsidP="00B542EA">
            <w:pPr>
              <w:spacing w:line="240" w:lineRule="auto"/>
              <w:jc w:val="left"/>
              <w:rPr>
                <w:sz w:val="22"/>
                <w:szCs w:val="22"/>
              </w:rPr>
            </w:pPr>
            <w:r w:rsidRPr="00AC43F3">
              <w:rPr>
                <w:sz w:val="22"/>
                <w:szCs w:val="22"/>
              </w:rPr>
              <w:t>D13 -Spajanje ili miješanje otpada prije podvrgavanja bilo kojem postupku navedenim pod D1-D12</w:t>
            </w:r>
          </w:p>
        </w:tc>
        <w:tc>
          <w:tcPr>
            <w:tcW w:w="1016" w:type="dxa"/>
            <w:tcBorders>
              <w:top w:val="nil"/>
              <w:left w:val="nil"/>
              <w:bottom w:val="single" w:sz="4" w:space="0" w:color="auto"/>
              <w:right w:val="single" w:sz="4" w:space="0" w:color="auto"/>
            </w:tcBorders>
            <w:shd w:val="clear" w:color="auto" w:fill="auto"/>
            <w:noWrap/>
            <w:vAlign w:val="center"/>
            <w:hideMark/>
          </w:tcPr>
          <w:p w14:paraId="1A18E286" w14:textId="77777777" w:rsidR="008B12EA" w:rsidRPr="00AC43F3" w:rsidRDefault="008B12EA" w:rsidP="00B542EA">
            <w:pPr>
              <w:spacing w:line="240" w:lineRule="auto"/>
              <w:jc w:val="right"/>
              <w:rPr>
                <w:sz w:val="22"/>
                <w:szCs w:val="22"/>
              </w:rPr>
            </w:pPr>
            <w:r w:rsidRPr="00AC43F3">
              <w:rPr>
                <w:sz w:val="22"/>
                <w:szCs w:val="22"/>
              </w:rPr>
              <w:t>293,08</w:t>
            </w:r>
          </w:p>
        </w:tc>
        <w:tc>
          <w:tcPr>
            <w:tcW w:w="1016" w:type="dxa"/>
            <w:tcBorders>
              <w:top w:val="nil"/>
              <w:left w:val="nil"/>
              <w:bottom w:val="single" w:sz="4" w:space="0" w:color="auto"/>
              <w:right w:val="single" w:sz="4" w:space="0" w:color="auto"/>
            </w:tcBorders>
            <w:shd w:val="clear" w:color="auto" w:fill="auto"/>
            <w:noWrap/>
            <w:vAlign w:val="center"/>
            <w:hideMark/>
          </w:tcPr>
          <w:p w14:paraId="1A18E287" w14:textId="77777777" w:rsidR="008B12EA" w:rsidRPr="00AC43F3" w:rsidRDefault="008B12EA" w:rsidP="00B542EA">
            <w:pPr>
              <w:spacing w:line="240" w:lineRule="auto"/>
              <w:jc w:val="right"/>
              <w:rPr>
                <w:sz w:val="22"/>
                <w:szCs w:val="22"/>
              </w:rPr>
            </w:pPr>
            <w:r w:rsidRPr="00AC43F3">
              <w:rPr>
                <w:sz w:val="22"/>
                <w:szCs w:val="22"/>
              </w:rPr>
              <w:t>34,60</w:t>
            </w:r>
          </w:p>
        </w:tc>
        <w:tc>
          <w:tcPr>
            <w:tcW w:w="1016" w:type="dxa"/>
            <w:tcBorders>
              <w:top w:val="nil"/>
              <w:left w:val="nil"/>
              <w:bottom w:val="single" w:sz="4" w:space="0" w:color="auto"/>
              <w:right w:val="single" w:sz="4" w:space="0" w:color="auto"/>
            </w:tcBorders>
            <w:shd w:val="clear" w:color="auto" w:fill="auto"/>
            <w:noWrap/>
            <w:vAlign w:val="center"/>
            <w:hideMark/>
          </w:tcPr>
          <w:p w14:paraId="1A18E288" w14:textId="77777777" w:rsidR="008B12EA" w:rsidRPr="00AC43F3" w:rsidRDefault="008B12EA" w:rsidP="00B542EA">
            <w:pPr>
              <w:spacing w:line="240" w:lineRule="auto"/>
              <w:jc w:val="right"/>
              <w:rPr>
                <w:sz w:val="22"/>
                <w:szCs w:val="22"/>
              </w:rPr>
            </w:pPr>
            <w:r w:rsidRPr="00AC43F3">
              <w:rPr>
                <w:sz w:val="22"/>
                <w:szCs w:val="22"/>
              </w:rPr>
              <w:t>226,63</w:t>
            </w:r>
          </w:p>
        </w:tc>
        <w:tc>
          <w:tcPr>
            <w:tcW w:w="1016" w:type="dxa"/>
            <w:tcBorders>
              <w:top w:val="nil"/>
              <w:left w:val="nil"/>
              <w:bottom w:val="single" w:sz="4" w:space="0" w:color="auto"/>
              <w:right w:val="single" w:sz="4" w:space="0" w:color="auto"/>
            </w:tcBorders>
            <w:shd w:val="clear" w:color="auto" w:fill="auto"/>
            <w:noWrap/>
            <w:vAlign w:val="center"/>
            <w:hideMark/>
          </w:tcPr>
          <w:p w14:paraId="1A18E289" w14:textId="77777777" w:rsidR="008B12EA" w:rsidRPr="00AC43F3" w:rsidRDefault="008B12EA" w:rsidP="00B542EA">
            <w:pPr>
              <w:spacing w:line="240" w:lineRule="auto"/>
              <w:jc w:val="right"/>
              <w:rPr>
                <w:sz w:val="22"/>
                <w:szCs w:val="22"/>
              </w:rPr>
            </w:pPr>
            <w:r w:rsidRPr="00AC43F3">
              <w:rPr>
                <w:sz w:val="22"/>
                <w:szCs w:val="22"/>
              </w:rPr>
              <w:t>97,75</w:t>
            </w:r>
          </w:p>
        </w:tc>
        <w:tc>
          <w:tcPr>
            <w:tcW w:w="1016" w:type="dxa"/>
            <w:tcBorders>
              <w:top w:val="nil"/>
              <w:left w:val="nil"/>
              <w:bottom w:val="single" w:sz="4" w:space="0" w:color="auto"/>
              <w:right w:val="single" w:sz="4" w:space="0" w:color="auto"/>
            </w:tcBorders>
            <w:shd w:val="clear" w:color="auto" w:fill="auto"/>
            <w:noWrap/>
            <w:vAlign w:val="center"/>
            <w:hideMark/>
          </w:tcPr>
          <w:p w14:paraId="1A18E28A" w14:textId="77777777" w:rsidR="008B12EA" w:rsidRPr="00AC43F3" w:rsidRDefault="008B12EA" w:rsidP="00B542EA">
            <w:pPr>
              <w:spacing w:line="240" w:lineRule="auto"/>
              <w:jc w:val="left"/>
              <w:rPr>
                <w:sz w:val="22"/>
                <w:szCs w:val="22"/>
              </w:rPr>
            </w:pPr>
            <w:r w:rsidRPr="00AC43F3">
              <w:rPr>
                <w:sz w:val="22"/>
                <w:szCs w:val="22"/>
              </w:rPr>
              <w:t> </w:t>
            </w:r>
          </w:p>
        </w:tc>
      </w:tr>
    </w:tbl>
    <w:p w14:paraId="1A18E28D" w14:textId="5EC6BFF0" w:rsidR="008B12EA" w:rsidRPr="00DD24E2" w:rsidRDefault="008B12EA" w:rsidP="00DD24E2">
      <w:pPr>
        <w:spacing w:before="120" w:after="120"/>
        <w:jc w:val="right"/>
        <w:rPr>
          <w:i/>
          <w:sz w:val="18"/>
          <w:szCs w:val="18"/>
        </w:rPr>
      </w:pPr>
      <w:r w:rsidRPr="00D10DC1">
        <w:rPr>
          <w:i/>
          <w:sz w:val="18"/>
          <w:szCs w:val="18"/>
        </w:rPr>
        <w:t xml:space="preserve">Izvor: ROO, </w:t>
      </w:r>
      <w:r w:rsidR="00A56BCC">
        <w:rPr>
          <w:i/>
          <w:sz w:val="18"/>
          <w:szCs w:val="18"/>
        </w:rPr>
        <w:t>MINGOR</w:t>
      </w:r>
    </w:p>
    <w:p w14:paraId="0C8960A3" w14:textId="15ADC788" w:rsidR="00DD24E2" w:rsidRDefault="00DD24E2" w:rsidP="00DD24E2">
      <w:r>
        <w:t xml:space="preserve">Prema podacima ROO, kod obrađivača otpada  preuzeto je ukupno devet vrsta otpada koji može sadržavati POPs-ove, te je obrađeno ukupno </w:t>
      </w:r>
      <w:r w:rsidRPr="008141E7">
        <w:t>32</w:t>
      </w:r>
      <w:r>
        <w:t xml:space="preserve">.252,74 t otpada u promatranom razdoblju od pet godina. Istovremeno, prema </w:t>
      </w:r>
      <w:r>
        <w:rPr>
          <w:i/>
        </w:rPr>
        <w:t>E</w:t>
      </w:r>
      <w:r w:rsidRPr="006A3D8D">
        <w:rPr>
          <w:i/>
        </w:rPr>
        <w:t>videnciji o prekograničnom prometu otpada</w:t>
      </w:r>
      <w:r>
        <w:t xml:space="preserve">, izvezeno je ukupno tri vrste otpada koji može sadržavati POPs-ove, u ukupnoj količini </w:t>
      </w:r>
      <w:r w:rsidRPr="00F932DD">
        <w:t>8.868,12</w:t>
      </w:r>
      <w:r w:rsidRPr="002A7BA5" w:rsidDel="00F932DD">
        <w:t xml:space="preserve"> </w:t>
      </w:r>
      <w:r>
        <w:t>t, za isto razdoblje.</w:t>
      </w:r>
    </w:p>
    <w:p w14:paraId="1A18E28F" w14:textId="77777777" w:rsidR="008B12EA" w:rsidRDefault="008B12EA" w:rsidP="008B12EA"/>
    <w:p w14:paraId="1A18E290" w14:textId="77777777" w:rsidR="008B12EA" w:rsidRPr="00AC43F3" w:rsidRDefault="008B12EA" w:rsidP="008B12EA">
      <w:pPr>
        <w:rPr>
          <w:sz w:val="22"/>
          <w:szCs w:val="22"/>
        </w:rPr>
      </w:pPr>
      <w:r w:rsidRPr="00AC43F3">
        <w:rPr>
          <w:sz w:val="22"/>
          <w:szCs w:val="22"/>
        </w:rPr>
        <w:t>Tablica 2.5.3.-2 Prikaz količina izvoza opasnog otpada koji može sadržavati POPs-ove u RH</w:t>
      </w:r>
    </w:p>
    <w:tbl>
      <w:tblPr>
        <w:tblW w:w="9741" w:type="dxa"/>
        <w:tblLook w:val="04A0" w:firstRow="1" w:lastRow="0" w:firstColumn="1" w:lastColumn="0" w:noHBand="0" w:noVBand="1"/>
      </w:tblPr>
      <w:tblGrid>
        <w:gridCol w:w="5058"/>
        <w:gridCol w:w="854"/>
        <w:gridCol w:w="1053"/>
        <w:gridCol w:w="901"/>
        <w:gridCol w:w="854"/>
        <w:gridCol w:w="1041"/>
      </w:tblGrid>
      <w:tr w:rsidR="008B12EA" w:rsidRPr="00F932DD" w14:paraId="1A18E297" w14:textId="77777777" w:rsidTr="002A7BA5">
        <w:trPr>
          <w:trHeight w:val="285"/>
        </w:trPr>
        <w:tc>
          <w:tcPr>
            <w:tcW w:w="5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E291" w14:textId="77777777" w:rsidR="008B12EA" w:rsidRPr="00AC43F3" w:rsidRDefault="008B12EA" w:rsidP="00B542EA">
            <w:pPr>
              <w:spacing w:line="240" w:lineRule="auto"/>
              <w:jc w:val="left"/>
              <w:rPr>
                <w:b/>
                <w:bCs/>
                <w:color w:val="000000"/>
                <w:sz w:val="22"/>
                <w:szCs w:val="22"/>
              </w:rPr>
            </w:pPr>
            <w:r w:rsidRPr="00AC43F3">
              <w:rPr>
                <w:b/>
                <w:bCs/>
                <w:color w:val="000000"/>
                <w:sz w:val="22"/>
                <w:szCs w:val="22"/>
              </w:rPr>
              <w:t>Izvoz opasnog otpada koji može sadržavati POPs (t)</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A18E292" w14:textId="77777777" w:rsidR="008B12EA" w:rsidRPr="00AC43F3" w:rsidRDefault="008B12EA" w:rsidP="00B542EA">
            <w:pPr>
              <w:spacing w:line="240" w:lineRule="auto"/>
              <w:jc w:val="right"/>
              <w:rPr>
                <w:b/>
                <w:bCs/>
                <w:color w:val="000000"/>
                <w:sz w:val="22"/>
                <w:szCs w:val="22"/>
              </w:rPr>
            </w:pPr>
            <w:r w:rsidRPr="00AC43F3">
              <w:rPr>
                <w:b/>
                <w:bCs/>
                <w:color w:val="000000"/>
                <w:sz w:val="22"/>
                <w:szCs w:val="22"/>
              </w:rPr>
              <w:t>2017.</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1A18E293" w14:textId="77777777" w:rsidR="008B12EA" w:rsidRPr="00AC43F3" w:rsidRDefault="008B12EA" w:rsidP="00B542EA">
            <w:pPr>
              <w:spacing w:line="240" w:lineRule="auto"/>
              <w:jc w:val="right"/>
              <w:rPr>
                <w:b/>
                <w:bCs/>
                <w:color w:val="000000"/>
                <w:sz w:val="22"/>
                <w:szCs w:val="22"/>
              </w:rPr>
            </w:pPr>
            <w:r w:rsidRPr="00AC43F3">
              <w:rPr>
                <w:b/>
                <w:bCs/>
                <w:color w:val="000000"/>
                <w:sz w:val="22"/>
                <w:szCs w:val="22"/>
              </w:rPr>
              <w:t>2018.</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14:paraId="1A18E294" w14:textId="77777777" w:rsidR="008B12EA" w:rsidRPr="00AC43F3" w:rsidRDefault="008B12EA" w:rsidP="00B542EA">
            <w:pPr>
              <w:spacing w:line="240" w:lineRule="auto"/>
              <w:jc w:val="right"/>
              <w:rPr>
                <w:b/>
                <w:bCs/>
                <w:color w:val="000000"/>
                <w:sz w:val="22"/>
                <w:szCs w:val="22"/>
              </w:rPr>
            </w:pPr>
            <w:r w:rsidRPr="00AC43F3">
              <w:rPr>
                <w:b/>
                <w:bCs/>
                <w:color w:val="000000"/>
                <w:sz w:val="22"/>
                <w:szCs w:val="22"/>
              </w:rPr>
              <w:t>2019.</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A18E295" w14:textId="77777777" w:rsidR="008B12EA" w:rsidRPr="00AC43F3" w:rsidRDefault="008B12EA" w:rsidP="00B542EA">
            <w:pPr>
              <w:spacing w:line="240" w:lineRule="auto"/>
              <w:jc w:val="right"/>
              <w:rPr>
                <w:b/>
                <w:bCs/>
                <w:color w:val="000000"/>
                <w:sz w:val="22"/>
                <w:szCs w:val="22"/>
              </w:rPr>
            </w:pPr>
            <w:r w:rsidRPr="00AC43F3">
              <w:rPr>
                <w:b/>
                <w:bCs/>
                <w:color w:val="000000"/>
                <w:sz w:val="22"/>
                <w:szCs w:val="22"/>
              </w:rPr>
              <w:t>2020.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1A18E296" w14:textId="77777777" w:rsidR="008B12EA" w:rsidRPr="00F932DD" w:rsidRDefault="008B12EA" w:rsidP="00B542EA">
            <w:pPr>
              <w:spacing w:line="240" w:lineRule="auto"/>
              <w:jc w:val="right"/>
              <w:rPr>
                <w:b/>
                <w:bCs/>
                <w:color w:val="000000"/>
                <w:sz w:val="22"/>
                <w:szCs w:val="22"/>
              </w:rPr>
            </w:pPr>
            <w:r w:rsidRPr="00F932DD">
              <w:rPr>
                <w:b/>
                <w:color w:val="000000"/>
                <w:sz w:val="22"/>
                <w:szCs w:val="22"/>
              </w:rPr>
              <w:t>2021.</w:t>
            </w:r>
          </w:p>
        </w:tc>
      </w:tr>
      <w:tr w:rsidR="008B12EA" w:rsidRPr="00AC43F3" w14:paraId="1A18E29E" w14:textId="77777777" w:rsidTr="002A7BA5">
        <w:trPr>
          <w:trHeight w:val="285"/>
        </w:trPr>
        <w:tc>
          <w:tcPr>
            <w:tcW w:w="5058" w:type="dxa"/>
            <w:tcBorders>
              <w:top w:val="nil"/>
              <w:left w:val="single" w:sz="4" w:space="0" w:color="auto"/>
              <w:bottom w:val="single" w:sz="4" w:space="0" w:color="auto"/>
              <w:right w:val="single" w:sz="4" w:space="0" w:color="auto"/>
            </w:tcBorders>
            <w:shd w:val="clear" w:color="auto" w:fill="auto"/>
            <w:noWrap/>
            <w:vAlign w:val="center"/>
            <w:hideMark/>
          </w:tcPr>
          <w:p w14:paraId="1A18E298" w14:textId="2C473E50" w:rsidR="008B12EA" w:rsidRPr="00AC43F3" w:rsidRDefault="008B12EA" w:rsidP="00B542EA">
            <w:pPr>
              <w:spacing w:line="240" w:lineRule="auto"/>
              <w:jc w:val="left"/>
              <w:rPr>
                <w:color w:val="000000"/>
                <w:sz w:val="22"/>
                <w:szCs w:val="22"/>
              </w:rPr>
            </w:pPr>
            <w:r w:rsidRPr="00AC43F3">
              <w:rPr>
                <w:color w:val="000000"/>
                <w:sz w:val="22"/>
                <w:szCs w:val="22"/>
              </w:rPr>
              <w:t xml:space="preserve">10 02 07* - </w:t>
            </w:r>
            <w:r w:rsidR="00F932DD" w:rsidRPr="00F932DD">
              <w:rPr>
                <w:color w:val="000000"/>
                <w:sz w:val="22"/>
                <w:szCs w:val="22"/>
              </w:rPr>
              <w:t>kruti otpad od obrade plinova koji sadrže opasne tvari</w:t>
            </w:r>
          </w:p>
        </w:tc>
        <w:tc>
          <w:tcPr>
            <w:tcW w:w="854" w:type="dxa"/>
            <w:tcBorders>
              <w:top w:val="nil"/>
              <w:left w:val="nil"/>
              <w:bottom w:val="single" w:sz="4" w:space="0" w:color="auto"/>
              <w:right w:val="single" w:sz="4" w:space="0" w:color="auto"/>
            </w:tcBorders>
            <w:shd w:val="clear" w:color="auto" w:fill="auto"/>
            <w:noWrap/>
            <w:vAlign w:val="center"/>
            <w:hideMark/>
          </w:tcPr>
          <w:p w14:paraId="1A18E299" w14:textId="77777777" w:rsidR="008B12EA" w:rsidRPr="00AC43F3" w:rsidRDefault="008B12EA" w:rsidP="00B542EA">
            <w:pPr>
              <w:spacing w:line="240" w:lineRule="auto"/>
              <w:jc w:val="right"/>
              <w:rPr>
                <w:color w:val="000000"/>
                <w:sz w:val="22"/>
                <w:szCs w:val="22"/>
              </w:rPr>
            </w:pPr>
            <w:r w:rsidRPr="00AC43F3">
              <w:rPr>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1A18E29A" w14:textId="77777777" w:rsidR="008B12EA" w:rsidRPr="002A7BA5" w:rsidRDefault="008B12EA" w:rsidP="00B542EA">
            <w:pPr>
              <w:spacing w:line="240" w:lineRule="auto"/>
              <w:jc w:val="right"/>
              <w:rPr>
                <w:sz w:val="22"/>
                <w:szCs w:val="22"/>
              </w:rPr>
            </w:pPr>
            <w:r w:rsidRPr="002A7BA5">
              <w:rPr>
                <w:sz w:val="22"/>
                <w:szCs w:val="22"/>
              </w:rPr>
              <w:t>1.867,83</w:t>
            </w:r>
          </w:p>
        </w:tc>
        <w:tc>
          <w:tcPr>
            <w:tcW w:w="901" w:type="dxa"/>
            <w:tcBorders>
              <w:top w:val="nil"/>
              <w:left w:val="nil"/>
              <w:bottom w:val="single" w:sz="4" w:space="0" w:color="auto"/>
              <w:right w:val="single" w:sz="4" w:space="0" w:color="auto"/>
            </w:tcBorders>
            <w:shd w:val="clear" w:color="auto" w:fill="auto"/>
            <w:noWrap/>
            <w:vAlign w:val="center"/>
            <w:hideMark/>
          </w:tcPr>
          <w:p w14:paraId="1A18E29B" w14:textId="77777777" w:rsidR="008B12EA" w:rsidRPr="002A7BA5" w:rsidRDefault="008B12EA" w:rsidP="00B542EA">
            <w:pPr>
              <w:spacing w:line="240" w:lineRule="auto"/>
              <w:jc w:val="right"/>
              <w:rPr>
                <w:sz w:val="22"/>
                <w:szCs w:val="22"/>
              </w:rPr>
            </w:pPr>
            <w:r w:rsidRPr="002A7BA5">
              <w:rPr>
                <w:sz w:val="22"/>
                <w:szCs w:val="22"/>
              </w:rPr>
              <w:t>925,43</w:t>
            </w:r>
          </w:p>
        </w:tc>
        <w:tc>
          <w:tcPr>
            <w:tcW w:w="854" w:type="dxa"/>
            <w:tcBorders>
              <w:top w:val="nil"/>
              <w:left w:val="nil"/>
              <w:bottom w:val="single" w:sz="4" w:space="0" w:color="auto"/>
              <w:right w:val="single" w:sz="4" w:space="0" w:color="auto"/>
            </w:tcBorders>
            <w:shd w:val="clear" w:color="auto" w:fill="auto"/>
            <w:noWrap/>
            <w:vAlign w:val="center"/>
            <w:hideMark/>
          </w:tcPr>
          <w:p w14:paraId="1A18E29C" w14:textId="77777777" w:rsidR="008B12EA" w:rsidRPr="002A7BA5" w:rsidRDefault="008B12EA" w:rsidP="00B542EA">
            <w:pPr>
              <w:spacing w:line="240" w:lineRule="auto"/>
              <w:jc w:val="right"/>
              <w:rPr>
                <w:sz w:val="22"/>
                <w:szCs w:val="22"/>
              </w:rPr>
            </w:pPr>
            <w:r w:rsidRPr="002A7BA5">
              <w:rPr>
                <w:sz w:val="22"/>
                <w:szCs w:val="22"/>
              </w:rPr>
              <w:t> </w:t>
            </w:r>
          </w:p>
        </w:tc>
        <w:tc>
          <w:tcPr>
            <w:tcW w:w="1021" w:type="dxa"/>
            <w:tcBorders>
              <w:top w:val="nil"/>
              <w:left w:val="nil"/>
              <w:bottom w:val="single" w:sz="4" w:space="0" w:color="auto"/>
              <w:right w:val="single" w:sz="4" w:space="0" w:color="auto"/>
            </w:tcBorders>
            <w:shd w:val="clear" w:color="auto" w:fill="auto"/>
            <w:noWrap/>
            <w:vAlign w:val="center"/>
            <w:hideMark/>
          </w:tcPr>
          <w:p w14:paraId="1A18E29D" w14:textId="3E7E5C38" w:rsidR="008B12EA" w:rsidRPr="00AC43F3" w:rsidRDefault="00F932DD" w:rsidP="00B542EA">
            <w:pPr>
              <w:spacing w:line="240" w:lineRule="auto"/>
              <w:jc w:val="right"/>
              <w:rPr>
                <w:color w:val="000000"/>
                <w:sz w:val="22"/>
                <w:szCs w:val="22"/>
              </w:rPr>
            </w:pPr>
            <w:r w:rsidRPr="00F932DD">
              <w:rPr>
                <w:color w:val="000000"/>
                <w:sz w:val="22"/>
                <w:szCs w:val="22"/>
              </w:rPr>
              <w:t>2.530,72</w:t>
            </w:r>
            <w:r w:rsidR="008B12EA" w:rsidRPr="00AC43F3">
              <w:rPr>
                <w:color w:val="000000"/>
                <w:sz w:val="22"/>
                <w:szCs w:val="22"/>
              </w:rPr>
              <w:t> </w:t>
            </w:r>
          </w:p>
        </w:tc>
      </w:tr>
      <w:tr w:rsidR="008B12EA" w:rsidRPr="00AC43F3" w14:paraId="1A18E2A5" w14:textId="77777777" w:rsidTr="002A7BA5">
        <w:trPr>
          <w:trHeight w:val="285"/>
        </w:trPr>
        <w:tc>
          <w:tcPr>
            <w:tcW w:w="5058" w:type="dxa"/>
            <w:tcBorders>
              <w:top w:val="nil"/>
              <w:left w:val="single" w:sz="4" w:space="0" w:color="auto"/>
              <w:bottom w:val="single" w:sz="4" w:space="0" w:color="auto"/>
              <w:right w:val="single" w:sz="4" w:space="0" w:color="auto"/>
            </w:tcBorders>
            <w:shd w:val="clear" w:color="auto" w:fill="auto"/>
            <w:noWrap/>
            <w:vAlign w:val="center"/>
            <w:hideMark/>
          </w:tcPr>
          <w:p w14:paraId="1A18E29F" w14:textId="77777777" w:rsidR="008B12EA" w:rsidRPr="00AC43F3" w:rsidRDefault="008B12EA" w:rsidP="00B542EA">
            <w:pPr>
              <w:spacing w:line="240" w:lineRule="auto"/>
              <w:jc w:val="left"/>
              <w:rPr>
                <w:color w:val="000000"/>
                <w:sz w:val="22"/>
                <w:szCs w:val="22"/>
              </w:rPr>
            </w:pPr>
            <w:r w:rsidRPr="00AC43F3">
              <w:rPr>
                <w:color w:val="000000"/>
                <w:sz w:val="22"/>
                <w:szCs w:val="22"/>
              </w:rPr>
              <w:t>10 04 01* - Šljaka iz primarne i sekundarne proizvodnje</w:t>
            </w:r>
          </w:p>
        </w:tc>
        <w:tc>
          <w:tcPr>
            <w:tcW w:w="854" w:type="dxa"/>
            <w:tcBorders>
              <w:top w:val="nil"/>
              <w:left w:val="nil"/>
              <w:bottom w:val="single" w:sz="4" w:space="0" w:color="auto"/>
              <w:right w:val="single" w:sz="4" w:space="0" w:color="auto"/>
            </w:tcBorders>
            <w:shd w:val="clear" w:color="auto" w:fill="auto"/>
            <w:noWrap/>
            <w:vAlign w:val="center"/>
            <w:hideMark/>
          </w:tcPr>
          <w:p w14:paraId="1A18E2A0" w14:textId="77777777" w:rsidR="008B12EA" w:rsidRPr="00AC43F3" w:rsidRDefault="008B12EA" w:rsidP="00B542EA">
            <w:pPr>
              <w:spacing w:line="240" w:lineRule="auto"/>
              <w:jc w:val="right"/>
              <w:rPr>
                <w:color w:val="000000"/>
                <w:sz w:val="22"/>
                <w:szCs w:val="22"/>
              </w:rPr>
            </w:pPr>
            <w:r w:rsidRPr="00AC43F3">
              <w:rPr>
                <w:color w:val="000000"/>
                <w:sz w:val="22"/>
                <w:szCs w:val="22"/>
              </w:rPr>
              <w:t> </w:t>
            </w:r>
          </w:p>
        </w:tc>
        <w:tc>
          <w:tcPr>
            <w:tcW w:w="1053" w:type="dxa"/>
            <w:tcBorders>
              <w:top w:val="nil"/>
              <w:left w:val="nil"/>
              <w:bottom w:val="single" w:sz="4" w:space="0" w:color="auto"/>
              <w:right w:val="single" w:sz="4" w:space="0" w:color="auto"/>
            </w:tcBorders>
            <w:shd w:val="clear" w:color="auto" w:fill="auto"/>
            <w:noWrap/>
            <w:vAlign w:val="center"/>
            <w:hideMark/>
          </w:tcPr>
          <w:p w14:paraId="1A18E2A1" w14:textId="77777777" w:rsidR="008B12EA" w:rsidRPr="002A7BA5" w:rsidRDefault="008B12EA" w:rsidP="00B542EA">
            <w:pPr>
              <w:spacing w:line="240" w:lineRule="auto"/>
              <w:jc w:val="right"/>
              <w:rPr>
                <w:sz w:val="22"/>
                <w:szCs w:val="22"/>
              </w:rPr>
            </w:pPr>
            <w:r w:rsidRPr="002A7BA5">
              <w:rPr>
                <w:sz w:val="22"/>
                <w:szCs w:val="22"/>
              </w:rPr>
              <w:t>1.041,76</w:t>
            </w:r>
          </w:p>
        </w:tc>
        <w:tc>
          <w:tcPr>
            <w:tcW w:w="901" w:type="dxa"/>
            <w:tcBorders>
              <w:top w:val="nil"/>
              <w:left w:val="nil"/>
              <w:bottom w:val="single" w:sz="4" w:space="0" w:color="auto"/>
              <w:right w:val="single" w:sz="4" w:space="0" w:color="auto"/>
            </w:tcBorders>
            <w:shd w:val="clear" w:color="auto" w:fill="auto"/>
            <w:noWrap/>
            <w:vAlign w:val="center"/>
            <w:hideMark/>
          </w:tcPr>
          <w:p w14:paraId="1A18E2A2" w14:textId="77777777" w:rsidR="008B12EA" w:rsidRPr="002A7BA5" w:rsidRDefault="008B12EA" w:rsidP="00B542EA">
            <w:pPr>
              <w:spacing w:line="240" w:lineRule="auto"/>
              <w:jc w:val="right"/>
              <w:rPr>
                <w:sz w:val="22"/>
                <w:szCs w:val="22"/>
              </w:rPr>
            </w:pPr>
            <w:r w:rsidRPr="002A7BA5">
              <w:rPr>
                <w:sz w:val="22"/>
                <w:szCs w:val="22"/>
              </w:rPr>
              <w:t> </w:t>
            </w:r>
          </w:p>
        </w:tc>
        <w:tc>
          <w:tcPr>
            <w:tcW w:w="854" w:type="dxa"/>
            <w:tcBorders>
              <w:top w:val="nil"/>
              <w:left w:val="nil"/>
              <w:bottom w:val="single" w:sz="4" w:space="0" w:color="auto"/>
              <w:right w:val="single" w:sz="4" w:space="0" w:color="auto"/>
            </w:tcBorders>
            <w:shd w:val="clear" w:color="auto" w:fill="auto"/>
            <w:noWrap/>
            <w:vAlign w:val="center"/>
            <w:hideMark/>
          </w:tcPr>
          <w:p w14:paraId="1A18E2A3" w14:textId="77777777" w:rsidR="008B12EA" w:rsidRPr="002A7BA5" w:rsidRDefault="008B12EA" w:rsidP="00B542EA">
            <w:pPr>
              <w:spacing w:line="240" w:lineRule="auto"/>
              <w:jc w:val="right"/>
              <w:rPr>
                <w:sz w:val="22"/>
                <w:szCs w:val="22"/>
              </w:rPr>
            </w:pPr>
            <w:r w:rsidRPr="002A7BA5">
              <w:rPr>
                <w:sz w:val="22"/>
                <w:szCs w:val="22"/>
              </w:rPr>
              <w:t>25,72</w:t>
            </w:r>
          </w:p>
        </w:tc>
        <w:tc>
          <w:tcPr>
            <w:tcW w:w="1021" w:type="dxa"/>
            <w:tcBorders>
              <w:top w:val="nil"/>
              <w:left w:val="nil"/>
              <w:bottom w:val="single" w:sz="4" w:space="0" w:color="auto"/>
              <w:right w:val="single" w:sz="4" w:space="0" w:color="auto"/>
            </w:tcBorders>
            <w:shd w:val="clear" w:color="auto" w:fill="auto"/>
            <w:noWrap/>
            <w:vAlign w:val="center"/>
            <w:hideMark/>
          </w:tcPr>
          <w:p w14:paraId="1A18E2A4" w14:textId="77777777" w:rsidR="008B12EA" w:rsidRPr="00AC43F3" w:rsidRDefault="008B12EA" w:rsidP="00B542EA">
            <w:pPr>
              <w:spacing w:line="240" w:lineRule="auto"/>
              <w:jc w:val="right"/>
              <w:rPr>
                <w:color w:val="000000"/>
                <w:sz w:val="22"/>
                <w:szCs w:val="22"/>
              </w:rPr>
            </w:pPr>
            <w:r w:rsidRPr="00AC43F3">
              <w:rPr>
                <w:color w:val="000000"/>
                <w:sz w:val="22"/>
                <w:szCs w:val="22"/>
              </w:rPr>
              <w:t> </w:t>
            </w:r>
          </w:p>
        </w:tc>
      </w:tr>
      <w:tr w:rsidR="008B12EA" w:rsidRPr="00AC43F3" w14:paraId="1A18E2AC" w14:textId="77777777" w:rsidTr="002A7BA5">
        <w:trPr>
          <w:trHeight w:val="285"/>
        </w:trPr>
        <w:tc>
          <w:tcPr>
            <w:tcW w:w="5058" w:type="dxa"/>
            <w:tcBorders>
              <w:top w:val="nil"/>
              <w:left w:val="single" w:sz="4" w:space="0" w:color="auto"/>
              <w:bottom w:val="single" w:sz="4" w:space="0" w:color="auto"/>
              <w:right w:val="single" w:sz="4" w:space="0" w:color="auto"/>
            </w:tcBorders>
            <w:shd w:val="clear" w:color="auto" w:fill="auto"/>
            <w:noWrap/>
            <w:vAlign w:val="center"/>
            <w:hideMark/>
          </w:tcPr>
          <w:p w14:paraId="1A18E2A6" w14:textId="77777777" w:rsidR="008B12EA" w:rsidRPr="00AC43F3" w:rsidRDefault="008B12EA" w:rsidP="00B542EA">
            <w:pPr>
              <w:spacing w:line="240" w:lineRule="auto"/>
              <w:jc w:val="left"/>
              <w:rPr>
                <w:color w:val="000000"/>
                <w:sz w:val="22"/>
                <w:szCs w:val="22"/>
              </w:rPr>
            </w:pPr>
            <w:r w:rsidRPr="00AC43F3">
              <w:rPr>
                <w:color w:val="000000"/>
                <w:sz w:val="22"/>
                <w:szCs w:val="22"/>
              </w:rPr>
              <w:t>10 04 05* - Ostale čestice i prašina</w:t>
            </w:r>
          </w:p>
        </w:tc>
        <w:tc>
          <w:tcPr>
            <w:tcW w:w="854" w:type="dxa"/>
            <w:tcBorders>
              <w:top w:val="nil"/>
              <w:left w:val="nil"/>
              <w:bottom w:val="single" w:sz="4" w:space="0" w:color="auto"/>
              <w:right w:val="single" w:sz="4" w:space="0" w:color="auto"/>
            </w:tcBorders>
            <w:shd w:val="clear" w:color="auto" w:fill="auto"/>
            <w:noWrap/>
            <w:vAlign w:val="center"/>
            <w:hideMark/>
          </w:tcPr>
          <w:p w14:paraId="1A18E2A7" w14:textId="77777777" w:rsidR="008B12EA" w:rsidRPr="00AC43F3" w:rsidRDefault="008B12EA" w:rsidP="00B542EA">
            <w:pPr>
              <w:spacing w:line="240" w:lineRule="auto"/>
              <w:jc w:val="right"/>
              <w:rPr>
                <w:color w:val="000000"/>
                <w:sz w:val="22"/>
                <w:szCs w:val="22"/>
              </w:rPr>
            </w:pPr>
            <w:r w:rsidRPr="00AC43F3">
              <w:rPr>
                <w:color w:val="000000"/>
                <w:sz w:val="22"/>
                <w:szCs w:val="22"/>
              </w:rPr>
              <w:t>500,00</w:t>
            </w:r>
          </w:p>
        </w:tc>
        <w:tc>
          <w:tcPr>
            <w:tcW w:w="1053" w:type="dxa"/>
            <w:tcBorders>
              <w:top w:val="nil"/>
              <w:left w:val="nil"/>
              <w:bottom w:val="single" w:sz="4" w:space="0" w:color="auto"/>
              <w:right w:val="single" w:sz="4" w:space="0" w:color="auto"/>
            </w:tcBorders>
            <w:shd w:val="clear" w:color="auto" w:fill="auto"/>
            <w:noWrap/>
            <w:vAlign w:val="center"/>
            <w:hideMark/>
          </w:tcPr>
          <w:p w14:paraId="1A18E2A8" w14:textId="77777777" w:rsidR="008B12EA" w:rsidRPr="00AC43F3" w:rsidRDefault="008B12EA" w:rsidP="00B542EA">
            <w:pPr>
              <w:spacing w:line="240" w:lineRule="auto"/>
              <w:jc w:val="right"/>
              <w:rPr>
                <w:color w:val="000000"/>
                <w:sz w:val="22"/>
                <w:szCs w:val="22"/>
              </w:rPr>
            </w:pPr>
            <w:r w:rsidRPr="00AC43F3">
              <w:rPr>
                <w:color w:val="000000"/>
                <w:sz w:val="22"/>
                <w:szCs w:val="22"/>
              </w:rPr>
              <w:t>915,48</w:t>
            </w:r>
          </w:p>
        </w:tc>
        <w:tc>
          <w:tcPr>
            <w:tcW w:w="901" w:type="dxa"/>
            <w:tcBorders>
              <w:top w:val="nil"/>
              <w:left w:val="nil"/>
              <w:bottom w:val="single" w:sz="4" w:space="0" w:color="auto"/>
              <w:right w:val="single" w:sz="4" w:space="0" w:color="auto"/>
            </w:tcBorders>
            <w:shd w:val="clear" w:color="auto" w:fill="auto"/>
            <w:noWrap/>
            <w:vAlign w:val="center"/>
            <w:hideMark/>
          </w:tcPr>
          <w:p w14:paraId="1A18E2A9" w14:textId="77777777" w:rsidR="008B12EA" w:rsidRPr="00AC43F3" w:rsidRDefault="008B12EA" w:rsidP="00B542EA">
            <w:pPr>
              <w:spacing w:line="240" w:lineRule="auto"/>
              <w:jc w:val="right"/>
              <w:rPr>
                <w:color w:val="000000"/>
                <w:sz w:val="22"/>
                <w:szCs w:val="22"/>
              </w:rPr>
            </w:pPr>
            <w:r w:rsidRPr="00AC43F3">
              <w:rPr>
                <w:color w:val="000000"/>
                <w:sz w:val="22"/>
                <w:szCs w:val="22"/>
              </w:rPr>
              <w:t>499,58</w:t>
            </w:r>
          </w:p>
        </w:tc>
        <w:tc>
          <w:tcPr>
            <w:tcW w:w="854" w:type="dxa"/>
            <w:tcBorders>
              <w:top w:val="nil"/>
              <w:left w:val="nil"/>
              <w:bottom w:val="single" w:sz="4" w:space="0" w:color="auto"/>
              <w:right w:val="single" w:sz="4" w:space="0" w:color="auto"/>
            </w:tcBorders>
            <w:shd w:val="clear" w:color="auto" w:fill="auto"/>
            <w:noWrap/>
            <w:vAlign w:val="center"/>
            <w:hideMark/>
          </w:tcPr>
          <w:p w14:paraId="1A18E2AA" w14:textId="77777777" w:rsidR="008B12EA" w:rsidRPr="00AC43F3" w:rsidRDefault="008B12EA" w:rsidP="00B542EA">
            <w:pPr>
              <w:spacing w:line="240" w:lineRule="auto"/>
              <w:jc w:val="right"/>
              <w:rPr>
                <w:sz w:val="22"/>
                <w:szCs w:val="22"/>
              </w:rPr>
            </w:pPr>
            <w:r w:rsidRPr="00AC43F3">
              <w:rPr>
                <w:sz w:val="22"/>
                <w:szCs w:val="22"/>
              </w:rPr>
              <w:t>140,18</w:t>
            </w:r>
          </w:p>
        </w:tc>
        <w:tc>
          <w:tcPr>
            <w:tcW w:w="1021" w:type="dxa"/>
            <w:tcBorders>
              <w:top w:val="nil"/>
              <w:left w:val="nil"/>
              <w:bottom w:val="single" w:sz="4" w:space="0" w:color="auto"/>
              <w:right w:val="single" w:sz="4" w:space="0" w:color="auto"/>
            </w:tcBorders>
            <w:shd w:val="clear" w:color="auto" w:fill="auto"/>
            <w:noWrap/>
            <w:vAlign w:val="center"/>
            <w:hideMark/>
          </w:tcPr>
          <w:p w14:paraId="1A18E2AB" w14:textId="4BFA81B7" w:rsidR="008B12EA" w:rsidRPr="00AC43F3" w:rsidRDefault="00F932DD" w:rsidP="00B542EA">
            <w:pPr>
              <w:spacing w:line="240" w:lineRule="auto"/>
              <w:jc w:val="right"/>
              <w:rPr>
                <w:sz w:val="22"/>
                <w:szCs w:val="22"/>
              </w:rPr>
            </w:pPr>
            <w:r>
              <w:rPr>
                <w:sz w:val="22"/>
                <w:szCs w:val="22"/>
              </w:rPr>
              <w:t>421,42</w:t>
            </w:r>
            <w:r w:rsidR="008B12EA" w:rsidRPr="00AC43F3">
              <w:rPr>
                <w:sz w:val="22"/>
                <w:szCs w:val="22"/>
              </w:rPr>
              <w:t> </w:t>
            </w:r>
          </w:p>
        </w:tc>
      </w:tr>
    </w:tbl>
    <w:p w14:paraId="50578804" w14:textId="2B5D1212" w:rsidR="00F40134" w:rsidRPr="00D10DC1" w:rsidRDefault="00F40134" w:rsidP="00F40134">
      <w:pPr>
        <w:spacing w:before="120" w:after="120"/>
        <w:jc w:val="center"/>
        <w:rPr>
          <w:i/>
          <w:sz w:val="18"/>
          <w:szCs w:val="18"/>
        </w:rPr>
      </w:pPr>
      <w:r>
        <w:rPr>
          <w:i/>
          <w:sz w:val="18"/>
          <w:szCs w:val="18"/>
        </w:rPr>
        <w:t xml:space="preserve">                                                                                                                Izvor: </w:t>
      </w:r>
      <w:r w:rsidR="00E3486A" w:rsidRPr="00E3486A">
        <w:rPr>
          <w:i/>
          <w:sz w:val="18"/>
          <w:szCs w:val="18"/>
        </w:rPr>
        <w:t>Evidencij</w:t>
      </w:r>
      <w:r w:rsidR="00E3486A">
        <w:rPr>
          <w:i/>
          <w:sz w:val="18"/>
          <w:szCs w:val="18"/>
        </w:rPr>
        <w:t>a</w:t>
      </w:r>
      <w:r w:rsidR="00E3486A" w:rsidRPr="00E3486A">
        <w:rPr>
          <w:i/>
          <w:sz w:val="18"/>
          <w:szCs w:val="18"/>
        </w:rPr>
        <w:t xml:space="preserve"> o prekograničnom prometu otpada</w:t>
      </w:r>
      <w:r>
        <w:rPr>
          <w:i/>
          <w:sz w:val="18"/>
          <w:szCs w:val="18"/>
        </w:rPr>
        <w:t>, MINGOR</w:t>
      </w:r>
    </w:p>
    <w:p w14:paraId="1A18E2AF" w14:textId="77777777" w:rsidR="008B12EA" w:rsidRDefault="008B12EA" w:rsidP="008B12EA">
      <w:pPr>
        <w:pStyle w:val="Naslov3"/>
      </w:pPr>
      <w:bookmarkStart w:id="40" w:name="_Toc97815105"/>
      <w:bookmarkStart w:id="41" w:name="_Toc100840622"/>
      <w:r w:rsidRPr="00D07111">
        <w:t xml:space="preserve">2.5.4. </w:t>
      </w:r>
      <w:r w:rsidRPr="002F1FCA">
        <w:t>Količine POPs-ova prijavljenih u bazu RPOT/OPVN</w:t>
      </w:r>
      <w:bookmarkEnd w:id="40"/>
      <w:bookmarkEnd w:id="41"/>
    </w:p>
    <w:p w14:paraId="055A3A39" w14:textId="77777777" w:rsidR="003C273D" w:rsidRPr="003C273D" w:rsidRDefault="003C273D" w:rsidP="003C273D"/>
    <w:p w14:paraId="1A18E2B0" w14:textId="77777777" w:rsidR="008B12EA" w:rsidRDefault="008B12EA" w:rsidP="008B12EA">
      <w:pPr>
        <w:spacing w:after="120"/>
      </w:pPr>
      <w:r w:rsidRPr="00BA3DE8">
        <w:t>Sukladno Uredbi o sprječavanju velikih nesreća koje uključuju opasne tvari</w:t>
      </w:r>
      <w:r w:rsidRPr="00BA3DE8">
        <w:rPr>
          <w:rStyle w:val="Referencafusnote"/>
        </w:rPr>
        <w:footnoteReference w:id="10"/>
      </w:r>
      <w:r w:rsidRPr="00BA3DE8">
        <w:t xml:space="preserve"> i Pravilniku o registru postrojenja u kojima su prisutne opasne tvari i Očevidniku prijavljenih velikih nesreća</w:t>
      </w:r>
      <w:r w:rsidRPr="00BA3DE8">
        <w:rPr>
          <w:rStyle w:val="Referencafusnote"/>
        </w:rPr>
        <w:footnoteReference w:id="11"/>
      </w:r>
      <w:r w:rsidRPr="00BA3DE8">
        <w:t xml:space="preserve">, kojima je Seveso III direktiva transponirana u hrvatsko zakonodavstvo, predviđeno je prikupljanje podataka o POPs-ovima u bazu RPOT/OPVN. </w:t>
      </w:r>
    </w:p>
    <w:p w14:paraId="1A18E2B1" w14:textId="491A65FE" w:rsidR="008B12EA" w:rsidRDefault="008B12EA" w:rsidP="008B12EA">
      <w:pPr>
        <w:spacing w:after="120"/>
      </w:pPr>
      <w:r w:rsidRPr="00BA3DE8">
        <w:t xml:space="preserve">U bazi RPOT/OPVN vode </w:t>
      </w:r>
      <w:r w:rsidR="004E2A08">
        <w:t xml:space="preserve">se </w:t>
      </w:r>
      <w:r w:rsidRPr="00BA3DE8">
        <w:t xml:space="preserve">podaci o </w:t>
      </w:r>
      <w:r w:rsidR="000A60DE" w:rsidRPr="000A60DE">
        <w:t xml:space="preserve">operaterima i njihovim područjima postrojenja </w:t>
      </w:r>
      <w:r w:rsidRPr="00BA3DE8">
        <w:t xml:space="preserve">koja prijavljuju količine </w:t>
      </w:r>
      <w:r w:rsidR="004E2A08">
        <w:t xml:space="preserve">opasnih tvari: </w:t>
      </w:r>
      <w:r w:rsidRPr="00BA3DE8">
        <w:t>sirovina, intermedijera i produkata (u manjim i većim količinama sukladno Prilogu I.A navedene Uredbe) te nema prijavljenih POPs-ova za razdoblje 20</w:t>
      </w:r>
      <w:r>
        <w:t>20</w:t>
      </w:r>
      <w:r w:rsidRPr="00BA3DE8">
        <w:t>. – 20</w:t>
      </w:r>
      <w:r>
        <w:t>21</w:t>
      </w:r>
      <w:r w:rsidRPr="00BA3DE8">
        <w:t>.</w:t>
      </w:r>
      <w:r w:rsidRPr="00E47EC1">
        <w:t xml:space="preserve"> </w:t>
      </w:r>
    </w:p>
    <w:p w14:paraId="1A18E2B3" w14:textId="77777777" w:rsidR="00317EE7" w:rsidRPr="00E47EC1" w:rsidRDefault="007E5335" w:rsidP="007E5335">
      <w:pPr>
        <w:pStyle w:val="Naslov2"/>
        <w:numPr>
          <w:ilvl w:val="1"/>
          <w:numId w:val="10"/>
        </w:numPr>
        <w:tabs>
          <w:tab w:val="left" w:pos="284"/>
        </w:tabs>
        <w:spacing w:before="100" w:beforeAutospacing="1" w:after="120"/>
        <w:ind w:left="357" w:hanging="357"/>
        <w:rPr>
          <w:b w:val="0"/>
        </w:rPr>
      </w:pPr>
      <w:bookmarkStart w:id="42" w:name="_Toc100840623"/>
      <w:r w:rsidRPr="00E47EC1">
        <w:rPr>
          <w:b w:val="0"/>
        </w:rPr>
        <w:lastRenderedPageBreak/>
        <w:t>MONITORING</w:t>
      </w:r>
      <w:r w:rsidR="00B23789" w:rsidRPr="00E47EC1">
        <w:rPr>
          <w:b w:val="0"/>
        </w:rPr>
        <w:t xml:space="preserve"> OSTATAKA</w:t>
      </w:r>
      <w:r w:rsidRPr="00E47EC1">
        <w:rPr>
          <w:b w:val="0"/>
        </w:rPr>
        <w:t xml:space="preserve"> PESTICIDA KOJI SU UJEDNO I POP</w:t>
      </w:r>
      <w:r w:rsidR="00B23789" w:rsidRPr="00E47EC1">
        <w:rPr>
          <w:b w:val="0"/>
        </w:rPr>
        <w:t>s</w:t>
      </w:r>
      <w:r w:rsidRPr="00E47EC1">
        <w:rPr>
          <w:b w:val="0"/>
        </w:rPr>
        <w:t xml:space="preserve">-OVI NA PROIZVODIMA BILJNOG </w:t>
      </w:r>
      <w:r w:rsidR="009C1A64" w:rsidRPr="00E47EC1">
        <w:rPr>
          <w:b w:val="0"/>
        </w:rPr>
        <w:t xml:space="preserve">I ŽIVOTINJSKOG </w:t>
      </w:r>
      <w:r w:rsidRPr="00E47EC1">
        <w:rPr>
          <w:b w:val="0"/>
        </w:rPr>
        <w:t>PODRIJETLA</w:t>
      </w:r>
      <w:bookmarkEnd w:id="42"/>
    </w:p>
    <w:p w14:paraId="1A18E2B4" w14:textId="77777777" w:rsidR="009C1A64" w:rsidRPr="00E47EC1" w:rsidRDefault="009C1A64" w:rsidP="009C1A64">
      <w:pPr>
        <w:spacing w:after="120"/>
      </w:pPr>
      <w:r w:rsidRPr="00E47EC1">
        <w:t xml:space="preserve">Provedba Nacionalnog programa monitoringa ostataka pesticida započela je u 2007. </w:t>
      </w:r>
    </w:p>
    <w:p w14:paraId="1A18E2B5" w14:textId="77777777" w:rsidR="009C1A64" w:rsidRPr="00E47EC1" w:rsidRDefault="009C1A64" w:rsidP="009C1A64">
      <w:pPr>
        <w:spacing w:after="120"/>
      </w:pPr>
      <w:r w:rsidRPr="00E47EC1">
        <w:t xml:space="preserve">Monitoring ostataka pesticida ima za cilj ustanoviti količinu ostataka pesticida u </w:t>
      </w:r>
      <w:r w:rsidR="0061051C" w:rsidRPr="00E47EC1">
        <w:t>i na hrani</w:t>
      </w:r>
      <w:r w:rsidRPr="00E47EC1">
        <w:t xml:space="preserve">, provjeriti </w:t>
      </w:r>
      <w:r w:rsidR="0061051C" w:rsidRPr="00E47EC1">
        <w:t>sukladnost s propisanim</w:t>
      </w:r>
      <w:r w:rsidRPr="00E47EC1">
        <w:t xml:space="preserve"> </w:t>
      </w:r>
      <w:r w:rsidR="0061051C" w:rsidRPr="00E47EC1">
        <w:t xml:space="preserve">maksimalnim razinama </w:t>
      </w:r>
      <w:r w:rsidRPr="00E47EC1">
        <w:t>ostataka (M</w:t>
      </w:r>
      <w:r w:rsidR="00B23789" w:rsidRPr="00E47EC1">
        <w:t>DK</w:t>
      </w:r>
      <w:r w:rsidRPr="00E47EC1">
        <w:t xml:space="preserve">) pesticida </w:t>
      </w:r>
      <w:r w:rsidR="0061051C" w:rsidRPr="00E47EC1">
        <w:t xml:space="preserve">te na taj način steći uvid </w:t>
      </w:r>
      <w:r w:rsidRPr="00E47EC1">
        <w:t xml:space="preserve">pridržavaju li se proizvođači načela dobre poljoprivredne prakse te </w:t>
      </w:r>
      <w:r w:rsidR="0061051C" w:rsidRPr="00E47EC1">
        <w:t>ustanoviti u kojoj mjeri ostaci pesticida ko</w:t>
      </w:r>
      <w:r w:rsidR="00172C7F">
        <w:t>j</w:t>
      </w:r>
      <w:r w:rsidR="0061051C" w:rsidRPr="00E47EC1">
        <w:t>i prelaze MDK predstavljaju rizik za ljude koji konzumiraju hranu koja sa</w:t>
      </w:r>
      <w:r w:rsidR="00172C7F">
        <w:t>d</w:t>
      </w:r>
      <w:r w:rsidR="0061051C" w:rsidRPr="00E47EC1">
        <w:t>rži tu razinu ostataka pesticida</w:t>
      </w:r>
      <w:r w:rsidRPr="00E47EC1">
        <w:t xml:space="preserve">. Nacionalni program praćenja (monitoringa) ostataka pesticida sukladan je standardima za provedbu monitoringa koji se provodi u državama Europske unije. </w:t>
      </w:r>
    </w:p>
    <w:p w14:paraId="1A18E2B6" w14:textId="77777777" w:rsidR="009C1A64" w:rsidRPr="00E47EC1" w:rsidRDefault="009C1A64" w:rsidP="009C1A64">
      <w:pPr>
        <w:spacing w:after="120"/>
      </w:pPr>
      <w:r w:rsidRPr="00E47EC1">
        <w:t>Od pe</w:t>
      </w:r>
      <w:r w:rsidR="00B23789" w:rsidRPr="00E47EC1">
        <w:t xml:space="preserve">sticida sa svojstvima POPs-ova </w:t>
      </w:r>
      <w:r w:rsidRPr="00E47EC1">
        <w:t xml:space="preserve">sustavno se provodi monitoring za aktivne tvari: aldrin, dieldrin, alfa-HCH, beta-HCH, eldrin, heptaklor, HCB, endosulfan, lindan, DDT. </w:t>
      </w:r>
    </w:p>
    <w:p w14:paraId="28BBEF1C" w14:textId="1E07FE8B" w:rsidR="00F54E02" w:rsidRPr="001B4447" w:rsidRDefault="009E1DBD" w:rsidP="00F54E02">
      <w:pPr>
        <w:pStyle w:val="Default"/>
        <w:spacing w:after="120"/>
        <w:jc w:val="both"/>
        <w:rPr>
          <w:bCs/>
          <w:color w:val="auto"/>
        </w:rPr>
      </w:pPr>
      <w:r w:rsidRPr="001B4447">
        <w:rPr>
          <w:bCs/>
          <w:color w:val="auto"/>
        </w:rPr>
        <w:t xml:space="preserve">U </w:t>
      </w:r>
      <w:r w:rsidR="00F54E02" w:rsidRPr="001B4447">
        <w:rPr>
          <w:bCs/>
          <w:color w:val="auto"/>
        </w:rPr>
        <w:t>Nacionalnom programu</w:t>
      </w:r>
      <w:r w:rsidRPr="001B4447">
        <w:rPr>
          <w:bCs/>
          <w:color w:val="auto"/>
        </w:rPr>
        <w:t xml:space="preserve"> za 2020</w:t>
      </w:r>
      <w:r w:rsidR="001B4447">
        <w:rPr>
          <w:bCs/>
          <w:color w:val="auto"/>
        </w:rPr>
        <w:t>.</w:t>
      </w:r>
      <w:r w:rsidRPr="001B4447">
        <w:rPr>
          <w:bCs/>
          <w:color w:val="auto"/>
        </w:rPr>
        <w:t xml:space="preserve"> godinu</w:t>
      </w:r>
      <w:r w:rsidR="00F54E02" w:rsidRPr="001B4447">
        <w:rPr>
          <w:bCs/>
          <w:color w:val="auto"/>
        </w:rPr>
        <w:t xml:space="preserve"> navedene aktivne tvari nisu nađene iznad granice određivanja.</w:t>
      </w:r>
    </w:p>
    <w:p w14:paraId="1A18E2B8" w14:textId="77777777" w:rsidR="001850AB" w:rsidRDefault="001850AB" w:rsidP="009C1A64">
      <w:pPr>
        <w:pStyle w:val="Default"/>
        <w:spacing w:after="120"/>
        <w:jc w:val="both"/>
        <w:rPr>
          <w:bCs/>
        </w:rPr>
      </w:pPr>
    </w:p>
    <w:p w14:paraId="1A18E2B9" w14:textId="79F22D4D" w:rsidR="006F6284" w:rsidRDefault="006F6284" w:rsidP="00082723">
      <w:pPr>
        <w:pStyle w:val="Naslov3"/>
      </w:pPr>
      <w:r>
        <w:t xml:space="preserve">2.6. </w:t>
      </w:r>
      <w:r w:rsidR="00082723">
        <w:t>1.</w:t>
      </w:r>
      <w:r>
        <w:t xml:space="preserve"> SLUŽBENE KONTROLE </w:t>
      </w:r>
      <w:r w:rsidRPr="00E47EC1">
        <w:t>OSTATAKA PESTICIDA KOJI SU UJEDNO I POPs-OVI NA PROIZVODIMA BILJNOG I ŽIVOTINJSKOG PODRIJETLA</w:t>
      </w:r>
    </w:p>
    <w:p w14:paraId="1A18E2BA" w14:textId="77777777" w:rsidR="006F6284" w:rsidRDefault="006F6284" w:rsidP="006F6284">
      <w:pPr>
        <w:pStyle w:val="Default"/>
        <w:spacing w:after="120"/>
        <w:jc w:val="both"/>
        <w:rPr>
          <w:bCs/>
        </w:rPr>
      </w:pPr>
    </w:p>
    <w:p w14:paraId="1A18E2BB" w14:textId="77777777" w:rsidR="006F6284" w:rsidRDefault="006F6284" w:rsidP="006F6284">
      <w:pPr>
        <w:pStyle w:val="Default"/>
        <w:jc w:val="both"/>
        <w:rPr>
          <w:bCs/>
        </w:rPr>
      </w:pPr>
      <w:r>
        <w:rPr>
          <w:bCs/>
        </w:rPr>
        <w:t xml:space="preserve">Sanitarna inspekcija Državnog inspektorata je kroz sve službene kontrole, a što uključuje i kontrolu pri uvozu u ovom Izvještajnom razdoblju (2020.-2021.) provela analize 1601 uzorka hrane u kojima su ispitivani neke od slijedećih aktivnih tvari: </w:t>
      </w:r>
      <w:r w:rsidRPr="001E63A3">
        <w:rPr>
          <w:bCs/>
        </w:rPr>
        <w:t xml:space="preserve">aldrin, dieldrin, alfa-HCH, beta-HCH, eldrin, heptaklor, HCB, endosulfan, lindan, DDT. </w:t>
      </w:r>
    </w:p>
    <w:p w14:paraId="1A18E2BC" w14:textId="77777777" w:rsidR="006F6284" w:rsidRDefault="006F6284" w:rsidP="006F6284">
      <w:pPr>
        <w:pStyle w:val="Default"/>
        <w:jc w:val="both"/>
        <w:rPr>
          <w:bCs/>
        </w:rPr>
      </w:pPr>
    </w:p>
    <w:p w14:paraId="1A18E2BD" w14:textId="1A2D4D0C" w:rsidR="006F6284" w:rsidRDefault="006F6284" w:rsidP="006F6284">
      <w:pPr>
        <w:pStyle w:val="Default"/>
        <w:jc w:val="both"/>
        <w:rPr>
          <w:bCs/>
        </w:rPr>
      </w:pPr>
      <w:r>
        <w:rPr>
          <w:bCs/>
        </w:rPr>
        <w:t xml:space="preserve">U dva uzorka utvrđene su vrijednosti iznad LOQ, i za iste je iskazan numerički rezultat, ali dobivene vrijednosti bile su ispod propisanih maksimalno dopuštenih količina. Radilo se o jednom uzorku naranči i jednom uzorku instant kave koji su ispitivani u 2020. </w:t>
      </w:r>
    </w:p>
    <w:p w14:paraId="1A18E2BE" w14:textId="41506A64" w:rsidR="006F6284" w:rsidRPr="001E63A3" w:rsidRDefault="003B2676" w:rsidP="006F6284">
      <w:pPr>
        <w:pStyle w:val="Default"/>
        <w:jc w:val="both"/>
        <w:rPr>
          <w:bCs/>
        </w:rPr>
      </w:pPr>
      <w:r>
        <w:rPr>
          <w:bCs/>
        </w:rPr>
        <w:t>U svim ostalim uzorcima (</w:t>
      </w:r>
      <w:r w:rsidR="006F6284">
        <w:rPr>
          <w:bCs/>
        </w:rPr>
        <w:t>1599 uzoraka) sve vrijednosti su bile ispod granice kvantifikacije.</w:t>
      </w:r>
    </w:p>
    <w:p w14:paraId="1A18E2BF" w14:textId="77777777" w:rsidR="006F6284" w:rsidRDefault="006F6284" w:rsidP="006F6284">
      <w:pPr>
        <w:pStyle w:val="Default"/>
        <w:spacing w:after="120"/>
        <w:jc w:val="both"/>
        <w:rPr>
          <w:bCs/>
        </w:rPr>
      </w:pPr>
    </w:p>
    <w:p w14:paraId="1A18E2C0" w14:textId="77777777" w:rsidR="006F6284" w:rsidRPr="00E47EC1" w:rsidRDefault="006F6284" w:rsidP="009C1A64">
      <w:pPr>
        <w:pStyle w:val="Default"/>
        <w:spacing w:after="120"/>
        <w:jc w:val="both"/>
        <w:rPr>
          <w:bCs/>
        </w:rPr>
      </w:pPr>
    </w:p>
    <w:p w14:paraId="1A18E2C1" w14:textId="77777777" w:rsidR="00317EE7" w:rsidRPr="00E40B9A" w:rsidRDefault="007E5335" w:rsidP="007E5335">
      <w:pPr>
        <w:pStyle w:val="Naslov2"/>
        <w:numPr>
          <w:ilvl w:val="1"/>
          <w:numId w:val="10"/>
        </w:numPr>
        <w:tabs>
          <w:tab w:val="left" w:pos="284"/>
        </w:tabs>
        <w:spacing w:before="100" w:beforeAutospacing="1" w:after="120"/>
        <w:ind w:left="357" w:hanging="357"/>
        <w:rPr>
          <w:b w:val="0"/>
        </w:rPr>
      </w:pPr>
      <w:bookmarkStart w:id="43" w:name="_Toc100840624"/>
      <w:r w:rsidRPr="00E40B9A">
        <w:rPr>
          <w:b w:val="0"/>
        </w:rPr>
        <w:t>PRAĆENJE STANJA OSTATAKA</w:t>
      </w:r>
      <w:r w:rsidR="004F73CA" w:rsidRPr="00E40B9A">
        <w:rPr>
          <w:b w:val="0"/>
        </w:rPr>
        <w:t xml:space="preserve"> PESTICIDA</w:t>
      </w:r>
      <w:r w:rsidRPr="00E40B9A">
        <w:rPr>
          <w:b w:val="0"/>
        </w:rPr>
        <w:t xml:space="preserve"> U I NA HRANI</w:t>
      </w:r>
      <w:bookmarkEnd w:id="43"/>
    </w:p>
    <w:p w14:paraId="1A18E2C2" w14:textId="77777777" w:rsidR="00C4680A" w:rsidRPr="00E47EC1" w:rsidRDefault="00C4680A" w:rsidP="00C4680A">
      <w:pPr>
        <w:spacing w:after="120"/>
        <w:rPr>
          <w:bCs/>
          <w:iCs/>
        </w:rPr>
      </w:pPr>
    </w:p>
    <w:p w14:paraId="1A18E2C3" w14:textId="7746074C" w:rsidR="0061051C" w:rsidRPr="00E47EC1" w:rsidRDefault="0061051C" w:rsidP="0061051C">
      <w:pPr>
        <w:spacing w:after="120"/>
        <w:rPr>
          <w:bCs/>
          <w:iCs/>
        </w:rPr>
      </w:pPr>
      <w:r w:rsidRPr="00E47EC1">
        <w:rPr>
          <w:bCs/>
          <w:iCs/>
        </w:rPr>
        <w:t>Nacionalni Program praćenja (monitoringa) ostataka pesticida u proizvodima biljnog i životinjskog podrijetla u 2018. godini obuhvatio je praćenje ostataka pesticida u 28 proizvoda, 13 prema Provedbenoj Uredbi Komisije (EU) br. 2017/660 od 6. travnja 2017. vezano uz koordinirani višegodišnji program kontrole Unije za 2018., 2019. i 2020. za osiguranje sukladnosti s maksimalnim razinama ostataka pesticida i ocjenu izloženosti potrošača ostacima pesticida u i na hrani biljnog i životinjskog podrijetla, prema kojoj su također obuhvaćeni proizvodi iz ekološkog uzgoja (za svaki od proizvoda prema spomenutoj Uredbi) te dječja hrana. Osim navedenih proizvoda, obuhvaćeno je i 13 proizvoda za koje je u prethodnim programima monitoringa utvrđeno prekoračenje MDK ili nedopuštena primjena (jabuka, rajčica, jagoda, glavati kupus, zelena salata, mrkva, naranča, kruška, celer korjenaš, poriluk, luk, cvjetača i kivi) te dva proizvoda koja su također važna za prehranu stanovništva (borovnica i krastavci). Analizirano je 595 uzoraka. Analiza uzoraka biljnog podrijetla provedena je na 337 – 455 aktivnih tvari dok je na uzorcima životinjskog podrijetla provedena na 64 aktivnih tvari. 356 (59,83</w:t>
      </w:r>
      <w:r w:rsidR="00D5172D">
        <w:rPr>
          <w:bCs/>
          <w:iCs/>
        </w:rPr>
        <w:t xml:space="preserve"> </w:t>
      </w:r>
      <w:r w:rsidRPr="00E47EC1">
        <w:rPr>
          <w:bCs/>
          <w:iCs/>
        </w:rPr>
        <w:t xml:space="preserve">%) uzoraka nije sadržavalo ostatke pesticida (ispod granice određivanja). </w:t>
      </w:r>
      <w:r w:rsidRPr="00E47EC1">
        <w:rPr>
          <w:bCs/>
          <w:iCs/>
        </w:rPr>
        <w:lastRenderedPageBreak/>
        <w:t>U 226 uzorka (37,98</w:t>
      </w:r>
      <w:r w:rsidR="00D5172D">
        <w:rPr>
          <w:bCs/>
          <w:iCs/>
        </w:rPr>
        <w:t xml:space="preserve"> </w:t>
      </w:r>
      <w:r w:rsidRPr="00E47EC1">
        <w:rPr>
          <w:bCs/>
          <w:iCs/>
        </w:rPr>
        <w:t xml:space="preserve">%) nađeni su ostaci pesticida u dopuštenim koncentracijama (ispod MDK), a kod 6 uzoraka (1,27 %) ostaci su prelazili MDK. </w:t>
      </w:r>
    </w:p>
    <w:p w14:paraId="1A18E2C4" w14:textId="3966B90B" w:rsidR="0061051C" w:rsidRDefault="0061051C" w:rsidP="0061051C">
      <w:pPr>
        <w:spacing w:after="120"/>
        <w:rPr>
          <w:bCs/>
          <w:iCs/>
        </w:rPr>
      </w:pPr>
      <w:r w:rsidRPr="00E47EC1">
        <w:rPr>
          <w:bCs/>
          <w:iCs/>
        </w:rPr>
        <w:t>Nacionalni Program praćenja (monitoringa) ostataka pesticida u proizvodima biljnog i životinjskog podrijetla u 2019. obuhvatio je praćenje ostataka pesticida na ukupno 20 proizvoda biljnog i životinjskog podrijetla od kojih je 13 proizvoda odabrano prema Provedbenoj uredbi Komisije (EU) br. 2018/555 od 9. travnja 2018. vezano uz koordinirani višegodišnji program kontrole Unije za 2019., 2020. i 2021. za osiguranje sukladnosti s maksimalnim razinama ostataka pesticida i ocjenu izloženosti potrošača ostacima pesticida u i na hrani biljnog i životinjskog podrijetla, kojima su pridodani proizvodi za koje je u prethodnim programima monitoringa utvrđeno prekoračenje MDK ili nedopuštena primjena: naranča, kruška, borovnica, banane, grejp, celer</w:t>
      </w:r>
      <w:r w:rsidR="0046361B">
        <w:rPr>
          <w:bCs/>
          <w:iCs/>
        </w:rPr>
        <w:t>,</w:t>
      </w:r>
      <w:r w:rsidRPr="00E47EC1">
        <w:rPr>
          <w:bCs/>
          <w:iCs/>
        </w:rPr>
        <w:t xml:space="preserve"> kivi</w:t>
      </w:r>
      <w:r w:rsidR="0046361B">
        <w:rPr>
          <w:bCs/>
          <w:iCs/>
        </w:rPr>
        <w:t xml:space="preserve"> i krastavci.</w:t>
      </w:r>
      <w:r w:rsidRPr="00E47EC1">
        <w:rPr>
          <w:bCs/>
          <w:iCs/>
        </w:rPr>
        <w:t xml:space="preserve"> Analizirano je 290 uzoraka. U </w:t>
      </w:r>
      <w:r w:rsidR="005D0E4D">
        <w:rPr>
          <w:bCs/>
          <w:iCs/>
        </w:rPr>
        <w:t>166</w:t>
      </w:r>
      <w:r w:rsidR="00350EB0">
        <w:rPr>
          <w:bCs/>
          <w:iCs/>
        </w:rPr>
        <w:t xml:space="preserve"> </w:t>
      </w:r>
      <w:r w:rsidRPr="00E47EC1">
        <w:rPr>
          <w:bCs/>
          <w:iCs/>
        </w:rPr>
        <w:t>(</w:t>
      </w:r>
      <w:r w:rsidR="005D0E4D">
        <w:rPr>
          <w:bCs/>
          <w:iCs/>
        </w:rPr>
        <w:t>57,2</w:t>
      </w:r>
      <w:r w:rsidR="004A4388">
        <w:rPr>
          <w:bCs/>
          <w:iCs/>
        </w:rPr>
        <w:t>4</w:t>
      </w:r>
      <w:r w:rsidR="005D0E4D">
        <w:rPr>
          <w:bCs/>
          <w:iCs/>
        </w:rPr>
        <w:t xml:space="preserve"> %</w:t>
      </w:r>
      <w:r w:rsidR="00350EB0">
        <w:rPr>
          <w:bCs/>
          <w:iCs/>
        </w:rPr>
        <w:t xml:space="preserve"> </w:t>
      </w:r>
      <w:r w:rsidRPr="00E47EC1">
        <w:rPr>
          <w:bCs/>
          <w:iCs/>
        </w:rPr>
        <w:t xml:space="preserve">uzoraka nisu nađeni ostaci pesticida (iznad granice određivanja), u </w:t>
      </w:r>
      <w:r w:rsidR="005D0E4D">
        <w:rPr>
          <w:bCs/>
          <w:iCs/>
        </w:rPr>
        <w:t xml:space="preserve">116 </w:t>
      </w:r>
      <w:r w:rsidRPr="00E47EC1">
        <w:rPr>
          <w:bCs/>
          <w:iCs/>
        </w:rPr>
        <w:t>(</w:t>
      </w:r>
      <w:r w:rsidR="005D0E4D">
        <w:rPr>
          <w:bCs/>
          <w:iCs/>
        </w:rPr>
        <w:t>40%</w:t>
      </w:r>
      <w:r w:rsidRPr="00E47EC1">
        <w:rPr>
          <w:bCs/>
          <w:iCs/>
        </w:rPr>
        <w:t xml:space="preserve">) uzorka nađeni su ostaci pesticida ispod MDK, a u </w:t>
      </w:r>
      <w:r w:rsidR="005D0E4D">
        <w:rPr>
          <w:bCs/>
          <w:iCs/>
        </w:rPr>
        <w:t xml:space="preserve"> 8 </w:t>
      </w:r>
      <w:r w:rsidRPr="00E47EC1">
        <w:rPr>
          <w:bCs/>
          <w:iCs/>
        </w:rPr>
        <w:t>(</w:t>
      </w:r>
      <w:r w:rsidR="004A4388">
        <w:rPr>
          <w:bCs/>
          <w:iCs/>
        </w:rPr>
        <w:t>2,76</w:t>
      </w:r>
      <w:r w:rsidR="005D0E4D">
        <w:rPr>
          <w:bCs/>
          <w:iCs/>
        </w:rPr>
        <w:t xml:space="preserve"> %</w:t>
      </w:r>
      <w:r w:rsidRPr="00E47EC1">
        <w:rPr>
          <w:bCs/>
          <w:iCs/>
        </w:rPr>
        <w:t xml:space="preserve">) uzoraka nađeni su ostaci pesticida iznad MDK. </w:t>
      </w:r>
    </w:p>
    <w:p w14:paraId="504389EC" w14:textId="08EC4C1B" w:rsidR="008411E1" w:rsidRDefault="008411E1" w:rsidP="0061051C">
      <w:pPr>
        <w:spacing w:after="120"/>
        <w:rPr>
          <w:bCs/>
          <w:iCs/>
        </w:rPr>
      </w:pPr>
      <w:r w:rsidRPr="00E47EC1">
        <w:rPr>
          <w:bCs/>
          <w:iCs/>
        </w:rPr>
        <w:t xml:space="preserve">Nacionalni Program praćenja (monitoringa) ostataka pesticida u proizvodima biljnog </w:t>
      </w:r>
      <w:r>
        <w:rPr>
          <w:bCs/>
          <w:iCs/>
        </w:rPr>
        <w:t>i životinjskog podrijetla u 2020</w:t>
      </w:r>
      <w:r w:rsidRPr="00E47EC1">
        <w:rPr>
          <w:bCs/>
          <w:iCs/>
        </w:rPr>
        <w:t xml:space="preserve">. obuhvatio je praćenje ostataka pesticida na ukupno </w:t>
      </w:r>
      <w:r w:rsidR="00D65736" w:rsidRPr="00350EB0">
        <w:rPr>
          <w:bCs/>
          <w:iCs/>
        </w:rPr>
        <w:t>26</w:t>
      </w:r>
      <w:r w:rsidRPr="00E47EC1">
        <w:rPr>
          <w:bCs/>
          <w:iCs/>
        </w:rPr>
        <w:t xml:space="preserve"> proizvoda biljnog i životinjskog podrijetla od kojih je </w:t>
      </w:r>
      <w:r w:rsidR="00D65736" w:rsidRPr="00350EB0">
        <w:rPr>
          <w:bCs/>
          <w:iCs/>
        </w:rPr>
        <w:t>14</w:t>
      </w:r>
      <w:r w:rsidRPr="00E47EC1">
        <w:rPr>
          <w:bCs/>
          <w:iCs/>
        </w:rPr>
        <w:t xml:space="preserve"> proizvoda odabrano prema </w:t>
      </w:r>
      <w:r w:rsidR="0096346A">
        <w:t>Provedbenoj uredbi Komisije (EU) 2019/533 od 28. ožujka 2019. o koordiniranom višegodišnjem programu kontrole Unije za 2020., 2021. i 2022. za osiguranje sukladnosti s maksimalnim razinama pesticida i ocjenu izloženosti potrošača ostacima pesticida u i na hrani biljnog i životinjskog podrijetla</w:t>
      </w:r>
      <w:r w:rsidRPr="00E47EC1">
        <w:rPr>
          <w:bCs/>
          <w:iCs/>
        </w:rPr>
        <w:t>, kojima su pridodani proizvodi za koje je u prethodnim programima monitoringa utvrđeno prekoračenje MDK ili nedopuštena primjena:</w:t>
      </w:r>
      <w:r w:rsidR="0046361B" w:rsidRPr="0046361B">
        <w:t xml:space="preserve"> </w:t>
      </w:r>
      <w:r w:rsidR="0046361B">
        <w:t>jagode, breskve, špinat, jabuke, grožđe, zelena salata, krastavci, zob u zrnu, mandarine.</w:t>
      </w:r>
    </w:p>
    <w:p w14:paraId="5F0007BF" w14:textId="3D1FE2E4" w:rsidR="0096346A" w:rsidRPr="00E47EC1" w:rsidRDefault="0096346A" w:rsidP="0061051C">
      <w:pPr>
        <w:spacing w:after="120"/>
        <w:rPr>
          <w:bCs/>
          <w:iCs/>
        </w:rPr>
      </w:pPr>
      <w:r w:rsidRPr="0096346A">
        <w:rPr>
          <w:bCs/>
          <w:iCs/>
        </w:rPr>
        <w:t>U 2020. godini analizirano je 311 uzoraka u okviru Nacionalnog programa praćenja (monitoringa) ostataka pesticida u i na hrani i 330 uzoraka u okviru ostalih službenih kontrola (na granici, u djelokrugu kontrole pravilne upotrebe i kontrole ekoloških proizvoda).</w:t>
      </w:r>
      <w:r w:rsidR="00E44C4D" w:rsidRPr="00E44C4D">
        <w:rPr>
          <w:bCs/>
          <w:iCs/>
        </w:rPr>
        <w:t xml:space="preserve"> </w:t>
      </w:r>
      <w:r w:rsidR="007C1E1F">
        <w:rPr>
          <w:bCs/>
          <w:iCs/>
        </w:rPr>
        <w:t xml:space="preserve">Od ukupno </w:t>
      </w:r>
      <w:r w:rsidR="00606F9F">
        <w:rPr>
          <w:bCs/>
          <w:iCs/>
        </w:rPr>
        <w:t xml:space="preserve">analiziranih </w:t>
      </w:r>
      <w:r w:rsidR="007C1E1F">
        <w:rPr>
          <w:bCs/>
          <w:iCs/>
        </w:rPr>
        <w:t xml:space="preserve">641 uzoraka u </w:t>
      </w:r>
      <w:r w:rsidR="00E44C4D">
        <w:rPr>
          <w:bCs/>
          <w:iCs/>
        </w:rPr>
        <w:t xml:space="preserve">413 </w:t>
      </w:r>
      <w:r w:rsidR="00AE2A46">
        <w:rPr>
          <w:bCs/>
          <w:iCs/>
        </w:rPr>
        <w:t>(64,43</w:t>
      </w:r>
      <w:r w:rsidR="00E44C4D">
        <w:rPr>
          <w:bCs/>
          <w:iCs/>
        </w:rPr>
        <w:t xml:space="preserve"> </w:t>
      </w:r>
      <w:r w:rsidR="00E44C4D" w:rsidRPr="00E47EC1">
        <w:rPr>
          <w:bCs/>
          <w:iCs/>
        </w:rPr>
        <w:t>%) uzoraka</w:t>
      </w:r>
      <w:r w:rsidR="00F95F61">
        <w:rPr>
          <w:bCs/>
          <w:iCs/>
        </w:rPr>
        <w:t xml:space="preserve"> </w:t>
      </w:r>
      <w:r w:rsidR="00E44C4D" w:rsidRPr="00E47EC1">
        <w:rPr>
          <w:bCs/>
          <w:iCs/>
        </w:rPr>
        <w:t>nisu nađeni ostaci pesticida (</w:t>
      </w:r>
      <w:r w:rsidR="00AE2A46">
        <w:rPr>
          <w:bCs/>
          <w:iCs/>
        </w:rPr>
        <w:t xml:space="preserve">iznad granice određivanja), u </w:t>
      </w:r>
      <w:r w:rsidR="000E2D3B">
        <w:rPr>
          <w:bCs/>
          <w:iCs/>
        </w:rPr>
        <w:t xml:space="preserve">190 </w:t>
      </w:r>
      <w:r w:rsidR="00AE2A46">
        <w:rPr>
          <w:bCs/>
          <w:iCs/>
        </w:rPr>
        <w:t xml:space="preserve"> (</w:t>
      </w:r>
      <w:r w:rsidR="000E2D3B">
        <w:rPr>
          <w:bCs/>
          <w:iCs/>
        </w:rPr>
        <w:t>29.64 %</w:t>
      </w:r>
      <w:r w:rsidR="00E44C4D" w:rsidRPr="00E47EC1">
        <w:rPr>
          <w:bCs/>
          <w:iCs/>
        </w:rPr>
        <w:t>) uzorka nađeni su os</w:t>
      </w:r>
      <w:r w:rsidR="00AE2A46">
        <w:rPr>
          <w:bCs/>
          <w:iCs/>
        </w:rPr>
        <w:t>taci pesticida ispod MDK, a u 38 (5,93</w:t>
      </w:r>
      <w:r w:rsidR="00E44C4D">
        <w:rPr>
          <w:bCs/>
          <w:iCs/>
        </w:rPr>
        <w:t xml:space="preserve"> </w:t>
      </w:r>
      <w:r w:rsidR="00E44C4D" w:rsidRPr="00E47EC1">
        <w:rPr>
          <w:bCs/>
          <w:iCs/>
        </w:rPr>
        <w:t xml:space="preserve">%) uzoraka nađeni su ostaci pesticida iznad MDK. </w:t>
      </w:r>
    </w:p>
    <w:p w14:paraId="1A18E2C5" w14:textId="77777777" w:rsidR="00E23D6C" w:rsidRPr="00F54E02" w:rsidRDefault="0061051C" w:rsidP="00C4680A">
      <w:pPr>
        <w:spacing w:after="120"/>
        <w:rPr>
          <w:b/>
          <w:bCs/>
          <w:iCs/>
        </w:rPr>
      </w:pPr>
      <w:r w:rsidRPr="00F54E02">
        <w:rPr>
          <w:b/>
          <w:bCs/>
          <w:iCs/>
        </w:rPr>
        <w:t>Nije nađeno niti jedno prekoračenje pesticida koji su ujedno i POPs-ovi.</w:t>
      </w:r>
    </w:p>
    <w:p w14:paraId="1A18E2C6" w14:textId="77777777" w:rsidR="00317EE7" w:rsidRPr="00E47EC1" w:rsidRDefault="007E5335" w:rsidP="007E5335">
      <w:pPr>
        <w:pStyle w:val="Naslov2"/>
        <w:numPr>
          <w:ilvl w:val="1"/>
          <w:numId w:val="10"/>
        </w:numPr>
        <w:spacing w:before="100" w:beforeAutospacing="1" w:after="120"/>
        <w:ind w:left="357" w:hanging="357"/>
        <w:rPr>
          <w:b w:val="0"/>
        </w:rPr>
      </w:pPr>
      <w:bookmarkStart w:id="44" w:name="_Toc100840625"/>
      <w:r w:rsidRPr="00E47EC1">
        <w:rPr>
          <w:b w:val="0"/>
        </w:rPr>
        <w:t>MONITORING OSTATAKA POP</w:t>
      </w:r>
      <w:r w:rsidR="004F73CA" w:rsidRPr="00E47EC1">
        <w:rPr>
          <w:b w:val="0"/>
        </w:rPr>
        <w:t>s</w:t>
      </w:r>
      <w:r w:rsidRPr="00E47EC1">
        <w:rPr>
          <w:b w:val="0"/>
        </w:rPr>
        <w:t>-OVA U LJUDSKOM MLIJEKU DOJILJA</w:t>
      </w:r>
      <w:bookmarkEnd w:id="44"/>
    </w:p>
    <w:p w14:paraId="3293A6AA" w14:textId="77777777" w:rsidR="00466DB7" w:rsidRPr="00466DB7" w:rsidRDefault="00466DB7" w:rsidP="00466DB7">
      <w:pPr>
        <w:spacing w:before="120" w:after="120"/>
      </w:pPr>
      <w:bookmarkStart w:id="45" w:name="_Toc100840626"/>
      <w:r w:rsidRPr="00466DB7">
        <w:t>Kako bi se pratila provedba, odnosno učinkovitost provođenja obvezi propisanih Konvencijom, jedan od najvažnijih mehanizama je aktivno sudjelovanje/uključivanje u međunarodni monitoring plana za praćenje učinkovitosti same Konvencije, a koji između ostalog uključuje i ispitivanje POPs-ova u uzorcima mlijeka dojilja. Institucije Republike Hrvatske, u suradnji sa znanstvenim institucijama iz Republike Srbije, kontinuirano sudjeluju u istraživanjima i razvoju analiza. Sa svrhom boljeg razumijevanja odnosa i raspodjele 17 kongenera PCB-a i gore navedenih OCP-a  u majčinom mlijeku, primijenjene su sofisticirane metode poput numeričkog i statističkog modeliranja, ali i uporabe algoritama tzv. strojnog učenja u obradi rezultata analize majčinog mlijeka te su objavljeni  preliminarni podaci.</w:t>
      </w:r>
    </w:p>
    <w:p w14:paraId="656DA80A" w14:textId="77777777" w:rsidR="00466DB7" w:rsidRPr="00466DB7" w:rsidRDefault="00466DB7" w:rsidP="00466DB7">
      <w:pPr>
        <w:spacing w:before="120" w:after="120"/>
      </w:pPr>
      <w:r w:rsidRPr="00466DB7">
        <w:t xml:space="preserve">Evaluirana je raspodjela postojanih organskih spojeva u majčinom mlijeku, a za modeliranje odnosa između PCB-138 i drugih kongenera PCB-a, dobi majke i broja poroda primijenjena metoda umjetne inteligencije Shapley Additive ExPlanations (SHAP). Objavljeno u dvije publikacije: </w:t>
      </w:r>
    </w:p>
    <w:p w14:paraId="3AD47122" w14:textId="482939F2" w:rsidR="00466DB7" w:rsidRPr="00466DB7" w:rsidRDefault="00466DB7" w:rsidP="00466DB7">
      <w:pPr>
        <w:spacing w:before="120" w:after="120"/>
      </w:pPr>
      <w:r w:rsidRPr="00466DB7">
        <w:t xml:space="preserve">1) Jovanović G, Matek Sarić M, Herceg Romanić S, Stanišić S, Mitrović Dankulov M,  Popović A, Perišić M. Patterns of PCB-138 Occurrence in the Breast Milk of Primiparae and Multiparae Using </w:t>
      </w:r>
      <w:r w:rsidRPr="00466DB7">
        <w:lastRenderedPageBreak/>
        <w:t>SHapley Additive exPlanations Analysis // Artificial Intelligence: Theory and Applications / Pap, Andre (ur.). Cham: Springer, Cham, 2021. str. 191-206.</w:t>
      </w:r>
    </w:p>
    <w:p w14:paraId="0304F59B" w14:textId="77777777" w:rsidR="00466DB7" w:rsidRPr="00466DB7" w:rsidRDefault="00466DB7" w:rsidP="00466DB7">
      <w:pPr>
        <w:spacing w:before="120" w:after="120"/>
      </w:pPr>
      <w:r w:rsidRPr="00466DB7">
        <w:t>2) Stojić A, Matek Sarić M, Herceg Romanić S. Shapley additive explanations of indicator pcb-138 distribution in breast milk. Book of proceedings international scientific conference on Information technology and data related research - Sinteza 2020. Singidunum University, Belgrade, Serbia.</w:t>
      </w:r>
    </w:p>
    <w:p w14:paraId="704EDD06" w14:textId="77777777" w:rsidR="00466DB7" w:rsidRPr="00466DB7" w:rsidRDefault="00466DB7" w:rsidP="00466DB7">
      <w:pPr>
        <w:spacing w:before="120" w:after="120"/>
      </w:pPr>
      <w:r w:rsidRPr="00466DB7">
        <w:t>Započeta su istraživanja simulacije gastrointestinalne resorpcije postojanih organskih spojeva iz majčinog mlijeka. U planu je istražiti i ukupni sadržaj makro- i mikroelemenata te bioraspoloživih frakcija elemenata u mlijeku radi procjene koristi i rizika za zdravlje beba.</w:t>
      </w:r>
    </w:p>
    <w:p w14:paraId="1C822559" w14:textId="77777777" w:rsidR="00466DB7" w:rsidRPr="00E47EC1" w:rsidRDefault="00466DB7" w:rsidP="00466DB7">
      <w:pPr>
        <w:spacing w:before="120" w:after="120"/>
      </w:pPr>
      <w:r w:rsidRPr="00466DB7">
        <w:t>Prema iznesenim rezultatima, populacija u Republici Hrvatskoj nije značajno ugrožena onečišćenjem organoklornim spojevima. Ipak, potrebno je pratiti razine organoklornih spojeva kako u ljudima tako i ekosustavima u područjima sa sekundarnim izvorima onečišćenja.</w:t>
      </w:r>
    </w:p>
    <w:p w14:paraId="1A18E2CE" w14:textId="77777777" w:rsidR="007160F9" w:rsidRPr="007C453F" w:rsidRDefault="007160F9" w:rsidP="0045316F">
      <w:pPr>
        <w:pStyle w:val="Naslov2"/>
        <w:numPr>
          <w:ilvl w:val="1"/>
          <w:numId w:val="10"/>
        </w:numPr>
        <w:spacing w:before="100" w:beforeAutospacing="1" w:after="120"/>
        <w:ind w:left="357" w:hanging="357"/>
        <w:rPr>
          <w:b w:val="0"/>
        </w:rPr>
      </w:pPr>
      <w:r w:rsidRPr="007C453F">
        <w:rPr>
          <w:b w:val="0"/>
        </w:rPr>
        <w:t xml:space="preserve">MONITORING REZIDUA </w:t>
      </w:r>
      <w:r w:rsidR="0045316F" w:rsidRPr="007C453F">
        <w:rPr>
          <w:b w:val="0"/>
        </w:rPr>
        <w:t>–</w:t>
      </w:r>
      <w:r w:rsidRPr="007C453F">
        <w:rPr>
          <w:b w:val="0"/>
        </w:rPr>
        <w:t xml:space="preserve"> OSTALI IZVORI</w:t>
      </w:r>
      <w:bookmarkEnd w:id="45"/>
    </w:p>
    <w:p w14:paraId="1A18E2CF" w14:textId="36325319" w:rsidR="007160F9" w:rsidRPr="00E47EC1" w:rsidRDefault="007160F9" w:rsidP="0045315A">
      <w:pPr>
        <w:spacing w:after="240"/>
      </w:pPr>
      <w:r w:rsidRPr="00E47EC1">
        <w:t>Zakonom o veterinarstvu (Narodne novine, br. 82/13 i 148/13) u članku 93., definiran je monitoring program sustavnoga praćenja rezidua i drugih za ljudsko zdravlje škodljivih onečišćivača, u proizvodima životinjskoga podrijetla koji su namijenjeni prehrani ljudi. Državnim programom monitoringa rezidua (DPMR) kontroliraju se uzorci goveda, svinj</w:t>
      </w:r>
      <w:r w:rsidR="008520B2">
        <w:t>a</w:t>
      </w:r>
      <w:r w:rsidRPr="00E47EC1">
        <w:t>, peradi, ovaca, koza, konja, slatkovodne i morske ribe, meda, mlijeka i jaja na organoklorne tvari (pesticide) te na dioksine i dioksinima slične PCB-e.</w:t>
      </w:r>
    </w:p>
    <w:p w14:paraId="1A18E2D0" w14:textId="5DB78CFB" w:rsidR="00E63CF2" w:rsidRPr="00E47EC1" w:rsidRDefault="00E63CF2" w:rsidP="0045315A">
      <w:pPr>
        <w:spacing w:after="240"/>
      </w:pPr>
      <w:r w:rsidRPr="00E47EC1">
        <w:t>U izvještajnom periodu 20</w:t>
      </w:r>
      <w:r w:rsidR="007C453F">
        <w:t>19</w:t>
      </w:r>
      <w:r w:rsidRPr="00E47EC1">
        <w:t>. – 20</w:t>
      </w:r>
      <w:r w:rsidR="007C453F">
        <w:t>21</w:t>
      </w:r>
      <w:r w:rsidRPr="00E47EC1">
        <w:t>. u DPMR navedene aktivne tvari nisu nađene u koncentracijama iznad najviših dopuštenih količina.</w:t>
      </w:r>
    </w:p>
    <w:p w14:paraId="1A18E2D1" w14:textId="77777777" w:rsidR="006F5D5D" w:rsidRPr="00E47EC1" w:rsidRDefault="007E5335" w:rsidP="007160F9">
      <w:pPr>
        <w:pStyle w:val="Naslov2"/>
        <w:numPr>
          <w:ilvl w:val="1"/>
          <w:numId w:val="10"/>
        </w:numPr>
        <w:spacing w:before="100" w:beforeAutospacing="1" w:after="120"/>
        <w:ind w:left="357" w:hanging="357"/>
        <w:rPr>
          <w:b w:val="0"/>
          <w:color w:val="FF0000"/>
        </w:rPr>
      </w:pPr>
      <w:bookmarkStart w:id="46" w:name="_Toc100840627"/>
      <w:r w:rsidRPr="00E47EC1">
        <w:rPr>
          <w:b w:val="0"/>
        </w:rPr>
        <w:t>IZVJEŠTAJI IZ OVLAŠTENIH LABORATORIJA</w:t>
      </w:r>
      <w:bookmarkEnd w:id="46"/>
    </w:p>
    <w:p w14:paraId="1A18E2D2" w14:textId="77777777" w:rsidR="00E47EC1" w:rsidRPr="00A56BCC" w:rsidRDefault="00E47EC1" w:rsidP="00E47EC1">
      <w:pPr>
        <w:rPr>
          <w:rFonts w:eastAsia="Calibri"/>
          <w:i/>
          <w:iCs/>
        </w:rPr>
      </w:pPr>
      <w:r w:rsidRPr="00A56BCC">
        <w:rPr>
          <w:rFonts w:eastAsia="Calibri"/>
        </w:rPr>
        <w:t> </w:t>
      </w:r>
      <w:r w:rsidRPr="00A56BCC">
        <w:rPr>
          <w:rFonts w:eastAsia="Calibri"/>
          <w:i/>
          <w:iCs/>
        </w:rPr>
        <w:t>Izvještaj Službe za zaštitu okoliša i zdravstvenu ekologiju Nastavnog zavoda za javno zdravstvo „Dr. Andrija Štampar“, Zagreb</w:t>
      </w:r>
    </w:p>
    <w:p w14:paraId="1A18E2D3" w14:textId="77777777" w:rsidR="00D42C65" w:rsidRPr="00A56BCC" w:rsidRDefault="00D42C65" w:rsidP="00E47EC1">
      <w:pPr>
        <w:rPr>
          <w:rFonts w:eastAsia="Calibri"/>
        </w:rPr>
      </w:pPr>
    </w:p>
    <w:p w14:paraId="1A18E2D4" w14:textId="77777777" w:rsidR="00C85C47" w:rsidRPr="00A56BCC" w:rsidRDefault="00C85C47" w:rsidP="00C85C47">
      <w:pPr>
        <w:spacing w:after="160"/>
        <w:rPr>
          <w:rFonts w:eastAsia="Calibri"/>
        </w:rPr>
      </w:pPr>
      <w:r w:rsidRPr="00A56BCC">
        <w:rPr>
          <w:rFonts w:eastAsia="Calibri"/>
        </w:rPr>
        <w:t>Laboratoriji Službe ovlašteni su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novine-Međunarodni ugovori, broj 11/06) i Nacionalnom planu za provedbu Stockholmske konvencije o postojanim organskim onečišćujućim tvarima:</w:t>
      </w:r>
    </w:p>
    <w:p w14:paraId="1A18E2D5" w14:textId="77777777" w:rsidR="00C85C47" w:rsidRPr="00A56BCC" w:rsidRDefault="00C85C47" w:rsidP="00C85C47">
      <w:pPr>
        <w:numPr>
          <w:ilvl w:val="0"/>
          <w:numId w:val="38"/>
        </w:numPr>
        <w:spacing w:after="160"/>
        <w:rPr>
          <w:rFonts w:eastAsia="Calibri"/>
        </w:rPr>
      </w:pPr>
      <w:r w:rsidRPr="00A56BCC">
        <w:rPr>
          <w:rFonts w:eastAsia="Calibri"/>
        </w:rPr>
        <w:t>uzimanja uzoraka i ispitivanje voda (Ovlašteni laboratorij za ispitivanje vode prema Rješenju o ispunjenju posebnih uvjeta Ministarstva zaštite okoliša i energetike, Klasa: UP/I-325-07/19-02/12, Ur. broj: 517-07-1-2-1-19-4 od 18. studenog 2019. godine., vrijedi do 24.2.2026)</w:t>
      </w:r>
    </w:p>
    <w:p w14:paraId="1A18E2D6" w14:textId="77777777" w:rsidR="00C85C47" w:rsidRPr="00A56BCC" w:rsidRDefault="00C85C47" w:rsidP="00C85C47">
      <w:pPr>
        <w:numPr>
          <w:ilvl w:val="0"/>
          <w:numId w:val="38"/>
        </w:numPr>
        <w:spacing w:after="160"/>
        <w:rPr>
          <w:rFonts w:eastAsia="Calibri"/>
        </w:rPr>
      </w:pPr>
      <w:r w:rsidRPr="00A56BCC">
        <w:rPr>
          <w:rFonts w:eastAsia="Calibri"/>
        </w:rPr>
        <w:t>izrade izvješća o stanju okoliša, sanacijskih elaborata, programa i izvješća, određivanje vrste otpada, opasnih svojstava otpada te uzorkovanje i ispitivanje fizikalnih i kemijskih svojstava otpada, praćenje stanja okoliša, obavljanje stručnih poslova za potrebe Registra onečišćavanja okoliša (Kl: UP/I-351-02/14-08/86, Ur.br: 517-03-1-2-19-6, do opoziva)</w:t>
      </w:r>
    </w:p>
    <w:p w14:paraId="1A18E2D7" w14:textId="77777777" w:rsidR="00C85C47" w:rsidRPr="00A56BCC" w:rsidRDefault="00C85C47" w:rsidP="00C85C47">
      <w:pPr>
        <w:numPr>
          <w:ilvl w:val="0"/>
          <w:numId w:val="38"/>
        </w:numPr>
        <w:spacing w:after="160"/>
        <w:rPr>
          <w:rFonts w:eastAsia="Calibri"/>
        </w:rPr>
      </w:pPr>
      <w:r w:rsidRPr="00A56BCC">
        <w:rPr>
          <w:rFonts w:eastAsia="Calibri"/>
        </w:rPr>
        <w:t>obavljanje poslova zaštite na radu, osposobljavanja radnika za rad na siguran način,  izrade procjene rizika, ispitivanja radne opreme, ispitivanja u radnom okolišu (ispitivanja fizikalnih, kemijskih i bioloških čimbenika) (Zavod za unapređivanje zaštite na radu Kl: UP/I-115-01/15-01/85, Ur.Br: 425-02/2-17-15 do opoziva)</w:t>
      </w:r>
    </w:p>
    <w:p w14:paraId="1A18E2D8" w14:textId="77777777" w:rsidR="00C85C47" w:rsidRPr="00A56BCC" w:rsidRDefault="00C85C47" w:rsidP="00C85C47">
      <w:pPr>
        <w:numPr>
          <w:ilvl w:val="0"/>
          <w:numId w:val="38"/>
        </w:numPr>
        <w:spacing w:after="160"/>
        <w:rPr>
          <w:rFonts w:eastAsia="Calibri"/>
        </w:rPr>
      </w:pPr>
      <w:r w:rsidRPr="00A56BCC">
        <w:rPr>
          <w:rFonts w:eastAsia="Calibri"/>
        </w:rPr>
        <w:lastRenderedPageBreak/>
        <w:t>uzorkovanje i ispitivanje hrane, hrane za životinje, ispitivanje prirodne mineralne, stolne i izvorske vode (Ministarstvo poljoprivrede Kl: UP-I-322-01/18-01/42, Ur.br: 525-10/0538-20-5, do opoziva)</w:t>
      </w:r>
    </w:p>
    <w:p w14:paraId="1A18E2D9" w14:textId="77777777" w:rsidR="00C85C47" w:rsidRPr="00A56BCC" w:rsidRDefault="00C85C47" w:rsidP="00C85C47">
      <w:pPr>
        <w:spacing w:after="160"/>
        <w:rPr>
          <w:rFonts w:eastAsia="Calibri"/>
        </w:rPr>
      </w:pPr>
      <w:r w:rsidRPr="00A56BCC">
        <w:rPr>
          <w:rFonts w:eastAsia="Calibri"/>
        </w:rPr>
        <w:sym w:font="Times New Roman" w:char="F0B7"/>
      </w:r>
      <w:r w:rsidRPr="00A56BCC">
        <w:rPr>
          <w:rFonts w:eastAsia="Calibri"/>
        </w:rPr>
        <w:t>         kao referentni laboratorij za područje pesticida u hrani biljnog podrijetla, za pesticide u voću i povrću, žitaricama te ispitivanju pesticida pojedinačnim metodama (Ministarstvo poljoprivrede Kl: UP/I-322-01/17-01/120, Ur.Br: 525-10/0766-19-16 do opoziva).</w:t>
      </w:r>
    </w:p>
    <w:p w14:paraId="1A18E2DA" w14:textId="77777777" w:rsidR="00C85C47" w:rsidRPr="00A56BCC" w:rsidRDefault="00C85C47" w:rsidP="00C85C47">
      <w:pPr>
        <w:spacing w:after="160"/>
        <w:rPr>
          <w:rFonts w:eastAsia="Calibri"/>
        </w:rPr>
      </w:pPr>
      <w:bookmarkStart w:id="47" w:name="x__Hlk3368775"/>
      <w:r w:rsidRPr="00A56BCC">
        <w:rPr>
          <w:rFonts w:eastAsia="Calibri"/>
        </w:rPr>
        <w:t>Tijekom 2020. i 2021. u 802 uzorka vode za ljudsku potrošnju, površinske vode, podzemne vode i otpadne vode analiziran je ukupno 7350 parametar (tvari uključenih u popis postojanih organskih onečišćujućih tvari u Republici Hrvatskoj).</w:t>
      </w:r>
    </w:p>
    <w:bookmarkEnd w:id="47"/>
    <w:p w14:paraId="1A18E2DB" w14:textId="77777777" w:rsidR="00C85C47" w:rsidRPr="00A56BCC" w:rsidRDefault="00C85C47" w:rsidP="00C85C47">
      <w:pPr>
        <w:spacing w:after="160"/>
        <w:rPr>
          <w:rFonts w:eastAsia="Calibri"/>
        </w:rPr>
      </w:pPr>
      <w:r w:rsidRPr="00A56BCC">
        <w:rPr>
          <w:rFonts w:eastAsia="Calibri"/>
        </w:rPr>
        <w:t>U ukupno 1456 uzoraka hrane i predmeta opće uporabe analizirano je ukupno 15684 parametara (tvari uključenih u popis postojanih organskih onečišćujućih tvari u Republici Hrvatskoj).</w:t>
      </w:r>
    </w:p>
    <w:p w14:paraId="1A18E2DC" w14:textId="77777777" w:rsidR="00C85C47" w:rsidRPr="00A56BCC" w:rsidRDefault="00C85C47" w:rsidP="00C85C47">
      <w:pPr>
        <w:spacing w:after="160"/>
        <w:rPr>
          <w:rFonts w:eastAsia="Calibri"/>
        </w:rPr>
      </w:pPr>
      <w:r w:rsidRPr="00A56BCC">
        <w:rPr>
          <w:rFonts w:eastAsia="Calibri"/>
        </w:rPr>
        <w:t>Ukupno je 12213 parametara analiziranih u uzorcima hrane i predmetima opće uporabe ocijenjeno kao ispravno, 0 kao neispravno, te  je 3471 parametara ocijenjeno kao neutvrđeno radi nepropisane maksimalno dozvoljene koncentracije u predmetnoj vrsti analiziranog.</w:t>
      </w:r>
    </w:p>
    <w:p w14:paraId="1A18E2DD" w14:textId="77777777" w:rsidR="00C85C47" w:rsidRPr="00A56BCC" w:rsidRDefault="00C85C47" w:rsidP="00C85C47">
      <w:pPr>
        <w:spacing w:after="160"/>
        <w:rPr>
          <w:rFonts w:eastAsia="Calibri"/>
        </w:rPr>
      </w:pPr>
      <w:r w:rsidRPr="00A56BCC">
        <w:rPr>
          <w:rFonts w:eastAsia="Calibri"/>
        </w:rPr>
        <w:t>Tijekom 2020. i 2021. u 143 uzoraka tla, otpada i muljeva analiziran je ukupno 1151 parametar (tvari uključenih u popis postojanih organskih onečišćujućih tvari u Republici Hrvatskoj).</w:t>
      </w:r>
    </w:p>
    <w:p w14:paraId="1A18E2DE" w14:textId="77777777" w:rsidR="00C85C47" w:rsidRPr="00A56BCC" w:rsidRDefault="00C85C47" w:rsidP="00C85C47">
      <w:pPr>
        <w:spacing w:after="160"/>
        <w:rPr>
          <w:rFonts w:eastAsia="Calibri"/>
        </w:rPr>
      </w:pPr>
      <w:r w:rsidRPr="00A56BCC">
        <w:rPr>
          <w:rFonts w:eastAsia="Calibri"/>
        </w:rPr>
        <w:t>Ukupno je 1043 parametara analiziranih u uzorcima tla, otpada ili muljeva ocijenjeno kao ispravno, 0 kao neispravno, te 108 rezultata ocijenjeno kao neutvrđeno radi nepropisane maksimalno dozvoljene koncentracije u predmetnoj vrsti analiziranog.</w:t>
      </w:r>
    </w:p>
    <w:p w14:paraId="45721DB7" w14:textId="77777777" w:rsidR="00460D98" w:rsidRDefault="00460D98" w:rsidP="004826B7">
      <w:pPr>
        <w:spacing w:after="160"/>
        <w:rPr>
          <w:rFonts w:eastAsia="Calibri"/>
          <w:i/>
          <w:lang w:eastAsia="en-US"/>
        </w:rPr>
      </w:pPr>
    </w:p>
    <w:p w14:paraId="1A18E2E0" w14:textId="77777777" w:rsidR="004826B7" w:rsidRPr="004826B7" w:rsidRDefault="004826B7" w:rsidP="00460D98">
      <w:pPr>
        <w:spacing w:after="160"/>
        <w:jc w:val="center"/>
        <w:rPr>
          <w:rFonts w:eastAsia="Calibri"/>
          <w:i/>
          <w:lang w:eastAsia="en-US"/>
        </w:rPr>
      </w:pPr>
      <w:r w:rsidRPr="004826B7">
        <w:rPr>
          <w:rFonts w:eastAsia="Calibri"/>
          <w:i/>
          <w:lang w:eastAsia="en-US"/>
        </w:rPr>
        <w:t>Izvještaj Službe za zdravstvenu ekologiju, Odsjeka za pesticide, Hrvatskog zavoda za javno zdravstvo, Zagreb</w:t>
      </w:r>
    </w:p>
    <w:p w14:paraId="1A18E2E1" w14:textId="77777777" w:rsidR="004826B7" w:rsidRPr="004826B7" w:rsidRDefault="004826B7" w:rsidP="004826B7">
      <w:pPr>
        <w:spacing w:after="160"/>
        <w:rPr>
          <w:rFonts w:eastAsia="Calibri"/>
          <w:lang w:eastAsia="en-US"/>
        </w:rPr>
      </w:pPr>
      <w:r w:rsidRPr="004826B7">
        <w:rPr>
          <w:rFonts w:eastAsia="Calibri"/>
          <w:lang w:eastAsia="en-US"/>
        </w:rPr>
        <w:t>Laboratorij Službe ovlašten je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novine-Međunarodni ugovori, broj 11/06) i Nacionalnom planu za provedbu Stockholmske konvencije o postojanim organskim onečišćujućim tvarima:</w:t>
      </w:r>
    </w:p>
    <w:p w14:paraId="1A18E2E2" w14:textId="77777777" w:rsidR="004826B7" w:rsidRPr="004826B7" w:rsidRDefault="004826B7" w:rsidP="004826B7">
      <w:pPr>
        <w:spacing w:after="160"/>
        <w:rPr>
          <w:rFonts w:eastAsia="Calibri"/>
          <w:lang w:eastAsia="en-US"/>
        </w:rPr>
      </w:pPr>
      <w:r w:rsidRPr="004826B7">
        <w:rPr>
          <w:rFonts w:eastAsia="Calibri"/>
          <w:lang w:eastAsia="en-US"/>
        </w:rPr>
        <w:t>•</w:t>
      </w:r>
      <w:r w:rsidRPr="004826B7">
        <w:rPr>
          <w:rFonts w:eastAsia="Calibri"/>
          <w:lang w:eastAsia="en-US"/>
        </w:rPr>
        <w:tab/>
        <w:t>uzimanja uzoraka i ispitivanje voda (Ministarstvo zaštite okoliša i energetike Kl: UP/I-325-07/21-02/02, Ur.br: 517-07-1-2-1-20-3, do  9. ožujka 2031.)</w:t>
      </w:r>
    </w:p>
    <w:p w14:paraId="1A18E2E3" w14:textId="77777777" w:rsidR="004826B7" w:rsidRPr="004826B7" w:rsidRDefault="004826B7" w:rsidP="004826B7">
      <w:pPr>
        <w:spacing w:line="240" w:lineRule="auto"/>
        <w:rPr>
          <w:rFonts w:eastAsia="Calibri"/>
          <w:lang w:eastAsia="en-US"/>
        </w:rPr>
      </w:pPr>
      <w:r w:rsidRPr="004826B7">
        <w:rPr>
          <w:rFonts w:eastAsia="Calibri"/>
          <w:lang w:eastAsia="en-US"/>
        </w:rPr>
        <w:t>•</w:t>
      </w:r>
      <w:r w:rsidRPr="004826B7">
        <w:rPr>
          <w:rFonts w:eastAsia="Calibri"/>
          <w:lang w:eastAsia="en-US"/>
        </w:rPr>
        <w:tab/>
        <w:t>uzimanja uzoraka i ispitivanje voda (Ministarstvo zdravstva Kl: UP/I-541-03/21-02/22, Ur.br: 534-03-3-2/6-21-4</w:t>
      </w:r>
    </w:p>
    <w:p w14:paraId="1A18E2E4" w14:textId="77777777" w:rsidR="004826B7" w:rsidRPr="004826B7" w:rsidRDefault="004826B7" w:rsidP="004826B7">
      <w:pPr>
        <w:spacing w:line="240" w:lineRule="auto"/>
        <w:rPr>
          <w:rFonts w:eastAsia="Calibri"/>
          <w:lang w:eastAsia="en-US"/>
        </w:rPr>
      </w:pPr>
    </w:p>
    <w:p w14:paraId="1A18E2E5" w14:textId="77777777" w:rsidR="004826B7" w:rsidRPr="004826B7" w:rsidRDefault="004826B7" w:rsidP="004826B7">
      <w:pPr>
        <w:spacing w:after="160"/>
        <w:rPr>
          <w:rFonts w:eastAsia="Calibri"/>
          <w:lang w:eastAsia="en-US"/>
        </w:rPr>
      </w:pPr>
      <w:r w:rsidRPr="004826B7">
        <w:rPr>
          <w:rFonts w:eastAsia="Calibri"/>
          <w:lang w:eastAsia="en-US"/>
        </w:rPr>
        <w:t>•</w:t>
      </w:r>
      <w:r w:rsidRPr="004826B7">
        <w:rPr>
          <w:rFonts w:eastAsia="Calibri"/>
          <w:lang w:eastAsia="en-US"/>
        </w:rPr>
        <w:tab/>
        <w:t>kao službeni laboratorij za područje pesticida u hrani sa visokim udjelom vode, voće i povrće i žitaricama (Ministarstvo poljoprivrede Kl: UP/I-322-01/20-01/66, Ur.Br: 525-10/1304-21-12 od 28. travnja  2021. do opoziva).</w:t>
      </w:r>
    </w:p>
    <w:p w14:paraId="1A18E2E6" w14:textId="77777777" w:rsidR="004826B7" w:rsidRPr="004826B7" w:rsidRDefault="004826B7" w:rsidP="004826B7">
      <w:pPr>
        <w:spacing w:line="240" w:lineRule="auto"/>
      </w:pPr>
      <w:r w:rsidRPr="004826B7">
        <w:rPr>
          <w:rFonts w:eastAsia="Calibri"/>
          <w:lang w:eastAsia="en-US"/>
        </w:rPr>
        <w:t xml:space="preserve">Tijekom razdoblja siječanj 2020. – prosinac 2021., u Odsjeku za pesticide provedene su analize slijedećih parametara/tvari: aldrin, dieldrin, endrin, heksaklorobenzen (HCB) alfa i beta heksaklorocikloheksan poliklorirani bifenili (PCB) te </w:t>
      </w:r>
      <w:r w:rsidRPr="004826B7">
        <w:t xml:space="preserve">2,4-D, 2,6-diklorbenzamid, acetoklor, acetoklor esa, acetoklor oxa, atrazin, azoksistrobin, bentazon, deisopropil atrazin, desetil 2-hidroksi atrazin, desetil atrazin, desetil deisopropil atrazin, desetil terbutilazin, desetil izoproturon, dikamba, dimetenamid, dimetoat, diuron, folpet, fosetil, glifosat, hidroksi atrazin, hidroksi simazoin, hidroksi terbutilazin, izodrin, izoproturon, klorfenvinfos, klorpirifos (-etil), klorpirifos (-metil), klortoluron, </w:t>
      </w:r>
      <w:r w:rsidRPr="004826B7">
        <w:lastRenderedPageBreak/>
        <w:t>linuron, malaokson, malation, mankozeb, mcpa, mekoprop, metolaklor, metolaklor esa, metolaklor oxa, metribuzin, ometoat, pendimetalin, pirimifos (-metil), propineb, prosulfokarb, simazin, s-metolaklor, tebukonazol, terbutilazin, tiofanat metil.</w:t>
      </w:r>
    </w:p>
    <w:p w14:paraId="1A18E2E7" w14:textId="77777777" w:rsidR="004826B7" w:rsidRPr="004826B7" w:rsidRDefault="004826B7" w:rsidP="004826B7">
      <w:pPr>
        <w:spacing w:after="160"/>
        <w:rPr>
          <w:rFonts w:eastAsia="Calibri"/>
          <w:lang w:eastAsia="en-US"/>
        </w:rPr>
      </w:pPr>
    </w:p>
    <w:p w14:paraId="1A18E2E8" w14:textId="77777777" w:rsidR="004826B7" w:rsidRPr="004826B7" w:rsidRDefault="004826B7" w:rsidP="004826B7">
      <w:pPr>
        <w:spacing w:after="160"/>
        <w:rPr>
          <w:rFonts w:eastAsia="Calibri"/>
          <w:lang w:eastAsia="en-US"/>
        </w:rPr>
      </w:pPr>
      <w:r w:rsidRPr="004826B7">
        <w:rPr>
          <w:rFonts w:eastAsia="Calibri"/>
          <w:lang w:eastAsia="en-US"/>
        </w:rPr>
        <w:t>•</w:t>
      </w:r>
      <w:r w:rsidRPr="004826B7">
        <w:rPr>
          <w:rFonts w:eastAsia="Calibri"/>
          <w:lang w:eastAsia="en-US"/>
        </w:rPr>
        <w:tab/>
        <w:t>U ukupno  1935 uzoraka voda (uključivo vode za ljudsku potrošnju, površinske i podzemne) analizirano je ukupno 11610 parametara (tvari uključenih u popis postojanih organskih onečišćujućih tvari u Republici Hrvatskoj).</w:t>
      </w:r>
    </w:p>
    <w:p w14:paraId="1A18E2E9" w14:textId="77777777" w:rsidR="004826B7" w:rsidRPr="004826B7" w:rsidRDefault="004826B7" w:rsidP="004826B7">
      <w:pPr>
        <w:spacing w:after="160"/>
        <w:rPr>
          <w:rFonts w:eastAsia="Calibri"/>
          <w:lang w:eastAsia="en-US"/>
        </w:rPr>
      </w:pPr>
      <w:r w:rsidRPr="004826B7">
        <w:rPr>
          <w:rFonts w:eastAsia="Calibri"/>
          <w:lang w:eastAsia="en-US"/>
        </w:rPr>
        <w:t>o</w:t>
      </w:r>
      <w:r w:rsidRPr="004826B7">
        <w:rPr>
          <w:rFonts w:eastAsia="Calibri"/>
          <w:lang w:eastAsia="en-US"/>
        </w:rPr>
        <w:tab/>
        <w:t>Ukupno je 1934 uzoraka voda ocijenjeno kao ispravno, neispravnih uzoraka nije bilo, te je 1 rezultat ocijenjen kao neutvrđen radi nepropisane maksimalno dozvoljene koncentracije u predmetnoj vrsti analiziranog uzorka.</w:t>
      </w:r>
    </w:p>
    <w:p w14:paraId="1A18E2EA" w14:textId="77777777" w:rsidR="004826B7" w:rsidRPr="004826B7" w:rsidRDefault="004826B7" w:rsidP="004826B7">
      <w:pPr>
        <w:spacing w:after="160"/>
        <w:rPr>
          <w:rFonts w:eastAsia="Calibri"/>
          <w:lang w:eastAsia="en-US"/>
        </w:rPr>
      </w:pPr>
      <w:r w:rsidRPr="004826B7">
        <w:rPr>
          <w:rFonts w:eastAsia="Calibri"/>
          <w:lang w:eastAsia="en-US"/>
        </w:rPr>
        <w:t>•</w:t>
      </w:r>
      <w:r w:rsidRPr="004826B7">
        <w:rPr>
          <w:rFonts w:eastAsia="Calibri"/>
          <w:lang w:eastAsia="en-US"/>
        </w:rPr>
        <w:tab/>
        <w:t>U ukupno 30 uzoraka hrane (uzorci voća i povrća) analizirano je ukupno 180 parametara (tvari uključenih u popis postojanih organskih onečišćujućih tvari u Republici Hrvatskoj).</w:t>
      </w:r>
    </w:p>
    <w:p w14:paraId="1A18E2EB" w14:textId="77777777" w:rsidR="000B5CB3" w:rsidRDefault="004826B7" w:rsidP="005312BF">
      <w:pPr>
        <w:spacing w:after="160"/>
        <w:rPr>
          <w:rFonts w:eastAsia="Calibri"/>
          <w:lang w:eastAsia="en-US"/>
        </w:rPr>
      </w:pPr>
      <w:r w:rsidRPr="004826B7">
        <w:rPr>
          <w:rFonts w:eastAsia="Calibri"/>
          <w:lang w:eastAsia="en-US"/>
        </w:rPr>
        <w:t>•</w:t>
      </w:r>
      <w:r w:rsidRPr="004826B7">
        <w:rPr>
          <w:rFonts w:eastAsia="Calibri"/>
          <w:lang w:eastAsia="en-US"/>
        </w:rPr>
        <w:tab/>
        <w:t>Ukupno je 30 uzoraka hrane ocijenjeno kao ispravno, neispravnih uzoraka nije bilo te je 1rezultat ocijenjen kao neutvrđen radi nepropisane maksimalno dozvoljene koncentracije u predmetnoj vrsti analiziranog uzorka.</w:t>
      </w:r>
    </w:p>
    <w:p w14:paraId="471FB910" w14:textId="77777777" w:rsidR="00460D98" w:rsidRPr="000B5CB3" w:rsidRDefault="00460D98" w:rsidP="005312BF">
      <w:pPr>
        <w:spacing w:after="160"/>
        <w:rPr>
          <w:rFonts w:eastAsia="Calibri"/>
          <w:lang w:eastAsia="en-US"/>
        </w:rPr>
      </w:pPr>
    </w:p>
    <w:p w14:paraId="1A18E2EC" w14:textId="77777777" w:rsidR="00317EE7" w:rsidRPr="00E47EC1" w:rsidRDefault="00317EE7" w:rsidP="007E5335">
      <w:pPr>
        <w:pStyle w:val="Naslov1"/>
        <w:numPr>
          <w:ilvl w:val="0"/>
          <w:numId w:val="8"/>
        </w:numPr>
        <w:spacing w:before="100" w:beforeAutospacing="1" w:after="100" w:afterAutospacing="1"/>
        <w:ind w:left="714" w:hanging="357"/>
        <w:jc w:val="center"/>
        <w:rPr>
          <w:rFonts w:ascii="Times New Roman" w:hAnsi="Times New Roman" w:cs="Times New Roman"/>
          <w:b w:val="0"/>
          <w:sz w:val="28"/>
          <w:szCs w:val="28"/>
        </w:rPr>
      </w:pPr>
      <w:bookmarkStart w:id="48" w:name="_Toc100840628"/>
      <w:r w:rsidRPr="00E47EC1">
        <w:rPr>
          <w:rFonts w:ascii="Times New Roman" w:hAnsi="Times New Roman" w:cs="Times New Roman"/>
          <w:b w:val="0"/>
          <w:sz w:val="28"/>
          <w:szCs w:val="28"/>
        </w:rPr>
        <w:t>ZAKLJUČAK</w:t>
      </w:r>
      <w:bookmarkEnd w:id="48"/>
    </w:p>
    <w:p w14:paraId="1A18E2ED" w14:textId="77777777" w:rsidR="00317EE7" w:rsidRPr="00E47EC1" w:rsidRDefault="00317EE7" w:rsidP="00317EE7">
      <w:pPr>
        <w:spacing w:after="120"/>
      </w:pPr>
      <w:r w:rsidRPr="00E47EC1">
        <w:t xml:space="preserve">U odnosu na rezultate </w:t>
      </w:r>
      <w:r w:rsidR="0079054A" w:rsidRPr="00E47EC1">
        <w:t xml:space="preserve">iz </w:t>
      </w:r>
      <w:r w:rsidRPr="00E47EC1">
        <w:t>prethodn</w:t>
      </w:r>
      <w:r w:rsidR="0079054A" w:rsidRPr="00E47EC1">
        <w:t xml:space="preserve">og </w:t>
      </w:r>
      <w:r w:rsidRPr="00E47EC1">
        <w:t>izvještajno</w:t>
      </w:r>
      <w:r w:rsidR="0079054A" w:rsidRPr="00E47EC1">
        <w:t>g</w:t>
      </w:r>
      <w:r w:rsidRPr="00E47EC1">
        <w:t xml:space="preserve"> razdoblj</w:t>
      </w:r>
      <w:r w:rsidR="0079054A" w:rsidRPr="00E47EC1">
        <w:t>a</w:t>
      </w:r>
      <w:r w:rsidRPr="00E47EC1">
        <w:t xml:space="preserve"> uočeno je poboljšanje u smislu samih rezultata provedbe Konvencije i poduzetih mjera</w:t>
      </w:r>
      <w:r w:rsidR="001B18DF" w:rsidRPr="00E47EC1">
        <w:t xml:space="preserve"> </w:t>
      </w:r>
      <w:r w:rsidRPr="00E47EC1">
        <w:t>smanjivanja koncentracije POPs-ova, odnosno PCB-a preostaloga za zbrinuti.</w:t>
      </w:r>
    </w:p>
    <w:p w14:paraId="1A18E2EE" w14:textId="77777777" w:rsidR="00317EE7" w:rsidRPr="00E47EC1" w:rsidRDefault="00317EE7" w:rsidP="00317EE7">
      <w:pPr>
        <w:spacing w:after="120"/>
        <w:rPr>
          <w:lang w:val="pl-PL"/>
        </w:rPr>
      </w:pPr>
      <w:r w:rsidRPr="00E47EC1">
        <w:rPr>
          <w:rFonts w:eastAsia="Calibri"/>
          <w:lang w:eastAsia="en-US"/>
        </w:rPr>
        <w:t xml:space="preserve">Obveze posjednika opreme koja sadrži PCB propisane Pravilnikom su djelomično provedene u razdoblju od siječnja 2008. do prosinca </w:t>
      </w:r>
      <w:r w:rsidR="00D42C65" w:rsidRPr="00E47EC1">
        <w:rPr>
          <w:rFonts w:eastAsia="Calibri"/>
          <w:lang w:eastAsia="en-US"/>
        </w:rPr>
        <w:t>20</w:t>
      </w:r>
      <w:r w:rsidR="001564C5">
        <w:rPr>
          <w:rFonts w:eastAsia="Calibri"/>
          <w:lang w:eastAsia="en-US"/>
        </w:rPr>
        <w:t>2</w:t>
      </w:r>
      <w:r w:rsidR="0045316F">
        <w:rPr>
          <w:rFonts w:eastAsia="Calibri"/>
          <w:lang w:eastAsia="en-US"/>
        </w:rPr>
        <w:t>1</w:t>
      </w:r>
      <w:r w:rsidRPr="00E47EC1">
        <w:rPr>
          <w:rFonts w:eastAsia="Calibri"/>
          <w:lang w:eastAsia="en-US"/>
        </w:rPr>
        <w:t xml:space="preserve">., no razvidan je trend kumulativnog povećanja. </w:t>
      </w:r>
    </w:p>
    <w:p w14:paraId="1A18E2EF" w14:textId="77777777" w:rsidR="00A13CCB" w:rsidRPr="00E47EC1" w:rsidRDefault="00A13CCB" w:rsidP="00A13CCB">
      <w:pPr>
        <w:spacing w:after="120"/>
        <w:rPr>
          <w:lang w:val="pl-PL"/>
        </w:rPr>
      </w:pPr>
      <w:r w:rsidRPr="00E47EC1">
        <w:rPr>
          <w:lang w:val="pl-PL"/>
        </w:rPr>
        <w:t>Neispunjavanje obveza posjednika koji su prepoznali svoju obvezu uzrokovano je najvećim dijelom gospodarskom situacijom i nedostatkom financijskih sredstava za zamjenu i zbrinjavanje opreme koja sadrži PCB. Vjerojatnost je da postoji i određeni broj tvrtki koje nisu prepoznale vlastite odgovornosti i obveze sukladno Pravilniku te se još ne nalaze na popisu posjednika.</w:t>
      </w:r>
    </w:p>
    <w:p w14:paraId="1A18E2F0" w14:textId="77777777" w:rsidR="00317EE7" w:rsidRDefault="00317EE7" w:rsidP="00317EE7">
      <w:pPr>
        <w:spacing w:after="120"/>
        <w:rPr>
          <w:lang w:val="pl-PL"/>
        </w:rPr>
      </w:pPr>
      <w:r w:rsidRPr="00E47EC1">
        <w:rPr>
          <w:lang w:val="pl-PL"/>
        </w:rPr>
        <w:t>Radi se na povećanju opsega praćenja stanja, no i dalje nema znatnog poboljšanja vezano uz unaprijeđenje biomonitoringa.</w:t>
      </w:r>
    </w:p>
    <w:p w14:paraId="1A18E2F1" w14:textId="77777777" w:rsidR="0045316F" w:rsidRDefault="0045316F" w:rsidP="00317EE7">
      <w:pPr>
        <w:spacing w:after="120"/>
        <w:rPr>
          <w:color w:val="000000"/>
        </w:rPr>
      </w:pPr>
      <w:r w:rsidRPr="003C2DF6">
        <w:rPr>
          <w:color w:val="000000"/>
        </w:rPr>
        <w:t>Vlad</w:t>
      </w:r>
      <w:r>
        <w:rPr>
          <w:color w:val="000000"/>
        </w:rPr>
        <w:t>a</w:t>
      </w:r>
      <w:r w:rsidRPr="003C2DF6">
        <w:rPr>
          <w:color w:val="000000"/>
        </w:rPr>
        <w:t xml:space="preserve"> Republike Hrvatske</w:t>
      </w:r>
      <w:r>
        <w:rPr>
          <w:color w:val="000000"/>
        </w:rPr>
        <w:t xml:space="preserve"> je</w:t>
      </w:r>
      <w:r w:rsidRPr="003C2DF6">
        <w:rPr>
          <w:color w:val="000000"/>
        </w:rPr>
        <w:t xml:space="preserve"> na 70. sjednici</w:t>
      </w:r>
      <w:r>
        <w:rPr>
          <w:color w:val="000000"/>
        </w:rPr>
        <w:t xml:space="preserve"> održanoj 22. srpnja 2021.</w:t>
      </w:r>
      <w:r w:rsidRPr="003C2DF6">
        <w:rPr>
          <w:color w:val="000000"/>
        </w:rPr>
        <w:t xml:space="preserve"> usvojila Odluku o donošenju Trećeg </w:t>
      </w:r>
      <w:r>
        <w:rPr>
          <w:color w:val="000000"/>
        </w:rPr>
        <w:t>NIP-a</w:t>
      </w:r>
      <w:r w:rsidRPr="003C2DF6">
        <w:rPr>
          <w:color w:val="000000"/>
        </w:rPr>
        <w:t>.</w:t>
      </w:r>
      <w:r>
        <w:rPr>
          <w:color w:val="000000"/>
        </w:rPr>
        <w:t xml:space="preserve"> koji je dostavljen Tajništvu Stockholmske konvencije u rujnu 2021. i time je ispunjena obveza sukladno članku </w:t>
      </w:r>
      <w:r w:rsidR="00A32A0A">
        <w:rPr>
          <w:color w:val="000000"/>
        </w:rPr>
        <w:t xml:space="preserve">7. Konvencije. </w:t>
      </w:r>
      <w:r w:rsidR="00A32A0A" w:rsidRPr="00A32A0A">
        <w:rPr>
          <w:color w:val="000000"/>
        </w:rPr>
        <w:t>Jedna od glavnih mjera i aktivnosti iz Trećeg NIP-a je podizanje svijesti šire javnosti o POPs-ovima, a sve s ciljem smanjenja njihova štetnog djelovanja na zdravlje i okoliš.</w:t>
      </w:r>
    </w:p>
    <w:p w14:paraId="1A18E2F2" w14:textId="77777777" w:rsidR="00A13CCB" w:rsidRDefault="00FC5A5E" w:rsidP="00FC5A5E">
      <w:pPr>
        <w:spacing w:after="120" w:line="240" w:lineRule="auto"/>
        <w:rPr>
          <w:lang w:val="pl-PL"/>
        </w:rPr>
      </w:pPr>
      <w:r w:rsidRPr="00501A46">
        <w:rPr>
          <w:lang w:val="pl-PL"/>
        </w:rPr>
        <w:t xml:space="preserve">Vezano uz provedbu same POPs Uredbe prema Zakonu o provedbi POPs Uredbe u okviru nadležnisti MIZ-a u izvještajnom razdoblju </w:t>
      </w:r>
      <w:r>
        <w:rPr>
          <w:lang w:val="pl-PL"/>
        </w:rPr>
        <w:t>nisu</w:t>
      </w:r>
      <w:r w:rsidRPr="00501A46">
        <w:rPr>
          <w:lang w:val="pl-PL"/>
        </w:rPr>
        <w:t xml:space="preserve"> zaprim</w:t>
      </w:r>
      <w:r>
        <w:rPr>
          <w:lang w:val="pl-PL"/>
        </w:rPr>
        <w:t>ljeni</w:t>
      </w:r>
      <w:r w:rsidRPr="00501A46">
        <w:rPr>
          <w:lang w:val="pl-PL"/>
        </w:rPr>
        <w:t xml:space="preserve"> zahtjev</w:t>
      </w:r>
      <w:r>
        <w:rPr>
          <w:lang w:val="pl-PL"/>
        </w:rPr>
        <w:t>i</w:t>
      </w:r>
      <w:r w:rsidRPr="00501A46">
        <w:rPr>
          <w:lang w:val="pl-PL"/>
        </w:rPr>
        <w:t xml:space="preserve"> za razmatranjem dozvo</w:t>
      </w:r>
      <w:r>
        <w:rPr>
          <w:lang w:val="pl-PL"/>
        </w:rPr>
        <w:t xml:space="preserve">la </w:t>
      </w:r>
      <w:r w:rsidRPr="00501A46">
        <w:rPr>
          <w:lang w:val="pl-PL"/>
        </w:rPr>
        <w:t xml:space="preserve">proizvodnje i uporabu tvari u skladu s člankom 4. stavkom 3. </w:t>
      </w:r>
      <w:r>
        <w:rPr>
          <w:lang w:val="pl-PL"/>
        </w:rPr>
        <w:t>POPs Uredbe</w:t>
      </w:r>
      <w:r w:rsidRPr="00501A46">
        <w:rPr>
          <w:lang w:val="pl-PL"/>
        </w:rPr>
        <w:t>.</w:t>
      </w:r>
    </w:p>
    <w:p w14:paraId="1A18E2F3" w14:textId="77777777" w:rsidR="00FC5A5E" w:rsidRPr="00E47EC1" w:rsidRDefault="00FC5A5E" w:rsidP="00FC5A5E">
      <w:pPr>
        <w:spacing w:after="120" w:line="240" w:lineRule="auto"/>
        <w:rPr>
          <w:lang w:val="pl-PL"/>
        </w:rPr>
      </w:pPr>
    </w:p>
    <w:p w14:paraId="1A18E2F4" w14:textId="77777777" w:rsidR="00317EE7" w:rsidRPr="00E47EC1" w:rsidRDefault="006D6CEA" w:rsidP="006F09EF">
      <w:pPr>
        <w:pStyle w:val="Naslov1"/>
        <w:numPr>
          <w:ilvl w:val="0"/>
          <w:numId w:val="8"/>
        </w:numPr>
        <w:spacing w:before="100" w:beforeAutospacing="1" w:after="100" w:afterAutospacing="1"/>
        <w:ind w:left="709" w:hanging="352"/>
        <w:jc w:val="center"/>
        <w:rPr>
          <w:rFonts w:ascii="Times New Roman" w:hAnsi="Times New Roman" w:cs="Times New Roman"/>
          <w:b w:val="0"/>
          <w:sz w:val="28"/>
          <w:szCs w:val="28"/>
        </w:rPr>
      </w:pPr>
      <w:bookmarkStart w:id="49" w:name="_Toc100840629"/>
      <w:r w:rsidRPr="00E47EC1">
        <w:rPr>
          <w:rFonts w:ascii="Times New Roman" w:hAnsi="Times New Roman" w:cs="Times New Roman"/>
          <w:b w:val="0"/>
          <w:sz w:val="28"/>
          <w:szCs w:val="28"/>
        </w:rPr>
        <w:lastRenderedPageBreak/>
        <w:t>PLANOVI ZA SLJEDEĆE DVOGODIŠNJE RAZDOBLJE</w:t>
      </w:r>
      <w:bookmarkEnd w:id="49"/>
    </w:p>
    <w:p w14:paraId="1A18E2F5" w14:textId="77777777" w:rsidR="00501A46" w:rsidRDefault="00A56BCC" w:rsidP="008220A3">
      <w:r>
        <w:t xml:space="preserve">MINGOR će </w:t>
      </w:r>
      <w:r w:rsidR="008220A3" w:rsidRPr="00E47EC1">
        <w:t>kao nacionalna kontaktna točka Stockholmske konvencije o postojanim organskim onečišćujućim tvarima</w:t>
      </w:r>
      <w:r w:rsidR="00AC59B4" w:rsidRPr="00E47EC1">
        <w:t xml:space="preserve"> u Republici Hrvatskoj</w:t>
      </w:r>
      <w:r w:rsidR="009B4B82">
        <w:t xml:space="preserve"> nastaviti sa aktivnostima jačanja</w:t>
      </w:r>
      <w:r w:rsidR="00AC59B4" w:rsidRPr="00E47EC1">
        <w:t xml:space="preserve"> svijesti </w:t>
      </w:r>
      <w:r w:rsidR="00D06364">
        <w:t>javnosti</w:t>
      </w:r>
      <w:r w:rsidR="00AC59B4" w:rsidRPr="00E47EC1">
        <w:t xml:space="preserve"> </w:t>
      </w:r>
      <w:r w:rsidR="009B4B82">
        <w:t xml:space="preserve">kao i </w:t>
      </w:r>
      <w:r w:rsidR="00AC59B4" w:rsidRPr="00E47EC1">
        <w:t>pojedinih ciljnih skupina o štetnim učincima P</w:t>
      </w:r>
      <w:r w:rsidR="00D06364">
        <w:t xml:space="preserve">OPs-ova na zdravlje i okoliš te </w:t>
      </w:r>
      <w:r w:rsidR="00AC59B4" w:rsidRPr="00E47EC1">
        <w:t>o gospodarenju otpadom na okolišno prihvatljiv način jer otpad koji sadrži POPs-ove predstavlja opasan otpad.</w:t>
      </w:r>
      <w:r w:rsidR="00501A46">
        <w:t xml:space="preserve"> </w:t>
      </w:r>
    </w:p>
    <w:p w14:paraId="1A18E2F6" w14:textId="77777777" w:rsidR="00E7521A" w:rsidRPr="00E47EC1" w:rsidRDefault="00E7521A" w:rsidP="008220A3">
      <w:r w:rsidRPr="00E47EC1">
        <w:t xml:space="preserve">Nastavit će se provedba aktivnosti predloženih u Drugom </w:t>
      </w:r>
      <w:r w:rsidR="009B4B82">
        <w:t xml:space="preserve">i Trećem </w:t>
      </w:r>
      <w:r w:rsidRPr="00E47EC1">
        <w:t>NIP-u</w:t>
      </w:r>
      <w:r w:rsidR="00A32A0A">
        <w:t xml:space="preserve"> koje nisu </w:t>
      </w:r>
      <w:r w:rsidR="009B4B82">
        <w:t xml:space="preserve">realizirane ili su u fazi realizacije. </w:t>
      </w:r>
      <w:r w:rsidR="001752BE" w:rsidRPr="00E47EC1">
        <w:t xml:space="preserve">Potreban je dodatan angažman na edukaciji </w:t>
      </w:r>
      <w:r w:rsidR="00D06364">
        <w:t xml:space="preserve">posjednika </w:t>
      </w:r>
      <w:r w:rsidR="004B0AA5">
        <w:t xml:space="preserve">PCB opreme </w:t>
      </w:r>
      <w:r w:rsidR="001752BE" w:rsidRPr="00E47EC1">
        <w:t>radi poboljšanja ispunjavanja preuzetih obveza u izvršavanju zamjene i zbrinjavanja opreme koja sadrži POPs-ove.</w:t>
      </w:r>
    </w:p>
    <w:p w14:paraId="1A18E2F7" w14:textId="77777777" w:rsidR="00B13D0F" w:rsidRPr="00E47EC1" w:rsidRDefault="004B0AA5" w:rsidP="00B13D0F">
      <w:pPr>
        <w:spacing w:after="120"/>
      </w:pPr>
      <w:r>
        <w:t>Nastaviti će se sa j</w:t>
      </w:r>
      <w:r w:rsidR="00B13D0F" w:rsidRPr="00E47EC1">
        <w:t>ačanj</w:t>
      </w:r>
      <w:r w:rsidR="00E7521A" w:rsidRPr="00E47EC1">
        <w:t>e</w:t>
      </w:r>
      <w:r>
        <w:t>m</w:t>
      </w:r>
      <w:r w:rsidR="00B13D0F" w:rsidRPr="00E47EC1">
        <w:t xml:space="preserve"> kapaciteta i koordinacijsk</w:t>
      </w:r>
      <w:r>
        <w:t>im</w:t>
      </w:r>
      <w:r w:rsidR="00B13D0F" w:rsidRPr="00E47EC1">
        <w:t xml:space="preserve"> funkcij</w:t>
      </w:r>
      <w:r>
        <w:t>ama</w:t>
      </w:r>
      <w:r w:rsidR="00B13D0F" w:rsidRPr="00E47EC1">
        <w:t xml:space="preserve"> u provedbi komplementarnih međunarodnih okolišnih sporazuma/ugovora, koji osim </w:t>
      </w:r>
      <w:r w:rsidR="000E29EE" w:rsidRPr="00E47EC1">
        <w:t xml:space="preserve">predmetne Konvencije </w:t>
      </w:r>
      <w:r w:rsidR="00B13D0F" w:rsidRPr="00E47EC1">
        <w:t xml:space="preserve">uključuju </w:t>
      </w:r>
      <w:r w:rsidR="00EF32DE" w:rsidRPr="00E47EC1">
        <w:t>Baselsku k</w:t>
      </w:r>
      <w:r w:rsidR="00B13D0F" w:rsidRPr="00E47EC1">
        <w:t>onvenciju o nadzoru prekograničnog prometa opasnog otpada i njegovu odlaganju</w:t>
      </w:r>
      <w:r w:rsidR="008F4E48" w:rsidRPr="00E47EC1">
        <w:t xml:space="preserve">, </w:t>
      </w:r>
      <w:r w:rsidR="00B13D0F" w:rsidRPr="00E47EC1">
        <w:t>koja regulira pitanja prekogranič</w:t>
      </w:r>
      <w:r w:rsidR="000E29EE" w:rsidRPr="00E47EC1">
        <w:t xml:space="preserve">nog prometa opasnog otpada kao i </w:t>
      </w:r>
      <w:r w:rsidR="00B13D0F" w:rsidRPr="00E47EC1">
        <w:t xml:space="preserve">Roterdamsku konvenciju o postupku prethodnog pristanka za određene opasne kemikalije i pesticide u međunarodnoj trgovini koja se odnosi na sigurno </w:t>
      </w:r>
      <w:r w:rsidR="00182886" w:rsidRPr="00E47EC1">
        <w:t xml:space="preserve">gospodarenje </w:t>
      </w:r>
      <w:r w:rsidR="00B13D0F" w:rsidRPr="00E47EC1">
        <w:t xml:space="preserve"> kemikalijama te Protokol</w:t>
      </w:r>
      <w:r>
        <w:t>a</w:t>
      </w:r>
      <w:r w:rsidR="00B13D0F" w:rsidRPr="00E47EC1">
        <w:t xml:space="preserve"> o </w:t>
      </w:r>
      <w:r w:rsidR="00182886" w:rsidRPr="00E47EC1">
        <w:t>POP</w:t>
      </w:r>
      <w:r w:rsidR="00A13CCB" w:rsidRPr="00E47EC1">
        <w:t>s</w:t>
      </w:r>
      <w:r w:rsidR="00182886" w:rsidRPr="00E47EC1">
        <w:t>-ovima uz LRTAP konvenciju</w:t>
      </w:r>
      <w:r>
        <w:t>, kao i bliska</w:t>
      </w:r>
      <w:r w:rsidR="00B13D0F" w:rsidRPr="00E47EC1">
        <w:t xml:space="preserve"> povezanost sa Strateškim pristupom međunarodnog up</w:t>
      </w:r>
      <w:r w:rsidR="000B5CB3">
        <w:t>ravljanja kemikalijama (SAICM-</w:t>
      </w:r>
      <w:r w:rsidR="00B13D0F" w:rsidRPr="00E47EC1">
        <w:t>om koji nije pravno obvezujući međunarodni dokument).</w:t>
      </w:r>
    </w:p>
    <w:p w14:paraId="1A18E2F8" w14:textId="77777777" w:rsidR="00E7521A" w:rsidRDefault="00E7521A" w:rsidP="00E7521A">
      <w:pPr>
        <w:spacing w:after="120"/>
      </w:pPr>
      <w:r w:rsidRPr="00E47EC1">
        <w:t>Daljnje jačanje svijesti o štetnosti POPs-ova i mogućnostima unaprjeđenja postojećeg sustava praćenja/</w:t>
      </w:r>
      <w:r w:rsidR="00853378">
        <w:t>monitoringa POPs-ova u okolišu zahtjeva nastavak jačanja</w:t>
      </w:r>
      <w:r w:rsidRPr="00E47EC1">
        <w:t xml:space="preserve"> međuresorne suradnje i suradnje sa znanstveno-istraživačkim institucijama kako bi se povećao broj analiza i dobilo što više podataka za kvalitetnije praćenje učinkovitosti provedbe same Konvencije.</w:t>
      </w:r>
    </w:p>
    <w:p w14:paraId="1A18E2F9" w14:textId="77777777" w:rsidR="00501A46" w:rsidRDefault="00501A46" w:rsidP="00E7521A">
      <w:pPr>
        <w:spacing w:after="120"/>
      </w:pPr>
      <w:r w:rsidRPr="00E47EC1">
        <w:t xml:space="preserve">Temeljem navedenoga nužno </w:t>
      </w:r>
      <w:r w:rsidR="00853378" w:rsidRPr="00E47EC1">
        <w:t xml:space="preserve">će biti </w:t>
      </w:r>
      <w:r w:rsidRPr="00E47EC1">
        <w:t>provesti detaljn</w:t>
      </w:r>
      <w:r>
        <w:t>u</w:t>
      </w:r>
      <w:r w:rsidRPr="00E47EC1">
        <w:t xml:space="preserve"> analiz</w:t>
      </w:r>
      <w:r>
        <w:t>u</w:t>
      </w:r>
      <w:r w:rsidRPr="00E47EC1">
        <w:t xml:space="preserve"> i utvrditi stanje u Republici Hrvatskoj s obzirom na novo uključene POPs-ove u 2015. i 2017. godini</w:t>
      </w:r>
      <w:r w:rsidRPr="00B9690E">
        <w:t xml:space="preserve"> </w:t>
      </w:r>
      <w:r>
        <w:t>(</w:t>
      </w:r>
      <w:r w:rsidRPr="00E47EC1">
        <w:t>COP-7 i COP-8</w:t>
      </w:r>
      <w:r>
        <w:t>)</w:t>
      </w:r>
      <w:r w:rsidRPr="00E47EC1">
        <w:t xml:space="preserve">  kao i </w:t>
      </w:r>
      <w:r>
        <w:t>one iz 2019 godine (COP-9). POPs-ovi s COP-9 će biti uključeni u Četvrti NIP.</w:t>
      </w:r>
    </w:p>
    <w:p w14:paraId="1A18E2FA" w14:textId="77C2B894" w:rsidR="00FC5A5E" w:rsidRDefault="00BD1A35" w:rsidP="00E7521A">
      <w:pPr>
        <w:spacing w:after="120"/>
      </w:pPr>
      <w:r>
        <w:t>Sva tijela državne uprave i druge institucije koje su definirane bilo kao nositelji provedbe aktivnosti iz Trećeg NIP-a ili pružaju stručnu i/ili tehničku pomoć sudjelovat će</w:t>
      </w:r>
      <w:r w:rsidR="00FC5A5E" w:rsidRPr="00FC5A5E">
        <w:t xml:space="preserve"> u svim aktivnostima kako je definirano Trećim NIP-om s ciljem daljnje suradnje s ostalim nadležnim tijelima vezano uz osvještavanje i promidžb</w:t>
      </w:r>
      <w:r w:rsidR="00FC5A5E">
        <w:t>u</w:t>
      </w:r>
      <w:r w:rsidR="00FC5A5E" w:rsidRPr="00FC5A5E">
        <w:t xml:space="preserve"> problematike POPs</w:t>
      </w:r>
      <w:r w:rsidR="00FC5A5E">
        <w:t>-</w:t>
      </w:r>
      <w:r w:rsidR="00FC5A5E" w:rsidRPr="00FC5A5E">
        <w:t>ova na nacionalnoj razini s ciljem zaštite ljudskog zdravlja i okoliša od potencijalnih štetnih učinaka uzrokovanih POPs</w:t>
      </w:r>
      <w:r w:rsidR="00FC5A5E">
        <w:t>-</w:t>
      </w:r>
      <w:r w:rsidR="00FC5A5E" w:rsidRPr="00FC5A5E">
        <w:t xml:space="preserve">ovima u sklopu radionica, materijala i sl.  </w:t>
      </w:r>
      <w:r w:rsidR="00FC5A5E">
        <w:t>Nastavit će aktivno sudjelovati u r</w:t>
      </w:r>
      <w:r w:rsidR="00FC5A5E" w:rsidRPr="00FC5A5E">
        <w:t>azmatranj</w:t>
      </w:r>
      <w:r w:rsidR="00FC5A5E">
        <w:t xml:space="preserve">u </w:t>
      </w:r>
      <w:r w:rsidR="00FC5A5E" w:rsidRPr="00FC5A5E">
        <w:t xml:space="preserve">i </w:t>
      </w:r>
      <w:r w:rsidR="00FC5A5E">
        <w:t xml:space="preserve">pružanju </w:t>
      </w:r>
      <w:r w:rsidR="00FC5A5E" w:rsidRPr="00FC5A5E">
        <w:t>podršk</w:t>
      </w:r>
      <w:r w:rsidR="00FC5A5E">
        <w:t>e</w:t>
      </w:r>
      <w:r w:rsidR="00FC5A5E" w:rsidRPr="00FC5A5E">
        <w:t xml:space="preserve"> daljnji</w:t>
      </w:r>
      <w:r w:rsidR="00FC5A5E">
        <w:t>m</w:t>
      </w:r>
      <w:r w:rsidR="00FC5A5E" w:rsidRPr="00FC5A5E">
        <w:t xml:space="preserve"> ograničavanj</w:t>
      </w:r>
      <w:r w:rsidR="00FC5A5E">
        <w:t>ima</w:t>
      </w:r>
      <w:r w:rsidR="00FC5A5E" w:rsidRPr="00FC5A5E">
        <w:t xml:space="preserve"> POPs</w:t>
      </w:r>
      <w:r w:rsidR="00FC5A5E">
        <w:t>-</w:t>
      </w:r>
      <w:r w:rsidR="00FC5A5E" w:rsidRPr="00FC5A5E">
        <w:t xml:space="preserve">ova te </w:t>
      </w:r>
      <w:r w:rsidR="00FC5A5E">
        <w:t xml:space="preserve">na </w:t>
      </w:r>
      <w:r w:rsidR="00FC5A5E" w:rsidRPr="00FC5A5E">
        <w:t>jačanj</w:t>
      </w:r>
      <w:r w:rsidR="00FC5A5E">
        <w:t>u</w:t>
      </w:r>
      <w:r w:rsidR="00FC5A5E" w:rsidRPr="00FC5A5E">
        <w:t xml:space="preserve"> postojećeg monitoringa s naglaskom na nove POPs</w:t>
      </w:r>
      <w:r w:rsidR="00FC5A5E">
        <w:t>-</w:t>
      </w:r>
      <w:r w:rsidR="00FC5A5E" w:rsidRPr="00FC5A5E">
        <w:t>ove.</w:t>
      </w:r>
    </w:p>
    <w:p w14:paraId="1A18E2FD" w14:textId="77777777" w:rsidR="00243015" w:rsidRDefault="00243015" w:rsidP="00243015">
      <w:pPr>
        <w:spacing w:before="80" w:line="276" w:lineRule="auto"/>
        <w:rPr>
          <w:color w:val="000000"/>
          <w:lang w:bidi="en-US"/>
        </w:rPr>
      </w:pPr>
      <w:r w:rsidRPr="00243015">
        <w:rPr>
          <w:b/>
          <w:i/>
        </w:rPr>
        <w:t>Europsko partnerstvo za procjenu rizika od kemikalija (PARC – The European Partnership for the Assessment of Risks from Chemicals)</w:t>
      </w:r>
      <w:r>
        <w:t xml:space="preserve"> jedan je od projekata odabranih za financiranje okvirnog programa Europske unije “Horizon Europe” za razdoblje 2021.-2027. Koordiniran od strane French Agency for Food, Environmental and Occupational Health &amp; Safety (ANSES), ovaj veliki projekt nastoji razvijati procjenu kemijskog rizika sljedeće generacije kako bi se zaštitilo zdravlje čovjeka i okoliš. U projektu sudjeluje 200 partnera iz 28 zemalja EU: nacionalne agencije i istraživačke organizacije koje rade u područjima okoliša ili javnog zdravstva, Europska kemijska agencija (ECHA), Europska agencija za sigurnost hrane (EFSA) i Europska agencija za okoliš (EEA).</w:t>
      </w:r>
    </w:p>
    <w:p w14:paraId="1A18E2FE" w14:textId="77777777" w:rsidR="00243015" w:rsidRDefault="00243015" w:rsidP="00243015">
      <w:pPr>
        <w:spacing w:before="80" w:line="276" w:lineRule="auto"/>
        <w:rPr>
          <w:color w:val="000000"/>
          <w:lang w:bidi="en-US"/>
        </w:rPr>
      </w:pPr>
      <w:r>
        <w:t>Europsko partnerstvo za procjenu rizika od kemikalija ima za cilj unapređenje istraživanja, razmjenu znanja i poboljšanje vještina u procjeni rizika. Time će pomoći podržati kemijsku strategiju Europske unije za održivost, utirući put ambiciji “nulte zagađenosti” najavljenoj u Europskom zelenom dogovoru.</w:t>
      </w:r>
      <w:r>
        <w:rPr>
          <w:color w:val="000000"/>
          <w:lang w:bidi="en-US"/>
        </w:rPr>
        <w:t xml:space="preserve"> </w:t>
      </w:r>
      <w:r>
        <w:t xml:space="preserve">Partnerstvo obuhvaća sve aspekte procjene kemijskog rizika, posebno s ciljem: boljeg predviđanja rizika u nastajanju, boljeg računanja kombiniranih rizika i podupiranja konkretne </w:t>
      </w:r>
      <w:r>
        <w:lastRenderedPageBreak/>
        <w:t>provedbe novih orijentacija u europskim javnim politikama za zaštitu zdravlja čovjeka zaštitu i okoliša kao odgovor na važna pitanja za zdravlje, ekologiju i očekivanja građana.</w:t>
      </w:r>
    </w:p>
    <w:p w14:paraId="1A18E2FF" w14:textId="77777777" w:rsidR="00243015" w:rsidRPr="00243015" w:rsidRDefault="00243015" w:rsidP="00243015">
      <w:pPr>
        <w:spacing w:before="80" w:line="276" w:lineRule="auto"/>
        <w:rPr>
          <w:color w:val="000000"/>
          <w:lang w:bidi="en-US"/>
        </w:rPr>
      </w:pPr>
      <w:r>
        <w:t>Glavni ciljevi su: Razviti znanstvene vještine potrebne za rješavanje trenutnih i budućih izazova u kemijskoj sigurnosti; Pružiti nove podatke, metode i inovativne alate onima koji su odgovorni za procjenu i upravljanje rizicima od izlaganja kemikalijama i Ojačati mreže koje okupljaju aktere specijalizirane u različitim znanstvenim područjima koji pridonose procjeni rizika.</w:t>
      </w:r>
    </w:p>
    <w:p w14:paraId="1A18E300" w14:textId="77777777" w:rsidR="00243015" w:rsidRDefault="00243015" w:rsidP="00243015">
      <w:pPr>
        <w:spacing w:after="120"/>
      </w:pPr>
      <w:r>
        <w:t>Očekivani rezultati: Uspostava stalne interdisciplinarne mreže na europskoj razini za identificiranje i određivanje prioriteta konceptualnog, znanstvenog i tehničkog napretka i potreba u smislu istraživanja i inovacija; Razvoj zajedničkih istraživačkih i inovacijskih aktivnosti koje odražavaju definirane prioritete; Jačanje postojećih sposobnosti za istraživanje i inovacije te stvaranje novih međudisciplinarnih platformi u Europi.</w:t>
      </w:r>
    </w:p>
    <w:p w14:paraId="1A18E301" w14:textId="77777777" w:rsidR="00243015" w:rsidRDefault="00243015" w:rsidP="00243015">
      <w:pPr>
        <w:spacing w:after="120"/>
      </w:pPr>
      <w:r>
        <w:t>Prvi koraci u partnerstvu:</w:t>
      </w:r>
    </w:p>
    <w:p w14:paraId="1A18E302" w14:textId="77777777" w:rsidR="00243015" w:rsidRDefault="00243015" w:rsidP="00243015">
      <w:pPr>
        <w:pStyle w:val="Odlomakpopisa"/>
        <w:numPr>
          <w:ilvl w:val="0"/>
          <w:numId w:val="45"/>
        </w:numPr>
        <w:spacing w:after="120"/>
      </w:pPr>
      <w:r>
        <w:t>Nastaviti istraživanja iz područja humanog biomonitoringa i praćenja izloženosti kemikalijama, pokretanjem europskih istraživanja kako u općoj tako i u profesionalno izloženoj populaciji, te pregledom trenutnog stanja tehnika praćenja kemikalija u svrhu uspostave novih tehnika ili proširenja opsega kemikalija koje se prate i u konačnici uvesti inovacije u pogledu korištenih analitičkih metoda.</w:t>
      </w:r>
    </w:p>
    <w:p w14:paraId="1A18E303" w14:textId="77777777" w:rsidR="00243015" w:rsidRDefault="00243015" w:rsidP="00243015">
      <w:pPr>
        <w:pStyle w:val="Odlomakpopisa"/>
        <w:numPr>
          <w:ilvl w:val="0"/>
          <w:numId w:val="45"/>
        </w:numPr>
        <w:spacing w:after="120"/>
      </w:pPr>
      <w:r>
        <w:t>Doprinijeti generiranju podataka kako bi se zadovoljile regulatorne potrebe i razvoj novih metodoloških pristupa za procjenu učinaka na ljude ili na ciljne organizme u okolišu</w:t>
      </w:r>
    </w:p>
    <w:p w14:paraId="1A18E304" w14:textId="77777777" w:rsidR="00243015" w:rsidRDefault="00243015" w:rsidP="00243015">
      <w:pPr>
        <w:pStyle w:val="Odlomakpopisa"/>
        <w:numPr>
          <w:ilvl w:val="0"/>
          <w:numId w:val="45"/>
        </w:numPr>
        <w:spacing w:after="120"/>
      </w:pPr>
      <w:r>
        <w:t>Razviti računalne modele i metode analize podataka za proučavanje učinaka smjesa i kombiniranog izlaganja</w:t>
      </w:r>
    </w:p>
    <w:p w14:paraId="1A18E305" w14:textId="77777777" w:rsidR="00243015" w:rsidRDefault="00243015" w:rsidP="00243015">
      <w:pPr>
        <w:pStyle w:val="Odlomakpopisa"/>
        <w:numPr>
          <w:ilvl w:val="0"/>
          <w:numId w:val="45"/>
        </w:numPr>
        <w:spacing w:after="120"/>
      </w:pPr>
      <w:r>
        <w:t>Pridonijeti tome da podaci i modeli budu dostupni i ponovno upotrebljivi u svrhe istraživanja i procjene rizika (tj. koji zadovoljavaju načela FAIR: dostupno – dostupno – interooperabilno – ponovno korišteno), kao dio pristupa „Otvorene znanosti“</w:t>
      </w:r>
    </w:p>
    <w:p w14:paraId="1A18E306" w14:textId="77777777" w:rsidR="00243015" w:rsidRDefault="00243015" w:rsidP="00243015">
      <w:pPr>
        <w:pStyle w:val="Odlomakpopisa"/>
        <w:numPr>
          <w:ilvl w:val="0"/>
          <w:numId w:val="45"/>
        </w:numPr>
        <w:spacing w:after="120"/>
      </w:pPr>
      <w:r>
        <w:t>Razviti nove koncepte i alate potrebne za provedbu Strategije održivosti kemikalija EU-a: kemijska sinteza novih spojeva ili materijala bez rizika po zdravlje čovjeka i okoliš, sposobnost otkrivanja tvari koje su opasne po zdravlje ili okoliš, ili osiguravanje alata za modeliranje</w:t>
      </w:r>
    </w:p>
    <w:p w14:paraId="1A18E307" w14:textId="77777777" w:rsidR="00243015" w:rsidRDefault="00243015" w:rsidP="00243015">
      <w:pPr>
        <w:pStyle w:val="Odlomakpopisa"/>
        <w:numPr>
          <w:ilvl w:val="0"/>
          <w:numId w:val="45"/>
        </w:numPr>
        <w:spacing w:after="120"/>
      </w:pPr>
      <w:r>
        <w:t>Strategija istraživanja i program rada osigurat će promicanje otvorenog i transparentnog dijaloga između znanstvenih i regulatornih tijela, uključujući sve dionike</w:t>
      </w:r>
    </w:p>
    <w:p w14:paraId="1A18E308" w14:textId="77777777" w:rsidR="00243015" w:rsidRDefault="00243015" w:rsidP="00243015">
      <w:pPr>
        <w:spacing w:after="120"/>
      </w:pPr>
      <w:r>
        <w:t>Projekt će trajati 84 mjeseca</w:t>
      </w:r>
      <w:r w:rsidR="00501A46">
        <w:t>, odobren je i očekuje se potpisivanje Ugovora.</w:t>
      </w:r>
    </w:p>
    <w:p w14:paraId="1A18E309" w14:textId="77777777" w:rsidR="00243015" w:rsidRDefault="00243015" w:rsidP="00243015">
      <w:pPr>
        <w:spacing w:after="120"/>
      </w:pPr>
      <w:r>
        <w:t xml:space="preserve"> </w:t>
      </w:r>
    </w:p>
    <w:p w14:paraId="1A18E30A" w14:textId="77777777" w:rsidR="00243015" w:rsidRDefault="00243015" w:rsidP="00243015">
      <w:pPr>
        <w:spacing w:after="120"/>
      </w:pPr>
    </w:p>
    <w:p w14:paraId="1A18E30B" w14:textId="77777777" w:rsidR="00243015" w:rsidRDefault="00243015" w:rsidP="00243015">
      <w:pPr>
        <w:spacing w:after="120"/>
      </w:pPr>
      <w:r>
        <w:t xml:space="preserve"> </w:t>
      </w:r>
    </w:p>
    <w:p w14:paraId="1A18E30E" w14:textId="25A044D4" w:rsidR="000B5CB3" w:rsidRPr="00E47EC1" w:rsidRDefault="000B5CB3" w:rsidP="00C3624F">
      <w:pPr>
        <w:spacing w:after="120"/>
      </w:pPr>
    </w:p>
    <w:sectPr w:rsidR="000B5CB3" w:rsidRPr="00E47EC1" w:rsidSect="00D13EA7">
      <w:footerReference w:type="first" r:id="rId55"/>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68B0F" w14:textId="77777777" w:rsidR="006339DE" w:rsidRDefault="006339DE">
      <w:r>
        <w:separator/>
      </w:r>
    </w:p>
  </w:endnote>
  <w:endnote w:type="continuationSeparator" w:id="0">
    <w:p w14:paraId="3B47A00A" w14:textId="77777777" w:rsidR="006339DE" w:rsidRDefault="006339DE">
      <w:r>
        <w:continuationSeparator/>
      </w:r>
    </w:p>
  </w:endnote>
  <w:endnote w:type="continuationNotice" w:id="1">
    <w:p w14:paraId="5A5E45DB" w14:textId="77777777" w:rsidR="006339DE" w:rsidRDefault="00633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ZO kapitala">
    <w:charset w:val="00"/>
    <w:family w:val="auto"/>
    <w:pitch w:val="variable"/>
    <w:sig w:usb0="80000007" w:usb1="00000000" w:usb2="00000000" w:usb3="00000000" w:csb0="00000003" w:csb1="00000000"/>
  </w:font>
  <w:font w:name="Palatino Linotype">
    <w:panose1 w:val="02040502050505030304"/>
    <w:charset w:val="EE"/>
    <w:family w:val="roman"/>
    <w:pitch w:val="variable"/>
    <w:sig w:usb0="E0000287" w:usb1="40000013" w:usb2="00000000" w:usb3="00000000" w:csb0="0000019F" w:csb1="00000000"/>
  </w:font>
  <w:font w:name="JLCBI N+ Minion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763833"/>
      <w:docPartObj>
        <w:docPartGallery w:val="Page Numbers (Bottom of Page)"/>
        <w:docPartUnique/>
      </w:docPartObj>
    </w:sdtPr>
    <w:sdtEndPr/>
    <w:sdtContent>
      <w:p w14:paraId="1A18E35D" w14:textId="7AC14869" w:rsidR="006339DE" w:rsidRDefault="006339DE">
        <w:pPr>
          <w:pStyle w:val="Podnoje"/>
          <w:jc w:val="right"/>
        </w:pPr>
        <w:r>
          <w:fldChar w:fldCharType="begin"/>
        </w:r>
        <w:r>
          <w:instrText>PAGE   \* MERGEFORMAT</w:instrText>
        </w:r>
        <w:r>
          <w:fldChar w:fldCharType="separate"/>
        </w:r>
        <w:r w:rsidR="00EC2796">
          <w:rPr>
            <w:noProof/>
          </w:rPr>
          <w:t>5</w:t>
        </w:r>
        <w:r>
          <w:fldChar w:fldCharType="end"/>
        </w:r>
      </w:p>
    </w:sdtContent>
  </w:sdt>
  <w:p w14:paraId="1A18E35E" w14:textId="77777777" w:rsidR="006339DE" w:rsidRDefault="006339D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8E35F" w14:textId="77777777" w:rsidR="006339DE" w:rsidRDefault="006339DE">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696467"/>
      <w:docPartObj>
        <w:docPartGallery w:val="Page Numbers (Bottom of Page)"/>
        <w:docPartUnique/>
      </w:docPartObj>
    </w:sdtPr>
    <w:sdtEndPr/>
    <w:sdtContent>
      <w:p w14:paraId="1A18E360" w14:textId="2566596B" w:rsidR="006339DE" w:rsidRDefault="006339DE">
        <w:pPr>
          <w:pStyle w:val="Podnoje"/>
          <w:jc w:val="right"/>
        </w:pPr>
        <w:r>
          <w:fldChar w:fldCharType="begin"/>
        </w:r>
        <w:r>
          <w:instrText>PAGE   \* MERGEFORMAT</w:instrText>
        </w:r>
        <w:r>
          <w:fldChar w:fldCharType="separate"/>
        </w:r>
        <w:r w:rsidR="00EC2796">
          <w:rPr>
            <w:noProof/>
          </w:rPr>
          <w:t>1</w:t>
        </w:r>
        <w:r>
          <w:fldChar w:fldCharType="end"/>
        </w:r>
      </w:p>
    </w:sdtContent>
  </w:sdt>
  <w:p w14:paraId="1A18E361" w14:textId="77777777" w:rsidR="006339DE" w:rsidRDefault="006339D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3894B" w14:textId="77777777" w:rsidR="006339DE" w:rsidRDefault="006339DE">
      <w:r>
        <w:separator/>
      </w:r>
    </w:p>
  </w:footnote>
  <w:footnote w:type="continuationSeparator" w:id="0">
    <w:p w14:paraId="27D95FC4" w14:textId="77777777" w:rsidR="006339DE" w:rsidRDefault="006339DE">
      <w:r>
        <w:continuationSeparator/>
      </w:r>
    </w:p>
  </w:footnote>
  <w:footnote w:type="continuationNotice" w:id="1">
    <w:p w14:paraId="5EF839B9" w14:textId="77777777" w:rsidR="006339DE" w:rsidRDefault="006339DE"/>
  </w:footnote>
  <w:footnote w:id="2">
    <w:p w14:paraId="1A18E362" w14:textId="77777777" w:rsidR="006339DE" w:rsidRPr="0063136D" w:rsidRDefault="006339DE" w:rsidP="000B1A82">
      <w:pPr>
        <w:pStyle w:val="Tekstfusnote"/>
        <w:rPr>
          <w:sz w:val="18"/>
          <w:szCs w:val="18"/>
        </w:rPr>
      </w:pPr>
      <w:r w:rsidRPr="0063136D">
        <w:rPr>
          <w:rStyle w:val="Referencafusnote"/>
          <w:sz w:val="18"/>
          <w:szCs w:val="18"/>
        </w:rPr>
        <w:footnoteRef/>
      </w:r>
      <w:r w:rsidRPr="0063136D">
        <w:rPr>
          <w:sz w:val="18"/>
          <w:szCs w:val="18"/>
        </w:rPr>
        <w:t xml:space="preserve"> Ministarstvo zaštite okoliša i prirode je u listopadu</w:t>
      </w:r>
      <w:r>
        <w:rPr>
          <w:sz w:val="18"/>
          <w:szCs w:val="18"/>
        </w:rPr>
        <w:t xml:space="preserve"> 20</w:t>
      </w:r>
      <w:r w:rsidRPr="0063136D">
        <w:rPr>
          <w:sz w:val="18"/>
          <w:szCs w:val="18"/>
        </w:rPr>
        <w:t>16., sukladno Zakonu o ustrojstvu i djelokrugu ministarstava i drugih središnjih tijela državne uprave („Narode novine“ br. 93/16 i 104/16) promijenilo naziv u Ministarstvo zaštite okoliša i energetike. Vlada Republike Hrvatske donijela je 24. lipnja</w:t>
      </w:r>
      <w:r>
        <w:rPr>
          <w:sz w:val="18"/>
          <w:szCs w:val="18"/>
        </w:rPr>
        <w:t xml:space="preserve"> 20</w:t>
      </w:r>
      <w:r w:rsidRPr="0063136D">
        <w:rPr>
          <w:sz w:val="18"/>
          <w:szCs w:val="18"/>
        </w:rPr>
        <w:t>15., Uredbu o osnivanju Hrvatske agencije za okoliš i prirodu („Narodne novine“ broj 72/15). Pravni prednici Hrvatske agencije za okoliš i prirodu su Agencija za zaštitu okoliša i Državni zavod za zaštitu prirode, a upisana je u sudski registar Trgovačkog suda u Zagrebu te započela s radom dana 16. rujna</w:t>
      </w:r>
      <w:r>
        <w:rPr>
          <w:sz w:val="18"/>
          <w:szCs w:val="18"/>
        </w:rPr>
        <w:t xml:space="preserve"> 20</w:t>
      </w:r>
      <w:r w:rsidRPr="0063136D">
        <w:rPr>
          <w:sz w:val="18"/>
          <w:szCs w:val="18"/>
        </w:rPr>
        <w:t>15..</w:t>
      </w:r>
    </w:p>
    <w:p w14:paraId="1A18E363" w14:textId="77777777" w:rsidR="006339DE" w:rsidRPr="0063136D" w:rsidRDefault="006339DE" w:rsidP="000B1A82">
      <w:pPr>
        <w:pStyle w:val="Tekstfusnote"/>
        <w:rPr>
          <w:sz w:val="18"/>
          <w:szCs w:val="18"/>
        </w:rPr>
      </w:pPr>
      <w:r w:rsidRPr="0063136D">
        <w:rPr>
          <w:sz w:val="18"/>
          <w:szCs w:val="18"/>
        </w:rPr>
        <w:t>Sukladno članku 73. stavku 3. Zakona o izmjen</w:t>
      </w:r>
      <w:r>
        <w:rPr>
          <w:sz w:val="18"/>
          <w:szCs w:val="18"/>
        </w:rPr>
        <w:t>ama</w:t>
      </w:r>
      <w:r w:rsidRPr="0063136D">
        <w:rPr>
          <w:sz w:val="18"/>
          <w:szCs w:val="18"/>
        </w:rPr>
        <w:t xml:space="preserve"> i dopun</w:t>
      </w:r>
      <w:r>
        <w:rPr>
          <w:sz w:val="18"/>
          <w:szCs w:val="18"/>
        </w:rPr>
        <w:t>ama</w:t>
      </w:r>
      <w:r w:rsidRPr="0063136D">
        <w:rPr>
          <w:sz w:val="18"/>
          <w:szCs w:val="18"/>
        </w:rPr>
        <w:t xml:space="preserve"> Zakona o zaštiti okoliša („Narodne novine“ broj 118/18 od 27. prosinca</w:t>
      </w:r>
      <w:r>
        <w:rPr>
          <w:sz w:val="18"/>
          <w:szCs w:val="18"/>
        </w:rPr>
        <w:t xml:space="preserve"> 20</w:t>
      </w:r>
      <w:r w:rsidRPr="0063136D">
        <w:rPr>
          <w:sz w:val="18"/>
          <w:szCs w:val="18"/>
        </w:rPr>
        <w:t>18.) te brisanjem Hrvatske agencije za okoliš i prirodu (HAOP) iz sudskog registra (17. siječnja</w:t>
      </w:r>
      <w:r>
        <w:rPr>
          <w:sz w:val="18"/>
          <w:szCs w:val="18"/>
        </w:rPr>
        <w:t xml:space="preserve"> 20</w:t>
      </w:r>
      <w:r w:rsidRPr="0063136D">
        <w:rPr>
          <w:sz w:val="18"/>
          <w:szCs w:val="18"/>
        </w:rPr>
        <w:t>19.) Ministarstvo zaštite okoliša i energetike, Radnička cesta 80, 10000 Zagreb, OIB: 19370100881 preuzelo je zaposlenike, poslove, prava i obveze HAOP-a, kao i imovinu, opremu, pismohranu i drugu dokumentaciju. Slijedom navedenog, sve poslove i obveze u daljnjem tekstu koje se odnose na Hrvatsku agenciju za okoliš i prirodu od 1. siječnja</w:t>
      </w:r>
      <w:r>
        <w:rPr>
          <w:sz w:val="18"/>
          <w:szCs w:val="18"/>
        </w:rPr>
        <w:t xml:space="preserve"> 20</w:t>
      </w:r>
      <w:r w:rsidRPr="0063136D">
        <w:rPr>
          <w:sz w:val="18"/>
          <w:szCs w:val="18"/>
        </w:rPr>
        <w:t>19. godine preuzima Ministarstvo.</w:t>
      </w:r>
    </w:p>
    <w:p w14:paraId="1A18E364" w14:textId="77777777" w:rsidR="006339DE" w:rsidRPr="0063136D" w:rsidRDefault="006339DE" w:rsidP="000B1A82">
      <w:pPr>
        <w:pStyle w:val="Tekstfusnote"/>
      </w:pPr>
      <w:r w:rsidRPr="0063136D">
        <w:rPr>
          <w:sz w:val="18"/>
          <w:szCs w:val="18"/>
        </w:rPr>
        <w:t>Ministarstvo zaštite okoliša i energetike je u srpnju 2020. sukladno Zakonu o ustrojstvu i djelokrugu tijela državne uprave („Narode novine“ broj 85/20) promijenilo naziv u Ministarstvo gospodarstva i održivog razvoja.</w:t>
      </w:r>
    </w:p>
  </w:footnote>
  <w:footnote w:id="3">
    <w:p w14:paraId="1A18E365" w14:textId="77777777" w:rsidR="006339DE" w:rsidRPr="009978AC" w:rsidRDefault="006339DE" w:rsidP="00103E98">
      <w:pPr>
        <w:pStyle w:val="Tekstfusnote"/>
        <w:rPr>
          <w:sz w:val="18"/>
          <w:szCs w:val="18"/>
        </w:rPr>
      </w:pPr>
      <w:r w:rsidRPr="009978AC">
        <w:rPr>
          <w:rStyle w:val="Referencafusnote"/>
          <w:sz w:val="18"/>
          <w:szCs w:val="18"/>
        </w:rPr>
        <w:footnoteRef/>
      </w:r>
      <w:r w:rsidRPr="009978AC">
        <w:rPr>
          <w:sz w:val="18"/>
          <w:szCs w:val="18"/>
        </w:rPr>
        <w:t xml:space="preserve"> Uredbe broj 757/2010, 519/2012, 1342/2014, 2015/2030, 2016/293 i 2016/460, 1195/2006, 172/2007, 323/2007, 219/2009, 304/2009 i 756/2010.</w:t>
      </w:r>
    </w:p>
  </w:footnote>
  <w:footnote w:id="4">
    <w:p w14:paraId="1A18E366" w14:textId="77777777" w:rsidR="006339DE" w:rsidRPr="00C941C0" w:rsidRDefault="006339DE" w:rsidP="008B12EA">
      <w:pPr>
        <w:pStyle w:val="Tekstfusnote"/>
        <w:rPr>
          <w:sz w:val="18"/>
          <w:szCs w:val="18"/>
        </w:rPr>
      </w:pPr>
      <w:r w:rsidRPr="00C941C0">
        <w:rPr>
          <w:rStyle w:val="Referencafusnote"/>
          <w:sz w:val="18"/>
          <w:szCs w:val="18"/>
        </w:rPr>
        <w:footnoteRef/>
      </w:r>
      <w:r w:rsidRPr="00C941C0">
        <w:rPr>
          <w:sz w:val="18"/>
          <w:szCs w:val="18"/>
        </w:rPr>
        <w:t xml:space="preserve"> http://roo.azo.hr/</w:t>
      </w:r>
    </w:p>
  </w:footnote>
  <w:footnote w:id="5">
    <w:p w14:paraId="1A18E367" w14:textId="77777777" w:rsidR="006339DE" w:rsidRPr="00C941C0" w:rsidRDefault="006339DE" w:rsidP="008B12EA">
      <w:pPr>
        <w:pStyle w:val="Tekstfusnote"/>
        <w:rPr>
          <w:sz w:val="18"/>
          <w:szCs w:val="18"/>
        </w:rPr>
      </w:pPr>
      <w:r w:rsidRPr="00C941C0">
        <w:rPr>
          <w:rStyle w:val="Referencafusnote"/>
          <w:sz w:val="18"/>
          <w:szCs w:val="18"/>
        </w:rPr>
        <w:footnoteRef/>
      </w:r>
      <w:r w:rsidRPr="00C941C0">
        <w:rPr>
          <w:sz w:val="18"/>
          <w:szCs w:val="18"/>
        </w:rPr>
        <w:t xml:space="preserve"> http://rpot.azo.hr/rpot/</w:t>
      </w:r>
    </w:p>
  </w:footnote>
  <w:footnote w:id="6">
    <w:p w14:paraId="1A18E368" w14:textId="4CF855FF" w:rsidR="006339DE" w:rsidRDefault="006339DE" w:rsidP="008B12EA">
      <w:pPr>
        <w:pStyle w:val="Tekstfusnote"/>
      </w:pPr>
      <w:r w:rsidRPr="00C941C0">
        <w:rPr>
          <w:rStyle w:val="Referencafusnote"/>
          <w:sz w:val="18"/>
          <w:szCs w:val="18"/>
        </w:rPr>
        <w:footnoteRef/>
      </w:r>
      <w:r w:rsidRPr="00C941C0">
        <w:rPr>
          <w:sz w:val="18"/>
          <w:szCs w:val="18"/>
        </w:rPr>
        <w:t xml:space="preserve"> Narodne novine br. </w:t>
      </w:r>
      <w:hyperlink r:id="rId1" w:history="1">
        <w:r w:rsidRPr="00C941C0">
          <w:rPr>
            <w:rStyle w:val="Hiperveza"/>
            <w:sz w:val="18"/>
            <w:szCs w:val="18"/>
          </w:rPr>
          <w:t>87/15</w:t>
        </w:r>
      </w:hyperlink>
      <w:r w:rsidRPr="00C941C0">
        <w:rPr>
          <w:sz w:val="18"/>
          <w:szCs w:val="18"/>
        </w:rPr>
        <w:t xml:space="preserve">, </w:t>
      </w:r>
      <w:hyperlink r:id="rId2" w:history="1">
        <w:r w:rsidRPr="00C941C0">
          <w:rPr>
            <w:rStyle w:val="Hiperveza"/>
            <w:sz w:val="18"/>
            <w:szCs w:val="18"/>
          </w:rPr>
          <w:t>03/22</w:t>
        </w:r>
      </w:hyperlink>
    </w:p>
  </w:footnote>
  <w:footnote w:id="7">
    <w:p w14:paraId="1A18E369" w14:textId="77777777" w:rsidR="006339DE" w:rsidRPr="00C941C0" w:rsidRDefault="006339DE" w:rsidP="008B12EA">
      <w:pPr>
        <w:pStyle w:val="Tekstfusnote"/>
        <w:rPr>
          <w:sz w:val="18"/>
          <w:szCs w:val="18"/>
        </w:rPr>
      </w:pPr>
      <w:r w:rsidRPr="00C941C0">
        <w:rPr>
          <w:rStyle w:val="Referencafusnote"/>
          <w:sz w:val="18"/>
          <w:szCs w:val="18"/>
        </w:rPr>
        <w:footnoteRef/>
      </w:r>
      <w:r w:rsidRPr="00C941C0">
        <w:rPr>
          <w:sz w:val="18"/>
          <w:szCs w:val="18"/>
        </w:rPr>
        <w:t xml:space="preserve"> </w:t>
      </w:r>
      <w:r w:rsidRPr="00C941C0">
        <w:rPr>
          <w:b/>
          <w:sz w:val="18"/>
          <w:szCs w:val="18"/>
        </w:rPr>
        <w:t>Nacionalna klasifikacija djelatnosti</w:t>
      </w:r>
      <w:r w:rsidRPr="00C941C0">
        <w:rPr>
          <w:sz w:val="18"/>
          <w:szCs w:val="18"/>
        </w:rPr>
        <w:t xml:space="preserve">, koja je jedan od osnovnih statističkih standarda za prikupljanje, upisivanje, obradu, objavljivanje i diseminaciju statističkih podataka Republike Hrvatske. Primjenjuje se od 1. siječnja 2008. (Narodne novine br. </w:t>
      </w:r>
      <w:hyperlink r:id="rId3" w:history="1">
        <w:r w:rsidRPr="00C941C0">
          <w:rPr>
            <w:rStyle w:val="Hiperveza"/>
            <w:sz w:val="18"/>
            <w:szCs w:val="18"/>
          </w:rPr>
          <w:t>58/07</w:t>
        </w:r>
      </w:hyperlink>
      <w:r w:rsidRPr="00C941C0">
        <w:rPr>
          <w:sz w:val="18"/>
          <w:szCs w:val="18"/>
        </w:rPr>
        <w:t>,</w:t>
      </w:r>
      <w:hyperlink r:id="rId4" w:history="1">
        <w:r w:rsidRPr="00C941C0">
          <w:rPr>
            <w:rStyle w:val="Hiperveza"/>
            <w:sz w:val="18"/>
            <w:szCs w:val="18"/>
          </w:rPr>
          <w:t>72/07</w:t>
        </w:r>
      </w:hyperlink>
      <w:r w:rsidRPr="00C941C0">
        <w:rPr>
          <w:sz w:val="18"/>
          <w:szCs w:val="18"/>
        </w:rPr>
        <w:t>)</w:t>
      </w:r>
    </w:p>
  </w:footnote>
  <w:footnote w:id="8">
    <w:p w14:paraId="1A18E36A" w14:textId="77777777" w:rsidR="006339DE" w:rsidRPr="00C941C0" w:rsidRDefault="006339DE" w:rsidP="008B12EA">
      <w:pPr>
        <w:pStyle w:val="Tekstfusnote"/>
        <w:rPr>
          <w:sz w:val="18"/>
          <w:szCs w:val="18"/>
        </w:rPr>
      </w:pPr>
      <w:r w:rsidRPr="00C941C0">
        <w:rPr>
          <w:rStyle w:val="Referencafusnote"/>
          <w:sz w:val="18"/>
          <w:szCs w:val="18"/>
        </w:rPr>
        <w:footnoteRef/>
      </w:r>
      <w:r w:rsidRPr="00C941C0">
        <w:rPr>
          <w:sz w:val="18"/>
          <w:szCs w:val="18"/>
        </w:rPr>
        <w:t xml:space="preserve"> </w:t>
      </w:r>
      <w:hyperlink r:id="rId5" w:history="1">
        <w:r w:rsidRPr="00C941C0">
          <w:rPr>
            <w:rStyle w:val="Hiperveza"/>
            <w:sz w:val="18"/>
            <w:szCs w:val="18"/>
          </w:rPr>
          <w:t>https://eur-lex.europa.eu/legal-content/HR/TXT/?uri=CELEX:32019R1021</w:t>
        </w:r>
      </w:hyperlink>
      <w:r w:rsidRPr="00C941C0">
        <w:rPr>
          <w:sz w:val="18"/>
          <w:szCs w:val="18"/>
        </w:rPr>
        <w:t>; prema navedenom popisu jedan dio KBO nema podataka u bazi ROO za period 2017.-2021. god. (10 06 16*, 10 03 04*, 10 03 09*, 10 03 21*, 10 03 29*, 10 04 04*, 10 04 06*, 10 05 03*, 10 05 05*, 10 06 03*, 10 06 06*, 10 08 08*, 10 08 15*, 10 09 09*, 16 11 01*, 19 01 07*, 19 01 13*, 19 01 15*, 19 04 02*19 04 03*)</w:t>
      </w:r>
    </w:p>
  </w:footnote>
  <w:footnote w:id="9">
    <w:p w14:paraId="1A18E36B" w14:textId="6B4B9E62" w:rsidR="006339DE" w:rsidRPr="00C941C0" w:rsidRDefault="006339DE" w:rsidP="008B12EA">
      <w:pPr>
        <w:pStyle w:val="Tekstfusnote"/>
        <w:rPr>
          <w:sz w:val="18"/>
          <w:szCs w:val="18"/>
        </w:rPr>
      </w:pPr>
      <w:r w:rsidRPr="00C941C0">
        <w:rPr>
          <w:rStyle w:val="Referencafusnote"/>
          <w:sz w:val="18"/>
          <w:szCs w:val="18"/>
        </w:rPr>
        <w:footnoteRef/>
      </w:r>
      <w:r w:rsidRPr="00C941C0">
        <w:rPr>
          <w:sz w:val="18"/>
          <w:szCs w:val="18"/>
        </w:rPr>
        <w:t xml:space="preserve"> Narodne novine br. </w:t>
      </w:r>
      <w:hyperlink r:id="rId6" w:history="1">
        <w:r w:rsidRPr="00C941C0">
          <w:rPr>
            <w:rStyle w:val="Hiperveza"/>
            <w:sz w:val="18"/>
            <w:szCs w:val="18"/>
          </w:rPr>
          <w:t>94/13, 73/17, 14/19, 98/19</w:t>
        </w:r>
      </w:hyperlink>
      <w:r w:rsidRPr="00C941C0">
        <w:rPr>
          <w:sz w:val="18"/>
          <w:szCs w:val="18"/>
        </w:rPr>
        <w:t xml:space="preserve">, </w:t>
      </w:r>
      <w:hyperlink r:id="rId7" w:history="1">
        <w:r w:rsidRPr="00C941C0">
          <w:rPr>
            <w:rStyle w:val="Hiperveza"/>
            <w:sz w:val="18"/>
            <w:szCs w:val="18"/>
          </w:rPr>
          <w:t>84/2021</w:t>
        </w:r>
      </w:hyperlink>
      <w:r w:rsidRPr="00C941C0">
        <w:rPr>
          <w:sz w:val="18"/>
          <w:szCs w:val="18"/>
        </w:rPr>
        <w:t>,</w:t>
      </w:r>
    </w:p>
  </w:footnote>
  <w:footnote w:id="10">
    <w:p w14:paraId="1A18E36C" w14:textId="77777777" w:rsidR="006339DE" w:rsidRPr="00C941C0" w:rsidRDefault="006339DE" w:rsidP="008B12EA">
      <w:pPr>
        <w:pStyle w:val="Tekstfusnote"/>
        <w:rPr>
          <w:sz w:val="18"/>
          <w:szCs w:val="18"/>
        </w:rPr>
      </w:pPr>
      <w:r w:rsidRPr="00C941C0">
        <w:rPr>
          <w:rStyle w:val="Referencafusnote"/>
          <w:sz w:val="18"/>
          <w:szCs w:val="18"/>
        </w:rPr>
        <w:footnoteRef/>
      </w:r>
      <w:r w:rsidRPr="00C941C0">
        <w:rPr>
          <w:sz w:val="18"/>
          <w:szCs w:val="18"/>
        </w:rPr>
        <w:t>Narodne novine, br. 44/14, 31/17 i 45/17</w:t>
      </w:r>
    </w:p>
  </w:footnote>
  <w:footnote w:id="11">
    <w:p w14:paraId="1A18E36D" w14:textId="59445B23" w:rsidR="006339DE" w:rsidRDefault="006339DE" w:rsidP="008B12EA">
      <w:pPr>
        <w:pStyle w:val="Tekstfusnote"/>
      </w:pPr>
      <w:r w:rsidRPr="00C941C0">
        <w:rPr>
          <w:rStyle w:val="Referencafusnote"/>
          <w:sz w:val="18"/>
          <w:szCs w:val="18"/>
        </w:rPr>
        <w:footnoteRef/>
      </w:r>
      <w:r w:rsidRPr="00C941C0">
        <w:rPr>
          <w:sz w:val="18"/>
          <w:szCs w:val="18"/>
        </w:rPr>
        <w:t>Narodne novine, br. 139/14</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0DC3CA"/>
    <w:multiLevelType w:val="hybridMultilevel"/>
    <w:tmpl w:val="26D77E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063AA"/>
    <w:multiLevelType w:val="multilevel"/>
    <w:tmpl w:val="7B86268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A75DA6"/>
    <w:multiLevelType w:val="hybridMultilevel"/>
    <w:tmpl w:val="F8A0CAE8"/>
    <w:lvl w:ilvl="0" w:tplc="14D0E64E">
      <w:numFmt w:val="bullet"/>
      <w:lvlText w:val="•"/>
      <w:lvlJc w:val="left"/>
      <w:pPr>
        <w:ind w:left="1065" w:hanging="705"/>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272031"/>
    <w:multiLevelType w:val="hybridMultilevel"/>
    <w:tmpl w:val="404E465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E87EB9"/>
    <w:multiLevelType w:val="hybridMultilevel"/>
    <w:tmpl w:val="8F484098"/>
    <w:lvl w:ilvl="0" w:tplc="041A000F">
      <w:start w:val="1"/>
      <w:numFmt w:val="decimal"/>
      <w:lvlText w:val="%1."/>
      <w:lvlJc w:val="left"/>
      <w:pPr>
        <w:ind w:left="3192" w:hanging="360"/>
      </w:pPr>
    </w:lvl>
    <w:lvl w:ilvl="1" w:tplc="041A0019" w:tentative="1">
      <w:start w:val="1"/>
      <w:numFmt w:val="lowerLetter"/>
      <w:lvlText w:val="%2."/>
      <w:lvlJc w:val="left"/>
      <w:pPr>
        <w:ind w:left="3912" w:hanging="360"/>
      </w:pPr>
    </w:lvl>
    <w:lvl w:ilvl="2" w:tplc="041A001B" w:tentative="1">
      <w:start w:val="1"/>
      <w:numFmt w:val="lowerRoman"/>
      <w:lvlText w:val="%3."/>
      <w:lvlJc w:val="right"/>
      <w:pPr>
        <w:ind w:left="4632" w:hanging="180"/>
      </w:pPr>
    </w:lvl>
    <w:lvl w:ilvl="3" w:tplc="041A000F" w:tentative="1">
      <w:start w:val="1"/>
      <w:numFmt w:val="decimal"/>
      <w:lvlText w:val="%4."/>
      <w:lvlJc w:val="left"/>
      <w:pPr>
        <w:ind w:left="5352" w:hanging="360"/>
      </w:pPr>
    </w:lvl>
    <w:lvl w:ilvl="4" w:tplc="041A0019" w:tentative="1">
      <w:start w:val="1"/>
      <w:numFmt w:val="lowerLetter"/>
      <w:lvlText w:val="%5."/>
      <w:lvlJc w:val="left"/>
      <w:pPr>
        <w:ind w:left="6072" w:hanging="360"/>
      </w:pPr>
    </w:lvl>
    <w:lvl w:ilvl="5" w:tplc="041A001B" w:tentative="1">
      <w:start w:val="1"/>
      <w:numFmt w:val="lowerRoman"/>
      <w:lvlText w:val="%6."/>
      <w:lvlJc w:val="right"/>
      <w:pPr>
        <w:ind w:left="6792" w:hanging="180"/>
      </w:pPr>
    </w:lvl>
    <w:lvl w:ilvl="6" w:tplc="041A000F" w:tentative="1">
      <w:start w:val="1"/>
      <w:numFmt w:val="decimal"/>
      <w:lvlText w:val="%7."/>
      <w:lvlJc w:val="left"/>
      <w:pPr>
        <w:ind w:left="7512" w:hanging="360"/>
      </w:pPr>
    </w:lvl>
    <w:lvl w:ilvl="7" w:tplc="041A0019" w:tentative="1">
      <w:start w:val="1"/>
      <w:numFmt w:val="lowerLetter"/>
      <w:lvlText w:val="%8."/>
      <w:lvlJc w:val="left"/>
      <w:pPr>
        <w:ind w:left="8232" w:hanging="360"/>
      </w:pPr>
    </w:lvl>
    <w:lvl w:ilvl="8" w:tplc="041A001B" w:tentative="1">
      <w:start w:val="1"/>
      <w:numFmt w:val="lowerRoman"/>
      <w:lvlText w:val="%9."/>
      <w:lvlJc w:val="right"/>
      <w:pPr>
        <w:ind w:left="8952" w:hanging="180"/>
      </w:pPr>
    </w:lvl>
  </w:abstractNum>
  <w:abstractNum w:abstractNumId="5" w15:restartNumberingAfterBreak="0">
    <w:nsid w:val="050C4C24"/>
    <w:multiLevelType w:val="multilevel"/>
    <w:tmpl w:val="C1E86298"/>
    <w:lvl w:ilvl="0">
      <w:start w:val="3"/>
      <w:numFmt w:val="upperRoman"/>
      <w:pStyle w:val="AZO1"/>
      <w:lvlText w:val="%1."/>
      <w:lvlJc w:val="right"/>
      <w:pPr>
        <w:ind w:left="36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797"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 w15:restartNumberingAfterBreak="0">
    <w:nsid w:val="054C635F"/>
    <w:multiLevelType w:val="hybridMultilevel"/>
    <w:tmpl w:val="F01AA1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BA4B99"/>
    <w:multiLevelType w:val="hybridMultilevel"/>
    <w:tmpl w:val="145691A4"/>
    <w:lvl w:ilvl="0" w:tplc="041A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9BA6476">
      <w:start w:val="1"/>
      <w:numFmt w:val="decimal"/>
      <w:lvlText w:val="%6."/>
      <w:lvlJc w:val="center"/>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533AE"/>
    <w:multiLevelType w:val="hybridMultilevel"/>
    <w:tmpl w:val="1D1C008A"/>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4EE168B"/>
    <w:multiLevelType w:val="hybridMultilevel"/>
    <w:tmpl w:val="02189554"/>
    <w:lvl w:ilvl="0" w:tplc="D8C0F338">
      <w:start w:val="2021"/>
      <w:numFmt w:val="bullet"/>
      <w:lvlText w:val="-"/>
      <w:lvlJc w:val="left"/>
      <w:pPr>
        <w:ind w:left="720" w:hanging="360"/>
      </w:pPr>
      <w:rPr>
        <w:rFonts w:ascii="Calibri" w:eastAsiaTheme="minorEastAsia" w:hAnsi="Calibri" w:cs="Calibri" w:hint="default"/>
      </w:rPr>
    </w:lvl>
    <w:lvl w:ilvl="1" w:tplc="4210BDC6">
      <w:numFmt w:val="bullet"/>
      <w:lvlText w:val="•"/>
      <w:lvlJc w:val="left"/>
      <w:pPr>
        <w:ind w:left="1440" w:hanging="360"/>
      </w:pPr>
      <w:rPr>
        <w:rFonts w:ascii="Times New Roman" w:eastAsia="Times New Roman" w:hAnsi="Times New Roman" w:cs="Times New Roman" w:hint="default"/>
        <w:sz w:val="24"/>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70967E4"/>
    <w:multiLevelType w:val="hybridMultilevel"/>
    <w:tmpl w:val="E50A65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E36251"/>
    <w:multiLevelType w:val="hybridMultilevel"/>
    <w:tmpl w:val="EFCADA46"/>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9260429"/>
    <w:multiLevelType w:val="multilevel"/>
    <w:tmpl w:val="A2C0519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3D41C2"/>
    <w:multiLevelType w:val="hybridMultilevel"/>
    <w:tmpl w:val="A41085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795C6D"/>
    <w:multiLevelType w:val="hybridMultilevel"/>
    <w:tmpl w:val="06B47A66"/>
    <w:lvl w:ilvl="0" w:tplc="8C588CF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00D40"/>
    <w:multiLevelType w:val="hybridMultilevel"/>
    <w:tmpl w:val="F7BA3672"/>
    <w:lvl w:ilvl="0" w:tplc="C9BA6476">
      <w:start w:val="1"/>
      <w:numFmt w:val="decimal"/>
      <w:lvlText w:val="%1."/>
      <w:lvlJc w:val="center"/>
      <w:pPr>
        <w:ind w:left="4320" w:hanging="1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4C55A3B"/>
    <w:multiLevelType w:val="hybridMultilevel"/>
    <w:tmpl w:val="8A881B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4DB3182"/>
    <w:multiLevelType w:val="hybridMultilevel"/>
    <w:tmpl w:val="EC9E2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515533A"/>
    <w:multiLevelType w:val="hybridMultilevel"/>
    <w:tmpl w:val="323A58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9CA5F05"/>
    <w:multiLevelType w:val="hybridMultilevel"/>
    <w:tmpl w:val="3F340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CC4E09"/>
    <w:multiLevelType w:val="hybridMultilevel"/>
    <w:tmpl w:val="D2269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856ECF"/>
    <w:multiLevelType w:val="multilevel"/>
    <w:tmpl w:val="B01E0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BA064B"/>
    <w:multiLevelType w:val="hybridMultilevel"/>
    <w:tmpl w:val="307C85B6"/>
    <w:lvl w:ilvl="0" w:tplc="91FE4880">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88D4321"/>
    <w:multiLevelType w:val="multilevel"/>
    <w:tmpl w:val="89EC8C5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D26DE0"/>
    <w:multiLevelType w:val="hybridMultilevel"/>
    <w:tmpl w:val="0E1EEA66"/>
    <w:lvl w:ilvl="0" w:tplc="FCD65910">
      <w:start w:val="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ABF6244"/>
    <w:multiLevelType w:val="hybridMultilevel"/>
    <w:tmpl w:val="24B45640"/>
    <w:lvl w:ilvl="0" w:tplc="630892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72E0C"/>
    <w:multiLevelType w:val="hybridMultilevel"/>
    <w:tmpl w:val="6FCC7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5563DD2"/>
    <w:multiLevelType w:val="hybridMultilevel"/>
    <w:tmpl w:val="F6AA7170"/>
    <w:lvl w:ilvl="0" w:tplc="14D0E64E">
      <w:numFmt w:val="bullet"/>
      <w:lvlText w:val="•"/>
      <w:lvlJc w:val="left"/>
      <w:pPr>
        <w:ind w:left="1065" w:hanging="705"/>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A060197"/>
    <w:multiLevelType w:val="hybridMultilevel"/>
    <w:tmpl w:val="191834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0B153FF"/>
    <w:multiLevelType w:val="hybridMultilevel"/>
    <w:tmpl w:val="4A200B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1334A41"/>
    <w:multiLevelType w:val="hybridMultilevel"/>
    <w:tmpl w:val="A6BE5C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3551EBE"/>
    <w:multiLevelType w:val="hybridMultilevel"/>
    <w:tmpl w:val="17C06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59B759B"/>
    <w:multiLevelType w:val="hybridMultilevel"/>
    <w:tmpl w:val="2990DC9C"/>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271BD7"/>
    <w:multiLevelType w:val="hybridMultilevel"/>
    <w:tmpl w:val="94C00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8945E3C"/>
    <w:multiLevelType w:val="hybridMultilevel"/>
    <w:tmpl w:val="E51045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691272C"/>
    <w:multiLevelType w:val="multilevel"/>
    <w:tmpl w:val="EA3C8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0B5ADE"/>
    <w:multiLevelType w:val="hybridMultilevel"/>
    <w:tmpl w:val="90209F5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67934B1A"/>
    <w:multiLevelType w:val="hybridMultilevel"/>
    <w:tmpl w:val="F17238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331A6D"/>
    <w:multiLevelType w:val="hybridMultilevel"/>
    <w:tmpl w:val="157A31F4"/>
    <w:lvl w:ilvl="0" w:tplc="041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92635E"/>
    <w:multiLevelType w:val="hybridMultilevel"/>
    <w:tmpl w:val="ADBA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61936"/>
    <w:multiLevelType w:val="hybridMultilevel"/>
    <w:tmpl w:val="22FECFA6"/>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3490583"/>
    <w:multiLevelType w:val="hybridMultilevel"/>
    <w:tmpl w:val="3836E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5231665"/>
    <w:multiLevelType w:val="multilevel"/>
    <w:tmpl w:val="3B66307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4339C8"/>
    <w:multiLevelType w:val="hybridMultilevel"/>
    <w:tmpl w:val="E77CFEB0"/>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ED16024"/>
    <w:multiLevelType w:val="hybridMultilevel"/>
    <w:tmpl w:val="29063E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31"/>
  </w:num>
  <w:num w:numId="3">
    <w:abstractNumId w:val="34"/>
  </w:num>
  <w:num w:numId="4">
    <w:abstractNumId w:val="19"/>
  </w:num>
  <w:num w:numId="5">
    <w:abstractNumId w:val="43"/>
  </w:num>
  <w:num w:numId="6">
    <w:abstractNumId w:val="41"/>
  </w:num>
  <w:num w:numId="7">
    <w:abstractNumId w:val="33"/>
  </w:num>
  <w:num w:numId="8">
    <w:abstractNumId w:val="1"/>
  </w:num>
  <w:num w:numId="9">
    <w:abstractNumId w:val="42"/>
  </w:num>
  <w:num w:numId="10">
    <w:abstractNumId w:val="23"/>
  </w:num>
  <w:num w:numId="11">
    <w:abstractNumId w:val="13"/>
  </w:num>
  <w:num w:numId="12">
    <w:abstractNumId w:val="18"/>
  </w:num>
  <w:num w:numId="13">
    <w:abstractNumId w:val="24"/>
  </w:num>
  <w:num w:numId="14">
    <w:abstractNumId w:val="7"/>
  </w:num>
  <w:num w:numId="15">
    <w:abstractNumId w:val="16"/>
  </w:num>
  <w:num w:numId="16">
    <w:abstractNumId w:val="10"/>
  </w:num>
  <w:num w:numId="17">
    <w:abstractNumId w:val="6"/>
  </w:num>
  <w:num w:numId="18">
    <w:abstractNumId w:val="38"/>
  </w:num>
  <w:num w:numId="19">
    <w:abstractNumId w:val="32"/>
  </w:num>
  <w:num w:numId="20">
    <w:abstractNumId w:val="25"/>
  </w:num>
  <w:num w:numId="21">
    <w:abstractNumId w:val="14"/>
  </w:num>
  <w:num w:numId="22">
    <w:abstractNumId w:val="22"/>
  </w:num>
  <w:num w:numId="23">
    <w:abstractNumId w:val="39"/>
  </w:num>
  <w:num w:numId="24">
    <w:abstractNumId w:val="20"/>
  </w:num>
  <w:num w:numId="25">
    <w:abstractNumId w:val="37"/>
  </w:num>
  <w:num w:numId="26">
    <w:abstractNumId w:val="26"/>
  </w:num>
  <w:num w:numId="27">
    <w:abstractNumId w:val="36"/>
  </w:num>
  <w:num w:numId="28">
    <w:abstractNumId w:val="4"/>
  </w:num>
  <w:num w:numId="29">
    <w:abstractNumId w:val="15"/>
  </w:num>
  <w:num w:numId="30">
    <w:abstractNumId w:val="12"/>
  </w:num>
  <w:num w:numId="31">
    <w:abstractNumId w:val="0"/>
  </w:num>
  <w:num w:numId="32">
    <w:abstractNumId w:val="28"/>
  </w:num>
  <w:num w:numId="33">
    <w:abstractNumId w:val="44"/>
  </w:num>
  <w:num w:numId="34">
    <w:abstractNumId w:val="21"/>
  </w:num>
  <w:num w:numId="35">
    <w:abstractNumId w:val="35"/>
  </w:num>
  <w:num w:numId="36">
    <w:abstractNumId w:val="29"/>
  </w:num>
  <w:num w:numId="37">
    <w:abstractNumId w:val="3"/>
  </w:num>
  <w:num w:numId="38">
    <w:abstractNumId w:val="35"/>
  </w:num>
  <w:num w:numId="39">
    <w:abstractNumId w:val="11"/>
  </w:num>
  <w:num w:numId="40">
    <w:abstractNumId w:val="40"/>
  </w:num>
  <w:num w:numId="41">
    <w:abstractNumId w:val="17"/>
  </w:num>
  <w:num w:numId="42">
    <w:abstractNumId w:val="27"/>
  </w:num>
  <w:num w:numId="43">
    <w:abstractNumId w:val="8"/>
  </w:num>
  <w:num w:numId="44">
    <w:abstractNumId w:val="9"/>
  </w:num>
  <w:num w:numId="45">
    <w:abstractNumId w:val="2"/>
  </w:num>
  <w:num w:numId="46">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EE7"/>
    <w:rsid w:val="0000343E"/>
    <w:rsid w:val="00004A9F"/>
    <w:rsid w:val="00005739"/>
    <w:rsid w:val="00014167"/>
    <w:rsid w:val="000168E3"/>
    <w:rsid w:val="00016F23"/>
    <w:rsid w:val="00021C31"/>
    <w:rsid w:val="000223D4"/>
    <w:rsid w:val="000227E2"/>
    <w:rsid w:val="000237AF"/>
    <w:rsid w:val="000253EF"/>
    <w:rsid w:val="0002602E"/>
    <w:rsid w:val="000260F0"/>
    <w:rsid w:val="00027AFE"/>
    <w:rsid w:val="000303B8"/>
    <w:rsid w:val="000305F7"/>
    <w:rsid w:val="0003329F"/>
    <w:rsid w:val="00037FDD"/>
    <w:rsid w:val="000439E6"/>
    <w:rsid w:val="0004470C"/>
    <w:rsid w:val="000478CB"/>
    <w:rsid w:val="00047CB7"/>
    <w:rsid w:val="00050927"/>
    <w:rsid w:val="000513E9"/>
    <w:rsid w:val="000526CC"/>
    <w:rsid w:val="00055360"/>
    <w:rsid w:val="00055A8B"/>
    <w:rsid w:val="00055DE9"/>
    <w:rsid w:val="00057D34"/>
    <w:rsid w:val="000609D0"/>
    <w:rsid w:val="00061929"/>
    <w:rsid w:val="00065468"/>
    <w:rsid w:val="0006570D"/>
    <w:rsid w:val="00071CAB"/>
    <w:rsid w:val="00072CD0"/>
    <w:rsid w:val="00076D37"/>
    <w:rsid w:val="00080CC4"/>
    <w:rsid w:val="00082723"/>
    <w:rsid w:val="0008284C"/>
    <w:rsid w:val="00082A39"/>
    <w:rsid w:val="0008329E"/>
    <w:rsid w:val="00085B31"/>
    <w:rsid w:val="00090862"/>
    <w:rsid w:val="00090CD0"/>
    <w:rsid w:val="00091BCE"/>
    <w:rsid w:val="00091E25"/>
    <w:rsid w:val="00091E4F"/>
    <w:rsid w:val="0009203A"/>
    <w:rsid w:val="00092668"/>
    <w:rsid w:val="00092C70"/>
    <w:rsid w:val="00092E64"/>
    <w:rsid w:val="00092F70"/>
    <w:rsid w:val="00093EE3"/>
    <w:rsid w:val="00096795"/>
    <w:rsid w:val="00097B31"/>
    <w:rsid w:val="000A0BF6"/>
    <w:rsid w:val="000A1E96"/>
    <w:rsid w:val="000A1EE9"/>
    <w:rsid w:val="000A2619"/>
    <w:rsid w:val="000A3837"/>
    <w:rsid w:val="000A4E49"/>
    <w:rsid w:val="000A5F6E"/>
    <w:rsid w:val="000A60DE"/>
    <w:rsid w:val="000B1733"/>
    <w:rsid w:val="000B1993"/>
    <w:rsid w:val="000B1A82"/>
    <w:rsid w:val="000B2FA6"/>
    <w:rsid w:val="000B32E7"/>
    <w:rsid w:val="000B3E1B"/>
    <w:rsid w:val="000B4CC0"/>
    <w:rsid w:val="000B51C6"/>
    <w:rsid w:val="000B5CB3"/>
    <w:rsid w:val="000B6F61"/>
    <w:rsid w:val="000C093D"/>
    <w:rsid w:val="000C11B0"/>
    <w:rsid w:val="000C21F8"/>
    <w:rsid w:val="000C2CBE"/>
    <w:rsid w:val="000C5BD2"/>
    <w:rsid w:val="000C6735"/>
    <w:rsid w:val="000C6A16"/>
    <w:rsid w:val="000D1F20"/>
    <w:rsid w:val="000D5E6F"/>
    <w:rsid w:val="000D682C"/>
    <w:rsid w:val="000E27CD"/>
    <w:rsid w:val="000E29EE"/>
    <w:rsid w:val="000E2D3B"/>
    <w:rsid w:val="000E3035"/>
    <w:rsid w:val="000E7C8B"/>
    <w:rsid w:val="000F1A2A"/>
    <w:rsid w:val="000F1ADC"/>
    <w:rsid w:val="000F2180"/>
    <w:rsid w:val="000F3A0D"/>
    <w:rsid w:val="000F3CF1"/>
    <w:rsid w:val="000F7128"/>
    <w:rsid w:val="00101852"/>
    <w:rsid w:val="00103446"/>
    <w:rsid w:val="0010366B"/>
    <w:rsid w:val="00103E98"/>
    <w:rsid w:val="001047D5"/>
    <w:rsid w:val="00105EF8"/>
    <w:rsid w:val="0010708D"/>
    <w:rsid w:val="00112EDC"/>
    <w:rsid w:val="00120761"/>
    <w:rsid w:val="00123F3E"/>
    <w:rsid w:val="001267E2"/>
    <w:rsid w:val="0012759C"/>
    <w:rsid w:val="00130B7B"/>
    <w:rsid w:val="00131A44"/>
    <w:rsid w:val="001349D8"/>
    <w:rsid w:val="00134EBD"/>
    <w:rsid w:val="00135BED"/>
    <w:rsid w:val="00136EF0"/>
    <w:rsid w:val="001371E9"/>
    <w:rsid w:val="00140F23"/>
    <w:rsid w:val="00143646"/>
    <w:rsid w:val="00143B1B"/>
    <w:rsid w:val="0014716B"/>
    <w:rsid w:val="001506FF"/>
    <w:rsid w:val="00150A97"/>
    <w:rsid w:val="00151141"/>
    <w:rsid w:val="00151F04"/>
    <w:rsid w:val="0015237B"/>
    <w:rsid w:val="001535E7"/>
    <w:rsid w:val="00154968"/>
    <w:rsid w:val="001549F3"/>
    <w:rsid w:val="001564C5"/>
    <w:rsid w:val="00156C35"/>
    <w:rsid w:val="00157D94"/>
    <w:rsid w:val="00157FB6"/>
    <w:rsid w:val="001606FA"/>
    <w:rsid w:val="0016275B"/>
    <w:rsid w:val="0016297F"/>
    <w:rsid w:val="00162E42"/>
    <w:rsid w:val="00163234"/>
    <w:rsid w:val="00165336"/>
    <w:rsid w:val="00165DDD"/>
    <w:rsid w:val="001668CA"/>
    <w:rsid w:val="00167D97"/>
    <w:rsid w:val="001706A5"/>
    <w:rsid w:val="00172C7F"/>
    <w:rsid w:val="00172FD9"/>
    <w:rsid w:val="001732C0"/>
    <w:rsid w:val="001752BE"/>
    <w:rsid w:val="00176928"/>
    <w:rsid w:val="00176F0A"/>
    <w:rsid w:val="00177B80"/>
    <w:rsid w:val="00180725"/>
    <w:rsid w:val="001824EF"/>
    <w:rsid w:val="00182886"/>
    <w:rsid w:val="001828E7"/>
    <w:rsid w:val="001850AB"/>
    <w:rsid w:val="001858A0"/>
    <w:rsid w:val="0018601C"/>
    <w:rsid w:val="001863D9"/>
    <w:rsid w:val="00187FAF"/>
    <w:rsid w:val="001909D1"/>
    <w:rsid w:val="00192507"/>
    <w:rsid w:val="00196D58"/>
    <w:rsid w:val="001A1158"/>
    <w:rsid w:val="001A25A0"/>
    <w:rsid w:val="001A459A"/>
    <w:rsid w:val="001A4781"/>
    <w:rsid w:val="001A53A5"/>
    <w:rsid w:val="001A621A"/>
    <w:rsid w:val="001A64CC"/>
    <w:rsid w:val="001A678D"/>
    <w:rsid w:val="001A6C2E"/>
    <w:rsid w:val="001A6D06"/>
    <w:rsid w:val="001B126F"/>
    <w:rsid w:val="001B18DF"/>
    <w:rsid w:val="001B29BA"/>
    <w:rsid w:val="001B2CA1"/>
    <w:rsid w:val="001B4447"/>
    <w:rsid w:val="001B48CC"/>
    <w:rsid w:val="001B4D93"/>
    <w:rsid w:val="001B5540"/>
    <w:rsid w:val="001B57F8"/>
    <w:rsid w:val="001B74B7"/>
    <w:rsid w:val="001C002F"/>
    <w:rsid w:val="001C1FFA"/>
    <w:rsid w:val="001C24C4"/>
    <w:rsid w:val="001C33A4"/>
    <w:rsid w:val="001C4163"/>
    <w:rsid w:val="001C4970"/>
    <w:rsid w:val="001C5557"/>
    <w:rsid w:val="001C6342"/>
    <w:rsid w:val="001C6607"/>
    <w:rsid w:val="001D1A7C"/>
    <w:rsid w:val="001D371A"/>
    <w:rsid w:val="001D5C3B"/>
    <w:rsid w:val="001D6A1B"/>
    <w:rsid w:val="001D7259"/>
    <w:rsid w:val="001E1A1F"/>
    <w:rsid w:val="001E30C7"/>
    <w:rsid w:val="001E4B85"/>
    <w:rsid w:val="001F37D4"/>
    <w:rsid w:val="001F3D11"/>
    <w:rsid w:val="001F4184"/>
    <w:rsid w:val="001F4195"/>
    <w:rsid w:val="001F52B7"/>
    <w:rsid w:val="001F6B08"/>
    <w:rsid w:val="00201DAE"/>
    <w:rsid w:val="00204930"/>
    <w:rsid w:val="00205DAC"/>
    <w:rsid w:val="00205E21"/>
    <w:rsid w:val="0021017D"/>
    <w:rsid w:val="00210545"/>
    <w:rsid w:val="00210987"/>
    <w:rsid w:val="00212296"/>
    <w:rsid w:val="00212E51"/>
    <w:rsid w:val="00213934"/>
    <w:rsid w:val="00215BBF"/>
    <w:rsid w:val="00215CD0"/>
    <w:rsid w:val="00216123"/>
    <w:rsid w:val="0022124A"/>
    <w:rsid w:val="00224421"/>
    <w:rsid w:val="00224614"/>
    <w:rsid w:val="00224978"/>
    <w:rsid w:val="00224EED"/>
    <w:rsid w:val="002266E0"/>
    <w:rsid w:val="002314AB"/>
    <w:rsid w:val="00232310"/>
    <w:rsid w:val="002372AF"/>
    <w:rsid w:val="00237ADB"/>
    <w:rsid w:val="002412DF"/>
    <w:rsid w:val="00242668"/>
    <w:rsid w:val="00243015"/>
    <w:rsid w:val="00244774"/>
    <w:rsid w:val="002472DC"/>
    <w:rsid w:val="00251B61"/>
    <w:rsid w:val="00253233"/>
    <w:rsid w:val="00253A27"/>
    <w:rsid w:val="00253E4C"/>
    <w:rsid w:val="00254242"/>
    <w:rsid w:val="00254A2E"/>
    <w:rsid w:val="002550E6"/>
    <w:rsid w:val="00256AF6"/>
    <w:rsid w:val="0026229B"/>
    <w:rsid w:val="002663D5"/>
    <w:rsid w:val="002664D6"/>
    <w:rsid w:val="00267069"/>
    <w:rsid w:val="002745D3"/>
    <w:rsid w:val="00277611"/>
    <w:rsid w:val="00280784"/>
    <w:rsid w:val="00281501"/>
    <w:rsid w:val="0028253F"/>
    <w:rsid w:val="00282EF9"/>
    <w:rsid w:val="00283523"/>
    <w:rsid w:val="00283B3E"/>
    <w:rsid w:val="002853A1"/>
    <w:rsid w:val="0029013E"/>
    <w:rsid w:val="00290213"/>
    <w:rsid w:val="002931E7"/>
    <w:rsid w:val="002941B4"/>
    <w:rsid w:val="002952C0"/>
    <w:rsid w:val="002979B9"/>
    <w:rsid w:val="00297E56"/>
    <w:rsid w:val="002A0065"/>
    <w:rsid w:val="002A08A5"/>
    <w:rsid w:val="002A0A98"/>
    <w:rsid w:val="002A11B4"/>
    <w:rsid w:val="002A3079"/>
    <w:rsid w:val="002A39A4"/>
    <w:rsid w:val="002A3FA4"/>
    <w:rsid w:val="002A70E3"/>
    <w:rsid w:val="002A7516"/>
    <w:rsid w:val="002A7717"/>
    <w:rsid w:val="002A7BA5"/>
    <w:rsid w:val="002B1A29"/>
    <w:rsid w:val="002B2221"/>
    <w:rsid w:val="002B596D"/>
    <w:rsid w:val="002B62B1"/>
    <w:rsid w:val="002B6D7D"/>
    <w:rsid w:val="002C114D"/>
    <w:rsid w:val="002C280D"/>
    <w:rsid w:val="002C4B83"/>
    <w:rsid w:val="002C5521"/>
    <w:rsid w:val="002C5E3D"/>
    <w:rsid w:val="002D0222"/>
    <w:rsid w:val="002D2EE9"/>
    <w:rsid w:val="002D4766"/>
    <w:rsid w:val="002D583A"/>
    <w:rsid w:val="002D6265"/>
    <w:rsid w:val="002D7C82"/>
    <w:rsid w:val="002E0D16"/>
    <w:rsid w:val="002E2664"/>
    <w:rsid w:val="002E563D"/>
    <w:rsid w:val="002E5795"/>
    <w:rsid w:val="002E6231"/>
    <w:rsid w:val="002E67E2"/>
    <w:rsid w:val="002E68B6"/>
    <w:rsid w:val="002E69A2"/>
    <w:rsid w:val="002E6D9F"/>
    <w:rsid w:val="002F039F"/>
    <w:rsid w:val="002F0E71"/>
    <w:rsid w:val="002F29EC"/>
    <w:rsid w:val="002F3398"/>
    <w:rsid w:val="002F7CEB"/>
    <w:rsid w:val="00300708"/>
    <w:rsid w:val="00301BB6"/>
    <w:rsid w:val="00311374"/>
    <w:rsid w:val="00311F91"/>
    <w:rsid w:val="00311FA7"/>
    <w:rsid w:val="0031536F"/>
    <w:rsid w:val="003160ED"/>
    <w:rsid w:val="00317EE7"/>
    <w:rsid w:val="00320378"/>
    <w:rsid w:val="0032121E"/>
    <w:rsid w:val="00321B61"/>
    <w:rsid w:val="00321B71"/>
    <w:rsid w:val="00322365"/>
    <w:rsid w:val="00322C4A"/>
    <w:rsid w:val="003234EC"/>
    <w:rsid w:val="00323A4B"/>
    <w:rsid w:val="0032578D"/>
    <w:rsid w:val="00327C97"/>
    <w:rsid w:val="00330FF2"/>
    <w:rsid w:val="003310CC"/>
    <w:rsid w:val="00332955"/>
    <w:rsid w:val="0033451E"/>
    <w:rsid w:val="00334685"/>
    <w:rsid w:val="003379CD"/>
    <w:rsid w:val="00337D84"/>
    <w:rsid w:val="0034130F"/>
    <w:rsid w:val="00342456"/>
    <w:rsid w:val="003435A3"/>
    <w:rsid w:val="003438B1"/>
    <w:rsid w:val="00344368"/>
    <w:rsid w:val="00345466"/>
    <w:rsid w:val="00346EFE"/>
    <w:rsid w:val="00347416"/>
    <w:rsid w:val="00350EB0"/>
    <w:rsid w:val="00351284"/>
    <w:rsid w:val="00351459"/>
    <w:rsid w:val="003523A3"/>
    <w:rsid w:val="00352D22"/>
    <w:rsid w:val="00352DF5"/>
    <w:rsid w:val="00354B6E"/>
    <w:rsid w:val="00355500"/>
    <w:rsid w:val="00357BD8"/>
    <w:rsid w:val="003602BD"/>
    <w:rsid w:val="0036042F"/>
    <w:rsid w:val="00360F10"/>
    <w:rsid w:val="00361572"/>
    <w:rsid w:val="00361574"/>
    <w:rsid w:val="00362DD1"/>
    <w:rsid w:val="00362FDE"/>
    <w:rsid w:val="0036319C"/>
    <w:rsid w:val="00363268"/>
    <w:rsid w:val="00365F6A"/>
    <w:rsid w:val="00367A6B"/>
    <w:rsid w:val="00367A6E"/>
    <w:rsid w:val="00367BCE"/>
    <w:rsid w:val="003703A1"/>
    <w:rsid w:val="00370844"/>
    <w:rsid w:val="00371CDF"/>
    <w:rsid w:val="003724ED"/>
    <w:rsid w:val="00372A1B"/>
    <w:rsid w:val="003741CD"/>
    <w:rsid w:val="003746DC"/>
    <w:rsid w:val="00375321"/>
    <w:rsid w:val="0037716D"/>
    <w:rsid w:val="0038057D"/>
    <w:rsid w:val="0038202C"/>
    <w:rsid w:val="00382CA5"/>
    <w:rsid w:val="00385042"/>
    <w:rsid w:val="00385914"/>
    <w:rsid w:val="00385D86"/>
    <w:rsid w:val="00386832"/>
    <w:rsid w:val="00391874"/>
    <w:rsid w:val="00393850"/>
    <w:rsid w:val="003963D7"/>
    <w:rsid w:val="00396965"/>
    <w:rsid w:val="00397174"/>
    <w:rsid w:val="003A09DB"/>
    <w:rsid w:val="003A1C7C"/>
    <w:rsid w:val="003A2121"/>
    <w:rsid w:val="003A6E5E"/>
    <w:rsid w:val="003A7F70"/>
    <w:rsid w:val="003B15CA"/>
    <w:rsid w:val="003B15CE"/>
    <w:rsid w:val="003B1F30"/>
    <w:rsid w:val="003B2676"/>
    <w:rsid w:val="003B6A74"/>
    <w:rsid w:val="003C08BF"/>
    <w:rsid w:val="003C08E3"/>
    <w:rsid w:val="003C2688"/>
    <w:rsid w:val="003C273D"/>
    <w:rsid w:val="003C2CFD"/>
    <w:rsid w:val="003C2DF6"/>
    <w:rsid w:val="003C4F05"/>
    <w:rsid w:val="003C5E25"/>
    <w:rsid w:val="003C6073"/>
    <w:rsid w:val="003D0E9D"/>
    <w:rsid w:val="003D141A"/>
    <w:rsid w:val="003D3BAA"/>
    <w:rsid w:val="003D4DDD"/>
    <w:rsid w:val="003D5BAD"/>
    <w:rsid w:val="003D7BF9"/>
    <w:rsid w:val="003E2039"/>
    <w:rsid w:val="003E33E2"/>
    <w:rsid w:val="003E3861"/>
    <w:rsid w:val="003E3CB3"/>
    <w:rsid w:val="003E4350"/>
    <w:rsid w:val="003E4992"/>
    <w:rsid w:val="003E533E"/>
    <w:rsid w:val="003F170F"/>
    <w:rsid w:val="003F2F75"/>
    <w:rsid w:val="003F4512"/>
    <w:rsid w:val="003F4555"/>
    <w:rsid w:val="003F75D0"/>
    <w:rsid w:val="00402D84"/>
    <w:rsid w:val="00403E8D"/>
    <w:rsid w:val="004062EF"/>
    <w:rsid w:val="00407DD4"/>
    <w:rsid w:val="00410E6F"/>
    <w:rsid w:val="00412951"/>
    <w:rsid w:val="004138E9"/>
    <w:rsid w:val="00414224"/>
    <w:rsid w:val="00415B42"/>
    <w:rsid w:val="00421665"/>
    <w:rsid w:val="0042238B"/>
    <w:rsid w:val="00425984"/>
    <w:rsid w:val="00426CD0"/>
    <w:rsid w:val="00430648"/>
    <w:rsid w:val="00430E79"/>
    <w:rsid w:val="00432022"/>
    <w:rsid w:val="00433203"/>
    <w:rsid w:val="0043390C"/>
    <w:rsid w:val="004360DC"/>
    <w:rsid w:val="00442A38"/>
    <w:rsid w:val="004431B1"/>
    <w:rsid w:val="004439D5"/>
    <w:rsid w:val="00446EF2"/>
    <w:rsid w:val="0045315A"/>
    <w:rsid w:val="0045316F"/>
    <w:rsid w:val="00453A97"/>
    <w:rsid w:val="00453FC9"/>
    <w:rsid w:val="0045483E"/>
    <w:rsid w:val="00460D98"/>
    <w:rsid w:val="004612D2"/>
    <w:rsid w:val="00463487"/>
    <w:rsid w:val="0046361B"/>
    <w:rsid w:val="00463A28"/>
    <w:rsid w:val="00463C5C"/>
    <w:rsid w:val="00463F9F"/>
    <w:rsid w:val="00464F69"/>
    <w:rsid w:val="00465377"/>
    <w:rsid w:val="004658EE"/>
    <w:rsid w:val="00465FB6"/>
    <w:rsid w:val="0046613E"/>
    <w:rsid w:val="0046617F"/>
    <w:rsid w:val="0046621B"/>
    <w:rsid w:val="00466DB7"/>
    <w:rsid w:val="004704D8"/>
    <w:rsid w:val="00472E6B"/>
    <w:rsid w:val="00474602"/>
    <w:rsid w:val="00474BBC"/>
    <w:rsid w:val="00474FCD"/>
    <w:rsid w:val="00477AF9"/>
    <w:rsid w:val="004826B7"/>
    <w:rsid w:val="00482CBA"/>
    <w:rsid w:val="0048308F"/>
    <w:rsid w:val="00483490"/>
    <w:rsid w:val="004840CB"/>
    <w:rsid w:val="00484DB4"/>
    <w:rsid w:val="004852DA"/>
    <w:rsid w:val="0049146C"/>
    <w:rsid w:val="004917DF"/>
    <w:rsid w:val="0049713B"/>
    <w:rsid w:val="004A237B"/>
    <w:rsid w:val="004A2DD4"/>
    <w:rsid w:val="004A4258"/>
    <w:rsid w:val="004A4388"/>
    <w:rsid w:val="004A5E79"/>
    <w:rsid w:val="004A64F8"/>
    <w:rsid w:val="004B0AA5"/>
    <w:rsid w:val="004B0D63"/>
    <w:rsid w:val="004B126D"/>
    <w:rsid w:val="004B1B4A"/>
    <w:rsid w:val="004B2320"/>
    <w:rsid w:val="004B44BB"/>
    <w:rsid w:val="004B500B"/>
    <w:rsid w:val="004B51C3"/>
    <w:rsid w:val="004B6C38"/>
    <w:rsid w:val="004B7F25"/>
    <w:rsid w:val="004C1891"/>
    <w:rsid w:val="004C192E"/>
    <w:rsid w:val="004C26EB"/>
    <w:rsid w:val="004C41C9"/>
    <w:rsid w:val="004C463B"/>
    <w:rsid w:val="004C4DEE"/>
    <w:rsid w:val="004D224E"/>
    <w:rsid w:val="004D278C"/>
    <w:rsid w:val="004D3DAE"/>
    <w:rsid w:val="004D7333"/>
    <w:rsid w:val="004D7C7C"/>
    <w:rsid w:val="004E1F34"/>
    <w:rsid w:val="004E2A08"/>
    <w:rsid w:val="004E45FE"/>
    <w:rsid w:val="004E6800"/>
    <w:rsid w:val="004F0853"/>
    <w:rsid w:val="004F13FF"/>
    <w:rsid w:val="004F1C5A"/>
    <w:rsid w:val="004F2443"/>
    <w:rsid w:val="004F5E97"/>
    <w:rsid w:val="004F6D47"/>
    <w:rsid w:val="004F73CA"/>
    <w:rsid w:val="004F75C6"/>
    <w:rsid w:val="005010EF"/>
    <w:rsid w:val="00501158"/>
    <w:rsid w:val="0050182E"/>
    <w:rsid w:val="00501A46"/>
    <w:rsid w:val="00503352"/>
    <w:rsid w:val="0050348C"/>
    <w:rsid w:val="00503B5C"/>
    <w:rsid w:val="00504141"/>
    <w:rsid w:val="005044D4"/>
    <w:rsid w:val="005052DA"/>
    <w:rsid w:val="00507E93"/>
    <w:rsid w:val="00510C0C"/>
    <w:rsid w:val="00513CA0"/>
    <w:rsid w:val="00516804"/>
    <w:rsid w:val="005179EB"/>
    <w:rsid w:val="005227F3"/>
    <w:rsid w:val="00524D10"/>
    <w:rsid w:val="005250BF"/>
    <w:rsid w:val="00525EA7"/>
    <w:rsid w:val="00526778"/>
    <w:rsid w:val="005274DD"/>
    <w:rsid w:val="00530B9D"/>
    <w:rsid w:val="00530C10"/>
    <w:rsid w:val="005312BF"/>
    <w:rsid w:val="00531A2C"/>
    <w:rsid w:val="0053488F"/>
    <w:rsid w:val="0053627E"/>
    <w:rsid w:val="00536E70"/>
    <w:rsid w:val="0054056B"/>
    <w:rsid w:val="00540A36"/>
    <w:rsid w:val="00541243"/>
    <w:rsid w:val="00541439"/>
    <w:rsid w:val="00541BA5"/>
    <w:rsid w:val="0054211F"/>
    <w:rsid w:val="00543610"/>
    <w:rsid w:val="00544913"/>
    <w:rsid w:val="00547F2D"/>
    <w:rsid w:val="0055465D"/>
    <w:rsid w:val="00556BA2"/>
    <w:rsid w:val="0056122E"/>
    <w:rsid w:val="00561C97"/>
    <w:rsid w:val="00566024"/>
    <w:rsid w:val="005675D2"/>
    <w:rsid w:val="00567A56"/>
    <w:rsid w:val="00570949"/>
    <w:rsid w:val="00572B97"/>
    <w:rsid w:val="00573A2A"/>
    <w:rsid w:val="005754D5"/>
    <w:rsid w:val="005805F0"/>
    <w:rsid w:val="00583C93"/>
    <w:rsid w:val="00583DBD"/>
    <w:rsid w:val="0058410C"/>
    <w:rsid w:val="005860BE"/>
    <w:rsid w:val="00586119"/>
    <w:rsid w:val="005924D7"/>
    <w:rsid w:val="0059694E"/>
    <w:rsid w:val="00597089"/>
    <w:rsid w:val="0059712B"/>
    <w:rsid w:val="00597688"/>
    <w:rsid w:val="005A5F02"/>
    <w:rsid w:val="005A6151"/>
    <w:rsid w:val="005B125F"/>
    <w:rsid w:val="005B179C"/>
    <w:rsid w:val="005B179E"/>
    <w:rsid w:val="005B4BFE"/>
    <w:rsid w:val="005B56A0"/>
    <w:rsid w:val="005B69A9"/>
    <w:rsid w:val="005C1D11"/>
    <w:rsid w:val="005C21AD"/>
    <w:rsid w:val="005C22D5"/>
    <w:rsid w:val="005C2483"/>
    <w:rsid w:val="005C534B"/>
    <w:rsid w:val="005C5B30"/>
    <w:rsid w:val="005C5BE0"/>
    <w:rsid w:val="005C6125"/>
    <w:rsid w:val="005D0E4D"/>
    <w:rsid w:val="005D2A7C"/>
    <w:rsid w:val="005D384A"/>
    <w:rsid w:val="005D3F3E"/>
    <w:rsid w:val="005D4950"/>
    <w:rsid w:val="005D515A"/>
    <w:rsid w:val="005D7544"/>
    <w:rsid w:val="005D76EA"/>
    <w:rsid w:val="005D7F0A"/>
    <w:rsid w:val="005E1605"/>
    <w:rsid w:val="005E4910"/>
    <w:rsid w:val="005E5F1F"/>
    <w:rsid w:val="005E69A7"/>
    <w:rsid w:val="005F3F85"/>
    <w:rsid w:val="005F52DD"/>
    <w:rsid w:val="006007EF"/>
    <w:rsid w:val="0060167E"/>
    <w:rsid w:val="00603E26"/>
    <w:rsid w:val="0060477E"/>
    <w:rsid w:val="00604FBC"/>
    <w:rsid w:val="00606F9F"/>
    <w:rsid w:val="006074C7"/>
    <w:rsid w:val="0061051C"/>
    <w:rsid w:val="006123B2"/>
    <w:rsid w:val="00614A87"/>
    <w:rsid w:val="00616D35"/>
    <w:rsid w:val="00617534"/>
    <w:rsid w:val="00617C58"/>
    <w:rsid w:val="006201FC"/>
    <w:rsid w:val="0062025B"/>
    <w:rsid w:val="00622D0D"/>
    <w:rsid w:val="0062374B"/>
    <w:rsid w:val="00624AB2"/>
    <w:rsid w:val="00625F06"/>
    <w:rsid w:val="00625F83"/>
    <w:rsid w:val="006277E9"/>
    <w:rsid w:val="0063058A"/>
    <w:rsid w:val="006312F7"/>
    <w:rsid w:val="006339DE"/>
    <w:rsid w:val="00633A50"/>
    <w:rsid w:val="00653747"/>
    <w:rsid w:val="00653CA9"/>
    <w:rsid w:val="0065473A"/>
    <w:rsid w:val="00655C01"/>
    <w:rsid w:val="00656D3D"/>
    <w:rsid w:val="0066193F"/>
    <w:rsid w:val="006637BF"/>
    <w:rsid w:val="00663EC5"/>
    <w:rsid w:val="00664160"/>
    <w:rsid w:val="006668BC"/>
    <w:rsid w:val="006673EF"/>
    <w:rsid w:val="00667593"/>
    <w:rsid w:val="00667FB6"/>
    <w:rsid w:val="006710F2"/>
    <w:rsid w:val="0067282E"/>
    <w:rsid w:val="006757E9"/>
    <w:rsid w:val="00676134"/>
    <w:rsid w:val="0067662A"/>
    <w:rsid w:val="00676B31"/>
    <w:rsid w:val="0068143F"/>
    <w:rsid w:val="00682CC1"/>
    <w:rsid w:val="00683038"/>
    <w:rsid w:val="00683361"/>
    <w:rsid w:val="0068495C"/>
    <w:rsid w:val="006865A2"/>
    <w:rsid w:val="00687169"/>
    <w:rsid w:val="00692FAA"/>
    <w:rsid w:val="00696A63"/>
    <w:rsid w:val="00696EA5"/>
    <w:rsid w:val="006A04AD"/>
    <w:rsid w:val="006A2584"/>
    <w:rsid w:val="006A4399"/>
    <w:rsid w:val="006B1B72"/>
    <w:rsid w:val="006B217F"/>
    <w:rsid w:val="006B2C6D"/>
    <w:rsid w:val="006B3104"/>
    <w:rsid w:val="006B6D94"/>
    <w:rsid w:val="006C4DE5"/>
    <w:rsid w:val="006C5292"/>
    <w:rsid w:val="006D135E"/>
    <w:rsid w:val="006D1CB2"/>
    <w:rsid w:val="006D4519"/>
    <w:rsid w:val="006D6CEA"/>
    <w:rsid w:val="006D741B"/>
    <w:rsid w:val="006D7751"/>
    <w:rsid w:val="006E1A9C"/>
    <w:rsid w:val="006E245F"/>
    <w:rsid w:val="006E2F7D"/>
    <w:rsid w:val="006F09EF"/>
    <w:rsid w:val="006F0E6B"/>
    <w:rsid w:val="006F119E"/>
    <w:rsid w:val="006F166D"/>
    <w:rsid w:val="006F1DF9"/>
    <w:rsid w:val="006F32A8"/>
    <w:rsid w:val="006F427B"/>
    <w:rsid w:val="006F5D5D"/>
    <w:rsid w:val="006F6284"/>
    <w:rsid w:val="00702EEB"/>
    <w:rsid w:val="007052A1"/>
    <w:rsid w:val="00713479"/>
    <w:rsid w:val="007160F9"/>
    <w:rsid w:val="007176C2"/>
    <w:rsid w:val="007208F0"/>
    <w:rsid w:val="00721A33"/>
    <w:rsid w:val="00723FEF"/>
    <w:rsid w:val="007246AF"/>
    <w:rsid w:val="00725F2E"/>
    <w:rsid w:val="007276D5"/>
    <w:rsid w:val="0073079E"/>
    <w:rsid w:val="00730C1E"/>
    <w:rsid w:val="0073183B"/>
    <w:rsid w:val="00732FE1"/>
    <w:rsid w:val="0073460D"/>
    <w:rsid w:val="007348AA"/>
    <w:rsid w:val="00735DD9"/>
    <w:rsid w:val="0073723A"/>
    <w:rsid w:val="007419EA"/>
    <w:rsid w:val="00741D15"/>
    <w:rsid w:val="00742787"/>
    <w:rsid w:val="00744154"/>
    <w:rsid w:val="007451D7"/>
    <w:rsid w:val="0074627C"/>
    <w:rsid w:val="0075094C"/>
    <w:rsid w:val="00752321"/>
    <w:rsid w:val="0075251A"/>
    <w:rsid w:val="00752D4D"/>
    <w:rsid w:val="007533B3"/>
    <w:rsid w:val="00757292"/>
    <w:rsid w:val="007616C8"/>
    <w:rsid w:val="007627AA"/>
    <w:rsid w:val="00772945"/>
    <w:rsid w:val="00772EC3"/>
    <w:rsid w:val="0077328F"/>
    <w:rsid w:val="00773CBF"/>
    <w:rsid w:val="00775CC4"/>
    <w:rsid w:val="00782F5F"/>
    <w:rsid w:val="00785F05"/>
    <w:rsid w:val="00785F9F"/>
    <w:rsid w:val="0079054A"/>
    <w:rsid w:val="00793D09"/>
    <w:rsid w:val="00795685"/>
    <w:rsid w:val="007971F3"/>
    <w:rsid w:val="007A50BA"/>
    <w:rsid w:val="007A7661"/>
    <w:rsid w:val="007A78E4"/>
    <w:rsid w:val="007A7A0C"/>
    <w:rsid w:val="007B0209"/>
    <w:rsid w:val="007B4B6C"/>
    <w:rsid w:val="007B4C0A"/>
    <w:rsid w:val="007B54D4"/>
    <w:rsid w:val="007B5E5F"/>
    <w:rsid w:val="007B70A8"/>
    <w:rsid w:val="007B7A8E"/>
    <w:rsid w:val="007B7C8F"/>
    <w:rsid w:val="007C0543"/>
    <w:rsid w:val="007C0C2D"/>
    <w:rsid w:val="007C1534"/>
    <w:rsid w:val="007C16B9"/>
    <w:rsid w:val="007C1DF6"/>
    <w:rsid w:val="007C1E1F"/>
    <w:rsid w:val="007C2708"/>
    <w:rsid w:val="007C2D42"/>
    <w:rsid w:val="007C453F"/>
    <w:rsid w:val="007C7B9B"/>
    <w:rsid w:val="007D0340"/>
    <w:rsid w:val="007D6A89"/>
    <w:rsid w:val="007D6F0B"/>
    <w:rsid w:val="007D7B0D"/>
    <w:rsid w:val="007E1A30"/>
    <w:rsid w:val="007E420E"/>
    <w:rsid w:val="007E5335"/>
    <w:rsid w:val="007F084D"/>
    <w:rsid w:val="007F11C4"/>
    <w:rsid w:val="007F1855"/>
    <w:rsid w:val="007F22B5"/>
    <w:rsid w:val="007F396E"/>
    <w:rsid w:val="007F486F"/>
    <w:rsid w:val="007F4DAF"/>
    <w:rsid w:val="007F63F5"/>
    <w:rsid w:val="00801458"/>
    <w:rsid w:val="00801FDF"/>
    <w:rsid w:val="00802E38"/>
    <w:rsid w:val="008053DA"/>
    <w:rsid w:val="00806467"/>
    <w:rsid w:val="008073C1"/>
    <w:rsid w:val="00810E4D"/>
    <w:rsid w:val="00812DA7"/>
    <w:rsid w:val="00815905"/>
    <w:rsid w:val="00816F05"/>
    <w:rsid w:val="008171ED"/>
    <w:rsid w:val="008220A3"/>
    <w:rsid w:val="008225FE"/>
    <w:rsid w:val="008230AE"/>
    <w:rsid w:val="0082552B"/>
    <w:rsid w:val="00826536"/>
    <w:rsid w:val="00827461"/>
    <w:rsid w:val="00830645"/>
    <w:rsid w:val="00830D52"/>
    <w:rsid w:val="0083122D"/>
    <w:rsid w:val="0083385C"/>
    <w:rsid w:val="00834D5E"/>
    <w:rsid w:val="00835CEC"/>
    <w:rsid w:val="00837E71"/>
    <w:rsid w:val="008406BC"/>
    <w:rsid w:val="008411E1"/>
    <w:rsid w:val="00841478"/>
    <w:rsid w:val="00843825"/>
    <w:rsid w:val="00844A7A"/>
    <w:rsid w:val="008505FA"/>
    <w:rsid w:val="00850AFC"/>
    <w:rsid w:val="008520B2"/>
    <w:rsid w:val="00852DE6"/>
    <w:rsid w:val="00853378"/>
    <w:rsid w:val="008536B8"/>
    <w:rsid w:val="008543D9"/>
    <w:rsid w:val="00855982"/>
    <w:rsid w:val="00856F1A"/>
    <w:rsid w:val="00860AB1"/>
    <w:rsid w:val="008621A6"/>
    <w:rsid w:val="00862B10"/>
    <w:rsid w:val="00865DA9"/>
    <w:rsid w:val="00867AE5"/>
    <w:rsid w:val="008700CD"/>
    <w:rsid w:val="008751EF"/>
    <w:rsid w:val="00877BD3"/>
    <w:rsid w:val="00880E2C"/>
    <w:rsid w:val="0088140D"/>
    <w:rsid w:val="00881E87"/>
    <w:rsid w:val="00885122"/>
    <w:rsid w:val="00885257"/>
    <w:rsid w:val="00891D64"/>
    <w:rsid w:val="00893CE9"/>
    <w:rsid w:val="00894577"/>
    <w:rsid w:val="008979E2"/>
    <w:rsid w:val="008A0C6B"/>
    <w:rsid w:val="008A1103"/>
    <w:rsid w:val="008A117B"/>
    <w:rsid w:val="008A1DB7"/>
    <w:rsid w:val="008A2359"/>
    <w:rsid w:val="008A25F6"/>
    <w:rsid w:val="008A2F91"/>
    <w:rsid w:val="008A5333"/>
    <w:rsid w:val="008A6257"/>
    <w:rsid w:val="008A6693"/>
    <w:rsid w:val="008A6C90"/>
    <w:rsid w:val="008A7971"/>
    <w:rsid w:val="008B0D30"/>
    <w:rsid w:val="008B12EA"/>
    <w:rsid w:val="008B5D1E"/>
    <w:rsid w:val="008B7108"/>
    <w:rsid w:val="008C0BB6"/>
    <w:rsid w:val="008C0F43"/>
    <w:rsid w:val="008C190C"/>
    <w:rsid w:val="008C1E7E"/>
    <w:rsid w:val="008C410D"/>
    <w:rsid w:val="008C544E"/>
    <w:rsid w:val="008C59AE"/>
    <w:rsid w:val="008C60B9"/>
    <w:rsid w:val="008C62E8"/>
    <w:rsid w:val="008C736D"/>
    <w:rsid w:val="008D24B1"/>
    <w:rsid w:val="008D256F"/>
    <w:rsid w:val="008D4A08"/>
    <w:rsid w:val="008D55AC"/>
    <w:rsid w:val="008E2C68"/>
    <w:rsid w:val="008E66C7"/>
    <w:rsid w:val="008E75B2"/>
    <w:rsid w:val="008F1CD6"/>
    <w:rsid w:val="008F2F86"/>
    <w:rsid w:val="008F4E48"/>
    <w:rsid w:val="008F5325"/>
    <w:rsid w:val="009000BA"/>
    <w:rsid w:val="009004AF"/>
    <w:rsid w:val="00900584"/>
    <w:rsid w:val="0090209F"/>
    <w:rsid w:val="009119A6"/>
    <w:rsid w:val="009132BE"/>
    <w:rsid w:val="009164C8"/>
    <w:rsid w:val="0092472B"/>
    <w:rsid w:val="00926F7D"/>
    <w:rsid w:val="00927A5A"/>
    <w:rsid w:val="009309DC"/>
    <w:rsid w:val="00931752"/>
    <w:rsid w:val="00934035"/>
    <w:rsid w:val="009400FC"/>
    <w:rsid w:val="009403D8"/>
    <w:rsid w:val="0094163F"/>
    <w:rsid w:val="00941E2C"/>
    <w:rsid w:val="00941E91"/>
    <w:rsid w:val="00942D44"/>
    <w:rsid w:val="0094394B"/>
    <w:rsid w:val="00944AB2"/>
    <w:rsid w:val="009514B5"/>
    <w:rsid w:val="00952D88"/>
    <w:rsid w:val="00955A17"/>
    <w:rsid w:val="00956673"/>
    <w:rsid w:val="009566B5"/>
    <w:rsid w:val="0096205E"/>
    <w:rsid w:val="0096346A"/>
    <w:rsid w:val="009658B4"/>
    <w:rsid w:val="00966815"/>
    <w:rsid w:val="00966C29"/>
    <w:rsid w:val="0097052D"/>
    <w:rsid w:val="00973139"/>
    <w:rsid w:val="00975E26"/>
    <w:rsid w:val="00980478"/>
    <w:rsid w:val="00981FC8"/>
    <w:rsid w:val="00982115"/>
    <w:rsid w:val="00987A4A"/>
    <w:rsid w:val="00990FE3"/>
    <w:rsid w:val="009916A1"/>
    <w:rsid w:val="00997715"/>
    <w:rsid w:val="009A1737"/>
    <w:rsid w:val="009A77CF"/>
    <w:rsid w:val="009B1211"/>
    <w:rsid w:val="009B4B82"/>
    <w:rsid w:val="009B5126"/>
    <w:rsid w:val="009B5AA0"/>
    <w:rsid w:val="009C1A64"/>
    <w:rsid w:val="009C2AF2"/>
    <w:rsid w:val="009C2DEE"/>
    <w:rsid w:val="009C5CAB"/>
    <w:rsid w:val="009C63A7"/>
    <w:rsid w:val="009C6C7E"/>
    <w:rsid w:val="009C7C88"/>
    <w:rsid w:val="009D0C43"/>
    <w:rsid w:val="009D1130"/>
    <w:rsid w:val="009D17E2"/>
    <w:rsid w:val="009D1C71"/>
    <w:rsid w:val="009D21A5"/>
    <w:rsid w:val="009D2743"/>
    <w:rsid w:val="009D5609"/>
    <w:rsid w:val="009D70B0"/>
    <w:rsid w:val="009E1183"/>
    <w:rsid w:val="009E1DBD"/>
    <w:rsid w:val="009E255B"/>
    <w:rsid w:val="009E3783"/>
    <w:rsid w:val="009E3F20"/>
    <w:rsid w:val="009E45B0"/>
    <w:rsid w:val="009E5581"/>
    <w:rsid w:val="009F19D7"/>
    <w:rsid w:val="009F3836"/>
    <w:rsid w:val="009F3BF2"/>
    <w:rsid w:val="009F577B"/>
    <w:rsid w:val="009F5921"/>
    <w:rsid w:val="009F6C62"/>
    <w:rsid w:val="009F7620"/>
    <w:rsid w:val="00A0057F"/>
    <w:rsid w:val="00A035E0"/>
    <w:rsid w:val="00A04157"/>
    <w:rsid w:val="00A0617B"/>
    <w:rsid w:val="00A062DA"/>
    <w:rsid w:val="00A07099"/>
    <w:rsid w:val="00A07B32"/>
    <w:rsid w:val="00A11DA9"/>
    <w:rsid w:val="00A12E1D"/>
    <w:rsid w:val="00A13CCB"/>
    <w:rsid w:val="00A14420"/>
    <w:rsid w:val="00A265C1"/>
    <w:rsid w:val="00A31003"/>
    <w:rsid w:val="00A314CE"/>
    <w:rsid w:val="00A32A0A"/>
    <w:rsid w:val="00A33601"/>
    <w:rsid w:val="00A3366E"/>
    <w:rsid w:val="00A34681"/>
    <w:rsid w:val="00A3593C"/>
    <w:rsid w:val="00A35944"/>
    <w:rsid w:val="00A427A1"/>
    <w:rsid w:val="00A449D2"/>
    <w:rsid w:val="00A456A2"/>
    <w:rsid w:val="00A471CB"/>
    <w:rsid w:val="00A474D5"/>
    <w:rsid w:val="00A502E4"/>
    <w:rsid w:val="00A51A0D"/>
    <w:rsid w:val="00A51BB4"/>
    <w:rsid w:val="00A5557E"/>
    <w:rsid w:val="00A55F99"/>
    <w:rsid w:val="00A56BCC"/>
    <w:rsid w:val="00A628B3"/>
    <w:rsid w:val="00A65706"/>
    <w:rsid w:val="00A71292"/>
    <w:rsid w:val="00A7177C"/>
    <w:rsid w:val="00A718E4"/>
    <w:rsid w:val="00A71C92"/>
    <w:rsid w:val="00A71CB4"/>
    <w:rsid w:val="00A731EA"/>
    <w:rsid w:val="00A74420"/>
    <w:rsid w:val="00A74D88"/>
    <w:rsid w:val="00A77FC1"/>
    <w:rsid w:val="00A846D1"/>
    <w:rsid w:val="00A92020"/>
    <w:rsid w:val="00A955B3"/>
    <w:rsid w:val="00A95E65"/>
    <w:rsid w:val="00AA027F"/>
    <w:rsid w:val="00AA18D5"/>
    <w:rsid w:val="00AA4595"/>
    <w:rsid w:val="00AA4694"/>
    <w:rsid w:val="00AA4D81"/>
    <w:rsid w:val="00AA55EF"/>
    <w:rsid w:val="00AA730B"/>
    <w:rsid w:val="00AB100A"/>
    <w:rsid w:val="00AB1DA8"/>
    <w:rsid w:val="00AB2EF0"/>
    <w:rsid w:val="00AB3E07"/>
    <w:rsid w:val="00AB7733"/>
    <w:rsid w:val="00AC1675"/>
    <w:rsid w:val="00AC1F11"/>
    <w:rsid w:val="00AC2AED"/>
    <w:rsid w:val="00AC43F3"/>
    <w:rsid w:val="00AC59B4"/>
    <w:rsid w:val="00AC636D"/>
    <w:rsid w:val="00AD0270"/>
    <w:rsid w:val="00AD10FC"/>
    <w:rsid w:val="00AD1FC5"/>
    <w:rsid w:val="00AD40E9"/>
    <w:rsid w:val="00AD5EF1"/>
    <w:rsid w:val="00AD7FD1"/>
    <w:rsid w:val="00AE1755"/>
    <w:rsid w:val="00AE2A46"/>
    <w:rsid w:val="00AE2DD0"/>
    <w:rsid w:val="00AE3882"/>
    <w:rsid w:val="00AF12AC"/>
    <w:rsid w:val="00AF3532"/>
    <w:rsid w:val="00AF3845"/>
    <w:rsid w:val="00AF3881"/>
    <w:rsid w:val="00AF737D"/>
    <w:rsid w:val="00B01F7D"/>
    <w:rsid w:val="00B02B8E"/>
    <w:rsid w:val="00B035CF"/>
    <w:rsid w:val="00B0360B"/>
    <w:rsid w:val="00B03F11"/>
    <w:rsid w:val="00B05311"/>
    <w:rsid w:val="00B05BCA"/>
    <w:rsid w:val="00B10664"/>
    <w:rsid w:val="00B106F1"/>
    <w:rsid w:val="00B11EF0"/>
    <w:rsid w:val="00B12713"/>
    <w:rsid w:val="00B13D0F"/>
    <w:rsid w:val="00B14192"/>
    <w:rsid w:val="00B14499"/>
    <w:rsid w:val="00B21020"/>
    <w:rsid w:val="00B213A4"/>
    <w:rsid w:val="00B2180D"/>
    <w:rsid w:val="00B23789"/>
    <w:rsid w:val="00B31F1E"/>
    <w:rsid w:val="00B3569B"/>
    <w:rsid w:val="00B378BF"/>
    <w:rsid w:val="00B37DC6"/>
    <w:rsid w:val="00B40940"/>
    <w:rsid w:val="00B417A6"/>
    <w:rsid w:val="00B417AE"/>
    <w:rsid w:val="00B4204C"/>
    <w:rsid w:val="00B46B9B"/>
    <w:rsid w:val="00B515E5"/>
    <w:rsid w:val="00B51A30"/>
    <w:rsid w:val="00B530F5"/>
    <w:rsid w:val="00B53243"/>
    <w:rsid w:val="00B53528"/>
    <w:rsid w:val="00B53EE8"/>
    <w:rsid w:val="00B542EA"/>
    <w:rsid w:val="00B5540C"/>
    <w:rsid w:val="00B565E4"/>
    <w:rsid w:val="00B567D8"/>
    <w:rsid w:val="00B5701B"/>
    <w:rsid w:val="00B574DB"/>
    <w:rsid w:val="00B60329"/>
    <w:rsid w:val="00B616A5"/>
    <w:rsid w:val="00B6352E"/>
    <w:rsid w:val="00B64B47"/>
    <w:rsid w:val="00B66D7B"/>
    <w:rsid w:val="00B70CA6"/>
    <w:rsid w:val="00B7255C"/>
    <w:rsid w:val="00B73203"/>
    <w:rsid w:val="00B738C2"/>
    <w:rsid w:val="00B73AF2"/>
    <w:rsid w:val="00B73F26"/>
    <w:rsid w:val="00B74535"/>
    <w:rsid w:val="00B76C1C"/>
    <w:rsid w:val="00B77CB7"/>
    <w:rsid w:val="00B82B5C"/>
    <w:rsid w:val="00B83751"/>
    <w:rsid w:val="00B866FF"/>
    <w:rsid w:val="00B922E7"/>
    <w:rsid w:val="00B93007"/>
    <w:rsid w:val="00B933D5"/>
    <w:rsid w:val="00B9394C"/>
    <w:rsid w:val="00B96512"/>
    <w:rsid w:val="00B9690E"/>
    <w:rsid w:val="00B9692D"/>
    <w:rsid w:val="00B96DC1"/>
    <w:rsid w:val="00B9700D"/>
    <w:rsid w:val="00B9785F"/>
    <w:rsid w:val="00B97B7A"/>
    <w:rsid w:val="00BA087C"/>
    <w:rsid w:val="00BA1297"/>
    <w:rsid w:val="00BA3CC1"/>
    <w:rsid w:val="00BA458D"/>
    <w:rsid w:val="00BA4D5D"/>
    <w:rsid w:val="00BA5624"/>
    <w:rsid w:val="00BB6A94"/>
    <w:rsid w:val="00BC021F"/>
    <w:rsid w:val="00BC0355"/>
    <w:rsid w:val="00BC077E"/>
    <w:rsid w:val="00BC28A1"/>
    <w:rsid w:val="00BC35DA"/>
    <w:rsid w:val="00BC4E53"/>
    <w:rsid w:val="00BC52FA"/>
    <w:rsid w:val="00BC5A46"/>
    <w:rsid w:val="00BC61AA"/>
    <w:rsid w:val="00BC61C5"/>
    <w:rsid w:val="00BC6BBA"/>
    <w:rsid w:val="00BC766B"/>
    <w:rsid w:val="00BD03A6"/>
    <w:rsid w:val="00BD03C8"/>
    <w:rsid w:val="00BD0EAE"/>
    <w:rsid w:val="00BD1A35"/>
    <w:rsid w:val="00BD1BAB"/>
    <w:rsid w:val="00BD2139"/>
    <w:rsid w:val="00BD29C7"/>
    <w:rsid w:val="00BD3527"/>
    <w:rsid w:val="00BD5F16"/>
    <w:rsid w:val="00BE4E0C"/>
    <w:rsid w:val="00BE5974"/>
    <w:rsid w:val="00BF1EC8"/>
    <w:rsid w:val="00BF2F4A"/>
    <w:rsid w:val="00BF685A"/>
    <w:rsid w:val="00C0081D"/>
    <w:rsid w:val="00C00E2E"/>
    <w:rsid w:val="00C010FD"/>
    <w:rsid w:val="00C0221C"/>
    <w:rsid w:val="00C04189"/>
    <w:rsid w:val="00C042AB"/>
    <w:rsid w:val="00C06757"/>
    <w:rsid w:val="00C06993"/>
    <w:rsid w:val="00C06B64"/>
    <w:rsid w:val="00C074F5"/>
    <w:rsid w:val="00C11A75"/>
    <w:rsid w:val="00C1290D"/>
    <w:rsid w:val="00C12E89"/>
    <w:rsid w:val="00C138B5"/>
    <w:rsid w:val="00C13B57"/>
    <w:rsid w:val="00C1571B"/>
    <w:rsid w:val="00C16409"/>
    <w:rsid w:val="00C177E0"/>
    <w:rsid w:val="00C205A0"/>
    <w:rsid w:val="00C215A1"/>
    <w:rsid w:val="00C2185E"/>
    <w:rsid w:val="00C2259E"/>
    <w:rsid w:val="00C23BC9"/>
    <w:rsid w:val="00C24732"/>
    <w:rsid w:val="00C25FA0"/>
    <w:rsid w:val="00C26388"/>
    <w:rsid w:val="00C26CFF"/>
    <w:rsid w:val="00C31B6B"/>
    <w:rsid w:val="00C3624C"/>
    <w:rsid w:val="00C3624F"/>
    <w:rsid w:val="00C365EB"/>
    <w:rsid w:val="00C368A4"/>
    <w:rsid w:val="00C370FC"/>
    <w:rsid w:val="00C40640"/>
    <w:rsid w:val="00C4104C"/>
    <w:rsid w:val="00C4680A"/>
    <w:rsid w:val="00C46B06"/>
    <w:rsid w:val="00C46BFE"/>
    <w:rsid w:val="00C5096D"/>
    <w:rsid w:val="00C511A3"/>
    <w:rsid w:val="00C51A93"/>
    <w:rsid w:val="00C53243"/>
    <w:rsid w:val="00C5427C"/>
    <w:rsid w:val="00C5461F"/>
    <w:rsid w:val="00C562DB"/>
    <w:rsid w:val="00C57788"/>
    <w:rsid w:val="00C57F4F"/>
    <w:rsid w:val="00C60ED7"/>
    <w:rsid w:val="00C61BAC"/>
    <w:rsid w:val="00C64635"/>
    <w:rsid w:val="00C67439"/>
    <w:rsid w:val="00C70A6A"/>
    <w:rsid w:val="00C722A3"/>
    <w:rsid w:val="00C72592"/>
    <w:rsid w:val="00C72EC4"/>
    <w:rsid w:val="00C74C66"/>
    <w:rsid w:val="00C810AC"/>
    <w:rsid w:val="00C81AC4"/>
    <w:rsid w:val="00C82E55"/>
    <w:rsid w:val="00C85C47"/>
    <w:rsid w:val="00C85EAB"/>
    <w:rsid w:val="00C86E26"/>
    <w:rsid w:val="00C90C55"/>
    <w:rsid w:val="00C90DFB"/>
    <w:rsid w:val="00C91C1C"/>
    <w:rsid w:val="00C941C0"/>
    <w:rsid w:val="00C94AF0"/>
    <w:rsid w:val="00C95863"/>
    <w:rsid w:val="00CA0520"/>
    <w:rsid w:val="00CA0E23"/>
    <w:rsid w:val="00CA1711"/>
    <w:rsid w:val="00CA4423"/>
    <w:rsid w:val="00CA55CB"/>
    <w:rsid w:val="00CA6464"/>
    <w:rsid w:val="00CA74A3"/>
    <w:rsid w:val="00CA77F3"/>
    <w:rsid w:val="00CB270F"/>
    <w:rsid w:val="00CB3FD2"/>
    <w:rsid w:val="00CC0466"/>
    <w:rsid w:val="00CC0FE1"/>
    <w:rsid w:val="00CC1445"/>
    <w:rsid w:val="00CC1921"/>
    <w:rsid w:val="00CC46EE"/>
    <w:rsid w:val="00CC476B"/>
    <w:rsid w:val="00CC67BD"/>
    <w:rsid w:val="00CD0EF1"/>
    <w:rsid w:val="00CD4923"/>
    <w:rsid w:val="00CD497E"/>
    <w:rsid w:val="00CD5697"/>
    <w:rsid w:val="00CE17CE"/>
    <w:rsid w:val="00CE5A1E"/>
    <w:rsid w:val="00CF112D"/>
    <w:rsid w:val="00CF49AA"/>
    <w:rsid w:val="00CF5476"/>
    <w:rsid w:val="00CF5D14"/>
    <w:rsid w:val="00D016C0"/>
    <w:rsid w:val="00D03963"/>
    <w:rsid w:val="00D0518C"/>
    <w:rsid w:val="00D06364"/>
    <w:rsid w:val="00D06971"/>
    <w:rsid w:val="00D07818"/>
    <w:rsid w:val="00D13B29"/>
    <w:rsid w:val="00D13B75"/>
    <w:rsid w:val="00D13EA7"/>
    <w:rsid w:val="00D1412A"/>
    <w:rsid w:val="00D14138"/>
    <w:rsid w:val="00D168B7"/>
    <w:rsid w:val="00D17D70"/>
    <w:rsid w:val="00D23AD3"/>
    <w:rsid w:val="00D23DFC"/>
    <w:rsid w:val="00D24702"/>
    <w:rsid w:val="00D25F9E"/>
    <w:rsid w:val="00D26AED"/>
    <w:rsid w:val="00D27CB7"/>
    <w:rsid w:val="00D33B7F"/>
    <w:rsid w:val="00D34A77"/>
    <w:rsid w:val="00D36397"/>
    <w:rsid w:val="00D377DF"/>
    <w:rsid w:val="00D42C65"/>
    <w:rsid w:val="00D453F3"/>
    <w:rsid w:val="00D458C1"/>
    <w:rsid w:val="00D462EE"/>
    <w:rsid w:val="00D47C74"/>
    <w:rsid w:val="00D50470"/>
    <w:rsid w:val="00D5172D"/>
    <w:rsid w:val="00D53F3B"/>
    <w:rsid w:val="00D5457B"/>
    <w:rsid w:val="00D5565F"/>
    <w:rsid w:val="00D55E4A"/>
    <w:rsid w:val="00D55ECE"/>
    <w:rsid w:val="00D62568"/>
    <w:rsid w:val="00D6309A"/>
    <w:rsid w:val="00D63F26"/>
    <w:rsid w:val="00D65736"/>
    <w:rsid w:val="00D663A8"/>
    <w:rsid w:val="00D67A3D"/>
    <w:rsid w:val="00D711FC"/>
    <w:rsid w:val="00D7136E"/>
    <w:rsid w:val="00D75298"/>
    <w:rsid w:val="00D75FD7"/>
    <w:rsid w:val="00D77279"/>
    <w:rsid w:val="00D82F52"/>
    <w:rsid w:val="00D85BE2"/>
    <w:rsid w:val="00D90933"/>
    <w:rsid w:val="00D92CF1"/>
    <w:rsid w:val="00D93B4F"/>
    <w:rsid w:val="00D95552"/>
    <w:rsid w:val="00D96834"/>
    <w:rsid w:val="00DA1D87"/>
    <w:rsid w:val="00DA2E9F"/>
    <w:rsid w:val="00DA307C"/>
    <w:rsid w:val="00DA3D00"/>
    <w:rsid w:val="00DA3D0A"/>
    <w:rsid w:val="00DA5D8D"/>
    <w:rsid w:val="00DA6ED9"/>
    <w:rsid w:val="00DB0C6F"/>
    <w:rsid w:val="00DB282D"/>
    <w:rsid w:val="00DB6177"/>
    <w:rsid w:val="00DB723B"/>
    <w:rsid w:val="00DC151D"/>
    <w:rsid w:val="00DC5A62"/>
    <w:rsid w:val="00DC6262"/>
    <w:rsid w:val="00DC652E"/>
    <w:rsid w:val="00DC6B7C"/>
    <w:rsid w:val="00DD13B5"/>
    <w:rsid w:val="00DD24E2"/>
    <w:rsid w:val="00DD2BED"/>
    <w:rsid w:val="00DD4C47"/>
    <w:rsid w:val="00DD4ED3"/>
    <w:rsid w:val="00DD51A4"/>
    <w:rsid w:val="00DD7050"/>
    <w:rsid w:val="00DD73F2"/>
    <w:rsid w:val="00DE4C63"/>
    <w:rsid w:val="00DE5CBC"/>
    <w:rsid w:val="00DE638D"/>
    <w:rsid w:val="00DE6D79"/>
    <w:rsid w:val="00DF3652"/>
    <w:rsid w:val="00E00C26"/>
    <w:rsid w:val="00E0177A"/>
    <w:rsid w:val="00E02012"/>
    <w:rsid w:val="00E0796C"/>
    <w:rsid w:val="00E10ACD"/>
    <w:rsid w:val="00E117DE"/>
    <w:rsid w:val="00E15128"/>
    <w:rsid w:val="00E21009"/>
    <w:rsid w:val="00E218D0"/>
    <w:rsid w:val="00E23D6C"/>
    <w:rsid w:val="00E24479"/>
    <w:rsid w:val="00E25AC5"/>
    <w:rsid w:val="00E27DEB"/>
    <w:rsid w:val="00E3486A"/>
    <w:rsid w:val="00E370FB"/>
    <w:rsid w:val="00E37DCC"/>
    <w:rsid w:val="00E40B9A"/>
    <w:rsid w:val="00E42F82"/>
    <w:rsid w:val="00E43B42"/>
    <w:rsid w:val="00E44C4D"/>
    <w:rsid w:val="00E47EC1"/>
    <w:rsid w:val="00E51121"/>
    <w:rsid w:val="00E51250"/>
    <w:rsid w:val="00E51982"/>
    <w:rsid w:val="00E53C1F"/>
    <w:rsid w:val="00E54D29"/>
    <w:rsid w:val="00E570B9"/>
    <w:rsid w:val="00E60191"/>
    <w:rsid w:val="00E61CAB"/>
    <w:rsid w:val="00E61E34"/>
    <w:rsid w:val="00E61F1A"/>
    <w:rsid w:val="00E635E5"/>
    <w:rsid w:val="00E63861"/>
    <w:rsid w:val="00E639F2"/>
    <w:rsid w:val="00E63CF2"/>
    <w:rsid w:val="00E653B1"/>
    <w:rsid w:val="00E656CB"/>
    <w:rsid w:val="00E66491"/>
    <w:rsid w:val="00E70917"/>
    <w:rsid w:val="00E718DB"/>
    <w:rsid w:val="00E72135"/>
    <w:rsid w:val="00E7521A"/>
    <w:rsid w:val="00E755AA"/>
    <w:rsid w:val="00E7597D"/>
    <w:rsid w:val="00E77C89"/>
    <w:rsid w:val="00E81A5E"/>
    <w:rsid w:val="00E81B09"/>
    <w:rsid w:val="00E83AC0"/>
    <w:rsid w:val="00E83D4F"/>
    <w:rsid w:val="00E8555A"/>
    <w:rsid w:val="00E90D36"/>
    <w:rsid w:val="00E9125F"/>
    <w:rsid w:val="00E95E25"/>
    <w:rsid w:val="00E972CC"/>
    <w:rsid w:val="00E979C5"/>
    <w:rsid w:val="00EA020C"/>
    <w:rsid w:val="00EA13EE"/>
    <w:rsid w:val="00EA1CA0"/>
    <w:rsid w:val="00EA1ED8"/>
    <w:rsid w:val="00EA7B97"/>
    <w:rsid w:val="00EB2BFD"/>
    <w:rsid w:val="00EB477F"/>
    <w:rsid w:val="00EB703E"/>
    <w:rsid w:val="00EC1175"/>
    <w:rsid w:val="00EC138F"/>
    <w:rsid w:val="00EC2796"/>
    <w:rsid w:val="00EC3D56"/>
    <w:rsid w:val="00ED193D"/>
    <w:rsid w:val="00ED3ED3"/>
    <w:rsid w:val="00ED6B52"/>
    <w:rsid w:val="00EE3388"/>
    <w:rsid w:val="00EE3EE3"/>
    <w:rsid w:val="00EE610E"/>
    <w:rsid w:val="00EE6E16"/>
    <w:rsid w:val="00EE769A"/>
    <w:rsid w:val="00EF1CB9"/>
    <w:rsid w:val="00EF32DE"/>
    <w:rsid w:val="00EF3C67"/>
    <w:rsid w:val="00EF4CE9"/>
    <w:rsid w:val="00EF79FE"/>
    <w:rsid w:val="00EF7F4A"/>
    <w:rsid w:val="00F00A54"/>
    <w:rsid w:val="00F022C6"/>
    <w:rsid w:val="00F03871"/>
    <w:rsid w:val="00F04A05"/>
    <w:rsid w:val="00F0551F"/>
    <w:rsid w:val="00F079AE"/>
    <w:rsid w:val="00F10C0D"/>
    <w:rsid w:val="00F1101B"/>
    <w:rsid w:val="00F12065"/>
    <w:rsid w:val="00F126D8"/>
    <w:rsid w:val="00F1316C"/>
    <w:rsid w:val="00F146FF"/>
    <w:rsid w:val="00F20FAC"/>
    <w:rsid w:val="00F22D2C"/>
    <w:rsid w:val="00F25428"/>
    <w:rsid w:val="00F27538"/>
    <w:rsid w:val="00F30326"/>
    <w:rsid w:val="00F3095D"/>
    <w:rsid w:val="00F327B4"/>
    <w:rsid w:val="00F371AA"/>
    <w:rsid w:val="00F40134"/>
    <w:rsid w:val="00F41126"/>
    <w:rsid w:val="00F41B72"/>
    <w:rsid w:val="00F45760"/>
    <w:rsid w:val="00F46564"/>
    <w:rsid w:val="00F525BB"/>
    <w:rsid w:val="00F545ED"/>
    <w:rsid w:val="00F54E02"/>
    <w:rsid w:val="00F56A44"/>
    <w:rsid w:val="00F577FD"/>
    <w:rsid w:val="00F57FA3"/>
    <w:rsid w:val="00F60EB8"/>
    <w:rsid w:val="00F64515"/>
    <w:rsid w:val="00F662DE"/>
    <w:rsid w:val="00F700DA"/>
    <w:rsid w:val="00F7232E"/>
    <w:rsid w:val="00F75D42"/>
    <w:rsid w:val="00F76A09"/>
    <w:rsid w:val="00F77798"/>
    <w:rsid w:val="00F81041"/>
    <w:rsid w:val="00F83C97"/>
    <w:rsid w:val="00F83DD6"/>
    <w:rsid w:val="00F85D69"/>
    <w:rsid w:val="00F861B8"/>
    <w:rsid w:val="00F87088"/>
    <w:rsid w:val="00F90632"/>
    <w:rsid w:val="00F90F0D"/>
    <w:rsid w:val="00F920F5"/>
    <w:rsid w:val="00F92190"/>
    <w:rsid w:val="00F932DD"/>
    <w:rsid w:val="00F94B88"/>
    <w:rsid w:val="00F9543B"/>
    <w:rsid w:val="00F95F61"/>
    <w:rsid w:val="00F9793C"/>
    <w:rsid w:val="00F97B7A"/>
    <w:rsid w:val="00FA1325"/>
    <w:rsid w:val="00FA277F"/>
    <w:rsid w:val="00FA29F4"/>
    <w:rsid w:val="00FA4EF5"/>
    <w:rsid w:val="00FA6B14"/>
    <w:rsid w:val="00FB01B7"/>
    <w:rsid w:val="00FB13AA"/>
    <w:rsid w:val="00FB14D0"/>
    <w:rsid w:val="00FB203A"/>
    <w:rsid w:val="00FB40C4"/>
    <w:rsid w:val="00FB44E3"/>
    <w:rsid w:val="00FB63B4"/>
    <w:rsid w:val="00FC0011"/>
    <w:rsid w:val="00FC0289"/>
    <w:rsid w:val="00FC0973"/>
    <w:rsid w:val="00FC2E09"/>
    <w:rsid w:val="00FC3705"/>
    <w:rsid w:val="00FC47D2"/>
    <w:rsid w:val="00FC4DC4"/>
    <w:rsid w:val="00FC5012"/>
    <w:rsid w:val="00FC5A5E"/>
    <w:rsid w:val="00FD084B"/>
    <w:rsid w:val="00FD13AC"/>
    <w:rsid w:val="00FD32D9"/>
    <w:rsid w:val="00FD36A7"/>
    <w:rsid w:val="00FD520D"/>
    <w:rsid w:val="00FD6289"/>
    <w:rsid w:val="00FE1651"/>
    <w:rsid w:val="00FE39BB"/>
    <w:rsid w:val="00FE3B90"/>
    <w:rsid w:val="00FE402D"/>
    <w:rsid w:val="00FE72CD"/>
    <w:rsid w:val="00FE73F5"/>
    <w:rsid w:val="00FF0E45"/>
    <w:rsid w:val="00FF33DD"/>
    <w:rsid w:val="00FF585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8D8E7"/>
  <w15:docId w15:val="{911482FA-990F-433E-8554-ABE3B85D8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6A0"/>
    <w:pPr>
      <w:spacing w:after="0" w:line="259" w:lineRule="auto"/>
      <w:jc w:val="both"/>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317EE7"/>
    <w:pPr>
      <w:keepNext/>
      <w:spacing w:before="240" w:after="60"/>
      <w:outlineLvl w:val="0"/>
    </w:pPr>
    <w:rPr>
      <w:rFonts w:ascii="Cambria" w:hAnsi="Cambria" w:cs="Cambria"/>
      <w:b/>
      <w:bCs/>
      <w:kern w:val="32"/>
      <w:sz w:val="32"/>
      <w:szCs w:val="32"/>
    </w:rPr>
  </w:style>
  <w:style w:type="paragraph" w:styleId="Naslov2">
    <w:name w:val="heading 2"/>
    <w:basedOn w:val="Normal"/>
    <w:next w:val="Normal"/>
    <w:link w:val="Naslov2Char"/>
    <w:qFormat/>
    <w:rsid w:val="00317EE7"/>
    <w:pPr>
      <w:keepNext/>
      <w:jc w:val="center"/>
      <w:outlineLvl w:val="1"/>
    </w:pPr>
    <w:rPr>
      <w:b/>
      <w:bCs/>
      <w:noProof/>
    </w:rPr>
  </w:style>
  <w:style w:type="paragraph" w:styleId="Naslov3">
    <w:name w:val="heading 3"/>
    <w:basedOn w:val="Normal"/>
    <w:next w:val="Normal"/>
    <w:link w:val="Naslov3Char"/>
    <w:qFormat/>
    <w:rsid w:val="00016F23"/>
    <w:pPr>
      <w:keepNext/>
      <w:jc w:val="center"/>
      <w:outlineLvl w:val="2"/>
    </w:pPr>
    <w:rPr>
      <w:bCs/>
      <w:i/>
      <w:noProof/>
    </w:rPr>
  </w:style>
  <w:style w:type="paragraph" w:styleId="Naslov4">
    <w:name w:val="heading 4"/>
    <w:basedOn w:val="Normal"/>
    <w:next w:val="Normal"/>
    <w:link w:val="Naslov4Char"/>
    <w:uiPriority w:val="9"/>
    <w:unhideWhenUsed/>
    <w:qFormat/>
    <w:rsid w:val="00317EE7"/>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7F396E"/>
    <w:pPr>
      <w:keepNext/>
      <w:keepLines/>
      <w:spacing w:before="20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317EE7"/>
    <w:rPr>
      <w:rFonts w:ascii="Cambria" w:eastAsia="Times New Roman" w:hAnsi="Cambria" w:cs="Cambria"/>
      <w:b/>
      <w:bCs/>
      <w:kern w:val="32"/>
      <w:sz w:val="32"/>
      <w:szCs w:val="32"/>
      <w:lang w:eastAsia="hr-HR"/>
    </w:rPr>
  </w:style>
  <w:style w:type="character" w:customStyle="1" w:styleId="Naslov2Char">
    <w:name w:val="Naslov 2 Char"/>
    <w:basedOn w:val="Zadanifontodlomka"/>
    <w:link w:val="Naslov2"/>
    <w:rsid w:val="00317EE7"/>
    <w:rPr>
      <w:rFonts w:ascii="Times New Roman" w:eastAsia="Times New Roman" w:hAnsi="Times New Roman" w:cs="Times New Roman"/>
      <w:b/>
      <w:bCs/>
      <w:noProof/>
      <w:sz w:val="24"/>
      <w:szCs w:val="24"/>
      <w:lang w:eastAsia="hr-HR"/>
    </w:rPr>
  </w:style>
  <w:style w:type="character" w:customStyle="1" w:styleId="Naslov3Char">
    <w:name w:val="Naslov 3 Char"/>
    <w:basedOn w:val="Zadanifontodlomka"/>
    <w:link w:val="Naslov3"/>
    <w:rsid w:val="00016F23"/>
    <w:rPr>
      <w:rFonts w:ascii="Times New Roman" w:eastAsia="Times New Roman" w:hAnsi="Times New Roman" w:cs="Times New Roman"/>
      <w:bCs/>
      <w:i/>
      <w:noProof/>
      <w:sz w:val="24"/>
      <w:szCs w:val="24"/>
      <w:lang w:eastAsia="hr-HR"/>
    </w:rPr>
  </w:style>
  <w:style w:type="character" w:customStyle="1" w:styleId="Naslov4Char">
    <w:name w:val="Naslov 4 Char"/>
    <w:basedOn w:val="Zadanifontodlomka"/>
    <w:link w:val="Naslov4"/>
    <w:uiPriority w:val="9"/>
    <w:rsid w:val="00317EE7"/>
    <w:rPr>
      <w:rFonts w:asciiTheme="majorHAnsi" w:eastAsiaTheme="majorEastAsia" w:hAnsiTheme="majorHAnsi" w:cstheme="majorBidi"/>
      <w:b/>
      <w:bCs/>
      <w:i/>
      <w:iCs/>
      <w:color w:val="4F81BD" w:themeColor="accent1"/>
      <w:sz w:val="24"/>
      <w:szCs w:val="24"/>
      <w:lang w:eastAsia="hr-HR"/>
    </w:rPr>
  </w:style>
  <w:style w:type="paragraph" w:styleId="Tijeloteksta">
    <w:name w:val="Body Text"/>
    <w:basedOn w:val="Normal"/>
    <w:link w:val="TijelotekstaChar"/>
    <w:rsid w:val="00317EE7"/>
    <w:rPr>
      <w:rFonts w:ascii="Arial" w:hAnsi="Arial" w:cs="Arial"/>
      <w:sz w:val="22"/>
      <w:szCs w:val="22"/>
    </w:rPr>
  </w:style>
  <w:style w:type="character" w:customStyle="1" w:styleId="TijelotekstaChar">
    <w:name w:val="Tijelo teksta Char"/>
    <w:basedOn w:val="Zadanifontodlomka"/>
    <w:link w:val="Tijeloteksta"/>
    <w:rsid w:val="00317EE7"/>
    <w:rPr>
      <w:rFonts w:ascii="Arial" w:eastAsia="Times New Roman" w:hAnsi="Arial" w:cs="Arial"/>
      <w:lang w:eastAsia="hr-HR"/>
    </w:rPr>
  </w:style>
  <w:style w:type="table" w:styleId="Reetkatablice">
    <w:name w:val="Table Grid"/>
    <w:basedOn w:val="Obinatablica"/>
    <w:rsid w:val="00317EE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rsid w:val="00317EE7"/>
    <w:rPr>
      <w:rFonts w:cs="Times New Roman"/>
      <w:sz w:val="16"/>
      <w:szCs w:val="16"/>
    </w:rPr>
  </w:style>
  <w:style w:type="paragraph" w:styleId="Tekstkomentara">
    <w:name w:val="annotation text"/>
    <w:basedOn w:val="Normal"/>
    <w:link w:val="TekstkomentaraChar"/>
    <w:rsid w:val="00317EE7"/>
    <w:rPr>
      <w:sz w:val="20"/>
      <w:szCs w:val="20"/>
    </w:rPr>
  </w:style>
  <w:style w:type="character" w:customStyle="1" w:styleId="TekstkomentaraChar">
    <w:name w:val="Tekst komentara Char"/>
    <w:basedOn w:val="Zadanifontodlomka"/>
    <w:link w:val="Tekstkomentara"/>
    <w:rsid w:val="00317EE7"/>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semiHidden/>
    <w:rsid w:val="00317EE7"/>
    <w:rPr>
      <w:b/>
      <w:bCs/>
    </w:rPr>
  </w:style>
  <w:style w:type="character" w:customStyle="1" w:styleId="PredmetkomentaraChar">
    <w:name w:val="Predmet komentara Char"/>
    <w:basedOn w:val="TekstkomentaraChar"/>
    <w:link w:val="Predmetkomentara"/>
    <w:semiHidden/>
    <w:rsid w:val="00317EE7"/>
    <w:rPr>
      <w:rFonts w:ascii="Times New Roman" w:eastAsia="Times New Roman" w:hAnsi="Times New Roman" w:cs="Times New Roman"/>
      <w:b/>
      <w:bCs/>
      <w:sz w:val="20"/>
      <w:szCs w:val="20"/>
      <w:lang w:eastAsia="hr-HR"/>
    </w:rPr>
  </w:style>
  <w:style w:type="paragraph" w:styleId="Tekstbalonia">
    <w:name w:val="Balloon Text"/>
    <w:basedOn w:val="Normal"/>
    <w:link w:val="TekstbaloniaChar"/>
    <w:semiHidden/>
    <w:rsid w:val="00317EE7"/>
    <w:rPr>
      <w:rFonts w:ascii="Tahoma" w:hAnsi="Tahoma" w:cs="Tahoma"/>
      <w:sz w:val="16"/>
      <w:szCs w:val="16"/>
    </w:rPr>
  </w:style>
  <w:style w:type="character" w:customStyle="1" w:styleId="TekstbaloniaChar">
    <w:name w:val="Tekst balončića Char"/>
    <w:basedOn w:val="Zadanifontodlomka"/>
    <w:link w:val="Tekstbalonia"/>
    <w:semiHidden/>
    <w:rsid w:val="00317EE7"/>
    <w:rPr>
      <w:rFonts w:ascii="Tahoma" w:eastAsia="Times New Roman" w:hAnsi="Tahoma" w:cs="Tahoma"/>
      <w:sz w:val="16"/>
      <w:szCs w:val="16"/>
      <w:lang w:eastAsia="hr-HR"/>
    </w:rPr>
  </w:style>
  <w:style w:type="character" w:styleId="Brojstranice">
    <w:name w:val="page number"/>
    <w:rsid w:val="00317EE7"/>
    <w:rPr>
      <w:rFonts w:cs="Times New Roman"/>
    </w:rPr>
  </w:style>
  <w:style w:type="paragraph" w:customStyle="1" w:styleId="TekstOsnovniCharCharChar">
    <w:name w:val="Tekst Osnovni Char Char Char"/>
    <w:basedOn w:val="Normal"/>
    <w:link w:val="TekstOsnovniCharCharCharChar"/>
    <w:rsid w:val="00317EE7"/>
    <w:pPr>
      <w:spacing w:before="60" w:after="120"/>
      <w:ind w:left="454"/>
    </w:pPr>
    <w:rPr>
      <w:rFonts w:ascii="Arial" w:hAnsi="Arial"/>
      <w:lang w:eastAsia="en-US"/>
    </w:rPr>
  </w:style>
  <w:style w:type="character" w:customStyle="1" w:styleId="TekstOsnovniCharCharCharChar">
    <w:name w:val="Tekst Osnovni Char Char Char Char"/>
    <w:link w:val="TekstOsnovniCharCharChar"/>
    <w:locked/>
    <w:rsid w:val="00317EE7"/>
    <w:rPr>
      <w:rFonts w:ascii="Arial" w:eastAsia="Times New Roman" w:hAnsi="Arial" w:cs="Times New Roman"/>
      <w:sz w:val="24"/>
      <w:szCs w:val="24"/>
    </w:rPr>
  </w:style>
  <w:style w:type="paragraph" w:styleId="HTMLunaprijedoblikovano">
    <w:name w:val="HTML Preformatted"/>
    <w:basedOn w:val="Normal"/>
    <w:link w:val="HTMLunaprijedoblikovanoChar"/>
    <w:rsid w:val="0031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unaprijedoblikovanoChar">
    <w:name w:val="HTML unaprijed oblikovano Char"/>
    <w:basedOn w:val="Zadanifontodlomka"/>
    <w:link w:val="HTMLunaprijedoblikovano"/>
    <w:rsid w:val="00317EE7"/>
    <w:rPr>
      <w:rFonts w:ascii="Courier New" w:eastAsia="Times New Roman" w:hAnsi="Courier New" w:cs="Courier New"/>
      <w:sz w:val="20"/>
      <w:szCs w:val="20"/>
    </w:rPr>
  </w:style>
  <w:style w:type="paragraph" w:styleId="Tijeloteksta3">
    <w:name w:val="Body Text 3"/>
    <w:basedOn w:val="Normal"/>
    <w:link w:val="Tijeloteksta3Char"/>
    <w:rsid w:val="00317EE7"/>
    <w:pPr>
      <w:spacing w:after="120"/>
    </w:pPr>
    <w:rPr>
      <w:sz w:val="16"/>
      <w:szCs w:val="16"/>
    </w:rPr>
  </w:style>
  <w:style w:type="character" w:customStyle="1" w:styleId="Tijeloteksta3Char">
    <w:name w:val="Tijelo teksta 3 Char"/>
    <w:basedOn w:val="Zadanifontodlomka"/>
    <w:link w:val="Tijeloteksta3"/>
    <w:rsid w:val="00317EE7"/>
    <w:rPr>
      <w:rFonts w:ascii="Times New Roman" w:eastAsia="Times New Roman" w:hAnsi="Times New Roman" w:cs="Times New Roman"/>
      <w:sz w:val="16"/>
      <w:szCs w:val="16"/>
      <w:lang w:eastAsia="hr-HR"/>
    </w:rPr>
  </w:style>
  <w:style w:type="paragraph" w:styleId="Zaglavlje">
    <w:name w:val="header"/>
    <w:basedOn w:val="Normal"/>
    <w:link w:val="ZaglavljeChar"/>
    <w:rsid w:val="00317EE7"/>
    <w:pPr>
      <w:tabs>
        <w:tab w:val="center" w:pos="4536"/>
        <w:tab w:val="right" w:pos="9072"/>
      </w:tabs>
    </w:pPr>
  </w:style>
  <w:style w:type="character" w:customStyle="1" w:styleId="ZaglavljeChar">
    <w:name w:val="Zaglavlje Char"/>
    <w:basedOn w:val="Zadanifontodlomka"/>
    <w:link w:val="Zaglavlje"/>
    <w:rsid w:val="00317EE7"/>
    <w:rPr>
      <w:rFonts w:ascii="Times New Roman" w:eastAsia="Times New Roman" w:hAnsi="Times New Roman" w:cs="Times New Roman"/>
      <w:sz w:val="24"/>
      <w:szCs w:val="24"/>
      <w:lang w:eastAsia="hr-HR"/>
    </w:rPr>
  </w:style>
  <w:style w:type="paragraph" w:styleId="Podnoje">
    <w:name w:val="footer"/>
    <w:basedOn w:val="Normal"/>
    <w:link w:val="PodnojeChar"/>
    <w:uiPriority w:val="99"/>
    <w:rsid w:val="00317EE7"/>
    <w:pPr>
      <w:tabs>
        <w:tab w:val="center" w:pos="4536"/>
        <w:tab w:val="right" w:pos="9072"/>
      </w:tabs>
    </w:pPr>
  </w:style>
  <w:style w:type="character" w:customStyle="1" w:styleId="PodnojeChar">
    <w:name w:val="Podnožje Char"/>
    <w:basedOn w:val="Zadanifontodlomka"/>
    <w:link w:val="Podnoje"/>
    <w:uiPriority w:val="99"/>
    <w:rsid w:val="00317EE7"/>
    <w:rPr>
      <w:rFonts w:ascii="Times New Roman" w:eastAsia="Times New Roman" w:hAnsi="Times New Roman" w:cs="Times New Roman"/>
      <w:sz w:val="24"/>
      <w:szCs w:val="24"/>
      <w:lang w:eastAsia="hr-HR"/>
    </w:rPr>
  </w:style>
  <w:style w:type="paragraph" w:customStyle="1" w:styleId="PRVIPODNASLOV">
    <w:name w:val="PRVI PODNASLOV"/>
    <w:basedOn w:val="Normal"/>
    <w:rsid w:val="00317EE7"/>
    <w:pPr>
      <w:tabs>
        <w:tab w:val="left" w:pos="709"/>
      </w:tabs>
      <w:spacing w:after="120"/>
      <w:ind w:left="709" w:hanging="709"/>
      <w:outlineLvl w:val="1"/>
    </w:pPr>
    <w:rPr>
      <w:rFonts w:ascii="Arial" w:eastAsia="MS Mincho" w:hAnsi="Arial" w:cs="Arial"/>
      <w:b/>
      <w:bCs/>
      <w:lang w:eastAsia="ja-JP"/>
    </w:rPr>
  </w:style>
  <w:style w:type="paragraph" w:customStyle="1" w:styleId="NASLOVSTUDIJE">
    <w:name w:val="NASLOV STUDIJE"/>
    <w:basedOn w:val="Normal"/>
    <w:rsid w:val="00317EE7"/>
    <w:pPr>
      <w:jc w:val="right"/>
    </w:pPr>
    <w:rPr>
      <w:rFonts w:ascii="Arial" w:eastAsia="MS Mincho" w:hAnsi="Arial" w:cs="Arial"/>
      <w:b/>
      <w:bCs/>
      <w:sz w:val="32"/>
      <w:szCs w:val="32"/>
      <w:lang w:eastAsia="ja-JP"/>
    </w:rPr>
  </w:style>
  <w:style w:type="paragraph" w:customStyle="1" w:styleId="t-9-8-bez-uvl">
    <w:name w:val="t-9-8-bez-uvl"/>
    <w:basedOn w:val="Normal"/>
    <w:rsid w:val="00317EE7"/>
    <w:pPr>
      <w:spacing w:before="100" w:beforeAutospacing="1" w:after="100" w:afterAutospacing="1"/>
    </w:pPr>
  </w:style>
  <w:style w:type="character" w:customStyle="1" w:styleId="bold1">
    <w:name w:val="bold1"/>
    <w:rsid w:val="00317EE7"/>
    <w:rPr>
      <w:b/>
    </w:rPr>
  </w:style>
  <w:style w:type="character" w:styleId="Hiperveza">
    <w:name w:val="Hyperlink"/>
    <w:uiPriority w:val="99"/>
    <w:rsid w:val="00317EE7"/>
    <w:rPr>
      <w:rFonts w:cs="Times New Roman"/>
      <w:color w:val="0000FF"/>
      <w:u w:val="single"/>
    </w:rPr>
  </w:style>
  <w:style w:type="character" w:styleId="Naglaeno">
    <w:name w:val="Strong"/>
    <w:qFormat/>
    <w:rsid w:val="00317EE7"/>
    <w:rPr>
      <w:rFonts w:cs="Times New Roman"/>
      <w:b/>
      <w:bCs/>
    </w:r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stile, Footnote"/>
    <w:basedOn w:val="Normal"/>
    <w:link w:val="TekstfusnoteChar"/>
    <w:uiPriority w:val="99"/>
    <w:rsid w:val="00317EE7"/>
    <w:rPr>
      <w:sz w:val="20"/>
      <w:szCs w:val="20"/>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uiPriority w:val="99"/>
    <w:rsid w:val="00317EE7"/>
    <w:rPr>
      <w:rFonts w:ascii="Times New Roman" w:eastAsia="Times New Roman" w:hAnsi="Times New Roman" w:cs="Times New Roman"/>
      <w:sz w:val="20"/>
      <w:szCs w:val="20"/>
      <w:lang w:eastAsia="hr-HR"/>
    </w:rPr>
  </w:style>
  <w:style w:type="paragraph" w:customStyle="1" w:styleId="AZO1">
    <w:name w:val="AZO_1"/>
    <w:basedOn w:val="Naslov1"/>
    <w:next w:val="Normal"/>
    <w:autoRedefine/>
    <w:rsid w:val="00317EE7"/>
    <w:pPr>
      <w:numPr>
        <w:numId w:val="1"/>
      </w:numPr>
      <w:spacing w:after="480"/>
    </w:pPr>
    <w:rPr>
      <w:rFonts w:ascii="Times New Roman" w:hAnsi="Times New Roman" w:cs="Times New Roman"/>
      <w:b w:val="0"/>
      <w:bCs w:val="0"/>
      <w:caps/>
      <w:sz w:val="24"/>
      <w:szCs w:val="24"/>
      <w:lang w:eastAsia="en-US"/>
    </w:rPr>
  </w:style>
  <w:style w:type="paragraph" w:customStyle="1" w:styleId="AZOtext">
    <w:name w:val="AZO text"/>
    <w:basedOn w:val="Normal"/>
    <w:rsid w:val="00317EE7"/>
    <w:pPr>
      <w:autoSpaceDE w:val="0"/>
      <w:autoSpaceDN w:val="0"/>
      <w:adjustRightInd w:val="0"/>
      <w:spacing w:line="288" w:lineRule="auto"/>
      <w:ind w:firstLine="170"/>
      <w:textAlignment w:val="center"/>
    </w:pPr>
    <w:rPr>
      <w:color w:val="000000"/>
      <w:sz w:val="20"/>
      <w:szCs w:val="20"/>
    </w:rPr>
  </w:style>
  <w:style w:type="paragraph" w:customStyle="1" w:styleId="AZO2">
    <w:name w:val="AZO_2"/>
    <w:basedOn w:val="Naslov1"/>
    <w:next w:val="Normal"/>
    <w:autoRedefine/>
    <w:rsid w:val="00317EE7"/>
    <w:pPr>
      <w:spacing w:before="600" w:after="240"/>
      <w:ind w:left="360"/>
    </w:pPr>
    <w:rPr>
      <w:rFonts w:ascii="AZO kapitala" w:hAnsi="AZO kapitala" w:cs="AZO kapitala"/>
      <w:b w:val="0"/>
      <w:bCs w:val="0"/>
      <w:caps/>
      <w:noProof/>
      <w:sz w:val="20"/>
      <w:szCs w:val="20"/>
      <w:lang w:eastAsia="en-US"/>
    </w:rPr>
  </w:style>
  <w:style w:type="paragraph" w:customStyle="1" w:styleId="NoSpacing1">
    <w:name w:val="No Spacing1"/>
    <w:rsid w:val="00317EE7"/>
    <w:pPr>
      <w:spacing w:after="0" w:line="240" w:lineRule="auto"/>
    </w:pPr>
    <w:rPr>
      <w:rFonts w:ascii="Calibri" w:eastAsia="Times New Roman" w:hAnsi="Calibri" w:cs="Calibri"/>
      <w:lang w:eastAsia="hr-HR"/>
    </w:rPr>
  </w:style>
  <w:style w:type="paragraph" w:customStyle="1" w:styleId="Default">
    <w:name w:val="Default"/>
    <w:rsid w:val="00317EE7"/>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customStyle="1" w:styleId="Revision1">
    <w:name w:val="Revision1"/>
    <w:hidden/>
    <w:semiHidden/>
    <w:rsid w:val="00317EE7"/>
    <w:pPr>
      <w:spacing w:after="0" w:line="240" w:lineRule="auto"/>
    </w:pPr>
    <w:rPr>
      <w:rFonts w:ascii="Times New Roman" w:eastAsia="Times New Roman" w:hAnsi="Times New Roman" w:cs="Times New Roman"/>
      <w:sz w:val="24"/>
      <w:szCs w:val="24"/>
      <w:lang w:eastAsia="hr-HR"/>
    </w:rPr>
  </w:style>
  <w:style w:type="character" w:styleId="Istaknuto">
    <w:name w:val="Emphasis"/>
    <w:qFormat/>
    <w:rsid w:val="00317EE7"/>
    <w:rPr>
      <w:rFonts w:cs="Times New Roman"/>
      <w:i/>
      <w:iCs/>
    </w:rPr>
  </w:style>
  <w:style w:type="paragraph" w:customStyle="1" w:styleId="ListParagraph2">
    <w:name w:val="List Paragraph2"/>
    <w:basedOn w:val="Normal"/>
    <w:rsid w:val="00317EE7"/>
    <w:pPr>
      <w:ind w:left="720"/>
    </w:pPr>
  </w:style>
  <w:style w:type="paragraph" w:customStyle="1" w:styleId="ListParagraph1">
    <w:name w:val="List Paragraph1"/>
    <w:basedOn w:val="Normal"/>
    <w:rsid w:val="00317EE7"/>
    <w:pPr>
      <w:ind w:left="720"/>
    </w:pPr>
  </w:style>
  <w:style w:type="paragraph" w:customStyle="1" w:styleId="Slika">
    <w:name w:val="Slika"/>
    <w:basedOn w:val="Normal"/>
    <w:link w:val="SlikaCharChar"/>
    <w:qFormat/>
    <w:rsid w:val="00317EE7"/>
    <w:pPr>
      <w:spacing w:before="60"/>
      <w:jc w:val="center"/>
    </w:pPr>
    <w:rPr>
      <w:rFonts w:ascii="Arial" w:hAnsi="Arial"/>
      <w:i/>
      <w:noProof/>
      <w:sz w:val="22"/>
    </w:rPr>
  </w:style>
  <w:style w:type="character" w:customStyle="1" w:styleId="SlikaCharChar">
    <w:name w:val="Slika Char Char"/>
    <w:link w:val="Slika"/>
    <w:rsid w:val="00317EE7"/>
    <w:rPr>
      <w:rFonts w:ascii="Arial" w:eastAsia="Times New Roman" w:hAnsi="Arial" w:cs="Times New Roman"/>
      <w:i/>
      <w:noProof/>
      <w:szCs w:val="24"/>
    </w:rPr>
  </w:style>
  <w:style w:type="paragraph" w:customStyle="1" w:styleId="Tablica">
    <w:name w:val="Tablica"/>
    <w:basedOn w:val="Normal"/>
    <w:link w:val="TablicaChar"/>
    <w:qFormat/>
    <w:rsid w:val="00317EE7"/>
    <w:pPr>
      <w:spacing w:after="60"/>
    </w:pPr>
    <w:rPr>
      <w:rFonts w:ascii="Arial" w:hAnsi="Arial"/>
      <w:i/>
      <w:noProof/>
      <w:sz w:val="22"/>
    </w:rPr>
  </w:style>
  <w:style w:type="character" w:customStyle="1" w:styleId="TablicaChar">
    <w:name w:val="Tablica Char"/>
    <w:link w:val="Tablica"/>
    <w:rsid w:val="00317EE7"/>
    <w:rPr>
      <w:rFonts w:ascii="Arial" w:eastAsia="Times New Roman" w:hAnsi="Arial" w:cs="Times New Roman"/>
      <w:i/>
      <w:noProof/>
      <w:szCs w:val="24"/>
      <w:lang w:eastAsia="hr-HR"/>
    </w:rPr>
  </w:style>
  <w:style w:type="paragraph" w:customStyle="1" w:styleId="TableParagraph">
    <w:name w:val="Table Paragraph"/>
    <w:basedOn w:val="Normal"/>
    <w:uiPriority w:val="1"/>
    <w:qFormat/>
    <w:rsid w:val="00317EE7"/>
    <w:pPr>
      <w:widowControl w:val="0"/>
    </w:pPr>
    <w:rPr>
      <w:rFonts w:ascii="Calibri" w:eastAsia="Calibri" w:hAnsi="Calibri"/>
      <w:noProof/>
      <w:sz w:val="22"/>
      <w:szCs w:val="22"/>
      <w:lang w:val="en-US" w:eastAsia="en-US"/>
    </w:rPr>
  </w:style>
  <w:style w:type="paragraph" w:customStyle="1" w:styleId="06Text">
    <w:name w:val="06_Text"/>
    <w:basedOn w:val="Normal"/>
    <w:qFormat/>
    <w:rsid w:val="00317EE7"/>
    <w:pPr>
      <w:spacing w:before="240" w:after="240" w:line="360" w:lineRule="auto"/>
    </w:pPr>
    <w:rPr>
      <w:rFonts w:ascii="Palatino Linotype" w:eastAsia="Calibri" w:hAnsi="Palatino Linotype"/>
      <w:sz w:val="20"/>
      <w:szCs w:val="22"/>
      <w:lang w:eastAsia="en-US"/>
    </w:rPr>
  </w:style>
  <w:style w:type="paragraph" w:styleId="Revizija">
    <w:name w:val="Revision"/>
    <w:hidden/>
    <w:uiPriority w:val="99"/>
    <w:semiHidden/>
    <w:rsid w:val="00317EE7"/>
    <w:pPr>
      <w:spacing w:after="0"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317EE7"/>
    <w:pPr>
      <w:spacing w:before="100" w:beforeAutospacing="1" w:after="100" w:afterAutospacing="1"/>
    </w:pPr>
    <w:rPr>
      <w:rFonts w:eastAsia="Calibri"/>
    </w:rPr>
  </w:style>
  <w:style w:type="table" w:customStyle="1" w:styleId="Reetkatablice1">
    <w:name w:val="Rešetka tablice1"/>
    <w:basedOn w:val="Obinatablica"/>
    <w:next w:val="Reetkatablice"/>
    <w:uiPriority w:val="59"/>
    <w:rsid w:val="00317EE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17EE7"/>
    <w:pPr>
      <w:ind w:left="720"/>
      <w:contextualSpacing/>
    </w:pPr>
  </w:style>
  <w:style w:type="paragraph" w:styleId="Podnaslov">
    <w:name w:val="Subtitle"/>
    <w:basedOn w:val="Normal"/>
    <w:next w:val="Normal"/>
    <w:link w:val="PodnaslovChar"/>
    <w:qFormat/>
    <w:rsid w:val="00317EE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Char">
    <w:name w:val="Podnaslov Char"/>
    <w:basedOn w:val="Zadanifontodlomka"/>
    <w:link w:val="Podnaslov"/>
    <w:rsid w:val="00317EE7"/>
    <w:rPr>
      <w:rFonts w:eastAsiaTheme="minorEastAsia"/>
      <w:color w:val="5A5A5A" w:themeColor="text1" w:themeTint="A5"/>
      <w:spacing w:val="15"/>
      <w:lang w:eastAsia="hr-HR"/>
    </w:rPr>
  </w:style>
  <w:style w:type="character" w:customStyle="1" w:styleId="Naslov5Char">
    <w:name w:val="Naslov 5 Char"/>
    <w:basedOn w:val="Zadanifontodlomka"/>
    <w:link w:val="Naslov5"/>
    <w:uiPriority w:val="9"/>
    <w:rsid w:val="007F396E"/>
    <w:rPr>
      <w:rFonts w:asciiTheme="majorHAnsi" w:eastAsiaTheme="majorEastAsia" w:hAnsiTheme="majorHAnsi" w:cstheme="majorBidi"/>
      <w:color w:val="243F60" w:themeColor="accent1" w:themeShade="7F"/>
      <w:sz w:val="24"/>
      <w:szCs w:val="24"/>
      <w:lang w:eastAsia="hr-HR"/>
    </w:rPr>
  </w:style>
  <w:style w:type="paragraph" w:styleId="StandardWeb">
    <w:name w:val="Normal (Web)"/>
    <w:basedOn w:val="Normal"/>
    <w:uiPriority w:val="99"/>
    <w:semiHidden/>
    <w:unhideWhenUsed/>
    <w:rsid w:val="001B18DF"/>
    <w:pPr>
      <w:spacing w:before="100" w:beforeAutospacing="1" w:after="100" w:afterAutospacing="1"/>
    </w:pPr>
  </w:style>
  <w:style w:type="paragraph" w:customStyle="1" w:styleId="AZOTablice">
    <w:name w:val="AZO Tablice"/>
    <w:basedOn w:val="Normal"/>
    <w:autoRedefine/>
    <w:qFormat/>
    <w:rsid w:val="00583DBD"/>
    <w:pPr>
      <w:spacing w:before="240" w:line="360" w:lineRule="auto"/>
      <w:ind w:left="-1134" w:firstLine="1134"/>
    </w:pPr>
    <w:rPr>
      <w:rFonts w:ascii="Palatino Linotype" w:hAnsi="Palatino Linotype"/>
      <w:bCs/>
      <w:i/>
      <w:iCs/>
      <w:snapToGrid w:val="0"/>
      <w:sz w:val="20"/>
      <w:szCs w:val="20"/>
      <w:lang w:eastAsia="en-US"/>
    </w:rPr>
  </w:style>
  <w:style w:type="character" w:styleId="SlijeenaHiperveza">
    <w:name w:val="FollowedHyperlink"/>
    <w:basedOn w:val="Zadanifontodlomka"/>
    <w:semiHidden/>
    <w:unhideWhenUsed/>
    <w:rsid w:val="00AA4D81"/>
    <w:rPr>
      <w:color w:val="800080" w:themeColor="followedHyperlink"/>
      <w:u w:val="single"/>
    </w:rPr>
  </w:style>
  <w:style w:type="paragraph" w:styleId="TOCNaslov">
    <w:name w:val="TOC Heading"/>
    <w:basedOn w:val="Naslov1"/>
    <w:next w:val="Normal"/>
    <w:uiPriority w:val="39"/>
    <w:unhideWhenUsed/>
    <w:qFormat/>
    <w:rsid w:val="00430E79"/>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Sadraj1">
    <w:name w:val="toc 1"/>
    <w:basedOn w:val="Normal"/>
    <w:next w:val="Normal"/>
    <w:autoRedefine/>
    <w:uiPriority w:val="39"/>
    <w:unhideWhenUsed/>
    <w:rsid w:val="00430E79"/>
    <w:pPr>
      <w:spacing w:after="100"/>
    </w:pPr>
  </w:style>
  <w:style w:type="paragraph" w:styleId="Sadraj2">
    <w:name w:val="toc 2"/>
    <w:basedOn w:val="Normal"/>
    <w:next w:val="Normal"/>
    <w:autoRedefine/>
    <w:uiPriority w:val="39"/>
    <w:unhideWhenUsed/>
    <w:rsid w:val="00430E79"/>
    <w:pPr>
      <w:spacing w:after="100"/>
      <w:ind w:left="240"/>
    </w:pPr>
  </w:style>
  <w:style w:type="paragraph" w:styleId="Sadraj3">
    <w:name w:val="toc 3"/>
    <w:basedOn w:val="Normal"/>
    <w:next w:val="Normal"/>
    <w:autoRedefine/>
    <w:uiPriority w:val="39"/>
    <w:unhideWhenUsed/>
    <w:rsid w:val="00430E79"/>
    <w:pPr>
      <w:spacing w:after="100"/>
      <w:ind w:left="480"/>
    </w:pPr>
  </w:style>
  <w:style w:type="paragraph" w:customStyle="1" w:styleId="CM10">
    <w:name w:val="CM10"/>
    <w:basedOn w:val="Normal"/>
    <w:next w:val="Normal"/>
    <w:uiPriority w:val="99"/>
    <w:rsid w:val="00C16409"/>
    <w:pPr>
      <w:widowControl w:val="0"/>
      <w:autoSpaceDE w:val="0"/>
      <w:autoSpaceDN w:val="0"/>
      <w:adjustRightInd w:val="0"/>
      <w:spacing w:line="231" w:lineRule="atLeast"/>
    </w:pPr>
    <w:rPr>
      <w:rFonts w:ascii="JLCBI N+ Minion Pro" w:eastAsiaTheme="minorEastAsia" w:hAnsi="JLCBI N+ Minion Pro" w:cstheme="minorBidi"/>
    </w:rPr>
  </w:style>
  <w:style w:type="paragraph" w:customStyle="1" w:styleId="CM11">
    <w:name w:val="CM11"/>
    <w:basedOn w:val="Normal"/>
    <w:next w:val="Normal"/>
    <w:uiPriority w:val="99"/>
    <w:rsid w:val="00C16409"/>
    <w:pPr>
      <w:widowControl w:val="0"/>
      <w:autoSpaceDE w:val="0"/>
      <w:autoSpaceDN w:val="0"/>
      <w:adjustRightInd w:val="0"/>
      <w:spacing w:line="233" w:lineRule="atLeast"/>
    </w:pPr>
    <w:rPr>
      <w:rFonts w:ascii="JLCBI N+ Minion Pro" w:eastAsiaTheme="minorEastAsia" w:hAnsi="JLCBI N+ Minion Pro" w:cstheme="minorBidi"/>
    </w:rPr>
  </w:style>
  <w:style w:type="paragraph" w:styleId="Popis">
    <w:name w:val="List"/>
    <w:basedOn w:val="Normal"/>
    <w:uiPriority w:val="99"/>
    <w:semiHidden/>
    <w:unhideWhenUsed/>
    <w:rsid w:val="00CA0E23"/>
    <w:pPr>
      <w:ind w:left="283" w:hanging="283"/>
      <w:contextualSpacing/>
    </w:pPr>
  </w:style>
  <w:style w:type="character" w:styleId="Referencafusnote">
    <w:name w:val="footnote reference"/>
    <w:basedOn w:val="Zadanifontodlomka"/>
    <w:uiPriority w:val="99"/>
    <w:unhideWhenUsed/>
    <w:rsid w:val="00B14192"/>
    <w:rPr>
      <w:vertAlign w:val="superscript"/>
    </w:rPr>
  </w:style>
  <w:style w:type="paragraph" w:customStyle="1" w:styleId="Slikaigrafnaslov">
    <w:name w:val="Slika i graf_naslov"/>
    <w:basedOn w:val="Opisslike"/>
    <w:link w:val="SlikaigrafnaslovChar"/>
    <w:autoRedefine/>
    <w:qFormat/>
    <w:rsid w:val="00172FD9"/>
    <w:pPr>
      <w:spacing w:after="0"/>
      <w:jc w:val="center"/>
    </w:pPr>
    <w:rPr>
      <w:rFonts w:eastAsia="Calibri" w:cstheme="minorBidi"/>
      <w:color w:val="auto"/>
      <w:sz w:val="24"/>
      <w:szCs w:val="24"/>
      <w:lang w:eastAsia="en-US"/>
    </w:rPr>
  </w:style>
  <w:style w:type="character" w:customStyle="1" w:styleId="SlikaigrafnaslovChar">
    <w:name w:val="Slika i graf_naslov Char"/>
    <w:basedOn w:val="Zadanifontodlomka"/>
    <w:link w:val="Slikaigrafnaslov"/>
    <w:rsid w:val="00172FD9"/>
    <w:rPr>
      <w:rFonts w:ascii="Times New Roman" w:eastAsia="Calibri" w:hAnsi="Times New Roman"/>
      <w:i/>
      <w:iCs/>
      <w:sz w:val="24"/>
      <w:szCs w:val="24"/>
    </w:rPr>
  </w:style>
  <w:style w:type="paragraph" w:styleId="Opisslike">
    <w:name w:val="caption"/>
    <w:basedOn w:val="Normal"/>
    <w:next w:val="Normal"/>
    <w:link w:val="OpisslikeChar"/>
    <w:uiPriority w:val="35"/>
    <w:unhideWhenUsed/>
    <w:qFormat/>
    <w:rsid w:val="00EB2BFD"/>
    <w:pPr>
      <w:spacing w:after="200"/>
    </w:pPr>
    <w:rPr>
      <w:i/>
      <w:iCs/>
      <w:color w:val="1F497D" w:themeColor="text2"/>
      <w:sz w:val="18"/>
      <w:szCs w:val="18"/>
    </w:rPr>
  </w:style>
  <w:style w:type="character" w:customStyle="1" w:styleId="longtext">
    <w:name w:val="long_text"/>
    <w:basedOn w:val="Zadanifontodlomka"/>
    <w:rsid w:val="00513CA0"/>
  </w:style>
  <w:style w:type="paragraph" w:customStyle="1" w:styleId="DRUGIPODNASLOV">
    <w:name w:val="DRUGI PODNASLOV"/>
    <w:basedOn w:val="Normal"/>
    <w:uiPriority w:val="99"/>
    <w:rsid w:val="00513CA0"/>
    <w:pPr>
      <w:tabs>
        <w:tab w:val="left" w:pos="851"/>
      </w:tabs>
      <w:spacing w:before="360" w:after="120" w:line="264" w:lineRule="auto"/>
      <w:ind w:left="851" w:hanging="851"/>
    </w:pPr>
    <w:rPr>
      <w:rFonts w:ascii="Arial" w:eastAsia="MS Mincho" w:hAnsi="Arial"/>
      <w:b/>
      <w:sz w:val="22"/>
      <w:lang w:eastAsia="ja-JP"/>
    </w:rPr>
  </w:style>
  <w:style w:type="character" w:customStyle="1" w:styleId="summarymark">
    <w:name w:val="summarymark"/>
    <w:basedOn w:val="Zadanifontodlomka"/>
    <w:rsid w:val="004A2DD4"/>
  </w:style>
  <w:style w:type="character" w:customStyle="1" w:styleId="OpisslikeChar">
    <w:name w:val="Opis slike Char"/>
    <w:basedOn w:val="Zadanifontodlomka"/>
    <w:link w:val="Opisslike"/>
    <w:uiPriority w:val="35"/>
    <w:rsid w:val="008B12EA"/>
    <w:rPr>
      <w:rFonts w:ascii="Times New Roman" w:eastAsia="Times New Roman" w:hAnsi="Times New Roman" w:cs="Times New Roman"/>
      <w:i/>
      <w:iCs/>
      <w:color w:val="1F497D" w:themeColor="text2"/>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61190">
      <w:bodyDiv w:val="1"/>
      <w:marLeft w:val="0"/>
      <w:marRight w:val="0"/>
      <w:marTop w:val="0"/>
      <w:marBottom w:val="0"/>
      <w:divBdr>
        <w:top w:val="none" w:sz="0" w:space="0" w:color="auto"/>
        <w:left w:val="none" w:sz="0" w:space="0" w:color="auto"/>
        <w:bottom w:val="none" w:sz="0" w:space="0" w:color="auto"/>
        <w:right w:val="none" w:sz="0" w:space="0" w:color="auto"/>
      </w:divBdr>
    </w:div>
    <w:div w:id="533542579">
      <w:bodyDiv w:val="1"/>
      <w:marLeft w:val="0"/>
      <w:marRight w:val="0"/>
      <w:marTop w:val="0"/>
      <w:marBottom w:val="0"/>
      <w:divBdr>
        <w:top w:val="none" w:sz="0" w:space="0" w:color="auto"/>
        <w:left w:val="none" w:sz="0" w:space="0" w:color="auto"/>
        <w:bottom w:val="none" w:sz="0" w:space="0" w:color="auto"/>
        <w:right w:val="none" w:sz="0" w:space="0" w:color="auto"/>
      </w:divBdr>
    </w:div>
    <w:div w:id="561479151">
      <w:bodyDiv w:val="1"/>
      <w:marLeft w:val="0"/>
      <w:marRight w:val="0"/>
      <w:marTop w:val="0"/>
      <w:marBottom w:val="0"/>
      <w:divBdr>
        <w:top w:val="none" w:sz="0" w:space="0" w:color="auto"/>
        <w:left w:val="none" w:sz="0" w:space="0" w:color="auto"/>
        <w:bottom w:val="none" w:sz="0" w:space="0" w:color="auto"/>
        <w:right w:val="none" w:sz="0" w:space="0" w:color="auto"/>
      </w:divBdr>
    </w:div>
    <w:div w:id="685597238">
      <w:bodyDiv w:val="1"/>
      <w:marLeft w:val="0"/>
      <w:marRight w:val="0"/>
      <w:marTop w:val="0"/>
      <w:marBottom w:val="0"/>
      <w:divBdr>
        <w:top w:val="none" w:sz="0" w:space="0" w:color="auto"/>
        <w:left w:val="none" w:sz="0" w:space="0" w:color="auto"/>
        <w:bottom w:val="none" w:sz="0" w:space="0" w:color="auto"/>
        <w:right w:val="none" w:sz="0" w:space="0" w:color="auto"/>
      </w:divBdr>
    </w:div>
    <w:div w:id="730154847">
      <w:bodyDiv w:val="1"/>
      <w:marLeft w:val="0"/>
      <w:marRight w:val="0"/>
      <w:marTop w:val="0"/>
      <w:marBottom w:val="0"/>
      <w:divBdr>
        <w:top w:val="none" w:sz="0" w:space="0" w:color="auto"/>
        <w:left w:val="none" w:sz="0" w:space="0" w:color="auto"/>
        <w:bottom w:val="none" w:sz="0" w:space="0" w:color="auto"/>
        <w:right w:val="none" w:sz="0" w:space="0" w:color="auto"/>
      </w:divBdr>
    </w:div>
    <w:div w:id="1027678834">
      <w:bodyDiv w:val="1"/>
      <w:marLeft w:val="0"/>
      <w:marRight w:val="0"/>
      <w:marTop w:val="0"/>
      <w:marBottom w:val="0"/>
      <w:divBdr>
        <w:top w:val="none" w:sz="0" w:space="0" w:color="auto"/>
        <w:left w:val="none" w:sz="0" w:space="0" w:color="auto"/>
        <w:bottom w:val="none" w:sz="0" w:space="0" w:color="auto"/>
        <w:right w:val="none" w:sz="0" w:space="0" w:color="auto"/>
      </w:divBdr>
    </w:div>
    <w:div w:id="1084573134">
      <w:bodyDiv w:val="1"/>
      <w:marLeft w:val="0"/>
      <w:marRight w:val="0"/>
      <w:marTop w:val="0"/>
      <w:marBottom w:val="0"/>
      <w:divBdr>
        <w:top w:val="none" w:sz="0" w:space="0" w:color="auto"/>
        <w:left w:val="none" w:sz="0" w:space="0" w:color="auto"/>
        <w:bottom w:val="none" w:sz="0" w:space="0" w:color="auto"/>
        <w:right w:val="none" w:sz="0" w:space="0" w:color="auto"/>
      </w:divBdr>
    </w:div>
    <w:div w:id="1128090620">
      <w:bodyDiv w:val="1"/>
      <w:marLeft w:val="0"/>
      <w:marRight w:val="0"/>
      <w:marTop w:val="0"/>
      <w:marBottom w:val="0"/>
      <w:divBdr>
        <w:top w:val="none" w:sz="0" w:space="0" w:color="auto"/>
        <w:left w:val="none" w:sz="0" w:space="0" w:color="auto"/>
        <w:bottom w:val="none" w:sz="0" w:space="0" w:color="auto"/>
        <w:right w:val="none" w:sz="0" w:space="0" w:color="auto"/>
      </w:divBdr>
    </w:div>
    <w:div w:id="1380936830">
      <w:bodyDiv w:val="1"/>
      <w:marLeft w:val="0"/>
      <w:marRight w:val="0"/>
      <w:marTop w:val="0"/>
      <w:marBottom w:val="0"/>
      <w:divBdr>
        <w:top w:val="none" w:sz="0" w:space="0" w:color="auto"/>
        <w:left w:val="none" w:sz="0" w:space="0" w:color="auto"/>
        <w:bottom w:val="none" w:sz="0" w:space="0" w:color="auto"/>
        <w:right w:val="none" w:sz="0" w:space="0" w:color="auto"/>
      </w:divBdr>
    </w:div>
    <w:div w:id="1391343255">
      <w:bodyDiv w:val="1"/>
      <w:marLeft w:val="0"/>
      <w:marRight w:val="0"/>
      <w:marTop w:val="0"/>
      <w:marBottom w:val="0"/>
      <w:divBdr>
        <w:top w:val="none" w:sz="0" w:space="0" w:color="auto"/>
        <w:left w:val="none" w:sz="0" w:space="0" w:color="auto"/>
        <w:bottom w:val="none" w:sz="0" w:space="0" w:color="auto"/>
        <w:right w:val="none" w:sz="0" w:space="0" w:color="auto"/>
      </w:divBdr>
    </w:div>
    <w:div w:id="1985969894">
      <w:bodyDiv w:val="1"/>
      <w:marLeft w:val="0"/>
      <w:marRight w:val="0"/>
      <w:marTop w:val="0"/>
      <w:marBottom w:val="0"/>
      <w:divBdr>
        <w:top w:val="none" w:sz="0" w:space="0" w:color="auto"/>
        <w:left w:val="none" w:sz="0" w:space="0" w:color="auto"/>
        <w:bottom w:val="none" w:sz="0" w:space="0" w:color="auto"/>
        <w:right w:val="none" w:sz="0" w:space="0" w:color="auto"/>
      </w:divBdr>
    </w:div>
    <w:div w:id="2074352431">
      <w:bodyDiv w:val="1"/>
      <w:marLeft w:val="0"/>
      <w:marRight w:val="0"/>
      <w:marTop w:val="0"/>
      <w:marBottom w:val="0"/>
      <w:divBdr>
        <w:top w:val="none" w:sz="0" w:space="0" w:color="auto"/>
        <w:left w:val="none" w:sz="0" w:space="0" w:color="auto"/>
        <w:bottom w:val="none" w:sz="0" w:space="0" w:color="auto"/>
        <w:right w:val="none" w:sz="0" w:space="0" w:color="auto"/>
      </w:divBdr>
    </w:div>
    <w:div w:id="213143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gor.gov.hr/UserDocsImages/klimatske_aktivnosti/zrak_tlo_svjetlosno/Postojane%20organske%20one%C4%8Di%C5%A1%C4%87uju%C4%87e%20tvari/NIP/treci_nac_plan_pops.pdf"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iszz.azo.hr/iskzl/" TargetMode="External"/><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aop.hr/hr/tematska-podrucja/otpad-registri-oneciscavanja-i-ostali-sektorski-pritisci/gospodarenje-otpadom-0"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emf"/><Relationship Id="rId53" Type="http://schemas.openxmlformats.org/officeDocument/2006/relationships/chart" Target="charts/chart2.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rodne-novine.nn.hr/clanci/sluzbeni/2008_12_145_3971.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haop.hr/hr/emisije-oneciscujucih-tvari-u-zrak-na-podrucju-republike-hrvatske/emisije-oneciscujucih-tvari-u" TargetMode="External"/><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emf"/><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arodne-novine.nn.hr/clanci/sluzbeni/2016_07_62_1566.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emf"/><Relationship Id="rId52"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s://narodne-novine.nn.hr/clanci/sluzbeni/2007_06_58_1870.html" TargetMode="External"/><Relationship Id="rId7" Type="http://schemas.openxmlformats.org/officeDocument/2006/relationships/hyperlink" Target="https://narodne-novine.nn.hr/clanci/sluzbeni/2021_07_84_1554.html" TargetMode="External"/><Relationship Id="rId2" Type="http://schemas.openxmlformats.org/officeDocument/2006/relationships/hyperlink" Target="https://narodne-novine.nn.hr/clanci/sluzbeni/2022_01_3_31.html" TargetMode="External"/><Relationship Id="rId1" Type="http://schemas.openxmlformats.org/officeDocument/2006/relationships/hyperlink" Target="https://narodne-novine.nn.hr/clanci/sluzbeni/2015_08_87_1727.html" TargetMode="External"/><Relationship Id="rId6" Type="http://schemas.openxmlformats.org/officeDocument/2006/relationships/hyperlink" Target="https://www.zakon.hr/z/657/Zakon-o-odr%C5%BEivom-gospodarenju-otpadom" TargetMode="External"/><Relationship Id="rId5" Type="http://schemas.openxmlformats.org/officeDocument/2006/relationships/hyperlink" Target="https://eur-lex.europa.eu/legal-content/HR/TXT/?uri=CELEX:32019R1021" TargetMode="External"/><Relationship Id="rId4" Type="http://schemas.openxmlformats.org/officeDocument/2006/relationships/hyperlink" Target="https://narodne-novine.nn.hr/clanci/sluzbeni/2007_07_72_2278.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rectory\USR\mbeuk\My%20Documents\2022%20MINGOR\NIP\2022\VI.%20Izvje&#353;&#263;e%20Schtockolm\ROO_POPs_2017-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rectory\USR\mbeuk\My%20Documents\2022%20MINGOR\NIP\2022\VI.%20Izvje&#353;&#263;e%20Schtockolm\POPs_2017_2020_00_VODE.x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rectory\USR\mbeuk\My%20Documents\2022%20MINGOR\NIP\2022\VI.%20Izvje&#353;&#263;e%20Schtockolm\ROO_OZO_POP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'Zrak POPs 2017-2021'!$B$27</c:f>
              <c:strCache>
                <c:ptCount val="1"/>
                <c:pt idx="0">
                  <c:v>PCDD/F</c:v>
                </c:pt>
              </c:strCache>
            </c:strRef>
          </c:tx>
          <c:spPr>
            <a:solidFill>
              <a:srgbClr val="0070C0"/>
            </a:solidFill>
            <a:ln>
              <a:noFill/>
            </a:ln>
            <a:effectLst/>
          </c:spPr>
          <c:invertIfNegative val="0"/>
          <c:cat>
            <c:strRef>
              <c:f>'Zrak POPs 2017-2021'!$C$26:$G$26</c:f>
              <c:strCache>
                <c:ptCount val="5"/>
                <c:pt idx="0">
                  <c:v>2017.</c:v>
                </c:pt>
                <c:pt idx="1">
                  <c:v>2018.</c:v>
                </c:pt>
                <c:pt idx="2">
                  <c:v>2019.</c:v>
                </c:pt>
                <c:pt idx="3">
                  <c:v>2020.</c:v>
                </c:pt>
                <c:pt idx="4">
                  <c:v>2021.</c:v>
                </c:pt>
              </c:strCache>
            </c:strRef>
          </c:cat>
          <c:val>
            <c:numRef>
              <c:f>'Zrak POPs 2017-2021'!$C$27:$G$27</c:f>
              <c:numCache>
                <c:formatCode>#,##0.000</c:formatCode>
                <c:ptCount val="5"/>
                <c:pt idx="0">
                  <c:v>0</c:v>
                </c:pt>
                <c:pt idx="1">
                  <c:v>3.2399999999999998E-3</c:v>
                </c:pt>
                <c:pt idx="2">
                  <c:v>0</c:v>
                </c:pt>
                <c:pt idx="3">
                  <c:v>5.7299999999999999E-3</c:v>
                </c:pt>
                <c:pt idx="4">
                  <c:v>5.7299999999999999E-3</c:v>
                </c:pt>
              </c:numCache>
            </c:numRef>
          </c:val>
          <c:extLst>
            <c:ext xmlns:c16="http://schemas.microsoft.com/office/drawing/2014/chart" uri="{C3380CC4-5D6E-409C-BE32-E72D297353CC}">
              <c16:uniqueId val="{00000000-3A70-444D-A2A3-711223375CAA}"/>
            </c:ext>
          </c:extLst>
        </c:ser>
        <c:dLbls>
          <c:showLegendKey val="0"/>
          <c:showVal val="0"/>
          <c:showCatName val="0"/>
          <c:showSerName val="0"/>
          <c:showPercent val="0"/>
          <c:showBubbleSize val="0"/>
        </c:dLbls>
        <c:gapWidth val="219"/>
        <c:axId val="1069542160"/>
        <c:axId val="1069550320"/>
      </c:barChart>
      <c:lineChart>
        <c:grouping val="standard"/>
        <c:varyColors val="0"/>
        <c:ser>
          <c:idx val="1"/>
          <c:order val="1"/>
          <c:tx>
            <c:strRef>
              <c:f>'Zrak POPs 2017-2021'!$B$28</c:f>
              <c:strCache>
                <c:ptCount val="1"/>
                <c:pt idx="0">
                  <c:v>PAHs</c:v>
                </c:pt>
              </c:strCache>
            </c:strRef>
          </c:tx>
          <c:spPr>
            <a:ln w="28575" cap="rnd">
              <a:solidFill>
                <a:schemeClr val="accent2"/>
              </a:solidFill>
              <a:round/>
            </a:ln>
            <a:effectLst/>
          </c:spPr>
          <c:marker>
            <c:symbol val="none"/>
          </c:marker>
          <c:cat>
            <c:strRef>
              <c:f>'Zrak POPs 2017-2021'!$C$26:$G$26</c:f>
              <c:strCache>
                <c:ptCount val="5"/>
                <c:pt idx="0">
                  <c:v>2017.</c:v>
                </c:pt>
                <c:pt idx="1">
                  <c:v>2018.</c:v>
                </c:pt>
                <c:pt idx="2">
                  <c:v>2019.</c:v>
                </c:pt>
                <c:pt idx="3">
                  <c:v>2020.</c:v>
                </c:pt>
                <c:pt idx="4">
                  <c:v>2021.</c:v>
                </c:pt>
              </c:strCache>
            </c:strRef>
          </c:cat>
          <c:val>
            <c:numRef>
              <c:f>'Zrak POPs 2017-2021'!$C$28:$G$28</c:f>
              <c:numCache>
                <c:formatCode>#,##0.000</c:formatCode>
                <c:ptCount val="5"/>
                <c:pt idx="0">
                  <c:v>36.676000000000002</c:v>
                </c:pt>
                <c:pt idx="1">
                  <c:v>37.394849999999998</c:v>
                </c:pt>
                <c:pt idx="2">
                  <c:v>38.387999999999998</c:v>
                </c:pt>
                <c:pt idx="3">
                  <c:v>39.5</c:v>
                </c:pt>
                <c:pt idx="4">
                  <c:v>41.390999999999998</c:v>
                </c:pt>
              </c:numCache>
            </c:numRef>
          </c:val>
          <c:smooth val="0"/>
          <c:extLst>
            <c:ext xmlns:c16="http://schemas.microsoft.com/office/drawing/2014/chart" uri="{C3380CC4-5D6E-409C-BE32-E72D297353CC}">
              <c16:uniqueId val="{00000001-3A70-444D-A2A3-711223375CAA}"/>
            </c:ext>
          </c:extLst>
        </c:ser>
        <c:dLbls>
          <c:showLegendKey val="0"/>
          <c:showVal val="0"/>
          <c:showCatName val="0"/>
          <c:showSerName val="0"/>
          <c:showPercent val="0"/>
          <c:showBubbleSize val="0"/>
        </c:dLbls>
        <c:marker val="1"/>
        <c:smooth val="0"/>
        <c:axId val="1069541616"/>
        <c:axId val="1069549776"/>
      </c:lineChart>
      <c:catAx>
        <c:axId val="106954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69549776"/>
        <c:crosses val="autoZero"/>
        <c:auto val="1"/>
        <c:lblAlgn val="ctr"/>
        <c:lblOffset val="100"/>
        <c:noMultiLvlLbl val="0"/>
      </c:catAx>
      <c:valAx>
        <c:axId val="106954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kg/god</a:t>
                </a:r>
              </a:p>
            </c:rich>
          </c:tx>
          <c:layout>
            <c:manualLayout>
              <c:xMode val="edge"/>
              <c:yMode val="edge"/>
              <c:x val="5.1103368176538912E-2"/>
              <c:y val="0.412809829289050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69541616"/>
        <c:crosses val="autoZero"/>
        <c:crossBetween val="between"/>
      </c:valAx>
      <c:valAx>
        <c:axId val="106955032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kg/god (TEQ)</a:t>
                </a:r>
              </a:p>
            </c:rich>
          </c:tx>
          <c:layout>
            <c:manualLayout>
              <c:xMode val="edge"/>
              <c:yMode val="edge"/>
              <c:x val="0.9616724738675958"/>
              <c:y val="0.360857059080149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69542160"/>
        <c:crosses val="max"/>
        <c:crossBetween val="between"/>
      </c:valAx>
      <c:catAx>
        <c:axId val="1069542160"/>
        <c:scaling>
          <c:orientation val="minMax"/>
        </c:scaling>
        <c:delete val="1"/>
        <c:axPos val="b"/>
        <c:numFmt formatCode="General" sourceLinked="1"/>
        <c:majorTickMark val="out"/>
        <c:minorTickMark val="none"/>
        <c:tickLblPos val="nextTo"/>
        <c:crossAx val="10695503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Heksaklorbutadien ( HCBD)</c:v>
                </c:pt>
              </c:strCache>
            </c:strRef>
          </c:tx>
          <c:spPr>
            <a:solidFill>
              <a:schemeClr val="accent1"/>
            </a:solidFill>
            <a:ln>
              <a:noFill/>
            </a:ln>
            <a:effectLst/>
          </c:spPr>
          <c:invertIfNegative val="0"/>
          <c:cat>
            <c:strRef>
              <c:f>Sheet4!$B$1:$F$1</c:f>
              <c:strCache>
                <c:ptCount val="5"/>
                <c:pt idx="0">
                  <c:v>2017.</c:v>
                </c:pt>
                <c:pt idx="1">
                  <c:v>2018.</c:v>
                </c:pt>
                <c:pt idx="2">
                  <c:v>2019.</c:v>
                </c:pt>
                <c:pt idx="3">
                  <c:v>2020.</c:v>
                </c:pt>
                <c:pt idx="4">
                  <c:v>2021.</c:v>
                </c:pt>
              </c:strCache>
            </c:strRef>
          </c:cat>
          <c:val>
            <c:numRef>
              <c:f>Sheet4!$B$2:$F$2</c:f>
              <c:numCache>
                <c:formatCode>0.0000</c:formatCode>
                <c:ptCount val="5"/>
                <c:pt idx="0">
                  <c:v>0.3488</c:v>
                </c:pt>
                <c:pt idx="1">
                  <c:v>0.76612000000000002</c:v>
                </c:pt>
                <c:pt idx="2">
                  <c:v>0.83911000000000002</c:v>
                </c:pt>
                <c:pt idx="3">
                  <c:v>0.24908</c:v>
                </c:pt>
                <c:pt idx="4">
                  <c:v>5.0169999999999999E-2</c:v>
                </c:pt>
              </c:numCache>
            </c:numRef>
          </c:val>
          <c:extLst>
            <c:ext xmlns:c16="http://schemas.microsoft.com/office/drawing/2014/chart" uri="{C3380CC4-5D6E-409C-BE32-E72D297353CC}">
              <c16:uniqueId val="{00000000-04C1-442C-9E0E-CB4C772AD12D}"/>
            </c:ext>
          </c:extLst>
        </c:ser>
        <c:ser>
          <c:idx val="1"/>
          <c:order val="1"/>
          <c:tx>
            <c:strRef>
              <c:f>Sheet4!$A$3</c:f>
              <c:strCache>
                <c:ptCount val="1"/>
                <c:pt idx="0">
                  <c:v>Pentaklorfenol (PCP)</c:v>
                </c:pt>
              </c:strCache>
            </c:strRef>
          </c:tx>
          <c:spPr>
            <a:solidFill>
              <a:srgbClr val="FF0000"/>
            </a:solidFill>
            <a:ln>
              <a:noFill/>
            </a:ln>
            <a:effectLst/>
          </c:spPr>
          <c:invertIfNegative val="0"/>
          <c:cat>
            <c:strRef>
              <c:f>Sheet4!$B$1:$F$1</c:f>
              <c:strCache>
                <c:ptCount val="5"/>
                <c:pt idx="0">
                  <c:v>2017.</c:v>
                </c:pt>
                <c:pt idx="1">
                  <c:v>2018.</c:v>
                </c:pt>
                <c:pt idx="2">
                  <c:v>2019.</c:v>
                </c:pt>
                <c:pt idx="3">
                  <c:v>2020.</c:v>
                </c:pt>
                <c:pt idx="4">
                  <c:v>2021.</c:v>
                </c:pt>
              </c:strCache>
            </c:strRef>
          </c:cat>
          <c:val>
            <c:numRef>
              <c:f>Sheet4!$B$3:$F$3</c:f>
              <c:numCache>
                <c:formatCode>0.0000</c:formatCode>
                <c:ptCount val="5"/>
                <c:pt idx="0" formatCode="0.00000">
                  <c:v>3.0000000000000001E-5</c:v>
                </c:pt>
                <c:pt idx="1">
                  <c:v>2.4150000000000001E-2</c:v>
                </c:pt>
                <c:pt idx="2">
                  <c:v>3.2000000000000003E-4</c:v>
                </c:pt>
                <c:pt idx="3">
                  <c:v>9.0000000000000006E-5</c:v>
                </c:pt>
                <c:pt idx="4">
                  <c:v>2.2370000000000001E-2</c:v>
                </c:pt>
              </c:numCache>
            </c:numRef>
          </c:val>
          <c:extLst>
            <c:ext xmlns:c16="http://schemas.microsoft.com/office/drawing/2014/chart" uri="{C3380CC4-5D6E-409C-BE32-E72D297353CC}">
              <c16:uniqueId val="{00000001-04C1-442C-9E0E-CB4C772AD12D}"/>
            </c:ext>
          </c:extLst>
        </c:ser>
        <c:ser>
          <c:idx val="2"/>
          <c:order val="2"/>
          <c:tx>
            <c:strRef>
              <c:f>Sheet4!$A$4</c:f>
              <c:strCache>
                <c:ptCount val="1"/>
                <c:pt idx="0">
                  <c:v>Policiklički aromatski ugljikovodici (PAHs)</c:v>
                </c:pt>
              </c:strCache>
            </c:strRef>
          </c:tx>
          <c:spPr>
            <a:solidFill>
              <a:srgbClr val="FFC000"/>
            </a:solidFill>
            <a:ln>
              <a:noFill/>
            </a:ln>
            <a:effectLst/>
          </c:spPr>
          <c:invertIfNegative val="0"/>
          <c:cat>
            <c:strRef>
              <c:f>Sheet4!$B$1:$F$1</c:f>
              <c:strCache>
                <c:ptCount val="5"/>
                <c:pt idx="0">
                  <c:v>2017.</c:v>
                </c:pt>
                <c:pt idx="1">
                  <c:v>2018.</c:v>
                </c:pt>
                <c:pt idx="2">
                  <c:v>2019.</c:v>
                </c:pt>
                <c:pt idx="3">
                  <c:v>2020.</c:v>
                </c:pt>
                <c:pt idx="4">
                  <c:v>2021.</c:v>
                </c:pt>
              </c:strCache>
            </c:strRef>
          </c:cat>
          <c:val>
            <c:numRef>
              <c:f>Sheet4!$B$4:$F$4</c:f>
              <c:numCache>
                <c:formatCode>0.0000</c:formatCode>
                <c:ptCount val="5"/>
                <c:pt idx="0">
                  <c:v>0.23241999999999999</c:v>
                </c:pt>
                <c:pt idx="1">
                  <c:v>0.72799999999999998</c:v>
                </c:pt>
                <c:pt idx="2">
                  <c:v>9.9600000000000001E-3</c:v>
                </c:pt>
                <c:pt idx="3">
                  <c:v>9.1000000000000004E-3</c:v>
                </c:pt>
                <c:pt idx="4">
                  <c:v>2.6299999999999997E-2</c:v>
                </c:pt>
              </c:numCache>
            </c:numRef>
          </c:val>
          <c:extLst>
            <c:ext xmlns:c16="http://schemas.microsoft.com/office/drawing/2014/chart" uri="{C3380CC4-5D6E-409C-BE32-E72D297353CC}">
              <c16:uniqueId val="{00000002-04C1-442C-9E0E-CB4C772AD12D}"/>
            </c:ext>
          </c:extLst>
        </c:ser>
        <c:ser>
          <c:idx val="3"/>
          <c:order val="3"/>
          <c:tx>
            <c:strRef>
              <c:f>Sheet4!$A$5</c:f>
              <c:strCache>
                <c:ptCount val="1"/>
                <c:pt idx="0">
                  <c:v>Polikloriranibifenili (PCB)</c:v>
                </c:pt>
              </c:strCache>
            </c:strRef>
          </c:tx>
          <c:spPr>
            <a:solidFill>
              <a:schemeClr val="bg1">
                <a:lumMod val="65000"/>
              </a:schemeClr>
            </a:solidFill>
            <a:ln>
              <a:noFill/>
            </a:ln>
            <a:effectLst/>
          </c:spPr>
          <c:invertIfNegative val="0"/>
          <c:cat>
            <c:strRef>
              <c:f>Sheet4!$B$1:$F$1</c:f>
              <c:strCache>
                <c:ptCount val="5"/>
                <c:pt idx="0">
                  <c:v>2017.</c:v>
                </c:pt>
                <c:pt idx="1">
                  <c:v>2018.</c:v>
                </c:pt>
                <c:pt idx="2">
                  <c:v>2019.</c:v>
                </c:pt>
                <c:pt idx="3">
                  <c:v>2020.</c:v>
                </c:pt>
                <c:pt idx="4">
                  <c:v>2021.</c:v>
                </c:pt>
              </c:strCache>
            </c:strRef>
          </c:cat>
          <c:val>
            <c:numRef>
              <c:f>Sheet4!$B$5:$F$5</c:f>
              <c:numCache>
                <c:formatCode>0.0000</c:formatCode>
                <c:ptCount val="5"/>
                <c:pt idx="0">
                  <c:v>7.3780000000000026E-2</c:v>
                </c:pt>
                <c:pt idx="1">
                  <c:v>0.29532999999999998</c:v>
                </c:pt>
                <c:pt idx="2">
                  <c:v>0.92391999999999996</c:v>
                </c:pt>
                <c:pt idx="3">
                  <c:v>0.78826999999999992</c:v>
                </c:pt>
                <c:pt idx="4">
                  <c:v>0.67096000000000011</c:v>
                </c:pt>
              </c:numCache>
            </c:numRef>
          </c:val>
          <c:extLst>
            <c:ext xmlns:c16="http://schemas.microsoft.com/office/drawing/2014/chart" uri="{C3380CC4-5D6E-409C-BE32-E72D297353CC}">
              <c16:uniqueId val="{00000003-04C1-442C-9E0E-CB4C772AD12D}"/>
            </c:ext>
          </c:extLst>
        </c:ser>
        <c:dLbls>
          <c:showLegendKey val="0"/>
          <c:showVal val="0"/>
          <c:showCatName val="0"/>
          <c:showSerName val="0"/>
          <c:showPercent val="0"/>
          <c:showBubbleSize val="0"/>
        </c:dLbls>
        <c:gapWidth val="219"/>
        <c:overlap val="-27"/>
        <c:axId val="1069551408"/>
        <c:axId val="1069540528"/>
      </c:barChart>
      <c:lineChart>
        <c:grouping val="standard"/>
        <c:varyColors val="0"/>
        <c:ser>
          <c:idx val="4"/>
          <c:order val="4"/>
          <c:tx>
            <c:strRef>
              <c:f>Sheet4!$A$6</c:f>
              <c:strCache>
                <c:ptCount val="1"/>
                <c:pt idx="0">
                  <c:v>Endosulfan</c:v>
                </c:pt>
              </c:strCache>
            </c:strRef>
          </c:tx>
          <c:spPr>
            <a:ln w="28575" cap="rnd">
              <a:solidFill>
                <a:schemeClr val="accent5"/>
              </a:solidFill>
              <a:round/>
            </a:ln>
            <a:effectLst/>
          </c:spPr>
          <c:marker>
            <c:symbol val="none"/>
          </c:marker>
          <c:cat>
            <c:strRef>
              <c:f>Sheet4!$B$1:$F$1</c:f>
              <c:strCache>
                <c:ptCount val="5"/>
                <c:pt idx="0">
                  <c:v>2017.</c:v>
                </c:pt>
                <c:pt idx="1">
                  <c:v>2018.</c:v>
                </c:pt>
                <c:pt idx="2">
                  <c:v>2019.</c:v>
                </c:pt>
                <c:pt idx="3">
                  <c:v>2020.</c:v>
                </c:pt>
                <c:pt idx="4">
                  <c:v>2021.</c:v>
                </c:pt>
              </c:strCache>
            </c:strRef>
          </c:cat>
          <c:val>
            <c:numRef>
              <c:f>Sheet4!$B$6:$F$6</c:f>
              <c:numCache>
                <c:formatCode>0.0000</c:formatCode>
                <c:ptCount val="5"/>
                <c:pt idx="0">
                  <c:v>6.4999999999999997E-4</c:v>
                </c:pt>
                <c:pt idx="1">
                  <c:v>1.1100000000000001E-3</c:v>
                </c:pt>
                <c:pt idx="2">
                  <c:v>1.6000000000000001E-4</c:v>
                </c:pt>
                <c:pt idx="3">
                  <c:v>0</c:v>
                </c:pt>
                <c:pt idx="4">
                  <c:v>0</c:v>
                </c:pt>
              </c:numCache>
            </c:numRef>
          </c:val>
          <c:smooth val="0"/>
          <c:extLst>
            <c:ext xmlns:c16="http://schemas.microsoft.com/office/drawing/2014/chart" uri="{C3380CC4-5D6E-409C-BE32-E72D297353CC}">
              <c16:uniqueId val="{00000004-04C1-442C-9E0E-CB4C772AD12D}"/>
            </c:ext>
          </c:extLst>
        </c:ser>
        <c:ser>
          <c:idx val="5"/>
          <c:order val="5"/>
          <c:tx>
            <c:strRef>
              <c:f>Sheet4!$A$7</c:f>
              <c:strCache>
                <c:ptCount val="1"/>
                <c:pt idx="0">
                  <c:v>Endrin</c:v>
                </c:pt>
              </c:strCache>
            </c:strRef>
          </c:tx>
          <c:spPr>
            <a:ln w="28575" cap="rnd">
              <a:solidFill>
                <a:schemeClr val="accent2"/>
              </a:solidFill>
              <a:round/>
            </a:ln>
            <a:effectLst/>
          </c:spPr>
          <c:marker>
            <c:symbol val="none"/>
          </c:marker>
          <c:cat>
            <c:strRef>
              <c:f>Sheet4!$B$1:$F$1</c:f>
              <c:strCache>
                <c:ptCount val="5"/>
                <c:pt idx="0">
                  <c:v>2017.</c:v>
                </c:pt>
                <c:pt idx="1">
                  <c:v>2018.</c:v>
                </c:pt>
                <c:pt idx="2">
                  <c:v>2019.</c:v>
                </c:pt>
                <c:pt idx="3">
                  <c:v>2020.</c:v>
                </c:pt>
                <c:pt idx="4">
                  <c:v>2021.</c:v>
                </c:pt>
              </c:strCache>
            </c:strRef>
          </c:cat>
          <c:val>
            <c:numRef>
              <c:f>Sheet4!$B$7:$F$7</c:f>
              <c:numCache>
                <c:formatCode>0.0000</c:formatCode>
                <c:ptCount val="5"/>
                <c:pt idx="0">
                  <c:v>6.9999999999999994E-5</c:v>
                </c:pt>
                <c:pt idx="1">
                  <c:v>0</c:v>
                </c:pt>
                <c:pt idx="2">
                  <c:v>4.0000000000000003E-5</c:v>
                </c:pt>
                <c:pt idx="3">
                  <c:v>0</c:v>
                </c:pt>
                <c:pt idx="4">
                  <c:v>0</c:v>
                </c:pt>
              </c:numCache>
            </c:numRef>
          </c:val>
          <c:smooth val="0"/>
          <c:extLst>
            <c:ext xmlns:c16="http://schemas.microsoft.com/office/drawing/2014/chart" uri="{C3380CC4-5D6E-409C-BE32-E72D297353CC}">
              <c16:uniqueId val="{00000005-04C1-442C-9E0E-CB4C772AD12D}"/>
            </c:ext>
          </c:extLst>
        </c:ser>
        <c:dLbls>
          <c:showLegendKey val="0"/>
          <c:showVal val="0"/>
          <c:showCatName val="0"/>
          <c:showSerName val="0"/>
          <c:showPercent val="0"/>
          <c:showBubbleSize val="0"/>
        </c:dLbls>
        <c:marker val="1"/>
        <c:smooth val="0"/>
        <c:axId val="1003962128"/>
        <c:axId val="1003964848"/>
      </c:lineChart>
      <c:catAx>
        <c:axId val="106955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69540528"/>
        <c:crosses val="autoZero"/>
        <c:auto val="1"/>
        <c:lblAlgn val="ctr"/>
        <c:lblOffset val="100"/>
        <c:noMultiLvlLbl val="0"/>
      </c:catAx>
      <c:valAx>
        <c:axId val="106954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kg/god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69551408"/>
        <c:crosses val="autoZero"/>
        <c:crossBetween val="between"/>
      </c:valAx>
      <c:valAx>
        <c:axId val="1003964848"/>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000" b="0" i="0" baseline="0">
                    <a:effectLst/>
                  </a:rPr>
                  <a:t>Endosulfan i Endrin</a:t>
                </a:r>
                <a:endParaRPr lang="hr-HR"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pPr>
                <a:r>
                  <a:rPr lang="hr-HR" sz="1000"/>
                  <a:t>(</a:t>
                </a:r>
                <a:r>
                  <a:rPr lang="en-US" sz="1000"/>
                  <a:t>kg/god</a:t>
                </a:r>
                <a:r>
                  <a:rPr lang="hr-HR" sz="1000"/>
                  <a:t>)</a:t>
                </a:r>
                <a:endParaRPr lang="en-US" sz="1000"/>
              </a:p>
            </c:rich>
          </c:tx>
          <c:layout>
            <c:manualLayout>
              <c:xMode val="edge"/>
              <c:yMode val="edge"/>
              <c:x val="0.96865734858110975"/>
              <c:y val="0.2573079947285070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0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03962128"/>
        <c:crosses val="max"/>
        <c:crossBetween val="between"/>
      </c:valAx>
      <c:catAx>
        <c:axId val="1003962128"/>
        <c:scaling>
          <c:orientation val="minMax"/>
        </c:scaling>
        <c:delete val="1"/>
        <c:axPos val="b"/>
        <c:numFmt formatCode="General" sourceLinked="1"/>
        <c:majorTickMark val="out"/>
        <c:minorTickMark val="none"/>
        <c:tickLblPos val="nextTo"/>
        <c:crossAx val="1003964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'OZO + IZVOZ final'!$A$2</c:f>
              <c:strCache>
                <c:ptCount val="1"/>
                <c:pt idx="0">
                  <c:v>Preuzeto  u obradu (t)</c:v>
                </c:pt>
              </c:strCache>
            </c:strRef>
          </c:tx>
          <c:spPr>
            <a:solidFill>
              <a:srgbClr val="0070C0"/>
            </a:solidFill>
            <a:ln>
              <a:noFill/>
            </a:ln>
            <a:effectLst/>
          </c:spPr>
          <c:invertIfNegative val="0"/>
          <c:cat>
            <c:strRef>
              <c:f>'OZO + IZVOZ final'!$B$1:$F$1</c:f>
              <c:strCache>
                <c:ptCount val="5"/>
                <c:pt idx="0">
                  <c:v>2017.</c:v>
                </c:pt>
                <c:pt idx="1">
                  <c:v>2018.</c:v>
                </c:pt>
                <c:pt idx="2">
                  <c:v>2019.</c:v>
                </c:pt>
                <c:pt idx="3">
                  <c:v>2020.</c:v>
                </c:pt>
                <c:pt idx="4">
                  <c:v>2021.</c:v>
                </c:pt>
              </c:strCache>
            </c:strRef>
          </c:cat>
          <c:val>
            <c:numRef>
              <c:f>'OZO + IZVOZ final'!$B$2:$F$2</c:f>
              <c:numCache>
                <c:formatCode>#,##0.00</c:formatCode>
                <c:ptCount val="5"/>
                <c:pt idx="0">
                  <c:v>5658.9269999999997</c:v>
                </c:pt>
                <c:pt idx="1">
                  <c:v>12657.601999999999</c:v>
                </c:pt>
                <c:pt idx="2">
                  <c:v>9895.7530000000006</c:v>
                </c:pt>
                <c:pt idx="3">
                  <c:v>4690.7129999999997</c:v>
                </c:pt>
                <c:pt idx="4">
                  <c:v>4603.6750000000002</c:v>
                </c:pt>
              </c:numCache>
            </c:numRef>
          </c:val>
          <c:extLst>
            <c:ext xmlns:c16="http://schemas.microsoft.com/office/drawing/2014/chart" uri="{C3380CC4-5D6E-409C-BE32-E72D297353CC}">
              <c16:uniqueId val="{00000000-8EEB-49CA-93C1-C7118F7E398A}"/>
            </c:ext>
          </c:extLst>
        </c:ser>
        <c:ser>
          <c:idx val="1"/>
          <c:order val="1"/>
          <c:tx>
            <c:strRef>
              <c:f>'OZO + IZVOZ final'!$A$3</c:f>
              <c:strCache>
                <c:ptCount val="1"/>
                <c:pt idx="0">
                  <c:v>Skladište (t)</c:v>
                </c:pt>
              </c:strCache>
            </c:strRef>
          </c:tx>
          <c:spPr>
            <a:solidFill>
              <a:srgbClr val="FFC000"/>
            </a:solidFill>
            <a:ln>
              <a:noFill/>
            </a:ln>
            <a:effectLst/>
          </c:spPr>
          <c:invertIfNegative val="0"/>
          <c:cat>
            <c:strRef>
              <c:f>'OZO + IZVOZ final'!$B$1:$F$1</c:f>
              <c:strCache>
                <c:ptCount val="5"/>
                <c:pt idx="0">
                  <c:v>2017.</c:v>
                </c:pt>
                <c:pt idx="1">
                  <c:v>2018.</c:v>
                </c:pt>
                <c:pt idx="2">
                  <c:v>2019.</c:v>
                </c:pt>
                <c:pt idx="3">
                  <c:v>2020.</c:v>
                </c:pt>
                <c:pt idx="4">
                  <c:v>2021.</c:v>
                </c:pt>
              </c:strCache>
            </c:strRef>
          </c:cat>
          <c:val>
            <c:numRef>
              <c:f>'OZO + IZVOZ final'!$B$3:$F$3</c:f>
              <c:numCache>
                <c:formatCode>#,##0.00</c:formatCode>
                <c:ptCount val="5"/>
                <c:pt idx="0">
                  <c:v>1778.4749999999999</c:v>
                </c:pt>
                <c:pt idx="1">
                  <c:v>4225.1149999999998</c:v>
                </c:pt>
                <c:pt idx="2">
                  <c:v>5471.8649999999998</c:v>
                </c:pt>
                <c:pt idx="3">
                  <c:v>9306.0149999999994</c:v>
                </c:pt>
                <c:pt idx="4">
                  <c:v>3684.17</c:v>
                </c:pt>
              </c:numCache>
            </c:numRef>
          </c:val>
          <c:extLst>
            <c:ext xmlns:c16="http://schemas.microsoft.com/office/drawing/2014/chart" uri="{C3380CC4-5D6E-409C-BE32-E72D297353CC}">
              <c16:uniqueId val="{00000001-8EEB-49CA-93C1-C7118F7E398A}"/>
            </c:ext>
          </c:extLst>
        </c:ser>
        <c:ser>
          <c:idx val="2"/>
          <c:order val="2"/>
          <c:tx>
            <c:strRef>
              <c:f>'OZO + IZVOZ final'!$A$4</c:f>
              <c:strCache>
                <c:ptCount val="1"/>
                <c:pt idx="0">
                  <c:v>Obrađeno (t)</c:v>
                </c:pt>
              </c:strCache>
            </c:strRef>
          </c:tx>
          <c:spPr>
            <a:solidFill>
              <a:schemeClr val="bg1">
                <a:lumMod val="65000"/>
              </a:schemeClr>
            </a:solidFill>
            <a:ln>
              <a:noFill/>
            </a:ln>
            <a:effectLst/>
          </c:spPr>
          <c:invertIfNegative val="0"/>
          <c:cat>
            <c:strRef>
              <c:f>'OZO + IZVOZ final'!$B$1:$F$1</c:f>
              <c:strCache>
                <c:ptCount val="5"/>
                <c:pt idx="0">
                  <c:v>2017.</c:v>
                </c:pt>
                <c:pt idx="1">
                  <c:v>2018.</c:v>
                </c:pt>
                <c:pt idx="2">
                  <c:v>2019.</c:v>
                </c:pt>
                <c:pt idx="3">
                  <c:v>2020.</c:v>
                </c:pt>
                <c:pt idx="4">
                  <c:v>2021.</c:v>
                </c:pt>
              </c:strCache>
            </c:strRef>
          </c:cat>
          <c:val>
            <c:numRef>
              <c:f>'OZO + IZVOZ final'!$B$4:$F$4</c:f>
              <c:numCache>
                <c:formatCode>#,##0.00</c:formatCode>
                <c:ptCount val="5"/>
                <c:pt idx="0">
                  <c:v>4321.6669999999995</c:v>
                </c:pt>
                <c:pt idx="1">
                  <c:v>10210.962000000001</c:v>
                </c:pt>
                <c:pt idx="2">
                  <c:v>8864.7849999999999</c:v>
                </c:pt>
                <c:pt idx="3">
                  <c:v>5503.5789999999997</c:v>
                </c:pt>
                <c:pt idx="4">
                  <c:v>3351.7449999999999</c:v>
                </c:pt>
              </c:numCache>
            </c:numRef>
          </c:val>
          <c:extLst>
            <c:ext xmlns:c16="http://schemas.microsoft.com/office/drawing/2014/chart" uri="{C3380CC4-5D6E-409C-BE32-E72D297353CC}">
              <c16:uniqueId val="{00000002-8EEB-49CA-93C1-C7118F7E398A}"/>
            </c:ext>
          </c:extLst>
        </c:ser>
        <c:ser>
          <c:idx val="3"/>
          <c:order val="3"/>
          <c:tx>
            <c:strRef>
              <c:f>'OZO + IZVOZ final'!$A$5</c:f>
              <c:strCache>
                <c:ptCount val="1"/>
                <c:pt idx="0">
                  <c:v>Izvoz  (t)</c:v>
                </c:pt>
              </c:strCache>
            </c:strRef>
          </c:tx>
          <c:spPr>
            <a:solidFill>
              <a:srgbClr val="FF0000"/>
            </a:solidFill>
            <a:ln>
              <a:noFill/>
            </a:ln>
            <a:effectLst/>
          </c:spPr>
          <c:invertIfNegative val="0"/>
          <c:cat>
            <c:strRef>
              <c:f>'OZO + IZVOZ final'!$B$1:$F$1</c:f>
              <c:strCache>
                <c:ptCount val="5"/>
                <c:pt idx="0">
                  <c:v>2017.</c:v>
                </c:pt>
                <c:pt idx="1">
                  <c:v>2018.</c:v>
                </c:pt>
                <c:pt idx="2">
                  <c:v>2019.</c:v>
                </c:pt>
                <c:pt idx="3">
                  <c:v>2020.</c:v>
                </c:pt>
                <c:pt idx="4">
                  <c:v>2021.</c:v>
                </c:pt>
              </c:strCache>
            </c:strRef>
          </c:cat>
          <c:val>
            <c:numRef>
              <c:f>'OZO + IZVOZ final'!$B$5:$F$5</c:f>
              <c:numCache>
                <c:formatCode>#,##0.00</c:formatCode>
                <c:ptCount val="5"/>
                <c:pt idx="0">
                  <c:v>500</c:v>
                </c:pt>
                <c:pt idx="1">
                  <c:v>3825.0670000000005</c:v>
                </c:pt>
                <c:pt idx="2">
                  <c:v>1425.0129999999999</c:v>
                </c:pt>
                <c:pt idx="3">
                  <c:v>165.9</c:v>
                </c:pt>
                <c:pt idx="4">
                  <c:v>2952.1350000000002</c:v>
                </c:pt>
              </c:numCache>
            </c:numRef>
          </c:val>
          <c:extLst>
            <c:ext xmlns:c16="http://schemas.microsoft.com/office/drawing/2014/chart" uri="{C3380CC4-5D6E-409C-BE32-E72D297353CC}">
              <c16:uniqueId val="{00000003-8EEB-49CA-93C1-C7118F7E398A}"/>
            </c:ext>
          </c:extLst>
        </c:ser>
        <c:dLbls>
          <c:showLegendKey val="0"/>
          <c:showVal val="0"/>
          <c:showCatName val="0"/>
          <c:showSerName val="0"/>
          <c:showPercent val="0"/>
          <c:showBubbleSize val="0"/>
        </c:dLbls>
        <c:gapWidth val="219"/>
        <c:overlap val="-27"/>
        <c:axId val="1003962672"/>
        <c:axId val="1003951792"/>
      </c:barChart>
      <c:catAx>
        <c:axId val="10039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03951792"/>
        <c:crosses val="autoZero"/>
        <c:auto val="1"/>
        <c:lblAlgn val="ctr"/>
        <c:lblOffset val="100"/>
        <c:noMultiLvlLbl val="0"/>
      </c:catAx>
      <c:valAx>
        <c:axId val="1003951792"/>
        <c:scaling>
          <c:orientation val="minMax"/>
          <c:max val="1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t/god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003962672"/>
        <c:crosses val="autoZero"/>
        <c:crossBetween val="between"/>
        <c:majorUnit val="1000"/>
        <c:minorUnit val="1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4F842D53194438200424CA33C22D2" ma:contentTypeVersion="8" ma:contentTypeDescription="Create a new document." ma:contentTypeScope="" ma:versionID="4c24dd26ece69d1c888339d2b9ac39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68C2-B306-4117-8701-7C3905490C8A}">
  <ds:schemaRefs>
    <ds:schemaRef ds:uri="http://schemas.microsoft.com/sharepoint/v3/contenttype/forms"/>
  </ds:schemaRefs>
</ds:datastoreItem>
</file>

<file path=customXml/itemProps2.xml><?xml version="1.0" encoding="utf-8"?>
<ds:datastoreItem xmlns:ds="http://schemas.openxmlformats.org/officeDocument/2006/customXml" ds:itemID="{21B9F627-AA07-486D-AE75-3BE43A9514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33C300-B5D0-444B-8CB3-D32269B04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4FD3687-24ED-460A-A610-7ADFCF41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68</Pages>
  <Words>23371</Words>
  <Characters>133217</Characters>
  <Application>Microsoft Office Word</Application>
  <DocSecurity>0</DocSecurity>
  <Lines>1110</Lines>
  <Paragraphs>312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MZOPUG</Company>
  <LinksUpToDate>false</LinksUpToDate>
  <CharactersWithSpaces>156276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Nikolina Kuharić</dc:creator>
  <cp:lastModifiedBy>Mario Vujić</cp:lastModifiedBy>
  <cp:revision>6</cp:revision>
  <cp:lastPrinted>2022-04-27T13:16:00Z</cp:lastPrinted>
  <dcterms:created xsi:type="dcterms:W3CDTF">2022-05-19T05:37:00Z</dcterms:created>
  <dcterms:modified xsi:type="dcterms:W3CDTF">2022-05-20T07:07:00Z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0x010100D454F842D53194438200424CA33C22D2</vt:lpwstr>
  </property>
</Properties>
</file>