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C87" w:rsidRPr="00003942" w:rsidRDefault="002D7C87" w:rsidP="002D7C87">
      <w:pPr>
        <w:jc w:val="center"/>
        <w:rPr>
          <w:rFonts w:ascii="Times New Roman" w:hAnsi="Times New Roman" w:cs="Times New Roman"/>
          <w:sz w:val="24"/>
          <w:szCs w:val="24"/>
        </w:rPr>
      </w:pPr>
      <w:bookmarkStart w:id="0" w:name="_Toc105137856"/>
      <w:r w:rsidRPr="00003942">
        <w:rPr>
          <w:rFonts w:ascii="Times New Roman" w:hAnsi="Times New Roman" w:cs="Times New Roman"/>
          <w:noProof/>
          <w:sz w:val="24"/>
          <w:szCs w:val="24"/>
          <w:lang w:eastAsia="hr-HR"/>
        </w:rPr>
        <w:drawing>
          <wp:inline distT="0" distB="0" distL="0" distR="0" wp14:anchorId="49C4DB60" wp14:editId="2020D229">
            <wp:extent cx="504825" cy="685800"/>
            <wp:effectExtent l="0" t="0" r="952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rsidR="002D7C87" w:rsidRPr="00F63D65" w:rsidRDefault="002D7C87" w:rsidP="002D7C87">
      <w:pPr>
        <w:pBdr>
          <w:bottom w:val="single" w:sz="12" w:space="1" w:color="auto"/>
        </w:pBdr>
        <w:spacing w:beforeLines="120" w:before="288"/>
        <w:contextualSpacing/>
        <w:jc w:val="center"/>
        <w:rPr>
          <w:rFonts w:ascii="Times New Roman" w:hAnsi="Times New Roman" w:cs="Times New Roman"/>
          <w:b/>
          <w:sz w:val="24"/>
          <w:szCs w:val="24"/>
        </w:rPr>
      </w:pPr>
      <w:r w:rsidRPr="00F63D65">
        <w:rPr>
          <w:rFonts w:ascii="Times New Roman" w:hAnsi="Times New Roman" w:cs="Times New Roman"/>
          <w:b/>
          <w:sz w:val="24"/>
          <w:szCs w:val="24"/>
        </w:rPr>
        <w:tab/>
        <w:t>MINISTARSTVO GOSPODARSTVA I ODRŽIVOG RAZVOJA</w:t>
      </w:r>
    </w:p>
    <w:p w:rsidR="002D7C87" w:rsidRPr="008609F9" w:rsidRDefault="002D7C87" w:rsidP="002D7C87">
      <w:pPr>
        <w:spacing w:beforeLines="120" w:before="288"/>
        <w:contextualSpacing/>
        <w:jc w:val="right"/>
        <w:rPr>
          <w:rFonts w:ascii="Times New Roman" w:hAnsi="Times New Roman" w:cs="Times New Roman"/>
          <w:b/>
          <w:sz w:val="24"/>
          <w:szCs w:val="24"/>
        </w:rPr>
      </w:pPr>
      <w:r w:rsidRPr="008609F9">
        <w:rPr>
          <w:rFonts w:ascii="Times New Roman" w:hAnsi="Times New Roman" w:cs="Times New Roman"/>
          <w:b/>
          <w:sz w:val="24"/>
          <w:szCs w:val="24"/>
        </w:rPr>
        <w:tab/>
      </w:r>
      <w:r w:rsidRPr="008609F9">
        <w:rPr>
          <w:rFonts w:ascii="Times New Roman" w:hAnsi="Times New Roman" w:cs="Times New Roman"/>
          <w:b/>
          <w:sz w:val="24"/>
          <w:szCs w:val="24"/>
        </w:rPr>
        <w:tab/>
      </w:r>
      <w:r w:rsidRPr="008609F9">
        <w:rPr>
          <w:rFonts w:ascii="Times New Roman" w:hAnsi="Times New Roman" w:cs="Times New Roman"/>
          <w:b/>
          <w:sz w:val="24"/>
          <w:szCs w:val="24"/>
        </w:rPr>
        <w:tab/>
      </w:r>
      <w:r w:rsidRPr="008609F9">
        <w:rPr>
          <w:rFonts w:ascii="Times New Roman" w:hAnsi="Times New Roman" w:cs="Times New Roman"/>
          <w:b/>
          <w:sz w:val="24"/>
          <w:szCs w:val="24"/>
        </w:rPr>
        <w:tab/>
      </w:r>
      <w:r w:rsidRPr="008609F9">
        <w:rPr>
          <w:rFonts w:ascii="Times New Roman" w:hAnsi="Times New Roman" w:cs="Times New Roman"/>
          <w:b/>
          <w:sz w:val="24"/>
          <w:szCs w:val="24"/>
        </w:rPr>
        <w:tab/>
      </w:r>
      <w:r w:rsidRPr="008609F9">
        <w:rPr>
          <w:rFonts w:ascii="Times New Roman" w:hAnsi="Times New Roman" w:cs="Times New Roman"/>
          <w:b/>
          <w:sz w:val="24"/>
          <w:szCs w:val="24"/>
        </w:rPr>
        <w:tab/>
      </w:r>
      <w:r w:rsidRPr="008609F9">
        <w:rPr>
          <w:rFonts w:ascii="Times New Roman" w:hAnsi="Times New Roman" w:cs="Times New Roman"/>
          <w:b/>
          <w:sz w:val="24"/>
          <w:szCs w:val="24"/>
        </w:rPr>
        <w:tab/>
      </w:r>
      <w:r w:rsidRPr="008609F9">
        <w:rPr>
          <w:rFonts w:ascii="Times New Roman" w:hAnsi="Times New Roman" w:cs="Times New Roman"/>
          <w:b/>
          <w:sz w:val="24"/>
          <w:szCs w:val="24"/>
        </w:rPr>
        <w:tab/>
      </w:r>
      <w:r w:rsidRPr="008609F9">
        <w:rPr>
          <w:rFonts w:ascii="Times New Roman" w:hAnsi="Times New Roman" w:cs="Times New Roman"/>
          <w:b/>
          <w:sz w:val="24"/>
          <w:szCs w:val="24"/>
        </w:rPr>
        <w:tab/>
      </w:r>
      <w:r w:rsidRPr="008609F9">
        <w:rPr>
          <w:rFonts w:ascii="Times New Roman" w:hAnsi="Times New Roman" w:cs="Times New Roman"/>
          <w:b/>
          <w:sz w:val="24"/>
          <w:szCs w:val="24"/>
        </w:rPr>
        <w:tab/>
        <w:t>NACRT</w:t>
      </w:r>
    </w:p>
    <w:p w:rsidR="002D7C87" w:rsidRPr="00387E05" w:rsidRDefault="002D7C87" w:rsidP="002D7C87">
      <w:pPr>
        <w:rPr>
          <w:rFonts w:ascii="Times New Roman" w:hAnsi="Times New Roman" w:cs="Times New Roman"/>
          <w:sz w:val="24"/>
          <w:szCs w:val="24"/>
        </w:rPr>
      </w:pPr>
    </w:p>
    <w:p w:rsidR="002D7C87" w:rsidRPr="0024150C" w:rsidRDefault="002D7C87" w:rsidP="002D7C87">
      <w:pPr>
        <w:rPr>
          <w:rFonts w:ascii="Times New Roman" w:hAnsi="Times New Roman" w:cs="Times New Roman"/>
          <w:sz w:val="24"/>
          <w:szCs w:val="24"/>
        </w:rPr>
      </w:pPr>
    </w:p>
    <w:p w:rsidR="002D7C87" w:rsidRPr="0024150C" w:rsidRDefault="002D7C87" w:rsidP="002D7C87">
      <w:pPr>
        <w:rPr>
          <w:rFonts w:ascii="Times New Roman" w:hAnsi="Times New Roman" w:cs="Times New Roman"/>
          <w:sz w:val="24"/>
          <w:szCs w:val="24"/>
        </w:rPr>
      </w:pPr>
    </w:p>
    <w:p w:rsidR="0058332E" w:rsidRPr="00331C56" w:rsidRDefault="0058332E" w:rsidP="002D7C87">
      <w:pPr>
        <w:rPr>
          <w:rFonts w:ascii="Times New Roman" w:hAnsi="Times New Roman" w:cs="Times New Roman"/>
          <w:sz w:val="24"/>
          <w:szCs w:val="24"/>
        </w:rPr>
      </w:pPr>
    </w:p>
    <w:p w:rsidR="0058332E" w:rsidRPr="00331C56" w:rsidRDefault="0058332E" w:rsidP="002D7C87">
      <w:pPr>
        <w:rPr>
          <w:rFonts w:ascii="Times New Roman" w:hAnsi="Times New Roman" w:cs="Times New Roman"/>
          <w:sz w:val="24"/>
          <w:szCs w:val="24"/>
        </w:rPr>
      </w:pPr>
    </w:p>
    <w:p w:rsidR="0058332E" w:rsidRPr="00331C56" w:rsidRDefault="0058332E" w:rsidP="002D7C87">
      <w:pPr>
        <w:rPr>
          <w:rFonts w:ascii="Times New Roman" w:hAnsi="Times New Roman" w:cs="Times New Roman"/>
          <w:sz w:val="24"/>
          <w:szCs w:val="24"/>
        </w:rPr>
      </w:pPr>
    </w:p>
    <w:p w:rsidR="0058332E" w:rsidRPr="00331C56" w:rsidRDefault="0058332E" w:rsidP="002D7C87">
      <w:pPr>
        <w:rPr>
          <w:rFonts w:ascii="Times New Roman" w:hAnsi="Times New Roman" w:cs="Times New Roman"/>
          <w:sz w:val="24"/>
          <w:szCs w:val="24"/>
        </w:rPr>
      </w:pPr>
    </w:p>
    <w:p w:rsidR="0058332E" w:rsidRPr="00331C56" w:rsidRDefault="0058332E" w:rsidP="002D7C87">
      <w:pPr>
        <w:rPr>
          <w:rFonts w:ascii="Times New Roman" w:hAnsi="Times New Roman" w:cs="Times New Roman"/>
          <w:sz w:val="24"/>
          <w:szCs w:val="24"/>
        </w:rPr>
      </w:pPr>
    </w:p>
    <w:p w:rsidR="0058332E" w:rsidRPr="00331C56" w:rsidRDefault="0058332E" w:rsidP="002D7C87">
      <w:pPr>
        <w:rPr>
          <w:rFonts w:ascii="Times New Roman" w:hAnsi="Times New Roman" w:cs="Times New Roman"/>
          <w:sz w:val="24"/>
          <w:szCs w:val="24"/>
        </w:rPr>
      </w:pPr>
    </w:p>
    <w:p w:rsidR="0058332E" w:rsidRPr="00331C56" w:rsidRDefault="0058332E" w:rsidP="002D7C87">
      <w:pPr>
        <w:rPr>
          <w:rFonts w:ascii="Times New Roman" w:hAnsi="Times New Roman" w:cs="Times New Roman"/>
          <w:sz w:val="24"/>
          <w:szCs w:val="24"/>
        </w:rPr>
      </w:pPr>
    </w:p>
    <w:p w:rsidR="0058332E" w:rsidRPr="00222A78" w:rsidRDefault="0058332E" w:rsidP="002D7C87">
      <w:pPr>
        <w:rPr>
          <w:rFonts w:ascii="Times New Roman" w:hAnsi="Times New Roman" w:cs="Times New Roman"/>
          <w:sz w:val="24"/>
          <w:szCs w:val="24"/>
        </w:rPr>
      </w:pPr>
    </w:p>
    <w:p w:rsidR="0058332E" w:rsidRPr="00192851" w:rsidRDefault="0058332E" w:rsidP="002D7C87">
      <w:pPr>
        <w:rPr>
          <w:rFonts w:ascii="Times New Roman" w:hAnsi="Times New Roman" w:cs="Times New Roman"/>
          <w:sz w:val="24"/>
          <w:szCs w:val="24"/>
        </w:rPr>
      </w:pPr>
    </w:p>
    <w:p w:rsidR="002D7C87" w:rsidRPr="00192851" w:rsidRDefault="002D7C87" w:rsidP="002D7C87">
      <w:pPr>
        <w:jc w:val="center"/>
        <w:rPr>
          <w:rFonts w:ascii="Times New Roman" w:hAnsi="Times New Roman" w:cs="Times New Roman"/>
          <w:b/>
          <w:sz w:val="24"/>
          <w:szCs w:val="24"/>
        </w:rPr>
      </w:pPr>
      <w:r w:rsidRPr="00192851">
        <w:rPr>
          <w:rFonts w:ascii="Times New Roman" w:hAnsi="Times New Roman" w:cs="Times New Roman"/>
          <w:b/>
          <w:sz w:val="24"/>
          <w:szCs w:val="24"/>
        </w:rPr>
        <w:t>PROCJENA S PREPORUKAMA ZA UKLANJANJE PREPREKA I RASTEREĆENJE ADMINISTRATIVNIH POSTUPAKA KOJI OGRANIČAVAJU VEĆE KORIŠTENJE ENERGIJE IZ OBNOVLJIVIH IZVORA</w:t>
      </w:r>
    </w:p>
    <w:p w:rsidR="002D7C87" w:rsidRPr="00003942" w:rsidRDefault="002D7C87" w:rsidP="002D7C87">
      <w:pPr>
        <w:jc w:val="center"/>
        <w:rPr>
          <w:rFonts w:ascii="Times New Roman" w:hAnsi="Times New Roman" w:cs="Times New Roman"/>
          <w:b/>
          <w:sz w:val="24"/>
          <w:szCs w:val="24"/>
        </w:rPr>
      </w:pPr>
    </w:p>
    <w:p w:rsidR="0058332E" w:rsidRPr="00003942" w:rsidRDefault="0058332E" w:rsidP="002D7C87">
      <w:pPr>
        <w:jc w:val="center"/>
        <w:rPr>
          <w:rFonts w:ascii="Times New Roman" w:hAnsi="Times New Roman" w:cs="Times New Roman"/>
          <w:b/>
          <w:sz w:val="24"/>
          <w:szCs w:val="24"/>
        </w:rPr>
      </w:pPr>
    </w:p>
    <w:p w:rsidR="0058332E" w:rsidRPr="00003942" w:rsidRDefault="0058332E" w:rsidP="002D7C87">
      <w:pPr>
        <w:jc w:val="center"/>
        <w:rPr>
          <w:rFonts w:ascii="Times New Roman" w:hAnsi="Times New Roman" w:cs="Times New Roman"/>
          <w:b/>
          <w:sz w:val="24"/>
          <w:szCs w:val="24"/>
        </w:rPr>
      </w:pPr>
    </w:p>
    <w:p w:rsidR="0058332E" w:rsidRPr="00003942" w:rsidRDefault="0058332E" w:rsidP="002D7C87">
      <w:pPr>
        <w:jc w:val="center"/>
        <w:rPr>
          <w:rFonts w:ascii="Times New Roman" w:hAnsi="Times New Roman" w:cs="Times New Roman"/>
          <w:b/>
          <w:sz w:val="24"/>
          <w:szCs w:val="24"/>
        </w:rPr>
      </w:pPr>
    </w:p>
    <w:p w:rsidR="0058332E" w:rsidRPr="00003942" w:rsidRDefault="0058332E" w:rsidP="002D7C87">
      <w:pPr>
        <w:jc w:val="center"/>
        <w:rPr>
          <w:rFonts w:ascii="Times New Roman" w:hAnsi="Times New Roman" w:cs="Times New Roman"/>
          <w:b/>
          <w:sz w:val="24"/>
          <w:szCs w:val="24"/>
        </w:rPr>
      </w:pPr>
    </w:p>
    <w:p w:rsidR="0058332E" w:rsidRPr="00003942" w:rsidRDefault="0058332E" w:rsidP="002D7C87">
      <w:pPr>
        <w:jc w:val="center"/>
        <w:rPr>
          <w:rFonts w:ascii="Times New Roman" w:hAnsi="Times New Roman" w:cs="Times New Roman"/>
          <w:b/>
          <w:sz w:val="24"/>
          <w:szCs w:val="24"/>
        </w:rPr>
      </w:pPr>
    </w:p>
    <w:p w:rsidR="0058332E" w:rsidRPr="00003942" w:rsidRDefault="0058332E" w:rsidP="002D7C87">
      <w:pPr>
        <w:jc w:val="center"/>
        <w:rPr>
          <w:rFonts w:ascii="Times New Roman" w:hAnsi="Times New Roman" w:cs="Times New Roman"/>
          <w:b/>
          <w:sz w:val="24"/>
          <w:szCs w:val="24"/>
        </w:rPr>
      </w:pPr>
    </w:p>
    <w:p w:rsidR="0058332E" w:rsidRDefault="0058332E" w:rsidP="002D7C87">
      <w:pPr>
        <w:jc w:val="center"/>
        <w:rPr>
          <w:rFonts w:ascii="Times New Roman" w:hAnsi="Times New Roman" w:cs="Times New Roman"/>
          <w:b/>
          <w:sz w:val="24"/>
          <w:szCs w:val="24"/>
        </w:rPr>
      </w:pPr>
    </w:p>
    <w:p w:rsidR="00003942" w:rsidRDefault="00003942" w:rsidP="002D7C87">
      <w:pPr>
        <w:jc w:val="center"/>
        <w:rPr>
          <w:rFonts w:ascii="Times New Roman" w:hAnsi="Times New Roman" w:cs="Times New Roman"/>
          <w:b/>
          <w:sz w:val="24"/>
          <w:szCs w:val="24"/>
        </w:rPr>
      </w:pPr>
    </w:p>
    <w:p w:rsidR="00003942" w:rsidRDefault="00003942" w:rsidP="002D7C87">
      <w:pPr>
        <w:jc w:val="center"/>
        <w:rPr>
          <w:rFonts w:ascii="Times New Roman" w:hAnsi="Times New Roman" w:cs="Times New Roman"/>
          <w:b/>
          <w:sz w:val="24"/>
          <w:szCs w:val="24"/>
        </w:rPr>
      </w:pPr>
    </w:p>
    <w:p w:rsidR="00003942" w:rsidRPr="00003942" w:rsidRDefault="00003942" w:rsidP="002D7C87">
      <w:pPr>
        <w:jc w:val="center"/>
        <w:rPr>
          <w:rFonts w:ascii="Times New Roman" w:hAnsi="Times New Roman" w:cs="Times New Roman"/>
          <w:b/>
          <w:sz w:val="24"/>
          <w:szCs w:val="24"/>
        </w:rPr>
      </w:pPr>
    </w:p>
    <w:p w:rsidR="0058332E" w:rsidRPr="00003942" w:rsidRDefault="0058332E" w:rsidP="002D7C87">
      <w:pPr>
        <w:jc w:val="center"/>
        <w:rPr>
          <w:rFonts w:ascii="Times New Roman" w:hAnsi="Times New Roman" w:cs="Times New Roman"/>
          <w:b/>
          <w:sz w:val="24"/>
          <w:szCs w:val="24"/>
        </w:rPr>
      </w:pPr>
    </w:p>
    <w:p w:rsidR="0058332E" w:rsidRPr="00F63D65" w:rsidRDefault="0058332E" w:rsidP="002D7C87">
      <w:pPr>
        <w:jc w:val="center"/>
        <w:rPr>
          <w:rFonts w:ascii="Times New Roman" w:hAnsi="Times New Roman" w:cs="Times New Roman"/>
          <w:b/>
          <w:sz w:val="24"/>
          <w:szCs w:val="24"/>
        </w:rPr>
      </w:pPr>
    </w:p>
    <w:p w:rsidR="0058332E" w:rsidRPr="00596944" w:rsidRDefault="0058332E" w:rsidP="002D7C87">
      <w:pPr>
        <w:jc w:val="center"/>
        <w:rPr>
          <w:rFonts w:ascii="Times New Roman" w:hAnsi="Times New Roman" w:cs="Times New Roman"/>
          <w:b/>
          <w:sz w:val="24"/>
          <w:szCs w:val="24"/>
        </w:rPr>
      </w:pPr>
    </w:p>
    <w:p w:rsidR="002D7C87" w:rsidRPr="008609F9" w:rsidRDefault="002D7C87" w:rsidP="002D7C87">
      <w:pPr>
        <w:jc w:val="center"/>
        <w:rPr>
          <w:rFonts w:ascii="Times New Roman" w:hAnsi="Times New Roman" w:cs="Times New Roman"/>
          <w:b/>
          <w:sz w:val="24"/>
          <w:szCs w:val="24"/>
        </w:rPr>
      </w:pPr>
    </w:p>
    <w:p w:rsidR="0058332E" w:rsidRPr="0024150C" w:rsidRDefault="0058332E" w:rsidP="000C5A18">
      <w:pPr>
        <w:jc w:val="center"/>
        <w:rPr>
          <w:rFonts w:ascii="Times New Roman" w:hAnsi="Times New Roman" w:cs="Times New Roman"/>
          <w:sz w:val="24"/>
          <w:szCs w:val="24"/>
          <w:lang w:eastAsia="hr-HR"/>
        </w:rPr>
      </w:pPr>
      <w:r w:rsidRPr="008609F9">
        <w:rPr>
          <w:rFonts w:ascii="Times New Roman" w:hAnsi="Times New Roman" w:cs="Times New Roman"/>
          <w:sz w:val="24"/>
          <w:szCs w:val="24"/>
        </w:rPr>
        <w:lastRenderedPageBreak/>
        <w:t>Lipanj 2022</w:t>
      </w:r>
      <w:r w:rsidRPr="00387E05">
        <w:rPr>
          <w:rFonts w:ascii="Times New Roman" w:hAnsi="Times New Roman" w:cs="Times New Roman"/>
          <w:sz w:val="24"/>
          <w:szCs w:val="24"/>
        </w:rPr>
        <w:t>.</w:t>
      </w:r>
    </w:p>
    <w:sdt>
      <w:sdtPr>
        <w:rPr>
          <w:rFonts w:ascii="Times New Roman" w:hAnsi="Times New Roman" w:cs="Times New Roman"/>
          <w:b/>
          <w:bCs/>
          <w:i/>
          <w:sz w:val="24"/>
          <w:szCs w:val="24"/>
        </w:rPr>
        <w:id w:val="2079244484"/>
        <w:docPartObj>
          <w:docPartGallery w:val="Table of Contents"/>
          <w:docPartUnique/>
        </w:docPartObj>
      </w:sdtPr>
      <w:sdtEndPr>
        <w:rPr>
          <w:rFonts w:asciiTheme="minorHAnsi" w:hAnsiTheme="minorHAnsi"/>
          <w:b w:val="0"/>
          <w:i w:val="0"/>
          <w:sz w:val="22"/>
        </w:rPr>
      </w:sdtEndPr>
      <w:sdtContent>
        <w:p w:rsidR="00192851" w:rsidRPr="00CB389A" w:rsidRDefault="007951C4" w:rsidP="00CB389A">
          <w:pPr>
            <w:rPr>
              <w:rFonts w:ascii="Times New Roman" w:hAnsi="Times New Roman" w:cs="Times New Roman"/>
              <w:b/>
              <w:bCs/>
              <w:sz w:val="24"/>
              <w:szCs w:val="24"/>
            </w:rPr>
          </w:pPr>
          <w:r w:rsidRPr="00CB389A">
            <w:rPr>
              <w:rFonts w:ascii="Times New Roman" w:hAnsi="Times New Roman" w:cs="Times New Roman"/>
              <w:b/>
              <w:bCs/>
              <w:sz w:val="24"/>
              <w:szCs w:val="24"/>
            </w:rPr>
            <w:t>SADRŽAJ</w:t>
          </w:r>
          <w:r w:rsidR="00CB389A">
            <w:rPr>
              <w:rFonts w:ascii="Times New Roman" w:hAnsi="Times New Roman" w:cs="Times New Roman"/>
              <w:b/>
              <w:bCs/>
              <w:sz w:val="24"/>
              <w:szCs w:val="24"/>
            </w:rPr>
            <w:t>:</w:t>
          </w:r>
        </w:p>
        <w:p w:rsidR="00192851" w:rsidRPr="00D70CC4" w:rsidRDefault="00192851" w:rsidP="00530661">
          <w:pPr>
            <w:pStyle w:val="Sadraj2"/>
          </w:pPr>
        </w:p>
        <w:p w:rsidR="00206B81" w:rsidRDefault="00192851">
          <w:pPr>
            <w:pStyle w:val="Sadraj1"/>
            <w:rPr>
              <w:rFonts w:asciiTheme="minorHAnsi" w:eastAsiaTheme="minorEastAsia" w:hAnsiTheme="minorHAnsi" w:cstheme="minorBidi"/>
              <w:b w:val="0"/>
              <w:caps w:val="0"/>
              <w:sz w:val="22"/>
              <w:lang w:eastAsia="hr-HR"/>
            </w:rPr>
          </w:pPr>
          <w:r w:rsidRPr="00D70CC4">
            <w:rPr>
              <w:rFonts w:cs="Times New Roman"/>
              <w:b w:val="0"/>
              <w:szCs w:val="24"/>
            </w:rPr>
            <w:fldChar w:fldCharType="begin"/>
          </w:r>
          <w:r w:rsidRPr="00D70CC4">
            <w:rPr>
              <w:rFonts w:cs="Times New Roman"/>
              <w:b w:val="0"/>
              <w:szCs w:val="24"/>
            </w:rPr>
            <w:instrText xml:space="preserve"> TOC \o "1-3" \h \z \u </w:instrText>
          </w:r>
          <w:r w:rsidRPr="00D70CC4">
            <w:rPr>
              <w:rFonts w:cs="Times New Roman"/>
              <w:b w:val="0"/>
              <w:szCs w:val="24"/>
            </w:rPr>
            <w:fldChar w:fldCharType="separate"/>
          </w:r>
          <w:hyperlink w:anchor="_Toc105973463" w:history="1">
            <w:r w:rsidR="00206B81" w:rsidRPr="007F484F">
              <w:rPr>
                <w:rStyle w:val="Hiperveza"/>
              </w:rPr>
              <w:t>POPIS KRATICA</w:t>
            </w:r>
            <w:r w:rsidR="00206B81">
              <w:rPr>
                <w:webHidden/>
              </w:rPr>
              <w:tab/>
            </w:r>
            <w:r w:rsidR="00206B81">
              <w:rPr>
                <w:webHidden/>
              </w:rPr>
              <w:fldChar w:fldCharType="begin"/>
            </w:r>
            <w:r w:rsidR="00206B81">
              <w:rPr>
                <w:webHidden/>
              </w:rPr>
              <w:instrText xml:space="preserve"> PAGEREF _Toc105973463 \h </w:instrText>
            </w:r>
            <w:r w:rsidR="00206B81">
              <w:rPr>
                <w:webHidden/>
              </w:rPr>
            </w:r>
            <w:r w:rsidR="00206B81">
              <w:rPr>
                <w:webHidden/>
              </w:rPr>
              <w:fldChar w:fldCharType="separate"/>
            </w:r>
            <w:r w:rsidR="009C3921">
              <w:rPr>
                <w:webHidden/>
              </w:rPr>
              <w:t>5</w:t>
            </w:r>
            <w:r w:rsidR="00206B81">
              <w:rPr>
                <w:webHidden/>
              </w:rPr>
              <w:fldChar w:fldCharType="end"/>
            </w:r>
          </w:hyperlink>
        </w:p>
        <w:p w:rsidR="00206B81" w:rsidRDefault="009C3921">
          <w:pPr>
            <w:pStyle w:val="Sadraj1"/>
            <w:rPr>
              <w:rFonts w:asciiTheme="minorHAnsi" w:eastAsiaTheme="minorEastAsia" w:hAnsiTheme="minorHAnsi" w:cstheme="minorBidi"/>
              <w:b w:val="0"/>
              <w:caps w:val="0"/>
              <w:sz w:val="22"/>
              <w:lang w:eastAsia="hr-HR"/>
            </w:rPr>
          </w:pPr>
          <w:hyperlink w:anchor="_Toc105973464" w:history="1">
            <w:r w:rsidR="00206B81" w:rsidRPr="007F484F">
              <w:rPr>
                <w:rStyle w:val="Hiperveza"/>
              </w:rPr>
              <w:t>PROJEKTNI ZADATAK I OPIS AKTIVNOSTI</w:t>
            </w:r>
            <w:r w:rsidR="00206B81">
              <w:rPr>
                <w:webHidden/>
              </w:rPr>
              <w:tab/>
            </w:r>
            <w:r w:rsidR="00206B81">
              <w:rPr>
                <w:webHidden/>
              </w:rPr>
              <w:fldChar w:fldCharType="begin"/>
            </w:r>
            <w:r w:rsidR="00206B81">
              <w:rPr>
                <w:webHidden/>
              </w:rPr>
              <w:instrText xml:space="preserve"> PAGEREF _Toc105973464 \h </w:instrText>
            </w:r>
            <w:r w:rsidR="00206B81">
              <w:rPr>
                <w:webHidden/>
              </w:rPr>
            </w:r>
            <w:r w:rsidR="00206B81">
              <w:rPr>
                <w:webHidden/>
              </w:rPr>
              <w:fldChar w:fldCharType="separate"/>
            </w:r>
            <w:r>
              <w:rPr>
                <w:webHidden/>
              </w:rPr>
              <w:t>6</w:t>
            </w:r>
            <w:r w:rsidR="00206B81">
              <w:rPr>
                <w:webHidden/>
              </w:rPr>
              <w:fldChar w:fldCharType="end"/>
            </w:r>
          </w:hyperlink>
        </w:p>
        <w:p w:rsidR="00206B81" w:rsidRDefault="009C3921">
          <w:pPr>
            <w:pStyle w:val="Sadraj1"/>
            <w:rPr>
              <w:rFonts w:asciiTheme="minorHAnsi" w:eastAsiaTheme="minorEastAsia" w:hAnsiTheme="minorHAnsi" w:cstheme="minorBidi"/>
              <w:b w:val="0"/>
              <w:caps w:val="0"/>
              <w:sz w:val="22"/>
              <w:lang w:eastAsia="hr-HR"/>
            </w:rPr>
          </w:pPr>
          <w:hyperlink w:anchor="_Toc105973465" w:history="1">
            <w:r w:rsidR="00206B81" w:rsidRPr="007F484F">
              <w:rPr>
                <w:rStyle w:val="Hiperveza"/>
              </w:rPr>
              <w:t>UVOD</w:t>
            </w:r>
            <w:r w:rsidR="00206B81">
              <w:rPr>
                <w:webHidden/>
              </w:rPr>
              <w:tab/>
            </w:r>
            <w:r w:rsidR="00206B81">
              <w:rPr>
                <w:webHidden/>
              </w:rPr>
              <w:fldChar w:fldCharType="begin"/>
            </w:r>
            <w:r w:rsidR="00206B81">
              <w:rPr>
                <w:webHidden/>
              </w:rPr>
              <w:instrText xml:space="preserve"> PAGEREF _Toc105973465 \h </w:instrText>
            </w:r>
            <w:r w:rsidR="00206B81">
              <w:rPr>
                <w:webHidden/>
              </w:rPr>
            </w:r>
            <w:r w:rsidR="00206B81">
              <w:rPr>
                <w:webHidden/>
              </w:rPr>
              <w:fldChar w:fldCharType="separate"/>
            </w:r>
            <w:r>
              <w:rPr>
                <w:webHidden/>
              </w:rPr>
              <w:t>7</w:t>
            </w:r>
            <w:r w:rsidR="00206B81">
              <w:rPr>
                <w:webHidden/>
              </w:rPr>
              <w:fldChar w:fldCharType="end"/>
            </w:r>
          </w:hyperlink>
        </w:p>
        <w:p w:rsidR="00206B81" w:rsidRDefault="009C3921">
          <w:pPr>
            <w:pStyle w:val="Sadraj1"/>
            <w:rPr>
              <w:rFonts w:asciiTheme="minorHAnsi" w:eastAsiaTheme="minorEastAsia" w:hAnsiTheme="minorHAnsi" w:cstheme="minorBidi"/>
              <w:b w:val="0"/>
              <w:caps w:val="0"/>
              <w:sz w:val="22"/>
              <w:lang w:eastAsia="hr-HR"/>
            </w:rPr>
          </w:pPr>
          <w:hyperlink w:anchor="_Toc105973466" w:history="1">
            <w:r w:rsidR="00206B81" w:rsidRPr="007F484F">
              <w:rPr>
                <w:rStyle w:val="Hiperveza"/>
              </w:rPr>
              <w:t>POSTOJEĆE STANJE, POTENCIJALNE PREPREKE I PREPORUKE ZA NJIHOVO UKLANJANJE</w:t>
            </w:r>
            <w:r w:rsidR="00206B81">
              <w:rPr>
                <w:webHidden/>
              </w:rPr>
              <w:tab/>
            </w:r>
            <w:r w:rsidR="00206B81">
              <w:rPr>
                <w:webHidden/>
              </w:rPr>
              <w:fldChar w:fldCharType="begin"/>
            </w:r>
            <w:r w:rsidR="00206B81">
              <w:rPr>
                <w:webHidden/>
              </w:rPr>
              <w:instrText xml:space="preserve"> PAGEREF _Toc105973466 \h </w:instrText>
            </w:r>
            <w:r w:rsidR="00206B81">
              <w:rPr>
                <w:webHidden/>
              </w:rPr>
            </w:r>
            <w:r w:rsidR="00206B81">
              <w:rPr>
                <w:webHidden/>
              </w:rPr>
              <w:fldChar w:fldCharType="separate"/>
            </w:r>
            <w:r>
              <w:rPr>
                <w:webHidden/>
              </w:rPr>
              <w:t>9</w:t>
            </w:r>
            <w:r w:rsidR="00206B81">
              <w:rPr>
                <w:webHidden/>
              </w:rPr>
              <w:fldChar w:fldCharType="end"/>
            </w:r>
          </w:hyperlink>
        </w:p>
        <w:p w:rsidR="00206B81" w:rsidRDefault="009C3921">
          <w:pPr>
            <w:pStyle w:val="Sadraj2"/>
            <w:rPr>
              <w:rFonts w:asciiTheme="minorHAnsi" w:eastAsiaTheme="minorEastAsia" w:hAnsiTheme="minorHAnsi" w:cstheme="minorBidi"/>
              <w:b w:val="0"/>
              <w:i w:val="0"/>
              <w:iCs w:val="0"/>
              <w:smallCaps w:val="0"/>
              <w:sz w:val="22"/>
              <w:lang w:eastAsia="hr-HR"/>
            </w:rPr>
          </w:pPr>
          <w:hyperlink w:anchor="_Toc105973467" w:history="1">
            <w:r w:rsidR="00206B81" w:rsidRPr="007F484F">
              <w:rPr>
                <w:rStyle w:val="Hiperveza"/>
              </w:rPr>
              <w:t>1.</w:t>
            </w:r>
            <w:r w:rsidR="00206B81">
              <w:rPr>
                <w:rFonts w:asciiTheme="minorHAnsi" w:eastAsiaTheme="minorEastAsia" w:hAnsiTheme="minorHAnsi" w:cstheme="minorBidi"/>
                <w:b w:val="0"/>
                <w:i w:val="0"/>
                <w:iCs w:val="0"/>
                <w:smallCaps w:val="0"/>
                <w:sz w:val="22"/>
                <w:lang w:eastAsia="hr-HR"/>
              </w:rPr>
              <w:tab/>
            </w:r>
            <w:r w:rsidR="00206B81" w:rsidRPr="007F484F">
              <w:rPr>
                <w:rStyle w:val="Hiperveza"/>
              </w:rPr>
              <w:t>ZAKONSKI OKVIR</w:t>
            </w:r>
            <w:r w:rsidR="00206B81">
              <w:rPr>
                <w:webHidden/>
              </w:rPr>
              <w:tab/>
            </w:r>
            <w:r w:rsidR="00206B81">
              <w:rPr>
                <w:webHidden/>
              </w:rPr>
              <w:fldChar w:fldCharType="begin"/>
            </w:r>
            <w:r w:rsidR="00206B81">
              <w:rPr>
                <w:webHidden/>
              </w:rPr>
              <w:instrText xml:space="preserve"> PAGEREF _Toc105973467 \h </w:instrText>
            </w:r>
            <w:r w:rsidR="00206B81">
              <w:rPr>
                <w:webHidden/>
              </w:rPr>
            </w:r>
            <w:r w:rsidR="00206B81">
              <w:rPr>
                <w:webHidden/>
              </w:rPr>
              <w:fldChar w:fldCharType="separate"/>
            </w:r>
            <w:r>
              <w:rPr>
                <w:webHidden/>
              </w:rPr>
              <w:t>9</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68" w:history="1">
            <w:r w:rsidR="00206B81" w:rsidRPr="007F484F">
              <w:rPr>
                <w:rStyle w:val="Hiperveza"/>
              </w:rPr>
              <w:t>Zakon o tržištu električne energije</w:t>
            </w:r>
            <w:r w:rsidR="00206B81">
              <w:rPr>
                <w:webHidden/>
              </w:rPr>
              <w:tab/>
            </w:r>
            <w:r w:rsidR="00206B81">
              <w:rPr>
                <w:webHidden/>
              </w:rPr>
              <w:fldChar w:fldCharType="begin"/>
            </w:r>
            <w:r w:rsidR="00206B81">
              <w:rPr>
                <w:webHidden/>
              </w:rPr>
              <w:instrText xml:space="preserve"> PAGEREF _Toc105973468 \h </w:instrText>
            </w:r>
            <w:r w:rsidR="00206B81">
              <w:rPr>
                <w:webHidden/>
              </w:rPr>
            </w:r>
            <w:r w:rsidR="00206B81">
              <w:rPr>
                <w:webHidden/>
              </w:rPr>
              <w:fldChar w:fldCharType="separate"/>
            </w:r>
            <w:r>
              <w:rPr>
                <w:webHidden/>
              </w:rPr>
              <w:t>9</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69" w:history="1">
            <w:r w:rsidR="00206B81" w:rsidRPr="007F484F">
              <w:rPr>
                <w:rStyle w:val="Hiperveza"/>
              </w:rPr>
              <w:t>Zakon o obnovljivim izvorima energije i visokoučinkovitoj kogeneraciji</w:t>
            </w:r>
            <w:r w:rsidR="00206B81">
              <w:rPr>
                <w:webHidden/>
              </w:rPr>
              <w:tab/>
            </w:r>
            <w:r w:rsidR="00206B81">
              <w:rPr>
                <w:webHidden/>
              </w:rPr>
              <w:fldChar w:fldCharType="begin"/>
            </w:r>
            <w:r w:rsidR="00206B81">
              <w:rPr>
                <w:webHidden/>
              </w:rPr>
              <w:instrText xml:space="preserve"> PAGEREF _Toc105973469 \h </w:instrText>
            </w:r>
            <w:r w:rsidR="00206B81">
              <w:rPr>
                <w:webHidden/>
              </w:rPr>
            </w:r>
            <w:r w:rsidR="00206B81">
              <w:rPr>
                <w:webHidden/>
              </w:rPr>
              <w:fldChar w:fldCharType="separate"/>
            </w:r>
            <w:r>
              <w:rPr>
                <w:webHidden/>
              </w:rPr>
              <w:t>11</w:t>
            </w:r>
            <w:r w:rsidR="00206B81">
              <w:rPr>
                <w:webHidden/>
              </w:rPr>
              <w:fldChar w:fldCharType="end"/>
            </w:r>
          </w:hyperlink>
        </w:p>
        <w:p w:rsidR="00206B81" w:rsidRDefault="009C3921">
          <w:pPr>
            <w:pStyle w:val="Sadraj2"/>
            <w:rPr>
              <w:rFonts w:asciiTheme="minorHAnsi" w:eastAsiaTheme="minorEastAsia" w:hAnsiTheme="minorHAnsi" w:cstheme="minorBidi"/>
              <w:b w:val="0"/>
              <w:i w:val="0"/>
              <w:iCs w:val="0"/>
              <w:smallCaps w:val="0"/>
              <w:sz w:val="22"/>
              <w:lang w:eastAsia="hr-HR"/>
            </w:rPr>
          </w:pPr>
          <w:hyperlink w:anchor="_Toc105973470" w:history="1">
            <w:r w:rsidR="00206B81" w:rsidRPr="007F484F">
              <w:rPr>
                <w:rStyle w:val="Hiperveza"/>
              </w:rPr>
              <w:t>2.</w:t>
            </w:r>
            <w:r w:rsidR="00206B81">
              <w:rPr>
                <w:rFonts w:asciiTheme="minorHAnsi" w:eastAsiaTheme="minorEastAsia" w:hAnsiTheme="minorHAnsi" w:cstheme="minorBidi"/>
                <w:b w:val="0"/>
                <w:i w:val="0"/>
                <w:iCs w:val="0"/>
                <w:smallCaps w:val="0"/>
                <w:sz w:val="22"/>
                <w:lang w:eastAsia="hr-HR"/>
              </w:rPr>
              <w:tab/>
            </w:r>
            <w:r w:rsidR="00206B81" w:rsidRPr="007F484F">
              <w:rPr>
                <w:rStyle w:val="Hiperveza"/>
              </w:rPr>
              <w:t>ADMINISTRATIVNI POSTUPAK</w:t>
            </w:r>
            <w:r w:rsidR="00206B81">
              <w:rPr>
                <w:webHidden/>
              </w:rPr>
              <w:tab/>
            </w:r>
            <w:r w:rsidR="00206B81">
              <w:rPr>
                <w:webHidden/>
              </w:rPr>
              <w:fldChar w:fldCharType="begin"/>
            </w:r>
            <w:r w:rsidR="00206B81">
              <w:rPr>
                <w:webHidden/>
              </w:rPr>
              <w:instrText xml:space="preserve"> PAGEREF _Toc105973470 \h </w:instrText>
            </w:r>
            <w:r w:rsidR="00206B81">
              <w:rPr>
                <w:webHidden/>
              </w:rPr>
            </w:r>
            <w:r w:rsidR="00206B81">
              <w:rPr>
                <w:webHidden/>
              </w:rPr>
              <w:fldChar w:fldCharType="separate"/>
            </w:r>
            <w:r>
              <w:rPr>
                <w:webHidden/>
              </w:rPr>
              <w:t>11</w:t>
            </w:r>
            <w:r w:rsidR="00206B81">
              <w:rPr>
                <w:webHidden/>
              </w:rPr>
              <w:fldChar w:fldCharType="end"/>
            </w:r>
          </w:hyperlink>
        </w:p>
        <w:p w:rsidR="00206B81" w:rsidRDefault="009C3921">
          <w:pPr>
            <w:pStyle w:val="Sadraj2"/>
            <w:rPr>
              <w:rFonts w:asciiTheme="minorHAnsi" w:eastAsiaTheme="minorEastAsia" w:hAnsiTheme="minorHAnsi" w:cstheme="minorBidi"/>
              <w:b w:val="0"/>
              <w:i w:val="0"/>
              <w:iCs w:val="0"/>
              <w:smallCaps w:val="0"/>
              <w:sz w:val="22"/>
              <w:lang w:eastAsia="hr-HR"/>
            </w:rPr>
          </w:pPr>
          <w:hyperlink w:anchor="_Toc105973471" w:history="1">
            <w:r w:rsidR="00206B81" w:rsidRPr="007F484F">
              <w:rPr>
                <w:rStyle w:val="Hiperveza"/>
              </w:rPr>
              <w:t>3.</w:t>
            </w:r>
            <w:r w:rsidR="00206B81">
              <w:rPr>
                <w:rFonts w:asciiTheme="minorHAnsi" w:eastAsiaTheme="minorEastAsia" w:hAnsiTheme="minorHAnsi" w:cstheme="minorBidi"/>
                <w:b w:val="0"/>
                <w:i w:val="0"/>
                <w:iCs w:val="0"/>
                <w:smallCaps w:val="0"/>
                <w:sz w:val="22"/>
                <w:lang w:eastAsia="hr-HR"/>
              </w:rPr>
              <w:tab/>
            </w:r>
            <w:r w:rsidR="00206B81" w:rsidRPr="007F484F">
              <w:rPr>
                <w:rStyle w:val="Hiperveza"/>
              </w:rPr>
              <w:t>POSTOJEĆA ISKUSTVA</w:t>
            </w:r>
            <w:r w:rsidR="00206B81">
              <w:rPr>
                <w:webHidden/>
              </w:rPr>
              <w:tab/>
            </w:r>
            <w:r w:rsidR="00206B81">
              <w:rPr>
                <w:webHidden/>
              </w:rPr>
              <w:fldChar w:fldCharType="begin"/>
            </w:r>
            <w:r w:rsidR="00206B81">
              <w:rPr>
                <w:webHidden/>
              </w:rPr>
              <w:instrText xml:space="preserve"> PAGEREF _Toc105973471 \h </w:instrText>
            </w:r>
            <w:r w:rsidR="00206B81">
              <w:rPr>
                <w:webHidden/>
              </w:rPr>
            </w:r>
            <w:r w:rsidR="00206B81">
              <w:rPr>
                <w:webHidden/>
              </w:rPr>
              <w:fldChar w:fldCharType="separate"/>
            </w:r>
            <w:r>
              <w:rPr>
                <w:webHidden/>
              </w:rPr>
              <w:t>14</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72" w:history="1">
            <w:r w:rsidR="00206B81" w:rsidRPr="007F484F">
              <w:rPr>
                <w:rStyle w:val="Hiperveza"/>
              </w:rPr>
              <w:t>Prepoznate prepreke u razvoju OIE</w:t>
            </w:r>
            <w:r w:rsidR="00206B81">
              <w:rPr>
                <w:webHidden/>
              </w:rPr>
              <w:tab/>
            </w:r>
            <w:r w:rsidR="00206B81">
              <w:rPr>
                <w:webHidden/>
              </w:rPr>
              <w:fldChar w:fldCharType="begin"/>
            </w:r>
            <w:r w:rsidR="00206B81">
              <w:rPr>
                <w:webHidden/>
              </w:rPr>
              <w:instrText xml:space="preserve"> PAGEREF _Toc105973472 \h </w:instrText>
            </w:r>
            <w:r w:rsidR="00206B81">
              <w:rPr>
                <w:webHidden/>
              </w:rPr>
            </w:r>
            <w:r w:rsidR="00206B81">
              <w:rPr>
                <w:webHidden/>
              </w:rPr>
              <w:fldChar w:fldCharType="separate"/>
            </w:r>
            <w:r>
              <w:rPr>
                <w:webHidden/>
              </w:rPr>
              <w:t>15</w:t>
            </w:r>
            <w:r w:rsidR="00206B81">
              <w:rPr>
                <w:webHidden/>
              </w:rPr>
              <w:fldChar w:fldCharType="end"/>
            </w:r>
          </w:hyperlink>
        </w:p>
        <w:p w:rsidR="00206B81" w:rsidRDefault="009C3921">
          <w:pPr>
            <w:pStyle w:val="Sadraj2"/>
            <w:rPr>
              <w:rFonts w:asciiTheme="minorHAnsi" w:eastAsiaTheme="minorEastAsia" w:hAnsiTheme="minorHAnsi" w:cstheme="minorBidi"/>
              <w:b w:val="0"/>
              <w:i w:val="0"/>
              <w:iCs w:val="0"/>
              <w:smallCaps w:val="0"/>
              <w:sz w:val="22"/>
              <w:lang w:eastAsia="hr-HR"/>
            </w:rPr>
          </w:pPr>
          <w:hyperlink w:anchor="_Toc105973473" w:history="1">
            <w:r w:rsidR="00206B81" w:rsidRPr="007F484F">
              <w:rPr>
                <w:rStyle w:val="Hiperveza"/>
              </w:rPr>
              <w:t>4.</w:t>
            </w:r>
            <w:r w:rsidR="00206B81">
              <w:rPr>
                <w:rFonts w:asciiTheme="minorHAnsi" w:eastAsiaTheme="minorEastAsia" w:hAnsiTheme="minorHAnsi" w:cstheme="minorBidi"/>
                <w:b w:val="0"/>
                <w:i w:val="0"/>
                <w:iCs w:val="0"/>
                <w:smallCaps w:val="0"/>
                <w:sz w:val="22"/>
                <w:lang w:eastAsia="hr-HR"/>
              </w:rPr>
              <w:tab/>
            </w:r>
            <w:r w:rsidR="00206B81" w:rsidRPr="007F484F">
              <w:rPr>
                <w:rStyle w:val="Hiperveza"/>
              </w:rPr>
              <w:t>PROSTORNO UREĐENJE</w:t>
            </w:r>
            <w:r w:rsidR="00206B81">
              <w:rPr>
                <w:webHidden/>
              </w:rPr>
              <w:tab/>
            </w:r>
            <w:r w:rsidR="00206B81">
              <w:rPr>
                <w:webHidden/>
              </w:rPr>
              <w:fldChar w:fldCharType="begin"/>
            </w:r>
            <w:r w:rsidR="00206B81">
              <w:rPr>
                <w:webHidden/>
              </w:rPr>
              <w:instrText xml:space="preserve"> PAGEREF _Toc105973473 \h </w:instrText>
            </w:r>
            <w:r w:rsidR="00206B81">
              <w:rPr>
                <w:webHidden/>
              </w:rPr>
            </w:r>
            <w:r w:rsidR="00206B81">
              <w:rPr>
                <w:webHidden/>
              </w:rPr>
              <w:fldChar w:fldCharType="separate"/>
            </w:r>
            <w:r>
              <w:rPr>
                <w:webHidden/>
              </w:rPr>
              <w:t>16</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74" w:history="1">
            <w:r w:rsidR="00206B81" w:rsidRPr="007F484F">
              <w:rPr>
                <w:rStyle w:val="Hiperveza"/>
              </w:rPr>
              <w:t>Ujednačenost kriterija kod uvrštavanja lokacija u prostorne planove</w:t>
            </w:r>
            <w:r w:rsidR="00206B81">
              <w:rPr>
                <w:webHidden/>
              </w:rPr>
              <w:tab/>
            </w:r>
            <w:r w:rsidR="00206B81">
              <w:rPr>
                <w:webHidden/>
              </w:rPr>
              <w:fldChar w:fldCharType="begin"/>
            </w:r>
            <w:r w:rsidR="00206B81">
              <w:rPr>
                <w:webHidden/>
              </w:rPr>
              <w:instrText xml:space="preserve"> PAGEREF _Toc105973474 \h </w:instrText>
            </w:r>
            <w:r w:rsidR="00206B81">
              <w:rPr>
                <w:webHidden/>
              </w:rPr>
            </w:r>
            <w:r w:rsidR="00206B81">
              <w:rPr>
                <w:webHidden/>
              </w:rPr>
              <w:fldChar w:fldCharType="separate"/>
            </w:r>
            <w:r>
              <w:rPr>
                <w:webHidden/>
              </w:rPr>
              <w:t>17</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75" w:history="1">
            <w:r w:rsidR="00206B81" w:rsidRPr="007F484F">
              <w:rPr>
                <w:rStyle w:val="Hiperveza"/>
              </w:rPr>
              <w:t>Usklađenost prostornih planova županija i prostornih planova uređenja općina/gradova</w:t>
            </w:r>
            <w:r w:rsidR="00206B81">
              <w:rPr>
                <w:webHidden/>
              </w:rPr>
              <w:tab/>
            </w:r>
            <w:r w:rsidR="00206B81">
              <w:rPr>
                <w:webHidden/>
              </w:rPr>
              <w:fldChar w:fldCharType="begin"/>
            </w:r>
            <w:r w:rsidR="00206B81">
              <w:rPr>
                <w:webHidden/>
              </w:rPr>
              <w:instrText xml:space="preserve"> PAGEREF _Toc105973475 \h </w:instrText>
            </w:r>
            <w:r w:rsidR="00206B81">
              <w:rPr>
                <w:webHidden/>
              </w:rPr>
            </w:r>
            <w:r w:rsidR="00206B81">
              <w:rPr>
                <w:webHidden/>
              </w:rPr>
              <w:fldChar w:fldCharType="separate"/>
            </w:r>
            <w:r>
              <w:rPr>
                <w:webHidden/>
              </w:rPr>
              <w:t>17</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76" w:history="1">
            <w:r w:rsidR="00206B81" w:rsidRPr="007F484F">
              <w:rPr>
                <w:rStyle w:val="Hiperveza"/>
              </w:rPr>
              <w:t>Raspodjela uključivanja lokacija prema površini u prostorne planove</w:t>
            </w:r>
            <w:r w:rsidR="00206B81">
              <w:rPr>
                <w:webHidden/>
              </w:rPr>
              <w:tab/>
            </w:r>
            <w:r w:rsidR="00206B81">
              <w:rPr>
                <w:webHidden/>
              </w:rPr>
              <w:fldChar w:fldCharType="begin"/>
            </w:r>
            <w:r w:rsidR="00206B81">
              <w:rPr>
                <w:webHidden/>
              </w:rPr>
              <w:instrText xml:space="preserve"> PAGEREF _Toc105973476 \h </w:instrText>
            </w:r>
            <w:r w:rsidR="00206B81">
              <w:rPr>
                <w:webHidden/>
              </w:rPr>
            </w:r>
            <w:r w:rsidR="00206B81">
              <w:rPr>
                <w:webHidden/>
              </w:rPr>
              <w:fldChar w:fldCharType="separate"/>
            </w:r>
            <w:r>
              <w:rPr>
                <w:webHidden/>
              </w:rPr>
              <w:t>17</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77" w:history="1">
            <w:r w:rsidR="00206B81" w:rsidRPr="007F484F">
              <w:rPr>
                <w:rStyle w:val="Hiperveza"/>
              </w:rPr>
              <w:t>Mogućnost postavljanja Agrosolara na poljoprivredna zemljišta</w:t>
            </w:r>
            <w:r w:rsidR="00206B81">
              <w:rPr>
                <w:webHidden/>
              </w:rPr>
              <w:tab/>
            </w:r>
            <w:r w:rsidR="00206B81">
              <w:rPr>
                <w:webHidden/>
              </w:rPr>
              <w:fldChar w:fldCharType="begin"/>
            </w:r>
            <w:r w:rsidR="00206B81">
              <w:rPr>
                <w:webHidden/>
              </w:rPr>
              <w:instrText xml:space="preserve"> PAGEREF _Toc105973477 \h </w:instrText>
            </w:r>
            <w:r w:rsidR="00206B81">
              <w:rPr>
                <w:webHidden/>
              </w:rPr>
            </w:r>
            <w:r w:rsidR="00206B81">
              <w:rPr>
                <w:webHidden/>
              </w:rPr>
              <w:fldChar w:fldCharType="separate"/>
            </w:r>
            <w:r>
              <w:rPr>
                <w:webHidden/>
              </w:rPr>
              <w:t>17</w:t>
            </w:r>
            <w:r w:rsidR="00206B81">
              <w:rPr>
                <w:webHidden/>
              </w:rPr>
              <w:fldChar w:fldCharType="end"/>
            </w:r>
          </w:hyperlink>
        </w:p>
        <w:p w:rsidR="00206B81" w:rsidRDefault="009C3921">
          <w:pPr>
            <w:pStyle w:val="Sadraj2"/>
            <w:rPr>
              <w:rFonts w:asciiTheme="minorHAnsi" w:eastAsiaTheme="minorEastAsia" w:hAnsiTheme="minorHAnsi" w:cstheme="minorBidi"/>
              <w:b w:val="0"/>
              <w:i w:val="0"/>
              <w:iCs w:val="0"/>
              <w:smallCaps w:val="0"/>
              <w:sz w:val="22"/>
              <w:lang w:eastAsia="hr-HR"/>
            </w:rPr>
          </w:pPr>
          <w:hyperlink w:anchor="_Toc105973478" w:history="1">
            <w:r w:rsidR="00206B81" w:rsidRPr="007F484F">
              <w:rPr>
                <w:rStyle w:val="Hiperveza"/>
              </w:rPr>
              <w:t>5.</w:t>
            </w:r>
            <w:r w:rsidR="00206B81">
              <w:rPr>
                <w:rFonts w:asciiTheme="minorHAnsi" w:eastAsiaTheme="minorEastAsia" w:hAnsiTheme="minorHAnsi" w:cstheme="minorBidi"/>
                <w:b w:val="0"/>
                <w:i w:val="0"/>
                <w:iCs w:val="0"/>
                <w:smallCaps w:val="0"/>
                <w:sz w:val="22"/>
                <w:lang w:eastAsia="hr-HR"/>
              </w:rPr>
              <w:tab/>
            </w:r>
            <w:r w:rsidR="00206B81" w:rsidRPr="007F484F">
              <w:rPr>
                <w:rStyle w:val="Hiperveza"/>
              </w:rPr>
              <w:t>UTJECAJ NA OKOLIŠ I PRIRODU</w:t>
            </w:r>
            <w:r w:rsidR="00206B81">
              <w:rPr>
                <w:webHidden/>
              </w:rPr>
              <w:tab/>
            </w:r>
            <w:r w:rsidR="00206B81">
              <w:rPr>
                <w:webHidden/>
              </w:rPr>
              <w:fldChar w:fldCharType="begin"/>
            </w:r>
            <w:r w:rsidR="00206B81">
              <w:rPr>
                <w:webHidden/>
              </w:rPr>
              <w:instrText xml:space="preserve"> PAGEREF _Toc105973478 \h </w:instrText>
            </w:r>
            <w:r w:rsidR="00206B81">
              <w:rPr>
                <w:webHidden/>
              </w:rPr>
            </w:r>
            <w:r w:rsidR="00206B81">
              <w:rPr>
                <w:webHidden/>
              </w:rPr>
              <w:fldChar w:fldCharType="separate"/>
            </w:r>
            <w:r>
              <w:rPr>
                <w:webHidden/>
              </w:rPr>
              <w:t>18</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79" w:history="1">
            <w:r w:rsidR="00206B81" w:rsidRPr="007F484F">
              <w:rPr>
                <w:rStyle w:val="Hiperveza"/>
              </w:rPr>
              <w:t>Postupak OPUO</w:t>
            </w:r>
            <w:r w:rsidR="00206B81">
              <w:rPr>
                <w:webHidden/>
              </w:rPr>
              <w:tab/>
            </w:r>
            <w:r w:rsidR="00206B81">
              <w:rPr>
                <w:webHidden/>
              </w:rPr>
              <w:fldChar w:fldCharType="begin"/>
            </w:r>
            <w:r w:rsidR="00206B81">
              <w:rPr>
                <w:webHidden/>
              </w:rPr>
              <w:instrText xml:space="preserve"> PAGEREF _Toc105973479 \h </w:instrText>
            </w:r>
            <w:r w:rsidR="00206B81">
              <w:rPr>
                <w:webHidden/>
              </w:rPr>
            </w:r>
            <w:r w:rsidR="00206B81">
              <w:rPr>
                <w:webHidden/>
              </w:rPr>
              <w:fldChar w:fldCharType="separate"/>
            </w:r>
            <w:r>
              <w:rPr>
                <w:webHidden/>
              </w:rPr>
              <w:t>19</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80" w:history="1">
            <w:r w:rsidR="00206B81" w:rsidRPr="007F484F">
              <w:rPr>
                <w:rStyle w:val="Hiperveza"/>
              </w:rPr>
              <w:t>Postupak OPUO za manje projekte (sunčane elektane i male hidroeletkrane)</w:t>
            </w:r>
            <w:r w:rsidR="00206B81">
              <w:rPr>
                <w:webHidden/>
              </w:rPr>
              <w:tab/>
            </w:r>
            <w:r w:rsidR="00206B81">
              <w:rPr>
                <w:webHidden/>
              </w:rPr>
              <w:fldChar w:fldCharType="begin"/>
            </w:r>
            <w:r w:rsidR="00206B81">
              <w:rPr>
                <w:webHidden/>
              </w:rPr>
              <w:instrText xml:space="preserve"> PAGEREF _Toc105973480 \h </w:instrText>
            </w:r>
            <w:r w:rsidR="00206B81">
              <w:rPr>
                <w:webHidden/>
              </w:rPr>
            </w:r>
            <w:r w:rsidR="00206B81">
              <w:rPr>
                <w:webHidden/>
              </w:rPr>
              <w:fldChar w:fldCharType="separate"/>
            </w:r>
            <w:r>
              <w:rPr>
                <w:webHidden/>
              </w:rPr>
              <w:t>19</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81" w:history="1">
            <w:r w:rsidR="00206B81" w:rsidRPr="007F484F">
              <w:rPr>
                <w:rStyle w:val="Hiperveza"/>
              </w:rPr>
              <w:t>Postupak procjene utjecaja na okoliš kod promjene tehnologije</w:t>
            </w:r>
            <w:r w:rsidR="00206B81">
              <w:rPr>
                <w:webHidden/>
              </w:rPr>
              <w:tab/>
            </w:r>
            <w:r w:rsidR="00206B81">
              <w:rPr>
                <w:webHidden/>
              </w:rPr>
              <w:fldChar w:fldCharType="begin"/>
            </w:r>
            <w:r w:rsidR="00206B81">
              <w:rPr>
                <w:webHidden/>
              </w:rPr>
              <w:instrText xml:space="preserve"> PAGEREF _Toc105973481 \h </w:instrText>
            </w:r>
            <w:r w:rsidR="00206B81">
              <w:rPr>
                <w:webHidden/>
              </w:rPr>
            </w:r>
            <w:r w:rsidR="00206B81">
              <w:rPr>
                <w:webHidden/>
              </w:rPr>
              <w:fldChar w:fldCharType="separate"/>
            </w:r>
            <w:r>
              <w:rPr>
                <w:webHidden/>
              </w:rPr>
              <w:t>21</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82" w:history="1">
            <w:r w:rsidR="00206B81" w:rsidRPr="007F484F">
              <w:rPr>
                <w:rStyle w:val="Hiperveza"/>
              </w:rPr>
              <w:t>Podloge za planiranje lokacija vjetroelektrana i sunčanih elektrana iz područja zaštite okoliša i prirode</w:t>
            </w:r>
            <w:r w:rsidR="00206B81">
              <w:rPr>
                <w:webHidden/>
              </w:rPr>
              <w:tab/>
            </w:r>
            <w:r w:rsidR="00206B81">
              <w:rPr>
                <w:webHidden/>
              </w:rPr>
              <w:fldChar w:fldCharType="begin"/>
            </w:r>
            <w:r w:rsidR="00206B81">
              <w:rPr>
                <w:webHidden/>
              </w:rPr>
              <w:instrText xml:space="preserve"> PAGEREF _Toc105973482 \h </w:instrText>
            </w:r>
            <w:r w:rsidR="00206B81">
              <w:rPr>
                <w:webHidden/>
              </w:rPr>
            </w:r>
            <w:r w:rsidR="00206B81">
              <w:rPr>
                <w:webHidden/>
              </w:rPr>
              <w:fldChar w:fldCharType="separate"/>
            </w:r>
            <w:r>
              <w:rPr>
                <w:webHidden/>
              </w:rPr>
              <w:t>21</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83" w:history="1">
            <w:r w:rsidR="00206B81" w:rsidRPr="007F484F">
              <w:rPr>
                <w:rStyle w:val="Hiperveza"/>
              </w:rPr>
              <w:t>Primjena ciljevi očuvanja u postupcima Ocjene prihvatljivosti za ekološku mrežu</w:t>
            </w:r>
            <w:r w:rsidR="00206B81">
              <w:rPr>
                <w:webHidden/>
              </w:rPr>
              <w:tab/>
            </w:r>
            <w:r w:rsidR="00206B81">
              <w:rPr>
                <w:webHidden/>
              </w:rPr>
              <w:fldChar w:fldCharType="begin"/>
            </w:r>
            <w:r w:rsidR="00206B81">
              <w:rPr>
                <w:webHidden/>
              </w:rPr>
              <w:instrText xml:space="preserve"> PAGEREF _Toc105973483 \h </w:instrText>
            </w:r>
            <w:r w:rsidR="00206B81">
              <w:rPr>
                <w:webHidden/>
              </w:rPr>
            </w:r>
            <w:r w:rsidR="00206B81">
              <w:rPr>
                <w:webHidden/>
              </w:rPr>
              <w:fldChar w:fldCharType="separate"/>
            </w:r>
            <w:r>
              <w:rPr>
                <w:webHidden/>
              </w:rPr>
              <w:t>21</w:t>
            </w:r>
            <w:r w:rsidR="00206B81">
              <w:rPr>
                <w:webHidden/>
              </w:rPr>
              <w:fldChar w:fldCharType="end"/>
            </w:r>
          </w:hyperlink>
        </w:p>
        <w:p w:rsidR="00206B81" w:rsidRDefault="009C3921">
          <w:pPr>
            <w:pStyle w:val="Sadraj2"/>
            <w:rPr>
              <w:rFonts w:asciiTheme="minorHAnsi" w:eastAsiaTheme="minorEastAsia" w:hAnsiTheme="minorHAnsi" w:cstheme="minorBidi"/>
              <w:b w:val="0"/>
              <w:i w:val="0"/>
              <w:iCs w:val="0"/>
              <w:smallCaps w:val="0"/>
              <w:sz w:val="22"/>
              <w:lang w:eastAsia="hr-HR"/>
            </w:rPr>
          </w:pPr>
          <w:hyperlink w:anchor="_Toc105973484" w:history="1">
            <w:r w:rsidR="00206B81" w:rsidRPr="007F484F">
              <w:rPr>
                <w:rStyle w:val="Hiperveza"/>
              </w:rPr>
              <w:t>6.</w:t>
            </w:r>
            <w:r w:rsidR="00206B81">
              <w:rPr>
                <w:rFonts w:asciiTheme="minorHAnsi" w:eastAsiaTheme="minorEastAsia" w:hAnsiTheme="minorHAnsi" w:cstheme="minorBidi"/>
                <w:b w:val="0"/>
                <w:i w:val="0"/>
                <w:iCs w:val="0"/>
                <w:smallCaps w:val="0"/>
                <w:sz w:val="22"/>
                <w:lang w:eastAsia="hr-HR"/>
              </w:rPr>
              <w:tab/>
            </w:r>
            <w:r w:rsidR="00206B81" w:rsidRPr="007F484F">
              <w:rPr>
                <w:rStyle w:val="Hiperveza"/>
              </w:rPr>
              <w:t>ISHOĐENJE DOZVOLA I RJEŠENJA PREMA ZoTEE I ZoOIEVK</w:t>
            </w:r>
            <w:r w:rsidR="00206B81">
              <w:rPr>
                <w:webHidden/>
              </w:rPr>
              <w:tab/>
            </w:r>
            <w:r w:rsidR="00206B81">
              <w:rPr>
                <w:webHidden/>
              </w:rPr>
              <w:fldChar w:fldCharType="begin"/>
            </w:r>
            <w:r w:rsidR="00206B81">
              <w:rPr>
                <w:webHidden/>
              </w:rPr>
              <w:instrText xml:space="preserve"> PAGEREF _Toc105973484 \h </w:instrText>
            </w:r>
            <w:r w:rsidR="00206B81">
              <w:rPr>
                <w:webHidden/>
              </w:rPr>
            </w:r>
            <w:r w:rsidR="00206B81">
              <w:rPr>
                <w:webHidden/>
              </w:rPr>
              <w:fldChar w:fldCharType="separate"/>
            </w:r>
            <w:r>
              <w:rPr>
                <w:webHidden/>
              </w:rPr>
              <w:t>22</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85" w:history="1">
            <w:r w:rsidR="00206B81" w:rsidRPr="007F484F">
              <w:rPr>
                <w:rStyle w:val="Hiperveza"/>
              </w:rPr>
              <w:t>Ishođenje energetskog odobrenja (općenito)</w:t>
            </w:r>
            <w:r w:rsidR="00206B81">
              <w:rPr>
                <w:webHidden/>
              </w:rPr>
              <w:tab/>
            </w:r>
            <w:r w:rsidR="00206B81">
              <w:rPr>
                <w:webHidden/>
              </w:rPr>
              <w:fldChar w:fldCharType="begin"/>
            </w:r>
            <w:r w:rsidR="00206B81">
              <w:rPr>
                <w:webHidden/>
              </w:rPr>
              <w:instrText xml:space="preserve"> PAGEREF _Toc105973485 \h </w:instrText>
            </w:r>
            <w:r w:rsidR="00206B81">
              <w:rPr>
                <w:webHidden/>
              </w:rPr>
            </w:r>
            <w:r w:rsidR="00206B81">
              <w:rPr>
                <w:webHidden/>
              </w:rPr>
              <w:fldChar w:fldCharType="separate"/>
            </w:r>
            <w:r>
              <w:rPr>
                <w:webHidden/>
              </w:rPr>
              <w:t>22</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86" w:history="1">
            <w:r w:rsidR="00206B81" w:rsidRPr="007F484F">
              <w:rPr>
                <w:rStyle w:val="Hiperveza"/>
              </w:rPr>
              <w:t>Ishođenje energetskog odobrenja za zatečene projekte</w:t>
            </w:r>
            <w:r w:rsidR="00206B81">
              <w:rPr>
                <w:webHidden/>
              </w:rPr>
              <w:tab/>
            </w:r>
            <w:r w:rsidR="00206B81">
              <w:rPr>
                <w:webHidden/>
              </w:rPr>
              <w:fldChar w:fldCharType="begin"/>
            </w:r>
            <w:r w:rsidR="00206B81">
              <w:rPr>
                <w:webHidden/>
              </w:rPr>
              <w:instrText xml:space="preserve"> PAGEREF _Toc105973486 \h </w:instrText>
            </w:r>
            <w:r w:rsidR="00206B81">
              <w:rPr>
                <w:webHidden/>
              </w:rPr>
            </w:r>
            <w:r w:rsidR="00206B81">
              <w:rPr>
                <w:webHidden/>
              </w:rPr>
              <w:fldChar w:fldCharType="separate"/>
            </w:r>
            <w:r>
              <w:rPr>
                <w:webHidden/>
              </w:rPr>
              <w:t>23</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87" w:history="1">
            <w:r w:rsidR="00206B81" w:rsidRPr="007F484F">
              <w:rPr>
                <w:rStyle w:val="Hiperveza"/>
              </w:rPr>
              <w:t>Sustav poticanja tržišnom premijom/zajamčenom otkupnom cijenom</w:t>
            </w:r>
            <w:r w:rsidR="00206B81">
              <w:rPr>
                <w:webHidden/>
              </w:rPr>
              <w:tab/>
            </w:r>
            <w:r w:rsidR="00206B81">
              <w:rPr>
                <w:webHidden/>
              </w:rPr>
              <w:fldChar w:fldCharType="begin"/>
            </w:r>
            <w:r w:rsidR="00206B81">
              <w:rPr>
                <w:webHidden/>
              </w:rPr>
              <w:instrText xml:space="preserve"> PAGEREF _Toc105973487 \h </w:instrText>
            </w:r>
            <w:r w:rsidR="00206B81">
              <w:rPr>
                <w:webHidden/>
              </w:rPr>
            </w:r>
            <w:r w:rsidR="00206B81">
              <w:rPr>
                <w:webHidden/>
              </w:rPr>
              <w:fldChar w:fldCharType="separate"/>
            </w:r>
            <w:r>
              <w:rPr>
                <w:webHidden/>
              </w:rPr>
              <w:t>23</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88" w:history="1">
            <w:r w:rsidR="00206B81" w:rsidRPr="007F484F">
              <w:rPr>
                <w:rStyle w:val="Hiperveza"/>
              </w:rPr>
              <w:t>Stjecajnje statusa povlaštenog proizvođača</w:t>
            </w:r>
            <w:r w:rsidR="00206B81">
              <w:rPr>
                <w:webHidden/>
              </w:rPr>
              <w:tab/>
            </w:r>
            <w:r w:rsidR="00206B81">
              <w:rPr>
                <w:webHidden/>
              </w:rPr>
              <w:fldChar w:fldCharType="begin"/>
            </w:r>
            <w:r w:rsidR="00206B81">
              <w:rPr>
                <w:webHidden/>
              </w:rPr>
              <w:instrText xml:space="preserve"> PAGEREF _Toc105973488 \h </w:instrText>
            </w:r>
            <w:r w:rsidR="00206B81">
              <w:rPr>
                <w:webHidden/>
              </w:rPr>
            </w:r>
            <w:r w:rsidR="00206B81">
              <w:rPr>
                <w:webHidden/>
              </w:rPr>
              <w:fldChar w:fldCharType="separate"/>
            </w:r>
            <w:r>
              <w:rPr>
                <w:webHidden/>
              </w:rPr>
              <w:t>25</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89" w:history="1">
            <w:r w:rsidR="00206B81" w:rsidRPr="007F484F">
              <w:rPr>
                <w:rStyle w:val="Hiperveza"/>
              </w:rPr>
              <w:t>Detaljan Priručnik o postupcima ishođenja dozvola za izgradnju proizvodnog postrojenja iz obnovljive energije</w:t>
            </w:r>
            <w:r w:rsidR="00206B81">
              <w:rPr>
                <w:webHidden/>
              </w:rPr>
              <w:tab/>
            </w:r>
            <w:r w:rsidR="00206B81">
              <w:rPr>
                <w:webHidden/>
              </w:rPr>
              <w:fldChar w:fldCharType="begin"/>
            </w:r>
            <w:r w:rsidR="00206B81">
              <w:rPr>
                <w:webHidden/>
              </w:rPr>
              <w:instrText xml:space="preserve"> PAGEREF _Toc105973489 \h </w:instrText>
            </w:r>
            <w:r w:rsidR="00206B81">
              <w:rPr>
                <w:webHidden/>
              </w:rPr>
            </w:r>
            <w:r w:rsidR="00206B81">
              <w:rPr>
                <w:webHidden/>
              </w:rPr>
              <w:fldChar w:fldCharType="separate"/>
            </w:r>
            <w:r>
              <w:rPr>
                <w:webHidden/>
              </w:rPr>
              <w:t>25</w:t>
            </w:r>
            <w:r w:rsidR="00206B81">
              <w:rPr>
                <w:webHidden/>
              </w:rPr>
              <w:fldChar w:fldCharType="end"/>
            </w:r>
          </w:hyperlink>
        </w:p>
        <w:p w:rsidR="00206B81" w:rsidRDefault="009C3921">
          <w:pPr>
            <w:pStyle w:val="Sadraj2"/>
            <w:rPr>
              <w:rFonts w:asciiTheme="minorHAnsi" w:eastAsiaTheme="minorEastAsia" w:hAnsiTheme="minorHAnsi" w:cstheme="minorBidi"/>
              <w:b w:val="0"/>
              <w:i w:val="0"/>
              <w:iCs w:val="0"/>
              <w:smallCaps w:val="0"/>
              <w:sz w:val="22"/>
              <w:lang w:eastAsia="hr-HR"/>
            </w:rPr>
          </w:pPr>
          <w:hyperlink w:anchor="_Toc105973490" w:history="1">
            <w:r w:rsidR="00206B81" w:rsidRPr="007F484F">
              <w:rPr>
                <w:rStyle w:val="Hiperveza"/>
              </w:rPr>
              <w:t>7.</w:t>
            </w:r>
            <w:r w:rsidR="00206B81">
              <w:rPr>
                <w:rFonts w:asciiTheme="minorHAnsi" w:eastAsiaTheme="minorEastAsia" w:hAnsiTheme="minorHAnsi" w:cstheme="minorBidi"/>
                <w:b w:val="0"/>
                <w:i w:val="0"/>
                <w:iCs w:val="0"/>
                <w:smallCaps w:val="0"/>
                <w:sz w:val="22"/>
                <w:lang w:eastAsia="hr-HR"/>
              </w:rPr>
              <w:tab/>
            </w:r>
            <w:r w:rsidR="00206B81" w:rsidRPr="007F484F">
              <w:rPr>
                <w:rStyle w:val="Hiperveza"/>
              </w:rPr>
              <w:t>PRIKLJUČAK NA ELEKTROENERGETSKU MREŽU</w:t>
            </w:r>
            <w:r w:rsidR="00206B81">
              <w:rPr>
                <w:webHidden/>
              </w:rPr>
              <w:tab/>
            </w:r>
            <w:r w:rsidR="00206B81">
              <w:rPr>
                <w:webHidden/>
              </w:rPr>
              <w:fldChar w:fldCharType="begin"/>
            </w:r>
            <w:r w:rsidR="00206B81">
              <w:rPr>
                <w:webHidden/>
              </w:rPr>
              <w:instrText xml:space="preserve"> PAGEREF _Toc105973490 \h </w:instrText>
            </w:r>
            <w:r w:rsidR="00206B81">
              <w:rPr>
                <w:webHidden/>
              </w:rPr>
            </w:r>
            <w:r w:rsidR="00206B81">
              <w:rPr>
                <w:webHidden/>
              </w:rPr>
              <w:fldChar w:fldCharType="separate"/>
            </w:r>
            <w:r>
              <w:rPr>
                <w:webHidden/>
              </w:rPr>
              <w:t>25</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91" w:history="1">
            <w:r w:rsidR="00206B81" w:rsidRPr="007F484F">
              <w:rPr>
                <w:rStyle w:val="Hiperveza"/>
              </w:rPr>
              <w:t>Provedbe odredbi ZoTEE-a s aspekta priključenja za započete projekte</w:t>
            </w:r>
            <w:r w:rsidR="00206B81">
              <w:rPr>
                <w:webHidden/>
              </w:rPr>
              <w:tab/>
            </w:r>
            <w:r w:rsidR="00206B81">
              <w:rPr>
                <w:webHidden/>
              </w:rPr>
              <w:fldChar w:fldCharType="begin"/>
            </w:r>
            <w:r w:rsidR="00206B81">
              <w:rPr>
                <w:webHidden/>
              </w:rPr>
              <w:instrText xml:space="preserve"> PAGEREF _Toc105973491 \h </w:instrText>
            </w:r>
            <w:r w:rsidR="00206B81">
              <w:rPr>
                <w:webHidden/>
              </w:rPr>
            </w:r>
            <w:r w:rsidR="00206B81">
              <w:rPr>
                <w:webHidden/>
              </w:rPr>
              <w:fldChar w:fldCharType="separate"/>
            </w:r>
            <w:r>
              <w:rPr>
                <w:webHidden/>
              </w:rPr>
              <w:t>26</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92" w:history="1">
            <w:r w:rsidR="00206B81" w:rsidRPr="007F484F">
              <w:rPr>
                <w:rStyle w:val="Hiperveza"/>
              </w:rPr>
              <w:t>Posebni tretmana razvoja strateške infrastrukture</w:t>
            </w:r>
            <w:r w:rsidR="00206B81">
              <w:rPr>
                <w:webHidden/>
              </w:rPr>
              <w:tab/>
            </w:r>
            <w:r w:rsidR="00206B81">
              <w:rPr>
                <w:webHidden/>
              </w:rPr>
              <w:fldChar w:fldCharType="begin"/>
            </w:r>
            <w:r w:rsidR="00206B81">
              <w:rPr>
                <w:webHidden/>
              </w:rPr>
              <w:instrText xml:space="preserve"> PAGEREF _Toc105973492 \h </w:instrText>
            </w:r>
            <w:r w:rsidR="00206B81">
              <w:rPr>
                <w:webHidden/>
              </w:rPr>
            </w:r>
            <w:r w:rsidR="00206B81">
              <w:rPr>
                <w:webHidden/>
              </w:rPr>
              <w:fldChar w:fldCharType="separate"/>
            </w:r>
            <w:r>
              <w:rPr>
                <w:webHidden/>
              </w:rPr>
              <w:t>26</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93" w:history="1">
            <w:r w:rsidR="00206B81" w:rsidRPr="007F484F">
              <w:rPr>
                <w:rStyle w:val="Hiperveza"/>
              </w:rPr>
              <w:t>Gradnja priključka od strane investitora</w:t>
            </w:r>
            <w:r w:rsidR="00206B81">
              <w:rPr>
                <w:webHidden/>
              </w:rPr>
              <w:tab/>
            </w:r>
            <w:r w:rsidR="00206B81">
              <w:rPr>
                <w:webHidden/>
              </w:rPr>
              <w:fldChar w:fldCharType="begin"/>
            </w:r>
            <w:r w:rsidR="00206B81">
              <w:rPr>
                <w:webHidden/>
              </w:rPr>
              <w:instrText xml:space="preserve"> PAGEREF _Toc105973493 \h </w:instrText>
            </w:r>
            <w:r w:rsidR="00206B81">
              <w:rPr>
                <w:webHidden/>
              </w:rPr>
            </w:r>
            <w:r w:rsidR="00206B81">
              <w:rPr>
                <w:webHidden/>
              </w:rPr>
              <w:fldChar w:fldCharType="separate"/>
            </w:r>
            <w:r>
              <w:rPr>
                <w:webHidden/>
              </w:rPr>
              <w:t>27</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94" w:history="1">
            <w:r w:rsidR="00206B81" w:rsidRPr="007F484F">
              <w:rPr>
                <w:rStyle w:val="Hiperveza"/>
              </w:rPr>
              <w:t>Uključivanje infrastrukturnih objekata u prostorni plan</w:t>
            </w:r>
            <w:r w:rsidR="00206B81">
              <w:rPr>
                <w:webHidden/>
              </w:rPr>
              <w:tab/>
            </w:r>
            <w:r w:rsidR="00206B81">
              <w:rPr>
                <w:webHidden/>
              </w:rPr>
              <w:fldChar w:fldCharType="begin"/>
            </w:r>
            <w:r w:rsidR="00206B81">
              <w:rPr>
                <w:webHidden/>
              </w:rPr>
              <w:instrText xml:space="preserve"> PAGEREF _Toc105973494 \h </w:instrText>
            </w:r>
            <w:r w:rsidR="00206B81">
              <w:rPr>
                <w:webHidden/>
              </w:rPr>
            </w:r>
            <w:r w:rsidR="00206B81">
              <w:rPr>
                <w:webHidden/>
              </w:rPr>
              <w:fldChar w:fldCharType="separate"/>
            </w:r>
            <w:r>
              <w:rPr>
                <w:webHidden/>
              </w:rPr>
              <w:t>27</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95" w:history="1">
            <w:r w:rsidR="00206B81" w:rsidRPr="007F484F">
              <w:rPr>
                <w:rStyle w:val="Hiperveza"/>
              </w:rPr>
              <w:t>Zakona o javnoj nabavi</w:t>
            </w:r>
            <w:r w:rsidR="00206B81">
              <w:rPr>
                <w:webHidden/>
              </w:rPr>
              <w:tab/>
            </w:r>
            <w:r w:rsidR="00206B81">
              <w:rPr>
                <w:webHidden/>
              </w:rPr>
              <w:fldChar w:fldCharType="begin"/>
            </w:r>
            <w:r w:rsidR="00206B81">
              <w:rPr>
                <w:webHidden/>
              </w:rPr>
              <w:instrText xml:space="preserve"> PAGEREF _Toc105973495 \h </w:instrText>
            </w:r>
            <w:r w:rsidR="00206B81">
              <w:rPr>
                <w:webHidden/>
              </w:rPr>
            </w:r>
            <w:r w:rsidR="00206B81">
              <w:rPr>
                <w:webHidden/>
              </w:rPr>
              <w:fldChar w:fldCharType="separate"/>
            </w:r>
            <w:r>
              <w:rPr>
                <w:webHidden/>
              </w:rPr>
              <w:t>27</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96" w:history="1">
            <w:r w:rsidR="00206B81" w:rsidRPr="007F484F">
              <w:rPr>
                <w:rStyle w:val="Hiperveza"/>
              </w:rPr>
              <w:t>Preklapanje ishođenja lokacijske dozvole i definiranja detalja priključenja na mrežu</w:t>
            </w:r>
            <w:r w:rsidR="00206B81">
              <w:rPr>
                <w:webHidden/>
              </w:rPr>
              <w:tab/>
            </w:r>
            <w:r w:rsidR="00206B81">
              <w:rPr>
                <w:webHidden/>
              </w:rPr>
              <w:fldChar w:fldCharType="begin"/>
            </w:r>
            <w:r w:rsidR="00206B81">
              <w:rPr>
                <w:webHidden/>
              </w:rPr>
              <w:instrText xml:space="preserve"> PAGEREF _Toc105973496 \h </w:instrText>
            </w:r>
            <w:r w:rsidR="00206B81">
              <w:rPr>
                <w:webHidden/>
              </w:rPr>
            </w:r>
            <w:r w:rsidR="00206B81">
              <w:rPr>
                <w:webHidden/>
              </w:rPr>
              <w:fldChar w:fldCharType="separate"/>
            </w:r>
            <w:r>
              <w:rPr>
                <w:webHidden/>
              </w:rPr>
              <w:t>27</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97" w:history="1">
            <w:r w:rsidR="00206B81" w:rsidRPr="007F484F">
              <w:rPr>
                <w:rStyle w:val="Hiperveza"/>
              </w:rPr>
              <w:t>Isključivo pravo služnosti jednom kandidatu u transformatorskim stanicama koje su na državnom zemljištu</w:t>
            </w:r>
            <w:r w:rsidR="00206B81">
              <w:rPr>
                <w:webHidden/>
              </w:rPr>
              <w:tab/>
            </w:r>
            <w:r w:rsidR="00206B81">
              <w:rPr>
                <w:webHidden/>
              </w:rPr>
              <w:fldChar w:fldCharType="begin"/>
            </w:r>
            <w:r w:rsidR="00206B81">
              <w:rPr>
                <w:webHidden/>
              </w:rPr>
              <w:instrText xml:space="preserve"> PAGEREF _Toc105973497 \h </w:instrText>
            </w:r>
            <w:r w:rsidR="00206B81">
              <w:rPr>
                <w:webHidden/>
              </w:rPr>
            </w:r>
            <w:r w:rsidR="00206B81">
              <w:rPr>
                <w:webHidden/>
              </w:rPr>
              <w:fldChar w:fldCharType="separate"/>
            </w:r>
            <w:r>
              <w:rPr>
                <w:webHidden/>
              </w:rPr>
              <w:t>28</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98" w:history="1">
            <w:r w:rsidR="00206B81" w:rsidRPr="007F484F">
              <w:rPr>
                <w:rStyle w:val="Hiperveza"/>
              </w:rPr>
              <w:t>Naknade za priključenje i mrežarine</w:t>
            </w:r>
            <w:r w:rsidR="00206B81">
              <w:rPr>
                <w:webHidden/>
              </w:rPr>
              <w:tab/>
            </w:r>
            <w:r w:rsidR="00206B81">
              <w:rPr>
                <w:webHidden/>
              </w:rPr>
              <w:fldChar w:fldCharType="begin"/>
            </w:r>
            <w:r w:rsidR="00206B81">
              <w:rPr>
                <w:webHidden/>
              </w:rPr>
              <w:instrText xml:space="preserve"> PAGEREF _Toc105973498 \h </w:instrText>
            </w:r>
            <w:r w:rsidR="00206B81">
              <w:rPr>
                <w:webHidden/>
              </w:rPr>
            </w:r>
            <w:r w:rsidR="00206B81">
              <w:rPr>
                <w:webHidden/>
              </w:rPr>
              <w:fldChar w:fldCharType="separate"/>
            </w:r>
            <w:r>
              <w:rPr>
                <w:webHidden/>
              </w:rPr>
              <w:t>28</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499" w:history="1">
            <w:r w:rsidR="00206B81" w:rsidRPr="007F484F">
              <w:rPr>
                <w:rStyle w:val="Hiperveza"/>
              </w:rPr>
              <w:t>Projektni zadatak i ulazni podataci za izradu EMP i EOTRP i prije usvajanja cjelokupnog paketa propisa</w:t>
            </w:r>
            <w:r w:rsidR="00206B81">
              <w:rPr>
                <w:webHidden/>
              </w:rPr>
              <w:tab/>
            </w:r>
            <w:r w:rsidR="00206B81">
              <w:rPr>
                <w:webHidden/>
              </w:rPr>
              <w:fldChar w:fldCharType="begin"/>
            </w:r>
            <w:r w:rsidR="00206B81">
              <w:rPr>
                <w:webHidden/>
              </w:rPr>
              <w:instrText xml:space="preserve"> PAGEREF _Toc105973499 \h </w:instrText>
            </w:r>
            <w:r w:rsidR="00206B81">
              <w:rPr>
                <w:webHidden/>
              </w:rPr>
            </w:r>
            <w:r w:rsidR="00206B81">
              <w:rPr>
                <w:webHidden/>
              </w:rPr>
              <w:fldChar w:fldCharType="separate"/>
            </w:r>
            <w:r>
              <w:rPr>
                <w:webHidden/>
              </w:rPr>
              <w:t>28</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500" w:history="1">
            <w:r w:rsidR="00206B81" w:rsidRPr="007F484F">
              <w:rPr>
                <w:rStyle w:val="Hiperveza"/>
              </w:rPr>
              <w:t>Stupnjevano avansno plaćanje priključenja</w:t>
            </w:r>
            <w:r w:rsidR="00206B81">
              <w:rPr>
                <w:webHidden/>
              </w:rPr>
              <w:tab/>
            </w:r>
            <w:r w:rsidR="00206B81">
              <w:rPr>
                <w:webHidden/>
              </w:rPr>
              <w:fldChar w:fldCharType="begin"/>
            </w:r>
            <w:r w:rsidR="00206B81">
              <w:rPr>
                <w:webHidden/>
              </w:rPr>
              <w:instrText xml:space="preserve"> PAGEREF _Toc105973500 \h </w:instrText>
            </w:r>
            <w:r w:rsidR="00206B81">
              <w:rPr>
                <w:webHidden/>
              </w:rPr>
            </w:r>
            <w:r w:rsidR="00206B81">
              <w:rPr>
                <w:webHidden/>
              </w:rPr>
              <w:fldChar w:fldCharType="separate"/>
            </w:r>
            <w:r>
              <w:rPr>
                <w:webHidden/>
              </w:rPr>
              <w:t>28</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501" w:history="1">
            <w:r w:rsidR="00206B81" w:rsidRPr="007F484F">
              <w:rPr>
                <w:rStyle w:val="Hiperveza"/>
              </w:rPr>
              <w:t>Potreba redefiniranja scenarija analiza mreže</w:t>
            </w:r>
            <w:r w:rsidR="00206B81">
              <w:rPr>
                <w:webHidden/>
              </w:rPr>
              <w:tab/>
            </w:r>
            <w:r w:rsidR="00206B81">
              <w:rPr>
                <w:webHidden/>
              </w:rPr>
              <w:fldChar w:fldCharType="begin"/>
            </w:r>
            <w:r w:rsidR="00206B81">
              <w:rPr>
                <w:webHidden/>
              </w:rPr>
              <w:instrText xml:space="preserve"> PAGEREF _Toc105973501 \h </w:instrText>
            </w:r>
            <w:r w:rsidR="00206B81">
              <w:rPr>
                <w:webHidden/>
              </w:rPr>
            </w:r>
            <w:r w:rsidR="00206B81">
              <w:rPr>
                <w:webHidden/>
              </w:rPr>
              <w:fldChar w:fldCharType="separate"/>
            </w:r>
            <w:r>
              <w:rPr>
                <w:webHidden/>
              </w:rPr>
              <w:t>28</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502" w:history="1">
            <w:r w:rsidR="00206B81" w:rsidRPr="007F484F">
              <w:rPr>
                <w:rStyle w:val="Hiperveza"/>
              </w:rPr>
              <w:t>Usporedba opće društvene koristi izgradnje mreže (zadovoljenja kriterija N-1) i korištenja redispečinga</w:t>
            </w:r>
            <w:r w:rsidR="00206B81">
              <w:rPr>
                <w:webHidden/>
              </w:rPr>
              <w:tab/>
            </w:r>
            <w:r w:rsidR="00206B81">
              <w:rPr>
                <w:webHidden/>
              </w:rPr>
              <w:fldChar w:fldCharType="begin"/>
            </w:r>
            <w:r w:rsidR="00206B81">
              <w:rPr>
                <w:webHidden/>
              </w:rPr>
              <w:instrText xml:space="preserve"> PAGEREF _Toc105973502 \h </w:instrText>
            </w:r>
            <w:r w:rsidR="00206B81">
              <w:rPr>
                <w:webHidden/>
              </w:rPr>
            </w:r>
            <w:r w:rsidR="00206B81">
              <w:rPr>
                <w:webHidden/>
              </w:rPr>
              <w:fldChar w:fldCharType="separate"/>
            </w:r>
            <w:r>
              <w:rPr>
                <w:webHidden/>
              </w:rPr>
              <w:t>29</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503" w:history="1">
            <w:r w:rsidR="00206B81" w:rsidRPr="007F484F">
              <w:rPr>
                <w:rStyle w:val="Hiperveza"/>
              </w:rPr>
              <w:t>Podjela troškova kod priključka na susretne objekte ODS/HOPS</w:t>
            </w:r>
            <w:r w:rsidR="00206B81">
              <w:rPr>
                <w:webHidden/>
              </w:rPr>
              <w:tab/>
            </w:r>
            <w:r w:rsidR="00206B81">
              <w:rPr>
                <w:webHidden/>
              </w:rPr>
              <w:fldChar w:fldCharType="begin"/>
            </w:r>
            <w:r w:rsidR="00206B81">
              <w:rPr>
                <w:webHidden/>
              </w:rPr>
              <w:instrText xml:space="preserve"> PAGEREF _Toc105973503 \h </w:instrText>
            </w:r>
            <w:r w:rsidR="00206B81">
              <w:rPr>
                <w:webHidden/>
              </w:rPr>
            </w:r>
            <w:r w:rsidR="00206B81">
              <w:rPr>
                <w:webHidden/>
              </w:rPr>
              <w:fldChar w:fldCharType="separate"/>
            </w:r>
            <w:r>
              <w:rPr>
                <w:webHidden/>
              </w:rPr>
              <w:t>29</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504" w:history="1">
            <w:r w:rsidR="00206B81" w:rsidRPr="007F484F">
              <w:rPr>
                <w:rStyle w:val="Hiperveza"/>
              </w:rPr>
              <w:t>Automatska dodjela suglasnosti za priključak za jednofazni priključak male snage</w:t>
            </w:r>
            <w:r w:rsidR="00206B81">
              <w:rPr>
                <w:webHidden/>
              </w:rPr>
              <w:tab/>
            </w:r>
            <w:r w:rsidR="00206B81">
              <w:rPr>
                <w:webHidden/>
              </w:rPr>
              <w:fldChar w:fldCharType="begin"/>
            </w:r>
            <w:r w:rsidR="00206B81">
              <w:rPr>
                <w:webHidden/>
              </w:rPr>
              <w:instrText xml:space="preserve"> PAGEREF _Toc105973504 \h </w:instrText>
            </w:r>
            <w:r w:rsidR="00206B81">
              <w:rPr>
                <w:webHidden/>
              </w:rPr>
            </w:r>
            <w:r w:rsidR="00206B81">
              <w:rPr>
                <w:webHidden/>
              </w:rPr>
              <w:fldChar w:fldCharType="separate"/>
            </w:r>
            <w:r>
              <w:rPr>
                <w:webHidden/>
              </w:rPr>
              <w:t>29</w:t>
            </w:r>
            <w:r w:rsidR="00206B81">
              <w:rPr>
                <w:webHidden/>
              </w:rPr>
              <w:fldChar w:fldCharType="end"/>
            </w:r>
          </w:hyperlink>
        </w:p>
        <w:p w:rsidR="00206B81" w:rsidRDefault="009C3921">
          <w:pPr>
            <w:pStyle w:val="Sadraj2"/>
            <w:rPr>
              <w:rFonts w:asciiTheme="minorHAnsi" w:eastAsiaTheme="minorEastAsia" w:hAnsiTheme="minorHAnsi" w:cstheme="minorBidi"/>
              <w:b w:val="0"/>
              <w:i w:val="0"/>
              <w:iCs w:val="0"/>
              <w:smallCaps w:val="0"/>
              <w:sz w:val="22"/>
              <w:lang w:eastAsia="hr-HR"/>
            </w:rPr>
          </w:pPr>
          <w:hyperlink w:anchor="_Toc105973505" w:history="1">
            <w:r w:rsidR="00206B81" w:rsidRPr="007F484F">
              <w:rPr>
                <w:rStyle w:val="Hiperveza"/>
              </w:rPr>
              <w:t>8.</w:t>
            </w:r>
            <w:r w:rsidR="00206B81">
              <w:rPr>
                <w:rFonts w:asciiTheme="minorHAnsi" w:eastAsiaTheme="minorEastAsia" w:hAnsiTheme="minorHAnsi" w:cstheme="minorBidi"/>
                <w:b w:val="0"/>
                <w:i w:val="0"/>
                <w:iCs w:val="0"/>
                <w:smallCaps w:val="0"/>
                <w:sz w:val="22"/>
                <w:lang w:eastAsia="hr-HR"/>
              </w:rPr>
              <w:tab/>
            </w:r>
            <w:r w:rsidR="00206B81" w:rsidRPr="007F484F">
              <w:rPr>
                <w:rStyle w:val="Hiperveza"/>
              </w:rPr>
              <w:t>POTROŠNJA ENERGIJE IZ OBNOVLJIVIH IZVORA IZ VLASTITE PROIZVODNJE</w:t>
            </w:r>
            <w:r w:rsidR="00206B81">
              <w:rPr>
                <w:webHidden/>
              </w:rPr>
              <w:tab/>
            </w:r>
            <w:r w:rsidR="00206B81">
              <w:rPr>
                <w:webHidden/>
              </w:rPr>
              <w:fldChar w:fldCharType="begin"/>
            </w:r>
            <w:r w:rsidR="00206B81">
              <w:rPr>
                <w:webHidden/>
              </w:rPr>
              <w:instrText xml:space="preserve"> PAGEREF _Toc105973505 \h </w:instrText>
            </w:r>
            <w:r w:rsidR="00206B81">
              <w:rPr>
                <w:webHidden/>
              </w:rPr>
            </w:r>
            <w:r w:rsidR="00206B81">
              <w:rPr>
                <w:webHidden/>
              </w:rPr>
              <w:fldChar w:fldCharType="separate"/>
            </w:r>
            <w:r>
              <w:rPr>
                <w:webHidden/>
              </w:rPr>
              <w:t>30</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506" w:history="1">
            <w:r w:rsidR="00206B81" w:rsidRPr="007F484F">
              <w:rPr>
                <w:rStyle w:val="Hiperveza"/>
              </w:rPr>
              <w:t>Uvjeti predaje električne energije u mrežu na godišnjoj razini</w:t>
            </w:r>
            <w:r w:rsidR="00206B81">
              <w:rPr>
                <w:webHidden/>
              </w:rPr>
              <w:tab/>
            </w:r>
            <w:r w:rsidR="00206B81">
              <w:rPr>
                <w:webHidden/>
              </w:rPr>
              <w:fldChar w:fldCharType="begin"/>
            </w:r>
            <w:r w:rsidR="00206B81">
              <w:rPr>
                <w:webHidden/>
              </w:rPr>
              <w:instrText xml:space="preserve"> PAGEREF _Toc105973506 \h </w:instrText>
            </w:r>
            <w:r w:rsidR="00206B81">
              <w:rPr>
                <w:webHidden/>
              </w:rPr>
            </w:r>
            <w:r w:rsidR="00206B81">
              <w:rPr>
                <w:webHidden/>
              </w:rPr>
              <w:fldChar w:fldCharType="separate"/>
            </w:r>
            <w:r>
              <w:rPr>
                <w:webHidden/>
              </w:rPr>
              <w:t>30</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507" w:history="1">
            <w:r w:rsidR="00206B81" w:rsidRPr="007F484F">
              <w:rPr>
                <w:rStyle w:val="Hiperveza"/>
              </w:rPr>
              <w:t>Pravni okvir korištenja obnovljivih izvora u višestambenim zgradama</w:t>
            </w:r>
            <w:r w:rsidR="00206B81">
              <w:rPr>
                <w:webHidden/>
              </w:rPr>
              <w:tab/>
            </w:r>
            <w:r w:rsidR="00206B81">
              <w:rPr>
                <w:webHidden/>
              </w:rPr>
              <w:fldChar w:fldCharType="begin"/>
            </w:r>
            <w:r w:rsidR="00206B81">
              <w:rPr>
                <w:webHidden/>
              </w:rPr>
              <w:instrText xml:space="preserve"> PAGEREF _Toc105973507 \h </w:instrText>
            </w:r>
            <w:r w:rsidR="00206B81">
              <w:rPr>
                <w:webHidden/>
              </w:rPr>
            </w:r>
            <w:r w:rsidR="00206B81">
              <w:rPr>
                <w:webHidden/>
              </w:rPr>
              <w:fldChar w:fldCharType="separate"/>
            </w:r>
            <w:r>
              <w:rPr>
                <w:webHidden/>
              </w:rPr>
              <w:t>31</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508" w:history="1">
            <w:r w:rsidR="00206B81" w:rsidRPr="007F484F">
              <w:rPr>
                <w:rStyle w:val="Hiperveza"/>
              </w:rPr>
              <w:t>Sustav poticanja investicija za korištenje OIE u neposrednoj potrošnji</w:t>
            </w:r>
            <w:r w:rsidR="00206B81">
              <w:rPr>
                <w:webHidden/>
              </w:rPr>
              <w:tab/>
            </w:r>
            <w:r w:rsidR="00206B81">
              <w:rPr>
                <w:webHidden/>
              </w:rPr>
              <w:fldChar w:fldCharType="begin"/>
            </w:r>
            <w:r w:rsidR="00206B81">
              <w:rPr>
                <w:webHidden/>
              </w:rPr>
              <w:instrText xml:space="preserve"> PAGEREF _Toc105973508 \h </w:instrText>
            </w:r>
            <w:r w:rsidR="00206B81">
              <w:rPr>
                <w:webHidden/>
              </w:rPr>
            </w:r>
            <w:r w:rsidR="00206B81">
              <w:rPr>
                <w:webHidden/>
              </w:rPr>
              <w:fldChar w:fldCharType="separate"/>
            </w:r>
            <w:r>
              <w:rPr>
                <w:webHidden/>
              </w:rPr>
              <w:t>31</w:t>
            </w:r>
            <w:r w:rsidR="00206B81">
              <w:rPr>
                <w:webHidden/>
              </w:rPr>
              <w:fldChar w:fldCharType="end"/>
            </w:r>
          </w:hyperlink>
        </w:p>
        <w:p w:rsidR="00206B81" w:rsidRDefault="009C3921">
          <w:pPr>
            <w:pStyle w:val="Sadraj2"/>
            <w:rPr>
              <w:rFonts w:asciiTheme="minorHAnsi" w:eastAsiaTheme="minorEastAsia" w:hAnsiTheme="minorHAnsi" w:cstheme="minorBidi"/>
              <w:b w:val="0"/>
              <w:i w:val="0"/>
              <w:iCs w:val="0"/>
              <w:smallCaps w:val="0"/>
              <w:sz w:val="22"/>
              <w:lang w:eastAsia="hr-HR"/>
            </w:rPr>
          </w:pPr>
          <w:hyperlink w:anchor="_Toc105973509" w:history="1">
            <w:r w:rsidR="00206B81" w:rsidRPr="007F484F">
              <w:rPr>
                <w:rStyle w:val="Hiperveza"/>
              </w:rPr>
              <w:t>9.</w:t>
            </w:r>
            <w:r w:rsidR="00206B81">
              <w:rPr>
                <w:rFonts w:asciiTheme="minorHAnsi" w:eastAsiaTheme="minorEastAsia" w:hAnsiTheme="minorHAnsi" w:cstheme="minorBidi"/>
                <w:b w:val="0"/>
                <w:i w:val="0"/>
                <w:iCs w:val="0"/>
                <w:smallCaps w:val="0"/>
                <w:sz w:val="22"/>
                <w:lang w:eastAsia="hr-HR"/>
              </w:rPr>
              <w:tab/>
            </w:r>
            <w:r w:rsidR="00206B81" w:rsidRPr="007F484F">
              <w:rPr>
                <w:rStyle w:val="Hiperveza"/>
              </w:rPr>
              <w:t>ZAJEDNICE ENERGIJE IZ OBNOVLJIVIH IZVORA</w:t>
            </w:r>
            <w:r w:rsidR="00206B81">
              <w:rPr>
                <w:webHidden/>
              </w:rPr>
              <w:tab/>
            </w:r>
            <w:r w:rsidR="00206B81">
              <w:rPr>
                <w:webHidden/>
              </w:rPr>
              <w:fldChar w:fldCharType="begin"/>
            </w:r>
            <w:r w:rsidR="00206B81">
              <w:rPr>
                <w:webHidden/>
              </w:rPr>
              <w:instrText xml:space="preserve"> PAGEREF _Toc105973509 \h </w:instrText>
            </w:r>
            <w:r w:rsidR="00206B81">
              <w:rPr>
                <w:webHidden/>
              </w:rPr>
            </w:r>
            <w:r w:rsidR="00206B81">
              <w:rPr>
                <w:webHidden/>
              </w:rPr>
              <w:fldChar w:fldCharType="separate"/>
            </w:r>
            <w:r>
              <w:rPr>
                <w:webHidden/>
              </w:rPr>
              <w:t>32</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510" w:history="1">
            <w:r w:rsidR="00206B81" w:rsidRPr="007F484F">
              <w:rPr>
                <w:rStyle w:val="Hiperveza"/>
              </w:rPr>
              <w:t>Uređuje zajednice obnovljive energije</w:t>
            </w:r>
            <w:r w:rsidR="00206B81">
              <w:rPr>
                <w:webHidden/>
              </w:rPr>
              <w:tab/>
            </w:r>
            <w:r w:rsidR="00206B81">
              <w:rPr>
                <w:webHidden/>
              </w:rPr>
              <w:fldChar w:fldCharType="begin"/>
            </w:r>
            <w:r w:rsidR="00206B81">
              <w:rPr>
                <w:webHidden/>
              </w:rPr>
              <w:instrText xml:space="preserve"> PAGEREF _Toc105973510 \h </w:instrText>
            </w:r>
            <w:r w:rsidR="00206B81">
              <w:rPr>
                <w:webHidden/>
              </w:rPr>
            </w:r>
            <w:r w:rsidR="00206B81">
              <w:rPr>
                <w:webHidden/>
              </w:rPr>
              <w:fldChar w:fldCharType="separate"/>
            </w:r>
            <w:r>
              <w:rPr>
                <w:webHidden/>
              </w:rPr>
              <w:t>32</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511" w:history="1">
            <w:r w:rsidR="00206B81" w:rsidRPr="007F484F">
              <w:rPr>
                <w:rStyle w:val="Hiperveza"/>
              </w:rPr>
              <w:t>Tehničke pretpostavke (ugradnja naprednih brojila) za realizaciju zajednica energije iz obnovljivih izvora</w:t>
            </w:r>
            <w:r w:rsidR="00206B81">
              <w:rPr>
                <w:webHidden/>
              </w:rPr>
              <w:tab/>
            </w:r>
            <w:r w:rsidR="00206B81">
              <w:rPr>
                <w:webHidden/>
              </w:rPr>
              <w:fldChar w:fldCharType="begin"/>
            </w:r>
            <w:r w:rsidR="00206B81">
              <w:rPr>
                <w:webHidden/>
              </w:rPr>
              <w:instrText xml:space="preserve"> PAGEREF _Toc105973511 \h </w:instrText>
            </w:r>
            <w:r w:rsidR="00206B81">
              <w:rPr>
                <w:webHidden/>
              </w:rPr>
            </w:r>
            <w:r w:rsidR="00206B81">
              <w:rPr>
                <w:webHidden/>
              </w:rPr>
              <w:fldChar w:fldCharType="separate"/>
            </w:r>
            <w:r>
              <w:rPr>
                <w:webHidden/>
              </w:rPr>
              <w:t>32</w:t>
            </w:r>
            <w:r w:rsidR="00206B81">
              <w:rPr>
                <w:webHidden/>
              </w:rPr>
              <w:fldChar w:fldCharType="end"/>
            </w:r>
          </w:hyperlink>
        </w:p>
        <w:p w:rsidR="00206B81" w:rsidRDefault="009C3921">
          <w:pPr>
            <w:pStyle w:val="Sadraj2"/>
            <w:rPr>
              <w:rFonts w:asciiTheme="minorHAnsi" w:eastAsiaTheme="minorEastAsia" w:hAnsiTheme="minorHAnsi" w:cstheme="minorBidi"/>
              <w:b w:val="0"/>
              <w:i w:val="0"/>
              <w:iCs w:val="0"/>
              <w:smallCaps w:val="0"/>
              <w:sz w:val="22"/>
              <w:lang w:eastAsia="hr-HR"/>
            </w:rPr>
          </w:pPr>
          <w:hyperlink w:anchor="_Toc105973512" w:history="1">
            <w:r w:rsidR="00206B81" w:rsidRPr="007F484F">
              <w:rPr>
                <w:rStyle w:val="Hiperveza"/>
              </w:rPr>
              <w:t>10.</w:t>
            </w:r>
            <w:r w:rsidR="00206B81">
              <w:rPr>
                <w:rFonts w:asciiTheme="minorHAnsi" w:eastAsiaTheme="minorEastAsia" w:hAnsiTheme="minorHAnsi" w:cstheme="minorBidi"/>
                <w:b w:val="0"/>
                <w:i w:val="0"/>
                <w:iCs w:val="0"/>
                <w:smallCaps w:val="0"/>
                <w:sz w:val="22"/>
                <w:lang w:eastAsia="hr-HR"/>
              </w:rPr>
              <w:tab/>
            </w:r>
            <w:r w:rsidR="00206B81" w:rsidRPr="007F484F">
              <w:rPr>
                <w:rStyle w:val="Hiperveza"/>
              </w:rPr>
              <w:t>OSTALI POSTUPCI U PROCEDURI</w:t>
            </w:r>
            <w:r w:rsidR="00206B81">
              <w:rPr>
                <w:webHidden/>
              </w:rPr>
              <w:tab/>
            </w:r>
            <w:r w:rsidR="00206B81">
              <w:rPr>
                <w:webHidden/>
              </w:rPr>
              <w:fldChar w:fldCharType="begin"/>
            </w:r>
            <w:r w:rsidR="00206B81">
              <w:rPr>
                <w:webHidden/>
              </w:rPr>
              <w:instrText xml:space="preserve"> PAGEREF _Toc105973512 \h </w:instrText>
            </w:r>
            <w:r w:rsidR="00206B81">
              <w:rPr>
                <w:webHidden/>
              </w:rPr>
            </w:r>
            <w:r w:rsidR="00206B81">
              <w:rPr>
                <w:webHidden/>
              </w:rPr>
              <w:fldChar w:fldCharType="separate"/>
            </w:r>
            <w:r>
              <w:rPr>
                <w:webHidden/>
              </w:rPr>
              <w:t>32</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513" w:history="1">
            <w:r w:rsidR="00206B81" w:rsidRPr="007F484F">
              <w:rPr>
                <w:rStyle w:val="Hiperveza"/>
              </w:rPr>
              <w:t>Visina i način plaćanja komunalnog doprinosa i naknade</w:t>
            </w:r>
            <w:r w:rsidR="00206B81">
              <w:rPr>
                <w:webHidden/>
              </w:rPr>
              <w:tab/>
            </w:r>
            <w:r w:rsidR="00206B81">
              <w:rPr>
                <w:webHidden/>
              </w:rPr>
              <w:fldChar w:fldCharType="begin"/>
            </w:r>
            <w:r w:rsidR="00206B81">
              <w:rPr>
                <w:webHidden/>
              </w:rPr>
              <w:instrText xml:space="preserve"> PAGEREF _Toc105973513 \h </w:instrText>
            </w:r>
            <w:r w:rsidR="00206B81">
              <w:rPr>
                <w:webHidden/>
              </w:rPr>
            </w:r>
            <w:r w:rsidR="00206B81">
              <w:rPr>
                <w:webHidden/>
              </w:rPr>
              <w:fldChar w:fldCharType="separate"/>
            </w:r>
            <w:r>
              <w:rPr>
                <w:webHidden/>
              </w:rPr>
              <w:t>32</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514" w:history="1">
            <w:r w:rsidR="00206B81" w:rsidRPr="007F484F">
              <w:rPr>
                <w:rStyle w:val="Hiperveza"/>
              </w:rPr>
              <w:t>Podkapacitranost lokalnih ureda</w:t>
            </w:r>
            <w:r w:rsidR="00206B81">
              <w:rPr>
                <w:webHidden/>
              </w:rPr>
              <w:tab/>
            </w:r>
            <w:r w:rsidR="00206B81">
              <w:rPr>
                <w:webHidden/>
              </w:rPr>
              <w:fldChar w:fldCharType="begin"/>
            </w:r>
            <w:r w:rsidR="00206B81">
              <w:rPr>
                <w:webHidden/>
              </w:rPr>
              <w:instrText xml:space="preserve"> PAGEREF _Toc105973514 \h </w:instrText>
            </w:r>
            <w:r w:rsidR="00206B81">
              <w:rPr>
                <w:webHidden/>
              </w:rPr>
            </w:r>
            <w:r w:rsidR="00206B81">
              <w:rPr>
                <w:webHidden/>
              </w:rPr>
              <w:fldChar w:fldCharType="separate"/>
            </w:r>
            <w:r>
              <w:rPr>
                <w:webHidden/>
              </w:rPr>
              <w:t>33</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515" w:history="1">
            <w:r w:rsidR="00206B81" w:rsidRPr="007F484F">
              <w:rPr>
                <w:rStyle w:val="Hiperveza"/>
              </w:rPr>
              <w:t>Dugoročni ugovori o dobavi sirovine</w:t>
            </w:r>
            <w:r w:rsidR="00206B81">
              <w:rPr>
                <w:webHidden/>
              </w:rPr>
              <w:tab/>
            </w:r>
            <w:r w:rsidR="00206B81">
              <w:rPr>
                <w:webHidden/>
              </w:rPr>
              <w:fldChar w:fldCharType="begin"/>
            </w:r>
            <w:r w:rsidR="00206B81">
              <w:rPr>
                <w:webHidden/>
              </w:rPr>
              <w:instrText xml:space="preserve"> PAGEREF _Toc105973515 \h </w:instrText>
            </w:r>
            <w:r w:rsidR="00206B81">
              <w:rPr>
                <w:webHidden/>
              </w:rPr>
            </w:r>
            <w:r w:rsidR="00206B81">
              <w:rPr>
                <w:webHidden/>
              </w:rPr>
              <w:fldChar w:fldCharType="separate"/>
            </w:r>
            <w:r>
              <w:rPr>
                <w:webHidden/>
              </w:rPr>
              <w:t>33</w:t>
            </w:r>
            <w:r w:rsidR="00206B81">
              <w:rPr>
                <w:webHidden/>
              </w:rPr>
              <w:fldChar w:fldCharType="end"/>
            </w:r>
          </w:hyperlink>
        </w:p>
        <w:p w:rsidR="00206B81" w:rsidRDefault="009C3921">
          <w:pPr>
            <w:pStyle w:val="Sadraj2"/>
            <w:rPr>
              <w:rFonts w:asciiTheme="minorHAnsi" w:eastAsiaTheme="minorEastAsia" w:hAnsiTheme="minorHAnsi" w:cstheme="minorBidi"/>
              <w:b w:val="0"/>
              <w:i w:val="0"/>
              <w:iCs w:val="0"/>
              <w:smallCaps w:val="0"/>
              <w:sz w:val="22"/>
              <w:lang w:eastAsia="hr-HR"/>
            </w:rPr>
          </w:pPr>
          <w:hyperlink w:anchor="_Toc105973516" w:history="1">
            <w:r w:rsidR="00206B81" w:rsidRPr="007F484F">
              <w:rPr>
                <w:rStyle w:val="Hiperveza"/>
              </w:rPr>
              <w:t>11.</w:t>
            </w:r>
            <w:r w:rsidR="00206B81">
              <w:rPr>
                <w:rFonts w:asciiTheme="minorHAnsi" w:eastAsiaTheme="minorEastAsia" w:hAnsiTheme="minorHAnsi" w:cstheme="minorBidi"/>
                <w:b w:val="0"/>
                <w:i w:val="0"/>
                <w:iCs w:val="0"/>
                <w:smallCaps w:val="0"/>
                <w:sz w:val="22"/>
                <w:lang w:eastAsia="hr-HR"/>
              </w:rPr>
              <w:tab/>
            </w:r>
            <w:r w:rsidR="00206B81" w:rsidRPr="007F484F">
              <w:rPr>
                <w:rStyle w:val="Hiperveza"/>
              </w:rPr>
              <w:t>REGISTAR OIEKPP</w:t>
            </w:r>
            <w:r w:rsidR="00206B81">
              <w:rPr>
                <w:webHidden/>
              </w:rPr>
              <w:tab/>
            </w:r>
            <w:r w:rsidR="00206B81">
              <w:rPr>
                <w:webHidden/>
              </w:rPr>
              <w:fldChar w:fldCharType="begin"/>
            </w:r>
            <w:r w:rsidR="00206B81">
              <w:rPr>
                <w:webHidden/>
              </w:rPr>
              <w:instrText xml:space="preserve"> PAGEREF _Toc105973516 \h </w:instrText>
            </w:r>
            <w:r w:rsidR="00206B81">
              <w:rPr>
                <w:webHidden/>
              </w:rPr>
            </w:r>
            <w:r w:rsidR="00206B81">
              <w:rPr>
                <w:webHidden/>
              </w:rPr>
              <w:fldChar w:fldCharType="separate"/>
            </w:r>
            <w:r>
              <w:rPr>
                <w:webHidden/>
              </w:rPr>
              <w:t>33</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517" w:history="1">
            <w:r w:rsidR="00206B81" w:rsidRPr="007F484F">
              <w:rPr>
                <w:rStyle w:val="Hiperveza"/>
              </w:rPr>
              <w:t>Pristup Registru OIEKPP</w:t>
            </w:r>
            <w:r w:rsidR="00206B81">
              <w:rPr>
                <w:webHidden/>
              </w:rPr>
              <w:tab/>
            </w:r>
            <w:r w:rsidR="00206B81">
              <w:rPr>
                <w:webHidden/>
              </w:rPr>
              <w:fldChar w:fldCharType="begin"/>
            </w:r>
            <w:r w:rsidR="00206B81">
              <w:rPr>
                <w:webHidden/>
              </w:rPr>
              <w:instrText xml:space="preserve"> PAGEREF _Toc105973517 \h </w:instrText>
            </w:r>
            <w:r w:rsidR="00206B81">
              <w:rPr>
                <w:webHidden/>
              </w:rPr>
            </w:r>
            <w:r w:rsidR="00206B81">
              <w:rPr>
                <w:webHidden/>
              </w:rPr>
              <w:fldChar w:fldCharType="separate"/>
            </w:r>
            <w:r>
              <w:rPr>
                <w:webHidden/>
              </w:rPr>
              <w:t>34</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518" w:history="1">
            <w:r w:rsidR="00206B81" w:rsidRPr="007F484F">
              <w:rPr>
                <w:rStyle w:val="Hiperveza"/>
              </w:rPr>
              <w:t>Izvoz prostornih podataka</w:t>
            </w:r>
            <w:r w:rsidR="00206B81">
              <w:rPr>
                <w:webHidden/>
              </w:rPr>
              <w:tab/>
            </w:r>
            <w:r w:rsidR="00206B81">
              <w:rPr>
                <w:webHidden/>
              </w:rPr>
              <w:fldChar w:fldCharType="begin"/>
            </w:r>
            <w:r w:rsidR="00206B81">
              <w:rPr>
                <w:webHidden/>
              </w:rPr>
              <w:instrText xml:space="preserve"> PAGEREF _Toc105973518 \h </w:instrText>
            </w:r>
            <w:r w:rsidR="00206B81">
              <w:rPr>
                <w:webHidden/>
              </w:rPr>
            </w:r>
            <w:r w:rsidR="00206B81">
              <w:rPr>
                <w:webHidden/>
              </w:rPr>
              <w:fldChar w:fldCharType="separate"/>
            </w:r>
            <w:r>
              <w:rPr>
                <w:webHidden/>
              </w:rPr>
              <w:t>34</w:t>
            </w:r>
            <w:r w:rsidR="00206B81">
              <w:rPr>
                <w:webHidden/>
              </w:rPr>
              <w:fldChar w:fldCharType="end"/>
            </w:r>
          </w:hyperlink>
        </w:p>
        <w:p w:rsidR="00206B81" w:rsidRDefault="009C3921">
          <w:pPr>
            <w:pStyle w:val="Sadraj2"/>
            <w:rPr>
              <w:rFonts w:asciiTheme="minorHAnsi" w:eastAsiaTheme="minorEastAsia" w:hAnsiTheme="minorHAnsi" w:cstheme="minorBidi"/>
              <w:b w:val="0"/>
              <w:i w:val="0"/>
              <w:iCs w:val="0"/>
              <w:smallCaps w:val="0"/>
              <w:sz w:val="22"/>
              <w:lang w:eastAsia="hr-HR"/>
            </w:rPr>
          </w:pPr>
          <w:hyperlink w:anchor="_Toc105973519" w:history="1">
            <w:r w:rsidR="00206B81" w:rsidRPr="007F484F">
              <w:rPr>
                <w:rStyle w:val="Hiperveza"/>
              </w:rPr>
              <w:t>12.</w:t>
            </w:r>
            <w:r w:rsidR="00206B81">
              <w:rPr>
                <w:rFonts w:asciiTheme="minorHAnsi" w:eastAsiaTheme="minorEastAsia" w:hAnsiTheme="minorHAnsi" w:cstheme="minorBidi"/>
                <w:b w:val="0"/>
                <w:i w:val="0"/>
                <w:iCs w:val="0"/>
                <w:smallCaps w:val="0"/>
                <w:sz w:val="22"/>
                <w:lang w:eastAsia="hr-HR"/>
              </w:rPr>
              <w:tab/>
            </w:r>
            <w:r w:rsidR="00206B81" w:rsidRPr="007F484F">
              <w:rPr>
                <w:rStyle w:val="Hiperveza"/>
              </w:rPr>
              <w:t>JAČANJE ADMINISTRATIVNIH KAPACITETA</w:t>
            </w:r>
            <w:r w:rsidR="00206B81">
              <w:rPr>
                <w:webHidden/>
              </w:rPr>
              <w:tab/>
            </w:r>
            <w:r w:rsidR="00206B81">
              <w:rPr>
                <w:webHidden/>
              </w:rPr>
              <w:fldChar w:fldCharType="begin"/>
            </w:r>
            <w:r w:rsidR="00206B81">
              <w:rPr>
                <w:webHidden/>
              </w:rPr>
              <w:instrText xml:space="preserve"> PAGEREF _Toc105973519 \h </w:instrText>
            </w:r>
            <w:r w:rsidR="00206B81">
              <w:rPr>
                <w:webHidden/>
              </w:rPr>
            </w:r>
            <w:r w:rsidR="00206B81">
              <w:rPr>
                <w:webHidden/>
              </w:rPr>
              <w:fldChar w:fldCharType="separate"/>
            </w:r>
            <w:r>
              <w:rPr>
                <w:webHidden/>
              </w:rPr>
              <w:t>34</w:t>
            </w:r>
            <w:r w:rsidR="00206B81">
              <w:rPr>
                <w:webHidden/>
              </w:rPr>
              <w:fldChar w:fldCharType="end"/>
            </w:r>
          </w:hyperlink>
        </w:p>
        <w:p w:rsidR="00206B81" w:rsidRDefault="009C3921">
          <w:pPr>
            <w:pStyle w:val="Sadraj2"/>
            <w:rPr>
              <w:rFonts w:asciiTheme="minorHAnsi" w:eastAsiaTheme="minorEastAsia" w:hAnsiTheme="minorHAnsi" w:cstheme="minorBidi"/>
              <w:b w:val="0"/>
              <w:i w:val="0"/>
              <w:iCs w:val="0"/>
              <w:smallCaps w:val="0"/>
              <w:sz w:val="22"/>
              <w:lang w:eastAsia="hr-HR"/>
            </w:rPr>
          </w:pPr>
          <w:hyperlink w:anchor="_Toc105973520" w:history="1">
            <w:r w:rsidR="00206B81" w:rsidRPr="007F484F">
              <w:rPr>
                <w:rStyle w:val="Hiperveza"/>
              </w:rPr>
              <w:t>13.</w:t>
            </w:r>
            <w:r w:rsidR="00206B81">
              <w:rPr>
                <w:rFonts w:asciiTheme="minorHAnsi" w:eastAsiaTheme="minorEastAsia" w:hAnsiTheme="minorHAnsi" w:cstheme="minorBidi"/>
                <w:b w:val="0"/>
                <w:i w:val="0"/>
                <w:iCs w:val="0"/>
                <w:smallCaps w:val="0"/>
                <w:sz w:val="22"/>
                <w:lang w:eastAsia="hr-HR"/>
              </w:rPr>
              <w:tab/>
            </w:r>
            <w:r w:rsidR="00206B81" w:rsidRPr="007F484F">
              <w:rPr>
                <w:rStyle w:val="Hiperveza"/>
              </w:rPr>
              <w:t>ULOGA I AKTIVNOSTI TIJELA U SUSTAVU</w:t>
            </w:r>
            <w:r w:rsidR="00206B81">
              <w:rPr>
                <w:webHidden/>
              </w:rPr>
              <w:tab/>
            </w:r>
            <w:r w:rsidR="00206B81">
              <w:rPr>
                <w:webHidden/>
              </w:rPr>
              <w:fldChar w:fldCharType="begin"/>
            </w:r>
            <w:r w:rsidR="00206B81">
              <w:rPr>
                <w:webHidden/>
              </w:rPr>
              <w:instrText xml:space="preserve"> PAGEREF _Toc105973520 \h </w:instrText>
            </w:r>
            <w:r w:rsidR="00206B81">
              <w:rPr>
                <w:webHidden/>
              </w:rPr>
            </w:r>
            <w:r w:rsidR="00206B81">
              <w:rPr>
                <w:webHidden/>
              </w:rPr>
              <w:fldChar w:fldCharType="separate"/>
            </w:r>
            <w:r>
              <w:rPr>
                <w:webHidden/>
              </w:rPr>
              <w:t>35</w:t>
            </w:r>
            <w:r w:rsidR="00206B81">
              <w:rPr>
                <w:webHidden/>
              </w:rPr>
              <w:fldChar w:fldCharType="end"/>
            </w:r>
          </w:hyperlink>
        </w:p>
        <w:p w:rsidR="00206B81" w:rsidRDefault="009C3921">
          <w:pPr>
            <w:pStyle w:val="Sadraj2"/>
            <w:rPr>
              <w:rFonts w:asciiTheme="minorHAnsi" w:eastAsiaTheme="minorEastAsia" w:hAnsiTheme="minorHAnsi" w:cstheme="minorBidi"/>
              <w:b w:val="0"/>
              <w:i w:val="0"/>
              <w:iCs w:val="0"/>
              <w:smallCaps w:val="0"/>
              <w:sz w:val="22"/>
              <w:lang w:eastAsia="hr-HR"/>
            </w:rPr>
          </w:pPr>
          <w:hyperlink w:anchor="_Toc105973521" w:history="1">
            <w:r w:rsidR="00206B81" w:rsidRPr="007F484F">
              <w:rPr>
                <w:rStyle w:val="Hiperveza"/>
              </w:rPr>
              <w:t>14.</w:t>
            </w:r>
            <w:r w:rsidR="00206B81">
              <w:rPr>
                <w:rFonts w:asciiTheme="minorHAnsi" w:eastAsiaTheme="minorEastAsia" w:hAnsiTheme="minorHAnsi" w:cstheme="minorBidi"/>
                <w:b w:val="0"/>
                <w:i w:val="0"/>
                <w:iCs w:val="0"/>
                <w:smallCaps w:val="0"/>
                <w:sz w:val="22"/>
                <w:lang w:eastAsia="hr-HR"/>
              </w:rPr>
              <w:tab/>
            </w:r>
            <w:r w:rsidR="00206B81" w:rsidRPr="007F484F">
              <w:rPr>
                <w:rStyle w:val="Hiperveza"/>
              </w:rPr>
              <w:t>USKLAĐENOST PROPISA</w:t>
            </w:r>
            <w:r w:rsidR="00206B81">
              <w:rPr>
                <w:webHidden/>
              </w:rPr>
              <w:tab/>
            </w:r>
            <w:r w:rsidR="00206B81">
              <w:rPr>
                <w:webHidden/>
              </w:rPr>
              <w:fldChar w:fldCharType="begin"/>
            </w:r>
            <w:r w:rsidR="00206B81">
              <w:rPr>
                <w:webHidden/>
              </w:rPr>
              <w:instrText xml:space="preserve"> PAGEREF _Toc105973521 \h </w:instrText>
            </w:r>
            <w:r w:rsidR="00206B81">
              <w:rPr>
                <w:webHidden/>
              </w:rPr>
            </w:r>
            <w:r w:rsidR="00206B81">
              <w:rPr>
                <w:webHidden/>
              </w:rPr>
              <w:fldChar w:fldCharType="separate"/>
            </w:r>
            <w:r>
              <w:rPr>
                <w:webHidden/>
              </w:rPr>
              <w:t>36</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522" w:history="1">
            <w:r w:rsidR="00206B81" w:rsidRPr="007F484F">
              <w:rPr>
                <w:rStyle w:val="Hiperveza"/>
              </w:rPr>
              <w:t>Donošenje podzakonskih akata</w:t>
            </w:r>
            <w:r w:rsidR="00206B81">
              <w:rPr>
                <w:webHidden/>
              </w:rPr>
              <w:tab/>
            </w:r>
            <w:r w:rsidR="00206B81">
              <w:rPr>
                <w:webHidden/>
              </w:rPr>
              <w:fldChar w:fldCharType="begin"/>
            </w:r>
            <w:r w:rsidR="00206B81">
              <w:rPr>
                <w:webHidden/>
              </w:rPr>
              <w:instrText xml:space="preserve"> PAGEREF _Toc105973522 \h </w:instrText>
            </w:r>
            <w:r w:rsidR="00206B81">
              <w:rPr>
                <w:webHidden/>
              </w:rPr>
            </w:r>
            <w:r w:rsidR="00206B81">
              <w:rPr>
                <w:webHidden/>
              </w:rPr>
              <w:fldChar w:fldCharType="separate"/>
            </w:r>
            <w:r>
              <w:rPr>
                <w:webHidden/>
              </w:rPr>
              <w:t>36</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523" w:history="1">
            <w:r w:rsidR="00206B81" w:rsidRPr="007F484F">
              <w:rPr>
                <w:rStyle w:val="Hiperveza"/>
              </w:rPr>
              <w:t>Međusektorska usklađenost propisa</w:t>
            </w:r>
            <w:r w:rsidR="00206B81">
              <w:rPr>
                <w:webHidden/>
              </w:rPr>
              <w:tab/>
            </w:r>
            <w:r w:rsidR="00206B81">
              <w:rPr>
                <w:webHidden/>
              </w:rPr>
              <w:fldChar w:fldCharType="begin"/>
            </w:r>
            <w:r w:rsidR="00206B81">
              <w:rPr>
                <w:webHidden/>
              </w:rPr>
              <w:instrText xml:space="preserve"> PAGEREF _Toc105973523 \h </w:instrText>
            </w:r>
            <w:r w:rsidR="00206B81">
              <w:rPr>
                <w:webHidden/>
              </w:rPr>
            </w:r>
            <w:r w:rsidR="00206B81">
              <w:rPr>
                <w:webHidden/>
              </w:rPr>
              <w:fldChar w:fldCharType="separate"/>
            </w:r>
            <w:r>
              <w:rPr>
                <w:webHidden/>
              </w:rPr>
              <w:t>36</w:t>
            </w:r>
            <w:r w:rsidR="00206B81">
              <w:rPr>
                <w:webHidden/>
              </w:rPr>
              <w:fldChar w:fldCharType="end"/>
            </w:r>
          </w:hyperlink>
        </w:p>
        <w:p w:rsidR="00206B81" w:rsidRDefault="009C3921">
          <w:pPr>
            <w:pStyle w:val="Sadraj3"/>
            <w:rPr>
              <w:rFonts w:asciiTheme="minorHAnsi" w:eastAsiaTheme="minorEastAsia" w:hAnsiTheme="minorHAnsi" w:cstheme="minorBidi"/>
              <w:i w:val="0"/>
              <w:color w:val="auto"/>
              <w:sz w:val="22"/>
              <w:szCs w:val="22"/>
              <w:lang w:eastAsia="hr-HR"/>
            </w:rPr>
          </w:pPr>
          <w:hyperlink w:anchor="_Toc105973524" w:history="1">
            <w:r w:rsidR="00206B81" w:rsidRPr="007F484F">
              <w:rPr>
                <w:rStyle w:val="Hiperveza"/>
              </w:rPr>
              <w:t>Prilagođenost propisa za nove tehnologije</w:t>
            </w:r>
            <w:r w:rsidR="00206B81">
              <w:rPr>
                <w:webHidden/>
              </w:rPr>
              <w:tab/>
            </w:r>
            <w:r w:rsidR="00206B81">
              <w:rPr>
                <w:webHidden/>
              </w:rPr>
              <w:fldChar w:fldCharType="begin"/>
            </w:r>
            <w:r w:rsidR="00206B81">
              <w:rPr>
                <w:webHidden/>
              </w:rPr>
              <w:instrText xml:space="preserve"> PAGEREF _Toc105973524 \h </w:instrText>
            </w:r>
            <w:r w:rsidR="00206B81">
              <w:rPr>
                <w:webHidden/>
              </w:rPr>
            </w:r>
            <w:r w:rsidR="00206B81">
              <w:rPr>
                <w:webHidden/>
              </w:rPr>
              <w:fldChar w:fldCharType="separate"/>
            </w:r>
            <w:r>
              <w:rPr>
                <w:webHidden/>
              </w:rPr>
              <w:t>37</w:t>
            </w:r>
            <w:r w:rsidR="00206B81">
              <w:rPr>
                <w:webHidden/>
              </w:rPr>
              <w:fldChar w:fldCharType="end"/>
            </w:r>
          </w:hyperlink>
        </w:p>
        <w:p w:rsidR="00206B81" w:rsidRDefault="009C3921">
          <w:pPr>
            <w:pStyle w:val="Sadraj1"/>
            <w:rPr>
              <w:rFonts w:asciiTheme="minorHAnsi" w:eastAsiaTheme="minorEastAsia" w:hAnsiTheme="minorHAnsi" w:cstheme="minorBidi"/>
              <w:b w:val="0"/>
              <w:caps w:val="0"/>
              <w:sz w:val="22"/>
              <w:lang w:eastAsia="hr-HR"/>
            </w:rPr>
          </w:pPr>
          <w:hyperlink w:anchor="_Toc105973525" w:history="1">
            <w:r w:rsidR="00206B81" w:rsidRPr="007F484F">
              <w:rPr>
                <w:rStyle w:val="Hiperveza"/>
              </w:rPr>
              <w:t>ZAKLJUČAK</w:t>
            </w:r>
            <w:r w:rsidR="00206B81">
              <w:rPr>
                <w:webHidden/>
              </w:rPr>
              <w:tab/>
            </w:r>
            <w:r w:rsidR="00206B81">
              <w:rPr>
                <w:webHidden/>
              </w:rPr>
              <w:fldChar w:fldCharType="begin"/>
            </w:r>
            <w:r w:rsidR="00206B81">
              <w:rPr>
                <w:webHidden/>
              </w:rPr>
              <w:instrText xml:space="preserve"> PAGEREF _Toc105973525 \h </w:instrText>
            </w:r>
            <w:r w:rsidR="00206B81">
              <w:rPr>
                <w:webHidden/>
              </w:rPr>
            </w:r>
            <w:r w:rsidR="00206B81">
              <w:rPr>
                <w:webHidden/>
              </w:rPr>
              <w:fldChar w:fldCharType="separate"/>
            </w:r>
            <w:r>
              <w:rPr>
                <w:webHidden/>
              </w:rPr>
              <w:t>38</w:t>
            </w:r>
            <w:r w:rsidR="00206B81">
              <w:rPr>
                <w:webHidden/>
              </w:rPr>
              <w:fldChar w:fldCharType="end"/>
            </w:r>
          </w:hyperlink>
        </w:p>
        <w:p w:rsidR="00206B81" w:rsidRDefault="009C3921">
          <w:pPr>
            <w:pStyle w:val="Sadraj1"/>
            <w:rPr>
              <w:rFonts w:asciiTheme="minorHAnsi" w:eastAsiaTheme="minorEastAsia" w:hAnsiTheme="minorHAnsi" w:cstheme="minorBidi"/>
              <w:b w:val="0"/>
              <w:caps w:val="0"/>
              <w:sz w:val="22"/>
              <w:lang w:eastAsia="hr-HR"/>
            </w:rPr>
          </w:pPr>
          <w:hyperlink w:anchor="_Toc105973526" w:history="1">
            <w:r w:rsidR="00206B81" w:rsidRPr="007F484F">
              <w:rPr>
                <w:rStyle w:val="Hiperveza"/>
              </w:rPr>
              <w:t>REFERENCE</w:t>
            </w:r>
            <w:r w:rsidR="00206B81">
              <w:rPr>
                <w:webHidden/>
              </w:rPr>
              <w:tab/>
            </w:r>
            <w:r w:rsidR="00206B81">
              <w:rPr>
                <w:webHidden/>
              </w:rPr>
              <w:fldChar w:fldCharType="begin"/>
            </w:r>
            <w:r w:rsidR="00206B81">
              <w:rPr>
                <w:webHidden/>
              </w:rPr>
              <w:instrText xml:space="preserve"> PAGEREF _Toc105973526 \h </w:instrText>
            </w:r>
            <w:r w:rsidR="00206B81">
              <w:rPr>
                <w:webHidden/>
              </w:rPr>
            </w:r>
            <w:r w:rsidR="00206B81">
              <w:rPr>
                <w:webHidden/>
              </w:rPr>
              <w:fldChar w:fldCharType="separate"/>
            </w:r>
            <w:r>
              <w:rPr>
                <w:webHidden/>
              </w:rPr>
              <w:t>40</w:t>
            </w:r>
            <w:r w:rsidR="00206B81">
              <w:rPr>
                <w:webHidden/>
              </w:rPr>
              <w:fldChar w:fldCharType="end"/>
            </w:r>
          </w:hyperlink>
        </w:p>
        <w:p w:rsidR="00192851" w:rsidRPr="00D70CC4" w:rsidRDefault="00192851">
          <w:pPr>
            <w:rPr>
              <w:rFonts w:ascii="Times New Roman" w:hAnsi="Times New Roman" w:cs="Times New Roman"/>
              <w:sz w:val="24"/>
              <w:szCs w:val="24"/>
            </w:rPr>
          </w:pPr>
          <w:r w:rsidRPr="00D70CC4">
            <w:rPr>
              <w:rFonts w:ascii="Times New Roman" w:hAnsi="Times New Roman" w:cs="Times New Roman"/>
              <w:b/>
              <w:smallCaps/>
              <w:noProof/>
              <w:sz w:val="24"/>
              <w:szCs w:val="24"/>
            </w:rPr>
            <w:fldChar w:fldCharType="end"/>
          </w:r>
        </w:p>
      </w:sdtContent>
    </w:sdt>
    <w:p w:rsidR="0049552E" w:rsidRDefault="0049552E">
      <w:pPr>
        <w:spacing w:after="160" w:line="259" w:lineRule="auto"/>
        <w:rPr>
          <w:rFonts w:ascii="Times New Roman" w:eastAsiaTheme="majorEastAsia" w:hAnsi="Times New Roman" w:cs="Tahoma"/>
          <w:b/>
          <w:i/>
          <w:smallCaps/>
          <w:kern w:val="32"/>
          <w:sz w:val="24"/>
          <w:szCs w:val="24"/>
        </w:rPr>
      </w:pPr>
      <w:bookmarkStart w:id="1" w:name="_Toc105756574"/>
      <w:r>
        <w:rPr>
          <w:szCs w:val="24"/>
        </w:rPr>
        <w:br w:type="page"/>
      </w:r>
    </w:p>
    <w:p w:rsidR="00C74841" w:rsidRPr="0024150C" w:rsidRDefault="0079456B" w:rsidP="00872208">
      <w:pPr>
        <w:pStyle w:val="Naslov1"/>
      </w:pPr>
      <w:bookmarkStart w:id="2" w:name="_Toc105973463"/>
      <w:bookmarkEnd w:id="0"/>
      <w:bookmarkEnd w:id="1"/>
      <w:r>
        <w:lastRenderedPageBreak/>
        <w:t>POPIS KRATICA</w:t>
      </w:r>
      <w:bookmarkEnd w:id="2"/>
    </w:p>
    <w:tbl>
      <w:tblPr>
        <w:tblW w:w="9072" w:type="dxa"/>
        <w:tblLook w:val="04A0" w:firstRow="1" w:lastRow="0" w:firstColumn="1" w:lastColumn="0" w:noHBand="0" w:noVBand="1"/>
      </w:tblPr>
      <w:tblGrid>
        <w:gridCol w:w="1296"/>
        <w:gridCol w:w="7869"/>
      </w:tblGrid>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7951C4" w:rsidRDefault="007951C4" w:rsidP="002D7C87">
            <w:pPr>
              <w:spacing w:after="0"/>
              <w:rPr>
                <w:rFonts w:ascii="Times New Roman" w:eastAsia="Times New Roman" w:hAnsi="Times New Roman" w:cs="Times New Roman"/>
                <w:sz w:val="24"/>
                <w:szCs w:val="24"/>
                <w:lang w:eastAsia="en-GB"/>
              </w:rPr>
            </w:pPr>
          </w:p>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EES</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Elektroenergetska suglasnost</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EMP</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Elaborat mogućnosti priključenja</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EOTRP</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Elaborat optimalnog tehničkog rješenja priključka</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EZO</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Elaborat zaštite okoliša</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HERA</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Hrvatska energetska regulatorna agencija</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HROTE</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Hrvatski operator tržišta energije d.o.o.</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BC50A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MINGOR</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Ministarstvo gospodarstva i održivog razvoja</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NPOO</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Nacionalni plan oporavka i otpornosti 2021. – 2026.</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OIE</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Obnovljivi izvori energije</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OIEKPP</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(Registar) obnovljivih izvora energije i kogeneracije te povlaštenih proizvođača</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OPUO</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Ocjena o potrebi procjene utjecaja zahvata na okoliš</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PP</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Prostorni plan</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PPUO/G</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Prostorni plan uređenja općine/grada</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PUO</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Procjena utjecaja zahvata na okoliš</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SE</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Sunčane elektrane</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STUM</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Stvaranje tehničkih uvjeta u mreži</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SUO</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Studija utjecaja na okoliš</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VE</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Vjetroelektrane</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ZoOIEiVK</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Zakon o obnovljivim izvorima energije i visokoučinkovitoj kogeneraciji</w:t>
            </w:r>
          </w:p>
        </w:tc>
      </w:tr>
      <w:tr w:rsidR="002D7C87" w:rsidRPr="00003942" w:rsidTr="002D7C87">
        <w:trPr>
          <w:trHeight w:val="290"/>
        </w:trPr>
        <w:tc>
          <w:tcPr>
            <w:tcW w:w="1203" w:type="dxa"/>
            <w:tcBorders>
              <w:top w:val="nil"/>
              <w:left w:val="nil"/>
              <w:bottom w:val="nil"/>
              <w:right w:val="nil"/>
            </w:tcBorders>
            <w:shd w:val="clear" w:color="auto" w:fill="auto"/>
            <w:noWrap/>
            <w:vAlign w:val="bottom"/>
            <w:hideMark/>
          </w:tcPr>
          <w:p w:rsidR="00DF7141" w:rsidRPr="00003942" w:rsidRDefault="00DF7141" w:rsidP="002D7C87">
            <w:pPr>
              <w:spacing w:after="0"/>
              <w:rPr>
                <w:rFonts w:ascii="Times New Roman" w:eastAsia="Times New Roman" w:hAnsi="Times New Roman" w:cs="Times New Roman"/>
                <w:sz w:val="24"/>
                <w:szCs w:val="24"/>
                <w:lang w:eastAsia="en-GB"/>
              </w:rPr>
            </w:pPr>
            <w:r w:rsidRPr="00003942">
              <w:rPr>
                <w:rFonts w:ascii="Times New Roman" w:eastAsia="Times New Roman" w:hAnsi="Times New Roman" w:cs="Times New Roman"/>
                <w:sz w:val="24"/>
                <w:szCs w:val="24"/>
                <w:lang w:eastAsia="en-GB"/>
              </w:rPr>
              <w:t>ZoTEE</w:t>
            </w:r>
          </w:p>
        </w:tc>
        <w:tc>
          <w:tcPr>
            <w:tcW w:w="7869" w:type="dxa"/>
            <w:tcBorders>
              <w:top w:val="nil"/>
              <w:left w:val="nil"/>
              <w:bottom w:val="nil"/>
              <w:right w:val="nil"/>
            </w:tcBorders>
            <w:shd w:val="clear" w:color="auto" w:fill="auto"/>
            <w:noWrap/>
            <w:vAlign w:val="bottom"/>
            <w:hideMark/>
          </w:tcPr>
          <w:p w:rsidR="00DF7141" w:rsidRPr="00F63D65" w:rsidRDefault="00DF7141" w:rsidP="002D7C87">
            <w:pPr>
              <w:spacing w:after="0"/>
              <w:rPr>
                <w:rFonts w:ascii="Times New Roman" w:eastAsia="Times New Roman" w:hAnsi="Times New Roman" w:cs="Times New Roman"/>
                <w:sz w:val="24"/>
                <w:szCs w:val="24"/>
                <w:lang w:eastAsia="en-GB"/>
              </w:rPr>
            </w:pPr>
            <w:r w:rsidRPr="00F63D65">
              <w:rPr>
                <w:rFonts w:ascii="Times New Roman" w:eastAsia="Times New Roman" w:hAnsi="Times New Roman" w:cs="Times New Roman"/>
                <w:sz w:val="24"/>
                <w:szCs w:val="24"/>
                <w:lang w:eastAsia="en-GB"/>
              </w:rPr>
              <w:t>Zakon o tržištu električne energije</w:t>
            </w:r>
          </w:p>
        </w:tc>
      </w:tr>
    </w:tbl>
    <w:p w:rsidR="00DF7141" w:rsidRPr="008609F9" w:rsidRDefault="00160EB9" w:rsidP="007951C4">
      <w:pPr>
        <w:pStyle w:val="Tijeloteksta"/>
        <w:ind w:firstLine="142"/>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ZOE              </w:t>
      </w:r>
      <w:r w:rsidRPr="00596944">
        <w:rPr>
          <w:rFonts w:ascii="Times New Roman" w:hAnsi="Times New Roman" w:cs="Times New Roman"/>
          <w:color w:val="auto"/>
          <w:sz w:val="24"/>
          <w:szCs w:val="24"/>
        </w:rPr>
        <w:t>Zakon o energiji</w:t>
      </w:r>
    </w:p>
    <w:p w:rsidR="007951C4" w:rsidRDefault="007951C4">
      <w:pPr>
        <w:spacing w:after="160" w:line="259" w:lineRule="auto"/>
        <w:rPr>
          <w:rFonts w:ascii="Times New Roman" w:hAnsi="Times New Roman" w:cs="Times New Roman"/>
          <w:b/>
          <w:sz w:val="24"/>
          <w:szCs w:val="24"/>
        </w:rPr>
      </w:pPr>
      <w:bookmarkStart w:id="3" w:name="_Toc105137857"/>
      <w:r>
        <w:rPr>
          <w:rFonts w:ascii="Times New Roman" w:hAnsi="Times New Roman" w:cs="Times New Roman"/>
          <w:b/>
          <w:sz w:val="24"/>
          <w:szCs w:val="24"/>
        </w:rPr>
        <w:br w:type="page"/>
      </w:r>
    </w:p>
    <w:p w:rsidR="007951C4" w:rsidRDefault="007951C4" w:rsidP="00872208">
      <w:pPr>
        <w:pStyle w:val="Naslov1"/>
      </w:pPr>
      <w:bookmarkStart w:id="4" w:name="_Toc105973464"/>
      <w:bookmarkEnd w:id="3"/>
      <w:r>
        <w:lastRenderedPageBreak/>
        <w:t>PROJEKTNI ZADATAK</w:t>
      </w:r>
      <w:r w:rsidR="0079456B">
        <w:t xml:space="preserve"> I OPIS AKTIVNOSTI</w:t>
      </w:r>
      <w:bookmarkEnd w:id="4"/>
    </w:p>
    <w:p w:rsidR="00DF7141" w:rsidRPr="00003942" w:rsidRDefault="001528AF"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Nacionalni plan oporavka i otpornosti 2021. – 2026. (dalje u tekstu NPOO) </w:t>
      </w:r>
      <w:r w:rsidR="00DF7141" w:rsidRPr="00003942">
        <w:rPr>
          <w:rFonts w:ascii="Times New Roman" w:hAnsi="Times New Roman" w:cs="Times New Roman"/>
          <w:color w:val="auto"/>
          <w:sz w:val="24"/>
          <w:szCs w:val="24"/>
        </w:rPr>
        <w:fldChar w:fldCharType="begin"/>
      </w:r>
      <w:r w:rsidR="00DF7141" w:rsidRPr="00003942">
        <w:rPr>
          <w:rFonts w:ascii="Times New Roman" w:hAnsi="Times New Roman" w:cs="Times New Roman"/>
          <w:color w:val="auto"/>
          <w:sz w:val="24"/>
          <w:szCs w:val="24"/>
        </w:rPr>
        <w:instrText xml:space="preserve"> REF _Ref102918001 \r \h </w:instrText>
      </w:r>
      <w:r w:rsidR="002D7C87" w:rsidRPr="00003942">
        <w:rPr>
          <w:rFonts w:ascii="Times New Roman" w:hAnsi="Times New Roman" w:cs="Times New Roman"/>
          <w:color w:val="auto"/>
          <w:sz w:val="24"/>
          <w:szCs w:val="24"/>
        </w:rPr>
        <w:instrText xml:space="preserve"> \* MERGEFORMAT </w:instrText>
      </w:r>
      <w:r w:rsidR="00DF7141" w:rsidRPr="00003942">
        <w:rPr>
          <w:rFonts w:ascii="Times New Roman" w:hAnsi="Times New Roman" w:cs="Times New Roman"/>
          <w:color w:val="auto"/>
          <w:sz w:val="24"/>
          <w:szCs w:val="24"/>
        </w:rPr>
      </w:r>
      <w:r w:rsidR="00DF7141" w:rsidRPr="00003942">
        <w:rPr>
          <w:rFonts w:ascii="Times New Roman" w:hAnsi="Times New Roman" w:cs="Times New Roman"/>
          <w:color w:val="auto"/>
          <w:sz w:val="24"/>
          <w:szCs w:val="24"/>
        </w:rPr>
        <w:fldChar w:fldCharType="separate"/>
      </w:r>
      <w:r w:rsidR="009C3921">
        <w:rPr>
          <w:rFonts w:ascii="Times New Roman" w:hAnsi="Times New Roman" w:cs="Times New Roman"/>
          <w:color w:val="auto"/>
          <w:sz w:val="24"/>
          <w:szCs w:val="24"/>
        </w:rPr>
        <w:t>[1]</w:t>
      </w:r>
      <w:r w:rsidR="00DF7141" w:rsidRPr="00003942">
        <w:rPr>
          <w:rFonts w:ascii="Times New Roman" w:hAnsi="Times New Roman" w:cs="Times New Roman"/>
          <w:color w:val="auto"/>
          <w:sz w:val="24"/>
          <w:szCs w:val="24"/>
        </w:rPr>
        <w:fldChar w:fldCharType="end"/>
      </w:r>
      <w:r w:rsidR="00DF7141" w:rsidRPr="00003942">
        <w:rPr>
          <w:rFonts w:ascii="Times New Roman" w:hAnsi="Times New Roman" w:cs="Times New Roman"/>
          <w:color w:val="auto"/>
          <w:sz w:val="24"/>
          <w:szCs w:val="24"/>
        </w:rPr>
        <w:t xml:space="preserve"> kao jednu od mjera predvidio je objavu dokumenta o procjeni s preporukama za uklanjanje prepreka i rasterećenje administrativnih postupaka koji ograničavaju veće korištenje energije iz obnovljivih izvora. U dokumentu se navode procjena i preporuke o mjerama politike kojima se nastoje ukloniti prepreke i olakšati administrativni postupci koji sprečavaju veće korištenje obnovljivih izvora energije. Analiza i preporuke uključivat će i mjere za pr</w:t>
      </w:r>
      <w:r w:rsidR="00DF7141" w:rsidRPr="00F63D65">
        <w:rPr>
          <w:rFonts w:ascii="Times New Roman" w:hAnsi="Times New Roman" w:cs="Times New Roman"/>
          <w:color w:val="auto"/>
          <w:sz w:val="24"/>
          <w:szCs w:val="24"/>
        </w:rPr>
        <w:t xml:space="preserve">omicanje potrošnje energije iz obnovljivih izvora iz vlastite proizvodnje i zajednica energije iz obnovljivih izvora </w:t>
      </w:r>
      <w:r w:rsidR="00DF7141" w:rsidRPr="00003942">
        <w:rPr>
          <w:rFonts w:ascii="Times New Roman" w:hAnsi="Times New Roman" w:cs="Times New Roman"/>
          <w:color w:val="auto"/>
          <w:sz w:val="24"/>
          <w:szCs w:val="24"/>
        </w:rPr>
        <w:fldChar w:fldCharType="begin"/>
      </w:r>
      <w:r w:rsidR="00DF7141" w:rsidRPr="00003942">
        <w:rPr>
          <w:rFonts w:ascii="Times New Roman" w:hAnsi="Times New Roman" w:cs="Times New Roman"/>
          <w:color w:val="auto"/>
          <w:sz w:val="24"/>
          <w:szCs w:val="24"/>
        </w:rPr>
        <w:instrText xml:space="preserve"> REF _Ref103080882 \r \h </w:instrText>
      </w:r>
      <w:r w:rsidR="002D7C87" w:rsidRPr="00003942">
        <w:rPr>
          <w:rFonts w:ascii="Times New Roman" w:hAnsi="Times New Roman" w:cs="Times New Roman"/>
          <w:color w:val="auto"/>
          <w:sz w:val="24"/>
          <w:szCs w:val="24"/>
        </w:rPr>
        <w:instrText xml:space="preserve"> \* MERGEFORMAT </w:instrText>
      </w:r>
      <w:r w:rsidR="00DF7141" w:rsidRPr="00003942">
        <w:rPr>
          <w:rFonts w:ascii="Times New Roman" w:hAnsi="Times New Roman" w:cs="Times New Roman"/>
          <w:color w:val="auto"/>
          <w:sz w:val="24"/>
          <w:szCs w:val="24"/>
        </w:rPr>
      </w:r>
      <w:r w:rsidR="00DF7141" w:rsidRPr="00003942">
        <w:rPr>
          <w:rFonts w:ascii="Times New Roman" w:hAnsi="Times New Roman" w:cs="Times New Roman"/>
          <w:color w:val="auto"/>
          <w:sz w:val="24"/>
          <w:szCs w:val="24"/>
        </w:rPr>
        <w:fldChar w:fldCharType="separate"/>
      </w:r>
      <w:r w:rsidR="009C3921">
        <w:rPr>
          <w:rFonts w:ascii="Times New Roman" w:hAnsi="Times New Roman" w:cs="Times New Roman"/>
          <w:color w:val="auto"/>
          <w:sz w:val="24"/>
          <w:szCs w:val="24"/>
        </w:rPr>
        <w:t>[2]</w:t>
      </w:r>
      <w:r w:rsidR="00DF7141" w:rsidRPr="00003942">
        <w:rPr>
          <w:rFonts w:ascii="Times New Roman" w:hAnsi="Times New Roman" w:cs="Times New Roman"/>
          <w:color w:val="auto"/>
          <w:sz w:val="24"/>
          <w:szCs w:val="24"/>
        </w:rPr>
        <w:fldChar w:fldCharType="end"/>
      </w:r>
      <w:r w:rsidR="00DF7141" w:rsidRPr="00003942">
        <w:rPr>
          <w:rFonts w:ascii="Times New Roman" w:hAnsi="Times New Roman" w:cs="Times New Roman"/>
          <w:color w:val="auto"/>
          <w:sz w:val="24"/>
          <w:szCs w:val="24"/>
        </w:rPr>
        <w:t>.</w:t>
      </w:r>
    </w:p>
    <w:p w:rsidR="00DF7141" w:rsidRPr="00F63D65"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Zakon o obnovljivim izvorima energije i visokoučinkovitoj kogeneraciji (NN 138/2021) </w:t>
      </w:r>
      <w:r w:rsidRPr="00003942">
        <w:rPr>
          <w:rFonts w:ascii="Times New Roman" w:hAnsi="Times New Roman" w:cs="Times New Roman"/>
          <w:color w:val="auto"/>
          <w:sz w:val="24"/>
          <w:szCs w:val="24"/>
        </w:rPr>
        <w:fldChar w:fldCharType="begin"/>
      </w:r>
      <w:r w:rsidRPr="00003942">
        <w:rPr>
          <w:rFonts w:ascii="Times New Roman" w:hAnsi="Times New Roman" w:cs="Times New Roman"/>
          <w:color w:val="auto"/>
          <w:sz w:val="24"/>
          <w:szCs w:val="24"/>
        </w:rPr>
        <w:instrText xml:space="preserve"> REF _Ref103080734 \r \h </w:instrText>
      </w:r>
      <w:r w:rsidR="002D7C87" w:rsidRPr="00003942">
        <w:rPr>
          <w:rFonts w:ascii="Times New Roman" w:hAnsi="Times New Roman" w:cs="Times New Roman"/>
          <w:color w:val="auto"/>
          <w:sz w:val="24"/>
          <w:szCs w:val="24"/>
        </w:rPr>
        <w:instrText xml:space="preserve"> \* MERGEFORMAT </w:instrText>
      </w:r>
      <w:r w:rsidRPr="00003942">
        <w:rPr>
          <w:rFonts w:ascii="Times New Roman" w:hAnsi="Times New Roman" w:cs="Times New Roman"/>
          <w:color w:val="auto"/>
          <w:sz w:val="24"/>
          <w:szCs w:val="24"/>
        </w:rPr>
      </w:r>
      <w:r w:rsidRPr="00003942">
        <w:rPr>
          <w:rFonts w:ascii="Times New Roman" w:hAnsi="Times New Roman" w:cs="Times New Roman"/>
          <w:color w:val="auto"/>
          <w:sz w:val="24"/>
          <w:szCs w:val="24"/>
        </w:rPr>
        <w:fldChar w:fldCharType="separate"/>
      </w:r>
      <w:r w:rsidR="009C3921">
        <w:rPr>
          <w:rFonts w:ascii="Times New Roman" w:hAnsi="Times New Roman" w:cs="Times New Roman"/>
          <w:color w:val="auto"/>
          <w:sz w:val="24"/>
          <w:szCs w:val="24"/>
        </w:rPr>
        <w:t>[3]</w:t>
      </w:r>
      <w:r w:rsidRPr="00003942">
        <w:rPr>
          <w:rFonts w:ascii="Times New Roman" w:hAnsi="Times New Roman" w:cs="Times New Roman"/>
          <w:color w:val="auto"/>
          <w:sz w:val="24"/>
          <w:szCs w:val="24"/>
        </w:rPr>
        <w:fldChar w:fldCharType="end"/>
      </w:r>
      <w:r w:rsidRPr="00003942">
        <w:rPr>
          <w:rFonts w:ascii="Times New Roman" w:hAnsi="Times New Roman" w:cs="Times New Roman"/>
          <w:color w:val="auto"/>
          <w:sz w:val="24"/>
          <w:szCs w:val="24"/>
        </w:rPr>
        <w:t xml:space="preserve"> člankom 58. stavkom 2 definirao je da će ministar donijeti odluku o preporukama za uklanjanje prepreka i rasterećenjem administrativnih postupaka koji ograničavaju korištenje energije iz obnovljivih izvora, uključujući mjere za promicanje potrošnje energije iz obnovljivih izvora iz vlastite proizvodnje i zajednica</w:t>
      </w:r>
      <w:r w:rsidRPr="00F63D65">
        <w:rPr>
          <w:rFonts w:ascii="Times New Roman" w:hAnsi="Times New Roman" w:cs="Times New Roman"/>
          <w:color w:val="auto"/>
          <w:sz w:val="24"/>
          <w:szCs w:val="24"/>
        </w:rPr>
        <w:t xml:space="preserve"> energije iz obnovljivih izvora.</w:t>
      </w:r>
    </w:p>
    <w:p w:rsidR="00DF7141" w:rsidRPr="00003942" w:rsidRDefault="00142CA5" w:rsidP="002D7C87">
      <w:pPr>
        <w:pStyle w:val="Tijeloteksta"/>
        <w:rPr>
          <w:rFonts w:ascii="Times New Roman" w:hAnsi="Times New Roman" w:cs="Times New Roman"/>
          <w:color w:val="auto"/>
          <w:sz w:val="24"/>
          <w:szCs w:val="24"/>
        </w:rPr>
      </w:pPr>
      <w:r w:rsidRPr="008609F9">
        <w:rPr>
          <w:rFonts w:ascii="Times New Roman" w:hAnsi="Times New Roman" w:cs="Times New Roman"/>
          <w:color w:val="auto"/>
          <w:sz w:val="24"/>
          <w:szCs w:val="24"/>
        </w:rPr>
        <w:t>Trajanje a</w:t>
      </w:r>
      <w:r w:rsidR="00DF7141" w:rsidRPr="0024150C">
        <w:rPr>
          <w:rFonts w:ascii="Times New Roman" w:hAnsi="Times New Roman" w:cs="Times New Roman"/>
          <w:color w:val="auto"/>
          <w:sz w:val="24"/>
          <w:szCs w:val="24"/>
        </w:rPr>
        <w:t>dministrativn</w:t>
      </w:r>
      <w:r w:rsidRPr="0024150C">
        <w:rPr>
          <w:rFonts w:ascii="Times New Roman" w:hAnsi="Times New Roman" w:cs="Times New Roman"/>
          <w:color w:val="auto"/>
          <w:sz w:val="24"/>
          <w:szCs w:val="24"/>
        </w:rPr>
        <w:t>ih</w:t>
      </w:r>
      <w:r w:rsidR="00DF7141" w:rsidRPr="0024150C">
        <w:rPr>
          <w:rFonts w:ascii="Times New Roman" w:hAnsi="Times New Roman" w:cs="Times New Roman"/>
          <w:color w:val="auto"/>
          <w:sz w:val="24"/>
          <w:szCs w:val="24"/>
        </w:rPr>
        <w:t xml:space="preserve"> procedura prepoznat</w:t>
      </w:r>
      <w:r w:rsidRPr="0024150C">
        <w:rPr>
          <w:rFonts w:ascii="Times New Roman" w:hAnsi="Times New Roman" w:cs="Times New Roman"/>
          <w:color w:val="auto"/>
          <w:sz w:val="24"/>
          <w:szCs w:val="24"/>
        </w:rPr>
        <w:t>o</w:t>
      </w:r>
      <w:r w:rsidR="00DF7141" w:rsidRPr="0024150C">
        <w:rPr>
          <w:rFonts w:ascii="Times New Roman" w:hAnsi="Times New Roman" w:cs="Times New Roman"/>
          <w:color w:val="auto"/>
          <w:sz w:val="24"/>
          <w:szCs w:val="24"/>
        </w:rPr>
        <w:t xml:space="preserve"> je kao jedna od glavnih barijera razvoja projekata obnovljivih izvora energije u Republici Hrvatskoj, obzirom da projekti moraju proći niz administrativnih postupaka </w:t>
      </w:r>
      <w:r w:rsidRPr="0024150C">
        <w:rPr>
          <w:rFonts w:ascii="Times New Roman" w:hAnsi="Times New Roman" w:cs="Times New Roman"/>
          <w:color w:val="auto"/>
          <w:sz w:val="24"/>
          <w:szCs w:val="24"/>
        </w:rPr>
        <w:t xml:space="preserve">koji se vezuju uz različita </w:t>
      </w:r>
      <w:r w:rsidR="00DF7141" w:rsidRPr="00331C56">
        <w:rPr>
          <w:rFonts w:ascii="Times New Roman" w:hAnsi="Times New Roman" w:cs="Times New Roman"/>
          <w:color w:val="auto"/>
          <w:sz w:val="24"/>
          <w:szCs w:val="24"/>
        </w:rPr>
        <w:t>područj</w:t>
      </w:r>
      <w:r w:rsidRPr="00331C56">
        <w:rPr>
          <w:rFonts w:ascii="Times New Roman" w:hAnsi="Times New Roman" w:cs="Times New Roman"/>
          <w:color w:val="auto"/>
          <w:sz w:val="24"/>
          <w:szCs w:val="24"/>
        </w:rPr>
        <w:t>a poput</w:t>
      </w:r>
      <w:r w:rsidR="00DF7141" w:rsidRPr="00331C56">
        <w:rPr>
          <w:rFonts w:ascii="Times New Roman" w:hAnsi="Times New Roman" w:cs="Times New Roman"/>
          <w:color w:val="auto"/>
          <w:sz w:val="24"/>
          <w:szCs w:val="24"/>
        </w:rPr>
        <w:t xml:space="preserve"> prostornog planiranja, </w:t>
      </w:r>
      <w:r w:rsidR="00DF7141" w:rsidRPr="00222A78">
        <w:rPr>
          <w:rFonts w:ascii="Times New Roman" w:hAnsi="Times New Roman" w:cs="Times New Roman"/>
          <w:color w:val="auto"/>
          <w:sz w:val="24"/>
          <w:szCs w:val="24"/>
        </w:rPr>
        <w:t>koncesija i dozvola, zaštite okoliša, zaštite prirode, priključka na elektroenergetsku mrežu, suglasnosti i dozvola iz područja energetike, te dozvola</w:t>
      </w:r>
      <w:r w:rsidR="00DF7141" w:rsidRPr="00192851">
        <w:rPr>
          <w:rFonts w:ascii="Times New Roman" w:hAnsi="Times New Roman" w:cs="Times New Roman"/>
          <w:color w:val="auto"/>
          <w:sz w:val="24"/>
          <w:szCs w:val="24"/>
        </w:rPr>
        <w:t xml:space="preserve"> iz područja graditeljstva</w:t>
      </w:r>
      <w:r w:rsidR="00160EB9" w:rsidRPr="00192851">
        <w:rPr>
          <w:rFonts w:ascii="Times New Roman" w:hAnsi="Times New Roman" w:cs="Times New Roman"/>
          <w:color w:val="auto"/>
          <w:sz w:val="24"/>
          <w:szCs w:val="24"/>
        </w:rPr>
        <w:t>,</w:t>
      </w:r>
      <w:r w:rsidR="00160EB9" w:rsidRPr="00003942">
        <w:rPr>
          <w:rFonts w:ascii="Times New Roman" w:hAnsi="Times New Roman" w:cs="Times New Roman"/>
          <w:color w:val="auto"/>
          <w:sz w:val="24"/>
          <w:szCs w:val="24"/>
        </w:rPr>
        <w:t xml:space="preserve"> poljoprivrede i državne imovine</w:t>
      </w:r>
      <w:r w:rsidR="00DF7141" w:rsidRPr="00003942">
        <w:rPr>
          <w:rFonts w:ascii="Times New Roman" w:hAnsi="Times New Roman" w:cs="Times New Roman"/>
          <w:color w:val="auto"/>
          <w:sz w:val="24"/>
          <w:szCs w:val="24"/>
        </w:rPr>
        <w:t>.</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Također, uzimajući u obzir dugotrajan proces razvoja projekata, koji u slučaju većih projekata može trajati i do desetak godina, određene izmjene zakonskog okvira iz bilo kojeg područja mogu negativno utjecati na pokrenute administrativne postupke</w:t>
      </w:r>
      <w:r w:rsidR="0058332E" w:rsidRPr="00003942">
        <w:rPr>
          <w:rFonts w:ascii="Times New Roman" w:hAnsi="Times New Roman" w:cs="Times New Roman"/>
          <w:color w:val="auto"/>
          <w:sz w:val="24"/>
          <w:szCs w:val="24"/>
        </w:rPr>
        <w:t>.</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Dugotrajan proces razvoja projekata paralelno prati i razvoj tehnologija obnovljivih izvora energije, koji novim i modernijim rješenjima često, zbog opravdanih promjena tehničkih rješenja</w:t>
      </w:r>
      <w:r w:rsidR="00160EB9" w:rsidRPr="00003942">
        <w:rPr>
          <w:rFonts w:ascii="Times New Roman" w:hAnsi="Times New Roman" w:cs="Times New Roman"/>
          <w:color w:val="auto"/>
          <w:sz w:val="24"/>
          <w:szCs w:val="24"/>
        </w:rPr>
        <w:t>,</w:t>
      </w:r>
      <w:r w:rsidRPr="00003942">
        <w:rPr>
          <w:rFonts w:ascii="Times New Roman" w:hAnsi="Times New Roman" w:cs="Times New Roman"/>
          <w:color w:val="auto"/>
          <w:sz w:val="24"/>
          <w:szCs w:val="24"/>
        </w:rPr>
        <w:t xml:space="preserve"> projekte može vratiti na nov</w:t>
      </w:r>
      <w:r w:rsidR="00160EB9" w:rsidRPr="00003942">
        <w:rPr>
          <w:rFonts w:ascii="Times New Roman" w:hAnsi="Times New Roman" w:cs="Times New Roman"/>
          <w:color w:val="auto"/>
          <w:sz w:val="24"/>
          <w:szCs w:val="24"/>
        </w:rPr>
        <w:t>e procedure</w:t>
      </w:r>
      <w:r w:rsidRPr="00003942">
        <w:rPr>
          <w:rFonts w:ascii="Times New Roman" w:hAnsi="Times New Roman" w:cs="Times New Roman"/>
          <w:color w:val="auto"/>
          <w:sz w:val="24"/>
          <w:szCs w:val="24"/>
        </w:rPr>
        <w:t xml:space="preserve"> ishođenje dozvola.</w:t>
      </w:r>
    </w:p>
    <w:p w:rsidR="00DF7141"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Cilj ovog dokumenta </w:t>
      </w:r>
      <w:r w:rsidR="001528AF" w:rsidRPr="00003942">
        <w:rPr>
          <w:rFonts w:ascii="Times New Roman" w:hAnsi="Times New Roman" w:cs="Times New Roman"/>
          <w:color w:val="auto"/>
          <w:sz w:val="24"/>
          <w:szCs w:val="24"/>
        </w:rPr>
        <w:t xml:space="preserve">je </w:t>
      </w:r>
      <w:r w:rsidRPr="00003942">
        <w:rPr>
          <w:rFonts w:ascii="Times New Roman" w:hAnsi="Times New Roman" w:cs="Times New Roman"/>
          <w:color w:val="auto"/>
          <w:sz w:val="24"/>
          <w:szCs w:val="24"/>
        </w:rPr>
        <w:t>procjen</w:t>
      </w:r>
      <w:r w:rsidR="001528AF" w:rsidRPr="00003942">
        <w:rPr>
          <w:rFonts w:ascii="Times New Roman" w:hAnsi="Times New Roman" w:cs="Times New Roman"/>
          <w:color w:val="auto"/>
          <w:sz w:val="24"/>
          <w:szCs w:val="24"/>
        </w:rPr>
        <w:t xml:space="preserve">a navedenih potencijalnih prepreka i donošenje </w:t>
      </w:r>
      <w:r w:rsidRPr="00003942">
        <w:rPr>
          <w:rFonts w:ascii="Times New Roman" w:hAnsi="Times New Roman" w:cs="Times New Roman"/>
          <w:color w:val="auto"/>
          <w:sz w:val="24"/>
          <w:szCs w:val="24"/>
        </w:rPr>
        <w:t xml:space="preserve">preporuka za </w:t>
      </w:r>
      <w:r w:rsidR="00003942">
        <w:rPr>
          <w:rFonts w:ascii="Times New Roman" w:hAnsi="Times New Roman" w:cs="Times New Roman"/>
          <w:color w:val="auto"/>
          <w:sz w:val="24"/>
          <w:szCs w:val="24"/>
        </w:rPr>
        <w:t xml:space="preserve">njihovo </w:t>
      </w:r>
      <w:r w:rsidRPr="00003942">
        <w:rPr>
          <w:rFonts w:ascii="Times New Roman" w:hAnsi="Times New Roman" w:cs="Times New Roman"/>
          <w:color w:val="auto"/>
          <w:sz w:val="24"/>
          <w:szCs w:val="24"/>
        </w:rPr>
        <w:t>uklanjanje</w:t>
      </w:r>
      <w:r w:rsidR="00003942">
        <w:rPr>
          <w:rFonts w:ascii="Times New Roman" w:hAnsi="Times New Roman" w:cs="Times New Roman"/>
          <w:color w:val="auto"/>
          <w:sz w:val="24"/>
          <w:szCs w:val="24"/>
        </w:rPr>
        <w:t>, kao</w:t>
      </w:r>
      <w:r w:rsidRPr="00003942">
        <w:rPr>
          <w:rFonts w:ascii="Times New Roman" w:hAnsi="Times New Roman" w:cs="Times New Roman"/>
          <w:color w:val="auto"/>
          <w:sz w:val="24"/>
          <w:szCs w:val="24"/>
        </w:rPr>
        <w:t xml:space="preserve"> i rasterećenje administrativnih postupaka koji sprečavaju veće korištenje obnovljivih izvora energije</w:t>
      </w:r>
      <w:r w:rsidR="00142CA5" w:rsidRPr="00003942">
        <w:rPr>
          <w:rFonts w:ascii="Times New Roman" w:hAnsi="Times New Roman" w:cs="Times New Roman"/>
          <w:color w:val="auto"/>
          <w:sz w:val="24"/>
          <w:szCs w:val="24"/>
        </w:rPr>
        <w:t xml:space="preserve"> na način da se osigura ubrzanje postupaka uz puno poštivanje pozitivnih zakonodavnih propisa, a u cilju stvaranja pozitivne invest</w:t>
      </w:r>
      <w:r w:rsidR="00142CA5" w:rsidRPr="00F63D65">
        <w:rPr>
          <w:rFonts w:ascii="Times New Roman" w:hAnsi="Times New Roman" w:cs="Times New Roman"/>
          <w:color w:val="auto"/>
          <w:sz w:val="24"/>
          <w:szCs w:val="24"/>
        </w:rPr>
        <w:t xml:space="preserve">icijske klime u </w:t>
      </w:r>
      <w:r w:rsidR="00003942">
        <w:rPr>
          <w:rFonts w:ascii="Times New Roman" w:hAnsi="Times New Roman" w:cs="Times New Roman"/>
          <w:color w:val="auto"/>
          <w:sz w:val="24"/>
          <w:szCs w:val="24"/>
        </w:rPr>
        <w:t xml:space="preserve">području </w:t>
      </w:r>
      <w:r w:rsidR="00142CA5" w:rsidRPr="00003942">
        <w:rPr>
          <w:rFonts w:ascii="Times New Roman" w:hAnsi="Times New Roman" w:cs="Times New Roman"/>
          <w:color w:val="auto"/>
          <w:sz w:val="24"/>
          <w:szCs w:val="24"/>
        </w:rPr>
        <w:t>obnovljiv</w:t>
      </w:r>
      <w:r w:rsidR="00003942">
        <w:rPr>
          <w:rFonts w:ascii="Times New Roman" w:hAnsi="Times New Roman" w:cs="Times New Roman"/>
          <w:color w:val="auto"/>
          <w:sz w:val="24"/>
          <w:szCs w:val="24"/>
        </w:rPr>
        <w:t>ih</w:t>
      </w:r>
      <w:r w:rsidR="00142CA5" w:rsidRPr="00003942">
        <w:rPr>
          <w:rFonts w:ascii="Times New Roman" w:hAnsi="Times New Roman" w:cs="Times New Roman"/>
          <w:color w:val="auto"/>
          <w:sz w:val="24"/>
          <w:szCs w:val="24"/>
        </w:rPr>
        <w:t xml:space="preserve"> izvor</w:t>
      </w:r>
      <w:r w:rsidR="00003942">
        <w:rPr>
          <w:rFonts w:ascii="Times New Roman" w:hAnsi="Times New Roman" w:cs="Times New Roman"/>
          <w:color w:val="auto"/>
          <w:sz w:val="24"/>
          <w:szCs w:val="24"/>
        </w:rPr>
        <w:t>a</w:t>
      </w:r>
      <w:r w:rsidR="00142CA5" w:rsidRPr="00003942">
        <w:rPr>
          <w:rFonts w:ascii="Times New Roman" w:hAnsi="Times New Roman" w:cs="Times New Roman"/>
          <w:color w:val="auto"/>
          <w:sz w:val="24"/>
          <w:szCs w:val="24"/>
        </w:rPr>
        <w:t xml:space="preserve"> energije.</w:t>
      </w:r>
    </w:p>
    <w:p w:rsidR="00DF7141" w:rsidRPr="00222A78" w:rsidRDefault="0079456B" w:rsidP="002D7C87">
      <w:pPr>
        <w:pStyle w:val="Tijeloteksta"/>
        <w:rPr>
          <w:rFonts w:ascii="Times New Roman" w:hAnsi="Times New Roman" w:cs="Times New Roman"/>
          <w:color w:val="auto"/>
          <w:sz w:val="24"/>
          <w:szCs w:val="24"/>
        </w:rPr>
      </w:pPr>
      <w:r>
        <w:rPr>
          <w:rFonts w:ascii="Times New Roman" w:hAnsi="Times New Roman" w:cs="Times New Roman"/>
          <w:color w:val="auto"/>
          <w:sz w:val="24"/>
          <w:szCs w:val="24"/>
        </w:rPr>
        <w:t xml:space="preserve">S obzirom na navedeno, </w:t>
      </w:r>
      <w:r w:rsidR="00DF7141" w:rsidRPr="00331C56">
        <w:rPr>
          <w:rFonts w:ascii="Times New Roman" w:hAnsi="Times New Roman" w:cs="Times New Roman"/>
          <w:color w:val="auto"/>
          <w:sz w:val="24"/>
          <w:szCs w:val="24"/>
        </w:rPr>
        <w:t xml:space="preserve">U uvodnom dijelu </w:t>
      </w:r>
      <w:r w:rsidR="00142CA5" w:rsidRPr="00331C56">
        <w:rPr>
          <w:rFonts w:ascii="Times New Roman" w:hAnsi="Times New Roman" w:cs="Times New Roman"/>
          <w:color w:val="auto"/>
          <w:sz w:val="24"/>
          <w:szCs w:val="24"/>
        </w:rPr>
        <w:t xml:space="preserve">dokumenta </w:t>
      </w:r>
      <w:r w:rsidR="00DF7141" w:rsidRPr="00331C56">
        <w:rPr>
          <w:rFonts w:ascii="Times New Roman" w:hAnsi="Times New Roman" w:cs="Times New Roman"/>
          <w:color w:val="auto"/>
          <w:sz w:val="24"/>
          <w:szCs w:val="24"/>
        </w:rPr>
        <w:t>obradit će se zakonski okvir i administrativna procedura kroz koju prolaze projekti obnovljivih izvora energije, počevši od ranih faza razvoja projekta poput izmjene prostornih planova do same izgradnje i puštanja u pogon projekta.</w:t>
      </w:r>
    </w:p>
    <w:p w:rsidR="00DF7141"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Na temelju prikazane administrativne procedure, i procjene vremenskog trajanja svakog koraka, identificirat će se koraci i prepreke koje značajnije utječu na trajanje administrativn</w:t>
      </w:r>
      <w:r w:rsidR="00003942">
        <w:rPr>
          <w:rFonts w:ascii="Times New Roman" w:hAnsi="Times New Roman" w:cs="Times New Roman"/>
          <w:color w:val="auto"/>
          <w:sz w:val="24"/>
          <w:szCs w:val="24"/>
        </w:rPr>
        <w:t>ih postupaka</w:t>
      </w:r>
      <w:r w:rsidRPr="00003942">
        <w:rPr>
          <w:rFonts w:ascii="Times New Roman" w:hAnsi="Times New Roman" w:cs="Times New Roman"/>
          <w:color w:val="auto"/>
          <w:sz w:val="24"/>
          <w:szCs w:val="24"/>
        </w:rPr>
        <w:t xml:space="preserve">. Prema prepoznatim ključnim preprekama, dati će se preporuke za njihovo uklanjanje, u smislu potrebnog pojednostavljenja </w:t>
      </w:r>
      <w:r w:rsidR="00003942">
        <w:rPr>
          <w:rFonts w:ascii="Times New Roman" w:hAnsi="Times New Roman" w:cs="Times New Roman"/>
          <w:color w:val="auto"/>
          <w:sz w:val="24"/>
          <w:szCs w:val="24"/>
        </w:rPr>
        <w:t>postupaka</w:t>
      </w:r>
      <w:r w:rsidRPr="00003942">
        <w:rPr>
          <w:rFonts w:ascii="Times New Roman" w:hAnsi="Times New Roman" w:cs="Times New Roman"/>
          <w:color w:val="auto"/>
          <w:sz w:val="24"/>
          <w:szCs w:val="24"/>
        </w:rPr>
        <w:t xml:space="preserve"> te potrebne izgradnje kapaciteta </w:t>
      </w:r>
      <w:r w:rsidR="00003942">
        <w:rPr>
          <w:rFonts w:ascii="Times New Roman" w:hAnsi="Times New Roman" w:cs="Times New Roman"/>
          <w:color w:val="auto"/>
          <w:sz w:val="24"/>
          <w:szCs w:val="24"/>
        </w:rPr>
        <w:t xml:space="preserve">sudionika </w:t>
      </w:r>
      <w:r w:rsidRPr="00003942">
        <w:rPr>
          <w:rFonts w:ascii="Times New Roman" w:hAnsi="Times New Roman" w:cs="Times New Roman"/>
          <w:color w:val="auto"/>
          <w:sz w:val="24"/>
          <w:szCs w:val="24"/>
        </w:rPr>
        <w:t>u administrativn</w:t>
      </w:r>
      <w:r w:rsidR="00003942">
        <w:rPr>
          <w:rFonts w:ascii="Times New Roman" w:hAnsi="Times New Roman" w:cs="Times New Roman"/>
          <w:color w:val="auto"/>
          <w:sz w:val="24"/>
          <w:szCs w:val="24"/>
        </w:rPr>
        <w:t>im postupcima</w:t>
      </w:r>
      <w:r w:rsidRPr="00003942">
        <w:rPr>
          <w:rFonts w:ascii="Times New Roman" w:hAnsi="Times New Roman" w:cs="Times New Roman"/>
          <w:color w:val="auto"/>
          <w:sz w:val="24"/>
          <w:szCs w:val="24"/>
        </w:rPr>
        <w:t>.</w:t>
      </w:r>
    </w:p>
    <w:p w:rsidR="0079456B" w:rsidRDefault="0079456B" w:rsidP="00872208">
      <w:pPr>
        <w:pStyle w:val="Naslov1"/>
      </w:pPr>
      <w:bookmarkStart w:id="5" w:name="_Toc105973465"/>
      <w:r>
        <w:lastRenderedPageBreak/>
        <w:t>UVOD</w:t>
      </w:r>
      <w:bookmarkEnd w:id="5"/>
    </w:p>
    <w:p w:rsidR="00DF7141" w:rsidRPr="00003942" w:rsidRDefault="00DF7141" w:rsidP="002D7C87">
      <w:pPr>
        <w:pStyle w:val="Tijeloteksta"/>
        <w:rPr>
          <w:rFonts w:ascii="Times New Roman" w:hAnsi="Times New Roman" w:cs="Times New Roman"/>
          <w:color w:val="auto"/>
          <w:sz w:val="24"/>
          <w:szCs w:val="24"/>
        </w:rPr>
      </w:pPr>
      <w:r w:rsidRPr="008609F9">
        <w:rPr>
          <w:rFonts w:ascii="Times New Roman" w:hAnsi="Times New Roman" w:cs="Times New Roman"/>
          <w:color w:val="auto"/>
          <w:sz w:val="24"/>
          <w:szCs w:val="24"/>
        </w:rPr>
        <w:t xml:space="preserve">U svrhu bržeg oporavka, </w:t>
      </w:r>
      <w:r w:rsidR="00003942">
        <w:rPr>
          <w:rFonts w:ascii="Times New Roman" w:hAnsi="Times New Roman" w:cs="Times New Roman"/>
          <w:color w:val="auto"/>
          <w:sz w:val="24"/>
          <w:szCs w:val="24"/>
        </w:rPr>
        <w:t xml:space="preserve">a s ciljem ublažavanja </w:t>
      </w:r>
      <w:r w:rsidRPr="00003942">
        <w:rPr>
          <w:rFonts w:ascii="Times New Roman" w:hAnsi="Times New Roman" w:cs="Times New Roman"/>
          <w:color w:val="auto"/>
          <w:sz w:val="24"/>
          <w:szCs w:val="24"/>
        </w:rPr>
        <w:t>ekonoms</w:t>
      </w:r>
      <w:r w:rsidR="00003942">
        <w:rPr>
          <w:rFonts w:ascii="Times New Roman" w:hAnsi="Times New Roman" w:cs="Times New Roman"/>
          <w:color w:val="auto"/>
          <w:sz w:val="24"/>
          <w:szCs w:val="24"/>
        </w:rPr>
        <w:t>ih</w:t>
      </w:r>
      <w:r w:rsidRPr="00003942">
        <w:rPr>
          <w:rFonts w:ascii="Times New Roman" w:hAnsi="Times New Roman" w:cs="Times New Roman"/>
          <w:color w:val="auto"/>
          <w:sz w:val="24"/>
          <w:szCs w:val="24"/>
        </w:rPr>
        <w:t>e i društven</w:t>
      </w:r>
      <w:r w:rsidR="00003942">
        <w:rPr>
          <w:rFonts w:ascii="Times New Roman" w:hAnsi="Times New Roman" w:cs="Times New Roman"/>
          <w:color w:val="auto"/>
          <w:sz w:val="24"/>
          <w:szCs w:val="24"/>
        </w:rPr>
        <w:t>ih</w:t>
      </w:r>
      <w:r w:rsidRPr="00003942">
        <w:rPr>
          <w:rFonts w:ascii="Times New Roman" w:hAnsi="Times New Roman" w:cs="Times New Roman"/>
          <w:color w:val="auto"/>
          <w:sz w:val="24"/>
          <w:szCs w:val="24"/>
        </w:rPr>
        <w:t xml:space="preserve"> posljedic</w:t>
      </w:r>
      <w:r w:rsidR="00003942">
        <w:rPr>
          <w:rFonts w:ascii="Times New Roman" w:hAnsi="Times New Roman" w:cs="Times New Roman"/>
          <w:color w:val="auto"/>
          <w:sz w:val="24"/>
          <w:szCs w:val="24"/>
        </w:rPr>
        <w:t>a</w:t>
      </w:r>
      <w:r w:rsidRPr="00003942">
        <w:rPr>
          <w:rFonts w:ascii="Times New Roman" w:hAnsi="Times New Roman" w:cs="Times New Roman"/>
          <w:color w:val="auto"/>
          <w:sz w:val="24"/>
          <w:szCs w:val="24"/>
        </w:rPr>
        <w:t xml:space="preserve"> pandemije, na razini EU uspostavljen je poseban instrument s pratećim financijskim sredstvima, koji </w:t>
      </w:r>
      <w:r w:rsidR="00003942">
        <w:rPr>
          <w:rFonts w:ascii="Times New Roman" w:hAnsi="Times New Roman" w:cs="Times New Roman"/>
          <w:color w:val="auto"/>
          <w:sz w:val="24"/>
          <w:szCs w:val="24"/>
        </w:rPr>
        <w:t xml:space="preserve">će </w:t>
      </w:r>
      <w:r w:rsidRPr="00003942">
        <w:rPr>
          <w:rFonts w:ascii="Times New Roman" w:hAnsi="Times New Roman" w:cs="Times New Roman"/>
          <w:color w:val="auto"/>
          <w:sz w:val="24"/>
          <w:szCs w:val="24"/>
        </w:rPr>
        <w:t>državama članicama osigurati ubrzan gospodarski oporavak te digitalnu i zelenu transformaciju radi održivijeg razvoja te veće otpornosti društva i gospodarstva na buduće krize. U svibnju 2020. EK predložila je plan oporavka za Europu, a čelnici država članica EU-a su u srpnju 2020. postigli dogovor o planu oporavka, odnosno instrumentu pod nazivom „EU sljedeće generacije“, kao i o Višegodišnjem financijskom okviru za razdoblje 2021. – 2027. (VFO). Tako je državama članicama omogućeno korištenje 1.824 milijarde eura za oporavak i jačanje otpornosti europskog gospodarstva, i to: 750 milijardi eura iz instrumenta „EU sljedeće generacije“ i 1.074 milijarde eura iz VFO-a.</w:t>
      </w:r>
    </w:p>
    <w:p w:rsidR="00DF7141" w:rsidRPr="00F63D65" w:rsidRDefault="00DF7141" w:rsidP="002D7C87">
      <w:pPr>
        <w:pStyle w:val="Tijeloteksta"/>
        <w:rPr>
          <w:rFonts w:ascii="Times New Roman" w:hAnsi="Times New Roman" w:cs="Times New Roman"/>
          <w:color w:val="auto"/>
          <w:sz w:val="24"/>
          <w:szCs w:val="24"/>
        </w:rPr>
      </w:pPr>
      <w:r w:rsidRPr="00F63D65">
        <w:rPr>
          <w:rFonts w:ascii="Times New Roman" w:hAnsi="Times New Roman" w:cs="Times New Roman"/>
          <w:color w:val="auto"/>
          <w:sz w:val="24"/>
          <w:szCs w:val="24"/>
        </w:rPr>
        <w:t xml:space="preserve">U okviru instrumenta „EU sljedeće generacije“ uveden je Mehanizam za oporavak i otpornost </w:t>
      </w:r>
      <w:r w:rsidR="00F63D65">
        <w:rPr>
          <w:rFonts w:ascii="Times New Roman" w:hAnsi="Times New Roman" w:cs="Times New Roman"/>
          <w:color w:val="auto"/>
          <w:sz w:val="24"/>
          <w:szCs w:val="24"/>
        </w:rPr>
        <w:t xml:space="preserve">(daje u tekst: MOO) </w:t>
      </w:r>
      <w:r w:rsidRPr="00F63D65">
        <w:rPr>
          <w:rFonts w:ascii="Times New Roman" w:hAnsi="Times New Roman" w:cs="Times New Roman"/>
          <w:color w:val="auto"/>
          <w:sz w:val="24"/>
          <w:szCs w:val="24"/>
        </w:rPr>
        <w:t xml:space="preserve">(eng. </w:t>
      </w:r>
      <w:r w:rsidRPr="00F63D65">
        <w:rPr>
          <w:rFonts w:ascii="Times New Roman" w:hAnsi="Times New Roman" w:cs="Times New Roman"/>
          <w:i/>
          <w:iCs/>
          <w:color w:val="auto"/>
          <w:sz w:val="24"/>
          <w:szCs w:val="24"/>
        </w:rPr>
        <w:t>Recovery and Resilience Facility</w:t>
      </w:r>
      <w:r w:rsidRPr="00F63D65">
        <w:rPr>
          <w:rFonts w:ascii="Times New Roman" w:hAnsi="Times New Roman" w:cs="Times New Roman"/>
          <w:color w:val="auto"/>
          <w:sz w:val="24"/>
          <w:szCs w:val="24"/>
        </w:rPr>
        <w:t xml:space="preserve"> – RRF) iz kojeg će se državama članicama, kroz vlastite nacionalne planove za oporavak i otpornost</w:t>
      </w:r>
      <w:r w:rsidR="00F63D65">
        <w:rPr>
          <w:rFonts w:ascii="Times New Roman" w:hAnsi="Times New Roman" w:cs="Times New Roman"/>
          <w:color w:val="auto"/>
          <w:sz w:val="24"/>
          <w:szCs w:val="24"/>
        </w:rPr>
        <w:t>,</w:t>
      </w:r>
      <w:r w:rsidRPr="00F63D65">
        <w:rPr>
          <w:rFonts w:ascii="Times New Roman" w:hAnsi="Times New Roman" w:cs="Times New Roman"/>
          <w:color w:val="auto"/>
          <w:sz w:val="24"/>
          <w:szCs w:val="24"/>
        </w:rPr>
        <w:t xml:space="preserve"> omogućiti korištenje bespovratnih sredstava i zajmova. Preduvjet za korištenje sredstava iz </w:t>
      </w:r>
      <w:r w:rsidR="00F63D65">
        <w:rPr>
          <w:rFonts w:ascii="Times New Roman" w:hAnsi="Times New Roman" w:cs="Times New Roman"/>
          <w:color w:val="auto"/>
          <w:sz w:val="24"/>
          <w:szCs w:val="24"/>
        </w:rPr>
        <w:t>MOO</w:t>
      </w:r>
      <w:r w:rsidRPr="00F63D65">
        <w:rPr>
          <w:rFonts w:ascii="Times New Roman" w:hAnsi="Times New Roman" w:cs="Times New Roman"/>
          <w:color w:val="auto"/>
          <w:sz w:val="24"/>
          <w:szCs w:val="24"/>
        </w:rPr>
        <w:t>-a je izrada NPOO</w:t>
      </w:r>
      <w:r w:rsidR="00F63D65">
        <w:rPr>
          <w:rFonts w:ascii="Times New Roman" w:hAnsi="Times New Roman" w:cs="Times New Roman"/>
          <w:color w:val="auto"/>
          <w:sz w:val="24"/>
          <w:szCs w:val="24"/>
        </w:rPr>
        <w:t>-a</w:t>
      </w:r>
      <w:r w:rsidRPr="00F63D65">
        <w:rPr>
          <w:rFonts w:ascii="Times New Roman" w:hAnsi="Times New Roman" w:cs="Times New Roman"/>
          <w:color w:val="auto"/>
          <w:sz w:val="24"/>
          <w:szCs w:val="24"/>
        </w:rPr>
        <w:t xml:space="preserve"> koji, u skladu s ciljevima RRF-a, obuhvaća reforme i investicije koje će se provesti najkasnije do 31. kolovoza 2026.</w:t>
      </w:r>
    </w:p>
    <w:p w:rsidR="001528AF" w:rsidRPr="00003942" w:rsidRDefault="001528AF" w:rsidP="001528AF">
      <w:pPr>
        <w:pStyle w:val="Tijeloteksta"/>
        <w:rPr>
          <w:rFonts w:ascii="Times New Roman" w:hAnsi="Times New Roman" w:cs="Times New Roman"/>
          <w:color w:val="auto"/>
          <w:sz w:val="24"/>
          <w:szCs w:val="24"/>
        </w:rPr>
      </w:pPr>
      <w:r w:rsidRPr="00F63D65">
        <w:rPr>
          <w:rFonts w:ascii="Times New Roman" w:hAnsi="Times New Roman" w:cs="Times New Roman"/>
          <w:color w:val="auto"/>
          <w:sz w:val="24"/>
          <w:szCs w:val="24"/>
        </w:rPr>
        <w:t xml:space="preserve">NPOO </w:t>
      </w:r>
      <w:r w:rsidRPr="00003942">
        <w:rPr>
          <w:rFonts w:ascii="Times New Roman" w:hAnsi="Times New Roman" w:cs="Times New Roman"/>
          <w:color w:val="auto"/>
          <w:sz w:val="24"/>
          <w:szCs w:val="24"/>
        </w:rPr>
        <w:fldChar w:fldCharType="begin"/>
      </w:r>
      <w:r w:rsidRPr="00003942">
        <w:rPr>
          <w:rFonts w:ascii="Times New Roman" w:hAnsi="Times New Roman" w:cs="Times New Roman"/>
          <w:color w:val="auto"/>
          <w:sz w:val="24"/>
          <w:szCs w:val="24"/>
        </w:rPr>
        <w:instrText xml:space="preserve"> REF _Ref102918001 \r \h  \* MERGEFORMAT </w:instrText>
      </w:r>
      <w:r w:rsidRPr="00003942">
        <w:rPr>
          <w:rFonts w:ascii="Times New Roman" w:hAnsi="Times New Roman" w:cs="Times New Roman"/>
          <w:color w:val="auto"/>
          <w:sz w:val="24"/>
          <w:szCs w:val="24"/>
        </w:rPr>
      </w:r>
      <w:r w:rsidRPr="00003942">
        <w:rPr>
          <w:rFonts w:ascii="Times New Roman" w:hAnsi="Times New Roman" w:cs="Times New Roman"/>
          <w:color w:val="auto"/>
          <w:sz w:val="24"/>
          <w:szCs w:val="24"/>
        </w:rPr>
        <w:fldChar w:fldCharType="separate"/>
      </w:r>
      <w:r w:rsidR="009C3921">
        <w:rPr>
          <w:rFonts w:ascii="Times New Roman" w:hAnsi="Times New Roman" w:cs="Times New Roman"/>
          <w:color w:val="auto"/>
          <w:sz w:val="24"/>
          <w:szCs w:val="24"/>
        </w:rPr>
        <w:t>[1]</w:t>
      </w:r>
      <w:r w:rsidRPr="00003942">
        <w:rPr>
          <w:rFonts w:ascii="Times New Roman" w:hAnsi="Times New Roman" w:cs="Times New Roman"/>
          <w:color w:val="auto"/>
          <w:sz w:val="24"/>
          <w:szCs w:val="24"/>
        </w:rPr>
        <w:fldChar w:fldCharType="end"/>
      </w:r>
      <w:r w:rsidRPr="00003942">
        <w:rPr>
          <w:rFonts w:ascii="Times New Roman" w:hAnsi="Times New Roman" w:cs="Times New Roman"/>
          <w:color w:val="auto"/>
          <w:sz w:val="24"/>
          <w:szCs w:val="24"/>
        </w:rPr>
        <w:t xml:space="preserve"> je akcijski plan projekata, mjera i reformi kojim se nastoje ublažiti gospodarske i socijalne posljedice pandemije koronavirusa, ali i učiniti gospodarstvo održivijim i otpornijim, a društvo spremnije na izazove i nove prilike. Jedan od glavnih ciljeva NPOO</w:t>
      </w:r>
      <w:r w:rsidR="00F63D65">
        <w:rPr>
          <w:rFonts w:ascii="Times New Roman" w:hAnsi="Times New Roman" w:cs="Times New Roman"/>
          <w:color w:val="auto"/>
          <w:sz w:val="24"/>
          <w:szCs w:val="24"/>
        </w:rPr>
        <w:t>-a</w:t>
      </w:r>
      <w:r w:rsidRPr="00003942">
        <w:rPr>
          <w:rFonts w:ascii="Times New Roman" w:hAnsi="Times New Roman" w:cs="Times New Roman"/>
          <w:color w:val="auto"/>
          <w:sz w:val="24"/>
          <w:szCs w:val="24"/>
        </w:rPr>
        <w:t xml:space="preserve"> je pridonijeti ubrzanom gospodarskom rastu implementacijom reformskih mjera i projekata vezanih uz njih.</w:t>
      </w:r>
    </w:p>
    <w:p w:rsidR="00DF7141" w:rsidRPr="00F63D65" w:rsidRDefault="000016A0" w:rsidP="002D7C87">
      <w:pPr>
        <w:pStyle w:val="Tijeloteksta"/>
        <w:rPr>
          <w:rFonts w:ascii="Times New Roman" w:hAnsi="Times New Roman" w:cs="Times New Roman"/>
          <w:color w:val="auto"/>
          <w:sz w:val="24"/>
          <w:szCs w:val="24"/>
        </w:rPr>
      </w:pPr>
      <w:r w:rsidRPr="008609F9">
        <w:rPr>
          <w:rFonts w:ascii="Times New Roman" w:hAnsi="Times New Roman" w:cs="Times New Roman"/>
          <w:color w:val="auto"/>
          <w:sz w:val="24"/>
          <w:szCs w:val="24"/>
        </w:rPr>
        <w:t xml:space="preserve">Zbog toga je </w:t>
      </w:r>
      <w:r w:rsidR="00DF7141" w:rsidRPr="00387E05">
        <w:rPr>
          <w:rFonts w:ascii="Times New Roman" w:hAnsi="Times New Roman" w:cs="Times New Roman"/>
          <w:color w:val="auto"/>
          <w:sz w:val="24"/>
          <w:szCs w:val="24"/>
        </w:rPr>
        <w:t xml:space="preserve">NPOO </w:t>
      </w:r>
      <w:r w:rsidR="00DF7141" w:rsidRPr="0024150C">
        <w:rPr>
          <w:rFonts w:ascii="Times New Roman" w:hAnsi="Times New Roman" w:cs="Times New Roman"/>
          <w:color w:val="auto"/>
          <w:sz w:val="24"/>
          <w:szCs w:val="24"/>
        </w:rPr>
        <w:t xml:space="preserve">usklađen s nacionalnim strateškim razvojnim dokumentima, kao i s europskim prioritetima usmjerenih na digitalnu i zelenu tranziciju, koji se zasnivaju na modernizaciji gospodarstva i društva na temelju većeg ulaganja u inovacije i nove tehnologije. Ti su prioriteti pretočeni u obvezujući okvir </w:t>
      </w:r>
      <w:r w:rsidR="00F63D65">
        <w:rPr>
          <w:rFonts w:ascii="Times New Roman" w:hAnsi="Times New Roman" w:cs="Times New Roman"/>
          <w:color w:val="auto"/>
          <w:sz w:val="24"/>
          <w:szCs w:val="24"/>
        </w:rPr>
        <w:t>MOO-a</w:t>
      </w:r>
      <w:r w:rsidR="00DF7141" w:rsidRPr="00F63D65">
        <w:rPr>
          <w:rFonts w:ascii="Times New Roman" w:hAnsi="Times New Roman" w:cs="Times New Roman"/>
          <w:color w:val="auto"/>
          <w:sz w:val="24"/>
          <w:szCs w:val="24"/>
        </w:rPr>
        <w:t>, koji određuje da najmanje 20% sredstava plana treba, kroz ulaganja i reforme, biti usmjereno u digitalnu transformaciju, dok najmanje 37% sredstava treba biti usmjereno na zelenu tranziciju i borbu protiv klimatskih promjena. U skladu s tim zadanim okvirom, kao i sa specifičnim hrvatskim razvojnim potrebama, NPOO se sastoji od pet komponenti i jedne inicijative:</w:t>
      </w:r>
    </w:p>
    <w:p w:rsidR="00DF7141" w:rsidRPr="008609F9" w:rsidRDefault="00DF7141" w:rsidP="002D7C87">
      <w:pPr>
        <w:pStyle w:val="Tijeloteksta"/>
        <w:numPr>
          <w:ilvl w:val="4"/>
          <w:numId w:val="31"/>
        </w:numPr>
        <w:ind w:left="993"/>
        <w:rPr>
          <w:rFonts w:ascii="Times New Roman" w:hAnsi="Times New Roman" w:cs="Times New Roman"/>
          <w:color w:val="auto"/>
          <w:sz w:val="24"/>
          <w:szCs w:val="24"/>
        </w:rPr>
      </w:pPr>
      <w:r w:rsidRPr="008609F9">
        <w:rPr>
          <w:rFonts w:ascii="Times New Roman" w:hAnsi="Times New Roman" w:cs="Times New Roman"/>
          <w:color w:val="auto"/>
          <w:sz w:val="24"/>
          <w:szCs w:val="24"/>
        </w:rPr>
        <w:t>Gospodarstvo</w:t>
      </w:r>
    </w:p>
    <w:p w:rsidR="00DF7141" w:rsidRPr="00387E05" w:rsidRDefault="00DF7141" w:rsidP="002D7C87">
      <w:pPr>
        <w:pStyle w:val="Tijeloteksta"/>
        <w:numPr>
          <w:ilvl w:val="4"/>
          <w:numId w:val="31"/>
        </w:numPr>
        <w:ind w:left="993"/>
        <w:rPr>
          <w:rFonts w:ascii="Times New Roman" w:hAnsi="Times New Roman" w:cs="Times New Roman"/>
          <w:color w:val="auto"/>
          <w:sz w:val="24"/>
          <w:szCs w:val="24"/>
        </w:rPr>
      </w:pPr>
      <w:r w:rsidRPr="00387E05">
        <w:rPr>
          <w:rFonts w:ascii="Times New Roman" w:hAnsi="Times New Roman" w:cs="Times New Roman"/>
          <w:color w:val="auto"/>
          <w:sz w:val="24"/>
          <w:szCs w:val="24"/>
        </w:rPr>
        <w:t>Javna uprava, pravosuđe i državna imovina</w:t>
      </w:r>
    </w:p>
    <w:p w:rsidR="00DF7141" w:rsidRPr="0024150C" w:rsidRDefault="00DF7141" w:rsidP="002D7C87">
      <w:pPr>
        <w:pStyle w:val="Tijeloteksta"/>
        <w:numPr>
          <w:ilvl w:val="4"/>
          <w:numId w:val="31"/>
        </w:numPr>
        <w:ind w:left="993"/>
        <w:rPr>
          <w:rFonts w:ascii="Times New Roman" w:hAnsi="Times New Roman" w:cs="Times New Roman"/>
          <w:color w:val="auto"/>
          <w:sz w:val="24"/>
          <w:szCs w:val="24"/>
        </w:rPr>
      </w:pPr>
      <w:r w:rsidRPr="0024150C">
        <w:rPr>
          <w:rFonts w:ascii="Times New Roman" w:hAnsi="Times New Roman" w:cs="Times New Roman"/>
          <w:color w:val="auto"/>
          <w:sz w:val="24"/>
          <w:szCs w:val="24"/>
        </w:rPr>
        <w:t>Obrazovanje, znanost i istraživanje</w:t>
      </w:r>
    </w:p>
    <w:p w:rsidR="00DF7141" w:rsidRPr="00331C56" w:rsidRDefault="00DF7141" w:rsidP="002D7C87">
      <w:pPr>
        <w:pStyle w:val="Tijeloteksta"/>
        <w:numPr>
          <w:ilvl w:val="4"/>
          <w:numId w:val="31"/>
        </w:numPr>
        <w:ind w:left="993"/>
        <w:rPr>
          <w:rFonts w:ascii="Times New Roman" w:hAnsi="Times New Roman" w:cs="Times New Roman"/>
          <w:color w:val="auto"/>
          <w:sz w:val="24"/>
          <w:szCs w:val="24"/>
        </w:rPr>
      </w:pPr>
      <w:r w:rsidRPr="00331C56">
        <w:rPr>
          <w:rFonts w:ascii="Times New Roman" w:hAnsi="Times New Roman" w:cs="Times New Roman"/>
          <w:color w:val="auto"/>
          <w:sz w:val="24"/>
          <w:szCs w:val="24"/>
        </w:rPr>
        <w:t>Tržište rada i socijalna zaštita</w:t>
      </w:r>
    </w:p>
    <w:p w:rsidR="00DF7141" w:rsidRPr="00331C56" w:rsidRDefault="00DF7141" w:rsidP="002D7C87">
      <w:pPr>
        <w:pStyle w:val="Tijeloteksta"/>
        <w:numPr>
          <w:ilvl w:val="4"/>
          <w:numId w:val="31"/>
        </w:numPr>
        <w:ind w:left="993"/>
        <w:rPr>
          <w:rFonts w:ascii="Times New Roman" w:hAnsi="Times New Roman" w:cs="Times New Roman"/>
          <w:color w:val="auto"/>
          <w:sz w:val="24"/>
          <w:szCs w:val="24"/>
        </w:rPr>
      </w:pPr>
      <w:r w:rsidRPr="00331C56">
        <w:rPr>
          <w:rFonts w:ascii="Times New Roman" w:hAnsi="Times New Roman" w:cs="Times New Roman"/>
          <w:color w:val="auto"/>
          <w:sz w:val="24"/>
          <w:szCs w:val="24"/>
        </w:rPr>
        <w:t>Zdravstvo</w:t>
      </w:r>
    </w:p>
    <w:p w:rsidR="00DF7141" w:rsidRPr="00331C56" w:rsidRDefault="00DF7141" w:rsidP="002D7C87">
      <w:pPr>
        <w:pStyle w:val="Tijeloteksta"/>
        <w:numPr>
          <w:ilvl w:val="4"/>
          <w:numId w:val="31"/>
        </w:numPr>
        <w:ind w:left="993"/>
        <w:rPr>
          <w:rFonts w:ascii="Times New Roman" w:hAnsi="Times New Roman" w:cs="Times New Roman"/>
          <w:color w:val="auto"/>
          <w:sz w:val="24"/>
          <w:szCs w:val="24"/>
        </w:rPr>
      </w:pPr>
      <w:r w:rsidRPr="00331C56">
        <w:rPr>
          <w:rFonts w:ascii="Times New Roman" w:hAnsi="Times New Roman" w:cs="Times New Roman"/>
          <w:color w:val="auto"/>
          <w:sz w:val="24"/>
          <w:szCs w:val="24"/>
        </w:rPr>
        <w:t>Inicijativa: Obnova zgrada</w:t>
      </w:r>
    </w:p>
    <w:p w:rsidR="00DF7141" w:rsidRPr="008609F9" w:rsidRDefault="00DF7141" w:rsidP="002D7C87">
      <w:pPr>
        <w:pStyle w:val="Tijeloteksta"/>
        <w:rPr>
          <w:rFonts w:ascii="Times New Roman" w:hAnsi="Times New Roman" w:cs="Times New Roman"/>
          <w:color w:val="auto"/>
          <w:sz w:val="24"/>
          <w:szCs w:val="24"/>
        </w:rPr>
      </w:pPr>
      <w:r w:rsidRPr="00331C56">
        <w:rPr>
          <w:rFonts w:ascii="Times New Roman" w:hAnsi="Times New Roman" w:cs="Times New Roman"/>
          <w:color w:val="auto"/>
          <w:sz w:val="24"/>
          <w:szCs w:val="24"/>
        </w:rPr>
        <w:t xml:space="preserve">Prilog Provedbenoj odluci Vijeća o odobrenju ocjene plana za oporavak i otpornost Hrvatske </w:t>
      </w:r>
      <w:r w:rsidRPr="00003942">
        <w:rPr>
          <w:rFonts w:ascii="Times New Roman" w:hAnsi="Times New Roman" w:cs="Times New Roman"/>
          <w:color w:val="auto"/>
          <w:sz w:val="24"/>
          <w:szCs w:val="24"/>
        </w:rPr>
        <w:fldChar w:fldCharType="begin"/>
      </w:r>
      <w:r w:rsidRPr="00003942">
        <w:rPr>
          <w:rFonts w:ascii="Times New Roman" w:hAnsi="Times New Roman" w:cs="Times New Roman"/>
          <w:color w:val="auto"/>
          <w:sz w:val="24"/>
          <w:szCs w:val="24"/>
        </w:rPr>
        <w:instrText xml:space="preserve"> REF _Ref103080882 \r \h </w:instrText>
      </w:r>
      <w:r w:rsidR="002D7C87" w:rsidRPr="00003942">
        <w:rPr>
          <w:rFonts w:ascii="Times New Roman" w:hAnsi="Times New Roman" w:cs="Times New Roman"/>
          <w:color w:val="auto"/>
          <w:sz w:val="24"/>
          <w:szCs w:val="24"/>
        </w:rPr>
        <w:instrText xml:space="preserve"> \* MERGEFORMAT </w:instrText>
      </w:r>
      <w:r w:rsidRPr="00003942">
        <w:rPr>
          <w:rFonts w:ascii="Times New Roman" w:hAnsi="Times New Roman" w:cs="Times New Roman"/>
          <w:color w:val="auto"/>
          <w:sz w:val="24"/>
          <w:szCs w:val="24"/>
        </w:rPr>
      </w:r>
      <w:r w:rsidRPr="00003942">
        <w:rPr>
          <w:rFonts w:ascii="Times New Roman" w:hAnsi="Times New Roman" w:cs="Times New Roman"/>
          <w:color w:val="auto"/>
          <w:sz w:val="24"/>
          <w:szCs w:val="24"/>
        </w:rPr>
        <w:fldChar w:fldCharType="separate"/>
      </w:r>
      <w:r w:rsidR="009C3921">
        <w:rPr>
          <w:rFonts w:ascii="Times New Roman" w:hAnsi="Times New Roman" w:cs="Times New Roman"/>
          <w:color w:val="auto"/>
          <w:sz w:val="24"/>
          <w:szCs w:val="24"/>
        </w:rPr>
        <w:t>[2]</w:t>
      </w:r>
      <w:r w:rsidRPr="00003942">
        <w:rPr>
          <w:rFonts w:ascii="Times New Roman" w:hAnsi="Times New Roman" w:cs="Times New Roman"/>
          <w:color w:val="auto"/>
          <w:sz w:val="24"/>
          <w:szCs w:val="24"/>
        </w:rPr>
        <w:fldChar w:fldCharType="end"/>
      </w:r>
      <w:r w:rsidRPr="00003942">
        <w:rPr>
          <w:rFonts w:ascii="Times New Roman" w:hAnsi="Times New Roman" w:cs="Times New Roman"/>
          <w:color w:val="auto"/>
          <w:sz w:val="24"/>
          <w:szCs w:val="24"/>
        </w:rPr>
        <w:t xml:space="preserve"> jasno je definirao ključne etape, ciljane vrijednosti, pokazatelje i vremenski raspored za praćenje i provedbu programa bespovratne financijske potpore. Unutar ovog dokumenta, definirana je mjera br. 36, odnosno objava dokumenta u kojem se navode procjena i preporuke o mjerama politike kojima se nastoje ukloniti </w:t>
      </w:r>
      <w:r w:rsidRPr="00003942">
        <w:rPr>
          <w:rFonts w:ascii="Times New Roman" w:hAnsi="Times New Roman" w:cs="Times New Roman"/>
          <w:color w:val="auto"/>
          <w:sz w:val="24"/>
          <w:szCs w:val="24"/>
        </w:rPr>
        <w:lastRenderedPageBreak/>
        <w:t>prepreke i olakšati administrativni postupci koji sprečavaju veće korištenje obnovljivih izvora energije. Analiza i preporuke uključivat će i mjere za promicanje potrošnje energije iz obnovljivih izvora iz vlastite proizvodnje i zajednica energije iz obnovljivih izvora.</w:t>
      </w:r>
    </w:p>
    <w:p w:rsidR="00DF7141" w:rsidRPr="00003942" w:rsidRDefault="00DF7141" w:rsidP="002D7C87">
      <w:pPr>
        <w:pStyle w:val="Opisslike"/>
        <w:keepNext/>
        <w:jc w:val="both"/>
        <w:rPr>
          <w:rFonts w:ascii="Times New Roman" w:hAnsi="Times New Roman" w:cs="Times New Roman"/>
          <w:color w:val="auto"/>
          <w:sz w:val="24"/>
          <w:szCs w:val="24"/>
        </w:rPr>
      </w:pPr>
      <w:bookmarkStart w:id="6" w:name="_Toc104994934"/>
      <w:r w:rsidRPr="00387E05">
        <w:rPr>
          <w:rFonts w:ascii="Times New Roman" w:hAnsi="Times New Roman" w:cs="Times New Roman"/>
          <w:color w:val="auto"/>
          <w:sz w:val="24"/>
          <w:szCs w:val="24"/>
        </w:rPr>
        <w:t xml:space="preserve">Tablica </w:t>
      </w:r>
      <w:r w:rsidRPr="00222A78">
        <w:rPr>
          <w:rFonts w:ascii="Times New Roman" w:hAnsi="Times New Roman" w:cs="Times New Roman"/>
          <w:color w:val="auto"/>
          <w:sz w:val="24"/>
          <w:szCs w:val="24"/>
        </w:rPr>
        <w:fldChar w:fldCharType="begin"/>
      </w:r>
      <w:r w:rsidRPr="00C439A8">
        <w:rPr>
          <w:rFonts w:ascii="Times New Roman" w:hAnsi="Times New Roman" w:cs="Times New Roman"/>
          <w:color w:val="auto"/>
          <w:sz w:val="24"/>
          <w:szCs w:val="24"/>
        </w:rPr>
        <w:instrText xml:space="preserve"> STYLEREF 1 \s </w:instrText>
      </w:r>
      <w:r w:rsidRPr="00222A78">
        <w:rPr>
          <w:rFonts w:ascii="Times New Roman" w:hAnsi="Times New Roman" w:cs="Times New Roman"/>
          <w:color w:val="auto"/>
          <w:sz w:val="24"/>
          <w:szCs w:val="24"/>
        </w:rPr>
        <w:fldChar w:fldCharType="separate"/>
      </w:r>
      <w:r w:rsidR="009C3921">
        <w:rPr>
          <w:rFonts w:ascii="Times New Roman" w:hAnsi="Times New Roman" w:cs="Times New Roman"/>
          <w:noProof/>
          <w:color w:val="auto"/>
          <w:sz w:val="24"/>
          <w:szCs w:val="24"/>
        </w:rPr>
        <w:t>0</w:t>
      </w:r>
      <w:r w:rsidRPr="00222A78">
        <w:rPr>
          <w:rFonts w:ascii="Times New Roman" w:hAnsi="Times New Roman" w:cs="Times New Roman"/>
          <w:noProof/>
          <w:color w:val="auto"/>
          <w:sz w:val="24"/>
          <w:szCs w:val="24"/>
        </w:rPr>
        <w:fldChar w:fldCharType="end"/>
      </w:r>
      <w:r w:rsidRPr="00003942">
        <w:rPr>
          <w:rFonts w:ascii="Times New Roman" w:hAnsi="Times New Roman" w:cs="Times New Roman"/>
          <w:color w:val="auto"/>
          <w:sz w:val="24"/>
          <w:szCs w:val="24"/>
        </w:rPr>
        <w:noBreakHyphen/>
        <w:t xml:space="preserve"> Ključne etape, ciljane vrijednost, pokazatelji i vremenski raspored za praćenje i provedbu programa bespovratne financijske potpore</w:t>
      </w:r>
      <w:r w:rsidRPr="00003942">
        <w:rPr>
          <w:rFonts w:ascii="Times New Roman" w:hAnsi="Times New Roman" w:cs="Times New Roman"/>
          <w:color w:val="auto"/>
          <w:sz w:val="24"/>
          <w:szCs w:val="24"/>
        </w:rPr>
        <w:fldChar w:fldCharType="begin"/>
      </w:r>
      <w:r w:rsidRPr="00003942">
        <w:rPr>
          <w:rFonts w:ascii="Times New Roman" w:hAnsi="Times New Roman" w:cs="Times New Roman"/>
          <w:color w:val="auto"/>
          <w:sz w:val="24"/>
          <w:szCs w:val="24"/>
        </w:rPr>
        <w:instrText xml:space="preserve"> REF _Ref103080882 \r \h </w:instrText>
      </w:r>
      <w:r w:rsidR="002D7C87" w:rsidRPr="00003942">
        <w:rPr>
          <w:rFonts w:ascii="Times New Roman" w:hAnsi="Times New Roman" w:cs="Times New Roman"/>
          <w:color w:val="auto"/>
          <w:sz w:val="24"/>
          <w:szCs w:val="24"/>
        </w:rPr>
        <w:instrText xml:space="preserve"> \* MERGEFORMAT </w:instrText>
      </w:r>
      <w:r w:rsidRPr="00003942">
        <w:rPr>
          <w:rFonts w:ascii="Times New Roman" w:hAnsi="Times New Roman" w:cs="Times New Roman"/>
          <w:color w:val="auto"/>
          <w:sz w:val="24"/>
          <w:szCs w:val="24"/>
        </w:rPr>
      </w:r>
      <w:r w:rsidRPr="00003942">
        <w:rPr>
          <w:rFonts w:ascii="Times New Roman" w:hAnsi="Times New Roman" w:cs="Times New Roman"/>
          <w:color w:val="auto"/>
          <w:sz w:val="24"/>
          <w:szCs w:val="24"/>
        </w:rPr>
        <w:fldChar w:fldCharType="separate"/>
      </w:r>
      <w:r w:rsidR="009C3921">
        <w:rPr>
          <w:rFonts w:ascii="Times New Roman" w:hAnsi="Times New Roman" w:cs="Times New Roman"/>
          <w:color w:val="auto"/>
          <w:sz w:val="24"/>
          <w:szCs w:val="24"/>
        </w:rPr>
        <w:t>[2]</w:t>
      </w:r>
      <w:bookmarkEnd w:id="6"/>
      <w:r w:rsidRPr="00003942">
        <w:rPr>
          <w:rFonts w:ascii="Times New Roman" w:hAnsi="Times New Roman" w:cs="Times New Roman"/>
          <w:color w:val="auto"/>
          <w:sz w:val="24"/>
          <w:szCs w:val="24"/>
        </w:rPr>
        <w:fldChar w:fldCharType="end"/>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noProof/>
          <w:color w:val="auto"/>
          <w:sz w:val="24"/>
          <w:szCs w:val="24"/>
          <w:lang w:eastAsia="hr-HR"/>
        </w:rPr>
        <w:drawing>
          <wp:inline distT="0" distB="0" distL="0" distR="0" wp14:anchorId="262B3208" wp14:editId="622B2D27">
            <wp:extent cx="5759450" cy="2573020"/>
            <wp:effectExtent l="0" t="0" r="0" b="0"/>
            <wp:docPr id="4" name="Picture 4"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treemap chart&#10;&#10;Description automatically generated"/>
                    <pic:cNvPicPr/>
                  </pic:nvPicPr>
                  <pic:blipFill>
                    <a:blip r:embed="rId9"/>
                    <a:stretch>
                      <a:fillRect/>
                    </a:stretch>
                  </pic:blipFill>
                  <pic:spPr>
                    <a:xfrm>
                      <a:off x="0" y="0"/>
                      <a:ext cx="5759450" cy="2573020"/>
                    </a:xfrm>
                    <a:prstGeom prst="rect">
                      <a:avLst/>
                    </a:prstGeom>
                  </pic:spPr>
                </pic:pic>
              </a:graphicData>
            </a:graphic>
          </wp:inline>
        </w:drawing>
      </w:r>
    </w:p>
    <w:p w:rsidR="002D7C87" w:rsidRPr="0024150C" w:rsidRDefault="002D7C87" w:rsidP="002D7C87">
      <w:pPr>
        <w:pStyle w:val="Tijeloteksta"/>
        <w:rPr>
          <w:rFonts w:ascii="Times New Roman" w:hAnsi="Times New Roman" w:cs="Times New Roman"/>
          <w:color w:val="auto"/>
          <w:sz w:val="24"/>
          <w:szCs w:val="24"/>
        </w:rPr>
      </w:pPr>
      <w:bookmarkStart w:id="7" w:name="_Toc105137861"/>
    </w:p>
    <w:p w:rsidR="00E93869" w:rsidRDefault="00E93869" w:rsidP="00E93869">
      <w:bookmarkStart w:id="8" w:name="_Toc105137862"/>
      <w:bookmarkStart w:id="9" w:name="_Toc105396293"/>
      <w:bookmarkStart w:id="10" w:name="_Toc105756578"/>
      <w:bookmarkEnd w:id="7"/>
    </w:p>
    <w:p w:rsidR="00E93869" w:rsidRPr="0079456B" w:rsidRDefault="00CB389A" w:rsidP="00872208">
      <w:pPr>
        <w:pStyle w:val="Naslov1"/>
      </w:pPr>
      <w:bookmarkStart w:id="11" w:name="_Toc105973466"/>
      <w:r>
        <w:lastRenderedPageBreak/>
        <w:t>POSTOJEĆE STANJE, POTENCIJALNE PREPREKE I PREPORUKE ZA NJIHOVO UKLANJANJE</w:t>
      </w:r>
      <w:bookmarkEnd w:id="11"/>
    </w:p>
    <w:p w:rsidR="00DF7141" w:rsidRPr="00E93869" w:rsidRDefault="00431232" w:rsidP="00C90729">
      <w:pPr>
        <w:pStyle w:val="Naslov2"/>
      </w:pPr>
      <w:bookmarkStart w:id="12" w:name="_Toc105973467"/>
      <w:r w:rsidRPr="00E93869">
        <w:t>ZAKONSKI OKVIR</w:t>
      </w:r>
      <w:bookmarkEnd w:id="8"/>
      <w:bookmarkEnd w:id="9"/>
      <w:bookmarkEnd w:id="10"/>
      <w:bookmarkEnd w:id="12"/>
      <w:r w:rsidRPr="00E93869">
        <w:t xml:space="preserve"> </w:t>
      </w:r>
    </w:p>
    <w:p w:rsidR="00DF7141" w:rsidRPr="00222A78"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Pravni okvir koji uređuje obnovljive izvore energije sastoji se od niza zakona i podzakonskih akata. Najvažniji propisi koji se, među ostalim, odnose na obnovljive izvore energije su: Zakon o energij</w:t>
      </w:r>
      <w:r w:rsidRPr="00F63D65">
        <w:rPr>
          <w:rFonts w:ascii="Times New Roman" w:hAnsi="Times New Roman" w:cs="Times New Roman"/>
          <w:color w:val="auto"/>
          <w:sz w:val="24"/>
          <w:szCs w:val="24"/>
        </w:rPr>
        <w:t>i (</w:t>
      </w:r>
      <w:r w:rsidR="006F1A09" w:rsidRPr="00F63D65">
        <w:rPr>
          <w:rFonts w:ascii="Times New Roman" w:hAnsi="Times New Roman" w:cs="Times New Roman"/>
          <w:color w:val="auto"/>
          <w:sz w:val="24"/>
          <w:szCs w:val="24"/>
        </w:rPr>
        <w:t xml:space="preserve">dalje u tekstu ZOE; </w:t>
      </w:r>
      <w:r w:rsidRPr="00F63D65">
        <w:rPr>
          <w:rFonts w:ascii="Times New Roman" w:hAnsi="Times New Roman" w:cs="Times New Roman"/>
          <w:color w:val="auto"/>
          <w:sz w:val="24"/>
          <w:szCs w:val="24"/>
        </w:rPr>
        <w:t>Narodne novine, broj 120/12, 14/14, 95/15, 102/15 i 68/18), Zakon o tržištu električne energije (</w:t>
      </w:r>
      <w:r w:rsidR="000016A0" w:rsidRPr="008609F9">
        <w:rPr>
          <w:rFonts w:ascii="Times New Roman" w:hAnsi="Times New Roman" w:cs="Times New Roman"/>
          <w:color w:val="auto"/>
          <w:sz w:val="24"/>
          <w:szCs w:val="24"/>
        </w:rPr>
        <w:t xml:space="preserve">dalje u tekstu ZoTEE; </w:t>
      </w:r>
      <w:r w:rsidRPr="00387E05">
        <w:rPr>
          <w:rFonts w:ascii="Times New Roman" w:hAnsi="Times New Roman" w:cs="Times New Roman"/>
          <w:color w:val="auto"/>
          <w:sz w:val="24"/>
          <w:szCs w:val="24"/>
        </w:rPr>
        <w:t>Narodne novine, broj 111/21;</w:t>
      </w:r>
      <w:r w:rsidRPr="0024150C">
        <w:rPr>
          <w:rFonts w:ascii="Times New Roman" w:hAnsi="Times New Roman" w:cs="Times New Roman"/>
          <w:color w:val="auto"/>
          <w:sz w:val="24"/>
          <w:szCs w:val="24"/>
        </w:rPr>
        <w:t>), Zakon o obnovljivim izvorima energije i visokoučinkovitoj kogeneraciji (</w:t>
      </w:r>
      <w:r w:rsidR="000016A0" w:rsidRPr="00331C56">
        <w:rPr>
          <w:rFonts w:ascii="Times New Roman" w:hAnsi="Times New Roman" w:cs="Times New Roman"/>
          <w:color w:val="auto"/>
          <w:sz w:val="24"/>
          <w:szCs w:val="24"/>
        </w:rPr>
        <w:t xml:space="preserve">dalje u tekstu ZoOIEVK; </w:t>
      </w:r>
      <w:r w:rsidRPr="00331C56">
        <w:rPr>
          <w:rFonts w:ascii="Times New Roman" w:hAnsi="Times New Roman" w:cs="Times New Roman"/>
          <w:color w:val="auto"/>
          <w:sz w:val="24"/>
          <w:szCs w:val="24"/>
        </w:rPr>
        <w:t>Narodne novine, broj 138/21;), Zakon o prostornom uređenju (Narodne novine, broj 153/13, 65/17, 114/18, 39/19 i 98/19), Zakon o gradnji (Narodne novine, broj 153/13, 20/17, 39/19 i 125/19), Zakon o zaštiti okoliša (Narodne novine, broj 80/13, 153/13, 78/15, 12/18 i 118/18) i Zakon o zaštiti prirode (Narodne novine,</w:t>
      </w:r>
      <w:r w:rsidR="000016A0" w:rsidRPr="00331C56">
        <w:rPr>
          <w:rFonts w:ascii="Times New Roman" w:hAnsi="Times New Roman" w:cs="Times New Roman"/>
          <w:color w:val="auto"/>
          <w:sz w:val="24"/>
          <w:szCs w:val="24"/>
        </w:rPr>
        <w:t xml:space="preserve"> </w:t>
      </w:r>
      <w:r w:rsidRPr="00222A78">
        <w:rPr>
          <w:rFonts w:ascii="Times New Roman" w:hAnsi="Times New Roman" w:cs="Times New Roman"/>
          <w:color w:val="auto"/>
          <w:sz w:val="24"/>
          <w:szCs w:val="24"/>
        </w:rPr>
        <w:t>broj 80/13, 15/18, 14/19 i 127/19) te niz podzakonskih propisa donesenih na temelju tih zakona.</w:t>
      </w:r>
    </w:p>
    <w:p w:rsidR="00DF7141" w:rsidRPr="00003942" w:rsidRDefault="00DF7141" w:rsidP="002D7C87">
      <w:pPr>
        <w:pStyle w:val="Tijeloteksta"/>
        <w:rPr>
          <w:rFonts w:ascii="Times New Roman" w:hAnsi="Times New Roman" w:cs="Times New Roman"/>
          <w:color w:val="auto"/>
          <w:sz w:val="24"/>
          <w:szCs w:val="24"/>
        </w:rPr>
      </w:pPr>
      <w:r w:rsidRPr="00222A78">
        <w:rPr>
          <w:rFonts w:ascii="Times New Roman" w:hAnsi="Times New Roman" w:cs="Times New Roman"/>
          <w:color w:val="auto"/>
          <w:sz w:val="24"/>
          <w:szCs w:val="24"/>
        </w:rPr>
        <w:t>Dva ključna zakona vezana uz obnovljive izvore energije</w:t>
      </w:r>
      <w:r w:rsidR="0058332E" w:rsidRPr="00222A78">
        <w:rPr>
          <w:rFonts w:ascii="Times New Roman" w:hAnsi="Times New Roman" w:cs="Times New Roman"/>
          <w:color w:val="auto"/>
          <w:sz w:val="24"/>
          <w:szCs w:val="24"/>
        </w:rPr>
        <w:t xml:space="preserve"> i energetski sektor</w:t>
      </w:r>
      <w:r w:rsidRPr="00222A78">
        <w:rPr>
          <w:rFonts w:ascii="Times New Roman" w:hAnsi="Times New Roman" w:cs="Times New Roman"/>
          <w:color w:val="auto"/>
          <w:sz w:val="24"/>
          <w:szCs w:val="24"/>
        </w:rPr>
        <w:t xml:space="preserve"> – ZoTEE i ZoOIEVK </w:t>
      </w:r>
      <w:r w:rsidR="00160EB9" w:rsidRPr="00192851">
        <w:rPr>
          <w:rFonts w:ascii="Times New Roman" w:hAnsi="Times New Roman" w:cs="Times New Roman"/>
          <w:color w:val="auto"/>
          <w:sz w:val="24"/>
          <w:szCs w:val="24"/>
        </w:rPr>
        <w:t>donesena</w:t>
      </w:r>
      <w:r w:rsidR="00950CE6" w:rsidRPr="00003942">
        <w:rPr>
          <w:rFonts w:ascii="Times New Roman" w:hAnsi="Times New Roman" w:cs="Times New Roman"/>
          <w:color w:val="auto"/>
          <w:sz w:val="24"/>
          <w:szCs w:val="24"/>
        </w:rPr>
        <w:t xml:space="preserve"> </w:t>
      </w:r>
      <w:r w:rsidRPr="00003942">
        <w:rPr>
          <w:rFonts w:ascii="Times New Roman" w:hAnsi="Times New Roman" w:cs="Times New Roman"/>
          <w:color w:val="auto"/>
          <w:sz w:val="24"/>
          <w:szCs w:val="24"/>
        </w:rPr>
        <w:t>su 2021.</w:t>
      </w:r>
      <w:r w:rsidR="00950CE6" w:rsidRPr="00003942">
        <w:rPr>
          <w:rFonts w:ascii="Times New Roman" w:hAnsi="Times New Roman" w:cs="Times New Roman"/>
          <w:color w:val="auto"/>
          <w:sz w:val="24"/>
          <w:szCs w:val="24"/>
        </w:rPr>
        <w:t xml:space="preserve"> godine temeljem analize potreba i prepreka koje su definira</w:t>
      </w:r>
      <w:r w:rsidR="006C185F" w:rsidRPr="00003942">
        <w:rPr>
          <w:rFonts w:ascii="Times New Roman" w:hAnsi="Times New Roman" w:cs="Times New Roman"/>
          <w:color w:val="auto"/>
          <w:sz w:val="24"/>
          <w:szCs w:val="24"/>
        </w:rPr>
        <w:t>n</w:t>
      </w:r>
      <w:r w:rsidR="00950CE6" w:rsidRPr="00003942">
        <w:rPr>
          <w:rFonts w:ascii="Times New Roman" w:hAnsi="Times New Roman" w:cs="Times New Roman"/>
          <w:color w:val="auto"/>
          <w:sz w:val="24"/>
          <w:szCs w:val="24"/>
        </w:rPr>
        <w:t>e tijekom pripreme aktivnosti za ubrzavanje projekata vezanih za obnovljive izvore energije, kao i tijekom pregovora s EK oko NPOO za Republika Hrvatsku.</w:t>
      </w:r>
      <w:r w:rsidRPr="00003942">
        <w:rPr>
          <w:rFonts w:ascii="Times New Roman" w:hAnsi="Times New Roman" w:cs="Times New Roman"/>
          <w:color w:val="auto"/>
          <w:sz w:val="24"/>
          <w:szCs w:val="24"/>
        </w:rPr>
        <w:t xml:space="preserve"> ZoTEE prenosi sve odrednice Direktive (EU) 2019/944 Europskog parlamenta i Vijeća od 5. lipnja 2019. o zajedničkim pravilima za unutarnje tržište električne energije i izmjeni Direktive 2012/27/EU, a ZoOIEVK odrednice Direktive (EU) 2018/2001 Europskog parlamenta i Vijeća od 11. prosinca 2018. o primicanju uporabe energije iz obnovljivih izvora.</w:t>
      </w:r>
    </w:p>
    <w:p w:rsidR="00DF7141" w:rsidRPr="002A5DB6" w:rsidRDefault="00DF7141" w:rsidP="00380A26">
      <w:pPr>
        <w:pStyle w:val="Naslov3"/>
        <w:numPr>
          <w:ilvl w:val="0"/>
          <w:numId w:val="0"/>
        </w:numPr>
        <w:ind w:left="1003"/>
      </w:pPr>
      <w:bookmarkStart w:id="13" w:name="_Toc105137863"/>
      <w:bookmarkStart w:id="14" w:name="_Toc105396294"/>
      <w:bookmarkStart w:id="15" w:name="_Toc105756579"/>
      <w:bookmarkStart w:id="16" w:name="_Toc105973468"/>
      <w:r w:rsidRPr="004B780F">
        <w:t>Zakon o tržištu električne energije</w:t>
      </w:r>
      <w:bookmarkEnd w:id="13"/>
      <w:bookmarkEnd w:id="14"/>
      <w:bookmarkEnd w:id="15"/>
      <w:bookmarkEnd w:id="16"/>
    </w:p>
    <w:p w:rsidR="00160EB9" w:rsidRPr="00003942" w:rsidRDefault="00DF7141" w:rsidP="00160EB9">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Novi ZoTEE stupio je na snagu 22. listopada 2021. </w:t>
      </w:r>
      <w:r w:rsidR="0058332E" w:rsidRPr="00003942">
        <w:rPr>
          <w:rFonts w:ascii="Times New Roman" w:hAnsi="Times New Roman" w:cs="Times New Roman"/>
          <w:color w:val="auto"/>
          <w:sz w:val="24"/>
          <w:szCs w:val="24"/>
        </w:rPr>
        <w:t>Z</w:t>
      </w:r>
      <w:r w:rsidR="002417F7" w:rsidRPr="00003942">
        <w:rPr>
          <w:rFonts w:ascii="Times New Roman" w:hAnsi="Times New Roman" w:cs="Times New Roman"/>
          <w:color w:val="auto"/>
          <w:sz w:val="24"/>
          <w:szCs w:val="24"/>
        </w:rPr>
        <w:t>oTEE</w:t>
      </w:r>
      <w:r w:rsidR="0058332E" w:rsidRPr="00003942">
        <w:rPr>
          <w:rFonts w:ascii="Times New Roman" w:hAnsi="Times New Roman" w:cs="Times New Roman"/>
          <w:color w:val="auto"/>
          <w:sz w:val="24"/>
          <w:szCs w:val="24"/>
        </w:rPr>
        <w:t xml:space="preserve"> je prvenstveno imao za cilj uskladiti </w:t>
      </w:r>
      <w:r w:rsidR="002417F7" w:rsidRPr="00003942">
        <w:rPr>
          <w:rFonts w:ascii="Times New Roman" w:hAnsi="Times New Roman" w:cs="Times New Roman"/>
          <w:color w:val="auto"/>
          <w:sz w:val="24"/>
          <w:szCs w:val="24"/>
        </w:rPr>
        <w:t>se s odrednicama nove direktive o pravilima za unutarnje tržište električne energije te je u tome smislu otvorio niz novih djelatnosti i izjednačio pristup tržištu na način na koji je to predviđeno europskim zakonodavstvom. Paralelno s tim ZoTEE je dao odgovore na određena pitanja koja su usporavala ili čak onemogućavala završetak određenih započetih projekata.</w:t>
      </w:r>
    </w:p>
    <w:p w:rsidR="00160EB9" w:rsidRPr="00003942" w:rsidRDefault="002417F7" w:rsidP="00160EB9">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Tako su s</w:t>
      </w:r>
      <w:r w:rsidR="00160EB9" w:rsidRPr="00003942">
        <w:rPr>
          <w:rFonts w:ascii="Times New Roman" w:hAnsi="Times New Roman" w:cs="Times New Roman"/>
          <w:color w:val="auto"/>
          <w:sz w:val="24"/>
          <w:szCs w:val="24"/>
        </w:rPr>
        <w:t xml:space="preserve">ukladno članku 133. ZoTEE-a određene prijelazne i završne odredbe kojim </w:t>
      </w:r>
      <w:r w:rsidR="00080BFF" w:rsidRPr="00003942">
        <w:rPr>
          <w:rFonts w:ascii="Times New Roman" w:hAnsi="Times New Roman" w:cs="Times New Roman"/>
          <w:color w:val="auto"/>
          <w:sz w:val="24"/>
          <w:szCs w:val="24"/>
        </w:rPr>
        <w:t xml:space="preserve">će </w:t>
      </w:r>
      <w:r w:rsidR="00160EB9" w:rsidRPr="00003942">
        <w:rPr>
          <w:rFonts w:ascii="Times New Roman" w:hAnsi="Times New Roman" w:cs="Times New Roman"/>
          <w:color w:val="auto"/>
          <w:sz w:val="24"/>
          <w:szCs w:val="24"/>
        </w:rPr>
        <w:t xml:space="preserve">se projektima koji su do stupanja novog ZoTEE razvijani, a nisu imali mogućnosti proći iz različitih razloga kroz sustav i dobiti energetsko odobrenje, </w:t>
      </w:r>
      <w:r w:rsidR="00C87EC9" w:rsidRPr="00003942">
        <w:rPr>
          <w:rFonts w:ascii="Times New Roman" w:hAnsi="Times New Roman" w:cs="Times New Roman"/>
          <w:color w:val="auto"/>
          <w:sz w:val="24"/>
          <w:szCs w:val="24"/>
        </w:rPr>
        <w:t xml:space="preserve">navedeno </w:t>
      </w:r>
      <w:r w:rsidR="00160EB9" w:rsidRPr="00003942">
        <w:rPr>
          <w:rFonts w:ascii="Times New Roman" w:hAnsi="Times New Roman" w:cs="Times New Roman"/>
          <w:color w:val="auto"/>
          <w:sz w:val="24"/>
          <w:szCs w:val="24"/>
        </w:rPr>
        <w:t>riješiti u jasnom pravnom okviru. Preduvjet za izdavanje energetskog odobrenja je usklađenost prostornog obuhvata projekta i prostornog plana, ne postojanje zapreka po pitanju utjecaja na okoliš i/ili prirodu te mogućnost priključenja na elektroenergetsku mrežu. Iskaz interesa za ovakve projekte je bio do 19. siječnja 2022., a MINGOR je na svojim</w:t>
      </w:r>
      <w:r w:rsidR="00451FEE" w:rsidRPr="00003942">
        <w:rPr>
          <w:rFonts w:ascii="Times New Roman" w:hAnsi="Times New Roman" w:cs="Times New Roman"/>
          <w:color w:val="auto"/>
          <w:sz w:val="24"/>
          <w:szCs w:val="24"/>
        </w:rPr>
        <w:t xml:space="preserve"> </w:t>
      </w:r>
      <w:hyperlink r:id="rId10" w:history="1">
        <w:r w:rsidR="00160EB9" w:rsidRPr="00003942">
          <w:rPr>
            <w:rStyle w:val="Hiperveza"/>
            <w:rFonts w:ascii="Times New Roman" w:hAnsi="Times New Roman" w:cs="Times New Roman"/>
            <w:sz w:val="24"/>
            <w:szCs w:val="24"/>
          </w:rPr>
          <w:t>stranicama</w:t>
        </w:r>
      </w:hyperlink>
      <w:r w:rsidR="00160EB9" w:rsidRPr="00003942">
        <w:rPr>
          <w:rFonts w:ascii="Times New Roman" w:hAnsi="Times New Roman" w:cs="Times New Roman"/>
          <w:color w:val="auto"/>
          <w:sz w:val="24"/>
          <w:szCs w:val="24"/>
        </w:rPr>
        <w:t xml:space="preserve"> objavio sve prijavljene projekte čija je valjanost dokumentacije u fazi provjere.</w:t>
      </w:r>
    </w:p>
    <w:p w:rsidR="00DF7141" w:rsidRPr="00387E05" w:rsidRDefault="00DF7141" w:rsidP="002D7C87">
      <w:pPr>
        <w:pStyle w:val="Tijeloteksta"/>
        <w:rPr>
          <w:rFonts w:ascii="Times New Roman" w:hAnsi="Times New Roman" w:cs="Times New Roman"/>
          <w:color w:val="auto"/>
          <w:sz w:val="24"/>
          <w:szCs w:val="24"/>
        </w:rPr>
      </w:pPr>
      <w:r w:rsidRPr="008609F9">
        <w:rPr>
          <w:rFonts w:ascii="Times New Roman" w:hAnsi="Times New Roman" w:cs="Times New Roman"/>
          <w:color w:val="auto"/>
          <w:sz w:val="24"/>
          <w:szCs w:val="24"/>
        </w:rPr>
        <w:t>Ključna pitanja koja rješav</w:t>
      </w:r>
      <w:r w:rsidRPr="00387E05">
        <w:rPr>
          <w:rFonts w:ascii="Times New Roman" w:hAnsi="Times New Roman" w:cs="Times New Roman"/>
          <w:color w:val="auto"/>
          <w:sz w:val="24"/>
          <w:szCs w:val="24"/>
        </w:rPr>
        <w:t>a ZoTEE:</w:t>
      </w:r>
    </w:p>
    <w:p w:rsidR="00DF7141" w:rsidRPr="00F63D65" w:rsidRDefault="00DF7141" w:rsidP="00C05B1B">
      <w:pPr>
        <w:pStyle w:val="Tijeloteksta"/>
        <w:numPr>
          <w:ilvl w:val="0"/>
          <w:numId w:val="36"/>
        </w:numPr>
        <w:ind w:left="567" w:hanging="567"/>
        <w:rPr>
          <w:rFonts w:ascii="Times New Roman" w:hAnsi="Times New Roman" w:cs="Times New Roman"/>
          <w:color w:val="auto"/>
          <w:sz w:val="24"/>
          <w:szCs w:val="24"/>
        </w:rPr>
      </w:pPr>
      <w:r w:rsidRPr="0024150C">
        <w:rPr>
          <w:rFonts w:ascii="Times New Roman" w:hAnsi="Times New Roman" w:cs="Times New Roman"/>
          <w:color w:val="auto"/>
          <w:sz w:val="24"/>
          <w:szCs w:val="24"/>
        </w:rPr>
        <w:t>uspostavlja zajednička pravila za proizvodnju, prijenos, distribuciju i skladištenje energije te opskrbu električnom energijom</w:t>
      </w:r>
      <w:r w:rsidR="00F63D65">
        <w:rPr>
          <w:rFonts w:ascii="Times New Roman" w:hAnsi="Times New Roman" w:cs="Times New Roman"/>
          <w:color w:val="auto"/>
          <w:sz w:val="24"/>
          <w:szCs w:val="24"/>
        </w:rPr>
        <w:t>;</w:t>
      </w:r>
    </w:p>
    <w:p w:rsidR="00DF7141" w:rsidRPr="00F63D65" w:rsidRDefault="00DF7141" w:rsidP="00C05B1B">
      <w:pPr>
        <w:pStyle w:val="Tijeloteksta"/>
        <w:numPr>
          <w:ilvl w:val="0"/>
          <w:numId w:val="36"/>
        </w:numPr>
        <w:ind w:left="567" w:hanging="567"/>
        <w:rPr>
          <w:rFonts w:ascii="Times New Roman" w:hAnsi="Times New Roman" w:cs="Times New Roman"/>
          <w:color w:val="auto"/>
          <w:sz w:val="24"/>
          <w:szCs w:val="24"/>
        </w:rPr>
      </w:pPr>
      <w:r w:rsidRPr="008609F9">
        <w:rPr>
          <w:rFonts w:ascii="Times New Roman" w:hAnsi="Times New Roman" w:cs="Times New Roman"/>
          <w:color w:val="auto"/>
          <w:sz w:val="24"/>
          <w:szCs w:val="24"/>
        </w:rPr>
        <w:lastRenderedPageBreak/>
        <w:t>sadrži odredbe o zaštiti potrošača s ciljem stvaranja integriranih, konkurentnih, fleksibilnih, poštenih i transparentn</w:t>
      </w:r>
      <w:r w:rsidRPr="00387E05">
        <w:rPr>
          <w:rFonts w:ascii="Times New Roman" w:hAnsi="Times New Roman" w:cs="Times New Roman"/>
          <w:color w:val="auto"/>
          <w:sz w:val="24"/>
          <w:szCs w:val="24"/>
        </w:rPr>
        <w:t>ih tržišta električne energije koja se primjenjuju u cijeloj Europskoj uniji i koja su orijentirana na krajnje kupce</w:t>
      </w:r>
      <w:r w:rsidR="00F63D65">
        <w:rPr>
          <w:rFonts w:ascii="Times New Roman" w:hAnsi="Times New Roman" w:cs="Times New Roman"/>
          <w:color w:val="auto"/>
          <w:sz w:val="24"/>
          <w:szCs w:val="24"/>
        </w:rPr>
        <w:t>;</w:t>
      </w:r>
    </w:p>
    <w:p w:rsidR="00DF7141" w:rsidRPr="00F63D65" w:rsidRDefault="00DF7141" w:rsidP="00C05B1B">
      <w:pPr>
        <w:pStyle w:val="Tijeloteksta"/>
        <w:numPr>
          <w:ilvl w:val="0"/>
          <w:numId w:val="36"/>
        </w:numPr>
        <w:ind w:left="567" w:hanging="567"/>
        <w:rPr>
          <w:rFonts w:ascii="Times New Roman" w:hAnsi="Times New Roman" w:cs="Times New Roman"/>
          <w:color w:val="auto"/>
          <w:sz w:val="24"/>
          <w:szCs w:val="24"/>
        </w:rPr>
      </w:pPr>
      <w:r w:rsidRPr="008609F9">
        <w:rPr>
          <w:rFonts w:ascii="Times New Roman" w:hAnsi="Times New Roman" w:cs="Times New Roman"/>
          <w:color w:val="auto"/>
          <w:sz w:val="24"/>
          <w:szCs w:val="24"/>
        </w:rPr>
        <w:t>osigurava principe za formiranje prihvatljive i transparentne cijene i troškova električne energije za krajnje kupce, visok stupanj si</w:t>
      </w:r>
      <w:r w:rsidRPr="00387E05">
        <w:rPr>
          <w:rFonts w:ascii="Times New Roman" w:hAnsi="Times New Roman" w:cs="Times New Roman"/>
          <w:color w:val="auto"/>
          <w:sz w:val="24"/>
          <w:szCs w:val="24"/>
        </w:rPr>
        <w:t>gurnosti opskrbe te neometan prijelaz na održivi energetski sustav s niskom razinom emisije ugljika</w:t>
      </w:r>
      <w:r w:rsidR="00F63D65">
        <w:rPr>
          <w:rFonts w:ascii="Times New Roman" w:hAnsi="Times New Roman" w:cs="Times New Roman"/>
          <w:color w:val="auto"/>
          <w:sz w:val="24"/>
          <w:szCs w:val="24"/>
        </w:rPr>
        <w:t>;</w:t>
      </w:r>
    </w:p>
    <w:p w:rsidR="00DF7141" w:rsidRPr="00F63D65" w:rsidRDefault="00DF7141" w:rsidP="00C05B1B">
      <w:pPr>
        <w:pStyle w:val="Tijeloteksta"/>
        <w:numPr>
          <w:ilvl w:val="0"/>
          <w:numId w:val="36"/>
        </w:numPr>
        <w:ind w:left="567" w:hanging="567"/>
        <w:rPr>
          <w:rFonts w:ascii="Times New Roman" w:hAnsi="Times New Roman" w:cs="Times New Roman"/>
          <w:color w:val="auto"/>
          <w:sz w:val="24"/>
          <w:szCs w:val="24"/>
        </w:rPr>
      </w:pPr>
      <w:r w:rsidRPr="00F63D65">
        <w:rPr>
          <w:rFonts w:ascii="Times New Roman" w:hAnsi="Times New Roman" w:cs="Times New Roman"/>
          <w:color w:val="auto"/>
          <w:sz w:val="24"/>
          <w:szCs w:val="24"/>
        </w:rPr>
        <w:t>utvrđuje ključna pravila za organizaciju i funkcioniranje elektroenergetskog sektora</w:t>
      </w:r>
      <w:r w:rsidR="00F63D65">
        <w:rPr>
          <w:rFonts w:ascii="Times New Roman" w:hAnsi="Times New Roman" w:cs="Times New Roman"/>
          <w:color w:val="auto"/>
          <w:sz w:val="24"/>
          <w:szCs w:val="24"/>
        </w:rPr>
        <w:t>;</w:t>
      </w:r>
    </w:p>
    <w:p w:rsidR="00DF7141" w:rsidRPr="00F63D65" w:rsidRDefault="00DF7141" w:rsidP="00C05B1B">
      <w:pPr>
        <w:pStyle w:val="Tijeloteksta"/>
        <w:numPr>
          <w:ilvl w:val="0"/>
          <w:numId w:val="36"/>
        </w:numPr>
        <w:ind w:left="567" w:hanging="567"/>
        <w:rPr>
          <w:rFonts w:ascii="Times New Roman" w:hAnsi="Times New Roman" w:cs="Times New Roman"/>
          <w:color w:val="auto"/>
          <w:sz w:val="24"/>
          <w:szCs w:val="24"/>
        </w:rPr>
      </w:pPr>
      <w:r w:rsidRPr="008609F9">
        <w:rPr>
          <w:rFonts w:ascii="Times New Roman" w:hAnsi="Times New Roman" w:cs="Times New Roman"/>
          <w:color w:val="auto"/>
          <w:sz w:val="24"/>
          <w:szCs w:val="24"/>
        </w:rPr>
        <w:t>određuje pravila o osnaživanju i zaštiti krajnjih kupaca, otvorenom p</w:t>
      </w:r>
      <w:r w:rsidRPr="00387E05">
        <w:rPr>
          <w:rFonts w:ascii="Times New Roman" w:hAnsi="Times New Roman" w:cs="Times New Roman"/>
          <w:color w:val="auto"/>
          <w:sz w:val="24"/>
          <w:szCs w:val="24"/>
        </w:rPr>
        <w:t>ristupu integriranom tržištu električne energije, pristupu trećih strana, infrastrukturi prijenosa i distribucije električne energije</w:t>
      </w:r>
      <w:r w:rsidR="00F63D65">
        <w:rPr>
          <w:rFonts w:ascii="Times New Roman" w:hAnsi="Times New Roman" w:cs="Times New Roman"/>
          <w:color w:val="auto"/>
          <w:sz w:val="24"/>
          <w:szCs w:val="24"/>
        </w:rPr>
        <w:t>;</w:t>
      </w:r>
    </w:p>
    <w:p w:rsidR="00DF7141" w:rsidRPr="00F63D65" w:rsidRDefault="00DF7141" w:rsidP="00C05B1B">
      <w:pPr>
        <w:pStyle w:val="Tijeloteksta"/>
        <w:numPr>
          <w:ilvl w:val="0"/>
          <w:numId w:val="36"/>
        </w:numPr>
        <w:ind w:left="567" w:hanging="567"/>
        <w:rPr>
          <w:rFonts w:ascii="Times New Roman" w:hAnsi="Times New Roman" w:cs="Times New Roman"/>
          <w:color w:val="auto"/>
          <w:sz w:val="24"/>
          <w:szCs w:val="24"/>
        </w:rPr>
      </w:pPr>
      <w:r w:rsidRPr="008609F9">
        <w:rPr>
          <w:rFonts w:ascii="Times New Roman" w:hAnsi="Times New Roman" w:cs="Times New Roman"/>
          <w:color w:val="auto"/>
          <w:sz w:val="24"/>
          <w:szCs w:val="24"/>
        </w:rPr>
        <w:t>uvod</w:t>
      </w:r>
      <w:r w:rsidR="00080BFF" w:rsidRPr="00387E05">
        <w:rPr>
          <w:rFonts w:ascii="Times New Roman" w:hAnsi="Times New Roman" w:cs="Times New Roman"/>
          <w:color w:val="auto"/>
          <w:sz w:val="24"/>
          <w:szCs w:val="24"/>
        </w:rPr>
        <w:t>i se</w:t>
      </w:r>
      <w:r w:rsidRPr="0024150C">
        <w:rPr>
          <w:rFonts w:ascii="Times New Roman" w:hAnsi="Times New Roman" w:cs="Times New Roman"/>
          <w:color w:val="auto"/>
          <w:sz w:val="24"/>
          <w:szCs w:val="24"/>
        </w:rPr>
        <w:t xml:space="preserve"> nove institute kao što su aktivni kupac i energetska zajednica građana s ciljem omogućavanja svim krajnjim kupcima da izravno sudjeluju u proizvodnji, potrošnji ili dijeljenju električne energije</w:t>
      </w:r>
      <w:r w:rsidR="00F63D65">
        <w:rPr>
          <w:rFonts w:ascii="Times New Roman" w:hAnsi="Times New Roman" w:cs="Times New Roman"/>
          <w:color w:val="auto"/>
          <w:sz w:val="24"/>
          <w:szCs w:val="24"/>
        </w:rPr>
        <w:t>;</w:t>
      </w:r>
    </w:p>
    <w:p w:rsidR="00DF7141" w:rsidRPr="00F63D65" w:rsidRDefault="00DF7141" w:rsidP="00C05B1B">
      <w:pPr>
        <w:pStyle w:val="Tijeloteksta"/>
        <w:numPr>
          <w:ilvl w:val="0"/>
          <w:numId w:val="36"/>
        </w:numPr>
        <w:ind w:left="567" w:hanging="567"/>
        <w:rPr>
          <w:rFonts w:ascii="Times New Roman" w:hAnsi="Times New Roman" w:cs="Times New Roman"/>
          <w:color w:val="auto"/>
          <w:sz w:val="24"/>
          <w:szCs w:val="24"/>
        </w:rPr>
      </w:pPr>
      <w:r w:rsidRPr="008609F9">
        <w:rPr>
          <w:rFonts w:ascii="Times New Roman" w:hAnsi="Times New Roman" w:cs="Times New Roman"/>
          <w:color w:val="auto"/>
          <w:sz w:val="24"/>
          <w:szCs w:val="24"/>
        </w:rPr>
        <w:t>uvod</w:t>
      </w:r>
      <w:r w:rsidR="00080BFF" w:rsidRPr="00387E05">
        <w:rPr>
          <w:rFonts w:ascii="Times New Roman" w:hAnsi="Times New Roman" w:cs="Times New Roman"/>
          <w:color w:val="auto"/>
          <w:sz w:val="24"/>
          <w:szCs w:val="24"/>
        </w:rPr>
        <w:t>e</w:t>
      </w:r>
      <w:r w:rsidRPr="0024150C">
        <w:rPr>
          <w:rFonts w:ascii="Times New Roman" w:hAnsi="Times New Roman" w:cs="Times New Roman"/>
          <w:color w:val="auto"/>
          <w:sz w:val="24"/>
          <w:szCs w:val="24"/>
        </w:rPr>
        <w:t xml:space="preserve"> se nove energetske djelatnosti kao što su: agregiranje, skladištenje energije, organiziranje energetske zajednice građana i operator zatvorenog distribucijskog sustava</w:t>
      </w:r>
      <w:r w:rsidR="00F63D65">
        <w:rPr>
          <w:rFonts w:ascii="Times New Roman" w:hAnsi="Times New Roman" w:cs="Times New Roman"/>
          <w:color w:val="auto"/>
          <w:sz w:val="24"/>
          <w:szCs w:val="24"/>
        </w:rPr>
        <w:t>;</w:t>
      </w:r>
    </w:p>
    <w:p w:rsidR="00DF7141" w:rsidRPr="00F63D65" w:rsidRDefault="00DF7141" w:rsidP="00C05B1B">
      <w:pPr>
        <w:pStyle w:val="Tijeloteksta"/>
        <w:numPr>
          <w:ilvl w:val="0"/>
          <w:numId w:val="36"/>
        </w:numPr>
        <w:ind w:left="567" w:hanging="567"/>
        <w:rPr>
          <w:rFonts w:ascii="Times New Roman" w:hAnsi="Times New Roman" w:cs="Times New Roman"/>
          <w:color w:val="auto"/>
          <w:sz w:val="24"/>
          <w:szCs w:val="24"/>
        </w:rPr>
      </w:pPr>
      <w:r w:rsidRPr="00F63D65">
        <w:rPr>
          <w:rFonts w:ascii="Times New Roman" w:hAnsi="Times New Roman" w:cs="Times New Roman"/>
          <w:color w:val="auto"/>
          <w:sz w:val="24"/>
          <w:szCs w:val="24"/>
        </w:rPr>
        <w:t xml:space="preserve">uvodi </w:t>
      </w:r>
      <w:r w:rsidR="00080BFF" w:rsidRPr="00F63D65">
        <w:rPr>
          <w:rFonts w:ascii="Times New Roman" w:hAnsi="Times New Roman" w:cs="Times New Roman"/>
          <w:color w:val="auto"/>
          <w:sz w:val="24"/>
          <w:szCs w:val="24"/>
        </w:rPr>
        <w:t xml:space="preserve">se </w:t>
      </w:r>
      <w:r w:rsidRPr="00F63D65">
        <w:rPr>
          <w:rFonts w:ascii="Times New Roman" w:hAnsi="Times New Roman" w:cs="Times New Roman"/>
          <w:color w:val="auto"/>
          <w:sz w:val="24"/>
          <w:szCs w:val="24"/>
        </w:rPr>
        <w:t>elektromobilnost kao važan element energetske tranzicije</w:t>
      </w:r>
      <w:r w:rsidR="00F63D65">
        <w:rPr>
          <w:rFonts w:ascii="Times New Roman" w:hAnsi="Times New Roman" w:cs="Times New Roman"/>
          <w:color w:val="auto"/>
          <w:sz w:val="24"/>
          <w:szCs w:val="24"/>
        </w:rPr>
        <w:t>;</w:t>
      </w:r>
    </w:p>
    <w:p w:rsidR="00DF7141" w:rsidRPr="00F63D65" w:rsidRDefault="00DF7141" w:rsidP="00C05B1B">
      <w:pPr>
        <w:pStyle w:val="Tijeloteksta"/>
        <w:numPr>
          <w:ilvl w:val="0"/>
          <w:numId w:val="36"/>
        </w:numPr>
        <w:ind w:left="567" w:hanging="567"/>
        <w:rPr>
          <w:rFonts w:ascii="Times New Roman" w:hAnsi="Times New Roman" w:cs="Times New Roman"/>
          <w:color w:val="auto"/>
          <w:sz w:val="24"/>
          <w:szCs w:val="24"/>
        </w:rPr>
      </w:pPr>
      <w:r w:rsidRPr="008609F9">
        <w:rPr>
          <w:rFonts w:ascii="Times New Roman" w:hAnsi="Times New Roman" w:cs="Times New Roman"/>
          <w:color w:val="auto"/>
          <w:sz w:val="24"/>
          <w:szCs w:val="24"/>
        </w:rPr>
        <w:t xml:space="preserve">uvodi </w:t>
      </w:r>
      <w:r w:rsidR="00080BFF" w:rsidRPr="00387E05">
        <w:rPr>
          <w:rFonts w:ascii="Times New Roman" w:hAnsi="Times New Roman" w:cs="Times New Roman"/>
          <w:color w:val="auto"/>
          <w:sz w:val="24"/>
          <w:szCs w:val="24"/>
        </w:rPr>
        <w:t xml:space="preserve">se </w:t>
      </w:r>
      <w:r w:rsidRPr="0024150C">
        <w:rPr>
          <w:rFonts w:ascii="Times New Roman" w:hAnsi="Times New Roman" w:cs="Times New Roman"/>
          <w:color w:val="auto"/>
          <w:sz w:val="24"/>
          <w:szCs w:val="24"/>
        </w:rPr>
        <w:t>napredni sustav mjerenja kojim se osnažuju krajnji kupci na način da im takvi sustavi omogućavaju točne povratne informacije o potrošnji ili proizvodnji energije u gotovo stvarnom vremenu, bolje upravljanje potrošnjom energije, kao i da posljedično smanje iznose svojih računa za potrošnju električne energije</w:t>
      </w:r>
      <w:r w:rsidR="00F63D65">
        <w:rPr>
          <w:rFonts w:ascii="Times New Roman" w:hAnsi="Times New Roman" w:cs="Times New Roman"/>
          <w:color w:val="auto"/>
          <w:sz w:val="24"/>
          <w:szCs w:val="24"/>
        </w:rPr>
        <w:t>;</w:t>
      </w:r>
    </w:p>
    <w:p w:rsidR="00DF7141" w:rsidRPr="00F63D65" w:rsidRDefault="00DF7141" w:rsidP="00C05B1B">
      <w:pPr>
        <w:pStyle w:val="Tijeloteksta"/>
        <w:numPr>
          <w:ilvl w:val="0"/>
          <w:numId w:val="36"/>
        </w:numPr>
        <w:ind w:left="567" w:hanging="567"/>
        <w:rPr>
          <w:rFonts w:ascii="Times New Roman" w:hAnsi="Times New Roman" w:cs="Times New Roman"/>
          <w:color w:val="auto"/>
          <w:sz w:val="24"/>
          <w:szCs w:val="24"/>
        </w:rPr>
      </w:pPr>
      <w:r w:rsidRPr="008609F9">
        <w:rPr>
          <w:rFonts w:ascii="Times New Roman" w:hAnsi="Times New Roman" w:cs="Times New Roman"/>
          <w:color w:val="auto"/>
          <w:sz w:val="24"/>
          <w:szCs w:val="24"/>
        </w:rPr>
        <w:t>određuj</w:t>
      </w:r>
      <w:r w:rsidR="00C2409C" w:rsidRPr="00387E05">
        <w:rPr>
          <w:rFonts w:ascii="Times New Roman" w:hAnsi="Times New Roman" w:cs="Times New Roman"/>
          <w:color w:val="auto"/>
          <w:sz w:val="24"/>
          <w:szCs w:val="24"/>
        </w:rPr>
        <w:t>u se</w:t>
      </w:r>
      <w:r w:rsidRPr="0024150C">
        <w:rPr>
          <w:rFonts w:ascii="Times New Roman" w:hAnsi="Times New Roman" w:cs="Times New Roman"/>
          <w:color w:val="auto"/>
          <w:sz w:val="24"/>
          <w:szCs w:val="24"/>
        </w:rPr>
        <w:t xml:space="preserve"> pravila o neovisnosti Hrvatske energetske regulatorne agencije te utvrđuje načine suradnje s drugim državama članicama, regulatornim tijelima i operatorom prijenosnog sustava, a sve s ciljem stvaranja potpuno međusobno povezanog unutarnjeg tržišta električne energije</w:t>
      </w:r>
      <w:r w:rsidR="00F63D65">
        <w:rPr>
          <w:rFonts w:ascii="Times New Roman" w:hAnsi="Times New Roman" w:cs="Times New Roman"/>
          <w:color w:val="auto"/>
          <w:sz w:val="24"/>
          <w:szCs w:val="24"/>
        </w:rPr>
        <w:t>;</w:t>
      </w:r>
    </w:p>
    <w:p w:rsidR="00DF7141" w:rsidRPr="00F63D65" w:rsidRDefault="00DF7141" w:rsidP="00C05B1B">
      <w:pPr>
        <w:pStyle w:val="Tijeloteksta"/>
        <w:numPr>
          <w:ilvl w:val="0"/>
          <w:numId w:val="36"/>
        </w:numPr>
        <w:ind w:left="567" w:hanging="567"/>
        <w:rPr>
          <w:rFonts w:ascii="Times New Roman" w:hAnsi="Times New Roman" w:cs="Times New Roman"/>
          <w:color w:val="auto"/>
          <w:sz w:val="24"/>
          <w:szCs w:val="24"/>
        </w:rPr>
      </w:pPr>
      <w:r w:rsidRPr="008609F9">
        <w:rPr>
          <w:rFonts w:ascii="Times New Roman" w:hAnsi="Times New Roman" w:cs="Times New Roman"/>
          <w:color w:val="auto"/>
          <w:sz w:val="24"/>
          <w:szCs w:val="24"/>
        </w:rPr>
        <w:t xml:space="preserve">potiče </w:t>
      </w:r>
      <w:r w:rsidR="00C2409C" w:rsidRPr="00387E05">
        <w:rPr>
          <w:rFonts w:ascii="Times New Roman" w:hAnsi="Times New Roman" w:cs="Times New Roman"/>
          <w:color w:val="auto"/>
          <w:sz w:val="24"/>
          <w:szCs w:val="24"/>
        </w:rPr>
        <w:t xml:space="preserve">se </w:t>
      </w:r>
      <w:r w:rsidR="00C2409C" w:rsidRPr="0024150C">
        <w:rPr>
          <w:rFonts w:ascii="Times New Roman" w:hAnsi="Times New Roman" w:cs="Times New Roman"/>
          <w:color w:val="auto"/>
          <w:sz w:val="24"/>
          <w:szCs w:val="24"/>
        </w:rPr>
        <w:t xml:space="preserve">integracija </w:t>
      </w:r>
      <w:r w:rsidRPr="0024150C">
        <w:rPr>
          <w:rFonts w:ascii="Times New Roman" w:hAnsi="Times New Roman" w:cs="Times New Roman"/>
          <w:color w:val="auto"/>
          <w:sz w:val="24"/>
          <w:szCs w:val="24"/>
        </w:rPr>
        <w:t>energije iz obnovljivih izvora, slobodno tržišno natjecanje te sigurnost opskrbe električnom energijom</w:t>
      </w:r>
      <w:r w:rsidR="00F63D65">
        <w:rPr>
          <w:rFonts w:ascii="Times New Roman" w:hAnsi="Times New Roman" w:cs="Times New Roman"/>
          <w:color w:val="auto"/>
          <w:sz w:val="24"/>
          <w:szCs w:val="24"/>
        </w:rPr>
        <w:t>;</w:t>
      </w:r>
    </w:p>
    <w:p w:rsidR="00DF7141" w:rsidRPr="00F63D65" w:rsidRDefault="00DF7141" w:rsidP="00C05B1B">
      <w:pPr>
        <w:pStyle w:val="Tijeloteksta"/>
        <w:numPr>
          <w:ilvl w:val="0"/>
          <w:numId w:val="36"/>
        </w:numPr>
        <w:ind w:left="567" w:hanging="567"/>
        <w:rPr>
          <w:rFonts w:ascii="Times New Roman" w:hAnsi="Times New Roman" w:cs="Times New Roman"/>
          <w:color w:val="auto"/>
          <w:sz w:val="24"/>
          <w:szCs w:val="24"/>
        </w:rPr>
      </w:pPr>
      <w:r w:rsidRPr="008609F9">
        <w:rPr>
          <w:rFonts w:ascii="Times New Roman" w:hAnsi="Times New Roman" w:cs="Times New Roman"/>
          <w:color w:val="auto"/>
          <w:sz w:val="24"/>
          <w:szCs w:val="24"/>
        </w:rPr>
        <w:t>osigurava</w:t>
      </w:r>
      <w:r w:rsidR="00C2409C" w:rsidRPr="00387E05">
        <w:rPr>
          <w:rFonts w:ascii="Times New Roman" w:hAnsi="Times New Roman" w:cs="Times New Roman"/>
          <w:color w:val="auto"/>
          <w:sz w:val="24"/>
          <w:szCs w:val="24"/>
        </w:rPr>
        <w:t>ju se</w:t>
      </w:r>
      <w:r w:rsidRPr="0024150C">
        <w:rPr>
          <w:rFonts w:ascii="Times New Roman" w:hAnsi="Times New Roman" w:cs="Times New Roman"/>
          <w:color w:val="auto"/>
          <w:sz w:val="24"/>
          <w:szCs w:val="24"/>
        </w:rPr>
        <w:t xml:space="preserve"> temeljna načela u pogledu određivanja tarifa i dodjele prekozonskih kapaciteta kao jedinstvena u cijeloj Europskoj uniji – utvrđuju se detaljna pravila</w:t>
      </w:r>
      <w:r w:rsidRPr="00331C56">
        <w:rPr>
          <w:rFonts w:ascii="Times New Roman" w:hAnsi="Times New Roman" w:cs="Times New Roman"/>
          <w:color w:val="auto"/>
          <w:sz w:val="24"/>
          <w:szCs w:val="24"/>
        </w:rPr>
        <w:t xml:space="preserve"> za olakšavanje djelotvornog prekograničnog sudjelovanja u mehanizmima za razvoj proizvodnih kapaciteta</w:t>
      </w:r>
      <w:r w:rsidR="00F63D65">
        <w:rPr>
          <w:rFonts w:ascii="Times New Roman" w:hAnsi="Times New Roman" w:cs="Times New Roman"/>
          <w:color w:val="auto"/>
          <w:sz w:val="24"/>
          <w:szCs w:val="24"/>
        </w:rPr>
        <w:t>;</w:t>
      </w:r>
    </w:p>
    <w:p w:rsidR="00DF7141" w:rsidRPr="00F63D65" w:rsidRDefault="00DF7141" w:rsidP="00C05B1B">
      <w:pPr>
        <w:pStyle w:val="Tijeloteksta"/>
        <w:numPr>
          <w:ilvl w:val="0"/>
          <w:numId w:val="36"/>
        </w:numPr>
        <w:ind w:left="567" w:hanging="567"/>
        <w:rPr>
          <w:rFonts w:ascii="Times New Roman" w:hAnsi="Times New Roman" w:cs="Times New Roman"/>
          <w:color w:val="auto"/>
          <w:sz w:val="24"/>
          <w:szCs w:val="24"/>
        </w:rPr>
      </w:pPr>
      <w:r w:rsidRPr="00F63D65">
        <w:rPr>
          <w:rFonts w:ascii="Times New Roman" w:hAnsi="Times New Roman" w:cs="Times New Roman"/>
          <w:color w:val="auto"/>
          <w:sz w:val="24"/>
          <w:szCs w:val="24"/>
        </w:rPr>
        <w:t>određuje se postupak javnog natječaja za izdavanje energetskog odobrenja za novi proizvodni kapacitet</w:t>
      </w:r>
      <w:r w:rsidR="00F63D65">
        <w:rPr>
          <w:rFonts w:ascii="Times New Roman" w:hAnsi="Times New Roman" w:cs="Times New Roman"/>
          <w:color w:val="auto"/>
          <w:sz w:val="24"/>
          <w:szCs w:val="24"/>
        </w:rPr>
        <w:t>;</w:t>
      </w:r>
    </w:p>
    <w:p w:rsidR="00DF7141" w:rsidRPr="00F63D65" w:rsidRDefault="00DF7141" w:rsidP="00C05B1B">
      <w:pPr>
        <w:pStyle w:val="Tijeloteksta"/>
        <w:numPr>
          <w:ilvl w:val="0"/>
          <w:numId w:val="36"/>
        </w:numPr>
        <w:ind w:left="567" w:hanging="567"/>
        <w:rPr>
          <w:rFonts w:ascii="Times New Roman" w:hAnsi="Times New Roman" w:cs="Times New Roman"/>
          <w:color w:val="auto"/>
          <w:sz w:val="24"/>
          <w:szCs w:val="24"/>
        </w:rPr>
      </w:pPr>
      <w:r w:rsidRPr="008609F9">
        <w:rPr>
          <w:rFonts w:ascii="Times New Roman" w:hAnsi="Times New Roman" w:cs="Times New Roman"/>
          <w:color w:val="auto"/>
          <w:sz w:val="24"/>
          <w:szCs w:val="24"/>
        </w:rPr>
        <w:t>osigurava</w:t>
      </w:r>
      <w:r w:rsidR="00C2409C" w:rsidRPr="00387E05">
        <w:rPr>
          <w:rFonts w:ascii="Times New Roman" w:hAnsi="Times New Roman" w:cs="Times New Roman"/>
          <w:color w:val="auto"/>
          <w:sz w:val="24"/>
          <w:szCs w:val="24"/>
        </w:rPr>
        <w:t xml:space="preserve"> se</w:t>
      </w:r>
      <w:r w:rsidRPr="0024150C">
        <w:rPr>
          <w:rFonts w:ascii="Times New Roman" w:hAnsi="Times New Roman" w:cs="Times New Roman"/>
          <w:color w:val="auto"/>
          <w:sz w:val="24"/>
          <w:szCs w:val="24"/>
        </w:rPr>
        <w:t xml:space="preserve"> besplat</w:t>
      </w:r>
      <w:r w:rsidR="00C2409C" w:rsidRPr="0024150C">
        <w:rPr>
          <w:rFonts w:ascii="Times New Roman" w:hAnsi="Times New Roman" w:cs="Times New Roman"/>
          <w:color w:val="auto"/>
          <w:sz w:val="24"/>
          <w:szCs w:val="24"/>
        </w:rPr>
        <w:t>a</w:t>
      </w:r>
      <w:r w:rsidRPr="0024150C">
        <w:rPr>
          <w:rFonts w:ascii="Times New Roman" w:hAnsi="Times New Roman" w:cs="Times New Roman"/>
          <w:color w:val="auto"/>
          <w:sz w:val="24"/>
          <w:szCs w:val="24"/>
        </w:rPr>
        <w:t>n pristup barem jednom alatu za usporedbu ponuda opskrbljivača, za kupce iz kategorije kućanstvo te kupce iz kategorije poduzetništvo s očekivanom godišnjom potrošnjom manjom od 100.000 kWh (uključujući ponude za ugovore s dinamičnim određivanjem cijene električne energije u dijelu koji se slobodno ugovara)</w:t>
      </w:r>
      <w:r w:rsidR="00F63D65">
        <w:rPr>
          <w:rFonts w:ascii="Times New Roman" w:hAnsi="Times New Roman" w:cs="Times New Roman"/>
          <w:color w:val="auto"/>
          <w:sz w:val="24"/>
          <w:szCs w:val="24"/>
        </w:rPr>
        <w:t>;</w:t>
      </w:r>
    </w:p>
    <w:p w:rsidR="00DF7141" w:rsidRPr="00F63D65" w:rsidRDefault="00DF7141" w:rsidP="00C05B1B">
      <w:pPr>
        <w:pStyle w:val="Tijeloteksta"/>
        <w:numPr>
          <w:ilvl w:val="0"/>
          <w:numId w:val="36"/>
        </w:numPr>
        <w:ind w:left="567" w:hanging="567"/>
        <w:rPr>
          <w:rFonts w:ascii="Times New Roman" w:hAnsi="Times New Roman" w:cs="Times New Roman"/>
          <w:color w:val="auto"/>
          <w:sz w:val="24"/>
          <w:szCs w:val="24"/>
        </w:rPr>
      </w:pPr>
      <w:r w:rsidRPr="008609F9">
        <w:rPr>
          <w:rFonts w:ascii="Times New Roman" w:hAnsi="Times New Roman" w:cs="Times New Roman"/>
          <w:color w:val="auto"/>
          <w:sz w:val="24"/>
          <w:szCs w:val="24"/>
        </w:rPr>
        <w:t xml:space="preserve">krajnji kupac </w:t>
      </w:r>
      <w:r w:rsidRPr="00387E05">
        <w:rPr>
          <w:rFonts w:ascii="Times New Roman" w:hAnsi="Times New Roman" w:cs="Times New Roman"/>
          <w:color w:val="auto"/>
          <w:sz w:val="24"/>
          <w:szCs w:val="24"/>
        </w:rPr>
        <w:t>može samostalno ili putem agregiranja ravnopravno sudjelovati na svim tržištima električne energije</w:t>
      </w:r>
      <w:r w:rsidR="00F63D65">
        <w:rPr>
          <w:rFonts w:ascii="Times New Roman" w:hAnsi="Times New Roman" w:cs="Times New Roman"/>
          <w:color w:val="auto"/>
          <w:sz w:val="24"/>
          <w:szCs w:val="24"/>
        </w:rPr>
        <w:t>;</w:t>
      </w:r>
    </w:p>
    <w:p w:rsidR="00DF7141" w:rsidRPr="00F63D65" w:rsidRDefault="00DF7141" w:rsidP="00C05B1B">
      <w:pPr>
        <w:pStyle w:val="Tijeloteksta"/>
        <w:numPr>
          <w:ilvl w:val="0"/>
          <w:numId w:val="36"/>
        </w:numPr>
        <w:ind w:left="567" w:hanging="567"/>
        <w:rPr>
          <w:rFonts w:ascii="Times New Roman" w:hAnsi="Times New Roman" w:cs="Times New Roman"/>
          <w:color w:val="auto"/>
          <w:sz w:val="24"/>
          <w:szCs w:val="24"/>
        </w:rPr>
      </w:pPr>
      <w:r w:rsidRPr="008609F9">
        <w:rPr>
          <w:rFonts w:ascii="Times New Roman" w:hAnsi="Times New Roman" w:cs="Times New Roman"/>
          <w:color w:val="auto"/>
          <w:sz w:val="24"/>
          <w:szCs w:val="24"/>
        </w:rPr>
        <w:lastRenderedPageBreak/>
        <w:t xml:space="preserve">skladište energije kao postrojenje u kojem se električna energija skladišti pretvorbom u neku drugi oblik energije, a podrazumijeva reverzibilne elektrane, </w:t>
      </w:r>
      <w:r w:rsidRPr="00387E05">
        <w:rPr>
          <w:rFonts w:ascii="Times New Roman" w:hAnsi="Times New Roman" w:cs="Times New Roman"/>
          <w:color w:val="auto"/>
          <w:sz w:val="24"/>
          <w:szCs w:val="24"/>
        </w:rPr>
        <w:t>crpne elektrane, električne kotlove sa spremnikom, toplinske pumpe, baterijske spremnike</w:t>
      </w:r>
      <w:r w:rsidR="006F1A09" w:rsidRPr="0024150C">
        <w:rPr>
          <w:rFonts w:ascii="Times New Roman" w:hAnsi="Times New Roman" w:cs="Times New Roman"/>
          <w:color w:val="auto"/>
          <w:sz w:val="24"/>
          <w:szCs w:val="24"/>
        </w:rPr>
        <w:t>,</w:t>
      </w:r>
      <w:r w:rsidRPr="0024150C">
        <w:rPr>
          <w:rFonts w:ascii="Times New Roman" w:hAnsi="Times New Roman" w:cs="Times New Roman"/>
          <w:color w:val="auto"/>
          <w:sz w:val="24"/>
          <w:szCs w:val="24"/>
        </w:rPr>
        <w:t xml:space="preserve"> elektrolizatore sa spremnikom vodika i ostale uređaje u koje se električna energija može spremiti, u nekom obliku, te</w:t>
      </w:r>
      <w:r w:rsidRPr="00331C56">
        <w:rPr>
          <w:rFonts w:ascii="Times New Roman" w:hAnsi="Times New Roman" w:cs="Times New Roman"/>
          <w:color w:val="auto"/>
          <w:sz w:val="24"/>
          <w:szCs w:val="24"/>
        </w:rPr>
        <w:t xml:space="preserve"> kasnije predati u prijenosnu ili distribucijsku mrežu</w:t>
      </w:r>
      <w:r w:rsidR="00F63D65">
        <w:rPr>
          <w:rFonts w:ascii="Times New Roman" w:hAnsi="Times New Roman" w:cs="Times New Roman"/>
          <w:color w:val="auto"/>
          <w:sz w:val="24"/>
          <w:szCs w:val="24"/>
        </w:rPr>
        <w:t>;</w:t>
      </w:r>
    </w:p>
    <w:p w:rsidR="00DF7141" w:rsidRPr="0024150C" w:rsidRDefault="00DF7141" w:rsidP="00C05B1B">
      <w:pPr>
        <w:pStyle w:val="Tijeloteksta"/>
        <w:numPr>
          <w:ilvl w:val="0"/>
          <w:numId w:val="36"/>
        </w:numPr>
        <w:ind w:left="567" w:hanging="567"/>
        <w:rPr>
          <w:rFonts w:ascii="Times New Roman" w:hAnsi="Times New Roman" w:cs="Times New Roman"/>
          <w:color w:val="auto"/>
          <w:sz w:val="24"/>
          <w:szCs w:val="24"/>
        </w:rPr>
      </w:pPr>
      <w:r w:rsidRPr="008609F9">
        <w:rPr>
          <w:rFonts w:ascii="Times New Roman" w:hAnsi="Times New Roman" w:cs="Times New Roman"/>
          <w:color w:val="auto"/>
          <w:sz w:val="24"/>
          <w:szCs w:val="24"/>
        </w:rPr>
        <w:t xml:space="preserve">neovisni operator sustava HOPS organiziran </w:t>
      </w:r>
      <w:r w:rsidR="000C5501" w:rsidRPr="00387E05">
        <w:rPr>
          <w:rFonts w:ascii="Times New Roman" w:hAnsi="Times New Roman" w:cs="Times New Roman"/>
          <w:color w:val="auto"/>
          <w:sz w:val="24"/>
          <w:szCs w:val="24"/>
        </w:rPr>
        <w:t xml:space="preserve">je </w:t>
      </w:r>
      <w:r w:rsidRPr="0024150C">
        <w:rPr>
          <w:rFonts w:ascii="Times New Roman" w:hAnsi="Times New Roman" w:cs="Times New Roman"/>
          <w:color w:val="auto"/>
          <w:sz w:val="24"/>
          <w:szCs w:val="24"/>
        </w:rPr>
        <w:t>kao dioničko društvo, umjesto kao društvo s ograničenom odgovornošću što je do sada bio</w:t>
      </w:r>
      <w:r w:rsidR="000C5501" w:rsidRPr="0024150C">
        <w:rPr>
          <w:rFonts w:ascii="Times New Roman" w:hAnsi="Times New Roman" w:cs="Times New Roman"/>
          <w:color w:val="auto"/>
          <w:sz w:val="24"/>
          <w:szCs w:val="24"/>
        </w:rPr>
        <w:t xml:space="preserve"> slučaj</w:t>
      </w:r>
      <w:r w:rsidRPr="0024150C">
        <w:rPr>
          <w:rFonts w:ascii="Times New Roman" w:hAnsi="Times New Roman" w:cs="Times New Roman"/>
          <w:color w:val="auto"/>
          <w:sz w:val="24"/>
          <w:szCs w:val="24"/>
        </w:rPr>
        <w:t>.</w:t>
      </w:r>
    </w:p>
    <w:p w:rsidR="00DF7141" w:rsidRPr="0024150C" w:rsidRDefault="00DF7141" w:rsidP="002D7C87">
      <w:pPr>
        <w:pStyle w:val="Tijeloteksta"/>
        <w:rPr>
          <w:rFonts w:ascii="Times New Roman" w:hAnsi="Times New Roman" w:cs="Times New Roman"/>
          <w:color w:val="auto"/>
          <w:sz w:val="24"/>
          <w:szCs w:val="24"/>
        </w:rPr>
      </w:pPr>
      <w:r w:rsidRPr="00331C56">
        <w:rPr>
          <w:rFonts w:ascii="Times New Roman" w:hAnsi="Times New Roman" w:cs="Times New Roman"/>
          <w:color w:val="auto"/>
          <w:sz w:val="24"/>
          <w:szCs w:val="24"/>
        </w:rPr>
        <w:t>Jedna od najbitnijih nov</w:t>
      </w:r>
      <w:r w:rsidR="00F63D65">
        <w:rPr>
          <w:rFonts w:ascii="Times New Roman" w:hAnsi="Times New Roman" w:cs="Times New Roman"/>
          <w:color w:val="auto"/>
          <w:sz w:val="24"/>
          <w:szCs w:val="24"/>
        </w:rPr>
        <w:t>osti</w:t>
      </w:r>
      <w:r w:rsidRPr="00F63D65">
        <w:rPr>
          <w:rFonts w:ascii="Times New Roman" w:hAnsi="Times New Roman" w:cs="Times New Roman"/>
          <w:color w:val="auto"/>
          <w:sz w:val="24"/>
          <w:szCs w:val="24"/>
        </w:rPr>
        <w:t xml:space="preserve"> vezana je uz izdavanje energetskog odobrenja (članci 16. i 17. ZoTEE-a), a odnosi se na to da za izgradnju novog proizvodnog postrojenja ili postrojenja za skladištenje energije, osim u slučaju jednostavnih građevina određenih propisima o prostornom uređenju i gradnji, </w:t>
      </w:r>
      <w:r w:rsidR="00BC50A1" w:rsidRPr="0024150C">
        <w:rPr>
          <w:rFonts w:ascii="Times New Roman" w:hAnsi="Times New Roman" w:cs="Times New Roman"/>
          <w:color w:val="auto"/>
          <w:sz w:val="24"/>
          <w:szCs w:val="24"/>
        </w:rPr>
        <w:t>MINGOR</w:t>
      </w:r>
      <w:r w:rsidRPr="0024150C">
        <w:rPr>
          <w:rFonts w:ascii="Times New Roman" w:hAnsi="Times New Roman" w:cs="Times New Roman"/>
          <w:color w:val="auto"/>
          <w:sz w:val="24"/>
          <w:szCs w:val="24"/>
        </w:rPr>
        <w:t xml:space="preserve"> provodi javni natječaj u skladu s objektivnim, transparentnim i nediskriminacijskim kriterijima.</w:t>
      </w:r>
    </w:p>
    <w:p w:rsidR="00142CA5" w:rsidRPr="00192851" w:rsidRDefault="00142CA5" w:rsidP="00142CA5">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Temeljem </w:t>
      </w:r>
      <w:r w:rsidRPr="00F63D65">
        <w:rPr>
          <w:rFonts w:ascii="Times New Roman" w:hAnsi="Times New Roman" w:cs="Times New Roman"/>
          <w:color w:val="auto"/>
          <w:sz w:val="24"/>
          <w:szCs w:val="24"/>
        </w:rPr>
        <w:t>novog ZoTEE, potrebno je donijeti 21 podzakonski akt, a nosite</w:t>
      </w:r>
      <w:r w:rsidR="00A11A16" w:rsidRPr="00F63D65">
        <w:rPr>
          <w:rFonts w:ascii="Times New Roman" w:hAnsi="Times New Roman" w:cs="Times New Roman"/>
          <w:color w:val="auto"/>
          <w:sz w:val="24"/>
          <w:szCs w:val="24"/>
        </w:rPr>
        <w:t>lji izrade su tijela s javnim o</w:t>
      </w:r>
      <w:r w:rsidRPr="008609F9">
        <w:rPr>
          <w:rFonts w:ascii="Times New Roman" w:hAnsi="Times New Roman" w:cs="Times New Roman"/>
          <w:color w:val="auto"/>
          <w:sz w:val="24"/>
          <w:szCs w:val="24"/>
        </w:rPr>
        <w:t xml:space="preserve">vlastima MINGOR, HERA, HOPS i </w:t>
      </w:r>
      <w:r w:rsidRPr="0024150C">
        <w:rPr>
          <w:rFonts w:ascii="Times New Roman" w:hAnsi="Times New Roman" w:cs="Times New Roman"/>
          <w:color w:val="auto"/>
          <w:sz w:val="24"/>
          <w:szCs w:val="24"/>
        </w:rPr>
        <w:t xml:space="preserve">HEP-ODS. Do donošenja novih akata na snazi su stari, a u međuvremenu su doneseni Odluka o određivanju iznosa koncesijske naknade za elektroenergetsku infrastrukturu na pomorskom dobru </w:t>
      </w:r>
      <w:r w:rsidR="00160EB9" w:rsidRPr="0024150C">
        <w:rPr>
          <w:rFonts w:ascii="Times New Roman" w:hAnsi="Times New Roman" w:cs="Times New Roman"/>
          <w:color w:val="auto"/>
          <w:sz w:val="24"/>
          <w:szCs w:val="24"/>
        </w:rPr>
        <w:t xml:space="preserve">(Narodne novine, br. 46/22) </w:t>
      </w:r>
      <w:r w:rsidR="00160EB9" w:rsidRPr="00331C56">
        <w:rPr>
          <w:rFonts w:ascii="Times New Roman" w:hAnsi="Times New Roman" w:cs="Times New Roman"/>
          <w:color w:val="auto"/>
          <w:sz w:val="24"/>
          <w:szCs w:val="24"/>
        </w:rPr>
        <w:t xml:space="preserve">od strane </w:t>
      </w:r>
      <w:r w:rsidRPr="00331C56">
        <w:rPr>
          <w:rFonts w:ascii="Times New Roman" w:hAnsi="Times New Roman" w:cs="Times New Roman"/>
          <w:color w:val="auto"/>
          <w:sz w:val="24"/>
          <w:szCs w:val="24"/>
        </w:rPr>
        <w:t>MINGOR</w:t>
      </w:r>
      <w:r w:rsidR="00160EB9" w:rsidRPr="00331C56">
        <w:rPr>
          <w:rFonts w:ascii="Times New Roman" w:hAnsi="Times New Roman" w:cs="Times New Roman"/>
          <w:color w:val="auto"/>
          <w:sz w:val="24"/>
          <w:szCs w:val="24"/>
        </w:rPr>
        <w:t>-a</w:t>
      </w:r>
      <w:r w:rsidRPr="00222A78">
        <w:rPr>
          <w:rFonts w:ascii="Times New Roman" w:hAnsi="Times New Roman" w:cs="Times New Roman"/>
          <w:color w:val="auto"/>
          <w:sz w:val="24"/>
          <w:szCs w:val="24"/>
        </w:rPr>
        <w:t xml:space="preserve"> i Metodologija za određivanje iznosa tarifnih stavki za zajamčenu opskrbu električnom energijom</w:t>
      </w:r>
      <w:r w:rsidR="00160EB9" w:rsidRPr="00222A78">
        <w:rPr>
          <w:rFonts w:ascii="Times New Roman" w:hAnsi="Times New Roman" w:cs="Times New Roman"/>
          <w:color w:val="auto"/>
          <w:sz w:val="24"/>
          <w:szCs w:val="24"/>
        </w:rPr>
        <w:t xml:space="preserve"> (Narodne novine, 65/21) od strane </w:t>
      </w:r>
      <w:r w:rsidRPr="00222A78">
        <w:rPr>
          <w:rFonts w:ascii="Times New Roman" w:hAnsi="Times New Roman" w:cs="Times New Roman"/>
          <w:color w:val="auto"/>
          <w:sz w:val="24"/>
          <w:szCs w:val="24"/>
        </w:rPr>
        <w:t>HERA</w:t>
      </w:r>
      <w:r w:rsidRPr="00192851">
        <w:rPr>
          <w:rFonts w:ascii="Times New Roman" w:hAnsi="Times New Roman" w:cs="Times New Roman"/>
          <w:color w:val="auto"/>
          <w:sz w:val="24"/>
          <w:szCs w:val="24"/>
        </w:rPr>
        <w:t>.</w:t>
      </w:r>
    </w:p>
    <w:p w:rsidR="00DF7141" w:rsidRPr="00F63D65" w:rsidRDefault="00A11A16" w:rsidP="002D7C87">
      <w:pPr>
        <w:pStyle w:val="Tijeloteksta"/>
        <w:rPr>
          <w:rFonts w:ascii="Times New Roman" w:hAnsi="Times New Roman" w:cs="Times New Roman"/>
          <w:color w:val="auto"/>
          <w:sz w:val="24"/>
          <w:szCs w:val="24"/>
        </w:rPr>
      </w:pPr>
      <w:r w:rsidRPr="00192851">
        <w:rPr>
          <w:rFonts w:ascii="Times New Roman" w:hAnsi="Times New Roman" w:cs="Times New Roman"/>
          <w:color w:val="auto"/>
          <w:sz w:val="24"/>
          <w:szCs w:val="24"/>
        </w:rPr>
        <w:t xml:space="preserve">Potrebno je </w:t>
      </w:r>
      <w:r w:rsidR="00142CA5" w:rsidRPr="00003942">
        <w:rPr>
          <w:rFonts w:ascii="Times New Roman" w:hAnsi="Times New Roman" w:cs="Times New Roman"/>
          <w:sz w:val="24"/>
          <w:szCs w:val="24"/>
        </w:rPr>
        <w:t xml:space="preserve">napomenuti da je temeljem </w:t>
      </w:r>
      <w:r w:rsidR="006F1A09" w:rsidRPr="00003942">
        <w:rPr>
          <w:rFonts w:ascii="Times New Roman" w:hAnsi="Times New Roman" w:cs="Times New Roman"/>
          <w:sz w:val="24"/>
          <w:szCs w:val="24"/>
        </w:rPr>
        <w:t>ZOE</w:t>
      </w:r>
      <w:r w:rsidR="00142CA5" w:rsidRPr="00003942">
        <w:rPr>
          <w:rFonts w:ascii="Times New Roman" w:hAnsi="Times New Roman" w:cs="Times New Roman"/>
          <w:sz w:val="24"/>
          <w:szCs w:val="24"/>
        </w:rPr>
        <w:t xml:space="preserve">, donesen važan pravilnik temeljem kojeg se </w:t>
      </w:r>
      <w:r w:rsidR="00160EB9" w:rsidRPr="00003942">
        <w:rPr>
          <w:rFonts w:ascii="Times New Roman" w:hAnsi="Times New Roman" w:cs="Times New Roman"/>
          <w:sz w:val="24"/>
          <w:szCs w:val="24"/>
        </w:rPr>
        <w:t xml:space="preserve">uređuje </w:t>
      </w:r>
      <w:r w:rsidR="00142CA5" w:rsidRPr="00003942">
        <w:rPr>
          <w:rFonts w:ascii="Times New Roman" w:hAnsi="Times New Roman" w:cs="Times New Roman"/>
          <w:sz w:val="24"/>
          <w:szCs w:val="24"/>
        </w:rPr>
        <w:t>obavlja</w:t>
      </w:r>
      <w:r w:rsidR="00160EB9" w:rsidRPr="00003942">
        <w:rPr>
          <w:rFonts w:ascii="Times New Roman" w:hAnsi="Times New Roman" w:cs="Times New Roman"/>
          <w:sz w:val="24"/>
          <w:szCs w:val="24"/>
        </w:rPr>
        <w:t>nje</w:t>
      </w:r>
      <w:r w:rsidR="00142CA5" w:rsidRPr="00003942">
        <w:rPr>
          <w:rFonts w:ascii="Times New Roman" w:hAnsi="Times New Roman" w:cs="Times New Roman"/>
          <w:sz w:val="24"/>
          <w:szCs w:val="24"/>
        </w:rPr>
        <w:t xml:space="preserve"> djelatnosti u energetskom sektoru koji sada prepoznaje skladištenje energije i ostale </w:t>
      </w:r>
      <w:r w:rsidR="00160EB9" w:rsidRPr="00003942">
        <w:rPr>
          <w:rFonts w:ascii="Times New Roman" w:hAnsi="Times New Roman" w:cs="Times New Roman"/>
          <w:sz w:val="24"/>
          <w:szCs w:val="24"/>
        </w:rPr>
        <w:t xml:space="preserve">energetske </w:t>
      </w:r>
      <w:r w:rsidR="00142CA5" w:rsidRPr="00003942">
        <w:rPr>
          <w:rFonts w:ascii="Times New Roman" w:hAnsi="Times New Roman" w:cs="Times New Roman"/>
          <w:sz w:val="24"/>
          <w:szCs w:val="24"/>
        </w:rPr>
        <w:t>djelatnosti sukladno novom ZoTEE - Pravilnik o dozvolama za obavljanje energetskih djelatnosti i vođenju registra izdanih i oduzetih dozvola za obavljanje energetskih djelatnosti (N</w:t>
      </w:r>
      <w:r w:rsidR="00160EB9" w:rsidRPr="00003942">
        <w:rPr>
          <w:rFonts w:ascii="Times New Roman" w:hAnsi="Times New Roman" w:cs="Times New Roman"/>
          <w:sz w:val="24"/>
          <w:szCs w:val="24"/>
        </w:rPr>
        <w:t>arodne novine, br.</w:t>
      </w:r>
      <w:r w:rsidR="00142CA5" w:rsidRPr="00003942">
        <w:rPr>
          <w:rFonts w:ascii="Times New Roman" w:hAnsi="Times New Roman" w:cs="Times New Roman"/>
          <w:sz w:val="24"/>
          <w:szCs w:val="24"/>
        </w:rPr>
        <w:t xml:space="preserve"> 44/2022)</w:t>
      </w:r>
      <w:r w:rsidR="00160EB9" w:rsidRPr="00003942">
        <w:rPr>
          <w:rFonts w:ascii="Times New Roman" w:hAnsi="Times New Roman" w:cs="Times New Roman"/>
          <w:sz w:val="24"/>
          <w:szCs w:val="24"/>
        </w:rPr>
        <w:t>.</w:t>
      </w:r>
      <w:bookmarkStart w:id="17" w:name="_Hlk104293793"/>
      <w:r w:rsidR="00142CA5" w:rsidRPr="00003942">
        <w:rPr>
          <w:rFonts w:ascii="Times New Roman" w:hAnsi="Times New Roman" w:cs="Times New Roman"/>
          <w:sz w:val="24"/>
          <w:szCs w:val="24"/>
        </w:rPr>
        <w:t>..</w:t>
      </w:r>
      <w:r w:rsidR="002417F7" w:rsidRPr="00003942">
        <w:rPr>
          <w:rFonts w:ascii="Times New Roman" w:hAnsi="Times New Roman" w:cs="Times New Roman"/>
          <w:color w:val="auto"/>
          <w:sz w:val="24"/>
          <w:szCs w:val="24"/>
        </w:rPr>
        <w:t xml:space="preserve">Nadalje HERA je na svojim stranicama objavila javnu raspravu </w:t>
      </w:r>
      <w:r w:rsidR="00DB4624" w:rsidRPr="00003942">
        <w:rPr>
          <w:rFonts w:ascii="Times New Roman" w:hAnsi="Times New Roman" w:cs="Times New Roman"/>
          <w:color w:val="auto"/>
          <w:sz w:val="24"/>
          <w:szCs w:val="24"/>
        </w:rPr>
        <w:t>o četiri podzakonska akta i to Prijedlogu Pravila o promjeni opskrbljivača i agregatora, Prijedlogu Pravilnika o općim uvjetima za korištenje mreže i opskrbu električnom energijom, Prijedlogu Metodologije za određivanje iznosa tarifnih stavki za distribuciju električne energije, Prijedlogu Metodologije za određivanje iznosa tarifnih stavki za prijenos električne energije</w:t>
      </w:r>
      <w:r w:rsidR="00DB4624" w:rsidRPr="00F63D65">
        <w:rPr>
          <w:rFonts w:ascii="Times New Roman" w:hAnsi="Times New Roman" w:cs="Times New Roman"/>
          <w:color w:val="auto"/>
          <w:sz w:val="24"/>
          <w:szCs w:val="24"/>
        </w:rPr>
        <w:t>.</w:t>
      </w:r>
    </w:p>
    <w:p w:rsidR="00DF7141" w:rsidRPr="00F63D65" w:rsidRDefault="00DF7141" w:rsidP="00380A26">
      <w:pPr>
        <w:pStyle w:val="Naslov3"/>
        <w:numPr>
          <w:ilvl w:val="0"/>
          <w:numId w:val="0"/>
        </w:numPr>
        <w:ind w:left="1003"/>
      </w:pPr>
      <w:bookmarkStart w:id="18" w:name="_Toc105396295"/>
      <w:bookmarkStart w:id="19" w:name="_Toc105396400"/>
      <w:bookmarkStart w:id="20" w:name="_Toc105756580"/>
      <w:bookmarkStart w:id="21" w:name="_Toc105756765"/>
      <w:bookmarkStart w:id="22" w:name="_Toc105756944"/>
      <w:bookmarkStart w:id="23" w:name="_Toc105763361"/>
      <w:bookmarkStart w:id="24" w:name="_Toc105396296"/>
      <w:bookmarkStart w:id="25" w:name="_Toc105396401"/>
      <w:bookmarkStart w:id="26" w:name="_Toc105756581"/>
      <w:bookmarkStart w:id="27" w:name="_Toc105756766"/>
      <w:bookmarkStart w:id="28" w:name="_Toc105756945"/>
      <w:bookmarkStart w:id="29" w:name="_Toc105763362"/>
      <w:bookmarkStart w:id="30" w:name="_Toc105396297"/>
      <w:bookmarkStart w:id="31" w:name="_Toc105396402"/>
      <w:bookmarkStart w:id="32" w:name="_Toc105756582"/>
      <w:bookmarkStart w:id="33" w:name="_Toc105756767"/>
      <w:bookmarkStart w:id="34" w:name="_Toc105756946"/>
      <w:bookmarkStart w:id="35" w:name="_Toc105763363"/>
      <w:bookmarkStart w:id="36" w:name="_Toc105396298"/>
      <w:bookmarkStart w:id="37" w:name="_Toc105396403"/>
      <w:bookmarkStart w:id="38" w:name="_Toc105756583"/>
      <w:bookmarkStart w:id="39" w:name="_Toc105756768"/>
      <w:bookmarkStart w:id="40" w:name="_Toc105756947"/>
      <w:bookmarkStart w:id="41" w:name="_Toc105763364"/>
      <w:bookmarkStart w:id="42" w:name="_Toc105396299"/>
      <w:bookmarkStart w:id="43" w:name="_Toc105396404"/>
      <w:bookmarkStart w:id="44" w:name="_Toc105756584"/>
      <w:bookmarkStart w:id="45" w:name="_Toc105756769"/>
      <w:bookmarkStart w:id="46" w:name="_Toc105756948"/>
      <w:bookmarkStart w:id="47" w:name="_Toc105763365"/>
      <w:bookmarkStart w:id="48" w:name="_Toc105396300"/>
      <w:bookmarkStart w:id="49" w:name="_Toc105396405"/>
      <w:bookmarkStart w:id="50" w:name="_Toc105756585"/>
      <w:bookmarkStart w:id="51" w:name="_Toc105756770"/>
      <w:bookmarkStart w:id="52" w:name="_Toc105756949"/>
      <w:bookmarkStart w:id="53" w:name="_Toc105763366"/>
      <w:bookmarkStart w:id="54" w:name="_Toc105396301"/>
      <w:bookmarkStart w:id="55" w:name="_Toc105396406"/>
      <w:bookmarkStart w:id="56" w:name="_Toc105756586"/>
      <w:bookmarkStart w:id="57" w:name="_Toc105756771"/>
      <w:bookmarkStart w:id="58" w:name="_Toc105756950"/>
      <w:bookmarkStart w:id="59" w:name="_Toc105763367"/>
      <w:bookmarkStart w:id="60" w:name="_Toc105396302"/>
      <w:bookmarkStart w:id="61" w:name="_Toc105396407"/>
      <w:bookmarkStart w:id="62" w:name="_Toc105756587"/>
      <w:bookmarkStart w:id="63" w:name="_Toc105756772"/>
      <w:bookmarkStart w:id="64" w:name="_Toc105756951"/>
      <w:bookmarkStart w:id="65" w:name="_Toc105763368"/>
      <w:bookmarkStart w:id="66" w:name="_Toc105396303"/>
      <w:bookmarkStart w:id="67" w:name="_Toc105396408"/>
      <w:bookmarkStart w:id="68" w:name="_Toc105756588"/>
      <w:bookmarkStart w:id="69" w:name="_Toc105756773"/>
      <w:bookmarkStart w:id="70" w:name="_Toc105756952"/>
      <w:bookmarkStart w:id="71" w:name="_Toc105763369"/>
      <w:bookmarkStart w:id="72" w:name="_Toc105396304"/>
      <w:bookmarkStart w:id="73" w:name="_Toc105396409"/>
      <w:bookmarkStart w:id="74" w:name="_Toc105756589"/>
      <w:bookmarkStart w:id="75" w:name="_Toc105756774"/>
      <w:bookmarkStart w:id="76" w:name="_Toc105756953"/>
      <w:bookmarkStart w:id="77" w:name="_Toc105763370"/>
      <w:bookmarkStart w:id="78" w:name="_Toc105396305"/>
      <w:bookmarkStart w:id="79" w:name="_Toc105396410"/>
      <w:bookmarkStart w:id="80" w:name="_Toc105756590"/>
      <w:bookmarkStart w:id="81" w:name="_Toc105756775"/>
      <w:bookmarkStart w:id="82" w:name="_Toc105756954"/>
      <w:bookmarkStart w:id="83" w:name="_Toc105763371"/>
      <w:bookmarkStart w:id="84" w:name="_Toc105396306"/>
      <w:bookmarkStart w:id="85" w:name="_Toc105396411"/>
      <w:bookmarkStart w:id="86" w:name="_Toc105756591"/>
      <w:bookmarkStart w:id="87" w:name="_Toc105756776"/>
      <w:bookmarkStart w:id="88" w:name="_Toc105756955"/>
      <w:bookmarkStart w:id="89" w:name="_Toc105763372"/>
      <w:bookmarkStart w:id="90" w:name="_Toc105396307"/>
      <w:bookmarkStart w:id="91" w:name="_Toc105396412"/>
      <w:bookmarkStart w:id="92" w:name="_Toc105756592"/>
      <w:bookmarkStart w:id="93" w:name="_Toc105756777"/>
      <w:bookmarkStart w:id="94" w:name="_Toc105756956"/>
      <w:bookmarkStart w:id="95" w:name="_Toc105763373"/>
      <w:bookmarkStart w:id="96" w:name="_Toc105396308"/>
      <w:bookmarkStart w:id="97" w:name="_Toc105396413"/>
      <w:bookmarkStart w:id="98" w:name="_Toc105756593"/>
      <w:bookmarkStart w:id="99" w:name="_Toc105756778"/>
      <w:bookmarkStart w:id="100" w:name="_Toc105756957"/>
      <w:bookmarkStart w:id="101" w:name="_Toc105763374"/>
      <w:bookmarkStart w:id="102" w:name="_Toc105137864"/>
      <w:bookmarkStart w:id="103" w:name="_Toc105396309"/>
      <w:bookmarkStart w:id="104" w:name="_Toc105756594"/>
      <w:bookmarkStart w:id="105" w:name="_Toc10597346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F63D65">
        <w:t>Zakon o obnovljivim izvorima energije i visokoučinkovitoj kogeneraciji</w:t>
      </w:r>
      <w:bookmarkEnd w:id="102"/>
      <w:bookmarkEnd w:id="103"/>
      <w:bookmarkEnd w:id="104"/>
      <w:bookmarkEnd w:id="105"/>
    </w:p>
    <w:p w:rsidR="00DF7141" w:rsidRPr="008609F9" w:rsidRDefault="00DF7141" w:rsidP="002D7C87">
      <w:pPr>
        <w:pStyle w:val="Tijeloteksta"/>
        <w:rPr>
          <w:rFonts w:ascii="Times New Roman" w:hAnsi="Times New Roman" w:cs="Times New Roman"/>
          <w:color w:val="auto"/>
          <w:sz w:val="24"/>
          <w:szCs w:val="24"/>
        </w:rPr>
      </w:pPr>
      <w:r w:rsidRPr="00F63D65">
        <w:rPr>
          <w:rFonts w:ascii="Times New Roman" w:hAnsi="Times New Roman" w:cs="Times New Roman"/>
          <w:color w:val="auto"/>
          <w:sz w:val="24"/>
          <w:szCs w:val="24"/>
        </w:rPr>
        <w:t xml:space="preserve">ZoOIEVK je </w:t>
      </w:r>
      <w:r w:rsidR="000C5501" w:rsidRPr="00F63D65">
        <w:rPr>
          <w:rFonts w:ascii="Times New Roman" w:hAnsi="Times New Roman" w:cs="Times New Roman"/>
          <w:color w:val="auto"/>
          <w:sz w:val="24"/>
          <w:szCs w:val="24"/>
        </w:rPr>
        <w:t xml:space="preserve">stupio </w:t>
      </w:r>
      <w:r w:rsidR="00F63D65" w:rsidRPr="003C21E2">
        <w:rPr>
          <w:rFonts w:ascii="Times New Roman" w:hAnsi="Times New Roman" w:cs="Times New Roman"/>
          <w:color w:val="auto"/>
          <w:sz w:val="24"/>
          <w:szCs w:val="24"/>
        </w:rPr>
        <w:t xml:space="preserve">na snagu </w:t>
      </w:r>
      <w:r w:rsidRPr="00F63D65">
        <w:rPr>
          <w:rFonts w:ascii="Times New Roman" w:hAnsi="Times New Roman" w:cs="Times New Roman"/>
          <w:color w:val="auto"/>
          <w:sz w:val="24"/>
          <w:szCs w:val="24"/>
        </w:rPr>
        <w:t xml:space="preserve">23. prosinca 2021. </w:t>
      </w:r>
      <w:r w:rsidR="00F63D65">
        <w:rPr>
          <w:rFonts w:ascii="Times New Roman" w:hAnsi="Times New Roman" w:cs="Times New Roman"/>
          <w:color w:val="auto"/>
          <w:sz w:val="24"/>
          <w:szCs w:val="24"/>
        </w:rPr>
        <w:t>i</w:t>
      </w:r>
      <w:r w:rsidRPr="00F63D65">
        <w:rPr>
          <w:rFonts w:ascii="Times New Roman" w:hAnsi="Times New Roman" w:cs="Times New Roman"/>
          <w:color w:val="auto"/>
          <w:sz w:val="24"/>
          <w:szCs w:val="24"/>
        </w:rPr>
        <w:t xml:space="preserve"> njime </w:t>
      </w:r>
      <w:r w:rsidR="00F63D65">
        <w:rPr>
          <w:rFonts w:ascii="Times New Roman" w:hAnsi="Times New Roman" w:cs="Times New Roman"/>
          <w:color w:val="auto"/>
          <w:sz w:val="24"/>
          <w:szCs w:val="24"/>
        </w:rPr>
        <w:t xml:space="preserve">se </w:t>
      </w:r>
      <w:r w:rsidRPr="00F63D65">
        <w:rPr>
          <w:rFonts w:ascii="Times New Roman" w:hAnsi="Times New Roman" w:cs="Times New Roman"/>
          <w:color w:val="auto"/>
          <w:sz w:val="24"/>
          <w:szCs w:val="24"/>
        </w:rPr>
        <w:t>uređuju pitanja od značaja za provedbu energetske tranzicije prema korištenju obnovljivih izvora energije sukladno Strategiji energetskog razvoja do 2030. s pogledom na 2050. godinu (Narodne novine, broj 25/20) te Integriranom nacionalnom energetskom i kli</w:t>
      </w:r>
      <w:r w:rsidRPr="008609F9">
        <w:rPr>
          <w:rFonts w:ascii="Times New Roman" w:hAnsi="Times New Roman" w:cs="Times New Roman"/>
          <w:color w:val="auto"/>
          <w:sz w:val="24"/>
          <w:szCs w:val="24"/>
        </w:rPr>
        <w:t>matskom planom za Republiku Hrvatsku za razdoblje od 2021. do 2030. godine kao temeljnih akata provođenja energetske politike, u dijelu koji se posebice odnosi na stavljanje i korištenje obnovljive energije na tržištima električne i toplinske energije.</w:t>
      </w:r>
    </w:p>
    <w:p w:rsidR="00DF7141" w:rsidRPr="00331C56" w:rsidRDefault="00DF7141" w:rsidP="002D7C87">
      <w:pPr>
        <w:pStyle w:val="Tijeloteksta"/>
        <w:rPr>
          <w:rFonts w:ascii="Times New Roman" w:hAnsi="Times New Roman" w:cs="Times New Roman"/>
          <w:color w:val="auto"/>
          <w:sz w:val="24"/>
          <w:szCs w:val="24"/>
        </w:rPr>
      </w:pPr>
      <w:r w:rsidRPr="00387E05">
        <w:rPr>
          <w:rFonts w:ascii="Times New Roman" w:hAnsi="Times New Roman" w:cs="Times New Roman"/>
          <w:color w:val="auto"/>
          <w:sz w:val="24"/>
          <w:szCs w:val="24"/>
        </w:rPr>
        <w:t xml:space="preserve">Uz već postojeći pojam proizvodnih postrojenja korisnika za samoopskrbu i kupca za vlastite potrebe, ZoOIEVK se proširuje na nove sudionike tržišta električne energije sukladno ZoTEE-u, a koji </w:t>
      </w:r>
      <w:r w:rsidRPr="0024150C">
        <w:rPr>
          <w:rFonts w:ascii="Times New Roman" w:hAnsi="Times New Roman" w:cs="Times New Roman"/>
          <w:color w:val="auto"/>
          <w:sz w:val="24"/>
          <w:szCs w:val="24"/>
        </w:rPr>
        <w:t>prepoznaje nove sudionike aktivnog kupca i energetske zajednice. Tako se definiraju potrošači vlastite energije iz obnovljivih izvora i potrošači vlastite obnovljive energije koji djeluju zajednički te se ZoOIEVK-om uređuje mogućnost sudjelovanja istih u p</w:t>
      </w:r>
      <w:r w:rsidRPr="00331C56">
        <w:rPr>
          <w:rFonts w:ascii="Times New Roman" w:hAnsi="Times New Roman" w:cs="Times New Roman"/>
          <w:color w:val="auto"/>
          <w:sz w:val="24"/>
          <w:szCs w:val="24"/>
        </w:rPr>
        <w:t>rogramima potpore pod jednakim uvjetima s ostalim sudionicima.</w:t>
      </w:r>
    </w:p>
    <w:p w:rsidR="00142CA5" w:rsidRPr="00003942" w:rsidRDefault="00DF7141" w:rsidP="00142CA5">
      <w:pPr>
        <w:pStyle w:val="Tijeloteksta"/>
        <w:rPr>
          <w:rFonts w:ascii="Times New Roman" w:hAnsi="Times New Roman" w:cs="Times New Roman"/>
          <w:color w:val="auto"/>
          <w:sz w:val="24"/>
          <w:szCs w:val="24"/>
        </w:rPr>
      </w:pPr>
      <w:r w:rsidRPr="00331C56">
        <w:rPr>
          <w:rFonts w:ascii="Times New Roman" w:hAnsi="Times New Roman" w:cs="Times New Roman"/>
          <w:color w:val="auto"/>
          <w:sz w:val="24"/>
          <w:szCs w:val="24"/>
        </w:rPr>
        <w:lastRenderedPageBreak/>
        <w:t>Također, propisani su kriteriji za korištenje posebnih statusa vezanih uz proizvodnju za vlastite potrebe kako bi se potrošačima vlastite energije iz obnovljivih izvora omogućilo da proizvode, troše, skladište i prodaju električnu energiju bez izlaganja nerazmjernim opterećenjima.</w:t>
      </w:r>
      <w:r w:rsidR="00142CA5" w:rsidRPr="00192851">
        <w:rPr>
          <w:rFonts w:ascii="Times New Roman" w:hAnsi="Times New Roman" w:cs="Times New Roman"/>
          <w:color w:val="auto"/>
          <w:sz w:val="24"/>
          <w:szCs w:val="24"/>
        </w:rPr>
        <w:t xml:space="preserve">Temeljem ZoOIEVK potrebno je donijeti 12 podzakonskih akata čiji su nositelji izrade </w:t>
      </w:r>
      <w:r w:rsidR="00142CA5" w:rsidRPr="00003942">
        <w:rPr>
          <w:rFonts w:ascii="Times New Roman" w:hAnsi="Times New Roman" w:cs="Times New Roman"/>
          <w:color w:val="auto"/>
          <w:sz w:val="24"/>
          <w:szCs w:val="24"/>
        </w:rPr>
        <w:t xml:space="preserve">MINGOR, HROTE, HEP ODS te </w:t>
      </w:r>
      <w:r w:rsidR="00CF0A77" w:rsidRPr="00003942">
        <w:rPr>
          <w:rFonts w:ascii="Times New Roman" w:hAnsi="Times New Roman" w:cs="Times New Roman"/>
          <w:color w:val="auto"/>
          <w:sz w:val="24"/>
          <w:szCs w:val="24"/>
        </w:rPr>
        <w:t>distributeri</w:t>
      </w:r>
      <w:r w:rsidR="00142CA5" w:rsidRPr="00003942">
        <w:rPr>
          <w:rFonts w:ascii="Times New Roman" w:hAnsi="Times New Roman" w:cs="Times New Roman"/>
          <w:color w:val="auto"/>
          <w:sz w:val="24"/>
          <w:szCs w:val="24"/>
        </w:rPr>
        <w:t xml:space="preserve"> u toplinarstvu. U međuvremenu je donesena Uredba o udjelu u neto isporučenoj električnoj energiji povlaštenih proizvođača kojeg su opskrbljivači električne energije dužni preuzeti od operatora tržišta električne energije</w:t>
      </w:r>
      <w:r w:rsidR="00CF0A77" w:rsidRPr="00003942">
        <w:rPr>
          <w:rFonts w:ascii="Times New Roman" w:hAnsi="Times New Roman" w:cs="Times New Roman"/>
          <w:color w:val="auto"/>
          <w:sz w:val="24"/>
          <w:szCs w:val="24"/>
        </w:rPr>
        <w:t xml:space="preserve"> (Narodne novine, br. 147/21)</w:t>
      </w:r>
      <w:r w:rsidR="00142CA5" w:rsidRPr="00003942">
        <w:rPr>
          <w:rFonts w:ascii="Times New Roman" w:hAnsi="Times New Roman" w:cs="Times New Roman"/>
          <w:color w:val="auto"/>
          <w:sz w:val="24"/>
          <w:szCs w:val="24"/>
        </w:rPr>
        <w:t xml:space="preserve"> i Odluka o donošenju Programa energetske učinkovitosti za dekarbonizaciju energetskog sektora </w:t>
      </w:r>
      <w:r w:rsidR="00CF0A77" w:rsidRPr="00003942">
        <w:rPr>
          <w:rFonts w:ascii="Times New Roman" w:hAnsi="Times New Roman" w:cs="Times New Roman"/>
          <w:color w:val="auto"/>
          <w:sz w:val="24"/>
          <w:szCs w:val="24"/>
        </w:rPr>
        <w:t xml:space="preserve">(Narodne novine, br. 143/21) od strane </w:t>
      </w:r>
      <w:r w:rsidR="00142CA5" w:rsidRPr="00003942">
        <w:rPr>
          <w:rFonts w:ascii="Times New Roman" w:hAnsi="Times New Roman" w:cs="Times New Roman"/>
          <w:color w:val="auto"/>
          <w:sz w:val="24"/>
          <w:szCs w:val="24"/>
        </w:rPr>
        <w:t>MINGOR</w:t>
      </w:r>
      <w:r w:rsidR="00CF0A77" w:rsidRPr="00003942">
        <w:rPr>
          <w:rFonts w:ascii="Times New Roman" w:hAnsi="Times New Roman" w:cs="Times New Roman"/>
          <w:color w:val="auto"/>
          <w:sz w:val="24"/>
          <w:szCs w:val="24"/>
        </w:rPr>
        <w:t>-a</w:t>
      </w:r>
      <w:r w:rsidR="005B7182" w:rsidRPr="00003942">
        <w:rPr>
          <w:rFonts w:ascii="Times New Roman" w:hAnsi="Times New Roman" w:cs="Times New Roman"/>
          <w:color w:val="auto"/>
          <w:sz w:val="24"/>
          <w:szCs w:val="24"/>
        </w:rPr>
        <w:t>.</w:t>
      </w:r>
      <w:r w:rsidR="00DB4624" w:rsidRPr="00003942">
        <w:rPr>
          <w:rFonts w:ascii="Times New Roman" w:hAnsi="Times New Roman" w:cs="Times New Roman"/>
          <w:color w:val="auto"/>
          <w:sz w:val="24"/>
          <w:szCs w:val="24"/>
        </w:rPr>
        <w:t>, dok je također u javnoj raspravi Prijedlog uredbe o korištenju obnovljivih izvora energije i visokoučinkovitih kogeneracija koju donosi Vlada republike Hrvatske na prijedlog MINGO</w:t>
      </w:r>
    </w:p>
    <w:p w:rsidR="00DF7141" w:rsidRPr="00E93869" w:rsidRDefault="00431232" w:rsidP="00C90729">
      <w:pPr>
        <w:pStyle w:val="Naslov2"/>
      </w:pPr>
      <w:bookmarkStart w:id="106" w:name="_Toc105756595"/>
      <w:bookmarkStart w:id="107" w:name="_Toc105756780"/>
      <w:bookmarkStart w:id="108" w:name="_Toc105756959"/>
      <w:bookmarkStart w:id="109" w:name="_Toc105763376"/>
      <w:bookmarkStart w:id="110" w:name="_Toc105756596"/>
      <w:bookmarkStart w:id="111" w:name="_Toc105756781"/>
      <w:bookmarkStart w:id="112" w:name="_Toc105756960"/>
      <w:bookmarkStart w:id="113" w:name="_Toc105763377"/>
      <w:bookmarkStart w:id="114" w:name="_Toc105756597"/>
      <w:bookmarkStart w:id="115" w:name="_Toc105756782"/>
      <w:bookmarkStart w:id="116" w:name="_Toc105756961"/>
      <w:bookmarkStart w:id="117" w:name="_Toc105763378"/>
      <w:bookmarkStart w:id="118" w:name="_Toc105756598"/>
      <w:bookmarkStart w:id="119" w:name="_Toc105756783"/>
      <w:bookmarkStart w:id="120" w:name="_Toc105756962"/>
      <w:bookmarkStart w:id="121" w:name="_Toc105763379"/>
      <w:bookmarkStart w:id="122" w:name="_Toc105756599"/>
      <w:bookmarkStart w:id="123" w:name="_Toc105756784"/>
      <w:bookmarkStart w:id="124" w:name="_Toc105756963"/>
      <w:bookmarkStart w:id="125" w:name="_Toc105763380"/>
      <w:bookmarkStart w:id="126" w:name="_Toc105756600"/>
      <w:bookmarkStart w:id="127" w:name="_Toc105756785"/>
      <w:bookmarkStart w:id="128" w:name="_Toc105756964"/>
      <w:bookmarkStart w:id="129" w:name="_Toc105763381"/>
      <w:bookmarkStart w:id="130" w:name="_Toc105756601"/>
      <w:bookmarkStart w:id="131" w:name="_Toc105756786"/>
      <w:bookmarkStart w:id="132" w:name="_Toc105756965"/>
      <w:bookmarkStart w:id="133" w:name="_Toc105763382"/>
      <w:bookmarkStart w:id="134" w:name="_Toc105756602"/>
      <w:bookmarkStart w:id="135" w:name="_Toc105756787"/>
      <w:bookmarkStart w:id="136" w:name="_Toc105756966"/>
      <w:bookmarkStart w:id="137" w:name="_Toc105763383"/>
      <w:bookmarkStart w:id="138" w:name="_Toc105756607"/>
      <w:bookmarkStart w:id="139" w:name="_Toc105756792"/>
      <w:bookmarkStart w:id="140" w:name="_Toc105756971"/>
      <w:bookmarkStart w:id="141" w:name="_Toc105763388"/>
      <w:bookmarkStart w:id="142" w:name="_Toc105756612"/>
      <w:bookmarkStart w:id="143" w:name="_Toc105756797"/>
      <w:bookmarkStart w:id="144" w:name="_Toc105756976"/>
      <w:bookmarkStart w:id="145" w:name="_Toc105763393"/>
      <w:bookmarkStart w:id="146" w:name="_Toc105756617"/>
      <w:bookmarkStart w:id="147" w:name="_Toc105756802"/>
      <w:bookmarkStart w:id="148" w:name="_Toc105756981"/>
      <w:bookmarkStart w:id="149" w:name="_Toc105763398"/>
      <w:bookmarkStart w:id="150" w:name="_Toc105756622"/>
      <w:bookmarkStart w:id="151" w:name="_Toc105756807"/>
      <w:bookmarkStart w:id="152" w:name="_Toc105756986"/>
      <w:bookmarkStart w:id="153" w:name="_Toc105763403"/>
      <w:bookmarkStart w:id="154" w:name="_Toc105756627"/>
      <w:bookmarkStart w:id="155" w:name="_Toc105756812"/>
      <w:bookmarkStart w:id="156" w:name="_Toc105756991"/>
      <w:bookmarkStart w:id="157" w:name="_Toc105763408"/>
      <w:bookmarkStart w:id="158" w:name="_Toc105756632"/>
      <w:bookmarkStart w:id="159" w:name="_Toc105756817"/>
      <w:bookmarkStart w:id="160" w:name="_Toc105756996"/>
      <w:bookmarkStart w:id="161" w:name="_Toc105763413"/>
      <w:bookmarkStart w:id="162" w:name="_Toc105756637"/>
      <w:bookmarkStart w:id="163" w:name="_Toc105756822"/>
      <w:bookmarkStart w:id="164" w:name="_Toc105757001"/>
      <w:bookmarkStart w:id="165" w:name="_Toc105763418"/>
      <w:bookmarkStart w:id="166" w:name="_Toc105756642"/>
      <w:bookmarkStart w:id="167" w:name="_Toc105756827"/>
      <w:bookmarkStart w:id="168" w:name="_Toc105757006"/>
      <w:bookmarkStart w:id="169" w:name="_Toc105763423"/>
      <w:bookmarkStart w:id="170" w:name="_Toc105756647"/>
      <w:bookmarkStart w:id="171" w:name="_Toc105756832"/>
      <w:bookmarkStart w:id="172" w:name="_Toc105757011"/>
      <w:bookmarkStart w:id="173" w:name="_Toc105763428"/>
      <w:bookmarkStart w:id="174" w:name="_Toc105756652"/>
      <w:bookmarkStart w:id="175" w:name="_Toc105756837"/>
      <w:bookmarkStart w:id="176" w:name="_Toc105757016"/>
      <w:bookmarkStart w:id="177" w:name="_Toc105763433"/>
      <w:bookmarkStart w:id="178" w:name="_Toc105756657"/>
      <w:bookmarkStart w:id="179" w:name="_Toc105756842"/>
      <w:bookmarkStart w:id="180" w:name="_Toc105757021"/>
      <w:bookmarkStart w:id="181" w:name="_Toc105763438"/>
      <w:bookmarkStart w:id="182" w:name="_Toc105756662"/>
      <w:bookmarkStart w:id="183" w:name="_Toc105756847"/>
      <w:bookmarkStart w:id="184" w:name="_Toc105757026"/>
      <w:bookmarkStart w:id="185" w:name="_Toc105763443"/>
      <w:bookmarkStart w:id="186" w:name="_Toc105756667"/>
      <w:bookmarkStart w:id="187" w:name="_Toc105756852"/>
      <w:bookmarkStart w:id="188" w:name="_Toc105757031"/>
      <w:bookmarkStart w:id="189" w:name="_Toc105763448"/>
      <w:bookmarkStart w:id="190" w:name="_Toc105756669"/>
      <w:bookmarkStart w:id="191" w:name="_Toc105756854"/>
      <w:bookmarkStart w:id="192" w:name="_Toc105757033"/>
      <w:bookmarkStart w:id="193" w:name="_Toc105763450"/>
      <w:bookmarkStart w:id="194" w:name="_Toc105756671"/>
      <w:bookmarkStart w:id="195" w:name="_Toc105756856"/>
      <w:bookmarkStart w:id="196" w:name="_Toc105757035"/>
      <w:bookmarkStart w:id="197" w:name="_Toc105763452"/>
      <w:bookmarkStart w:id="198" w:name="_Toc105756673"/>
      <w:bookmarkStart w:id="199" w:name="_Toc105756858"/>
      <w:bookmarkStart w:id="200" w:name="_Toc105757037"/>
      <w:bookmarkStart w:id="201" w:name="_Toc105763454"/>
      <w:bookmarkStart w:id="202" w:name="_Toc105137865"/>
      <w:bookmarkStart w:id="203" w:name="_Toc105396310"/>
      <w:bookmarkStart w:id="204" w:name="_Toc105756674"/>
      <w:bookmarkStart w:id="205" w:name="_Toc105973470"/>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E93869">
        <w:t>ADMINISTRATIVNI POSTUPAK</w:t>
      </w:r>
      <w:bookmarkEnd w:id="202"/>
      <w:bookmarkEnd w:id="203"/>
      <w:bookmarkEnd w:id="204"/>
      <w:bookmarkEnd w:id="205"/>
      <w:r w:rsidRPr="00E93869">
        <w:t xml:space="preserve"> </w:t>
      </w:r>
    </w:p>
    <w:p w:rsidR="00DF7141" w:rsidRPr="00003942" w:rsidRDefault="00DF7141" w:rsidP="002D7C87">
      <w:pPr>
        <w:pStyle w:val="Tijeloteksta"/>
        <w:rPr>
          <w:rFonts w:ascii="Times New Roman" w:eastAsia="Work Sans" w:hAnsi="Times New Roman" w:cs="Times New Roman"/>
          <w:color w:val="auto"/>
          <w:sz w:val="24"/>
          <w:szCs w:val="24"/>
        </w:rPr>
      </w:pPr>
      <w:r w:rsidRPr="00003942">
        <w:rPr>
          <w:rFonts w:ascii="Times New Roman" w:eastAsia="Work Sans" w:hAnsi="Times New Roman" w:cs="Times New Roman"/>
          <w:color w:val="auto"/>
          <w:sz w:val="24"/>
          <w:szCs w:val="24"/>
        </w:rPr>
        <w:t>Administrativni postupak razvoja projekta OIE sastoji se od ishođenja niza dozvola, suglasnosti i ugovora iz područja:</w:t>
      </w:r>
    </w:p>
    <w:p w:rsidR="00DF7141" w:rsidRPr="00F63D65" w:rsidRDefault="00DF7141" w:rsidP="002D7C87">
      <w:pPr>
        <w:pStyle w:val="Tijeloteksta"/>
        <w:numPr>
          <w:ilvl w:val="0"/>
          <w:numId w:val="31"/>
        </w:numPr>
        <w:rPr>
          <w:rFonts w:ascii="Times New Roman" w:eastAsia="Work Sans" w:hAnsi="Times New Roman" w:cs="Times New Roman"/>
          <w:color w:val="auto"/>
          <w:sz w:val="24"/>
          <w:szCs w:val="24"/>
        </w:rPr>
      </w:pPr>
      <w:r w:rsidRPr="00F63D65">
        <w:rPr>
          <w:rFonts w:ascii="Times New Roman" w:eastAsia="Work Sans" w:hAnsi="Times New Roman" w:cs="Times New Roman"/>
          <w:color w:val="auto"/>
          <w:sz w:val="24"/>
          <w:szCs w:val="24"/>
        </w:rPr>
        <w:t xml:space="preserve">prostornog uređenja </w:t>
      </w:r>
    </w:p>
    <w:p w:rsidR="00DF7141" w:rsidRPr="00387E05" w:rsidRDefault="00DF7141" w:rsidP="002D7C87">
      <w:pPr>
        <w:pStyle w:val="Tijeloteksta"/>
        <w:numPr>
          <w:ilvl w:val="0"/>
          <w:numId w:val="31"/>
        </w:numPr>
        <w:rPr>
          <w:rFonts w:ascii="Times New Roman" w:eastAsia="Work Sans" w:hAnsi="Times New Roman" w:cs="Times New Roman"/>
          <w:color w:val="auto"/>
          <w:sz w:val="24"/>
          <w:szCs w:val="24"/>
        </w:rPr>
      </w:pPr>
      <w:r w:rsidRPr="008609F9">
        <w:rPr>
          <w:rFonts w:ascii="Times New Roman" w:eastAsia="Work Sans" w:hAnsi="Times New Roman" w:cs="Times New Roman"/>
          <w:color w:val="auto"/>
          <w:sz w:val="24"/>
          <w:szCs w:val="24"/>
        </w:rPr>
        <w:t>zaštite okoliša,</w:t>
      </w:r>
    </w:p>
    <w:p w:rsidR="00DF7141" w:rsidRPr="00331C56" w:rsidRDefault="00DF7141" w:rsidP="002D7C87">
      <w:pPr>
        <w:pStyle w:val="Tijeloteksta"/>
        <w:numPr>
          <w:ilvl w:val="0"/>
          <w:numId w:val="31"/>
        </w:numPr>
        <w:rPr>
          <w:rFonts w:ascii="Times New Roman" w:eastAsia="Work Sans" w:hAnsi="Times New Roman" w:cs="Times New Roman"/>
          <w:color w:val="auto"/>
          <w:sz w:val="24"/>
          <w:szCs w:val="24"/>
        </w:rPr>
      </w:pPr>
      <w:r w:rsidRPr="0024150C">
        <w:rPr>
          <w:rFonts w:ascii="Times New Roman" w:eastAsia="Work Sans" w:hAnsi="Times New Roman" w:cs="Times New Roman"/>
          <w:color w:val="auto"/>
          <w:sz w:val="24"/>
          <w:szCs w:val="24"/>
        </w:rPr>
        <w:t>istraživanja i eksploataciji ugljikovodik</w:t>
      </w:r>
      <w:r w:rsidRPr="00331C56">
        <w:rPr>
          <w:rFonts w:ascii="Times New Roman" w:eastAsia="Work Sans" w:hAnsi="Times New Roman" w:cs="Times New Roman"/>
          <w:color w:val="auto"/>
          <w:sz w:val="24"/>
          <w:szCs w:val="24"/>
        </w:rPr>
        <w:t>a (geotermalna energija),</w:t>
      </w:r>
    </w:p>
    <w:p w:rsidR="00DF7141" w:rsidRPr="00192851" w:rsidRDefault="00DF7141" w:rsidP="00D67147">
      <w:pPr>
        <w:pStyle w:val="Tijeloteksta"/>
        <w:numPr>
          <w:ilvl w:val="0"/>
          <w:numId w:val="31"/>
        </w:numPr>
        <w:rPr>
          <w:rFonts w:ascii="Times New Roman" w:eastAsia="Work Sans" w:hAnsi="Times New Roman" w:cs="Times New Roman"/>
          <w:color w:val="auto"/>
          <w:sz w:val="24"/>
          <w:szCs w:val="24"/>
        </w:rPr>
      </w:pPr>
      <w:r w:rsidRPr="00222A78">
        <w:rPr>
          <w:rFonts w:ascii="Times New Roman" w:eastAsia="Work Sans" w:hAnsi="Times New Roman" w:cs="Times New Roman"/>
          <w:color w:val="auto"/>
          <w:sz w:val="24"/>
          <w:szCs w:val="24"/>
        </w:rPr>
        <w:t>gradnje</w:t>
      </w:r>
      <w:r w:rsidR="008A6309" w:rsidRPr="00222A78">
        <w:rPr>
          <w:rFonts w:ascii="Times New Roman" w:eastAsia="Work Sans" w:hAnsi="Times New Roman" w:cs="Times New Roman"/>
          <w:color w:val="auto"/>
          <w:sz w:val="24"/>
          <w:szCs w:val="24"/>
        </w:rPr>
        <w:t>,</w:t>
      </w:r>
      <w:r w:rsidRPr="00222A78">
        <w:rPr>
          <w:rFonts w:ascii="Times New Roman" w:eastAsia="Work Sans" w:hAnsi="Times New Roman" w:cs="Times New Roman"/>
          <w:color w:val="auto"/>
          <w:sz w:val="24"/>
          <w:szCs w:val="24"/>
        </w:rPr>
        <w:t xml:space="preserve"> te</w:t>
      </w:r>
    </w:p>
    <w:p w:rsidR="00DF7141" w:rsidRPr="00003942" w:rsidRDefault="00DF7141" w:rsidP="002D7C87">
      <w:pPr>
        <w:pStyle w:val="Tijeloteksta"/>
        <w:numPr>
          <w:ilvl w:val="0"/>
          <w:numId w:val="31"/>
        </w:numPr>
        <w:rPr>
          <w:rFonts w:ascii="Times New Roman" w:eastAsia="Work Sans" w:hAnsi="Times New Roman" w:cs="Times New Roman"/>
          <w:color w:val="auto"/>
          <w:sz w:val="24"/>
          <w:szCs w:val="24"/>
        </w:rPr>
      </w:pPr>
      <w:r w:rsidRPr="00192851">
        <w:rPr>
          <w:rFonts w:ascii="Times New Roman" w:eastAsia="Work Sans" w:hAnsi="Times New Roman" w:cs="Times New Roman"/>
          <w:color w:val="auto"/>
          <w:sz w:val="24"/>
          <w:szCs w:val="24"/>
        </w:rPr>
        <w:t>energetske regulative (</w:t>
      </w:r>
      <w:r w:rsidR="00CF0A77" w:rsidRPr="00003942">
        <w:rPr>
          <w:rFonts w:ascii="Times New Roman" w:eastAsia="Work Sans" w:hAnsi="Times New Roman" w:cs="Times New Roman"/>
          <w:color w:val="auto"/>
          <w:sz w:val="24"/>
          <w:szCs w:val="24"/>
        </w:rPr>
        <w:t>uključujući priključak na elektroenergetsku mrežu, energetsko odobrenje, energetsku dozvolu, status povlaštenog proizvođača električne energije i dr.</w:t>
      </w:r>
      <w:r w:rsidRPr="00003942">
        <w:rPr>
          <w:rFonts w:ascii="Times New Roman" w:eastAsia="Work Sans" w:hAnsi="Times New Roman" w:cs="Times New Roman"/>
          <w:color w:val="auto"/>
          <w:sz w:val="24"/>
          <w:szCs w:val="24"/>
        </w:rPr>
        <w:t>),</w:t>
      </w:r>
    </w:p>
    <w:p w:rsidR="00DF7141" w:rsidRPr="00003942" w:rsidRDefault="00DF7141" w:rsidP="002D7C87">
      <w:pPr>
        <w:pStyle w:val="Tijeloteksta"/>
        <w:rPr>
          <w:rFonts w:ascii="Times New Roman" w:eastAsia="Work Sans" w:hAnsi="Times New Roman" w:cs="Times New Roman"/>
          <w:color w:val="auto"/>
          <w:sz w:val="24"/>
          <w:szCs w:val="24"/>
        </w:rPr>
      </w:pPr>
      <w:r w:rsidRPr="00003942">
        <w:rPr>
          <w:rFonts w:ascii="Times New Roman" w:eastAsia="Work Sans" w:hAnsi="Times New Roman" w:cs="Times New Roman"/>
          <w:color w:val="auto"/>
          <w:sz w:val="24"/>
          <w:szCs w:val="24"/>
        </w:rPr>
        <w:t>ali i općenitih postupaka poput koncesija, prava služnosti i imovinsko-</w:t>
      </w:r>
      <w:r w:rsidR="00CF0A77" w:rsidRPr="00003942">
        <w:rPr>
          <w:rFonts w:ascii="Times New Roman" w:eastAsia="Work Sans" w:hAnsi="Times New Roman" w:cs="Times New Roman"/>
          <w:color w:val="auto"/>
          <w:sz w:val="24"/>
          <w:szCs w:val="24"/>
        </w:rPr>
        <w:t xml:space="preserve">pravnih </w:t>
      </w:r>
      <w:r w:rsidRPr="00003942">
        <w:rPr>
          <w:rFonts w:ascii="Times New Roman" w:eastAsia="Work Sans" w:hAnsi="Times New Roman" w:cs="Times New Roman"/>
          <w:color w:val="auto"/>
          <w:sz w:val="24"/>
          <w:szCs w:val="24"/>
        </w:rPr>
        <w:t xml:space="preserve">odnosa, lokalnih komunalnih naknada i slično. Osnovni administrativni postupak sastoji se od ishođenja 12 ključnih upravnih akata kod </w:t>
      </w:r>
      <w:r w:rsidR="00CF0A77" w:rsidRPr="00003942">
        <w:rPr>
          <w:rFonts w:ascii="Times New Roman" w:eastAsia="Work Sans" w:hAnsi="Times New Roman" w:cs="Times New Roman"/>
          <w:color w:val="auto"/>
          <w:sz w:val="24"/>
          <w:szCs w:val="24"/>
        </w:rPr>
        <w:t>pet</w:t>
      </w:r>
      <w:r w:rsidRPr="00003942">
        <w:rPr>
          <w:rFonts w:ascii="Times New Roman" w:eastAsia="Work Sans" w:hAnsi="Times New Roman" w:cs="Times New Roman"/>
          <w:color w:val="auto"/>
          <w:sz w:val="24"/>
          <w:szCs w:val="24"/>
        </w:rPr>
        <w:t xml:space="preserve"> različitih institucija, međutim, ovisno o tipu, veličini i lokaciji projekta može obuhvaćati i više akata i uključenih institucija.</w:t>
      </w:r>
    </w:p>
    <w:p w:rsidR="00DF7141" w:rsidRPr="00003942" w:rsidRDefault="00DF7141" w:rsidP="002D7C87">
      <w:pPr>
        <w:pStyle w:val="Tijeloteksta"/>
        <w:rPr>
          <w:rFonts w:ascii="Times New Roman" w:eastAsia="Work Sans" w:hAnsi="Times New Roman" w:cs="Times New Roman"/>
          <w:color w:val="auto"/>
          <w:sz w:val="24"/>
          <w:szCs w:val="24"/>
        </w:rPr>
      </w:pPr>
      <w:r w:rsidRPr="00003942">
        <w:rPr>
          <w:rFonts w:ascii="Times New Roman" w:eastAsia="Work Sans" w:hAnsi="Times New Roman" w:cs="Times New Roman"/>
          <w:color w:val="auto"/>
          <w:sz w:val="24"/>
          <w:szCs w:val="24"/>
        </w:rPr>
        <w:t>U administrativnom smislu, razvoj projekta bi trebao započeti uvrštenjem lokacije u prostorne planove, nakon čega slijedi postupak procjene utjecaja na okoliš i prirodu, izdavanje energetskog odobrenja, definiranje priključka na mrežu te ishođenja dozvola za gradnju. Međutim, u praksi se pokazalo da postupak može započeti neovisno o aktivnostima u nekom drugom području. Tipični primjeri su razvoj projekata koji mogu ići na postupak OPUO, za koji nije potrebno uvrštenje u prostorne planove lokacije projekta, zahtjevi za izradu EOTRP-a i izdavanje EES-a te rješavanje imovinsko-pravnih odnosa.</w:t>
      </w:r>
    </w:p>
    <w:p w:rsidR="00DF7141" w:rsidRPr="00003942" w:rsidRDefault="00DF7141" w:rsidP="002D7C87">
      <w:pPr>
        <w:pStyle w:val="Tijeloteksta"/>
        <w:rPr>
          <w:rFonts w:ascii="Times New Roman" w:eastAsia="Work Sans" w:hAnsi="Times New Roman" w:cs="Times New Roman"/>
          <w:color w:val="auto"/>
          <w:sz w:val="24"/>
          <w:szCs w:val="24"/>
        </w:rPr>
      </w:pPr>
      <w:r w:rsidRPr="00003942">
        <w:rPr>
          <w:rFonts w:ascii="Times New Roman" w:eastAsia="Work Sans" w:hAnsi="Times New Roman" w:cs="Times New Roman"/>
          <w:color w:val="auto"/>
          <w:sz w:val="24"/>
          <w:szCs w:val="24"/>
        </w:rPr>
        <w:t xml:space="preserve">Također, određeni postupci, poput postupka OPUO-a, izrade EOTRP-a s izdavanjem EES-a prema proceduri </w:t>
      </w:r>
      <w:r w:rsidR="00DB4624" w:rsidRPr="00003942">
        <w:rPr>
          <w:rFonts w:ascii="Times New Roman" w:eastAsia="Work Sans" w:hAnsi="Times New Roman" w:cs="Times New Roman"/>
          <w:color w:val="auto"/>
          <w:sz w:val="24"/>
          <w:szCs w:val="24"/>
        </w:rPr>
        <w:t xml:space="preserve">do najnovijih izmjena zakonodavnog okvira </w:t>
      </w:r>
      <w:r w:rsidRPr="00003942">
        <w:rPr>
          <w:rFonts w:ascii="Times New Roman" w:eastAsia="Work Sans" w:hAnsi="Times New Roman" w:cs="Times New Roman"/>
          <w:color w:val="auto"/>
          <w:sz w:val="24"/>
          <w:szCs w:val="24"/>
        </w:rPr>
        <w:t>mogli su teći neovisno i paralelno</w:t>
      </w:r>
      <w:r w:rsidR="00DB4624" w:rsidRPr="00003942">
        <w:rPr>
          <w:rFonts w:ascii="Times New Roman" w:eastAsia="Work Sans" w:hAnsi="Times New Roman" w:cs="Times New Roman"/>
          <w:color w:val="auto"/>
          <w:sz w:val="24"/>
          <w:szCs w:val="24"/>
        </w:rPr>
        <w:t xml:space="preserve"> što je dovodilo do više potencijalnih nositelja projekta na istom području</w:t>
      </w:r>
      <w:r w:rsidRPr="00003942">
        <w:rPr>
          <w:rFonts w:ascii="Times New Roman" w:eastAsia="Work Sans" w:hAnsi="Times New Roman" w:cs="Times New Roman"/>
          <w:color w:val="auto"/>
          <w:sz w:val="24"/>
          <w:szCs w:val="24"/>
        </w:rPr>
        <w:t>.</w:t>
      </w:r>
    </w:p>
    <w:p w:rsidR="00DF7141" w:rsidRPr="00003942" w:rsidRDefault="003B479D" w:rsidP="002D7C87">
      <w:pPr>
        <w:pStyle w:val="Tijeloteksta"/>
        <w:rPr>
          <w:rFonts w:ascii="Times New Roman" w:eastAsia="Work Sans" w:hAnsi="Times New Roman" w:cs="Times New Roman"/>
          <w:color w:val="auto"/>
          <w:sz w:val="24"/>
          <w:szCs w:val="24"/>
        </w:rPr>
      </w:pPr>
      <w:r w:rsidRPr="00003942">
        <w:rPr>
          <w:rFonts w:ascii="Times New Roman" w:eastAsia="Work Sans" w:hAnsi="Times New Roman" w:cs="Times New Roman"/>
          <w:color w:val="auto"/>
          <w:sz w:val="24"/>
          <w:szCs w:val="24"/>
        </w:rPr>
        <w:t xml:space="preserve">Svi </w:t>
      </w:r>
      <w:r w:rsidR="00DF7141" w:rsidRPr="00003942">
        <w:rPr>
          <w:rFonts w:ascii="Times New Roman" w:eastAsia="Work Sans" w:hAnsi="Times New Roman" w:cs="Times New Roman"/>
          <w:color w:val="auto"/>
          <w:sz w:val="24"/>
          <w:szCs w:val="24"/>
        </w:rPr>
        <w:t>administrativni postup</w:t>
      </w:r>
      <w:r w:rsidRPr="00003942">
        <w:rPr>
          <w:rFonts w:ascii="Times New Roman" w:eastAsia="Work Sans" w:hAnsi="Times New Roman" w:cs="Times New Roman"/>
          <w:color w:val="auto"/>
          <w:sz w:val="24"/>
          <w:szCs w:val="24"/>
        </w:rPr>
        <w:t>ci se načelno</w:t>
      </w:r>
      <w:r w:rsidR="00DF7141" w:rsidRPr="00003942">
        <w:rPr>
          <w:rFonts w:ascii="Times New Roman" w:eastAsia="Work Sans" w:hAnsi="Times New Roman" w:cs="Times New Roman"/>
          <w:color w:val="auto"/>
          <w:sz w:val="24"/>
          <w:szCs w:val="24"/>
        </w:rPr>
        <w:t xml:space="preserve"> mo</w:t>
      </w:r>
      <w:r w:rsidRPr="00003942">
        <w:rPr>
          <w:rFonts w:ascii="Times New Roman" w:eastAsia="Work Sans" w:hAnsi="Times New Roman" w:cs="Times New Roman"/>
          <w:color w:val="auto"/>
          <w:sz w:val="24"/>
          <w:szCs w:val="24"/>
        </w:rPr>
        <w:t>gu</w:t>
      </w:r>
      <w:r w:rsidR="00DF7141" w:rsidRPr="00003942">
        <w:rPr>
          <w:rFonts w:ascii="Times New Roman" w:eastAsia="Work Sans" w:hAnsi="Times New Roman" w:cs="Times New Roman"/>
          <w:color w:val="auto"/>
          <w:sz w:val="24"/>
          <w:szCs w:val="24"/>
        </w:rPr>
        <w:t xml:space="preserve"> unaprijediti tako da </w:t>
      </w:r>
      <w:r w:rsidRPr="00003942">
        <w:rPr>
          <w:rFonts w:ascii="Times New Roman" w:eastAsia="Work Sans" w:hAnsi="Times New Roman" w:cs="Times New Roman"/>
          <w:color w:val="auto"/>
          <w:sz w:val="24"/>
          <w:szCs w:val="24"/>
        </w:rPr>
        <w:t xml:space="preserve">procedure </w:t>
      </w:r>
      <w:r w:rsidR="00DF7141" w:rsidRPr="00003942">
        <w:rPr>
          <w:rFonts w:ascii="Times New Roman" w:eastAsia="Work Sans" w:hAnsi="Times New Roman" w:cs="Times New Roman"/>
          <w:color w:val="auto"/>
          <w:sz w:val="24"/>
          <w:szCs w:val="24"/>
        </w:rPr>
        <w:t>bud</w:t>
      </w:r>
      <w:r w:rsidRPr="00003942">
        <w:rPr>
          <w:rFonts w:ascii="Times New Roman" w:eastAsia="Work Sans" w:hAnsi="Times New Roman" w:cs="Times New Roman"/>
          <w:color w:val="auto"/>
          <w:sz w:val="24"/>
          <w:szCs w:val="24"/>
        </w:rPr>
        <w:t>u:</w:t>
      </w:r>
    </w:p>
    <w:p w:rsidR="00DF7141" w:rsidRPr="00003942" w:rsidRDefault="00DF7141" w:rsidP="002D7C87">
      <w:pPr>
        <w:pStyle w:val="Tijeloteksta"/>
        <w:numPr>
          <w:ilvl w:val="0"/>
          <w:numId w:val="31"/>
        </w:numPr>
        <w:rPr>
          <w:rFonts w:ascii="Times New Roman" w:eastAsia="Work Sans" w:hAnsi="Times New Roman" w:cs="Times New Roman"/>
          <w:color w:val="auto"/>
          <w:sz w:val="24"/>
          <w:szCs w:val="24"/>
        </w:rPr>
      </w:pPr>
      <w:r w:rsidRPr="00003942">
        <w:rPr>
          <w:rFonts w:ascii="Times New Roman" w:eastAsia="Work Sans" w:hAnsi="Times New Roman" w:cs="Times New Roman"/>
          <w:color w:val="auto"/>
          <w:sz w:val="24"/>
          <w:szCs w:val="24"/>
        </w:rPr>
        <w:t>jasnij</w:t>
      </w:r>
      <w:r w:rsidR="003B479D" w:rsidRPr="00003942">
        <w:rPr>
          <w:rFonts w:ascii="Times New Roman" w:eastAsia="Work Sans" w:hAnsi="Times New Roman" w:cs="Times New Roman"/>
          <w:color w:val="auto"/>
          <w:sz w:val="24"/>
          <w:szCs w:val="24"/>
        </w:rPr>
        <w:t>e i fokusiranije</w:t>
      </w:r>
      <w:r w:rsidRPr="00003942">
        <w:rPr>
          <w:rFonts w:ascii="Times New Roman" w:eastAsia="Work Sans" w:hAnsi="Times New Roman" w:cs="Times New Roman"/>
          <w:color w:val="auto"/>
          <w:sz w:val="24"/>
          <w:szCs w:val="24"/>
        </w:rPr>
        <w:t xml:space="preserve"> – jasno definiran postupak po pojedin</w:t>
      </w:r>
      <w:r w:rsidR="003B479D" w:rsidRPr="00003942">
        <w:rPr>
          <w:rFonts w:ascii="Times New Roman" w:eastAsia="Work Sans" w:hAnsi="Times New Roman" w:cs="Times New Roman"/>
          <w:color w:val="auto"/>
          <w:sz w:val="24"/>
          <w:szCs w:val="24"/>
        </w:rPr>
        <w:t>ačnoj</w:t>
      </w:r>
      <w:r w:rsidRPr="00003942">
        <w:rPr>
          <w:rFonts w:ascii="Times New Roman" w:eastAsia="Work Sans" w:hAnsi="Times New Roman" w:cs="Times New Roman"/>
          <w:color w:val="auto"/>
          <w:sz w:val="24"/>
          <w:szCs w:val="24"/>
        </w:rPr>
        <w:t xml:space="preserve"> tehnologiji, uz slijedno definiranje koraka</w:t>
      </w:r>
    </w:p>
    <w:p w:rsidR="00DF7141" w:rsidRPr="00003942" w:rsidRDefault="00DF7141" w:rsidP="002D7C87">
      <w:pPr>
        <w:pStyle w:val="Tijeloteksta"/>
        <w:numPr>
          <w:ilvl w:val="0"/>
          <w:numId w:val="31"/>
        </w:numPr>
        <w:rPr>
          <w:rFonts w:ascii="Times New Roman" w:eastAsia="Work Sans" w:hAnsi="Times New Roman" w:cs="Times New Roman"/>
          <w:color w:val="auto"/>
          <w:sz w:val="24"/>
          <w:szCs w:val="24"/>
        </w:rPr>
      </w:pPr>
      <w:r w:rsidRPr="00003942">
        <w:rPr>
          <w:rFonts w:ascii="Times New Roman" w:eastAsia="Work Sans" w:hAnsi="Times New Roman" w:cs="Times New Roman"/>
          <w:color w:val="auto"/>
          <w:sz w:val="24"/>
          <w:szCs w:val="24"/>
        </w:rPr>
        <w:lastRenderedPageBreak/>
        <w:t>jednostavniji – smanjenje broja prepoznatih nepotrebnih koraka, spajanje više koraka u jedan korak i smanjenje potrebne dokumentacije na nužnu</w:t>
      </w:r>
      <w:r w:rsidR="003B479D" w:rsidRPr="00003942">
        <w:rPr>
          <w:rFonts w:ascii="Times New Roman" w:eastAsia="Work Sans" w:hAnsi="Times New Roman" w:cs="Times New Roman"/>
          <w:color w:val="auto"/>
          <w:sz w:val="24"/>
          <w:szCs w:val="24"/>
        </w:rPr>
        <w:t xml:space="preserve"> korištenjem i umrežavanjem postojećih informacijskih tijela državne i lokalne samouprave</w:t>
      </w:r>
    </w:p>
    <w:p w:rsidR="00DF7141" w:rsidRPr="00003942" w:rsidRDefault="00DF7141" w:rsidP="002D7C87">
      <w:pPr>
        <w:pStyle w:val="Tijeloteksta"/>
        <w:numPr>
          <w:ilvl w:val="0"/>
          <w:numId w:val="31"/>
        </w:numPr>
        <w:rPr>
          <w:rFonts w:ascii="Times New Roman" w:eastAsia="Work Sans" w:hAnsi="Times New Roman" w:cs="Times New Roman"/>
          <w:color w:val="auto"/>
          <w:sz w:val="24"/>
          <w:szCs w:val="24"/>
        </w:rPr>
      </w:pPr>
      <w:r w:rsidRPr="00003942">
        <w:rPr>
          <w:rFonts w:ascii="Times New Roman" w:eastAsia="Work Sans" w:hAnsi="Times New Roman" w:cs="Times New Roman"/>
          <w:color w:val="auto"/>
          <w:sz w:val="24"/>
          <w:szCs w:val="24"/>
        </w:rPr>
        <w:t>jednoznačan – jednoznačno definirani koraci, uvjeti i prethodne aktivnosti.</w:t>
      </w:r>
    </w:p>
    <w:p w:rsidR="00DF7141" w:rsidRPr="00387E05" w:rsidRDefault="00DF7141" w:rsidP="002D7C87">
      <w:pPr>
        <w:pStyle w:val="Tijeloteksta"/>
        <w:rPr>
          <w:rFonts w:ascii="Times New Roman" w:eastAsia="Work Sans" w:hAnsi="Times New Roman" w:cs="Times New Roman"/>
          <w:color w:val="auto"/>
          <w:sz w:val="24"/>
          <w:szCs w:val="24"/>
        </w:rPr>
      </w:pPr>
      <w:r w:rsidRPr="00003942">
        <w:rPr>
          <w:rFonts w:ascii="Times New Roman" w:eastAsia="Work Sans" w:hAnsi="Times New Roman" w:cs="Times New Roman"/>
          <w:color w:val="auto"/>
          <w:sz w:val="24"/>
          <w:szCs w:val="24"/>
        </w:rPr>
        <w:t xml:space="preserve">Također, </w:t>
      </w:r>
      <w:r w:rsidR="003B479D" w:rsidRPr="00003942">
        <w:rPr>
          <w:rFonts w:ascii="Times New Roman" w:eastAsia="Work Sans" w:hAnsi="Times New Roman" w:cs="Times New Roman"/>
          <w:color w:val="auto"/>
          <w:sz w:val="24"/>
          <w:szCs w:val="24"/>
        </w:rPr>
        <w:t>potrebno je promisliti i o iskustvima iz prakse u kojoj se ponekad pokazuje da iako su izmjene rađene u cilju</w:t>
      </w:r>
      <w:r w:rsidRPr="00003942">
        <w:rPr>
          <w:rFonts w:ascii="Times New Roman" w:eastAsia="Work Sans" w:hAnsi="Times New Roman" w:cs="Times New Roman"/>
          <w:color w:val="auto"/>
          <w:sz w:val="24"/>
          <w:szCs w:val="24"/>
        </w:rPr>
        <w:t xml:space="preserve"> poboljšanja</w:t>
      </w:r>
      <w:r w:rsidR="003B479D" w:rsidRPr="00003942">
        <w:rPr>
          <w:rFonts w:ascii="Times New Roman" w:eastAsia="Work Sans" w:hAnsi="Times New Roman" w:cs="Times New Roman"/>
          <w:color w:val="auto"/>
          <w:sz w:val="24"/>
          <w:szCs w:val="24"/>
        </w:rPr>
        <w:t xml:space="preserve"> </w:t>
      </w:r>
      <w:r w:rsidR="004668B8" w:rsidRPr="00003942">
        <w:rPr>
          <w:rFonts w:ascii="Times New Roman" w:eastAsia="Work Sans" w:hAnsi="Times New Roman" w:cs="Times New Roman"/>
          <w:color w:val="auto"/>
          <w:sz w:val="24"/>
          <w:szCs w:val="24"/>
        </w:rPr>
        <w:t>(</w:t>
      </w:r>
      <w:r w:rsidR="003B479D" w:rsidRPr="00003942">
        <w:rPr>
          <w:rFonts w:ascii="Times New Roman" w:eastAsia="Work Sans" w:hAnsi="Times New Roman" w:cs="Times New Roman"/>
          <w:color w:val="auto"/>
          <w:sz w:val="24"/>
          <w:szCs w:val="24"/>
        </w:rPr>
        <w:t>pa i na zahtjev investitora</w:t>
      </w:r>
      <w:r w:rsidR="004668B8" w:rsidRPr="00003942">
        <w:rPr>
          <w:rFonts w:ascii="Times New Roman" w:eastAsia="Work Sans" w:hAnsi="Times New Roman" w:cs="Times New Roman"/>
          <w:color w:val="auto"/>
          <w:sz w:val="24"/>
          <w:szCs w:val="24"/>
        </w:rPr>
        <w:t>)</w:t>
      </w:r>
      <w:r w:rsidRPr="00003942">
        <w:rPr>
          <w:rFonts w:ascii="Times New Roman" w:eastAsia="Work Sans" w:hAnsi="Times New Roman" w:cs="Times New Roman"/>
          <w:color w:val="auto"/>
          <w:sz w:val="24"/>
          <w:szCs w:val="24"/>
        </w:rPr>
        <w:t xml:space="preserve">, </w:t>
      </w:r>
      <w:r w:rsidR="003B479D" w:rsidRPr="00003942">
        <w:rPr>
          <w:rFonts w:ascii="Times New Roman" w:eastAsia="Work Sans" w:hAnsi="Times New Roman" w:cs="Times New Roman"/>
          <w:color w:val="auto"/>
          <w:sz w:val="24"/>
          <w:szCs w:val="24"/>
        </w:rPr>
        <w:t xml:space="preserve">iste postaju </w:t>
      </w:r>
      <w:r w:rsidRPr="00003942">
        <w:rPr>
          <w:rFonts w:ascii="Times New Roman" w:eastAsia="Work Sans" w:hAnsi="Times New Roman" w:cs="Times New Roman"/>
          <w:color w:val="auto"/>
          <w:sz w:val="24"/>
          <w:szCs w:val="24"/>
        </w:rPr>
        <w:t>potencijalna prepreka</w:t>
      </w:r>
      <w:r w:rsidR="003B479D" w:rsidRPr="00003942">
        <w:rPr>
          <w:rFonts w:ascii="Times New Roman" w:eastAsia="Work Sans" w:hAnsi="Times New Roman" w:cs="Times New Roman"/>
          <w:color w:val="auto"/>
          <w:sz w:val="24"/>
          <w:szCs w:val="24"/>
        </w:rPr>
        <w:t xml:space="preserve"> dok ne zažive kod svih sudionika u procesu</w:t>
      </w:r>
      <w:r w:rsidRPr="00003942">
        <w:rPr>
          <w:rFonts w:ascii="Times New Roman" w:eastAsia="Work Sans" w:hAnsi="Times New Roman" w:cs="Times New Roman"/>
          <w:color w:val="auto"/>
          <w:sz w:val="24"/>
          <w:szCs w:val="24"/>
        </w:rPr>
        <w:t xml:space="preserve">. Prilikom svake promjene procedure, posebice kod zamjene koraka i uvođenja novih dokumenata i koraka, potrebno je određeno vrijeme prilagodbe svih dionika tržišta. Stoga bi, kod pojednostavljena </w:t>
      </w:r>
      <w:r w:rsidR="004668B8" w:rsidRPr="00BB78F5">
        <w:rPr>
          <w:rFonts w:ascii="Times New Roman" w:eastAsia="Work Sans" w:hAnsi="Times New Roman" w:cs="Times New Roman"/>
          <w:color w:val="auto"/>
          <w:sz w:val="24"/>
          <w:szCs w:val="24"/>
        </w:rPr>
        <w:t xml:space="preserve">administrativnih </w:t>
      </w:r>
      <w:r w:rsidRPr="00BB78F5">
        <w:rPr>
          <w:rFonts w:ascii="Times New Roman" w:eastAsia="Work Sans" w:hAnsi="Times New Roman" w:cs="Times New Roman"/>
          <w:color w:val="auto"/>
          <w:sz w:val="24"/>
          <w:szCs w:val="24"/>
        </w:rPr>
        <w:t>postup</w:t>
      </w:r>
      <w:r w:rsidR="004668B8" w:rsidRPr="00BB78F5">
        <w:rPr>
          <w:rFonts w:ascii="Times New Roman" w:eastAsia="Work Sans" w:hAnsi="Times New Roman" w:cs="Times New Roman"/>
          <w:color w:val="auto"/>
          <w:sz w:val="24"/>
          <w:szCs w:val="24"/>
        </w:rPr>
        <w:t>a</w:t>
      </w:r>
      <w:r w:rsidRPr="00BB78F5">
        <w:rPr>
          <w:rFonts w:ascii="Times New Roman" w:eastAsia="Work Sans" w:hAnsi="Times New Roman" w:cs="Times New Roman"/>
          <w:color w:val="auto"/>
          <w:sz w:val="24"/>
          <w:szCs w:val="24"/>
        </w:rPr>
        <w:t>ka, naglasak trebalo staviti na bržu reakcij</w:t>
      </w:r>
      <w:r w:rsidRPr="003E2DBC">
        <w:rPr>
          <w:rFonts w:ascii="Times New Roman" w:eastAsia="Work Sans" w:hAnsi="Times New Roman" w:cs="Times New Roman"/>
          <w:color w:val="auto"/>
          <w:sz w:val="24"/>
          <w:szCs w:val="24"/>
        </w:rPr>
        <w:t xml:space="preserve">u nadležnih tijela, jasniju proceduru, te </w:t>
      </w:r>
      <w:r w:rsidR="003B479D" w:rsidRPr="003E2DBC">
        <w:rPr>
          <w:rFonts w:ascii="Times New Roman" w:eastAsia="Work Sans" w:hAnsi="Times New Roman" w:cs="Times New Roman"/>
          <w:color w:val="auto"/>
          <w:sz w:val="24"/>
          <w:szCs w:val="24"/>
        </w:rPr>
        <w:t xml:space="preserve">tamo gdje je to moguće, </w:t>
      </w:r>
      <w:r w:rsidRPr="008609F9">
        <w:rPr>
          <w:rFonts w:ascii="Times New Roman" w:eastAsia="Work Sans" w:hAnsi="Times New Roman" w:cs="Times New Roman"/>
          <w:color w:val="auto"/>
          <w:sz w:val="24"/>
          <w:szCs w:val="24"/>
        </w:rPr>
        <w:t xml:space="preserve">spajanje više koraka u jedan. </w:t>
      </w:r>
      <w:r w:rsidR="004668B8" w:rsidRPr="008609F9">
        <w:rPr>
          <w:rFonts w:ascii="Times New Roman" w:eastAsia="Work Sans" w:hAnsi="Times New Roman" w:cs="Times New Roman"/>
          <w:color w:val="auto"/>
          <w:sz w:val="24"/>
          <w:szCs w:val="24"/>
        </w:rPr>
        <w:t>Navedeno je direktno povezano s administrativnim kapacitetima pojedinih tijela u sustavu, a koja često puta nisu dovoljna da se procedure odrade u razumn</w:t>
      </w:r>
      <w:r w:rsidR="004668B8" w:rsidRPr="00387E05">
        <w:rPr>
          <w:rFonts w:ascii="Times New Roman" w:eastAsia="Work Sans" w:hAnsi="Times New Roman" w:cs="Times New Roman"/>
          <w:color w:val="auto"/>
          <w:sz w:val="24"/>
          <w:szCs w:val="24"/>
        </w:rPr>
        <w:t>om vremenu.</w:t>
      </w:r>
    </w:p>
    <w:p w:rsidR="00DF7141" w:rsidRPr="00003942" w:rsidRDefault="00DF7141" w:rsidP="002D7C87">
      <w:pPr>
        <w:pStyle w:val="Tijeloteksta"/>
        <w:rPr>
          <w:rFonts w:ascii="Times New Roman" w:eastAsia="Work Sans" w:hAnsi="Times New Roman" w:cs="Times New Roman"/>
          <w:color w:val="auto"/>
          <w:sz w:val="24"/>
          <w:szCs w:val="24"/>
        </w:rPr>
        <w:sectPr w:rsidR="00DF7141" w:rsidRPr="00003942" w:rsidSect="002D7C87">
          <w:footerReference w:type="default" r:id="rId11"/>
          <w:footerReference w:type="first" r:id="rId12"/>
          <w:pgSz w:w="11906" w:h="16838" w:code="9"/>
          <w:pgMar w:top="1418" w:right="1418" w:bottom="1418" w:left="851" w:header="454" w:footer="510" w:gutter="567"/>
          <w:pgNumType w:start="1"/>
          <w:cols w:space="708"/>
          <w:titlePg/>
          <w:docGrid w:linePitch="360"/>
        </w:sectPr>
      </w:pPr>
    </w:p>
    <w:p w:rsidR="00DF7141" w:rsidRPr="00003942" w:rsidRDefault="00DF7141" w:rsidP="002D7C87">
      <w:pPr>
        <w:pStyle w:val="Tijeloteksta"/>
        <w:keepNext/>
        <w:rPr>
          <w:rFonts w:ascii="Times New Roman" w:hAnsi="Times New Roman" w:cs="Times New Roman"/>
          <w:color w:val="auto"/>
          <w:sz w:val="24"/>
          <w:szCs w:val="24"/>
        </w:rPr>
      </w:pPr>
      <w:r w:rsidRPr="00003942">
        <w:rPr>
          <w:rFonts w:ascii="Times New Roman" w:hAnsi="Times New Roman" w:cs="Times New Roman"/>
          <w:noProof/>
          <w:color w:val="auto"/>
          <w:sz w:val="24"/>
          <w:szCs w:val="24"/>
          <w:lang w:eastAsia="hr-HR"/>
        </w:rPr>
        <w:lastRenderedPageBreak/>
        <w:drawing>
          <wp:inline distT="0" distB="0" distL="0" distR="0" wp14:anchorId="2D701F9D" wp14:editId="417999D6">
            <wp:extent cx="9477375" cy="5417577"/>
            <wp:effectExtent l="0" t="0" r="0" b="0"/>
            <wp:docPr id="22" name="Picture 2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79840" cy="5418986"/>
                    </a:xfrm>
                    <a:prstGeom prst="rect">
                      <a:avLst/>
                    </a:prstGeom>
                    <a:noFill/>
                    <a:ln>
                      <a:noFill/>
                    </a:ln>
                  </pic:spPr>
                </pic:pic>
              </a:graphicData>
            </a:graphic>
          </wp:inline>
        </w:drawing>
      </w:r>
    </w:p>
    <w:p w:rsidR="00DF7141" w:rsidRPr="00003942" w:rsidRDefault="00DF7141" w:rsidP="002D7C87">
      <w:pPr>
        <w:pStyle w:val="Opisslike"/>
        <w:jc w:val="both"/>
        <w:rPr>
          <w:rFonts w:ascii="Times New Roman" w:eastAsia="Work Sans" w:hAnsi="Times New Roman" w:cs="Times New Roman"/>
          <w:color w:val="auto"/>
          <w:sz w:val="24"/>
          <w:szCs w:val="24"/>
        </w:rPr>
      </w:pPr>
      <w:bookmarkStart w:id="206" w:name="_Ref104883502"/>
      <w:bookmarkStart w:id="207" w:name="_Toc104994939"/>
      <w:r w:rsidRPr="00003942">
        <w:rPr>
          <w:rFonts w:ascii="Times New Roman" w:hAnsi="Times New Roman" w:cs="Times New Roman"/>
          <w:color w:val="auto"/>
          <w:sz w:val="24"/>
          <w:szCs w:val="24"/>
        </w:rPr>
        <w:t xml:space="preserve">Slika </w:t>
      </w:r>
      <w:r w:rsidRPr="00003942">
        <w:rPr>
          <w:rFonts w:ascii="Times New Roman" w:hAnsi="Times New Roman" w:cs="Times New Roman"/>
          <w:color w:val="auto"/>
          <w:sz w:val="24"/>
          <w:szCs w:val="24"/>
        </w:rPr>
        <w:fldChar w:fldCharType="begin"/>
      </w:r>
      <w:r w:rsidRPr="00003942">
        <w:rPr>
          <w:rFonts w:ascii="Times New Roman" w:hAnsi="Times New Roman" w:cs="Times New Roman"/>
          <w:color w:val="auto"/>
          <w:sz w:val="24"/>
          <w:szCs w:val="24"/>
        </w:rPr>
        <w:instrText xml:space="preserve"> SEQ Slika \* ARABIC \s 1 </w:instrText>
      </w:r>
      <w:r w:rsidRPr="00003942">
        <w:rPr>
          <w:rFonts w:ascii="Times New Roman" w:hAnsi="Times New Roman" w:cs="Times New Roman"/>
          <w:color w:val="auto"/>
          <w:sz w:val="24"/>
          <w:szCs w:val="24"/>
        </w:rPr>
        <w:fldChar w:fldCharType="separate"/>
      </w:r>
      <w:r w:rsidR="009C3921">
        <w:rPr>
          <w:rFonts w:ascii="Times New Roman" w:hAnsi="Times New Roman" w:cs="Times New Roman"/>
          <w:noProof/>
          <w:color w:val="auto"/>
          <w:sz w:val="24"/>
          <w:szCs w:val="24"/>
        </w:rPr>
        <w:t>1</w:t>
      </w:r>
      <w:r w:rsidRPr="00003942">
        <w:rPr>
          <w:rFonts w:ascii="Times New Roman" w:hAnsi="Times New Roman" w:cs="Times New Roman"/>
          <w:noProof/>
          <w:color w:val="auto"/>
          <w:sz w:val="24"/>
          <w:szCs w:val="24"/>
        </w:rPr>
        <w:fldChar w:fldCharType="end"/>
      </w:r>
      <w:bookmarkEnd w:id="206"/>
      <w:r w:rsidR="00C439A8">
        <w:rPr>
          <w:rFonts w:ascii="Times New Roman" w:hAnsi="Times New Roman" w:cs="Times New Roman"/>
          <w:noProof/>
          <w:color w:val="auto"/>
          <w:sz w:val="24"/>
          <w:szCs w:val="24"/>
        </w:rPr>
        <w:t>.</w:t>
      </w:r>
      <w:r w:rsidRPr="00003942">
        <w:rPr>
          <w:rFonts w:ascii="Times New Roman" w:hAnsi="Times New Roman" w:cs="Times New Roman"/>
          <w:color w:val="auto"/>
          <w:sz w:val="24"/>
          <w:szCs w:val="24"/>
        </w:rPr>
        <w:t xml:space="preserve"> Skraćeni prikaz administrativne procedure razvoja projekata OIE</w:t>
      </w:r>
      <w:bookmarkEnd w:id="207"/>
    </w:p>
    <w:p w:rsidR="00DF7141" w:rsidRPr="00003942" w:rsidRDefault="00DF7141" w:rsidP="002D7C87">
      <w:pPr>
        <w:pStyle w:val="Tijeloteksta"/>
        <w:rPr>
          <w:rFonts w:ascii="Times New Roman" w:eastAsia="Work Sans" w:hAnsi="Times New Roman" w:cs="Times New Roman"/>
          <w:color w:val="auto"/>
          <w:sz w:val="24"/>
          <w:szCs w:val="24"/>
        </w:rPr>
        <w:sectPr w:rsidR="00DF7141" w:rsidRPr="00003942" w:rsidSect="002D7C87">
          <w:pgSz w:w="16838" w:h="11906" w:orient="landscape" w:code="9"/>
          <w:pgMar w:top="851" w:right="1418" w:bottom="1418" w:left="1418" w:header="454" w:footer="510" w:gutter="567"/>
          <w:cols w:space="708"/>
          <w:titlePg/>
          <w:docGrid w:linePitch="360"/>
        </w:sectPr>
      </w:pPr>
    </w:p>
    <w:p w:rsidR="00DF7141" w:rsidRPr="00E93869" w:rsidRDefault="00431232" w:rsidP="00C90729">
      <w:pPr>
        <w:pStyle w:val="Naslov2"/>
      </w:pPr>
      <w:bookmarkStart w:id="208" w:name="_Toc105137866"/>
      <w:bookmarkStart w:id="209" w:name="_Toc105396311"/>
      <w:bookmarkStart w:id="210" w:name="_Toc105756675"/>
      <w:bookmarkStart w:id="211" w:name="_Toc105973471"/>
      <w:r w:rsidRPr="00E93869">
        <w:lastRenderedPageBreak/>
        <w:t>POSTOJEĆA ISKUSTVA</w:t>
      </w:r>
      <w:bookmarkEnd w:id="208"/>
      <w:bookmarkEnd w:id="209"/>
      <w:bookmarkEnd w:id="210"/>
      <w:bookmarkEnd w:id="211"/>
    </w:p>
    <w:p w:rsidR="00DF7141" w:rsidRPr="0024150C"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Na kraju 2020. godine u </w:t>
      </w:r>
      <w:r w:rsidR="00CF0A77" w:rsidRPr="00003942">
        <w:rPr>
          <w:rFonts w:ascii="Times New Roman" w:hAnsi="Times New Roman" w:cs="Times New Roman"/>
          <w:color w:val="auto"/>
          <w:sz w:val="24"/>
          <w:szCs w:val="24"/>
        </w:rPr>
        <w:t xml:space="preserve">Republici </w:t>
      </w:r>
      <w:r w:rsidRPr="00003942">
        <w:rPr>
          <w:rFonts w:ascii="Times New Roman" w:hAnsi="Times New Roman" w:cs="Times New Roman"/>
          <w:color w:val="auto"/>
          <w:sz w:val="24"/>
          <w:szCs w:val="24"/>
        </w:rPr>
        <w:t>Hrvatskoj je u pogonu bilo ukupno 1088</w:t>
      </w:r>
      <w:r w:rsidR="004F16CE" w:rsidRPr="00003942">
        <w:rPr>
          <w:rFonts w:ascii="Times New Roman" w:hAnsi="Times New Roman" w:cs="Times New Roman"/>
          <w:color w:val="auto"/>
          <w:sz w:val="24"/>
          <w:szCs w:val="24"/>
        </w:rPr>
        <w:t xml:space="preserve"> </w:t>
      </w:r>
      <w:r w:rsidRPr="00F63D65">
        <w:rPr>
          <w:rFonts w:ascii="Times New Roman" w:hAnsi="Times New Roman" w:cs="Times New Roman"/>
          <w:color w:val="auto"/>
          <w:sz w:val="24"/>
          <w:szCs w:val="24"/>
        </w:rPr>
        <w:t>MW elektrana na obnovljive izvore (ne uključujući velike hidroelektra</w:t>
      </w:r>
      <w:r w:rsidRPr="008609F9">
        <w:rPr>
          <w:rFonts w:ascii="Times New Roman" w:hAnsi="Times New Roman" w:cs="Times New Roman"/>
          <w:color w:val="auto"/>
          <w:sz w:val="24"/>
          <w:szCs w:val="24"/>
        </w:rPr>
        <w:t>ne), od čega najveći dio otpada na vjetroelektrane (800</w:t>
      </w:r>
      <w:r w:rsidR="004F16CE" w:rsidRPr="008609F9">
        <w:rPr>
          <w:rFonts w:ascii="Times New Roman" w:hAnsi="Times New Roman" w:cs="Times New Roman"/>
          <w:color w:val="auto"/>
          <w:sz w:val="24"/>
          <w:szCs w:val="24"/>
        </w:rPr>
        <w:t xml:space="preserve"> </w:t>
      </w:r>
      <w:r w:rsidRPr="00387E05">
        <w:rPr>
          <w:rFonts w:ascii="Times New Roman" w:hAnsi="Times New Roman" w:cs="Times New Roman"/>
          <w:color w:val="auto"/>
          <w:sz w:val="24"/>
          <w:szCs w:val="24"/>
        </w:rPr>
        <w:t>MW), nakon čega slijede sunčane elektrane (oko 110</w:t>
      </w:r>
      <w:r w:rsidR="004F16CE" w:rsidRPr="00387E05">
        <w:rPr>
          <w:rFonts w:ascii="Times New Roman" w:hAnsi="Times New Roman" w:cs="Times New Roman"/>
          <w:color w:val="auto"/>
          <w:sz w:val="24"/>
          <w:szCs w:val="24"/>
        </w:rPr>
        <w:t xml:space="preserve"> </w:t>
      </w:r>
      <w:r w:rsidRPr="0024150C">
        <w:rPr>
          <w:rFonts w:ascii="Times New Roman" w:hAnsi="Times New Roman" w:cs="Times New Roman"/>
          <w:color w:val="auto"/>
          <w:sz w:val="24"/>
          <w:szCs w:val="24"/>
        </w:rPr>
        <w:t xml:space="preserve">MW). </w:t>
      </w:r>
    </w:p>
    <w:p w:rsidR="00DF7141" w:rsidRPr="00003942" w:rsidRDefault="00DF7141" w:rsidP="002D7C87">
      <w:pPr>
        <w:pStyle w:val="Tijeloteksta"/>
        <w:keepNext/>
        <w:jc w:val="center"/>
        <w:rPr>
          <w:rFonts w:ascii="Times New Roman" w:hAnsi="Times New Roman" w:cs="Times New Roman"/>
          <w:color w:val="auto"/>
          <w:sz w:val="24"/>
          <w:szCs w:val="24"/>
        </w:rPr>
      </w:pPr>
      <w:r w:rsidRPr="00003942">
        <w:rPr>
          <w:rFonts w:ascii="Times New Roman" w:hAnsi="Times New Roman" w:cs="Times New Roman"/>
          <w:noProof/>
          <w:color w:val="auto"/>
          <w:sz w:val="24"/>
          <w:szCs w:val="24"/>
          <w:lang w:eastAsia="hr-HR"/>
        </w:rPr>
        <w:drawing>
          <wp:inline distT="0" distB="0" distL="0" distR="0" wp14:anchorId="710F6B60" wp14:editId="77972A66">
            <wp:extent cx="5287993" cy="3036499"/>
            <wp:effectExtent l="0" t="0" r="8255" b="12065"/>
            <wp:docPr id="1" name="Chart 1">
              <a:extLst xmlns:a="http://schemas.openxmlformats.org/drawingml/2006/main">
                <a:ext uri="{FF2B5EF4-FFF2-40B4-BE49-F238E27FC236}">
                  <a16:creationId xmlns:a16="http://schemas.microsoft.com/office/drawing/2014/main" id="{83606FF1-691D-437A-86E8-30935DBEF6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F7141" w:rsidRPr="00003942" w:rsidRDefault="00DF7141" w:rsidP="002D7C87">
      <w:pPr>
        <w:pStyle w:val="Opisslike"/>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Slika </w:t>
      </w:r>
      <w:r w:rsidRPr="00003942">
        <w:rPr>
          <w:rFonts w:ascii="Times New Roman" w:hAnsi="Times New Roman" w:cs="Times New Roman"/>
          <w:color w:val="auto"/>
          <w:sz w:val="24"/>
          <w:szCs w:val="24"/>
        </w:rPr>
        <w:fldChar w:fldCharType="begin"/>
      </w:r>
      <w:r w:rsidRPr="00003942">
        <w:rPr>
          <w:rFonts w:ascii="Times New Roman" w:hAnsi="Times New Roman" w:cs="Times New Roman"/>
          <w:color w:val="auto"/>
          <w:sz w:val="24"/>
          <w:szCs w:val="24"/>
        </w:rPr>
        <w:instrText xml:space="preserve"> SEQ Slika \* ARABIC \s 1 </w:instrText>
      </w:r>
      <w:r w:rsidRPr="00003942">
        <w:rPr>
          <w:rFonts w:ascii="Times New Roman" w:hAnsi="Times New Roman" w:cs="Times New Roman"/>
          <w:color w:val="auto"/>
          <w:sz w:val="24"/>
          <w:szCs w:val="24"/>
        </w:rPr>
        <w:fldChar w:fldCharType="separate"/>
      </w:r>
      <w:r w:rsidR="009C3921">
        <w:rPr>
          <w:rFonts w:ascii="Times New Roman" w:hAnsi="Times New Roman" w:cs="Times New Roman"/>
          <w:noProof/>
          <w:color w:val="auto"/>
          <w:sz w:val="24"/>
          <w:szCs w:val="24"/>
        </w:rPr>
        <w:t>2</w:t>
      </w:r>
      <w:r w:rsidRPr="00003942">
        <w:rPr>
          <w:rFonts w:ascii="Times New Roman" w:hAnsi="Times New Roman" w:cs="Times New Roman"/>
          <w:noProof/>
          <w:color w:val="auto"/>
          <w:sz w:val="24"/>
          <w:szCs w:val="24"/>
        </w:rPr>
        <w:fldChar w:fldCharType="end"/>
      </w:r>
      <w:r w:rsidR="00C439A8">
        <w:rPr>
          <w:rFonts w:ascii="Times New Roman" w:hAnsi="Times New Roman" w:cs="Times New Roman"/>
          <w:noProof/>
          <w:color w:val="auto"/>
          <w:sz w:val="24"/>
          <w:szCs w:val="24"/>
        </w:rPr>
        <w:t>.</w:t>
      </w:r>
      <w:r w:rsidRPr="00003942">
        <w:rPr>
          <w:rFonts w:ascii="Times New Roman" w:hAnsi="Times New Roman" w:cs="Times New Roman"/>
          <w:color w:val="auto"/>
          <w:sz w:val="24"/>
          <w:szCs w:val="24"/>
        </w:rPr>
        <w:t xml:space="preserve"> Instalirani kapaciteti elektrana na OIE, po godinama</w:t>
      </w:r>
      <w:r w:rsidRPr="00003942">
        <w:rPr>
          <w:rFonts w:ascii="Times New Roman" w:hAnsi="Times New Roman" w:cs="Times New Roman"/>
          <w:color w:val="auto"/>
          <w:sz w:val="24"/>
          <w:szCs w:val="24"/>
        </w:rPr>
        <w:fldChar w:fldCharType="begin"/>
      </w:r>
      <w:r w:rsidRPr="00003942">
        <w:rPr>
          <w:rFonts w:ascii="Times New Roman" w:hAnsi="Times New Roman" w:cs="Times New Roman"/>
          <w:color w:val="auto"/>
          <w:sz w:val="24"/>
          <w:szCs w:val="24"/>
        </w:rPr>
        <w:instrText xml:space="preserve"> REF _Ref105082486 \r \h </w:instrText>
      </w:r>
      <w:r w:rsidR="002D7C87" w:rsidRPr="00003942">
        <w:rPr>
          <w:rFonts w:ascii="Times New Roman" w:hAnsi="Times New Roman" w:cs="Times New Roman"/>
          <w:color w:val="auto"/>
          <w:sz w:val="24"/>
          <w:szCs w:val="24"/>
        </w:rPr>
        <w:instrText xml:space="preserve"> \* MERGEFORMAT </w:instrText>
      </w:r>
      <w:r w:rsidRPr="00003942">
        <w:rPr>
          <w:rFonts w:ascii="Times New Roman" w:hAnsi="Times New Roman" w:cs="Times New Roman"/>
          <w:color w:val="auto"/>
          <w:sz w:val="24"/>
          <w:szCs w:val="24"/>
        </w:rPr>
      </w:r>
      <w:r w:rsidRPr="00003942">
        <w:rPr>
          <w:rFonts w:ascii="Times New Roman" w:hAnsi="Times New Roman" w:cs="Times New Roman"/>
          <w:color w:val="auto"/>
          <w:sz w:val="24"/>
          <w:szCs w:val="24"/>
        </w:rPr>
        <w:fldChar w:fldCharType="separate"/>
      </w:r>
      <w:r w:rsidR="009C3921">
        <w:rPr>
          <w:rFonts w:ascii="Times New Roman" w:hAnsi="Times New Roman" w:cs="Times New Roman"/>
          <w:color w:val="auto"/>
          <w:sz w:val="24"/>
          <w:szCs w:val="24"/>
        </w:rPr>
        <w:t>[5]</w:t>
      </w:r>
      <w:r w:rsidRPr="00003942">
        <w:rPr>
          <w:rFonts w:ascii="Times New Roman" w:hAnsi="Times New Roman" w:cs="Times New Roman"/>
          <w:color w:val="auto"/>
          <w:sz w:val="24"/>
          <w:szCs w:val="24"/>
        </w:rPr>
        <w:fldChar w:fldCharType="end"/>
      </w:r>
    </w:p>
    <w:p w:rsidR="00DF7141" w:rsidRPr="00222A78"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Razvoj, te čak i realizacija određenih projekata, posebice vjetroelektrana, započeo je i prije donošenja </w:t>
      </w:r>
      <w:r w:rsidRPr="00F63D65">
        <w:rPr>
          <w:rFonts w:ascii="Times New Roman" w:hAnsi="Times New Roman" w:cs="Times New Roman"/>
          <w:color w:val="auto"/>
          <w:sz w:val="24"/>
          <w:szCs w:val="24"/>
        </w:rPr>
        <w:t xml:space="preserve">prvog paketa podzakonskih akata za poticanje proizvodnje električne energije iz OIE 2007. godine. Međutim, tek donošenjem </w:t>
      </w:r>
      <w:r w:rsidR="00355540" w:rsidRPr="008609F9">
        <w:rPr>
          <w:rFonts w:ascii="Times New Roman" w:hAnsi="Times New Roman" w:cs="Times New Roman"/>
          <w:color w:val="auto"/>
          <w:sz w:val="24"/>
          <w:szCs w:val="24"/>
        </w:rPr>
        <w:t>n</w:t>
      </w:r>
      <w:r w:rsidRPr="008609F9">
        <w:rPr>
          <w:rFonts w:ascii="Times New Roman" w:hAnsi="Times New Roman" w:cs="Times New Roman"/>
          <w:color w:val="auto"/>
          <w:sz w:val="24"/>
          <w:szCs w:val="24"/>
        </w:rPr>
        <w:t xml:space="preserve">ovog zakonskog okvira ostvarili su se </w:t>
      </w:r>
      <w:r w:rsidRPr="00387E05">
        <w:rPr>
          <w:rFonts w:ascii="Times New Roman" w:hAnsi="Times New Roman" w:cs="Times New Roman"/>
          <w:color w:val="auto"/>
          <w:sz w:val="24"/>
          <w:szCs w:val="24"/>
        </w:rPr>
        <w:t>pravni preduvjeti za razvoje projekata OIE u Hrvatskoj</w:t>
      </w:r>
      <w:r w:rsidR="003B479D" w:rsidRPr="00387E05">
        <w:rPr>
          <w:rFonts w:ascii="Times New Roman" w:hAnsi="Times New Roman" w:cs="Times New Roman"/>
          <w:color w:val="auto"/>
          <w:sz w:val="24"/>
          <w:szCs w:val="24"/>
        </w:rPr>
        <w:t xml:space="preserve"> na način da se uvaže potrebne odrednice dodjele </w:t>
      </w:r>
      <w:r w:rsidR="003B479D" w:rsidRPr="0024150C">
        <w:rPr>
          <w:rFonts w:ascii="Times New Roman" w:hAnsi="Times New Roman" w:cs="Times New Roman"/>
          <w:color w:val="auto"/>
          <w:sz w:val="24"/>
          <w:szCs w:val="24"/>
        </w:rPr>
        <w:t xml:space="preserve">jednoznačnog </w:t>
      </w:r>
      <w:r w:rsidR="003B479D" w:rsidRPr="00331C56">
        <w:rPr>
          <w:rFonts w:ascii="Times New Roman" w:hAnsi="Times New Roman" w:cs="Times New Roman"/>
          <w:color w:val="auto"/>
          <w:sz w:val="24"/>
          <w:szCs w:val="24"/>
        </w:rPr>
        <w:t>prava nositelju projekta da s energetskim odobrenjem koje se dobiva na natječaju krenu u realizaciju projekta</w:t>
      </w:r>
      <w:r w:rsidRPr="00331C56">
        <w:rPr>
          <w:rFonts w:ascii="Times New Roman" w:hAnsi="Times New Roman" w:cs="Times New Roman"/>
          <w:color w:val="auto"/>
          <w:sz w:val="24"/>
          <w:szCs w:val="24"/>
        </w:rPr>
        <w:t>.</w:t>
      </w:r>
    </w:p>
    <w:p w:rsidR="006144E1" w:rsidRPr="00003942" w:rsidRDefault="006144E1" w:rsidP="002D7C87">
      <w:pPr>
        <w:pStyle w:val="Tijeloteksta"/>
        <w:rPr>
          <w:rFonts w:ascii="Times New Roman" w:hAnsi="Times New Roman" w:cs="Times New Roman"/>
          <w:color w:val="auto"/>
          <w:sz w:val="24"/>
          <w:szCs w:val="24"/>
        </w:rPr>
      </w:pPr>
      <w:r w:rsidRPr="00222A78">
        <w:rPr>
          <w:rFonts w:ascii="Times New Roman" w:hAnsi="Times New Roman" w:cs="Times New Roman"/>
          <w:color w:val="auto"/>
          <w:sz w:val="24"/>
          <w:szCs w:val="24"/>
        </w:rPr>
        <w:t xml:space="preserve">Novom  </w:t>
      </w:r>
      <w:r w:rsidRPr="00192851">
        <w:rPr>
          <w:rFonts w:ascii="Times New Roman" w:hAnsi="Times New Roman" w:cs="Times New Roman"/>
          <w:color w:val="auto"/>
          <w:sz w:val="24"/>
          <w:szCs w:val="24"/>
        </w:rPr>
        <w:t>Strategijom energetskog razvoja RH do 2030. godine s pogledom na 2050. godinu jasno</w:t>
      </w:r>
      <w:r w:rsidR="00BB78F5">
        <w:rPr>
          <w:rFonts w:ascii="Times New Roman" w:hAnsi="Times New Roman" w:cs="Times New Roman"/>
          <w:color w:val="auto"/>
          <w:sz w:val="24"/>
          <w:szCs w:val="24"/>
        </w:rPr>
        <w:t xml:space="preserve"> je</w:t>
      </w:r>
      <w:r w:rsidRPr="00BB78F5">
        <w:rPr>
          <w:rFonts w:ascii="Times New Roman" w:hAnsi="Times New Roman" w:cs="Times New Roman"/>
          <w:color w:val="auto"/>
          <w:sz w:val="24"/>
          <w:szCs w:val="24"/>
        </w:rPr>
        <w:t xml:space="preserve"> naglašeno </w:t>
      </w:r>
      <w:r w:rsidR="00BB78F5">
        <w:rPr>
          <w:rFonts w:ascii="Times New Roman" w:hAnsi="Times New Roman" w:cs="Times New Roman"/>
          <w:color w:val="auto"/>
          <w:sz w:val="24"/>
          <w:szCs w:val="24"/>
        </w:rPr>
        <w:t>da</w:t>
      </w:r>
      <w:r w:rsidRPr="00BB78F5">
        <w:rPr>
          <w:rFonts w:ascii="Times New Roman" w:hAnsi="Times New Roman" w:cs="Times New Roman"/>
          <w:color w:val="auto"/>
          <w:sz w:val="24"/>
          <w:szCs w:val="24"/>
        </w:rPr>
        <w:t xml:space="preserve"> RH planira još veći broj projekata obnovljivih izvora energije, a u Nacionalnom planu za oporavak i otpornost </w:t>
      </w:r>
      <w:r w:rsidR="009D090C" w:rsidRPr="00BB78F5">
        <w:rPr>
          <w:rFonts w:ascii="Times New Roman" w:hAnsi="Times New Roman" w:cs="Times New Roman"/>
          <w:color w:val="auto"/>
          <w:sz w:val="24"/>
          <w:szCs w:val="24"/>
        </w:rPr>
        <w:t xml:space="preserve">RH se </w:t>
      </w:r>
      <w:r w:rsidRPr="00BB78F5">
        <w:rPr>
          <w:rFonts w:ascii="Times New Roman" w:hAnsi="Times New Roman" w:cs="Times New Roman"/>
          <w:color w:val="auto"/>
          <w:sz w:val="24"/>
          <w:szCs w:val="24"/>
        </w:rPr>
        <w:t>obveza</w:t>
      </w:r>
      <w:r w:rsidR="009D090C" w:rsidRPr="00BB78F5">
        <w:rPr>
          <w:rFonts w:ascii="Times New Roman" w:hAnsi="Times New Roman" w:cs="Times New Roman"/>
          <w:color w:val="auto"/>
          <w:sz w:val="24"/>
          <w:szCs w:val="24"/>
        </w:rPr>
        <w:t xml:space="preserve">la </w:t>
      </w:r>
      <w:r w:rsidRPr="00BB78F5">
        <w:rPr>
          <w:rFonts w:ascii="Times New Roman" w:hAnsi="Times New Roman" w:cs="Times New Roman"/>
          <w:color w:val="auto"/>
          <w:sz w:val="24"/>
          <w:szCs w:val="24"/>
        </w:rPr>
        <w:t xml:space="preserve">da će do kraja 2024. godine u </w:t>
      </w:r>
      <w:r w:rsidR="009D090C" w:rsidRPr="008609F9">
        <w:rPr>
          <w:rFonts w:ascii="Times New Roman" w:hAnsi="Times New Roman" w:cs="Times New Roman"/>
          <w:color w:val="auto"/>
          <w:sz w:val="24"/>
          <w:szCs w:val="24"/>
        </w:rPr>
        <w:t xml:space="preserve">elektroenergetski </w:t>
      </w:r>
      <w:r w:rsidRPr="008609F9">
        <w:rPr>
          <w:rFonts w:ascii="Times New Roman" w:hAnsi="Times New Roman" w:cs="Times New Roman"/>
          <w:color w:val="auto"/>
          <w:sz w:val="24"/>
          <w:szCs w:val="24"/>
        </w:rPr>
        <w:t xml:space="preserve">sustav biti priključeno novih 1500 MW obnovljivih izvora energije. </w:t>
      </w:r>
      <w:r w:rsidR="009D090C" w:rsidRPr="00387E05">
        <w:rPr>
          <w:rFonts w:ascii="Times New Roman" w:hAnsi="Times New Roman" w:cs="Times New Roman"/>
          <w:color w:val="auto"/>
          <w:sz w:val="24"/>
          <w:szCs w:val="24"/>
        </w:rPr>
        <w:t>Također, i</w:t>
      </w:r>
      <w:r w:rsidRPr="00387E05">
        <w:rPr>
          <w:rFonts w:ascii="Times New Roman" w:hAnsi="Times New Roman" w:cs="Times New Roman"/>
          <w:color w:val="auto"/>
          <w:sz w:val="24"/>
          <w:szCs w:val="24"/>
        </w:rPr>
        <w:t xml:space="preserve"> u </w:t>
      </w:r>
      <w:r w:rsidRPr="0024150C">
        <w:rPr>
          <w:rFonts w:ascii="Times New Roman" w:hAnsi="Times New Roman" w:cs="Times New Roman"/>
          <w:color w:val="auto"/>
          <w:sz w:val="24"/>
          <w:szCs w:val="24"/>
        </w:rPr>
        <w:t>Integriranom energetskom i klimatskom planu od 2021. do 2030. godine RH je postavila ambiciozne ciljeve, a oni će sukladno EU politici („</w:t>
      </w:r>
      <w:r w:rsidRPr="000B0718">
        <w:rPr>
          <w:rFonts w:ascii="Times New Roman" w:hAnsi="Times New Roman" w:cs="Times New Roman"/>
          <w:i/>
          <w:color w:val="auto"/>
          <w:sz w:val="24"/>
          <w:szCs w:val="24"/>
        </w:rPr>
        <w:t>Spremni za 55</w:t>
      </w:r>
      <w:r w:rsidRPr="00003942">
        <w:rPr>
          <w:rFonts w:ascii="Times New Roman" w:hAnsi="Times New Roman" w:cs="Times New Roman"/>
          <w:color w:val="auto"/>
          <w:sz w:val="24"/>
          <w:szCs w:val="24"/>
        </w:rPr>
        <w:t xml:space="preserve">“ i </w:t>
      </w:r>
      <w:r w:rsidRPr="000B0718">
        <w:rPr>
          <w:rFonts w:ascii="Times New Roman" w:hAnsi="Times New Roman" w:cs="Times New Roman"/>
          <w:i/>
          <w:color w:val="auto"/>
          <w:sz w:val="24"/>
          <w:szCs w:val="24"/>
        </w:rPr>
        <w:t>REPowerEU</w:t>
      </w:r>
      <w:r w:rsidRPr="00003942">
        <w:rPr>
          <w:rFonts w:ascii="Times New Roman" w:hAnsi="Times New Roman" w:cs="Times New Roman"/>
          <w:color w:val="auto"/>
          <w:sz w:val="24"/>
          <w:szCs w:val="24"/>
        </w:rPr>
        <w:t>) i dodatno rasti.</w:t>
      </w:r>
    </w:p>
    <w:p w:rsidR="00DF7141" w:rsidRPr="00003942" w:rsidRDefault="00577EC5"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No, činjenica je </w:t>
      </w:r>
      <w:r w:rsidR="00BB78F5">
        <w:rPr>
          <w:rFonts w:ascii="Times New Roman" w:hAnsi="Times New Roman" w:cs="Times New Roman"/>
          <w:color w:val="auto"/>
          <w:sz w:val="24"/>
          <w:szCs w:val="24"/>
        </w:rPr>
        <w:t>da</w:t>
      </w:r>
      <w:r w:rsidRPr="00003942">
        <w:rPr>
          <w:rFonts w:ascii="Times New Roman" w:hAnsi="Times New Roman" w:cs="Times New Roman"/>
          <w:color w:val="auto"/>
          <w:sz w:val="24"/>
          <w:szCs w:val="24"/>
        </w:rPr>
        <w:t xml:space="preserve"> se</w:t>
      </w:r>
      <w:r w:rsidR="006144E1" w:rsidRPr="00F63D65">
        <w:rPr>
          <w:rFonts w:ascii="Times New Roman" w:hAnsi="Times New Roman" w:cs="Times New Roman"/>
          <w:color w:val="auto"/>
          <w:sz w:val="24"/>
          <w:szCs w:val="24"/>
        </w:rPr>
        <w:t xml:space="preserve"> n</w:t>
      </w:r>
      <w:r w:rsidR="00DF7141" w:rsidRPr="00F63D65">
        <w:rPr>
          <w:rFonts w:ascii="Times New Roman" w:hAnsi="Times New Roman" w:cs="Times New Roman"/>
          <w:color w:val="auto"/>
          <w:sz w:val="24"/>
          <w:szCs w:val="24"/>
        </w:rPr>
        <w:t xml:space="preserve">ositelji projekata OIE, osim tehničkih izazova, susreću </w:t>
      </w:r>
      <w:r w:rsidR="00DF7141" w:rsidRPr="00BB78F5">
        <w:rPr>
          <w:rFonts w:ascii="Times New Roman" w:hAnsi="Times New Roman" w:cs="Times New Roman"/>
          <w:color w:val="auto"/>
          <w:sz w:val="24"/>
          <w:szCs w:val="24"/>
        </w:rPr>
        <w:t xml:space="preserve">i sa </w:t>
      </w:r>
      <w:r w:rsidR="006144E1" w:rsidRPr="008609F9">
        <w:rPr>
          <w:rFonts w:ascii="Times New Roman" w:hAnsi="Times New Roman" w:cs="Times New Roman"/>
          <w:color w:val="auto"/>
          <w:sz w:val="24"/>
          <w:szCs w:val="24"/>
        </w:rPr>
        <w:t xml:space="preserve">nužnošću </w:t>
      </w:r>
      <w:r w:rsidR="00DF7141" w:rsidRPr="008609F9">
        <w:rPr>
          <w:rFonts w:ascii="Times New Roman" w:hAnsi="Times New Roman" w:cs="Times New Roman"/>
          <w:color w:val="auto"/>
          <w:sz w:val="24"/>
          <w:szCs w:val="24"/>
        </w:rPr>
        <w:t>zadovoljavanj</w:t>
      </w:r>
      <w:r w:rsidR="006144E1" w:rsidRPr="00387E05">
        <w:rPr>
          <w:rFonts w:ascii="Times New Roman" w:hAnsi="Times New Roman" w:cs="Times New Roman"/>
          <w:color w:val="auto"/>
          <w:sz w:val="24"/>
          <w:szCs w:val="24"/>
        </w:rPr>
        <w:t>a</w:t>
      </w:r>
      <w:r w:rsidR="00DF7141" w:rsidRPr="00387E05">
        <w:rPr>
          <w:rFonts w:ascii="Times New Roman" w:hAnsi="Times New Roman" w:cs="Times New Roman"/>
          <w:color w:val="auto"/>
          <w:sz w:val="24"/>
          <w:szCs w:val="24"/>
        </w:rPr>
        <w:t xml:space="preserve"> svih zakonsk</w:t>
      </w:r>
      <w:r w:rsidR="00DF7141" w:rsidRPr="0024150C">
        <w:rPr>
          <w:rFonts w:ascii="Times New Roman" w:hAnsi="Times New Roman" w:cs="Times New Roman"/>
          <w:color w:val="auto"/>
          <w:sz w:val="24"/>
          <w:szCs w:val="24"/>
        </w:rPr>
        <w:t>ih procedura kod ishođenja dozvola, suglasnosti i sklapanja ugovora, nerijetko s kontradiktornim informacijama</w:t>
      </w:r>
      <w:r w:rsidR="00DF7141" w:rsidRPr="00331C56">
        <w:rPr>
          <w:rFonts w:ascii="Times New Roman" w:hAnsi="Times New Roman" w:cs="Times New Roman"/>
          <w:color w:val="auto"/>
          <w:sz w:val="24"/>
          <w:szCs w:val="24"/>
        </w:rPr>
        <w:t xml:space="preserve">. Kašnjenje realizacije projekata u odnosu na donošenje zakonskog okvira vidljivo je prema rastu instaliranih kapaciteta, posebice vjetroelektrana i sunčanih elektrana. Razdoblje razvoja projekata vjetroelektrana i malih hidroelektrana iznosilo je devet godina </w:t>
      </w:r>
      <w:r w:rsidR="00DF7141" w:rsidRPr="00003942">
        <w:rPr>
          <w:rFonts w:ascii="Times New Roman" w:hAnsi="Times New Roman" w:cs="Times New Roman"/>
          <w:color w:val="auto"/>
          <w:sz w:val="24"/>
          <w:szCs w:val="24"/>
        </w:rPr>
        <w:fldChar w:fldCharType="begin"/>
      </w:r>
      <w:r w:rsidR="00DF7141" w:rsidRPr="00003942">
        <w:rPr>
          <w:rFonts w:ascii="Times New Roman" w:hAnsi="Times New Roman" w:cs="Times New Roman"/>
          <w:color w:val="auto"/>
          <w:sz w:val="24"/>
          <w:szCs w:val="24"/>
        </w:rPr>
        <w:instrText xml:space="preserve"> REF _Ref105083400 \r \h </w:instrText>
      </w:r>
      <w:r w:rsidR="002D7C87" w:rsidRPr="00003942">
        <w:rPr>
          <w:rFonts w:ascii="Times New Roman" w:hAnsi="Times New Roman" w:cs="Times New Roman"/>
          <w:color w:val="auto"/>
          <w:sz w:val="24"/>
          <w:szCs w:val="24"/>
        </w:rPr>
        <w:instrText xml:space="preserve"> \* MERGEFORMAT </w:instrText>
      </w:r>
      <w:r w:rsidR="00DF7141" w:rsidRPr="00003942">
        <w:rPr>
          <w:rFonts w:ascii="Times New Roman" w:hAnsi="Times New Roman" w:cs="Times New Roman"/>
          <w:color w:val="auto"/>
          <w:sz w:val="24"/>
          <w:szCs w:val="24"/>
        </w:rPr>
      </w:r>
      <w:r w:rsidR="00DF7141" w:rsidRPr="00003942">
        <w:rPr>
          <w:rFonts w:ascii="Times New Roman" w:hAnsi="Times New Roman" w:cs="Times New Roman"/>
          <w:color w:val="auto"/>
          <w:sz w:val="24"/>
          <w:szCs w:val="24"/>
        </w:rPr>
        <w:fldChar w:fldCharType="separate"/>
      </w:r>
      <w:r w:rsidR="009C3921">
        <w:rPr>
          <w:rFonts w:ascii="Times New Roman" w:hAnsi="Times New Roman" w:cs="Times New Roman"/>
          <w:color w:val="auto"/>
          <w:sz w:val="24"/>
          <w:szCs w:val="24"/>
        </w:rPr>
        <w:t>[6]</w:t>
      </w:r>
      <w:r w:rsidR="00DF7141" w:rsidRPr="00003942">
        <w:rPr>
          <w:rFonts w:ascii="Times New Roman" w:hAnsi="Times New Roman" w:cs="Times New Roman"/>
          <w:color w:val="auto"/>
          <w:sz w:val="24"/>
          <w:szCs w:val="24"/>
        </w:rPr>
        <w:fldChar w:fldCharType="end"/>
      </w:r>
      <w:r w:rsidR="00DF7141" w:rsidRPr="00003942">
        <w:rPr>
          <w:rFonts w:ascii="Times New Roman" w:hAnsi="Times New Roman" w:cs="Times New Roman"/>
          <w:color w:val="auto"/>
          <w:sz w:val="24"/>
          <w:szCs w:val="24"/>
        </w:rPr>
        <w:t>.</w:t>
      </w:r>
    </w:p>
    <w:p w:rsidR="003B479D" w:rsidRPr="003E2DBC"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Slično iskustvima drugih europskih zemalja, razvoj projekata OIE u </w:t>
      </w:r>
      <w:r w:rsidR="00355540" w:rsidRPr="00F63D65">
        <w:rPr>
          <w:rFonts w:ascii="Times New Roman" w:hAnsi="Times New Roman" w:cs="Times New Roman"/>
          <w:color w:val="auto"/>
          <w:sz w:val="24"/>
          <w:szCs w:val="24"/>
        </w:rPr>
        <w:t xml:space="preserve">Republici </w:t>
      </w:r>
      <w:r w:rsidRPr="00F63D65">
        <w:rPr>
          <w:rFonts w:ascii="Times New Roman" w:hAnsi="Times New Roman" w:cs="Times New Roman"/>
          <w:color w:val="auto"/>
          <w:sz w:val="24"/>
          <w:szCs w:val="24"/>
        </w:rPr>
        <w:t xml:space="preserve">Hrvatskoj odvija se sporije od </w:t>
      </w:r>
      <w:r w:rsidR="003B479D" w:rsidRPr="008609F9">
        <w:rPr>
          <w:rFonts w:ascii="Times New Roman" w:hAnsi="Times New Roman" w:cs="Times New Roman"/>
          <w:color w:val="auto"/>
          <w:sz w:val="24"/>
          <w:szCs w:val="24"/>
        </w:rPr>
        <w:t>željene dinamike</w:t>
      </w:r>
      <w:r w:rsidR="003B479D" w:rsidRPr="00387E05">
        <w:rPr>
          <w:rFonts w:ascii="Times New Roman" w:hAnsi="Times New Roman" w:cs="Times New Roman"/>
          <w:color w:val="auto"/>
          <w:sz w:val="24"/>
          <w:szCs w:val="24"/>
        </w:rPr>
        <w:t>, a najveće primjedbe investitora se od</w:t>
      </w:r>
      <w:r w:rsidR="003B479D" w:rsidRPr="00387E05">
        <w:rPr>
          <w:rFonts w:ascii="Times New Roman" w:hAnsi="Times New Roman" w:cs="Times New Roman"/>
          <w:color w:val="auto"/>
          <w:sz w:val="24"/>
          <w:szCs w:val="24"/>
        </w:rPr>
        <w:lastRenderedPageBreak/>
        <w:t>nose na</w:t>
      </w:r>
      <w:r w:rsidRPr="00331C56">
        <w:rPr>
          <w:rFonts w:ascii="Times New Roman" w:hAnsi="Times New Roman" w:cs="Times New Roman"/>
          <w:color w:val="auto"/>
          <w:sz w:val="24"/>
          <w:szCs w:val="24"/>
        </w:rPr>
        <w:t xml:space="preserve"> složene i dugotrajne administrativne </w:t>
      </w:r>
      <w:r w:rsidR="00BB78F5" w:rsidRPr="00331C56">
        <w:rPr>
          <w:rFonts w:ascii="Times New Roman" w:hAnsi="Times New Roman" w:cs="Times New Roman"/>
          <w:color w:val="auto"/>
          <w:sz w:val="24"/>
          <w:szCs w:val="24"/>
        </w:rPr>
        <w:t>p</w:t>
      </w:r>
      <w:r w:rsidR="00BB78F5">
        <w:rPr>
          <w:rFonts w:ascii="Times New Roman" w:hAnsi="Times New Roman" w:cs="Times New Roman"/>
          <w:color w:val="auto"/>
          <w:sz w:val="24"/>
          <w:szCs w:val="24"/>
        </w:rPr>
        <w:t>ostupke</w:t>
      </w:r>
      <w:r w:rsidRPr="00BB78F5">
        <w:rPr>
          <w:rFonts w:ascii="Times New Roman" w:hAnsi="Times New Roman" w:cs="Times New Roman"/>
          <w:color w:val="auto"/>
          <w:sz w:val="24"/>
          <w:szCs w:val="24"/>
        </w:rPr>
        <w:t>, neusklađenosti i česte promjene propisa.</w:t>
      </w:r>
      <w:r w:rsidR="003B479D" w:rsidRPr="00BB78F5">
        <w:rPr>
          <w:rFonts w:ascii="Times New Roman" w:hAnsi="Times New Roman" w:cs="Times New Roman"/>
          <w:color w:val="auto"/>
          <w:sz w:val="24"/>
          <w:szCs w:val="24"/>
        </w:rPr>
        <w:t xml:space="preserve"> U tom smislu može se </w:t>
      </w:r>
      <w:r w:rsidR="003E2DBC">
        <w:rPr>
          <w:rFonts w:ascii="Times New Roman" w:hAnsi="Times New Roman" w:cs="Times New Roman"/>
          <w:color w:val="auto"/>
          <w:sz w:val="24"/>
          <w:szCs w:val="24"/>
        </w:rPr>
        <w:t>zaključiti</w:t>
      </w:r>
      <w:r w:rsidR="003B479D" w:rsidRPr="00BB78F5">
        <w:rPr>
          <w:rFonts w:ascii="Times New Roman" w:hAnsi="Times New Roman" w:cs="Times New Roman"/>
          <w:color w:val="auto"/>
          <w:sz w:val="24"/>
          <w:szCs w:val="24"/>
        </w:rPr>
        <w:t xml:space="preserve"> da je slično stanje i na razini Eu</w:t>
      </w:r>
      <w:r w:rsidR="003B479D" w:rsidRPr="003E2DBC">
        <w:rPr>
          <w:rFonts w:ascii="Times New Roman" w:hAnsi="Times New Roman" w:cs="Times New Roman"/>
          <w:color w:val="auto"/>
          <w:sz w:val="24"/>
          <w:szCs w:val="24"/>
        </w:rPr>
        <w:t>ropske Unije. Naime</w:t>
      </w:r>
      <w:r w:rsidR="00596944">
        <w:rPr>
          <w:rFonts w:ascii="Times New Roman" w:hAnsi="Times New Roman" w:cs="Times New Roman"/>
          <w:color w:val="auto"/>
          <w:sz w:val="24"/>
          <w:szCs w:val="24"/>
        </w:rPr>
        <w:t>,</w:t>
      </w:r>
      <w:r w:rsidR="003B479D" w:rsidRPr="003E2DBC">
        <w:rPr>
          <w:rFonts w:ascii="Times New Roman" w:hAnsi="Times New Roman" w:cs="Times New Roman"/>
          <w:color w:val="auto"/>
          <w:sz w:val="24"/>
          <w:szCs w:val="24"/>
        </w:rPr>
        <w:t xml:space="preserve"> energetsko i okolišno zakonodavstvo ima visku dinamiku izmjena </w:t>
      </w:r>
      <w:r w:rsidR="003E2DBC">
        <w:rPr>
          <w:rFonts w:ascii="Times New Roman" w:hAnsi="Times New Roman" w:cs="Times New Roman"/>
          <w:color w:val="auto"/>
          <w:sz w:val="24"/>
          <w:szCs w:val="24"/>
        </w:rPr>
        <w:t>s ciljem</w:t>
      </w:r>
      <w:r w:rsidR="00596944">
        <w:rPr>
          <w:rFonts w:ascii="Times New Roman" w:hAnsi="Times New Roman" w:cs="Times New Roman"/>
          <w:color w:val="auto"/>
          <w:sz w:val="24"/>
          <w:szCs w:val="24"/>
        </w:rPr>
        <w:t xml:space="preserve"> </w:t>
      </w:r>
      <w:r w:rsidR="003B479D" w:rsidRPr="003E2DBC">
        <w:rPr>
          <w:rFonts w:ascii="Times New Roman" w:hAnsi="Times New Roman" w:cs="Times New Roman"/>
          <w:color w:val="auto"/>
          <w:sz w:val="24"/>
          <w:szCs w:val="24"/>
        </w:rPr>
        <w:t>ostvar</w:t>
      </w:r>
      <w:r w:rsidR="003E2DBC">
        <w:rPr>
          <w:rFonts w:ascii="Times New Roman" w:hAnsi="Times New Roman" w:cs="Times New Roman"/>
          <w:color w:val="auto"/>
          <w:sz w:val="24"/>
          <w:szCs w:val="24"/>
        </w:rPr>
        <w:t>enja</w:t>
      </w:r>
      <w:r w:rsidR="00596944">
        <w:rPr>
          <w:rFonts w:ascii="Times New Roman" w:hAnsi="Times New Roman" w:cs="Times New Roman"/>
          <w:color w:val="auto"/>
          <w:sz w:val="24"/>
          <w:szCs w:val="24"/>
        </w:rPr>
        <w:t xml:space="preserve"> </w:t>
      </w:r>
      <w:r w:rsidR="003B479D" w:rsidRPr="003E2DBC">
        <w:rPr>
          <w:rFonts w:ascii="Times New Roman" w:hAnsi="Times New Roman" w:cs="Times New Roman"/>
          <w:color w:val="auto"/>
          <w:sz w:val="24"/>
          <w:szCs w:val="24"/>
        </w:rPr>
        <w:t>okolišni</w:t>
      </w:r>
      <w:r w:rsidR="003E2DBC">
        <w:rPr>
          <w:rFonts w:ascii="Times New Roman" w:hAnsi="Times New Roman" w:cs="Times New Roman"/>
          <w:color w:val="auto"/>
          <w:sz w:val="24"/>
          <w:szCs w:val="24"/>
        </w:rPr>
        <w:t>h</w:t>
      </w:r>
      <w:r w:rsidR="003B479D" w:rsidRPr="003E2DBC">
        <w:rPr>
          <w:rFonts w:ascii="Times New Roman" w:hAnsi="Times New Roman" w:cs="Times New Roman"/>
          <w:color w:val="auto"/>
          <w:sz w:val="24"/>
          <w:szCs w:val="24"/>
        </w:rPr>
        <w:t xml:space="preserve"> ciljev</w:t>
      </w:r>
      <w:r w:rsidR="00EF40A6">
        <w:rPr>
          <w:rFonts w:ascii="Times New Roman" w:hAnsi="Times New Roman" w:cs="Times New Roman"/>
          <w:color w:val="auto"/>
          <w:sz w:val="24"/>
          <w:szCs w:val="24"/>
        </w:rPr>
        <w:t xml:space="preserve">a te dolazi do situacije gdje </w:t>
      </w:r>
      <w:r w:rsidR="003B479D" w:rsidRPr="003E2DBC">
        <w:rPr>
          <w:rFonts w:ascii="Times New Roman" w:hAnsi="Times New Roman" w:cs="Times New Roman"/>
          <w:color w:val="auto"/>
          <w:sz w:val="24"/>
          <w:szCs w:val="24"/>
        </w:rPr>
        <w:t>saznanja utjecaja pojedinih tehnologija na klimu i okoliš rastu</w:t>
      </w:r>
      <w:r w:rsidR="00EF40A6">
        <w:rPr>
          <w:rFonts w:ascii="Times New Roman" w:hAnsi="Times New Roman" w:cs="Times New Roman"/>
          <w:color w:val="auto"/>
          <w:sz w:val="24"/>
          <w:szCs w:val="24"/>
        </w:rPr>
        <w:t xml:space="preserve">, </w:t>
      </w:r>
      <w:r w:rsidR="003B479D" w:rsidRPr="003E2DBC">
        <w:rPr>
          <w:rFonts w:ascii="Times New Roman" w:hAnsi="Times New Roman" w:cs="Times New Roman"/>
          <w:color w:val="auto"/>
          <w:sz w:val="24"/>
          <w:szCs w:val="24"/>
        </w:rPr>
        <w:t>uvjeti korištenja energetskog potencijala postaju sve stroži</w:t>
      </w:r>
      <w:r w:rsidR="00DA23A1" w:rsidRPr="003E2DBC">
        <w:rPr>
          <w:rFonts w:ascii="Times New Roman" w:hAnsi="Times New Roman" w:cs="Times New Roman"/>
          <w:color w:val="auto"/>
          <w:sz w:val="24"/>
          <w:szCs w:val="24"/>
        </w:rPr>
        <w:t>,</w:t>
      </w:r>
      <w:r w:rsidR="00EF40A6">
        <w:rPr>
          <w:rFonts w:ascii="Times New Roman" w:hAnsi="Times New Roman" w:cs="Times New Roman"/>
          <w:color w:val="auto"/>
          <w:sz w:val="24"/>
          <w:szCs w:val="24"/>
        </w:rPr>
        <w:t xml:space="preserve"> </w:t>
      </w:r>
      <w:r w:rsidR="00596944">
        <w:rPr>
          <w:rFonts w:ascii="Times New Roman" w:hAnsi="Times New Roman" w:cs="Times New Roman"/>
          <w:color w:val="auto"/>
          <w:sz w:val="24"/>
          <w:szCs w:val="24"/>
        </w:rPr>
        <w:t>a</w:t>
      </w:r>
      <w:r w:rsidR="00DA23A1" w:rsidRPr="003E2DBC">
        <w:rPr>
          <w:rFonts w:ascii="Times New Roman" w:hAnsi="Times New Roman" w:cs="Times New Roman"/>
          <w:color w:val="auto"/>
          <w:sz w:val="24"/>
          <w:szCs w:val="24"/>
        </w:rPr>
        <w:t xml:space="preserve"> </w:t>
      </w:r>
      <w:r w:rsidR="003E2DBC">
        <w:rPr>
          <w:rFonts w:ascii="Times New Roman" w:hAnsi="Times New Roman" w:cs="Times New Roman"/>
          <w:color w:val="auto"/>
          <w:sz w:val="24"/>
          <w:szCs w:val="24"/>
        </w:rPr>
        <w:t>istovremeno</w:t>
      </w:r>
      <w:r w:rsidR="00DA23A1" w:rsidRPr="003E2DBC">
        <w:rPr>
          <w:rFonts w:ascii="Times New Roman" w:hAnsi="Times New Roman" w:cs="Times New Roman"/>
          <w:color w:val="auto"/>
          <w:sz w:val="24"/>
          <w:szCs w:val="24"/>
        </w:rPr>
        <w:t xml:space="preserve"> se očekuje brža instalacija novih kapaciteta.</w:t>
      </w:r>
    </w:p>
    <w:p w:rsidR="00577EC5" w:rsidRPr="003E2DBC" w:rsidRDefault="00577EC5" w:rsidP="002D7C87">
      <w:pPr>
        <w:pStyle w:val="Tijeloteksta"/>
        <w:rPr>
          <w:rFonts w:ascii="Times New Roman" w:hAnsi="Times New Roman" w:cs="Times New Roman"/>
          <w:color w:val="auto"/>
          <w:sz w:val="24"/>
          <w:szCs w:val="24"/>
        </w:rPr>
      </w:pPr>
      <w:r w:rsidRPr="003E2DBC">
        <w:rPr>
          <w:rFonts w:ascii="Times New Roman" w:hAnsi="Times New Roman" w:cs="Times New Roman"/>
          <w:color w:val="auto"/>
          <w:sz w:val="24"/>
          <w:szCs w:val="24"/>
        </w:rPr>
        <w:t xml:space="preserve">Cilj i ovog dokumenta je </w:t>
      </w:r>
      <w:r w:rsidR="009D090C" w:rsidRPr="003E2DBC">
        <w:rPr>
          <w:rFonts w:ascii="Times New Roman" w:hAnsi="Times New Roman" w:cs="Times New Roman"/>
          <w:color w:val="auto"/>
          <w:sz w:val="24"/>
          <w:szCs w:val="24"/>
        </w:rPr>
        <w:t xml:space="preserve">analiza stanja i prijedlog za </w:t>
      </w:r>
      <w:r w:rsidRPr="003E2DBC">
        <w:rPr>
          <w:rFonts w:ascii="Times New Roman" w:hAnsi="Times New Roman" w:cs="Times New Roman"/>
          <w:color w:val="auto"/>
          <w:sz w:val="24"/>
          <w:szCs w:val="24"/>
        </w:rPr>
        <w:t xml:space="preserve">ubrzanje </w:t>
      </w:r>
      <w:r w:rsidR="003E2DBC">
        <w:rPr>
          <w:rFonts w:ascii="Times New Roman" w:hAnsi="Times New Roman" w:cs="Times New Roman"/>
          <w:color w:val="auto"/>
          <w:sz w:val="24"/>
          <w:szCs w:val="24"/>
        </w:rPr>
        <w:t>postupaka</w:t>
      </w:r>
      <w:r w:rsidRPr="003E2DBC">
        <w:rPr>
          <w:rFonts w:ascii="Times New Roman" w:hAnsi="Times New Roman" w:cs="Times New Roman"/>
          <w:color w:val="auto"/>
          <w:sz w:val="24"/>
          <w:szCs w:val="24"/>
        </w:rPr>
        <w:t xml:space="preserve"> nužnih za bržu implementaciju projekata obnovljivih izvora energije. Dio tih aktivnosti vezan je i za smanjenje svih nepotrebnih opterećenja tijekom pripreme i provedbe projekata.</w:t>
      </w:r>
    </w:p>
    <w:p w:rsidR="00DF7141" w:rsidRPr="007F2688" w:rsidRDefault="003B479D" w:rsidP="002D7C87">
      <w:pPr>
        <w:pStyle w:val="Tijeloteksta"/>
        <w:rPr>
          <w:rFonts w:ascii="Times New Roman" w:hAnsi="Times New Roman" w:cs="Times New Roman"/>
          <w:color w:val="auto"/>
          <w:sz w:val="24"/>
          <w:szCs w:val="24"/>
        </w:rPr>
      </w:pPr>
      <w:r w:rsidRPr="003E2DBC">
        <w:rPr>
          <w:rFonts w:ascii="Times New Roman" w:hAnsi="Times New Roman" w:cs="Times New Roman"/>
          <w:color w:val="auto"/>
          <w:sz w:val="24"/>
          <w:szCs w:val="24"/>
        </w:rPr>
        <w:t xml:space="preserve">Osim navedenog postoje i određene </w:t>
      </w:r>
      <w:r w:rsidR="007F2688">
        <w:rPr>
          <w:rFonts w:ascii="Times New Roman" w:hAnsi="Times New Roman" w:cs="Times New Roman"/>
          <w:color w:val="auto"/>
          <w:sz w:val="24"/>
          <w:szCs w:val="24"/>
        </w:rPr>
        <w:t>karakteristike</w:t>
      </w:r>
      <w:r w:rsidRPr="003E2DBC">
        <w:rPr>
          <w:rFonts w:ascii="Times New Roman" w:hAnsi="Times New Roman" w:cs="Times New Roman"/>
          <w:color w:val="auto"/>
          <w:sz w:val="24"/>
          <w:szCs w:val="24"/>
        </w:rPr>
        <w:t xml:space="preserve"> vezane prvenstveno uz prostorni položaj Republike Hrvatske. </w:t>
      </w:r>
      <w:r w:rsidR="00DF7141" w:rsidRPr="003E2DBC">
        <w:rPr>
          <w:rFonts w:ascii="Times New Roman" w:hAnsi="Times New Roman" w:cs="Times New Roman"/>
          <w:color w:val="auto"/>
          <w:sz w:val="24"/>
          <w:szCs w:val="24"/>
        </w:rPr>
        <w:t>Primjerice, jedna od najznačajnijih prepreka vezana je za priključak na elektroenergetsku mr</w:t>
      </w:r>
      <w:r w:rsidR="00DF7141" w:rsidRPr="007F2688">
        <w:rPr>
          <w:rFonts w:ascii="Times New Roman" w:hAnsi="Times New Roman" w:cs="Times New Roman"/>
          <w:color w:val="auto"/>
          <w:sz w:val="24"/>
          <w:szCs w:val="24"/>
        </w:rPr>
        <w:t xml:space="preserve">ežu. </w:t>
      </w:r>
      <w:r w:rsidR="00355540" w:rsidRPr="007F2688">
        <w:rPr>
          <w:rFonts w:ascii="Times New Roman" w:hAnsi="Times New Roman" w:cs="Times New Roman"/>
          <w:color w:val="auto"/>
          <w:sz w:val="24"/>
          <w:szCs w:val="24"/>
        </w:rPr>
        <w:t>E</w:t>
      </w:r>
      <w:r w:rsidR="00DF7141" w:rsidRPr="007F2688">
        <w:rPr>
          <w:rFonts w:ascii="Times New Roman" w:hAnsi="Times New Roman" w:cs="Times New Roman"/>
          <w:color w:val="auto"/>
          <w:sz w:val="24"/>
          <w:szCs w:val="24"/>
        </w:rPr>
        <w:t xml:space="preserve">lektroenergetska mreža u </w:t>
      </w:r>
      <w:r w:rsidR="00355540" w:rsidRPr="007F2688">
        <w:rPr>
          <w:rFonts w:ascii="Times New Roman" w:hAnsi="Times New Roman" w:cs="Times New Roman"/>
          <w:color w:val="auto"/>
          <w:sz w:val="24"/>
          <w:szCs w:val="24"/>
        </w:rPr>
        <w:t xml:space="preserve">Republici </w:t>
      </w:r>
      <w:r w:rsidR="00DF7141" w:rsidRPr="007F2688">
        <w:rPr>
          <w:rFonts w:ascii="Times New Roman" w:hAnsi="Times New Roman" w:cs="Times New Roman"/>
          <w:color w:val="auto"/>
          <w:sz w:val="24"/>
          <w:szCs w:val="24"/>
        </w:rPr>
        <w:t xml:space="preserve">Hrvatskoj ima nekoliko </w:t>
      </w:r>
      <w:r w:rsidR="007F2688">
        <w:rPr>
          <w:rFonts w:ascii="Times New Roman" w:hAnsi="Times New Roman" w:cs="Times New Roman"/>
          <w:color w:val="auto"/>
          <w:sz w:val="24"/>
          <w:szCs w:val="24"/>
        </w:rPr>
        <w:t xml:space="preserve">karakteristika </w:t>
      </w:r>
      <w:r w:rsidR="00DF7141" w:rsidRPr="007F2688">
        <w:rPr>
          <w:rFonts w:ascii="Times New Roman" w:hAnsi="Times New Roman" w:cs="Times New Roman"/>
          <w:color w:val="auto"/>
          <w:sz w:val="24"/>
          <w:szCs w:val="24"/>
        </w:rPr>
        <w:t>koj</w:t>
      </w:r>
      <w:r w:rsidR="007F2688">
        <w:rPr>
          <w:rFonts w:ascii="Times New Roman" w:hAnsi="Times New Roman" w:cs="Times New Roman"/>
          <w:color w:val="auto"/>
          <w:sz w:val="24"/>
          <w:szCs w:val="24"/>
        </w:rPr>
        <w:t>e</w:t>
      </w:r>
      <w:r w:rsidR="00DF7141" w:rsidRPr="007F2688">
        <w:rPr>
          <w:rFonts w:ascii="Times New Roman" w:hAnsi="Times New Roman" w:cs="Times New Roman"/>
          <w:color w:val="auto"/>
          <w:sz w:val="24"/>
          <w:szCs w:val="24"/>
        </w:rPr>
        <w:t xml:space="preserve"> posebno otežavaju veću i bržu integraciju OIE, a to su:</w:t>
      </w:r>
    </w:p>
    <w:p w:rsidR="00DF7141" w:rsidRPr="008609F9" w:rsidRDefault="00DF7141" w:rsidP="00C05B1B">
      <w:pPr>
        <w:pStyle w:val="Tijeloteksta"/>
        <w:numPr>
          <w:ilvl w:val="0"/>
          <w:numId w:val="35"/>
        </w:numPr>
        <w:rPr>
          <w:rFonts w:ascii="Times New Roman" w:hAnsi="Times New Roman" w:cs="Times New Roman"/>
          <w:color w:val="auto"/>
          <w:sz w:val="24"/>
          <w:szCs w:val="24"/>
        </w:rPr>
      </w:pPr>
      <w:r w:rsidRPr="008609F9">
        <w:rPr>
          <w:rFonts w:ascii="Times New Roman" w:hAnsi="Times New Roman" w:cs="Times New Roman"/>
          <w:color w:val="auto"/>
          <w:sz w:val="24"/>
          <w:szCs w:val="24"/>
        </w:rPr>
        <w:t>nepovoljan oblik mreže</w:t>
      </w:r>
    </w:p>
    <w:p w:rsidR="00DF7141" w:rsidRPr="00387E05" w:rsidRDefault="00DF7141" w:rsidP="00C05B1B">
      <w:pPr>
        <w:pStyle w:val="Tijeloteksta"/>
        <w:numPr>
          <w:ilvl w:val="0"/>
          <w:numId w:val="35"/>
        </w:numPr>
        <w:rPr>
          <w:rFonts w:ascii="Times New Roman" w:hAnsi="Times New Roman" w:cs="Times New Roman"/>
          <w:color w:val="auto"/>
          <w:sz w:val="24"/>
          <w:szCs w:val="24"/>
        </w:rPr>
      </w:pPr>
      <w:r w:rsidRPr="00387E05">
        <w:rPr>
          <w:rFonts w:ascii="Times New Roman" w:hAnsi="Times New Roman" w:cs="Times New Roman"/>
          <w:color w:val="auto"/>
          <w:sz w:val="24"/>
          <w:szCs w:val="24"/>
        </w:rPr>
        <w:t>mala diverzificiranost lokacija OIE</w:t>
      </w:r>
    </w:p>
    <w:p w:rsidR="00DF7141" w:rsidRPr="00331C56" w:rsidRDefault="00DF7141" w:rsidP="00C05B1B">
      <w:pPr>
        <w:pStyle w:val="Tijeloteksta"/>
        <w:numPr>
          <w:ilvl w:val="0"/>
          <w:numId w:val="35"/>
        </w:numPr>
        <w:rPr>
          <w:rFonts w:ascii="Times New Roman" w:hAnsi="Times New Roman" w:cs="Times New Roman"/>
          <w:color w:val="auto"/>
          <w:sz w:val="24"/>
          <w:szCs w:val="24"/>
        </w:rPr>
      </w:pPr>
      <w:r w:rsidRPr="0024150C">
        <w:rPr>
          <w:rFonts w:ascii="Times New Roman" w:hAnsi="Times New Roman" w:cs="Times New Roman"/>
          <w:color w:val="auto"/>
          <w:sz w:val="24"/>
          <w:szCs w:val="24"/>
        </w:rPr>
        <w:t>starost mreže i</w:t>
      </w:r>
    </w:p>
    <w:p w:rsidR="00DF7141" w:rsidRPr="00331C56" w:rsidRDefault="00DF7141" w:rsidP="00C05B1B">
      <w:pPr>
        <w:pStyle w:val="Tijeloteksta"/>
        <w:numPr>
          <w:ilvl w:val="0"/>
          <w:numId w:val="35"/>
        </w:numPr>
        <w:rPr>
          <w:rFonts w:ascii="Times New Roman" w:hAnsi="Times New Roman" w:cs="Times New Roman"/>
          <w:color w:val="auto"/>
          <w:sz w:val="24"/>
          <w:szCs w:val="24"/>
        </w:rPr>
      </w:pPr>
      <w:r w:rsidRPr="00331C56">
        <w:rPr>
          <w:rFonts w:ascii="Times New Roman" w:hAnsi="Times New Roman" w:cs="Times New Roman"/>
          <w:color w:val="auto"/>
          <w:sz w:val="24"/>
          <w:szCs w:val="24"/>
        </w:rPr>
        <w:t xml:space="preserve">promjena strukture korisnika mreže. </w:t>
      </w:r>
    </w:p>
    <w:p w:rsidR="00DF7141" w:rsidRPr="007F2688" w:rsidRDefault="00DF7141" w:rsidP="002D7C87">
      <w:pPr>
        <w:pStyle w:val="Tijeloteksta"/>
        <w:rPr>
          <w:rFonts w:ascii="Times New Roman" w:hAnsi="Times New Roman" w:cs="Times New Roman"/>
          <w:color w:val="auto"/>
          <w:sz w:val="24"/>
          <w:szCs w:val="24"/>
        </w:rPr>
      </w:pPr>
      <w:r w:rsidRPr="00331C56">
        <w:rPr>
          <w:rFonts w:ascii="Times New Roman" w:hAnsi="Times New Roman" w:cs="Times New Roman"/>
          <w:color w:val="auto"/>
          <w:sz w:val="24"/>
          <w:szCs w:val="24"/>
        </w:rPr>
        <w:t xml:space="preserve">Jedan od najvećih problema predstavlja nepovoljna, longitudinalna topologija prijenosne mreže koja prati oblik države, s dva istaknuta kraka: istočni i južni, uz postojanje otočne veze, što je praktički jedinstven primjer u Europi. Drugim riječima, zbog </w:t>
      </w:r>
      <w:r w:rsidR="007F2688">
        <w:rPr>
          <w:rFonts w:ascii="Times New Roman" w:hAnsi="Times New Roman" w:cs="Times New Roman"/>
          <w:color w:val="auto"/>
          <w:sz w:val="24"/>
          <w:szCs w:val="24"/>
        </w:rPr>
        <w:t>karakterističnog</w:t>
      </w:r>
      <w:r w:rsidR="00355540" w:rsidRPr="007F2688">
        <w:rPr>
          <w:rFonts w:ascii="Times New Roman" w:hAnsi="Times New Roman" w:cs="Times New Roman"/>
          <w:color w:val="auto"/>
          <w:sz w:val="24"/>
          <w:szCs w:val="24"/>
        </w:rPr>
        <w:t xml:space="preserve"> </w:t>
      </w:r>
      <w:r w:rsidRPr="007F2688">
        <w:rPr>
          <w:rFonts w:ascii="Times New Roman" w:hAnsi="Times New Roman" w:cs="Times New Roman"/>
          <w:color w:val="auto"/>
          <w:sz w:val="24"/>
          <w:szCs w:val="24"/>
        </w:rPr>
        <w:t>oblika države prijenosna mreža</w:t>
      </w:r>
      <w:r w:rsidR="00355540" w:rsidRPr="007F2688">
        <w:rPr>
          <w:rFonts w:ascii="Times New Roman" w:hAnsi="Times New Roman" w:cs="Times New Roman"/>
          <w:color w:val="auto"/>
          <w:sz w:val="24"/>
          <w:szCs w:val="24"/>
        </w:rPr>
        <w:t xml:space="preserve"> u Republici</w:t>
      </w:r>
      <w:r w:rsidRPr="007F2688">
        <w:rPr>
          <w:rFonts w:ascii="Times New Roman" w:hAnsi="Times New Roman" w:cs="Times New Roman"/>
          <w:color w:val="auto"/>
          <w:sz w:val="24"/>
          <w:szCs w:val="24"/>
        </w:rPr>
        <w:t xml:space="preserve"> </w:t>
      </w:r>
      <w:r w:rsidR="00355540" w:rsidRPr="007F2688">
        <w:rPr>
          <w:rFonts w:ascii="Times New Roman" w:hAnsi="Times New Roman" w:cs="Times New Roman"/>
          <w:color w:val="auto"/>
          <w:sz w:val="24"/>
          <w:szCs w:val="24"/>
        </w:rPr>
        <w:t xml:space="preserve">Hrvatskoj </w:t>
      </w:r>
      <w:r w:rsidRPr="007F2688">
        <w:rPr>
          <w:rFonts w:ascii="Times New Roman" w:hAnsi="Times New Roman" w:cs="Times New Roman"/>
          <w:color w:val="auto"/>
          <w:sz w:val="24"/>
          <w:szCs w:val="24"/>
        </w:rPr>
        <w:t>najvišeg naponskog nivoa nema zatvorenu petlju, nego je više radijalnog karaktera, dok se petlja zatvara kroz susjednu BiH.</w:t>
      </w:r>
    </w:p>
    <w:p w:rsidR="00DF7141" w:rsidRPr="00B265E1" w:rsidRDefault="00DF7141" w:rsidP="002D7C87">
      <w:pPr>
        <w:pStyle w:val="Tijeloteksta"/>
        <w:rPr>
          <w:rFonts w:ascii="Times New Roman" w:hAnsi="Times New Roman" w:cs="Times New Roman"/>
          <w:color w:val="auto"/>
          <w:sz w:val="24"/>
          <w:szCs w:val="24"/>
        </w:rPr>
      </w:pPr>
      <w:r w:rsidRPr="008609F9">
        <w:rPr>
          <w:rFonts w:ascii="Times New Roman" w:hAnsi="Times New Roman" w:cs="Times New Roman"/>
          <w:color w:val="auto"/>
          <w:sz w:val="24"/>
          <w:szCs w:val="24"/>
        </w:rPr>
        <w:t xml:space="preserve">Dominantan broj projekata OIE razvija se na području Like, Dalmacije i dubrovačkog područja, što je dodatno nepovoljno za priključak zbog izrazito male </w:t>
      </w:r>
      <w:r w:rsidR="00B265E1">
        <w:rPr>
          <w:rFonts w:ascii="Times New Roman" w:hAnsi="Times New Roman" w:cs="Times New Roman"/>
          <w:color w:val="auto"/>
          <w:sz w:val="24"/>
          <w:szCs w:val="24"/>
        </w:rPr>
        <w:t>raznolikosti</w:t>
      </w:r>
      <w:r w:rsidR="00B265E1" w:rsidRPr="00B265E1">
        <w:rPr>
          <w:rFonts w:ascii="Times New Roman" w:hAnsi="Times New Roman" w:cs="Times New Roman"/>
          <w:color w:val="auto"/>
          <w:sz w:val="24"/>
          <w:szCs w:val="24"/>
        </w:rPr>
        <w:t xml:space="preserve"> </w:t>
      </w:r>
      <w:r w:rsidRPr="00B265E1">
        <w:rPr>
          <w:rFonts w:ascii="Times New Roman" w:hAnsi="Times New Roman" w:cs="Times New Roman"/>
          <w:color w:val="auto"/>
          <w:sz w:val="24"/>
          <w:szCs w:val="24"/>
        </w:rPr>
        <w:t>lokacija OIE.</w:t>
      </w:r>
    </w:p>
    <w:p w:rsidR="00DF7141" w:rsidRPr="0024150C" w:rsidRDefault="00DF7141" w:rsidP="002D7C87">
      <w:pPr>
        <w:pStyle w:val="Tijeloteksta"/>
        <w:rPr>
          <w:rFonts w:ascii="Times New Roman" w:hAnsi="Times New Roman" w:cs="Times New Roman"/>
          <w:color w:val="auto"/>
          <w:sz w:val="24"/>
          <w:szCs w:val="24"/>
        </w:rPr>
      </w:pPr>
      <w:r w:rsidRPr="008609F9">
        <w:rPr>
          <w:rFonts w:ascii="Times New Roman" w:hAnsi="Times New Roman" w:cs="Times New Roman"/>
          <w:color w:val="auto"/>
          <w:sz w:val="24"/>
          <w:szCs w:val="24"/>
        </w:rPr>
        <w:t xml:space="preserve">Dodatno, hrvatska prijenosna mreža je izrazito zastarjela, pri čemu je više od 61% vodova starije od očekivanog vijeka trajanja (40 godina). U svom godišnjem izvješću [15] HOPS je objavio da će 38 % vlastitih ukupnih ulaganja (768 mil.kn) biti utrošeno na revitalizaciju i rekonstrukciju postojeće mreže. Obnova zastarjele mreže vrlo je izazovan zadatak u </w:t>
      </w:r>
      <w:r w:rsidR="00355540" w:rsidRPr="00387E05">
        <w:rPr>
          <w:rFonts w:ascii="Times New Roman" w:hAnsi="Times New Roman" w:cs="Times New Roman"/>
          <w:color w:val="auto"/>
          <w:sz w:val="24"/>
          <w:szCs w:val="24"/>
        </w:rPr>
        <w:t xml:space="preserve">Republici </w:t>
      </w:r>
      <w:r w:rsidRPr="0024150C">
        <w:rPr>
          <w:rFonts w:ascii="Times New Roman" w:hAnsi="Times New Roman" w:cs="Times New Roman"/>
          <w:color w:val="auto"/>
          <w:sz w:val="24"/>
          <w:szCs w:val="24"/>
        </w:rPr>
        <w:t>Hrvatskoj.</w:t>
      </w:r>
    </w:p>
    <w:p w:rsidR="00DA23A1" w:rsidRPr="00596944" w:rsidRDefault="00DF7141" w:rsidP="00431232">
      <w:pPr>
        <w:pStyle w:val="Tijeloteksta"/>
        <w:rPr>
          <w:rFonts w:ascii="Times New Roman" w:hAnsi="Times New Roman" w:cs="Times New Roman"/>
          <w:color w:val="auto"/>
          <w:sz w:val="24"/>
          <w:szCs w:val="24"/>
        </w:rPr>
      </w:pPr>
      <w:r w:rsidRPr="00331C56">
        <w:rPr>
          <w:rFonts w:ascii="Times New Roman" w:hAnsi="Times New Roman" w:cs="Times New Roman"/>
          <w:color w:val="auto"/>
          <w:sz w:val="24"/>
          <w:szCs w:val="24"/>
        </w:rPr>
        <w:t xml:space="preserve">Konačno, važan aspekt predstavlja i činjenica da je elektroenergetska mreža bila </w:t>
      </w:r>
      <w:r w:rsidR="00B265E1">
        <w:rPr>
          <w:rFonts w:ascii="Times New Roman" w:hAnsi="Times New Roman" w:cs="Times New Roman"/>
          <w:color w:val="auto"/>
          <w:sz w:val="24"/>
          <w:szCs w:val="24"/>
        </w:rPr>
        <w:t xml:space="preserve">prvotno </w:t>
      </w:r>
      <w:r w:rsidRPr="00B265E1">
        <w:rPr>
          <w:rFonts w:ascii="Times New Roman" w:hAnsi="Times New Roman" w:cs="Times New Roman"/>
          <w:color w:val="auto"/>
          <w:sz w:val="24"/>
          <w:szCs w:val="24"/>
        </w:rPr>
        <w:t>projektirana za velike industrijske potrošače i velike proizvodne jedinice, dok je danas struktura korisnika mreže značajno izmijenjena. Pojavljuje se sve više manjih proizvodnih jedinica često u pasivnim krajevima udaljenim od većih naselja, a većina velikih kupaca je</w:t>
      </w:r>
      <w:r w:rsidR="00B265E1">
        <w:rPr>
          <w:rFonts w:ascii="Times New Roman" w:hAnsi="Times New Roman" w:cs="Times New Roman"/>
          <w:color w:val="auto"/>
          <w:sz w:val="24"/>
          <w:szCs w:val="24"/>
        </w:rPr>
        <w:t xml:space="preserve"> uvelike</w:t>
      </w:r>
      <w:r w:rsidRPr="00B265E1">
        <w:rPr>
          <w:rFonts w:ascii="Times New Roman" w:hAnsi="Times New Roman" w:cs="Times New Roman"/>
          <w:color w:val="auto"/>
          <w:sz w:val="24"/>
          <w:szCs w:val="24"/>
        </w:rPr>
        <w:t xml:space="preserve"> smanjila potrošnju električne energije zbog pada industrijske proizvodnje, uz značajan rast potrošnje u sektoru usluga. Sve navedeno uvjetuje nužne promjene u topologiji, što </w:t>
      </w:r>
      <w:r w:rsidR="00B265E1">
        <w:rPr>
          <w:rFonts w:ascii="Times New Roman" w:hAnsi="Times New Roman" w:cs="Times New Roman"/>
          <w:color w:val="auto"/>
          <w:sz w:val="24"/>
          <w:szCs w:val="24"/>
        </w:rPr>
        <w:t>predstavlja</w:t>
      </w:r>
      <w:r w:rsidRPr="00B265E1">
        <w:rPr>
          <w:rFonts w:ascii="Times New Roman" w:hAnsi="Times New Roman" w:cs="Times New Roman"/>
          <w:color w:val="auto"/>
          <w:sz w:val="24"/>
          <w:szCs w:val="24"/>
        </w:rPr>
        <w:t xml:space="preserve"> dodatni izazov koji se pojavljuje </w:t>
      </w:r>
      <w:r w:rsidR="00B265E1">
        <w:rPr>
          <w:rFonts w:ascii="Times New Roman" w:hAnsi="Times New Roman" w:cs="Times New Roman"/>
          <w:color w:val="auto"/>
          <w:sz w:val="24"/>
          <w:szCs w:val="24"/>
        </w:rPr>
        <w:t>istovremeno</w:t>
      </w:r>
      <w:r w:rsidR="00B265E1" w:rsidRPr="00B265E1">
        <w:rPr>
          <w:rFonts w:ascii="Times New Roman" w:hAnsi="Times New Roman" w:cs="Times New Roman"/>
          <w:color w:val="auto"/>
          <w:sz w:val="24"/>
          <w:szCs w:val="24"/>
        </w:rPr>
        <w:t xml:space="preserve"> </w:t>
      </w:r>
      <w:r w:rsidRPr="00B265E1">
        <w:rPr>
          <w:rFonts w:ascii="Times New Roman" w:hAnsi="Times New Roman" w:cs="Times New Roman"/>
          <w:color w:val="auto"/>
          <w:sz w:val="24"/>
          <w:szCs w:val="24"/>
        </w:rPr>
        <w:t xml:space="preserve">s velikom integracijom OIE. </w:t>
      </w:r>
      <w:bookmarkStart w:id="212" w:name="_Toc105137867"/>
    </w:p>
    <w:p w:rsidR="00DF7141" w:rsidRPr="00E93869" w:rsidRDefault="00DF7141" w:rsidP="00FC271C">
      <w:pPr>
        <w:pStyle w:val="Naslov3"/>
        <w:numPr>
          <w:ilvl w:val="0"/>
          <w:numId w:val="0"/>
        </w:numPr>
        <w:ind w:left="1003"/>
      </w:pPr>
      <w:bookmarkStart w:id="213" w:name="_Toc105756676"/>
      <w:bookmarkStart w:id="214" w:name="_Toc105756861"/>
      <w:bookmarkStart w:id="215" w:name="_Toc105757040"/>
      <w:bookmarkStart w:id="216" w:name="_Toc105763457"/>
      <w:bookmarkStart w:id="217" w:name="_Toc105756677"/>
      <w:bookmarkStart w:id="218" w:name="_Toc105973472"/>
      <w:bookmarkEnd w:id="213"/>
      <w:bookmarkEnd w:id="214"/>
      <w:bookmarkEnd w:id="215"/>
      <w:bookmarkEnd w:id="216"/>
      <w:r w:rsidRPr="00E93869">
        <w:lastRenderedPageBreak/>
        <w:t>Prepoznate prepreke u razvoju OIE</w:t>
      </w:r>
      <w:bookmarkEnd w:id="212"/>
      <w:bookmarkEnd w:id="217"/>
      <w:bookmarkEnd w:id="218"/>
    </w:p>
    <w:p w:rsidR="00DF7141" w:rsidRPr="008609F9" w:rsidRDefault="00DF7141" w:rsidP="002D7C87">
      <w:pPr>
        <w:pStyle w:val="Tijeloteksta"/>
        <w:rPr>
          <w:rFonts w:ascii="Times New Roman" w:hAnsi="Times New Roman" w:cs="Times New Roman"/>
          <w:color w:val="auto"/>
          <w:sz w:val="24"/>
          <w:szCs w:val="24"/>
        </w:rPr>
      </w:pPr>
      <w:r w:rsidRPr="00387E05">
        <w:rPr>
          <w:rFonts w:ascii="Times New Roman" w:hAnsi="Times New Roman" w:cs="Times New Roman"/>
          <w:color w:val="auto"/>
          <w:sz w:val="24"/>
          <w:szCs w:val="24"/>
        </w:rPr>
        <w:t>Prepreke u razvoju projekata OIE definirane su na temelju važeć</w:t>
      </w:r>
      <w:r w:rsidR="00B265E1">
        <w:rPr>
          <w:rFonts w:ascii="Times New Roman" w:hAnsi="Times New Roman" w:cs="Times New Roman"/>
          <w:color w:val="auto"/>
          <w:sz w:val="24"/>
          <w:szCs w:val="24"/>
        </w:rPr>
        <w:t>ih</w:t>
      </w:r>
      <w:r w:rsidRPr="00B265E1">
        <w:rPr>
          <w:rFonts w:ascii="Times New Roman" w:hAnsi="Times New Roman" w:cs="Times New Roman"/>
          <w:color w:val="auto"/>
          <w:sz w:val="24"/>
          <w:szCs w:val="24"/>
        </w:rPr>
        <w:t xml:space="preserve"> administrativn</w:t>
      </w:r>
      <w:r w:rsidR="00B265E1">
        <w:rPr>
          <w:rFonts w:ascii="Times New Roman" w:hAnsi="Times New Roman" w:cs="Times New Roman"/>
          <w:color w:val="auto"/>
          <w:sz w:val="24"/>
          <w:szCs w:val="24"/>
        </w:rPr>
        <w:t>ih</w:t>
      </w:r>
      <w:r w:rsidRPr="00B265E1">
        <w:rPr>
          <w:rFonts w:ascii="Times New Roman" w:hAnsi="Times New Roman" w:cs="Times New Roman"/>
          <w:color w:val="auto"/>
          <w:sz w:val="24"/>
          <w:szCs w:val="24"/>
        </w:rPr>
        <w:t xml:space="preserve"> p</w:t>
      </w:r>
      <w:r w:rsidR="00B265E1">
        <w:rPr>
          <w:rFonts w:ascii="Times New Roman" w:hAnsi="Times New Roman" w:cs="Times New Roman"/>
          <w:color w:val="auto"/>
          <w:sz w:val="24"/>
          <w:szCs w:val="24"/>
        </w:rPr>
        <w:t>ostupaka</w:t>
      </w:r>
      <w:r w:rsidRPr="00B265E1">
        <w:rPr>
          <w:rFonts w:ascii="Times New Roman" w:hAnsi="Times New Roman" w:cs="Times New Roman"/>
          <w:color w:val="auto"/>
          <w:sz w:val="24"/>
          <w:szCs w:val="24"/>
        </w:rPr>
        <w:t xml:space="preserve"> i iskustava pojedinih dionika u razvoju projekata OIE. Prepreke su podijeljene u 9 ključnih grupa prema redoslijedu u postupku razvoja projekata OIE:</w:t>
      </w:r>
    </w:p>
    <w:p w:rsidR="00DF7141" w:rsidRPr="00331C56" w:rsidRDefault="00DF7141" w:rsidP="00C05B1B">
      <w:pPr>
        <w:pStyle w:val="BodyLista"/>
        <w:numPr>
          <w:ilvl w:val="0"/>
          <w:numId w:val="34"/>
        </w:numPr>
        <w:rPr>
          <w:rFonts w:ascii="Times New Roman" w:hAnsi="Times New Roman" w:cs="Times New Roman"/>
          <w:smallCaps/>
          <w:color w:val="auto"/>
          <w:sz w:val="24"/>
          <w:szCs w:val="24"/>
        </w:rPr>
      </w:pPr>
      <w:r w:rsidRPr="0024150C">
        <w:rPr>
          <w:rFonts w:ascii="Times New Roman" w:hAnsi="Times New Roman" w:cs="Times New Roman"/>
          <w:color w:val="auto"/>
          <w:sz w:val="24"/>
          <w:szCs w:val="24"/>
        </w:rPr>
        <w:t>Prostorno uređenje</w:t>
      </w:r>
    </w:p>
    <w:p w:rsidR="00DF7141" w:rsidRPr="00331C56" w:rsidRDefault="00DF7141" w:rsidP="00C05B1B">
      <w:pPr>
        <w:pStyle w:val="BodyLista"/>
        <w:numPr>
          <w:ilvl w:val="0"/>
          <w:numId w:val="34"/>
        </w:numPr>
        <w:rPr>
          <w:rFonts w:ascii="Times New Roman" w:hAnsi="Times New Roman" w:cs="Times New Roman"/>
          <w:smallCaps/>
          <w:color w:val="auto"/>
          <w:sz w:val="24"/>
          <w:szCs w:val="24"/>
        </w:rPr>
      </w:pPr>
      <w:r w:rsidRPr="00331C56">
        <w:rPr>
          <w:rFonts w:ascii="Times New Roman" w:hAnsi="Times New Roman" w:cs="Times New Roman"/>
          <w:color w:val="auto"/>
          <w:sz w:val="24"/>
          <w:szCs w:val="24"/>
        </w:rPr>
        <w:t>Utjecaj na okoliš i prirodu</w:t>
      </w:r>
    </w:p>
    <w:p w:rsidR="00DF7141" w:rsidRPr="00222A78" w:rsidRDefault="00DF7141" w:rsidP="00C05B1B">
      <w:pPr>
        <w:pStyle w:val="BodyLista"/>
        <w:numPr>
          <w:ilvl w:val="0"/>
          <w:numId w:val="34"/>
        </w:numPr>
        <w:rPr>
          <w:rFonts w:ascii="Times New Roman" w:hAnsi="Times New Roman" w:cs="Times New Roman"/>
          <w:smallCaps/>
          <w:color w:val="auto"/>
          <w:sz w:val="24"/>
          <w:szCs w:val="24"/>
        </w:rPr>
      </w:pPr>
      <w:r w:rsidRPr="00331C56">
        <w:rPr>
          <w:rFonts w:ascii="Times New Roman" w:hAnsi="Times New Roman" w:cs="Times New Roman"/>
          <w:color w:val="auto"/>
          <w:sz w:val="24"/>
          <w:szCs w:val="24"/>
        </w:rPr>
        <w:t>Ishođenje dozvola i rješenja prema ZoTEE i ZoOIEVK</w:t>
      </w:r>
    </w:p>
    <w:p w:rsidR="00DF7141" w:rsidRPr="00222A78" w:rsidRDefault="00DF7141" w:rsidP="00C05B1B">
      <w:pPr>
        <w:pStyle w:val="BodyLista"/>
        <w:numPr>
          <w:ilvl w:val="0"/>
          <w:numId w:val="34"/>
        </w:numPr>
        <w:rPr>
          <w:rFonts w:ascii="Times New Roman" w:hAnsi="Times New Roman" w:cs="Times New Roman"/>
          <w:smallCaps/>
          <w:color w:val="auto"/>
          <w:sz w:val="24"/>
          <w:szCs w:val="24"/>
        </w:rPr>
      </w:pPr>
      <w:r w:rsidRPr="00222A78">
        <w:rPr>
          <w:rFonts w:ascii="Times New Roman" w:hAnsi="Times New Roman" w:cs="Times New Roman"/>
          <w:color w:val="auto"/>
          <w:sz w:val="24"/>
          <w:szCs w:val="24"/>
        </w:rPr>
        <w:t>Priključak na elektroenergetsku mrežu</w:t>
      </w:r>
    </w:p>
    <w:p w:rsidR="00DF7141" w:rsidRPr="00192851" w:rsidRDefault="00DF7141" w:rsidP="00C05B1B">
      <w:pPr>
        <w:pStyle w:val="BodyLista"/>
        <w:numPr>
          <w:ilvl w:val="0"/>
          <w:numId w:val="34"/>
        </w:numPr>
        <w:rPr>
          <w:rFonts w:ascii="Times New Roman" w:hAnsi="Times New Roman" w:cs="Times New Roman"/>
          <w:smallCaps/>
          <w:color w:val="auto"/>
          <w:sz w:val="24"/>
          <w:szCs w:val="24"/>
        </w:rPr>
      </w:pPr>
      <w:r w:rsidRPr="00192851">
        <w:rPr>
          <w:rFonts w:ascii="Times New Roman" w:hAnsi="Times New Roman" w:cs="Times New Roman"/>
          <w:color w:val="auto"/>
          <w:sz w:val="24"/>
          <w:szCs w:val="24"/>
        </w:rPr>
        <w:t>Potrošnja energije iz obnovljivih izvora iz vlastite proizvodnje</w:t>
      </w:r>
    </w:p>
    <w:p w:rsidR="00DF7141" w:rsidRPr="00003942" w:rsidRDefault="00DF7141" w:rsidP="00C05B1B">
      <w:pPr>
        <w:pStyle w:val="BodyLista"/>
        <w:numPr>
          <w:ilvl w:val="0"/>
          <w:numId w:val="34"/>
        </w:numPr>
        <w:rPr>
          <w:rFonts w:ascii="Times New Roman" w:hAnsi="Times New Roman" w:cs="Times New Roman"/>
          <w:smallCaps/>
          <w:color w:val="auto"/>
          <w:sz w:val="24"/>
          <w:szCs w:val="24"/>
        </w:rPr>
      </w:pPr>
      <w:r w:rsidRPr="00003942">
        <w:rPr>
          <w:rFonts w:ascii="Times New Roman" w:hAnsi="Times New Roman" w:cs="Times New Roman"/>
          <w:color w:val="auto"/>
          <w:sz w:val="24"/>
          <w:szCs w:val="24"/>
        </w:rPr>
        <w:t>Zajednice energije iz obnovljivih izvora</w:t>
      </w:r>
    </w:p>
    <w:p w:rsidR="00DF7141" w:rsidRPr="00003942" w:rsidRDefault="00DF7141" w:rsidP="00C05B1B">
      <w:pPr>
        <w:pStyle w:val="BodyLista"/>
        <w:numPr>
          <w:ilvl w:val="0"/>
          <w:numId w:val="34"/>
        </w:numPr>
        <w:rPr>
          <w:rFonts w:ascii="Times New Roman" w:hAnsi="Times New Roman" w:cs="Times New Roman"/>
          <w:smallCaps/>
          <w:color w:val="auto"/>
          <w:sz w:val="24"/>
          <w:szCs w:val="24"/>
        </w:rPr>
      </w:pPr>
      <w:r w:rsidRPr="00003942">
        <w:rPr>
          <w:rFonts w:ascii="Times New Roman" w:hAnsi="Times New Roman" w:cs="Times New Roman"/>
          <w:color w:val="auto"/>
          <w:sz w:val="24"/>
          <w:szCs w:val="24"/>
        </w:rPr>
        <w:t>Ostali postupci u</w:t>
      </w:r>
      <w:r w:rsidRPr="00003942">
        <w:rPr>
          <w:rFonts w:ascii="Times New Roman" w:hAnsi="Times New Roman" w:cs="Times New Roman"/>
          <w:smallCaps/>
          <w:color w:val="auto"/>
          <w:sz w:val="24"/>
          <w:szCs w:val="24"/>
        </w:rPr>
        <w:t xml:space="preserve"> </w:t>
      </w:r>
      <w:r w:rsidRPr="00003942">
        <w:rPr>
          <w:rFonts w:ascii="Times New Roman" w:hAnsi="Times New Roman" w:cs="Times New Roman"/>
          <w:color w:val="auto"/>
          <w:sz w:val="24"/>
          <w:szCs w:val="24"/>
        </w:rPr>
        <w:t>proceduri</w:t>
      </w:r>
    </w:p>
    <w:p w:rsidR="005B7182" w:rsidRPr="00003942" w:rsidRDefault="005B7182" w:rsidP="00C05B1B">
      <w:pPr>
        <w:pStyle w:val="BodyLista"/>
        <w:numPr>
          <w:ilvl w:val="0"/>
          <w:numId w:val="34"/>
        </w:numPr>
        <w:rPr>
          <w:rFonts w:ascii="Times New Roman" w:hAnsi="Times New Roman" w:cs="Times New Roman"/>
          <w:smallCaps/>
          <w:color w:val="auto"/>
          <w:sz w:val="24"/>
          <w:szCs w:val="24"/>
        </w:rPr>
      </w:pPr>
      <w:r w:rsidRPr="00003942">
        <w:rPr>
          <w:rFonts w:ascii="Times New Roman" w:hAnsi="Times New Roman" w:cs="Times New Roman"/>
          <w:color w:val="auto"/>
          <w:sz w:val="24"/>
          <w:szCs w:val="24"/>
        </w:rPr>
        <w:t>Registar</w:t>
      </w:r>
      <w:r w:rsidRPr="00003942">
        <w:rPr>
          <w:rFonts w:ascii="Times New Roman" w:hAnsi="Times New Roman" w:cs="Times New Roman"/>
          <w:smallCaps/>
          <w:color w:val="auto"/>
          <w:sz w:val="24"/>
          <w:szCs w:val="24"/>
        </w:rPr>
        <w:t xml:space="preserve"> OIEKPP</w:t>
      </w:r>
    </w:p>
    <w:p w:rsidR="00DF7141" w:rsidRPr="00003942" w:rsidRDefault="00DF7141" w:rsidP="00C05B1B">
      <w:pPr>
        <w:pStyle w:val="BodyLista"/>
        <w:numPr>
          <w:ilvl w:val="0"/>
          <w:numId w:val="34"/>
        </w:numPr>
        <w:rPr>
          <w:rFonts w:ascii="Times New Roman" w:hAnsi="Times New Roman" w:cs="Times New Roman"/>
          <w:smallCaps/>
          <w:color w:val="auto"/>
          <w:sz w:val="24"/>
          <w:szCs w:val="24"/>
        </w:rPr>
      </w:pPr>
      <w:r w:rsidRPr="00003942">
        <w:rPr>
          <w:rFonts w:ascii="Times New Roman" w:hAnsi="Times New Roman" w:cs="Times New Roman"/>
          <w:color w:val="auto"/>
          <w:sz w:val="24"/>
          <w:szCs w:val="24"/>
        </w:rPr>
        <w:t>Usklađenost propisa</w:t>
      </w:r>
    </w:p>
    <w:p w:rsidR="00DF7141" w:rsidRPr="00003942" w:rsidRDefault="00EA151A" w:rsidP="002D7C87">
      <w:pPr>
        <w:pStyle w:val="Tijeloteksta"/>
        <w:rPr>
          <w:rFonts w:ascii="Times New Roman" w:hAnsi="Times New Roman" w:cs="Times New Roman"/>
          <w:color w:val="auto"/>
          <w:sz w:val="24"/>
          <w:szCs w:val="24"/>
        </w:rPr>
      </w:pPr>
      <w:r w:rsidRPr="007923E6">
        <w:rPr>
          <w:rFonts w:ascii="Times New Roman" w:hAnsi="Times New Roman" w:cs="Times New Roman"/>
          <w:sz w:val="24"/>
          <w:szCs w:val="24"/>
        </w:rPr>
        <w:t xml:space="preserve">Navedene prepreke velikim su dijelom nastale i zbog nedovoljnih administrativnih kapaciteta kojima trenutno raspolažu tijela u sustavu. Ovaj problem vidljiv je već i prilikom praćenja i primjene EU </w:t>
      </w:r>
      <w:r w:rsidR="001639AA" w:rsidRPr="007923E6">
        <w:rPr>
          <w:rFonts w:ascii="Times New Roman" w:hAnsi="Times New Roman" w:cs="Times New Roman"/>
          <w:sz w:val="24"/>
          <w:szCs w:val="24"/>
        </w:rPr>
        <w:t>politike</w:t>
      </w:r>
      <w:r w:rsidRPr="007923E6">
        <w:rPr>
          <w:rFonts w:ascii="Times New Roman" w:hAnsi="Times New Roman" w:cs="Times New Roman"/>
          <w:sz w:val="24"/>
          <w:szCs w:val="24"/>
        </w:rPr>
        <w:t>, a često se problem nedovoljne kapacitiranosti tijela prelijeva i na sustave kojima se rješavaju određeni upravni i neupravni postupci nužni za razvoj i primjenu projekata vezanih uz obnovljive izvore energije. Zbog toga je važno obratiti posebnu pozornost na kapacitiranje tijela čime će se ubrzati procedure ne dovodeći u pitanje zakonodavne i okolišne aspekte koje svaki projekt obnovljivih izvora energije mora zadovoljiti. Ovaj problem uočen je u svim tijelima u sustavu i nužno ga je sistematski riješiti.</w:t>
      </w:r>
    </w:p>
    <w:p w:rsidR="00DF7141" w:rsidRPr="004B780F" w:rsidRDefault="00431232" w:rsidP="00C90729">
      <w:pPr>
        <w:pStyle w:val="Naslov2"/>
      </w:pPr>
      <w:bookmarkStart w:id="219" w:name="_Toc105756678"/>
      <w:bookmarkStart w:id="220" w:name="_Toc105756863"/>
      <w:bookmarkStart w:id="221" w:name="_Toc105757042"/>
      <w:bookmarkStart w:id="222" w:name="_Toc105763459"/>
      <w:bookmarkStart w:id="223" w:name="_Toc105756679"/>
      <w:bookmarkStart w:id="224" w:name="_Toc105756864"/>
      <w:bookmarkStart w:id="225" w:name="_Toc105757043"/>
      <w:bookmarkStart w:id="226" w:name="_Toc105763460"/>
      <w:bookmarkStart w:id="227" w:name="_Toc105756680"/>
      <w:bookmarkStart w:id="228" w:name="_Toc105756865"/>
      <w:bookmarkStart w:id="229" w:name="_Toc105757044"/>
      <w:bookmarkStart w:id="230" w:name="_Toc105763461"/>
      <w:bookmarkStart w:id="231" w:name="_Toc105756681"/>
      <w:bookmarkStart w:id="232" w:name="_Toc105756866"/>
      <w:bookmarkStart w:id="233" w:name="_Toc105757045"/>
      <w:bookmarkStart w:id="234" w:name="_Toc105763462"/>
      <w:bookmarkStart w:id="235" w:name="_Toc105396312"/>
      <w:bookmarkStart w:id="236" w:name="_Toc105396417"/>
      <w:bookmarkStart w:id="237" w:name="_Toc105756682"/>
      <w:bookmarkStart w:id="238" w:name="_Toc105756867"/>
      <w:bookmarkStart w:id="239" w:name="_Toc105757046"/>
      <w:bookmarkStart w:id="240" w:name="_Toc105763463"/>
      <w:bookmarkStart w:id="241" w:name="_Toc105396313"/>
      <w:bookmarkStart w:id="242" w:name="_Toc105396418"/>
      <w:bookmarkStart w:id="243" w:name="_Toc105756683"/>
      <w:bookmarkStart w:id="244" w:name="_Toc105756868"/>
      <w:bookmarkStart w:id="245" w:name="_Toc105757047"/>
      <w:bookmarkStart w:id="246" w:name="_Toc105763464"/>
      <w:bookmarkStart w:id="247" w:name="_Toc105396314"/>
      <w:bookmarkStart w:id="248" w:name="_Toc105396419"/>
      <w:bookmarkStart w:id="249" w:name="_Toc105756684"/>
      <w:bookmarkStart w:id="250" w:name="_Toc105756869"/>
      <w:bookmarkStart w:id="251" w:name="_Toc105757048"/>
      <w:bookmarkStart w:id="252" w:name="_Toc105763465"/>
      <w:bookmarkStart w:id="253" w:name="_Toc105396315"/>
      <w:bookmarkStart w:id="254" w:name="_Toc105396420"/>
      <w:bookmarkStart w:id="255" w:name="_Toc105756685"/>
      <w:bookmarkStart w:id="256" w:name="_Toc105756870"/>
      <w:bookmarkStart w:id="257" w:name="_Toc105757049"/>
      <w:bookmarkStart w:id="258" w:name="_Toc105763466"/>
      <w:bookmarkStart w:id="259" w:name="_Toc105396316"/>
      <w:bookmarkStart w:id="260" w:name="_Toc105396421"/>
      <w:bookmarkStart w:id="261" w:name="_Toc105756686"/>
      <w:bookmarkStart w:id="262" w:name="_Toc105756871"/>
      <w:bookmarkStart w:id="263" w:name="_Toc105757050"/>
      <w:bookmarkStart w:id="264" w:name="_Toc105763467"/>
      <w:bookmarkStart w:id="265" w:name="_Toc105396317"/>
      <w:bookmarkStart w:id="266" w:name="_Toc105396422"/>
      <w:bookmarkStart w:id="267" w:name="_Toc105756687"/>
      <w:bookmarkStart w:id="268" w:name="_Toc105756872"/>
      <w:bookmarkStart w:id="269" w:name="_Toc105757051"/>
      <w:bookmarkStart w:id="270" w:name="_Toc105763468"/>
      <w:bookmarkStart w:id="271" w:name="_Toc105396318"/>
      <w:bookmarkStart w:id="272" w:name="_Toc105396423"/>
      <w:bookmarkStart w:id="273" w:name="_Toc105756688"/>
      <w:bookmarkStart w:id="274" w:name="_Toc105756873"/>
      <w:bookmarkStart w:id="275" w:name="_Toc105757052"/>
      <w:bookmarkStart w:id="276" w:name="_Toc105763469"/>
      <w:bookmarkStart w:id="277" w:name="_Toc105396319"/>
      <w:bookmarkStart w:id="278" w:name="_Toc105396424"/>
      <w:bookmarkStart w:id="279" w:name="_Toc105756689"/>
      <w:bookmarkStart w:id="280" w:name="_Toc105756874"/>
      <w:bookmarkStart w:id="281" w:name="_Toc105757053"/>
      <w:bookmarkStart w:id="282" w:name="_Toc105763470"/>
      <w:bookmarkStart w:id="283" w:name="_Toc105396320"/>
      <w:bookmarkStart w:id="284" w:name="_Toc105396425"/>
      <w:bookmarkStart w:id="285" w:name="_Toc105756690"/>
      <w:bookmarkStart w:id="286" w:name="_Toc105756875"/>
      <w:bookmarkStart w:id="287" w:name="_Toc105757054"/>
      <w:bookmarkStart w:id="288" w:name="_Toc105763471"/>
      <w:bookmarkStart w:id="289" w:name="_Toc105396321"/>
      <w:bookmarkStart w:id="290" w:name="_Toc105396426"/>
      <w:bookmarkStart w:id="291" w:name="_Toc105756691"/>
      <w:bookmarkStart w:id="292" w:name="_Toc105756876"/>
      <w:bookmarkStart w:id="293" w:name="_Toc105757055"/>
      <w:bookmarkStart w:id="294" w:name="_Toc105763472"/>
      <w:bookmarkStart w:id="295" w:name="_Toc105137872"/>
      <w:bookmarkStart w:id="296" w:name="_Toc105396322"/>
      <w:bookmarkStart w:id="297" w:name="_Toc105756692"/>
      <w:bookmarkStart w:id="298" w:name="_Toc105973473"/>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192851">
        <w:t>PROSTORNO UREĐENJE</w:t>
      </w:r>
      <w:bookmarkEnd w:id="295"/>
      <w:bookmarkEnd w:id="296"/>
      <w:bookmarkEnd w:id="297"/>
      <w:bookmarkEnd w:id="298"/>
    </w:p>
    <w:p w:rsidR="00DF7141" w:rsidRPr="00F63D65"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Prostornim uređenjem osiguravaju se uvjeti za korištenje, zaštitu i upravljanje prostorom Republike Hrvatske kao osobito vrijednim i ograničenim nacionalnim dobrom čime se ostvaruju pretpostavke za društveni i gospodarski razvoj, zaštitu okoliša i prirode, vrsnoću gradnje i racionalno korištenje prirodnih i kulturnih dobara. Prostorno planiranje je stalni proces koji obuhvaća poznavanje, provjeru i procjenu mogućnosti korištenja, zaštite i razvoja prostora, izradu i donošenje prostornih planova te praćenje provedbe prostornih planova i stanja u prostoru.</w:t>
      </w:r>
    </w:p>
    <w:p w:rsidR="00DF7141" w:rsidRPr="003E2DBC" w:rsidRDefault="00DF7141" w:rsidP="002D7C87">
      <w:pPr>
        <w:pStyle w:val="Tijeloteksta"/>
        <w:rPr>
          <w:rFonts w:ascii="Times New Roman" w:hAnsi="Times New Roman" w:cs="Times New Roman"/>
          <w:color w:val="auto"/>
          <w:sz w:val="24"/>
          <w:szCs w:val="24"/>
        </w:rPr>
      </w:pPr>
      <w:r w:rsidRPr="003E2DBC">
        <w:rPr>
          <w:rFonts w:ascii="Times New Roman" w:hAnsi="Times New Roman" w:cs="Times New Roman"/>
          <w:color w:val="auto"/>
          <w:sz w:val="24"/>
          <w:szCs w:val="24"/>
        </w:rPr>
        <w:t>Temeljni dokument prostornog uređenja svake jedinice lokalne samouprave je prostorni plan, koji određuje usmjerenja za razvoj djelatnosti i namjenu površina te uvjete za održivi i uravnoteženi razvitak.</w:t>
      </w:r>
    </w:p>
    <w:p w:rsidR="00DF7141" w:rsidRPr="00003942" w:rsidRDefault="00DF7141" w:rsidP="002D7C87">
      <w:pPr>
        <w:pStyle w:val="Tijeloteksta"/>
        <w:rPr>
          <w:rFonts w:ascii="Times New Roman" w:hAnsi="Times New Roman" w:cs="Times New Roman"/>
          <w:color w:val="auto"/>
          <w:sz w:val="24"/>
          <w:szCs w:val="24"/>
        </w:rPr>
      </w:pPr>
      <w:r w:rsidRPr="003E2DBC">
        <w:rPr>
          <w:rFonts w:ascii="Times New Roman" w:hAnsi="Times New Roman" w:cs="Times New Roman"/>
          <w:color w:val="auto"/>
          <w:sz w:val="24"/>
          <w:szCs w:val="24"/>
        </w:rPr>
        <w:t xml:space="preserve">Strategijom prostornog razvoja Republike Hrvatske (NN 106/17) definirala je usmjeravanje razvoja u prostoru te je utvrđen opći cilj (vizija) prostornog razvoja do 2030. godine s razvojnim polazištima te s prioritetima, usmjerenjima i okvirom za provedbu </w:t>
      </w:r>
      <w:r w:rsidRPr="00003942">
        <w:rPr>
          <w:rFonts w:ascii="Times New Roman" w:hAnsi="Times New Roman" w:cs="Times New Roman"/>
          <w:color w:val="auto"/>
          <w:sz w:val="24"/>
          <w:szCs w:val="24"/>
        </w:rPr>
        <w:fldChar w:fldCharType="begin"/>
      </w:r>
      <w:r w:rsidRPr="00003942">
        <w:rPr>
          <w:rFonts w:ascii="Times New Roman" w:hAnsi="Times New Roman" w:cs="Times New Roman"/>
          <w:color w:val="auto"/>
          <w:sz w:val="24"/>
          <w:szCs w:val="24"/>
        </w:rPr>
        <w:instrText xml:space="preserve"> REF _Ref103860603 \r \h </w:instrText>
      </w:r>
      <w:r w:rsidR="002D7C87" w:rsidRPr="00003942">
        <w:rPr>
          <w:rFonts w:ascii="Times New Roman" w:hAnsi="Times New Roman" w:cs="Times New Roman"/>
          <w:color w:val="auto"/>
          <w:sz w:val="24"/>
          <w:szCs w:val="24"/>
        </w:rPr>
        <w:instrText xml:space="preserve"> \* MERGEFORMAT </w:instrText>
      </w:r>
      <w:r w:rsidRPr="00003942">
        <w:rPr>
          <w:rFonts w:ascii="Times New Roman" w:hAnsi="Times New Roman" w:cs="Times New Roman"/>
          <w:color w:val="auto"/>
          <w:sz w:val="24"/>
          <w:szCs w:val="24"/>
        </w:rPr>
      </w:r>
      <w:r w:rsidRPr="00003942">
        <w:rPr>
          <w:rFonts w:ascii="Times New Roman" w:hAnsi="Times New Roman" w:cs="Times New Roman"/>
          <w:color w:val="auto"/>
          <w:sz w:val="24"/>
          <w:szCs w:val="24"/>
        </w:rPr>
        <w:fldChar w:fldCharType="separate"/>
      </w:r>
      <w:r w:rsidR="009C3921">
        <w:rPr>
          <w:rFonts w:ascii="Times New Roman" w:hAnsi="Times New Roman" w:cs="Times New Roman"/>
          <w:color w:val="auto"/>
          <w:sz w:val="24"/>
          <w:szCs w:val="24"/>
        </w:rPr>
        <w:t>[9]</w:t>
      </w:r>
      <w:r w:rsidRPr="00003942">
        <w:rPr>
          <w:rFonts w:ascii="Times New Roman" w:hAnsi="Times New Roman" w:cs="Times New Roman"/>
          <w:color w:val="auto"/>
          <w:sz w:val="24"/>
          <w:szCs w:val="24"/>
        </w:rPr>
        <w:fldChar w:fldCharType="end"/>
      </w:r>
      <w:r w:rsidRPr="00003942">
        <w:rPr>
          <w:rFonts w:ascii="Times New Roman" w:hAnsi="Times New Roman" w:cs="Times New Roman"/>
          <w:color w:val="auto"/>
          <w:sz w:val="24"/>
          <w:szCs w:val="24"/>
        </w:rPr>
        <w:t>. Razvoj energetskog sustava prikazan ovom strategijom rađen</w:t>
      </w:r>
      <w:r w:rsidR="00DC3F13" w:rsidRPr="00003942">
        <w:rPr>
          <w:rFonts w:ascii="Times New Roman" w:hAnsi="Times New Roman" w:cs="Times New Roman"/>
          <w:color w:val="auto"/>
          <w:sz w:val="24"/>
          <w:szCs w:val="24"/>
        </w:rPr>
        <w:t xml:space="preserve"> </w:t>
      </w:r>
      <w:r w:rsidR="00DC3F13" w:rsidRPr="00F63D65">
        <w:rPr>
          <w:rFonts w:ascii="Times New Roman" w:hAnsi="Times New Roman" w:cs="Times New Roman"/>
          <w:color w:val="auto"/>
          <w:sz w:val="24"/>
          <w:szCs w:val="24"/>
        </w:rPr>
        <w:t>je</w:t>
      </w:r>
      <w:r w:rsidRPr="00F63D65">
        <w:rPr>
          <w:rFonts w:ascii="Times New Roman" w:hAnsi="Times New Roman" w:cs="Times New Roman"/>
          <w:color w:val="auto"/>
          <w:sz w:val="24"/>
          <w:szCs w:val="24"/>
        </w:rPr>
        <w:t xml:space="preserve"> prema polazištima</w:t>
      </w:r>
      <w:r w:rsidR="001639AA" w:rsidRPr="003E2DBC">
        <w:rPr>
          <w:rFonts w:ascii="Times New Roman" w:hAnsi="Times New Roman" w:cs="Times New Roman"/>
          <w:color w:val="auto"/>
          <w:sz w:val="24"/>
          <w:szCs w:val="24"/>
        </w:rPr>
        <w:t xml:space="preserve"> tada aktualne</w:t>
      </w:r>
      <w:r w:rsidRPr="003E2DBC">
        <w:rPr>
          <w:rFonts w:ascii="Times New Roman" w:hAnsi="Times New Roman" w:cs="Times New Roman"/>
          <w:color w:val="auto"/>
          <w:sz w:val="24"/>
          <w:szCs w:val="24"/>
        </w:rPr>
        <w:t xml:space="preserve"> Strategije energetskog razvoja Republike Hrvatske (NN 130/09) </w:t>
      </w:r>
      <w:r w:rsidR="00DC3F13" w:rsidRPr="003E2DBC">
        <w:rPr>
          <w:rFonts w:ascii="Times New Roman" w:hAnsi="Times New Roman" w:cs="Times New Roman"/>
          <w:color w:val="auto"/>
          <w:sz w:val="24"/>
          <w:szCs w:val="24"/>
        </w:rPr>
        <w:t xml:space="preserve">koja je u međuvremenu zamijenjena novim strateškim dokumentom, a </w:t>
      </w:r>
      <w:r w:rsidRPr="003E2DBC">
        <w:rPr>
          <w:rFonts w:ascii="Times New Roman" w:hAnsi="Times New Roman" w:cs="Times New Roman"/>
          <w:color w:val="auto"/>
          <w:sz w:val="24"/>
          <w:szCs w:val="24"/>
        </w:rPr>
        <w:t>koja je sagledavala razvoj do 2020. godine, te nije bilo moguće uzeti u obzir ključne promjene koje su se dogodile u sektoru energetike</w:t>
      </w:r>
      <w:r w:rsidR="00DC3F13" w:rsidRPr="003E2DBC">
        <w:rPr>
          <w:rFonts w:ascii="Times New Roman" w:hAnsi="Times New Roman" w:cs="Times New Roman"/>
          <w:color w:val="auto"/>
          <w:sz w:val="24"/>
          <w:szCs w:val="24"/>
        </w:rPr>
        <w:t xml:space="preserve">. Zbog toga </w:t>
      </w:r>
      <w:r w:rsidR="00DC3F13" w:rsidRPr="008609F9">
        <w:rPr>
          <w:rFonts w:ascii="Times New Roman" w:hAnsi="Times New Roman" w:cs="Times New Roman"/>
          <w:color w:val="auto"/>
          <w:sz w:val="24"/>
          <w:szCs w:val="24"/>
        </w:rPr>
        <w:t xml:space="preserve">je </w:t>
      </w:r>
      <w:r w:rsidRPr="008609F9">
        <w:rPr>
          <w:rFonts w:ascii="Times New Roman" w:hAnsi="Times New Roman" w:cs="Times New Roman"/>
          <w:color w:val="auto"/>
          <w:sz w:val="24"/>
          <w:szCs w:val="24"/>
        </w:rPr>
        <w:t xml:space="preserve">korištenje obnovljivih izvora </w:t>
      </w:r>
      <w:r w:rsidRPr="008609F9">
        <w:rPr>
          <w:rFonts w:ascii="Times New Roman" w:hAnsi="Times New Roman" w:cs="Times New Roman"/>
          <w:color w:val="auto"/>
          <w:sz w:val="24"/>
          <w:szCs w:val="24"/>
        </w:rPr>
        <w:lastRenderedPageBreak/>
        <w:t xml:space="preserve">energije načelno obrađeno, uz prepoznavanje većih potreba za prostorom u slučaju sunčanih elektrana i vjetroelektrana. </w:t>
      </w:r>
      <w:r w:rsidR="001639AA" w:rsidRPr="00387E05">
        <w:rPr>
          <w:rFonts w:ascii="Times New Roman" w:hAnsi="Times New Roman" w:cs="Times New Roman"/>
          <w:color w:val="auto"/>
          <w:sz w:val="24"/>
          <w:szCs w:val="24"/>
        </w:rPr>
        <w:t xml:space="preserve">Strategijom prostornog razvoja Republike Hrvatske </w:t>
      </w:r>
      <w:r w:rsidRPr="00387E05">
        <w:rPr>
          <w:rFonts w:ascii="Times New Roman" w:hAnsi="Times New Roman" w:cs="Times New Roman"/>
          <w:color w:val="auto"/>
          <w:sz w:val="24"/>
          <w:szCs w:val="24"/>
        </w:rPr>
        <w:t xml:space="preserve">predviđena </w:t>
      </w:r>
      <w:r w:rsidR="00B265E1">
        <w:rPr>
          <w:rFonts w:ascii="Times New Roman" w:hAnsi="Times New Roman" w:cs="Times New Roman"/>
          <w:color w:val="auto"/>
          <w:sz w:val="24"/>
          <w:szCs w:val="24"/>
        </w:rPr>
        <w:t xml:space="preserve">je </w:t>
      </w:r>
      <w:r w:rsidRPr="00B265E1">
        <w:rPr>
          <w:rFonts w:ascii="Times New Roman" w:hAnsi="Times New Roman" w:cs="Times New Roman"/>
          <w:color w:val="auto"/>
          <w:sz w:val="24"/>
          <w:szCs w:val="24"/>
        </w:rPr>
        <w:t xml:space="preserve">izrada smjernica za odabir lokacija i planiranje vjetroelektrana, solarnih elektrana i malih hidroelektrana, međutim, ovaj dokument nije dostupan široj javnosti </w:t>
      </w:r>
      <w:r w:rsidRPr="00003942">
        <w:rPr>
          <w:rFonts w:ascii="Times New Roman" w:hAnsi="Times New Roman" w:cs="Times New Roman"/>
          <w:color w:val="auto"/>
          <w:sz w:val="24"/>
          <w:szCs w:val="24"/>
        </w:rPr>
        <w:fldChar w:fldCharType="begin"/>
      </w:r>
      <w:r w:rsidRPr="00003942">
        <w:rPr>
          <w:rFonts w:ascii="Times New Roman" w:hAnsi="Times New Roman" w:cs="Times New Roman"/>
          <w:color w:val="auto"/>
          <w:sz w:val="24"/>
          <w:szCs w:val="24"/>
        </w:rPr>
        <w:instrText xml:space="preserve"> REF _Ref104706785 \r \h </w:instrText>
      </w:r>
      <w:r w:rsidR="002D7C87" w:rsidRPr="00003942">
        <w:rPr>
          <w:rFonts w:ascii="Times New Roman" w:hAnsi="Times New Roman" w:cs="Times New Roman"/>
          <w:color w:val="auto"/>
          <w:sz w:val="24"/>
          <w:szCs w:val="24"/>
        </w:rPr>
        <w:instrText xml:space="preserve"> \* MERGEFORMAT </w:instrText>
      </w:r>
      <w:r w:rsidRPr="00003942">
        <w:rPr>
          <w:rFonts w:ascii="Times New Roman" w:hAnsi="Times New Roman" w:cs="Times New Roman"/>
          <w:color w:val="auto"/>
          <w:sz w:val="24"/>
          <w:szCs w:val="24"/>
        </w:rPr>
      </w:r>
      <w:r w:rsidRPr="00003942">
        <w:rPr>
          <w:rFonts w:ascii="Times New Roman" w:hAnsi="Times New Roman" w:cs="Times New Roman"/>
          <w:color w:val="auto"/>
          <w:sz w:val="24"/>
          <w:szCs w:val="24"/>
        </w:rPr>
        <w:fldChar w:fldCharType="separate"/>
      </w:r>
      <w:r w:rsidR="009C3921">
        <w:rPr>
          <w:rFonts w:ascii="Times New Roman" w:hAnsi="Times New Roman" w:cs="Times New Roman"/>
          <w:color w:val="auto"/>
          <w:sz w:val="24"/>
          <w:szCs w:val="24"/>
        </w:rPr>
        <w:t>[10]</w:t>
      </w:r>
      <w:r w:rsidRPr="00003942">
        <w:rPr>
          <w:rFonts w:ascii="Times New Roman" w:hAnsi="Times New Roman" w:cs="Times New Roman"/>
          <w:color w:val="auto"/>
          <w:sz w:val="24"/>
          <w:szCs w:val="24"/>
        </w:rPr>
        <w:fldChar w:fldCharType="end"/>
      </w:r>
      <w:r w:rsidRPr="00003942">
        <w:rPr>
          <w:rFonts w:ascii="Times New Roman" w:hAnsi="Times New Roman" w:cs="Times New Roman"/>
          <w:color w:val="auto"/>
          <w:sz w:val="24"/>
          <w:szCs w:val="24"/>
        </w:rPr>
        <w:t xml:space="preserve">. </w:t>
      </w:r>
    </w:p>
    <w:p w:rsidR="00DF7141" w:rsidRPr="003E2DBC"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Prostorni planovi županija najčešće definiraju lokacije za hidroelektrane, vjetroelektrane i sunčane elektrane većih snaga, bilo da se radi o lokaciji u istraživanju ili lokaciji za razvoj projekta. Lokacije za hidroelektrane i vjetroelektrane u najvećoj m</w:t>
      </w:r>
      <w:r w:rsidRPr="00F63D65">
        <w:rPr>
          <w:rFonts w:ascii="Times New Roman" w:hAnsi="Times New Roman" w:cs="Times New Roman"/>
          <w:color w:val="auto"/>
          <w:sz w:val="24"/>
          <w:szCs w:val="24"/>
        </w:rPr>
        <w:t xml:space="preserve">jeri ovise o dostupnom resursu, dok lokacije za sunčane elektrane u pravilu ovise o načinu korištenja zemljišta. Dodatno, zbog svoje modularnosti gradnje, površina lokacije za sunčane elektrane može se kretati od nekoliko hektara do </w:t>
      </w:r>
      <w:r w:rsidR="00445A6E" w:rsidRPr="003E2DBC">
        <w:rPr>
          <w:rFonts w:ascii="Times New Roman" w:hAnsi="Times New Roman" w:cs="Times New Roman"/>
          <w:color w:val="auto"/>
          <w:sz w:val="24"/>
          <w:szCs w:val="24"/>
        </w:rPr>
        <w:t xml:space="preserve">nekoliko </w:t>
      </w:r>
      <w:r w:rsidRPr="003E2DBC">
        <w:rPr>
          <w:rFonts w:ascii="Times New Roman" w:hAnsi="Times New Roman" w:cs="Times New Roman"/>
          <w:color w:val="auto"/>
          <w:sz w:val="24"/>
          <w:szCs w:val="24"/>
        </w:rPr>
        <w:t xml:space="preserve">stotina hektara. Ovisno o površini i posljedično priključnoj snazi elektrane (ugrubo, 2 ha/MW) ovisiti će i potrebna infrastruktura, posebice priključak. Stoga je za manje površine bitno odabrati lokacije u blizini distribucijske mreže, odnosno priključaka na srednji napon (10, 20 ili 35 kV), dok je za veće lokacije nužna blizina prijenosne mreže, odnosno visokog napona (u pravilu, 110 kV). </w:t>
      </w:r>
    </w:p>
    <w:p w:rsidR="00DF7141" w:rsidRPr="003E2DBC" w:rsidRDefault="00B265E1" w:rsidP="00530661">
      <w:pPr>
        <w:pStyle w:val="Naslov3"/>
        <w:numPr>
          <w:ilvl w:val="0"/>
          <w:numId w:val="0"/>
        </w:numPr>
        <w:ind w:left="1003"/>
      </w:pPr>
      <w:bookmarkStart w:id="299" w:name="_Toc105756693"/>
      <w:bookmarkStart w:id="300" w:name="_Toc105756878"/>
      <w:bookmarkStart w:id="301" w:name="_Toc105757057"/>
      <w:bookmarkStart w:id="302" w:name="_Toc105763474"/>
      <w:bookmarkStart w:id="303" w:name="_Toc105764713"/>
      <w:bookmarkStart w:id="304" w:name="_Toc105137873"/>
      <w:bookmarkStart w:id="305" w:name="_Toc105396323"/>
      <w:bookmarkStart w:id="306" w:name="_Toc105756696"/>
      <w:bookmarkStart w:id="307" w:name="_Toc105973474"/>
      <w:bookmarkEnd w:id="299"/>
      <w:bookmarkEnd w:id="300"/>
      <w:bookmarkEnd w:id="301"/>
      <w:bookmarkEnd w:id="302"/>
      <w:bookmarkEnd w:id="303"/>
      <w:r>
        <w:t>U</w:t>
      </w:r>
      <w:r w:rsidR="00DF7141" w:rsidRPr="003E2DBC">
        <w:t>jednačen</w:t>
      </w:r>
      <w:r>
        <w:t>ost</w:t>
      </w:r>
      <w:r w:rsidR="00DF7141" w:rsidRPr="003E2DBC">
        <w:t xml:space="preserve"> kriterij</w:t>
      </w:r>
      <w:r>
        <w:t>a</w:t>
      </w:r>
      <w:r w:rsidR="00DF7141" w:rsidRPr="003E2DBC">
        <w:t xml:space="preserve"> kod uvrštavanja lokacija u prostorne planove</w:t>
      </w:r>
      <w:bookmarkEnd w:id="304"/>
      <w:bookmarkEnd w:id="305"/>
      <w:bookmarkEnd w:id="306"/>
      <w:bookmarkEnd w:id="307"/>
    </w:p>
    <w:p w:rsidR="00DF7141" w:rsidRPr="00331C56" w:rsidRDefault="00DF7141" w:rsidP="002D7C87">
      <w:pPr>
        <w:pStyle w:val="Tijeloteksta"/>
        <w:rPr>
          <w:rFonts w:ascii="Times New Roman" w:hAnsi="Times New Roman" w:cs="Times New Roman"/>
          <w:color w:val="auto"/>
          <w:sz w:val="24"/>
          <w:szCs w:val="24"/>
        </w:rPr>
      </w:pPr>
      <w:r w:rsidRPr="008609F9">
        <w:rPr>
          <w:rFonts w:ascii="Times New Roman" w:hAnsi="Times New Roman" w:cs="Times New Roman"/>
          <w:color w:val="auto"/>
          <w:sz w:val="24"/>
          <w:szCs w:val="24"/>
        </w:rPr>
        <w:t>Kriteriji za uvrštavanje lokacija za projekte OIE u prostorne planove nisu ujednačeni po svim jedinicama lokalne samouprave. U nekim slučajevima lokacije su uvrštavane u prostorne planove na temelju detaljne analize prostora, te predstavljaju stvarnu stručnu podlogu, dok su u nekim slučajevima lokacija uvrštavane u prostorne planove isključivo na temelju zahtjeva nositelja projekta</w:t>
      </w:r>
      <w:r w:rsidR="00445A6E" w:rsidRPr="00387E05">
        <w:rPr>
          <w:rFonts w:ascii="Times New Roman" w:hAnsi="Times New Roman" w:cs="Times New Roman"/>
          <w:color w:val="auto"/>
          <w:sz w:val="24"/>
          <w:szCs w:val="24"/>
        </w:rPr>
        <w:t xml:space="preserve"> bez bilo kakve stručne analize</w:t>
      </w:r>
      <w:r w:rsidRPr="00387E05">
        <w:rPr>
          <w:rFonts w:ascii="Times New Roman" w:hAnsi="Times New Roman" w:cs="Times New Roman"/>
          <w:color w:val="auto"/>
          <w:sz w:val="24"/>
          <w:szCs w:val="24"/>
        </w:rPr>
        <w:t>. Međutim, čak i u slučajevima detaljne analize prostora, nije uvijek primjenjivana ista, ili barem slična metodologija izbora lokacija, te se rezultati i samim time upotrebljivost dobivenih rezultata značajno r</w:t>
      </w:r>
      <w:r w:rsidRPr="0024150C">
        <w:rPr>
          <w:rFonts w:ascii="Times New Roman" w:hAnsi="Times New Roman" w:cs="Times New Roman"/>
          <w:color w:val="auto"/>
          <w:sz w:val="24"/>
          <w:szCs w:val="24"/>
        </w:rPr>
        <w:t>azlikuju od županije do županije. Ovakav pristup utječe na prikladnost odabranih lokacija i šalje različite signale nositeljima projekata. Neadekvatna lokacija uvrštena u prostorne planove generira aktivnosti na pripremi projekta koji se teško može realizi</w:t>
      </w:r>
      <w:r w:rsidRPr="00331C56">
        <w:rPr>
          <w:rFonts w:ascii="Times New Roman" w:hAnsi="Times New Roman" w:cs="Times New Roman"/>
          <w:color w:val="auto"/>
          <w:sz w:val="24"/>
          <w:szCs w:val="24"/>
        </w:rPr>
        <w:t xml:space="preserve">rati, opterećujući dodatno cijeli sustav. S druge strane, projekt na povoljnoj lokaciji koja nije uvrštena u prostorni plan susreće se s nizom prepreka kod razvoja projekta, posebice kašnjenja zbog potrebe uvrštavanja u prostorni plan. </w:t>
      </w:r>
    </w:p>
    <w:p w:rsidR="00DF7141" w:rsidRPr="00331C56" w:rsidRDefault="00DF7141" w:rsidP="002D7C87">
      <w:pPr>
        <w:pStyle w:val="Tijeloteksta"/>
        <w:rPr>
          <w:rFonts w:ascii="Times New Roman" w:hAnsi="Times New Roman" w:cs="Times New Roman"/>
          <w:color w:val="auto"/>
          <w:sz w:val="24"/>
          <w:szCs w:val="24"/>
        </w:rPr>
      </w:pPr>
      <w:r w:rsidRPr="00331C56">
        <w:rPr>
          <w:rFonts w:ascii="Times New Roman" w:hAnsi="Times New Roman" w:cs="Times New Roman"/>
          <w:color w:val="auto"/>
          <w:sz w:val="24"/>
          <w:szCs w:val="24"/>
        </w:rPr>
        <w:t xml:space="preserve">Budući da različite županije postavljaju različite kriterije za uvrštavanje lokacija u prostorne planove, čest je slučaj značajnog odstupanja karakteristika lokacija od županije do županije. </w:t>
      </w:r>
    </w:p>
    <w:p w:rsidR="00DF7141" w:rsidRPr="00B265E1" w:rsidRDefault="00B265E1" w:rsidP="00530661">
      <w:pPr>
        <w:pStyle w:val="Naslov3"/>
        <w:numPr>
          <w:ilvl w:val="0"/>
          <w:numId w:val="0"/>
        </w:numPr>
        <w:ind w:left="1003"/>
      </w:pPr>
      <w:bookmarkStart w:id="308" w:name="_Toc105137874"/>
      <w:bookmarkStart w:id="309" w:name="_Toc105396324"/>
      <w:bookmarkStart w:id="310" w:name="_Toc105756697"/>
      <w:bookmarkStart w:id="311" w:name="_Toc105973475"/>
      <w:r>
        <w:t>U</w:t>
      </w:r>
      <w:r w:rsidR="00DF7141" w:rsidRPr="00B265E1">
        <w:t>sklađenost prostornih planova županija i prostornih planova uređenja općina/gradova</w:t>
      </w:r>
      <w:bookmarkEnd w:id="308"/>
      <w:bookmarkEnd w:id="309"/>
      <w:bookmarkEnd w:id="310"/>
      <w:bookmarkEnd w:id="311"/>
    </w:p>
    <w:p w:rsidR="00DF7141" w:rsidRPr="00596944" w:rsidRDefault="00DF7141" w:rsidP="002D7C87">
      <w:pPr>
        <w:pStyle w:val="Tijeloteksta"/>
        <w:rPr>
          <w:rFonts w:ascii="Times New Roman" w:hAnsi="Times New Roman" w:cs="Times New Roman"/>
          <w:color w:val="auto"/>
          <w:sz w:val="24"/>
          <w:szCs w:val="24"/>
        </w:rPr>
      </w:pPr>
      <w:r w:rsidRPr="008609F9">
        <w:rPr>
          <w:rFonts w:ascii="Times New Roman" w:hAnsi="Times New Roman" w:cs="Times New Roman"/>
          <w:color w:val="auto"/>
          <w:sz w:val="24"/>
          <w:szCs w:val="24"/>
        </w:rPr>
        <w:t xml:space="preserve">Prostorni planovi općina i gradova trebali bi biti usklađeni s prostornim planom županije, kao planom višeg reda. Međutim, zbog procesa donošenja prostornih planova, te dugotrajnog procesa usklađivanja i procesa izmjena i dopuna prostornih planova, u praksi je čest slučaj </w:t>
      </w:r>
      <w:r w:rsidRPr="00387E05">
        <w:rPr>
          <w:rFonts w:ascii="Times New Roman" w:hAnsi="Times New Roman" w:cs="Times New Roman"/>
          <w:color w:val="auto"/>
          <w:sz w:val="24"/>
          <w:szCs w:val="24"/>
        </w:rPr>
        <w:t>da PPUO/G nije usklađen s</w:t>
      </w:r>
      <w:r w:rsidR="00596944">
        <w:rPr>
          <w:rFonts w:ascii="Times New Roman" w:hAnsi="Times New Roman" w:cs="Times New Roman"/>
          <w:color w:val="auto"/>
          <w:sz w:val="24"/>
          <w:szCs w:val="24"/>
        </w:rPr>
        <w:t>a</w:t>
      </w:r>
      <w:r w:rsidRPr="00596944">
        <w:rPr>
          <w:rFonts w:ascii="Times New Roman" w:hAnsi="Times New Roman" w:cs="Times New Roman"/>
          <w:color w:val="auto"/>
          <w:sz w:val="24"/>
          <w:szCs w:val="24"/>
        </w:rPr>
        <w:t xml:space="preserve"> županijskim PP. Osim neusklađenosti samih lokacija za OIE i potrebne infrastrukture (distribucijska i prijenosna mreža), često nisu usklađene klasifikacije namjene zemljišta (npr. kategorije zemljišta poljoprivredne namjene). Neusklađenost podataka u prostornim planovima dovodi do kašnjenja izdavanja suglasnosti i mišljenja za razvoj projekta u ranim fazama razvoja projekta. </w:t>
      </w:r>
    </w:p>
    <w:p w:rsidR="00DF7141" w:rsidRPr="008609F9" w:rsidRDefault="00DF7141" w:rsidP="002D7C87">
      <w:pPr>
        <w:pStyle w:val="Tijeloteksta"/>
        <w:rPr>
          <w:rFonts w:ascii="Times New Roman" w:hAnsi="Times New Roman" w:cs="Times New Roman"/>
          <w:color w:val="auto"/>
          <w:sz w:val="24"/>
          <w:szCs w:val="24"/>
        </w:rPr>
      </w:pPr>
      <w:r w:rsidRPr="008609F9">
        <w:rPr>
          <w:rFonts w:ascii="Times New Roman" w:hAnsi="Times New Roman" w:cs="Times New Roman"/>
          <w:color w:val="auto"/>
          <w:sz w:val="24"/>
          <w:szCs w:val="24"/>
        </w:rPr>
        <w:lastRenderedPageBreak/>
        <w:t xml:space="preserve">Neusklađenost klasifikacije zemljišta, posebice u slučaju poljoprivrednih zemljišta, mogu značajno utjecati na izbor lokacije za pojedine projekte, posebice za projekte sunčanih elektrana. </w:t>
      </w:r>
    </w:p>
    <w:p w:rsidR="00DF7141" w:rsidRPr="00596944" w:rsidRDefault="00495749" w:rsidP="00530661">
      <w:pPr>
        <w:pStyle w:val="Naslov3"/>
        <w:numPr>
          <w:ilvl w:val="0"/>
          <w:numId w:val="0"/>
        </w:numPr>
        <w:ind w:left="1003"/>
      </w:pPr>
      <w:bookmarkStart w:id="312" w:name="_Toc105137875"/>
      <w:bookmarkStart w:id="313" w:name="_Toc105396325"/>
      <w:bookmarkStart w:id="314" w:name="_Toc105756698"/>
      <w:bookmarkStart w:id="315" w:name="_Toc105973476"/>
      <w:r>
        <w:t>R</w:t>
      </w:r>
      <w:r w:rsidR="00DF7141" w:rsidRPr="00596944">
        <w:t>aspodjela uključivanja lokacija prema površini u prostorne planove</w:t>
      </w:r>
      <w:bookmarkEnd w:id="312"/>
      <w:bookmarkEnd w:id="313"/>
      <w:bookmarkEnd w:id="314"/>
      <w:bookmarkEnd w:id="315"/>
    </w:p>
    <w:p w:rsidR="00DF7141" w:rsidRPr="00596944" w:rsidRDefault="00DF7141" w:rsidP="002D7C87">
      <w:pPr>
        <w:pStyle w:val="Tijeloteksta"/>
        <w:rPr>
          <w:rFonts w:ascii="Times New Roman" w:hAnsi="Times New Roman" w:cs="Times New Roman"/>
          <w:color w:val="auto"/>
          <w:sz w:val="24"/>
          <w:szCs w:val="24"/>
        </w:rPr>
      </w:pPr>
      <w:r w:rsidRPr="00596944">
        <w:rPr>
          <w:rFonts w:ascii="Times New Roman" w:hAnsi="Times New Roman" w:cs="Times New Roman"/>
          <w:color w:val="auto"/>
          <w:sz w:val="24"/>
          <w:szCs w:val="24"/>
        </w:rPr>
        <w:t xml:space="preserve">Elektrane instalirane snage 20 MW i veće definirane su kao energetske građevine državnog značaja, dok su elektrane snage od 10 MW do 20 MW definirane kao građevine područnog (regionalnog) značaja. Obzirom na neujednačen pristup uvrštavanju lokacija u prostorne planove, u nekim županijskim PP (npr. Dubrovačko-neretvanska županija) su uključene i vrlo male lokacije kapaciteta manjeg od 1 MW, dok u neki županijski planovi prepuštaju lokacije za određene tehnologije (npr. sunčane elektrane u PP Zadarske županije) prostornim planovima nižeg reda, uz definiranje kriterija koje lokacije moraju zadovoljiti. </w:t>
      </w:r>
    </w:p>
    <w:p w:rsidR="00DF7141" w:rsidRPr="00596944" w:rsidRDefault="00495749" w:rsidP="00095924">
      <w:pPr>
        <w:pStyle w:val="Naslov3"/>
        <w:numPr>
          <w:ilvl w:val="0"/>
          <w:numId w:val="0"/>
        </w:numPr>
        <w:ind w:left="1003"/>
      </w:pPr>
      <w:bookmarkStart w:id="316" w:name="_Toc105973477"/>
      <w:bookmarkStart w:id="317" w:name="_Toc105137876"/>
      <w:bookmarkStart w:id="318" w:name="_Toc105396326"/>
      <w:bookmarkStart w:id="319" w:name="_Toc105756699"/>
      <w:r>
        <w:t>M</w:t>
      </w:r>
      <w:r w:rsidR="00DF7141" w:rsidRPr="00596944">
        <w:t xml:space="preserve">ogućnost </w:t>
      </w:r>
      <w:r>
        <w:t>postavljanja Agrosolara na poljoprivredna zemljišta</w:t>
      </w:r>
      <w:bookmarkEnd w:id="316"/>
      <w:r>
        <w:t xml:space="preserve"> </w:t>
      </w:r>
      <w:bookmarkEnd w:id="317"/>
      <w:bookmarkEnd w:id="318"/>
      <w:bookmarkEnd w:id="319"/>
    </w:p>
    <w:p w:rsidR="00DF7141" w:rsidRPr="00003942" w:rsidRDefault="00DF7141" w:rsidP="002D7C87">
      <w:pPr>
        <w:pStyle w:val="Tijeloteksta"/>
        <w:rPr>
          <w:rFonts w:ascii="Times New Roman" w:hAnsi="Times New Roman" w:cs="Times New Roman"/>
          <w:color w:val="auto"/>
          <w:sz w:val="24"/>
          <w:szCs w:val="24"/>
        </w:rPr>
      </w:pPr>
      <w:r w:rsidRPr="00596944">
        <w:rPr>
          <w:rFonts w:ascii="Times New Roman" w:hAnsi="Times New Roman" w:cs="Times New Roman"/>
          <w:color w:val="auto"/>
          <w:sz w:val="24"/>
          <w:szCs w:val="24"/>
        </w:rPr>
        <w:t>Poljoprivredno zemljište je, prema Zakonu o poljoprivrednom zemljištu</w:t>
      </w:r>
      <w:r w:rsidR="00355540" w:rsidRPr="00596944">
        <w:rPr>
          <w:rFonts w:ascii="Times New Roman" w:hAnsi="Times New Roman" w:cs="Times New Roman"/>
          <w:color w:val="auto"/>
          <w:sz w:val="24"/>
          <w:szCs w:val="24"/>
        </w:rPr>
        <w:t xml:space="preserve"> (Narodne novine, br.</w:t>
      </w:r>
      <w:r w:rsidR="00355540" w:rsidRPr="000B0718">
        <w:rPr>
          <w:rFonts w:ascii="Times New Roman" w:hAnsi="Times New Roman" w:cs="Times New Roman"/>
          <w:sz w:val="24"/>
          <w:szCs w:val="24"/>
        </w:rPr>
        <w:t xml:space="preserve"> 20/18, 115/18, 98/19, 57/22)</w:t>
      </w:r>
      <w:r w:rsidRPr="00003942">
        <w:rPr>
          <w:rFonts w:ascii="Times New Roman" w:hAnsi="Times New Roman" w:cs="Times New Roman"/>
          <w:color w:val="auto"/>
          <w:sz w:val="24"/>
          <w:szCs w:val="24"/>
        </w:rPr>
        <w:t xml:space="preserve">, dobro od interesa za Republiku Hrvatsku i ima njezinu osobitu zaštitu. </w:t>
      </w:r>
      <w:r w:rsidR="00495749">
        <w:rPr>
          <w:rFonts w:ascii="Times New Roman" w:hAnsi="Times New Roman" w:cs="Times New Roman"/>
          <w:color w:val="auto"/>
          <w:sz w:val="24"/>
          <w:szCs w:val="24"/>
        </w:rPr>
        <w:t>U</w:t>
      </w:r>
      <w:r w:rsidRPr="00BB78F5">
        <w:rPr>
          <w:rFonts w:ascii="Times New Roman" w:hAnsi="Times New Roman" w:cs="Times New Roman"/>
          <w:color w:val="auto"/>
          <w:sz w:val="24"/>
          <w:szCs w:val="24"/>
        </w:rPr>
        <w:t>brzanim razvojem tehnologije</w:t>
      </w:r>
      <w:r w:rsidRPr="003E2DBC">
        <w:rPr>
          <w:rFonts w:ascii="Times New Roman" w:hAnsi="Times New Roman" w:cs="Times New Roman"/>
          <w:color w:val="auto"/>
          <w:sz w:val="24"/>
          <w:szCs w:val="24"/>
        </w:rPr>
        <w:t xml:space="preserve"> i potrebom za proizvodnjom hrane i energije razvijena su tehnička rješenja koja omogućavaju </w:t>
      </w:r>
      <w:r w:rsidR="00596944" w:rsidRPr="003E2DBC">
        <w:rPr>
          <w:rFonts w:ascii="Times New Roman" w:hAnsi="Times New Roman" w:cs="Times New Roman"/>
          <w:color w:val="auto"/>
          <w:sz w:val="24"/>
          <w:szCs w:val="24"/>
        </w:rPr>
        <w:t xml:space="preserve">na istoj čestici zemlje </w:t>
      </w:r>
      <w:r w:rsidRPr="003E2DBC">
        <w:rPr>
          <w:rFonts w:ascii="Times New Roman" w:hAnsi="Times New Roman" w:cs="Times New Roman"/>
          <w:color w:val="auto"/>
          <w:sz w:val="24"/>
          <w:szCs w:val="24"/>
        </w:rPr>
        <w:t xml:space="preserve">proizvodnju električne energije uz </w:t>
      </w:r>
      <w:r w:rsidR="00596944">
        <w:rPr>
          <w:rFonts w:ascii="Times New Roman" w:hAnsi="Times New Roman" w:cs="Times New Roman"/>
          <w:color w:val="auto"/>
          <w:sz w:val="24"/>
          <w:szCs w:val="24"/>
        </w:rPr>
        <w:t xml:space="preserve">istovremeno </w:t>
      </w:r>
      <w:r w:rsidRPr="003E2DBC">
        <w:rPr>
          <w:rFonts w:ascii="Times New Roman" w:hAnsi="Times New Roman" w:cs="Times New Roman"/>
          <w:color w:val="auto"/>
          <w:sz w:val="24"/>
          <w:szCs w:val="24"/>
        </w:rPr>
        <w:t>zadržavanje poljoprivredne aktivnosti. Agr</w:t>
      </w:r>
      <w:r w:rsidR="00596944">
        <w:rPr>
          <w:rFonts w:ascii="Times New Roman" w:hAnsi="Times New Roman" w:cs="Times New Roman"/>
          <w:color w:val="auto"/>
          <w:sz w:val="24"/>
          <w:szCs w:val="24"/>
        </w:rPr>
        <w:t>osolari</w:t>
      </w:r>
      <w:r w:rsidRPr="003E2DBC">
        <w:rPr>
          <w:rFonts w:ascii="Times New Roman" w:hAnsi="Times New Roman" w:cs="Times New Roman"/>
          <w:color w:val="auto"/>
          <w:sz w:val="24"/>
          <w:szCs w:val="24"/>
        </w:rPr>
        <w:t xml:space="preserve"> su se u praksi pokazali kao rješenje za dvostruk</w:t>
      </w:r>
      <w:r w:rsidR="00596944">
        <w:rPr>
          <w:rFonts w:ascii="Times New Roman" w:hAnsi="Times New Roman" w:cs="Times New Roman"/>
          <w:color w:val="auto"/>
          <w:sz w:val="24"/>
          <w:szCs w:val="24"/>
        </w:rPr>
        <w:t>u</w:t>
      </w:r>
      <w:r w:rsidRPr="003E2DBC">
        <w:rPr>
          <w:rFonts w:ascii="Times New Roman" w:hAnsi="Times New Roman" w:cs="Times New Roman"/>
          <w:color w:val="auto"/>
          <w:sz w:val="24"/>
          <w:szCs w:val="24"/>
        </w:rPr>
        <w:t xml:space="preserve"> namjen</w:t>
      </w:r>
      <w:r w:rsidR="00596944">
        <w:rPr>
          <w:rFonts w:ascii="Times New Roman" w:hAnsi="Times New Roman" w:cs="Times New Roman"/>
          <w:color w:val="auto"/>
          <w:sz w:val="24"/>
          <w:szCs w:val="24"/>
        </w:rPr>
        <w:t>u</w:t>
      </w:r>
      <w:r w:rsidRPr="003E2DBC">
        <w:rPr>
          <w:rFonts w:ascii="Times New Roman" w:hAnsi="Times New Roman" w:cs="Times New Roman"/>
          <w:color w:val="auto"/>
          <w:sz w:val="24"/>
          <w:szCs w:val="24"/>
        </w:rPr>
        <w:t xml:space="preserve"> zemljišta kojom se može postići v</w:t>
      </w:r>
      <w:r w:rsidR="00596944">
        <w:rPr>
          <w:rFonts w:ascii="Times New Roman" w:hAnsi="Times New Roman" w:cs="Times New Roman"/>
          <w:color w:val="auto"/>
          <w:sz w:val="24"/>
          <w:szCs w:val="24"/>
        </w:rPr>
        <w:t>eća</w:t>
      </w:r>
      <w:r w:rsidRPr="003E2DBC">
        <w:rPr>
          <w:rFonts w:ascii="Times New Roman" w:hAnsi="Times New Roman" w:cs="Times New Roman"/>
          <w:color w:val="auto"/>
          <w:sz w:val="24"/>
          <w:szCs w:val="24"/>
        </w:rPr>
        <w:t xml:space="preserve"> iskoristivost odnosno produktivnost na istoj čestici u odnosu na samo jednu namjenu. </w:t>
      </w:r>
      <w:r w:rsidR="00495749">
        <w:rPr>
          <w:rFonts w:ascii="Times New Roman" w:hAnsi="Times New Roman" w:cs="Times New Roman"/>
          <w:color w:val="auto"/>
          <w:sz w:val="24"/>
          <w:szCs w:val="24"/>
        </w:rPr>
        <w:t xml:space="preserve">Postavljanje Agrosolara na  </w:t>
      </w:r>
      <w:r w:rsidR="00495749" w:rsidRPr="00495749">
        <w:rPr>
          <w:rFonts w:ascii="Times New Roman" w:hAnsi="Times New Roman" w:cs="Times New Roman"/>
          <w:color w:val="auto"/>
          <w:sz w:val="24"/>
          <w:szCs w:val="24"/>
        </w:rPr>
        <w:t xml:space="preserve">poljoprivredna zemljišta </w:t>
      </w:r>
      <w:r w:rsidR="00495749">
        <w:rPr>
          <w:rFonts w:ascii="Times New Roman" w:hAnsi="Times New Roman" w:cs="Times New Roman"/>
          <w:color w:val="auto"/>
          <w:sz w:val="24"/>
          <w:szCs w:val="24"/>
        </w:rPr>
        <w:t xml:space="preserve">je moguća, no za realizaciju takvih projekata nužno je povezivanje s prostornim planovima.  </w:t>
      </w:r>
    </w:p>
    <w:p w:rsidR="00DF7141" w:rsidRPr="00222A78" w:rsidRDefault="005B7182" w:rsidP="00C90729">
      <w:pPr>
        <w:pStyle w:val="Naslov2"/>
      </w:pPr>
      <w:bookmarkStart w:id="320" w:name="_Toc105137877"/>
      <w:bookmarkStart w:id="321" w:name="_Toc105396327"/>
      <w:bookmarkStart w:id="322" w:name="_Toc105756700"/>
      <w:bookmarkStart w:id="323" w:name="_Toc105973478"/>
      <w:r w:rsidRPr="00222A78">
        <w:t>UTJECAJ NA OKOLIŠ I PRIRODU</w:t>
      </w:r>
      <w:bookmarkEnd w:id="320"/>
      <w:bookmarkEnd w:id="321"/>
      <w:bookmarkEnd w:id="322"/>
      <w:bookmarkEnd w:id="323"/>
    </w:p>
    <w:p w:rsidR="00DF7141" w:rsidRPr="008609F9"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Tijekom razvoja projekata obnovljivih izvora energije, ovisno o tipu postrojenja, nužno je proći proceduru procjene utjecaja zahvata na okoliš i na prirodu, kako je definirano nadležnim zakonima - Zakon o zaštiti okoliša (N</w:t>
      </w:r>
      <w:r w:rsidR="00185F10" w:rsidRPr="00003942">
        <w:rPr>
          <w:rFonts w:ascii="Times New Roman" w:hAnsi="Times New Roman" w:cs="Times New Roman"/>
          <w:color w:val="auto"/>
          <w:sz w:val="24"/>
          <w:szCs w:val="24"/>
        </w:rPr>
        <w:t>arodne novine, br</w:t>
      </w:r>
      <w:r w:rsidRPr="00BB78F5">
        <w:rPr>
          <w:rFonts w:ascii="Times New Roman" w:hAnsi="Times New Roman" w:cs="Times New Roman"/>
          <w:color w:val="auto"/>
          <w:sz w:val="24"/>
          <w:szCs w:val="24"/>
        </w:rPr>
        <w:t xml:space="preserve">80/2013, </w:t>
      </w:r>
      <w:r w:rsidRPr="003E2DBC">
        <w:rPr>
          <w:rFonts w:ascii="Times New Roman" w:hAnsi="Times New Roman" w:cs="Times New Roman"/>
          <w:color w:val="auto"/>
          <w:sz w:val="24"/>
          <w:szCs w:val="24"/>
        </w:rPr>
        <w:t>78/2015, 12/2018, 118/2018) i Zakon o zaštiti prirode (N</w:t>
      </w:r>
      <w:r w:rsidR="00185F10" w:rsidRPr="003E2DBC">
        <w:rPr>
          <w:rFonts w:ascii="Times New Roman" w:hAnsi="Times New Roman" w:cs="Times New Roman"/>
          <w:color w:val="auto"/>
          <w:sz w:val="24"/>
          <w:szCs w:val="24"/>
        </w:rPr>
        <w:t>arodne novine, br.</w:t>
      </w:r>
      <w:r w:rsidRPr="003E2DBC">
        <w:rPr>
          <w:rFonts w:ascii="Times New Roman" w:hAnsi="Times New Roman" w:cs="Times New Roman"/>
          <w:color w:val="auto"/>
          <w:sz w:val="24"/>
          <w:szCs w:val="24"/>
        </w:rPr>
        <w:t xml:space="preserve"> 80/2013, </w:t>
      </w:r>
      <w:r w:rsidRPr="00B265E1">
        <w:rPr>
          <w:rFonts w:ascii="Times New Roman" w:hAnsi="Times New Roman" w:cs="Times New Roman"/>
          <w:color w:val="auto"/>
          <w:sz w:val="24"/>
          <w:szCs w:val="24"/>
        </w:rPr>
        <w:t>15/2018, 14/2019, 127/2019) te pripadajućim podzakonskim aktima, posebice Uredbom o procjeni utjecaja zahvata</w:t>
      </w:r>
      <w:r w:rsidRPr="008609F9">
        <w:rPr>
          <w:rFonts w:ascii="Times New Roman" w:hAnsi="Times New Roman" w:cs="Times New Roman"/>
          <w:color w:val="auto"/>
          <w:sz w:val="24"/>
          <w:szCs w:val="24"/>
        </w:rPr>
        <w:t xml:space="preserve"> na okoliš (N</w:t>
      </w:r>
      <w:r w:rsidR="00185F10" w:rsidRPr="008609F9">
        <w:rPr>
          <w:rFonts w:ascii="Times New Roman" w:hAnsi="Times New Roman" w:cs="Times New Roman"/>
          <w:color w:val="auto"/>
          <w:sz w:val="24"/>
          <w:szCs w:val="24"/>
        </w:rPr>
        <w:t>arodne novine, br.</w:t>
      </w:r>
      <w:r w:rsidRPr="008609F9">
        <w:rPr>
          <w:rFonts w:ascii="Times New Roman" w:hAnsi="Times New Roman" w:cs="Times New Roman"/>
          <w:color w:val="auto"/>
          <w:sz w:val="24"/>
          <w:szCs w:val="24"/>
        </w:rPr>
        <w:t xml:space="preserve"> 61/2014 i 3/2017). </w:t>
      </w:r>
    </w:p>
    <w:p w:rsidR="00DF7141" w:rsidRPr="00387E05" w:rsidRDefault="00DF7141" w:rsidP="002D7C87">
      <w:pPr>
        <w:pStyle w:val="Tijeloteksta"/>
        <w:rPr>
          <w:rFonts w:ascii="Times New Roman" w:hAnsi="Times New Roman" w:cs="Times New Roman"/>
          <w:color w:val="auto"/>
          <w:sz w:val="24"/>
          <w:szCs w:val="24"/>
        </w:rPr>
      </w:pPr>
      <w:r w:rsidRPr="00387E05">
        <w:rPr>
          <w:rFonts w:ascii="Times New Roman" w:hAnsi="Times New Roman" w:cs="Times New Roman"/>
          <w:color w:val="auto"/>
          <w:sz w:val="24"/>
          <w:szCs w:val="24"/>
        </w:rPr>
        <w:t>U načelu, za razvoje projekata OIE, postupci se sastoje od:</w:t>
      </w:r>
    </w:p>
    <w:p w:rsidR="00DF7141" w:rsidRPr="00331C56" w:rsidRDefault="00DF7141" w:rsidP="002D7C87">
      <w:pPr>
        <w:pStyle w:val="Tijeloteksta"/>
        <w:numPr>
          <w:ilvl w:val="0"/>
          <w:numId w:val="31"/>
        </w:numPr>
        <w:rPr>
          <w:rFonts w:ascii="Times New Roman" w:hAnsi="Times New Roman" w:cs="Times New Roman"/>
          <w:color w:val="auto"/>
          <w:sz w:val="24"/>
          <w:szCs w:val="24"/>
        </w:rPr>
      </w:pPr>
      <w:r w:rsidRPr="0024150C">
        <w:rPr>
          <w:rFonts w:ascii="Times New Roman" w:hAnsi="Times New Roman" w:cs="Times New Roman"/>
          <w:color w:val="auto"/>
          <w:sz w:val="24"/>
          <w:szCs w:val="24"/>
        </w:rPr>
        <w:t>Ocjene o potrebi procjene utjecaja zahvata na okoliš (OPUO)</w:t>
      </w:r>
    </w:p>
    <w:p w:rsidR="00DF7141" w:rsidRPr="00331C56" w:rsidRDefault="00DF7141" w:rsidP="002D7C87">
      <w:pPr>
        <w:pStyle w:val="Tijeloteksta"/>
        <w:numPr>
          <w:ilvl w:val="0"/>
          <w:numId w:val="31"/>
        </w:numPr>
        <w:rPr>
          <w:rFonts w:ascii="Times New Roman" w:hAnsi="Times New Roman" w:cs="Times New Roman"/>
          <w:color w:val="auto"/>
          <w:sz w:val="24"/>
          <w:szCs w:val="24"/>
        </w:rPr>
      </w:pPr>
      <w:r w:rsidRPr="00331C56">
        <w:rPr>
          <w:rFonts w:ascii="Times New Roman" w:hAnsi="Times New Roman" w:cs="Times New Roman"/>
          <w:color w:val="auto"/>
          <w:sz w:val="24"/>
          <w:szCs w:val="24"/>
        </w:rPr>
        <w:t>Procjene utjecaja zahvata na okoliš (PUO)</w:t>
      </w:r>
    </w:p>
    <w:p w:rsidR="00DF7141" w:rsidRPr="00331C56" w:rsidRDefault="00DF7141" w:rsidP="002D7C87">
      <w:pPr>
        <w:pStyle w:val="Tijeloteksta"/>
        <w:numPr>
          <w:ilvl w:val="0"/>
          <w:numId w:val="31"/>
        </w:numPr>
        <w:rPr>
          <w:rFonts w:ascii="Times New Roman" w:hAnsi="Times New Roman" w:cs="Times New Roman"/>
          <w:color w:val="auto"/>
          <w:sz w:val="24"/>
          <w:szCs w:val="24"/>
        </w:rPr>
      </w:pPr>
      <w:r w:rsidRPr="00331C56">
        <w:rPr>
          <w:rFonts w:ascii="Times New Roman" w:hAnsi="Times New Roman" w:cs="Times New Roman"/>
          <w:color w:val="auto"/>
          <w:sz w:val="24"/>
          <w:szCs w:val="24"/>
        </w:rPr>
        <w:t>Ocjene prihvatljivosti za ekološku mrežu (Prethodna i glavna ocjena)</w:t>
      </w:r>
    </w:p>
    <w:p w:rsidR="00DF7141" w:rsidRPr="00387E05" w:rsidRDefault="00DF7141" w:rsidP="002D7C87">
      <w:pPr>
        <w:pStyle w:val="Tijeloteksta"/>
        <w:rPr>
          <w:rFonts w:ascii="Times New Roman" w:hAnsi="Times New Roman" w:cs="Times New Roman"/>
          <w:color w:val="auto"/>
          <w:sz w:val="24"/>
          <w:szCs w:val="24"/>
        </w:rPr>
      </w:pPr>
      <w:r w:rsidRPr="00331C56">
        <w:rPr>
          <w:rFonts w:ascii="Times New Roman" w:hAnsi="Times New Roman" w:cs="Times New Roman"/>
          <w:color w:val="auto"/>
          <w:sz w:val="24"/>
          <w:szCs w:val="24"/>
        </w:rPr>
        <w:t xml:space="preserve">Iako su postupci procjene utjecaja zahvata na okoliš i ocjene prihvatljivosti zahvata za ekološku mrežu dva odvojena postupka koja se vode pri različitim upravama unutar </w:t>
      </w:r>
      <w:r w:rsidR="00BC50A1" w:rsidRPr="00222A78">
        <w:rPr>
          <w:rFonts w:ascii="Times New Roman" w:hAnsi="Times New Roman" w:cs="Times New Roman"/>
          <w:color w:val="auto"/>
          <w:sz w:val="24"/>
          <w:szCs w:val="24"/>
        </w:rPr>
        <w:t>MINGOR</w:t>
      </w:r>
      <w:r w:rsidRPr="00192851">
        <w:rPr>
          <w:rFonts w:ascii="Times New Roman" w:hAnsi="Times New Roman" w:cs="Times New Roman"/>
          <w:color w:val="auto"/>
          <w:sz w:val="24"/>
          <w:szCs w:val="24"/>
        </w:rPr>
        <w:t xml:space="preserve">-a, </w:t>
      </w:r>
      <w:r w:rsidR="00CD61D1" w:rsidRPr="00003942">
        <w:rPr>
          <w:rFonts w:ascii="Times New Roman" w:hAnsi="Times New Roman" w:cs="Times New Roman"/>
          <w:color w:val="auto"/>
          <w:sz w:val="24"/>
          <w:szCs w:val="24"/>
        </w:rPr>
        <w:t>sukladno odredbama Zakona o zaštiti okoliša i Zakona o zaštiti prirode postupci su povezani na način da se u okviru ocjene o potrebi procjene utjecaja na okoliš provodi postupak prethodne ocjene prihvatljivosti za ekološku mrežu te da se u okviru postupka procjene utjecaja na okoliš provodi postupak glavne  ocjene prihvatljivosti za ekološku</w:t>
      </w:r>
      <w:r w:rsidR="00596944">
        <w:rPr>
          <w:rFonts w:ascii="Times New Roman" w:hAnsi="Times New Roman" w:cs="Times New Roman"/>
          <w:color w:val="auto"/>
          <w:sz w:val="24"/>
          <w:szCs w:val="24"/>
        </w:rPr>
        <w:t xml:space="preserve"> mrežu</w:t>
      </w:r>
      <w:r w:rsidR="00CD61D1" w:rsidRPr="00596944">
        <w:rPr>
          <w:rFonts w:ascii="Times New Roman" w:hAnsi="Times New Roman" w:cs="Times New Roman"/>
          <w:color w:val="auto"/>
          <w:sz w:val="24"/>
          <w:szCs w:val="24"/>
        </w:rPr>
        <w:t xml:space="preserve">, ako je obveza za njegovu provedbu propisana u </w:t>
      </w:r>
      <w:r w:rsidR="00CD61D1" w:rsidRPr="00596944">
        <w:rPr>
          <w:rFonts w:ascii="Times New Roman" w:hAnsi="Times New Roman" w:cs="Times New Roman"/>
          <w:color w:val="auto"/>
          <w:sz w:val="24"/>
          <w:szCs w:val="24"/>
        </w:rPr>
        <w:lastRenderedPageBreak/>
        <w:t>postupku prethodne ocjene prihvatljivosti za ekološku mrežu, koja je provedena kao samostalni postupak ili u okviru ocjene o potrebi procjene utjecaja n</w:t>
      </w:r>
      <w:r w:rsidR="00CD61D1" w:rsidRPr="008609F9">
        <w:rPr>
          <w:rFonts w:ascii="Times New Roman" w:hAnsi="Times New Roman" w:cs="Times New Roman"/>
          <w:color w:val="auto"/>
          <w:sz w:val="24"/>
          <w:szCs w:val="24"/>
        </w:rPr>
        <w:t>a okoliš.</w:t>
      </w:r>
    </w:p>
    <w:p w:rsidR="00DF7141" w:rsidRPr="00331C56" w:rsidRDefault="00DF7141" w:rsidP="002D7C87">
      <w:pPr>
        <w:pStyle w:val="Tijeloteksta"/>
        <w:rPr>
          <w:rFonts w:ascii="Times New Roman" w:hAnsi="Times New Roman" w:cs="Times New Roman"/>
          <w:color w:val="auto"/>
          <w:sz w:val="24"/>
          <w:szCs w:val="24"/>
        </w:rPr>
      </w:pPr>
      <w:r w:rsidRPr="0024150C">
        <w:rPr>
          <w:rFonts w:ascii="Times New Roman" w:hAnsi="Times New Roman" w:cs="Times New Roman"/>
          <w:color w:val="auto"/>
          <w:sz w:val="24"/>
          <w:szCs w:val="24"/>
        </w:rPr>
        <w:t xml:space="preserve">Procjena utjecaja na okoliš je </w:t>
      </w:r>
      <w:r w:rsidR="00CD61D1" w:rsidRPr="00331C56">
        <w:rPr>
          <w:rFonts w:ascii="Times New Roman" w:hAnsi="Times New Roman" w:cs="Times New Roman"/>
          <w:color w:val="auto"/>
          <w:sz w:val="24"/>
          <w:szCs w:val="24"/>
        </w:rPr>
        <w:t>obvezna</w:t>
      </w:r>
      <w:r w:rsidR="00F92A2B" w:rsidRPr="00331C56">
        <w:rPr>
          <w:rFonts w:ascii="Times New Roman" w:hAnsi="Times New Roman" w:cs="Times New Roman"/>
          <w:color w:val="auto"/>
          <w:sz w:val="24"/>
          <w:szCs w:val="24"/>
        </w:rPr>
        <w:t xml:space="preserve"> </w:t>
      </w:r>
      <w:r w:rsidRPr="00331C56">
        <w:rPr>
          <w:rFonts w:ascii="Times New Roman" w:hAnsi="Times New Roman" w:cs="Times New Roman"/>
          <w:color w:val="auto"/>
          <w:sz w:val="24"/>
          <w:szCs w:val="24"/>
        </w:rPr>
        <w:t>za zahvate definirane Prilogom I. Uredbe, a koji se tiču projekata OIE:</w:t>
      </w:r>
    </w:p>
    <w:p w:rsidR="00DF7141" w:rsidRPr="00222A78" w:rsidRDefault="00DF7141" w:rsidP="002D7C87">
      <w:pPr>
        <w:pStyle w:val="Tijeloteksta"/>
        <w:numPr>
          <w:ilvl w:val="0"/>
          <w:numId w:val="31"/>
        </w:numPr>
        <w:rPr>
          <w:rFonts w:ascii="Times New Roman" w:hAnsi="Times New Roman" w:cs="Times New Roman"/>
          <w:color w:val="auto"/>
          <w:sz w:val="24"/>
          <w:szCs w:val="24"/>
        </w:rPr>
      </w:pPr>
      <w:r w:rsidRPr="00222A78">
        <w:rPr>
          <w:rFonts w:ascii="Times New Roman" w:hAnsi="Times New Roman" w:cs="Times New Roman"/>
          <w:color w:val="auto"/>
          <w:sz w:val="24"/>
          <w:szCs w:val="24"/>
        </w:rPr>
        <w:t>Elektrane i energane snage veće od 100 MW</w:t>
      </w:r>
      <w:r w:rsidRPr="00222A78">
        <w:rPr>
          <w:rFonts w:ascii="Times New Roman" w:hAnsi="Times New Roman" w:cs="Times New Roman"/>
          <w:color w:val="auto"/>
          <w:sz w:val="24"/>
          <w:szCs w:val="24"/>
          <w:vertAlign w:val="subscript"/>
        </w:rPr>
        <w:t>el</w:t>
      </w:r>
    </w:p>
    <w:p w:rsidR="00DF7141" w:rsidRPr="00003942" w:rsidRDefault="00DF7141" w:rsidP="002D7C87">
      <w:pPr>
        <w:pStyle w:val="Tijeloteksta"/>
        <w:numPr>
          <w:ilvl w:val="0"/>
          <w:numId w:val="31"/>
        </w:numPr>
        <w:rPr>
          <w:rFonts w:ascii="Times New Roman" w:hAnsi="Times New Roman" w:cs="Times New Roman"/>
          <w:color w:val="auto"/>
          <w:sz w:val="24"/>
          <w:szCs w:val="24"/>
        </w:rPr>
      </w:pPr>
      <w:r w:rsidRPr="00192851">
        <w:rPr>
          <w:rFonts w:ascii="Times New Roman" w:hAnsi="Times New Roman" w:cs="Times New Roman"/>
          <w:color w:val="auto"/>
          <w:sz w:val="24"/>
          <w:szCs w:val="24"/>
        </w:rPr>
        <w:t>Vjetroelektrane snage veće od 20 MW</w:t>
      </w:r>
      <w:r w:rsidRPr="00192851">
        <w:rPr>
          <w:rFonts w:ascii="Times New Roman" w:hAnsi="Times New Roman" w:cs="Times New Roman"/>
          <w:color w:val="auto"/>
          <w:sz w:val="24"/>
          <w:szCs w:val="24"/>
          <w:vertAlign w:val="subscript"/>
        </w:rPr>
        <w:t>el</w:t>
      </w:r>
    </w:p>
    <w:p w:rsidR="00DF7141" w:rsidRPr="00003942" w:rsidRDefault="00DF7141" w:rsidP="002D7C87">
      <w:pPr>
        <w:pStyle w:val="Tijeloteksta"/>
        <w:numPr>
          <w:ilvl w:val="0"/>
          <w:numId w:val="31"/>
        </w:numPr>
        <w:rPr>
          <w:rFonts w:ascii="Times New Roman" w:hAnsi="Times New Roman" w:cs="Times New Roman"/>
          <w:color w:val="auto"/>
          <w:sz w:val="24"/>
          <w:szCs w:val="24"/>
        </w:rPr>
      </w:pPr>
      <w:r w:rsidRPr="00003942">
        <w:rPr>
          <w:rFonts w:ascii="Times New Roman" w:hAnsi="Times New Roman" w:cs="Times New Roman"/>
          <w:color w:val="auto"/>
          <w:sz w:val="24"/>
          <w:szCs w:val="24"/>
        </w:rPr>
        <w:t>Proizvodnja biogoriva kapaciteta 100.000 t/god i više</w:t>
      </w:r>
    </w:p>
    <w:p w:rsidR="00DF7141" w:rsidRPr="00003942" w:rsidRDefault="00DF7141" w:rsidP="002D7C87">
      <w:pPr>
        <w:pStyle w:val="Tijeloteksta"/>
        <w:numPr>
          <w:ilvl w:val="0"/>
          <w:numId w:val="31"/>
        </w:numPr>
        <w:rPr>
          <w:rFonts w:ascii="Times New Roman" w:hAnsi="Times New Roman" w:cs="Times New Roman"/>
          <w:color w:val="auto"/>
          <w:sz w:val="24"/>
          <w:szCs w:val="24"/>
        </w:rPr>
      </w:pPr>
      <w:r w:rsidRPr="00003942">
        <w:rPr>
          <w:rFonts w:ascii="Times New Roman" w:hAnsi="Times New Roman" w:cs="Times New Roman"/>
          <w:color w:val="auto"/>
          <w:sz w:val="24"/>
          <w:szCs w:val="24"/>
        </w:rPr>
        <w:t>Dalekovodi, transformatorska i rasklopna postrojenja napona 220 kV i više, duljine 10 km i više</w:t>
      </w:r>
    </w:p>
    <w:p w:rsidR="00DF7141" w:rsidRPr="003E2DBC"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Ukoliko je zahvat na popisu zahvata iz Priloga II. ili Priloga III. Uredbe, nositelj </w:t>
      </w:r>
      <w:r w:rsidR="00596944">
        <w:rPr>
          <w:rFonts w:ascii="Times New Roman" w:hAnsi="Times New Roman" w:cs="Times New Roman"/>
          <w:color w:val="auto"/>
          <w:sz w:val="24"/>
          <w:szCs w:val="24"/>
        </w:rPr>
        <w:t>je zakonski obvezan</w:t>
      </w:r>
      <w:r w:rsidR="002953DC" w:rsidRPr="00003942">
        <w:rPr>
          <w:rFonts w:ascii="Times New Roman" w:hAnsi="Times New Roman" w:cs="Times New Roman"/>
          <w:color w:val="auto"/>
          <w:sz w:val="24"/>
          <w:szCs w:val="24"/>
        </w:rPr>
        <w:t xml:space="preserve"> </w:t>
      </w:r>
      <w:r w:rsidRPr="00F63D65">
        <w:rPr>
          <w:rFonts w:ascii="Times New Roman" w:hAnsi="Times New Roman" w:cs="Times New Roman"/>
          <w:color w:val="auto"/>
          <w:sz w:val="24"/>
          <w:szCs w:val="24"/>
        </w:rPr>
        <w:t xml:space="preserve">zatražiti od nadležnog tijela provedbu postupka ocjene o potrebi procjene utjecaja zahvata na okoliš ili može odmah </w:t>
      </w:r>
      <w:r w:rsidR="002953DC" w:rsidRPr="00BB78F5">
        <w:rPr>
          <w:rFonts w:ascii="Times New Roman" w:hAnsi="Times New Roman" w:cs="Times New Roman"/>
          <w:color w:val="auto"/>
          <w:sz w:val="24"/>
          <w:szCs w:val="24"/>
        </w:rPr>
        <w:t xml:space="preserve">pokrenuti postupak procjene utjecaja na okoliš i </w:t>
      </w:r>
      <w:r w:rsidRPr="003E2DBC">
        <w:rPr>
          <w:rFonts w:ascii="Times New Roman" w:hAnsi="Times New Roman" w:cs="Times New Roman"/>
          <w:color w:val="auto"/>
          <w:sz w:val="24"/>
          <w:szCs w:val="24"/>
        </w:rPr>
        <w:t>pristupiti izradi studije. Zahvati koji se tiču razvoja projekata OIE su:</w:t>
      </w:r>
    </w:p>
    <w:p w:rsidR="00DF7141" w:rsidRPr="003E2DBC" w:rsidRDefault="00DF7141" w:rsidP="002D7C87">
      <w:pPr>
        <w:pStyle w:val="Tijeloteksta"/>
        <w:numPr>
          <w:ilvl w:val="0"/>
          <w:numId w:val="31"/>
        </w:numPr>
        <w:rPr>
          <w:rFonts w:ascii="Times New Roman" w:hAnsi="Times New Roman" w:cs="Times New Roman"/>
          <w:color w:val="auto"/>
          <w:sz w:val="24"/>
          <w:szCs w:val="24"/>
        </w:rPr>
      </w:pPr>
      <w:r w:rsidRPr="003E2DBC">
        <w:rPr>
          <w:rFonts w:ascii="Times New Roman" w:hAnsi="Times New Roman" w:cs="Times New Roman"/>
          <w:color w:val="auto"/>
          <w:sz w:val="24"/>
          <w:szCs w:val="24"/>
        </w:rPr>
        <w:t>Postrojenja za proizvodnju električne energije, pare i vruće vode snage veće od 10 MW</w:t>
      </w:r>
      <w:r w:rsidRPr="003E2DBC">
        <w:rPr>
          <w:rFonts w:ascii="Times New Roman" w:hAnsi="Times New Roman" w:cs="Times New Roman"/>
          <w:color w:val="auto"/>
          <w:sz w:val="24"/>
          <w:szCs w:val="24"/>
          <w:vertAlign w:val="subscript"/>
        </w:rPr>
        <w:t>el</w:t>
      </w:r>
      <w:r w:rsidRPr="003E2DBC">
        <w:rPr>
          <w:rFonts w:ascii="Times New Roman" w:hAnsi="Times New Roman" w:cs="Times New Roman"/>
          <w:color w:val="auto"/>
          <w:sz w:val="24"/>
          <w:szCs w:val="24"/>
        </w:rPr>
        <w:t xml:space="preserve"> uz korištenje: - fosilnih i krutih goriva - obnovljivih izvora energije (osim vode, sunca i vjetra)</w:t>
      </w:r>
    </w:p>
    <w:p w:rsidR="00DF7141" w:rsidRPr="003E2DBC" w:rsidRDefault="00DF7141" w:rsidP="002D7C87">
      <w:pPr>
        <w:pStyle w:val="Tijeloteksta"/>
        <w:numPr>
          <w:ilvl w:val="0"/>
          <w:numId w:val="31"/>
        </w:numPr>
        <w:rPr>
          <w:rFonts w:ascii="Times New Roman" w:hAnsi="Times New Roman" w:cs="Times New Roman"/>
          <w:color w:val="auto"/>
          <w:sz w:val="24"/>
          <w:szCs w:val="24"/>
        </w:rPr>
      </w:pPr>
      <w:r w:rsidRPr="003E2DBC">
        <w:rPr>
          <w:rFonts w:ascii="Times New Roman" w:hAnsi="Times New Roman" w:cs="Times New Roman"/>
          <w:color w:val="auto"/>
          <w:sz w:val="24"/>
          <w:szCs w:val="24"/>
        </w:rPr>
        <w:t>Hidroelektrane</w:t>
      </w:r>
    </w:p>
    <w:p w:rsidR="00DF7141" w:rsidRPr="003E2DBC" w:rsidRDefault="00DF7141" w:rsidP="002D7C87">
      <w:pPr>
        <w:pStyle w:val="Tijeloteksta"/>
        <w:numPr>
          <w:ilvl w:val="0"/>
          <w:numId w:val="31"/>
        </w:numPr>
        <w:rPr>
          <w:rFonts w:ascii="Times New Roman" w:hAnsi="Times New Roman" w:cs="Times New Roman"/>
          <w:color w:val="auto"/>
          <w:sz w:val="24"/>
          <w:szCs w:val="24"/>
        </w:rPr>
      </w:pPr>
      <w:r w:rsidRPr="003E2DBC">
        <w:rPr>
          <w:rFonts w:ascii="Times New Roman" w:hAnsi="Times New Roman" w:cs="Times New Roman"/>
          <w:color w:val="auto"/>
          <w:sz w:val="24"/>
          <w:szCs w:val="24"/>
        </w:rPr>
        <w:t>Vjetroelektrane</w:t>
      </w:r>
    </w:p>
    <w:p w:rsidR="00DF7141" w:rsidRPr="008609F9" w:rsidRDefault="00DF7141" w:rsidP="002D7C87">
      <w:pPr>
        <w:pStyle w:val="Tijeloteksta"/>
        <w:numPr>
          <w:ilvl w:val="0"/>
          <w:numId w:val="31"/>
        </w:numPr>
        <w:rPr>
          <w:rFonts w:ascii="Times New Roman" w:hAnsi="Times New Roman" w:cs="Times New Roman"/>
          <w:color w:val="auto"/>
          <w:sz w:val="24"/>
          <w:szCs w:val="24"/>
        </w:rPr>
      </w:pPr>
      <w:r w:rsidRPr="008609F9">
        <w:rPr>
          <w:rFonts w:ascii="Times New Roman" w:hAnsi="Times New Roman" w:cs="Times New Roman"/>
          <w:color w:val="auto"/>
          <w:sz w:val="24"/>
          <w:szCs w:val="24"/>
        </w:rPr>
        <w:t>Sunčane elektrane kao samostojeći objekti</w:t>
      </w:r>
    </w:p>
    <w:p w:rsidR="00DF7141" w:rsidRPr="008609F9" w:rsidRDefault="00DF7141" w:rsidP="002D7C87">
      <w:pPr>
        <w:pStyle w:val="Tijeloteksta"/>
        <w:numPr>
          <w:ilvl w:val="0"/>
          <w:numId w:val="31"/>
        </w:numPr>
        <w:rPr>
          <w:rFonts w:ascii="Times New Roman" w:hAnsi="Times New Roman" w:cs="Times New Roman"/>
          <w:color w:val="auto"/>
          <w:sz w:val="24"/>
          <w:szCs w:val="24"/>
        </w:rPr>
      </w:pPr>
      <w:r w:rsidRPr="008609F9">
        <w:rPr>
          <w:rFonts w:ascii="Times New Roman" w:hAnsi="Times New Roman" w:cs="Times New Roman"/>
          <w:color w:val="auto"/>
          <w:sz w:val="24"/>
          <w:szCs w:val="24"/>
        </w:rPr>
        <w:t>Prijenos električne energije nadzemnim vodovima napona 110 kV i više koji su u sklopu prijenosne mreže</w:t>
      </w:r>
    </w:p>
    <w:p w:rsidR="00DF7141" w:rsidRPr="00387E05" w:rsidRDefault="00DF7141" w:rsidP="002D7C87">
      <w:pPr>
        <w:pStyle w:val="Tijeloteksta"/>
        <w:numPr>
          <w:ilvl w:val="0"/>
          <w:numId w:val="31"/>
        </w:numPr>
        <w:rPr>
          <w:rFonts w:ascii="Times New Roman" w:hAnsi="Times New Roman" w:cs="Times New Roman"/>
          <w:color w:val="auto"/>
          <w:sz w:val="24"/>
          <w:szCs w:val="24"/>
        </w:rPr>
      </w:pPr>
      <w:r w:rsidRPr="00387E05">
        <w:rPr>
          <w:rFonts w:ascii="Times New Roman" w:hAnsi="Times New Roman" w:cs="Times New Roman"/>
          <w:color w:val="auto"/>
          <w:sz w:val="24"/>
          <w:szCs w:val="24"/>
        </w:rPr>
        <w:t>Proizvodnja biogoriva kapaciteta 20.000 t/godišnje i više</w:t>
      </w:r>
    </w:p>
    <w:p w:rsidR="00DF7141" w:rsidRPr="0024150C" w:rsidRDefault="00DF7141" w:rsidP="002D7C87">
      <w:pPr>
        <w:pStyle w:val="Tijeloteksta"/>
        <w:rPr>
          <w:rFonts w:ascii="Times New Roman" w:hAnsi="Times New Roman" w:cs="Times New Roman"/>
          <w:color w:val="auto"/>
          <w:sz w:val="24"/>
          <w:szCs w:val="24"/>
        </w:rPr>
      </w:pPr>
      <w:r w:rsidRPr="00387E05">
        <w:rPr>
          <w:rFonts w:ascii="Times New Roman" w:hAnsi="Times New Roman" w:cs="Times New Roman"/>
          <w:color w:val="auto"/>
          <w:sz w:val="24"/>
          <w:szCs w:val="24"/>
        </w:rPr>
        <w:t xml:space="preserve">Postupak prethodne ocjene prihvatljivosti za ekološku za postrojenja iz Priloga II. </w:t>
      </w:r>
      <w:r w:rsidR="00CD61D1" w:rsidRPr="00387E05">
        <w:rPr>
          <w:rFonts w:ascii="Times New Roman" w:hAnsi="Times New Roman" w:cs="Times New Roman"/>
          <w:color w:val="auto"/>
          <w:sz w:val="24"/>
          <w:szCs w:val="24"/>
        </w:rPr>
        <w:t xml:space="preserve">i III. </w:t>
      </w:r>
      <w:r w:rsidRPr="00387E05">
        <w:rPr>
          <w:rFonts w:ascii="Times New Roman" w:hAnsi="Times New Roman" w:cs="Times New Roman"/>
          <w:color w:val="auto"/>
          <w:sz w:val="24"/>
          <w:szCs w:val="24"/>
        </w:rPr>
        <w:t xml:space="preserve">Uredbe provodi </w:t>
      </w:r>
      <w:r w:rsidR="00596944">
        <w:rPr>
          <w:rFonts w:ascii="Times New Roman" w:hAnsi="Times New Roman" w:cs="Times New Roman"/>
          <w:color w:val="auto"/>
          <w:sz w:val="24"/>
          <w:szCs w:val="24"/>
        </w:rPr>
        <w:t xml:space="preserve">se </w:t>
      </w:r>
      <w:r w:rsidR="00CD61D1" w:rsidRPr="00596944">
        <w:rPr>
          <w:rFonts w:ascii="Times New Roman" w:hAnsi="Times New Roman" w:cs="Times New Roman"/>
          <w:color w:val="auto"/>
          <w:sz w:val="24"/>
          <w:szCs w:val="24"/>
        </w:rPr>
        <w:t>u okviru</w:t>
      </w:r>
      <w:r w:rsidRPr="008609F9">
        <w:rPr>
          <w:rFonts w:ascii="Times New Roman" w:hAnsi="Times New Roman" w:cs="Times New Roman"/>
          <w:color w:val="auto"/>
          <w:sz w:val="24"/>
          <w:szCs w:val="24"/>
        </w:rPr>
        <w:t xml:space="preserve"> s OPUO</w:t>
      </w:r>
      <w:r w:rsidR="00CD61D1" w:rsidRPr="008609F9">
        <w:rPr>
          <w:rFonts w:ascii="Times New Roman" w:hAnsi="Times New Roman" w:cs="Times New Roman"/>
          <w:color w:val="auto"/>
          <w:sz w:val="24"/>
          <w:szCs w:val="24"/>
        </w:rPr>
        <w:t xml:space="preserve"> postupk</w:t>
      </w:r>
      <w:r w:rsidR="00596944">
        <w:rPr>
          <w:rFonts w:ascii="Times New Roman" w:hAnsi="Times New Roman" w:cs="Times New Roman"/>
          <w:color w:val="auto"/>
          <w:sz w:val="24"/>
          <w:szCs w:val="24"/>
        </w:rPr>
        <w:t>om</w:t>
      </w:r>
      <w:r w:rsidRPr="008609F9">
        <w:rPr>
          <w:rFonts w:ascii="Times New Roman" w:hAnsi="Times New Roman" w:cs="Times New Roman"/>
          <w:color w:val="auto"/>
          <w:sz w:val="24"/>
          <w:szCs w:val="24"/>
        </w:rPr>
        <w:t xml:space="preserve">, dok je za ostale zahvate potrebno provesti </w:t>
      </w:r>
      <w:r w:rsidR="00CD61D1" w:rsidRPr="008609F9">
        <w:rPr>
          <w:rFonts w:ascii="Times New Roman" w:hAnsi="Times New Roman" w:cs="Times New Roman"/>
          <w:color w:val="auto"/>
          <w:sz w:val="24"/>
          <w:szCs w:val="24"/>
        </w:rPr>
        <w:t xml:space="preserve">samostalan </w:t>
      </w:r>
      <w:r w:rsidRPr="00387E05">
        <w:rPr>
          <w:rFonts w:ascii="Times New Roman" w:hAnsi="Times New Roman" w:cs="Times New Roman"/>
          <w:color w:val="auto"/>
          <w:sz w:val="24"/>
          <w:szCs w:val="24"/>
        </w:rPr>
        <w:t xml:space="preserve">postupak Prethodne ocjene prihvatljivosti zahvata na ekološku mrežu. Na temelju rješenja </w:t>
      </w:r>
      <w:r w:rsidR="00BC50A1" w:rsidRPr="00387E05">
        <w:rPr>
          <w:rFonts w:ascii="Times New Roman" w:hAnsi="Times New Roman" w:cs="Times New Roman"/>
          <w:color w:val="auto"/>
          <w:sz w:val="24"/>
          <w:szCs w:val="24"/>
        </w:rPr>
        <w:t>MINGOR</w:t>
      </w:r>
      <w:r w:rsidRPr="00387E05">
        <w:rPr>
          <w:rFonts w:ascii="Times New Roman" w:hAnsi="Times New Roman" w:cs="Times New Roman"/>
          <w:color w:val="auto"/>
          <w:sz w:val="24"/>
          <w:szCs w:val="24"/>
        </w:rPr>
        <w:t xml:space="preserve">-a, određuje se </w:t>
      </w:r>
      <w:r w:rsidR="00CD61D1" w:rsidRPr="00387E05">
        <w:rPr>
          <w:rFonts w:ascii="Times New Roman" w:hAnsi="Times New Roman" w:cs="Times New Roman"/>
          <w:color w:val="auto"/>
          <w:sz w:val="24"/>
          <w:szCs w:val="24"/>
        </w:rPr>
        <w:t>obaveza provedbe</w:t>
      </w:r>
      <w:r w:rsidRPr="00387E05">
        <w:rPr>
          <w:rFonts w:ascii="Times New Roman" w:hAnsi="Times New Roman" w:cs="Times New Roman"/>
          <w:color w:val="auto"/>
          <w:sz w:val="24"/>
          <w:szCs w:val="24"/>
        </w:rPr>
        <w:t xml:space="preserve"> postup</w:t>
      </w:r>
      <w:r w:rsidRPr="0024150C">
        <w:rPr>
          <w:rFonts w:ascii="Times New Roman" w:hAnsi="Times New Roman" w:cs="Times New Roman"/>
          <w:color w:val="auto"/>
          <w:sz w:val="24"/>
          <w:szCs w:val="24"/>
        </w:rPr>
        <w:t>k</w:t>
      </w:r>
      <w:r w:rsidR="00387E05">
        <w:rPr>
          <w:rFonts w:ascii="Times New Roman" w:hAnsi="Times New Roman" w:cs="Times New Roman"/>
          <w:color w:val="auto"/>
          <w:sz w:val="24"/>
          <w:szCs w:val="24"/>
        </w:rPr>
        <w:t>a</w:t>
      </w:r>
      <w:r w:rsidRPr="0024150C">
        <w:rPr>
          <w:rFonts w:ascii="Times New Roman" w:hAnsi="Times New Roman" w:cs="Times New Roman"/>
          <w:color w:val="auto"/>
          <w:sz w:val="24"/>
          <w:szCs w:val="24"/>
        </w:rPr>
        <w:t xml:space="preserve"> glavne ocjene prihvatljivosti za ekološku mrežu.</w:t>
      </w:r>
    </w:p>
    <w:p w:rsidR="00560623" w:rsidRPr="00095924" w:rsidRDefault="00560623" w:rsidP="00095924">
      <w:pPr>
        <w:pStyle w:val="Naslov3"/>
        <w:numPr>
          <w:ilvl w:val="0"/>
          <w:numId w:val="0"/>
        </w:numPr>
        <w:ind w:left="1003"/>
      </w:pPr>
      <w:bookmarkStart w:id="324" w:name="_Toc105973479"/>
      <w:r w:rsidRPr="00095924">
        <w:t>Postupak OPUO</w:t>
      </w:r>
      <w:bookmarkEnd w:id="324"/>
    </w:p>
    <w:p w:rsidR="00560623" w:rsidRPr="0024150C" w:rsidRDefault="00560623" w:rsidP="00560623">
      <w:pPr>
        <w:pStyle w:val="Tijeloteksta"/>
        <w:rPr>
          <w:rFonts w:ascii="Times New Roman" w:hAnsi="Times New Roman" w:cs="Times New Roman"/>
          <w:color w:val="auto"/>
          <w:sz w:val="24"/>
          <w:szCs w:val="24"/>
        </w:rPr>
      </w:pPr>
      <w:r>
        <w:rPr>
          <w:rFonts w:ascii="Times New Roman" w:hAnsi="Times New Roman" w:cs="Times New Roman"/>
          <w:color w:val="auto"/>
          <w:sz w:val="24"/>
          <w:szCs w:val="24"/>
        </w:rPr>
        <w:t>Prema Zakonu</w:t>
      </w:r>
      <w:r w:rsidRPr="0024150C">
        <w:rPr>
          <w:rFonts w:ascii="Times New Roman" w:hAnsi="Times New Roman" w:cs="Times New Roman"/>
          <w:color w:val="auto"/>
          <w:sz w:val="24"/>
          <w:szCs w:val="24"/>
        </w:rPr>
        <w:t xml:space="preserve"> svaki projekt hidroelektrana, vjetroelektrana i sunčanih elektrana, kao samostojećih objekata, </w:t>
      </w:r>
      <w:r>
        <w:rPr>
          <w:rFonts w:ascii="Times New Roman" w:hAnsi="Times New Roman" w:cs="Times New Roman"/>
          <w:color w:val="auto"/>
          <w:sz w:val="24"/>
          <w:szCs w:val="24"/>
        </w:rPr>
        <w:t>obvezan</w:t>
      </w:r>
      <w:r w:rsidRPr="0024150C">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je </w:t>
      </w:r>
      <w:r w:rsidRPr="0024150C">
        <w:rPr>
          <w:rFonts w:ascii="Times New Roman" w:hAnsi="Times New Roman" w:cs="Times New Roman"/>
          <w:color w:val="auto"/>
          <w:sz w:val="24"/>
          <w:szCs w:val="24"/>
        </w:rPr>
        <w:t xml:space="preserve">proći kroz ove postupke, uključujući kroz OPUO u ranoj fazi planiranja projekta, </w:t>
      </w:r>
      <w:r>
        <w:rPr>
          <w:rFonts w:ascii="Times New Roman" w:hAnsi="Times New Roman" w:cs="Times New Roman"/>
          <w:color w:val="auto"/>
          <w:sz w:val="24"/>
          <w:szCs w:val="24"/>
        </w:rPr>
        <w:t xml:space="preserve">a </w:t>
      </w:r>
      <w:r w:rsidRPr="0024150C">
        <w:rPr>
          <w:rFonts w:ascii="Times New Roman" w:hAnsi="Times New Roman" w:cs="Times New Roman"/>
          <w:color w:val="auto"/>
          <w:sz w:val="24"/>
          <w:szCs w:val="24"/>
        </w:rPr>
        <w:t xml:space="preserve">prije podnošenja zahtjeva za izdavanje lokacijske dozvole za provedbu projekta ili drugog odobrenja za projekt za koji izdavanje lokacijske dozvole nije obvezno. </w:t>
      </w:r>
      <w:r>
        <w:rPr>
          <w:rFonts w:ascii="Times New Roman" w:hAnsi="Times New Roman" w:cs="Times New Roman"/>
          <w:color w:val="auto"/>
          <w:sz w:val="24"/>
          <w:szCs w:val="24"/>
        </w:rPr>
        <w:t xml:space="preserve">Obzirom na </w:t>
      </w:r>
      <w:r w:rsidRPr="0024150C">
        <w:rPr>
          <w:rFonts w:ascii="Times New Roman" w:hAnsi="Times New Roman" w:cs="Times New Roman"/>
          <w:color w:val="auto"/>
          <w:sz w:val="24"/>
          <w:szCs w:val="24"/>
        </w:rPr>
        <w:t>veliki interes nositelja projekata za razvoj projekta OIE, posebice sunčanih elektrana</w:t>
      </w:r>
      <w:r>
        <w:rPr>
          <w:rFonts w:ascii="Times New Roman" w:hAnsi="Times New Roman" w:cs="Times New Roman"/>
          <w:color w:val="auto"/>
          <w:sz w:val="24"/>
          <w:szCs w:val="24"/>
        </w:rPr>
        <w:t>,</w:t>
      </w:r>
      <w:r w:rsidRPr="0024150C">
        <w:rPr>
          <w:rFonts w:ascii="Times New Roman" w:hAnsi="Times New Roman" w:cs="Times New Roman"/>
          <w:color w:val="auto"/>
          <w:sz w:val="24"/>
          <w:szCs w:val="24"/>
        </w:rPr>
        <w:t xml:space="preserve"> podnesen je veliki broj zahtjeva za OPUO u zadnjih nekoliko godina, što je značajno opteretilo kapacitete nadležnih institucija. </w:t>
      </w:r>
    </w:p>
    <w:p w:rsidR="00560623" w:rsidRPr="0024150C" w:rsidRDefault="00560623" w:rsidP="00560623">
      <w:pPr>
        <w:pStyle w:val="Tijeloteksta"/>
        <w:rPr>
          <w:rFonts w:ascii="Times New Roman" w:hAnsi="Times New Roman" w:cs="Times New Roman"/>
          <w:color w:val="auto"/>
          <w:sz w:val="24"/>
          <w:szCs w:val="24"/>
        </w:rPr>
      </w:pPr>
      <w:r>
        <w:rPr>
          <w:rFonts w:ascii="Times New Roman" w:hAnsi="Times New Roman" w:cs="Times New Roman"/>
          <w:color w:val="auto"/>
          <w:sz w:val="24"/>
          <w:szCs w:val="24"/>
        </w:rPr>
        <w:t xml:space="preserve">Imajući u vidu </w:t>
      </w:r>
      <w:r w:rsidRPr="0024150C">
        <w:rPr>
          <w:rFonts w:ascii="Times New Roman" w:hAnsi="Times New Roman" w:cs="Times New Roman"/>
          <w:color w:val="auto"/>
          <w:sz w:val="24"/>
          <w:szCs w:val="24"/>
        </w:rPr>
        <w:t xml:space="preserve">interes nositelja projekata, karakteristike projekata i zahtjeve zakonskog okvira, najveći broj podnesenih zahtjeva odnosi se na projekte sunčanih elektrana kao samostojećih objekata, neovisno o snazi. U ovome slučaju, radi se o zaista velikom rasponu veličine projekata, od nekoliko stotina kilovata do osamdesetak megavata instalirane snage. </w:t>
      </w:r>
    </w:p>
    <w:p w:rsidR="00560623" w:rsidRPr="00F63D65" w:rsidRDefault="00560623" w:rsidP="00560623">
      <w:pPr>
        <w:pStyle w:val="Tijeloteksta"/>
        <w:rPr>
          <w:rFonts w:ascii="Times New Roman" w:hAnsi="Times New Roman" w:cs="Times New Roman"/>
          <w:color w:val="auto"/>
          <w:sz w:val="24"/>
          <w:szCs w:val="24"/>
        </w:rPr>
      </w:pPr>
      <w:r w:rsidRPr="00331C56">
        <w:rPr>
          <w:rFonts w:ascii="Times New Roman" w:hAnsi="Times New Roman" w:cs="Times New Roman"/>
          <w:color w:val="auto"/>
          <w:sz w:val="24"/>
          <w:szCs w:val="24"/>
        </w:rPr>
        <w:lastRenderedPageBreak/>
        <w:t>Dužina samog p</w:t>
      </w:r>
      <w:r>
        <w:rPr>
          <w:rFonts w:ascii="Times New Roman" w:hAnsi="Times New Roman" w:cs="Times New Roman"/>
          <w:color w:val="auto"/>
          <w:sz w:val="24"/>
          <w:szCs w:val="24"/>
        </w:rPr>
        <w:t>ostupka</w:t>
      </w:r>
      <w:r w:rsidRPr="0024150C">
        <w:rPr>
          <w:rFonts w:ascii="Times New Roman" w:hAnsi="Times New Roman" w:cs="Times New Roman"/>
          <w:color w:val="auto"/>
          <w:sz w:val="24"/>
          <w:szCs w:val="24"/>
        </w:rPr>
        <w:t xml:space="preserve"> ovisi o broju podnesenih zahtjeva</w:t>
      </w:r>
      <w:r w:rsidRPr="00003942">
        <w:rPr>
          <w:rFonts w:ascii="Times New Roman" w:hAnsi="Times New Roman" w:cs="Times New Roman"/>
          <w:color w:val="auto"/>
          <w:sz w:val="24"/>
          <w:szCs w:val="24"/>
        </w:rPr>
        <w:t xml:space="preserve"> tj. po</w:t>
      </w:r>
      <w:r w:rsidRPr="00F63D65">
        <w:rPr>
          <w:rFonts w:ascii="Times New Roman" w:hAnsi="Times New Roman" w:cs="Times New Roman"/>
          <w:color w:val="auto"/>
          <w:sz w:val="24"/>
          <w:szCs w:val="24"/>
        </w:rPr>
        <w:t>većanj</w:t>
      </w:r>
      <w:r>
        <w:rPr>
          <w:rFonts w:ascii="Times New Roman" w:hAnsi="Times New Roman" w:cs="Times New Roman"/>
          <w:color w:val="auto"/>
          <w:sz w:val="24"/>
          <w:szCs w:val="24"/>
        </w:rPr>
        <w:t>u</w:t>
      </w:r>
      <w:r w:rsidRPr="00F63D65">
        <w:rPr>
          <w:rFonts w:ascii="Times New Roman" w:hAnsi="Times New Roman" w:cs="Times New Roman"/>
          <w:color w:val="auto"/>
          <w:sz w:val="24"/>
          <w:szCs w:val="24"/>
        </w:rPr>
        <w:t xml:space="preserve">e broja zahtjeva produžuje vrijeme rješavanja svakog pojedinog zahtijeva, što se može tumačiti opterećenjem nadležnih tijela u izdavanju mišljenja u postupku OPUO-a. </w:t>
      </w:r>
    </w:p>
    <w:p w:rsidR="00560623" w:rsidRPr="003E2DBC" w:rsidRDefault="00560623" w:rsidP="00560623">
      <w:pPr>
        <w:pStyle w:val="Tijeloteksta"/>
        <w:rPr>
          <w:rFonts w:ascii="Times New Roman" w:hAnsi="Times New Roman" w:cs="Times New Roman"/>
          <w:color w:val="auto"/>
          <w:sz w:val="24"/>
          <w:szCs w:val="24"/>
        </w:rPr>
      </w:pPr>
      <w:r w:rsidRPr="003E2DBC">
        <w:rPr>
          <w:rFonts w:ascii="Times New Roman" w:hAnsi="Times New Roman" w:cs="Times New Roman"/>
          <w:color w:val="auto"/>
          <w:sz w:val="24"/>
          <w:szCs w:val="24"/>
        </w:rPr>
        <w:t>EZO, izrađen za provedbu postupka OPUO-a, šalje se na mišljenje na niz različitih javnopravnih tijela, od jedinica lokalne samouprave do tijela državne uprave nadležnim</w:t>
      </w:r>
      <w:r>
        <w:rPr>
          <w:rFonts w:ascii="Times New Roman" w:hAnsi="Times New Roman" w:cs="Times New Roman"/>
          <w:color w:val="auto"/>
          <w:sz w:val="24"/>
          <w:szCs w:val="24"/>
        </w:rPr>
        <w:t>a</w:t>
      </w:r>
      <w:r w:rsidRPr="003E2DBC">
        <w:rPr>
          <w:rFonts w:ascii="Times New Roman" w:hAnsi="Times New Roman" w:cs="Times New Roman"/>
          <w:color w:val="auto"/>
          <w:sz w:val="24"/>
          <w:szCs w:val="24"/>
        </w:rPr>
        <w:t xml:space="preserve"> za </w:t>
      </w:r>
      <w:r>
        <w:rPr>
          <w:rFonts w:ascii="Times New Roman" w:hAnsi="Times New Roman" w:cs="Times New Roman"/>
          <w:color w:val="auto"/>
          <w:sz w:val="24"/>
          <w:szCs w:val="24"/>
        </w:rPr>
        <w:t>pojedine sastavnice okoliša</w:t>
      </w:r>
      <w:r w:rsidRPr="003E2DBC">
        <w:rPr>
          <w:rFonts w:ascii="Times New Roman" w:hAnsi="Times New Roman" w:cs="Times New Roman"/>
          <w:color w:val="auto"/>
          <w:sz w:val="24"/>
          <w:szCs w:val="24"/>
        </w:rPr>
        <w:t xml:space="preserve">. </w:t>
      </w:r>
      <w:r w:rsidRPr="00387E05">
        <w:rPr>
          <w:rFonts w:ascii="Times New Roman" w:hAnsi="Times New Roman" w:cs="Times New Roman"/>
          <w:color w:val="auto"/>
          <w:sz w:val="24"/>
          <w:szCs w:val="24"/>
        </w:rPr>
        <w:t>U pravilu, nadležno tijelo za provedbu postupka OPUO-a, sukladno odredbama zakona, je u obvezi pribaviti mišljenja tijela nadležnih za pojedinu sastavnicu ili opterećenje okoliša i kao i mišljenje JLR(P)S na čijem području se projekt planira.</w:t>
      </w:r>
      <w:r w:rsidRPr="00003942">
        <w:rPr>
          <w:rFonts w:ascii="Times New Roman" w:hAnsi="Times New Roman" w:cs="Times New Roman"/>
          <w:color w:val="auto"/>
          <w:sz w:val="24"/>
          <w:szCs w:val="24"/>
        </w:rPr>
        <w:t xml:space="preserve"> Kašnjenje mišljenja pojedinih </w:t>
      </w:r>
      <w:r w:rsidRPr="00F63D65">
        <w:rPr>
          <w:rFonts w:ascii="Times New Roman" w:hAnsi="Times New Roman" w:cs="Times New Roman"/>
          <w:color w:val="auto"/>
          <w:sz w:val="24"/>
          <w:szCs w:val="24"/>
        </w:rPr>
        <w:t xml:space="preserve">nadležnih </w:t>
      </w:r>
      <w:r w:rsidRPr="003E2DBC">
        <w:rPr>
          <w:rFonts w:ascii="Times New Roman" w:hAnsi="Times New Roman" w:cs="Times New Roman"/>
          <w:color w:val="auto"/>
          <w:sz w:val="24"/>
          <w:szCs w:val="24"/>
        </w:rPr>
        <w:t xml:space="preserve">tijela u postupku, koje se neminovno događa zbog velikog broja zahtjeva, može značajno produljiti postupak OPUO-a. </w:t>
      </w:r>
    </w:p>
    <w:p w:rsidR="00560623" w:rsidRPr="008609F9" w:rsidRDefault="00560623" w:rsidP="00560623">
      <w:pPr>
        <w:pStyle w:val="Tijeloteksta"/>
        <w:rPr>
          <w:rFonts w:ascii="Times New Roman" w:hAnsi="Times New Roman" w:cs="Times New Roman"/>
          <w:color w:val="auto"/>
          <w:sz w:val="24"/>
          <w:szCs w:val="24"/>
        </w:rPr>
      </w:pPr>
      <w:r w:rsidRPr="003E2DBC">
        <w:rPr>
          <w:rFonts w:ascii="Times New Roman" w:hAnsi="Times New Roman" w:cs="Times New Roman"/>
          <w:color w:val="auto"/>
          <w:sz w:val="24"/>
          <w:szCs w:val="24"/>
        </w:rPr>
        <w:t xml:space="preserve">Nadalje, duljina trajanja postupka ovisi uvelike i o kvaliteti izrađenih dokumenata te je nužno da se tijekom pripreme projekta uzmu kvalitetni izrađivači </w:t>
      </w:r>
      <w:r>
        <w:rPr>
          <w:rFonts w:ascii="Times New Roman" w:hAnsi="Times New Roman" w:cs="Times New Roman"/>
          <w:color w:val="auto"/>
          <w:sz w:val="24"/>
          <w:szCs w:val="24"/>
        </w:rPr>
        <w:t>istih</w:t>
      </w:r>
      <w:r w:rsidRPr="003E2DBC">
        <w:rPr>
          <w:rFonts w:ascii="Times New Roman" w:hAnsi="Times New Roman" w:cs="Times New Roman"/>
          <w:color w:val="auto"/>
          <w:sz w:val="24"/>
          <w:szCs w:val="24"/>
        </w:rPr>
        <w:t xml:space="preserve"> </w:t>
      </w:r>
      <w:r w:rsidRPr="00B265E1">
        <w:rPr>
          <w:rFonts w:ascii="Times New Roman" w:hAnsi="Times New Roman" w:cs="Times New Roman"/>
          <w:color w:val="auto"/>
          <w:sz w:val="24"/>
          <w:szCs w:val="24"/>
        </w:rPr>
        <w:t>koji su u potpunosti usuglašeni sa zakonom i propisan</w:t>
      </w:r>
      <w:r>
        <w:rPr>
          <w:rFonts w:ascii="Times New Roman" w:hAnsi="Times New Roman" w:cs="Times New Roman"/>
          <w:color w:val="auto"/>
          <w:sz w:val="24"/>
          <w:szCs w:val="24"/>
        </w:rPr>
        <w:t>im postupkom</w:t>
      </w:r>
      <w:r w:rsidRPr="008609F9">
        <w:rPr>
          <w:rFonts w:ascii="Times New Roman" w:hAnsi="Times New Roman" w:cs="Times New Roman"/>
          <w:color w:val="auto"/>
          <w:sz w:val="24"/>
          <w:szCs w:val="24"/>
        </w:rPr>
        <w:t>.</w:t>
      </w:r>
    </w:p>
    <w:p w:rsidR="00560623" w:rsidRPr="00387E05" w:rsidRDefault="00560623" w:rsidP="00560623">
      <w:pPr>
        <w:pStyle w:val="Tijeloteksta"/>
        <w:rPr>
          <w:rFonts w:ascii="Times New Roman" w:hAnsi="Times New Roman" w:cs="Times New Roman"/>
          <w:color w:val="auto"/>
          <w:sz w:val="24"/>
          <w:szCs w:val="24"/>
        </w:rPr>
      </w:pPr>
      <w:r w:rsidRPr="008609F9">
        <w:rPr>
          <w:rFonts w:ascii="Times New Roman" w:hAnsi="Times New Roman" w:cs="Times New Roman"/>
          <w:color w:val="auto"/>
          <w:sz w:val="24"/>
          <w:szCs w:val="24"/>
        </w:rPr>
        <w:t>Nadalje, problem trajanja postupka vezan je i uz administrativnu potkapacitiranost navedenih javnih tijela koja provode postupke što rezultira produljenjem vremena trajanja postupka.</w:t>
      </w:r>
    </w:p>
    <w:p w:rsidR="00560623" w:rsidRPr="0024150C" w:rsidRDefault="00560623" w:rsidP="00095924">
      <w:pPr>
        <w:pStyle w:val="Naslov3"/>
        <w:numPr>
          <w:ilvl w:val="0"/>
          <w:numId w:val="0"/>
        </w:numPr>
        <w:ind w:left="1003"/>
      </w:pPr>
      <w:bookmarkStart w:id="325" w:name="_Toc105973480"/>
      <w:r w:rsidRPr="0024150C">
        <w:t>Postupak OPUO za manje projekte (sunčane elektane i male hidroeletkrane)</w:t>
      </w:r>
      <w:bookmarkEnd w:id="325"/>
    </w:p>
    <w:p w:rsidR="00560623" w:rsidRPr="00331C56" w:rsidRDefault="00560623" w:rsidP="00560623">
      <w:pPr>
        <w:pStyle w:val="Tijeloteksta"/>
        <w:rPr>
          <w:rFonts w:ascii="Times New Roman" w:hAnsi="Times New Roman" w:cs="Times New Roman"/>
          <w:color w:val="auto"/>
          <w:sz w:val="24"/>
          <w:szCs w:val="24"/>
        </w:rPr>
      </w:pPr>
      <w:r w:rsidRPr="0024150C">
        <w:rPr>
          <w:rFonts w:ascii="Times New Roman" w:hAnsi="Times New Roman" w:cs="Times New Roman"/>
          <w:color w:val="auto"/>
          <w:sz w:val="24"/>
          <w:szCs w:val="24"/>
        </w:rPr>
        <w:t>Prema postojećoj Uredbi o procjeni utjecaja zahvata na okoliš</w:t>
      </w:r>
      <w:r w:rsidRPr="00331C56">
        <w:rPr>
          <w:rFonts w:ascii="Times New Roman" w:hAnsi="Times New Roman" w:cs="Times New Roman"/>
          <w:color w:val="auto"/>
          <w:sz w:val="24"/>
          <w:szCs w:val="24"/>
        </w:rPr>
        <w:t xml:space="preserve"> (Narodne novine, br. 61/14 i 3/17), postupak OPUO je nužan za sve projekte sunčanih elektrana kao samostojećih objekata te za hidroelektrane. </w:t>
      </w:r>
    </w:p>
    <w:p w:rsidR="00560623" w:rsidRPr="00003942" w:rsidRDefault="00560623" w:rsidP="00560623">
      <w:pPr>
        <w:pStyle w:val="Tijeloteksta"/>
        <w:rPr>
          <w:rFonts w:ascii="Times New Roman" w:hAnsi="Times New Roman" w:cs="Times New Roman"/>
          <w:color w:val="auto"/>
          <w:sz w:val="24"/>
          <w:szCs w:val="24"/>
        </w:rPr>
      </w:pPr>
      <w:r w:rsidRPr="00331C56">
        <w:rPr>
          <w:rFonts w:ascii="Times New Roman" w:hAnsi="Times New Roman" w:cs="Times New Roman"/>
          <w:color w:val="auto"/>
          <w:sz w:val="24"/>
          <w:szCs w:val="24"/>
        </w:rPr>
        <w:t>Ovakav pristup zahtjeva prolaženje postupka OPUO i za relativno male projekte, poput sunčanih elektrana snaga manjih od 500 kW (površina oko 1 ha) koje se u pravilu priključuju na niskonaponsku mrežu, te malih hidroelektrana na postojećim vodnim zahvatima (stari mlinovi i sličn</w:t>
      </w:r>
      <w:r w:rsidRPr="00222A78">
        <w:rPr>
          <w:rFonts w:ascii="Times New Roman" w:hAnsi="Times New Roman" w:cs="Times New Roman"/>
          <w:color w:val="auto"/>
          <w:sz w:val="24"/>
          <w:szCs w:val="24"/>
        </w:rPr>
        <w:t>o)</w:t>
      </w:r>
      <w:r w:rsidRPr="00192851">
        <w:rPr>
          <w:rFonts w:ascii="Times New Roman" w:hAnsi="Times New Roman" w:cs="Times New Roman"/>
          <w:color w:val="auto"/>
          <w:sz w:val="24"/>
          <w:szCs w:val="24"/>
        </w:rPr>
        <w:t>. Obzirom na navedeno, a uzimajući u obzir trenutne kapacitete tijela koja provode postupak, nužno je osigurati adekvatan br</w:t>
      </w:r>
      <w:r w:rsidRPr="00003942">
        <w:rPr>
          <w:rFonts w:ascii="Times New Roman" w:hAnsi="Times New Roman" w:cs="Times New Roman"/>
          <w:color w:val="auto"/>
          <w:sz w:val="24"/>
          <w:szCs w:val="24"/>
        </w:rPr>
        <w:t>oj stručnjaka čime će se osigurati ubrzavanje procesa bez narušavanja kvalitete provedbe.</w:t>
      </w:r>
    </w:p>
    <w:p w:rsidR="00DF7141" w:rsidRPr="00003942" w:rsidRDefault="00DF7141" w:rsidP="002D7C87">
      <w:pPr>
        <w:pStyle w:val="Tijeloteksta"/>
        <w:rPr>
          <w:rFonts w:ascii="Times New Roman" w:hAnsi="Times New Roman" w:cs="Times New Roman"/>
          <w:color w:val="auto"/>
          <w:sz w:val="24"/>
          <w:szCs w:val="24"/>
        </w:rPr>
        <w:sectPr w:rsidR="00DF7141" w:rsidRPr="00003942" w:rsidSect="002D7C87">
          <w:pgSz w:w="11906" w:h="16838" w:code="9"/>
          <w:pgMar w:top="1418" w:right="1418" w:bottom="1418" w:left="851" w:header="454" w:footer="510" w:gutter="567"/>
          <w:cols w:space="708"/>
          <w:titlePg/>
          <w:docGrid w:linePitch="360"/>
        </w:sectPr>
      </w:pPr>
    </w:p>
    <w:p w:rsidR="00DF7141" w:rsidRPr="00003942" w:rsidRDefault="00DF7141" w:rsidP="002D7C87">
      <w:pPr>
        <w:pStyle w:val="Tijeloteksta"/>
        <w:keepNext/>
        <w:jc w:val="center"/>
        <w:rPr>
          <w:rFonts w:ascii="Times New Roman" w:hAnsi="Times New Roman" w:cs="Times New Roman"/>
          <w:color w:val="auto"/>
          <w:sz w:val="24"/>
          <w:szCs w:val="24"/>
        </w:rPr>
      </w:pPr>
      <w:r w:rsidRPr="00003942">
        <w:rPr>
          <w:rFonts w:ascii="Times New Roman" w:hAnsi="Times New Roman" w:cs="Times New Roman"/>
          <w:noProof/>
          <w:color w:val="auto"/>
          <w:sz w:val="24"/>
          <w:szCs w:val="24"/>
          <w:lang w:eastAsia="hr-HR"/>
        </w:rPr>
        <w:lastRenderedPageBreak/>
        <w:drawing>
          <wp:inline distT="0" distB="0" distL="0" distR="0" wp14:anchorId="7D4273E0" wp14:editId="79645D12">
            <wp:extent cx="7102549" cy="5400130"/>
            <wp:effectExtent l="0" t="0" r="3175" b="0"/>
            <wp:docPr id="34" name="Picture 3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26766" cy="5418542"/>
                    </a:xfrm>
                    <a:prstGeom prst="rect">
                      <a:avLst/>
                    </a:prstGeom>
                  </pic:spPr>
                </pic:pic>
              </a:graphicData>
            </a:graphic>
          </wp:inline>
        </w:drawing>
      </w:r>
    </w:p>
    <w:p w:rsidR="00DF7141" w:rsidRPr="00003942" w:rsidRDefault="00DF7141" w:rsidP="002D7C87">
      <w:pPr>
        <w:pStyle w:val="Opisslike"/>
        <w:rPr>
          <w:rFonts w:ascii="Times New Roman" w:hAnsi="Times New Roman" w:cs="Times New Roman"/>
          <w:color w:val="auto"/>
          <w:sz w:val="24"/>
          <w:szCs w:val="24"/>
        </w:rPr>
      </w:pPr>
      <w:bookmarkStart w:id="326" w:name="_Toc104994941"/>
      <w:r w:rsidRPr="00003942">
        <w:rPr>
          <w:rFonts w:ascii="Times New Roman" w:hAnsi="Times New Roman" w:cs="Times New Roman"/>
          <w:color w:val="auto"/>
          <w:sz w:val="24"/>
          <w:szCs w:val="24"/>
        </w:rPr>
        <w:t xml:space="preserve">Slika </w:t>
      </w:r>
      <w:r w:rsidRPr="00003942">
        <w:rPr>
          <w:rFonts w:ascii="Times New Roman" w:hAnsi="Times New Roman" w:cs="Times New Roman"/>
          <w:color w:val="auto"/>
          <w:sz w:val="24"/>
          <w:szCs w:val="24"/>
        </w:rPr>
        <w:fldChar w:fldCharType="begin"/>
      </w:r>
      <w:r w:rsidRPr="00003942">
        <w:rPr>
          <w:rFonts w:ascii="Times New Roman" w:hAnsi="Times New Roman" w:cs="Times New Roman"/>
          <w:color w:val="auto"/>
          <w:sz w:val="24"/>
          <w:szCs w:val="24"/>
        </w:rPr>
        <w:instrText xml:space="preserve"> STYLEREF 1 \s </w:instrText>
      </w:r>
      <w:r w:rsidR="009C3921">
        <w:rPr>
          <w:rFonts w:ascii="Times New Roman" w:hAnsi="Times New Roman" w:cs="Times New Roman"/>
          <w:color w:val="auto"/>
          <w:sz w:val="24"/>
          <w:szCs w:val="24"/>
        </w:rPr>
        <w:fldChar w:fldCharType="separate"/>
      </w:r>
      <w:r w:rsidR="009C3921">
        <w:rPr>
          <w:rFonts w:ascii="Times New Roman" w:hAnsi="Times New Roman" w:cs="Times New Roman"/>
          <w:noProof/>
          <w:color w:val="auto"/>
          <w:sz w:val="24"/>
          <w:szCs w:val="24"/>
        </w:rPr>
        <w:t>0</w:t>
      </w:r>
      <w:r w:rsidRPr="00003942">
        <w:rPr>
          <w:rFonts w:ascii="Times New Roman" w:hAnsi="Times New Roman" w:cs="Times New Roman"/>
          <w:color w:val="auto"/>
          <w:sz w:val="24"/>
          <w:szCs w:val="24"/>
        </w:rPr>
        <w:fldChar w:fldCharType="end"/>
      </w:r>
      <w:r w:rsidRPr="00003942">
        <w:rPr>
          <w:rFonts w:ascii="Times New Roman" w:hAnsi="Times New Roman" w:cs="Times New Roman"/>
          <w:color w:val="auto"/>
          <w:sz w:val="24"/>
          <w:szCs w:val="24"/>
        </w:rPr>
        <w:noBreakHyphen/>
      </w:r>
      <w:r w:rsidRPr="00003942">
        <w:rPr>
          <w:rFonts w:ascii="Times New Roman" w:hAnsi="Times New Roman" w:cs="Times New Roman"/>
          <w:color w:val="auto"/>
          <w:sz w:val="24"/>
          <w:szCs w:val="24"/>
        </w:rPr>
        <w:fldChar w:fldCharType="begin"/>
      </w:r>
      <w:r w:rsidRPr="00003942">
        <w:rPr>
          <w:rFonts w:ascii="Times New Roman" w:hAnsi="Times New Roman" w:cs="Times New Roman"/>
          <w:color w:val="auto"/>
          <w:sz w:val="24"/>
          <w:szCs w:val="24"/>
        </w:rPr>
        <w:instrText xml:space="preserve"> SEQ Slika \* ARABIC \s 1 </w:instrText>
      </w:r>
      <w:r w:rsidRPr="00003942">
        <w:rPr>
          <w:rFonts w:ascii="Times New Roman" w:hAnsi="Times New Roman" w:cs="Times New Roman"/>
          <w:color w:val="auto"/>
          <w:sz w:val="24"/>
          <w:szCs w:val="24"/>
        </w:rPr>
        <w:fldChar w:fldCharType="separate"/>
      </w:r>
      <w:r w:rsidR="009C3921">
        <w:rPr>
          <w:rFonts w:ascii="Times New Roman" w:hAnsi="Times New Roman" w:cs="Times New Roman"/>
          <w:noProof/>
          <w:color w:val="auto"/>
          <w:sz w:val="24"/>
          <w:szCs w:val="24"/>
        </w:rPr>
        <w:t>3</w:t>
      </w:r>
      <w:r w:rsidRPr="00003942">
        <w:rPr>
          <w:rFonts w:ascii="Times New Roman" w:hAnsi="Times New Roman" w:cs="Times New Roman"/>
          <w:noProof/>
          <w:color w:val="auto"/>
          <w:sz w:val="24"/>
          <w:szCs w:val="24"/>
        </w:rPr>
        <w:fldChar w:fldCharType="end"/>
      </w:r>
      <w:r w:rsidRPr="00003942">
        <w:rPr>
          <w:rFonts w:ascii="Times New Roman" w:hAnsi="Times New Roman" w:cs="Times New Roman"/>
          <w:color w:val="auto"/>
          <w:sz w:val="24"/>
          <w:szCs w:val="24"/>
        </w:rPr>
        <w:t xml:space="preserve"> Administrativna procedura postupka procjene utjecaja na okoliš i prirodu</w:t>
      </w:r>
      <w:bookmarkEnd w:id="326"/>
    </w:p>
    <w:p w:rsidR="00DF7141" w:rsidRPr="00003942" w:rsidRDefault="00DF7141" w:rsidP="002D7C87">
      <w:pPr>
        <w:pStyle w:val="Tijeloteksta"/>
        <w:jc w:val="center"/>
        <w:rPr>
          <w:rFonts w:ascii="Times New Roman" w:hAnsi="Times New Roman" w:cs="Times New Roman"/>
          <w:color w:val="auto"/>
          <w:sz w:val="24"/>
          <w:szCs w:val="24"/>
        </w:rPr>
        <w:sectPr w:rsidR="00DF7141" w:rsidRPr="00003942" w:rsidSect="002D7C87">
          <w:pgSz w:w="16838" w:h="11906" w:orient="landscape" w:code="9"/>
          <w:pgMar w:top="851" w:right="1418" w:bottom="1418" w:left="1418" w:header="454" w:footer="510" w:gutter="567"/>
          <w:cols w:space="708"/>
          <w:titlePg/>
          <w:docGrid w:linePitch="360"/>
        </w:sectPr>
      </w:pPr>
    </w:p>
    <w:p w:rsidR="00DF7141" w:rsidRPr="00003942" w:rsidRDefault="00DF7141" w:rsidP="00095924">
      <w:pPr>
        <w:pStyle w:val="Naslov3"/>
        <w:numPr>
          <w:ilvl w:val="0"/>
          <w:numId w:val="0"/>
        </w:numPr>
        <w:ind w:left="1003"/>
      </w:pPr>
      <w:bookmarkStart w:id="327" w:name="_Toc105756702"/>
      <w:bookmarkStart w:id="328" w:name="_Toc105756887"/>
      <w:bookmarkStart w:id="329" w:name="_Toc105757066"/>
      <w:bookmarkStart w:id="330" w:name="_Toc105763483"/>
      <w:bookmarkStart w:id="331" w:name="_Toc105756704"/>
      <w:bookmarkStart w:id="332" w:name="_Toc105756889"/>
      <w:bookmarkStart w:id="333" w:name="_Toc105757068"/>
      <w:bookmarkStart w:id="334" w:name="_Toc105763485"/>
      <w:bookmarkStart w:id="335" w:name="_Toc105763486"/>
      <w:bookmarkStart w:id="336" w:name="_Toc105763487"/>
      <w:bookmarkStart w:id="337" w:name="_Toc105763488"/>
      <w:bookmarkStart w:id="338" w:name="_Toc105763489"/>
      <w:bookmarkStart w:id="339" w:name="_Toc105763490"/>
      <w:bookmarkStart w:id="340" w:name="_Toc105763491"/>
      <w:bookmarkStart w:id="341" w:name="_Toc105763492"/>
      <w:bookmarkStart w:id="342" w:name="_Toc105137881"/>
      <w:bookmarkStart w:id="343" w:name="_Toc105396331"/>
      <w:bookmarkStart w:id="344" w:name="_Toc105756706"/>
      <w:bookmarkStart w:id="345" w:name="_Toc105973481"/>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8609F9">
        <w:lastRenderedPageBreak/>
        <w:t>Postupak procjene utjecaja na okoliš kod promjene tehnologije</w:t>
      </w:r>
      <w:bookmarkEnd w:id="342"/>
      <w:bookmarkEnd w:id="343"/>
      <w:bookmarkEnd w:id="344"/>
      <w:bookmarkEnd w:id="345"/>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Tehnologije postrojenja obnovljivih izvora energije, posebice vjetroagregata, u snažnom su razvoju, te zbog brzog razvoja tehnologije (npr. povećanja jedinične snage vjetroagregata) tijekom razvoja projekta dolazi do potrebe za promjenom prethodno razmatrane opreme (npr. tipa vjetroagregata, broja agregata). U ovakvim slučajevima, najčešće se </w:t>
      </w:r>
      <w:r w:rsidRPr="00F63D65">
        <w:rPr>
          <w:rFonts w:ascii="Times New Roman" w:hAnsi="Times New Roman" w:cs="Times New Roman"/>
          <w:color w:val="auto"/>
          <w:sz w:val="24"/>
          <w:szCs w:val="24"/>
        </w:rPr>
        <w:t xml:space="preserve">radi o uklanjanju određenih pozicija vjetroagregata, zamjeni tipa vjetroagregata novijim (veće snage i dimenzija), te u nekim slučajevima i potrebom ponovnog pozicioniranja jedinica unutar obuhvata lokacije. </w:t>
      </w:r>
    </w:p>
    <w:p w:rsidR="00DF7141" w:rsidRPr="000B0718" w:rsidRDefault="00D67147" w:rsidP="002D7C87">
      <w:pPr>
        <w:pStyle w:val="Tijeloteksta"/>
        <w:rPr>
          <w:rFonts w:ascii="Times New Roman" w:hAnsi="Times New Roman" w:cs="Times New Roman"/>
          <w:strike/>
          <w:color w:val="auto"/>
          <w:sz w:val="24"/>
          <w:szCs w:val="24"/>
        </w:rPr>
      </w:pPr>
      <w:r w:rsidRPr="00003942">
        <w:rPr>
          <w:rFonts w:ascii="Times New Roman" w:hAnsi="Times New Roman" w:cs="Times New Roman"/>
          <w:color w:val="auto"/>
          <w:sz w:val="24"/>
          <w:szCs w:val="24"/>
        </w:rPr>
        <w:t>Zakon o zaštiti okoliša propisuje da</w:t>
      </w:r>
      <w:r w:rsidRPr="00F63D65">
        <w:rPr>
          <w:rFonts w:ascii="Times New Roman" w:hAnsi="Times New Roman" w:cs="Times New Roman"/>
          <w:color w:val="auto"/>
          <w:sz w:val="24"/>
          <w:szCs w:val="24"/>
        </w:rPr>
        <w:t xml:space="preserve"> </w:t>
      </w:r>
      <w:r w:rsidR="00DF7141" w:rsidRPr="00F63D65">
        <w:rPr>
          <w:rFonts w:ascii="Times New Roman" w:hAnsi="Times New Roman" w:cs="Times New Roman"/>
          <w:color w:val="auto"/>
          <w:sz w:val="24"/>
          <w:szCs w:val="24"/>
        </w:rPr>
        <w:t>projekt</w:t>
      </w:r>
      <w:r w:rsidRPr="003E2DBC">
        <w:rPr>
          <w:rFonts w:ascii="Times New Roman" w:hAnsi="Times New Roman" w:cs="Times New Roman"/>
          <w:color w:val="auto"/>
          <w:sz w:val="24"/>
          <w:szCs w:val="24"/>
        </w:rPr>
        <w:t>i</w:t>
      </w:r>
      <w:r w:rsidR="00DF7141" w:rsidRPr="003E2DBC">
        <w:rPr>
          <w:rFonts w:ascii="Times New Roman" w:hAnsi="Times New Roman" w:cs="Times New Roman"/>
          <w:color w:val="auto"/>
          <w:sz w:val="24"/>
          <w:szCs w:val="24"/>
        </w:rPr>
        <w:t xml:space="preserve"> kod promjene tehnologije, koji su prethodno prošli PUO i dobili pozitivn</w:t>
      </w:r>
      <w:r w:rsidR="00DF7141" w:rsidRPr="00B265E1">
        <w:rPr>
          <w:rFonts w:ascii="Times New Roman" w:hAnsi="Times New Roman" w:cs="Times New Roman"/>
          <w:color w:val="auto"/>
          <w:sz w:val="24"/>
          <w:szCs w:val="24"/>
        </w:rPr>
        <w:t>o mišljenje u tom</w:t>
      </w:r>
      <w:r w:rsidR="00DF7141" w:rsidRPr="008609F9">
        <w:rPr>
          <w:rFonts w:ascii="Times New Roman" w:hAnsi="Times New Roman" w:cs="Times New Roman"/>
          <w:color w:val="auto"/>
          <w:sz w:val="24"/>
          <w:szCs w:val="24"/>
        </w:rPr>
        <w:t xml:space="preserve"> postupk</w:t>
      </w:r>
      <w:r w:rsidRPr="008609F9">
        <w:rPr>
          <w:rFonts w:ascii="Times New Roman" w:hAnsi="Times New Roman" w:cs="Times New Roman"/>
          <w:color w:val="auto"/>
          <w:sz w:val="24"/>
          <w:szCs w:val="24"/>
        </w:rPr>
        <w:t>u</w:t>
      </w:r>
      <w:r w:rsidR="00DF7141" w:rsidRPr="00387E05">
        <w:rPr>
          <w:rFonts w:ascii="Times New Roman" w:hAnsi="Times New Roman" w:cs="Times New Roman"/>
          <w:color w:val="auto"/>
          <w:sz w:val="24"/>
          <w:szCs w:val="24"/>
        </w:rPr>
        <w:t xml:space="preserve">, </w:t>
      </w:r>
      <w:r w:rsidRPr="00387E05">
        <w:rPr>
          <w:rFonts w:ascii="Times New Roman" w:hAnsi="Times New Roman" w:cs="Times New Roman"/>
          <w:color w:val="auto"/>
          <w:sz w:val="24"/>
          <w:szCs w:val="24"/>
        </w:rPr>
        <w:t xml:space="preserve">imaju obavezu ponoviti </w:t>
      </w:r>
      <w:r w:rsidR="00DF7141" w:rsidRPr="00387E05">
        <w:rPr>
          <w:rFonts w:ascii="Times New Roman" w:hAnsi="Times New Roman" w:cs="Times New Roman"/>
          <w:color w:val="auto"/>
          <w:sz w:val="24"/>
          <w:szCs w:val="24"/>
        </w:rPr>
        <w:t xml:space="preserve">postupak OPUO-a za promjenu tehnologije/snage postrojenja. </w:t>
      </w:r>
    </w:p>
    <w:p w:rsidR="00DF7141" w:rsidRPr="0024150C"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Ovakvim pristupom </w:t>
      </w:r>
      <w:r w:rsidR="00D67147" w:rsidRPr="00F63D65">
        <w:rPr>
          <w:rFonts w:ascii="Times New Roman" w:hAnsi="Times New Roman" w:cs="Times New Roman"/>
          <w:color w:val="auto"/>
          <w:sz w:val="24"/>
          <w:szCs w:val="24"/>
        </w:rPr>
        <w:t>dolazi do</w:t>
      </w:r>
      <w:r w:rsidR="00BA153B" w:rsidRPr="003E2DBC">
        <w:rPr>
          <w:rFonts w:ascii="Times New Roman" w:hAnsi="Times New Roman" w:cs="Times New Roman"/>
          <w:color w:val="auto"/>
          <w:sz w:val="24"/>
          <w:szCs w:val="24"/>
        </w:rPr>
        <w:t xml:space="preserve"> </w:t>
      </w:r>
      <w:r w:rsidRPr="003E2DBC">
        <w:rPr>
          <w:rFonts w:ascii="Times New Roman" w:hAnsi="Times New Roman" w:cs="Times New Roman"/>
          <w:color w:val="auto"/>
          <w:sz w:val="24"/>
          <w:szCs w:val="24"/>
        </w:rPr>
        <w:t>produž</w:t>
      </w:r>
      <w:r w:rsidR="00D67147" w:rsidRPr="003E2DBC">
        <w:rPr>
          <w:rFonts w:ascii="Times New Roman" w:hAnsi="Times New Roman" w:cs="Times New Roman"/>
          <w:color w:val="auto"/>
          <w:sz w:val="24"/>
          <w:szCs w:val="24"/>
        </w:rPr>
        <w:t>enja</w:t>
      </w:r>
      <w:r w:rsidRPr="008609F9">
        <w:rPr>
          <w:rFonts w:ascii="Times New Roman" w:hAnsi="Times New Roman" w:cs="Times New Roman"/>
          <w:color w:val="auto"/>
          <w:sz w:val="24"/>
          <w:szCs w:val="24"/>
        </w:rPr>
        <w:t xml:space="preserve"> trajanj</w:t>
      </w:r>
      <w:r w:rsidR="00D67147" w:rsidRPr="008609F9">
        <w:rPr>
          <w:rFonts w:ascii="Times New Roman" w:hAnsi="Times New Roman" w:cs="Times New Roman"/>
          <w:color w:val="auto"/>
          <w:sz w:val="24"/>
          <w:szCs w:val="24"/>
        </w:rPr>
        <w:t>a</w:t>
      </w:r>
      <w:r w:rsidRPr="008609F9">
        <w:rPr>
          <w:rFonts w:ascii="Times New Roman" w:hAnsi="Times New Roman" w:cs="Times New Roman"/>
          <w:color w:val="auto"/>
          <w:sz w:val="24"/>
          <w:szCs w:val="24"/>
        </w:rPr>
        <w:t xml:space="preserve"> razvoja projekta, a u slučaju procjene za novim POU-om, projekt se </w:t>
      </w:r>
      <w:r w:rsidRPr="00387E05">
        <w:rPr>
          <w:rFonts w:ascii="Times New Roman" w:hAnsi="Times New Roman" w:cs="Times New Roman"/>
          <w:color w:val="auto"/>
          <w:sz w:val="24"/>
          <w:szCs w:val="24"/>
        </w:rPr>
        <w:t>zaustav</w:t>
      </w:r>
      <w:r w:rsidR="00F73531" w:rsidRPr="00387E05">
        <w:rPr>
          <w:rFonts w:ascii="Times New Roman" w:hAnsi="Times New Roman" w:cs="Times New Roman"/>
          <w:color w:val="auto"/>
          <w:sz w:val="24"/>
          <w:szCs w:val="24"/>
        </w:rPr>
        <w:t>lj</w:t>
      </w:r>
      <w:r w:rsidRPr="00387E05">
        <w:rPr>
          <w:rFonts w:ascii="Times New Roman" w:hAnsi="Times New Roman" w:cs="Times New Roman"/>
          <w:color w:val="auto"/>
          <w:sz w:val="24"/>
          <w:szCs w:val="24"/>
        </w:rPr>
        <w:t>a na dulje razdoblje, iako bi s postojećim rješenjima mogao ići direktno u gradnju, ali sa zastarjelom tehnologijom, što nije pogodno niti za nositelja projekta (upitna mogućnost nabave konkretnog tipa agreg</w:t>
      </w:r>
      <w:r w:rsidRPr="0024150C">
        <w:rPr>
          <w:rFonts w:ascii="Times New Roman" w:hAnsi="Times New Roman" w:cs="Times New Roman"/>
          <w:color w:val="auto"/>
          <w:sz w:val="24"/>
          <w:szCs w:val="24"/>
        </w:rPr>
        <w:t>ata), niti za društvo u cijelosti (manja proizvodnja el</w:t>
      </w:r>
      <w:r w:rsidR="00F73531" w:rsidRPr="0024150C">
        <w:rPr>
          <w:rFonts w:ascii="Times New Roman" w:hAnsi="Times New Roman" w:cs="Times New Roman"/>
          <w:color w:val="auto"/>
          <w:sz w:val="24"/>
          <w:szCs w:val="24"/>
        </w:rPr>
        <w:t>ektrične</w:t>
      </w:r>
      <w:r w:rsidRPr="0024150C">
        <w:rPr>
          <w:rFonts w:ascii="Times New Roman" w:hAnsi="Times New Roman" w:cs="Times New Roman"/>
          <w:color w:val="auto"/>
          <w:sz w:val="24"/>
          <w:szCs w:val="24"/>
        </w:rPr>
        <w:t xml:space="preserve"> energije na istoj lokaciji).</w:t>
      </w:r>
    </w:p>
    <w:p w:rsidR="00F92A2B" w:rsidRPr="007C507C" w:rsidRDefault="00F92A2B" w:rsidP="002D7C87">
      <w:pPr>
        <w:pStyle w:val="Tijeloteksta"/>
        <w:rPr>
          <w:rFonts w:ascii="Times New Roman" w:hAnsi="Times New Roman" w:cs="Times New Roman"/>
          <w:color w:val="auto"/>
          <w:sz w:val="24"/>
          <w:szCs w:val="24"/>
        </w:rPr>
      </w:pPr>
      <w:r w:rsidRPr="0024150C">
        <w:rPr>
          <w:rFonts w:ascii="Times New Roman" w:hAnsi="Times New Roman" w:cs="Times New Roman"/>
          <w:color w:val="auto"/>
          <w:sz w:val="24"/>
          <w:szCs w:val="24"/>
        </w:rPr>
        <w:t>Međutim</w:t>
      </w:r>
      <w:r w:rsidR="0024150C">
        <w:rPr>
          <w:rFonts w:ascii="Times New Roman" w:hAnsi="Times New Roman" w:cs="Times New Roman"/>
          <w:color w:val="auto"/>
          <w:sz w:val="24"/>
          <w:szCs w:val="24"/>
        </w:rPr>
        <w:t>, ovdje je</w:t>
      </w:r>
      <w:r w:rsidRPr="0024150C">
        <w:rPr>
          <w:rFonts w:ascii="Times New Roman" w:hAnsi="Times New Roman" w:cs="Times New Roman"/>
          <w:color w:val="auto"/>
          <w:sz w:val="24"/>
          <w:szCs w:val="24"/>
        </w:rPr>
        <w:t xml:space="preserve"> potrebno naglasiti i spremnost potencijalnih investitora da nakon što dobiju dozvole </w:t>
      </w:r>
      <w:r w:rsidR="00097636" w:rsidRPr="0024150C">
        <w:rPr>
          <w:rFonts w:ascii="Times New Roman" w:hAnsi="Times New Roman" w:cs="Times New Roman"/>
          <w:color w:val="auto"/>
          <w:sz w:val="24"/>
          <w:szCs w:val="24"/>
        </w:rPr>
        <w:t xml:space="preserve">promptno </w:t>
      </w:r>
      <w:r w:rsidRPr="007C507C">
        <w:rPr>
          <w:rFonts w:ascii="Times New Roman" w:hAnsi="Times New Roman" w:cs="Times New Roman"/>
          <w:color w:val="auto"/>
          <w:sz w:val="24"/>
          <w:szCs w:val="24"/>
        </w:rPr>
        <w:t>započnu realizaciju projekta. Jedan dio projekata je bio u situaciji u kojoj investitori nisu uspjeli zatvoriti financijsku ko</w:t>
      </w:r>
      <w:r w:rsidR="0051693B" w:rsidRPr="00331C56">
        <w:rPr>
          <w:rFonts w:ascii="Times New Roman" w:hAnsi="Times New Roman" w:cs="Times New Roman"/>
          <w:color w:val="auto"/>
          <w:sz w:val="24"/>
          <w:szCs w:val="24"/>
        </w:rPr>
        <w:t>nstrukciju te su isti preprodavani</w:t>
      </w:r>
      <w:r w:rsidRPr="00331C56">
        <w:rPr>
          <w:rFonts w:ascii="Times New Roman" w:hAnsi="Times New Roman" w:cs="Times New Roman"/>
          <w:color w:val="auto"/>
          <w:sz w:val="24"/>
          <w:szCs w:val="24"/>
        </w:rPr>
        <w:t>.</w:t>
      </w:r>
      <w:r w:rsidR="00097636" w:rsidRPr="00331C56">
        <w:rPr>
          <w:rFonts w:ascii="Times New Roman" w:hAnsi="Times New Roman" w:cs="Times New Roman"/>
          <w:color w:val="auto"/>
          <w:sz w:val="24"/>
          <w:szCs w:val="24"/>
        </w:rPr>
        <w:t xml:space="preserve"> Novim energetskim zakonodavstvom uvodi se više naglaska na sposobnost investitora da pristupe projektu na način da ga završe u zadanom roku u ko</w:t>
      </w:r>
      <w:r w:rsidR="00097636" w:rsidRPr="00222A78">
        <w:rPr>
          <w:rFonts w:ascii="Times New Roman" w:hAnsi="Times New Roman" w:cs="Times New Roman"/>
          <w:color w:val="auto"/>
          <w:sz w:val="24"/>
          <w:szCs w:val="24"/>
        </w:rPr>
        <w:t>jem se smatra da ne bi trebalo doći do većih tehnoloških iskoraka koje bi zahtijeval</w:t>
      </w:r>
      <w:r w:rsidR="0024150C">
        <w:rPr>
          <w:rFonts w:ascii="Times New Roman" w:hAnsi="Times New Roman" w:cs="Times New Roman"/>
          <w:color w:val="auto"/>
          <w:sz w:val="24"/>
          <w:szCs w:val="24"/>
        </w:rPr>
        <w:t>i</w:t>
      </w:r>
      <w:r w:rsidR="00097636" w:rsidRPr="007C507C">
        <w:rPr>
          <w:rFonts w:ascii="Times New Roman" w:hAnsi="Times New Roman" w:cs="Times New Roman"/>
          <w:color w:val="auto"/>
          <w:sz w:val="24"/>
          <w:szCs w:val="24"/>
        </w:rPr>
        <w:t xml:space="preserve"> ponavljanje studija.</w:t>
      </w:r>
    </w:p>
    <w:p w:rsidR="00DF7141" w:rsidRPr="00222A78" w:rsidRDefault="00E50D9B" w:rsidP="00095924">
      <w:pPr>
        <w:pStyle w:val="Naslov3"/>
        <w:numPr>
          <w:ilvl w:val="0"/>
          <w:numId w:val="0"/>
        </w:numPr>
        <w:ind w:left="1003"/>
      </w:pPr>
      <w:bookmarkStart w:id="346" w:name="_Toc105137882"/>
      <w:bookmarkStart w:id="347" w:name="_Toc105396332"/>
      <w:bookmarkStart w:id="348" w:name="_Toc105756707"/>
      <w:bookmarkStart w:id="349" w:name="_Toc105973482"/>
      <w:r w:rsidRPr="00331C56">
        <w:t>P</w:t>
      </w:r>
      <w:r w:rsidR="00DF7141" w:rsidRPr="00331C56">
        <w:t>odlog</w:t>
      </w:r>
      <w:r w:rsidRPr="00331C56">
        <w:t>e</w:t>
      </w:r>
      <w:r w:rsidR="00DF7141" w:rsidRPr="00222A78">
        <w:t xml:space="preserve"> za planiranje lokacija vjetroelektrana i sunčanih elektrana iz područja zaštite okoliša i prirode</w:t>
      </w:r>
      <w:bookmarkEnd w:id="346"/>
      <w:bookmarkEnd w:id="347"/>
      <w:bookmarkEnd w:id="348"/>
      <w:bookmarkEnd w:id="349"/>
    </w:p>
    <w:p w:rsidR="00DF7141" w:rsidRPr="00003942" w:rsidRDefault="00DF7141" w:rsidP="002D7C87">
      <w:pPr>
        <w:pStyle w:val="Tijeloteksta"/>
        <w:rPr>
          <w:rFonts w:ascii="Times New Roman" w:hAnsi="Times New Roman" w:cs="Times New Roman"/>
          <w:color w:val="auto"/>
          <w:sz w:val="24"/>
          <w:szCs w:val="24"/>
        </w:rPr>
      </w:pPr>
      <w:r w:rsidRPr="00222A78">
        <w:rPr>
          <w:rFonts w:ascii="Times New Roman" w:hAnsi="Times New Roman" w:cs="Times New Roman"/>
          <w:color w:val="auto"/>
          <w:sz w:val="24"/>
          <w:szCs w:val="24"/>
        </w:rPr>
        <w:t xml:space="preserve">Nastavno na prepreke prepoznate u području prostornog uređenja, posebice kod uvrštavanja lokacija u prostorne </w:t>
      </w:r>
      <w:r w:rsidRPr="00192851">
        <w:rPr>
          <w:rFonts w:ascii="Times New Roman" w:hAnsi="Times New Roman" w:cs="Times New Roman"/>
          <w:color w:val="auto"/>
          <w:sz w:val="24"/>
          <w:szCs w:val="24"/>
        </w:rPr>
        <w:t>planove, zamje</w:t>
      </w:r>
      <w:r w:rsidR="00F73531" w:rsidRPr="00003942">
        <w:rPr>
          <w:rFonts w:ascii="Times New Roman" w:hAnsi="Times New Roman" w:cs="Times New Roman"/>
          <w:color w:val="auto"/>
          <w:sz w:val="24"/>
          <w:szCs w:val="24"/>
        </w:rPr>
        <w:t>t</w:t>
      </w:r>
      <w:r w:rsidRPr="00003942">
        <w:rPr>
          <w:rFonts w:ascii="Times New Roman" w:hAnsi="Times New Roman" w:cs="Times New Roman"/>
          <w:color w:val="auto"/>
          <w:sz w:val="24"/>
          <w:szCs w:val="24"/>
        </w:rPr>
        <w:t>a</w:t>
      </w:r>
      <w:r w:rsidR="00F73531" w:rsidRPr="00003942">
        <w:rPr>
          <w:rFonts w:ascii="Times New Roman" w:hAnsi="Times New Roman" w:cs="Times New Roman"/>
          <w:color w:val="auto"/>
          <w:sz w:val="24"/>
          <w:szCs w:val="24"/>
        </w:rPr>
        <w:t>n</w:t>
      </w:r>
      <w:r w:rsidRPr="00003942">
        <w:rPr>
          <w:rFonts w:ascii="Times New Roman" w:hAnsi="Times New Roman" w:cs="Times New Roman"/>
          <w:color w:val="auto"/>
          <w:sz w:val="24"/>
          <w:szCs w:val="24"/>
        </w:rPr>
        <w:t xml:space="preserve"> je nedostatak podloga za planiranje lokacije OIE, posebice prostorno intenzivnih zahvata poput vjetroelektrana i sunčanih elektrana iz područja zaštite okoliša i prirode. Nedostatak ovakvih podloga na razini države rezultira započetim projektima na područjima visokog utjecaja na okoliš i prirodu, a koji nije poznat prije početka razvoja projekta, te se ocjenjuje tek unutar postupka</w:t>
      </w:r>
      <w:r w:rsidR="00B5540A" w:rsidRPr="00003942">
        <w:rPr>
          <w:rFonts w:ascii="Times New Roman" w:hAnsi="Times New Roman" w:cs="Times New Roman"/>
          <w:color w:val="auto"/>
          <w:sz w:val="24"/>
          <w:szCs w:val="24"/>
        </w:rPr>
        <w:t xml:space="preserve"> SPUO ili</w:t>
      </w:r>
      <w:r w:rsidRPr="00003942">
        <w:rPr>
          <w:rFonts w:ascii="Times New Roman" w:hAnsi="Times New Roman" w:cs="Times New Roman"/>
          <w:color w:val="auto"/>
          <w:sz w:val="24"/>
          <w:szCs w:val="24"/>
        </w:rPr>
        <w:t xml:space="preserve"> PUO. </w:t>
      </w:r>
    </w:p>
    <w:p w:rsidR="00DF7141" w:rsidRPr="00003942" w:rsidRDefault="00CD61D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U okviru suradnje MINGOR-a i EIHP-a planira se i</w:t>
      </w:r>
      <w:r w:rsidR="00DF7141" w:rsidRPr="00003942">
        <w:rPr>
          <w:rFonts w:ascii="Times New Roman" w:hAnsi="Times New Roman" w:cs="Times New Roman"/>
          <w:color w:val="auto"/>
          <w:sz w:val="24"/>
          <w:szCs w:val="24"/>
        </w:rPr>
        <w:t>zrad</w:t>
      </w:r>
      <w:r w:rsidR="00681519" w:rsidRPr="00003942">
        <w:rPr>
          <w:rFonts w:ascii="Times New Roman" w:hAnsi="Times New Roman" w:cs="Times New Roman"/>
          <w:color w:val="auto"/>
          <w:sz w:val="24"/>
          <w:szCs w:val="24"/>
        </w:rPr>
        <w:t>a</w:t>
      </w:r>
      <w:r w:rsidR="00DF7141" w:rsidRPr="00003942">
        <w:rPr>
          <w:rFonts w:ascii="Times New Roman" w:hAnsi="Times New Roman" w:cs="Times New Roman"/>
          <w:color w:val="auto"/>
          <w:sz w:val="24"/>
          <w:szCs w:val="24"/>
        </w:rPr>
        <w:t xml:space="preserve"> karata osjetljivosti za cijelu </w:t>
      </w:r>
      <w:r w:rsidR="00681519" w:rsidRPr="00003942">
        <w:rPr>
          <w:rFonts w:ascii="Times New Roman" w:hAnsi="Times New Roman" w:cs="Times New Roman"/>
          <w:color w:val="auto"/>
          <w:sz w:val="24"/>
          <w:szCs w:val="24"/>
        </w:rPr>
        <w:t xml:space="preserve">Republiku </w:t>
      </w:r>
      <w:r w:rsidR="00DF7141" w:rsidRPr="00003942">
        <w:rPr>
          <w:rFonts w:ascii="Times New Roman" w:hAnsi="Times New Roman" w:cs="Times New Roman"/>
          <w:color w:val="auto"/>
          <w:sz w:val="24"/>
          <w:szCs w:val="24"/>
        </w:rPr>
        <w:t>Hrvatsku</w:t>
      </w:r>
      <w:r w:rsidR="0086012D" w:rsidRPr="00003942">
        <w:rPr>
          <w:rFonts w:ascii="Times New Roman" w:hAnsi="Times New Roman" w:cs="Times New Roman"/>
          <w:color w:val="auto"/>
          <w:sz w:val="24"/>
          <w:szCs w:val="24"/>
        </w:rPr>
        <w:t xml:space="preserve"> </w:t>
      </w:r>
      <w:r w:rsidR="00DF7141" w:rsidRPr="00003942">
        <w:rPr>
          <w:rFonts w:ascii="Times New Roman" w:hAnsi="Times New Roman" w:cs="Times New Roman"/>
          <w:color w:val="auto"/>
          <w:sz w:val="24"/>
          <w:szCs w:val="24"/>
        </w:rPr>
        <w:t>prema definiranoj metodologiji</w:t>
      </w:r>
      <w:r w:rsidR="00681519" w:rsidRPr="00003942">
        <w:rPr>
          <w:rFonts w:ascii="Times New Roman" w:hAnsi="Times New Roman" w:cs="Times New Roman"/>
          <w:color w:val="auto"/>
          <w:sz w:val="24"/>
          <w:szCs w:val="24"/>
        </w:rPr>
        <w:t>, a</w:t>
      </w:r>
      <w:r w:rsidRPr="00003942">
        <w:rPr>
          <w:rFonts w:ascii="Times New Roman" w:hAnsi="Times New Roman" w:cs="Times New Roman"/>
          <w:color w:val="auto"/>
          <w:sz w:val="24"/>
          <w:szCs w:val="24"/>
        </w:rPr>
        <w:t xml:space="preserve"> koje</w:t>
      </w:r>
      <w:r w:rsidR="00D27AB0" w:rsidRPr="00003942">
        <w:rPr>
          <w:rFonts w:ascii="Times New Roman" w:hAnsi="Times New Roman" w:cs="Times New Roman"/>
          <w:color w:val="auto"/>
          <w:sz w:val="24"/>
          <w:szCs w:val="24"/>
        </w:rPr>
        <w:t xml:space="preserve"> </w:t>
      </w:r>
      <w:r w:rsidR="00DF7141" w:rsidRPr="00003942">
        <w:rPr>
          <w:rFonts w:ascii="Times New Roman" w:hAnsi="Times New Roman" w:cs="Times New Roman"/>
          <w:color w:val="auto"/>
          <w:sz w:val="24"/>
          <w:szCs w:val="24"/>
        </w:rPr>
        <w:t xml:space="preserve">će svim zainteresiranim stranama </w:t>
      </w:r>
      <w:r w:rsidR="00681519" w:rsidRPr="00003942">
        <w:rPr>
          <w:rFonts w:ascii="Times New Roman" w:hAnsi="Times New Roman" w:cs="Times New Roman"/>
          <w:color w:val="auto"/>
          <w:sz w:val="24"/>
          <w:szCs w:val="24"/>
        </w:rPr>
        <w:t>prikazati</w:t>
      </w:r>
      <w:r w:rsidR="00DF7141" w:rsidRPr="00003942">
        <w:rPr>
          <w:rFonts w:ascii="Times New Roman" w:hAnsi="Times New Roman" w:cs="Times New Roman"/>
          <w:color w:val="auto"/>
          <w:sz w:val="24"/>
          <w:szCs w:val="24"/>
        </w:rPr>
        <w:t xml:space="preserve"> prostor</w:t>
      </w:r>
      <w:r w:rsidR="00681519" w:rsidRPr="00003942">
        <w:rPr>
          <w:rFonts w:ascii="Times New Roman" w:hAnsi="Times New Roman" w:cs="Times New Roman"/>
          <w:color w:val="auto"/>
          <w:sz w:val="24"/>
          <w:szCs w:val="24"/>
        </w:rPr>
        <w:t>e</w:t>
      </w:r>
      <w:r w:rsidR="00DF7141" w:rsidRPr="00003942">
        <w:rPr>
          <w:rFonts w:ascii="Times New Roman" w:hAnsi="Times New Roman" w:cs="Times New Roman"/>
          <w:color w:val="auto"/>
          <w:sz w:val="24"/>
          <w:szCs w:val="24"/>
        </w:rPr>
        <w:t xml:space="preserve"> </w:t>
      </w:r>
      <w:r w:rsidR="00F73531" w:rsidRPr="00003942">
        <w:rPr>
          <w:rFonts w:ascii="Times New Roman" w:hAnsi="Times New Roman" w:cs="Times New Roman"/>
          <w:color w:val="auto"/>
          <w:sz w:val="24"/>
          <w:szCs w:val="24"/>
        </w:rPr>
        <w:t xml:space="preserve">s </w:t>
      </w:r>
      <w:r w:rsidR="00DF7141" w:rsidRPr="00003942">
        <w:rPr>
          <w:rFonts w:ascii="Times New Roman" w:hAnsi="Times New Roman" w:cs="Times New Roman"/>
          <w:color w:val="auto"/>
          <w:sz w:val="24"/>
          <w:szCs w:val="24"/>
        </w:rPr>
        <w:t>procjen</w:t>
      </w:r>
      <w:r w:rsidR="00F73531" w:rsidRPr="00003942">
        <w:rPr>
          <w:rFonts w:ascii="Times New Roman" w:hAnsi="Times New Roman" w:cs="Times New Roman"/>
          <w:color w:val="auto"/>
          <w:sz w:val="24"/>
          <w:szCs w:val="24"/>
        </w:rPr>
        <w:t>om</w:t>
      </w:r>
      <w:r w:rsidR="00DF7141" w:rsidRPr="00003942">
        <w:rPr>
          <w:rFonts w:ascii="Times New Roman" w:hAnsi="Times New Roman" w:cs="Times New Roman"/>
          <w:color w:val="auto"/>
          <w:sz w:val="24"/>
          <w:szCs w:val="24"/>
        </w:rPr>
        <w:t xml:space="preserve"> rizika</w:t>
      </w:r>
      <w:r w:rsidR="00681519" w:rsidRPr="00003942">
        <w:rPr>
          <w:rFonts w:ascii="Times New Roman" w:hAnsi="Times New Roman" w:cs="Times New Roman"/>
          <w:color w:val="auto"/>
          <w:sz w:val="24"/>
          <w:szCs w:val="24"/>
        </w:rPr>
        <w:t xml:space="preserve"> s ciljem ubrzavanja </w:t>
      </w:r>
      <w:r w:rsidR="00DF7141" w:rsidRPr="00003942">
        <w:rPr>
          <w:rFonts w:ascii="Times New Roman" w:hAnsi="Times New Roman" w:cs="Times New Roman"/>
          <w:color w:val="auto"/>
          <w:sz w:val="24"/>
          <w:szCs w:val="24"/>
        </w:rPr>
        <w:t>razvoja projekata. Ovaj dokument bi</w:t>
      </w:r>
      <w:r w:rsidR="00681519" w:rsidRPr="00003942">
        <w:rPr>
          <w:rFonts w:ascii="Times New Roman" w:hAnsi="Times New Roman" w:cs="Times New Roman"/>
          <w:color w:val="auto"/>
          <w:sz w:val="24"/>
          <w:szCs w:val="24"/>
        </w:rPr>
        <w:t xml:space="preserve">t će </w:t>
      </w:r>
      <w:r w:rsidR="00DF7141" w:rsidRPr="00003942">
        <w:rPr>
          <w:rFonts w:ascii="Times New Roman" w:hAnsi="Times New Roman" w:cs="Times New Roman"/>
          <w:color w:val="auto"/>
          <w:sz w:val="24"/>
          <w:szCs w:val="24"/>
        </w:rPr>
        <w:t xml:space="preserve">moguće koristiti kao podlogu za prostorne planove. </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Na ovaj način bi bilo moguće već u početku prepoznati područja niske osjetljivosti, odnosno manjeg rizika za razvoja projekata, te izbjeći izradu studija utjecaja na okoliš koje će rezultirati negativnim rješenjem na konkretnoj lokaciji. </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Nadalje, odredb</w:t>
      </w:r>
      <w:r w:rsidR="00C32563" w:rsidRPr="00003942">
        <w:rPr>
          <w:rFonts w:ascii="Times New Roman" w:hAnsi="Times New Roman" w:cs="Times New Roman"/>
          <w:color w:val="auto"/>
          <w:sz w:val="24"/>
          <w:szCs w:val="24"/>
        </w:rPr>
        <w:t>e</w:t>
      </w:r>
      <w:r w:rsidRPr="00003942">
        <w:rPr>
          <w:rFonts w:ascii="Times New Roman" w:hAnsi="Times New Roman" w:cs="Times New Roman"/>
          <w:color w:val="auto"/>
          <w:sz w:val="24"/>
          <w:szCs w:val="24"/>
        </w:rPr>
        <w:t xml:space="preserve"> iz analize bi se mogle uključiti u glavne projekte postrojenja unutar određenog poglavlja. </w:t>
      </w:r>
    </w:p>
    <w:p w:rsidR="00DF7141" w:rsidRPr="004B780F" w:rsidRDefault="00DF7141" w:rsidP="00095924">
      <w:pPr>
        <w:pStyle w:val="Naslov3"/>
        <w:numPr>
          <w:ilvl w:val="0"/>
          <w:numId w:val="0"/>
        </w:numPr>
        <w:ind w:left="1003"/>
      </w:pPr>
      <w:bookmarkStart w:id="350" w:name="_Toc105137883"/>
      <w:bookmarkStart w:id="351" w:name="_Toc105396333"/>
      <w:bookmarkStart w:id="352" w:name="_Toc105756708"/>
      <w:bookmarkStart w:id="353" w:name="_Toc105973483"/>
      <w:r w:rsidRPr="004B780F">
        <w:lastRenderedPageBreak/>
        <w:t>Primjena ciljevi očuvanja u postupcima Ocjene prihvatljivosti za ekološku mrežu</w:t>
      </w:r>
      <w:bookmarkEnd w:id="350"/>
      <w:bookmarkEnd w:id="351"/>
      <w:bookmarkEnd w:id="352"/>
      <w:bookmarkEnd w:id="353"/>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U skladu s odredbama Direktive o staništima, koje su prenesene u Zakon o zaštiti prirode, Republika Hrvatska je morala donijeti ciljeve očuvanja i mjere očuvanja do kraja 2020. godine. Republika Hrvatska donijela je ciljeve očuvanja i mjere očuvanja za Područja očuvanja značajna za ptice (POP) koji su propisani Pravilnikom o ciljevima očuvanja i mjerama očuvanja ciljnih vrsta ptica u područjima ekološke mreže (NN 25/20, 38/20), međutim, pravilnik kojim će se propisati ciljevi očuvanja i mjere očuvanja za Područja očuvanja značajnih za vrste i stanišne tipove (POVS) još nije donesen. </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Kako bi se postupci Ocjene prihvatljivosti proveli u skladu sa zahtjevima Direktive o staništima i Zakona o zaštiti prirode, kao i preporukama Europske komisije, u dokumentaciji za provedbu postupka Ocjene prihvatljivosti zahvata na ekološku mrežu obvezno je sagledati moguće utjecaje zahvata na ciljeve očuvanja pojedinih ciljnih vrsta i ciljnih stanišnih tipova POVS područja, kao i na ciljeve očuvanja ciljnih vrsta ptica POP područja.</w:t>
      </w:r>
    </w:p>
    <w:p w:rsidR="00DF7141" w:rsidRPr="007C507C" w:rsidRDefault="009B6674" w:rsidP="002D7C87">
      <w:pPr>
        <w:pStyle w:val="Tijeloteksta"/>
        <w:rPr>
          <w:rFonts w:ascii="Times New Roman" w:hAnsi="Times New Roman" w:cs="Times New Roman"/>
          <w:strike/>
          <w:color w:val="auto"/>
          <w:sz w:val="24"/>
          <w:szCs w:val="24"/>
        </w:rPr>
      </w:pPr>
      <w:r w:rsidRPr="00003942">
        <w:rPr>
          <w:rFonts w:ascii="Times New Roman" w:hAnsi="Times New Roman" w:cs="Times New Roman"/>
          <w:color w:val="auto"/>
          <w:sz w:val="24"/>
          <w:szCs w:val="24"/>
        </w:rPr>
        <w:t>S obzirom na smanjene administrativne kapacitete, a s ciljem ubrzavanja postupka, u</w:t>
      </w:r>
      <w:r w:rsidR="00DF7141" w:rsidRPr="00003942">
        <w:rPr>
          <w:rFonts w:ascii="Times New Roman" w:hAnsi="Times New Roman" w:cs="Times New Roman"/>
          <w:color w:val="auto"/>
          <w:sz w:val="24"/>
          <w:szCs w:val="24"/>
        </w:rPr>
        <w:t xml:space="preserve"> procesu izrade GOPEM-a </w:t>
      </w:r>
      <w:r w:rsidRPr="00003942">
        <w:rPr>
          <w:rFonts w:ascii="Times New Roman" w:hAnsi="Times New Roman" w:cs="Times New Roman"/>
          <w:color w:val="auto"/>
          <w:sz w:val="24"/>
          <w:szCs w:val="24"/>
        </w:rPr>
        <w:t>ovlaštenici i investitori su pozvani na suradnju u vidu uključivanja u proces izrade ciljeva očuvanja i mjera za područja na kojima planiraju zahvat. To se o</w:t>
      </w:r>
      <w:r w:rsidRPr="00F63D65">
        <w:rPr>
          <w:rFonts w:ascii="Times New Roman" w:hAnsi="Times New Roman" w:cs="Times New Roman"/>
          <w:color w:val="auto"/>
          <w:sz w:val="24"/>
          <w:szCs w:val="24"/>
        </w:rPr>
        <w:t>dnosi samo na ciljeve očuvanja određenog/ih područja ekološke mreže na koje/g projekt ima utjecaja, ako nisu već izrađeni.</w:t>
      </w:r>
      <w:r w:rsidR="00DF7141" w:rsidRPr="007C507C">
        <w:rPr>
          <w:rFonts w:ascii="Times New Roman" w:hAnsi="Times New Roman" w:cs="Times New Roman"/>
          <w:strike/>
          <w:color w:val="auto"/>
          <w:sz w:val="24"/>
          <w:szCs w:val="24"/>
        </w:rPr>
        <w:t xml:space="preserve"> </w:t>
      </w:r>
    </w:p>
    <w:p w:rsidR="00DF7141" w:rsidRPr="007C507C" w:rsidRDefault="00431232" w:rsidP="00C90729">
      <w:pPr>
        <w:pStyle w:val="Naslov2"/>
      </w:pPr>
      <w:bookmarkStart w:id="354" w:name="_Toc105137884"/>
      <w:bookmarkStart w:id="355" w:name="_Toc105396334"/>
      <w:bookmarkStart w:id="356" w:name="_Toc105756709"/>
      <w:bookmarkStart w:id="357" w:name="_Toc105973484"/>
      <w:r w:rsidRPr="007C507C">
        <w:t>ISHOĐENJE DOZVOLA I RJEŠENJA PREMA Z</w:t>
      </w:r>
      <w:r w:rsidR="00BA153B" w:rsidRPr="007C507C">
        <w:t>o</w:t>
      </w:r>
      <w:r w:rsidRPr="007C507C">
        <w:t>TEE I Z</w:t>
      </w:r>
      <w:r w:rsidR="00BA153B" w:rsidRPr="007C507C">
        <w:t>o</w:t>
      </w:r>
      <w:r w:rsidRPr="007C507C">
        <w:t>OIEVK</w:t>
      </w:r>
      <w:bookmarkEnd w:id="354"/>
      <w:bookmarkEnd w:id="355"/>
      <w:bookmarkEnd w:id="356"/>
      <w:bookmarkEnd w:id="357"/>
    </w:p>
    <w:p w:rsidR="00DF7141" w:rsidRPr="00003942" w:rsidRDefault="00DF7141" w:rsidP="00FC271C">
      <w:pPr>
        <w:pStyle w:val="Naslov3"/>
        <w:numPr>
          <w:ilvl w:val="0"/>
          <w:numId w:val="0"/>
        </w:numPr>
        <w:ind w:left="1003"/>
      </w:pPr>
      <w:bookmarkStart w:id="358" w:name="_Toc105137885"/>
      <w:bookmarkStart w:id="359" w:name="_Toc105396335"/>
      <w:bookmarkStart w:id="360" w:name="_Toc105756710"/>
      <w:bookmarkStart w:id="361" w:name="_Toc105973485"/>
      <w:r w:rsidRPr="00003942">
        <w:t>Ishođenje energetskog odobrenja (općenito)</w:t>
      </w:r>
      <w:bookmarkEnd w:id="358"/>
      <w:bookmarkEnd w:id="359"/>
      <w:bookmarkEnd w:id="360"/>
      <w:bookmarkEnd w:id="361"/>
    </w:p>
    <w:p w:rsidR="00DF7141" w:rsidRPr="003E2DBC" w:rsidRDefault="00DF7141" w:rsidP="002D7C87">
      <w:pPr>
        <w:pStyle w:val="Tijeloteksta"/>
        <w:rPr>
          <w:rFonts w:ascii="Times New Roman" w:hAnsi="Times New Roman" w:cs="Times New Roman"/>
          <w:color w:val="auto"/>
          <w:sz w:val="24"/>
          <w:szCs w:val="24"/>
        </w:rPr>
      </w:pPr>
      <w:r w:rsidRPr="00F63D65">
        <w:rPr>
          <w:rFonts w:ascii="Times New Roman" w:hAnsi="Times New Roman" w:cs="Times New Roman"/>
          <w:color w:val="auto"/>
          <w:sz w:val="24"/>
          <w:szCs w:val="24"/>
        </w:rPr>
        <w:t>Ishođenje energetskog odobrenja definirano je člancima 16. i 17. ZoTEE-a, gdje je definiran način ishođenja, javni natječaj za izdavanje energets</w:t>
      </w:r>
      <w:r w:rsidRPr="003E2DBC">
        <w:rPr>
          <w:rFonts w:ascii="Times New Roman" w:hAnsi="Times New Roman" w:cs="Times New Roman"/>
          <w:color w:val="auto"/>
          <w:sz w:val="24"/>
          <w:szCs w:val="24"/>
        </w:rPr>
        <w:t xml:space="preserve">kog odobrenja, kriteriji za provođenje javnog natječaja, te rokovi unutar kojih javno-pravna tijela, a posebice operatori sustava, moraju dostaviti mišljenja i rješenja. </w:t>
      </w:r>
    </w:p>
    <w:p w:rsidR="00DF7141" w:rsidRPr="00387E05" w:rsidRDefault="00DF7141" w:rsidP="002D7C87">
      <w:pPr>
        <w:pStyle w:val="Tijeloteksta"/>
        <w:rPr>
          <w:rFonts w:ascii="Times New Roman" w:hAnsi="Times New Roman" w:cs="Times New Roman"/>
          <w:color w:val="auto"/>
          <w:sz w:val="24"/>
          <w:szCs w:val="24"/>
        </w:rPr>
      </w:pPr>
      <w:r w:rsidRPr="003E2DBC">
        <w:rPr>
          <w:rFonts w:ascii="Times New Roman" w:hAnsi="Times New Roman" w:cs="Times New Roman"/>
          <w:color w:val="auto"/>
          <w:sz w:val="24"/>
          <w:szCs w:val="24"/>
        </w:rPr>
        <w:t xml:space="preserve">ZoTEE-om je predviđeno donošenje dvaju podzakonskih akata vezanih za dodjelu </w:t>
      </w:r>
      <w:r w:rsidR="00BA153B" w:rsidRPr="003E2DBC">
        <w:rPr>
          <w:rFonts w:ascii="Times New Roman" w:hAnsi="Times New Roman" w:cs="Times New Roman"/>
          <w:color w:val="auto"/>
          <w:sz w:val="24"/>
          <w:szCs w:val="24"/>
        </w:rPr>
        <w:t>e</w:t>
      </w:r>
      <w:r w:rsidRPr="003E2DBC">
        <w:rPr>
          <w:rFonts w:ascii="Times New Roman" w:hAnsi="Times New Roman" w:cs="Times New Roman"/>
          <w:color w:val="auto"/>
          <w:sz w:val="24"/>
          <w:szCs w:val="24"/>
        </w:rPr>
        <w:t>nerget</w:t>
      </w:r>
      <w:r w:rsidRPr="00B265E1">
        <w:rPr>
          <w:rFonts w:ascii="Times New Roman" w:hAnsi="Times New Roman" w:cs="Times New Roman"/>
          <w:color w:val="auto"/>
          <w:sz w:val="24"/>
          <w:szCs w:val="24"/>
        </w:rPr>
        <w:t>skog odobrenja: Uredbe o uvjetima javnog natječaja za izdavanje energetskog odobrenja</w:t>
      </w:r>
      <w:r w:rsidR="00097636" w:rsidRPr="008609F9">
        <w:rPr>
          <w:rFonts w:ascii="Times New Roman" w:hAnsi="Times New Roman" w:cs="Times New Roman"/>
          <w:color w:val="auto"/>
          <w:sz w:val="24"/>
          <w:szCs w:val="24"/>
        </w:rPr>
        <w:t xml:space="preserve"> (donošenje nove uredbe)</w:t>
      </w:r>
      <w:r w:rsidRPr="008609F9">
        <w:rPr>
          <w:rFonts w:ascii="Times New Roman" w:hAnsi="Times New Roman" w:cs="Times New Roman"/>
          <w:color w:val="auto"/>
          <w:sz w:val="24"/>
          <w:szCs w:val="24"/>
        </w:rPr>
        <w:t xml:space="preserve"> i Odluke o minimalnoj visini naknade za korištenje prostora na kojima su proizvodna postrojenja te način njezine raspodjele</w:t>
      </w:r>
      <w:r w:rsidR="00097636" w:rsidRPr="008609F9">
        <w:rPr>
          <w:rFonts w:ascii="Times New Roman" w:hAnsi="Times New Roman" w:cs="Times New Roman"/>
          <w:color w:val="auto"/>
          <w:sz w:val="24"/>
          <w:szCs w:val="24"/>
        </w:rPr>
        <w:t xml:space="preserve"> (ista je na snazi sukladno starom zakonodavnom okviru</w:t>
      </w:r>
      <w:r w:rsidR="00097636" w:rsidRPr="00387E05">
        <w:rPr>
          <w:rFonts w:ascii="Times New Roman" w:hAnsi="Times New Roman" w:cs="Times New Roman"/>
          <w:color w:val="auto"/>
          <w:sz w:val="24"/>
          <w:szCs w:val="24"/>
        </w:rPr>
        <w:t>)</w:t>
      </w:r>
      <w:r w:rsidRPr="00387E05">
        <w:rPr>
          <w:rFonts w:ascii="Times New Roman" w:hAnsi="Times New Roman" w:cs="Times New Roman"/>
          <w:color w:val="auto"/>
          <w:sz w:val="24"/>
          <w:szCs w:val="24"/>
        </w:rPr>
        <w:t>.</w:t>
      </w:r>
    </w:p>
    <w:p w:rsidR="00DF7141" w:rsidRPr="00387E05" w:rsidRDefault="00DF7141" w:rsidP="002D7C87">
      <w:pPr>
        <w:pStyle w:val="Tijeloteksta"/>
        <w:rPr>
          <w:rFonts w:ascii="Times New Roman" w:hAnsi="Times New Roman" w:cs="Times New Roman"/>
          <w:color w:val="auto"/>
          <w:sz w:val="24"/>
          <w:szCs w:val="24"/>
        </w:rPr>
      </w:pPr>
      <w:r w:rsidRPr="00387E05">
        <w:rPr>
          <w:rFonts w:ascii="Times New Roman" w:hAnsi="Times New Roman" w:cs="Times New Roman"/>
          <w:color w:val="auto"/>
          <w:sz w:val="24"/>
          <w:szCs w:val="24"/>
        </w:rPr>
        <w:t>Javni natječaj za dodjelu energetskog odobrenja ne provodi se ako je nositelj projekta riješio vlasničke odnose na zemljištu na kojem planira graditi proizvodno postrojenje, odnosno praktični se provodi isključivo na zemljištu u vlasništvu Republike Hrvatske.</w:t>
      </w:r>
    </w:p>
    <w:p w:rsidR="00DF7141" w:rsidRPr="0024150C" w:rsidRDefault="00DF7141" w:rsidP="002D7C87">
      <w:pPr>
        <w:pStyle w:val="Tijeloteksta"/>
        <w:rPr>
          <w:rFonts w:ascii="Times New Roman" w:hAnsi="Times New Roman" w:cs="Times New Roman"/>
          <w:color w:val="auto"/>
          <w:sz w:val="24"/>
          <w:szCs w:val="24"/>
        </w:rPr>
      </w:pPr>
      <w:r w:rsidRPr="0024150C">
        <w:rPr>
          <w:rFonts w:ascii="Times New Roman" w:hAnsi="Times New Roman" w:cs="Times New Roman"/>
          <w:color w:val="auto"/>
          <w:sz w:val="24"/>
          <w:szCs w:val="24"/>
        </w:rPr>
        <w:t xml:space="preserve">Kriteriji za odabir najpovoljnije ponude određeni u javnom pozivu su: </w:t>
      </w:r>
    </w:p>
    <w:p w:rsidR="00DF7141" w:rsidRPr="0024150C" w:rsidRDefault="00DF7141" w:rsidP="002D7C87">
      <w:pPr>
        <w:pStyle w:val="Tijeloteksta"/>
        <w:numPr>
          <w:ilvl w:val="0"/>
          <w:numId w:val="31"/>
        </w:numPr>
        <w:rPr>
          <w:rFonts w:ascii="Times New Roman" w:hAnsi="Times New Roman" w:cs="Times New Roman"/>
          <w:color w:val="auto"/>
          <w:sz w:val="24"/>
          <w:szCs w:val="24"/>
        </w:rPr>
      </w:pPr>
      <w:r w:rsidRPr="0024150C">
        <w:rPr>
          <w:rFonts w:ascii="Times New Roman" w:hAnsi="Times New Roman" w:cs="Times New Roman"/>
          <w:color w:val="auto"/>
          <w:sz w:val="24"/>
          <w:szCs w:val="24"/>
        </w:rPr>
        <w:t>ponuđene cijene za energetsko odobrenje nosi 40% bodova</w:t>
      </w:r>
    </w:p>
    <w:p w:rsidR="00DF7141" w:rsidRPr="007C507C" w:rsidRDefault="00DF7141" w:rsidP="002D7C87">
      <w:pPr>
        <w:pStyle w:val="Tijeloteksta"/>
        <w:numPr>
          <w:ilvl w:val="0"/>
          <w:numId w:val="31"/>
        </w:numPr>
        <w:rPr>
          <w:rFonts w:ascii="Times New Roman" w:hAnsi="Times New Roman" w:cs="Times New Roman"/>
          <w:color w:val="auto"/>
          <w:sz w:val="24"/>
          <w:szCs w:val="24"/>
        </w:rPr>
      </w:pPr>
      <w:r w:rsidRPr="0024150C">
        <w:rPr>
          <w:rFonts w:ascii="Times New Roman" w:hAnsi="Times New Roman" w:cs="Times New Roman"/>
          <w:color w:val="auto"/>
          <w:sz w:val="24"/>
          <w:szCs w:val="24"/>
        </w:rPr>
        <w:t>konkurentnost proizvodnog postr</w:t>
      </w:r>
      <w:r w:rsidRPr="007C507C">
        <w:rPr>
          <w:rFonts w:ascii="Times New Roman" w:hAnsi="Times New Roman" w:cs="Times New Roman"/>
          <w:color w:val="auto"/>
          <w:sz w:val="24"/>
          <w:szCs w:val="24"/>
        </w:rPr>
        <w:t>ojenja nosi 10% bodova</w:t>
      </w:r>
    </w:p>
    <w:p w:rsidR="00DF7141" w:rsidRPr="00331C56" w:rsidRDefault="00DF7141" w:rsidP="002D7C87">
      <w:pPr>
        <w:pStyle w:val="Tijeloteksta"/>
        <w:numPr>
          <w:ilvl w:val="0"/>
          <w:numId w:val="31"/>
        </w:numPr>
        <w:rPr>
          <w:rFonts w:ascii="Times New Roman" w:hAnsi="Times New Roman" w:cs="Times New Roman"/>
          <w:color w:val="auto"/>
          <w:sz w:val="24"/>
          <w:szCs w:val="24"/>
        </w:rPr>
      </w:pPr>
      <w:r w:rsidRPr="00331C56">
        <w:rPr>
          <w:rFonts w:ascii="Times New Roman" w:hAnsi="Times New Roman" w:cs="Times New Roman"/>
          <w:color w:val="auto"/>
          <w:sz w:val="24"/>
          <w:szCs w:val="24"/>
        </w:rPr>
        <w:t>visinu naknade jedinici lokalne samouprave i/ili mogućnost sudjelovanja i/ili udjela u projektu jedinice lokalne samouprave nosi 15% bodova</w:t>
      </w:r>
    </w:p>
    <w:p w:rsidR="00DF7141" w:rsidRPr="00331C56" w:rsidRDefault="00DF7141" w:rsidP="002D7C87">
      <w:pPr>
        <w:pStyle w:val="Tijeloteksta"/>
        <w:numPr>
          <w:ilvl w:val="0"/>
          <w:numId w:val="31"/>
        </w:numPr>
        <w:rPr>
          <w:rFonts w:ascii="Times New Roman" w:hAnsi="Times New Roman" w:cs="Times New Roman"/>
          <w:color w:val="auto"/>
          <w:sz w:val="24"/>
          <w:szCs w:val="24"/>
        </w:rPr>
      </w:pPr>
      <w:r w:rsidRPr="00331C56">
        <w:rPr>
          <w:rFonts w:ascii="Times New Roman" w:hAnsi="Times New Roman" w:cs="Times New Roman"/>
          <w:color w:val="auto"/>
          <w:sz w:val="24"/>
          <w:szCs w:val="24"/>
        </w:rPr>
        <w:t>energetsku učinkovitost nosi 20% bodova</w:t>
      </w:r>
    </w:p>
    <w:p w:rsidR="00DF7141" w:rsidRPr="00331C56" w:rsidRDefault="00DF7141" w:rsidP="002D7C87">
      <w:pPr>
        <w:pStyle w:val="Tijeloteksta"/>
        <w:numPr>
          <w:ilvl w:val="0"/>
          <w:numId w:val="31"/>
        </w:numPr>
        <w:rPr>
          <w:rFonts w:ascii="Times New Roman" w:hAnsi="Times New Roman" w:cs="Times New Roman"/>
          <w:color w:val="auto"/>
          <w:sz w:val="24"/>
          <w:szCs w:val="24"/>
        </w:rPr>
      </w:pPr>
      <w:r w:rsidRPr="00331C56">
        <w:rPr>
          <w:rFonts w:ascii="Times New Roman" w:hAnsi="Times New Roman" w:cs="Times New Roman"/>
          <w:color w:val="auto"/>
          <w:sz w:val="24"/>
          <w:szCs w:val="24"/>
        </w:rPr>
        <w:lastRenderedPageBreak/>
        <w:t>roka izgradnje proizvodnog postrojenja koji nosi 15% bodova.</w:t>
      </w:r>
    </w:p>
    <w:p w:rsidR="00DF7141" w:rsidRPr="00003942" w:rsidRDefault="00DF7141" w:rsidP="002D7C87">
      <w:pPr>
        <w:pStyle w:val="Tijeloteksta"/>
        <w:rPr>
          <w:rFonts w:ascii="Times New Roman" w:hAnsi="Times New Roman" w:cs="Times New Roman"/>
          <w:color w:val="auto"/>
          <w:sz w:val="24"/>
          <w:szCs w:val="24"/>
        </w:rPr>
      </w:pPr>
      <w:r w:rsidRPr="00222A78">
        <w:rPr>
          <w:rFonts w:ascii="Times New Roman" w:hAnsi="Times New Roman" w:cs="Times New Roman"/>
          <w:color w:val="auto"/>
          <w:sz w:val="24"/>
          <w:szCs w:val="24"/>
        </w:rPr>
        <w:t>Uredba koja bi definirala javni natječaj još nije donesena, te sukladno tome nije proveden niti jedan javni natječaj</w:t>
      </w:r>
      <w:r w:rsidRPr="00192851">
        <w:rPr>
          <w:rFonts w:ascii="Times New Roman" w:hAnsi="Times New Roman" w:cs="Times New Roman"/>
          <w:color w:val="auto"/>
          <w:sz w:val="24"/>
          <w:szCs w:val="24"/>
        </w:rPr>
        <w:t xml:space="preserve">. </w:t>
      </w:r>
      <w:r w:rsidR="00097636" w:rsidRPr="00192851">
        <w:rPr>
          <w:rFonts w:ascii="Times New Roman" w:hAnsi="Times New Roman" w:cs="Times New Roman"/>
          <w:color w:val="auto"/>
          <w:sz w:val="24"/>
          <w:szCs w:val="24"/>
        </w:rPr>
        <w:t xml:space="preserve">U ovom smislu vidljiv je manjak administrativnih kapaciteta posebice u uvjetima kada su u upravi nadležnoj za energetiku </w:t>
      </w:r>
      <w:r w:rsidR="00097636" w:rsidRPr="00003942">
        <w:rPr>
          <w:rFonts w:ascii="Times New Roman" w:hAnsi="Times New Roman" w:cs="Times New Roman"/>
          <w:color w:val="auto"/>
          <w:sz w:val="24"/>
          <w:szCs w:val="24"/>
        </w:rPr>
        <w:t>povećane aktivnosti vezane uz niz pitanja koja se odnose na sigurnost opskrbe, sankcije, cijene energenata i ostala pitanja prouzročena agresijom Ruske federacije na Ukrajinu.</w:t>
      </w:r>
    </w:p>
    <w:p w:rsidR="00DF7141" w:rsidRPr="004B780F" w:rsidRDefault="00DF7141" w:rsidP="00FC271C">
      <w:pPr>
        <w:pStyle w:val="Naslov3"/>
        <w:numPr>
          <w:ilvl w:val="0"/>
          <w:numId w:val="0"/>
        </w:numPr>
        <w:ind w:left="1003"/>
      </w:pPr>
      <w:bookmarkStart w:id="362" w:name="_Toc105137886"/>
      <w:bookmarkStart w:id="363" w:name="_Toc105396336"/>
      <w:bookmarkStart w:id="364" w:name="_Toc105756711"/>
      <w:bookmarkStart w:id="365" w:name="_Toc105973486"/>
      <w:r w:rsidRPr="004B780F">
        <w:t>Ishođenje energetskog odobrenja za zatečene projekte</w:t>
      </w:r>
      <w:bookmarkEnd w:id="362"/>
      <w:bookmarkEnd w:id="363"/>
      <w:bookmarkEnd w:id="364"/>
      <w:bookmarkEnd w:id="365"/>
    </w:p>
    <w:p w:rsidR="00DF7141" w:rsidRPr="00B265E1"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Zatečeni projekti, koji imaju jednu od suglasnosti ili rješenja (lokacijska dozvola, sklopljen ugovor o priključenju, izdana elektroenergetska suglasnost odnosno prethodna elektroenergetska suglasnost, ishođeno rješenje o prihvatljivosti zahvata za okoliš i prirodu) bili su dužni podnijeti zahtjev s iskazom interesa za provođenje javnog natječaja za izdavanje energetskog odobrenja u roku od 90 dana od dana stupanja na snagu ZoTEE-a. </w:t>
      </w:r>
      <w:r w:rsidR="00BC50A1" w:rsidRPr="00003942">
        <w:rPr>
          <w:rFonts w:ascii="Times New Roman" w:hAnsi="Times New Roman" w:cs="Times New Roman"/>
          <w:color w:val="auto"/>
          <w:sz w:val="24"/>
          <w:szCs w:val="24"/>
        </w:rPr>
        <w:t>MINGOR</w:t>
      </w:r>
      <w:r w:rsidRPr="00003942">
        <w:rPr>
          <w:rFonts w:ascii="Times New Roman" w:hAnsi="Times New Roman" w:cs="Times New Roman"/>
          <w:color w:val="auto"/>
          <w:sz w:val="24"/>
          <w:szCs w:val="24"/>
        </w:rPr>
        <w:t xml:space="preserve"> je 25. veljače 2022. objavio popis zaprimljenih zahtjeva s iskazom interesa za provođenje javnog natječaja za izdavanje energetskog odobrenja koji se odnosi na </w:t>
      </w:r>
      <w:r w:rsidR="006869BF" w:rsidRPr="00003942">
        <w:rPr>
          <w:rFonts w:ascii="Times New Roman" w:hAnsi="Times New Roman" w:cs="Times New Roman"/>
          <w:color w:val="auto"/>
          <w:sz w:val="24"/>
          <w:szCs w:val="24"/>
        </w:rPr>
        <w:t>21</w:t>
      </w:r>
      <w:r w:rsidR="00931D1A" w:rsidRPr="00003942">
        <w:rPr>
          <w:rFonts w:ascii="Times New Roman" w:hAnsi="Times New Roman" w:cs="Times New Roman"/>
          <w:color w:val="auto"/>
          <w:sz w:val="24"/>
          <w:szCs w:val="24"/>
        </w:rPr>
        <w:t>6</w:t>
      </w:r>
      <w:r w:rsidR="006869BF" w:rsidRPr="00003942">
        <w:rPr>
          <w:rFonts w:ascii="Times New Roman" w:hAnsi="Times New Roman" w:cs="Times New Roman"/>
          <w:color w:val="auto"/>
          <w:sz w:val="24"/>
          <w:szCs w:val="24"/>
        </w:rPr>
        <w:t xml:space="preserve"> </w:t>
      </w:r>
      <w:r w:rsidRPr="00003942">
        <w:rPr>
          <w:rFonts w:ascii="Times New Roman" w:hAnsi="Times New Roman" w:cs="Times New Roman"/>
          <w:color w:val="auto"/>
          <w:sz w:val="24"/>
          <w:szCs w:val="24"/>
        </w:rPr>
        <w:t>zahtjeva s ukupno planiranom priključnom snagom od 5</w:t>
      </w:r>
      <w:r w:rsidR="006869BF" w:rsidRPr="00003942">
        <w:rPr>
          <w:rFonts w:ascii="Times New Roman" w:hAnsi="Times New Roman" w:cs="Times New Roman"/>
          <w:color w:val="auto"/>
          <w:sz w:val="24"/>
          <w:szCs w:val="24"/>
        </w:rPr>
        <w:t>.</w:t>
      </w:r>
      <w:r w:rsidRPr="00003942">
        <w:rPr>
          <w:rFonts w:ascii="Times New Roman" w:hAnsi="Times New Roman" w:cs="Times New Roman"/>
          <w:color w:val="auto"/>
          <w:sz w:val="24"/>
          <w:szCs w:val="24"/>
        </w:rPr>
        <w:t>953,5</w:t>
      </w:r>
      <w:r w:rsidR="006869BF" w:rsidRPr="00003942">
        <w:rPr>
          <w:rFonts w:ascii="Times New Roman" w:hAnsi="Times New Roman" w:cs="Times New Roman"/>
          <w:color w:val="auto"/>
          <w:sz w:val="24"/>
          <w:szCs w:val="24"/>
        </w:rPr>
        <w:t xml:space="preserve"> </w:t>
      </w:r>
      <w:r w:rsidRPr="00003942">
        <w:rPr>
          <w:rFonts w:ascii="Times New Roman" w:hAnsi="Times New Roman" w:cs="Times New Roman"/>
          <w:color w:val="auto"/>
          <w:sz w:val="24"/>
          <w:szCs w:val="24"/>
        </w:rPr>
        <w:t xml:space="preserve">MW </w:t>
      </w:r>
      <w:r w:rsidRPr="00003942">
        <w:rPr>
          <w:rFonts w:ascii="Times New Roman" w:hAnsi="Times New Roman" w:cs="Times New Roman"/>
          <w:color w:val="auto"/>
          <w:sz w:val="24"/>
          <w:szCs w:val="24"/>
        </w:rPr>
        <w:fldChar w:fldCharType="begin"/>
      </w:r>
      <w:r w:rsidRPr="007C507C">
        <w:rPr>
          <w:rFonts w:ascii="Times New Roman" w:hAnsi="Times New Roman" w:cs="Times New Roman"/>
          <w:color w:val="auto"/>
          <w:sz w:val="24"/>
          <w:szCs w:val="24"/>
        </w:rPr>
        <w:instrText xml:space="preserve"> REF _Ref104725090 \r \h </w:instrText>
      </w:r>
      <w:r w:rsidR="002D7C87" w:rsidRPr="007C507C">
        <w:rPr>
          <w:rFonts w:ascii="Times New Roman" w:hAnsi="Times New Roman" w:cs="Times New Roman"/>
          <w:color w:val="auto"/>
          <w:sz w:val="24"/>
          <w:szCs w:val="24"/>
        </w:rPr>
        <w:instrText xml:space="preserve"> \* MERGEFORMAT </w:instrText>
      </w:r>
      <w:r w:rsidRPr="00003942">
        <w:rPr>
          <w:rFonts w:ascii="Times New Roman" w:hAnsi="Times New Roman" w:cs="Times New Roman"/>
          <w:color w:val="auto"/>
          <w:sz w:val="24"/>
          <w:szCs w:val="24"/>
        </w:rPr>
      </w:r>
      <w:r w:rsidRPr="00003942">
        <w:rPr>
          <w:rFonts w:ascii="Times New Roman" w:hAnsi="Times New Roman" w:cs="Times New Roman"/>
          <w:color w:val="auto"/>
          <w:sz w:val="24"/>
          <w:szCs w:val="24"/>
        </w:rPr>
        <w:fldChar w:fldCharType="separate"/>
      </w:r>
      <w:r w:rsidR="009C3921">
        <w:rPr>
          <w:rFonts w:ascii="Times New Roman" w:hAnsi="Times New Roman" w:cs="Times New Roman"/>
          <w:color w:val="auto"/>
          <w:sz w:val="24"/>
          <w:szCs w:val="24"/>
        </w:rPr>
        <w:t>[16]</w:t>
      </w:r>
      <w:r w:rsidRPr="00003942">
        <w:rPr>
          <w:rFonts w:ascii="Times New Roman" w:hAnsi="Times New Roman" w:cs="Times New Roman"/>
          <w:color w:val="auto"/>
          <w:sz w:val="24"/>
          <w:szCs w:val="24"/>
        </w:rPr>
        <w:fldChar w:fldCharType="end"/>
      </w:r>
      <w:r w:rsidRPr="00003942">
        <w:rPr>
          <w:rFonts w:ascii="Times New Roman" w:hAnsi="Times New Roman" w:cs="Times New Roman"/>
          <w:color w:val="auto"/>
          <w:sz w:val="24"/>
          <w:szCs w:val="24"/>
        </w:rPr>
        <w:t xml:space="preserve">. </w:t>
      </w:r>
      <w:r w:rsidRPr="00F63D65">
        <w:rPr>
          <w:rFonts w:ascii="Times New Roman" w:hAnsi="Times New Roman" w:cs="Times New Roman"/>
          <w:color w:val="auto"/>
          <w:sz w:val="24"/>
          <w:szCs w:val="24"/>
        </w:rPr>
        <w:t>Ministarstvo je dužno za ove projekte provesti javni natječaj za izdavanje energetskog odobrenja</w:t>
      </w:r>
      <w:r w:rsidR="00931D1A" w:rsidRPr="003E2DBC">
        <w:rPr>
          <w:rFonts w:ascii="Times New Roman" w:hAnsi="Times New Roman" w:cs="Times New Roman"/>
          <w:color w:val="auto"/>
          <w:sz w:val="24"/>
          <w:szCs w:val="24"/>
        </w:rPr>
        <w:t xml:space="preserve"> iako nije određen konkretan rok za provođenje istog.</w:t>
      </w:r>
    </w:p>
    <w:p w:rsidR="00DF7141" w:rsidRPr="0024150C" w:rsidRDefault="00DF7141" w:rsidP="002D7C87">
      <w:pPr>
        <w:pStyle w:val="Tijeloteksta"/>
        <w:rPr>
          <w:rFonts w:ascii="Times New Roman" w:hAnsi="Times New Roman" w:cs="Times New Roman"/>
          <w:color w:val="auto"/>
          <w:sz w:val="24"/>
          <w:szCs w:val="24"/>
        </w:rPr>
      </w:pPr>
      <w:r w:rsidRPr="008609F9">
        <w:rPr>
          <w:rFonts w:ascii="Times New Roman" w:hAnsi="Times New Roman" w:cs="Times New Roman"/>
          <w:color w:val="auto"/>
          <w:sz w:val="24"/>
          <w:szCs w:val="24"/>
        </w:rPr>
        <w:t>Od navedenog broja, veliki dio projekata otpada na projekte sunčanih elektrana (oko 3.800 MW) i vjetroelektrana (1.760 MW), dok ostatak otpada na kogeneracije, hidroelektrane, geotermalne elektrane, elektrane na otpad i bioplin, te pohranu</w:t>
      </w:r>
      <w:r w:rsidR="006869BF" w:rsidRPr="008609F9">
        <w:rPr>
          <w:rFonts w:ascii="Times New Roman" w:hAnsi="Times New Roman" w:cs="Times New Roman"/>
          <w:color w:val="auto"/>
          <w:sz w:val="24"/>
          <w:szCs w:val="24"/>
        </w:rPr>
        <w:t xml:space="preserve"> energije</w:t>
      </w:r>
      <w:r w:rsidRPr="00387E05">
        <w:rPr>
          <w:rFonts w:ascii="Times New Roman" w:hAnsi="Times New Roman" w:cs="Times New Roman"/>
          <w:color w:val="auto"/>
          <w:sz w:val="24"/>
          <w:szCs w:val="24"/>
        </w:rPr>
        <w:t>. Uzimajući u obzir navedene brojke, vidljivo je da u ovim prijavama leži veliki potencijal zadovoljenja ciljeva za OIE u R</w:t>
      </w:r>
      <w:r w:rsidR="00931D1A" w:rsidRPr="00387E05">
        <w:rPr>
          <w:rFonts w:ascii="Times New Roman" w:hAnsi="Times New Roman" w:cs="Times New Roman"/>
          <w:color w:val="auto"/>
          <w:sz w:val="24"/>
          <w:szCs w:val="24"/>
        </w:rPr>
        <w:t xml:space="preserve">epublici </w:t>
      </w:r>
      <w:r w:rsidRPr="00387E05">
        <w:rPr>
          <w:rFonts w:ascii="Times New Roman" w:hAnsi="Times New Roman" w:cs="Times New Roman"/>
          <w:color w:val="auto"/>
          <w:sz w:val="24"/>
          <w:szCs w:val="24"/>
        </w:rPr>
        <w:t>H</w:t>
      </w:r>
      <w:r w:rsidR="00931D1A" w:rsidRPr="00387E05">
        <w:rPr>
          <w:rFonts w:ascii="Times New Roman" w:hAnsi="Times New Roman" w:cs="Times New Roman"/>
          <w:color w:val="auto"/>
          <w:sz w:val="24"/>
          <w:szCs w:val="24"/>
        </w:rPr>
        <w:t>rvatskoj</w:t>
      </w:r>
      <w:r w:rsidRPr="00387E05">
        <w:rPr>
          <w:rFonts w:ascii="Times New Roman" w:hAnsi="Times New Roman" w:cs="Times New Roman"/>
          <w:color w:val="auto"/>
          <w:sz w:val="24"/>
          <w:szCs w:val="24"/>
        </w:rPr>
        <w:t>, a radi se o projektima koji imaju određen napredak u administrativnom postupku, te bi mogli biti realizirani u srednjoročnom razdoblju. Izdavanjem energetskih odobrenja za projekte koji z</w:t>
      </w:r>
      <w:r w:rsidRPr="0024150C">
        <w:rPr>
          <w:rFonts w:ascii="Times New Roman" w:hAnsi="Times New Roman" w:cs="Times New Roman"/>
          <w:color w:val="auto"/>
          <w:sz w:val="24"/>
          <w:szCs w:val="24"/>
        </w:rPr>
        <w:t xml:space="preserve">adovoljavaju uvjete iz </w:t>
      </w:r>
      <w:r w:rsidR="00931D1A" w:rsidRPr="0024150C">
        <w:rPr>
          <w:rFonts w:ascii="Times New Roman" w:hAnsi="Times New Roman" w:cs="Times New Roman"/>
          <w:color w:val="auto"/>
          <w:sz w:val="24"/>
          <w:szCs w:val="24"/>
        </w:rPr>
        <w:t>ZoTEE</w:t>
      </w:r>
      <w:r w:rsidRPr="0024150C">
        <w:rPr>
          <w:rFonts w:ascii="Times New Roman" w:hAnsi="Times New Roman" w:cs="Times New Roman"/>
          <w:color w:val="auto"/>
          <w:sz w:val="24"/>
          <w:szCs w:val="24"/>
        </w:rPr>
        <w:t xml:space="preserve">, određena količina projekata bi bila bliže fazi realizacije. </w:t>
      </w:r>
    </w:p>
    <w:p w:rsidR="00DF7141" w:rsidRPr="007C507C" w:rsidRDefault="00BC50A1" w:rsidP="002D7C87">
      <w:pPr>
        <w:pStyle w:val="Tijeloteksta"/>
        <w:rPr>
          <w:rFonts w:ascii="Times New Roman" w:hAnsi="Times New Roman" w:cs="Times New Roman"/>
          <w:color w:val="auto"/>
          <w:sz w:val="24"/>
          <w:szCs w:val="24"/>
        </w:rPr>
      </w:pPr>
      <w:r w:rsidRPr="0024150C">
        <w:rPr>
          <w:rFonts w:ascii="Times New Roman" w:hAnsi="Times New Roman" w:cs="Times New Roman"/>
          <w:color w:val="auto"/>
          <w:sz w:val="24"/>
          <w:szCs w:val="24"/>
        </w:rPr>
        <w:t>MINGOR</w:t>
      </w:r>
      <w:r w:rsidR="00DF7141" w:rsidRPr="0024150C">
        <w:rPr>
          <w:rFonts w:ascii="Times New Roman" w:hAnsi="Times New Roman" w:cs="Times New Roman"/>
          <w:color w:val="auto"/>
          <w:sz w:val="24"/>
          <w:szCs w:val="24"/>
        </w:rPr>
        <w:t xml:space="preserve"> sukladno članku 133. stavku 3. ZoTEE-a treba provesti javni natječaj za izdavanje energetskog odobrenja, prema kriteriju vrednovanja ishođenih dokumenata (lokacijska dozvola i/ili sklopljen ugovor o priključenju i/ili izdana elektroenergetska suglasnost odnosno prethodna elektroenergetska suglasnost i/ili je ishođeno rješenje o prihvatljivosti zahvata za okoliš i prirodu) odnosno sukladno nastupa</w:t>
      </w:r>
      <w:r w:rsidR="00DF7141" w:rsidRPr="007C507C">
        <w:rPr>
          <w:rFonts w:ascii="Times New Roman" w:hAnsi="Times New Roman" w:cs="Times New Roman"/>
          <w:color w:val="auto"/>
          <w:sz w:val="24"/>
          <w:szCs w:val="24"/>
        </w:rPr>
        <w:t>nju pravomoćnosti lokacijske dozvole te izvršnosti ugovora o priključenju, izvršnosti elektroenergetske suglasnosti odnosno prethodne elektroenergetske suglasnosti te izvršnosti rješenja o prihvatljivosti zahvata za okoliš i prirodu.</w:t>
      </w:r>
    </w:p>
    <w:p w:rsidR="00DF7141" w:rsidRPr="00331C56" w:rsidRDefault="00DF7141" w:rsidP="002D7C87">
      <w:pPr>
        <w:pStyle w:val="Tijeloteksta"/>
        <w:rPr>
          <w:rFonts w:ascii="Times New Roman" w:hAnsi="Times New Roman" w:cs="Times New Roman"/>
          <w:color w:val="auto"/>
          <w:sz w:val="24"/>
          <w:szCs w:val="24"/>
        </w:rPr>
      </w:pPr>
      <w:r w:rsidRPr="00331C56">
        <w:rPr>
          <w:rFonts w:ascii="Times New Roman" w:hAnsi="Times New Roman" w:cs="Times New Roman"/>
          <w:color w:val="auto"/>
          <w:sz w:val="24"/>
          <w:szCs w:val="24"/>
        </w:rPr>
        <w:t xml:space="preserve">Ako u postupku javnog natječaja za izdavanje energetskog odobrenja bude zaprimljeno više iskaza interesa, koji se odnose na isti ili djelomično isti obuhvat prostora, prednost pri određivanju najpovoljnijeg ponuditelja ima prema sljedećem redu prvenstva podnositelj zahtjeva koji je prije, u odnosu na drugog podnositelja zahtjeva, ishodio pravomoćnu lokacijsku dozvolu, ishodio izvršnu prethodnu elektroenergetsku suglasnost, ishodio izvršnu elektroenergetsku suglasnost, sklopio valjan ugovor o priključenju te ishodio rješenje o prihvatljivosti zahvata za okoliš i prirodu. </w:t>
      </w:r>
    </w:p>
    <w:p w:rsidR="00DF7141" w:rsidRPr="00003942" w:rsidRDefault="00DF7141" w:rsidP="002D7C87">
      <w:pPr>
        <w:pStyle w:val="Tijeloteksta"/>
        <w:rPr>
          <w:rFonts w:ascii="Times New Roman" w:hAnsi="Times New Roman" w:cs="Times New Roman"/>
          <w:color w:val="auto"/>
          <w:sz w:val="24"/>
          <w:szCs w:val="24"/>
        </w:rPr>
      </w:pPr>
      <w:r w:rsidRPr="00222A78">
        <w:rPr>
          <w:rFonts w:ascii="Times New Roman" w:hAnsi="Times New Roman" w:cs="Times New Roman"/>
          <w:color w:val="auto"/>
          <w:sz w:val="24"/>
          <w:szCs w:val="24"/>
        </w:rPr>
        <w:t xml:space="preserve">Zbog svega navedenog, </w:t>
      </w:r>
      <w:r w:rsidR="00BC50A1" w:rsidRPr="00222A78">
        <w:rPr>
          <w:rFonts w:ascii="Times New Roman" w:hAnsi="Times New Roman" w:cs="Times New Roman"/>
          <w:color w:val="auto"/>
          <w:sz w:val="24"/>
          <w:szCs w:val="24"/>
        </w:rPr>
        <w:t>MING</w:t>
      </w:r>
      <w:r w:rsidR="00BC50A1" w:rsidRPr="00192851">
        <w:rPr>
          <w:rFonts w:ascii="Times New Roman" w:hAnsi="Times New Roman" w:cs="Times New Roman"/>
          <w:color w:val="auto"/>
          <w:sz w:val="24"/>
          <w:szCs w:val="24"/>
        </w:rPr>
        <w:t>OR</w:t>
      </w:r>
      <w:r w:rsidRPr="00192851">
        <w:rPr>
          <w:rFonts w:ascii="Times New Roman" w:hAnsi="Times New Roman" w:cs="Times New Roman"/>
          <w:color w:val="auto"/>
          <w:sz w:val="24"/>
          <w:szCs w:val="24"/>
        </w:rPr>
        <w:t xml:space="preserve"> bi u što kraćem roku trebao odbaciti zaprimljene iskaze interesa koji ne zadovoljavaju zakonske uvjete, prostorno preklopiti projekte te raspisati javni natječaj za izdavanje energetskog odobrenja kako bi se između projekata koji se prostorno preklapaju</w:t>
      </w:r>
      <w:r w:rsidRPr="00003942">
        <w:rPr>
          <w:rFonts w:ascii="Times New Roman" w:hAnsi="Times New Roman" w:cs="Times New Roman"/>
          <w:color w:val="auto"/>
          <w:sz w:val="24"/>
          <w:szCs w:val="24"/>
        </w:rPr>
        <w:t>, sukladno članku 133. stavku 4. ZoTEE-a, utvrdi</w:t>
      </w:r>
      <w:r w:rsidR="00931D1A" w:rsidRPr="00003942">
        <w:rPr>
          <w:rFonts w:ascii="Times New Roman" w:hAnsi="Times New Roman" w:cs="Times New Roman"/>
          <w:color w:val="auto"/>
          <w:sz w:val="24"/>
          <w:szCs w:val="24"/>
        </w:rPr>
        <w:t>le</w:t>
      </w:r>
      <w:r w:rsidRPr="00003942">
        <w:rPr>
          <w:rFonts w:ascii="Times New Roman" w:hAnsi="Times New Roman" w:cs="Times New Roman"/>
          <w:color w:val="auto"/>
          <w:sz w:val="24"/>
          <w:szCs w:val="24"/>
        </w:rPr>
        <w:t xml:space="preserve"> </w:t>
      </w:r>
      <w:r w:rsidR="00931D1A" w:rsidRPr="00003942">
        <w:rPr>
          <w:rFonts w:ascii="Times New Roman" w:hAnsi="Times New Roman" w:cs="Times New Roman"/>
          <w:color w:val="auto"/>
          <w:sz w:val="24"/>
          <w:szCs w:val="24"/>
        </w:rPr>
        <w:lastRenderedPageBreak/>
        <w:t>zauzete prostorno-planske lokacije i mogućnost priključenja na mrežu</w:t>
      </w:r>
      <w:r w:rsidRPr="00003942">
        <w:rPr>
          <w:rFonts w:ascii="Times New Roman" w:hAnsi="Times New Roman" w:cs="Times New Roman"/>
          <w:color w:val="auto"/>
          <w:sz w:val="24"/>
          <w:szCs w:val="24"/>
        </w:rPr>
        <w:t xml:space="preserve"> </w:t>
      </w:r>
      <w:r w:rsidR="00931D1A" w:rsidRPr="00003942">
        <w:rPr>
          <w:rFonts w:ascii="Times New Roman" w:hAnsi="Times New Roman" w:cs="Times New Roman"/>
          <w:color w:val="auto"/>
          <w:sz w:val="24"/>
          <w:szCs w:val="24"/>
        </w:rPr>
        <w:t>budućim</w:t>
      </w:r>
      <w:r w:rsidRPr="00003942">
        <w:rPr>
          <w:rFonts w:ascii="Times New Roman" w:hAnsi="Times New Roman" w:cs="Times New Roman"/>
          <w:color w:val="auto"/>
          <w:sz w:val="24"/>
          <w:szCs w:val="24"/>
        </w:rPr>
        <w:t xml:space="preserve"> projektima koji </w:t>
      </w:r>
      <w:r w:rsidR="00931D1A" w:rsidRPr="00003942">
        <w:rPr>
          <w:rFonts w:ascii="Times New Roman" w:hAnsi="Times New Roman" w:cs="Times New Roman"/>
          <w:color w:val="auto"/>
          <w:sz w:val="24"/>
          <w:szCs w:val="24"/>
        </w:rPr>
        <w:t xml:space="preserve">će </w:t>
      </w:r>
      <w:r w:rsidRPr="00003942">
        <w:rPr>
          <w:rFonts w:ascii="Times New Roman" w:hAnsi="Times New Roman" w:cs="Times New Roman"/>
          <w:color w:val="auto"/>
          <w:sz w:val="24"/>
          <w:szCs w:val="24"/>
        </w:rPr>
        <w:t>zadovolj</w:t>
      </w:r>
      <w:r w:rsidR="00931D1A" w:rsidRPr="00003942">
        <w:rPr>
          <w:rFonts w:ascii="Times New Roman" w:hAnsi="Times New Roman" w:cs="Times New Roman"/>
          <w:color w:val="auto"/>
          <w:sz w:val="24"/>
          <w:szCs w:val="24"/>
        </w:rPr>
        <w:t>iti</w:t>
      </w:r>
      <w:r w:rsidRPr="00003942">
        <w:rPr>
          <w:rFonts w:ascii="Times New Roman" w:hAnsi="Times New Roman" w:cs="Times New Roman"/>
          <w:color w:val="auto"/>
          <w:sz w:val="24"/>
          <w:szCs w:val="24"/>
        </w:rPr>
        <w:t xml:space="preserve"> uvjete</w:t>
      </w:r>
      <w:r w:rsidR="00931D1A" w:rsidRPr="00003942">
        <w:rPr>
          <w:rFonts w:ascii="Times New Roman" w:hAnsi="Times New Roman" w:cs="Times New Roman"/>
          <w:color w:val="auto"/>
          <w:sz w:val="24"/>
          <w:szCs w:val="24"/>
        </w:rPr>
        <w:t xml:space="preserve"> ishođenja energetskog odobrenja, odnosno ishođenja energetskog odobrenja na javnom natječaju</w:t>
      </w:r>
      <w:r w:rsidRPr="00003942">
        <w:rPr>
          <w:rFonts w:ascii="Times New Roman" w:hAnsi="Times New Roman" w:cs="Times New Roman"/>
          <w:color w:val="auto"/>
          <w:sz w:val="24"/>
          <w:szCs w:val="24"/>
        </w:rPr>
        <w:t xml:space="preserve">. </w:t>
      </w:r>
      <w:r w:rsidR="00FE3DA9" w:rsidRPr="00003942">
        <w:rPr>
          <w:rFonts w:ascii="Times New Roman" w:hAnsi="Times New Roman" w:cs="Times New Roman"/>
          <w:color w:val="auto"/>
          <w:sz w:val="24"/>
          <w:szCs w:val="24"/>
        </w:rPr>
        <w:t>Kako bi se osiguralo navedeno, potrebno je ojačati administrativne kapacitete MINGOR kako bi se ubrzale procedure i osiguralo skraćenje rokova.</w:t>
      </w:r>
    </w:p>
    <w:p w:rsidR="00DF7141" w:rsidRPr="004B780F" w:rsidRDefault="004E3E77" w:rsidP="00FC271C">
      <w:pPr>
        <w:pStyle w:val="Naslov3"/>
        <w:numPr>
          <w:ilvl w:val="0"/>
          <w:numId w:val="0"/>
        </w:numPr>
        <w:ind w:left="1003"/>
      </w:pPr>
      <w:bookmarkStart w:id="366" w:name="_Toc105137887"/>
      <w:bookmarkStart w:id="367" w:name="_Toc105396337"/>
      <w:bookmarkStart w:id="368" w:name="_Toc105756712"/>
      <w:bookmarkStart w:id="369" w:name="_Toc105973487"/>
      <w:r w:rsidRPr="004B780F">
        <w:t>S</w:t>
      </w:r>
      <w:r w:rsidR="00DF7141" w:rsidRPr="004B780F">
        <w:t>ustav poticanja tržišnom premijom/zajamčenom otkupnom cijenom</w:t>
      </w:r>
      <w:bookmarkEnd w:id="366"/>
      <w:bookmarkEnd w:id="367"/>
      <w:bookmarkEnd w:id="368"/>
      <w:bookmarkEnd w:id="369"/>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Donošenje podzakonskih akata koji će definirati sustav poticanja tržišnom premijom i zajamčenom otkupnom cijenom predviđeno je člancima 19. (Uredba o kvotama za poticanje proizvodnje električne energije iz obnovljivih izvora energije i visokoučinkovitih kogeneracijskih postrojenja do 2030. godine) i </w:t>
      </w:r>
      <w:r w:rsidR="00931D1A" w:rsidRPr="00003942">
        <w:rPr>
          <w:rFonts w:ascii="Times New Roman" w:hAnsi="Times New Roman" w:cs="Times New Roman"/>
          <w:color w:val="auto"/>
          <w:sz w:val="24"/>
          <w:szCs w:val="24"/>
        </w:rPr>
        <w:t xml:space="preserve">člankom </w:t>
      </w:r>
      <w:r w:rsidRPr="00003942">
        <w:rPr>
          <w:rFonts w:ascii="Times New Roman" w:hAnsi="Times New Roman" w:cs="Times New Roman"/>
          <w:color w:val="auto"/>
          <w:sz w:val="24"/>
          <w:szCs w:val="24"/>
        </w:rPr>
        <w:t xml:space="preserve">28. (Uredba o poticanju proizvodnje električne energije iz obnovljivih izvora energije i visokoučinkovitih kogeneracija). </w:t>
      </w:r>
      <w:r w:rsidR="0051693B" w:rsidRPr="00003942">
        <w:rPr>
          <w:rFonts w:ascii="Times New Roman" w:hAnsi="Times New Roman" w:cs="Times New Roman"/>
          <w:color w:val="auto"/>
          <w:sz w:val="24"/>
          <w:szCs w:val="24"/>
        </w:rPr>
        <w:t xml:space="preserve">Ove uredbe su donesene temeljem prethodnog zakonodavnog okvira te je potrebna novelacija. </w:t>
      </w:r>
      <w:r w:rsidRPr="00003942">
        <w:rPr>
          <w:rFonts w:ascii="Times New Roman" w:hAnsi="Times New Roman" w:cs="Times New Roman"/>
          <w:color w:val="auto"/>
          <w:sz w:val="24"/>
          <w:szCs w:val="24"/>
        </w:rPr>
        <w:t xml:space="preserve">Donošenjem </w:t>
      </w:r>
      <w:r w:rsidR="004E3E77" w:rsidRPr="00003942">
        <w:rPr>
          <w:rFonts w:ascii="Times New Roman" w:hAnsi="Times New Roman" w:cs="Times New Roman"/>
          <w:color w:val="auto"/>
          <w:sz w:val="24"/>
          <w:szCs w:val="24"/>
        </w:rPr>
        <w:t xml:space="preserve">novih </w:t>
      </w:r>
      <w:r w:rsidRPr="00003942">
        <w:rPr>
          <w:rFonts w:ascii="Times New Roman" w:hAnsi="Times New Roman" w:cs="Times New Roman"/>
          <w:color w:val="auto"/>
          <w:sz w:val="24"/>
          <w:szCs w:val="24"/>
        </w:rPr>
        <w:t>uredbi stvoriti će se zakonske osnove</w:t>
      </w:r>
      <w:r w:rsidR="0051693B" w:rsidRPr="00003942">
        <w:rPr>
          <w:rFonts w:ascii="Times New Roman" w:hAnsi="Times New Roman" w:cs="Times New Roman"/>
          <w:color w:val="auto"/>
          <w:sz w:val="24"/>
          <w:szCs w:val="24"/>
        </w:rPr>
        <w:t xml:space="preserve"> i</w:t>
      </w:r>
      <w:r w:rsidRPr="00003942">
        <w:rPr>
          <w:rFonts w:ascii="Times New Roman" w:hAnsi="Times New Roman" w:cs="Times New Roman"/>
          <w:color w:val="auto"/>
          <w:sz w:val="24"/>
          <w:szCs w:val="24"/>
        </w:rPr>
        <w:t xml:space="preserve"> za daljnje raspisivanje natječaja za poticanje proizvodnje električne energije iz OIE, čime se dodatno utječe na interes nositelja projekata za razvoj projekata OIE.</w:t>
      </w:r>
    </w:p>
    <w:p w:rsidR="0051693B" w:rsidRPr="00003942" w:rsidRDefault="00DF7141" w:rsidP="004E3E77">
      <w:pPr>
        <w:jc w:val="both"/>
        <w:rPr>
          <w:rFonts w:ascii="Times New Roman" w:hAnsi="Times New Roman" w:cs="Times New Roman"/>
          <w:sz w:val="24"/>
          <w:szCs w:val="24"/>
        </w:rPr>
      </w:pPr>
      <w:r w:rsidRPr="00003942">
        <w:rPr>
          <w:rFonts w:ascii="Times New Roman" w:hAnsi="Times New Roman" w:cs="Times New Roman"/>
          <w:sz w:val="24"/>
          <w:szCs w:val="24"/>
        </w:rPr>
        <w:t xml:space="preserve">Do sada, HROTE je proveo </w:t>
      </w:r>
      <w:r w:rsidR="00931D1A" w:rsidRPr="00003942">
        <w:rPr>
          <w:rFonts w:ascii="Times New Roman" w:hAnsi="Times New Roman" w:cs="Times New Roman"/>
          <w:sz w:val="24"/>
          <w:szCs w:val="24"/>
        </w:rPr>
        <w:t xml:space="preserve">jedan </w:t>
      </w:r>
      <w:r w:rsidRPr="00003942">
        <w:rPr>
          <w:rFonts w:ascii="Times New Roman" w:hAnsi="Times New Roman" w:cs="Times New Roman"/>
          <w:sz w:val="24"/>
          <w:szCs w:val="24"/>
        </w:rPr>
        <w:t>natječaja za poticanje proizvodnje električne energije iz obnovljivih izvora energije tržišnom premijom i zajamčenom otkupnom cijenom. Prema provedenim natječajima, vidljivo je da, unatoč trenutačno relativno visokim tržišnim cijenama, još uvijek postoji interes nositelja projekata za manje rizičan otkup proizvedene električne energije iz OIE.</w:t>
      </w:r>
      <w:r w:rsidR="004E3E77" w:rsidRPr="00003942">
        <w:rPr>
          <w:rFonts w:ascii="Times New Roman" w:hAnsi="Times New Roman" w:cs="Times New Roman"/>
          <w:sz w:val="24"/>
          <w:szCs w:val="24"/>
        </w:rPr>
        <w:t xml:space="preserve"> </w:t>
      </w:r>
      <w:r w:rsidR="0051693B" w:rsidRPr="00003942">
        <w:rPr>
          <w:rFonts w:ascii="Times New Roman" w:hAnsi="Times New Roman" w:cs="Times New Roman"/>
          <w:sz w:val="24"/>
          <w:szCs w:val="24"/>
        </w:rPr>
        <w:t>Natječaj je proveden prema pravilima GBER, dok se za natječaj za tržišnu premiju za veća proizvodna postrojenja čekalo odobrenje Europske Komisije.</w:t>
      </w:r>
    </w:p>
    <w:p w:rsidR="004E3E77" w:rsidRPr="007C507C" w:rsidRDefault="004E3E77" w:rsidP="004E3E77">
      <w:pPr>
        <w:jc w:val="both"/>
        <w:rPr>
          <w:rFonts w:ascii="Times New Roman" w:hAnsi="Times New Roman" w:cs="Times New Roman"/>
          <w:sz w:val="24"/>
          <w:szCs w:val="24"/>
        </w:rPr>
      </w:pPr>
      <w:r w:rsidRPr="007C507C">
        <w:rPr>
          <w:rFonts w:ascii="Times New Roman" w:hAnsi="Times New Roman" w:cs="Times New Roman"/>
          <w:sz w:val="24"/>
          <w:szCs w:val="24"/>
        </w:rPr>
        <w:t xml:space="preserve">Dana 20. ožujka 2022. godine </w:t>
      </w:r>
      <w:r w:rsidR="0051693B" w:rsidRPr="00003942">
        <w:rPr>
          <w:rFonts w:ascii="Times New Roman" w:hAnsi="Times New Roman" w:cs="Times New Roman"/>
          <w:sz w:val="24"/>
          <w:szCs w:val="24"/>
        </w:rPr>
        <w:t>HROTE</w:t>
      </w:r>
      <w:r w:rsidRPr="007C507C">
        <w:rPr>
          <w:rFonts w:ascii="Times New Roman" w:hAnsi="Times New Roman" w:cs="Times New Roman"/>
          <w:sz w:val="24"/>
          <w:szCs w:val="24"/>
        </w:rPr>
        <w:t xml:space="preserve"> je na temelju </w:t>
      </w:r>
      <w:r w:rsidRPr="007C507C">
        <w:rPr>
          <w:rFonts w:ascii="Times New Roman" w:hAnsi="Times New Roman" w:cs="Times New Roman"/>
          <w:i/>
          <w:sz w:val="24"/>
          <w:szCs w:val="24"/>
        </w:rPr>
        <w:t xml:space="preserve">Programa državnih potpora za sustav poticanja proizvodnje električne energije iz obnovljivih izvora energije i visokoučinkovitih kogeneracija tržišnom premijom 2021 .-2023. </w:t>
      </w:r>
      <w:r w:rsidRPr="007C507C">
        <w:rPr>
          <w:rFonts w:ascii="Times New Roman" w:hAnsi="Times New Roman" w:cs="Times New Roman"/>
          <w:sz w:val="24"/>
          <w:szCs w:val="24"/>
        </w:rPr>
        <w:t xml:space="preserve">odobrenog u prosincu 2021. godine od Europske komisije, raspisao </w:t>
      </w:r>
      <w:r w:rsidRPr="007C507C">
        <w:rPr>
          <w:rFonts w:ascii="Times New Roman" w:hAnsi="Times New Roman" w:cs="Times New Roman"/>
          <w:i/>
          <w:sz w:val="24"/>
          <w:szCs w:val="24"/>
        </w:rPr>
        <w:t>Javni poziv za javno s uvjetima za sudjelovanje na natječaju za poticanje proizvodnje električne energije iz obnovljivih izvora energije i visokoučinkovitih kogeneracija tržišnom premijom 1/2022</w:t>
      </w:r>
      <w:r w:rsidRPr="007C507C">
        <w:rPr>
          <w:rFonts w:ascii="Times New Roman" w:hAnsi="Times New Roman" w:cs="Times New Roman"/>
          <w:sz w:val="24"/>
          <w:szCs w:val="24"/>
        </w:rPr>
        <w:t xml:space="preserve"> (dalje u tekstu: Javni poziv). Tržišna premija je sustav poticanja u kojem HROTE isplaćuje tržišnu premiju, odnosno razliku između ugovorene referentne vrijednosti i tržišne cijene električne energije.</w:t>
      </w:r>
    </w:p>
    <w:p w:rsidR="004E3E77" w:rsidRPr="007C507C" w:rsidRDefault="004E3E77" w:rsidP="004E3E77">
      <w:pPr>
        <w:jc w:val="both"/>
        <w:rPr>
          <w:rFonts w:ascii="Times New Roman" w:hAnsi="Times New Roman" w:cs="Times New Roman"/>
          <w:sz w:val="24"/>
          <w:szCs w:val="24"/>
        </w:rPr>
      </w:pPr>
      <w:r w:rsidRPr="007C507C">
        <w:rPr>
          <w:rFonts w:ascii="Times New Roman" w:hAnsi="Times New Roman" w:cs="Times New Roman"/>
          <w:sz w:val="24"/>
          <w:szCs w:val="24"/>
        </w:rPr>
        <w:t>Na predmetnom Javnom pozivu predviđena je ukupna kvota za nove projekte u iznosu od 648 MW što je oko 60% trenutnog portfelja u sustavu poticanja koji vodi HROTE. Ukupna kvota iz Programa iznosi 2.010 MW u odnosu na koju je planirano da HROTE, do kraja 2023. godine, objavi više javnih natječaja za dodjelu tržišne premije.</w:t>
      </w:r>
    </w:p>
    <w:p w:rsidR="004E3E77" w:rsidRPr="007C507C" w:rsidRDefault="004E3E77" w:rsidP="004E3E77">
      <w:pPr>
        <w:jc w:val="both"/>
        <w:rPr>
          <w:rFonts w:ascii="Times New Roman" w:hAnsi="Times New Roman" w:cs="Times New Roman"/>
          <w:sz w:val="24"/>
          <w:szCs w:val="24"/>
        </w:rPr>
      </w:pPr>
      <w:r w:rsidRPr="007C507C">
        <w:rPr>
          <w:rFonts w:ascii="Times New Roman" w:hAnsi="Times New Roman" w:cs="Times New Roman"/>
          <w:sz w:val="24"/>
          <w:szCs w:val="24"/>
        </w:rPr>
        <w:t>Temeljem Javnog poziva, predviđene su kvote za grupe (tehnologije) proizvodnih postrojenja koje koriste OIE prema instaliranoj snazi, kao što slijedi:</w:t>
      </w:r>
    </w:p>
    <w:p w:rsidR="004E3E77" w:rsidRPr="007C507C" w:rsidRDefault="004E3E77" w:rsidP="004E3E77">
      <w:pPr>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3964"/>
        <w:gridCol w:w="2268"/>
      </w:tblGrid>
      <w:tr w:rsidR="004E3E77" w:rsidRPr="007C507C" w:rsidTr="004E3E77">
        <w:trPr>
          <w:jc w:val="center"/>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E3E77" w:rsidRPr="007C507C" w:rsidRDefault="004E3E77">
            <w:pPr>
              <w:jc w:val="center"/>
              <w:rPr>
                <w:rFonts w:ascii="Times New Roman" w:hAnsi="Times New Roman" w:cs="Times New Roman"/>
                <w:sz w:val="24"/>
                <w:szCs w:val="24"/>
              </w:rPr>
            </w:pPr>
            <w:r w:rsidRPr="007C507C">
              <w:rPr>
                <w:rFonts w:ascii="Times New Roman" w:hAnsi="Times New Roman" w:cs="Times New Roman"/>
                <w:sz w:val="24"/>
                <w:szCs w:val="24"/>
              </w:rPr>
              <w:t>Grupa proizvodnih postrojenja</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E3E77" w:rsidRPr="007C507C" w:rsidRDefault="004E3E77">
            <w:pPr>
              <w:jc w:val="center"/>
              <w:rPr>
                <w:rFonts w:ascii="Times New Roman" w:hAnsi="Times New Roman" w:cs="Times New Roman"/>
                <w:sz w:val="24"/>
                <w:szCs w:val="24"/>
              </w:rPr>
            </w:pPr>
            <w:r w:rsidRPr="007C507C">
              <w:rPr>
                <w:rFonts w:ascii="Times New Roman" w:hAnsi="Times New Roman" w:cs="Times New Roman"/>
                <w:sz w:val="24"/>
                <w:szCs w:val="24"/>
              </w:rPr>
              <w:t>Kvota natječaja (MW)</w:t>
            </w:r>
          </w:p>
        </w:tc>
      </w:tr>
      <w:tr w:rsidR="004E3E77" w:rsidRPr="007C507C" w:rsidTr="004E3E77">
        <w:trPr>
          <w:jc w:val="center"/>
        </w:trPr>
        <w:tc>
          <w:tcPr>
            <w:tcW w:w="3964" w:type="dxa"/>
            <w:tcBorders>
              <w:top w:val="single" w:sz="4" w:space="0" w:color="auto"/>
              <w:left w:val="single" w:sz="4" w:space="0" w:color="auto"/>
              <w:bottom w:val="single" w:sz="4" w:space="0" w:color="auto"/>
              <w:right w:val="single" w:sz="4" w:space="0" w:color="auto"/>
            </w:tcBorders>
            <w:hideMark/>
          </w:tcPr>
          <w:p w:rsidR="004E3E77" w:rsidRPr="007C507C" w:rsidRDefault="004E3E77">
            <w:pPr>
              <w:jc w:val="both"/>
              <w:rPr>
                <w:rFonts w:ascii="Times New Roman" w:hAnsi="Times New Roman" w:cs="Times New Roman"/>
                <w:sz w:val="24"/>
                <w:szCs w:val="24"/>
              </w:rPr>
            </w:pPr>
            <w:r w:rsidRPr="007C507C">
              <w:rPr>
                <w:rFonts w:ascii="Times New Roman" w:hAnsi="Times New Roman" w:cs="Times New Roman"/>
                <w:sz w:val="24"/>
                <w:szCs w:val="24"/>
              </w:rPr>
              <w:t>Sunčane elektrane &gt; 500 kW</w:t>
            </w:r>
          </w:p>
        </w:tc>
        <w:tc>
          <w:tcPr>
            <w:tcW w:w="2268" w:type="dxa"/>
            <w:tcBorders>
              <w:top w:val="single" w:sz="4" w:space="0" w:color="auto"/>
              <w:left w:val="single" w:sz="4" w:space="0" w:color="auto"/>
              <w:bottom w:val="single" w:sz="4" w:space="0" w:color="auto"/>
              <w:right w:val="single" w:sz="4" w:space="0" w:color="auto"/>
            </w:tcBorders>
            <w:hideMark/>
          </w:tcPr>
          <w:p w:rsidR="004E3E77" w:rsidRPr="007C507C" w:rsidRDefault="004E3E77">
            <w:pPr>
              <w:jc w:val="right"/>
              <w:rPr>
                <w:rFonts w:ascii="Times New Roman" w:hAnsi="Times New Roman" w:cs="Times New Roman"/>
                <w:sz w:val="24"/>
                <w:szCs w:val="24"/>
              </w:rPr>
            </w:pPr>
            <w:r w:rsidRPr="007C507C">
              <w:rPr>
                <w:rFonts w:ascii="Times New Roman" w:hAnsi="Times New Roman" w:cs="Times New Roman"/>
                <w:sz w:val="24"/>
                <w:szCs w:val="24"/>
              </w:rPr>
              <w:t>300</w:t>
            </w:r>
          </w:p>
        </w:tc>
      </w:tr>
      <w:tr w:rsidR="004E3E77" w:rsidRPr="007C507C" w:rsidTr="004E3E77">
        <w:trPr>
          <w:jc w:val="center"/>
        </w:trPr>
        <w:tc>
          <w:tcPr>
            <w:tcW w:w="3964" w:type="dxa"/>
            <w:tcBorders>
              <w:top w:val="single" w:sz="4" w:space="0" w:color="auto"/>
              <w:left w:val="single" w:sz="4" w:space="0" w:color="auto"/>
              <w:bottom w:val="single" w:sz="4" w:space="0" w:color="auto"/>
              <w:right w:val="single" w:sz="4" w:space="0" w:color="auto"/>
            </w:tcBorders>
            <w:hideMark/>
          </w:tcPr>
          <w:p w:rsidR="004E3E77" w:rsidRPr="007C507C" w:rsidRDefault="004E3E77">
            <w:pPr>
              <w:jc w:val="both"/>
              <w:rPr>
                <w:rFonts w:ascii="Times New Roman" w:hAnsi="Times New Roman" w:cs="Times New Roman"/>
                <w:sz w:val="24"/>
                <w:szCs w:val="24"/>
              </w:rPr>
            </w:pPr>
            <w:r w:rsidRPr="007C507C">
              <w:rPr>
                <w:rFonts w:ascii="Times New Roman" w:hAnsi="Times New Roman" w:cs="Times New Roman"/>
                <w:sz w:val="24"/>
                <w:szCs w:val="24"/>
              </w:rPr>
              <w:t>Hidroelektrane 500 kW - 10 MW</w:t>
            </w:r>
          </w:p>
        </w:tc>
        <w:tc>
          <w:tcPr>
            <w:tcW w:w="2268" w:type="dxa"/>
            <w:tcBorders>
              <w:top w:val="single" w:sz="4" w:space="0" w:color="auto"/>
              <w:left w:val="single" w:sz="4" w:space="0" w:color="auto"/>
              <w:bottom w:val="single" w:sz="4" w:space="0" w:color="auto"/>
              <w:right w:val="single" w:sz="4" w:space="0" w:color="auto"/>
            </w:tcBorders>
            <w:hideMark/>
          </w:tcPr>
          <w:p w:rsidR="004E3E77" w:rsidRPr="007C507C" w:rsidRDefault="004E3E77">
            <w:pPr>
              <w:jc w:val="right"/>
              <w:rPr>
                <w:rFonts w:ascii="Times New Roman" w:hAnsi="Times New Roman" w:cs="Times New Roman"/>
                <w:sz w:val="24"/>
                <w:szCs w:val="24"/>
              </w:rPr>
            </w:pPr>
            <w:r w:rsidRPr="007C507C">
              <w:rPr>
                <w:rFonts w:ascii="Times New Roman" w:hAnsi="Times New Roman" w:cs="Times New Roman"/>
                <w:sz w:val="24"/>
                <w:szCs w:val="24"/>
              </w:rPr>
              <w:t>4</w:t>
            </w:r>
          </w:p>
        </w:tc>
      </w:tr>
      <w:tr w:rsidR="004E3E77" w:rsidRPr="007C507C" w:rsidTr="004E3E77">
        <w:trPr>
          <w:jc w:val="center"/>
        </w:trPr>
        <w:tc>
          <w:tcPr>
            <w:tcW w:w="3964" w:type="dxa"/>
            <w:tcBorders>
              <w:top w:val="single" w:sz="4" w:space="0" w:color="auto"/>
              <w:left w:val="single" w:sz="4" w:space="0" w:color="auto"/>
              <w:bottom w:val="single" w:sz="4" w:space="0" w:color="auto"/>
              <w:right w:val="single" w:sz="4" w:space="0" w:color="auto"/>
            </w:tcBorders>
            <w:hideMark/>
          </w:tcPr>
          <w:p w:rsidR="004E3E77" w:rsidRPr="007C507C" w:rsidRDefault="004E3E77">
            <w:pPr>
              <w:jc w:val="both"/>
              <w:rPr>
                <w:rFonts w:ascii="Times New Roman" w:hAnsi="Times New Roman" w:cs="Times New Roman"/>
                <w:sz w:val="24"/>
                <w:szCs w:val="24"/>
              </w:rPr>
            </w:pPr>
            <w:r w:rsidRPr="007C507C">
              <w:rPr>
                <w:rFonts w:ascii="Times New Roman" w:hAnsi="Times New Roman" w:cs="Times New Roman"/>
                <w:sz w:val="24"/>
                <w:szCs w:val="24"/>
              </w:rPr>
              <w:t>Vjetroelektrane &gt; 3 MW</w:t>
            </w:r>
          </w:p>
        </w:tc>
        <w:tc>
          <w:tcPr>
            <w:tcW w:w="2268" w:type="dxa"/>
            <w:tcBorders>
              <w:top w:val="single" w:sz="4" w:space="0" w:color="auto"/>
              <w:left w:val="single" w:sz="4" w:space="0" w:color="auto"/>
              <w:bottom w:val="single" w:sz="4" w:space="0" w:color="auto"/>
              <w:right w:val="single" w:sz="4" w:space="0" w:color="auto"/>
            </w:tcBorders>
            <w:hideMark/>
          </w:tcPr>
          <w:p w:rsidR="004E3E77" w:rsidRPr="007C507C" w:rsidRDefault="004E3E77">
            <w:pPr>
              <w:jc w:val="right"/>
              <w:rPr>
                <w:rFonts w:ascii="Times New Roman" w:hAnsi="Times New Roman" w:cs="Times New Roman"/>
                <w:sz w:val="24"/>
                <w:szCs w:val="24"/>
              </w:rPr>
            </w:pPr>
            <w:r w:rsidRPr="007C507C">
              <w:rPr>
                <w:rFonts w:ascii="Times New Roman" w:hAnsi="Times New Roman" w:cs="Times New Roman"/>
                <w:sz w:val="24"/>
                <w:szCs w:val="24"/>
              </w:rPr>
              <w:t>300</w:t>
            </w:r>
          </w:p>
        </w:tc>
      </w:tr>
      <w:tr w:rsidR="004E3E77" w:rsidRPr="007C507C" w:rsidTr="004E3E77">
        <w:trPr>
          <w:jc w:val="center"/>
        </w:trPr>
        <w:tc>
          <w:tcPr>
            <w:tcW w:w="3964" w:type="dxa"/>
            <w:tcBorders>
              <w:top w:val="single" w:sz="4" w:space="0" w:color="auto"/>
              <w:left w:val="single" w:sz="4" w:space="0" w:color="auto"/>
              <w:bottom w:val="single" w:sz="4" w:space="0" w:color="auto"/>
              <w:right w:val="single" w:sz="4" w:space="0" w:color="auto"/>
            </w:tcBorders>
            <w:hideMark/>
          </w:tcPr>
          <w:p w:rsidR="004E3E77" w:rsidRPr="007C507C" w:rsidRDefault="004E3E77">
            <w:pPr>
              <w:jc w:val="both"/>
              <w:rPr>
                <w:rFonts w:ascii="Times New Roman" w:hAnsi="Times New Roman" w:cs="Times New Roman"/>
                <w:sz w:val="24"/>
                <w:szCs w:val="24"/>
              </w:rPr>
            </w:pPr>
            <w:r w:rsidRPr="007C507C">
              <w:rPr>
                <w:rFonts w:ascii="Times New Roman" w:hAnsi="Times New Roman" w:cs="Times New Roman"/>
                <w:sz w:val="24"/>
                <w:szCs w:val="24"/>
              </w:rPr>
              <w:t>Elektrane na biomasu 500 kW - 5 MW</w:t>
            </w:r>
          </w:p>
        </w:tc>
        <w:tc>
          <w:tcPr>
            <w:tcW w:w="2268" w:type="dxa"/>
            <w:tcBorders>
              <w:top w:val="single" w:sz="4" w:space="0" w:color="auto"/>
              <w:left w:val="single" w:sz="4" w:space="0" w:color="auto"/>
              <w:bottom w:val="single" w:sz="4" w:space="0" w:color="auto"/>
              <w:right w:val="single" w:sz="4" w:space="0" w:color="auto"/>
            </w:tcBorders>
            <w:hideMark/>
          </w:tcPr>
          <w:p w:rsidR="004E3E77" w:rsidRPr="007C507C" w:rsidRDefault="004E3E77">
            <w:pPr>
              <w:jc w:val="right"/>
              <w:rPr>
                <w:rFonts w:ascii="Times New Roman" w:hAnsi="Times New Roman" w:cs="Times New Roman"/>
                <w:sz w:val="24"/>
                <w:szCs w:val="24"/>
              </w:rPr>
            </w:pPr>
            <w:r w:rsidRPr="007C507C">
              <w:rPr>
                <w:rFonts w:ascii="Times New Roman" w:hAnsi="Times New Roman" w:cs="Times New Roman"/>
                <w:sz w:val="24"/>
                <w:szCs w:val="24"/>
              </w:rPr>
              <w:t>8</w:t>
            </w:r>
          </w:p>
        </w:tc>
      </w:tr>
      <w:tr w:rsidR="004E3E77" w:rsidRPr="007C507C" w:rsidTr="004E3E77">
        <w:trPr>
          <w:jc w:val="center"/>
        </w:trPr>
        <w:tc>
          <w:tcPr>
            <w:tcW w:w="3964" w:type="dxa"/>
            <w:tcBorders>
              <w:top w:val="single" w:sz="4" w:space="0" w:color="auto"/>
              <w:left w:val="single" w:sz="4" w:space="0" w:color="auto"/>
              <w:bottom w:val="single" w:sz="4" w:space="0" w:color="auto"/>
              <w:right w:val="single" w:sz="4" w:space="0" w:color="auto"/>
            </w:tcBorders>
            <w:hideMark/>
          </w:tcPr>
          <w:p w:rsidR="004E3E77" w:rsidRPr="007C507C" w:rsidRDefault="004E3E77">
            <w:pPr>
              <w:jc w:val="both"/>
              <w:rPr>
                <w:rFonts w:ascii="Times New Roman" w:hAnsi="Times New Roman" w:cs="Times New Roman"/>
                <w:sz w:val="24"/>
                <w:szCs w:val="24"/>
              </w:rPr>
            </w:pPr>
            <w:r w:rsidRPr="007C507C">
              <w:rPr>
                <w:rFonts w:ascii="Times New Roman" w:hAnsi="Times New Roman" w:cs="Times New Roman"/>
                <w:sz w:val="24"/>
                <w:szCs w:val="24"/>
              </w:rPr>
              <w:t>Elektrane na bioplin 500 kW - 2 MW</w:t>
            </w:r>
          </w:p>
        </w:tc>
        <w:tc>
          <w:tcPr>
            <w:tcW w:w="2268" w:type="dxa"/>
            <w:tcBorders>
              <w:top w:val="single" w:sz="4" w:space="0" w:color="auto"/>
              <w:left w:val="single" w:sz="4" w:space="0" w:color="auto"/>
              <w:bottom w:val="single" w:sz="4" w:space="0" w:color="auto"/>
              <w:right w:val="single" w:sz="4" w:space="0" w:color="auto"/>
            </w:tcBorders>
            <w:hideMark/>
          </w:tcPr>
          <w:p w:rsidR="004E3E77" w:rsidRPr="007C507C" w:rsidRDefault="004E3E77">
            <w:pPr>
              <w:jc w:val="right"/>
              <w:rPr>
                <w:rFonts w:ascii="Times New Roman" w:hAnsi="Times New Roman" w:cs="Times New Roman"/>
                <w:sz w:val="24"/>
                <w:szCs w:val="24"/>
              </w:rPr>
            </w:pPr>
            <w:r w:rsidRPr="007C507C">
              <w:rPr>
                <w:rFonts w:ascii="Times New Roman" w:hAnsi="Times New Roman" w:cs="Times New Roman"/>
                <w:sz w:val="24"/>
                <w:szCs w:val="24"/>
              </w:rPr>
              <w:t>16</w:t>
            </w:r>
          </w:p>
        </w:tc>
      </w:tr>
      <w:tr w:rsidR="004E3E77" w:rsidRPr="007C507C" w:rsidTr="004E3E77">
        <w:trPr>
          <w:jc w:val="center"/>
        </w:trPr>
        <w:tc>
          <w:tcPr>
            <w:tcW w:w="3964" w:type="dxa"/>
            <w:tcBorders>
              <w:top w:val="single" w:sz="4" w:space="0" w:color="auto"/>
              <w:left w:val="single" w:sz="4" w:space="0" w:color="auto"/>
              <w:bottom w:val="single" w:sz="4" w:space="0" w:color="auto"/>
              <w:right w:val="single" w:sz="4" w:space="0" w:color="auto"/>
            </w:tcBorders>
            <w:hideMark/>
          </w:tcPr>
          <w:p w:rsidR="004E3E77" w:rsidRPr="007C507C" w:rsidRDefault="004E3E77">
            <w:pPr>
              <w:jc w:val="both"/>
              <w:rPr>
                <w:rFonts w:ascii="Times New Roman" w:hAnsi="Times New Roman" w:cs="Times New Roman"/>
                <w:sz w:val="24"/>
                <w:szCs w:val="24"/>
              </w:rPr>
            </w:pPr>
            <w:r w:rsidRPr="007C507C">
              <w:rPr>
                <w:rFonts w:ascii="Times New Roman" w:hAnsi="Times New Roman" w:cs="Times New Roman"/>
                <w:sz w:val="24"/>
                <w:szCs w:val="24"/>
              </w:rPr>
              <w:lastRenderedPageBreak/>
              <w:t>Geotermalne elektrane veće od 500 kW</w:t>
            </w:r>
          </w:p>
        </w:tc>
        <w:tc>
          <w:tcPr>
            <w:tcW w:w="2268" w:type="dxa"/>
            <w:tcBorders>
              <w:top w:val="single" w:sz="4" w:space="0" w:color="auto"/>
              <w:left w:val="single" w:sz="4" w:space="0" w:color="auto"/>
              <w:bottom w:val="single" w:sz="4" w:space="0" w:color="auto"/>
              <w:right w:val="single" w:sz="4" w:space="0" w:color="auto"/>
            </w:tcBorders>
            <w:hideMark/>
          </w:tcPr>
          <w:p w:rsidR="004E3E77" w:rsidRPr="007C507C" w:rsidRDefault="004E3E77">
            <w:pPr>
              <w:jc w:val="right"/>
              <w:rPr>
                <w:rFonts w:ascii="Times New Roman" w:hAnsi="Times New Roman" w:cs="Times New Roman"/>
                <w:sz w:val="24"/>
                <w:szCs w:val="24"/>
              </w:rPr>
            </w:pPr>
            <w:r w:rsidRPr="007C507C">
              <w:rPr>
                <w:rFonts w:ascii="Times New Roman" w:hAnsi="Times New Roman" w:cs="Times New Roman"/>
                <w:sz w:val="24"/>
                <w:szCs w:val="24"/>
              </w:rPr>
              <w:t>10</w:t>
            </w:r>
          </w:p>
        </w:tc>
      </w:tr>
      <w:tr w:rsidR="004E3E77" w:rsidRPr="007C507C" w:rsidTr="004E3E77">
        <w:trPr>
          <w:jc w:val="center"/>
        </w:trPr>
        <w:tc>
          <w:tcPr>
            <w:tcW w:w="3964" w:type="dxa"/>
            <w:tcBorders>
              <w:top w:val="single" w:sz="4" w:space="0" w:color="auto"/>
              <w:left w:val="single" w:sz="4" w:space="0" w:color="auto"/>
              <w:bottom w:val="single" w:sz="4" w:space="0" w:color="auto"/>
              <w:right w:val="single" w:sz="4" w:space="0" w:color="auto"/>
            </w:tcBorders>
            <w:hideMark/>
          </w:tcPr>
          <w:p w:rsidR="004E3E77" w:rsidRPr="007C507C" w:rsidRDefault="004E3E77">
            <w:pPr>
              <w:jc w:val="both"/>
              <w:rPr>
                <w:rFonts w:ascii="Times New Roman" w:hAnsi="Times New Roman" w:cs="Times New Roman"/>
                <w:sz w:val="24"/>
                <w:szCs w:val="24"/>
              </w:rPr>
            </w:pPr>
            <w:r w:rsidRPr="007C507C">
              <w:rPr>
                <w:rFonts w:ascii="Times New Roman" w:hAnsi="Times New Roman" w:cs="Times New Roman"/>
                <w:sz w:val="24"/>
                <w:szCs w:val="24"/>
              </w:rPr>
              <w:t>Inovativne tehnologije</w:t>
            </w:r>
          </w:p>
        </w:tc>
        <w:tc>
          <w:tcPr>
            <w:tcW w:w="2268" w:type="dxa"/>
            <w:tcBorders>
              <w:top w:val="single" w:sz="4" w:space="0" w:color="auto"/>
              <w:left w:val="single" w:sz="4" w:space="0" w:color="auto"/>
              <w:bottom w:val="single" w:sz="4" w:space="0" w:color="auto"/>
              <w:right w:val="single" w:sz="4" w:space="0" w:color="auto"/>
            </w:tcBorders>
            <w:hideMark/>
          </w:tcPr>
          <w:p w:rsidR="004E3E77" w:rsidRPr="007C507C" w:rsidRDefault="004E3E77">
            <w:pPr>
              <w:jc w:val="right"/>
              <w:rPr>
                <w:rFonts w:ascii="Times New Roman" w:hAnsi="Times New Roman" w:cs="Times New Roman"/>
                <w:sz w:val="24"/>
                <w:szCs w:val="24"/>
              </w:rPr>
            </w:pPr>
            <w:r w:rsidRPr="007C507C">
              <w:rPr>
                <w:rFonts w:ascii="Times New Roman" w:hAnsi="Times New Roman" w:cs="Times New Roman"/>
                <w:sz w:val="24"/>
                <w:szCs w:val="24"/>
              </w:rPr>
              <w:t>10</w:t>
            </w:r>
          </w:p>
        </w:tc>
      </w:tr>
    </w:tbl>
    <w:p w:rsidR="004E3E77" w:rsidRPr="007C507C" w:rsidRDefault="004E3E77" w:rsidP="004E3E77">
      <w:pPr>
        <w:jc w:val="both"/>
        <w:rPr>
          <w:rFonts w:ascii="Times New Roman" w:hAnsi="Times New Roman" w:cs="Times New Roman"/>
          <w:sz w:val="24"/>
          <w:szCs w:val="24"/>
        </w:rPr>
      </w:pPr>
    </w:p>
    <w:p w:rsidR="00DF7141" w:rsidRPr="00003942" w:rsidRDefault="004E3E77" w:rsidP="004E3E77">
      <w:pPr>
        <w:pStyle w:val="Tijeloteksta"/>
        <w:rPr>
          <w:rFonts w:ascii="Times New Roman" w:hAnsi="Times New Roman" w:cs="Times New Roman"/>
          <w:color w:val="auto"/>
          <w:sz w:val="24"/>
          <w:szCs w:val="24"/>
        </w:rPr>
      </w:pPr>
      <w:r w:rsidRPr="007C507C">
        <w:rPr>
          <w:rFonts w:ascii="Times New Roman" w:hAnsi="Times New Roman" w:cs="Times New Roman"/>
          <w:sz w:val="24"/>
          <w:szCs w:val="24"/>
        </w:rPr>
        <w:t>Javni poziv predviđa sve uvjete koje sudionici javnog natječaja moraju ispuni</w:t>
      </w:r>
      <w:r w:rsidRPr="00003942">
        <w:rPr>
          <w:rFonts w:ascii="Times New Roman" w:hAnsi="Times New Roman" w:cs="Times New Roman"/>
          <w:sz w:val="24"/>
          <w:szCs w:val="24"/>
        </w:rPr>
        <w:t xml:space="preserve">ti da bi mogli podnijeti ponudu u minimalnom trajanju 60 dana, </w:t>
      </w:r>
      <w:r w:rsidRPr="00F63D65">
        <w:rPr>
          <w:rFonts w:ascii="Times New Roman" w:hAnsi="Times New Roman" w:cs="Times New Roman"/>
          <w:sz w:val="24"/>
          <w:szCs w:val="24"/>
        </w:rPr>
        <w:t>a uskoro se očekuje i otvaranje javnog natječaja u trajanju od 15 dana</w:t>
      </w:r>
      <w:r w:rsidRPr="007C507C">
        <w:rPr>
          <w:rFonts w:ascii="Times New Roman" w:hAnsi="Times New Roman" w:cs="Times New Roman"/>
          <w:sz w:val="24"/>
          <w:szCs w:val="24"/>
        </w:rPr>
        <w:t>.</w:t>
      </w:r>
      <w:r w:rsidRPr="00003942">
        <w:rPr>
          <w:rFonts w:ascii="Times New Roman" w:hAnsi="Times New Roman" w:cs="Times New Roman"/>
          <w:color w:val="auto"/>
          <w:sz w:val="24"/>
          <w:szCs w:val="24"/>
        </w:rPr>
        <w:t xml:space="preserve"> </w:t>
      </w:r>
    </w:p>
    <w:p w:rsidR="00DF7141" w:rsidRPr="0024150C" w:rsidRDefault="004E3E77" w:rsidP="002D7C87">
      <w:pPr>
        <w:pStyle w:val="Tijeloteksta"/>
        <w:rPr>
          <w:rFonts w:ascii="Times New Roman" w:hAnsi="Times New Roman" w:cs="Times New Roman"/>
          <w:color w:val="auto"/>
          <w:sz w:val="24"/>
          <w:szCs w:val="24"/>
        </w:rPr>
      </w:pPr>
      <w:r w:rsidRPr="00F63D65">
        <w:rPr>
          <w:rFonts w:ascii="Times New Roman" w:hAnsi="Times New Roman" w:cs="Times New Roman"/>
          <w:color w:val="auto"/>
          <w:sz w:val="24"/>
          <w:szCs w:val="24"/>
        </w:rPr>
        <w:t xml:space="preserve">Iako </w:t>
      </w:r>
      <w:r w:rsidRPr="003E2DBC">
        <w:rPr>
          <w:rFonts w:ascii="Times New Roman" w:hAnsi="Times New Roman" w:cs="Times New Roman"/>
          <w:color w:val="auto"/>
          <w:sz w:val="24"/>
          <w:szCs w:val="24"/>
        </w:rPr>
        <w:t>se natječaj odvija sukladno postojećim uredbama, d</w:t>
      </w:r>
      <w:r w:rsidR="00DF7141" w:rsidRPr="003E2DBC">
        <w:rPr>
          <w:rFonts w:ascii="Times New Roman" w:hAnsi="Times New Roman" w:cs="Times New Roman"/>
          <w:color w:val="auto"/>
          <w:sz w:val="24"/>
          <w:szCs w:val="24"/>
        </w:rPr>
        <w:t xml:space="preserve">onošenjem </w:t>
      </w:r>
      <w:r w:rsidRPr="003E2DBC">
        <w:rPr>
          <w:rFonts w:ascii="Times New Roman" w:hAnsi="Times New Roman" w:cs="Times New Roman"/>
          <w:color w:val="auto"/>
          <w:sz w:val="24"/>
          <w:szCs w:val="24"/>
        </w:rPr>
        <w:t xml:space="preserve">novih </w:t>
      </w:r>
      <w:r w:rsidR="0051693B" w:rsidRPr="00B265E1">
        <w:rPr>
          <w:rFonts w:ascii="Times New Roman" w:hAnsi="Times New Roman" w:cs="Times New Roman"/>
          <w:color w:val="auto"/>
          <w:sz w:val="24"/>
          <w:szCs w:val="24"/>
        </w:rPr>
        <w:t>u</w:t>
      </w:r>
      <w:r w:rsidR="00DF7141" w:rsidRPr="00596944">
        <w:rPr>
          <w:rFonts w:ascii="Times New Roman" w:hAnsi="Times New Roman" w:cs="Times New Roman"/>
          <w:color w:val="auto"/>
          <w:sz w:val="24"/>
          <w:szCs w:val="24"/>
        </w:rPr>
        <w:t>redbi</w:t>
      </w:r>
      <w:r w:rsidRPr="008609F9">
        <w:rPr>
          <w:rFonts w:ascii="Times New Roman" w:hAnsi="Times New Roman" w:cs="Times New Roman"/>
          <w:color w:val="auto"/>
          <w:sz w:val="24"/>
          <w:szCs w:val="24"/>
        </w:rPr>
        <w:t xml:space="preserve"> </w:t>
      </w:r>
      <w:r w:rsidRPr="00387E05">
        <w:rPr>
          <w:rFonts w:ascii="Times New Roman" w:hAnsi="Times New Roman" w:cs="Times New Roman"/>
          <w:color w:val="auto"/>
          <w:sz w:val="24"/>
          <w:szCs w:val="24"/>
        </w:rPr>
        <w:t>omogućiti će kontinuitet</w:t>
      </w:r>
      <w:r w:rsidR="00DF7141" w:rsidRPr="00387E05">
        <w:rPr>
          <w:rFonts w:ascii="Times New Roman" w:hAnsi="Times New Roman" w:cs="Times New Roman"/>
          <w:color w:val="auto"/>
          <w:sz w:val="24"/>
          <w:szCs w:val="24"/>
        </w:rPr>
        <w:t xml:space="preserve"> za daljnji razvoj tržišta OIE i rast proizvodnje električne energije iz OIE</w:t>
      </w:r>
      <w:r w:rsidRPr="0024150C">
        <w:rPr>
          <w:rFonts w:ascii="Times New Roman" w:hAnsi="Times New Roman" w:cs="Times New Roman"/>
          <w:color w:val="auto"/>
          <w:sz w:val="24"/>
          <w:szCs w:val="24"/>
        </w:rPr>
        <w:t xml:space="preserve"> i implementaciju novih tehnologija</w:t>
      </w:r>
      <w:r w:rsidR="00DF7141" w:rsidRPr="0024150C">
        <w:rPr>
          <w:rFonts w:ascii="Times New Roman" w:hAnsi="Times New Roman" w:cs="Times New Roman"/>
          <w:color w:val="auto"/>
          <w:sz w:val="24"/>
          <w:szCs w:val="24"/>
        </w:rPr>
        <w:t>.</w:t>
      </w:r>
    </w:p>
    <w:p w:rsidR="00DF7141" w:rsidRPr="0024150C" w:rsidRDefault="00DF7141" w:rsidP="00FC271C">
      <w:pPr>
        <w:pStyle w:val="Naslov3"/>
        <w:numPr>
          <w:ilvl w:val="0"/>
          <w:numId w:val="0"/>
        </w:numPr>
        <w:ind w:left="1003"/>
      </w:pPr>
      <w:bookmarkStart w:id="370" w:name="_Toc105137888"/>
      <w:bookmarkStart w:id="371" w:name="_Toc105396338"/>
      <w:bookmarkStart w:id="372" w:name="_Toc105756713"/>
      <w:bookmarkStart w:id="373" w:name="_Toc105973488"/>
      <w:r w:rsidRPr="0024150C">
        <w:t>Stjecajnje statusa povlaštenog proizvođača</w:t>
      </w:r>
      <w:bookmarkEnd w:id="370"/>
      <w:bookmarkEnd w:id="371"/>
      <w:bookmarkEnd w:id="372"/>
      <w:bookmarkEnd w:id="373"/>
    </w:p>
    <w:p w:rsidR="001B46BF" w:rsidRPr="00003942" w:rsidRDefault="00DF7141" w:rsidP="002D7C87">
      <w:pPr>
        <w:pStyle w:val="Tijeloteksta"/>
        <w:rPr>
          <w:rFonts w:ascii="Times New Roman" w:hAnsi="Times New Roman" w:cs="Times New Roman"/>
          <w:color w:val="auto"/>
          <w:sz w:val="24"/>
          <w:szCs w:val="24"/>
        </w:rPr>
      </w:pPr>
      <w:r w:rsidRPr="0024150C">
        <w:rPr>
          <w:rFonts w:ascii="Times New Roman" w:hAnsi="Times New Roman" w:cs="Times New Roman"/>
          <w:color w:val="auto"/>
          <w:sz w:val="24"/>
          <w:szCs w:val="24"/>
        </w:rPr>
        <w:t>Status povlaštenog proizvođača definiran je ZoOIEVKom, a stjecanje, odnos</w:t>
      </w:r>
      <w:r w:rsidRPr="007C507C">
        <w:rPr>
          <w:rFonts w:ascii="Times New Roman" w:hAnsi="Times New Roman" w:cs="Times New Roman"/>
          <w:color w:val="auto"/>
          <w:sz w:val="24"/>
          <w:szCs w:val="24"/>
        </w:rPr>
        <w:t xml:space="preserve">no izdavanje </w:t>
      </w:r>
      <w:r w:rsidR="00931D1A" w:rsidRPr="00331C56">
        <w:rPr>
          <w:rFonts w:ascii="Times New Roman" w:hAnsi="Times New Roman" w:cs="Times New Roman"/>
          <w:color w:val="auto"/>
          <w:sz w:val="24"/>
          <w:szCs w:val="24"/>
        </w:rPr>
        <w:t>r</w:t>
      </w:r>
      <w:r w:rsidRPr="00331C56">
        <w:rPr>
          <w:rFonts w:ascii="Times New Roman" w:hAnsi="Times New Roman" w:cs="Times New Roman"/>
          <w:color w:val="auto"/>
          <w:sz w:val="24"/>
          <w:szCs w:val="24"/>
        </w:rPr>
        <w:t>ješenja o stjecanju statusa povlaštenog proizvođača el</w:t>
      </w:r>
      <w:r w:rsidR="00931D1A" w:rsidRPr="00331C56">
        <w:rPr>
          <w:rFonts w:ascii="Times New Roman" w:hAnsi="Times New Roman" w:cs="Times New Roman"/>
          <w:color w:val="auto"/>
          <w:sz w:val="24"/>
          <w:szCs w:val="24"/>
        </w:rPr>
        <w:t>ektrične</w:t>
      </w:r>
      <w:r w:rsidRPr="00222A78">
        <w:rPr>
          <w:rFonts w:ascii="Times New Roman" w:hAnsi="Times New Roman" w:cs="Times New Roman"/>
          <w:color w:val="auto"/>
          <w:sz w:val="24"/>
          <w:szCs w:val="24"/>
        </w:rPr>
        <w:t xml:space="preserve"> energije Uredbom o korištenju obnovljivih izvora energije i visokoučinkovite kongregacije, koja je </w:t>
      </w:r>
      <w:r w:rsidR="00931D1A" w:rsidRPr="00222A78">
        <w:rPr>
          <w:rFonts w:ascii="Times New Roman" w:hAnsi="Times New Roman" w:cs="Times New Roman"/>
          <w:color w:val="auto"/>
          <w:sz w:val="24"/>
          <w:szCs w:val="24"/>
        </w:rPr>
        <w:t xml:space="preserve">proceduri </w:t>
      </w:r>
      <w:r w:rsidRPr="00003942">
        <w:rPr>
          <w:rFonts w:ascii="Times New Roman" w:hAnsi="Times New Roman" w:cs="Times New Roman"/>
          <w:color w:val="auto"/>
          <w:sz w:val="24"/>
          <w:szCs w:val="24"/>
        </w:rPr>
        <w:t>donošenj</w:t>
      </w:r>
      <w:r w:rsidR="00931D1A" w:rsidRPr="00003942">
        <w:rPr>
          <w:rFonts w:ascii="Times New Roman" w:hAnsi="Times New Roman" w:cs="Times New Roman"/>
          <w:color w:val="auto"/>
          <w:sz w:val="24"/>
          <w:szCs w:val="24"/>
        </w:rPr>
        <w:t>a</w:t>
      </w:r>
      <w:r w:rsidR="001B46BF" w:rsidRPr="00003942">
        <w:rPr>
          <w:rFonts w:ascii="Times New Roman" w:hAnsi="Times New Roman" w:cs="Times New Roman"/>
          <w:color w:val="auto"/>
          <w:sz w:val="24"/>
          <w:szCs w:val="24"/>
        </w:rPr>
        <w:t>.</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Za izdavanje </w:t>
      </w:r>
      <w:r w:rsidR="00931D1A" w:rsidRPr="00003942">
        <w:rPr>
          <w:rFonts w:ascii="Times New Roman" w:hAnsi="Times New Roman" w:cs="Times New Roman"/>
          <w:color w:val="auto"/>
          <w:sz w:val="24"/>
          <w:szCs w:val="24"/>
        </w:rPr>
        <w:t>r</w:t>
      </w:r>
      <w:r w:rsidRPr="00003942">
        <w:rPr>
          <w:rFonts w:ascii="Times New Roman" w:hAnsi="Times New Roman" w:cs="Times New Roman"/>
          <w:color w:val="auto"/>
          <w:sz w:val="24"/>
          <w:szCs w:val="24"/>
        </w:rPr>
        <w:t xml:space="preserve">ješenja nadležna je HERA, nakon izgradnje </w:t>
      </w:r>
      <w:r w:rsidR="00931D1A" w:rsidRPr="00003942">
        <w:rPr>
          <w:rFonts w:ascii="Times New Roman" w:hAnsi="Times New Roman" w:cs="Times New Roman"/>
          <w:color w:val="auto"/>
          <w:sz w:val="24"/>
          <w:szCs w:val="24"/>
        </w:rPr>
        <w:t xml:space="preserve">proizvodnog </w:t>
      </w:r>
      <w:r w:rsidRPr="00003942">
        <w:rPr>
          <w:rFonts w:ascii="Times New Roman" w:hAnsi="Times New Roman" w:cs="Times New Roman"/>
          <w:color w:val="auto"/>
          <w:sz w:val="24"/>
          <w:szCs w:val="24"/>
        </w:rPr>
        <w:t>postrojenja, te je uvjet za aktivaciju ugovora o tržišnoj premiji/ugovora o otkupu električne energije. Dosadašnja praksa sa stjecanjem statusa povlaštenog proizvođača pokazal</w:t>
      </w:r>
      <w:r w:rsidR="0051693B" w:rsidRPr="00003942">
        <w:rPr>
          <w:rFonts w:ascii="Times New Roman" w:hAnsi="Times New Roman" w:cs="Times New Roman"/>
          <w:color w:val="auto"/>
          <w:sz w:val="24"/>
          <w:szCs w:val="24"/>
        </w:rPr>
        <w:t>a</w:t>
      </w:r>
      <w:r w:rsidRPr="00003942">
        <w:rPr>
          <w:rFonts w:ascii="Times New Roman" w:hAnsi="Times New Roman" w:cs="Times New Roman"/>
          <w:color w:val="auto"/>
          <w:sz w:val="24"/>
          <w:szCs w:val="24"/>
        </w:rPr>
        <w:t xml:space="preserve"> je određena kašnjenja u procesu ishođenja </w:t>
      </w:r>
      <w:r w:rsidR="00931D1A" w:rsidRPr="00003942">
        <w:rPr>
          <w:rFonts w:ascii="Times New Roman" w:hAnsi="Times New Roman" w:cs="Times New Roman"/>
          <w:color w:val="auto"/>
          <w:sz w:val="24"/>
          <w:szCs w:val="24"/>
        </w:rPr>
        <w:t>r</w:t>
      </w:r>
      <w:r w:rsidRPr="00003942">
        <w:rPr>
          <w:rFonts w:ascii="Times New Roman" w:hAnsi="Times New Roman" w:cs="Times New Roman"/>
          <w:color w:val="auto"/>
          <w:sz w:val="24"/>
          <w:szCs w:val="24"/>
        </w:rPr>
        <w:t>ješenja</w:t>
      </w:r>
      <w:r w:rsidR="0051693B" w:rsidRPr="00003942">
        <w:rPr>
          <w:rFonts w:ascii="Times New Roman" w:hAnsi="Times New Roman" w:cs="Times New Roman"/>
          <w:color w:val="auto"/>
          <w:sz w:val="24"/>
          <w:szCs w:val="24"/>
        </w:rPr>
        <w:t>.</w:t>
      </w:r>
      <w:r w:rsidRPr="00003942">
        <w:rPr>
          <w:rFonts w:ascii="Times New Roman" w:hAnsi="Times New Roman" w:cs="Times New Roman"/>
          <w:color w:val="auto"/>
          <w:sz w:val="24"/>
          <w:szCs w:val="24"/>
        </w:rPr>
        <w:t xml:space="preserve"> </w:t>
      </w:r>
      <w:r w:rsidR="0051693B" w:rsidRPr="00003942">
        <w:rPr>
          <w:rFonts w:ascii="Times New Roman" w:hAnsi="Times New Roman" w:cs="Times New Roman"/>
          <w:color w:val="auto"/>
          <w:sz w:val="24"/>
          <w:szCs w:val="24"/>
        </w:rPr>
        <w:t>Ovdje je napravljen iskorak na način da ne postoji potreba za prethodnim stjecanjem ovoga statusa. Status povlaštenog proizvođača važan je za dokaz jamstva proizvedene energije iz OIE, ali ga nužno ne moraju steći postrojenja snaga manjih od 500 kW instalirane snage</w:t>
      </w:r>
      <w:r w:rsidRPr="00003942">
        <w:rPr>
          <w:rFonts w:ascii="Times New Roman" w:hAnsi="Times New Roman" w:cs="Times New Roman"/>
          <w:color w:val="auto"/>
          <w:sz w:val="24"/>
          <w:szCs w:val="24"/>
        </w:rPr>
        <w:t xml:space="preserve">. </w:t>
      </w:r>
    </w:p>
    <w:p w:rsidR="00DF7141" w:rsidRPr="004B780F" w:rsidRDefault="00DF7141" w:rsidP="00FC271C">
      <w:pPr>
        <w:pStyle w:val="Naslov3"/>
        <w:numPr>
          <w:ilvl w:val="0"/>
          <w:numId w:val="0"/>
        </w:numPr>
        <w:ind w:left="1003"/>
      </w:pPr>
      <w:bookmarkStart w:id="374" w:name="_Toc105137889"/>
      <w:bookmarkStart w:id="375" w:name="_Toc105396339"/>
      <w:bookmarkStart w:id="376" w:name="_Toc105756714"/>
      <w:bookmarkStart w:id="377" w:name="_Toc105973489"/>
      <w:r w:rsidRPr="004B780F">
        <w:t xml:space="preserve">Detaljan Priručnik o </w:t>
      </w:r>
      <w:bookmarkStart w:id="378" w:name="_Hlk104978608"/>
      <w:r w:rsidRPr="004B780F">
        <w:t>postupcima ishođenja dozvola za izgradnju proizvodnog postrojenja iz obnovljive energije</w:t>
      </w:r>
      <w:bookmarkEnd w:id="374"/>
      <w:bookmarkEnd w:id="375"/>
      <w:bookmarkEnd w:id="376"/>
      <w:bookmarkEnd w:id="377"/>
      <w:bookmarkEnd w:id="378"/>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ZoOIEVK definirao je potrebu izrade Priručnika o postupcima ishođenja dozvola za izgradnju proizvodnog postrojenja iz obnovljive energije, čija je izrada u nadležnosti operatora tržišta, zajedno s </w:t>
      </w:r>
      <w:r w:rsidR="00BC50A1" w:rsidRPr="00003942">
        <w:rPr>
          <w:rFonts w:ascii="Times New Roman" w:hAnsi="Times New Roman" w:cs="Times New Roman"/>
          <w:color w:val="auto"/>
          <w:sz w:val="24"/>
          <w:szCs w:val="24"/>
        </w:rPr>
        <w:t>MINGOR</w:t>
      </w:r>
      <w:r w:rsidR="001176CB" w:rsidRPr="00003942">
        <w:rPr>
          <w:rFonts w:ascii="Times New Roman" w:hAnsi="Times New Roman" w:cs="Times New Roman"/>
          <w:color w:val="auto"/>
          <w:sz w:val="24"/>
          <w:szCs w:val="24"/>
        </w:rPr>
        <w:t>-</w:t>
      </w:r>
      <w:r w:rsidRPr="00003942">
        <w:rPr>
          <w:rFonts w:ascii="Times New Roman" w:hAnsi="Times New Roman" w:cs="Times New Roman"/>
          <w:color w:val="auto"/>
          <w:sz w:val="24"/>
          <w:szCs w:val="24"/>
        </w:rPr>
        <w:t xml:space="preserve">om, HERA-om, operatorom prijenosnog i distribucijskog sustava, te ministarstvom nadležnom za prostorno planiranje i gradnju. Cilj ovoga Priručnika je jasan prikaz svih koraka u postupku ishođenja dozvola za razvoj projekta. </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Izradom Priručnika u suradnji sa svim uključenim institucijama u administrativni postupak moguće je jednoznačno i jasno prikazati administrativni postupak. Obzirom da su ZoOIEVK-om definirana područja koja priručnik mora sadržavati, te se radi o vrlo detaljnom pregledu administrativnog postupka, međusobnih obaveza, troškova, naknada te analize postojeće tehničke specifikacije koje moraju ispunjavati oprema i sustavi, jasno je da se radi o sveobuhvatnom dokumentu, stoga je ovaj dokument potrebno detaljno razraditi</w:t>
      </w:r>
      <w:r w:rsidR="00A67BF4" w:rsidRPr="00003942">
        <w:rPr>
          <w:rFonts w:ascii="Times New Roman" w:hAnsi="Times New Roman" w:cs="Times New Roman"/>
          <w:color w:val="auto"/>
          <w:sz w:val="24"/>
          <w:szCs w:val="24"/>
        </w:rPr>
        <w:t xml:space="preserve"> i žurno donijeti</w:t>
      </w:r>
      <w:r w:rsidRPr="00003942">
        <w:rPr>
          <w:rFonts w:ascii="Times New Roman" w:hAnsi="Times New Roman" w:cs="Times New Roman"/>
          <w:color w:val="auto"/>
          <w:sz w:val="24"/>
          <w:szCs w:val="24"/>
        </w:rPr>
        <w:t xml:space="preserve">. </w:t>
      </w:r>
    </w:p>
    <w:p w:rsidR="00DF7141" w:rsidRPr="007C507C" w:rsidRDefault="00431232" w:rsidP="00C90729">
      <w:pPr>
        <w:pStyle w:val="Naslov2"/>
      </w:pPr>
      <w:bookmarkStart w:id="379" w:name="_Toc105137890"/>
      <w:bookmarkStart w:id="380" w:name="_Toc105396340"/>
      <w:bookmarkStart w:id="381" w:name="_Toc105756715"/>
      <w:bookmarkStart w:id="382" w:name="_Toc105973490"/>
      <w:r w:rsidRPr="007C507C">
        <w:t>PRIKLJUČAK NA ELEKTROENERGETSKU MREŽU</w:t>
      </w:r>
      <w:bookmarkEnd w:id="379"/>
      <w:bookmarkEnd w:id="380"/>
      <w:bookmarkEnd w:id="381"/>
      <w:bookmarkEnd w:id="382"/>
    </w:p>
    <w:p w:rsidR="00DF7141" w:rsidRPr="0024150C"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Priključak na elektroenergetsku mrežu predstavlja jednu od najvećih prepreka u razvoju projekata OIE u Hrvatskoj. Zahtjev za priključak podnesen je za više od 13</w:t>
      </w:r>
      <w:r w:rsidR="001176CB" w:rsidRPr="00F63D65">
        <w:rPr>
          <w:rFonts w:ascii="Times New Roman" w:hAnsi="Times New Roman" w:cs="Times New Roman"/>
          <w:color w:val="auto"/>
          <w:sz w:val="24"/>
          <w:szCs w:val="24"/>
        </w:rPr>
        <w:t>.</w:t>
      </w:r>
      <w:r w:rsidRPr="003E2DBC">
        <w:rPr>
          <w:rFonts w:ascii="Times New Roman" w:hAnsi="Times New Roman" w:cs="Times New Roman"/>
          <w:color w:val="auto"/>
          <w:sz w:val="24"/>
          <w:szCs w:val="24"/>
        </w:rPr>
        <w:t>000 MW, što je gotovo trostruko više od ukupno instaliranih postojećih proizvodnih kapaciteta u</w:t>
      </w:r>
      <w:r w:rsidR="00931D1A" w:rsidRPr="003E2DBC">
        <w:rPr>
          <w:rFonts w:ascii="Times New Roman" w:hAnsi="Times New Roman" w:cs="Times New Roman"/>
          <w:color w:val="auto"/>
          <w:sz w:val="24"/>
          <w:szCs w:val="24"/>
        </w:rPr>
        <w:t xml:space="preserve"> Republici</w:t>
      </w:r>
      <w:r w:rsidRPr="003E2DBC">
        <w:rPr>
          <w:rFonts w:ascii="Times New Roman" w:hAnsi="Times New Roman" w:cs="Times New Roman"/>
          <w:color w:val="auto"/>
          <w:sz w:val="24"/>
          <w:szCs w:val="24"/>
        </w:rPr>
        <w:t xml:space="preserve"> Hrvatskoj i gotovo peterostruko više od maksimalnog opterećenja sustava. Povrh toga, veliki dodatni broj projekata je u razvoju i još nije u fazi podnošenja zahtjeva za priključak, pa je ukupna snaga projekata OIE u razvoju u </w:t>
      </w:r>
      <w:r w:rsidR="00931D1A" w:rsidRPr="003E2DBC">
        <w:rPr>
          <w:rFonts w:ascii="Times New Roman" w:hAnsi="Times New Roman" w:cs="Times New Roman"/>
          <w:color w:val="auto"/>
          <w:sz w:val="24"/>
          <w:szCs w:val="24"/>
        </w:rPr>
        <w:lastRenderedPageBreak/>
        <w:t xml:space="preserve">Republici </w:t>
      </w:r>
      <w:r w:rsidRPr="00596944">
        <w:rPr>
          <w:rFonts w:ascii="Times New Roman" w:hAnsi="Times New Roman" w:cs="Times New Roman"/>
          <w:color w:val="auto"/>
          <w:sz w:val="24"/>
          <w:szCs w:val="24"/>
        </w:rPr>
        <w:t>Hrvatskoj</w:t>
      </w:r>
      <w:r w:rsidR="00931D1A" w:rsidRPr="00596944">
        <w:rPr>
          <w:rFonts w:ascii="Times New Roman" w:hAnsi="Times New Roman" w:cs="Times New Roman"/>
          <w:color w:val="auto"/>
          <w:sz w:val="24"/>
          <w:szCs w:val="24"/>
        </w:rPr>
        <w:t xml:space="preserve"> moguće</w:t>
      </w:r>
      <w:r w:rsidRPr="008609F9">
        <w:rPr>
          <w:rFonts w:ascii="Times New Roman" w:hAnsi="Times New Roman" w:cs="Times New Roman"/>
          <w:color w:val="auto"/>
          <w:sz w:val="24"/>
          <w:szCs w:val="24"/>
        </w:rPr>
        <w:t xml:space="preserve"> još </w:t>
      </w:r>
      <w:r w:rsidR="00931D1A" w:rsidRPr="008609F9">
        <w:rPr>
          <w:rFonts w:ascii="Times New Roman" w:hAnsi="Times New Roman" w:cs="Times New Roman"/>
          <w:color w:val="auto"/>
          <w:sz w:val="24"/>
          <w:szCs w:val="24"/>
        </w:rPr>
        <w:t xml:space="preserve">i </w:t>
      </w:r>
      <w:r w:rsidRPr="00387E05">
        <w:rPr>
          <w:rFonts w:ascii="Times New Roman" w:hAnsi="Times New Roman" w:cs="Times New Roman"/>
          <w:color w:val="auto"/>
          <w:sz w:val="24"/>
          <w:szCs w:val="24"/>
        </w:rPr>
        <w:t xml:space="preserve">veći. </w:t>
      </w:r>
      <w:r w:rsidR="00A67BF4" w:rsidRPr="00387E05">
        <w:rPr>
          <w:rFonts w:ascii="Times New Roman" w:hAnsi="Times New Roman" w:cs="Times New Roman"/>
          <w:color w:val="auto"/>
          <w:sz w:val="24"/>
          <w:szCs w:val="24"/>
        </w:rPr>
        <w:t>Ovo je jedna od posljedica staroga sustava u kojem je zahtjev mogao biti po</w:t>
      </w:r>
      <w:r w:rsidR="00A67BF4" w:rsidRPr="0024150C">
        <w:rPr>
          <w:rFonts w:ascii="Times New Roman" w:hAnsi="Times New Roman" w:cs="Times New Roman"/>
          <w:color w:val="auto"/>
          <w:sz w:val="24"/>
          <w:szCs w:val="24"/>
        </w:rPr>
        <w:t>dnesen bez obzira na postojanje lokacije u prostornom planu, a kada je podnesen zauzeo je mjesto projektima koji su se nalazili u prostornom planu. Zbog limitiranog kapaciteta mreže ovakav pristup je blokirao sustav izdavanja dozvola vezanih uz priključenje na mrežu.</w:t>
      </w:r>
    </w:p>
    <w:p w:rsidR="00DF7141" w:rsidRPr="0024150C" w:rsidRDefault="00DF7141" w:rsidP="002D7C87">
      <w:pPr>
        <w:pStyle w:val="Tijeloteksta"/>
        <w:rPr>
          <w:rFonts w:ascii="Times New Roman" w:hAnsi="Times New Roman" w:cs="Times New Roman"/>
          <w:color w:val="auto"/>
          <w:sz w:val="24"/>
          <w:szCs w:val="24"/>
        </w:rPr>
      </w:pPr>
      <w:r w:rsidRPr="0024150C">
        <w:rPr>
          <w:rFonts w:ascii="Times New Roman" w:hAnsi="Times New Roman" w:cs="Times New Roman"/>
          <w:color w:val="auto"/>
          <w:sz w:val="24"/>
          <w:szCs w:val="24"/>
        </w:rPr>
        <w:t>Sasvim je jasno da dosadašnji princip financiranja i realizacije razvoja i izgradnje mreže nije primjeren za prihvat ovako velikog broja i snage novih korisnika mreže i to u uvjetima naglašene nesigurnosti. S istim problemom se suočavaju i ostali operatori sustava u Europi.</w:t>
      </w:r>
    </w:p>
    <w:p w:rsidR="00DF7141" w:rsidRPr="0024150C" w:rsidRDefault="00DF7141" w:rsidP="002D7C87">
      <w:pPr>
        <w:pStyle w:val="Tijeloteksta"/>
        <w:rPr>
          <w:rFonts w:ascii="Times New Roman" w:hAnsi="Times New Roman" w:cs="Times New Roman"/>
          <w:color w:val="auto"/>
          <w:sz w:val="24"/>
          <w:szCs w:val="24"/>
        </w:rPr>
      </w:pPr>
      <w:r w:rsidRPr="0024150C">
        <w:rPr>
          <w:rFonts w:ascii="Times New Roman" w:hAnsi="Times New Roman" w:cs="Times New Roman"/>
          <w:color w:val="auto"/>
          <w:sz w:val="24"/>
          <w:szCs w:val="24"/>
        </w:rPr>
        <w:t>Na sljedećoj slici prikazana je procedura ishođenja elektroenergetske suglasnosti u</w:t>
      </w:r>
      <w:r w:rsidR="00931D1A" w:rsidRPr="0024150C">
        <w:rPr>
          <w:rFonts w:ascii="Times New Roman" w:hAnsi="Times New Roman" w:cs="Times New Roman"/>
          <w:color w:val="auto"/>
          <w:sz w:val="24"/>
          <w:szCs w:val="24"/>
        </w:rPr>
        <w:t xml:space="preserve"> Republici</w:t>
      </w:r>
      <w:r w:rsidRPr="0024150C">
        <w:rPr>
          <w:rFonts w:ascii="Times New Roman" w:hAnsi="Times New Roman" w:cs="Times New Roman"/>
          <w:color w:val="auto"/>
          <w:sz w:val="24"/>
          <w:szCs w:val="24"/>
        </w:rPr>
        <w:t xml:space="preserve"> Hrvatskoj, do lokacijske dozvole.</w:t>
      </w:r>
    </w:p>
    <w:p w:rsidR="00DF7141" w:rsidRPr="0024150C" w:rsidRDefault="00DF7141" w:rsidP="002D7C87">
      <w:pPr>
        <w:pStyle w:val="Tijeloteksta"/>
        <w:rPr>
          <w:rFonts w:ascii="Times New Roman" w:hAnsi="Times New Roman" w:cs="Times New Roman"/>
          <w:color w:val="auto"/>
          <w:sz w:val="24"/>
          <w:szCs w:val="24"/>
        </w:rPr>
      </w:pPr>
    </w:p>
    <w:p w:rsidR="00DF7141" w:rsidRPr="00003942" w:rsidRDefault="00DF7141" w:rsidP="002D7C87">
      <w:pPr>
        <w:pStyle w:val="Tijeloteksta"/>
        <w:keepNext/>
        <w:rPr>
          <w:rFonts w:ascii="Times New Roman" w:hAnsi="Times New Roman" w:cs="Times New Roman"/>
          <w:color w:val="auto"/>
          <w:sz w:val="24"/>
          <w:szCs w:val="24"/>
        </w:rPr>
      </w:pPr>
      <w:r w:rsidRPr="00003942">
        <w:rPr>
          <w:rFonts w:ascii="Times New Roman" w:hAnsi="Times New Roman" w:cs="Times New Roman"/>
          <w:noProof/>
          <w:color w:val="auto"/>
          <w:sz w:val="24"/>
          <w:szCs w:val="24"/>
          <w:lang w:eastAsia="hr-HR"/>
        </w:rPr>
        <w:drawing>
          <wp:inline distT="0" distB="0" distL="0" distR="0" wp14:anchorId="1A536FC1" wp14:editId="0DF30E77">
            <wp:extent cx="5759450" cy="2988945"/>
            <wp:effectExtent l="0" t="0" r="0" b="1905"/>
            <wp:docPr id="35" name="Picture 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9450" cy="2988945"/>
                    </a:xfrm>
                    <a:prstGeom prst="rect">
                      <a:avLst/>
                    </a:prstGeom>
                  </pic:spPr>
                </pic:pic>
              </a:graphicData>
            </a:graphic>
          </wp:inline>
        </w:drawing>
      </w:r>
    </w:p>
    <w:p w:rsidR="00DF7141" w:rsidRPr="00003942" w:rsidRDefault="00DF7141" w:rsidP="002D7C87">
      <w:pPr>
        <w:pStyle w:val="Opisslike"/>
        <w:jc w:val="both"/>
        <w:rPr>
          <w:rFonts w:ascii="Times New Roman" w:hAnsi="Times New Roman" w:cs="Times New Roman"/>
          <w:color w:val="auto"/>
          <w:sz w:val="24"/>
          <w:szCs w:val="24"/>
        </w:rPr>
      </w:pPr>
      <w:bookmarkStart w:id="383" w:name="_Toc104994943"/>
      <w:r w:rsidRPr="00003942">
        <w:rPr>
          <w:rFonts w:ascii="Times New Roman" w:hAnsi="Times New Roman" w:cs="Times New Roman"/>
          <w:color w:val="auto"/>
          <w:sz w:val="24"/>
          <w:szCs w:val="24"/>
        </w:rPr>
        <w:t>S</w:t>
      </w:r>
      <w:r w:rsidRPr="00F63D65">
        <w:rPr>
          <w:rFonts w:ascii="Times New Roman" w:hAnsi="Times New Roman" w:cs="Times New Roman"/>
          <w:color w:val="auto"/>
          <w:sz w:val="24"/>
          <w:szCs w:val="24"/>
        </w:rPr>
        <w:t xml:space="preserve">lika </w:t>
      </w:r>
      <w:r w:rsidRPr="00003942">
        <w:rPr>
          <w:rFonts w:ascii="Times New Roman" w:hAnsi="Times New Roman" w:cs="Times New Roman"/>
          <w:color w:val="auto"/>
          <w:sz w:val="24"/>
          <w:szCs w:val="24"/>
        </w:rPr>
        <w:fldChar w:fldCharType="begin"/>
      </w:r>
      <w:r w:rsidRPr="00003942">
        <w:rPr>
          <w:rFonts w:ascii="Times New Roman" w:hAnsi="Times New Roman" w:cs="Times New Roman"/>
          <w:color w:val="auto"/>
          <w:sz w:val="24"/>
          <w:szCs w:val="24"/>
        </w:rPr>
        <w:instrText xml:space="preserve"> SEQ Slika \* ARABIC \s 1 </w:instrText>
      </w:r>
      <w:r w:rsidRPr="00003942">
        <w:rPr>
          <w:rFonts w:ascii="Times New Roman" w:hAnsi="Times New Roman" w:cs="Times New Roman"/>
          <w:color w:val="auto"/>
          <w:sz w:val="24"/>
          <w:szCs w:val="24"/>
        </w:rPr>
        <w:fldChar w:fldCharType="separate"/>
      </w:r>
      <w:r w:rsidR="009C3921">
        <w:rPr>
          <w:rFonts w:ascii="Times New Roman" w:hAnsi="Times New Roman" w:cs="Times New Roman"/>
          <w:noProof/>
          <w:color w:val="auto"/>
          <w:sz w:val="24"/>
          <w:szCs w:val="24"/>
        </w:rPr>
        <w:t>4</w:t>
      </w:r>
      <w:r w:rsidRPr="00003942">
        <w:rPr>
          <w:rFonts w:ascii="Times New Roman" w:hAnsi="Times New Roman" w:cs="Times New Roman"/>
          <w:noProof/>
          <w:color w:val="auto"/>
          <w:sz w:val="24"/>
          <w:szCs w:val="24"/>
        </w:rPr>
        <w:fldChar w:fldCharType="end"/>
      </w:r>
      <w:r w:rsidR="00C439A8">
        <w:rPr>
          <w:rFonts w:ascii="Times New Roman" w:hAnsi="Times New Roman" w:cs="Times New Roman"/>
          <w:noProof/>
          <w:color w:val="auto"/>
          <w:sz w:val="24"/>
          <w:szCs w:val="24"/>
        </w:rPr>
        <w:t>.</w:t>
      </w:r>
      <w:r w:rsidRPr="00003942">
        <w:rPr>
          <w:rFonts w:ascii="Times New Roman" w:hAnsi="Times New Roman" w:cs="Times New Roman"/>
          <w:color w:val="auto"/>
          <w:sz w:val="24"/>
          <w:szCs w:val="24"/>
        </w:rPr>
        <w:t xml:space="preserve"> Procedura ishođenja Elektroenergetske suglasnosti do lokacijske dozvole</w:t>
      </w:r>
      <w:bookmarkEnd w:id="383"/>
    </w:p>
    <w:p w:rsidR="00DF7141" w:rsidRPr="003E2DBC" w:rsidRDefault="00E50D9B" w:rsidP="00FC271C">
      <w:pPr>
        <w:pStyle w:val="Naslov3"/>
        <w:numPr>
          <w:ilvl w:val="0"/>
          <w:numId w:val="0"/>
        </w:numPr>
        <w:ind w:left="1003"/>
      </w:pPr>
      <w:bookmarkStart w:id="384" w:name="_Toc105137891"/>
      <w:bookmarkStart w:id="385" w:name="_Toc105396341"/>
      <w:bookmarkStart w:id="386" w:name="_Toc105756716"/>
      <w:bookmarkStart w:id="387" w:name="_Toc105973491"/>
      <w:r w:rsidRPr="003E2DBC">
        <w:t>P</w:t>
      </w:r>
      <w:r w:rsidR="00DF7141" w:rsidRPr="003E2DBC">
        <w:t>rovedbe odredbi ZoTEE-a s aspekta priključenja za započete projekte</w:t>
      </w:r>
      <w:bookmarkEnd w:id="384"/>
      <w:bookmarkEnd w:id="385"/>
      <w:bookmarkEnd w:id="386"/>
      <w:bookmarkEnd w:id="387"/>
      <w:r w:rsidR="00DF7141" w:rsidRPr="003E2DBC">
        <w:t xml:space="preserve"> </w:t>
      </w:r>
    </w:p>
    <w:p w:rsidR="00DF7141" w:rsidRPr="003E2DBC" w:rsidRDefault="00DF7141" w:rsidP="002D7C87">
      <w:pPr>
        <w:pStyle w:val="Tijeloteksta"/>
        <w:rPr>
          <w:rFonts w:ascii="Times New Roman" w:hAnsi="Times New Roman" w:cs="Times New Roman"/>
          <w:color w:val="auto"/>
          <w:sz w:val="24"/>
          <w:szCs w:val="24"/>
        </w:rPr>
      </w:pPr>
      <w:r w:rsidRPr="003E2DBC">
        <w:rPr>
          <w:rFonts w:ascii="Times New Roman" w:hAnsi="Times New Roman" w:cs="Times New Roman"/>
          <w:color w:val="auto"/>
          <w:sz w:val="24"/>
          <w:szCs w:val="24"/>
        </w:rPr>
        <w:t>Novim ZoTEE-om su definirane odredbe vezane za postupak priključenja zatečenih projekata i to:</w:t>
      </w:r>
    </w:p>
    <w:p w:rsidR="00DF7141" w:rsidRPr="003E2DBC" w:rsidRDefault="00DF7141" w:rsidP="002D7C87">
      <w:pPr>
        <w:pStyle w:val="Tijeloteksta"/>
        <w:numPr>
          <w:ilvl w:val="0"/>
          <w:numId w:val="31"/>
        </w:numPr>
        <w:rPr>
          <w:rFonts w:ascii="Times New Roman" w:hAnsi="Times New Roman" w:cs="Times New Roman"/>
          <w:color w:val="auto"/>
          <w:sz w:val="24"/>
          <w:szCs w:val="24"/>
        </w:rPr>
      </w:pPr>
      <w:r w:rsidRPr="003E2DBC">
        <w:rPr>
          <w:rFonts w:ascii="Times New Roman" w:hAnsi="Times New Roman" w:cs="Times New Roman"/>
          <w:color w:val="auto"/>
          <w:sz w:val="24"/>
          <w:szCs w:val="24"/>
        </w:rPr>
        <w:t>za započete projekte zahtjev za Elaboratom optimalnog tehničkog rješenja priključenja (EOTRP) bilo je potrebno u roku od 90 dana od stupanja na snagu novog ZoTEE nadopuniti važećim energetskim odobrenjem (članak 133 (6)),</w:t>
      </w:r>
    </w:p>
    <w:p w:rsidR="00DF7141" w:rsidRPr="008609F9" w:rsidRDefault="00DF7141" w:rsidP="002D7C87">
      <w:pPr>
        <w:pStyle w:val="Tijeloteksta"/>
        <w:numPr>
          <w:ilvl w:val="0"/>
          <w:numId w:val="31"/>
        </w:numPr>
        <w:rPr>
          <w:rFonts w:ascii="Times New Roman" w:hAnsi="Times New Roman" w:cs="Times New Roman"/>
          <w:color w:val="auto"/>
          <w:sz w:val="24"/>
          <w:szCs w:val="24"/>
        </w:rPr>
      </w:pPr>
      <w:r w:rsidRPr="008609F9">
        <w:rPr>
          <w:rFonts w:ascii="Times New Roman" w:hAnsi="Times New Roman" w:cs="Times New Roman"/>
          <w:color w:val="auto"/>
          <w:sz w:val="24"/>
          <w:szCs w:val="24"/>
        </w:rPr>
        <w:t>preduvjet za podnošenje zahtjeva za energetsko odobrenje je ishođenje Elaborata mogućnosti priključenja (EMP). Da bi se izradio i odobrio EMP, potrebno je proći proceduru koja traje do najviše 90 dana (članak 17)</w:t>
      </w:r>
    </w:p>
    <w:p w:rsidR="00DF7141" w:rsidRPr="00387E05" w:rsidRDefault="00DF7141" w:rsidP="002D7C87">
      <w:pPr>
        <w:pStyle w:val="Tijeloteksta"/>
        <w:numPr>
          <w:ilvl w:val="0"/>
          <w:numId w:val="31"/>
        </w:numPr>
        <w:rPr>
          <w:rFonts w:ascii="Times New Roman" w:hAnsi="Times New Roman" w:cs="Times New Roman"/>
          <w:color w:val="auto"/>
          <w:sz w:val="24"/>
          <w:szCs w:val="24"/>
        </w:rPr>
      </w:pPr>
      <w:r w:rsidRPr="00387E05">
        <w:rPr>
          <w:rFonts w:ascii="Times New Roman" w:hAnsi="Times New Roman" w:cs="Times New Roman"/>
          <w:color w:val="auto"/>
          <w:sz w:val="24"/>
          <w:szCs w:val="24"/>
        </w:rPr>
        <w:t>u roku od 90 dana od dostave iskaza interesa za energetsko odobrenje Ministarstvo će razmotriti opravdanost pokretanja javnog natječaja za dodjelu energetskog odobrenja za traženo proizvodno postrojenje na određenoj lokaciji te, ako utvrdi da je opravdano, donijeti odluku o provođenju javnog natječaja za izdavanje energetskog odobrenja (članak 17).</w:t>
      </w:r>
    </w:p>
    <w:p w:rsidR="00DF7141" w:rsidRPr="00387E05" w:rsidRDefault="002B28C4" w:rsidP="002D7C87">
      <w:pPr>
        <w:pStyle w:val="Tijeloteksta"/>
        <w:rPr>
          <w:rFonts w:ascii="Times New Roman" w:hAnsi="Times New Roman" w:cs="Times New Roman"/>
          <w:color w:val="auto"/>
          <w:sz w:val="24"/>
          <w:szCs w:val="24"/>
        </w:rPr>
      </w:pPr>
      <w:r w:rsidRPr="00331C56">
        <w:rPr>
          <w:rFonts w:ascii="Times New Roman" w:hAnsi="Times New Roman" w:cs="Times New Roman"/>
          <w:sz w:val="24"/>
          <w:szCs w:val="24"/>
        </w:rPr>
        <w:lastRenderedPageBreak/>
        <w:t>Postavljeni rokovi mogu predstavljati problem za administrativni razvoj projekta.</w:t>
      </w:r>
      <w:r w:rsidRPr="00003942">
        <w:rPr>
          <w:rFonts w:ascii="Times New Roman" w:hAnsi="Times New Roman" w:cs="Times New Roman"/>
          <w:color w:val="auto"/>
          <w:sz w:val="24"/>
          <w:szCs w:val="24"/>
        </w:rPr>
        <w:t xml:space="preserve"> </w:t>
      </w:r>
      <w:r w:rsidR="00DF7141" w:rsidRPr="00F63D65">
        <w:rPr>
          <w:rFonts w:ascii="Times New Roman" w:hAnsi="Times New Roman" w:cs="Times New Roman"/>
          <w:color w:val="auto"/>
          <w:sz w:val="24"/>
          <w:szCs w:val="24"/>
        </w:rPr>
        <w:t>Povrh toga, detalji o izradi EMP-a definiraju se Pravilima o prikl</w:t>
      </w:r>
      <w:r w:rsidR="00DF7141" w:rsidRPr="003E2DBC">
        <w:rPr>
          <w:rFonts w:ascii="Times New Roman" w:hAnsi="Times New Roman" w:cs="Times New Roman"/>
          <w:color w:val="auto"/>
          <w:sz w:val="24"/>
          <w:szCs w:val="24"/>
        </w:rPr>
        <w:t>jučenju koje nadležni operator</w:t>
      </w:r>
      <w:r w:rsidR="007E69AD" w:rsidRPr="003E2DBC">
        <w:rPr>
          <w:rFonts w:ascii="Times New Roman" w:hAnsi="Times New Roman" w:cs="Times New Roman"/>
          <w:color w:val="auto"/>
          <w:sz w:val="24"/>
          <w:szCs w:val="24"/>
        </w:rPr>
        <w:t xml:space="preserve"> sustava</w:t>
      </w:r>
      <w:r w:rsidR="00DF7141" w:rsidRPr="003E2DBC">
        <w:rPr>
          <w:rFonts w:ascii="Times New Roman" w:hAnsi="Times New Roman" w:cs="Times New Roman"/>
          <w:color w:val="auto"/>
          <w:sz w:val="24"/>
          <w:szCs w:val="24"/>
        </w:rPr>
        <w:t xml:space="preserve"> treba donijeti u roku od 12 mjeseci od stupanja na snagu ZoTEE, što je četverostruko dulje od ukupnog roka za izradu EMP-a, odnosno dopunu EOTRP-a energetskim odobrenjem, pa je i s tog aspekta zahtijevani vremenski niz za zatečene projekte bio </w:t>
      </w:r>
      <w:r w:rsidRPr="00596944">
        <w:rPr>
          <w:rFonts w:ascii="Times New Roman" w:hAnsi="Times New Roman" w:cs="Times New Roman"/>
          <w:color w:val="auto"/>
          <w:sz w:val="24"/>
          <w:szCs w:val="24"/>
        </w:rPr>
        <w:t xml:space="preserve">teško </w:t>
      </w:r>
      <w:r w:rsidR="00DF7141" w:rsidRPr="008609F9">
        <w:rPr>
          <w:rFonts w:ascii="Times New Roman" w:hAnsi="Times New Roman" w:cs="Times New Roman"/>
          <w:color w:val="auto"/>
          <w:sz w:val="24"/>
          <w:szCs w:val="24"/>
        </w:rPr>
        <w:t>provediv.</w:t>
      </w:r>
    </w:p>
    <w:p w:rsidR="00DF7141" w:rsidRPr="0024150C" w:rsidRDefault="00DF7141" w:rsidP="002D7C87">
      <w:pPr>
        <w:pStyle w:val="Tijeloteksta"/>
        <w:rPr>
          <w:rFonts w:ascii="Times New Roman" w:hAnsi="Times New Roman" w:cs="Times New Roman"/>
          <w:color w:val="auto"/>
          <w:sz w:val="24"/>
          <w:szCs w:val="24"/>
        </w:rPr>
      </w:pPr>
      <w:r w:rsidRPr="00387E05">
        <w:rPr>
          <w:rFonts w:ascii="Times New Roman" w:hAnsi="Times New Roman" w:cs="Times New Roman"/>
          <w:color w:val="auto"/>
          <w:sz w:val="24"/>
          <w:szCs w:val="24"/>
        </w:rPr>
        <w:t xml:space="preserve">Kao rezultat navedenog, </w:t>
      </w:r>
      <w:r w:rsidR="007E69AD" w:rsidRPr="00387E05">
        <w:rPr>
          <w:rFonts w:ascii="Times New Roman" w:hAnsi="Times New Roman" w:cs="Times New Roman"/>
          <w:color w:val="auto"/>
          <w:sz w:val="24"/>
          <w:szCs w:val="24"/>
        </w:rPr>
        <w:t xml:space="preserve">sedam </w:t>
      </w:r>
      <w:r w:rsidRPr="00387E05">
        <w:rPr>
          <w:rFonts w:ascii="Times New Roman" w:hAnsi="Times New Roman" w:cs="Times New Roman"/>
          <w:color w:val="auto"/>
          <w:sz w:val="24"/>
          <w:szCs w:val="24"/>
        </w:rPr>
        <w:t>mjeseci nakon usvajanja novog ZoTEE nije izrađen, niti odobren nijedan EMP</w:t>
      </w:r>
      <w:r w:rsidR="007E69AD" w:rsidRPr="0024150C">
        <w:rPr>
          <w:rFonts w:ascii="Times New Roman" w:hAnsi="Times New Roman" w:cs="Times New Roman"/>
          <w:color w:val="auto"/>
          <w:sz w:val="24"/>
          <w:szCs w:val="24"/>
        </w:rPr>
        <w:t>, niti su uređeni odnosi između operatora sustava i investitora u smislu članka 133. stavka 6. ZoTEE</w:t>
      </w:r>
      <w:r w:rsidRPr="0024150C">
        <w:rPr>
          <w:rFonts w:ascii="Times New Roman" w:hAnsi="Times New Roman" w:cs="Times New Roman"/>
          <w:color w:val="auto"/>
          <w:sz w:val="24"/>
          <w:szCs w:val="24"/>
        </w:rPr>
        <w:t xml:space="preserve">.  </w:t>
      </w:r>
    </w:p>
    <w:p w:rsidR="00DF7141" w:rsidRPr="008609F9" w:rsidRDefault="00E50D9B" w:rsidP="00FC271C">
      <w:pPr>
        <w:pStyle w:val="Naslov3"/>
        <w:numPr>
          <w:ilvl w:val="0"/>
          <w:numId w:val="0"/>
        </w:numPr>
        <w:ind w:left="1003"/>
      </w:pPr>
      <w:bookmarkStart w:id="388" w:name="_Toc105756717"/>
      <w:bookmarkStart w:id="389" w:name="_Toc105756902"/>
      <w:bookmarkStart w:id="390" w:name="_Toc105757081"/>
      <w:bookmarkStart w:id="391" w:name="_Toc105763504"/>
      <w:bookmarkStart w:id="392" w:name="_Toc105756718"/>
      <w:bookmarkStart w:id="393" w:name="_Toc105756903"/>
      <w:bookmarkStart w:id="394" w:name="_Toc105757082"/>
      <w:bookmarkStart w:id="395" w:name="_Toc105763505"/>
      <w:bookmarkStart w:id="396" w:name="_Toc105137893"/>
      <w:bookmarkStart w:id="397" w:name="_Toc105396343"/>
      <w:bookmarkStart w:id="398" w:name="_Toc105756719"/>
      <w:bookmarkStart w:id="399" w:name="_Toc105973492"/>
      <w:bookmarkEnd w:id="388"/>
      <w:bookmarkEnd w:id="389"/>
      <w:bookmarkEnd w:id="390"/>
      <w:bookmarkEnd w:id="391"/>
      <w:bookmarkEnd w:id="392"/>
      <w:bookmarkEnd w:id="393"/>
      <w:bookmarkEnd w:id="394"/>
      <w:bookmarkEnd w:id="395"/>
      <w:r w:rsidRPr="003E2DBC">
        <w:t>P</w:t>
      </w:r>
      <w:r w:rsidR="00DF7141" w:rsidRPr="003E2DBC">
        <w:t>osebn</w:t>
      </w:r>
      <w:r w:rsidRPr="003E2DBC">
        <w:t>i</w:t>
      </w:r>
      <w:r w:rsidR="00DF7141" w:rsidRPr="003E2DBC">
        <w:t xml:space="preserve"> tr</w:t>
      </w:r>
      <w:r w:rsidR="00DF7141" w:rsidRPr="008609F9">
        <w:t>etmana razvoja strateške infrastrukture</w:t>
      </w:r>
      <w:bookmarkEnd w:id="396"/>
      <w:bookmarkEnd w:id="397"/>
      <w:bookmarkEnd w:id="398"/>
      <w:bookmarkEnd w:id="399"/>
    </w:p>
    <w:p w:rsidR="00DF7141" w:rsidRPr="0024150C" w:rsidRDefault="00DF7141" w:rsidP="002D7C87">
      <w:pPr>
        <w:pStyle w:val="Tijeloteksta"/>
        <w:rPr>
          <w:rFonts w:ascii="Times New Roman" w:hAnsi="Times New Roman" w:cs="Times New Roman"/>
          <w:color w:val="auto"/>
          <w:sz w:val="24"/>
          <w:szCs w:val="24"/>
        </w:rPr>
      </w:pPr>
      <w:r w:rsidRPr="008609F9">
        <w:rPr>
          <w:rFonts w:ascii="Times New Roman" w:hAnsi="Times New Roman" w:cs="Times New Roman"/>
          <w:color w:val="auto"/>
          <w:sz w:val="24"/>
          <w:szCs w:val="24"/>
        </w:rPr>
        <w:t xml:space="preserve">Razvoj elektroenergetske mreže je ključni preduvjet za provođenje zelene tranzicije. </w:t>
      </w:r>
      <w:r w:rsidRPr="00387E05">
        <w:rPr>
          <w:rFonts w:ascii="Times New Roman" w:hAnsi="Times New Roman" w:cs="Times New Roman"/>
          <w:color w:val="auto"/>
          <w:sz w:val="24"/>
          <w:szCs w:val="24"/>
        </w:rPr>
        <w:t xml:space="preserve">Uz postojeće propise i dosadašnju praksu za izgradnju većih i značajnijih elemenata mreže, kao što su dulji dalekovodi ili transformatorske snage veće snage, potrebno je 5 </w:t>
      </w:r>
      <w:r w:rsidR="007E69AD" w:rsidRPr="00387E05">
        <w:rPr>
          <w:rFonts w:ascii="Times New Roman" w:hAnsi="Times New Roman" w:cs="Times New Roman"/>
          <w:color w:val="auto"/>
          <w:sz w:val="24"/>
          <w:szCs w:val="24"/>
        </w:rPr>
        <w:t>do</w:t>
      </w:r>
      <w:r w:rsidRPr="0024150C">
        <w:rPr>
          <w:rFonts w:ascii="Times New Roman" w:hAnsi="Times New Roman" w:cs="Times New Roman"/>
          <w:color w:val="auto"/>
          <w:sz w:val="24"/>
          <w:szCs w:val="24"/>
        </w:rPr>
        <w:t xml:space="preserve"> 10 godina, pa je sasvim jasno da uz postojeći način rada</w:t>
      </w:r>
      <w:r w:rsidR="007E69AD" w:rsidRPr="0024150C">
        <w:rPr>
          <w:rFonts w:ascii="Times New Roman" w:hAnsi="Times New Roman" w:cs="Times New Roman"/>
          <w:color w:val="auto"/>
          <w:sz w:val="24"/>
          <w:szCs w:val="24"/>
        </w:rPr>
        <w:t xml:space="preserve"> operatora prijenosnog sustava</w:t>
      </w:r>
      <w:r w:rsidRPr="0024150C">
        <w:rPr>
          <w:rFonts w:ascii="Times New Roman" w:hAnsi="Times New Roman" w:cs="Times New Roman"/>
          <w:color w:val="auto"/>
          <w:sz w:val="24"/>
          <w:szCs w:val="24"/>
        </w:rPr>
        <w:t xml:space="preserve"> nije moguće osigurati odgovarajuću elektroenergetsku infrastrukturu za razvoj, izgradnju i pogon ciljane razine obnovljivih izvora energije u Hrvatskoj. </w:t>
      </w:r>
    </w:p>
    <w:p w:rsidR="00DF7141" w:rsidRPr="007C507C" w:rsidRDefault="00DF7141" w:rsidP="002D7C87">
      <w:pPr>
        <w:pStyle w:val="Tijeloteksta"/>
        <w:rPr>
          <w:rFonts w:ascii="Times New Roman" w:hAnsi="Times New Roman" w:cs="Times New Roman"/>
          <w:color w:val="auto"/>
          <w:sz w:val="24"/>
          <w:szCs w:val="24"/>
        </w:rPr>
      </w:pPr>
      <w:r w:rsidRPr="0024150C">
        <w:rPr>
          <w:rFonts w:ascii="Times New Roman" w:hAnsi="Times New Roman" w:cs="Times New Roman"/>
          <w:color w:val="auto"/>
          <w:sz w:val="24"/>
          <w:szCs w:val="24"/>
        </w:rPr>
        <w:t>Stoga je nužno napraviti veliki zaokret u</w:t>
      </w:r>
      <w:r w:rsidRPr="007C507C">
        <w:rPr>
          <w:rFonts w:ascii="Times New Roman" w:hAnsi="Times New Roman" w:cs="Times New Roman"/>
          <w:color w:val="auto"/>
          <w:sz w:val="24"/>
          <w:szCs w:val="24"/>
        </w:rPr>
        <w:t xml:space="preserve"> pripremi i realizaciji razvoja i izgradnje ove strateški važne infrastrukture. </w:t>
      </w:r>
    </w:p>
    <w:p w:rsidR="00DF7141" w:rsidRPr="00222A78" w:rsidRDefault="00E50D9B" w:rsidP="00FC271C">
      <w:pPr>
        <w:pStyle w:val="Naslov3"/>
        <w:numPr>
          <w:ilvl w:val="0"/>
          <w:numId w:val="0"/>
        </w:numPr>
        <w:ind w:left="1003"/>
      </w:pPr>
      <w:bookmarkStart w:id="400" w:name="_Toc105137894"/>
      <w:bookmarkStart w:id="401" w:name="_Toc105396344"/>
      <w:bookmarkStart w:id="402" w:name="_Toc105756720"/>
      <w:bookmarkStart w:id="403" w:name="_Toc105973493"/>
      <w:r w:rsidRPr="00331C56">
        <w:t>G</w:t>
      </w:r>
      <w:r w:rsidR="00DF7141" w:rsidRPr="00331C56">
        <w:t>radnj</w:t>
      </w:r>
      <w:r w:rsidRPr="00331C56">
        <w:t>a</w:t>
      </w:r>
      <w:r w:rsidR="00DF7141" w:rsidRPr="00222A78">
        <w:t xml:space="preserve"> priključka od strane investitora</w:t>
      </w:r>
      <w:bookmarkEnd w:id="400"/>
      <w:bookmarkEnd w:id="401"/>
      <w:bookmarkEnd w:id="402"/>
      <w:bookmarkEnd w:id="403"/>
    </w:p>
    <w:p w:rsidR="00ED31C3" w:rsidRPr="00003942" w:rsidRDefault="00DF7141" w:rsidP="002D7C87">
      <w:pPr>
        <w:pStyle w:val="Tijeloteksta"/>
        <w:rPr>
          <w:rFonts w:ascii="Times New Roman" w:hAnsi="Times New Roman" w:cs="Times New Roman"/>
          <w:color w:val="auto"/>
          <w:sz w:val="24"/>
          <w:szCs w:val="24"/>
        </w:rPr>
      </w:pPr>
      <w:r w:rsidRPr="00192851">
        <w:rPr>
          <w:rFonts w:ascii="Times New Roman" w:hAnsi="Times New Roman" w:cs="Times New Roman"/>
          <w:color w:val="auto"/>
          <w:sz w:val="24"/>
          <w:szCs w:val="24"/>
        </w:rPr>
        <w:t xml:space="preserve">Zakon o prostornom uređenju, Zakon o gradnji i Zakon o tržištu električne energije </w:t>
      </w:r>
      <w:r w:rsidRPr="00003942">
        <w:rPr>
          <w:rFonts w:ascii="Times New Roman" w:hAnsi="Times New Roman" w:cs="Times New Roman"/>
          <w:color w:val="auto"/>
          <w:sz w:val="24"/>
          <w:szCs w:val="24"/>
        </w:rPr>
        <w:t>nisu usklađeni oko mogućnosti da investitor samostalno priprema i gradi vlastiti priključak na elektroenergetsku infrastrukturu, uključujući rješenje imovinsko-pravnih odnosa, utjecaja na okoliš i provođenje pripadnog postupka nabave. Obzirom da trošak priključka u cijelosti snosi investitor, a ne operator</w:t>
      </w:r>
      <w:r w:rsidR="007E69AD" w:rsidRPr="00003942">
        <w:rPr>
          <w:rFonts w:ascii="Times New Roman" w:hAnsi="Times New Roman" w:cs="Times New Roman"/>
          <w:color w:val="auto"/>
          <w:sz w:val="24"/>
          <w:szCs w:val="24"/>
        </w:rPr>
        <w:t xml:space="preserve"> sustava</w:t>
      </w:r>
      <w:r w:rsidRPr="00003942">
        <w:rPr>
          <w:rFonts w:ascii="Times New Roman" w:hAnsi="Times New Roman" w:cs="Times New Roman"/>
          <w:color w:val="auto"/>
          <w:sz w:val="24"/>
          <w:szCs w:val="24"/>
        </w:rPr>
        <w:t xml:space="preserve">, </w:t>
      </w:r>
      <w:r w:rsidR="00ED31C3" w:rsidRPr="00003942">
        <w:rPr>
          <w:rFonts w:ascii="Times New Roman" w:hAnsi="Times New Roman" w:cs="Times New Roman"/>
          <w:color w:val="auto"/>
          <w:sz w:val="24"/>
          <w:szCs w:val="24"/>
        </w:rPr>
        <w:t>investitoru treba omogućiti gradnju vlastitog priključka tamo gdje se postigne dogovor između investitora i operatora sustava.</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Dakle, ovo se ne odnosi na pojačanje postojeće mreže, odnosno stvaranje tehničkih uvjeta u mreži koje je u potpunosti u </w:t>
      </w:r>
      <w:r w:rsidR="007370AF" w:rsidRPr="00003942">
        <w:rPr>
          <w:rFonts w:ascii="Times New Roman" w:hAnsi="Times New Roman" w:cs="Times New Roman"/>
          <w:color w:val="auto"/>
          <w:sz w:val="24"/>
          <w:szCs w:val="24"/>
        </w:rPr>
        <w:t>nadležnosti</w:t>
      </w:r>
      <w:r w:rsidRPr="00003942">
        <w:rPr>
          <w:rFonts w:ascii="Times New Roman" w:hAnsi="Times New Roman" w:cs="Times New Roman"/>
          <w:color w:val="auto"/>
          <w:sz w:val="24"/>
          <w:szCs w:val="24"/>
        </w:rPr>
        <w:t>, pripremi i realizaciji operatora sustava.</w:t>
      </w:r>
    </w:p>
    <w:p w:rsidR="00DF7141" w:rsidRPr="000B0718" w:rsidRDefault="00E50D9B" w:rsidP="00FC271C">
      <w:pPr>
        <w:pStyle w:val="Naslov3"/>
        <w:numPr>
          <w:ilvl w:val="0"/>
          <w:numId w:val="0"/>
        </w:numPr>
        <w:ind w:left="1003"/>
      </w:pPr>
      <w:bookmarkStart w:id="404" w:name="_Toc105137895"/>
      <w:bookmarkStart w:id="405" w:name="_Toc105396345"/>
      <w:bookmarkStart w:id="406" w:name="_Toc105756721"/>
      <w:bookmarkStart w:id="407" w:name="_Toc105973494"/>
      <w:r w:rsidRPr="004B780F">
        <w:t>U</w:t>
      </w:r>
      <w:r w:rsidR="00DF7141" w:rsidRPr="00495749">
        <w:t>ključivanj</w:t>
      </w:r>
      <w:r w:rsidRPr="002A5DB6">
        <w:t>e</w:t>
      </w:r>
      <w:r w:rsidR="00DF7141" w:rsidRPr="000B0718">
        <w:t xml:space="preserve"> infrastrukturnih objekata u prostorni plan</w:t>
      </w:r>
      <w:bookmarkEnd w:id="404"/>
      <w:bookmarkEnd w:id="405"/>
      <w:bookmarkEnd w:id="406"/>
      <w:bookmarkEnd w:id="407"/>
      <w:r w:rsidR="00DF7141" w:rsidRPr="000B0718">
        <w:t xml:space="preserve"> </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Uključivanje ključne elektroenergetske infrastrukture u prostorne planove često se provodi izrazito usporeno. Primjerice, kod ključnog pojačanja 400 kV mreže uvrštenje u prostorni plan Ličko-senjske županije traje godinama, što u konačnici rezultira produljenim rokovima izgradnje novih elemenata mreže i velikim usporavanjem postupka priključenja OIE. Stoga je nužno ubrzati postupak uključivanja objekata elektroenergetske mreže u prostorne planove na svim razinama.</w:t>
      </w:r>
    </w:p>
    <w:p w:rsidR="00DF7141" w:rsidRPr="00495749" w:rsidRDefault="00DF7141" w:rsidP="00FC271C">
      <w:pPr>
        <w:pStyle w:val="Naslov3"/>
        <w:numPr>
          <w:ilvl w:val="0"/>
          <w:numId w:val="0"/>
        </w:numPr>
        <w:ind w:left="1003"/>
      </w:pPr>
      <w:bookmarkStart w:id="408" w:name="_Toc105137896"/>
      <w:bookmarkStart w:id="409" w:name="_Toc105396346"/>
      <w:bookmarkStart w:id="410" w:name="_Toc105756722"/>
      <w:bookmarkStart w:id="411" w:name="_Toc105973495"/>
      <w:r w:rsidRPr="004B780F">
        <w:t>Zakona o javnoj nabavi</w:t>
      </w:r>
      <w:bookmarkEnd w:id="408"/>
      <w:bookmarkEnd w:id="409"/>
      <w:bookmarkEnd w:id="410"/>
      <w:bookmarkEnd w:id="411"/>
      <w:r w:rsidRPr="004B780F">
        <w:t xml:space="preserve"> </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Operatori sustava kao obveznici javne nabave dužni su provoditi postupke nabave sukladno Zakonu o javnoj nabavi</w:t>
      </w:r>
      <w:r w:rsidR="007E69AD" w:rsidRPr="00003942">
        <w:rPr>
          <w:rFonts w:ascii="Times New Roman" w:hAnsi="Times New Roman" w:cs="Times New Roman"/>
          <w:color w:val="auto"/>
          <w:sz w:val="24"/>
          <w:szCs w:val="24"/>
        </w:rPr>
        <w:t xml:space="preserve"> (Narodne novine, br. 120/16)</w:t>
      </w:r>
      <w:r w:rsidRPr="00003942">
        <w:rPr>
          <w:rFonts w:ascii="Times New Roman" w:hAnsi="Times New Roman" w:cs="Times New Roman"/>
          <w:color w:val="auto"/>
          <w:sz w:val="24"/>
          <w:szCs w:val="24"/>
        </w:rPr>
        <w:t xml:space="preserve">. Obzirom na hitnost izgradnje mrežne infrastrukture za priključak i pogon velikog broja OIE, postupak javne nabave za pripremu i izgradnju ključne elektroenergetske infrastrukture je nužno maksimalno skratiti i pojednostavniti. Stoga se predlaže primjena postupka javne </w:t>
      </w:r>
      <w:r w:rsidRPr="00003942">
        <w:rPr>
          <w:rFonts w:ascii="Times New Roman" w:hAnsi="Times New Roman" w:cs="Times New Roman"/>
          <w:color w:val="auto"/>
          <w:sz w:val="24"/>
          <w:szCs w:val="24"/>
        </w:rPr>
        <w:lastRenderedPageBreak/>
        <w:t>nabave koji je nedavno uspostavljen kod obnove potresom pogođenog područja, npr. povećanjem iznosa za provođenje jednostavne nabave ili, slično tretmanu priključka kojeg može izvoditi investitor/korisnik mreže, izuzećem od postupka javne nabave primjenom posebnih tržišno utemeljenih, transparentnih, ali jednostavnijih pravila</w:t>
      </w:r>
      <w:r w:rsidR="00F82F4C" w:rsidRPr="00003942">
        <w:rPr>
          <w:rFonts w:ascii="Times New Roman" w:hAnsi="Times New Roman" w:cs="Times New Roman"/>
          <w:color w:val="auto"/>
          <w:sz w:val="24"/>
          <w:szCs w:val="24"/>
        </w:rPr>
        <w:t xml:space="preserve"> (primjerice stvaranjem liste potencijalnih dobavljača)</w:t>
      </w:r>
      <w:r w:rsidRPr="00003942">
        <w:rPr>
          <w:rFonts w:ascii="Times New Roman" w:hAnsi="Times New Roman" w:cs="Times New Roman"/>
          <w:color w:val="auto"/>
          <w:sz w:val="24"/>
          <w:szCs w:val="24"/>
        </w:rPr>
        <w:t>.</w:t>
      </w:r>
    </w:p>
    <w:p w:rsidR="00DF7141" w:rsidRPr="002A5DB6" w:rsidRDefault="00DF7141" w:rsidP="00FC271C">
      <w:pPr>
        <w:pStyle w:val="Naslov3"/>
        <w:numPr>
          <w:ilvl w:val="0"/>
          <w:numId w:val="0"/>
        </w:numPr>
        <w:ind w:left="1003"/>
      </w:pPr>
      <w:bookmarkStart w:id="412" w:name="_Toc105137897"/>
      <w:bookmarkStart w:id="413" w:name="_Toc105396347"/>
      <w:bookmarkStart w:id="414" w:name="_Toc105756723"/>
      <w:bookmarkStart w:id="415" w:name="_Toc105973496"/>
      <w:r w:rsidRPr="004B780F">
        <w:t>Preklapanje ishođenja lokacijske dozvole i definiranja detalja priključenja</w:t>
      </w:r>
      <w:bookmarkEnd w:id="412"/>
      <w:bookmarkEnd w:id="413"/>
      <w:r w:rsidR="007E69AD" w:rsidRPr="004B780F">
        <w:t xml:space="preserve"> na mrežu</w:t>
      </w:r>
      <w:bookmarkEnd w:id="414"/>
      <w:bookmarkEnd w:id="415"/>
      <w:r w:rsidRPr="00495749">
        <w:t xml:space="preserve"> </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Prema postojećim propisima postupak ishođenja lokacijske dozvole odvija se paralelno s postupkom detaljnog definiranja uvjeta priključenja. Drugim riječima, postupak izdavanja posebnih uvjeta je praktički istodoban s postupkom izrade Elaborata optimalnog tehničkog rješenja priključenja, sklapanja Ugovora o priključenju i izdavanja elektroenergetske suglasnosti. Posebni uvjeti se definiraju u elektroenergetskoj suglasnosti. Ukoliko točka priključenja nije sporna, za nastavak postupka ishođenja lokacijske dozvole nije potrebno čekati detaljno definiranje načina i troškova priključenja (EOTRP), već se mogu oba postupka voditi paralelno, odnosno razdvojiti posebne uvjete od elektroenergetske suglasnosti, što bi značajno skratilo trajanje razvoja projekata OIE.</w:t>
      </w:r>
    </w:p>
    <w:p w:rsidR="00DF7141" w:rsidRPr="000B0718" w:rsidRDefault="00E50D9B" w:rsidP="00FC271C">
      <w:pPr>
        <w:pStyle w:val="Naslov3"/>
        <w:numPr>
          <w:ilvl w:val="0"/>
          <w:numId w:val="0"/>
        </w:numPr>
        <w:ind w:left="1003"/>
      </w:pPr>
      <w:bookmarkStart w:id="416" w:name="_Toc105137898"/>
      <w:bookmarkStart w:id="417" w:name="_Toc105396348"/>
      <w:bookmarkStart w:id="418" w:name="_Toc105756724"/>
      <w:bookmarkStart w:id="419" w:name="_Toc105973497"/>
      <w:r w:rsidRPr="004B780F">
        <w:t>I</w:t>
      </w:r>
      <w:r w:rsidR="00DF7141" w:rsidRPr="00495749">
        <w:t>sključivo</w:t>
      </w:r>
      <w:r w:rsidR="00DF7141" w:rsidRPr="00FF55F7">
        <w:t xml:space="preserve"> prav</w:t>
      </w:r>
      <w:r w:rsidRPr="000B0718">
        <w:t>o</w:t>
      </w:r>
      <w:r w:rsidR="00DF7141" w:rsidRPr="000B0718">
        <w:t xml:space="preserve"> služnosti jednom kandidatu u transformatorskim stanicama koje su na državnom zemljištu</w:t>
      </w:r>
      <w:bookmarkEnd w:id="416"/>
      <w:bookmarkEnd w:id="417"/>
      <w:bookmarkEnd w:id="418"/>
      <w:bookmarkEnd w:id="419"/>
      <w:r w:rsidR="00DF7141" w:rsidRPr="000B0718">
        <w:t xml:space="preserve"> </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Određeni broj transformatorskih stanica u </w:t>
      </w:r>
      <w:r w:rsidR="00B90C59" w:rsidRPr="00003942">
        <w:rPr>
          <w:rFonts w:ascii="Times New Roman" w:hAnsi="Times New Roman" w:cs="Times New Roman"/>
          <w:color w:val="auto"/>
          <w:sz w:val="24"/>
          <w:szCs w:val="24"/>
        </w:rPr>
        <w:t xml:space="preserve">Republici </w:t>
      </w:r>
      <w:r w:rsidRPr="00003942">
        <w:rPr>
          <w:rFonts w:ascii="Times New Roman" w:hAnsi="Times New Roman" w:cs="Times New Roman"/>
          <w:color w:val="auto"/>
          <w:sz w:val="24"/>
          <w:szCs w:val="24"/>
        </w:rPr>
        <w:t xml:space="preserve">Hrvatskoj još uvijek se nalazi na državnom zemljištu. Prema postojećim propisima jedan investitor može upisati pravo služnosti i gradnje na tom državnom zemljištu na kojem se nalazi transformatorska stanica. Tim činom jedan kandidat za priključak može dugoročno blokirati sve ostale potencijalne kandidate za priključak, bez obzira na zrelost projekata ili rješenje priključenja koje definira nadležni operator. To predstavlja nepotrebnu i nepremostivu prepreku razvoju ostalih projekata OIE. </w:t>
      </w:r>
    </w:p>
    <w:p w:rsidR="00DF7141" w:rsidRPr="002A5DB6" w:rsidRDefault="00E50D9B" w:rsidP="00FC271C">
      <w:pPr>
        <w:pStyle w:val="Naslov3"/>
        <w:numPr>
          <w:ilvl w:val="0"/>
          <w:numId w:val="0"/>
        </w:numPr>
        <w:ind w:left="1003"/>
      </w:pPr>
      <w:bookmarkStart w:id="420" w:name="_Toc105137899"/>
      <w:bookmarkStart w:id="421" w:name="_Toc105396349"/>
      <w:bookmarkStart w:id="422" w:name="_Toc105756725"/>
      <w:bookmarkStart w:id="423" w:name="_Toc105973498"/>
      <w:r w:rsidRPr="004B780F">
        <w:t>N</w:t>
      </w:r>
      <w:r w:rsidR="00DF7141" w:rsidRPr="00495749">
        <w:t>aknade za priključenje i mrežarine</w:t>
      </w:r>
      <w:bookmarkEnd w:id="420"/>
      <w:bookmarkEnd w:id="421"/>
      <w:bookmarkEnd w:id="422"/>
      <w:bookmarkEnd w:id="423"/>
      <w:r w:rsidR="00DF7141" w:rsidRPr="00495749">
        <w:t xml:space="preserve"> </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Planirani ciljevi integracije OIE podrazumijevaju znatno veća ulaganja u elektroenergetsku mrežu nego ranijih godina. Ta ulaganja mogu se financirati iz tri izvora: 1) mrežarine, 2) naknade za priključenje i 3) EU fondova (prvenstveno realizacijom Nacionalnog plan</w:t>
      </w:r>
      <w:r w:rsidR="00F006F3" w:rsidRPr="00003942">
        <w:rPr>
          <w:rFonts w:ascii="Times New Roman" w:hAnsi="Times New Roman" w:cs="Times New Roman"/>
          <w:color w:val="auto"/>
          <w:sz w:val="24"/>
          <w:szCs w:val="24"/>
        </w:rPr>
        <w:t>a</w:t>
      </w:r>
      <w:r w:rsidRPr="00003942">
        <w:rPr>
          <w:rFonts w:ascii="Times New Roman" w:hAnsi="Times New Roman" w:cs="Times New Roman"/>
          <w:color w:val="auto"/>
          <w:sz w:val="24"/>
          <w:szCs w:val="24"/>
        </w:rPr>
        <w:t xml:space="preserve"> oporavka i otpornosti). Obzirom da je raspoloživost EU fondova ograničena i iznosom i trajanjem, ključni dugoročni izvori financiranja izgradnje mreže su mrežarina i naknada za priključenje. Uz postojeću razinu i strukturu mrežarine i naknade za priključenje nije moguće realizirati ambiciozni plan integracije OIE u Hrvatskoj, ponajprije zbog velike nesigurnosti oko iznosa naknade za priključenje koju moraju podmiriti investitori. Naime, nemoguće je definirati konačni trošak priključenja pojedinog objekta čak ni godinama nakon ulaska u pogon zbog postojećeg principa refundiranja dijela troškova od strane susjednih objekata koji koriste istu infrastrukturu. </w:t>
      </w:r>
    </w:p>
    <w:p w:rsidR="00DF7141" w:rsidRPr="000B0718" w:rsidRDefault="00E50D9B" w:rsidP="00FC271C">
      <w:pPr>
        <w:pStyle w:val="Naslov3"/>
        <w:numPr>
          <w:ilvl w:val="0"/>
          <w:numId w:val="0"/>
        </w:numPr>
        <w:ind w:left="1003"/>
      </w:pPr>
      <w:bookmarkStart w:id="424" w:name="_Toc105137900"/>
      <w:bookmarkStart w:id="425" w:name="_Toc105396350"/>
      <w:bookmarkStart w:id="426" w:name="_Toc105756726"/>
      <w:bookmarkStart w:id="427" w:name="_Toc105973499"/>
      <w:r w:rsidRPr="004B780F">
        <w:t>P</w:t>
      </w:r>
      <w:r w:rsidR="00DF7141" w:rsidRPr="00495749">
        <w:t>rojektni</w:t>
      </w:r>
      <w:r w:rsidR="00DF7141" w:rsidRPr="00FF55F7">
        <w:t xml:space="preserve"> zadatak</w:t>
      </w:r>
      <w:r w:rsidR="00DF7141" w:rsidRPr="000B0718">
        <w:t xml:space="preserve"> i ulazni podata</w:t>
      </w:r>
      <w:r w:rsidRPr="000B0718">
        <w:t>ci</w:t>
      </w:r>
      <w:r w:rsidR="00DF7141" w:rsidRPr="000B0718">
        <w:t xml:space="preserve"> za izradu EMP i EOTRP i prije usvajanja cjelokupnog paketa propisa</w:t>
      </w:r>
      <w:bookmarkEnd w:id="424"/>
      <w:bookmarkEnd w:id="425"/>
      <w:bookmarkEnd w:id="426"/>
      <w:bookmarkEnd w:id="427"/>
      <w:r w:rsidR="00DF7141" w:rsidRPr="000B0718">
        <w:t xml:space="preserve"> </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Nova Pravila o priključenju koja izrađuju nadležni operatori sustava, a odobrava HERA</w:t>
      </w:r>
      <w:r w:rsidR="00B90C59" w:rsidRPr="00003942">
        <w:rPr>
          <w:rFonts w:ascii="Times New Roman" w:hAnsi="Times New Roman" w:cs="Times New Roman"/>
          <w:color w:val="auto"/>
          <w:sz w:val="24"/>
          <w:szCs w:val="24"/>
        </w:rPr>
        <w:t>, uz mišljenje MINGOR-a,</w:t>
      </w:r>
      <w:r w:rsidRPr="00003942">
        <w:rPr>
          <w:rFonts w:ascii="Times New Roman" w:hAnsi="Times New Roman" w:cs="Times New Roman"/>
          <w:color w:val="auto"/>
          <w:sz w:val="24"/>
          <w:szCs w:val="24"/>
        </w:rPr>
        <w:t xml:space="preserve"> trebaju stupiti na snagu u roku od 12 mjeseci od </w:t>
      </w:r>
      <w:r w:rsidRPr="00003942">
        <w:rPr>
          <w:rFonts w:ascii="Times New Roman" w:hAnsi="Times New Roman" w:cs="Times New Roman"/>
          <w:color w:val="auto"/>
          <w:sz w:val="24"/>
          <w:szCs w:val="24"/>
        </w:rPr>
        <w:lastRenderedPageBreak/>
        <w:t>stupanja na snagu novog ZoTEE. Do tog trenutka praktički cijeli postupak priključenja je zaustavljen, obzirom da se postojeća Pravila ne koriste, a novih nema, što izaziva dodatnih godinu dana zastoja u analiziranju mogućnosti priključenja na mrežu.</w:t>
      </w:r>
    </w:p>
    <w:p w:rsidR="00DF7141" w:rsidRPr="000B0718" w:rsidRDefault="00E50D9B" w:rsidP="00FC271C">
      <w:pPr>
        <w:pStyle w:val="Naslov3"/>
        <w:numPr>
          <w:ilvl w:val="0"/>
          <w:numId w:val="0"/>
        </w:numPr>
        <w:ind w:left="1003"/>
      </w:pPr>
      <w:bookmarkStart w:id="428" w:name="_Toc105137901"/>
      <w:bookmarkStart w:id="429" w:name="_Toc105396351"/>
      <w:bookmarkStart w:id="430" w:name="_Toc105756727"/>
      <w:bookmarkStart w:id="431" w:name="_Toc105973500"/>
      <w:r w:rsidRPr="004B780F">
        <w:t>S</w:t>
      </w:r>
      <w:r w:rsidR="00DF7141" w:rsidRPr="00495749">
        <w:t>tupnjevano</w:t>
      </w:r>
      <w:r w:rsidR="00DF7141" w:rsidRPr="00FF55F7">
        <w:t xml:space="preserve"> avansno</w:t>
      </w:r>
      <w:r w:rsidR="00DF7141" w:rsidRPr="000B0718">
        <w:t xml:space="preserve"> plaćanj</w:t>
      </w:r>
      <w:r w:rsidRPr="000B0718">
        <w:t>e</w:t>
      </w:r>
      <w:r w:rsidR="00DF7141" w:rsidRPr="000B0718">
        <w:t xml:space="preserve"> priključenja</w:t>
      </w:r>
      <w:bookmarkEnd w:id="428"/>
      <w:bookmarkEnd w:id="429"/>
      <w:bookmarkEnd w:id="430"/>
      <w:bookmarkEnd w:id="431"/>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Uvođenje</w:t>
      </w:r>
      <w:r w:rsidR="00B90C59" w:rsidRPr="00003942">
        <w:rPr>
          <w:rFonts w:ascii="Times New Roman" w:hAnsi="Times New Roman" w:cs="Times New Roman"/>
          <w:color w:val="auto"/>
          <w:sz w:val="24"/>
          <w:szCs w:val="24"/>
        </w:rPr>
        <w:t>m</w:t>
      </w:r>
      <w:r w:rsidRPr="00003942">
        <w:rPr>
          <w:rFonts w:ascii="Times New Roman" w:hAnsi="Times New Roman" w:cs="Times New Roman"/>
          <w:color w:val="auto"/>
          <w:sz w:val="24"/>
          <w:szCs w:val="24"/>
        </w:rPr>
        <w:t xml:space="preserve"> </w:t>
      </w:r>
      <w:r w:rsidR="00B90C59" w:rsidRPr="00003942">
        <w:rPr>
          <w:rFonts w:ascii="Times New Roman" w:hAnsi="Times New Roman" w:cs="Times New Roman"/>
          <w:color w:val="auto"/>
          <w:sz w:val="24"/>
          <w:szCs w:val="24"/>
        </w:rPr>
        <w:t xml:space="preserve">plaćanja </w:t>
      </w:r>
      <w:r w:rsidRPr="00003942">
        <w:rPr>
          <w:rFonts w:ascii="Times New Roman" w:hAnsi="Times New Roman" w:cs="Times New Roman"/>
          <w:color w:val="auto"/>
          <w:sz w:val="24"/>
          <w:szCs w:val="24"/>
        </w:rPr>
        <w:t>energetskog odobrenja razvoj projekata OIE podrazumijeva značajan početni trošak za investitore. U narednoj fazi razvoja projekta pojavljuje se dodatni značajni trošak koji se odnosi na priključenje na mrežu. Propisi koji reguliraju to područje su trenutno u izradi i u cilju izbjegavanja nepodnošljivog financijskog opterećenja na razvoj projekata u relativno ranoj fazi</w:t>
      </w:r>
      <w:r w:rsidR="00B90C59" w:rsidRPr="00003942">
        <w:rPr>
          <w:rFonts w:ascii="Times New Roman" w:hAnsi="Times New Roman" w:cs="Times New Roman"/>
          <w:color w:val="auto"/>
          <w:sz w:val="24"/>
          <w:szCs w:val="24"/>
        </w:rPr>
        <w:t>,</w:t>
      </w:r>
      <w:r w:rsidRPr="00003942">
        <w:rPr>
          <w:rFonts w:ascii="Times New Roman" w:hAnsi="Times New Roman" w:cs="Times New Roman"/>
          <w:color w:val="auto"/>
          <w:sz w:val="24"/>
          <w:szCs w:val="24"/>
        </w:rPr>
        <w:t xml:space="preserve"> nužno je uvesti transparentno, stupnjevano avansno plaćanje priključenja od strane korisnika mreže. Time se istovremeno izbjegavaju špekulacije s priključkom i olakšava razvoj zrelim projektima. </w:t>
      </w:r>
    </w:p>
    <w:p w:rsidR="00DF7141" w:rsidRPr="004B780F" w:rsidRDefault="00DF7141" w:rsidP="00FC271C">
      <w:pPr>
        <w:pStyle w:val="Naslov3"/>
        <w:numPr>
          <w:ilvl w:val="0"/>
          <w:numId w:val="0"/>
        </w:numPr>
        <w:ind w:left="1003"/>
      </w:pPr>
      <w:bookmarkStart w:id="432" w:name="_Toc105137902"/>
      <w:bookmarkStart w:id="433" w:name="_Toc105396352"/>
      <w:bookmarkStart w:id="434" w:name="_Toc105756728"/>
      <w:bookmarkStart w:id="435" w:name="_Toc105973501"/>
      <w:r w:rsidRPr="004B780F">
        <w:t>Potreba redefiniranja scenarija analiza mreže</w:t>
      </w:r>
      <w:bookmarkEnd w:id="432"/>
      <w:bookmarkEnd w:id="433"/>
      <w:bookmarkEnd w:id="434"/>
      <w:bookmarkEnd w:id="435"/>
      <w:r w:rsidRPr="004B780F">
        <w:t xml:space="preserve"> </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Postojeći način izračuna mogućnosti priključenja na mrežu podrazumijeva analizu najnepovoljnije kombinacije ulaznih podataka, uključujući scenarije angažmana elektrana (istodobnost proizvodnje HE, VE i SE), opterećenja čvorišta i razmjena sa susjednim sustavima. Dosadašnji scenariji analize bili su definirani na način da su HE bile angažirane s 90% instalirane snage, VE s 90%, a SE sa 75% instalirane snage. Ulaskom velikog broja objekata u pogon ova istodobnost predstavlja izrazito rijedak događaj koji značajno ograničava mogućnost priključenja novih objekata. Stoga se predlaže redefiniranje istodobnosti proizvodnje HE, VE i SE pri analizama mogućnosti priključenja. </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Također, od iznimne je važnosti redefinirati način provođenja analiza mreže obzirom na veliki broj kandidata za priključak. Ukoliko se zadrži postojeća praksa prema kojoj se svi kandidati sa zahtjevom za priključak uzimaju u obzir kod analize priključka, bez obzira u kojoj fazi razvoja je pojedini projekt, onda je jasno da će ponovno nastati usko grlo kod definiranja načina priključenja.  </w:t>
      </w:r>
    </w:p>
    <w:p w:rsidR="00DF7141" w:rsidRPr="000B0718" w:rsidRDefault="00E50D9B" w:rsidP="00FC271C">
      <w:pPr>
        <w:pStyle w:val="Naslov3"/>
        <w:numPr>
          <w:ilvl w:val="0"/>
          <w:numId w:val="0"/>
        </w:numPr>
        <w:ind w:left="1003"/>
      </w:pPr>
      <w:bookmarkStart w:id="436" w:name="_Toc105137903"/>
      <w:bookmarkStart w:id="437" w:name="_Toc105396353"/>
      <w:bookmarkStart w:id="438" w:name="_Toc105756729"/>
      <w:bookmarkStart w:id="439" w:name="_Toc105973502"/>
      <w:r w:rsidRPr="004B780F">
        <w:t>U</w:t>
      </w:r>
      <w:r w:rsidR="00DF7141" w:rsidRPr="00495749">
        <w:t>sporedb</w:t>
      </w:r>
      <w:r w:rsidRPr="002A5DB6">
        <w:t>a</w:t>
      </w:r>
      <w:r w:rsidR="00DF7141" w:rsidRPr="000B0718">
        <w:t xml:space="preserve"> opće društvene koristi izgradnje mreže (zadovoljenja kriterija N-1) i korištenja redispečinga</w:t>
      </w:r>
      <w:bookmarkEnd w:id="436"/>
      <w:bookmarkEnd w:id="437"/>
      <w:bookmarkEnd w:id="438"/>
      <w:bookmarkEnd w:id="439"/>
      <w:r w:rsidR="00DF7141" w:rsidRPr="000B0718">
        <w:t xml:space="preserve"> </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Postupak izgradnje mreže je izrazito dugotrajan. Ukoliko se bude čekala izgradnja mreže dostatna da zadovolji kriterij n-1, neće biti moguće priključiti ciljane količine (snage) OIE. Stoga je nužno primijeniti neko prijelazno rješenje kojim bi se omogućio razvoj projekata OIE i u razdoblju u kojem se čeka izgradnja potrebne mrežne infrastrukture.</w:t>
      </w:r>
    </w:p>
    <w:p w:rsidR="00DF7141" w:rsidRPr="002A5DB6" w:rsidRDefault="00E50D9B" w:rsidP="00FC271C">
      <w:pPr>
        <w:pStyle w:val="Naslov3"/>
        <w:numPr>
          <w:ilvl w:val="0"/>
          <w:numId w:val="0"/>
        </w:numPr>
        <w:ind w:left="1003"/>
      </w:pPr>
      <w:bookmarkStart w:id="440" w:name="_Toc105137904"/>
      <w:bookmarkStart w:id="441" w:name="_Toc105396354"/>
      <w:bookmarkStart w:id="442" w:name="_Toc105756730"/>
      <w:bookmarkStart w:id="443" w:name="_Toc105973503"/>
      <w:r w:rsidRPr="004B780F">
        <w:t>P</w:t>
      </w:r>
      <w:r w:rsidR="00DF7141" w:rsidRPr="00495749">
        <w:t>odjela troškova kod priključka na susretne objekte ODS/HOPS</w:t>
      </w:r>
      <w:bookmarkEnd w:id="440"/>
      <w:bookmarkEnd w:id="441"/>
      <w:bookmarkEnd w:id="442"/>
      <w:bookmarkEnd w:id="443"/>
      <w:r w:rsidR="00DF7141" w:rsidRPr="00495749">
        <w:t xml:space="preserve">  </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Dio priključaka OIE obavlja se u susretnim objektima HOPS-a i HEP ODS-a, dakle u objektima koji imaju podijeljeno vlasništvo između dvaju operatora. Pri tom je HOPS vlasnik transformacija 110/35 kV, a HEP ODS je vlasnik transformacija 110/20(10) kV. Ukoliko je u postupku priključenja na srednjenaponsku mrežu korisnika mreže potrebno pojačanje transformacije, onda postojećom metodologijom HOPS iz naknade za priključenje najčešće ne pokrije cjelokupni (nego proporcionalni) trošak dogradnje svog dijela mreže, dok HEP ODS u potpunosti namiri sve troškove pojačanja. Ova neravnoteža u raspodjeli naknade za priključak na susretnim </w:t>
      </w:r>
      <w:r w:rsidRPr="00003942">
        <w:rPr>
          <w:rFonts w:ascii="Times New Roman" w:hAnsi="Times New Roman" w:cs="Times New Roman"/>
          <w:color w:val="auto"/>
          <w:sz w:val="24"/>
          <w:szCs w:val="24"/>
        </w:rPr>
        <w:lastRenderedPageBreak/>
        <w:t>objektima onemogućava HOPS-u potpunu realizaciju planova razvoja, odnosno planiranu izgradnju ostatka prijenosne mreže.</w:t>
      </w:r>
    </w:p>
    <w:p w:rsidR="00DF7141" w:rsidRPr="000B0718" w:rsidRDefault="00273075" w:rsidP="00FC271C">
      <w:pPr>
        <w:pStyle w:val="Naslov3"/>
        <w:numPr>
          <w:ilvl w:val="0"/>
          <w:numId w:val="0"/>
        </w:numPr>
        <w:ind w:left="1003"/>
      </w:pPr>
      <w:bookmarkStart w:id="444" w:name="_Toc105137905"/>
      <w:bookmarkStart w:id="445" w:name="_Toc105396355"/>
      <w:bookmarkStart w:id="446" w:name="_Toc105756731"/>
      <w:bookmarkStart w:id="447" w:name="_Toc105973504"/>
      <w:r w:rsidRPr="004B780F">
        <w:t>A</w:t>
      </w:r>
      <w:r w:rsidR="00DF7141" w:rsidRPr="00495749">
        <w:t>utomatsk</w:t>
      </w:r>
      <w:r w:rsidRPr="002A5DB6">
        <w:t>a</w:t>
      </w:r>
      <w:r w:rsidR="00DF7141" w:rsidRPr="000B0718">
        <w:t xml:space="preserve"> dodjel</w:t>
      </w:r>
      <w:r w:rsidRPr="000B0718">
        <w:t>a</w:t>
      </w:r>
      <w:r w:rsidR="00DF7141" w:rsidRPr="000B0718">
        <w:t xml:space="preserve"> suglasnosti za priključak za jednofazni priključak male snage</w:t>
      </w:r>
      <w:bookmarkEnd w:id="444"/>
      <w:bookmarkEnd w:id="445"/>
      <w:bookmarkEnd w:id="446"/>
      <w:bookmarkEnd w:id="447"/>
      <w:r w:rsidR="00DF7141" w:rsidRPr="000B0718">
        <w:t xml:space="preserve"> </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Značajne aktivnosti zelene tranzicije očekuju se kod malih integriranih projekata OIE, kod kućanstava i poduzetnika s vlastitom proizvodnjom. Kod jednofaznog priključka manjih snaga moguće je dodatno ubrzati postupak priključenja. Naime, trenutno je i za kupca s vlastitom proizvodnjom do instalirane snage 3,8 kW za jednofazni priključak, odnosno do polovine instalirane priključne snage kupca za trofazne priključke potrebno podnijeti zahtjev za priključak i ishoditi suglasnost HEP ODS-a, što dodatno proceduralno opterećuje operatora distribucijskog sustava i usporava masivniji razvoj manjih projekata, posebice integriranih fotonaponskih sustava. </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ZoOIEVK je definirao postupak tzv. jednostavne obavijesti za priključak na mrežu za priključne snage do 10,8 kW, odnosno od 10,8 - 50 kW pod uvjetom da zadrži stabilnost, pouzdanost i sigurnost sustava. Međutim, iako ovaj postupak treba trajati 30 dana, u praksi se ne primjenjuje, odnosno postupak traje jako dugo, što nepotrebno produljuje realizaciju projekata.</w:t>
      </w:r>
    </w:p>
    <w:p w:rsidR="00DF7141" w:rsidRPr="00003942" w:rsidRDefault="00DF7141" w:rsidP="002D7C87">
      <w:pPr>
        <w:jc w:val="both"/>
        <w:rPr>
          <w:rFonts w:ascii="Times New Roman" w:hAnsi="Times New Roman" w:cs="Times New Roman"/>
          <w:sz w:val="24"/>
          <w:szCs w:val="24"/>
        </w:rPr>
      </w:pPr>
      <w:r w:rsidRPr="00003942">
        <w:rPr>
          <w:rFonts w:ascii="Times New Roman" w:hAnsi="Times New Roman" w:cs="Times New Roman"/>
          <w:sz w:val="24"/>
          <w:szCs w:val="24"/>
        </w:rPr>
        <w:t>Dodatno, sadašnja jednostavna procedura ODS-a odnosi se samo na kućanstva s vlastitom proizvodnjom, ali bi po ZOIEVUK to trebalo proširiti na sve korisnike snage do 50 kW, a ne samo na kućanstva. Postojeći postupak prikazan je sljedećom slikom:</w:t>
      </w:r>
    </w:p>
    <w:p w:rsidR="00DF7141" w:rsidRPr="00003942" w:rsidRDefault="00DF7141" w:rsidP="002D7C87">
      <w:pPr>
        <w:pStyle w:val="Opisslike"/>
        <w:rPr>
          <w:rFonts w:ascii="Times New Roman" w:hAnsi="Times New Roman" w:cs="Times New Roman"/>
          <w:color w:val="auto"/>
          <w:sz w:val="24"/>
          <w:szCs w:val="24"/>
        </w:rPr>
      </w:pPr>
      <w:r w:rsidRPr="00003942">
        <w:rPr>
          <w:rFonts w:ascii="Times New Roman" w:hAnsi="Times New Roman" w:cs="Times New Roman"/>
          <w:noProof/>
          <w:color w:val="auto"/>
          <w:sz w:val="24"/>
          <w:szCs w:val="24"/>
          <w:lang w:eastAsia="hr-HR"/>
        </w:rPr>
        <w:drawing>
          <wp:anchor distT="0" distB="0" distL="114300" distR="114300" simplePos="0" relativeHeight="251659264" behindDoc="0" locked="0" layoutInCell="1" allowOverlap="1" wp14:anchorId="5D3F1EC8" wp14:editId="598CD245">
            <wp:simplePos x="0" y="0"/>
            <wp:positionH relativeFrom="column">
              <wp:posOffset>1233170</wp:posOffset>
            </wp:positionH>
            <wp:positionV relativeFrom="paragraph">
              <wp:posOffset>22860</wp:posOffset>
            </wp:positionV>
            <wp:extent cx="3232150" cy="1583055"/>
            <wp:effectExtent l="0" t="0" r="6350" b="0"/>
            <wp:wrapSquare wrapText="bothSides"/>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pic:cNvPicPr>
                      <a:picLocks noChangeAspect="1" noChangeArrowheads="1"/>
                    </pic:cNvPicPr>
                  </pic:nvPicPr>
                  <pic:blipFill rotWithShape="1">
                    <a:blip r:embed="rId17">
                      <a:extLst>
                        <a:ext uri="{28A0092B-C50C-407E-A947-70E740481C1C}">
                          <a14:useLocalDpi xmlns:a14="http://schemas.microsoft.com/office/drawing/2010/main" val="0"/>
                        </a:ext>
                      </a:extLst>
                    </a:blip>
                    <a:srcRect b="14111"/>
                    <a:stretch/>
                  </pic:blipFill>
                  <pic:spPr bwMode="auto">
                    <a:xfrm>
                      <a:off x="0" y="0"/>
                      <a:ext cx="3232150" cy="1583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03942">
        <w:rPr>
          <w:rFonts w:ascii="Times New Roman" w:hAnsi="Times New Roman" w:cs="Times New Roman"/>
          <w:color w:val="auto"/>
          <w:sz w:val="24"/>
          <w:szCs w:val="24"/>
        </w:rPr>
        <w:br w:type="textWrapping" w:clear="all"/>
        <w:t>Slik</w:t>
      </w:r>
      <w:r w:rsidR="00C439A8">
        <w:rPr>
          <w:rFonts w:ascii="Times New Roman" w:hAnsi="Times New Roman" w:cs="Times New Roman"/>
          <w:color w:val="auto"/>
          <w:sz w:val="24"/>
          <w:szCs w:val="24"/>
        </w:rPr>
        <w:t xml:space="preserve">a </w:t>
      </w:r>
      <w:r w:rsidRPr="00003942">
        <w:rPr>
          <w:rFonts w:ascii="Times New Roman" w:hAnsi="Times New Roman" w:cs="Times New Roman"/>
          <w:color w:val="auto"/>
          <w:sz w:val="24"/>
          <w:szCs w:val="24"/>
        </w:rPr>
        <w:fldChar w:fldCharType="begin"/>
      </w:r>
      <w:r w:rsidRPr="00003942">
        <w:rPr>
          <w:rFonts w:ascii="Times New Roman" w:hAnsi="Times New Roman" w:cs="Times New Roman"/>
          <w:color w:val="auto"/>
          <w:sz w:val="24"/>
          <w:szCs w:val="24"/>
        </w:rPr>
        <w:instrText xml:space="preserve"> SEQ Slika \* ARABIC \s 1 </w:instrText>
      </w:r>
      <w:r w:rsidRPr="00003942">
        <w:rPr>
          <w:rFonts w:ascii="Times New Roman" w:hAnsi="Times New Roman" w:cs="Times New Roman"/>
          <w:color w:val="auto"/>
          <w:sz w:val="24"/>
          <w:szCs w:val="24"/>
        </w:rPr>
        <w:fldChar w:fldCharType="separate"/>
      </w:r>
      <w:r w:rsidR="009C3921">
        <w:rPr>
          <w:rFonts w:ascii="Times New Roman" w:hAnsi="Times New Roman" w:cs="Times New Roman"/>
          <w:noProof/>
          <w:color w:val="auto"/>
          <w:sz w:val="24"/>
          <w:szCs w:val="24"/>
        </w:rPr>
        <w:t>5</w:t>
      </w:r>
      <w:r w:rsidRPr="00003942">
        <w:rPr>
          <w:rFonts w:ascii="Times New Roman" w:hAnsi="Times New Roman" w:cs="Times New Roman"/>
          <w:noProof/>
          <w:color w:val="auto"/>
          <w:sz w:val="24"/>
          <w:szCs w:val="24"/>
        </w:rPr>
        <w:fldChar w:fldCharType="end"/>
      </w:r>
      <w:r w:rsidR="00C439A8">
        <w:rPr>
          <w:rFonts w:ascii="Times New Roman" w:hAnsi="Times New Roman" w:cs="Times New Roman"/>
          <w:noProof/>
          <w:color w:val="auto"/>
          <w:sz w:val="24"/>
          <w:szCs w:val="24"/>
        </w:rPr>
        <w:t>.</w:t>
      </w:r>
      <w:r w:rsidRPr="00003942">
        <w:rPr>
          <w:rFonts w:ascii="Times New Roman" w:hAnsi="Times New Roman" w:cs="Times New Roman"/>
          <w:color w:val="auto"/>
          <w:sz w:val="24"/>
          <w:szCs w:val="24"/>
        </w:rPr>
        <w:t xml:space="preserve"> Procedura priključenja kućanstva s vlastitom proizvodnjom</w:t>
      </w:r>
    </w:p>
    <w:p w:rsidR="00DF7141" w:rsidRPr="003E2DBC" w:rsidRDefault="00DF7141" w:rsidP="002D7C87">
      <w:pPr>
        <w:jc w:val="both"/>
        <w:rPr>
          <w:rFonts w:ascii="Times New Roman" w:hAnsi="Times New Roman" w:cs="Times New Roman"/>
          <w:sz w:val="24"/>
          <w:szCs w:val="24"/>
        </w:rPr>
      </w:pPr>
      <w:r w:rsidRPr="00F63D65">
        <w:rPr>
          <w:rFonts w:ascii="Times New Roman" w:hAnsi="Times New Roman" w:cs="Times New Roman"/>
          <w:sz w:val="24"/>
          <w:szCs w:val="24"/>
        </w:rPr>
        <w:t>Kod priključenja ovih malih elektrana ODS mora ugraditi dvosmjerno brojilo i</w:t>
      </w:r>
      <w:r w:rsidRPr="003E2DBC">
        <w:rPr>
          <w:rFonts w:ascii="Times New Roman" w:hAnsi="Times New Roman" w:cs="Times New Roman"/>
          <w:sz w:val="24"/>
          <w:szCs w:val="24"/>
        </w:rPr>
        <w:t xml:space="preserve"> izdati novi ugovor o korištenju mreže (zahtjev za utvrđivanje mogućnosti priključenja se smatra i zahtjevom za ugovor o korištenju mreže). Ako ODS zaključi da nema mogućnosti priključenja na postojećoj mreži, investitor ide u postupak izrade EOTRP-a jer treba definirati potrebnu dogradnju mreže (STUM). Uz zahtjev za promjenu statusa korisnika mreže, korisnik šalje potpisani Ugovor o korištenju mreže. </w:t>
      </w:r>
    </w:p>
    <w:p w:rsidR="00DF7141" w:rsidRPr="003E2DBC" w:rsidRDefault="00DF7141" w:rsidP="002D7C87">
      <w:pPr>
        <w:jc w:val="both"/>
        <w:rPr>
          <w:rFonts w:ascii="Times New Roman" w:hAnsi="Times New Roman" w:cs="Times New Roman"/>
          <w:sz w:val="24"/>
          <w:szCs w:val="24"/>
        </w:rPr>
      </w:pPr>
      <w:r w:rsidRPr="003E2DBC">
        <w:rPr>
          <w:rFonts w:ascii="Times New Roman" w:hAnsi="Times New Roman" w:cs="Times New Roman"/>
          <w:sz w:val="24"/>
          <w:szCs w:val="24"/>
        </w:rPr>
        <w:t>Sada se u realizaciju priključka kreće po uplati investitora, a po proceduri iz ZOIEVUK elektrana se mora priključiti u slučaju pozitivnog rješenja. Obzirom da se radi o nestandardnoj usluzi s definiranom cijenom, umjesto čekanja uplate, ODS bi mogao umjesto ponude jednostavno po izvedenim radovima izdati račun (radi se o relativno malim iznosima za ODS od par tisuća kuna), te po uplati i dostavi Ugovora o korištenju mreže izdati potvrdu za trajni pogon. Ova procedura je definirana Pravilima o priključenju ODS-a i Uredbom o izdavanju EES koju donosi Ministarstvo.</w:t>
      </w:r>
    </w:p>
    <w:p w:rsidR="00DF7141" w:rsidRPr="00222A78" w:rsidRDefault="005B7182" w:rsidP="00C90729">
      <w:pPr>
        <w:pStyle w:val="Naslov2"/>
      </w:pPr>
      <w:bookmarkStart w:id="448" w:name="_Toc105137906"/>
      <w:bookmarkStart w:id="449" w:name="_Toc105396356"/>
      <w:bookmarkStart w:id="450" w:name="_Toc105756732"/>
      <w:bookmarkStart w:id="451" w:name="_Toc105973505"/>
      <w:r w:rsidRPr="00222A78">
        <w:lastRenderedPageBreak/>
        <w:t>POTROŠNJA ENERGIJE IZ OBNOVLJIVIH IZVORA IZ VLASTITE PROIZVODNJE</w:t>
      </w:r>
      <w:bookmarkEnd w:id="448"/>
      <w:bookmarkEnd w:id="449"/>
      <w:bookmarkEnd w:id="450"/>
      <w:bookmarkEnd w:id="451"/>
    </w:p>
    <w:p w:rsidR="00DF7141" w:rsidRPr="00F63D65"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Zakon o obnovljivim izvorima energije i visokoučinkovitoj kogeneraciji uređuje pitanje proizvodnje električne energije iz obnovljivih izvora za vlastite potrebe. Zakon u tom smislu prepoznaje tri različita pravna subjekta za koje uređuje prava i obveze te načine obračuna predanih viškova električne energije u mrežu. Ti subjekti su krajnji kupac s vlastitom proizvodnjom, korisnika postrojenja za samoopskrbu i zajedni</w:t>
      </w:r>
      <w:r w:rsidRPr="00F63D65">
        <w:rPr>
          <w:rFonts w:ascii="Times New Roman" w:hAnsi="Times New Roman" w:cs="Times New Roman"/>
          <w:color w:val="auto"/>
          <w:sz w:val="24"/>
          <w:szCs w:val="24"/>
        </w:rPr>
        <w:t xml:space="preserve">ca obnovljive energije. </w:t>
      </w:r>
    </w:p>
    <w:p w:rsidR="00DF7141" w:rsidRPr="008609F9" w:rsidRDefault="00273075" w:rsidP="00FC271C">
      <w:pPr>
        <w:pStyle w:val="Naslov3"/>
        <w:numPr>
          <w:ilvl w:val="0"/>
          <w:numId w:val="0"/>
        </w:numPr>
        <w:ind w:left="1003"/>
      </w:pPr>
      <w:bookmarkStart w:id="452" w:name="_Toc105137907"/>
      <w:bookmarkStart w:id="453" w:name="_Toc105396357"/>
      <w:bookmarkStart w:id="454" w:name="_Toc105756733"/>
      <w:bookmarkStart w:id="455" w:name="_Toc105973506"/>
      <w:r w:rsidRPr="003E2DBC">
        <w:t xml:space="preserve">Uvjeti </w:t>
      </w:r>
      <w:r w:rsidR="00DF7141" w:rsidRPr="003E2DBC">
        <w:t>preda</w:t>
      </w:r>
      <w:r w:rsidRPr="003E2DBC">
        <w:t>je</w:t>
      </w:r>
      <w:r w:rsidR="00DF7141" w:rsidRPr="003E2DBC">
        <w:t xml:space="preserve"> električne energije u </w:t>
      </w:r>
      <w:r w:rsidR="00DF7141" w:rsidRPr="008609F9">
        <w:t>mrežu na godišnjoj razini</w:t>
      </w:r>
      <w:bookmarkEnd w:id="452"/>
      <w:bookmarkEnd w:id="453"/>
      <w:bookmarkEnd w:id="454"/>
      <w:bookmarkEnd w:id="455"/>
    </w:p>
    <w:p w:rsidR="00DF7141" w:rsidRPr="0024150C" w:rsidRDefault="00DF7141" w:rsidP="002D7C87">
      <w:pPr>
        <w:pStyle w:val="Tijeloteksta"/>
        <w:rPr>
          <w:rFonts w:ascii="Times New Roman" w:hAnsi="Times New Roman" w:cs="Times New Roman"/>
          <w:color w:val="auto"/>
          <w:sz w:val="24"/>
          <w:szCs w:val="24"/>
        </w:rPr>
      </w:pPr>
      <w:r w:rsidRPr="008609F9">
        <w:rPr>
          <w:rFonts w:ascii="Times New Roman" w:hAnsi="Times New Roman" w:cs="Times New Roman"/>
          <w:color w:val="auto"/>
          <w:sz w:val="24"/>
          <w:szCs w:val="24"/>
        </w:rPr>
        <w:t>Za korisnika postrojenja za samoopskrbu i zajednicu obnovljive energije Z</w:t>
      </w:r>
      <w:r w:rsidR="00B90C59" w:rsidRPr="00387E05">
        <w:rPr>
          <w:rFonts w:ascii="Times New Roman" w:hAnsi="Times New Roman" w:cs="Times New Roman"/>
          <w:color w:val="auto"/>
          <w:sz w:val="24"/>
          <w:szCs w:val="24"/>
        </w:rPr>
        <w:t>OIEVUK</w:t>
      </w:r>
      <w:r w:rsidR="00F006F3" w:rsidRPr="00387E05">
        <w:rPr>
          <w:rFonts w:ascii="Times New Roman" w:hAnsi="Times New Roman" w:cs="Times New Roman"/>
          <w:color w:val="auto"/>
          <w:sz w:val="24"/>
          <w:szCs w:val="24"/>
        </w:rPr>
        <w:t xml:space="preserve"> </w:t>
      </w:r>
      <w:r w:rsidRPr="0024150C">
        <w:rPr>
          <w:rFonts w:ascii="Times New Roman" w:hAnsi="Times New Roman" w:cs="Times New Roman"/>
          <w:color w:val="auto"/>
          <w:sz w:val="24"/>
          <w:szCs w:val="24"/>
        </w:rPr>
        <w:t>definira mjesečni obračun za preuzetu i predanu električnu energiju uz uvjet da na kraju obračunske godine količina predane električne energije bude manja od količine preuzete električne energije. Opskrbljivač električne energije dužan je provjeriti da li je korisnik postrojenja za samoopskrbu u prethodnoj kalendarskoj godini u mrežu isporučio više električne energije nego što je preuzeo iz mreže, te u slučaju prekoračenja navedenog uvjeta isti se smatra krajnjim kupcem s vlastitom proizvodnjom u tekućoj kalendarskoj godina.</w:t>
      </w:r>
    </w:p>
    <w:p w:rsidR="00DF7141" w:rsidRPr="00003942" w:rsidRDefault="00DF7141" w:rsidP="002D7C87">
      <w:pPr>
        <w:pStyle w:val="Tijeloteksta"/>
        <w:rPr>
          <w:rFonts w:ascii="Times New Roman" w:hAnsi="Times New Roman" w:cs="Times New Roman"/>
          <w:color w:val="auto"/>
          <w:sz w:val="24"/>
          <w:szCs w:val="24"/>
        </w:rPr>
      </w:pPr>
      <w:r w:rsidRPr="007C507C">
        <w:rPr>
          <w:rFonts w:ascii="Times New Roman" w:hAnsi="Times New Roman" w:cs="Times New Roman"/>
          <w:color w:val="auto"/>
          <w:sz w:val="24"/>
          <w:szCs w:val="24"/>
        </w:rPr>
        <w:t>Navedeno prebacivanje iz statusa korisnika postrojenja za samoopskrbu i zajednice obnovljive energije u status kupca s vlastitom proizvodnjom krajnjeg korisnika stavlja u nepovolj</w:t>
      </w:r>
      <w:r w:rsidR="00273075" w:rsidRPr="007C507C">
        <w:rPr>
          <w:rFonts w:ascii="Times New Roman" w:hAnsi="Times New Roman" w:cs="Times New Roman"/>
          <w:color w:val="auto"/>
          <w:sz w:val="24"/>
          <w:szCs w:val="24"/>
        </w:rPr>
        <w:t>niji</w:t>
      </w:r>
      <w:r w:rsidRPr="00331C56">
        <w:rPr>
          <w:rFonts w:ascii="Times New Roman" w:hAnsi="Times New Roman" w:cs="Times New Roman"/>
          <w:color w:val="auto"/>
          <w:sz w:val="24"/>
          <w:szCs w:val="24"/>
        </w:rPr>
        <w:t xml:space="preserve"> položaj po pitanju isplativosti ulaganja u OIE za vlastite potrebe zbog </w:t>
      </w:r>
      <w:r w:rsidR="00273075" w:rsidRPr="00331C56">
        <w:rPr>
          <w:rFonts w:ascii="Times New Roman" w:hAnsi="Times New Roman" w:cs="Times New Roman"/>
          <w:color w:val="auto"/>
          <w:sz w:val="24"/>
          <w:szCs w:val="24"/>
        </w:rPr>
        <w:t xml:space="preserve">mjesečnog </w:t>
      </w:r>
      <w:r w:rsidRPr="00331C56">
        <w:rPr>
          <w:rFonts w:ascii="Times New Roman" w:hAnsi="Times New Roman" w:cs="Times New Roman"/>
          <w:color w:val="auto"/>
          <w:sz w:val="24"/>
          <w:szCs w:val="24"/>
        </w:rPr>
        <w:t xml:space="preserve">obračuna predane električne energije. </w:t>
      </w:r>
      <w:r w:rsidR="00273075" w:rsidRPr="00222A78">
        <w:rPr>
          <w:rFonts w:ascii="Times New Roman" w:hAnsi="Times New Roman" w:cs="Times New Roman"/>
          <w:color w:val="auto"/>
          <w:sz w:val="24"/>
          <w:szCs w:val="24"/>
        </w:rPr>
        <w:t>P</w:t>
      </w:r>
      <w:r w:rsidRPr="00222A78">
        <w:rPr>
          <w:rFonts w:ascii="Times New Roman" w:hAnsi="Times New Roman" w:cs="Times New Roman"/>
          <w:color w:val="auto"/>
          <w:sz w:val="24"/>
          <w:szCs w:val="24"/>
        </w:rPr>
        <w:t xml:space="preserve">romjena statusa u status kupca s vlastitom proizvodnjom </w:t>
      </w:r>
      <w:r w:rsidR="00273075" w:rsidRPr="00222A78">
        <w:rPr>
          <w:rFonts w:ascii="Times New Roman" w:hAnsi="Times New Roman" w:cs="Times New Roman"/>
          <w:color w:val="auto"/>
          <w:sz w:val="24"/>
          <w:szCs w:val="24"/>
        </w:rPr>
        <w:t>uvjetovana je poreznim zakonima koji je dominantno proizvođač, te se</w:t>
      </w:r>
      <w:r w:rsidRPr="00192851">
        <w:rPr>
          <w:rFonts w:ascii="Times New Roman" w:hAnsi="Times New Roman" w:cs="Times New Roman"/>
          <w:color w:val="auto"/>
          <w:sz w:val="24"/>
          <w:szCs w:val="24"/>
        </w:rPr>
        <w:t xml:space="preserve"> od </w:t>
      </w:r>
      <w:r w:rsidR="00B90C59" w:rsidRPr="00003942">
        <w:rPr>
          <w:rFonts w:ascii="Times New Roman" w:hAnsi="Times New Roman" w:cs="Times New Roman"/>
          <w:color w:val="auto"/>
          <w:sz w:val="24"/>
          <w:szCs w:val="24"/>
        </w:rPr>
        <w:t>k</w:t>
      </w:r>
      <w:r w:rsidRPr="00003942">
        <w:rPr>
          <w:rFonts w:ascii="Times New Roman" w:hAnsi="Times New Roman" w:cs="Times New Roman"/>
          <w:color w:val="auto"/>
          <w:sz w:val="24"/>
          <w:szCs w:val="24"/>
        </w:rPr>
        <w:t xml:space="preserve">orisnika </w:t>
      </w:r>
      <w:r w:rsidR="00273075" w:rsidRPr="00003942">
        <w:rPr>
          <w:rFonts w:ascii="Times New Roman" w:hAnsi="Times New Roman" w:cs="Times New Roman"/>
          <w:color w:val="auto"/>
          <w:sz w:val="24"/>
          <w:szCs w:val="24"/>
        </w:rPr>
        <w:t xml:space="preserve">traži </w:t>
      </w:r>
      <w:r w:rsidRPr="00003942">
        <w:rPr>
          <w:rFonts w:ascii="Times New Roman" w:hAnsi="Times New Roman" w:cs="Times New Roman"/>
          <w:color w:val="auto"/>
          <w:sz w:val="24"/>
          <w:szCs w:val="24"/>
        </w:rPr>
        <w:t>da se do</w:t>
      </w:r>
      <w:r w:rsidR="00867A2F" w:rsidRPr="00003942">
        <w:rPr>
          <w:rFonts w:ascii="Times New Roman" w:hAnsi="Times New Roman" w:cs="Times New Roman"/>
          <w:color w:val="auto"/>
          <w:sz w:val="24"/>
          <w:szCs w:val="24"/>
        </w:rPr>
        <w:t>datno</w:t>
      </w:r>
      <w:r w:rsidRPr="00003942">
        <w:rPr>
          <w:rFonts w:ascii="Times New Roman" w:hAnsi="Times New Roman" w:cs="Times New Roman"/>
          <w:color w:val="auto"/>
          <w:sz w:val="24"/>
          <w:szCs w:val="24"/>
        </w:rPr>
        <w:t xml:space="preserve"> registrira u Poreznoj upravi kako bi mogao na kraju svakog obračunskog razdoblja od mjesec dana napraviti obračun za predanu električnu energiju i isporučiti ga svom </w:t>
      </w:r>
      <w:r w:rsidR="00B90C59" w:rsidRPr="00003942">
        <w:rPr>
          <w:rFonts w:ascii="Times New Roman" w:hAnsi="Times New Roman" w:cs="Times New Roman"/>
          <w:color w:val="auto"/>
          <w:sz w:val="24"/>
          <w:szCs w:val="24"/>
        </w:rPr>
        <w:t>o</w:t>
      </w:r>
      <w:r w:rsidRPr="00003942">
        <w:rPr>
          <w:rFonts w:ascii="Times New Roman" w:hAnsi="Times New Roman" w:cs="Times New Roman"/>
          <w:color w:val="auto"/>
          <w:sz w:val="24"/>
          <w:szCs w:val="24"/>
        </w:rPr>
        <w:t xml:space="preserve">pskrbljivaču. </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Kod projektiranja, na primjer, fotonaponske elektrane projektant nije u mogućnosti garantirati količinu proizvedene električne energije iz elektrane na kraju godine zbog prirode Sunčevog zračenja na lokaciji. Jedna godina može biti sunčanija od druge te se količina proizvedene električne energije može razlikovati i do 30%. S druge strane i potrošnja pojedinog objekta za koji se projektira elektrana može varirati od godine do godine. Sustav praćenja i upravljanja elektranom iziskuje financijska ulaganja koja takav projekt čine neisplativim zbog čega će projektant pod dimenzionirati proizvodnu moć elektrane kako njena predana energija u mrežu ne bi premašila količinu preuzete energije na promatranom obračunskom mjernom mjestu.</w:t>
      </w:r>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Slijedom navedenog jasno je kako navedeno ograničenje predane električne energije u mrežu za posljedicu ima ne iskorištavanje punog potencijala OIE za proizvodnju električne energije i kako odbija krajnje korisnike u široj implementaciji OIE za vlastite potrebe zbog bojazni od kompliciranih procedura koje ih čekaju u slučaju gubitka statusa korisnika postrojenja za samoopskrbu i rizika od neisplativosti ulaganja u tom slučaju.</w:t>
      </w:r>
      <w:r w:rsidR="00273075" w:rsidRPr="00003942">
        <w:rPr>
          <w:rFonts w:ascii="Times New Roman" w:hAnsi="Times New Roman" w:cs="Times New Roman"/>
          <w:color w:val="auto"/>
          <w:sz w:val="24"/>
          <w:szCs w:val="24"/>
        </w:rPr>
        <w:t xml:space="preserve"> </w:t>
      </w:r>
    </w:p>
    <w:p w:rsidR="00273075" w:rsidRPr="00003942" w:rsidRDefault="00273075"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U ovom smislu poštujući pozitivne propise Europske Unije bilo bi dobro ovu problematiku razmotriti i riješiti u okviru zajedničkog europskog zakonodavstva.</w:t>
      </w:r>
    </w:p>
    <w:p w:rsidR="00DF7141" w:rsidRPr="004B780F" w:rsidRDefault="00273075" w:rsidP="00FC271C">
      <w:pPr>
        <w:pStyle w:val="Naslov3"/>
        <w:numPr>
          <w:ilvl w:val="0"/>
          <w:numId w:val="0"/>
        </w:numPr>
        <w:ind w:left="1003"/>
      </w:pPr>
      <w:bookmarkStart w:id="456" w:name="_Toc105137908"/>
      <w:bookmarkStart w:id="457" w:name="_Toc105396358"/>
      <w:bookmarkStart w:id="458" w:name="_Toc105756734"/>
      <w:bookmarkStart w:id="459" w:name="_Toc105973507"/>
      <w:r w:rsidRPr="004B780F">
        <w:lastRenderedPageBreak/>
        <w:t>P</w:t>
      </w:r>
      <w:r w:rsidR="00DF7141" w:rsidRPr="004B780F">
        <w:t>ravni okvir korištenja obnovljivih izvora u višestambenim zgradama</w:t>
      </w:r>
      <w:bookmarkEnd w:id="456"/>
      <w:bookmarkEnd w:id="457"/>
      <w:bookmarkEnd w:id="458"/>
      <w:bookmarkEnd w:id="459"/>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Višestambene zgrade su kao subjekt prepoznate u </w:t>
      </w:r>
      <w:r w:rsidR="00976C59" w:rsidRPr="00003942">
        <w:rPr>
          <w:rFonts w:ascii="Times New Roman" w:hAnsi="Times New Roman" w:cs="Times New Roman"/>
          <w:color w:val="auto"/>
          <w:sz w:val="24"/>
          <w:szCs w:val="24"/>
        </w:rPr>
        <w:t>ZOIEVUK</w:t>
      </w:r>
      <w:r w:rsidR="00976C59" w:rsidRPr="00003942" w:rsidDel="00976C59">
        <w:rPr>
          <w:rFonts w:ascii="Times New Roman" w:hAnsi="Times New Roman" w:cs="Times New Roman"/>
          <w:color w:val="auto"/>
          <w:sz w:val="24"/>
          <w:szCs w:val="24"/>
        </w:rPr>
        <w:t xml:space="preserve"> </w:t>
      </w:r>
      <w:r w:rsidRPr="00003942">
        <w:rPr>
          <w:rFonts w:ascii="Times New Roman" w:hAnsi="Times New Roman" w:cs="Times New Roman"/>
          <w:color w:val="auto"/>
          <w:sz w:val="24"/>
          <w:szCs w:val="24"/>
        </w:rPr>
        <w:t>u članku 51</w:t>
      </w:r>
      <w:r w:rsidR="00B90C59" w:rsidRPr="00003942">
        <w:rPr>
          <w:rFonts w:ascii="Times New Roman" w:hAnsi="Times New Roman" w:cs="Times New Roman"/>
          <w:color w:val="auto"/>
          <w:sz w:val="24"/>
          <w:szCs w:val="24"/>
        </w:rPr>
        <w:t>.</w:t>
      </w:r>
      <w:r w:rsidRPr="00003942">
        <w:rPr>
          <w:rFonts w:ascii="Times New Roman" w:hAnsi="Times New Roman" w:cs="Times New Roman"/>
          <w:color w:val="auto"/>
          <w:sz w:val="24"/>
          <w:szCs w:val="24"/>
        </w:rPr>
        <w:t xml:space="preserve"> stavak 1</w:t>
      </w:r>
      <w:r w:rsidR="00B90C59" w:rsidRPr="00003942">
        <w:rPr>
          <w:rFonts w:ascii="Times New Roman" w:hAnsi="Times New Roman" w:cs="Times New Roman"/>
          <w:color w:val="auto"/>
          <w:sz w:val="24"/>
          <w:szCs w:val="24"/>
        </w:rPr>
        <w:t>.</w:t>
      </w:r>
      <w:r w:rsidR="00976C59" w:rsidRPr="00003942">
        <w:rPr>
          <w:rFonts w:ascii="Times New Roman" w:hAnsi="Times New Roman" w:cs="Times New Roman"/>
          <w:color w:val="auto"/>
          <w:sz w:val="24"/>
          <w:szCs w:val="24"/>
        </w:rPr>
        <w:t xml:space="preserve">, ali </w:t>
      </w:r>
      <w:r w:rsidRPr="00003942">
        <w:rPr>
          <w:rFonts w:ascii="Times New Roman" w:hAnsi="Times New Roman" w:cs="Times New Roman"/>
          <w:color w:val="auto"/>
          <w:sz w:val="24"/>
          <w:szCs w:val="24"/>
        </w:rPr>
        <w:t xml:space="preserve">nije jasno definiran na koji način će ovaj subjekt biti promatran </w:t>
      </w:r>
      <w:r w:rsidR="00B90C59" w:rsidRPr="00003942">
        <w:rPr>
          <w:rFonts w:ascii="Times New Roman" w:hAnsi="Times New Roman" w:cs="Times New Roman"/>
          <w:color w:val="auto"/>
          <w:sz w:val="24"/>
          <w:szCs w:val="24"/>
        </w:rPr>
        <w:t xml:space="preserve">u odnosnu na </w:t>
      </w:r>
      <w:r w:rsidRPr="00003942">
        <w:rPr>
          <w:rFonts w:ascii="Times New Roman" w:hAnsi="Times New Roman" w:cs="Times New Roman"/>
          <w:color w:val="auto"/>
          <w:sz w:val="24"/>
          <w:szCs w:val="24"/>
        </w:rPr>
        <w:t>zakon</w:t>
      </w:r>
      <w:r w:rsidR="00B90C59" w:rsidRPr="00003942">
        <w:rPr>
          <w:rFonts w:ascii="Times New Roman" w:hAnsi="Times New Roman" w:cs="Times New Roman"/>
          <w:color w:val="auto"/>
          <w:sz w:val="24"/>
          <w:szCs w:val="24"/>
        </w:rPr>
        <w:t>ski okvir</w:t>
      </w:r>
      <w:r w:rsidRPr="00003942">
        <w:rPr>
          <w:rFonts w:ascii="Times New Roman" w:hAnsi="Times New Roman" w:cs="Times New Roman"/>
          <w:color w:val="auto"/>
          <w:sz w:val="24"/>
          <w:szCs w:val="24"/>
        </w:rPr>
        <w:t>, kao jedan korisnik ili kao zajednica obnovljive energije ili kao poseban subjekt koji će imati svoje uvjete nastupanja na tržištu.</w:t>
      </w:r>
    </w:p>
    <w:p w:rsidR="00DF7141" w:rsidRPr="00222A78"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Zakonski </w:t>
      </w:r>
      <w:r w:rsidR="00273075" w:rsidRPr="00003942">
        <w:rPr>
          <w:rFonts w:ascii="Times New Roman" w:hAnsi="Times New Roman" w:cs="Times New Roman"/>
          <w:color w:val="auto"/>
          <w:sz w:val="24"/>
          <w:szCs w:val="24"/>
        </w:rPr>
        <w:t xml:space="preserve">trenutačno </w:t>
      </w:r>
      <w:r w:rsidRPr="00003942">
        <w:rPr>
          <w:rFonts w:ascii="Times New Roman" w:hAnsi="Times New Roman" w:cs="Times New Roman"/>
          <w:color w:val="auto"/>
          <w:sz w:val="24"/>
          <w:szCs w:val="24"/>
        </w:rPr>
        <w:t xml:space="preserve">nije uređeno pitanje načina spajanja elektrane za </w:t>
      </w:r>
      <w:r w:rsidR="00273075" w:rsidRPr="00003942">
        <w:rPr>
          <w:rFonts w:ascii="Times New Roman" w:hAnsi="Times New Roman" w:cs="Times New Roman"/>
          <w:color w:val="auto"/>
          <w:sz w:val="24"/>
          <w:szCs w:val="24"/>
        </w:rPr>
        <w:t>vi</w:t>
      </w:r>
      <w:r w:rsidR="00976C59" w:rsidRPr="00003942">
        <w:rPr>
          <w:rFonts w:ascii="Times New Roman" w:hAnsi="Times New Roman" w:cs="Times New Roman"/>
          <w:color w:val="auto"/>
          <w:sz w:val="24"/>
          <w:szCs w:val="24"/>
        </w:rPr>
        <w:t>š</w:t>
      </w:r>
      <w:r w:rsidR="00273075" w:rsidRPr="00003942">
        <w:rPr>
          <w:rFonts w:ascii="Times New Roman" w:hAnsi="Times New Roman" w:cs="Times New Roman"/>
          <w:color w:val="auto"/>
          <w:sz w:val="24"/>
          <w:szCs w:val="24"/>
        </w:rPr>
        <w:t>estambeni</w:t>
      </w:r>
      <w:r w:rsidRPr="00003942">
        <w:rPr>
          <w:rFonts w:ascii="Times New Roman" w:hAnsi="Times New Roman" w:cs="Times New Roman"/>
          <w:color w:val="auto"/>
          <w:sz w:val="24"/>
          <w:szCs w:val="24"/>
        </w:rPr>
        <w:t xml:space="preserve"> objekt u smislu formiranja obračunskih mjernih mjesta, način dijeljenja proizvedene energije iz OIE po stambenim jedinicama u </w:t>
      </w:r>
      <w:r w:rsidR="00273075" w:rsidRPr="00003942">
        <w:rPr>
          <w:rFonts w:ascii="Times New Roman" w:hAnsi="Times New Roman" w:cs="Times New Roman"/>
          <w:color w:val="auto"/>
          <w:sz w:val="24"/>
          <w:szCs w:val="24"/>
        </w:rPr>
        <w:t>više stambenim</w:t>
      </w:r>
      <w:r w:rsidRPr="00003942">
        <w:rPr>
          <w:rFonts w:ascii="Times New Roman" w:hAnsi="Times New Roman" w:cs="Times New Roman"/>
          <w:color w:val="auto"/>
          <w:sz w:val="24"/>
          <w:szCs w:val="24"/>
        </w:rPr>
        <w:t xml:space="preserve"> zgradama, obračun proizvedene energije, prava na </w:t>
      </w:r>
      <w:r w:rsidRPr="00C439A8">
        <w:rPr>
          <w:rFonts w:ascii="Times New Roman" w:hAnsi="Times New Roman" w:cs="Times New Roman"/>
          <w:color w:val="auto"/>
          <w:sz w:val="24"/>
          <w:szCs w:val="24"/>
        </w:rPr>
        <w:t>korištenje potencijala objekta među suvlasnicima objekta, prava na odlučivanje o investiciji u OIE itd</w:t>
      </w:r>
      <w:r w:rsidR="00976C59" w:rsidRPr="00C439A8">
        <w:rPr>
          <w:rFonts w:ascii="Times New Roman" w:hAnsi="Times New Roman" w:cs="Times New Roman"/>
          <w:color w:val="auto"/>
          <w:sz w:val="24"/>
          <w:szCs w:val="24"/>
        </w:rPr>
        <w:t>.</w:t>
      </w:r>
      <w:r w:rsidR="00273075" w:rsidRPr="000B0718">
        <w:rPr>
          <w:rFonts w:ascii="Times New Roman" w:hAnsi="Times New Roman" w:cs="Times New Roman"/>
          <w:color w:val="auto"/>
          <w:sz w:val="24"/>
          <w:szCs w:val="24"/>
        </w:rPr>
        <w:t xml:space="preserve"> te će se u tom smislu </w:t>
      </w:r>
      <w:r w:rsidR="00273075" w:rsidRPr="00222A78">
        <w:rPr>
          <w:rFonts w:ascii="Times New Roman" w:hAnsi="Times New Roman" w:cs="Times New Roman"/>
          <w:color w:val="auto"/>
          <w:sz w:val="24"/>
          <w:szCs w:val="24"/>
        </w:rPr>
        <w:t>morati tražiti optimalna rješenja na način na koji to prvenstveno stanari odrede.</w:t>
      </w:r>
    </w:p>
    <w:p w:rsidR="00DF7141" w:rsidRPr="00003942" w:rsidRDefault="00273075" w:rsidP="00A66448">
      <w:pPr>
        <w:pStyle w:val="Tijeloteksta"/>
        <w:rPr>
          <w:rFonts w:ascii="Times New Roman" w:hAnsi="Times New Roman" w:cs="Times New Roman"/>
          <w:color w:val="auto"/>
          <w:sz w:val="24"/>
          <w:szCs w:val="24"/>
        </w:rPr>
      </w:pPr>
      <w:r w:rsidRPr="000B0718">
        <w:rPr>
          <w:rFonts w:ascii="Times New Roman" w:hAnsi="Times New Roman" w:cs="Times New Roman"/>
          <w:color w:val="auto"/>
          <w:sz w:val="24"/>
          <w:szCs w:val="24"/>
        </w:rPr>
        <w:t xml:space="preserve">Iako </w:t>
      </w:r>
      <w:r w:rsidRPr="00222A78">
        <w:rPr>
          <w:rFonts w:ascii="Times New Roman" w:hAnsi="Times New Roman" w:cs="Times New Roman"/>
          <w:color w:val="auto"/>
          <w:sz w:val="24"/>
          <w:szCs w:val="24"/>
        </w:rPr>
        <w:t>je</w:t>
      </w:r>
      <w:r w:rsidR="00DF7141" w:rsidRPr="00192851">
        <w:rPr>
          <w:rFonts w:ascii="Times New Roman" w:hAnsi="Times New Roman" w:cs="Times New Roman"/>
          <w:color w:val="auto"/>
          <w:sz w:val="24"/>
          <w:szCs w:val="24"/>
        </w:rPr>
        <w:t xml:space="preserve"> definiran</w:t>
      </w:r>
      <w:r w:rsidR="00DF7141" w:rsidRPr="003E2DBC">
        <w:rPr>
          <w:rFonts w:ascii="Times New Roman" w:hAnsi="Times New Roman" w:cs="Times New Roman"/>
          <w:color w:val="auto"/>
          <w:sz w:val="24"/>
          <w:szCs w:val="24"/>
        </w:rPr>
        <w:t xml:space="preserve"> </w:t>
      </w:r>
      <w:r w:rsidRPr="003E2DBC">
        <w:rPr>
          <w:rFonts w:ascii="Times New Roman" w:hAnsi="Times New Roman" w:cs="Times New Roman"/>
          <w:color w:val="auto"/>
          <w:sz w:val="24"/>
          <w:szCs w:val="24"/>
        </w:rPr>
        <w:t xml:space="preserve">široki </w:t>
      </w:r>
      <w:r w:rsidR="00DF7141" w:rsidRPr="003E2DBC">
        <w:rPr>
          <w:rFonts w:ascii="Times New Roman" w:hAnsi="Times New Roman" w:cs="Times New Roman"/>
          <w:color w:val="auto"/>
          <w:sz w:val="24"/>
          <w:szCs w:val="24"/>
        </w:rPr>
        <w:t xml:space="preserve">pravni okvir koji rješava pitanje sustava samoopskrbe u višestambenim zgradama </w:t>
      </w:r>
      <w:r w:rsidRPr="003E2DBC">
        <w:rPr>
          <w:rFonts w:ascii="Times New Roman" w:hAnsi="Times New Roman" w:cs="Times New Roman"/>
          <w:color w:val="auto"/>
          <w:sz w:val="24"/>
          <w:szCs w:val="24"/>
        </w:rPr>
        <w:t xml:space="preserve">koji daje prilike </w:t>
      </w:r>
      <w:r w:rsidR="00DF7141" w:rsidRPr="008609F9">
        <w:rPr>
          <w:rFonts w:ascii="Times New Roman" w:hAnsi="Times New Roman" w:cs="Times New Roman"/>
          <w:color w:val="auto"/>
          <w:sz w:val="24"/>
          <w:szCs w:val="24"/>
        </w:rPr>
        <w:t>iskorištavanje poten</w:t>
      </w:r>
      <w:r w:rsidR="00DF7141" w:rsidRPr="00387E05">
        <w:rPr>
          <w:rFonts w:ascii="Times New Roman" w:hAnsi="Times New Roman" w:cs="Times New Roman"/>
          <w:color w:val="auto"/>
          <w:sz w:val="24"/>
          <w:szCs w:val="24"/>
        </w:rPr>
        <w:t>cijala višestambenih zgrada</w:t>
      </w:r>
      <w:r w:rsidR="00A66448" w:rsidRPr="00387E05">
        <w:rPr>
          <w:rFonts w:ascii="Times New Roman" w:hAnsi="Times New Roman" w:cs="Times New Roman"/>
          <w:color w:val="auto"/>
          <w:sz w:val="24"/>
          <w:szCs w:val="24"/>
        </w:rPr>
        <w:t>,</w:t>
      </w:r>
      <w:r w:rsidR="00DF7141" w:rsidRPr="00387E05">
        <w:rPr>
          <w:rFonts w:ascii="Times New Roman" w:hAnsi="Times New Roman" w:cs="Times New Roman"/>
          <w:color w:val="auto"/>
          <w:sz w:val="24"/>
          <w:szCs w:val="24"/>
        </w:rPr>
        <w:t xml:space="preserve"> </w:t>
      </w:r>
      <w:r w:rsidR="00A66448" w:rsidRPr="0024150C">
        <w:rPr>
          <w:rFonts w:ascii="Times New Roman" w:hAnsi="Times New Roman" w:cs="Times New Roman"/>
          <w:color w:val="auto"/>
          <w:sz w:val="24"/>
          <w:szCs w:val="24"/>
        </w:rPr>
        <w:t>očekivanje je</w:t>
      </w:r>
      <w:r w:rsidRPr="0024150C">
        <w:rPr>
          <w:rFonts w:ascii="Times New Roman" w:hAnsi="Times New Roman" w:cs="Times New Roman"/>
          <w:color w:val="auto"/>
          <w:sz w:val="24"/>
          <w:szCs w:val="24"/>
        </w:rPr>
        <w:t xml:space="preserve"> da zakonodavac propiše sve n</w:t>
      </w:r>
      <w:r w:rsidR="00A66448" w:rsidRPr="0024150C">
        <w:rPr>
          <w:rFonts w:ascii="Times New Roman" w:hAnsi="Times New Roman" w:cs="Times New Roman"/>
          <w:color w:val="auto"/>
          <w:sz w:val="24"/>
          <w:szCs w:val="24"/>
        </w:rPr>
        <w:t>ačine uređenja odnosa što je uzimajući u obzir odrednice Zakona o vlasništvu i drugim stvarnim pravima (NN 91/96, 68/98, 137/99, 22/00, 73/00, 129/00, 114/01, 79/06, 141/06, 146/08, 38/09, 153/09, 143/12, 152/14) bilo prejudiciranje određenih postupaka.</w:t>
      </w:r>
      <w:r w:rsidR="00A66448" w:rsidRPr="007C507C">
        <w:rPr>
          <w:rFonts w:ascii="Times New Roman" w:hAnsi="Times New Roman" w:cs="Times New Roman"/>
          <w:color w:val="auto"/>
          <w:sz w:val="24"/>
          <w:szCs w:val="24"/>
        </w:rPr>
        <w:t xml:space="preserve"> Sukladno tome uvjeti korištenja obnovljivih izvora energije u odlučivanju identični su onima kod p</w:t>
      </w:r>
      <w:r w:rsidR="00A66448" w:rsidRPr="00331C56">
        <w:rPr>
          <w:rFonts w:ascii="Times New Roman" w:hAnsi="Times New Roman" w:cs="Times New Roman"/>
          <w:color w:val="auto"/>
          <w:sz w:val="24"/>
          <w:szCs w:val="24"/>
        </w:rPr>
        <w:t>rovedbi mjera energetske učinkovitosti i stanari koji imaju većinsku udjel u vi</w:t>
      </w:r>
      <w:r w:rsidR="00976C59" w:rsidRPr="00331C56">
        <w:rPr>
          <w:rFonts w:ascii="Times New Roman" w:hAnsi="Times New Roman" w:cs="Times New Roman"/>
          <w:color w:val="auto"/>
          <w:sz w:val="24"/>
          <w:szCs w:val="24"/>
        </w:rPr>
        <w:t>š</w:t>
      </w:r>
      <w:r w:rsidR="00A66448" w:rsidRPr="00222A78">
        <w:rPr>
          <w:rFonts w:ascii="Times New Roman" w:hAnsi="Times New Roman" w:cs="Times New Roman"/>
          <w:color w:val="auto"/>
          <w:sz w:val="24"/>
          <w:szCs w:val="24"/>
        </w:rPr>
        <w:t>estambenoj</w:t>
      </w:r>
      <w:r w:rsidR="00A66448" w:rsidRPr="00192851">
        <w:rPr>
          <w:rFonts w:ascii="Times New Roman" w:hAnsi="Times New Roman" w:cs="Times New Roman"/>
          <w:color w:val="auto"/>
          <w:sz w:val="24"/>
          <w:szCs w:val="24"/>
        </w:rPr>
        <w:t xml:space="preserve"> zgradi mogu odlučivati o načinu na koji će izgraditi samostalno i</w:t>
      </w:r>
      <w:r w:rsidR="00A66448" w:rsidRPr="00003942">
        <w:rPr>
          <w:rFonts w:ascii="Times New Roman" w:hAnsi="Times New Roman" w:cs="Times New Roman"/>
          <w:color w:val="auto"/>
          <w:sz w:val="24"/>
          <w:szCs w:val="24"/>
        </w:rPr>
        <w:t xml:space="preserve">/ili dati u najam krov za izgradnju instalacija OIE. </w:t>
      </w:r>
    </w:p>
    <w:p w:rsidR="00DF7141" w:rsidRPr="004B780F" w:rsidRDefault="00A66448" w:rsidP="00FC271C">
      <w:pPr>
        <w:pStyle w:val="Naslov3"/>
        <w:numPr>
          <w:ilvl w:val="0"/>
          <w:numId w:val="0"/>
        </w:numPr>
        <w:ind w:left="1003"/>
      </w:pPr>
      <w:bookmarkStart w:id="460" w:name="_Toc105137909"/>
      <w:bookmarkStart w:id="461" w:name="_Toc105396359"/>
      <w:bookmarkStart w:id="462" w:name="_Toc105756735"/>
      <w:bookmarkStart w:id="463" w:name="_Toc105973508"/>
      <w:r w:rsidRPr="004B780F">
        <w:t>S</w:t>
      </w:r>
      <w:r w:rsidR="00DF7141" w:rsidRPr="004B780F">
        <w:t>ustav poticanja investicija za korištenje OIE u neposrednoj potrošnji</w:t>
      </w:r>
      <w:bookmarkEnd w:id="460"/>
      <w:bookmarkEnd w:id="461"/>
      <w:bookmarkEnd w:id="462"/>
      <w:bookmarkEnd w:id="463"/>
    </w:p>
    <w:p w:rsidR="00DF7141"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Postojeći način poticanja investicija u korištenje OIE u neposrednoj potrošnji nije </w:t>
      </w:r>
      <w:r w:rsidR="00A66448" w:rsidRPr="00003942">
        <w:rPr>
          <w:rFonts w:ascii="Times New Roman" w:hAnsi="Times New Roman" w:cs="Times New Roman"/>
          <w:color w:val="auto"/>
          <w:sz w:val="24"/>
          <w:szCs w:val="24"/>
        </w:rPr>
        <w:t>adekvatno prihvaćen iako se radi o nacionalnim sredstvima</w:t>
      </w:r>
      <w:r w:rsidRPr="00003942">
        <w:rPr>
          <w:rFonts w:ascii="Times New Roman" w:hAnsi="Times New Roman" w:cs="Times New Roman"/>
          <w:color w:val="auto"/>
          <w:sz w:val="24"/>
          <w:szCs w:val="24"/>
        </w:rPr>
        <w:t xml:space="preserve">. Prema postojećem modelu periodično se dodjeljuju relativno značajne subvencije za instalaciju OIE za korištenje u neposrednoj potrošnji. </w:t>
      </w:r>
      <w:r w:rsidR="00A66448" w:rsidRPr="00003942">
        <w:rPr>
          <w:rFonts w:ascii="Times New Roman" w:hAnsi="Times New Roman" w:cs="Times New Roman"/>
          <w:color w:val="auto"/>
          <w:sz w:val="24"/>
          <w:szCs w:val="24"/>
        </w:rPr>
        <w:t>Problem su n</w:t>
      </w:r>
      <w:r w:rsidRPr="00003942">
        <w:rPr>
          <w:rFonts w:ascii="Times New Roman" w:hAnsi="Times New Roman" w:cs="Times New Roman"/>
          <w:color w:val="auto"/>
          <w:sz w:val="24"/>
          <w:szCs w:val="24"/>
        </w:rPr>
        <w:t>atječaj</w:t>
      </w:r>
      <w:r w:rsidR="00A66448" w:rsidRPr="00003942">
        <w:rPr>
          <w:rFonts w:ascii="Times New Roman" w:hAnsi="Times New Roman" w:cs="Times New Roman"/>
          <w:color w:val="auto"/>
          <w:sz w:val="24"/>
          <w:szCs w:val="24"/>
        </w:rPr>
        <w:t>i</w:t>
      </w:r>
      <w:r w:rsidRPr="00003942">
        <w:rPr>
          <w:rFonts w:ascii="Times New Roman" w:hAnsi="Times New Roman" w:cs="Times New Roman"/>
          <w:color w:val="auto"/>
          <w:sz w:val="24"/>
          <w:szCs w:val="24"/>
        </w:rPr>
        <w:t xml:space="preserve"> za dodjelu sredstava po modelu „najbrži prst“ za određenu kategoriju korisnika. </w:t>
      </w:r>
    </w:p>
    <w:p w:rsidR="00A66448" w:rsidRPr="00003942" w:rsidRDefault="00DF7141" w:rsidP="002D7C87">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Cilj poticanja investicija za korištenje OIE u neposrednoj potrošnji je potaknuti popularizaciju i širu upotrebu OIE u neposrednoj potrošnji kod svih korisnika te potaknuti razvoj svijesti o korištenju OIE u cilju ispunjenja nacionalnih planova. Trenutačni model dodjele sredstava ne ispunjava tu svrhu u opsegu u kojem bi mogao i trebao je ispunjati</w:t>
      </w:r>
      <w:r w:rsidR="00A66448" w:rsidRPr="00003942">
        <w:rPr>
          <w:rFonts w:ascii="Times New Roman" w:hAnsi="Times New Roman" w:cs="Times New Roman"/>
          <w:color w:val="auto"/>
          <w:sz w:val="24"/>
          <w:szCs w:val="24"/>
        </w:rPr>
        <w:t xml:space="preserve"> niti su nacionalna sredstva dostatna</w:t>
      </w:r>
      <w:r w:rsidRPr="00003942">
        <w:rPr>
          <w:rFonts w:ascii="Times New Roman" w:hAnsi="Times New Roman" w:cs="Times New Roman"/>
          <w:color w:val="auto"/>
          <w:sz w:val="24"/>
          <w:szCs w:val="24"/>
        </w:rPr>
        <w:t>.</w:t>
      </w:r>
    </w:p>
    <w:p w:rsidR="00DF7141" w:rsidRPr="00003942" w:rsidRDefault="00A66448" w:rsidP="002D7C87">
      <w:pPr>
        <w:pStyle w:val="Tijeloteksta"/>
        <w:rPr>
          <w:rFonts w:ascii="Times New Roman" w:hAnsi="Times New Roman" w:cs="Times New Roman"/>
          <w:color w:val="auto"/>
          <w:sz w:val="24"/>
          <w:szCs w:val="24"/>
        </w:rPr>
      </w:pPr>
      <w:r w:rsidRPr="00003942">
        <w:rPr>
          <w:rFonts w:ascii="Times New Roman" w:hAnsi="Times New Roman" w:cs="Times New Roman"/>
          <w:sz w:val="24"/>
          <w:szCs w:val="24"/>
        </w:rPr>
        <w:t>Iako su programi u funkciji građana i poduzetnika, d</w:t>
      </w:r>
      <w:r w:rsidR="00DF7141" w:rsidRPr="00003942">
        <w:rPr>
          <w:rFonts w:ascii="Times New Roman" w:hAnsi="Times New Roman" w:cs="Times New Roman"/>
          <w:sz w:val="24"/>
          <w:szCs w:val="24"/>
        </w:rPr>
        <w:t>ogađa se da korisnici ulažu sredstva u pripremu potrebne dokumentacije</w:t>
      </w:r>
      <w:r w:rsidRPr="00003942">
        <w:rPr>
          <w:rFonts w:ascii="Times New Roman" w:hAnsi="Times New Roman" w:cs="Times New Roman"/>
          <w:sz w:val="24"/>
          <w:szCs w:val="24"/>
        </w:rPr>
        <w:t xml:space="preserve">, </w:t>
      </w:r>
      <w:r w:rsidR="00DF7141" w:rsidRPr="00003942">
        <w:rPr>
          <w:rFonts w:ascii="Times New Roman" w:hAnsi="Times New Roman" w:cs="Times New Roman"/>
          <w:sz w:val="24"/>
          <w:szCs w:val="24"/>
        </w:rPr>
        <w:t>čekaju raspisivanje natječaja za kategoriju korisnika u koju oni pripadaju, što za posljedično stvara periodična zagušenja na tržištu kod svih dionika. Projektantski uredi periodično rade preko svojih kapaciteta, FZOIE se suočava s periodičkim navalama prijava koje treba obraditi, ovlaštene tvrtke za instalaciju postrojenja za korištenje OIE u pojedinim periodima ne stižu pokriti zahtjeve tržišta.</w:t>
      </w:r>
      <w:r w:rsidR="00EE5840" w:rsidRPr="00003942">
        <w:rPr>
          <w:rFonts w:ascii="Times New Roman" w:hAnsi="Times New Roman" w:cs="Times New Roman"/>
          <w:sz w:val="24"/>
          <w:szCs w:val="24"/>
        </w:rPr>
        <w:t xml:space="preserve"> Također, n</w:t>
      </w:r>
      <w:r w:rsidR="00DF7141" w:rsidRPr="00003942">
        <w:rPr>
          <w:rFonts w:ascii="Times New Roman" w:hAnsi="Times New Roman" w:cs="Times New Roman"/>
          <w:color w:val="auto"/>
          <w:sz w:val="24"/>
          <w:szCs w:val="24"/>
        </w:rPr>
        <w:t>avedena zagušenja dalje generiraju rast cijena opreme i usluga.</w:t>
      </w:r>
    </w:p>
    <w:p w:rsidR="00DF7141" w:rsidRPr="00331C56" w:rsidRDefault="00431232" w:rsidP="00C90729">
      <w:pPr>
        <w:pStyle w:val="Naslov2"/>
      </w:pPr>
      <w:bookmarkStart w:id="464" w:name="_Toc105137910"/>
      <w:bookmarkStart w:id="465" w:name="_Toc105396360"/>
      <w:bookmarkStart w:id="466" w:name="_Toc105756736"/>
      <w:bookmarkStart w:id="467" w:name="_Toc105973509"/>
      <w:r w:rsidRPr="00331C56">
        <w:lastRenderedPageBreak/>
        <w:t>ZAJEDNICE ENERGIJE IZ OBNOVLJIVIH IZVORA</w:t>
      </w:r>
      <w:bookmarkEnd w:id="464"/>
      <w:bookmarkEnd w:id="465"/>
      <w:bookmarkEnd w:id="466"/>
      <w:bookmarkEnd w:id="467"/>
    </w:p>
    <w:p w:rsidR="00DF7141" w:rsidRPr="003E2DBC" w:rsidRDefault="001079BA" w:rsidP="00FC271C">
      <w:pPr>
        <w:pStyle w:val="Naslov3"/>
        <w:numPr>
          <w:ilvl w:val="0"/>
          <w:numId w:val="0"/>
        </w:numPr>
        <w:ind w:left="1003"/>
      </w:pPr>
      <w:bookmarkStart w:id="468" w:name="_Toc105137911"/>
      <w:bookmarkStart w:id="469" w:name="_Toc105396361"/>
      <w:bookmarkStart w:id="470" w:name="_Toc105756737"/>
      <w:bookmarkStart w:id="471" w:name="_Toc105973510"/>
      <w:r w:rsidRPr="00003942">
        <w:t>U</w:t>
      </w:r>
      <w:r w:rsidR="00DF7141" w:rsidRPr="00F63D65">
        <w:t>ređuje zajednice obnovljive energije</w:t>
      </w:r>
      <w:bookmarkEnd w:id="468"/>
      <w:bookmarkEnd w:id="469"/>
      <w:bookmarkEnd w:id="470"/>
      <w:bookmarkEnd w:id="471"/>
    </w:p>
    <w:p w:rsidR="001079BA" w:rsidRPr="00331C56" w:rsidRDefault="001079BA" w:rsidP="000B0718">
      <w:pPr>
        <w:pStyle w:val="Tijeloteksta"/>
        <w:shd w:val="clear" w:color="auto" w:fill="FFFFFF" w:themeFill="background1"/>
        <w:rPr>
          <w:rFonts w:ascii="Times New Roman" w:hAnsi="Times New Roman" w:cs="Times New Roman"/>
          <w:color w:val="auto"/>
          <w:sz w:val="24"/>
          <w:szCs w:val="24"/>
        </w:rPr>
      </w:pPr>
      <w:r w:rsidRPr="00331C56">
        <w:rPr>
          <w:rFonts w:ascii="Times New Roman" w:hAnsi="Times New Roman" w:cs="Times New Roman"/>
          <w:sz w:val="24"/>
          <w:szCs w:val="24"/>
        </w:rPr>
        <w:t xml:space="preserve">Uvođenje novih djelatnosti i aktivnosti na tržištu energije dodatni su izazovi složenog pravnog okvira. Zadaća implementacije direktiva je u nacionalnom zakonodavstvu ugraditi nove elemente na način da su oni usklađeni s ostalim pozitivnim europskim i nacionalnim zakonodavstvom. U tom smislu zajednice obnovljive energije kao širi pojam korištenja obnovljive energije bioplina, toplinske i električne energije i energetske zajednice građana </w:t>
      </w:r>
      <w:r w:rsidR="00DF7141" w:rsidRPr="00F63D65">
        <w:rPr>
          <w:rFonts w:ascii="Times New Roman" w:hAnsi="Times New Roman" w:cs="Times New Roman"/>
          <w:color w:val="auto"/>
          <w:sz w:val="24"/>
          <w:szCs w:val="24"/>
        </w:rPr>
        <w:t xml:space="preserve">definirane ZoTEE-om koja obuhvaća zajednicu </w:t>
      </w:r>
      <w:r w:rsidRPr="00331C56">
        <w:rPr>
          <w:rFonts w:ascii="Times New Roman" w:hAnsi="Times New Roman" w:cs="Times New Roman"/>
          <w:color w:val="auto"/>
          <w:sz w:val="24"/>
          <w:szCs w:val="24"/>
        </w:rPr>
        <w:t xml:space="preserve">u smislu nastupa na tržištu električne energije uklopljene su u </w:t>
      </w:r>
      <w:r w:rsidR="003D6EF3" w:rsidRPr="00331C56">
        <w:rPr>
          <w:rFonts w:ascii="Times New Roman" w:hAnsi="Times New Roman" w:cs="Times New Roman"/>
          <w:color w:val="auto"/>
          <w:sz w:val="24"/>
          <w:szCs w:val="24"/>
        </w:rPr>
        <w:t>ob</w:t>
      </w:r>
      <w:r w:rsidRPr="00331C56">
        <w:rPr>
          <w:rFonts w:ascii="Times New Roman" w:hAnsi="Times New Roman" w:cs="Times New Roman"/>
          <w:color w:val="auto"/>
          <w:sz w:val="24"/>
          <w:szCs w:val="24"/>
        </w:rPr>
        <w:t xml:space="preserve">like </w:t>
      </w:r>
      <w:r w:rsidR="003D6EF3" w:rsidRPr="00331C56">
        <w:rPr>
          <w:rFonts w:ascii="Times New Roman" w:hAnsi="Times New Roman" w:cs="Times New Roman"/>
          <w:color w:val="auto"/>
          <w:sz w:val="24"/>
          <w:szCs w:val="24"/>
        </w:rPr>
        <w:t>rješenja</w:t>
      </w:r>
      <w:r w:rsidRPr="00331C56">
        <w:rPr>
          <w:rFonts w:ascii="Times New Roman" w:hAnsi="Times New Roman" w:cs="Times New Roman"/>
          <w:color w:val="auto"/>
          <w:sz w:val="24"/>
          <w:szCs w:val="24"/>
        </w:rPr>
        <w:t xml:space="preserve"> koji su definirani posebnim propisom kao što su zakoni kojima se uređuju </w:t>
      </w:r>
      <w:r w:rsidR="00707870" w:rsidRPr="00331C56">
        <w:rPr>
          <w:rFonts w:ascii="Times New Roman" w:hAnsi="Times New Roman" w:cs="Times New Roman"/>
          <w:color w:val="auto"/>
          <w:sz w:val="24"/>
          <w:szCs w:val="24"/>
        </w:rPr>
        <w:t xml:space="preserve">zadruge, udruge </w:t>
      </w:r>
      <w:r w:rsidRPr="00331C56">
        <w:rPr>
          <w:rFonts w:ascii="Times New Roman" w:hAnsi="Times New Roman" w:cs="Times New Roman"/>
          <w:color w:val="auto"/>
          <w:sz w:val="24"/>
          <w:szCs w:val="24"/>
        </w:rPr>
        <w:t xml:space="preserve">i ostali oblici </w:t>
      </w:r>
      <w:r w:rsidR="00707870" w:rsidRPr="00003942">
        <w:rPr>
          <w:rFonts w:ascii="Times New Roman" w:hAnsi="Times New Roman" w:cs="Times New Roman"/>
          <w:color w:val="auto"/>
          <w:sz w:val="24"/>
          <w:szCs w:val="24"/>
        </w:rPr>
        <w:t>dobrovoljno udruživanja građana</w:t>
      </w:r>
      <w:r w:rsidR="00DF7141" w:rsidRPr="00003942">
        <w:rPr>
          <w:rFonts w:ascii="Times New Roman" w:hAnsi="Times New Roman" w:cs="Times New Roman"/>
          <w:color w:val="auto"/>
          <w:sz w:val="24"/>
          <w:szCs w:val="24"/>
        </w:rPr>
        <w:t xml:space="preserve">. </w:t>
      </w:r>
    </w:p>
    <w:p w:rsidR="00DF7141" w:rsidRPr="00003942" w:rsidRDefault="00707870" w:rsidP="00A871EE">
      <w:pPr>
        <w:pStyle w:val="Tijeloteksta"/>
        <w:rPr>
          <w:rFonts w:ascii="Times New Roman" w:hAnsi="Times New Roman" w:cs="Times New Roman"/>
          <w:color w:val="auto"/>
          <w:sz w:val="24"/>
          <w:szCs w:val="24"/>
        </w:rPr>
      </w:pPr>
      <w:r w:rsidRPr="00331C56">
        <w:rPr>
          <w:rFonts w:ascii="Times New Roman" w:hAnsi="Times New Roman" w:cs="Times New Roman"/>
          <w:color w:val="auto"/>
          <w:sz w:val="24"/>
          <w:szCs w:val="24"/>
        </w:rPr>
        <w:t>Ovdje je jako važna komunikacija i prenošenje dobrih praksi i iskustava, te se u širokom okviru djelovanja posebice očekuje od aktera neposredno upućenih na lokalne vlasti poput regionalnih energetskih agencija da promiču mogućnosti i potrebe lokalnih sredina</w:t>
      </w:r>
      <w:r w:rsidR="00DF7141" w:rsidRPr="00003942">
        <w:rPr>
          <w:rFonts w:ascii="Times New Roman" w:hAnsi="Times New Roman" w:cs="Times New Roman"/>
          <w:color w:val="auto"/>
          <w:sz w:val="24"/>
          <w:szCs w:val="24"/>
        </w:rPr>
        <w:t>.</w:t>
      </w:r>
    </w:p>
    <w:p w:rsidR="00DF7141" w:rsidRPr="00387E05" w:rsidRDefault="00707870" w:rsidP="00FC271C">
      <w:pPr>
        <w:pStyle w:val="Naslov3"/>
        <w:numPr>
          <w:ilvl w:val="0"/>
          <w:numId w:val="0"/>
        </w:numPr>
        <w:ind w:left="1003"/>
      </w:pPr>
      <w:bookmarkStart w:id="472" w:name="_Toc105396362"/>
      <w:bookmarkStart w:id="473" w:name="_Toc105756738"/>
      <w:bookmarkStart w:id="474" w:name="_Toc105973511"/>
      <w:bookmarkStart w:id="475" w:name="_Toc105137912"/>
      <w:r w:rsidRPr="003E2DBC">
        <w:t>T</w:t>
      </w:r>
      <w:r w:rsidR="00DF7141" w:rsidRPr="003E2DBC">
        <w:t>ehničk</w:t>
      </w:r>
      <w:r w:rsidRPr="003E2DBC">
        <w:t>e</w:t>
      </w:r>
      <w:r w:rsidR="00DF7141" w:rsidRPr="003E2DBC">
        <w:t xml:space="preserve"> pretpostavk</w:t>
      </w:r>
      <w:r w:rsidRPr="008609F9">
        <w:t>e</w:t>
      </w:r>
      <w:r w:rsidR="00DF7141" w:rsidRPr="00387E05">
        <w:t xml:space="preserve"> (</w:t>
      </w:r>
      <w:r w:rsidRPr="00387E05">
        <w:t xml:space="preserve">ugradnja </w:t>
      </w:r>
      <w:r w:rsidR="00DF7141" w:rsidRPr="00387E05">
        <w:t>naprednih brojila) za realizaciju zajednica energije iz obnovljivih izvora</w:t>
      </w:r>
      <w:bookmarkEnd w:id="472"/>
      <w:bookmarkEnd w:id="473"/>
      <w:bookmarkEnd w:id="474"/>
      <w:r w:rsidR="00DF7141" w:rsidRPr="00387E05">
        <w:t xml:space="preserve"> </w:t>
      </w:r>
      <w:bookmarkEnd w:id="475"/>
    </w:p>
    <w:p w:rsidR="00DF7141" w:rsidRPr="00222A78" w:rsidRDefault="00DF7141" w:rsidP="002D7C87">
      <w:pPr>
        <w:pStyle w:val="Tijeloteksta"/>
        <w:rPr>
          <w:rFonts w:ascii="Times New Roman" w:hAnsi="Times New Roman" w:cs="Times New Roman"/>
          <w:color w:val="auto"/>
          <w:sz w:val="24"/>
          <w:szCs w:val="24"/>
        </w:rPr>
      </w:pPr>
      <w:r w:rsidRPr="0024150C">
        <w:rPr>
          <w:rFonts w:ascii="Times New Roman" w:hAnsi="Times New Roman" w:cs="Times New Roman"/>
          <w:color w:val="auto"/>
          <w:sz w:val="24"/>
          <w:szCs w:val="24"/>
        </w:rPr>
        <w:t xml:space="preserve">Ugradnja velikog broja naprednih brojila na distribucijskoj mreži je u tijeku, ali se odvija usporeno. Svaki član </w:t>
      </w:r>
      <w:r w:rsidR="00B90C59" w:rsidRPr="0024150C">
        <w:rPr>
          <w:rFonts w:ascii="Times New Roman" w:hAnsi="Times New Roman" w:cs="Times New Roman"/>
          <w:color w:val="auto"/>
          <w:sz w:val="24"/>
          <w:szCs w:val="24"/>
        </w:rPr>
        <w:t>z</w:t>
      </w:r>
      <w:r w:rsidRPr="0024150C">
        <w:rPr>
          <w:rFonts w:ascii="Times New Roman" w:hAnsi="Times New Roman" w:cs="Times New Roman"/>
          <w:color w:val="auto"/>
          <w:sz w:val="24"/>
          <w:szCs w:val="24"/>
        </w:rPr>
        <w:t xml:space="preserve">ajednice energije mora biti opremljen naprednim brojilima, pa bez te opreme nije moguće realizirati </w:t>
      </w:r>
      <w:r w:rsidR="00B90C59" w:rsidRPr="0024150C">
        <w:rPr>
          <w:rFonts w:ascii="Times New Roman" w:hAnsi="Times New Roman" w:cs="Times New Roman"/>
          <w:color w:val="auto"/>
          <w:sz w:val="24"/>
          <w:szCs w:val="24"/>
        </w:rPr>
        <w:t>z</w:t>
      </w:r>
      <w:r w:rsidRPr="007C507C">
        <w:rPr>
          <w:rFonts w:ascii="Times New Roman" w:hAnsi="Times New Roman" w:cs="Times New Roman"/>
          <w:color w:val="auto"/>
          <w:sz w:val="24"/>
          <w:szCs w:val="24"/>
        </w:rPr>
        <w:t xml:space="preserve">ajednicu. </w:t>
      </w:r>
      <w:r w:rsidR="00707870" w:rsidRPr="007C507C">
        <w:rPr>
          <w:rFonts w:ascii="Times New Roman" w:hAnsi="Times New Roman" w:cs="Times New Roman"/>
          <w:color w:val="auto"/>
          <w:sz w:val="24"/>
          <w:szCs w:val="24"/>
        </w:rPr>
        <w:t xml:space="preserve">Potrebno je urediti pitanje </w:t>
      </w:r>
      <w:r w:rsidRPr="00331C56">
        <w:rPr>
          <w:rFonts w:ascii="Times New Roman" w:hAnsi="Times New Roman" w:cs="Times New Roman"/>
          <w:color w:val="auto"/>
          <w:sz w:val="24"/>
          <w:szCs w:val="24"/>
        </w:rPr>
        <w:t>troškov</w:t>
      </w:r>
      <w:r w:rsidR="00707870" w:rsidRPr="00331C56">
        <w:rPr>
          <w:rFonts w:ascii="Times New Roman" w:hAnsi="Times New Roman" w:cs="Times New Roman"/>
          <w:color w:val="auto"/>
          <w:sz w:val="24"/>
          <w:szCs w:val="24"/>
        </w:rPr>
        <w:t>a</w:t>
      </w:r>
      <w:r w:rsidRPr="00331C56">
        <w:rPr>
          <w:rFonts w:ascii="Times New Roman" w:hAnsi="Times New Roman" w:cs="Times New Roman"/>
          <w:color w:val="auto"/>
          <w:sz w:val="24"/>
          <w:szCs w:val="24"/>
        </w:rPr>
        <w:t xml:space="preserve"> ugradnje naprednog brojila ukoliko postoji pot</w:t>
      </w:r>
      <w:r w:rsidRPr="00222A78">
        <w:rPr>
          <w:rFonts w:ascii="Times New Roman" w:hAnsi="Times New Roman" w:cs="Times New Roman"/>
          <w:color w:val="auto"/>
          <w:sz w:val="24"/>
          <w:szCs w:val="24"/>
        </w:rPr>
        <w:t>reba prije nego što bi to došlo na redu u redovnoj proceduri operatora distribucijskog sustava.</w:t>
      </w:r>
    </w:p>
    <w:p w:rsidR="00DF7141" w:rsidRPr="00331C56" w:rsidRDefault="00431232" w:rsidP="00C90729">
      <w:pPr>
        <w:pStyle w:val="Naslov2"/>
      </w:pPr>
      <w:bookmarkStart w:id="476" w:name="_Toc105137913"/>
      <w:bookmarkStart w:id="477" w:name="_Toc105396363"/>
      <w:bookmarkStart w:id="478" w:name="_Toc105756739"/>
      <w:bookmarkStart w:id="479" w:name="_Toc105973512"/>
      <w:r w:rsidRPr="00331C56">
        <w:t>OSTALI POSTUPCI U PROCEDURI</w:t>
      </w:r>
      <w:bookmarkEnd w:id="476"/>
      <w:bookmarkEnd w:id="477"/>
      <w:bookmarkEnd w:id="478"/>
      <w:bookmarkEnd w:id="479"/>
    </w:p>
    <w:p w:rsidR="00DF7141" w:rsidRPr="00003942" w:rsidRDefault="00DF7141" w:rsidP="00FC271C">
      <w:pPr>
        <w:pStyle w:val="Naslov3"/>
        <w:numPr>
          <w:ilvl w:val="0"/>
          <w:numId w:val="0"/>
        </w:numPr>
        <w:ind w:left="1003"/>
      </w:pPr>
      <w:bookmarkStart w:id="480" w:name="_Toc105137914"/>
      <w:bookmarkStart w:id="481" w:name="_Toc105396364"/>
      <w:bookmarkStart w:id="482" w:name="_Toc105756740"/>
      <w:bookmarkStart w:id="483" w:name="_Toc105973513"/>
      <w:r w:rsidRPr="00003942">
        <w:t>Visina i način plaćanja komunalnog doprinosa i naknade</w:t>
      </w:r>
      <w:bookmarkEnd w:id="480"/>
      <w:bookmarkEnd w:id="481"/>
      <w:bookmarkEnd w:id="482"/>
      <w:bookmarkEnd w:id="483"/>
    </w:p>
    <w:p w:rsidR="00DF7141" w:rsidRPr="008609F9" w:rsidRDefault="00DF7141" w:rsidP="002D7C87">
      <w:pPr>
        <w:pStyle w:val="Tijeloteksta"/>
        <w:rPr>
          <w:rFonts w:ascii="Times New Roman" w:hAnsi="Times New Roman" w:cs="Times New Roman"/>
          <w:color w:val="auto"/>
          <w:sz w:val="24"/>
          <w:szCs w:val="24"/>
        </w:rPr>
      </w:pPr>
      <w:r w:rsidRPr="00F63D65">
        <w:rPr>
          <w:rFonts w:ascii="Times New Roman" w:hAnsi="Times New Roman" w:cs="Times New Roman"/>
          <w:color w:val="auto"/>
          <w:sz w:val="24"/>
          <w:szCs w:val="24"/>
        </w:rPr>
        <w:t xml:space="preserve">Slično kao i ostale građevine, i postrojenja na OIE moraju plaćati komunalni </w:t>
      </w:r>
      <w:r w:rsidRPr="003E2DBC">
        <w:rPr>
          <w:rFonts w:ascii="Times New Roman" w:hAnsi="Times New Roman" w:cs="Times New Roman"/>
          <w:color w:val="auto"/>
          <w:sz w:val="24"/>
          <w:szCs w:val="24"/>
        </w:rPr>
        <w:t>doprinos prilikom izgradnje postrojenja. Iznosi komunalnih doprinosa nisu jednoznačno određeni za sve projekte već ih određuju jedinice lokalne samouprave, i obračunavaju se ili po volumenu postrojenja (oko 30 kn/m</w:t>
      </w:r>
      <w:r w:rsidRPr="003E2DBC">
        <w:rPr>
          <w:rFonts w:ascii="Times New Roman" w:hAnsi="Times New Roman" w:cs="Times New Roman"/>
          <w:color w:val="auto"/>
          <w:sz w:val="24"/>
          <w:szCs w:val="24"/>
          <w:vertAlign w:val="superscript"/>
        </w:rPr>
        <w:t>3</w:t>
      </w:r>
      <w:r w:rsidRPr="003E2DBC">
        <w:rPr>
          <w:rFonts w:ascii="Times New Roman" w:hAnsi="Times New Roman" w:cs="Times New Roman"/>
          <w:color w:val="auto"/>
          <w:sz w:val="24"/>
          <w:szCs w:val="24"/>
        </w:rPr>
        <w:t>, npr. volumen stupa vjetroagregata) ili po površini postrojenja (oko 15 kn/m</w:t>
      </w:r>
      <w:r w:rsidRPr="003E2DBC">
        <w:rPr>
          <w:rFonts w:ascii="Times New Roman" w:hAnsi="Times New Roman" w:cs="Times New Roman"/>
          <w:color w:val="auto"/>
          <w:sz w:val="24"/>
          <w:szCs w:val="24"/>
          <w:vertAlign w:val="superscript"/>
        </w:rPr>
        <w:t>2</w:t>
      </w:r>
      <w:r w:rsidRPr="008609F9">
        <w:rPr>
          <w:rFonts w:ascii="Times New Roman" w:hAnsi="Times New Roman" w:cs="Times New Roman"/>
          <w:color w:val="auto"/>
          <w:sz w:val="24"/>
          <w:szCs w:val="24"/>
        </w:rPr>
        <w:t>, npr. tlocrtna površina projekcije fotonaponskih modula). Iznos komunalnog doprinosa se u pravilu plaća odjednom, prije izgradnje postrojenja. Uzimajući u obzir jedinične iznose i tipične iznose po jedinici instalirane snage postrojenja, jasno je kako se radi o dosta visokom trošku za koji je potrebno osigurati sredstva prije gradnje, odnosno i prije financiranja projekta, što dodatno opterećuje zatvaranje financiranja projekata.</w:t>
      </w:r>
      <w:r w:rsidR="008E4E0F">
        <w:rPr>
          <w:rFonts w:ascii="Times New Roman" w:hAnsi="Times New Roman" w:cs="Times New Roman"/>
          <w:color w:val="auto"/>
          <w:sz w:val="24"/>
          <w:szCs w:val="24"/>
        </w:rPr>
        <w:t xml:space="preserve"> </w:t>
      </w:r>
    </w:p>
    <w:p w:rsidR="002D05C0" w:rsidRDefault="00DF7141" w:rsidP="002D7C87">
      <w:pPr>
        <w:pStyle w:val="Tijeloteksta"/>
        <w:rPr>
          <w:rFonts w:ascii="Times New Roman" w:hAnsi="Times New Roman" w:cs="Times New Roman"/>
          <w:color w:val="auto"/>
          <w:sz w:val="24"/>
          <w:szCs w:val="24"/>
        </w:rPr>
      </w:pPr>
      <w:r w:rsidRPr="00387E05">
        <w:rPr>
          <w:rFonts w:ascii="Times New Roman" w:hAnsi="Times New Roman" w:cs="Times New Roman"/>
          <w:color w:val="auto"/>
          <w:sz w:val="24"/>
          <w:szCs w:val="24"/>
        </w:rPr>
        <w:t xml:space="preserve">Osim navedenog, što je glavna prepreka izglednijoj realizaciji projekta, ovakav način plaćanja komunalnog doprinosa </w:t>
      </w:r>
      <w:r w:rsidR="002D05C0">
        <w:rPr>
          <w:rFonts w:ascii="Times New Roman" w:hAnsi="Times New Roman" w:cs="Times New Roman"/>
          <w:color w:val="auto"/>
          <w:sz w:val="24"/>
          <w:szCs w:val="24"/>
        </w:rPr>
        <w:t xml:space="preserve">pokazuje kako praksa nije ujednačena i postoje razlike u </w:t>
      </w:r>
      <w:r w:rsidR="002D05C0" w:rsidRPr="00387E05">
        <w:rPr>
          <w:rFonts w:ascii="Times New Roman" w:hAnsi="Times New Roman" w:cs="Times New Roman"/>
          <w:color w:val="auto"/>
          <w:sz w:val="24"/>
          <w:szCs w:val="24"/>
        </w:rPr>
        <w:t>„tumačenju zakona“ za pojedine projekte.</w:t>
      </w:r>
    </w:p>
    <w:p w:rsidR="00DF7141" w:rsidRPr="0024150C" w:rsidRDefault="00DF7141" w:rsidP="002D7C87">
      <w:pPr>
        <w:pStyle w:val="Tijeloteksta"/>
        <w:rPr>
          <w:rFonts w:ascii="Times New Roman" w:hAnsi="Times New Roman" w:cs="Times New Roman"/>
          <w:color w:val="auto"/>
          <w:sz w:val="24"/>
          <w:szCs w:val="24"/>
        </w:rPr>
      </w:pPr>
      <w:r w:rsidRPr="0024150C">
        <w:rPr>
          <w:rFonts w:ascii="Times New Roman" w:hAnsi="Times New Roman" w:cs="Times New Roman"/>
          <w:color w:val="auto"/>
          <w:sz w:val="24"/>
          <w:szCs w:val="24"/>
        </w:rPr>
        <w:t xml:space="preserve">Potrebno je napomenuti i kako postrojenja za proizvodnju električne energije iz energije vjetra i sunca od komunalne infrastrukture uobičajeno koriste samo pristupne i lokalne ceste (ne koriste vodovodnu mrežu, kanalizacijsku mrežu, javnu rasvjetu i </w:t>
      </w:r>
      <w:r w:rsidRPr="0024150C">
        <w:rPr>
          <w:rFonts w:ascii="Times New Roman" w:hAnsi="Times New Roman" w:cs="Times New Roman"/>
          <w:color w:val="auto"/>
          <w:sz w:val="24"/>
          <w:szCs w:val="24"/>
        </w:rPr>
        <w:lastRenderedPageBreak/>
        <w:t xml:space="preserve">slično). Navedene ceste se dominantno koriste u fazi gradnje ili rekonstrukcije postrojenja dok ostatak životnog vijeka postrojenja opterećenost cesta nije toliko izražena. </w:t>
      </w:r>
    </w:p>
    <w:p w:rsidR="00F052EB" w:rsidRDefault="002D05C0" w:rsidP="002D7C87">
      <w:pPr>
        <w:pStyle w:val="Tijeloteksta"/>
        <w:rPr>
          <w:rFonts w:ascii="Times New Roman" w:hAnsi="Times New Roman" w:cs="Times New Roman"/>
          <w:color w:val="auto"/>
          <w:sz w:val="24"/>
          <w:szCs w:val="24"/>
        </w:rPr>
      </w:pPr>
      <w:r>
        <w:rPr>
          <w:rFonts w:ascii="Times New Roman" w:hAnsi="Times New Roman" w:cs="Times New Roman"/>
          <w:color w:val="auto"/>
          <w:sz w:val="24"/>
          <w:szCs w:val="24"/>
        </w:rPr>
        <w:t xml:space="preserve">U skladu s navedenim, potrebno je u fazi projektiranja svakog projekta aktivno uključivanje lokalne zajednice i lokalnog stanovništva te temeljem takve suradnje </w:t>
      </w:r>
      <w:r w:rsidR="00F052EB">
        <w:rPr>
          <w:rFonts w:ascii="Times New Roman" w:hAnsi="Times New Roman" w:cs="Times New Roman"/>
          <w:color w:val="auto"/>
          <w:sz w:val="24"/>
          <w:szCs w:val="24"/>
        </w:rPr>
        <w:t>osigurati nesmetani razvoj projekta uz podršku lokalne zajednice.</w:t>
      </w:r>
    </w:p>
    <w:p w:rsidR="00DF7141" w:rsidRPr="007C507C" w:rsidRDefault="00DF7141" w:rsidP="00FC271C">
      <w:pPr>
        <w:pStyle w:val="Naslov3"/>
        <w:numPr>
          <w:ilvl w:val="0"/>
          <w:numId w:val="0"/>
        </w:numPr>
        <w:ind w:left="1003"/>
      </w:pPr>
      <w:bookmarkStart w:id="484" w:name="_Toc105137915"/>
      <w:bookmarkStart w:id="485" w:name="_Toc105396365"/>
      <w:bookmarkStart w:id="486" w:name="_Toc105756741"/>
      <w:bookmarkStart w:id="487" w:name="_Toc105973514"/>
      <w:r w:rsidRPr="007C507C">
        <w:t>Podkapacitranost lokalnih ureda</w:t>
      </w:r>
      <w:bookmarkEnd w:id="484"/>
      <w:bookmarkEnd w:id="485"/>
      <w:bookmarkEnd w:id="486"/>
      <w:bookmarkEnd w:id="487"/>
    </w:p>
    <w:p w:rsidR="00DF7141" w:rsidRPr="00331C56" w:rsidRDefault="00DF7141" w:rsidP="002D7C87">
      <w:pPr>
        <w:pStyle w:val="Tijeloteksta"/>
        <w:rPr>
          <w:rFonts w:ascii="Times New Roman" w:hAnsi="Times New Roman" w:cs="Times New Roman"/>
          <w:color w:val="auto"/>
          <w:sz w:val="24"/>
          <w:szCs w:val="24"/>
        </w:rPr>
      </w:pPr>
      <w:r w:rsidRPr="00331C56">
        <w:rPr>
          <w:rFonts w:ascii="Times New Roman" w:hAnsi="Times New Roman" w:cs="Times New Roman"/>
          <w:color w:val="auto"/>
          <w:sz w:val="24"/>
          <w:szCs w:val="24"/>
        </w:rPr>
        <w:t xml:space="preserve">Lokalni uredi državne uprave na razini županija i gradova, nadležni za graditeljstvo, često su podkapacitirani, u brojčanom i tehničkom smislu, te suočeni s rješavanjem velikog broja predmeta različitih obuhvata. U pravilu, isti ured rješava lokacijske i građevinske dozvole za manje objekte, poput obiteljskih kuća ali i veće zahvate, poput vjetroelektrana, što uzrokuje kašnjenje kod ishođenja dozvola. </w:t>
      </w:r>
    </w:p>
    <w:p w:rsidR="00DF7141" w:rsidRPr="00331C56" w:rsidRDefault="00DF7141" w:rsidP="002D7C87">
      <w:pPr>
        <w:pStyle w:val="Tijeloteksta"/>
        <w:rPr>
          <w:rFonts w:ascii="Times New Roman" w:hAnsi="Times New Roman" w:cs="Times New Roman"/>
          <w:color w:val="auto"/>
          <w:sz w:val="24"/>
          <w:szCs w:val="24"/>
        </w:rPr>
      </w:pPr>
      <w:r w:rsidRPr="00331C56">
        <w:rPr>
          <w:rFonts w:ascii="Times New Roman" w:hAnsi="Times New Roman" w:cs="Times New Roman"/>
          <w:color w:val="auto"/>
          <w:sz w:val="24"/>
          <w:szCs w:val="24"/>
        </w:rPr>
        <w:t xml:space="preserve">U slučaju većih projekata, ne postoji razina prioriteta koja bi se njima pridijelila, te se ovi zahtjevi rješavaju paralelno s ostalima. </w:t>
      </w:r>
    </w:p>
    <w:p w:rsidR="00DF7141" w:rsidRPr="00331C56" w:rsidRDefault="00495749" w:rsidP="00FC271C">
      <w:pPr>
        <w:pStyle w:val="Naslov3"/>
        <w:numPr>
          <w:ilvl w:val="0"/>
          <w:numId w:val="0"/>
        </w:numPr>
        <w:ind w:left="1003"/>
      </w:pPr>
      <w:bookmarkStart w:id="488" w:name="_Toc105137916"/>
      <w:bookmarkStart w:id="489" w:name="_Toc105396366"/>
      <w:bookmarkStart w:id="490" w:name="_Toc105756742"/>
      <w:bookmarkStart w:id="491" w:name="_Toc105973515"/>
      <w:r>
        <w:t>D</w:t>
      </w:r>
      <w:r w:rsidR="00DF7141" w:rsidRPr="00331C56">
        <w:t>ugoročni ugovori o dobavi sirovine</w:t>
      </w:r>
      <w:bookmarkEnd w:id="488"/>
      <w:bookmarkEnd w:id="489"/>
      <w:bookmarkEnd w:id="490"/>
      <w:bookmarkEnd w:id="491"/>
    </w:p>
    <w:p w:rsidR="00DF7141" w:rsidRPr="00331C56" w:rsidRDefault="00DF7141" w:rsidP="002D7C87">
      <w:pPr>
        <w:pStyle w:val="Tijeloteksta"/>
        <w:rPr>
          <w:rFonts w:ascii="Times New Roman" w:hAnsi="Times New Roman" w:cs="Times New Roman"/>
          <w:color w:val="auto"/>
          <w:sz w:val="24"/>
          <w:szCs w:val="24"/>
        </w:rPr>
      </w:pPr>
      <w:r w:rsidRPr="00331C56">
        <w:rPr>
          <w:rFonts w:ascii="Times New Roman" w:hAnsi="Times New Roman" w:cs="Times New Roman"/>
          <w:color w:val="auto"/>
          <w:sz w:val="24"/>
          <w:szCs w:val="24"/>
        </w:rPr>
        <w:t>Projekti OIE kojima je za rad potrebna sirovina, a što se posebice odnosi na projekte kogeneracija na biomasu, ovise o sigurnoj i dugoročnoj dobavi sirovina za rad, poput biomase, kukuruzne silaže i slično. Ugovo</w:t>
      </w:r>
      <w:r w:rsidR="00495749">
        <w:rPr>
          <w:rFonts w:ascii="Times New Roman" w:hAnsi="Times New Roman" w:cs="Times New Roman"/>
          <w:color w:val="auto"/>
          <w:sz w:val="24"/>
          <w:szCs w:val="24"/>
        </w:rPr>
        <w:t>r</w:t>
      </w:r>
      <w:r w:rsidRPr="00331C56">
        <w:rPr>
          <w:rFonts w:ascii="Times New Roman" w:hAnsi="Times New Roman" w:cs="Times New Roman"/>
          <w:color w:val="auto"/>
          <w:sz w:val="24"/>
          <w:szCs w:val="24"/>
        </w:rPr>
        <w:t>i</w:t>
      </w:r>
      <w:r w:rsidR="00495749">
        <w:rPr>
          <w:rFonts w:ascii="Times New Roman" w:hAnsi="Times New Roman" w:cs="Times New Roman"/>
          <w:color w:val="auto"/>
          <w:sz w:val="24"/>
          <w:szCs w:val="24"/>
        </w:rPr>
        <w:t>ma</w:t>
      </w:r>
      <w:r w:rsidRPr="00331C56">
        <w:rPr>
          <w:rFonts w:ascii="Times New Roman" w:hAnsi="Times New Roman" w:cs="Times New Roman"/>
          <w:color w:val="auto"/>
          <w:sz w:val="24"/>
          <w:szCs w:val="24"/>
        </w:rPr>
        <w:t xml:space="preserve"> o dobavi sirovine </w:t>
      </w:r>
      <w:r w:rsidR="00495749">
        <w:rPr>
          <w:rFonts w:ascii="Times New Roman" w:hAnsi="Times New Roman" w:cs="Times New Roman"/>
          <w:color w:val="auto"/>
          <w:sz w:val="24"/>
          <w:szCs w:val="24"/>
        </w:rPr>
        <w:t>po</w:t>
      </w:r>
      <w:r w:rsidRPr="00331C56">
        <w:rPr>
          <w:rFonts w:ascii="Times New Roman" w:hAnsi="Times New Roman" w:cs="Times New Roman"/>
          <w:color w:val="auto"/>
          <w:sz w:val="24"/>
          <w:szCs w:val="24"/>
        </w:rPr>
        <w:t>treb</w:t>
      </w:r>
      <w:r w:rsidR="00495749">
        <w:rPr>
          <w:rFonts w:ascii="Times New Roman" w:hAnsi="Times New Roman" w:cs="Times New Roman"/>
          <w:color w:val="auto"/>
          <w:sz w:val="24"/>
          <w:szCs w:val="24"/>
        </w:rPr>
        <w:t>no je</w:t>
      </w:r>
      <w:r w:rsidRPr="00331C56">
        <w:rPr>
          <w:rFonts w:ascii="Times New Roman" w:hAnsi="Times New Roman" w:cs="Times New Roman"/>
          <w:color w:val="auto"/>
          <w:sz w:val="24"/>
          <w:szCs w:val="24"/>
        </w:rPr>
        <w:t xml:space="preserve"> jasno definirati cijene, količine te vremensko razdoblje dobave sirovina.</w:t>
      </w:r>
    </w:p>
    <w:p w:rsidR="005B7182" w:rsidRPr="00331C56" w:rsidRDefault="005B7182" w:rsidP="00C90729">
      <w:pPr>
        <w:pStyle w:val="Naslov2"/>
      </w:pPr>
      <w:bookmarkStart w:id="492" w:name="_Toc105396367"/>
      <w:bookmarkStart w:id="493" w:name="_Toc105756743"/>
      <w:bookmarkStart w:id="494" w:name="_Toc105973516"/>
      <w:bookmarkStart w:id="495" w:name="_Toc105137917"/>
      <w:r w:rsidRPr="00331C56">
        <w:t>REGISTAR OIEKPP</w:t>
      </w:r>
      <w:bookmarkEnd w:id="492"/>
      <w:bookmarkEnd w:id="493"/>
      <w:bookmarkEnd w:id="494"/>
    </w:p>
    <w:p w:rsidR="005B7182" w:rsidRPr="00387E05" w:rsidRDefault="005B7182" w:rsidP="005B7182">
      <w:pPr>
        <w:pStyle w:val="Tijeloteksta"/>
        <w:rPr>
          <w:rFonts w:ascii="Times New Roman" w:hAnsi="Times New Roman" w:cs="Times New Roman"/>
          <w:color w:val="auto"/>
          <w:sz w:val="24"/>
          <w:szCs w:val="24"/>
        </w:rPr>
      </w:pPr>
      <w:r w:rsidRPr="00003942">
        <w:rPr>
          <w:rFonts w:ascii="Times New Roman" w:hAnsi="Times New Roman" w:cs="Times New Roman"/>
          <w:color w:val="auto"/>
          <w:sz w:val="24"/>
          <w:szCs w:val="24"/>
        </w:rPr>
        <w:t xml:space="preserve">Registar OIEKPP je jedinstvena evidencija o projektima </w:t>
      </w:r>
      <w:r w:rsidRPr="00003942">
        <w:rPr>
          <w:rStyle w:val="summarymark"/>
          <w:rFonts w:ascii="Times New Roman" w:hAnsi="Times New Roman" w:cs="Times New Roman"/>
          <w:color w:val="auto"/>
          <w:sz w:val="24"/>
          <w:szCs w:val="24"/>
        </w:rPr>
        <w:t>obnovljivih izvora energije</w:t>
      </w:r>
      <w:r w:rsidRPr="00F63D65">
        <w:rPr>
          <w:rFonts w:ascii="Times New Roman" w:hAnsi="Times New Roman" w:cs="Times New Roman"/>
          <w:color w:val="auto"/>
          <w:sz w:val="24"/>
          <w:szCs w:val="24"/>
        </w:rPr>
        <w:t xml:space="preserve"> i visokoučinkovite kogeneracije, proizvodnim postrojenjima koja koriste </w:t>
      </w:r>
      <w:r w:rsidRPr="003E2DBC">
        <w:rPr>
          <w:rStyle w:val="summarymark"/>
          <w:rFonts w:ascii="Times New Roman" w:hAnsi="Times New Roman" w:cs="Times New Roman"/>
          <w:color w:val="auto"/>
          <w:sz w:val="24"/>
          <w:szCs w:val="24"/>
        </w:rPr>
        <w:t>obnovljive izvore energije</w:t>
      </w:r>
      <w:r w:rsidRPr="003E2DBC">
        <w:rPr>
          <w:rFonts w:ascii="Times New Roman" w:hAnsi="Times New Roman" w:cs="Times New Roman"/>
          <w:color w:val="auto"/>
          <w:sz w:val="24"/>
          <w:szCs w:val="24"/>
        </w:rPr>
        <w:t xml:space="preserve">, odnosno visokoučinkovitim kogeneracijskim postrojenjima te povlaštenim proizvođačima na području Republike Hrvatske. Registar OIEKPP vodi Ministarstvo nadležno za energetiku (MINGOR) u elektroničkom obliku radi praćenja i nadzora nad provedbom projekata </w:t>
      </w:r>
      <w:r w:rsidRPr="008609F9">
        <w:rPr>
          <w:rStyle w:val="summarymark"/>
          <w:rFonts w:ascii="Times New Roman" w:hAnsi="Times New Roman" w:cs="Times New Roman"/>
          <w:color w:val="auto"/>
          <w:sz w:val="24"/>
          <w:szCs w:val="24"/>
        </w:rPr>
        <w:t>obnovljivih izvora energije</w:t>
      </w:r>
      <w:r w:rsidRPr="008609F9">
        <w:rPr>
          <w:rFonts w:ascii="Times New Roman" w:hAnsi="Times New Roman" w:cs="Times New Roman"/>
          <w:color w:val="auto"/>
          <w:sz w:val="24"/>
          <w:szCs w:val="24"/>
        </w:rPr>
        <w:t xml:space="preserve"> i visokoučinkovite kogenera</w:t>
      </w:r>
      <w:r w:rsidRPr="00387E05">
        <w:rPr>
          <w:rFonts w:ascii="Times New Roman" w:hAnsi="Times New Roman" w:cs="Times New Roman"/>
          <w:color w:val="auto"/>
          <w:sz w:val="24"/>
          <w:szCs w:val="24"/>
        </w:rPr>
        <w:t>cije, na temelju odredbi ZoOIEVK-a te Pravilnika o Registru obnovljivih izvora energije i kogeneracije te povlaštenih proizvođača (NN 087/2019), odnosno prema Pravilniku koji je predviđen člankom 33, stavkom 12 ZoOIEVK.</w:t>
      </w:r>
    </w:p>
    <w:p w:rsidR="005B7182" w:rsidRPr="00387E05" w:rsidRDefault="005B7182" w:rsidP="005B7182">
      <w:pPr>
        <w:pStyle w:val="Tijeloteksta"/>
        <w:rPr>
          <w:rFonts w:ascii="Times New Roman" w:hAnsi="Times New Roman" w:cs="Times New Roman"/>
          <w:color w:val="auto"/>
          <w:sz w:val="24"/>
          <w:szCs w:val="24"/>
        </w:rPr>
      </w:pPr>
      <w:r w:rsidRPr="00387E05">
        <w:rPr>
          <w:rFonts w:ascii="Times New Roman" w:hAnsi="Times New Roman" w:cs="Times New Roman"/>
          <w:color w:val="auto"/>
          <w:sz w:val="24"/>
          <w:szCs w:val="24"/>
        </w:rPr>
        <w:t xml:space="preserve">Registar OIEKPP je zamišljen kao središnje mjesto gdje će biti dostupni svi potrebni podaci o projektima OIE u razvoju i pogonu. Sve institucije uključene u razvoj projekata trebale bi imate pravo pristupa i unosa podataka o pojedinom projektu u Registar OIEKPP. </w:t>
      </w:r>
    </w:p>
    <w:p w:rsidR="005B7182" w:rsidRPr="003E2DBC" w:rsidRDefault="005B7182" w:rsidP="005B7182">
      <w:pPr>
        <w:pStyle w:val="Tijeloteksta"/>
        <w:rPr>
          <w:rFonts w:ascii="Times New Roman" w:hAnsi="Times New Roman" w:cs="Times New Roman"/>
          <w:color w:val="auto"/>
          <w:sz w:val="24"/>
          <w:szCs w:val="24"/>
        </w:rPr>
      </w:pPr>
      <w:r w:rsidRPr="0024150C">
        <w:rPr>
          <w:rFonts w:ascii="Times New Roman" w:hAnsi="Times New Roman" w:cs="Times New Roman"/>
          <w:color w:val="auto"/>
          <w:sz w:val="24"/>
          <w:szCs w:val="24"/>
        </w:rPr>
        <w:t xml:space="preserve">Trenutačna verzija aplikacije Registra OIEKPP </w:t>
      </w:r>
      <w:r w:rsidRPr="00003942">
        <w:rPr>
          <w:rFonts w:ascii="Times New Roman" w:hAnsi="Times New Roman" w:cs="Times New Roman"/>
          <w:color w:val="auto"/>
          <w:sz w:val="24"/>
          <w:szCs w:val="24"/>
        </w:rPr>
        <w:fldChar w:fldCharType="begin"/>
      </w:r>
      <w:r w:rsidRPr="00331C56">
        <w:rPr>
          <w:rFonts w:ascii="Times New Roman" w:hAnsi="Times New Roman" w:cs="Times New Roman"/>
          <w:color w:val="auto"/>
          <w:sz w:val="24"/>
          <w:szCs w:val="24"/>
        </w:rPr>
        <w:instrText xml:space="preserve"> REF _Ref103694862 \r \h  \* MERGEFORMAT </w:instrText>
      </w:r>
      <w:r w:rsidRPr="00003942">
        <w:rPr>
          <w:rFonts w:ascii="Times New Roman" w:hAnsi="Times New Roman" w:cs="Times New Roman"/>
          <w:color w:val="auto"/>
          <w:sz w:val="24"/>
          <w:szCs w:val="24"/>
        </w:rPr>
      </w:r>
      <w:r w:rsidRPr="00003942">
        <w:rPr>
          <w:rFonts w:ascii="Times New Roman" w:hAnsi="Times New Roman" w:cs="Times New Roman"/>
          <w:color w:val="auto"/>
          <w:sz w:val="24"/>
          <w:szCs w:val="24"/>
        </w:rPr>
        <w:fldChar w:fldCharType="separate"/>
      </w:r>
      <w:r w:rsidR="009C3921">
        <w:rPr>
          <w:rFonts w:ascii="Times New Roman" w:hAnsi="Times New Roman" w:cs="Times New Roman"/>
          <w:color w:val="auto"/>
          <w:sz w:val="24"/>
          <w:szCs w:val="24"/>
        </w:rPr>
        <w:t>[7]</w:t>
      </w:r>
      <w:r w:rsidRPr="00003942">
        <w:rPr>
          <w:rFonts w:ascii="Times New Roman" w:hAnsi="Times New Roman" w:cs="Times New Roman"/>
          <w:color w:val="auto"/>
          <w:sz w:val="24"/>
          <w:szCs w:val="24"/>
        </w:rPr>
        <w:fldChar w:fldCharType="end"/>
      </w:r>
      <w:r w:rsidRPr="00003942">
        <w:rPr>
          <w:rFonts w:ascii="Times New Roman" w:hAnsi="Times New Roman" w:cs="Times New Roman"/>
          <w:color w:val="auto"/>
          <w:sz w:val="24"/>
          <w:szCs w:val="24"/>
        </w:rPr>
        <w:t xml:space="preserve"> dostupna je na stranicama M</w:t>
      </w:r>
      <w:r w:rsidRPr="00F63D65">
        <w:rPr>
          <w:rFonts w:ascii="Times New Roman" w:hAnsi="Times New Roman" w:cs="Times New Roman"/>
          <w:color w:val="auto"/>
          <w:sz w:val="24"/>
          <w:szCs w:val="24"/>
        </w:rPr>
        <w:t>IN</w:t>
      </w:r>
      <w:r w:rsidRPr="003E2DBC">
        <w:rPr>
          <w:rFonts w:ascii="Times New Roman" w:hAnsi="Times New Roman" w:cs="Times New Roman"/>
          <w:color w:val="auto"/>
          <w:sz w:val="24"/>
          <w:szCs w:val="24"/>
        </w:rPr>
        <w:t xml:space="preserve">GOR-a, u vidu pregleda projekata upisanih u Registar OIEKPP, grafičke analize raspodjele projekata te interaktivne karte raspodjele projekata. </w:t>
      </w:r>
    </w:p>
    <w:p w:rsidR="005B7182" w:rsidRPr="003E2DBC" w:rsidRDefault="00495749" w:rsidP="00FC271C">
      <w:pPr>
        <w:pStyle w:val="Naslov3"/>
        <w:numPr>
          <w:ilvl w:val="0"/>
          <w:numId w:val="0"/>
        </w:numPr>
        <w:ind w:left="1003"/>
      </w:pPr>
      <w:bookmarkStart w:id="496" w:name="_Toc105396368"/>
      <w:bookmarkStart w:id="497" w:name="_Toc105756744"/>
      <w:bookmarkStart w:id="498" w:name="_Toc105973517"/>
      <w:r>
        <w:t>P</w:t>
      </w:r>
      <w:r w:rsidR="005B7182" w:rsidRPr="003E2DBC">
        <w:t>ristup Registru OIEKPP</w:t>
      </w:r>
      <w:bookmarkEnd w:id="496"/>
      <w:bookmarkEnd w:id="497"/>
      <w:bookmarkEnd w:id="498"/>
    </w:p>
    <w:p w:rsidR="005B7182" w:rsidRPr="00F63D65" w:rsidRDefault="005B7182" w:rsidP="005B7182">
      <w:pPr>
        <w:pStyle w:val="Tijeloteksta"/>
        <w:rPr>
          <w:rFonts w:ascii="Times New Roman" w:hAnsi="Times New Roman" w:cs="Times New Roman"/>
          <w:color w:val="auto"/>
          <w:sz w:val="24"/>
          <w:szCs w:val="24"/>
        </w:rPr>
      </w:pPr>
      <w:r w:rsidRPr="003E2DBC">
        <w:rPr>
          <w:rFonts w:ascii="Times New Roman" w:hAnsi="Times New Roman" w:cs="Times New Roman"/>
          <w:color w:val="auto"/>
          <w:sz w:val="24"/>
          <w:szCs w:val="24"/>
        </w:rPr>
        <w:t>Registar OIEKPP izrađen je početkom 2010. Interaktivna karta raspodjele projekata temelji se na Microsoft® Silverlight</w:t>
      </w:r>
      <w:r w:rsidRPr="003E2DBC">
        <w:rPr>
          <w:rFonts w:ascii="Times New Roman" w:hAnsi="Times New Roman" w:cs="Times New Roman"/>
          <w:color w:val="auto"/>
          <w:sz w:val="24"/>
          <w:szCs w:val="24"/>
          <w:vertAlign w:val="superscript"/>
        </w:rPr>
        <w:t>TM</w:t>
      </w:r>
      <w:r w:rsidRPr="008609F9">
        <w:rPr>
          <w:rFonts w:ascii="Times New Roman" w:hAnsi="Times New Roman" w:cs="Times New Roman"/>
          <w:color w:val="auto"/>
          <w:sz w:val="24"/>
          <w:szCs w:val="24"/>
        </w:rPr>
        <w:t xml:space="preserve"> tehnologiji. Bitno je napomenuti da proizvođač od 12. listopada 2021. više ne pruža podršku za ovu tehnologiju, a podržani su </w:t>
      </w:r>
      <w:r w:rsidRPr="008609F9">
        <w:rPr>
          <w:rFonts w:ascii="Times New Roman" w:hAnsi="Times New Roman" w:cs="Times New Roman"/>
          <w:color w:val="auto"/>
          <w:sz w:val="24"/>
          <w:szCs w:val="24"/>
        </w:rPr>
        <w:lastRenderedPageBreak/>
        <w:t xml:space="preserve">samo internetski preglednici Internet Explorer 10 i Internet Explorer 11, dok ne postoji podrška za popularnije preglednike, poput Chrome-a, Firefox-a ili bilo kojeg preglednika koji se koristi na Mac operacijskom sustavu </w:t>
      </w:r>
      <w:r w:rsidRPr="00003942">
        <w:rPr>
          <w:rFonts w:ascii="Times New Roman" w:hAnsi="Times New Roman" w:cs="Times New Roman"/>
          <w:color w:val="auto"/>
          <w:sz w:val="24"/>
          <w:szCs w:val="24"/>
        </w:rPr>
        <w:fldChar w:fldCharType="begin"/>
      </w:r>
      <w:r w:rsidRPr="00331C56">
        <w:rPr>
          <w:rFonts w:ascii="Times New Roman" w:hAnsi="Times New Roman" w:cs="Times New Roman"/>
          <w:color w:val="auto"/>
          <w:sz w:val="24"/>
          <w:szCs w:val="24"/>
        </w:rPr>
        <w:instrText xml:space="preserve"> REF _Ref103695789 \r \h  \* MERGEFORMAT </w:instrText>
      </w:r>
      <w:r w:rsidRPr="00003942">
        <w:rPr>
          <w:rFonts w:ascii="Times New Roman" w:hAnsi="Times New Roman" w:cs="Times New Roman"/>
          <w:color w:val="auto"/>
          <w:sz w:val="24"/>
          <w:szCs w:val="24"/>
        </w:rPr>
      </w:r>
      <w:r w:rsidRPr="00003942">
        <w:rPr>
          <w:rFonts w:ascii="Times New Roman" w:hAnsi="Times New Roman" w:cs="Times New Roman"/>
          <w:color w:val="auto"/>
          <w:sz w:val="24"/>
          <w:szCs w:val="24"/>
        </w:rPr>
        <w:fldChar w:fldCharType="separate"/>
      </w:r>
      <w:r w:rsidR="009C3921">
        <w:rPr>
          <w:rFonts w:ascii="Times New Roman" w:hAnsi="Times New Roman" w:cs="Times New Roman"/>
          <w:color w:val="auto"/>
          <w:sz w:val="24"/>
          <w:szCs w:val="24"/>
        </w:rPr>
        <w:t>[8]</w:t>
      </w:r>
      <w:r w:rsidRPr="00003942">
        <w:rPr>
          <w:rFonts w:ascii="Times New Roman" w:hAnsi="Times New Roman" w:cs="Times New Roman"/>
          <w:color w:val="auto"/>
          <w:sz w:val="24"/>
          <w:szCs w:val="24"/>
        </w:rPr>
        <w:fldChar w:fldCharType="end"/>
      </w:r>
      <w:r w:rsidRPr="00003942">
        <w:rPr>
          <w:rFonts w:ascii="Times New Roman" w:hAnsi="Times New Roman" w:cs="Times New Roman"/>
          <w:color w:val="auto"/>
          <w:sz w:val="24"/>
          <w:szCs w:val="24"/>
        </w:rPr>
        <w:t xml:space="preserve">. Uzimajući ovo u obzir, interaktivna karta Registra OIEKPP nije dostupna širokom krugu potencijalnih korisnika, te je njeno korištenje značajno otežano zbog potrebe instalacije raznih dodataka za preglednike. </w:t>
      </w:r>
    </w:p>
    <w:p w:rsidR="005B7182" w:rsidRPr="003E2DBC" w:rsidRDefault="00495749" w:rsidP="00FC271C">
      <w:pPr>
        <w:pStyle w:val="Naslov3"/>
        <w:numPr>
          <w:ilvl w:val="0"/>
          <w:numId w:val="0"/>
        </w:numPr>
        <w:ind w:left="1003"/>
      </w:pPr>
      <w:bookmarkStart w:id="499" w:name="_Toc105396369"/>
      <w:bookmarkStart w:id="500" w:name="_Toc105756745"/>
      <w:bookmarkStart w:id="501" w:name="_Toc105973518"/>
      <w:r>
        <w:t>I</w:t>
      </w:r>
      <w:r w:rsidR="005B7182" w:rsidRPr="00F63D65">
        <w:t>zvoz prosto</w:t>
      </w:r>
      <w:r w:rsidR="005B7182" w:rsidRPr="003E2DBC">
        <w:t>rnih podataka</w:t>
      </w:r>
      <w:bookmarkEnd w:id="499"/>
      <w:bookmarkEnd w:id="500"/>
      <w:bookmarkEnd w:id="501"/>
    </w:p>
    <w:p w:rsidR="005B7182" w:rsidRDefault="005B7182" w:rsidP="005B7182">
      <w:pPr>
        <w:pStyle w:val="Tijeloteksta"/>
        <w:rPr>
          <w:rFonts w:ascii="Times New Roman" w:hAnsi="Times New Roman" w:cs="Times New Roman"/>
          <w:color w:val="auto"/>
          <w:sz w:val="24"/>
          <w:szCs w:val="24"/>
        </w:rPr>
      </w:pPr>
      <w:r w:rsidRPr="003E2DBC">
        <w:rPr>
          <w:rFonts w:ascii="Times New Roman" w:hAnsi="Times New Roman" w:cs="Times New Roman"/>
          <w:color w:val="auto"/>
          <w:sz w:val="24"/>
          <w:szCs w:val="24"/>
        </w:rPr>
        <w:t>Korisničko sučelje Registra OIEKPP pruža samo pregled raspodjele projekata, bez mogućnosti izvoza prostornih podataka, niti mogućnost njihovog korištenja preko javno dostupnih servisa, poput WMS-a. Ovakav pristup onemogućava daljnje analize i obrade podataka od strane trećih strana.</w:t>
      </w:r>
    </w:p>
    <w:p w:rsidR="00522AC5" w:rsidRPr="00331C56" w:rsidRDefault="00522AC5" w:rsidP="00C90729">
      <w:pPr>
        <w:pStyle w:val="Naslov2"/>
      </w:pPr>
      <w:bookmarkStart w:id="502" w:name="_Toc105973519"/>
      <w:r>
        <w:t>JAČANJE ADMINISTRATIVNIH KAPACITETA</w:t>
      </w:r>
      <w:bookmarkEnd w:id="502"/>
    </w:p>
    <w:p w:rsidR="00522AC5" w:rsidRPr="00D15569" w:rsidRDefault="00C90729" w:rsidP="005B7182">
      <w:pPr>
        <w:pStyle w:val="Tijeloteksta"/>
        <w:rPr>
          <w:rFonts w:ascii="Times New Roman" w:hAnsi="Times New Roman" w:cs="Times New Roman"/>
          <w:color w:val="auto"/>
          <w:sz w:val="24"/>
          <w:szCs w:val="24"/>
        </w:rPr>
      </w:pPr>
      <w:r w:rsidRPr="00D15569">
        <w:rPr>
          <w:rFonts w:ascii="Times New Roman" w:hAnsi="Times New Roman" w:cs="Times New Roman"/>
          <w:color w:val="auto"/>
          <w:sz w:val="24"/>
          <w:szCs w:val="24"/>
        </w:rPr>
        <w:t xml:space="preserve">Iako je promjena zakonodavstva osigurala niz novih aktivnosti te bolju provedbu projekata vezanih za obnovljive izvore energije, administrativni kapaciteti pojedinih tijela unutar sustava državne uprave čine ozbiljnu prepreku za potpunu i kvalitetnu primjenu novog zakonodavstva. Ovdje se misli na nedostatak ljudi vezanih uz </w:t>
      </w:r>
      <w:r w:rsidR="00D15569">
        <w:rPr>
          <w:rFonts w:ascii="Times New Roman" w:hAnsi="Times New Roman" w:cs="Times New Roman"/>
          <w:color w:val="auto"/>
          <w:sz w:val="24"/>
          <w:szCs w:val="24"/>
        </w:rPr>
        <w:t xml:space="preserve">postupke i/ili </w:t>
      </w:r>
      <w:r w:rsidRPr="00D15569">
        <w:rPr>
          <w:rFonts w:ascii="Times New Roman" w:hAnsi="Times New Roman" w:cs="Times New Roman"/>
          <w:color w:val="auto"/>
          <w:sz w:val="24"/>
          <w:szCs w:val="24"/>
        </w:rPr>
        <w:t>procedure koje treba provesti svaki projekt čime se provedba pojedinih koraka u razvoju projekta nepotrebno produljuje.</w:t>
      </w:r>
    </w:p>
    <w:p w:rsidR="00C90729" w:rsidRPr="00D15569" w:rsidRDefault="00C90729" w:rsidP="005B7182">
      <w:pPr>
        <w:pStyle w:val="Tijeloteksta"/>
        <w:rPr>
          <w:rFonts w:ascii="Times New Roman" w:hAnsi="Times New Roman" w:cs="Times New Roman"/>
          <w:color w:val="auto"/>
          <w:sz w:val="24"/>
          <w:szCs w:val="24"/>
        </w:rPr>
      </w:pPr>
      <w:r w:rsidRPr="00D15569">
        <w:rPr>
          <w:rFonts w:ascii="Times New Roman" w:hAnsi="Times New Roman" w:cs="Times New Roman"/>
          <w:color w:val="auto"/>
          <w:sz w:val="24"/>
          <w:szCs w:val="24"/>
        </w:rPr>
        <w:t xml:space="preserve">Navedeno se posebno odnosi na procedure </w:t>
      </w:r>
      <w:r w:rsidR="00C05B1B" w:rsidRPr="00D15569">
        <w:rPr>
          <w:rFonts w:ascii="Times New Roman" w:hAnsi="Times New Roman" w:cs="Times New Roman"/>
          <w:color w:val="auto"/>
          <w:sz w:val="24"/>
          <w:szCs w:val="24"/>
        </w:rPr>
        <w:t xml:space="preserve">vezane uz prostorno uređenje, </w:t>
      </w:r>
      <w:r w:rsidR="00E94CAF" w:rsidRPr="00D15569">
        <w:rPr>
          <w:rFonts w:ascii="Times New Roman" w:hAnsi="Times New Roman" w:cs="Times New Roman"/>
          <w:color w:val="auto"/>
          <w:sz w:val="24"/>
          <w:szCs w:val="24"/>
        </w:rPr>
        <w:t xml:space="preserve">korištenje državne imovine, </w:t>
      </w:r>
      <w:r w:rsidR="00C05B1B" w:rsidRPr="00D15569">
        <w:rPr>
          <w:rFonts w:ascii="Times New Roman" w:hAnsi="Times New Roman" w:cs="Times New Roman"/>
          <w:color w:val="auto"/>
          <w:sz w:val="24"/>
          <w:szCs w:val="24"/>
        </w:rPr>
        <w:t>procjenu utjecaja na okoliš te dobivanje energetskog odobrenja.</w:t>
      </w:r>
    </w:p>
    <w:p w:rsidR="00C05B1B" w:rsidRPr="00D15569" w:rsidRDefault="00E94CAF" w:rsidP="005B7182">
      <w:pPr>
        <w:pStyle w:val="Tijeloteksta"/>
        <w:rPr>
          <w:rFonts w:ascii="Times New Roman" w:hAnsi="Times New Roman" w:cs="Times New Roman"/>
          <w:color w:val="auto"/>
          <w:sz w:val="24"/>
          <w:szCs w:val="24"/>
        </w:rPr>
      </w:pPr>
      <w:r w:rsidRPr="00D15569">
        <w:rPr>
          <w:rFonts w:ascii="Times New Roman" w:hAnsi="Times New Roman" w:cs="Times New Roman"/>
          <w:color w:val="auto"/>
          <w:sz w:val="24"/>
          <w:szCs w:val="24"/>
        </w:rPr>
        <w:t>Ministarstva zadužena za pojedine od navedenih procedura su potkapacitirana što uzrokuje kašnjenje sa jednostavnim postupcima bez kojih nije moguće ishoditi pozitivnu odluku za pojedine korake.</w:t>
      </w:r>
    </w:p>
    <w:p w:rsidR="00E94CAF" w:rsidRPr="00D15569" w:rsidRDefault="00E94CAF" w:rsidP="005B7182">
      <w:pPr>
        <w:pStyle w:val="Tijeloteksta"/>
        <w:rPr>
          <w:rFonts w:ascii="Times New Roman" w:hAnsi="Times New Roman" w:cs="Times New Roman"/>
          <w:color w:val="auto"/>
          <w:sz w:val="24"/>
          <w:szCs w:val="24"/>
        </w:rPr>
      </w:pPr>
      <w:r w:rsidRPr="00D15569">
        <w:rPr>
          <w:rFonts w:ascii="Times New Roman" w:hAnsi="Times New Roman" w:cs="Times New Roman"/>
          <w:color w:val="auto"/>
          <w:sz w:val="24"/>
          <w:szCs w:val="24"/>
        </w:rPr>
        <w:t>Prostorno uređenje i korištenje državne imovine</w:t>
      </w:r>
      <w:r w:rsidR="00D15569">
        <w:rPr>
          <w:rFonts w:ascii="Times New Roman" w:hAnsi="Times New Roman" w:cs="Times New Roman"/>
          <w:color w:val="auto"/>
          <w:sz w:val="24"/>
          <w:szCs w:val="24"/>
        </w:rPr>
        <w:t>,</w:t>
      </w:r>
      <w:r w:rsidRPr="00D15569">
        <w:rPr>
          <w:rFonts w:ascii="Times New Roman" w:hAnsi="Times New Roman" w:cs="Times New Roman"/>
          <w:color w:val="auto"/>
          <w:sz w:val="24"/>
          <w:szCs w:val="24"/>
        </w:rPr>
        <w:t xml:space="preserve"> </w:t>
      </w:r>
      <w:r w:rsidR="00142D0E" w:rsidRPr="00D15569">
        <w:rPr>
          <w:rFonts w:ascii="Times New Roman" w:hAnsi="Times New Roman" w:cs="Times New Roman"/>
          <w:color w:val="auto"/>
          <w:sz w:val="24"/>
          <w:szCs w:val="24"/>
        </w:rPr>
        <w:t>iako kvalitetno obavljaju sve poslove vezane uz pripremu pojedinih projekata vezanih za obnovljive izvore energije</w:t>
      </w:r>
      <w:r w:rsidR="00D15569">
        <w:rPr>
          <w:rFonts w:ascii="Times New Roman" w:hAnsi="Times New Roman" w:cs="Times New Roman"/>
          <w:color w:val="auto"/>
          <w:sz w:val="24"/>
          <w:szCs w:val="24"/>
        </w:rPr>
        <w:t>,</w:t>
      </w:r>
      <w:r w:rsidR="00142D0E" w:rsidRPr="00D15569">
        <w:rPr>
          <w:rFonts w:ascii="Times New Roman" w:hAnsi="Times New Roman" w:cs="Times New Roman"/>
          <w:color w:val="auto"/>
          <w:sz w:val="24"/>
          <w:szCs w:val="24"/>
        </w:rPr>
        <w:t xml:space="preserve"> zbog nedovoljnog broja ljudi </w:t>
      </w:r>
      <w:r w:rsidR="00D15569" w:rsidRPr="00D15569">
        <w:rPr>
          <w:rFonts w:ascii="Times New Roman" w:hAnsi="Times New Roman" w:cs="Times New Roman"/>
          <w:color w:val="auto"/>
          <w:sz w:val="24"/>
          <w:szCs w:val="24"/>
        </w:rPr>
        <w:t xml:space="preserve">ne rješavaju </w:t>
      </w:r>
      <w:r w:rsidR="00142D0E" w:rsidRPr="00D15569">
        <w:rPr>
          <w:rFonts w:ascii="Times New Roman" w:hAnsi="Times New Roman" w:cs="Times New Roman"/>
          <w:color w:val="auto"/>
          <w:sz w:val="24"/>
          <w:szCs w:val="24"/>
        </w:rPr>
        <w:t>predmet</w:t>
      </w:r>
      <w:r w:rsidR="00D15569">
        <w:rPr>
          <w:rFonts w:ascii="Times New Roman" w:hAnsi="Times New Roman" w:cs="Times New Roman"/>
          <w:color w:val="auto"/>
          <w:sz w:val="24"/>
          <w:szCs w:val="24"/>
        </w:rPr>
        <w:t>e</w:t>
      </w:r>
      <w:r w:rsidR="00142D0E" w:rsidRPr="00D15569">
        <w:rPr>
          <w:rFonts w:ascii="Times New Roman" w:hAnsi="Times New Roman" w:cs="Times New Roman"/>
          <w:color w:val="auto"/>
          <w:sz w:val="24"/>
          <w:szCs w:val="24"/>
        </w:rPr>
        <w:t xml:space="preserve"> dovoljno brzo što uzrokuje određene probleme vezane uz daljnje korake za razvoj projekata.</w:t>
      </w:r>
    </w:p>
    <w:p w:rsidR="00280008" w:rsidRPr="00D15569" w:rsidRDefault="00E94CAF" w:rsidP="005B7182">
      <w:pPr>
        <w:pStyle w:val="Tijeloteksta"/>
        <w:rPr>
          <w:rFonts w:ascii="Times New Roman" w:hAnsi="Times New Roman" w:cs="Times New Roman"/>
          <w:color w:val="auto"/>
          <w:sz w:val="24"/>
          <w:szCs w:val="24"/>
        </w:rPr>
      </w:pPr>
      <w:r w:rsidRPr="00D15569">
        <w:rPr>
          <w:rFonts w:ascii="Times New Roman" w:hAnsi="Times New Roman" w:cs="Times New Roman"/>
          <w:color w:val="auto"/>
          <w:sz w:val="24"/>
          <w:szCs w:val="24"/>
        </w:rPr>
        <w:t xml:space="preserve">Kod postupka procjene utjecaja na okoliš i prirodu kao i ocjenu o usklađenosti sa ekološkom mrežom također se primjećuje nedostatak ljudi koji bi osigurali </w:t>
      </w:r>
      <w:r w:rsidR="00D15569">
        <w:rPr>
          <w:rFonts w:ascii="Times New Roman" w:hAnsi="Times New Roman" w:cs="Times New Roman"/>
          <w:color w:val="auto"/>
          <w:sz w:val="24"/>
          <w:szCs w:val="24"/>
        </w:rPr>
        <w:t xml:space="preserve">odgovarajuće </w:t>
      </w:r>
      <w:r w:rsidRPr="00D15569">
        <w:rPr>
          <w:rFonts w:ascii="Times New Roman" w:hAnsi="Times New Roman" w:cs="Times New Roman"/>
          <w:color w:val="auto"/>
          <w:sz w:val="24"/>
          <w:szCs w:val="24"/>
        </w:rPr>
        <w:t>vremensk</w:t>
      </w:r>
      <w:r w:rsidR="00D15569">
        <w:rPr>
          <w:rFonts w:ascii="Times New Roman" w:hAnsi="Times New Roman" w:cs="Times New Roman"/>
          <w:color w:val="auto"/>
          <w:sz w:val="24"/>
          <w:szCs w:val="24"/>
        </w:rPr>
        <w:t>a</w:t>
      </w:r>
      <w:r w:rsidRPr="00D15569">
        <w:rPr>
          <w:rFonts w:ascii="Times New Roman" w:hAnsi="Times New Roman" w:cs="Times New Roman"/>
          <w:color w:val="auto"/>
          <w:sz w:val="24"/>
          <w:szCs w:val="24"/>
        </w:rPr>
        <w:t xml:space="preserve"> </w:t>
      </w:r>
      <w:r w:rsidR="00D15569">
        <w:rPr>
          <w:rFonts w:ascii="Times New Roman" w:hAnsi="Times New Roman" w:cs="Times New Roman"/>
          <w:color w:val="auto"/>
          <w:sz w:val="24"/>
          <w:szCs w:val="24"/>
        </w:rPr>
        <w:t>pridobivanje</w:t>
      </w:r>
      <w:r w:rsidRPr="00D15569">
        <w:rPr>
          <w:rFonts w:ascii="Times New Roman" w:hAnsi="Times New Roman" w:cs="Times New Roman"/>
          <w:color w:val="auto"/>
          <w:sz w:val="24"/>
          <w:szCs w:val="24"/>
        </w:rPr>
        <w:t xml:space="preserve"> pojedinih mišljenja. Veći dio tih postupaka vezan je uz Ministarstvo gospodarstva i održivog razvoja. Uprave zadužene za provedbu svih </w:t>
      </w:r>
      <w:r w:rsidR="00D15569">
        <w:rPr>
          <w:rFonts w:ascii="Times New Roman" w:hAnsi="Times New Roman" w:cs="Times New Roman"/>
          <w:color w:val="auto"/>
          <w:sz w:val="24"/>
          <w:szCs w:val="24"/>
        </w:rPr>
        <w:t>postupaka</w:t>
      </w:r>
      <w:r w:rsidRPr="00D15569">
        <w:rPr>
          <w:rFonts w:ascii="Times New Roman" w:hAnsi="Times New Roman" w:cs="Times New Roman"/>
          <w:color w:val="auto"/>
          <w:sz w:val="24"/>
          <w:szCs w:val="24"/>
        </w:rPr>
        <w:t xml:space="preserve"> vezanih za utjecaj na okoliš i prirodu nedovoljno su kapacitirane da na brzi, a ujedno kvalitetan način, mogu obaviti niz aktivnosti. Kada se tome pridoda </w:t>
      </w:r>
      <w:r w:rsidR="00280008" w:rsidRPr="00D15569">
        <w:rPr>
          <w:rFonts w:ascii="Times New Roman" w:hAnsi="Times New Roman" w:cs="Times New Roman"/>
          <w:color w:val="auto"/>
          <w:sz w:val="24"/>
          <w:szCs w:val="24"/>
        </w:rPr>
        <w:t xml:space="preserve">povećanje zahtjeva za procjenama o potrebama procjene utjecaja na okoliš i procjenama utjecaja na okoliš, veliki je pritisak na djelatnike koji se bave ovim poslovima. Tome treba pridodati i odljev ljudi djelomično uzrokovan odlascima u mirovinu, ali djelomično i neadekvatnim primanjima zbog kojih stručnjaci odlaze na bolje plaćena mjesta izvan sustava. Kako je bilo nužno zadržati visoku kvalitetu svih postupaka, došlo </w:t>
      </w:r>
      <w:r w:rsidR="00D15569">
        <w:rPr>
          <w:rFonts w:ascii="Times New Roman" w:hAnsi="Times New Roman" w:cs="Times New Roman"/>
          <w:color w:val="auto"/>
          <w:sz w:val="24"/>
          <w:szCs w:val="24"/>
        </w:rPr>
        <w:t>j</w:t>
      </w:r>
      <w:r w:rsidR="00280008" w:rsidRPr="00D15569">
        <w:rPr>
          <w:rFonts w:ascii="Times New Roman" w:hAnsi="Times New Roman" w:cs="Times New Roman"/>
          <w:color w:val="auto"/>
          <w:sz w:val="24"/>
          <w:szCs w:val="24"/>
        </w:rPr>
        <w:t xml:space="preserve">e do usporavanja procedura uz </w:t>
      </w:r>
      <w:r w:rsidR="00D15569">
        <w:rPr>
          <w:rFonts w:ascii="Times New Roman" w:hAnsi="Times New Roman" w:cs="Times New Roman"/>
          <w:color w:val="auto"/>
          <w:sz w:val="24"/>
          <w:szCs w:val="24"/>
        </w:rPr>
        <w:t xml:space="preserve">značajno </w:t>
      </w:r>
      <w:r w:rsidR="00280008" w:rsidRPr="00D15569">
        <w:rPr>
          <w:rFonts w:ascii="Times New Roman" w:hAnsi="Times New Roman" w:cs="Times New Roman"/>
          <w:color w:val="auto"/>
          <w:sz w:val="24"/>
          <w:szCs w:val="24"/>
        </w:rPr>
        <w:t>povećanje pritiska na zaposlenike. Slična je situacija i s drugim ministarstvima</w:t>
      </w:r>
      <w:r w:rsidR="00FA5E8E" w:rsidRPr="00D15569">
        <w:rPr>
          <w:rFonts w:ascii="Times New Roman" w:hAnsi="Times New Roman" w:cs="Times New Roman"/>
          <w:color w:val="auto"/>
          <w:sz w:val="24"/>
          <w:szCs w:val="24"/>
        </w:rPr>
        <w:t xml:space="preserve"> </w:t>
      </w:r>
      <w:r w:rsidR="00280008" w:rsidRPr="00D15569">
        <w:rPr>
          <w:rFonts w:ascii="Times New Roman" w:hAnsi="Times New Roman" w:cs="Times New Roman"/>
          <w:color w:val="auto"/>
          <w:sz w:val="24"/>
          <w:szCs w:val="24"/>
        </w:rPr>
        <w:t>koj</w:t>
      </w:r>
      <w:r w:rsidR="00D15569">
        <w:rPr>
          <w:rFonts w:ascii="Times New Roman" w:hAnsi="Times New Roman" w:cs="Times New Roman"/>
          <w:color w:val="auto"/>
          <w:sz w:val="24"/>
          <w:szCs w:val="24"/>
        </w:rPr>
        <w:t>a</w:t>
      </w:r>
      <w:r w:rsidR="00280008" w:rsidRPr="00D15569">
        <w:rPr>
          <w:rFonts w:ascii="Times New Roman" w:hAnsi="Times New Roman" w:cs="Times New Roman"/>
          <w:color w:val="auto"/>
          <w:sz w:val="24"/>
          <w:szCs w:val="24"/>
        </w:rPr>
        <w:t xml:space="preserve"> su vezan</w:t>
      </w:r>
      <w:r w:rsidR="00D15569">
        <w:rPr>
          <w:rFonts w:ascii="Times New Roman" w:hAnsi="Times New Roman" w:cs="Times New Roman"/>
          <w:color w:val="auto"/>
          <w:sz w:val="24"/>
          <w:szCs w:val="24"/>
        </w:rPr>
        <w:t>a</w:t>
      </w:r>
      <w:r w:rsidR="00280008" w:rsidRPr="00D15569">
        <w:rPr>
          <w:rFonts w:ascii="Times New Roman" w:hAnsi="Times New Roman" w:cs="Times New Roman"/>
          <w:color w:val="auto"/>
          <w:sz w:val="24"/>
          <w:szCs w:val="24"/>
        </w:rPr>
        <w:t xml:space="preserve"> uz pojedine postupke nužne u projektima izgradnje obnovljivih izvora energije. Primjerice, Ministarstvo poljoprivrede </w:t>
      </w:r>
      <w:r w:rsidR="00D15569">
        <w:rPr>
          <w:rFonts w:ascii="Times New Roman" w:hAnsi="Times New Roman" w:cs="Times New Roman"/>
          <w:color w:val="auto"/>
          <w:sz w:val="24"/>
          <w:szCs w:val="24"/>
        </w:rPr>
        <w:t>izdaje</w:t>
      </w:r>
      <w:r w:rsidR="00280008" w:rsidRPr="00D15569">
        <w:rPr>
          <w:rFonts w:ascii="Times New Roman" w:hAnsi="Times New Roman" w:cs="Times New Roman"/>
          <w:color w:val="auto"/>
          <w:sz w:val="24"/>
          <w:szCs w:val="24"/>
        </w:rPr>
        <w:t xml:space="preserve"> svoje mišljenje vezano za poljoprivredno zemljište i šume, a zbog nedostataka ljudi u tim upravama došlo je do usporavanja izdavanja mišljenja koji automatski uzrokuju produljenje svih ostalih rokova.</w:t>
      </w:r>
    </w:p>
    <w:p w:rsidR="00522AC5" w:rsidRPr="00D15569" w:rsidRDefault="00142D0E" w:rsidP="005B7182">
      <w:pPr>
        <w:pStyle w:val="Tijeloteksta"/>
        <w:rPr>
          <w:rFonts w:ascii="Times New Roman" w:hAnsi="Times New Roman" w:cs="Times New Roman"/>
          <w:color w:val="auto"/>
          <w:sz w:val="24"/>
          <w:szCs w:val="24"/>
        </w:rPr>
      </w:pPr>
      <w:r w:rsidRPr="00D15569">
        <w:rPr>
          <w:rFonts w:ascii="Times New Roman" w:hAnsi="Times New Roman" w:cs="Times New Roman"/>
          <w:color w:val="auto"/>
          <w:sz w:val="24"/>
          <w:szCs w:val="24"/>
        </w:rPr>
        <w:lastRenderedPageBreak/>
        <w:t xml:space="preserve">Također, unutar Uprave za energetiku zamjetan je manjak ljudi čime su rokovi vezani za energetska odobrenja, kao i rješavanje </w:t>
      </w:r>
      <w:r w:rsidR="00FA5E8E" w:rsidRPr="00D15569">
        <w:rPr>
          <w:rFonts w:ascii="Times New Roman" w:hAnsi="Times New Roman" w:cs="Times New Roman"/>
          <w:color w:val="auto"/>
          <w:sz w:val="24"/>
          <w:szCs w:val="24"/>
        </w:rPr>
        <w:t>216 zaprimljenih zahtjeva s iskazom interesa za provođenje javnog natječaja za izdavanje energetskog odobrenja</w:t>
      </w:r>
      <w:r w:rsidR="00D15569">
        <w:rPr>
          <w:rFonts w:ascii="Times New Roman" w:hAnsi="Times New Roman" w:cs="Times New Roman"/>
          <w:color w:val="auto"/>
          <w:sz w:val="24"/>
          <w:szCs w:val="24"/>
        </w:rPr>
        <w:t>,</w:t>
      </w:r>
      <w:r w:rsidR="00FA5E8E" w:rsidRPr="00D15569">
        <w:rPr>
          <w:rFonts w:ascii="Times New Roman" w:hAnsi="Times New Roman" w:cs="Times New Roman"/>
          <w:color w:val="auto"/>
          <w:sz w:val="24"/>
          <w:szCs w:val="24"/>
        </w:rPr>
        <w:t xml:space="preserve"> produljeni te je nužno kapacitirati Upravu </w:t>
      </w:r>
      <w:r w:rsidR="00D15569">
        <w:rPr>
          <w:rFonts w:ascii="Times New Roman" w:hAnsi="Times New Roman" w:cs="Times New Roman"/>
          <w:color w:val="auto"/>
          <w:sz w:val="24"/>
          <w:szCs w:val="24"/>
        </w:rPr>
        <w:t>s ciljem ubrzavanja</w:t>
      </w:r>
      <w:r w:rsidR="00FA5E8E" w:rsidRPr="00D15569">
        <w:rPr>
          <w:rFonts w:ascii="Times New Roman" w:hAnsi="Times New Roman" w:cs="Times New Roman"/>
          <w:color w:val="auto"/>
          <w:sz w:val="24"/>
          <w:szCs w:val="24"/>
        </w:rPr>
        <w:t>navedeni</w:t>
      </w:r>
      <w:r w:rsidR="00D15569">
        <w:rPr>
          <w:rFonts w:ascii="Times New Roman" w:hAnsi="Times New Roman" w:cs="Times New Roman"/>
          <w:color w:val="auto"/>
          <w:sz w:val="24"/>
          <w:szCs w:val="24"/>
        </w:rPr>
        <w:t>h</w:t>
      </w:r>
      <w:r w:rsidR="00FA5E8E" w:rsidRPr="00D15569">
        <w:rPr>
          <w:rFonts w:ascii="Times New Roman" w:hAnsi="Times New Roman" w:cs="Times New Roman"/>
          <w:color w:val="auto"/>
          <w:sz w:val="24"/>
          <w:szCs w:val="24"/>
        </w:rPr>
        <w:t xml:space="preserve"> proces</w:t>
      </w:r>
      <w:r w:rsidR="00D15569">
        <w:rPr>
          <w:rFonts w:ascii="Times New Roman" w:hAnsi="Times New Roman" w:cs="Times New Roman"/>
          <w:color w:val="auto"/>
          <w:sz w:val="24"/>
          <w:szCs w:val="24"/>
        </w:rPr>
        <w:t>a</w:t>
      </w:r>
      <w:r w:rsidR="00FA5E8E" w:rsidRPr="00D15569">
        <w:rPr>
          <w:rFonts w:ascii="Times New Roman" w:hAnsi="Times New Roman" w:cs="Times New Roman"/>
          <w:color w:val="auto"/>
          <w:sz w:val="24"/>
          <w:szCs w:val="24"/>
        </w:rPr>
        <w:t xml:space="preserve"> i </w:t>
      </w:r>
      <w:r w:rsidR="00D15569">
        <w:rPr>
          <w:rFonts w:ascii="Times New Roman" w:hAnsi="Times New Roman" w:cs="Times New Roman"/>
          <w:color w:val="auto"/>
          <w:sz w:val="24"/>
          <w:szCs w:val="24"/>
        </w:rPr>
        <w:t xml:space="preserve">njihovog </w:t>
      </w:r>
      <w:r w:rsidR="00FA5E8E" w:rsidRPr="00D15569">
        <w:rPr>
          <w:rFonts w:ascii="Times New Roman" w:hAnsi="Times New Roman" w:cs="Times New Roman"/>
          <w:color w:val="auto"/>
          <w:sz w:val="24"/>
          <w:szCs w:val="24"/>
        </w:rPr>
        <w:t>rješava</w:t>
      </w:r>
      <w:r w:rsidR="00D15569">
        <w:rPr>
          <w:rFonts w:ascii="Times New Roman" w:hAnsi="Times New Roman" w:cs="Times New Roman"/>
          <w:color w:val="auto"/>
          <w:sz w:val="24"/>
          <w:szCs w:val="24"/>
        </w:rPr>
        <w:t xml:space="preserve">nja </w:t>
      </w:r>
      <w:r w:rsidR="00FA5E8E" w:rsidRPr="00D15569">
        <w:rPr>
          <w:rFonts w:ascii="Times New Roman" w:hAnsi="Times New Roman" w:cs="Times New Roman"/>
          <w:color w:val="auto"/>
          <w:sz w:val="24"/>
          <w:szCs w:val="24"/>
        </w:rPr>
        <w:t>u razumnim rokovima.</w:t>
      </w:r>
    </w:p>
    <w:p w:rsidR="00FA5E8E" w:rsidRDefault="00FA5E8E" w:rsidP="005B7182">
      <w:pPr>
        <w:pStyle w:val="Tijeloteksta"/>
        <w:rPr>
          <w:rFonts w:ascii="Times New Roman" w:hAnsi="Times New Roman" w:cs="Times New Roman"/>
          <w:color w:val="auto"/>
          <w:sz w:val="24"/>
          <w:szCs w:val="24"/>
        </w:rPr>
      </w:pPr>
      <w:r w:rsidRPr="00D15569">
        <w:rPr>
          <w:rFonts w:ascii="Times New Roman" w:hAnsi="Times New Roman" w:cs="Times New Roman"/>
          <w:color w:val="auto"/>
          <w:sz w:val="24"/>
          <w:szCs w:val="24"/>
        </w:rPr>
        <w:t>Za rješavanje navedenog problema nužno je osigurati zapošljavanje dodatnih ljudi u pojedinim ministarstvima</w:t>
      </w:r>
      <w:r w:rsidR="00D15569">
        <w:rPr>
          <w:rFonts w:ascii="Times New Roman" w:hAnsi="Times New Roman" w:cs="Times New Roman"/>
          <w:color w:val="auto"/>
          <w:sz w:val="24"/>
          <w:szCs w:val="24"/>
        </w:rPr>
        <w:t>, kao i</w:t>
      </w:r>
      <w:r w:rsidRPr="00D15569">
        <w:rPr>
          <w:rFonts w:ascii="Times New Roman" w:hAnsi="Times New Roman" w:cs="Times New Roman"/>
          <w:color w:val="auto"/>
          <w:sz w:val="24"/>
          <w:szCs w:val="24"/>
        </w:rPr>
        <w:t xml:space="preserve"> osiguravanje dodatnih sredstava kojima </w:t>
      </w:r>
      <w:r w:rsidR="00767759" w:rsidRPr="00D15569">
        <w:rPr>
          <w:rFonts w:ascii="Times New Roman" w:hAnsi="Times New Roman" w:cs="Times New Roman"/>
          <w:color w:val="auto"/>
          <w:sz w:val="24"/>
          <w:szCs w:val="24"/>
        </w:rPr>
        <w:t>će se</w:t>
      </w:r>
      <w:r w:rsidR="00D15569">
        <w:rPr>
          <w:rFonts w:ascii="Times New Roman" w:hAnsi="Times New Roman" w:cs="Times New Roman"/>
          <w:color w:val="auto"/>
          <w:sz w:val="24"/>
          <w:szCs w:val="24"/>
        </w:rPr>
        <w:t xml:space="preserve"> zajamčiti</w:t>
      </w:r>
      <w:r w:rsidR="00767759" w:rsidRPr="00D15569">
        <w:rPr>
          <w:rFonts w:ascii="Times New Roman" w:hAnsi="Times New Roman" w:cs="Times New Roman"/>
          <w:color w:val="auto"/>
          <w:sz w:val="24"/>
          <w:szCs w:val="24"/>
        </w:rPr>
        <w:t xml:space="preserve"> dodaci na prihode </w:t>
      </w:r>
      <w:r w:rsidR="00D15569">
        <w:rPr>
          <w:rFonts w:ascii="Times New Roman" w:hAnsi="Times New Roman" w:cs="Times New Roman"/>
          <w:color w:val="auto"/>
          <w:sz w:val="24"/>
          <w:szCs w:val="24"/>
        </w:rPr>
        <w:t xml:space="preserve">s ciljem zadržavanja </w:t>
      </w:r>
      <w:r w:rsidR="00767759" w:rsidRPr="00D15569">
        <w:rPr>
          <w:rFonts w:ascii="Times New Roman" w:hAnsi="Times New Roman" w:cs="Times New Roman"/>
          <w:color w:val="auto"/>
          <w:sz w:val="24"/>
          <w:szCs w:val="24"/>
        </w:rPr>
        <w:t>kvalitet</w:t>
      </w:r>
      <w:r w:rsidR="00D15569">
        <w:rPr>
          <w:rFonts w:ascii="Times New Roman" w:hAnsi="Times New Roman" w:cs="Times New Roman"/>
          <w:color w:val="auto"/>
          <w:sz w:val="24"/>
          <w:szCs w:val="24"/>
        </w:rPr>
        <w:t>e</w:t>
      </w:r>
      <w:r w:rsidR="00767759" w:rsidRPr="00D15569">
        <w:rPr>
          <w:rFonts w:ascii="Times New Roman" w:hAnsi="Times New Roman" w:cs="Times New Roman"/>
          <w:color w:val="auto"/>
          <w:sz w:val="24"/>
          <w:szCs w:val="24"/>
        </w:rPr>
        <w:t xml:space="preserve"> obavljeno</w:t>
      </w:r>
      <w:r w:rsidR="00D15569">
        <w:rPr>
          <w:rFonts w:ascii="Times New Roman" w:hAnsi="Times New Roman" w:cs="Times New Roman"/>
          <w:color w:val="auto"/>
          <w:sz w:val="24"/>
          <w:szCs w:val="24"/>
        </w:rPr>
        <w:t>g</w:t>
      </w:r>
      <w:r w:rsidR="00767759" w:rsidRPr="00D15569">
        <w:rPr>
          <w:rFonts w:ascii="Times New Roman" w:hAnsi="Times New Roman" w:cs="Times New Roman"/>
          <w:color w:val="auto"/>
          <w:sz w:val="24"/>
          <w:szCs w:val="24"/>
        </w:rPr>
        <w:t xml:space="preserve"> posla u rekordnom roku</w:t>
      </w:r>
      <w:r w:rsidR="00D15569">
        <w:rPr>
          <w:rFonts w:ascii="Times New Roman" w:hAnsi="Times New Roman" w:cs="Times New Roman"/>
          <w:color w:val="auto"/>
          <w:sz w:val="24"/>
          <w:szCs w:val="24"/>
        </w:rPr>
        <w:t xml:space="preserve">, a sa svrhom dodatnog ubrzavanja postupaka i/ili </w:t>
      </w:r>
      <w:r w:rsidR="00767759" w:rsidRPr="00D15569">
        <w:rPr>
          <w:rFonts w:ascii="Times New Roman" w:hAnsi="Times New Roman" w:cs="Times New Roman"/>
          <w:color w:val="auto"/>
          <w:sz w:val="24"/>
          <w:szCs w:val="24"/>
        </w:rPr>
        <w:t xml:space="preserve"> procedur</w:t>
      </w:r>
      <w:r w:rsidR="00D15569">
        <w:rPr>
          <w:rFonts w:ascii="Times New Roman" w:hAnsi="Times New Roman" w:cs="Times New Roman"/>
          <w:color w:val="auto"/>
          <w:sz w:val="24"/>
          <w:szCs w:val="24"/>
        </w:rPr>
        <w:t>a</w:t>
      </w:r>
      <w:r w:rsidR="00767759" w:rsidRPr="00D15569">
        <w:rPr>
          <w:rFonts w:ascii="Times New Roman" w:hAnsi="Times New Roman" w:cs="Times New Roman"/>
          <w:color w:val="auto"/>
          <w:sz w:val="24"/>
          <w:szCs w:val="24"/>
        </w:rPr>
        <w:t xml:space="preserve"> i </w:t>
      </w:r>
      <w:r w:rsidR="00D15569">
        <w:rPr>
          <w:rFonts w:ascii="Times New Roman" w:hAnsi="Times New Roman" w:cs="Times New Roman"/>
          <w:color w:val="auto"/>
          <w:sz w:val="24"/>
          <w:szCs w:val="24"/>
        </w:rPr>
        <w:t>brže</w:t>
      </w:r>
      <w:r w:rsidR="00767759" w:rsidRPr="00D15569">
        <w:rPr>
          <w:rFonts w:ascii="Times New Roman" w:hAnsi="Times New Roman" w:cs="Times New Roman"/>
          <w:color w:val="auto"/>
          <w:sz w:val="24"/>
          <w:szCs w:val="24"/>
        </w:rPr>
        <w:t xml:space="preserve"> implementacija novih projekata obnovljivih izvora energije u RH. Za navedeno se mogu zaposliti i ljudi na određeno vrijeme, posebice kada se radi o poslovima koji su generirani promjenama zakona (primjerice zahtjevi s iskazom interesa za provođenje javnog natječaja za izdavanje energetskog odobrenja), ali je nužno svim tim stručnjacima (postojećim i novopridošlim) osigurati povećanje prihoda koji će zaustaviti kontinuirani odljev stručnjaka iz ministarstava.</w:t>
      </w:r>
    </w:p>
    <w:p w:rsidR="00C90729" w:rsidRPr="00331C56" w:rsidRDefault="00C90729" w:rsidP="00C90729">
      <w:pPr>
        <w:pStyle w:val="Naslov2"/>
      </w:pPr>
      <w:bookmarkStart w:id="503" w:name="_Toc105973520"/>
      <w:r>
        <w:t>ULOGA I AKTIVNOSTI TIJELA U SUSTAVU</w:t>
      </w:r>
      <w:bookmarkEnd w:id="503"/>
    </w:p>
    <w:p w:rsidR="00522AC5" w:rsidRPr="00D15569" w:rsidRDefault="00767759" w:rsidP="005B7182">
      <w:pPr>
        <w:pStyle w:val="Tijeloteksta"/>
        <w:rPr>
          <w:rFonts w:ascii="Times New Roman" w:hAnsi="Times New Roman" w:cs="Times New Roman"/>
          <w:color w:val="auto"/>
          <w:sz w:val="24"/>
          <w:szCs w:val="24"/>
        </w:rPr>
      </w:pPr>
      <w:r w:rsidRPr="00D15569">
        <w:rPr>
          <w:rFonts w:ascii="Times New Roman" w:hAnsi="Times New Roman" w:cs="Times New Roman"/>
          <w:color w:val="auto"/>
          <w:sz w:val="24"/>
          <w:szCs w:val="24"/>
        </w:rPr>
        <w:t>Novim zakonodavnim okvirom postavljene su jasne uloge svih tijela u sustavu te se očekuje da će svako tijelo</w:t>
      </w:r>
      <w:r w:rsidR="00D15569">
        <w:rPr>
          <w:rFonts w:ascii="Times New Roman" w:hAnsi="Times New Roman" w:cs="Times New Roman"/>
          <w:color w:val="auto"/>
          <w:sz w:val="24"/>
          <w:szCs w:val="24"/>
        </w:rPr>
        <w:t>,</w:t>
      </w:r>
      <w:r w:rsidRPr="00D15569">
        <w:rPr>
          <w:rFonts w:ascii="Times New Roman" w:hAnsi="Times New Roman" w:cs="Times New Roman"/>
          <w:color w:val="auto"/>
          <w:sz w:val="24"/>
          <w:szCs w:val="24"/>
        </w:rPr>
        <w:t xml:space="preserve"> u skladu sa svojim djelokrugom</w:t>
      </w:r>
      <w:r w:rsidR="00D15569">
        <w:rPr>
          <w:rFonts w:ascii="Times New Roman" w:hAnsi="Times New Roman" w:cs="Times New Roman"/>
          <w:color w:val="auto"/>
          <w:sz w:val="24"/>
          <w:szCs w:val="24"/>
        </w:rPr>
        <w:t>,</w:t>
      </w:r>
      <w:r w:rsidRPr="00D15569">
        <w:rPr>
          <w:rFonts w:ascii="Times New Roman" w:hAnsi="Times New Roman" w:cs="Times New Roman"/>
          <w:color w:val="auto"/>
          <w:sz w:val="24"/>
          <w:szCs w:val="24"/>
        </w:rPr>
        <w:t xml:space="preserve"> osigurati </w:t>
      </w:r>
      <w:r w:rsidR="00D15569">
        <w:rPr>
          <w:rFonts w:ascii="Times New Roman" w:hAnsi="Times New Roman" w:cs="Times New Roman"/>
          <w:color w:val="auto"/>
          <w:sz w:val="24"/>
          <w:szCs w:val="24"/>
        </w:rPr>
        <w:t xml:space="preserve">ostvarivanja </w:t>
      </w:r>
      <w:r w:rsidRPr="00D15569">
        <w:rPr>
          <w:rFonts w:ascii="Times New Roman" w:hAnsi="Times New Roman" w:cs="Times New Roman"/>
          <w:color w:val="auto"/>
          <w:sz w:val="24"/>
          <w:szCs w:val="24"/>
        </w:rPr>
        <w:t>svi</w:t>
      </w:r>
      <w:r w:rsidR="00D15569">
        <w:rPr>
          <w:rFonts w:ascii="Times New Roman" w:hAnsi="Times New Roman" w:cs="Times New Roman"/>
          <w:color w:val="auto"/>
          <w:sz w:val="24"/>
          <w:szCs w:val="24"/>
        </w:rPr>
        <w:t>h</w:t>
      </w:r>
      <w:r w:rsidRPr="00D15569">
        <w:rPr>
          <w:rFonts w:ascii="Times New Roman" w:hAnsi="Times New Roman" w:cs="Times New Roman"/>
          <w:color w:val="auto"/>
          <w:sz w:val="24"/>
          <w:szCs w:val="24"/>
        </w:rPr>
        <w:t xml:space="preserve"> zada</w:t>
      </w:r>
      <w:r w:rsidR="003873D9">
        <w:rPr>
          <w:rFonts w:ascii="Times New Roman" w:hAnsi="Times New Roman" w:cs="Times New Roman"/>
          <w:color w:val="auto"/>
          <w:sz w:val="24"/>
          <w:szCs w:val="24"/>
        </w:rPr>
        <w:t>taka</w:t>
      </w:r>
      <w:r w:rsidRPr="00D15569">
        <w:rPr>
          <w:rFonts w:ascii="Times New Roman" w:hAnsi="Times New Roman" w:cs="Times New Roman"/>
          <w:color w:val="auto"/>
          <w:sz w:val="24"/>
          <w:szCs w:val="24"/>
        </w:rPr>
        <w:t xml:space="preserve"> unutar </w:t>
      </w:r>
      <w:r w:rsidR="003873D9">
        <w:rPr>
          <w:rFonts w:ascii="Times New Roman" w:hAnsi="Times New Roman" w:cs="Times New Roman"/>
          <w:color w:val="auto"/>
          <w:sz w:val="24"/>
          <w:szCs w:val="24"/>
        </w:rPr>
        <w:t>odgovarajućeg</w:t>
      </w:r>
      <w:r w:rsidR="003873D9" w:rsidRPr="00D15569">
        <w:rPr>
          <w:rFonts w:ascii="Times New Roman" w:hAnsi="Times New Roman" w:cs="Times New Roman"/>
          <w:color w:val="auto"/>
          <w:sz w:val="24"/>
          <w:szCs w:val="24"/>
        </w:rPr>
        <w:t xml:space="preserve"> </w:t>
      </w:r>
      <w:r w:rsidRPr="00D15569">
        <w:rPr>
          <w:rFonts w:ascii="Times New Roman" w:hAnsi="Times New Roman" w:cs="Times New Roman"/>
          <w:color w:val="auto"/>
          <w:sz w:val="24"/>
          <w:szCs w:val="24"/>
        </w:rPr>
        <w:t>vremenskog okvira i na izrazito kvalitetan način.</w:t>
      </w:r>
    </w:p>
    <w:p w:rsidR="00767759" w:rsidRPr="009C3921" w:rsidRDefault="00767759" w:rsidP="005B7182">
      <w:pPr>
        <w:pStyle w:val="Tijeloteksta"/>
        <w:rPr>
          <w:rFonts w:ascii="Times New Roman" w:hAnsi="Times New Roman" w:cs="Times New Roman"/>
          <w:color w:val="auto"/>
          <w:sz w:val="24"/>
          <w:szCs w:val="24"/>
        </w:rPr>
      </w:pPr>
      <w:r w:rsidRPr="009C3921">
        <w:rPr>
          <w:rFonts w:ascii="Times New Roman" w:hAnsi="Times New Roman" w:cs="Times New Roman"/>
          <w:color w:val="auto"/>
          <w:sz w:val="24"/>
          <w:szCs w:val="24"/>
        </w:rPr>
        <w:t>Za razliku od ministarstava kojima je najveći problem odljev ljudi koji rade na pojedinim aktivnostima vezanim uz pripremu projekata postoje i tijela u sustavu koja</w:t>
      </w:r>
      <w:r w:rsidR="009C3921" w:rsidRPr="009C3921">
        <w:t xml:space="preserve"> </w:t>
      </w:r>
      <w:r w:rsidR="009C3921" w:rsidRPr="009C3921">
        <w:rPr>
          <w:rFonts w:ascii="Times New Roman" w:hAnsi="Times New Roman" w:cs="Times New Roman"/>
          <w:color w:val="auto"/>
          <w:sz w:val="24"/>
          <w:szCs w:val="24"/>
        </w:rPr>
        <w:t>imaju važnu ulogu u uspostavljanju procedura, a čija je glavna uloga rješavanje svih tehničkih i administrativnih prepreka vezanih za njihove aktivnosti za bržu implementaciju projekata obnovljivih izvora energije.</w:t>
      </w:r>
    </w:p>
    <w:p w:rsidR="00767759" w:rsidRPr="00D15569" w:rsidRDefault="00767759" w:rsidP="005B7182">
      <w:pPr>
        <w:pStyle w:val="Tijeloteksta"/>
        <w:rPr>
          <w:rFonts w:ascii="Times New Roman" w:hAnsi="Times New Roman" w:cs="Times New Roman"/>
          <w:color w:val="auto"/>
          <w:sz w:val="24"/>
          <w:szCs w:val="24"/>
        </w:rPr>
      </w:pPr>
      <w:r w:rsidRPr="00D15569">
        <w:rPr>
          <w:rFonts w:ascii="Times New Roman" w:hAnsi="Times New Roman" w:cs="Times New Roman"/>
          <w:color w:val="auto"/>
          <w:sz w:val="24"/>
          <w:szCs w:val="24"/>
        </w:rPr>
        <w:t xml:space="preserve">Dio podzakonskih akata i dokumenata nužnih za kvalitetnu pripremu podzakonskih akata </w:t>
      </w:r>
      <w:r w:rsidR="00A96818" w:rsidRPr="00D15569">
        <w:rPr>
          <w:rFonts w:ascii="Times New Roman" w:hAnsi="Times New Roman" w:cs="Times New Roman"/>
          <w:color w:val="auto"/>
          <w:sz w:val="24"/>
          <w:szCs w:val="24"/>
        </w:rPr>
        <w:t xml:space="preserve">temeljem zakona trebaju pripremiti tijela u sustavu. </w:t>
      </w:r>
      <w:r w:rsidR="003873D9" w:rsidRPr="003873D9">
        <w:rPr>
          <w:rFonts w:ascii="Times New Roman" w:hAnsi="Times New Roman" w:cs="Times New Roman"/>
          <w:color w:val="auto"/>
          <w:sz w:val="24"/>
          <w:szCs w:val="24"/>
        </w:rPr>
        <w:t>Hrvatska energetska regulatorna agencija</w:t>
      </w:r>
      <w:r w:rsidR="003873D9">
        <w:rPr>
          <w:rFonts w:ascii="Times New Roman" w:hAnsi="Times New Roman" w:cs="Times New Roman"/>
          <w:color w:val="auto"/>
          <w:sz w:val="24"/>
          <w:szCs w:val="24"/>
        </w:rPr>
        <w:t xml:space="preserve"> (dalje u tekstu: </w:t>
      </w:r>
      <w:r w:rsidR="00A96818" w:rsidRPr="00D15569">
        <w:rPr>
          <w:rFonts w:ascii="Times New Roman" w:hAnsi="Times New Roman" w:cs="Times New Roman"/>
          <w:color w:val="auto"/>
          <w:sz w:val="24"/>
          <w:szCs w:val="24"/>
        </w:rPr>
        <w:t>HERA</w:t>
      </w:r>
      <w:r w:rsidR="003873D9">
        <w:rPr>
          <w:rFonts w:ascii="Times New Roman" w:hAnsi="Times New Roman" w:cs="Times New Roman"/>
          <w:color w:val="auto"/>
          <w:sz w:val="24"/>
          <w:szCs w:val="24"/>
        </w:rPr>
        <w:t>)</w:t>
      </w:r>
      <w:r w:rsidR="00A96818" w:rsidRPr="00D15569">
        <w:rPr>
          <w:rFonts w:ascii="Times New Roman" w:hAnsi="Times New Roman" w:cs="Times New Roman"/>
          <w:color w:val="auto"/>
          <w:sz w:val="24"/>
          <w:szCs w:val="24"/>
        </w:rPr>
        <w:t xml:space="preserve"> mora osigurati kvalitetnu metodologiju koj</w:t>
      </w:r>
      <w:r w:rsidR="003873D9">
        <w:rPr>
          <w:rFonts w:ascii="Times New Roman" w:hAnsi="Times New Roman" w:cs="Times New Roman"/>
          <w:color w:val="auto"/>
          <w:sz w:val="24"/>
          <w:szCs w:val="24"/>
        </w:rPr>
        <w:t>o</w:t>
      </w:r>
      <w:r w:rsidR="00A96818" w:rsidRPr="00D15569">
        <w:rPr>
          <w:rFonts w:ascii="Times New Roman" w:hAnsi="Times New Roman" w:cs="Times New Roman"/>
          <w:color w:val="auto"/>
          <w:sz w:val="24"/>
          <w:szCs w:val="24"/>
        </w:rPr>
        <w:t>m će se izračunavati pojedine naknade ovisno o vrsti aktivnosti koj</w:t>
      </w:r>
      <w:r w:rsidR="003873D9">
        <w:rPr>
          <w:rFonts w:ascii="Times New Roman" w:hAnsi="Times New Roman" w:cs="Times New Roman"/>
          <w:color w:val="auto"/>
          <w:sz w:val="24"/>
          <w:szCs w:val="24"/>
        </w:rPr>
        <w:t>a se</w:t>
      </w:r>
      <w:r w:rsidR="00A96818" w:rsidRPr="00D15569">
        <w:rPr>
          <w:rFonts w:ascii="Times New Roman" w:hAnsi="Times New Roman" w:cs="Times New Roman"/>
          <w:color w:val="auto"/>
          <w:sz w:val="24"/>
          <w:szCs w:val="24"/>
        </w:rPr>
        <w:t xml:space="preserve"> provodi. Kvalitetna metodologija osigurat će jasnu i transparentnu pripremu podzakonskih akata te će se na taj način osigurati brza i kvalitetna priprema projekata bez dodatnih opterećenja za promotore projekata uz osiguravanje jasnih, transparentnih i jednakih procedura nužnih za provedbu novih projekata obnovljivih izvora energije.</w:t>
      </w:r>
      <w:r w:rsidR="00E35C53" w:rsidRPr="00D15569">
        <w:rPr>
          <w:rFonts w:ascii="Times New Roman" w:hAnsi="Times New Roman" w:cs="Times New Roman"/>
          <w:color w:val="auto"/>
          <w:sz w:val="24"/>
          <w:szCs w:val="24"/>
        </w:rPr>
        <w:t xml:space="preserve"> HERA</w:t>
      </w:r>
      <w:r w:rsidR="003873D9">
        <w:rPr>
          <w:rFonts w:ascii="Times New Roman" w:hAnsi="Times New Roman" w:cs="Times New Roman"/>
          <w:color w:val="auto"/>
          <w:sz w:val="24"/>
          <w:szCs w:val="24"/>
        </w:rPr>
        <w:t>,</w:t>
      </w:r>
      <w:r w:rsidR="00E35C53" w:rsidRPr="00D15569">
        <w:rPr>
          <w:rFonts w:ascii="Times New Roman" w:hAnsi="Times New Roman" w:cs="Times New Roman"/>
          <w:color w:val="auto"/>
          <w:sz w:val="24"/>
          <w:szCs w:val="24"/>
        </w:rPr>
        <w:t xml:space="preserve"> kao nezavisni regulator</w:t>
      </w:r>
      <w:r w:rsidR="003873D9">
        <w:rPr>
          <w:rFonts w:ascii="Times New Roman" w:hAnsi="Times New Roman" w:cs="Times New Roman"/>
          <w:color w:val="auto"/>
          <w:sz w:val="24"/>
          <w:szCs w:val="24"/>
        </w:rPr>
        <w:t>,</w:t>
      </w:r>
      <w:r w:rsidR="00E35C53" w:rsidRPr="00D15569">
        <w:rPr>
          <w:rFonts w:ascii="Times New Roman" w:hAnsi="Times New Roman" w:cs="Times New Roman"/>
          <w:color w:val="auto"/>
          <w:sz w:val="24"/>
          <w:szCs w:val="24"/>
        </w:rPr>
        <w:t xml:space="preserve"> mora osigurati transparentne procedure te osigurati sa svoje strane sva potencijalna rasterećenja koja se promotorima projekata mogu ponuditi s ciljem brže provedbe projekata uz uvjet da to ne narušava kvalitetu pripreme projekata posebice u kontekstu okoliša i prirode kao i upravljanja elektroenergetskim sustavom.</w:t>
      </w:r>
    </w:p>
    <w:p w:rsidR="00A96818" w:rsidRPr="00D15569" w:rsidRDefault="00A96818" w:rsidP="005B7182">
      <w:pPr>
        <w:pStyle w:val="Tijeloteksta"/>
        <w:rPr>
          <w:rFonts w:ascii="Times New Roman" w:hAnsi="Times New Roman" w:cs="Times New Roman"/>
          <w:color w:val="auto"/>
          <w:sz w:val="24"/>
          <w:szCs w:val="24"/>
        </w:rPr>
      </w:pPr>
      <w:r w:rsidRPr="00D15569">
        <w:rPr>
          <w:rFonts w:ascii="Times New Roman" w:hAnsi="Times New Roman" w:cs="Times New Roman"/>
          <w:color w:val="auto"/>
          <w:sz w:val="24"/>
          <w:szCs w:val="24"/>
        </w:rPr>
        <w:t>Slična je situacija i s</w:t>
      </w:r>
      <w:r w:rsidR="003873D9">
        <w:rPr>
          <w:rFonts w:ascii="Times New Roman" w:hAnsi="Times New Roman" w:cs="Times New Roman"/>
          <w:color w:val="auto"/>
          <w:sz w:val="24"/>
          <w:szCs w:val="24"/>
        </w:rPr>
        <w:t xml:space="preserve"> </w:t>
      </w:r>
      <w:r w:rsidR="003873D9" w:rsidRPr="003873D9">
        <w:rPr>
          <w:rFonts w:ascii="Times New Roman" w:hAnsi="Times New Roman" w:cs="Times New Roman"/>
          <w:color w:val="auto"/>
          <w:sz w:val="24"/>
          <w:szCs w:val="24"/>
        </w:rPr>
        <w:t>Hrvatski</w:t>
      </w:r>
      <w:r w:rsidR="003873D9">
        <w:rPr>
          <w:rFonts w:ascii="Times New Roman" w:hAnsi="Times New Roman" w:cs="Times New Roman"/>
          <w:color w:val="auto"/>
          <w:sz w:val="24"/>
          <w:szCs w:val="24"/>
        </w:rPr>
        <w:t>m</w:t>
      </w:r>
      <w:r w:rsidR="003873D9" w:rsidRPr="003873D9">
        <w:rPr>
          <w:rFonts w:ascii="Times New Roman" w:hAnsi="Times New Roman" w:cs="Times New Roman"/>
          <w:color w:val="auto"/>
          <w:sz w:val="24"/>
          <w:szCs w:val="24"/>
        </w:rPr>
        <w:t xml:space="preserve"> operator</w:t>
      </w:r>
      <w:r w:rsidR="003873D9">
        <w:rPr>
          <w:rFonts w:ascii="Times New Roman" w:hAnsi="Times New Roman" w:cs="Times New Roman"/>
          <w:color w:val="auto"/>
          <w:sz w:val="24"/>
          <w:szCs w:val="24"/>
        </w:rPr>
        <w:t>om</w:t>
      </w:r>
      <w:r w:rsidR="003873D9" w:rsidRPr="003873D9">
        <w:rPr>
          <w:rFonts w:ascii="Times New Roman" w:hAnsi="Times New Roman" w:cs="Times New Roman"/>
          <w:color w:val="auto"/>
          <w:sz w:val="24"/>
          <w:szCs w:val="24"/>
        </w:rPr>
        <w:t xml:space="preserve"> prijenosnog sustava</w:t>
      </w:r>
      <w:r w:rsidR="003873D9">
        <w:rPr>
          <w:rFonts w:ascii="Times New Roman" w:hAnsi="Times New Roman" w:cs="Times New Roman"/>
          <w:color w:val="auto"/>
          <w:sz w:val="24"/>
          <w:szCs w:val="24"/>
        </w:rPr>
        <w:t xml:space="preserve"> (dalje u tekstu:</w:t>
      </w:r>
      <w:r w:rsidR="003873D9" w:rsidRPr="003873D9">
        <w:rPr>
          <w:rFonts w:ascii="Times New Roman" w:hAnsi="Times New Roman" w:cs="Times New Roman"/>
          <w:color w:val="auto"/>
          <w:sz w:val="24"/>
          <w:szCs w:val="24"/>
        </w:rPr>
        <w:t xml:space="preserve"> </w:t>
      </w:r>
      <w:r w:rsidRPr="00D15569">
        <w:rPr>
          <w:rFonts w:ascii="Times New Roman" w:hAnsi="Times New Roman" w:cs="Times New Roman"/>
          <w:color w:val="auto"/>
          <w:sz w:val="24"/>
          <w:szCs w:val="24"/>
        </w:rPr>
        <w:t>HOPS</w:t>
      </w:r>
      <w:r w:rsidR="003873D9">
        <w:rPr>
          <w:rFonts w:ascii="Times New Roman" w:hAnsi="Times New Roman" w:cs="Times New Roman"/>
          <w:color w:val="auto"/>
          <w:sz w:val="24"/>
          <w:szCs w:val="24"/>
        </w:rPr>
        <w:t>)</w:t>
      </w:r>
      <w:r w:rsidRPr="00D15569">
        <w:rPr>
          <w:rFonts w:ascii="Times New Roman" w:hAnsi="Times New Roman" w:cs="Times New Roman"/>
          <w:color w:val="auto"/>
          <w:sz w:val="24"/>
          <w:szCs w:val="24"/>
        </w:rPr>
        <w:t xml:space="preserve"> i </w:t>
      </w:r>
      <w:r w:rsidR="003873D9" w:rsidRPr="003873D9">
        <w:rPr>
          <w:rFonts w:ascii="Times New Roman" w:hAnsi="Times New Roman" w:cs="Times New Roman"/>
          <w:color w:val="auto"/>
          <w:sz w:val="24"/>
          <w:szCs w:val="24"/>
        </w:rPr>
        <w:t>HEP-Operator</w:t>
      </w:r>
      <w:r w:rsidR="003873D9">
        <w:rPr>
          <w:rFonts w:ascii="Times New Roman" w:hAnsi="Times New Roman" w:cs="Times New Roman"/>
          <w:color w:val="auto"/>
          <w:sz w:val="24"/>
          <w:szCs w:val="24"/>
        </w:rPr>
        <w:t>om</w:t>
      </w:r>
      <w:r w:rsidR="003873D9" w:rsidRPr="003873D9">
        <w:rPr>
          <w:rFonts w:ascii="Times New Roman" w:hAnsi="Times New Roman" w:cs="Times New Roman"/>
          <w:color w:val="auto"/>
          <w:sz w:val="24"/>
          <w:szCs w:val="24"/>
        </w:rPr>
        <w:t xml:space="preserve"> distribucijskog sustava</w:t>
      </w:r>
      <w:r w:rsidR="003873D9">
        <w:rPr>
          <w:rFonts w:ascii="Times New Roman" w:hAnsi="Times New Roman" w:cs="Times New Roman"/>
          <w:color w:val="auto"/>
          <w:sz w:val="24"/>
          <w:szCs w:val="24"/>
        </w:rPr>
        <w:t xml:space="preserve"> (dalje u tekstu: </w:t>
      </w:r>
      <w:r w:rsidRPr="00D15569">
        <w:rPr>
          <w:rFonts w:ascii="Times New Roman" w:hAnsi="Times New Roman" w:cs="Times New Roman"/>
          <w:color w:val="auto"/>
          <w:sz w:val="24"/>
          <w:szCs w:val="24"/>
        </w:rPr>
        <w:t>HEP-ODS</w:t>
      </w:r>
      <w:r w:rsidR="003873D9">
        <w:rPr>
          <w:rFonts w:ascii="Times New Roman" w:hAnsi="Times New Roman" w:cs="Times New Roman"/>
          <w:color w:val="auto"/>
          <w:sz w:val="24"/>
          <w:szCs w:val="24"/>
        </w:rPr>
        <w:t>),</w:t>
      </w:r>
      <w:r w:rsidRPr="00D15569">
        <w:rPr>
          <w:rFonts w:ascii="Times New Roman" w:hAnsi="Times New Roman" w:cs="Times New Roman"/>
          <w:color w:val="auto"/>
          <w:sz w:val="24"/>
          <w:szCs w:val="24"/>
        </w:rPr>
        <w:t xml:space="preserve"> koji su tijela zadužena za upravljanje pojedinim segmentima elektroenergetskog sustava u ime RH. Ova tijela moraju osigurati </w:t>
      </w:r>
      <w:r w:rsidR="003873D9">
        <w:rPr>
          <w:rFonts w:ascii="Times New Roman" w:hAnsi="Times New Roman" w:cs="Times New Roman"/>
          <w:color w:val="auto"/>
          <w:sz w:val="24"/>
          <w:szCs w:val="24"/>
        </w:rPr>
        <w:t>odgovarajuću</w:t>
      </w:r>
      <w:r w:rsidR="003873D9" w:rsidRPr="00D15569">
        <w:rPr>
          <w:rFonts w:ascii="Times New Roman" w:hAnsi="Times New Roman" w:cs="Times New Roman"/>
          <w:color w:val="auto"/>
          <w:sz w:val="24"/>
          <w:szCs w:val="24"/>
        </w:rPr>
        <w:t xml:space="preserve"> </w:t>
      </w:r>
      <w:r w:rsidRPr="00D15569">
        <w:rPr>
          <w:rFonts w:ascii="Times New Roman" w:hAnsi="Times New Roman" w:cs="Times New Roman"/>
          <w:color w:val="auto"/>
          <w:sz w:val="24"/>
          <w:szCs w:val="24"/>
        </w:rPr>
        <w:t>provedbu svih procedura u skladu sa zakonima i podzakonskim aktima osiguravajući postavljanje razumnih uvjeta i vodeći računa da se u sustav ubrzano uključi sve veći broj projekata koji će osigurati dostizanje ciljeva RH vezanih uz obnovljive izvore energije.</w:t>
      </w:r>
    </w:p>
    <w:p w:rsidR="00A96818" w:rsidRDefault="00A96818" w:rsidP="005B7182">
      <w:pPr>
        <w:pStyle w:val="Tijeloteksta"/>
        <w:rPr>
          <w:rFonts w:ascii="Times New Roman" w:hAnsi="Times New Roman" w:cs="Times New Roman"/>
          <w:color w:val="auto"/>
          <w:sz w:val="24"/>
          <w:szCs w:val="24"/>
        </w:rPr>
      </w:pPr>
      <w:r w:rsidRPr="00D15569">
        <w:rPr>
          <w:rFonts w:ascii="Times New Roman" w:hAnsi="Times New Roman" w:cs="Times New Roman"/>
          <w:color w:val="auto"/>
          <w:sz w:val="24"/>
          <w:szCs w:val="24"/>
        </w:rPr>
        <w:t xml:space="preserve">Navedena tijela su </w:t>
      </w:r>
      <w:r w:rsidR="00E35C53" w:rsidRPr="00D15569">
        <w:rPr>
          <w:rFonts w:ascii="Times New Roman" w:hAnsi="Times New Roman" w:cs="Times New Roman"/>
          <w:color w:val="auto"/>
          <w:sz w:val="24"/>
          <w:szCs w:val="24"/>
        </w:rPr>
        <w:t xml:space="preserve">kapacitirana, ali je nužno povećanje kvalitete provedbe pojedinih aktivnosti kako bi se u suradnji sa tijelima državne uprave osigurala nesmetana i kvalitetna provedba zakonodavstva te osigurala brža integracija novih kapaciteta obnovljivih izvora energije u elektroenergetski sustav RH. Posebice jer su za navedeni sustav osigurana znatna sredstva kroz Nacionalni plan oporavka i otpornosti koji će </w:t>
      </w:r>
      <w:r w:rsidR="00E35C53" w:rsidRPr="00D15569">
        <w:rPr>
          <w:rFonts w:ascii="Times New Roman" w:hAnsi="Times New Roman" w:cs="Times New Roman"/>
          <w:color w:val="auto"/>
          <w:sz w:val="24"/>
          <w:szCs w:val="24"/>
        </w:rPr>
        <w:lastRenderedPageBreak/>
        <w:t xml:space="preserve">osigurati revitalizaciju, modernizaciju i digitalizaciju </w:t>
      </w:r>
      <w:r w:rsidR="003873D9" w:rsidRPr="003873D9">
        <w:rPr>
          <w:rFonts w:ascii="Times New Roman" w:hAnsi="Times New Roman" w:cs="Times New Roman"/>
          <w:color w:val="auto"/>
          <w:sz w:val="24"/>
          <w:szCs w:val="24"/>
        </w:rPr>
        <w:t>elektroenergetsk</w:t>
      </w:r>
      <w:r w:rsidR="003873D9">
        <w:rPr>
          <w:rFonts w:ascii="Times New Roman" w:hAnsi="Times New Roman" w:cs="Times New Roman"/>
          <w:color w:val="auto"/>
          <w:sz w:val="24"/>
          <w:szCs w:val="24"/>
        </w:rPr>
        <w:t>og</w:t>
      </w:r>
      <w:r w:rsidR="003873D9" w:rsidRPr="003873D9">
        <w:rPr>
          <w:rFonts w:ascii="Times New Roman" w:hAnsi="Times New Roman" w:cs="Times New Roman"/>
          <w:color w:val="auto"/>
          <w:sz w:val="24"/>
          <w:szCs w:val="24"/>
        </w:rPr>
        <w:t xml:space="preserve"> sustav</w:t>
      </w:r>
      <w:r w:rsidR="003873D9">
        <w:rPr>
          <w:rFonts w:ascii="Times New Roman" w:hAnsi="Times New Roman" w:cs="Times New Roman"/>
          <w:color w:val="auto"/>
          <w:sz w:val="24"/>
          <w:szCs w:val="24"/>
        </w:rPr>
        <w:t>a</w:t>
      </w:r>
      <w:r w:rsidR="003873D9" w:rsidRPr="003873D9">
        <w:rPr>
          <w:rFonts w:ascii="Times New Roman" w:hAnsi="Times New Roman" w:cs="Times New Roman"/>
          <w:color w:val="auto"/>
          <w:sz w:val="24"/>
          <w:szCs w:val="24"/>
        </w:rPr>
        <w:t xml:space="preserve"> </w:t>
      </w:r>
      <w:r w:rsidR="00E35C53" w:rsidRPr="00D15569">
        <w:rPr>
          <w:rFonts w:ascii="Times New Roman" w:hAnsi="Times New Roman" w:cs="Times New Roman"/>
          <w:color w:val="auto"/>
          <w:sz w:val="24"/>
          <w:szCs w:val="24"/>
        </w:rPr>
        <w:t>čime će se stvoriti i tehničke pretpostavke za ubrzavanje integracije navedenih projekata u elektroenergetski sustav.</w:t>
      </w:r>
    </w:p>
    <w:p w:rsidR="00DF7141" w:rsidRPr="00331C56" w:rsidRDefault="00431232" w:rsidP="00C90729">
      <w:pPr>
        <w:pStyle w:val="Naslov2"/>
      </w:pPr>
      <w:bookmarkStart w:id="504" w:name="_Toc105756746"/>
      <w:bookmarkStart w:id="505" w:name="_Toc105756931"/>
      <w:bookmarkStart w:id="506" w:name="_Toc105757110"/>
      <w:bookmarkStart w:id="507" w:name="_Toc105763533"/>
      <w:bookmarkStart w:id="508" w:name="_Toc105756747"/>
      <w:bookmarkStart w:id="509" w:name="_Toc105756932"/>
      <w:bookmarkStart w:id="510" w:name="_Toc105757111"/>
      <w:bookmarkStart w:id="511" w:name="_Toc105763534"/>
      <w:bookmarkStart w:id="512" w:name="_Toc105396371"/>
      <w:bookmarkStart w:id="513" w:name="_Toc105756748"/>
      <w:bookmarkStart w:id="514" w:name="_Toc105973521"/>
      <w:bookmarkEnd w:id="504"/>
      <w:bookmarkEnd w:id="505"/>
      <w:bookmarkEnd w:id="506"/>
      <w:bookmarkEnd w:id="507"/>
      <w:bookmarkEnd w:id="508"/>
      <w:bookmarkEnd w:id="509"/>
      <w:bookmarkEnd w:id="510"/>
      <w:bookmarkEnd w:id="511"/>
      <w:r w:rsidRPr="00331C56">
        <w:t>USKLAĐENOST PROPISA</w:t>
      </w:r>
      <w:bookmarkEnd w:id="495"/>
      <w:bookmarkEnd w:id="512"/>
      <w:bookmarkEnd w:id="513"/>
      <w:bookmarkEnd w:id="514"/>
    </w:p>
    <w:p w:rsidR="00DF7141" w:rsidRPr="003E2DBC" w:rsidRDefault="00350AA9" w:rsidP="00FC271C">
      <w:pPr>
        <w:pStyle w:val="Naslov3"/>
        <w:numPr>
          <w:ilvl w:val="0"/>
          <w:numId w:val="0"/>
        </w:numPr>
        <w:ind w:left="1003"/>
      </w:pPr>
      <w:bookmarkStart w:id="515" w:name="_Toc105137918"/>
      <w:bookmarkStart w:id="516" w:name="_Toc105396372"/>
      <w:bookmarkStart w:id="517" w:name="_Toc105756749"/>
      <w:bookmarkStart w:id="518" w:name="_Toc105973522"/>
      <w:r w:rsidRPr="00003942">
        <w:t>D</w:t>
      </w:r>
      <w:r w:rsidR="00DF7141" w:rsidRPr="00F63D65">
        <w:t>onošenj</w:t>
      </w:r>
      <w:r w:rsidRPr="003E2DBC">
        <w:t>e</w:t>
      </w:r>
      <w:r w:rsidR="00DF7141" w:rsidRPr="003E2DBC">
        <w:t xml:space="preserve"> podzakonskih akata</w:t>
      </w:r>
      <w:bookmarkEnd w:id="515"/>
      <w:bookmarkEnd w:id="516"/>
      <w:bookmarkEnd w:id="517"/>
      <w:bookmarkEnd w:id="518"/>
    </w:p>
    <w:p w:rsidR="00DF7141" w:rsidRPr="00F63D65" w:rsidRDefault="00DF7141" w:rsidP="002D7C87">
      <w:pPr>
        <w:pStyle w:val="Tijeloteksta"/>
        <w:rPr>
          <w:rFonts w:ascii="Times New Roman" w:hAnsi="Times New Roman" w:cs="Times New Roman"/>
          <w:color w:val="auto"/>
          <w:sz w:val="24"/>
          <w:szCs w:val="24"/>
        </w:rPr>
      </w:pPr>
      <w:r w:rsidRPr="003E2DBC">
        <w:rPr>
          <w:rFonts w:ascii="Times New Roman" w:hAnsi="Times New Roman" w:cs="Times New Roman"/>
          <w:color w:val="auto"/>
          <w:sz w:val="24"/>
          <w:szCs w:val="24"/>
        </w:rPr>
        <w:t xml:space="preserve">Novi ZoTEE u prijelaznim i završnim odredbama propisuju donošenje </w:t>
      </w:r>
      <w:r w:rsidR="004C7631" w:rsidRPr="00331C56">
        <w:rPr>
          <w:rFonts w:ascii="Times New Roman" w:hAnsi="Times New Roman" w:cs="Times New Roman"/>
          <w:color w:val="auto"/>
          <w:sz w:val="24"/>
          <w:szCs w:val="24"/>
        </w:rPr>
        <w:t xml:space="preserve">21 </w:t>
      </w:r>
      <w:r w:rsidRPr="00003942">
        <w:rPr>
          <w:rFonts w:ascii="Times New Roman" w:hAnsi="Times New Roman" w:cs="Times New Roman"/>
          <w:color w:val="auto"/>
          <w:sz w:val="24"/>
          <w:szCs w:val="24"/>
        </w:rPr>
        <w:t>podzakonsk</w:t>
      </w:r>
      <w:r w:rsidR="004C7631" w:rsidRPr="00331C56">
        <w:rPr>
          <w:rFonts w:ascii="Times New Roman" w:hAnsi="Times New Roman" w:cs="Times New Roman"/>
          <w:color w:val="auto"/>
          <w:sz w:val="24"/>
          <w:szCs w:val="24"/>
        </w:rPr>
        <w:t>og</w:t>
      </w:r>
      <w:r w:rsidRPr="00003942">
        <w:rPr>
          <w:rFonts w:ascii="Times New Roman" w:hAnsi="Times New Roman" w:cs="Times New Roman"/>
          <w:color w:val="auto"/>
          <w:sz w:val="24"/>
          <w:szCs w:val="24"/>
        </w:rPr>
        <w:t xml:space="preserve"> ak</w:t>
      </w:r>
      <w:r w:rsidRPr="003E2DBC">
        <w:rPr>
          <w:rFonts w:ascii="Times New Roman" w:hAnsi="Times New Roman" w:cs="Times New Roman"/>
          <w:color w:val="auto"/>
          <w:sz w:val="24"/>
          <w:szCs w:val="24"/>
        </w:rPr>
        <w:t>ta</w:t>
      </w:r>
      <w:r w:rsidR="004C7631" w:rsidRPr="00331C56">
        <w:rPr>
          <w:rFonts w:ascii="Times New Roman" w:hAnsi="Times New Roman" w:cs="Times New Roman"/>
          <w:color w:val="auto"/>
          <w:sz w:val="24"/>
          <w:szCs w:val="24"/>
        </w:rPr>
        <w:t>.</w:t>
      </w:r>
      <w:r w:rsidR="001311A6" w:rsidRPr="00331C56">
        <w:rPr>
          <w:rFonts w:ascii="Times New Roman" w:hAnsi="Times New Roman" w:cs="Times New Roman"/>
          <w:color w:val="auto"/>
          <w:sz w:val="24"/>
          <w:szCs w:val="24"/>
        </w:rPr>
        <w:t xml:space="preserve"> </w:t>
      </w:r>
      <w:r w:rsidRPr="00003942">
        <w:rPr>
          <w:rFonts w:ascii="Times New Roman" w:hAnsi="Times New Roman" w:cs="Times New Roman"/>
          <w:color w:val="auto"/>
          <w:sz w:val="24"/>
          <w:szCs w:val="24"/>
        </w:rPr>
        <w:t>S obzirom na to da je većina pitanja koja trebaju biti uređena podzakonskim aktima bila uređena sukladno prethodno važećem Zakonu o tržištu električne energije, do dana stupanja na snagu akata primjenjivat će se akti kojima su uređena odnosna pitanja, a ko</w:t>
      </w:r>
      <w:r w:rsidRPr="00F63D65">
        <w:rPr>
          <w:rFonts w:ascii="Times New Roman" w:hAnsi="Times New Roman" w:cs="Times New Roman"/>
          <w:color w:val="auto"/>
          <w:sz w:val="24"/>
          <w:szCs w:val="24"/>
        </w:rPr>
        <w:t xml:space="preserve">ji su na snazi na dan stupanja na snagu novog ZoTEE-a. </w:t>
      </w:r>
    </w:p>
    <w:p w:rsidR="00DF7141" w:rsidRPr="00F63D65" w:rsidRDefault="00DF7141" w:rsidP="002D7C87">
      <w:pPr>
        <w:pStyle w:val="Tijeloteksta"/>
        <w:rPr>
          <w:rFonts w:ascii="Times New Roman" w:hAnsi="Times New Roman" w:cs="Times New Roman"/>
          <w:color w:val="auto"/>
          <w:sz w:val="24"/>
          <w:szCs w:val="24"/>
        </w:rPr>
      </w:pPr>
      <w:r w:rsidRPr="003E2DBC">
        <w:rPr>
          <w:rFonts w:ascii="Times New Roman" w:hAnsi="Times New Roman" w:cs="Times New Roman"/>
          <w:color w:val="auto"/>
          <w:sz w:val="24"/>
          <w:szCs w:val="24"/>
        </w:rPr>
        <w:t>Također, potrebno je u rokovima donijeti i podzakonske akte koji su propisani novim ZoOIEVK-om</w:t>
      </w:r>
      <w:r w:rsidR="004C7631" w:rsidRPr="00331C56">
        <w:rPr>
          <w:rFonts w:ascii="Times New Roman" w:hAnsi="Times New Roman" w:cs="Times New Roman"/>
          <w:color w:val="auto"/>
          <w:sz w:val="24"/>
          <w:szCs w:val="24"/>
        </w:rPr>
        <w:t>.</w:t>
      </w:r>
      <w:r w:rsidRPr="00003942">
        <w:rPr>
          <w:rFonts w:ascii="Times New Roman" w:hAnsi="Times New Roman" w:cs="Times New Roman"/>
          <w:color w:val="auto"/>
          <w:sz w:val="24"/>
          <w:szCs w:val="24"/>
        </w:rPr>
        <w:t>Kao i u slučaju ZOTEE-a, na snazi do stupanja na snagu novih podzakonskih akata osta</w:t>
      </w:r>
      <w:r w:rsidRPr="00F63D65">
        <w:rPr>
          <w:rFonts w:ascii="Times New Roman" w:hAnsi="Times New Roman" w:cs="Times New Roman"/>
          <w:color w:val="auto"/>
          <w:sz w:val="24"/>
          <w:szCs w:val="24"/>
        </w:rPr>
        <w:t xml:space="preserve">ju oni doneseni na temelju prethodno važećeg Zakona o obnovljivim izvorima energije i visokoučinkovitoj kogeneraciji. </w:t>
      </w:r>
    </w:p>
    <w:p w:rsidR="00DF7141" w:rsidRPr="003E2DBC" w:rsidRDefault="00DF7141" w:rsidP="002D7C87">
      <w:pPr>
        <w:pStyle w:val="Tijeloteksta"/>
        <w:rPr>
          <w:rFonts w:ascii="Times New Roman" w:hAnsi="Times New Roman" w:cs="Times New Roman"/>
          <w:color w:val="auto"/>
          <w:sz w:val="24"/>
          <w:szCs w:val="24"/>
        </w:rPr>
      </w:pPr>
      <w:r w:rsidRPr="003E2DBC">
        <w:rPr>
          <w:rFonts w:ascii="Times New Roman" w:hAnsi="Times New Roman" w:cs="Times New Roman"/>
          <w:color w:val="auto"/>
          <w:sz w:val="24"/>
          <w:szCs w:val="24"/>
        </w:rPr>
        <w:t xml:space="preserve">Transponiranjem odredbi Direktive (EU) 2019/944 Europskog parlamenta i Vijeća od 5. lipnja 2019. o zajedničkim pravilima za unutarnje tržište električne energije i izmjeni Direktive 2012/27/EU u novi ZOTEE i odrednice Direktive (EU) 2018/2001 Europskog parlamenta i Vijeća od 11. prosinca 2018. o primicanju uporabe energije iz obnovljivih izvora u novi ZOIEVUK u ZOTEE i ZOIEVUK uveden je niz novina. </w:t>
      </w:r>
    </w:p>
    <w:p w:rsidR="00DF7141" w:rsidRPr="003E2DBC" w:rsidRDefault="00DF7141" w:rsidP="002D7C87">
      <w:pPr>
        <w:pStyle w:val="Tijeloteksta"/>
        <w:rPr>
          <w:rFonts w:ascii="Times New Roman" w:hAnsi="Times New Roman" w:cs="Times New Roman"/>
          <w:color w:val="auto"/>
          <w:sz w:val="24"/>
          <w:szCs w:val="24"/>
        </w:rPr>
      </w:pPr>
      <w:r w:rsidRPr="003E2DBC">
        <w:rPr>
          <w:rFonts w:ascii="Times New Roman" w:hAnsi="Times New Roman" w:cs="Times New Roman"/>
          <w:color w:val="auto"/>
          <w:sz w:val="24"/>
          <w:szCs w:val="24"/>
        </w:rPr>
        <w:t>S obzirom na to da do sada nisu bile propisane važećim zakonima, većinu je tih novina potrebno detaljnije razraditi i propisati podzakonskim aktima. Stoga je iznimno bitno pridržavati se rokova koji su propisani ZOTEE-om i ZOIEVUK-om kako bi se pridonijelo ispunjavanju nacionalnih ciljeva reformi u hrvatskom energetskom sektoru.</w:t>
      </w:r>
    </w:p>
    <w:p w:rsidR="00DF7141" w:rsidRPr="008609F9" w:rsidRDefault="00DF7141" w:rsidP="00FC271C">
      <w:pPr>
        <w:pStyle w:val="Naslov3"/>
        <w:numPr>
          <w:ilvl w:val="0"/>
          <w:numId w:val="0"/>
        </w:numPr>
        <w:ind w:left="1003"/>
      </w:pPr>
      <w:bookmarkStart w:id="519" w:name="_Toc105137919"/>
      <w:bookmarkStart w:id="520" w:name="_Toc105396373"/>
      <w:bookmarkStart w:id="521" w:name="_Toc105756750"/>
      <w:bookmarkStart w:id="522" w:name="_Toc105973523"/>
      <w:r w:rsidRPr="008609F9">
        <w:t>Međusektorska usklađenost propisa</w:t>
      </w:r>
      <w:bookmarkEnd w:id="519"/>
      <w:bookmarkEnd w:id="520"/>
      <w:bookmarkEnd w:id="521"/>
      <w:bookmarkEnd w:id="522"/>
    </w:p>
    <w:p w:rsidR="00DF7141" w:rsidRPr="00387E05" w:rsidRDefault="00DF7141" w:rsidP="002D7C87">
      <w:pPr>
        <w:pStyle w:val="Tijeloteksta"/>
        <w:rPr>
          <w:rFonts w:ascii="Times New Roman" w:hAnsi="Times New Roman" w:cs="Times New Roman"/>
          <w:color w:val="auto"/>
          <w:sz w:val="24"/>
          <w:szCs w:val="24"/>
        </w:rPr>
      </w:pPr>
      <w:r w:rsidRPr="008609F9">
        <w:rPr>
          <w:rFonts w:ascii="Times New Roman" w:hAnsi="Times New Roman" w:cs="Times New Roman"/>
          <w:color w:val="auto"/>
          <w:sz w:val="24"/>
          <w:szCs w:val="24"/>
        </w:rPr>
        <w:t xml:space="preserve">Zakonodavstvo EU-a kojim se promiču </w:t>
      </w:r>
      <w:r w:rsidRPr="00387E05">
        <w:rPr>
          <w:rFonts w:ascii="Times New Roman" w:hAnsi="Times New Roman" w:cs="Times New Roman"/>
          <w:color w:val="auto"/>
          <w:sz w:val="24"/>
          <w:szCs w:val="24"/>
        </w:rPr>
        <w:t>obnovljivi izvori energije kontinuirano se razvija. RH kao država članica EU ima obvezu usklađivanja nacionalnih propisa sa zakonodavstvom EU. U cilju usklađivanja nacionalnog zakonodavnog okvira s pravnom stečevinom EU, doneseni su i novi ZoTEE i ZoOIEVK koji imaju za cilj omogućiti pojednostavljenu proceduru u pogledu razvoja projekata obnovljivih izvora energije, učiniti ju transparentnijom te potaknuti korištenje obnovljivih izvora energije.</w:t>
      </w:r>
    </w:p>
    <w:p w:rsidR="00561A32" w:rsidRPr="003E2DBC" w:rsidRDefault="00561A32" w:rsidP="002D7C87">
      <w:pPr>
        <w:pStyle w:val="Tijeloteksta"/>
        <w:rPr>
          <w:rFonts w:ascii="Times New Roman" w:hAnsi="Times New Roman" w:cs="Times New Roman"/>
          <w:color w:val="auto"/>
          <w:sz w:val="24"/>
          <w:szCs w:val="24"/>
        </w:rPr>
      </w:pPr>
      <w:r w:rsidRPr="0024150C">
        <w:rPr>
          <w:rFonts w:ascii="Times New Roman" w:hAnsi="Times New Roman" w:cs="Times New Roman"/>
          <w:color w:val="auto"/>
          <w:sz w:val="24"/>
          <w:szCs w:val="24"/>
        </w:rPr>
        <w:t>U tijeku su na razini EU rasprave oko novog zakonodavnog EU okvira vezanog za obnovljive izvore energije („</w:t>
      </w:r>
      <w:r w:rsidRPr="00331C56">
        <w:rPr>
          <w:rFonts w:ascii="Times New Roman" w:hAnsi="Times New Roman" w:cs="Times New Roman"/>
          <w:i/>
          <w:iCs/>
          <w:color w:val="auto"/>
          <w:sz w:val="24"/>
          <w:szCs w:val="24"/>
        </w:rPr>
        <w:t>Spremni za 55</w:t>
      </w:r>
      <w:r w:rsidRPr="00003942">
        <w:rPr>
          <w:rFonts w:ascii="Times New Roman" w:hAnsi="Times New Roman" w:cs="Times New Roman"/>
          <w:color w:val="auto"/>
          <w:sz w:val="24"/>
          <w:szCs w:val="24"/>
        </w:rPr>
        <w:t xml:space="preserve">“) kao i objava novog plana </w:t>
      </w:r>
      <w:r w:rsidRPr="00331C56">
        <w:rPr>
          <w:rFonts w:ascii="Times New Roman" w:hAnsi="Times New Roman" w:cs="Times New Roman"/>
          <w:i/>
          <w:iCs/>
          <w:color w:val="auto"/>
          <w:sz w:val="24"/>
          <w:szCs w:val="24"/>
        </w:rPr>
        <w:t>REPowerEU</w:t>
      </w:r>
      <w:r w:rsidRPr="00003942">
        <w:rPr>
          <w:rFonts w:ascii="Times New Roman" w:hAnsi="Times New Roman" w:cs="Times New Roman"/>
          <w:color w:val="auto"/>
          <w:sz w:val="24"/>
          <w:szCs w:val="24"/>
        </w:rPr>
        <w:t xml:space="preserve"> vezanog za smanjenje energetske ovisnosti EU što će iziskivati dodatne promjene zakonodavnog nacionalnog okvira jednom kada se navedene rasprave na EU razini okončaju. Ova dinamična izmjena zakonodavstva na EU razini zadnjih godina stvara dodatni pritisak na </w:t>
      </w:r>
      <w:r w:rsidR="00D25E17" w:rsidRPr="00F63D65">
        <w:rPr>
          <w:rFonts w:ascii="Times New Roman" w:hAnsi="Times New Roman" w:cs="Times New Roman"/>
          <w:color w:val="auto"/>
          <w:sz w:val="24"/>
          <w:szCs w:val="24"/>
        </w:rPr>
        <w:t>nacionalno zakonodavstvo.</w:t>
      </w:r>
    </w:p>
    <w:p w:rsidR="00DF7141" w:rsidRPr="003E2DBC" w:rsidRDefault="00DF7141" w:rsidP="002D7C87">
      <w:pPr>
        <w:pStyle w:val="Tijeloteksta"/>
        <w:rPr>
          <w:rFonts w:ascii="Times New Roman" w:hAnsi="Times New Roman" w:cs="Times New Roman"/>
          <w:color w:val="auto"/>
          <w:sz w:val="24"/>
          <w:szCs w:val="24"/>
        </w:rPr>
      </w:pPr>
      <w:r w:rsidRPr="003E2DBC">
        <w:rPr>
          <w:rFonts w:ascii="Times New Roman" w:hAnsi="Times New Roman" w:cs="Times New Roman"/>
          <w:color w:val="auto"/>
          <w:sz w:val="24"/>
          <w:szCs w:val="24"/>
        </w:rPr>
        <w:t xml:space="preserve">Također, na područje obnovljivih izvora energije ima utjecaj i niz zakonskih i podzakonskih propisa kojima se uređuju područja prostornog planiranja, ishođenja koncesija i dozvola, zaštite okoliša, zaštite prirode, priključka na elektroenergetsku mrežu, suglasnosti i dozvola iz područja energetike te dozvola iz područja graditeljstva. </w:t>
      </w:r>
    </w:p>
    <w:p w:rsidR="00DF7141" w:rsidRPr="003E2DBC" w:rsidRDefault="00DF7141" w:rsidP="002D7C87">
      <w:pPr>
        <w:pStyle w:val="Tijeloteksta"/>
        <w:rPr>
          <w:rFonts w:ascii="Times New Roman" w:hAnsi="Times New Roman" w:cs="Times New Roman"/>
          <w:color w:val="auto"/>
          <w:sz w:val="24"/>
          <w:szCs w:val="24"/>
        </w:rPr>
      </w:pPr>
      <w:r w:rsidRPr="003E2DBC">
        <w:rPr>
          <w:rFonts w:ascii="Times New Roman" w:hAnsi="Times New Roman" w:cs="Times New Roman"/>
          <w:color w:val="auto"/>
          <w:sz w:val="24"/>
          <w:szCs w:val="24"/>
        </w:rPr>
        <w:lastRenderedPageBreak/>
        <w:t>U cilju izbjegavanja zastoja koji sprečavaju veće korištenje obnovljivih izvora energije, nužno je pojačati međusektorsku povezanost prilikom izrade i donošenja propisa koji imaju utjecaj na područje korištenja obnovljivih izvora energije kako bi propisi bili pravovremeno usklađeni.</w:t>
      </w:r>
    </w:p>
    <w:p w:rsidR="00DF7141" w:rsidRPr="008609F9" w:rsidRDefault="00DF7141" w:rsidP="002D7C87">
      <w:pPr>
        <w:pStyle w:val="Tijeloteksta"/>
        <w:rPr>
          <w:rFonts w:ascii="Times New Roman" w:hAnsi="Times New Roman" w:cs="Times New Roman"/>
          <w:color w:val="auto"/>
          <w:sz w:val="24"/>
          <w:szCs w:val="24"/>
        </w:rPr>
      </w:pPr>
      <w:r w:rsidRPr="008609F9">
        <w:rPr>
          <w:rFonts w:ascii="Times New Roman" w:hAnsi="Times New Roman" w:cs="Times New Roman"/>
          <w:color w:val="auto"/>
          <w:sz w:val="24"/>
          <w:szCs w:val="24"/>
        </w:rPr>
        <w:t>Navedeno se prvenstveno odnosi na pojačanu koordinaciju nadležnih ministarstava, HERA-e, HROTE-a, HOPS-a i HEP-ODS-a prilikom donošenja novih i izmjena postojećih propisa.</w:t>
      </w:r>
    </w:p>
    <w:p w:rsidR="00DF7141" w:rsidRPr="00387E05" w:rsidRDefault="00495749" w:rsidP="00FC271C">
      <w:pPr>
        <w:pStyle w:val="Naslov3"/>
        <w:numPr>
          <w:ilvl w:val="0"/>
          <w:numId w:val="0"/>
        </w:numPr>
        <w:ind w:left="1003"/>
      </w:pPr>
      <w:bookmarkStart w:id="523" w:name="_Toc105137920"/>
      <w:bookmarkStart w:id="524" w:name="_Toc105396374"/>
      <w:bookmarkStart w:id="525" w:name="_Toc105756751"/>
      <w:bookmarkStart w:id="526" w:name="_Toc105973524"/>
      <w:r>
        <w:t>P</w:t>
      </w:r>
      <w:r w:rsidR="00DF7141" w:rsidRPr="00387E05">
        <w:t>rilagođenost propisa za nove tehnologije</w:t>
      </w:r>
      <w:bookmarkEnd w:id="523"/>
      <w:bookmarkEnd w:id="524"/>
      <w:bookmarkEnd w:id="525"/>
      <w:bookmarkEnd w:id="526"/>
    </w:p>
    <w:p w:rsidR="00DF7141" w:rsidRPr="007C507C" w:rsidRDefault="00DF7141" w:rsidP="002D7C87">
      <w:pPr>
        <w:jc w:val="both"/>
        <w:rPr>
          <w:rFonts w:ascii="Times New Roman" w:eastAsia="Work Sans" w:hAnsi="Times New Roman" w:cs="Times New Roman"/>
          <w:sz w:val="24"/>
          <w:szCs w:val="24"/>
        </w:rPr>
      </w:pPr>
      <w:r w:rsidRPr="00387E05">
        <w:rPr>
          <w:rFonts w:ascii="Times New Roman" w:eastAsia="Work Sans" w:hAnsi="Times New Roman" w:cs="Times New Roman"/>
          <w:sz w:val="24"/>
          <w:szCs w:val="24"/>
        </w:rPr>
        <w:t>Razvoj tehnologije OIE adekvatno prati novi ZoTEE stvarajući pretpostavke za širu implementaciju decentraliziranih izvora energije i njihov pristup tržištu. Često ubrzani tehnološki napredak nije usklađen sa sektorskom regulacijom u dijelu gdje se on planira, što se prije svega odnosi na infrastrukturu na kojoj se t</w:t>
      </w:r>
      <w:r w:rsidRPr="0024150C">
        <w:rPr>
          <w:rFonts w:ascii="Times New Roman" w:eastAsia="Work Sans" w:hAnsi="Times New Roman" w:cs="Times New Roman"/>
          <w:sz w:val="24"/>
          <w:szCs w:val="24"/>
        </w:rPr>
        <w:t xml:space="preserve">ehnologija treba primijeniti. Preciznije, nove tehnologije kao što su </w:t>
      </w:r>
      <w:r w:rsidR="00B90C59" w:rsidRPr="0024150C">
        <w:rPr>
          <w:rFonts w:ascii="Times New Roman" w:eastAsia="Work Sans" w:hAnsi="Times New Roman" w:cs="Times New Roman"/>
          <w:sz w:val="24"/>
          <w:szCs w:val="24"/>
        </w:rPr>
        <w:t xml:space="preserve">npr. </w:t>
      </w:r>
      <w:r w:rsidRPr="0024150C">
        <w:rPr>
          <w:rFonts w:ascii="Times New Roman" w:eastAsia="Work Sans" w:hAnsi="Times New Roman" w:cs="Times New Roman"/>
          <w:sz w:val="24"/>
          <w:szCs w:val="24"/>
        </w:rPr>
        <w:t>plutajući solari</w:t>
      </w:r>
      <w:r w:rsidRPr="0024150C">
        <w:rPr>
          <w:rFonts w:ascii="Times New Roman" w:eastAsia="Work Sans" w:hAnsi="Times New Roman" w:cs="Times New Roman"/>
          <w:i/>
          <w:sz w:val="24"/>
          <w:szCs w:val="24"/>
        </w:rPr>
        <w:t xml:space="preserve"> </w:t>
      </w:r>
      <w:r w:rsidRPr="0024150C">
        <w:rPr>
          <w:rFonts w:ascii="Times New Roman" w:eastAsia="Work Sans" w:hAnsi="Times New Roman" w:cs="Times New Roman"/>
          <w:sz w:val="24"/>
          <w:szCs w:val="24"/>
        </w:rPr>
        <w:t xml:space="preserve">ili korištenje poljoprivrednog zemljišta za proizvodnju energije iz solara predmnijevaju korištenje općeg dobra ili nekretnina na način koji trenutno nije predviđen posebnom sektorskom regulacijom. </w:t>
      </w:r>
    </w:p>
    <w:p w:rsidR="00FA315F" w:rsidRPr="00003942" w:rsidRDefault="00FA315F" w:rsidP="002D7C87">
      <w:pPr>
        <w:jc w:val="both"/>
        <w:rPr>
          <w:rFonts w:ascii="Times New Roman" w:eastAsia="Calibri" w:hAnsi="Times New Roman" w:cs="Times New Roman"/>
          <w:sz w:val="24"/>
          <w:szCs w:val="24"/>
        </w:rPr>
      </w:pPr>
      <w:r w:rsidRPr="00331C56">
        <w:rPr>
          <w:rFonts w:ascii="Times New Roman" w:eastAsia="Work Sans" w:hAnsi="Times New Roman" w:cs="Times New Roman"/>
          <w:sz w:val="24"/>
          <w:szCs w:val="24"/>
        </w:rPr>
        <w:t xml:space="preserve">Vezano za plutajuće solare i njihovo postavljanje na vodne površine koje su javno dobro </w:t>
      </w:r>
      <w:r w:rsidR="00575424" w:rsidRPr="00331C56">
        <w:rPr>
          <w:rFonts w:ascii="Times New Roman" w:eastAsia="Work Sans" w:hAnsi="Times New Roman" w:cs="Times New Roman"/>
          <w:sz w:val="24"/>
          <w:szCs w:val="24"/>
        </w:rPr>
        <w:t>izmjenom zakona u području vodnog gospodarstva isto je omogućeno kroz model ishođ</w:t>
      </w:r>
      <w:r w:rsidR="001311A6" w:rsidRPr="00222A78">
        <w:rPr>
          <w:rFonts w:ascii="Times New Roman" w:eastAsia="Work Sans" w:hAnsi="Times New Roman" w:cs="Times New Roman"/>
          <w:sz w:val="24"/>
          <w:szCs w:val="24"/>
        </w:rPr>
        <w:t>e</w:t>
      </w:r>
      <w:r w:rsidR="00575424" w:rsidRPr="00222A78">
        <w:rPr>
          <w:rFonts w:ascii="Times New Roman" w:eastAsia="Work Sans" w:hAnsi="Times New Roman" w:cs="Times New Roman"/>
          <w:sz w:val="24"/>
          <w:szCs w:val="24"/>
        </w:rPr>
        <w:t>nja vodopravnih dozvola</w:t>
      </w:r>
      <w:r w:rsidR="00575424" w:rsidRPr="00192851">
        <w:rPr>
          <w:rFonts w:ascii="Times New Roman" w:eastAsia="Work Sans" w:hAnsi="Times New Roman" w:cs="Times New Roman"/>
          <w:sz w:val="24"/>
          <w:szCs w:val="24"/>
        </w:rPr>
        <w:t xml:space="preserve">. Naime, </w:t>
      </w:r>
      <w:r w:rsidRPr="00003942">
        <w:rPr>
          <w:rFonts w:ascii="Times New Roman" w:eastAsia="Work Sans" w:hAnsi="Times New Roman" w:cs="Times New Roman"/>
          <w:sz w:val="24"/>
          <w:szCs w:val="24"/>
        </w:rPr>
        <w:t>Zakonom o vodama (NN, broj 66/19 i 84/21) te Pravilnikom o izdavanju vodopravnih akata (NN 9/20 i ) omogućeno je ishođenje Vodopravne dozvole za korištenje vodenih površina za postavljanje plutajućih objekata ili za ploveće objekte na vodama kada se te djelatnosti obavlj</w:t>
      </w:r>
      <w:r w:rsidR="00575424" w:rsidRPr="00003942">
        <w:rPr>
          <w:rFonts w:ascii="Times New Roman" w:eastAsia="Work Sans" w:hAnsi="Times New Roman" w:cs="Times New Roman"/>
          <w:sz w:val="24"/>
          <w:szCs w:val="24"/>
        </w:rPr>
        <w:t xml:space="preserve">aju kao gospodarske djelatnosti. Ovaj model je učinkovitiji od koncesijskog modela iz razloga što je </w:t>
      </w:r>
      <w:r w:rsidRPr="00003942">
        <w:rPr>
          <w:rFonts w:ascii="Times New Roman" w:eastAsia="Work Sans" w:hAnsi="Times New Roman" w:cs="Times New Roman"/>
          <w:sz w:val="24"/>
          <w:szCs w:val="24"/>
        </w:rPr>
        <w:t>ishođenje vodopravne dozvole za korištenje voda za postavljanje plutajućih objekata (za gospodarsku djelatnost-u ovom slučaju za proizvodnju električne energi</w:t>
      </w:r>
      <w:r w:rsidR="00575424" w:rsidRPr="00003942">
        <w:rPr>
          <w:rFonts w:ascii="Times New Roman" w:eastAsia="Work Sans" w:hAnsi="Times New Roman" w:cs="Times New Roman"/>
          <w:sz w:val="24"/>
          <w:szCs w:val="24"/>
        </w:rPr>
        <w:t xml:space="preserve">je), kako je sada regulirano, </w:t>
      </w:r>
      <w:r w:rsidRPr="00003942">
        <w:rPr>
          <w:rFonts w:ascii="Times New Roman" w:eastAsia="Work Sans" w:hAnsi="Times New Roman" w:cs="Times New Roman"/>
          <w:sz w:val="24"/>
          <w:szCs w:val="24"/>
        </w:rPr>
        <w:t xml:space="preserve"> puno jednostavniji, brži postupak i jeftiniji postupak</w:t>
      </w:r>
      <w:r w:rsidR="00575424" w:rsidRPr="00003942">
        <w:rPr>
          <w:rFonts w:ascii="Times New Roman" w:eastAsia="Work Sans" w:hAnsi="Times New Roman" w:cs="Times New Roman"/>
          <w:sz w:val="24"/>
          <w:szCs w:val="24"/>
        </w:rPr>
        <w:t xml:space="preserve"> od koncesijskog</w:t>
      </w:r>
      <w:r w:rsidRPr="00003942">
        <w:rPr>
          <w:rFonts w:ascii="Times New Roman" w:eastAsia="Work Sans" w:hAnsi="Times New Roman" w:cs="Times New Roman"/>
          <w:sz w:val="24"/>
          <w:szCs w:val="24"/>
        </w:rPr>
        <w:t>. Isto se odnosi na javno vodno dobro, kojim upravljaju Hrvatske vode. Ribnjaci (koje je poljoprivredno zemljište) i šoderice (nastale iskapanjem šljunka kroz propise o rudarstvu) ne spadaju u nadležnost Zakona o vodama po ovom pitanju.</w:t>
      </w:r>
    </w:p>
    <w:p w:rsidR="00431232" w:rsidRPr="0024150C" w:rsidRDefault="001311A6" w:rsidP="00431232">
      <w:pPr>
        <w:jc w:val="both"/>
        <w:rPr>
          <w:rFonts w:ascii="Times New Roman" w:eastAsia="Work Sans" w:hAnsi="Times New Roman" w:cs="Times New Roman"/>
          <w:sz w:val="24"/>
          <w:szCs w:val="24"/>
        </w:rPr>
      </w:pPr>
      <w:r w:rsidRPr="00003942">
        <w:rPr>
          <w:rFonts w:ascii="Times New Roman" w:eastAsia="Work Sans" w:hAnsi="Times New Roman" w:cs="Times New Roman"/>
          <w:sz w:val="24"/>
          <w:szCs w:val="24"/>
        </w:rPr>
        <w:t xml:space="preserve">No, </w:t>
      </w:r>
      <w:r w:rsidRPr="003E2DBC">
        <w:rPr>
          <w:rFonts w:ascii="Times New Roman" w:eastAsia="Work Sans" w:hAnsi="Times New Roman" w:cs="Times New Roman"/>
          <w:sz w:val="24"/>
          <w:szCs w:val="24"/>
        </w:rPr>
        <w:t>k</w:t>
      </w:r>
      <w:r w:rsidR="00DF7141" w:rsidRPr="003E2DBC">
        <w:rPr>
          <w:rFonts w:ascii="Times New Roman" w:eastAsia="Work Sans" w:hAnsi="Times New Roman" w:cs="Times New Roman"/>
          <w:sz w:val="24"/>
          <w:szCs w:val="24"/>
        </w:rPr>
        <w:t>od korištenja poljoprivrednog zemljišta za proizvodnju energije iz solara</w:t>
      </w:r>
      <w:r w:rsidRPr="003E2DBC">
        <w:rPr>
          <w:rFonts w:ascii="Times New Roman" w:eastAsia="Work Sans" w:hAnsi="Times New Roman" w:cs="Times New Roman"/>
          <w:sz w:val="24"/>
          <w:szCs w:val="24"/>
        </w:rPr>
        <w:t xml:space="preserve"> treba jasnije definirati mogućnosti kombiniranja korištenja solara i poljoprivredne proizvodnje</w:t>
      </w:r>
      <w:r w:rsidR="00DF7141" w:rsidRPr="008609F9">
        <w:rPr>
          <w:rFonts w:ascii="Times New Roman" w:eastAsia="Work Sans" w:hAnsi="Times New Roman" w:cs="Times New Roman"/>
          <w:sz w:val="24"/>
          <w:szCs w:val="24"/>
        </w:rPr>
        <w:t>. Definicija poljoprivrednog zemljišta sukladno posebnom propisu uključuje taksativnu listu zemljišta prema prirodnim karakteristikama, proširenu s određenjima u prostornim planovima kao poljoprivredno zemljište, s bitnom karakteristikom da je takvo zemljište namijenjeno poljoprivrednoj proizvodnji. Iz navedenog razloga nije moguće koristiti poljoprivredno zem</w:t>
      </w:r>
      <w:r w:rsidR="00DF7141" w:rsidRPr="00387E05">
        <w:rPr>
          <w:rFonts w:ascii="Times New Roman" w:eastAsia="Work Sans" w:hAnsi="Times New Roman" w:cs="Times New Roman"/>
          <w:sz w:val="24"/>
          <w:szCs w:val="24"/>
        </w:rPr>
        <w:t xml:space="preserve">ljište za druge namjene, posebno za izgradnju građevina ili obavljanje komercijalne djelatnosti. No ubrzani razvoj tehnologije omogućio je korištenje poljoprivrednog zemljišta pored same poljoprivredne proizvodnje i za postavljanje solara, čime se omogućuje održivo i učinkovito korištenje zemljišta bez da se dovede u pitanje primarna djelatnost. U određenim situacijama, postavljanje solara čak može pridonijeti unaprjeđenju same poljoprivredne proizvodnje i kvalitetnijem održavanju zemlje. Stoga bi se intervencijom u propise u domeni poljoprivrede i korištenjem zemljišta moglo omogućiti širu implementaciju solara na poljoprivrednom zemljištu, bilo kao sekundarnu djelatnost pored primarne poljoprivredne proizvodnje, bilo na zapuštenim poljoprivrednim zemljištima koja se kroz duži period ne </w:t>
      </w:r>
      <w:r w:rsidR="00DF7141" w:rsidRPr="00387E05">
        <w:rPr>
          <w:rFonts w:ascii="Times New Roman" w:eastAsia="Work Sans" w:hAnsi="Times New Roman" w:cs="Times New Roman"/>
          <w:sz w:val="24"/>
          <w:szCs w:val="24"/>
        </w:rPr>
        <w:lastRenderedPageBreak/>
        <w:t xml:space="preserve">koriste za poljoprivrednu proizvodnju. U oba slučaja bi se primjenjivali kriteriji održivog razvoja kao temelj za određivanje namjene i korištenja zemljišta, pri čemu okolnost vlasništva nije bitna. </w:t>
      </w:r>
      <w:bookmarkStart w:id="527" w:name="_Toc105137921"/>
    </w:p>
    <w:p w:rsidR="0079456B" w:rsidRDefault="0079456B" w:rsidP="00872208">
      <w:pPr>
        <w:pStyle w:val="Naslov1"/>
      </w:pPr>
      <w:bookmarkStart w:id="528" w:name="_Toc105973525"/>
      <w:bookmarkEnd w:id="527"/>
      <w:r w:rsidRPr="0079456B">
        <w:lastRenderedPageBreak/>
        <w:t>ZAKLJUČAK</w:t>
      </w:r>
      <w:bookmarkEnd w:id="528"/>
    </w:p>
    <w:p w:rsidR="00890BCE" w:rsidRPr="00F43296" w:rsidRDefault="00723C94" w:rsidP="00331C56">
      <w:pPr>
        <w:pStyle w:val="Tijeloteksta"/>
        <w:rPr>
          <w:rFonts w:ascii="Times New Roman" w:hAnsi="Times New Roman" w:cs="Times New Roman"/>
          <w:sz w:val="24"/>
          <w:szCs w:val="24"/>
        </w:rPr>
      </w:pPr>
      <w:r w:rsidRPr="00F43296">
        <w:rPr>
          <w:rFonts w:ascii="Times New Roman" w:hAnsi="Times New Roman" w:cs="Times New Roman"/>
          <w:sz w:val="24"/>
          <w:szCs w:val="24"/>
        </w:rPr>
        <w:t>Obzirom na iznesenu analizu potrebno je osigurati provedbu devet mjera kojima će se osigurati ubrzavanje pripreme i provedbe projekata razvoja obnovljivih izvora energije u RH:</w:t>
      </w:r>
    </w:p>
    <w:p w:rsidR="00890BCE" w:rsidRPr="00F43296" w:rsidRDefault="00890BCE" w:rsidP="00C05B1B">
      <w:pPr>
        <w:pStyle w:val="Tijeloteksta"/>
        <w:numPr>
          <w:ilvl w:val="0"/>
          <w:numId w:val="37"/>
        </w:numPr>
        <w:rPr>
          <w:rFonts w:ascii="Times New Roman" w:hAnsi="Times New Roman" w:cs="Times New Roman"/>
          <w:sz w:val="24"/>
          <w:szCs w:val="24"/>
        </w:rPr>
      </w:pPr>
      <w:r w:rsidRPr="00F43296">
        <w:rPr>
          <w:rFonts w:ascii="Times New Roman" w:hAnsi="Times New Roman" w:cs="Times New Roman"/>
          <w:sz w:val="24"/>
          <w:szCs w:val="24"/>
        </w:rPr>
        <w:t>Jačanje administrativnih kapaciteta TDU koja rade na postupcima izdavanja rješenja kojima se omogućava ubrzani razvoj obnovljivih izvora energije</w:t>
      </w:r>
      <w:r w:rsidR="001311A6" w:rsidRPr="00F43296">
        <w:rPr>
          <w:rFonts w:ascii="Times New Roman" w:hAnsi="Times New Roman" w:cs="Times New Roman"/>
          <w:sz w:val="24"/>
          <w:szCs w:val="24"/>
        </w:rPr>
        <w:t xml:space="preserve"> čime će se osigurati ubrzavanje svih procedura uz poštivanje svih propisa</w:t>
      </w:r>
      <w:r w:rsidR="009D6007" w:rsidRPr="00F43296">
        <w:rPr>
          <w:rFonts w:ascii="Times New Roman" w:hAnsi="Times New Roman" w:cs="Times New Roman"/>
          <w:sz w:val="24"/>
          <w:szCs w:val="24"/>
        </w:rPr>
        <w:t xml:space="preserve"> te osiguravanje dodatnih sredstava za plaće navedenih zaposlenika</w:t>
      </w:r>
    </w:p>
    <w:p w:rsidR="00890BCE" w:rsidRPr="00F43296" w:rsidRDefault="00890BCE" w:rsidP="00C05B1B">
      <w:pPr>
        <w:pStyle w:val="Tijeloteksta"/>
        <w:numPr>
          <w:ilvl w:val="0"/>
          <w:numId w:val="37"/>
        </w:numPr>
        <w:rPr>
          <w:rFonts w:ascii="Times New Roman" w:hAnsi="Times New Roman" w:cs="Times New Roman"/>
          <w:sz w:val="24"/>
          <w:szCs w:val="24"/>
        </w:rPr>
      </w:pPr>
      <w:r w:rsidRPr="00F43296">
        <w:rPr>
          <w:rFonts w:ascii="Times New Roman" w:hAnsi="Times New Roman" w:cs="Times New Roman"/>
          <w:sz w:val="24"/>
          <w:szCs w:val="24"/>
        </w:rPr>
        <w:t>Jačanje međusektorske suradnje i neprekinutost postupaka – omogućiti pravni okvir koji bi prevodio rješavanja postupaka iz jednog tijela k drugom</w:t>
      </w:r>
      <w:r w:rsidR="009D6007" w:rsidRPr="00F43296">
        <w:rPr>
          <w:rFonts w:ascii="Times New Roman" w:hAnsi="Times New Roman" w:cs="Times New Roman"/>
          <w:sz w:val="24"/>
          <w:szCs w:val="24"/>
        </w:rPr>
        <w:t xml:space="preserve"> (n</w:t>
      </w:r>
      <w:r w:rsidRPr="00F43296">
        <w:rPr>
          <w:rFonts w:ascii="Times New Roman" w:hAnsi="Times New Roman" w:cs="Times New Roman"/>
          <w:sz w:val="24"/>
          <w:szCs w:val="24"/>
        </w:rPr>
        <w:t>a primjer</w:t>
      </w:r>
      <w:r w:rsidR="009D6007" w:rsidRPr="00F43296">
        <w:rPr>
          <w:rFonts w:ascii="Times New Roman" w:hAnsi="Times New Roman" w:cs="Times New Roman"/>
          <w:sz w:val="24"/>
          <w:szCs w:val="24"/>
        </w:rPr>
        <w:t>,</w:t>
      </w:r>
      <w:r w:rsidRPr="00F43296">
        <w:rPr>
          <w:rFonts w:ascii="Times New Roman" w:hAnsi="Times New Roman" w:cs="Times New Roman"/>
          <w:sz w:val="24"/>
          <w:szCs w:val="24"/>
        </w:rPr>
        <w:t xml:space="preserve"> izdavanje energetskog odobrenja automatski mora biti dostupno svima u nizu te dostavljeno svim relevantnim tijelima za postupanje</w:t>
      </w:r>
      <w:r w:rsidR="009D6007" w:rsidRPr="00F43296">
        <w:rPr>
          <w:rFonts w:ascii="Times New Roman" w:hAnsi="Times New Roman" w:cs="Times New Roman"/>
          <w:sz w:val="24"/>
          <w:szCs w:val="24"/>
        </w:rPr>
        <w:t>)</w:t>
      </w:r>
    </w:p>
    <w:p w:rsidR="009D6007" w:rsidRPr="00F43296" w:rsidRDefault="009D6007" w:rsidP="00C05B1B">
      <w:pPr>
        <w:pStyle w:val="Tijeloteksta"/>
        <w:numPr>
          <w:ilvl w:val="0"/>
          <w:numId w:val="37"/>
        </w:numPr>
        <w:rPr>
          <w:rFonts w:ascii="Times New Roman" w:hAnsi="Times New Roman" w:cs="Times New Roman"/>
          <w:sz w:val="24"/>
          <w:szCs w:val="24"/>
        </w:rPr>
      </w:pPr>
      <w:r w:rsidRPr="00F43296">
        <w:rPr>
          <w:rFonts w:ascii="Times New Roman" w:hAnsi="Times New Roman" w:cs="Times New Roman"/>
          <w:sz w:val="24"/>
          <w:szCs w:val="24"/>
        </w:rPr>
        <w:t>Dizanje kvalitete unutar ostalih tijela u sustavu koji su također nužni za adekvatnu i vremenski razumnu provedbu procedura i osiguravanje predradnji za kvalitetniju uspostavu sustava (posebice HERA, HOPS i HEP-ODS)</w:t>
      </w:r>
    </w:p>
    <w:p w:rsidR="003159AF" w:rsidRPr="00F43296" w:rsidRDefault="003159AF" w:rsidP="00C05B1B">
      <w:pPr>
        <w:pStyle w:val="Tijeloteksta"/>
        <w:numPr>
          <w:ilvl w:val="0"/>
          <w:numId w:val="37"/>
        </w:numPr>
        <w:rPr>
          <w:rFonts w:ascii="Times New Roman" w:hAnsi="Times New Roman" w:cs="Times New Roman"/>
          <w:sz w:val="24"/>
          <w:szCs w:val="24"/>
        </w:rPr>
      </w:pPr>
      <w:r w:rsidRPr="00F43296">
        <w:rPr>
          <w:rFonts w:ascii="Times New Roman" w:hAnsi="Times New Roman" w:cs="Times New Roman"/>
          <w:sz w:val="24"/>
          <w:szCs w:val="24"/>
        </w:rPr>
        <w:t>Donošenje kompletne zakonodavne regulative koja uključuje podzakonske akte nužne za ubrzavanje procedura i doprinose jasnoći postupaka</w:t>
      </w:r>
    </w:p>
    <w:p w:rsidR="003159AF" w:rsidRPr="00F43296" w:rsidRDefault="003159AF" w:rsidP="00C05B1B">
      <w:pPr>
        <w:pStyle w:val="Tijeloteksta"/>
        <w:numPr>
          <w:ilvl w:val="0"/>
          <w:numId w:val="37"/>
        </w:numPr>
        <w:rPr>
          <w:rFonts w:ascii="Times New Roman" w:hAnsi="Times New Roman" w:cs="Times New Roman"/>
          <w:sz w:val="24"/>
          <w:szCs w:val="24"/>
        </w:rPr>
      </w:pPr>
      <w:r w:rsidRPr="00F43296">
        <w:rPr>
          <w:rFonts w:ascii="Times New Roman" w:hAnsi="Times New Roman" w:cs="Times New Roman"/>
          <w:sz w:val="24"/>
          <w:szCs w:val="24"/>
        </w:rPr>
        <w:t>Jačanje elektroenergetskog sustava s posebnim naglaskom na revitalizaciji, modernizaciji i digitalizaciji elektroenergetske mreže te ubrzanoj ugradnji naprednih brojila</w:t>
      </w:r>
    </w:p>
    <w:p w:rsidR="003159AF" w:rsidRPr="00F43296" w:rsidRDefault="003159AF" w:rsidP="00C05B1B">
      <w:pPr>
        <w:pStyle w:val="Tijeloteksta"/>
        <w:numPr>
          <w:ilvl w:val="0"/>
          <w:numId w:val="37"/>
        </w:numPr>
        <w:rPr>
          <w:rFonts w:ascii="Times New Roman" w:hAnsi="Times New Roman" w:cs="Times New Roman"/>
          <w:sz w:val="24"/>
          <w:szCs w:val="24"/>
        </w:rPr>
      </w:pPr>
      <w:r w:rsidRPr="00F43296">
        <w:rPr>
          <w:rFonts w:ascii="Times New Roman" w:hAnsi="Times New Roman" w:cs="Times New Roman"/>
          <w:sz w:val="24"/>
          <w:szCs w:val="24"/>
        </w:rPr>
        <w:t>Jačanje instrumenata koji osiguravaju kvalitetno prostorno planiranje</w:t>
      </w:r>
    </w:p>
    <w:p w:rsidR="00890BCE" w:rsidRPr="00F43296" w:rsidRDefault="00890BCE" w:rsidP="00C05B1B">
      <w:pPr>
        <w:pStyle w:val="Tijeloteksta"/>
        <w:numPr>
          <w:ilvl w:val="0"/>
          <w:numId w:val="37"/>
        </w:numPr>
        <w:rPr>
          <w:rFonts w:ascii="Times New Roman" w:hAnsi="Times New Roman" w:cs="Times New Roman"/>
          <w:sz w:val="24"/>
          <w:szCs w:val="24"/>
        </w:rPr>
      </w:pPr>
      <w:r w:rsidRPr="00F43296">
        <w:rPr>
          <w:rFonts w:ascii="Times New Roman" w:hAnsi="Times New Roman" w:cs="Times New Roman"/>
          <w:sz w:val="24"/>
          <w:szCs w:val="24"/>
        </w:rPr>
        <w:t>Informatizacija sustava i povezivanje TDU</w:t>
      </w:r>
    </w:p>
    <w:p w:rsidR="00890BCE" w:rsidRPr="00F43296" w:rsidRDefault="00890BCE" w:rsidP="00C05B1B">
      <w:pPr>
        <w:pStyle w:val="Tijeloteksta"/>
        <w:numPr>
          <w:ilvl w:val="0"/>
          <w:numId w:val="37"/>
        </w:numPr>
        <w:rPr>
          <w:rFonts w:ascii="Times New Roman" w:hAnsi="Times New Roman" w:cs="Times New Roman"/>
          <w:sz w:val="24"/>
          <w:szCs w:val="24"/>
        </w:rPr>
      </w:pPr>
      <w:r w:rsidRPr="00F43296">
        <w:rPr>
          <w:rFonts w:ascii="Times New Roman" w:hAnsi="Times New Roman" w:cs="Times New Roman"/>
          <w:sz w:val="24"/>
          <w:szCs w:val="24"/>
        </w:rPr>
        <w:t>Ispunjene predradnje u smislu karata osjetljivosti, donošenje državnog plana za strateške projekte, županijskih i lokalnih prostornih planova koji su međusobno kompatibilni.</w:t>
      </w:r>
    </w:p>
    <w:p w:rsidR="003159AF" w:rsidRPr="00F43296" w:rsidRDefault="003159AF" w:rsidP="00C05B1B">
      <w:pPr>
        <w:pStyle w:val="Tijeloteksta"/>
        <w:numPr>
          <w:ilvl w:val="0"/>
          <w:numId w:val="37"/>
        </w:numPr>
        <w:rPr>
          <w:rFonts w:ascii="Times New Roman" w:hAnsi="Times New Roman" w:cs="Times New Roman"/>
          <w:sz w:val="24"/>
          <w:szCs w:val="24"/>
        </w:rPr>
      </w:pPr>
      <w:r w:rsidRPr="00F43296">
        <w:rPr>
          <w:rFonts w:ascii="Times New Roman" w:hAnsi="Times New Roman" w:cs="Times New Roman"/>
          <w:sz w:val="24"/>
          <w:szCs w:val="24"/>
        </w:rPr>
        <w:t xml:space="preserve">Edukativne i informativne aktivnosti vezane uz korištenje obnovljivih izvora energije za vlastitu potrošnju, zajednica energije </w:t>
      </w:r>
    </w:p>
    <w:p w:rsidR="00890BCE" w:rsidRPr="00F43296" w:rsidRDefault="00890BCE" w:rsidP="00C05B1B">
      <w:pPr>
        <w:pStyle w:val="Tijeloteksta"/>
        <w:numPr>
          <w:ilvl w:val="0"/>
          <w:numId w:val="37"/>
        </w:numPr>
        <w:rPr>
          <w:rFonts w:ascii="Times New Roman" w:hAnsi="Times New Roman" w:cs="Times New Roman"/>
          <w:sz w:val="24"/>
          <w:szCs w:val="24"/>
        </w:rPr>
      </w:pPr>
      <w:r w:rsidRPr="00F43296">
        <w:rPr>
          <w:rFonts w:ascii="Times New Roman" w:hAnsi="Times New Roman" w:cs="Times New Roman"/>
          <w:sz w:val="24"/>
          <w:szCs w:val="24"/>
        </w:rPr>
        <w:t>Financijski instrumenti za provedbu energetske strategije.</w:t>
      </w:r>
    </w:p>
    <w:p w:rsidR="009D6007" w:rsidRPr="00F43296" w:rsidRDefault="00DF7141" w:rsidP="002D7C87">
      <w:pPr>
        <w:pStyle w:val="Tijeloteksta"/>
        <w:rPr>
          <w:rFonts w:ascii="Times New Roman" w:hAnsi="Times New Roman" w:cs="Times New Roman"/>
          <w:color w:val="auto"/>
          <w:sz w:val="24"/>
          <w:szCs w:val="24"/>
        </w:rPr>
      </w:pPr>
      <w:bookmarkStart w:id="529" w:name="_Toc105396375"/>
      <w:bookmarkStart w:id="530" w:name="_Toc105396480"/>
      <w:bookmarkStart w:id="531" w:name="_Toc105396376"/>
      <w:bookmarkStart w:id="532" w:name="_Toc105396481"/>
      <w:bookmarkStart w:id="533" w:name="_Toc105396377"/>
      <w:bookmarkStart w:id="534" w:name="_Toc105396482"/>
      <w:bookmarkStart w:id="535" w:name="_Toc105396378"/>
      <w:bookmarkStart w:id="536" w:name="_Toc105396483"/>
      <w:bookmarkStart w:id="537" w:name="_Toc105396379"/>
      <w:bookmarkStart w:id="538" w:name="_Toc105396484"/>
      <w:bookmarkStart w:id="539" w:name="_Toc105396383"/>
      <w:bookmarkStart w:id="540" w:name="_Toc105396488"/>
      <w:bookmarkEnd w:id="529"/>
      <w:bookmarkEnd w:id="530"/>
      <w:bookmarkEnd w:id="531"/>
      <w:bookmarkEnd w:id="532"/>
      <w:bookmarkEnd w:id="533"/>
      <w:bookmarkEnd w:id="534"/>
      <w:bookmarkEnd w:id="535"/>
      <w:bookmarkEnd w:id="536"/>
      <w:bookmarkEnd w:id="537"/>
      <w:bookmarkEnd w:id="538"/>
      <w:bookmarkEnd w:id="539"/>
      <w:bookmarkEnd w:id="540"/>
      <w:r w:rsidRPr="00F43296">
        <w:rPr>
          <w:rFonts w:ascii="Times New Roman" w:hAnsi="Times New Roman" w:cs="Times New Roman"/>
          <w:color w:val="auto"/>
          <w:sz w:val="24"/>
          <w:szCs w:val="24"/>
        </w:rPr>
        <w:t>U ovoj analizi prepoznat</w:t>
      </w:r>
      <w:r w:rsidR="00723C94" w:rsidRPr="00F43296">
        <w:rPr>
          <w:rFonts w:ascii="Times New Roman" w:hAnsi="Times New Roman" w:cs="Times New Roman"/>
          <w:color w:val="auto"/>
          <w:sz w:val="24"/>
          <w:szCs w:val="24"/>
        </w:rPr>
        <w:t xml:space="preserve"> </w:t>
      </w:r>
      <w:r w:rsidRPr="00F43296">
        <w:rPr>
          <w:rFonts w:ascii="Times New Roman" w:hAnsi="Times New Roman" w:cs="Times New Roman"/>
          <w:color w:val="auto"/>
          <w:sz w:val="24"/>
          <w:szCs w:val="24"/>
        </w:rPr>
        <w:t xml:space="preserve">je </w:t>
      </w:r>
      <w:r w:rsidR="00723C94" w:rsidRPr="00F43296">
        <w:rPr>
          <w:rFonts w:ascii="Times New Roman" w:hAnsi="Times New Roman" w:cs="Times New Roman"/>
          <w:color w:val="auto"/>
          <w:sz w:val="24"/>
          <w:szCs w:val="24"/>
        </w:rPr>
        <w:t>niz</w:t>
      </w:r>
      <w:r w:rsidRPr="00F43296">
        <w:rPr>
          <w:rFonts w:ascii="Times New Roman" w:hAnsi="Times New Roman" w:cs="Times New Roman"/>
          <w:color w:val="auto"/>
          <w:sz w:val="24"/>
          <w:szCs w:val="24"/>
        </w:rPr>
        <w:t xml:space="preserve"> prepreka koj</w:t>
      </w:r>
      <w:r w:rsidR="00890BCE" w:rsidRPr="00F43296">
        <w:rPr>
          <w:rFonts w:ascii="Times New Roman" w:hAnsi="Times New Roman" w:cs="Times New Roman"/>
          <w:color w:val="auto"/>
          <w:sz w:val="24"/>
          <w:szCs w:val="24"/>
        </w:rPr>
        <w:t>e</w:t>
      </w:r>
      <w:r w:rsidRPr="00F43296">
        <w:rPr>
          <w:rFonts w:ascii="Times New Roman" w:hAnsi="Times New Roman" w:cs="Times New Roman"/>
          <w:color w:val="auto"/>
          <w:sz w:val="24"/>
          <w:szCs w:val="24"/>
        </w:rPr>
        <w:t xml:space="preserve"> ograničavaju veće korištenje energije iz obnovljivih izvora</w:t>
      </w:r>
      <w:r w:rsidR="00890BCE" w:rsidRPr="00F43296">
        <w:rPr>
          <w:rFonts w:ascii="Times New Roman" w:hAnsi="Times New Roman" w:cs="Times New Roman"/>
          <w:color w:val="auto"/>
          <w:sz w:val="24"/>
          <w:szCs w:val="24"/>
        </w:rPr>
        <w:t xml:space="preserve"> koje rezultiraju jasnim pristupom problemu i potrebi daljih napora da se iste uklone</w:t>
      </w:r>
      <w:r w:rsidRPr="00F43296">
        <w:rPr>
          <w:rFonts w:ascii="Times New Roman" w:hAnsi="Times New Roman" w:cs="Times New Roman"/>
          <w:color w:val="auto"/>
          <w:sz w:val="24"/>
          <w:szCs w:val="24"/>
        </w:rPr>
        <w:t>.</w:t>
      </w:r>
    </w:p>
    <w:p w:rsidR="00DF7141" w:rsidRPr="00F43296" w:rsidRDefault="00DF7141" w:rsidP="002D7C87">
      <w:pPr>
        <w:pStyle w:val="Tijeloteksta"/>
        <w:rPr>
          <w:rFonts w:ascii="Times New Roman" w:hAnsi="Times New Roman" w:cs="Times New Roman"/>
          <w:color w:val="auto"/>
          <w:sz w:val="24"/>
          <w:szCs w:val="24"/>
        </w:rPr>
      </w:pPr>
      <w:r w:rsidRPr="00F43296">
        <w:rPr>
          <w:rFonts w:ascii="Times New Roman" w:hAnsi="Times New Roman" w:cs="Times New Roman"/>
          <w:color w:val="auto"/>
          <w:sz w:val="24"/>
          <w:szCs w:val="24"/>
        </w:rPr>
        <w:t>Najveći dio mjera odnosi se na aktivnosti nadležnih institucija obzirom da upravo</w:t>
      </w:r>
      <w:r w:rsidR="00400164" w:rsidRPr="00F43296">
        <w:rPr>
          <w:rFonts w:ascii="Times New Roman" w:hAnsi="Times New Roman" w:cs="Times New Roman"/>
          <w:color w:val="auto"/>
          <w:sz w:val="24"/>
          <w:szCs w:val="24"/>
        </w:rPr>
        <w:t xml:space="preserve"> nedovoljna kapacitiranost institucija</w:t>
      </w:r>
      <w:r w:rsidRPr="00F43296">
        <w:rPr>
          <w:rFonts w:ascii="Times New Roman" w:hAnsi="Times New Roman" w:cs="Times New Roman"/>
          <w:color w:val="auto"/>
          <w:sz w:val="24"/>
          <w:szCs w:val="24"/>
        </w:rPr>
        <w:t xml:space="preserve"> te učestale promjene </w:t>
      </w:r>
      <w:r w:rsidR="00890BCE" w:rsidRPr="00F43296">
        <w:rPr>
          <w:rFonts w:ascii="Times New Roman" w:hAnsi="Times New Roman" w:cs="Times New Roman"/>
          <w:color w:val="auto"/>
          <w:sz w:val="24"/>
          <w:szCs w:val="24"/>
        </w:rPr>
        <w:t xml:space="preserve">energetskog </w:t>
      </w:r>
      <w:r w:rsidRPr="00F43296">
        <w:rPr>
          <w:rFonts w:ascii="Times New Roman" w:hAnsi="Times New Roman" w:cs="Times New Roman"/>
          <w:color w:val="auto"/>
          <w:sz w:val="24"/>
          <w:szCs w:val="24"/>
        </w:rPr>
        <w:t>zakon</w:t>
      </w:r>
      <w:r w:rsidR="00890BCE" w:rsidRPr="00F43296">
        <w:rPr>
          <w:rFonts w:ascii="Times New Roman" w:hAnsi="Times New Roman" w:cs="Times New Roman"/>
          <w:color w:val="auto"/>
          <w:sz w:val="24"/>
          <w:szCs w:val="24"/>
        </w:rPr>
        <w:t>odavnog</w:t>
      </w:r>
      <w:r w:rsidRPr="00F43296">
        <w:rPr>
          <w:rFonts w:ascii="Times New Roman" w:hAnsi="Times New Roman" w:cs="Times New Roman"/>
          <w:color w:val="auto"/>
          <w:sz w:val="24"/>
          <w:szCs w:val="24"/>
        </w:rPr>
        <w:t xml:space="preserve"> okvira </w:t>
      </w:r>
      <w:r w:rsidR="00890BCE" w:rsidRPr="00F43296">
        <w:rPr>
          <w:rFonts w:ascii="Times New Roman" w:hAnsi="Times New Roman" w:cs="Times New Roman"/>
          <w:color w:val="auto"/>
          <w:sz w:val="24"/>
          <w:szCs w:val="24"/>
        </w:rPr>
        <w:t>na razini EU i u RH te</w:t>
      </w:r>
      <w:r w:rsidRPr="00F43296">
        <w:rPr>
          <w:rFonts w:ascii="Times New Roman" w:hAnsi="Times New Roman" w:cs="Times New Roman"/>
          <w:color w:val="auto"/>
          <w:sz w:val="24"/>
          <w:szCs w:val="24"/>
        </w:rPr>
        <w:t xml:space="preserve"> </w:t>
      </w:r>
      <w:r w:rsidR="00890BCE" w:rsidRPr="00F43296">
        <w:rPr>
          <w:rFonts w:ascii="Times New Roman" w:hAnsi="Times New Roman" w:cs="Times New Roman"/>
          <w:color w:val="auto"/>
          <w:sz w:val="24"/>
          <w:szCs w:val="24"/>
        </w:rPr>
        <w:t xml:space="preserve">složenost </w:t>
      </w:r>
      <w:r w:rsidRPr="00F43296">
        <w:rPr>
          <w:rFonts w:ascii="Times New Roman" w:hAnsi="Times New Roman" w:cs="Times New Roman"/>
          <w:color w:val="auto"/>
          <w:sz w:val="24"/>
          <w:szCs w:val="24"/>
        </w:rPr>
        <w:t>administrativnih postupaka utječu na nesigurnost realizacije projekata OIE.</w:t>
      </w:r>
      <w:r w:rsidR="00DC5E08" w:rsidRPr="00F43296">
        <w:rPr>
          <w:rFonts w:ascii="Times New Roman" w:hAnsi="Times New Roman" w:cs="Times New Roman"/>
          <w:color w:val="auto"/>
          <w:sz w:val="24"/>
          <w:szCs w:val="24"/>
        </w:rPr>
        <w:t xml:space="preserve"> Ovo nužno dovodi do usporavanja provedbe administrativnih postupaka propisanih EU i nacionalnim zakonodavstvom.</w:t>
      </w:r>
    </w:p>
    <w:p w:rsidR="00DF7141" w:rsidRPr="00F43296" w:rsidRDefault="00DF7141" w:rsidP="002D7C87">
      <w:pPr>
        <w:pStyle w:val="Tijeloteksta"/>
        <w:rPr>
          <w:rFonts w:ascii="Times New Roman" w:hAnsi="Times New Roman" w:cs="Times New Roman"/>
          <w:color w:val="auto"/>
          <w:sz w:val="24"/>
          <w:szCs w:val="24"/>
        </w:rPr>
      </w:pPr>
      <w:r w:rsidRPr="00F43296">
        <w:rPr>
          <w:rFonts w:ascii="Times New Roman" w:hAnsi="Times New Roman" w:cs="Times New Roman"/>
          <w:color w:val="auto"/>
          <w:sz w:val="24"/>
          <w:szCs w:val="24"/>
        </w:rPr>
        <w:t xml:space="preserve">Nadalje, veći broj mjera odnosi se i na aktivnosti </w:t>
      </w:r>
      <w:r w:rsidR="009D6007" w:rsidRPr="00F43296">
        <w:rPr>
          <w:rFonts w:ascii="Times New Roman" w:hAnsi="Times New Roman" w:cs="Times New Roman"/>
          <w:color w:val="auto"/>
          <w:sz w:val="24"/>
          <w:szCs w:val="24"/>
        </w:rPr>
        <w:t xml:space="preserve">neovisnog regulatora te </w:t>
      </w:r>
      <w:r w:rsidRPr="00F43296">
        <w:rPr>
          <w:rFonts w:ascii="Times New Roman" w:hAnsi="Times New Roman" w:cs="Times New Roman"/>
          <w:color w:val="auto"/>
          <w:sz w:val="24"/>
          <w:szCs w:val="24"/>
        </w:rPr>
        <w:t>operatora sustava, obzirom da aktivnosti oko rješavanja priključka na elektroenergetsku mrežu značajno utječu na trajanje administrativnog postupka, ali i na ukupni trošak projekta. Poseban problem predstavlja nesigurnost troškova i rokova realizacije priključka, obzirom na međusobnu ovisnost realizacije priključka za projekte na bliskim lokacijama</w:t>
      </w:r>
      <w:r w:rsidR="009D6007" w:rsidRPr="00F43296">
        <w:rPr>
          <w:rFonts w:ascii="Times New Roman" w:hAnsi="Times New Roman" w:cs="Times New Roman"/>
          <w:color w:val="auto"/>
          <w:sz w:val="24"/>
          <w:szCs w:val="24"/>
        </w:rPr>
        <w:t xml:space="preserve"> te relativno loša metodologija nužna za izračune pojedinih troškova projekta</w:t>
      </w:r>
      <w:r w:rsidRPr="00F43296">
        <w:rPr>
          <w:rFonts w:ascii="Times New Roman" w:hAnsi="Times New Roman" w:cs="Times New Roman"/>
          <w:color w:val="auto"/>
          <w:sz w:val="24"/>
          <w:szCs w:val="24"/>
        </w:rPr>
        <w:t xml:space="preserve">. </w:t>
      </w:r>
    </w:p>
    <w:p w:rsidR="00206B81" w:rsidRPr="00F43296" w:rsidRDefault="00DF7141" w:rsidP="002D7C87">
      <w:pPr>
        <w:pStyle w:val="Tijeloteksta"/>
        <w:rPr>
          <w:rFonts w:ascii="Times New Roman" w:hAnsi="Times New Roman" w:cs="Times New Roman"/>
          <w:color w:val="auto"/>
          <w:sz w:val="24"/>
          <w:szCs w:val="24"/>
        </w:rPr>
      </w:pPr>
      <w:r w:rsidRPr="00F43296">
        <w:rPr>
          <w:rFonts w:ascii="Times New Roman" w:hAnsi="Times New Roman" w:cs="Times New Roman"/>
          <w:color w:val="auto"/>
          <w:sz w:val="24"/>
          <w:szCs w:val="24"/>
        </w:rPr>
        <w:lastRenderedPageBreak/>
        <w:t xml:space="preserve">Mjere koje se odnose na Registar OIEKPP, prostorno uređenje te utjecaj na okoliš i prirodu prepoznate su kao dugoročne i kratkoročno neće utjecati na brzinu integracije započetih projekata OIE, te se ove mjere ne prepoznaju kao prioritetne u kratkoročnom razdoblju. </w:t>
      </w:r>
      <w:r w:rsidR="009D6007" w:rsidRPr="00F43296">
        <w:rPr>
          <w:rFonts w:ascii="Times New Roman" w:hAnsi="Times New Roman" w:cs="Times New Roman"/>
          <w:color w:val="auto"/>
          <w:sz w:val="24"/>
          <w:szCs w:val="24"/>
        </w:rPr>
        <w:t xml:space="preserve">No, </w:t>
      </w:r>
      <w:r w:rsidR="00206B81" w:rsidRPr="00F43296">
        <w:rPr>
          <w:rFonts w:ascii="Times New Roman" w:hAnsi="Times New Roman" w:cs="Times New Roman"/>
          <w:color w:val="auto"/>
          <w:sz w:val="24"/>
          <w:szCs w:val="24"/>
        </w:rPr>
        <w:t>iz navedenog je izuzet dio mjera vezan uz povećanje kapaciteta jer je povećanje kapaciteta i osiguravanje kvalitete zaposlenicima koji rade na pojedinim segmentima ovog sustava nužna predradnja koja će osigurati da se pojedini koraci znatno ubrzaju bez ikakvog narušavanja kvalitete obavljenog posla.</w:t>
      </w:r>
    </w:p>
    <w:p w:rsidR="007E24F3" w:rsidRDefault="00DF7141" w:rsidP="00431232">
      <w:pPr>
        <w:pStyle w:val="Tijeloteksta"/>
        <w:rPr>
          <w:rFonts w:ascii="Times New Roman" w:hAnsi="Times New Roman" w:cs="Times New Roman"/>
          <w:b/>
          <w:color w:val="auto"/>
          <w:sz w:val="24"/>
          <w:szCs w:val="24"/>
        </w:rPr>
      </w:pPr>
      <w:r w:rsidRPr="00F43296">
        <w:rPr>
          <w:rFonts w:ascii="Times New Roman" w:hAnsi="Times New Roman" w:cs="Times New Roman"/>
          <w:color w:val="auto"/>
          <w:sz w:val="24"/>
          <w:szCs w:val="24"/>
        </w:rPr>
        <w:t>Po usvajanju konačne verzije ovog dokumenta očekuje se nastavak aktivnosti na primjeni predloženih mjera.</w:t>
      </w:r>
      <w:bookmarkStart w:id="541" w:name="_Ref104275185"/>
      <w:bookmarkStart w:id="542" w:name="_Toc105137932"/>
      <w:bookmarkStart w:id="543" w:name="_GoBack"/>
      <w:bookmarkEnd w:id="543"/>
    </w:p>
    <w:p w:rsidR="00FC271C" w:rsidRPr="00872208" w:rsidRDefault="00872208" w:rsidP="00872208">
      <w:pPr>
        <w:pStyle w:val="Naslov1"/>
      </w:pPr>
      <w:bookmarkStart w:id="544" w:name="_Toc105973526"/>
      <w:bookmarkEnd w:id="541"/>
      <w:bookmarkEnd w:id="542"/>
      <w:r w:rsidRPr="00872208">
        <w:lastRenderedPageBreak/>
        <w:t>REFERENCE</w:t>
      </w:r>
      <w:bookmarkEnd w:id="544"/>
    </w:p>
    <w:p w:rsidR="00DF7141" w:rsidRPr="00003942" w:rsidRDefault="00DF7141" w:rsidP="00431232">
      <w:pPr>
        <w:pStyle w:val="Izvor"/>
        <w:ind w:left="709"/>
        <w:rPr>
          <w:rFonts w:ascii="Times New Roman" w:hAnsi="Times New Roman" w:cs="Times New Roman"/>
          <w:color w:val="auto"/>
          <w:sz w:val="24"/>
        </w:rPr>
      </w:pPr>
      <w:bookmarkStart w:id="545" w:name="_Ref102918001"/>
      <w:r w:rsidRPr="00003942">
        <w:rPr>
          <w:rFonts w:ascii="Times New Roman" w:hAnsi="Times New Roman" w:cs="Times New Roman"/>
          <w:color w:val="auto"/>
          <w:sz w:val="24"/>
        </w:rPr>
        <w:t xml:space="preserve">Nacionalni plan oporavka i otpornosti 2021. – 2026., Ministarstvo gospodarstva i održivog razvoja, srpanj 2021., </w:t>
      </w:r>
      <w:bookmarkEnd w:id="545"/>
      <w:r w:rsidRPr="00003942">
        <w:rPr>
          <w:rFonts w:ascii="Times New Roman" w:hAnsi="Times New Roman" w:cs="Times New Roman"/>
          <w:color w:val="auto"/>
          <w:sz w:val="24"/>
        </w:rPr>
        <w:fldChar w:fldCharType="begin"/>
      </w:r>
      <w:r w:rsidRPr="00003942">
        <w:rPr>
          <w:rFonts w:ascii="Times New Roman" w:hAnsi="Times New Roman" w:cs="Times New Roman"/>
          <w:color w:val="auto"/>
          <w:sz w:val="24"/>
        </w:rPr>
        <w:instrText>HYPERLINK "https://planoporavka.gov.hr/dokumenti-113/113"</w:instrText>
      </w:r>
      <w:r w:rsidRPr="00003942">
        <w:rPr>
          <w:rFonts w:ascii="Times New Roman" w:hAnsi="Times New Roman" w:cs="Times New Roman"/>
          <w:color w:val="auto"/>
          <w:sz w:val="24"/>
        </w:rPr>
        <w:fldChar w:fldCharType="separate"/>
      </w:r>
      <w:r w:rsidRPr="00003942">
        <w:rPr>
          <w:rStyle w:val="Hiperveza"/>
          <w:rFonts w:ascii="Times New Roman" w:eastAsiaTheme="majorEastAsia" w:hAnsi="Times New Roman" w:cs="Times New Roman"/>
          <w:color w:val="auto"/>
          <w:sz w:val="24"/>
        </w:rPr>
        <w:t>https://planoporavka.gov.hr/dokumenti-113/113</w:t>
      </w:r>
      <w:r w:rsidRPr="00003942">
        <w:rPr>
          <w:rFonts w:ascii="Times New Roman" w:hAnsi="Times New Roman" w:cs="Times New Roman"/>
          <w:color w:val="auto"/>
          <w:sz w:val="24"/>
        </w:rPr>
        <w:fldChar w:fldCharType="end"/>
      </w:r>
      <w:r w:rsidRPr="00003942">
        <w:rPr>
          <w:rFonts w:ascii="Times New Roman" w:hAnsi="Times New Roman" w:cs="Times New Roman"/>
          <w:color w:val="auto"/>
          <w:sz w:val="24"/>
        </w:rPr>
        <w:t xml:space="preserve"> </w:t>
      </w:r>
    </w:p>
    <w:p w:rsidR="00DF7141" w:rsidRPr="00003942" w:rsidRDefault="00DF7141" w:rsidP="00431232">
      <w:pPr>
        <w:pStyle w:val="Izvor"/>
        <w:ind w:left="709"/>
        <w:rPr>
          <w:rFonts w:ascii="Times New Roman" w:hAnsi="Times New Roman" w:cs="Times New Roman"/>
          <w:color w:val="auto"/>
          <w:sz w:val="24"/>
        </w:rPr>
      </w:pPr>
      <w:bookmarkStart w:id="546" w:name="_Ref103080882"/>
      <w:r w:rsidRPr="00003942">
        <w:rPr>
          <w:rFonts w:ascii="Times New Roman" w:hAnsi="Times New Roman" w:cs="Times New Roman"/>
          <w:color w:val="auto"/>
          <w:sz w:val="24"/>
        </w:rPr>
        <w:t>Prilog Provedbenoj odluci Vijeća o o</w:t>
      </w:r>
      <w:r w:rsidRPr="00F63D65">
        <w:rPr>
          <w:rFonts w:ascii="Times New Roman" w:hAnsi="Times New Roman" w:cs="Times New Roman"/>
          <w:color w:val="auto"/>
          <w:sz w:val="24"/>
        </w:rPr>
        <w:t xml:space="preserve">dobrenju ocjene plana za oporavak i otpornost Hrvatske, Vijeće Europske unije, srpanj 2021., </w:t>
      </w:r>
      <w:bookmarkEnd w:id="546"/>
      <w:r w:rsidRPr="00003942">
        <w:rPr>
          <w:rFonts w:ascii="Times New Roman" w:hAnsi="Times New Roman" w:cs="Times New Roman"/>
          <w:color w:val="auto"/>
          <w:sz w:val="24"/>
        </w:rPr>
        <w:fldChar w:fldCharType="begin"/>
      </w:r>
      <w:r w:rsidRPr="00003942">
        <w:rPr>
          <w:rFonts w:ascii="Times New Roman" w:hAnsi="Times New Roman" w:cs="Times New Roman"/>
          <w:color w:val="auto"/>
          <w:sz w:val="24"/>
        </w:rPr>
        <w:instrText>HYPERLINK "https://planoporavka.gov.hr/dokumenti-113/113"</w:instrText>
      </w:r>
      <w:r w:rsidRPr="00003942">
        <w:rPr>
          <w:rFonts w:ascii="Times New Roman" w:hAnsi="Times New Roman" w:cs="Times New Roman"/>
          <w:color w:val="auto"/>
          <w:sz w:val="24"/>
        </w:rPr>
        <w:fldChar w:fldCharType="separate"/>
      </w:r>
      <w:r w:rsidRPr="00003942">
        <w:rPr>
          <w:rStyle w:val="Hiperveza"/>
          <w:rFonts w:ascii="Times New Roman" w:eastAsiaTheme="majorEastAsia" w:hAnsi="Times New Roman" w:cs="Times New Roman"/>
          <w:color w:val="auto"/>
          <w:sz w:val="24"/>
        </w:rPr>
        <w:t>https://planoporavka.gov.hr/dokumenti-113/113</w:t>
      </w:r>
      <w:r w:rsidRPr="00003942">
        <w:rPr>
          <w:rFonts w:ascii="Times New Roman" w:hAnsi="Times New Roman" w:cs="Times New Roman"/>
          <w:color w:val="auto"/>
          <w:sz w:val="24"/>
        </w:rPr>
        <w:fldChar w:fldCharType="end"/>
      </w:r>
      <w:r w:rsidRPr="00003942">
        <w:rPr>
          <w:rFonts w:ascii="Times New Roman" w:hAnsi="Times New Roman" w:cs="Times New Roman"/>
          <w:color w:val="auto"/>
          <w:sz w:val="24"/>
        </w:rPr>
        <w:t xml:space="preserve"> </w:t>
      </w:r>
    </w:p>
    <w:p w:rsidR="00DF7141" w:rsidRPr="00003942" w:rsidRDefault="00DF7141" w:rsidP="00431232">
      <w:pPr>
        <w:pStyle w:val="Izvor"/>
        <w:ind w:left="709"/>
        <w:rPr>
          <w:rFonts w:ascii="Times New Roman" w:hAnsi="Times New Roman" w:cs="Times New Roman"/>
          <w:color w:val="auto"/>
          <w:sz w:val="24"/>
        </w:rPr>
      </w:pPr>
      <w:bookmarkStart w:id="547" w:name="_Ref103080734"/>
      <w:r w:rsidRPr="00003942">
        <w:rPr>
          <w:rFonts w:ascii="Times New Roman" w:hAnsi="Times New Roman" w:cs="Times New Roman"/>
          <w:color w:val="auto"/>
          <w:sz w:val="24"/>
        </w:rPr>
        <w:t xml:space="preserve">Zakon o tržištu električne energije (NN 111/2021), </w:t>
      </w:r>
      <w:hyperlink r:id="rId18" w:history="1">
        <w:r w:rsidRPr="00003942">
          <w:rPr>
            <w:rStyle w:val="Hiperveza"/>
            <w:rFonts w:ascii="Times New Roman" w:eastAsiaTheme="majorEastAsia" w:hAnsi="Times New Roman" w:cs="Times New Roman"/>
            <w:color w:val="auto"/>
            <w:sz w:val="24"/>
          </w:rPr>
          <w:t>http://digarhiv.gov.hr/arhiva/263/232495/narodne-novine.nn.hr/clanci/sluzbeni/full/2021_10_111_1940.html</w:t>
        </w:r>
      </w:hyperlink>
      <w:r w:rsidRPr="00003942">
        <w:rPr>
          <w:rFonts w:ascii="Times New Roman" w:hAnsi="Times New Roman" w:cs="Times New Roman"/>
          <w:color w:val="auto"/>
          <w:sz w:val="24"/>
        </w:rPr>
        <w:t xml:space="preserve"> </w:t>
      </w:r>
    </w:p>
    <w:bookmarkEnd w:id="547"/>
    <w:p w:rsidR="00DF7141" w:rsidRPr="00003942" w:rsidRDefault="00DF7141" w:rsidP="00431232">
      <w:pPr>
        <w:pStyle w:val="Izvor"/>
        <w:ind w:left="709"/>
        <w:rPr>
          <w:rFonts w:ascii="Times New Roman" w:hAnsi="Times New Roman" w:cs="Times New Roman"/>
          <w:color w:val="auto"/>
          <w:sz w:val="24"/>
        </w:rPr>
      </w:pPr>
      <w:r w:rsidRPr="00003942">
        <w:rPr>
          <w:rFonts w:ascii="Times New Roman" w:hAnsi="Times New Roman" w:cs="Times New Roman"/>
          <w:color w:val="auto"/>
          <w:sz w:val="24"/>
        </w:rPr>
        <w:t>Zakon o obnovljivim izvorima energ</w:t>
      </w:r>
      <w:r w:rsidRPr="00F63D65">
        <w:rPr>
          <w:rFonts w:ascii="Times New Roman" w:hAnsi="Times New Roman" w:cs="Times New Roman"/>
          <w:color w:val="auto"/>
          <w:sz w:val="24"/>
        </w:rPr>
        <w:t xml:space="preserve">ije i visokoučinkovitoj kogeneraciji (NN 138/2021), </w:t>
      </w:r>
      <w:hyperlink r:id="rId19" w:history="1">
        <w:r w:rsidRPr="00003942">
          <w:rPr>
            <w:rStyle w:val="Hiperveza"/>
            <w:rFonts w:ascii="Times New Roman" w:eastAsiaTheme="majorEastAsia" w:hAnsi="Times New Roman" w:cs="Times New Roman"/>
            <w:color w:val="auto"/>
            <w:sz w:val="24"/>
          </w:rPr>
          <w:t>http://digarhiv.gov.hr/arhiva/263/232495/narodne-novine.nn.hr/clanci/sluzbeni/full/2021_12_138_2272.html</w:t>
        </w:r>
      </w:hyperlink>
      <w:r w:rsidRPr="00003942">
        <w:rPr>
          <w:rFonts w:ascii="Times New Roman" w:hAnsi="Times New Roman" w:cs="Times New Roman"/>
          <w:color w:val="auto"/>
          <w:sz w:val="24"/>
        </w:rPr>
        <w:t xml:space="preserve"> </w:t>
      </w:r>
    </w:p>
    <w:p w:rsidR="00DF7141" w:rsidRPr="00003942" w:rsidRDefault="00DF7141" w:rsidP="00431232">
      <w:pPr>
        <w:pStyle w:val="Izvor"/>
        <w:ind w:left="709"/>
        <w:rPr>
          <w:rFonts w:ascii="Times New Roman" w:hAnsi="Times New Roman" w:cs="Times New Roman"/>
          <w:color w:val="auto"/>
          <w:sz w:val="24"/>
        </w:rPr>
      </w:pPr>
      <w:bookmarkStart w:id="548" w:name="_Ref105082486"/>
      <w:r w:rsidRPr="00003942">
        <w:rPr>
          <w:rFonts w:ascii="Times New Roman" w:hAnsi="Times New Roman" w:cs="Times New Roman"/>
          <w:color w:val="auto"/>
          <w:sz w:val="24"/>
        </w:rPr>
        <w:t xml:space="preserve">Energija u Hrvatskoj 2020., Ministarstvo gospodarstva i održivog razvoja, </w:t>
      </w:r>
      <w:bookmarkEnd w:id="548"/>
      <w:r w:rsidRPr="000B0718">
        <w:rPr>
          <w:rFonts w:eastAsiaTheme="majorEastAsia"/>
        </w:rPr>
        <w:fldChar w:fldCharType="begin"/>
      </w:r>
      <w:r w:rsidRPr="00003942">
        <w:rPr>
          <w:rFonts w:ascii="Times New Roman" w:hAnsi="Times New Roman" w:cs="Times New Roman"/>
          <w:color w:val="auto"/>
          <w:sz w:val="24"/>
        </w:rPr>
        <w:instrText>HYPERLINK "http://www.eihp.hr/wp-content/uploads/2022/01/Velika_EIHP_Energija_2020.pdf"</w:instrText>
      </w:r>
      <w:r w:rsidRPr="000B0718">
        <w:rPr>
          <w:rFonts w:eastAsiaTheme="majorEastAsia"/>
        </w:rPr>
        <w:fldChar w:fldCharType="separate"/>
      </w:r>
      <w:r w:rsidRPr="00003942">
        <w:rPr>
          <w:rStyle w:val="Hiperveza"/>
          <w:rFonts w:ascii="Times New Roman" w:eastAsiaTheme="majorEastAsia" w:hAnsi="Times New Roman" w:cs="Times New Roman"/>
          <w:color w:val="auto"/>
          <w:sz w:val="24"/>
        </w:rPr>
        <w:t>http://www.eihp.hr/wp-content/uploads/2022/01/Velika_EIHP_Energija_2020.pdf</w:t>
      </w:r>
      <w:r w:rsidRPr="000B0718">
        <w:rPr>
          <w:rStyle w:val="Hiperveza"/>
          <w:rFonts w:ascii="Times New Roman" w:eastAsiaTheme="majorEastAsia" w:hAnsi="Times New Roman" w:cs="Times New Roman"/>
          <w:color w:val="auto"/>
          <w:sz w:val="24"/>
        </w:rPr>
        <w:fldChar w:fldCharType="end"/>
      </w:r>
    </w:p>
    <w:p w:rsidR="00DF7141" w:rsidRPr="00F63D65" w:rsidRDefault="00DF7141" w:rsidP="00431232">
      <w:pPr>
        <w:pStyle w:val="Izvor"/>
        <w:ind w:left="709"/>
        <w:rPr>
          <w:rFonts w:ascii="Times New Roman" w:hAnsi="Times New Roman" w:cs="Times New Roman"/>
          <w:color w:val="auto"/>
          <w:sz w:val="24"/>
        </w:rPr>
      </w:pPr>
      <w:bookmarkStart w:id="549" w:name="_Ref105083400"/>
      <w:r w:rsidRPr="00003942">
        <w:rPr>
          <w:rFonts w:ascii="Times New Roman" w:hAnsi="Times New Roman" w:cs="Times New Roman"/>
          <w:color w:val="auto"/>
          <w:sz w:val="24"/>
        </w:rPr>
        <w:t>Integralna analiza dosadašnjih učinaka razvoja i izgradnje obnovljivih izvora energije u Hrvatskoj, HOPS i HROTE d.o.o., 2018.</w:t>
      </w:r>
      <w:bookmarkEnd w:id="549"/>
    </w:p>
    <w:p w:rsidR="00DF7141" w:rsidRPr="00003942" w:rsidRDefault="00DF7141" w:rsidP="00431232">
      <w:pPr>
        <w:pStyle w:val="Izvor"/>
        <w:ind w:left="709"/>
        <w:rPr>
          <w:rFonts w:ascii="Times New Roman" w:hAnsi="Times New Roman" w:cs="Times New Roman"/>
          <w:color w:val="auto"/>
          <w:sz w:val="24"/>
        </w:rPr>
      </w:pPr>
      <w:bookmarkStart w:id="550" w:name="_Ref103694862"/>
      <w:r w:rsidRPr="003E2DBC">
        <w:rPr>
          <w:rFonts w:ascii="Times New Roman" w:hAnsi="Times New Roman" w:cs="Times New Roman"/>
          <w:color w:val="auto"/>
          <w:sz w:val="24"/>
        </w:rPr>
        <w:t xml:space="preserve">Registar obnovljivih izvora energije i visokoučinkovite kogeneracije i povlaštenih proizvođača </w:t>
      </w:r>
      <w:hyperlink r:id="rId20" w:history="1">
        <w:r w:rsidRPr="00003942">
          <w:rPr>
            <w:rStyle w:val="Hiperveza"/>
            <w:rFonts w:ascii="Times New Roman" w:eastAsiaTheme="majorEastAsia" w:hAnsi="Times New Roman" w:cs="Times New Roman"/>
            <w:color w:val="auto"/>
            <w:sz w:val="24"/>
          </w:rPr>
          <w:t>https://mingor.gov.hr/o-ministarstvu-1065/djelokrug/uprava-za-energetiku-1999/registar-oiekpp/5332</w:t>
        </w:r>
      </w:hyperlink>
      <w:bookmarkEnd w:id="550"/>
      <w:r w:rsidRPr="00003942">
        <w:rPr>
          <w:rFonts w:ascii="Times New Roman" w:hAnsi="Times New Roman" w:cs="Times New Roman"/>
          <w:color w:val="auto"/>
          <w:sz w:val="24"/>
        </w:rPr>
        <w:t xml:space="preserve"> </w:t>
      </w:r>
    </w:p>
    <w:p w:rsidR="00DF7141" w:rsidRPr="00003942" w:rsidRDefault="00DF7141" w:rsidP="00431232">
      <w:pPr>
        <w:pStyle w:val="Izvor"/>
        <w:ind w:left="709"/>
        <w:rPr>
          <w:rFonts w:ascii="Times New Roman" w:hAnsi="Times New Roman" w:cs="Times New Roman"/>
          <w:color w:val="auto"/>
          <w:sz w:val="24"/>
        </w:rPr>
      </w:pPr>
      <w:bookmarkStart w:id="551" w:name="_Ref103695789"/>
      <w:r w:rsidRPr="00003942">
        <w:rPr>
          <w:rFonts w:ascii="Times New Roman" w:hAnsi="Times New Roman" w:cs="Times New Roman"/>
          <w:color w:val="auto"/>
          <w:sz w:val="24"/>
        </w:rPr>
        <w:t xml:space="preserve">Silverlight End of Support, Microsoft: </w:t>
      </w:r>
      <w:hyperlink r:id="rId21" w:history="1">
        <w:r w:rsidRPr="00003942">
          <w:rPr>
            <w:rStyle w:val="Hiperveza"/>
            <w:rFonts w:ascii="Times New Roman" w:eastAsiaTheme="majorEastAsia" w:hAnsi="Times New Roman" w:cs="Times New Roman"/>
            <w:color w:val="auto"/>
            <w:sz w:val="24"/>
          </w:rPr>
          <w:t>https://support.microsoft.com/en-gb/windows/silverlight-end-of-support-0a3be3c7-bead-e203-2dfd-74f0a64f1788</w:t>
        </w:r>
      </w:hyperlink>
      <w:bookmarkEnd w:id="551"/>
      <w:r w:rsidRPr="00003942">
        <w:rPr>
          <w:rFonts w:ascii="Times New Roman" w:hAnsi="Times New Roman" w:cs="Times New Roman"/>
          <w:color w:val="auto"/>
          <w:sz w:val="24"/>
        </w:rPr>
        <w:t xml:space="preserve"> </w:t>
      </w:r>
    </w:p>
    <w:p w:rsidR="00DF7141" w:rsidRPr="00003942" w:rsidRDefault="00DF7141" w:rsidP="00431232">
      <w:pPr>
        <w:pStyle w:val="Izvor"/>
        <w:ind w:left="709"/>
        <w:rPr>
          <w:rFonts w:ascii="Times New Roman" w:hAnsi="Times New Roman" w:cs="Times New Roman"/>
          <w:color w:val="auto"/>
          <w:sz w:val="24"/>
        </w:rPr>
      </w:pPr>
      <w:bookmarkStart w:id="552" w:name="_Ref103860603"/>
      <w:r w:rsidRPr="00003942">
        <w:rPr>
          <w:rFonts w:ascii="Times New Roman" w:hAnsi="Times New Roman" w:cs="Times New Roman"/>
          <w:color w:val="auto"/>
          <w:sz w:val="24"/>
        </w:rPr>
        <w:t>Strategija prostornog raz</w:t>
      </w:r>
      <w:r w:rsidRPr="00F63D65">
        <w:rPr>
          <w:rFonts w:ascii="Times New Roman" w:hAnsi="Times New Roman" w:cs="Times New Roman"/>
          <w:color w:val="auto"/>
          <w:sz w:val="24"/>
        </w:rPr>
        <w:t xml:space="preserve">voja Republike Hrvatske, Ministarstvo graditeljstva i prostornog uređenja, </w:t>
      </w:r>
      <w:hyperlink r:id="rId22" w:history="1">
        <w:r w:rsidRPr="00003942">
          <w:rPr>
            <w:rStyle w:val="Hiperveza"/>
            <w:rFonts w:ascii="Times New Roman" w:eastAsiaTheme="majorEastAsia" w:hAnsi="Times New Roman" w:cs="Times New Roman"/>
            <w:color w:val="auto"/>
            <w:sz w:val="24"/>
          </w:rPr>
          <w:t>https://mpgi.gov.hr/o-ministarstvu/djelokrug/prostorno-uredjenje-3335/strategija-prostornog-razvoja-republike-hrvatske/4096</w:t>
        </w:r>
      </w:hyperlink>
      <w:bookmarkEnd w:id="552"/>
      <w:r w:rsidRPr="00003942">
        <w:rPr>
          <w:rFonts w:ascii="Times New Roman" w:hAnsi="Times New Roman" w:cs="Times New Roman"/>
          <w:color w:val="auto"/>
          <w:sz w:val="24"/>
        </w:rPr>
        <w:t xml:space="preserve"> </w:t>
      </w:r>
    </w:p>
    <w:p w:rsidR="00DF7141" w:rsidRPr="00003942" w:rsidRDefault="00DF7141" w:rsidP="00431232">
      <w:pPr>
        <w:pStyle w:val="Izvor"/>
        <w:ind w:left="709"/>
        <w:rPr>
          <w:rFonts w:ascii="Times New Roman" w:hAnsi="Times New Roman" w:cs="Times New Roman"/>
          <w:color w:val="auto"/>
          <w:sz w:val="24"/>
        </w:rPr>
      </w:pPr>
      <w:bookmarkStart w:id="553" w:name="_Ref104706785"/>
      <w:r w:rsidRPr="00003942">
        <w:rPr>
          <w:rFonts w:ascii="Times New Roman" w:hAnsi="Times New Roman" w:cs="Times New Roman"/>
          <w:color w:val="auto"/>
          <w:sz w:val="24"/>
        </w:rPr>
        <w:t>Analiza prostornih kapaciteta i uvjeta za korištenje potencijala obnovljivih izvora energije u Republici Hrvatskoj, (Stručna podloga za Državni plan prostornog razvoja, Fak</w:t>
      </w:r>
      <w:r w:rsidRPr="00F63D65">
        <w:rPr>
          <w:rFonts w:ascii="Times New Roman" w:hAnsi="Times New Roman" w:cs="Times New Roman"/>
          <w:color w:val="auto"/>
          <w:sz w:val="24"/>
        </w:rPr>
        <w:t xml:space="preserve">ultet elektrotehnike i računarstva Sveučilišta u Zagrebu i Ekoinvest, 2020.), Zavod za prostorni razvoj, </w:t>
      </w:r>
      <w:bookmarkEnd w:id="553"/>
      <w:r w:rsidRPr="00003942">
        <w:rPr>
          <w:rFonts w:ascii="Times New Roman" w:hAnsi="Times New Roman" w:cs="Times New Roman"/>
          <w:color w:val="auto"/>
          <w:sz w:val="24"/>
        </w:rPr>
        <w:fldChar w:fldCharType="begin"/>
      </w:r>
      <w:r w:rsidRPr="00003942">
        <w:rPr>
          <w:rFonts w:ascii="Times New Roman" w:hAnsi="Times New Roman" w:cs="Times New Roman"/>
          <w:color w:val="auto"/>
          <w:sz w:val="24"/>
        </w:rPr>
        <w:instrText>HYPERLINK "https://mpgi.gov.hr/o-ministarstvu/djelokrug/zavod-za-prostorni-razvoj-4276/publikacije-i-strucne-podloge/4383"</w:instrText>
      </w:r>
      <w:r w:rsidRPr="00003942">
        <w:rPr>
          <w:rFonts w:ascii="Times New Roman" w:hAnsi="Times New Roman" w:cs="Times New Roman"/>
          <w:color w:val="auto"/>
          <w:sz w:val="24"/>
        </w:rPr>
        <w:fldChar w:fldCharType="separate"/>
      </w:r>
      <w:r w:rsidRPr="00003942">
        <w:rPr>
          <w:rStyle w:val="Hiperveza"/>
          <w:rFonts w:ascii="Times New Roman" w:eastAsiaTheme="majorEastAsia" w:hAnsi="Times New Roman" w:cs="Times New Roman"/>
          <w:color w:val="auto"/>
          <w:sz w:val="24"/>
        </w:rPr>
        <w:t>https://mpgi.gov.hr/o-ministarstvu/djelokrug/zavod-za-prostorni-razvoj-4276/publikacije-i-strucne-podloge/4383</w:t>
      </w:r>
      <w:r w:rsidRPr="00003942">
        <w:rPr>
          <w:rFonts w:ascii="Times New Roman" w:hAnsi="Times New Roman" w:cs="Times New Roman"/>
          <w:color w:val="auto"/>
          <w:sz w:val="24"/>
        </w:rPr>
        <w:fldChar w:fldCharType="end"/>
      </w:r>
      <w:r w:rsidRPr="00003942">
        <w:rPr>
          <w:rFonts w:ascii="Times New Roman" w:hAnsi="Times New Roman" w:cs="Times New Roman"/>
          <w:color w:val="auto"/>
          <w:sz w:val="24"/>
        </w:rPr>
        <w:t xml:space="preserve"> </w:t>
      </w:r>
    </w:p>
    <w:p w:rsidR="00DF7141" w:rsidRPr="00003942" w:rsidRDefault="00DF7141" w:rsidP="00431232">
      <w:pPr>
        <w:pStyle w:val="Izvor"/>
        <w:ind w:left="709"/>
        <w:rPr>
          <w:rFonts w:ascii="Times New Roman" w:hAnsi="Times New Roman" w:cs="Times New Roman"/>
          <w:color w:val="auto"/>
          <w:sz w:val="24"/>
        </w:rPr>
      </w:pPr>
      <w:bookmarkStart w:id="554" w:name="_Ref103777747"/>
      <w:r w:rsidRPr="00003942">
        <w:rPr>
          <w:rFonts w:ascii="Times New Roman" w:hAnsi="Times New Roman" w:cs="Times New Roman"/>
          <w:color w:val="auto"/>
          <w:sz w:val="24"/>
        </w:rPr>
        <w:t xml:space="preserve">Ocjena o potrebi procjene utjecaja zahvata na okoliš (OPUO), Ministarstvo gospodarstva i održivog razvoja </w:t>
      </w:r>
      <w:hyperlink r:id="rId23" w:history="1">
        <w:r w:rsidRPr="00003942">
          <w:rPr>
            <w:rStyle w:val="Hiperveza"/>
            <w:rFonts w:ascii="Times New Roman" w:eastAsiaTheme="majorEastAsia" w:hAnsi="Times New Roman" w:cs="Times New Roman"/>
            <w:color w:val="auto"/>
            <w:sz w:val="24"/>
          </w:rPr>
          <w:t>https://mingor.gov.hr/ocjena-o-potrebi-procjene-utjecaja-zahvata-na-okolis-opuo-4016/4016</w:t>
        </w:r>
      </w:hyperlink>
      <w:bookmarkEnd w:id="554"/>
      <w:r w:rsidRPr="00003942">
        <w:rPr>
          <w:rFonts w:ascii="Times New Roman" w:hAnsi="Times New Roman" w:cs="Times New Roman"/>
          <w:color w:val="auto"/>
          <w:sz w:val="24"/>
        </w:rPr>
        <w:t xml:space="preserve"> </w:t>
      </w:r>
    </w:p>
    <w:p w:rsidR="00DF7141" w:rsidRPr="00003942" w:rsidRDefault="00DF7141" w:rsidP="00431232">
      <w:pPr>
        <w:pStyle w:val="Izvor"/>
        <w:ind w:left="709"/>
        <w:rPr>
          <w:rFonts w:ascii="Times New Roman" w:hAnsi="Times New Roman" w:cs="Times New Roman"/>
          <w:color w:val="auto"/>
          <w:sz w:val="24"/>
        </w:rPr>
      </w:pPr>
      <w:r w:rsidRPr="00003942">
        <w:rPr>
          <w:rFonts w:ascii="Times New Roman" w:hAnsi="Times New Roman" w:cs="Times New Roman"/>
          <w:color w:val="auto"/>
          <w:sz w:val="24"/>
        </w:rPr>
        <w:t xml:space="preserve">Vodič za razvoj i provedbu projekta obnovljivih izvora energije u Hrvatskoj, EBRD, prosinac 2021., </w:t>
      </w:r>
      <w:hyperlink r:id="rId24" w:history="1">
        <w:r w:rsidRPr="00003942">
          <w:rPr>
            <w:rStyle w:val="Hiperveza"/>
            <w:rFonts w:ascii="Times New Roman" w:eastAsiaTheme="majorEastAsia" w:hAnsi="Times New Roman" w:cs="Times New Roman"/>
            <w:color w:val="auto"/>
            <w:sz w:val="24"/>
          </w:rPr>
          <w:t>https://oie.hr/wp-content/uploads/2021/12/EBRD-Vodic.pdf</w:t>
        </w:r>
      </w:hyperlink>
      <w:r w:rsidRPr="00003942">
        <w:rPr>
          <w:rFonts w:ascii="Times New Roman" w:hAnsi="Times New Roman" w:cs="Times New Roman"/>
          <w:color w:val="auto"/>
          <w:sz w:val="24"/>
        </w:rPr>
        <w:t xml:space="preserve"> </w:t>
      </w:r>
    </w:p>
    <w:p w:rsidR="00DF7141" w:rsidRPr="00003942" w:rsidRDefault="00DF7141" w:rsidP="00431232">
      <w:pPr>
        <w:pStyle w:val="Izvor"/>
        <w:ind w:left="709"/>
        <w:rPr>
          <w:rFonts w:ascii="Times New Roman" w:hAnsi="Times New Roman" w:cs="Times New Roman"/>
          <w:color w:val="auto"/>
          <w:sz w:val="24"/>
        </w:rPr>
      </w:pPr>
      <w:r w:rsidRPr="00003942">
        <w:rPr>
          <w:rFonts w:ascii="Times New Roman" w:hAnsi="Times New Roman" w:cs="Times New Roman"/>
          <w:color w:val="auto"/>
          <w:sz w:val="24"/>
        </w:rPr>
        <w:t xml:space="preserve">Akcijski plan za potrebna pojačanja elektroenergetske mreže u ciliju integracije obnovljivih izvora energije u Hrvatskoj, EBRD, prosinac 2021., </w:t>
      </w:r>
      <w:hyperlink r:id="rId25" w:history="1">
        <w:r w:rsidRPr="00003942">
          <w:rPr>
            <w:rStyle w:val="Hiperveza"/>
            <w:rFonts w:ascii="Times New Roman" w:eastAsiaTheme="majorEastAsia" w:hAnsi="Times New Roman" w:cs="Times New Roman"/>
            <w:color w:val="auto"/>
            <w:sz w:val="24"/>
          </w:rPr>
          <w:t>https://oie.hr/wp-content/uploads/2021/12/EBRD-Akcijski-Plan.pdf</w:t>
        </w:r>
      </w:hyperlink>
      <w:r w:rsidRPr="00003942">
        <w:rPr>
          <w:rFonts w:ascii="Times New Roman" w:hAnsi="Times New Roman" w:cs="Times New Roman"/>
          <w:color w:val="auto"/>
          <w:sz w:val="24"/>
        </w:rPr>
        <w:t xml:space="preserve"> </w:t>
      </w:r>
    </w:p>
    <w:p w:rsidR="00DF7141" w:rsidRPr="00003942" w:rsidRDefault="00DF7141" w:rsidP="00431232">
      <w:pPr>
        <w:pStyle w:val="Izvor"/>
        <w:ind w:left="709"/>
        <w:rPr>
          <w:rFonts w:ascii="Times New Roman" w:hAnsi="Times New Roman" w:cs="Times New Roman"/>
          <w:color w:val="auto"/>
          <w:sz w:val="24"/>
        </w:rPr>
      </w:pPr>
      <w:r w:rsidRPr="00003942">
        <w:rPr>
          <w:rFonts w:ascii="Times New Roman" w:hAnsi="Times New Roman" w:cs="Times New Roman"/>
          <w:color w:val="auto"/>
          <w:sz w:val="24"/>
        </w:rPr>
        <w:lastRenderedPageBreak/>
        <w:t>Izvještaj o kvaliteti opskrbe električnim energijom za 2021. godinu, HEP-Operator distribucijskog sustava, travanj</w:t>
      </w:r>
      <w:r w:rsidRPr="00F63D65">
        <w:rPr>
          <w:rFonts w:ascii="Times New Roman" w:hAnsi="Times New Roman" w:cs="Times New Roman"/>
          <w:color w:val="auto"/>
          <w:sz w:val="24"/>
        </w:rPr>
        <w:t xml:space="preserve">a 2022., </w:t>
      </w:r>
      <w:hyperlink r:id="rId26" w:history="1">
        <w:r w:rsidRPr="00003942">
          <w:rPr>
            <w:rStyle w:val="Hiperveza"/>
            <w:rFonts w:ascii="Times New Roman" w:eastAsiaTheme="majorEastAsia" w:hAnsi="Times New Roman" w:cs="Times New Roman"/>
            <w:color w:val="auto"/>
            <w:sz w:val="24"/>
          </w:rPr>
          <w:t>https://www.hep.hr/ods/UserDocsImages/dokumenti/Izvjestaj_o_kvaliteti_opskrbe_ee_za_2021.%20godinu.pdf</w:t>
        </w:r>
      </w:hyperlink>
      <w:r w:rsidRPr="00003942">
        <w:rPr>
          <w:rFonts w:ascii="Times New Roman" w:hAnsi="Times New Roman" w:cs="Times New Roman"/>
          <w:color w:val="auto"/>
          <w:sz w:val="24"/>
        </w:rPr>
        <w:t xml:space="preserve"> </w:t>
      </w:r>
    </w:p>
    <w:p w:rsidR="00DF7141" w:rsidRPr="003E2DBC" w:rsidRDefault="00DF7141" w:rsidP="00431232">
      <w:pPr>
        <w:pStyle w:val="Izvor"/>
        <w:ind w:left="709"/>
        <w:rPr>
          <w:rFonts w:ascii="Times New Roman" w:hAnsi="Times New Roman" w:cs="Times New Roman"/>
          <w:color w:val="auto"/>
          <w:sz w:val="24"/>
        </w:rPr>
      </w:pPr>
      <w:r w:rsidRPr="00003942">
        <w:rPr>
          <w:rFonts w:ascii="Times New Roman" w:hAnsi="Times New Roman" w:cs="Times New Roman"/>
          <w:color w:val="auto"/>
          <w:sz w:val="24"/>
        </w:rPr>
        <w:t>L.Wagmann i dr.: „Podzak</w:t>
      </w:r>
      <w:r w:rsidRPr="00F63D65">
        <w:rPr>
          <w:rFonts w:ascii="Times New Roman" w:hAnsi="Times New Roman" w:cs="Times New Roman"/>
          <w:color w:val="auto"/>
          <w:sz w:val="24"/>
        </w:rPr>
        <w:t>onski akti koji proizlaze iz novog Zakona o tržištu električne energije“, Studijski odbor C6,</w:t>
      </w:r>
      <w:r w:rsidRPr="003E2DBC">
        <w:rPr>
          <w:rFonts w:ascii="Times New Roman" w:hAnsi="Times New Roman" w:cs="Times New Roman"/>
          <w:b/>
          <w:bCs/>
          <w:color w:val="auto"/>
          <w:sz w:val="24"/>
        </w:rPr>
        <w:t xml:space="preserve"> </w:t>
      </w:r>
      <w:r w:rsidRPr="003E2DBC">
        <w:rPr>
          <w:rFonts w:ascii="Times New Roman" w:hAnsi="Times New Roman" w:cs="Times New Roman"/>
          <w:color w:val="auto"/>
          <w:sz w:val="24"/>
        </w:rPr>
        <w:t>15. savjetovanje HRO CIGRE, Šibenik, studeni 2021.</w:t>
      </w:r>
    </w:p>
    <w:p w:rsidR="00DF7141" w:rsidRPr="00003942" w:rsidRDefault="00DF7141" w:rsidP="00431232">
      <w:pPr>
        <w:pStyle w:val="Izvor"/>
        <w:ind w:left="709"/>
        <w:rPr>
          <w:rFonts w:ascii="Times New Roman" w:hAnsi="Times New Roman" w:cs="Times New Roman"/>
          <w:color w:val="auto"/>
          <w:sz w:val="24"/>
        </w:rPr>
      </w:pPr>
      <w:bookmarkStart w:id="555" w:name="_Ref104725090"/>
      <w:r w:rsidRPr="003E2DBC">
        <w:rPr>
          <w:rFonts w:ascii="Times New Roman" w:hAnsi="Times New Roman" w:cs="Times New Roman"/>
          <w:color w:val="auto"/>
          <w:sz w:val="24"/>
        </w:rPr>
        <w:t xml:space="preserve">Popis zaprimljenih zahtjeva s iskazom interesa za provođenje javnog natječaja za izdavanje energetskog odobrenja, Ministarstvo gospodarstva i održivog razvoja, </w:t>
      </w:r>
      <w:hyperlink r:id="rId27" w:history="1">
        <w:r w:rsidRPr="00003942">
          <w:rPr>
            <w:rStyle w:val="Hiperveza"/>
            <w:rFonts w:ascii="Times New Roman" w:eastAsiaTheme="majorEastAsia" w:hAnsi="Times New Roman" w:cs="Times New Roman"/>
            <w:color w:val="auto"/>
            <w:sz w:val="24"/>
          </w:rPr>
          <w:t>https://mingor.gov.hr/vijesti/popis-zaprimljenih-zahtjeva-s-iskazom-interesa-za-provodjenje-javnog-natjecaja-za-izdavanje-energetskog-odobrenja/8636</w:t>
        </w:r>
      </w:hyperlink>
      <w:bookmarkEnd w:id="555"/>
      <w:r w:rsidRPr="00003942">
        <w:rPr>
          <w:rFonts w:ascii="Times New Roman" w:hAnsi="Times New Roman" w:cs="Times New Roman"/>
          <w:color w:val="auto"/>
          <w:sz w:val="24"/>
        </w:rPr>
        <w:t xml:space="preserve"> </w:t>
      </w:r>
    </w:p>
    <w:p w:rsidR="000B536C" w:rsidRPr="003E2DBC" w:rsidRDefault="00DF7141" w:rsidP="00C462FF">
      <w:pPr>
        <w:pStyle w:val="Izvor"/>
        <w:ind w:left="709"/>
        <w:rPr>
          <w:rFonts w:ascii="Times New Roman" w:hAnsi="Times New Roman" w:cs="Times New Roman"/>
          <w:sz w:val="24"/>
        </w:rPr>
      </w:pPr>
      <w:r w:rsidRPr="00003942">
        <w:rPr>
          <w:rFonts w:ascii="Times New Roman" w:hAnsi="Times New Roman" w:cs="Times New Roman"/>
          <w:noProof/>
          <w:color w:val="auto"/>
          <w:sz w:val="24"/>
        </w:rPr>
        <w:t>HOPS. (2020.). Godišnje izvješće 2019</w:t>
      </w:r>
      <w:r w:rsidRPr="00F63D65">
        <w:rPr>
          <w:rFonts w:ascii="Times New Roman" w:hAnsi="Times New Roman" w:cs="Times New Roman"/>
          <w:noProof/>
          <w:color w:val="auto"/>
          <w:sz w:val="24"/>
        </w:rPr>
        <w:t xml:space="preserve">. </w:t>
      </w:r>
    </w:p>
    <w:sectPr w:rsidR="000B536C" w:rsidRPr="003E2DBC" w:rsidSect="002D7C87">
      <w:headerReference w:type="default" r:id="rId28"/>
      <w:footerReference w:type="default" r:id="rId29"/>
      <w:headerReference w:type="first" r:id="rId30"/>
      <w:footerReference w:type="first" r:id="rId31"/>
      <w:pgSz w:w="11906" w:h="16838" w:code="9"/>
      <w:pgMar w:top="1418" w:right="1418" w:bottom="1418" w:left="851" w:header="454" w:footer="510"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921" w:rsidRDefault="009C3921" w:rsidP="00DF7141">
      <w:pPr>
        <w:spacing w:after="0"/>
      </w:pPr>
      <w:r>
        <w:separator/>
      </w:r>
    </w:p>
  </w:endnote>
  <w:endnote w:type="continuationSeparator" w:id="0">
    <w:p w:rsidR="009C3921" w:rsidRDefault="009C3921" w:rsidP="00DF71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ork Sans">
    <w:altName w:val="Times New Roman"/>
    <w:charset w:val="EE"/>
    <w:family w:val="auto"/>
    <w:pitch w:val="variable"/>
    <w:sig w:usb0="00000001" w:usb1="5000E07B" w:usb2="00000000" w:usb3="00000000" w:csb0="000001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540144"/>
      <w:docPartObj>
        <w:docPartGallery w:val="Page Numbers (Bottom of Page)"/>
        <w:docPartUnique/>
      </w:docPartObj>
    </w:sdtPr>
    <w:sdtEndPr>
      <w:rPr>
        <w:rFonts w:ascii="Times New Roman" w:hAnsi="Times New Roman" w:cs="Times New Roman"/>
        <w:color w:val="auto"/>
        <w:sz w:val="24"/>
        <w:szCs w:val="24"/>
      </w:rPr>
    </w:sdtEndPr>
    <w:sdtContent>
      <w:p w:rsidR="009C3921" w:rsidRPr="000B0718" w:rsidRDefault="009C3921">
        <w:pPr>
          <w:pStyle w:val="Podnoje"/>
          <w:rPr>
            <w:rFonts w:ascii="Times New Roman" w:hAnsi="Times New Roman" w:cs="Times New Roman"/>
            <w:color w:val="auto"/>
            <w:sz w:val="24"/>
            <w:szCs w:val="24"/>
          </w:rPr>
        </w:pPr>
        <w:r w:rsidRPr="000B0718">
          <w:rPr>
            <w:rFonts w:ascii="Times New Roman" w:hAnsi="Times New Roman" w:cs="Times New Roman"/>
            <w:color w:val="auto"/>
            <w:sz w:val="24"/>
            <w:szCs w:val="24"/>
          </w:rPr>
          <w:fldChar w:fldCharType="begin"/>
        </w:r>
        <w:r w:rsidRPr="000B0718">
          <w:rPr>
            <w:rFonts w:ascii="Times New Roman" w:hAnsi="Times New Roman" w:cs="Times New Roman"/>
            <w:color w:val="auto"/>
            <w:sz w:val="24"/>
            <w:szCs w:val="24"/>
          </w:rPr>
          <w:instrText>PAGE   \* MERGEFORMAT</w:instrText>
        </w:r>
        <w:r w:rsidRPr="000B0718">
          <w:rPr>
            <w:rFonts w:ascii="Times New Roman" w:hAnsi="Times New Roman" w:cs="Times New Roman"/>
            <w:color w:val="auto"/>
            <w:sz w:val="24"/>
            <w:szCs w:val="24"/>
          </w:rPr>
          <w:fldChar w:fldCharType="separate"/>
        </w:r>
        <w:r w:rsidR="00F43296">
          <w:rPr>
            <w:rFonts w:ascii="Times New Roman" w:hAnsi="Times New Roman" w:cs="Times New Roman"/>
            <w:noProof/>
            <w:color w:val="auto"/>
            <w:sz w:val="24"/>
            <w:szCs w:val="24"/>
          </w:rPr>
          <w:t>19</w:t>
        </w:r>
        <w:r w:rsidRPr="000B0718">
          <w:rPr>
            <w:rFonts w:ascii="Times New Roman" w:hAnsi="Times New Roman" w:cs="Times New Roman"/>
            <w:color w:val="auto"/>
            <w:sz w:val="24"/>
            <w:szCs w:val="24"/>
          </w:rPr>
          <w:fldChar w:fldCharType="end"/>
        </w:r>
      </w:p>
    </w:sdtContent>
  </w:sdt>
  <w:p w:rsidR="009C3921" w:rsidRDefault="009C3921">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684477"/>
      <w:docPartObj>
        <w:docPartGallery w:val="Page Numbers (Bottom of Page)"/>
        <w:docPartUnique/>
      </w:docPartObj>
    </w:sdtPr>
    <w:sdtEndPr>
      <w:rPr>
        <w:rFonts w:ascii="Times New Roman" w:hAnsi="Times New Roman" w:cs="Times New Roman"/>
        <w:color w:val="auto"/>
        <w:sz w:val="24"/>
        <w:szCs w:val="24"/>
      </w:rPr>
    </w:sdtEndPr>
    <w:sdtContent>
      <w:p w:rsidR="009C3921" w:rsidRPr="000B0718" w:rsidRDefault="009C3921">
        <w:pPr>
          <w:pStyle w:val="Podnoje"/>
          <w:rPr>
            <w:rFonts w:ascii="Times New Roman" w:hAnsi="Times New Roman" w:cs="Times New Roman"/>
            <w:color w:val="auto"/>
            <w:sz w:val="24"/>
            <w:szCs w:val="24"/>
          </w:rPr>
        </w:pPr>
        <w:r w:rsidRPr="000B0718">
          <w:rPr>
            <w:rFonts w:ascii="Times New Roman" w:hAnsi="Times New Roman" w:cs="Times New Roman"/>
            <w:color w:val="auto"/>
            <w:sz w:val="24"/>
            <w:szCs w:val="24"/>
          </w:rPr>
          <w:fldChar w:fldCharType="begin"/>
        </w:r>
        <w:r w:rsidRPr="000B0718">
          <w:rPr>
            <w:rFonts w:ascii="Times New Roman" w:hAnsi="Times New Roman" w:cs="Times New Roman"/>
            <w:color w:val="auto"/>
            <w:sz w:val="24"/>
            <w:szCs w:val="24"/>
          </w:rPr>
          <w:instrText>PAGE   \* MERGEFORMAT</w:instrText>
        </w:r>
        <w:r w:rsidRPr="000B0718">
          <w:rPr>
            <w:rFonts w:ascii="Times New Roman" w:hAnsi="Times New Roman" w:cs="Times New Roman"/>
            <w:color w:val="auto"/>
            <w:sz w:val="24"/>
            <w:szCs w:val="24"/>
          </w:rPr>
          <w:fldChar w:fldCharType="separate"/>
        </w:r>
        <w:r w:rsidR="00F43296">
          <w:rPr>
            <w:rFonts w:ascii="Times New Roman" w:hAnsi="Times New Roman" w:cs="Times New Roman"/>
            <w:noProof/>
            <w:color w:val="auto"/>
            <w:sz w:val="24"/>
            <w:szCs w:val="24"/>
          </w:rPr>
          <w:t>20</w:t>
        </w:r>
        <w:r w:rsidRPr="000B0718">
          <w:rPr>
            <w:rFonts w:ascii="Times New Roman" w:hAnsi="Times New Roman" w:cs="Times New Roman"/>
            <w:color w:val="auto"/>
            <w:sz w:val="24"/>
            <w:szCs w:val="24"/>
          </w:rPr>
          <w:fldChar w:fldCharType="end"/>
        </w:r>
      </w:p>
    </w:sdtContent>
  </w:sdt>
  <w:p w:rsidR="009C3921" w:rsidRDefault="009C3921">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107990"/>
      <w:docPartObj>
        <w:docPartGallery w:val="Page Numbers (Bottom of Page)"/>
        <w:docPartUnique/>
      </w:docPartObj>
    </w:sdtPr>
    <w:sdtEndPr>
      <w:rPr>
        <w:rFonts w:ascii="Times New Roman" w:hAnsi="Times New Roman" w:cs="Times New Roman"/>
        <w:color w:val="auto"/>
        <w:sz w:val="24"/>
        <w:szCs w:val="24"/>
      </w:rPr>
    </w:sdtEndPr>
    <w:sdtContent>
      <w:p w:rsidR="009C3921" w:rsidRPr="000B0718" w:rsidRDefault="009C3921">
        <w:pPr>
          <w:pStyle w:val="Podnoje"/>
          <w:rPr>
            <w:rFonts w:ascii="Times New Roman" w:hAnsi="Times New Roman" w:cs="Times New Roman"/>
            <w:color w:val="auto"/>
            <w:sz w:val="24"/>
            <w:szCs w:val="24"/>
          </w:rPr>
        </w:pPr>
        <w:r w:rsidRPr="000B0718">
          <w:rPr>
            <w:rFonts w:ascii="Times New Roman" w:hAnsi="Times New Roman" w:cs="Times New Roman"/>
            <w:color w:val="auto"/>
            <w:sz w:val="24"/>
            <w:szCs w:val="24"/>
          </w:rPr>
          <w:fldChar w:fldCharType="begin"/>
        </w:r>
        <w:r w:rsidRPr="000B0718">
          <w:rPr>
            <w:rFonts w:ascii="Times New Roman" w:hAnsi="Times New Roman" w:cs="Times New Roman"/>
            <w:color w:val="auto"/>
            <w:sz w:val="24"/>
            <w:szCs w:val="24"/>
          </w:rPr>
          <w:instrText>PAGE   \* MERGEFORMAT</w:instrText>
        </w:r>
        <w:r w:rsidRPr="000B0718">
          <w:rPr>
            <w:rFonts w:ascii="Times New Roman" w:hAnsi="Times New Roman" w:cs="Times New Roman"/>
            <w:color w:val="auto"/>
            <w:sz w:val="24"/>
            <w:szCs w:val="24"/>
          </w:rPr>
          <w:fldChar w:fldCharType="separate"/>
        </w:r>
        <w:r w:rsidR="002E07B9">
          <w:rPr>
            <w:rFonts w:ascii="Times New Roman" w:hAnsi="Times New Roman" w:cs="Times New Roman"/>
            <w:noProof/>
            <w:color w:val="auto"/>
            <w:sz w:val="24"/>
            <w:szCs w:val="24"/>
          </w:rPr>
          <w:t>35</w:t>
        </w:r>
        <w:r w:rsidRPr="000B0718">
          <w:rPr>
            <w:rFonts w:ascii="Times New Roman" w:hAnsi="Times New Roman" w:cs="Times New Roman"/>
            <w:color w:val="auto"/>
            <w:sz w:val="24"/>
            <w:szCs w:val="24"/>
          </w:rPr>
          <w:fldChar w:fldCharType="end"/>
        </w:r>
      </w:p>
    </w:sdtContent>
  </w:sdt>
  <w:p w:rsidR="009C3921" w:rsidRPr="00CE1227" w:rsidRDefault="009C3921" w:rsidP="002D7C87">
    <w:pPr>
      <w:pStyle w:val="Podnoj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921" w:rsidRPr="000B0718" w:rsidRDefault="009C3921" w:rsidP="002D7C87">
    <w:pPr>
      <w:pStyle w:val="Podnoje"/>
      <w:rPr>
        <w:rFonts w:ascii="Times New Roman" w:hAnsi="Times New Roman" w:cs="Times New Roman"/>
        <w:color w:val="auto"/>
        <w:sz w:val="24"/>
        <w:szCs w:val="24"/>
      </w:rPr>
    </w:pPr>
    <w:r w:rsidRPr="000B0718">
      <w:rPr>
        <w:rFonts w:ascii="Times New Roman" w:hAnsi="Times New Roman" w:cs="Times New Roman"/>
        <w:color w:val="auto"/>
        <w:sz w:val="24"/>
        <w:szCs w:val="24"/>
      </w:rPr>
      <w:fldChar w:fldCharType="begin"/>
    </w:r>
    <w:r w:rsidRPr="000B0718">
      <w:rPr>
        <w:rFonts w:ascii="Times New Roman" w:hAnsi="Times New Roman" w:cs="Times New Roman"/>
        <w:color w:val="auto"/>
        <w:sz w:val="24"/>
        <w:szCs w:val="24"/>
      </w:rPr>
      <w:instrText xml:space="preserve"> PAGE  \* Arabic  \* MERGEFORMAT </w:instrText>
    </w:r>
    <w:r w:rsidRPr="000B0718">
      <w:rPr>
        <w:rFonts w:ascii="Times New Roman" w:hAnsi="Times New Roman" w:cs="Times New Roman"/>
        <w:color w:val="auto"/>
        <w:sz w:val="24"/>
        <w:szCs w:val="24"/>
      </w:rPr>
      <w:fldChar w:fldCharType="separate"/>
    </w:r>
    <w:r w:rsidR="00F43296">
      <w:rPr>
        <w:rFonts w:ascii="Times New Roman" w:hAnsi="Times New Roman" w:cs="Times New Roman"/>
        <w:noProof/>
        <w:color w:val="auto"/>
        <w:sz w:val="24"/>
        <w:szCs w:val="24"/>
      </w:rPr>
      <w:t>21</w:t>
    </w:r>
    <w:r w:rsidRPr="000B0718">
      <w:rPr>
        <w:rFonts w:ascii="Times New Roman" w:hAnsi="Times New Roman" w:cs="Times New Roman"/>
        <w:color w:val="auto"/>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921" w:rsidRDefault="009C3921" w:rsidP="00DF7141">
      <w:pPr>
        <w:spacing w:after="0"/>
      </w:pPr>
      <w:r>
        <w:separator/>
      </w:r>
    </w:p>
  </w:footnote>
  <w:footnote w:type="continuationSeparator" w:id="0">
    <w:p w:rsidR="009C3921" w:rsidRDefault="009C3921" w:rsidP="00DF714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921" w:rsidRPr="00964AEC" w:rsidRDefault="009C3921" w:rsidP="002D7C87">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921" w:rsidRPr="004B27BB" w:rsidRDefault="009C3921" w:rsidP="002D7C87">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188"/>
    <w:multiLevelType w:val="hybridMultilevel"/>
    <w:tmpl w:val="58E02080"/>
    <w:lvl w:ilvl="0" w:tplc="D1764AE0">
      <w:start w:val="1"/>
      <w:numFmt w:val="bullet"/>
      <w:pStyle w:val="Bullet2"/>
      <w:lvlText w:val="o"/>
      <w:lvlJc w:val="left"/>
      <w:pPr>
        <w:ind w:left="1021" w:hanging="341"/>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C93BA4"/>
    <w:multiLevelType w:val="multilevel"/>
    <w:tmpl w:val="7F0C6888"/>
    <w:lvl w:ilvl="0">
      <w:start w:val="1"/>
      <w:numFmt w:val="decimal"/>
      <w:lvlText w:val="%1."/>
      <w:lvlJc w:val="left"/>
      <w:pPr>
        <w:ind w:left="360" w:hanging="360"/>
      </w:pPr>
    </w:lvl>
    <w:lvl w:ilvl="1">
      <w:start w:val="1"/>
      <w:numFmt w:val="decimal"/>
      <w:lvlText w:val="%1.%2"/>
      <w:lvlJc w:val="left"/>
      <w:pPr>
        <w:ind w:left="576" w:hanging="576"/>
      </w:pPr>
      <w:rPr>
        <w:rFonts w:hint="default"/>
      </w:rPr>
    </w:lvl>
    <w:lvl w:ilvl="2">
      <w:start w:val="1"/>
      <w:numFmt w:val="decimal"/>
      <w:lvlText w:val="%1.%2.%3"/>
      <w:lvlJc w:val="left"/>
      <w:pPr>
        <w:ind w:left="1003"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 w15:restartNumberingAfterBreak="0">
    <w:nsid w:val="05BA6875"/>
    <w:multiLevelType w:val="hybridMultilevel"/>
    <w:tmpl w:val="E27EB788"/>
    <w:lvl w:ilvl="0" w:tplc="4B22BA1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0C6A94"/>
    <w:multiLevelType w:val="hybridMultilevel"/>
    <w:tmpl w:val="3D88D71E"/>
    <w:lvl w:ilvl="0" w:tplc="53707C24">
      <w:start w:val="1"/>
      <w:numFmt w:val="bullet"/>
      <w:pStyle w:val="Bullet2c"/>
      <w:lvlText w:val="­"/>
      <w:lvlJc w:val="left"/>
      <w:pPr>
        <w:ind w:left="1021" w:hanging="341"/>
      </w:pPr>
      <w:rPr>
        <w:rFonts w:ascii="Calibri" w:hAnsi="Calibri" w:hint="default"/>
      </w:rPr>
    </w:lvl>
    <w:lvl w:ilvl="1" w:tplc="50D20FF0">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EF4FEA"/>
    <w:multiLevelType w:val="hybridMultilevel"/>
    <w:tmpl w:val="105E2B20"/>
    <w:lvl w:ilvl="0" w:tplc="BEDEE1C4">
      <w:start w:val="1"/>
      <w:numFmt w:val="bullet"/>
      <w:pStyle w:val="Bullet1b"/>
      <w:lvlText w:val=""/>
      <w:lvlJc w:val="left"/>
      <w:pPr>
        <w:ind w:left="680" w:hanging="34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8969EE"/>
    <w:multiLevelType w:val="hybridMultilevel"/>
    <w:tmpl w:val="51DE45E0"/>
    <w:lvl w:ilvl="0" w:tplc="F0408C5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2306546">
      <w:numFmt w:val="bullet"/>
      <w:lvlText w:val="•"/>
      <w:lvlJc w:val="left"/>
      <w:pPr>
        <w:ind w:left="3600" w:hanging="360"/>
      </w:pPr>
      <w:rPr>
        <w:rFonts w:ascii="Work Sans" w:eastAsiaTheme="minorHAnsi" w:hAnsi="Work Sans" w:cstheme="minorHAns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A16F8"/>
    <w:multiLevelType w:val="hybridMultilevel"/>
    <w:tmpl w:val="C7CC70D6"/>
    <w:lvl w:ilvl="0" w:tplc="242C0B58">
      <w:start w:val="1"/>
      <w:numFmt w:val="decimal"/>
      <w:pStyle w:val="Lista3"/>
      <w:lvlText w:val="%1."/>
      <w:lvlJc w:val="left"/>
      <w:pPr>
        <w:ind w:left="1361" w:hanging="340"/>
      </w:pPr>
      <w:rPr>
        <w:rFonts w:hint="default"/>
      </w:rPr>
    </w:lvl>
    <w:lvl w:ilvl="1" w:tplc="041A0019" w:tentative="1">
      <w:start w:val="1"/>
      <w:numFmt w:val="lowerLetter"/>
      <w:lvlText w:val="%2."/>
      <w:lvlJc w:val="left"/>
      <w:pPr>
        <w:ind w:left="2801" w:hanging="360"/>
      </w:pPr>
    </w:lvl>
    <w:lvl w:ilvl="2" w:tplc="041A001B" w:tentative="1">
      <w:start w:val="1"/>
      <w:numFmt w:val="lowerRoman"/>
      <w:lvlText w:val="%3."/>
      <w:lvlJc w:val="right"/>
      <w:pPr>
        <w:ind w:left="3521" w:hanging="180"/>
      </w:pPr>
    </w:lvl>
    <w:lvl w:ilvl="3" w:tplc="041A000F" w:tentative="1">
      <w:start w:val="1"/>
      <w:numFmt w:val="decimal"/>
      <w:lvlText w:val="%4."/>
      <w:lvlJc w:val="left"/>
      <w:pPr>
        <w:ind w:left="4241" w:hanging="360"/>
      </w:pPr>
    </w:lvl>
    <w:lvl w:ilvl="4" w:tplc="041A0019" w:tentative="1">
      <w:start w:val="1"/>
      <w:numFmt w:val="lowerLetter"/>
      <w:lvlText w:val="%5."/>
      <w:lvlJc w:val="left"/>
      <w:pPr>
        <w:ind w:left="4961" w:hanging="360"/>
      </w:pPr>
    </w:lvl>
    <w:lvl w:ilvl="5" w:tplc="041A001B" w:tentative="1">
      <w:start w:val="1"/>
      <w:numFmt w:val="lowerRoman"/>
      <w:lvlText w:val="%6."/>
      <w:lvlJc w:val="right"/>
      <w:pPr>
        <w:ind w:left="5681" w:hanging="180"/>
      </w:pPr>
    </w:lvl>
    <w:lvl w:ilvl="6" w:tplc="041A000F" w:tentative="1">
      <w:start w:val="1"/>
      <w:numFmt w:val="decimal"/>
      <w:lvlText w:val="%7."/>
      <w:lvlJc w:val="left"/>
      <w:pPr>
        <w:ind w:left="6401" w:hanging="360"/>
      </w:pPr>
    </w:lvl>
    <w:lvl w:ilvl="7" w:tplc="041A0019" w:tentative="1">
      <w:start w:val="1"/>
      <w:numFmt w:val="lowerLetter"/>
      <w:lvlText w:val="%8."/>
      <w:lvlJc w:val="left"/>
      <w:pPr>
        <w:ind w:left="7121" w:hanging="360"/>
      </w:pPr>
    </w:lvl>
    <w:lvl w:ilvl="8" w:tplc="041A001B" w:tentative="1">
      <w:start w:val="1"/>
      <w:numFmt w:val="lowerRoman"/>
      <w:lvlText w:val="%9."/>
      <w:lvlJc w:val="right"/>
      <w:pPr>
        <w:ind w:left="7841" w:hanging="180"/>
      </w:pPr>
    </w:lvl>
  </w:abstractNum>
  <w:abstractNum w:abstractNumId="7" w15:restartNumberingAfterBreak="0">
    <w:nsid w:val="0F0F5C5A"/>
    <w:multiLevelType w:val="hybridMultilevel"/>
    <w:tmpl w:val="400A2F04"/>
    <w:lvl w:ilvl="0" w:tplc="1A9AE0D0">
      <w:start w:val="1"/>
      <w:numFmt w:val="decimal"/>
      <w:pStyle w:val="Izvor"/>
      <w:lvlText w:val="[%1]"/>
      <w:lvlJc w:val="left"/>
      <w:pPr>
        <w:ind w:left="1495"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31F4671"/>
    <w:multiLevelType w:val="hybridMultilevel"/>
    <w:tmpl w:val="6F2A3C5A"/>
    <w:lvl w:ilvl="0" w:tplc="C174EFE6">
      <w:start w:val="1"/>
      <w:numFmt w:val="lowerRoman"/>
      <w:pStyle w:val="Listaii"/>
      <w:lvlText w:val="%1."/>
      <w:lvlJc w:val="left"/>
      <w:pPr>
        <w:ind w:left="1021" w:hanging="341"/>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0048F4"/>
    <w:multiLevelType w:val="hybridMultilevel"/>
    <w:tmpl w:val="2730BA7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1154A4"/>
    <w:multiLevelType w:val="hybridMultilevel"/>
    <w:tmpl w:val="6DB667A0"/>
    <w:lvl w:ilvl="0" w:tplc="D5909EA2">
      <w:start w:val="1"/>
      <w:numFmt w:val="bullet"/>
      <w:pStyle w:val="Bullet3b"/>
      <w:lvlText w:val=""/>
      <w:lvlJc w:val="left"/>
      <w:pPr>
        <w:ind w:left="1361" w:hanging="340"/>
      </w:pPr>
      <w:rPr>
        <w:rFonts w:ascii="Symbol" w:hAnsi="Symbol" w:hint="default"/>
      </w:rPr>
    </w:lvl>
    <w:lvl w:ilvl="1" w:tplc="A55EB720">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9FC1F3F"/>
    <w:multiLevelType w:val="hybridMultilevel"/>
    <w:tmpl w:val="13F85CCC"/>
    <w:lvl w:ilvl="0" w:tplc="5934B814">
      <w:start w:val="1"/>
      <w:numFmt w:val="bullet"/>
      <w:pStyle w:val="Bullet3c"/>
      <w:lvlText w:val="­"/>
      <w:lvlJc w:val="left"/>
      <w:pPr>
        <w:ind w:left="1361" w:hanging="340"/>
      </w:pPr>
      <w:rPr>
        <w:rFonts w:ascii="Calibri" w:hAnsi="Calibri" w:hint="default"/>
      </w:rPr>
    </w:lvl>
    <w:lvl w:ilvl="1" w:tplc="A55EB720">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A770DC6"/>
    <w:multiLevelType w:val="hybridMultilevel"/>
    <w:tmpl w:val="3B70B2D2"/>
    <w:lvl w:ilvl="0" w:tplc="C21C35E4">
      <w:start w:val="1"/>
      <w:numFmt w:val="upperRoman"/>
      <w:pStyle w:val="ListaII0"/>
      <w:lvlText w:val="%1."/>
      <w:lvlJc w:val="left"/>
      <w:pPr>
        <w:ind w:left="1021" w:hanging="341"/>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AE57296"/>
    <w:multiLevelType w:val="hybridMultilevel"/>
    <w:tmpl w:val="20221C54"/>
    <w:lvl w:ilvl="0" w:tplc="85BE6DD8">
      <w:start w:val="1"/>
      <w:numFmt w:val="bullet"/>
      <w:lvlText w:val=""/>
      <w:lvlJc w:val="left"/>
      <w:pPr>
        <w:ind w:left="720" w:hanging="360"/>
      </w:pPr>
      <w:rPr>
        <w:rFonts w:ascii="Wingdings" w:hAnsi="Wingdings" w:hint="default"/>
      </w:rPr>
    </w:lvl>
    <w:lvl w:ilvl="1" w:tplc="45B8F38E">
      <w:start w:val="1"/>
      <w:numFmt w:val="bullet"/>
      <w:pStyle w:val="Bullet1d"/>
      <w:lvlText w:val="o"/>
      <w:lvlJc w:val="left"/>
      <w:pPr>
        <w:ind w:left="680" w:hanging="34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0E64105"/>
    <w:multiLevelType w:val="hybridMultilevel"/>
    <w:tmpl w:val="18280CD4"/>
    <w:lvl w:ilvl="0" w:tplc="5F582A5C">
      <w:start w:val="1"/>
      <w:numFmt w:val="decimal"/>
      <w:pStyle w:val="Lista2"/>
      <w:lvlText w:val="%1."/>
      <w:lvlJc w:val="left"/>
      <w:pPr>
        <w:ind w:left="1021" w:hanging="341"/>
      </w:pPr>
      <w:rPr>
        <w:rFonts w:hint="default"/>
      </w:rPr>
    </w:lvl>
    <w:lvl w:ilvl="1" w:tplc="041A0019" w:tentative="1">
      <w:start w:val="1"/>
      <w:numFmt w:val="lowerLetter"/>
      <w:lvlText w:val="%2."/>
      <w:lvlJc w:val="left"/>
      <w:pPr>
        <w:ind w:left="2433" w:hanging="360"/>
      </w:pPr>
    </w:lvl>
    <w:lvl w:ilvl="2" w:tplc="041A001B" w:tentative="1">
      <w:start w:val="1"/>
      <w:numFmt w:val="lowerRoman"/>
      <w:lvlText w:val="%3."/>
      <w:lvlJc w:val="right"/>
      <w:pPr>
        <w:ind w:left="3153" w:hanging="180"/>
      </w:pPr>
    </w:lvl>
    <w:lvl w:ilvl="3" w:tplc="041A000F" w:tentative="1">
      <w:start w:val="1"/>
      <w:numFmt w:val="decimal"/>
      <w:lvlText w:val="%4."/>
      <w:lvlJc w:val="left"/>
      <w:pPr>
        <w:ind w:left="3873" w:hanging="360"/>
      </w:pPr>
    </w:lvl>
    <w:lvl w:ilvl="4" w:tplc="041A0019" w:tentative="1">
      <w:start w:val="1"/>
      <w:numFmt w:val="lowerLetter"/>
      <w:lvlText w:val="%5."/>
      <w:lvlJc w:val="left"/>
      <w:pPr>
        <w:ind w:left="4593" w:hanging="360"/>
      </w:pPr>
    </w:lvl>
    <w:lvl w:ilvl="5" w:tplc="041A001B" w:tentative="1">
      <w:start w:val="1"/>
      <w:numFmt w:val="lowerRoman"/>
      <w:lvlText w:val="%6."/>
      <w:lvlJc w:val="right"/>
      <w:pPr>
        <w:ind w:left="5313" w:hanging="180"/>
      </w:pPr>
    </w:lvl>
    <w:lvl w:ilvl="6" w:tplc="041A000F" w:tentative="1">
      <w:start w:val="1"/>
      <w:numFmt w:val="decimal"/>
      <w:lvlText w:val="%7."/>
      <w:lvlJc w:val="left"/>
      <w:pPr>
        <w:ind w:left="6033" w:hanging="360"/>
      </w:pPr>
    </w:lvl>
    <w:lvl w:ilvl="7" w:tplc="041A0019" w:tentative="1">
      <w:start w:val="1"/>
      <w:numFmt w:val="lowerLetter"/>
      <w:lvlText w:val="%8."/>
      <w:lvlJc w:val="left"/>
      <w:pPr>
        <w:ind w:left="6753" w:hanging="360"/>
      </w:pPr>
    </w:lvl>
    <w:lvl w:ilvl="8" w:tplc="041A001B" w:tentative="1">
      <w:start w:val="1"/>
      <w:numFmt w:val="lowerRoman"/>
      <w:lvlText w:val="%9."/>
      <w:lvlJc w:val="right"/>
      <w:pPr>
        <w:ind w:left="7473" w:hanging="180"/>
      </w:pPr>
    </w:lvl>
  </w:abstractNum>
  <w:abstractNum w:abstractNumId="15" w15:restartNumberingAfterBreak="0">
    <w:nsid w:val="266D6E5D"/>
    <w:multiLevelType w:val="hybridMultilevel"/>
    <w:tmpl w:val="CE9A6432"/>
    <w:lvl w:ilvl="0" w:tplc="2A149D58">
      <w:start w:val="1"/>
      <w:numFmt w:val="decimal"/>
      <w:pStyle w:val="Head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ED6576"/>
    <w:multiLevelType w:val="hybridMultilevel"/>
    <w:tmpl w:val="A3E297BC"/>
    <w:lvl w:ilvl="0" w:tplc="9C6C5478">
      <w:start w:val="1"/>
      <w:numFmt w:val="upperRoman"/>
      <w:pStyle w:val="ListaI"/>
      <w:lvlText w:val="%1."/>
      <w:lvlJc w:val="left"/>
      <w:pPr>
        <w:ind w:left="680" w:hanging="34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84477BD"/>
    <w:multiLevelType w:val="hybridMultilevel"/>
    <w:tmpl w:val="C5F62C4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81216D"/>
    <w:multiLevelType w:val="hybridMultilevel"/>
    <w:tmpl w:val="297CEC30"/>
    <w:lvl w:ilvl="0" w:tplc="8AC4054C">
      <w:start w:val="1"/>
      <w:numFmt w:val="bullet"/>
      <w:pStyle w:val="Bullet2a"/>
      <w:lvlText w:val=""/>
      <w:lvlJc w:val="left"/>
      <w:pPr>
        <w:ind w:left="1021" w:hanging="341"/>
      </w:pPr>
      <w:rPr>
        <w:rFonts w:ascii="Wingdings" w:hAnsi="Wingdings" w:hint="default"/>
      </w:rPr>
    </w:lvl>
    <w:lvl w:ilvl="1" w:tplc="B77E1234">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E3307A3"/>
    <w:multiLevelType w:val="hybridMultilevel"/>
    <w:tmpl w:val="7E72695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33659E6"/>
    <w:multiLevelType w:val="hybridMultilevel"/>
    <w:tmpl w:val="4C2819D4"/>
    <w:lvl w:ilvl="0" w:tplc="548A9626">
      <w:start w:val="1"/>
      <w:numFmt w:val="bullet"/>
      <w:pStyle w:val="Bullet3d"/>
      <w:lvlText w:val="o"/>
      <w:lvlJc w:val="left"/>
      <w:pPr>
        <w:ind w:left="1361" w:hanging="340"/>
      </w:pPr>
      <w:rPr>
        <w:rFonts w:ascii="Courier New" w:hAnsi="Courier New" w:hint="default"/>
      </w:rPr>
    </w:lvl>
    <w:lvl w:ilvl="1" w:tplc="A55EB720">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74515CF"/>
    <w:multiLevelType w:val="hybridMultilevel"/>
    <w:tmpl w:val="424E12FC"/>
    <w:lvl w:ilvl="0" w:tplc="4294AE6E">
      <w:start w:val="1"/>
      <w:numFmt w:val="bullet"/>
      <w:lvlText w:val=""/>
      <w:lvlJc w:val="left"/>
      <w:pPr>
        <w:ind w:left="720" w:hanging="360"/>
      </w:pPr>
      <w:rPr>
        <w:rFonts w:ascii="Wingdings" w:hAnsi="Wingdings" w:hint="default"/>
      </w:rPr>
    </w:lvl>
    <w:lvl w:ilvl="1" w:tplc="D14E2DAC">
      <w:start w:val="1"/>
      <w:numFmt w:val="bullet"/>
      <w:pStyle w:val="Bullet3a"/>
      <w:lvlText w:val=""/>
      <w:lvlJc w:val="left"/>
      <w:pPr>
        <w:ind w:left="1361" w:hanging="34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7F86039"/>
    <w:multiLevelType w:val="hybridMultilevel"/>
    <w:tmpl w:val="BBCE5424"/>
    <w:lvl w:ilvl="0" w:tplc="61406526">
      <w:start w:val="1"/>
      <w:numFmt w:val="upperLetter"/>
      <w:pStyle w:val="ListaC"/>
      <w:lvlText w:val="%1."/>
      <w:lvlJc w:val="left"/>
      <w:pPr>
        <w:ind w:left="1361" w:hanging="3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B614515"/>
    <w:multiLevelType w:val="hybridMultilevel"/>
    <w:tmpl w:val="0F2C7E6E"/>
    <w:lvl w:ilvl="0" w:tplc="E6ACD618">
      <w:start w:val="1"/>
      <w:numFmt w:val="decimal"/>
      <w:pStyle w:val="Lista1"/>
      <w:lvlText w:val="%1."/>
      <w:lvlJc w:val="left"/>
      <w:pPr>
        <w:ind w:left="680" w:hanging="34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0DD1564"/>
    <w:multiLevelType w:val="hybridMultilevel"/>
    <w:tmpl w:val="6414D098"/>
    <w:lvl w:ilvl="0" w:tplc="F75C16D2">
      <w:start w:val="1"/>
      <w:numFmt w:val="decimal"/>
      <w:pStyle w:val="Naslov3"/>
      <w:lvlText w:val="5.1.%1."/>
      <w:lvlJc w:val="left"/>
      <w:pPr>
        <w:ind w:left="1003" w:hanging="360"/>
      </w:pPr>
      <w:rPr>
        <w:rFonts w:hint="default"/>
      </w:rPr>
    </w:lvl>
    <w:lvl w:ilvl="1" w:tplc="041A0019" w:tentative="1">
      <w:start w:val="1"/>
      <w:numFmt w:val="lowerLetter"/>
      <w:lvlText w:val="%2."/>
      <w:lvlJc w:val="left"/>
      <w:pPr>
        <w:ind w:left="1723" w:hanging="360"/>
      </w:pPr>
    </w:lvl>
    <w:lvl w:ilvl="2" w:tplc="041A001B" w:tentative="1">
      <w:start w:val="1"/>
      <w:numFmt w:val="lowerRoman"/>
      <w:lvlText w:val="%3."/>
      <w:lvlJc w:val="right"/>
      <w:pPr>
        <w:ind w:left="2443" w:hanging="180"/>
      </w:p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25" w15:restartNumberingAfterBreak="0">
    <w:nsid w:val="427E16EC"/>
    <w:multiLevelType w:val="hybridMultilevel"/>
    <w:tmpl w:val="90B86040"/>
    <w:lvl w:ilvl="0" w:tplc="E5F6B22C">
      <w:start w:val="1"/>
      <w:numFmt w:val="lowerRoman"/>
      <w:pStyle w:val="Listai0"/>
      <w:lvlText w:val="%1."/>
      <w:lvlJc w:val="left"/>
      <w:pPr>
        <w:ind w:left="680" w:hanging="340"/>
      </w:pPr>
      <w:rPr>
        <w:rFonts w:hint="default"/>
      </w:rPr>
    </w:lvl>
    <w:lvl w:ilvl="1" w:tplc="041A0019" w:tentative="1">
      <w:start w:val="1"/>
      <w:numFmt w:val="lowerLetter"/>
      <w:lvlText w:val="%2."/>
      <w:lvlJc w:val="left"/>
      <w:pPr>
        <w:ind w:left="2120" w:hanging="360"/>
      </w:pPr>
    </w:lvl>
    <w:lvl w:ilvl="2" w:tplc="041A001B" w:tentative="1">
      <w:start w:val="1"/>
      <w:numFmt w:val="lowerRoman"/>
      <w:lvlText w:val="%3."/>
      <w:lvlJc w:val="right"/>
      <w:pPr>
        <w:ind w:left="2840" w:hanging="180"/>
      </w:pPr>
    </w:lvl>
    <w:lvl w:ilvl="3" w:tplc="041A000F" w:tentative="1">
      <w:start w:val="1"/>
      <w:numFmt w:val="decimal"/>
      <w:lvlText w:val="%4."/>
      <w:lvlJc w:val="left"/>
      <w:pPr>
        <w:ind w:left="3560" w:hanging="360"/>
      </w:pPr>
    </w:lvl>
    <w:lvl w:ilvl="4" w:tplc="041A0019" w:tentative="1">
      <w:start w:val="1"/>
      <w:numFmt w:val="lowerLetter"/>
      <w:lvlText w:val="%5."/>
      <w:lvlJc w:val="left"/>
      <w:pPr>
        <w:ind w:left="4280" w:hanging="360"/>
      </w:pPr>
    </w:lvl>
    <w:lvl w:ilvl="5" w:tplc="041A001B" w:tentative="1">
      <w:start w:val="1"/>
      <w:numFmt w:val="lowerRoman"/>
      <w:lvlText w:val="%6."/>
      <w:lvlJc w:val="right"/>
      <w:pPr>
        <w:ind w:left="5000" w:hanging="180"/>
      </w:pPr>
    </w:lvl>
    <w:lvl w:ilvl="6" w:tplc="041A000F" w:tentative="1">
      <w:start w:val="1"/>
      <w:numFmt w:val="decimal"/>
      <w:lvlText w:val="%7."/>
      <w:lvlJc w:val="left"/>
      <w:pPr>
        <w:ind w:left="5720" w:hanging="360"/>
      </w:pPr>
    </w:lvl>
    <w:lvl w:ilvl="7" w:tplc="041A0019" w:tentative="1">
      <w:start w:val="1"/>
      <w:numFmt w:val="lowerLetter"/>
      <w:lvlText w:val="%8."/>
      <w:lvlJc w:val="left"/>
      <w:pPr>
        <w:ind w:left="6440" w:hanging="360"/>
      </w:pPr>
    </w:lvl>
    <w:lvl w:ilvl="8" w:tplc="041A001B" w:tentative="1">
      <w:start w:val="1"/>
      <w:numFmt w:val="lowerRoman"/>
      <w:lvlText w:val="%9."/>
      <w:lvlJc w:val="right"/>
      <w:pPr>
        <w:ind w:left="7160" w:hanging="180"/>
      </w:pPr>
    </w:lvl>
  </w:abstractNum>
  <w:abstractNum w:abstractNumId="26" w15:restartNumberingAfterBreak="0">
    <w:nsid w:val="46E27F9D"/>
    <w:multiLevelType w:val="hybridMultilevel"/>
    <w:tmpl w:val="D918F56C"/>
    <w:lvl w:ilvl="0" w:tplc="B46E8FAC">
      <w:start w:val="1"/>
      <w:numFmt w:val="bullet"/>
      <w:pStyle w:val="Bullet2d"/>
      <w:lvlText w:val="o"/>
      <w:lvlJc w:val="left"/>
      <w:pPr>
        <w:ind w:left="1021" w:hanging="341"/>
      </w:pPr>
      <w:rPr>
        <w:rFonts w:ascii="Courier New" w:hAnsi="Courier New" w:hint="default"/>
      </w:rPr>
    </w:lvl>
    <w:lvl w:ilvl="1" w:tplc="05B2CD72">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889785D"/>
    <w:multiLevelType w:val="hybridMultilevel"/>
    <w:tmpl w:val="B05AEA84"/>
    <w:lvl w:ilvl="0" w:tplc="7AF8DC70">
      <w:start w:val="1"/>
      <w:numFmt w:val="bullet"/>
      <w:pStyle w:val="Bullet2b"/>
      <w:lvlText w:val=""/>
      <w:lvlJc w:val="left"/>
      <w:pPr>
        <w:ind w:left="1021" w:hanging="341"/>
      </w:pPr>
      <w:rPr>
        <w:rFonts w:ascii="Symbol" w:hAnsi="Symbol" w:hint="default"/>
      </w:rPr>
    </w:lvl>
    <w:lvl w:ilvl="1" w:tplc="50D20FF0">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E0F6499"/>
    <w:multiLevelType w:val="hybridMultilevel"/>
    <w:tmpl w:val="1052973A"/>
    <w:lvl w:ilvl="0" w:tplc="7B3638A0">
      <w:start w:val="1"/>
      <w:numFmt w:val="bullet"/>
      <w:pStyle w:val="Bullet1"/>
      <w:lvlText w:val=""/>
      <w:lvlJc w:val="left"/>
      <w:pPr>
        <w:ind w:left="680" w:hanging="34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29" w15:restartNumberingAfterBreak="0">
    <w:nsid w:val="51E4578E"/>
    <w:multiLevelType w:val="hybridMultilevel"/>
    <w:tmpl w:val="371E0B94"/>
    <w:lvl w:ilvl="0" w:tplc="8B5CBE90">
      <w:start w:val="1"/>
      <w:numFmt w:val="decimal"/>
      <w:pStyle w:val="Naslov2"/>
      <w:lvlText w:val="%1."/>
      <w:lvlJc w:val="left"/>
      <w:pPr>
        <w:ind w:left="644" w:hanging="360"/>
      </w:pPr>
      <w:rPr>
        <w:rFonts w:hint="default"/>
      </w:rPr>
    </w:lvl>
    <w:lvl w:ilvl="1" w:tplc="041A0019" w:tentative="1">
      <w:start w:val="1"/>
      <w:numFmt w:val="lowerLetter"/>
      <w:lvlText w:val="%2."/>
      <w:lvlJc w:val="left"/>
      <w:pPr>
        <w:ind w:left="2934" w:hanging="360"/>
      </w:pPr>
    </w:lvl>
    <w:lvl w:ilvl="2" w:tplc="041A001B" w:tentative="1">
      <w:start w:val="1"/>
      <w:numFmt w:val="lowerRoman"/>
      <w:lvlText w:val="%3."/>
      <w:lvlJc w:val="right"/>
      <w:pPr>
        <w:ind w:left="3654" w:hanging="180"/>
      </w:pPr>
    </w:lvl>
    <w:lvl w:ilvl="3" w:tplc="041A000F" w:tentative="1">
      <w:start w:val="1"/>
      <w:numFmt w:val="decimal"/>
      <w:lvlText w:val="%4."/>
      <w:lvlJc w:val="left"/>
      <w:pPr>
        <w:ind w:left="4374" w:hanging="360"/>
      </w:pPr>
    </w:lvl>
    <w:lvl w:ilvl="4" w:tplc="041A0019" w:tentative="1">
      <w:start w:val="1"/>
      <w:numFmt w:val="lowerLetter"/>
      <w:lvlText w:val="%5."/>
      <w:lvlJc w:val="left"/>
      <w:pPr>
        <w:ind w:left="5094" w:hanging="360"/>
      </w:pPr>
    </w:lvl>
    <w:lvl w:ilvl="5" w:tplc="041A001B" w:tentative="1">
      <w:start w:val="1"/>
      <w:numFmt w:val="lowerRoman"/>
      <w:lvlText w:val="%6."/>
      <w:lvlJc w:val="right"/>
      <w:pPr>
        <w:ind w:left="5814" w:hanging="180"/>
      </w:pPr>
    </w:lvl>
    <w:lvl w:ilvl="6" w:tplc="041A000F" w:tentative="1">
      <w:start w:val="1"/>
      <w:numFmt w:val="decimal"/>
      <w:lvlText w:val="%7."/>
      <w:lvlJc w:val="left"/>
      <w:pPr>
        <w:ind w:left="6534" w:hanging="360"/>
      </w:pPr>
    </w:lvl>
    <w:lvl w:ilvl="7" w:tplc="041A0019" w:tentative="1">
      <w:start w:val="1"/>
      <w:numFmt w:val="lowerLetter"/>
      <w:lvlText w:val="%8."/>
      <w:lvlJc w:val="left"/>
      <w:pPr>
        <w:ind w:left="7254" w:hanging="360"/>
      </w:pPr>
    </w:lvl>
    <w:lvl w:ilvl="8" w:tplc="041A001B" w:tentative="1">
      <w:start w:val="1"/>
      <w:numFmt w:val="lowerRoman"/>
      <w:lvlText w:val="%9."/>
      <w:lvlJc w:val="right"/>
      <w:pPr>
        <w:ind w:left="7974" w:hanging="180"/>
      </w:pPr>
    </w:lvl>
  </w:abstractNum>
  <w:abstractNum w:abstractNumId="30" w15:restartNumberingAfterBreak="0">
    <w:nsid w:val="51F264AF"/>
    <w:multiLevelType w:val="hybridMultilevel"/>
    <w:tmpl w:val="65C01140"/>
    <w:lvl w:ilvl="0" w:tplc="07909C5C">
      <w:start w:val="1"/>
      <w:numFmt w:val="upperRoman"/>
      <w:pStyle w:val="ListaIII"/>
      <w:lvlText w:val="%1."/>
      <w:lvlJc w:val="left"/>
      <w:pPr>
        <w:ind w:left="1361" w:hanging="3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2DA3C16"/>
    <w:multiLevelType w:val="hybridMultilevel"/>
    <w:tmpl w:val="8802141C"/>
    <w:lvl w:ilvl="0" w:tplc="B7B40FDE">
      <w:start w:val="1"/>
      <w:numFmt w:val="bullet"/>
      <w:pStyle w:val="Bullet1a"/>
      <w:lvlText w:val=""/>
      <w:lvlJc w:val="left"/>
      <w:pPr>
        <w:ind w:left="680" w:hanging="340"/>
      </w:pPr>
      <w:rPr>
        <w:rFonts w:ascii="Wingdings" w:hAnsi="Wingdings" w:hint="default"/>
      </w:rPr>
    </w:lvl>
    <w:lvl w:ilvl="1" w:tplc="041A0003" w:tentative="1">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32" w15:restartNumberingAfterBreak="0">
    <w:nsid w:val="532F6C10"/>
    <w:multiLevelType w:val="hybridMultilevel"/>
    <w:tmpl w:val="B54CC25A"/>
    <w:lvl w:ilvl="0" w:tplc="AED261BE">
      <w:start w:val="1"/>
      <w:numFmt w:val="bullet"/>
      <w:pStyle w:val="Bullet1c"/>
      <w:lvlText w:val="­"/>
      <w:lvlJc w:val="left"/>
      <w:pPr>
        <w:ind w:left="680" w:hanging="34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9FB2E34"/>
    <w:multiLevelType w:val="hybridMultilevel"/>
    <w:tmpl w:val="90EC2970"/>
    <w:lvl w:ilvl="0" w:tplc="1C007B80">
      <w:start w:val="1"/>
      <w:numFmt w:val="upperLetter"/>
      <w:pStyle w:val="ListaB"/>
      <w:lvlText w:val="%1."/>
      <w:lvlJc w:val="left"/>
      <w:pPr>
        <w:ind w:left="1021" w:hanging="341"/>
      </w:pPr>
      <w:rPr>
        <w:rFonts w:hint="default"/>
      </w:rPr>
    </w:lvl>
    <w:lvl w:ilvl="1" w:tplc="041A0019" w:tentative="1">
      <w:start w:val="1"/>
      <w:numFmt w:val="lowerLetter"/>
      <w:lvlText w:val="%2."/>
      <w:lvlJc w:val="left"/>
      <w:pPr>
        <w:ind w:left="2433" w:hanging="360"/>
      </w:pPr>
    </w:lvl>
    <w:lvl w:ilvl="2" w:tplc="041A001B" w:tentative="1">
      <w:start w:val="1"/>
      <w:numFmt w:val="lowerRoman"/>
      <w:lvlText w:val="%3."/>
      <w:lvlJc w:val="right"/>
      <w:pPr>
        <w:ind w:left="3153" w:hanging="180"/>
      </w:pPr>
    </w:lvl>
    <w:lvl w:ilvl="3" w:tplc="041A000F" w:tentative="1">
      <w:start w:val="1"/>
      <w:numFmt w:val="decimal"/>
      <w:lvlText w:val="%4."/>
      <w:lvlJc w:val="left"/>
      <w:pPr>
        <w:ind w:left="3873" w:hanging="360"/>
      </w:pPr>
    </w:lvl>
    <w:lvl w:ilvl="4" w:tplc="041A0019" w:tentative="1">
      <w:start w:val="1"/>
      <w:numFmt w:val="lowerLetter"/>
      <w:lvlText w:val="%5."/>
      <w:lvlJc w:val="left"/>
      <w:pPr>
        <w:ind w:left="4593" w:hanging="360"/>
      </w:pPr>
    </w:lvl>
    <w:lvl w:ilvl="5" w:tplc="041A001B" w:tentative="1">
      <w:start w:val="1"/>
      <w:numFmt w:val="lowerRoman"/>
      <w:lvlText w:val="%6."/>
      <w:lvlJc w:val="right"/>
      <w:pPr>
        <w:ind w:left="5313" w:hanging="180"/>
      </w:pPr>
    </w:lvl>
    <w:lvl w:ilvl="6" w:tplc="041A000F" w:tentative="1">
      <w:start w:val="1"/>
      <w:numFmt w:val="decimal"/>
      <w:lvlText w:val="%7."/>
      <w:lvlJc w:val="left"/>
      <w:pPr>
        <w:ind w:left="6033" w:hanging="360"/>
      </w:pPr>
    </w:lvl>
    <w:lvl w:ilvl="7" w:tplc="041A0019" w:tentative="1">
      <w:start w:val="1"/>
      <w:numFmt w:val="lowerLetter"/>
      <w:lvlText w:val="%8."/>
      <w:lvlJc w:val="left"/>
      <w:pPr>
        <w:ind w:left="6753" w:hanging="360"/>
      </w:pPr>
    </w:lvl>
    <w:lvl w:ilvl="8" w:tplc="041A001B" w:tentative="1">
      <w:start w:val="1"/>
      <w:numFmt w:val="lowerRoman"/>
      <w:lvlText w:val="%9."/>
      <w:lvlJc w:val="right"/>
      <w:pPr>
        <w:ind w:left="7473" w:hanging="180"/>
      </w:pPr>
    </w:lvl>
  </w:abstractNum>
  <w:abstractNum w:abstractNumId="34" w15:restartNumberingAfterBreak="0">
    <w:nsid w:val="5CB139B0"/>
    <w:multiLevelType w:val="hybridMultilevel"/>
    <w:tmpl w:val="BCE8A440"/>
    <w:lvl w:ilvl="0" w:tplc="DE8C5A5A">
      <w:start w:val="1"/>
      <w:numFmt w:val="lowerLetter"/>
      <w:pStyle w:val="Listac0"/>
      <w:lvlText w:val="%1)"/>
      <w:lvlJc w:val="left"/>
      <w:pPr>
        <w:ind w:left="1361" w:hanging="3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EF57AEB"/>
    <w:multiLevelType w:val="hybridMultilevel"/>
    <w:tmpl w:val="96640B3C"/>
    <w:lvl w:ilvl="0" w:tplc="580881D2">
      <w:start w:val="1"/>
      <w:numFmt w:val="bullet"/>
      <w:pStyle w:val="Bullet3"/>
      <w:lvlText w:val="­"/>
      <w:lvlJc w:val="left"/>
      <w:pPr>
        <w:ind w:left="1361" w:hanging="340"/>
      </w:pPr>
      <w:rPr>
        <w:rFonts w:ascii="Calibri" w:hAnsi="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5727915"/>
    <w:multiLevelType w:val="hybridMultilevel"/>
    <w:tmpl w:val="DC72A5E0"/>
    <w:lvl w:ilvl="0" w:tplc="12025E72">
      <w:start w:val="1"/>
      <w:numFmt w:val="upperLetter"/>
      <w:pStyle w:val="ListaA"/>
      <w:lvlText w:val="%1."/>
      <w:lvlJc w:val="left"/>
      <w:pPr>
        <w:ind w:left="680" w:hanging="34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58F4143"/>
    <w:multiLevelType w:val="hybridMultilevel"/>
    <w:tmpl w:val="688C4698"/>
    <w:lvl w:ilvl="0" w:tplc="BC9A17FE">
      <w:start w:val="1"/>
      <w:numFmt w:val="lowerLetter"/>
      <w:pStyle w:val="Listab0"/>
      <w:lvlText w:val="%1)"/>
      <w:lvlJc w:val="left"/>
      <w:pPr>
        <w:ind w:left="1021" w:hanging="341"/>
      </w:pPr>
      <w:rPr>
        <w:rFonts w:hint="default"/>
      </w:rPr>
    </w:lvl>
    <w:lvl w:ilvl="1" w:tplc="041A0019" w:tentative="1">
      <w:start w:val="1"/>
      <w:numFmt w:val="lowerLetter"/>
      <w:lvlText w:val="%2."/>
      <w:lvlJc w:val="left"/>
      <w:pPr>
        <w:ind w:left="2120" w:hanging="360"/>
      </w:pPr>
    </w:lvl>
    <w:lvl w:ilvl="2" w:tplc="041A001B" w:tentative="1">
      <w:start w:val="1"/>
      <w:numFmt w:val="lowerRoman"/>
      <w:lvlText w:val="%3."/>
      <w:lvlJc w:val="right"/>
      <w:pPr>
        <w:ind w:left="2840" w:hanging="180"/>
      </w:pPr>
    </w:lvl>
    <w:lvl w:ilvl="3" w:tplc="041A000F" w:tentative="1">
      <w:start w:val="1"/>
      <w:numFmt w:val="decimal"/>
      <w:lvlText w:val="%4."/>
      <w:lvlJc w:val="left"/>
      <w:pPr>
        <w:ind w:left="3560" w:hanging="360"/>
      </w:pPr>
    </w:lvl>
    <w:lvl w:ilvl="4" w:tplc="041A0019" w:tentative="1">
      <w:start w:val="1"/>
      <w:numFmt w:val="lowerLetter"/>
      <w:lvlText w:val="%5."/>
      <w:lvlJc w:val="left"/>
      <w:pPr>
        <w:ind w:left="4280" w:hanging="360"/>
      </w:pPr>
    </w:lvl>
    <w:lvl w:ilvl="5" w:tplc="041A001B" w:tentative="1">
      <w:start w:val="1"/>
      <w:numFmt w:val="lowerRoman"/>
      <w:lvlText w:val="%6."/>
      <w:lvlJc w:val="right"/>
      <w:pPr>
        <w:ind w:left="5000" w:hanging="180"/>
      </w:pPr>
    </w:lvl>
    <w:lvl w:ilvl="6" w:tplc="041A000F" w:tentative="1">
      <w:start w:val="1"/>
      <w:numFmt w:val="decimal"/>
      <w:lvlText w:val="%7."/>
      <w:lvlJc w:val="left"/>
      <w:pPr>
        <w:ind w:left="5720" w:hanging="360"/>
      </w:pPr>
    </w:lvl>
    <w:lvl w:ilvl="7" w:tplc="041A0019" w:tentative="1">
      <w:start w:val="1"/>
      <w:numFmt w:val="lowerLetter"/>
      <w:lvlText w:val="%8."/>
      <w:lvlJc w:val="left"/>
      <w:pPr>
        <w:ind w:left="6440" w:hanging="360"/>
      </w:pPr>
    </w:lvl>
    <w:lvl w:ilvl="8" w:tplc="041A001B" w:tentative="1">
      <w:start w:val="1"/>
      <w:numFmt w:val="lowerRoman"/>
      <w:lvlText w:val="%9."/>
      <w:lvlJc w:val="right"/>
      <w:pPr>
        <w:ind w:left="7160" w:hanging="180"/>
      </w:pPr>
    </w:lvl>
  </w:abstractNum>
  <w:abstractNum w:abstractNumId="38" w15:restartNumberingAfterBreak="0">
    <w:nsid w:val="7A100FEB"/>
    <w:multiLevelType w:val="hybridMultilevel"/>
    <w:tmpl w:val="CE148E88"/>
    <w:lvl w:ilvl="0" w:tplc="829ABAC2">
      <w:start w:val="1"/>
      <w:numFmt w:val="lowerLetter"/>
      <w:pStyle w:val="Listaa0"/>
      <w:lvlText w:val="%1)"/>
      <w:lvlJc w:val="left"/>
      <w:pPr>
        <w:ind w:left="680" w:hanging="340"/>
      </w:pPr>
      <w:rPr>
        <w:rFonts w:hint="default"/>
      </w:rPr>
    </w:lvl>
    <w:lvl w:ilvl="1" w:tplc="041A0019" w:tentative="1">
      <w:start w:val="1"/>
      <w:numFmt w:val="lowerLetter"/>
      <w:lvlText w:val="%2."/>
      <w:lvlJc w:val="left"/>
      <w:pPr>
        <w:ind w:left="2120" w:hanging="360"/>
      </w:pPr>
    </w:lvl>
    <w:lvl w:ilvl="2" w:tplc="041A001B" w:tentative="1">
      <w:start w:val="1"/>
      <w:numFmt w:val="lowerRoman"/>
      <w:lvlText w:val="%3."/>
      <w:lvlJc w:val="right"/>
      <w:pPr>
        <w:ind w:left="2840" w:hanging="180"/>
      </w:pPr>
    </w:lvl>
    <w:lvl w:ilvl="3" w:tplc="041A000F" w:tentative="1">
      <w:start w:val="1"/>
      <w:numFmt w:val="decimal"/>
      <w:lvlText w:val="%4."/>
      <w:lvlJc w:val="left"/>
      <w:pPr>
        <w:ind w:left="3560" w:hanging="360"/>
      </w:pPr>
    </w:lvl>
    <w:lvl w:ilvl="4" w:tplc="041A0019" w:tentative="1">
      <w:start w:val="1"/>
      <w:numFmt w:val="lowerLetter"/>
      <w:lvlText w:val="%5."/>
      <w:lvlJc w:val="left"/>
      <w:pPr>
        <w:ind w:left="4280" w:hanging="360"/>
      </w:pPr>
    </w:lvl>
    <w:lvl w:ilvl="5" w:tplc="041A001B" w:tentative="1">
      <w:start w:val="1"/>
      <w:numFmt w:val="lowerRoman"/>
      <w:lvlText w:val="%6."/>
      <w:lvlJc w:val="right"/>
      <w:pPr>
        <w:ind w:left="5000" w:hanging="180"/>
      </w:pPr>
    </w:lvl>
    <w:lvl w:ilvl="6" w:tplc="041A000F" w:tentative="1">
      <w:start w:val="1"/>
      <w:numFmt w:val="decimal"/>
      <w:lvlText w:val="%7."/>
      <w:lvlJc w:val="left"/>
      <w:pPr>
        <w:ind w:left="5720" w:hanging="360"/>
      </w:pPr>
    </w:lvl>
    <w:lvl w:ilvl="7" w:tplc="041A0019" w:tentative="1">
      <w:start w:val="1"/>
      <w:numFmt w:val="lowerLetter"/>
      <w:lvlText w:val="%8."/>
      <w:lvlJc w:val="left"/>
      <w:pPr>
        <w:ind w:left="6440" w:hanging="360"/>
      </w:pPr>
    </w:lvl>
    <w:lvl w:ilvl="8" w:tplc="041A001B" w:tentative="1">
      <w:start w:val="1"/>
      <w:numFmt w:val="lowerRoman"/>
      <w:lvlText w:val="%9."/>
      <w:lvlJc w:val="right"/>
      <w:pPr>
        <w:ind w:left="7160" w:hanging="180"/>
      </w:pPr>
    </w:lvl>
  </w:abstractNum>
  <w:abstractNum w:abstractNumId="39" w15:restartNumberingAfterBreak="0">
    <w:nsid w:val="7B646ED0"/>
    <w:multiLevelType w:val="hybridMultilevel"/>
    <w:tmpl w:val="9076A1DC"/>
    <w:lvl w:ilvl="0" w:tplc="1C46EA76">
      <w:start w:val="1"/>
      <w:numFmt w:val="lowerRoman"/>
      <w:pStyle w:val="Listaiii0"/>
      <w:lvlText w:val="%1."/>
      <w:lvlJc w:val="left"/>
      <w:pPr>
        <w:ind w:left="1361" w:hanging="3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3"/>
  </w:num>
  <w:num w:numId="2">
    <w:abstractNumId w:val="14"/>
  </w:num>
  <w:num w:numId="3">
    <w:abstractNumId w:val="6"/>
  </w:num>
  <w:num w:numId="4">
    <w:abstractNumId w:val="38"/>
  </w:num>
  <w:num w:numId="5">
    <w:abstractNumId w:val="36"/>
  </w:num>
  <w:num w:numId="6">
    <w:abstractNumId w:val="37"/>
  </w:num>
  <w:num w:numId="7">
    <w:abstractNumId w:val="34"/>
  </w:num>
  <w:num w:numId="8">
    <w:abstractNumId w:val="22"/>
  </w:num>
  <w:num w:numId="9">
    <w:abstractNumId w:val="25"/>
  </w:num>
  <w:num w:numId="10">
    <w:abstractNumId w:val="16"/>
  </w:num>
  <w:num w:numId="11">
    <w:abstractNumId w:val="8"/>
  </w:num>
  <w:num w:numId="12">
    <w:abstractNumId w:val="30"/>
  </w:num>
  <w:num w:numId="13">
    <w:abstractNumId w:val="12"/>
  </w:num>
  <w:num w:numId="14">
    <w:abstractNumId w:val="39"/>
  </w:num>
  <w:num w:numId="15">
    <w:abstractNumId w:val="7"/>
  </w:num>
  <w:num w:numId="16">
    <w:abstractNumId w:val="31"/>
  </w:num>
  <w:num w:numId="17">
    <w:abstractNumId w:val="4"/>
  </w:num>
  <w:num w:numId="18">
    <w:abstractNumId w:val="32"/>
  </w:num>
  <w:num w:numId="19">
    <w:abstractNumId w:val="13"/>
  </w:num>
  <w:num w:numId="20">
    <w:abstractNumId w:val="18"/>
  </w:num>
  <w:num w:numId="21">
    <w:abstractNumId w:val="27"/>
  </w:num>
  <w:num w:numId="22">
    <w:abstractNumId w:val="3"/>
  </w:num>
  <w:num w:numId="23">
    <w:abstractNumId w:val="26"/>
  </w:num>
  <w:num w:numId="24">
    <w:abstractNumId w:val="21"/>
  </w:num>
  <w:num w:numId="25">
    <w:abstractNumId w:val="10"/>
  </w:num>
  <w:num w:numId="26">
    <w:abstractNumId w:val="11"/>
  </w:num>
  <w:num w:numId="27">
    <w:abstractNumId w:val="20"/>
  </w:num>
  <w:num w:numId="28">
    <w:abstractNumId w:val="35"/>
  </w:num>
  <w:num w:numId="29">
    <w:abstractNumId w:val="0"/>
  </w:num>
  <w:num w:numId="30">
    <w:abstractNumId w:val="28"/>
  </w:num>
  <w:num w:numId="31">
    <w:abstractNumId w:val="5"/>
  </w:num>
  <w:num w:numId="32">
    <w:abstractNumId w:val="33"/>
    <w:lvlOverride w:ilvl="0">
      <w:lvl w:ilvl="0" w:tplc="1C007B80">
        <w:start w:val="1"/>
        <w:numFmt w:val="upperLetter"/>
        <w:pStyle w:val="ListaB"/>
        <w:lvlText w:val="%1."/>
        <w:lvlJc w:val="left"/>
        <w:pPr>
          <w:ind w:left="1021" w:hanging="341"/>
        </w:pPr>
        <w:rPr>
          <w:rFonts w:hint="default"/>
        </w:rPr>
      </w:lvl>
    </w:lvlOverride>
    <w:lvlOverride w:ilvl="1">
      <w:lvl w:ilvl="1" w:tplc="041A0019" w:tentative="1">
        <w:start w:val="1"/>
        <w:numFmt w:val="lowerLetter"/>
        <w:lvlText w:val="%2."/>
        <w:lvlJc w:val="left"/>
        <w:pPr>
          <w:ind w:left="1440" w:hanging="360"/>
        </w:pPr>
      </w:lvl>
    </w:lvlOverride>
    <w:lvlOverride w:ilvl="2">
      <w:lvl w:ilvl="2" w:tplc="041A001B"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33">
    <w:abstractNumId w:val="1"/>
  </w:num>
  <w:num w:numId="34">
    <w:abstractNumId w:val="9"/>
  </w:num>
  <w:num w:numId="35">
    <w:abstractNumId w:val="17"/>
  </w:num>
  <w:num w:numId="36">
    <w:abstractNumId w:val="2"/>
  </w:num>
  <w:num w:numId="37">
    <w:abstractNumId w:val="19"/>
  </w:num>
  <w:num w:numId="38">
    <w:abstractNumId w:val="15"/>
  </w:num>
  <w:num w:numId="39">
    <w:abstractNumId w:val="24"/>
  </w:num>
  <w:num w:numId="40">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141"/>
    <w:rsid w:val="000016A0"/>
    <w:rsid w:val="00003942"/>
    <w:rsid w:val="00007F59"/>
    <w:rsid w:val="0001740C"/>
    <w:rsid w:val="00024E01"/>
    <w:rsid w:val="00080BFF"/>
    <w:rsid w:val="0008549D"/>
    <w:rsid w:val="0009465B"/>
    <w:rsid w:val="000953CB"/>
    <w:rsid w:val="00095924"/>
    <w:rsid w:val="00097636"/>
    <w:rsid w:val="000B0718"/>
    <w:rsid w:val="000B536C"/>
    <w:rsid w:val="000C1C26"/>
    <w:rsid w:val="000C5501"/>
    <w:rsid w:val="000C5A18"/>
    <w:rsid w:val="000C5B7E"/>
    <w:rsid w:val="001079BA"/>
    <w:rsid w:val="001176CB"/>
    <w:rsid w:val="001311A6"/>
    <w:rsid w:val="00142CA5"/>
    <w:rsid w:val="00142D0E"/>
    <w:rsid w:val="001528AF"/>
    <w:rsid w:val="00160EB9"/>
    <w:rsid w:val="001639AA"/>
    <w:rsid w:val="00174CCE"/>
    <w:rsid w:val="00185F10"/>
    <w:rsid w:val="00192851"/>
    <w:rsid w:val="001B46BF"/>
    <w:rsid w:val="001C3E45"/>
    <w:rsid w:val="001C41EE"/>
    <w:rsid w:val="001D3509"/>
    <w:rsid w:val="00206B81"/>
    <w:rsid w:val="002136CE"/>
    <w:rsid w:val="00222A78"/>
    <w:rsid w:val="00234E5B"/>
    <w:rsid w:val="0024150C"/>
    <w:rsid w:val="002417F7"/>
    <w:rsid w:val="002623DE"/>
    <w:rsid w:val="00273075"/>
    <w:rsid w:val="00280008"/>
    <w:rsid w:val="002953DC"/>
    <w:rsid w:val="00295BF6"/>
    <w:rsid w:val="002A5DB6"/>
    <w:rsid w:val="002B28C4"/>
    <w:rsid w:val="002D05C0"/>
    <w:rsid w:val="002D4B8F"/>
    <w:rsid w:val="002D7C87"/>
    <w:rsid w:val="002E07B9"/>
    <w:rsid w:val="002E0B6C"/>
    <w:rsid w:val="00302C3D"/>
    <w:rsid w:val="003159AF"/>
    <w:rsid w:val="0031681A"/>
    <w:rsid w:val="00331C56"/>
    <w:rsid w:val="003323B1"/>
    <w:rsid w:val="00350AA9"/>
    <w:rsid w:val="00355540"/>
    <w:rsid w:val="00380A26"/>
    <w:rsid w:val="003873D9"/>
    <w:rsid w:val="00387E05"/>
    <w:rsid w:val="003A330C"/>
    <w:rsid w:val="003B479D"/>
    <w:rsid w:val="003B5F31"/>
    <w:rsid w:val="003D6EF3"/>
    <w:rsid w:val="003E2DBC"/>
    <w:rsid w:val="00400164"/>
    <w:rsid w:val="00431232"/>
    <w:rsid w:val="00445A6E"/>
    <w:rsid w:val="00451FEE"/>
    <w:rsid w:val="004668B8"/>
    <w:rsid w:val="0049552E"/>
    <w:rsid w:val="00495749"/>
    <w:rsid w:val="004958C4"/>
    <w:rsid w:val="004B780F"/>
    <w:rsid w:val="004C4F1E"/>
    <w:rsid w:val="004C7631"/>
    <w:rsid w:val="004D076B"/>
    <w:rsid w:val="004E3E77"/>
    <w:rsid w:val="004F16CE"/>
    <w:rsid w:val="005153D3"/>
    <w:rsid w:val="0051693B"/>
    <w:rsid w:val="00522AC5"/>
    <w:rsid w:val="00530661"/>
    <w:rsid w:val="00540BAB"/>
    <w:rsid w:val="00560623"/>
    <w:rsid w:val="00561A32"/>
    <w:rsid w:val="00562076"/>
    <w:rsid w:val="00563CF9"/>
    <w:rsid w:val="00575424"/>
    <w:rsid w:val="00577EC5"/>
    <w:rsid w:val="0058332E"/>
    <w:rsid w:val="00590664"/>
    <w:rsid w:val="00592D10"/>
    <w:rsid w:val="00594F6C"/>
    <w:rsid w:val="00596944"/>
    <w:rsid w:val="005B0AE4"/>
    <w:rsid w:val="005B7182"/>
    <w:rsid w:val="005F04C4"/>
    <w:rsid w:val="006144E1"/>
    <w:rsid w:val="00672975"/>
    <w:rsid w:val="00676CFE"/>
    <w:rsid w:val="00681519"/>
    <w:rsid w:val="006869BF"/>
    <w:rsid w:val="006A6A74"/>
    <w:rsid w:val="006C185F"/>
    <w:rsid w:val="006D7383"/>
    <w:rsid w:val="006F1A09"/>
    <w:rsid w:val="00700DC9"/>
    <w:rsid w:val="00704166"/>
    <w:rsid w:val="00707870"/>
    <w:rsid w:val="00711993"/>
    <w:rsid w:val="007166D3"/>
    <w:rsid w:val="00723C94"/>
    <w:rsid w:val="007370AF"/>
    <w:rsid w:val="00737CB0"/>
    <w:rsid w:val="00767759"/>
    <w:rsid w:val="007923E6"/>
    <w:rsid w:val="0079456B"/>
    <w:rsid w:val="007951C4"/>
    <w:rsid w:val="007B4802"/>
    <w:rsid w:val="007C507C"/>
    <w:rsid w:val="007D7374"/>
    <w:rsid w:val="007E24F3"/>
    <w:rsid w:val="007E69AD"/>
    <w:rsid w:val="007E7AD1"/>
    <w:rsid w:val="007F2688"/>
    <w:rsid w:val="00812604"/>
    <w:rsid w:val="0082323E"/>
    <w:rsid w:val="00830F41"/>
    <w:rsid w:val="008334F5"/>
    <w:rsid w:val="008452FD"/>
    <w:rsid w:val="0085660E"/>
    <w:rsid w:val="0086012D"/>
    <w:rsid w:val="008609F9"/>
    <w:rsid w:val="00867A2F"/>
    <w:rsid w:val="00872208"/>
    <w:rsid w:val="00881A9C"/>
    <w:rsid w:val="00890BCE"/>
    <w:rsid w:val="008A6309"/>
    <w:rsid w:val="008E4E0F"/>
    <w:rsid w:val="00931D1A"/>
    <w:rsid w:val="00950CE6"/>
    <w:rsid w:val="00967986"/>
    <w:rsid w:val="00976C59"/>
    <w:rsid w:val="00981AF9"/>
    <w:rsid w:val="009A2C91"/>
    <w:rsid w:val="009B6674"/>
    <w:rsid w:val="009C3921"/>
    <w:rsid w:val="009D090C"/>
    <w:rsid w:val="009D6007"/>
    <w:rsid w:val="00A11A16"/>
    <w:rsid w:val="00A33E69"/>
    <w:rsid w:val="00A4794D"/>
    <w:rsid w:val="00A556B0"/>
    <w:rsid w:val="00A55929"/>
    <w:rsid w:val="00A568BE"/>
    <w:rsid w:val="00A66448"/>
    <w:rsid w:val="00A67BF4"/>
    <w:rsid w:val="00A871EE"/>
    <w:rsid w:val="00A95688"/>
    <w:rsid w:val="00A96818"/>
    <w:rsid w:val="00AF7359"/>
    <w:rsid w:val="00B246FC"/>
    <w:rsid w:val="00B265E1"/>
    <w:rsid w:val="00B5540A"/>
    <w:rsid w:val="00B72F40"/>
    <w:rsid w:val="00B7544B"/>
    <w:rsid w:val="00B90C59"/>
    <w:rsid w:val="00BA153B"/>
    <w:rsid w:val="00BA2C7F"/>
    <w:rsid w:val="00BB78F5"/>
    <w:rsid w:val="00BC50A1"/>
    <w:rsid w:val="00BC772D"/>
    <w:rsid w:val="00C05B1B"/>
    <w:rsid w:val="00C2337D"/>
    <w:rsid w:val="00C2409C"/>
    <w:rsid w:val="00C32563"/>
    <w:rsid w:val="00C439A8"/>
    <w:rsid w:val="00C45661"/>
    <w:rsid w:val="00C462FF"/>
    <w:rsid w:val="00C74841"/>
    <w:rsid w:val="00C87EC9"/>
    <w:rsid w:val="00C90729"/>
    <w:rsid w:val="00C95EA7"/>
    <w:rsid w:val="00CB389A"/>
    <w:rsid w:val="00CD5611"/>
    <w:rsid w:val="00CD61D1"/>
    <w:rsid w:val="00CF0A77"/>
    <w:rsid w:val="00D15569"/>
    <w:rsid w:val="00D25E17"/>
    <w:rsid w:val="00D27AB0"/>
    <w:rsid w:val="00D37D90"/>
    <w:rsid w:val="00D67147"/>
    <w:rsid w:val="00D70CC4"/>
    <w:rsid w:val="00DA23A1"/>
    <w:rsid w:val="00DB4624"/>
    <w:rsid w:val="00DC3F13"/>
    <w:rsid w:val="00DC5E08"/>
    <w:rsid w:val="00DE1DC3"/>
    <w:rsid w:val="00DE4AF6"/>
    <w:rsid w:val="00DF7141"/>
    <w:rsid w:val="00E06281"/>
    <w:rsid w:val="00E11AD9"/>
    <w:rsid w:val="00E35C53"/>
    <w:rsid w:val="00E44DEB"/>
    <w:rsid w:val="00E50D9B"/>
    <w:rsid w:val="00E539F3"/>
    <w:rsid w:val="00E5506A"/>
    <w:rsid w:val="00E8242F"/>
    <w:rsid w:val="00E86C93"/>
    <w:rsid w:val="00E93869"/>
    <w:rsid w:val="00E94CAF"/>
    <w:rsid w:val="00EA151A"/>
    <w:rsid w:val="00EA5AB2"/>
    <w:rsid w:val="00ED31C3"/>
    <w:rsid w:val="00ED4EE1"/>
    <w:rsid w:val="00EE5840"/>
    <w:rsid w:val="00EF01C0"/>
    <w:rsid w:val="00EF40A6"/>
    <w:rsid w:val="00EF50A0"/>
    <w:rsid w:val="00F006F3"/>
    <w:rsid w:val="00F052EB"/>
    <w:rsid w:val="00F14FF3"/>
    <w:rsid w:val="00F2661D"/>
    <w:rsid w:val="00F30C0A"/>
    <w:rsid w:val="00F43296"/>
    <w:rsid w:val="00F63D65"/>
    <w:rsid w:val="00F73531"/>
    <w:rsid w:val="00F82F4C"/>
    <w:rsid w:val="00F92A2B"/>
    <w:rsid w:val="00FA315F"/>
    <w:rsid w:val="00FA5E8E"/>
    <w:rsid w:val="00FC271C"/>
    <w:rsid w:val="00FE3DA9"/>
    <w:rsid w:val="00FF55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60D2A4"/>
  <w15:chartTrackingRefBased/>
  <w15:docId w15:val="{DE9C6616-F034-416C-BC76-7B455B1C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76B"/>
    <w:pPr>
      <w:spacing w:after="120" w:line="240" w:lineRule="auto"/>
    </w:pPr>
  </w:style>
  <w:style w:type="paragraph" w:styleId="Naslov1">
    <w:name w:val="heading 1"/>
    <w:basedOn w:val="Normal"/>
    <w:next w:val="Tijeloteksta"/>
    <w:link w:val="Naslov1Char"/>
    <w:autoRedefine/>
    <w:uiPriority w:val="9"/>
    <w:qFormat/>
    <w:rsid w:val="00872208"/>
    <w:pPr>
      <w:keepNext/>
      <w:keepLines/>
      <w:pageBreakBefore/>
      <w:spacing w:before="120" w:after="360"/>
      <w:jc w:val="both"/>
      <w:outlineLvl w:val="0"/>
    </w:pPr>
    <w:rPr>
      <w:rFonts w:ascii="Times New Roman" w:eastAsiaTheme="majorEastAsia" w:hAnsi="Times New Roman" w:cs="Tahoma"/>
      <w:b/>
      <w:noProof/>
      <w:sz w:val="24"/>
      <w:szCs w:val="48"/>
    </w:rPr>
  </w:style>
  <w:style w:type="paragraph" w:styleId="Naslov2">
    <w:name w:val="heading 2"/>
    <w:basedOn w:val="Normal"/>
    <w:next w:val="Tijeloteksta"/>
    <w:link w:val="Naslov2Char"/>
    <w:autoRedefine/>
    <w:uiPriority w:val="9"/>
    <w:unhideWhenUsed/>
    <w:qFormat/>
    <w:rsid w:val="00C90729"/>
    <w:pPr>
      <w:keepNext/>
      <w:keepLines/>
      <w:numPr>
        <w:numId w:val="40"/>
      </w:numPr>
      <w:spacing w:before="360"/>
      <w:outlineLvl w:val="1"/>
    </w:pPr>
    <w:rPr>
      <w:rFonts w:ascii="Times New Roman" w:eastAsiaTheme="majorEastAsia" w:hAnsi="Times New Roman" w:cs="Times New Roman"/>
      <w:smallCaps/>
      <w:kern w:val="32"/>
      <w:sz w:val="24"/>
      <w:szCs w:val="24"/>
    </w:rPr>
  </w:style>
  <w:style w:type="paragraph" w:styleId="Naslov3">
    <w:name w:val="heading 3"/>
    <w:basedOn w:val="Normal"/>
    <w:next w:val="Tijeloteksta"/>
    <w:link w:val="Naslov3Char"/>
    <w:autoRedefine/>
    <w:uiPriority w:val="9"/>
    <w:unhideWhenUsed/>
    <w:qFormat/>
    <w:rsid w:val="00095924"/>
    <w:pPr>
      <w:keepNext/>
      <w:keepLines/>
      <w:numPr>
        <w:numId w:val="39"/>
      </w:numPr>
      <w:spacing w:before="300"/>
      <w:jc w:val="both"/>
      <w:outlineLvl w:val="2"/>
    </w:pPr>
    <w:rPr>
      <w:rFonts w:ascii="Times New Roman" w:eastAsiaTheme="majorEastAsia" w:hAnsi="Times New Roman" w:cs="Tahoma"/>
      <w:bCs/>
      <w:i/>
      <w:noProof/>
      <w:sz w:val="24"/>
      <w:szCs w:val="24"/>
    </w:rPr>
  </w:style>
  <w:style w:type="paragraph" w:styleId="Naslov4">
    <w:name w:val="heading 4"/>
    <w:basedOn w:val="Normal"/>
    <w:next w:val="Normal"/>
    <w:link w:val="Naslov4Char"/>
    <w:uiPriority w:val="9"/>
    <w:unhideWhenUsed/>
    <w:qFormat/>
    <w:rsid w:val="00DF7141"/>
    <w:pPr>
      <w:keepNext/>
      <w:keepLines/>
      <w:numPr>
        <w:ilvl w:val="3"/>
        <w:numId w:val="33"/>
      </w:numPr>
      <w:spacing w:before="240"/>
      <w:outlineLvl w:val="3"/>
    </w:pPr>
    <w:rPr>
      <w:rFonts w:ascii="Tahoma" w:eastAsiaTheme="majorEastAsia" w:hAnsi="Tahoma" w:cs="Tahoma"/>
      <w:color w:val="C00000"/>
    </w:rPr>
  </w:style>
  <w:style w:type="paragraph" w:styleId="Naslov5">
    <w:name w:val="heading 5"/>
    <w:basedOn w:val="Normal"/>
    <w:next w:val="Normal"/>
    <w:link w:val="Naslov5Char"/>
    <w:uiPriority w:val="9"/>
    <w:unhideWhenUsed/>
    <w:qFormat/>
    <w:rsid w:val="00DF7141"/>
    <w:pPr>
      <w:keepNext/>
      <w:keepLines/>
      <w:numPr>
        <w:ilvl w:val="4"/>
        <w:numId w:val="33"/>
      </w:numPr>
      <w:spacing w:before="240"/>
      <w:jc w:val="center"/>
      <w:outlineLvl w:val="4"/>
    </w:pPr>
    <w:rPr>
      <w:rFonts w:ascii="Tahoma" w:eastAsiaTheme="majorEastAsia" w:hAnsi="Tahoma" w:cs="Tahoma"/>
      <w:i/>
      <w:iCs/>
      <w:color w:val="C00000"/>
    </w:rPr>
  </w:style>
  <w:style w:type="paragraph" w:styleId="Naslov6">
    <w:name w:val="heading 6"/>
    <w:basedOn w:val="Normal"/>
    <w:next w:val="Normal"/>
    <w:link w:val="Naslov6Char"/>
    <w:uiPriority w:val="9"/>
    <w:semiHidden/>
    <w:unhideWhenUsed/>
    <w:rsid w:val="00DF7141"/>
    <w:pPr>
      <w:keepNext/>
      <w:keepLines/>
      <w:numPr>
        <w:ilvl w:val="5"/>
        <w:numId w:val="33"/>
      </w:numPr>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semiHidden/>
    <w:unhideWhenUsed/>
    <w:qFormat/>
    <w:rsid w:val="00DF7141"/>
    <w:pPr>
      <w:keepNext/>
      <w:keepLines/>
      <w:numPr>
        <w:ilvl w:val="6"/>
        <w:numId w:val="33"/>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semiHidden/>
    <w:unhideWhenUsed/>
    <w:qFormat/>
    <w:rsid w:val="00DF7141"/>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DF7141"/>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72208"/>
    <w:rPr>
      <w:rFonts w:ascii="Times New Roman" w:eastAsiaTheme="majorEastAsia" w:hAnsi="Times New Roman" w:cs="Tahoma"/>
      <w:b/>
      <w:noProof/>
      <w:sz w:val="24"/>
      <w:szCs w:val="48"/>
    </w:rPr>
  </w:style>
  <w:style w:type="character" w:customStyle="1" w:styleId="Naslov2Char">
    <w:name w:val="Naslov 2 Char"/>
    <w:basedOn w:val="Zadanifontodlomka"/>
    <w:link w:val="Naslov2"/>
    <w:uiPriority w:val="9"/>
    <w:rsid w:val="00C90729"/>
    <w:rPr>
      <w:rFonts w:ascii="Times New Roman" w:eastAsiaTheme="majorEastAsia" w:hAnsi="Times New Roman" w:cs="Times New Roman"/>
      <w:smallCaps/>
      <w:kern w:val="32"/>
      <w:sz w:val="24"/>
      <w:szCs w:val="24"/>
    </w:rPr>
  </w:style>
  <w:style w:type="character" w:customStyle="1" w:styleId="Naslov3Char">
    <w:name w:val="Naslov 3 Char"/>
    <w:basedOn w:val="Zadanifontodlomka"/>
    <w:link w:val="Naslov3"/>
    <w:uiPriority w:val="9"/>
    <w:rsid w:val="00095924"/>
    <w:rPr>
      <w:rFonts w:ascii="Times New Roman" w:eastAsiaTheme="majorEastAsia" w:hAnsi="Times New Roman" w:cs="Tahoma"/>
      <w:bCs/>
      <w:i/>
      <w:noProof/>
      <w:sz w:val="24"/>
      <w:szCs w:val="24"/>
    </w:rPr>
  </w:style>
  <w:style w:type="character" w:customStyle="1" w:styleId="Naslov4Char">
    <w:name w:val="Naslov 4 Char"/>
    <w:basedOn w:val="Zadanifontodlomka"/>
    <w:link w:val="Naslov4"/>
    <w:uiPriority w:val="9"/>
    <w:rsid w:val="00DF7141"/>
    <w:rPr>
      <w:rFonts w:ascii="Tahoma" w:eastAsiaTheme="majorEastAsia" w:hAnsi="Tahoma" w:cs="Tahoma"/>
      <w:color w:val="C00000"/>
    </w:rPr>
  </w:style>
  <w:style w:type="character" w:customStyle="1" w:styleId="Naslov5Char">
    <w:name w:val="Naslov 5 Char"/>
    <w:basedOn w:val="Zadanifontodlomka"/>
    <w:link w:val="Naslov5"/>
    <w:uiPriority w:val="9"/>
    <w:rsid w:val="00DF7141"/>
    <w:rPr>
      <w:rFonts w:ascii="Tahoma" w:eastAsiaTheme="majorEastAsia" w:hAnsi="Tahoma" w:cs="Tahoma"/>
      <w:i/>
      <w:iCs/>
      <w:color w:val="C00000"/>
    </w:rPr>
  </w:style>
  <w:style w:type="character" w:customStyle="1" w:styleId="Naslov6Char">
    <w:name w:val="Naslov 6 Char"/>
    <w:basedOn w:val="Zadanifontodlomka"/>
    <w:link w:val="Naslov6"/>
    <w:uiPriority w:val="9"/>
    <w:semiHidden/>
    <w:rsid w:val="00DF7141"/>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semiHidden/>
    <w:rsid w:val="00DF7141"/>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semiHidden/>
    <w:rsid w:val="00DF7141"/>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DF7141"/>
    <w:rPr>
      <w:rFonts w:asciiTheme="majorHAnsi" w:eastAsiaTheme="majorEastAsia" w:hAnsiTheme="majorHAnsi" w:cstheme="majorBidi"/>
      <w:i/>
      <w:iCs/>
      <w:color w:val="272727" w:themeColor="text1" w:themeTint="D8"/>
      <w:sz w:val="21"/>
      <w:szCs w:val="21"/>
    </w:rPr>
  </w:style>
  <w:style w:type="table" w:styleId="Reetkatablice">
    <w:name w:val="Table Grid"/>
    <w:basedOn w:val="Obinatablica"/>
    <w:uiPriority w:val="39"/>
    <w:rsid w:val="00DF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DF7141"/>
    <w:rPr>
      <w:color w:val="0563C1" w:themeColor="hyperlink"/>
      <w:u w:val="single"/>
    </w:rPr>
  </w:style>
  <w:style w:type="character" w:customStyle="1" w:styleId="Nerijeenospominjanje1">
    <w:name w:val="Neriješeno spominjanje1"/>
    <w:basedOn w:val="Zadanifontodlomka"/>
    <w:uiPriority w:val="99"/>
    <w:unhideWhenUsed/>
    <w:rsid w:val="00DF7141"/>
    <w:rPr>
      <w:color w:val="605E5C"/>
      <w:shd w:val="clear" w:color="auto" w:fill="E1DFDD"/>
    </w:rPr>
  </w:style>
  <w:style w:type="paragraph" w:styleId="Tijeloteksta">
    <w:name w:val="Body Text"/>
    <w:link w:val="TijelotekstaChar"/>
    <w:uiPriority w:val="99"/>
    <w:unhideWhenUsed/>
    <w:qFormat/>
    <w:rsid w:val="00DF7141"/>
    <w:pPr>
      <w:spacing w:before="120" w:after="120" w:line="240" w:lineRule="auto"/>
      <w:jc w:val="both"/>
    </w:pPr>
    <w:rPr>
      <w:rFonts w:cstheme="minorHAnsi"/>
      <w:color w:val="000000"/>
    </w:rPr>
  </w:style>
  <w:style w:type="character" w:customStyle="1" w:styleId="TijelotekstaChar">
    <w:name w:val="Tijelo teksta Char"/>
    <w:basedOn w:val="Zadanifontodlomka"/>
    <w:link w:val="Tijeloteksta"/>
    <w:uiPriority w:val="99"/>
    <w:rsid w:val="00DF7141"/>
    <w:rPr>
      <w:rFonts w:cstheme="minorHAnsi"/>
      <w:color w:val="000000"/>
    </w:rPr>
  </w:style>
  <w:style w:type="paragraph" w:customStyle="1" w:styleId="Bullet1">
    <w:name w:val="Bullet 1"/>
    <w:basedOn w:val="Tijeloteksta"/>
    <w:rsid w:val="00DF7141"/>
    <w:pPr>
      <w:numPr>
        <w:numId w:val="30"/>
      </w:numPr>
      <w:spacing w:before="60" w:after="60"/>
    </w:pPr>
  </w:style>
  <w:style w:type="paragraph" w:customStyle="1" w:styleId="Bullet2">
    <w:name w:val="Bullet 2"/>
    <w:basedOn w:val="Tijeloteksta"/>
    <w:rsid w:val="00DF7141"/>
    <w:pPr>
      <w:numPr>
        <w:numId w:val="29"/>
      </w:numPr>
      <w:spacing w:before="60" w:after="60"/>
    </w:pPr>
  </w:style>
  <w:style w:type="paragraph" w:customStyle="1" w:styleId="Bullet3">
    <w:name w:val="Bullet 3"/>
    <w:basedOn w:val="Tijeloteksta"/>
    <w:rsid w:val="00DF7141"/>
    <w:pPr>
      <w:numPr>
        <w:numId w:val="28"/>
      </w:numPr>
      <w:spacing w:before="60" w:after="60"/>
    </w:pPr>
  </w:style>
  <w:style w:type="paragraph" w:styleId="Opisslike">
    <w:name w:val="caption"/>
    <w:aliases w:val="Naslov slike,Figures,Map,Map Char Char Char,Map Char Char,Tabellen,Char"/>
    <w:basedOn w:val="Tijeloteksta"/>
    <w:next w:val="Tijeloteksta"/>
    <w:link w:val="OpisslikeChar"/>
    <w:uiPriority w:val="35"/>
    <w:unhideWhenUsed/>
    <w:qFormat/>
    <w:rsid w:val="00DF7141"/>
    <w:pPr>
      <w:keepLines/>
      <w:spacing w:before="80" w:after="200"/>
      <w:jc w:val="center"/>
    </w:pPr>
    <w:rPr>
      <w:i/>
      <w:iCs/>
      <w:color w:val="595959" w:themeColor="text1" w:themeTint="A6"/>
      <w:sz w:val="18"/>
      <w:szCs w:val="18"/>
    </w:rPr>
  </w:style>
  <w:style w:type="character" w:customStyle="1" w:styleId="OpisslikeChar">
    <w:name w:val="Opis slike Char"/>
    <w:aliases w:val="Naslov slike Char,Figures Char,Map Char,Map Char Char Char Char,Map Char Char Char1,Tabellen Char,Char Char"/>
    <w:basedOn w:val="TijelotekstaChar"/>
    <w:link w:val="Opisslike"/>
    <w:uiPriority w:val="35"/>
    <w:rsid w:val="00DF7141"/>
    <w:rPr>
      <w:rFonts w:cstheme="minorHAnsi"/>
      <w:i/>
      <w:iCs/>
      <w:color w:val="595959" w:themeColor="text1" w:themeTint="A6"/>
      <w:sz w:val="18"/>
      <w:szCs w:val="18"/>
    </w:rPr>
  </w:style>
  <w:style w:type="paragraph" w:customStyle="1" w:styleId="Head1">
    <w:name w:val="Head 1"/>
    <w:basedOn w:val="Normal"/>
    <w:next w:val="Tijeloteksta"/>
    <w:link w:val="Head1Char"/>
    <w:autoRedefine/>
    <w:rsid w:val="00331C56"/>
    <w:pPr>
      <w:keepNext/>
      <w:keepLines/>
      <w:pageBreakBefore/>
      <w:numPr>
        <w:numId w:val="38"/>
      </w:numPr>
      <w:pBdr>
        <w:top w:val="single" w:sz="36" w:space="3" w:color="F5C6C6"/>
      </w:pBdr>
      <w:spacing w:before="120" w:after="360"/>
      <w:jc w:val="both"/>
    </w:pPr>
    <w:rPr>
      <w:rFonts w:ascii="Times New Roman" w:hAnsi="Times New Roman" w:cs="Tahoma"/>
      <w:b/>
      <w:noProof/>
      <w:sz w:val="24"/>
      <w:szCs w:val="48"/>
    </w:rPr>
  </w:style>
  <w:style w:type="character" w:customStyle="1" w:styleId="Head1Char">
    <w:name w:val="Head 1 Char"/>
    <w:basedOn w:val="Zadanifontodlomka"/>
    <w:link w:val="Head1"/>
    <w:rsid w:val="00331C56"/>
    <w:rPr>
      <w:rFonts w:ascii="Times New Roman" w:hAnsi="Times New Roman" w:cs="Tahoma"/>
      <w:b/>
      <w:noProof/>
      <w:sz w:val="24"/>
      <w:szCs w:val="48"/>
    </w:rPr>
  </w:style>
  <w:style w:type="paragraph" w:styleId="Zaglavlje">
    <w:name w:val="header"/>
    <w:basedOn w:val="Tijeloteksta"/>
    <w:link w:val="ZaglavljeChar"/>
    <w:uiPriority w:val="99"/>
    <w:unhideWhenUsed/>
    <w:rsid w:val="00DF7141"/>
    <w:pPr>
      <w:tabs>
        <w:tab w:val="left" w:pos="1200"/>
      </w:tabs>
      <w:jc w:val="left"/>
    </w:pPr>
    <w:rPr>
      <w:noProof/>
      <w:color w:val="AEAAAA" w:themeColor="background2" w:themeShade="BF"/>
      <w:sz w:val="18"/>
      <w:szCs w:val="18"/>
    </w:rPr>
  </w:style>
  <w:style w:type="character" w:customStyle="1" w:styleId="ZaglavljeChar">
    <w:name w:val="Zaglavlje Char"/>
    <w:basedOn w:val="Zadanifontodlomka"/>
    <w:link w:val="Zaglavlje"/>
    <w:uiPriority w:val="99"/>
    <w:rsid w:val="00DF7141"/>
    <w:rPr>
      <w:rFonts w:cstheme="minorHAnsi"/>
      <w:noProof/>
      <w:color w:val="AEAAAA" w:themeColor="background2" w:themeShade="BF"/>
      <w:sz w:val="18"/>
      <w:szCs w:val="18"/>
    </w:rPr>
  </w:style>
  <w:style w:type="paragraph" w:customStyle="1" w:styleId="Lista1">
    <w:name w:val="Lista 1."/>
    <w:basedOn w:val="Tijeloteksta"/>
    <w:link w:val="Lista1Char"/>
    <w:rsid w:val="00DF7141"/>
    <w:pPr>
      <w:numPr>
        <w:numId w:val="1"/>
      </w:numPr>
      <w:spacing w:before="60" w:after="60"/>
    </w:pPr>
  </w:style>
  <w:style w:type="paragraph" w:customStyle="1" w:styleId="Lista2">
    <w:name w:val="Lista 2."/>
    <w:basedOn w:val="Tijeloteksta"/>
    <w:link w:val="Lista2Char"/>
    <w:rsid w:val="00DF7141"/>
    <w:pPr>
      <w:numPr>
        <w:numId w:val="2"/>
      </w:numPr>
      <w:spacing w:before="60" w:after="60"/>
    </w:pPr>
  </w:style>
  <w:style w:type="paragraph" w:customStyle="1" w:styleId="Lista3">
    <w:name w:val="Lista 3."/>
    <w:basedOn w:val="Tijeloteksta"/>
    <w:link w:val="Lista3Char"/>
    <w:rsid w:val="00DF7141"/>
    <w:pPr>
      <w:numPr>
        <w:numId w:val="3"/>
      </w:numPr>
      <w:spacing w:before="60" w:after="60"/>
    </w:pPr>
  </w:style>
  <w:style w:type="paragraph" w:customStyle="1" w:styleId="Listaa0">
    <w:name w:val="Lista a)"/>
    <w:basedOn w:val="Tijeloteksta"/>
    <w:link w:val="ListaaChar"/>
    <w:rsid w:val="00DF7141"/>
    <w:pPr>
      <w:numPr>
        <w:numId w:val="4"/>
      </w:numPr>
      <w:spacing w:before="60" w:after="60"/>
    </w:pPr>
  </w:style>
  <w:style w:type="paragraph" w:customStyle="1" w:styleId="ListaA">
    <w:name w:val="Lista A."/>
    <w:basedOn w:val="Tijeloteksta"/>
    <w:link w:val="ListaAChar0"/>
    <w:rsid w:val="00DF7141"/>
    <w:pPr>
      <w:numPr>
        <w:numId w:val="5"/>
      </w:numPr>
      <w:spacing w:before="60" w:after="60"/>
    </w:pPr>
  </w:style>
  <w:style w:type="paragraph" w:customStyle="1" w:styleId="Listab0">
    <w:name w:val="Lista b)"/>
    <w:basedOn w:val="Tijeloteksta"/>
    <w:link w:val="ListabChar"/>
    <w:rsid w:val="00DF7141"/>
    <w:pPr>
      <w:numPr>
        <w:numId w:val="6"/>
      </w:numPr>
      <w:spacing w:before="60" w:after="60"/>
    </w:pPr>
  </w:style>
  <w:style w:type="paragraph" w:customStyle="1" w:styleId="ListaB">
    <w:name w:val="Lista B."/>
    <w:basedOn w:val="Tijeloteksta"/>
    <w:link w:val="ListaBChar0"/>
    <w:rsid w:val="00DF7141"/>
    <w:pPr>
      <w:numPr>
        <w:numId w:val="32"/>
      </w:numPr>
      <w:tabs>
        <w:tab w:val="num" w:pos="360"/>
      </w:tabs>
      <w:spacing w:before="60" w:after="60"/>
      <w:ind w:left="0" w:firstLine="0"/>
    </w:pPr>
  </w:style>
  <w:style w:type="paragraph" w:customStyle="1" w:styleId="Listac0">
    <w:name w:val="Lista c)"/>
    <w:basedOn w:val="Tijeloteksta"/>
    <w:link w:val="ListacChar"/>
    <w:rsid w:val="00DF7141"/>
    <w:pPr>
      <w:numPr>
        <w:numId w:val="7"/>
      </w:numPr>
      <w:spacing w:before="60" w:after="60"/>
    </w:pPr>
  </w:style>
  <w:style w:type="paragraph" w:customStyle="1" w:styleId="ListaC">
    <w:name w:val="Lista C."/>
    <w:basedOn w:val="Tijeloteksta"/>
    <w:link w:val="ListaCChar0"/>
    <w:rsid w:val="00DF7141"/>
    <w:pPr>
      <w:numPr>
        <w:numId w:val="8"/>
      </w:numPr>
      <w:spacing w:before="60" w:after="60"/>
    </w:pPr>
  </w:style>
  <w:style w:type="paragraph" w:customStyle="1" w:styleId="Listai0">
    <w:name w:val="Lista i"/>
    <w:basedOn w:val="Tijeloteksta"/>
    <w:link w:val="ListaiChar"/>
    <w:rsid w:val="00DF7141"/>
    <w:pPr>
      <w:numPr>
        <w:numId w:val="9"/>
      </w:numPr>
      <w:spacing w:before="60" w:after="60"/>
    </w:pPr>
  </w:style>
  <w:style w:type="paragraph" w:customStyle="1" w:styleId="ListaI">
    <w:name w:val="Lista I."/>
    <w:basedOn w:val="Tijeloteksta"/>
    <w:link w:val="ListaIChar0"/>
    <w:rsid w:val="00DF7141"/>
    <w:pPr>
      <w:numPr>
        <w:numId w:val="10"/>
      </w:numPr>
      <w:spacing w:before="60" w:after="60"/>
    </w:pPr>
  </w:style>
  <w:style w:type="paragraph" w:customStyle="1" w:styleId="ListaII0">
    <w:name w:val="Lista II."/>
    <w:basedOn w:val="Tijeloteksta"/>
    <w:link w:val="ListaIIChar"/>
    <w:rsid w:val="00DF7141"/>
    <w:pPr>
      <w:numPr>
        <w:numId w:val="13"/>
      </w:numPr>
      <w:spacing w:before="60" w:after="60"/>
    </w:pPr>
  </w:style>
  <w:style w:type="paragraph" w:customStyle="1" w:styleId="Listaii">
    <w:name w:val="Lista ii."/>
    <w:basedOn w:val="Tijeloteksta"/>
    <w:link w:val="ListaiiChar0"/>
    <w:rsid w:val="00DF7141"/>
    <w:pPr>
      <w:numPr>
        <w:numId w:val="11"/>
      </w:numPr>
      <w:spacing w:before="60" w:after="60"/>
    </w:pPr>
  </w:style>
  <w:style w:type="paragraph" w:customStyle="1" w:styleId="Listaiii0">
    <w:name w:val="Lista iii."/>
    <w:basedOn w:val="Tijeloteksta"/>
    <w:link w:val="ListaiiiChar"/>
    <w:rsid w:val="00DF7141"/>
    <w:pPr>
      <w:numPr>
        <w:numId w:val="14"/>
      </w:numPr>
      <w:spacing w:before="60" w:after="60"/>
    </w:pPr>
  </w:style>
  <w:style w:type="paragraph" w:customStyle="1" w:styleId="ListaIII">
    <w:name w:val="Lista III."/>
    <w:basedOn w:val="Tijeloteksta"/>
    <w:link w:val="ListaIIIChar0"/>
    <w:rsid w:val="00DF7141"/>
    <w:pPr>
      <w:numPr>
        <w:numId w:val="12"/>
      </w:numPr>
      <w:spacing w:before="60" w:after="60"/>
    </w:pPr>
  </w:style>
  <w:style w:type="paragraph" w:customStyle="1" w:styleId="Naslov10">
    <w:name w:val="Naslov1"/>
    <w:link w:val="NaslovChar"/>
    <w:rsid w:val="00DF7141"/>
    <w:pPr>
      <w:spacing w:after="0" w:line="240" w:lineRule="auto"/>
      <w:ind w:left="1134"/>
      <w:jc w:val="right"/>
    </w:pPr>
    <w:rPr>
      <w:rFonts w:cstheme="minorHAnsi"/>
      <w:b/>
      <w:bCs/>
      <w:i/>
      <w:iCs/>
      <w:noProof/>
      <w:color w:val="C00000"/>
      <w:sz w:val="36"/>
      <w:szCs w:val="36"/>
    </w:rPr>
  </w:style>
  <w:style w:type="character" w:customStyle="1" w:styleId="NaslovChar">
    <w:name w:val="Naslov Char"/>
    <w:basedOn w:val="TijelotekstaChar"/>
    <w:link w:val="Naslov10"/>
    <w:rsid w:val="00DF7141"/>
    <w:rPr>
      <w:rFonts w:cstheme="minorHAnsi"/>
      <w:b/>
      <w:bCs/>
      <w:i/>
      <w:iCs/>
      <w:noProof/>
      <w:color w:val="C00000"/>
      <w:sz w:val="36"/>
      <w:szCs w:val="36"/>
    </w:rPr>
  </w:style>
  <w:style w:type="paragraph" w:customStyle="1" w:styleId="Naslovtablice">
    <w:name w:val="Naslov tablice"/>
    <w:basedOn w:val="Tijeloteksta"/>
    <w:next w:val="Tijeloteksta"/>
    <w:link w:val="NaslovtabliceChar"/>
    <w:qFormat/>
    <w:rsid w:val="00DF7141"/>
    <w:pPr>
      <w:keepNext/>
      <w:keepLines/>
      <w:spacing w:before="200" w:after="80"/>
      <w:jc w:val="center"/>
    </w:pPr>
    <w:rPr>
      <w:i/>
      <w:iCs/>
      <w:color w:val="595959" w:themeColor="text1" w:themeTint="A6"/>
      <w:sz w:val="18"/>
      <w:szCs w:val="18"/>
    </w:rPr>
  </w:style>
  <w:style w:type="character" w:customStyle="1" w:styleId="NaslovtabliceChar">
    <w:name w:val="Naslov tablice Char"/>
    <w:basedOn w:val="TijelotekstaChar"/>
    <w:link w:val="Naslovtablice"/>
    <w:rsid w:val="00DF7141"/>
    <w:rPr>
      <w:rFonts w:cstheme="minorHAnsi"/>
      <w:i/>
      <w:iCs/>
      <w:color w:val="595959" w:themeColor="text1" w:themeTint="A6"/>
      <w:sz w:val="18"/>
      <w:szCs w:val="18"/>
    </w:rPr>
  </w:style>
  <w:style w:type="paragraph" w:customStyle="1" w:styleId="Povjerljivo">
    <w:name w:val="Povjerljivo"/>
    <w:rsid w:val="00DF7141"/>
    <w:pPr>
      <w:spacing w:after="0"/>
      <w:jc w:val="center"/>
    </w:pPr>
    <w:rPr>
      <w:color w:val="C00000"/>
      <w:sz w:val="52"/>
      <w:szCs w:val="52"/>
      <w14:textOutline w14:w="9525" w14:cap="rnd" w14:cmpd="sng" w14:algn="ctr">
        <w14:solidFill>
          <w14:srgbClr w14:val="C00000"/>
        </w14:solidFill>
        <w14:prstDash w14:val="solid"/>
        <w14:bevel/>
      </w14:textOutline>
    </w:rPr>
  </w:style>
  <w:style w:type="paragraph" w:customStyle="1" w:styleId="Sivitext">
    <w:name w:val="Sivi_text"/>
    <w:qFormat/>
    <w:rsid w:val="00DF7141"/>
    <w:pPr>
      <w:spacing w:before="60" w:after="60" w:line="240" w:lineRule="auto"/>
    </w:pPr>
    <w:rPr>
      <w:color w:val="808080" w:themeColor="background1" w:themeShade="80"/>
    </w:rPr>
  </w:style>
  <w:style w:type="paragraph" w:customStyle="1" w:styleId="Slika">
    <w:name w:val="Slika"/>
    <w:basedOn w:val="Tijeloteksta"/>
    <w:next w:val="Tijeloteksta"/>
    <w:qFormat/>
    <w:rsid w:val="00DF7141"/>
    <w:pPr>
      <w:keepNext/>
      <w:spacing w:after="80"/>
      <w:jc w:val="center"/>
    </w:pPr>
  </w:style>
  <w:style w:type="paragraph" w:styleId="Tablicaslika">
    <w:name w:val="table of figures"/>
    <w:basedOn w:val="Tijeloteksta"/>
    <w:next w:val="Tijeloteksta"/>
    <w:uiPriority w:val="99"/>
    <w:unhideWhenUsed/>
    <w:rsid w:val="00DF7141"/>
  </w:style>
  <w:style w:type="paragraph" w:styleId="Sadraj1">
    <w:name w:val="toc 1"/>
    <w:basedOn w:val="Normal"/>
    <w:next w:val="Tijeloteksta"/>
    <w:link w:val="Sadraj1Char"/>
    <w:autoRedefine/>
    <w:uiPriority w:val="39"/>
    <w:unhideWhenUsed/>
    <w:rsid w:val="00FC271C"/>
    <w:pPr>
      <w:tabs>
        <w:tab w:val="right" w:leader="underscore" w:pos="9060"/>
      </w:tabs>
      <w:spacing w:before="300"/>
      <w:ind w:right="567"/>
      <w:jc w:val="both"/>
    </w:pPr>
    <w:rPr>
      <w:rFonts w:ascii="Times New Roman" w:hAnsi="Times New Roman" w:cs="Tahoma"/>
      <w:b/>
      <w:caps/>
      <w:noProof/>
      <w:sz w:val="24"/>
    </w:rPr>
  </w:style>
  <w:style w:type="character" w:customStyle="1" w:styleId="Sadraj1Char">
    <w:name w:val="Sadržaj 1 Char"/>
    <w:basedOn w:val="Zadanifontodlomka"/>
    <w:link w:val="Sadraj1"/>
    <w:uiPriority w:val="39"/>
    <w:rsid w:val="00FC271C"/>
    <w:rPr>
      <w:rFonts w:ascii="Times New Roman" w:hAnsi="Times New Roman" w:cs="Tahoma"/>
      <w:b/>
      <w:caps/>
      <w:noProof/>
      <w:sz w:val="24"/>
    </w:rPr>
  </w:style>
  <w:style w:type="paragraph" w:styleId="Sadraj2">
    <w:name w:val="toc 2"/>
    <w:basedOn w:val="Normal"/>
    <w:next w:val="Normal"/>
    <w:autoRedefine/>
    <w:uiPriority w:val="39"/>
    <w:unhideWhenUsed/>
    <w:rsid w:val="00530661"/>
    <w:pPr>
      <w:tabs>
        <w:tab w:val="left" w:pos="567"/>
        <w:tab w:val="right" w:leader="dot" w:pos="9060"/>
      </w:tabs>
      <w:spacing w:before="180"/>
      <w:ind w:right="567"/>
      <w:jc w:val="both"/>
    </w:pPr>
    <w:rPr>
      <w:rFonts w:ascii="Times New Roman" w:hAnsi="Times New Roman" w:cs="Times New Roman"/>
      <w:b/>
      <w:i/>
      <w:iCs/>
      <w:smallCaps/>
      <w:noProof/>
      <w:sz w:val="24"/>
    </w:rPr>
  </w:style>
  <w:style w:type="paragraph" w:styleId="Sadraj3">
    <w:name w:val="toc 3"/>
    <w:basedOn w:val="Normal"/>
    <w:next w:val="Tijeloteksta"/>
    <w:autoRedefine/>
    <w:uiPriority w:val="39"/>
    <w:unhideWhenUsed/>
    <w:rsid w:val="00380A26"/>
    <w:pPr>
      <w:tabs>
        <w:tab w:val="left" w:pos="1134"/>
        <w:tab w:val="right" w:leader="underscore" w:pos="9060"/>
      </w:tabs>
      <w:spacing w:before="120"/>
      <w:ind w:left="426" w:right="567"/>
      <w:jc w:val="both"/>
    </w:pPr>
    <w:rPr>
      <w:rFonts w:ascii="Times New Roman" w:hAnsi="Times New Roman" w:cs="Times New Roman"/>
      <w:i/>
      <w:noProof/>
      <w:color w:val="000000"/>
      <w:sz w:val="24"/>
      <w:szCs w:val="24"/>
    </w:rPr>
  </w:style>
  <w:style w:type="paragraph" w:styleId="Popis">
    <w:name w:val="List"/>
    <w:basedOn w:val="Normal"/>
    <w:uiPriority w:val="99"/>
    <w:semiHidden/>
    <w:unhideWhenUsed/>
    <w:rsid w:val="00DF7141"/>
    <w:pPr>
      <w:spacing w:before="60" w:after="60"/>
      <w:ind w:left="340" w:hanging="340"/>
    </w:pPr>
  </w:style>
  <w:style w:type="character" w:styleId="Tekstrezerviranogmjesta">
    <w:name w:val="Placeholder Text"/>
    <w:basedOn w:val="Zadanifontodlomka"/>
    <w:uiPriority w:val="99"/>
    <w:semiHidden/>
    <w:rsid w:val="00DF7141"/>
    <w:rPr>
      <w:color w:val="808080"/>
    </w:rPr>
  </w:style>
  <w:style w:type="paragraph" w:styleId="Podnoje">
    <w:name w:val="footer"/>
    <w:basedOn w:val="Tijeloteksta"/>
    <w:link w:val="PodnojeChar"/>
    <w:uiPriority w:val="99"/>
    <w:unhideWhenUsed/>
    <w:rsid w:val="00DF7141"/>
    <w:pPr>
      <w:tabs>
        <w:tab w:val="center" w:pos="4536"/>
        <w:tab w:val="right" w:pos="9072"/>
      </w:tabs>
      <w:jc w:val="right"/>
    </w:pPr>
    <w:rPr>
      <w:color w:val="AEAAAA" w:themeColor="background2" w:themeShade="BF"/>
      <w:sz w:val="18"/>
      <w:szCs w:val="18"/>
    </w:rPr>
  </w:style>
  <w:style w:type="character" w:customStyle="1" w:styleId="PodnojeChar">
    <w:name w:val="Podnožje Char"/>
    <w:basedOn w:val="Zadanifontodlomka"/>
    <w:link w:val="Podnoje"/>
    <w:uiPriority w:val="99"/>
    <w:rsid w:val="00DF7141"/>
    <w:rPr>
      <w:rFonts w:cstheme="minorHAnsi"/>
      <w:color w:val="AEAAAA" w:themeColor="background2" w:themeShade="BF"/>
      <w:sz w:val="18"/>
      <w:szCs w:val="18"/>
    </w:rPr>
  </w:style>
  <w:style w:type="paragraph" w:styleId="Tekstfusnote">
    <w:name w:val="footnote text"/>
    <w:basedOn w:val="Tijeloteksta"/>
    <w:link w:val="TekstfusnoteChar"/>
    <w:uiPriority w:val="99"/>
    <w:unhideWhenUsed/>
    <w:rsid w:val="00DF7141"/>
    <w:pPr>
      <w:spacing w:before="60" w:after="60"/>
    </w:pPr>
    <w:rPr>
      <w:sz w:val="20"/>
      <w:szCs w:val="20"/>
    </w:rPr>
  </w:style>
  <w:style w:type="character" w:customStyle="1" w:styleId="TekstfusnoteChar">
    <w:name w:val="Tekst fusnote Char"/>
    <w:basedOn w:val="Zadanifontodlomka"/>
    <w:link w:val="Tekstfusnote"/>
    <w:uiPriority w:val="99"/>
    <w:rsid w:val="00DF7141"/>
    <w:rPr>
      <w:rFonts w:cstheme="minorHAnsi"/>
      <w:color w:val="000000"/>
      <w:sz w:val="20"/>
      <w:szCs w:val="20"/>
    </w:rPr>
  </w:style>
  <w:style w:type="character" w:styleId="Referencafusnote">
    <w:name w:val="footnote reference"/>
    <w:basedOn w:val="Zadanifontodlomka"/>
    <w:uiPriority w:val="99"/>
    <w:semiHidden/>
    <w:unhideWhenUsed/>
    <w:rsid w:val="00DF7141"/>
    <w:rPr>
      <w:rFonts w:asciiTheme="minorHAnsi" w:hAnsiTheme="minorHAnsi"/>
      <w:sz w:val="20"/>
      <w:vertAlign w:val="superscript"/>
      <w:lang w:val="hr-HR"/>
    </w:rPr>
  </w:style>
  <w:style w:type="paragraph" w:styleId="Tekstkrajnjebiljeke">
    <w:name w:val="endnote text"/>
    <w:basedOn w:val="Tijeloteksta"/>
    <w:link w:val="TekstkrajnjebiljekeChar"/>
    <w:uiPriority w:val="99"/>
    <w:semiHidden/>
    <w:unhideWhenUsed/>
    <w:rsid w:val="00DF7141"/>
    <w:pPr>
      <w:spacing w:before="60" w:after="60"/>
    </w:pPr>
    <w:rPr>
      <w:sz w:val="20"/>
      <w:szCs w:val="20"/>
    </w:rPr>
  </w:style>
  <w:style w:type="character" w:customStyle="1" w:styleId="TekstkrajnjebiljekeChar">
    <w:name w:val="Tekst krajnje bilješke Char"/>
    <w:basedOn w:val="Zadanifontodlomka"/>
    <w:link w:val="Tekstkrajnjebiljeke"/>
    <w:uiPriority w:val="99"/>
    <w:semiHidden/>
    <w:rsid w:val="00DF7141"/>
    <w:rPr>
      <w:rFonts w:cstheme="minorHAnsi"/>
      <w:color w:val="000000"/>
      <w:sz w:val="20"/>
      <w:szCs w:val="20"/>
    </w:rPr>
  </w:style>
  <w:style w:type="character" w:styleId="Referencakrajnjebiljeke">
    <w:name w:val="endnote reference"/>
    <w:basedOn w:val="Naslovknjige"/>
    <w:uiPriority w:val="99"/>
    <w:semiHidden/>
    <w:unhideWhenUsed/>
    <w:rsid w:val="00DF7141"/>
    <w:rPr>
      <w:rFonts w:asciiTheme="minorHAnsi" w:hAnsiTheme="minorHAnsi"/>
      <w:b/>
      <w:bCs/>
      <w:i w:val="0"/>
      <w:iCs/>
      <w:strike w:val="0"/>
      <w:dstrike w:val="0"/>
      <w:spacing w:val="0"/>
      <w:sz w:val="20"/>
      <w:vertAlign w:val="superscript"/>
      <w:lang w:val="hr-HR"/>
    </w:rPr>
  </w:style>
  <w:style w:type="character" w:styleId="Naslovknjige">
    <w:name w:val="Book Title"/>
    <w:basedOn w:val="Zadanifontodlomka"/>
    <w:uiPriority w:val="33"/>
    <w:rsid w:val="00DF7141"/>
    <w:rPr>
      <w:b/>
      <w:bCs/>
      <w:i/>
      <w:iCs/>
      <w:spacing w:val="5"/>
    </w:rPr>
  </w:style>
  <w:style w:type="table" w:customStyle="1" w:styleId="Eihp">
    <w:name w:val="Eihp"/>
    <w:basedOn w:val="Obinatablica"/>
    <w:rsid w:val="00DF7141"/>
    <w:pPr>
      <w:spacing w:before="40" w:after="40" w:line="240" w:lineRule="auto"/>
      <w:jc w:val="center"/>
    </w:pPr>
    <w:rPr>
      <w:rFonts w:cstheme="minorHAnsi"/>
      <w:sz w:val="18"/>
    </w:rPr>
    <w:tblPr>
      <w:tblStyleRowBandSize w:val="1"/>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jc w:val="center"/>
    </w:trPr>
    <w:tcPr>
      <w:shd w:val="clear" w:color="auto" w:fill="auto"/>
      <w:tcMar>
        <w:top w:w="0" w:type="dxa"/>
        <w:left w:w="57" w:type="dxa"/>
        <w:bottom w:w="0" w:type="dxa"/>
        <w:right w:w="57" w:type="dxa"/>
      </w:tcMar>
    </w:tcPr>
    <w:tblStylePr w:type="firstRow">
      <w:pPr>
        <w:wordWrap/>
        <w:spacing w:beforeLines="0" w:before="60" w:beforeAutospacing="0" w:afterLines="0" w:after="60" w:afterAutospacing="0" w:line="240" w:lineRule="auto"/>
      </w:pPr>
      <w:rPr>
        <w:b/>
      </w:rPr>
      <w:tblPr/>
      <w:tcPr>
        <w:tcBorders>
          <w:bottom w:val="nil"/>
          <w:right w:val="single" w:sz="4" w:space="0" w:color="808080"/>
          <w:insideH w:val="nil"/>
        </w:tcBorders>
        <w:shd w:val="clear" w:color="auto" w:fill="FFA7A7"/>
      </w:tcPr>
    </w:tblStylePr>
    <w:tblStylePr w:type="lastRow">
      <w:rPr>
        <w:b/>
      </w:rPr>
      <w:tblPr/>
      <w:tcPr>
        <w:tcBorders>
          <w:top w:val="double" w:sz="6" w:space="0" w:color="808080"/>
          <w:left w:val="single" w:sz="4" w:space="0" w:color="808080"/>
          <w:bottom w:val="single" w:sz="4" w:space="0" w:color="808080"/>
          <w:right w:val="single" w:sz="4" w:space="0" w:color="808080"/>
          <w:insideH w:val="nil"/>
          <w:insideV w:val="single" w:sz="4" w:space="0" w:color="808080"/>
        </w:tcBorders>
        <w:shd w:val="clear" w:color="auto" w:fill="AEAAAA"/>
      </w:tcPr>
    </w:tblStylePr>
    <w:tblStylePr w:type="firstCol">
      <w:pPr>
        <w:jc w:val="left"/>
      </w:pPr>
      <w:rPr>
        <w:b/>
      </w:rPr>
      <w:tblPr/>
      <w:tcPr>
        <w:tcBorders>
          <w:top w:val="single" w:sz="4" w:space="0" w:color="808080"/>
          <w:left w:val="single" w:sz="4" w:space="0" w:color="808080"/>
          <w:right w:val="double" w:sz="6" w:space="0" w:color="808080"/>
        </w:tcBorders>
      </w:tcPr>
    </w:tblStylePr>
    <w:tblStylePr w:type="lastCol">
      <w:pPr>
        <w:jc w:val="right"/>
      </w:pPr>
      <w:rPr>
        <w:b/>
      </w:rPr>
      <w:tblPr/>
      <w:tcPr>
        <w:tcBorders>
          <w:top w:val="single" w:sz="4" w:space="0" w:color="808080"/>
          <w:left w:val="double" w:sz="6" w:space="0" w:color="808080"/>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single" w:sz="4" w:space="0" w:color="808080"/>
          <w:right w:val="single" w:sz="4" w:space="0" w:color="808080"/>
          <w:insideH w:val="nil"/>
        </w:tcBorders>
        <w:shd w:val="clear" w:color="auto" w:fill="FFFFFF"/>
      </w:tcPr>
    </w:tblStylePr>
    <w:tblStylePr w:type="band2Horz">
      <w:tblPr/>
      <w:tcPr>
        <w:tcBorders>
          <w:bottom w:val="single" w:sz="4" w:space="0" w:color="808080"/>
          <w:right w:val="single" w:sz="4" w:space="0" w:color="808080"/>
          <w:insideH w:val="nil"/>
        </w:tcBorders>
        <w:shd w:val="clear" w:color="auto" w:fill="D9D9D9"/>
      </w:tcPr>
    </w:tblStylePr>
    <w:tblStylePr w:type="neCell">
      <w:tblPr/>
      <w:tcPr>
        <w:tcBorders>
          <w:top w:val="single" w:sz="4" w:space="0" w:color="808080"/>
          <w:left w:val="double" w:sz="6" w:space="0" w:color="808080"/>
          <w:right w:val="single" w:sz="4" w:space="0" w:color="808080"/>
        </w:tcBorders>
      </w:tcPr>
    </w:tblStylePr>
    <w:tblStylePr w:type="nwCell">
      <w:tblPr/>
      <w:tcPr>
        <w:tcBorders>
          <w:top w:val="single" w:sz="4" w:space="0" w:color="808080"/>
          <w:left w:val="single" w:sz="4" w:space="0" w:color="808080"/>
          <w:right w:val="double" w:sz="6" w:space="0" w:color="808080"/>
        </w:tcBorders>
      </w:tcPr>
    </w:tblStylePr>
    <w:tblStylePr w:type="seCell">
      <w:tblPr/>
      <w:tcPr>
        <w:tcBorders>
          <w:top w:val="double" w:sz="6" w:space="0" w:color="808080"/>
          <w:left w:val="double" w:sz="6" w:space="0" w:color="808080"/>
          <w:right w:val="single" w:sz="4" w:space="0" w:color="808080"/>
        </w:tcBorders>
      </w:tcPr>
    </w:tblStylePr>
    <w:tblStylePr w:type="swCell">
      <w:tblPr/>
      <w:tcPr>
        <w:tcBorders>
          <w:top w:val="double" w:sz="6" w:space="0" w:color="808080"/>
          <w:left w:val="single" w:sz="4" w:space="0" w:color="808080"/>
          <w:right w:val="double" w:sz="6" w:space="0" w:color="808080"/>
        </w:tcBorders>
      </w:tcPr>
    </w:tblStylePr>
  </w:style>
  <w:style w:type="table" w:styleId="Tablicareetke2-isticanje1">
    <w:name w:val="Grid Table 2 Accent 1"/>
    <w:basedOn w:val="Obinatablica"/>
    <w:uiPriority w:val="47"/>
    <w:rsid w:val="00DF714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balonia">
    <w:name w:val="Balloon Text"/>
    <w:basedOn w:val="Normal"/>
    <w:link w:val="TekstbaloniaChar"/>
    <w:uiPriority w:val="99"/>
    <w:semiHidden/>
    <w:unhideWhenUsed/>
    <w:rsid w:val="00DF7141"/>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F7141"/>
    <w:rPr>
      <w:rFonts w:ascii="Segoe UI" w:hAnsi="Segoe UI" w:cs="Segoe UI"/>
      <w:sz w:val="18"/>
      <w:szCs w:val="18"/>
    </w:rPr>
  </w:style>
  <w:style w:type="paragraph" w:customStyle="1" w:styleId="Izvor">
    <w:name w:val="Izvor"/>
    <w:basedOn w:val="Tijeloteksta"/>
    <w:link w:val="IzvorChar"/>
    <w:autoRedefine/>
    <w:uiPriority w:val="99"/>
    <w:qFormat/>
    <w:rsid w:val="00DF7141"/>
    <w:pPr>
      <w:keepLines/>
      <w:numPr>
        <w:numId w:val="15"/>
      </w:numPr>
      <w:suppressAutoHyphens/>
    </w:pPr>
    <w:rPr>
      <w:rFonts w:eastAsia="Times New Roman" w:cs="Myriad Pro"/>
      <w:szCs w:val="24"/>
      <w:lang w:eastAsia="hr-HR"/>
    </w:rPr>
  </w:style>
  <w:style w:type="character" w:customStyle="1" w:styleId="IzvorChar">
    <w:name w:val="Izvor Char"/>
    <w:basedOn w:val="Zadanifontodlomka"/>
    <w:link w:val="Izvor"/>
    <w:uiPriority w:val="99"/>
    <w:rsid w:val="00DF7141"/>
    <w:rPr>
      <w:rFonts w:eastAsia="Times New Roman" w:cs="Myriad Pro"/>
      <w:color w:val="000000"/>
      <w:szCs w:val="24"/>
      <w:lang w:eastAsia="hr-HR"/>
    </w:rPr>
  </w:style>
  <w:style w:type="paragraph" w:styleId="Odlomakpopisa">
    <w:name w:val="List Paragraph"/>
    <w:aliases w:val="REPORT Bullet"/>
    <w:basedOn w:val="Normal"/>
    <w:link w:val="OdlomakpopisaChar"/>
    <w:uiPriority w:val="34"/>
    <w:qFormat/>
    <w:rsid w:val="00DF7141"/>
    <w:pPr>
      <w:ind w:left="720"/>
      <w:contextualSpacing/>
    </w:pPr>
  </w:style>
  <w:style w:type="paragraph" w:customStyle="1" w:styleId="Bullet1a">
    <w:name w:val="Bullet 1a"/>
    <w:basedOn w:val="Tijeloteksta"/>
    <w:link w:val="Bullet1aChar"/>
    <w:rsid w:val="00DF7141"/>
    <w:pPr>
      <w:numPr>
        <w:numId w:val="16"/>
      </w:numPr>
      <w:spacing w:before="60" w:after="60"/>
    </w:pPr>
  </w:style>
  <w:style w:type="paragraph" w:customStyle="1" w:styleId="Bullet1b">
    <w:name w:val="Bullet 1b"/>
    <w:basedOn w:val="Tijeloteksta"/>
    <w:link w:val="Bullet1bChar"/>
    <w:rsid w:val="00DF7141"/>
    <w:pPr>
      <w:numPr>
        <w:numId w:val="17"/>
      </w:numPr>
      <w:spacing w:before="60" w:after="60"/>
    </w:pPr>
  </w:style>
  <w:style w:type="paragraph" w:customStyle="1" w:styleId="Bullet1c">
    <w:name w:val="Bullet 1c"/>
    <w:basedOn w:val="Tijeloteksta"/>
    <w:link w:val="Bullet1cChar"/>
    <w:rsid w:val="00DF7141"/>
    <w:pPr>
      <w:numPr>
        <w:numId w:val="18"/>
      </w:numPr>
      <w:spacing w:before="60" w:after="60"/>
    </w:pPr>
  </w:style>
  <w:style w:type="paragraph" w:customStyle="1" w:styleId="Bullet1d">
    <w:name w:val="Bullet 1d"/>
    <w:basedOn w:val="Tijeloteksta"/>
    <w:link w:val="Bullet1dChar"/>
    <w:rsid w:val="00DF7141"/>
    <w:pPr>
      <w:numPr>
        <w:ilvl w:val="1"/>
        <w:numId w:val="19"/>
      </w:numPr>
      <w:spacing w:before="60" w:after="60"/>
    </w:pPr>
  </w:style>
  <w:style w:type="paragraph" w:customStyle="1" w:styleId="Bullet2b">
    <w:name w:val="Bullet 2b"/>
    <w:basedOn w:val="Tijeloteksta"/>
    <w:link w:val="Bullet2bChar"/>
    <w:rsid w:val="00DF7141"/>
    <w:pPr>
      <w:numPr>
        <w:numId w:val="21"/>
      </w:numPr>
      <w:spacing w:before="60" w:after="60"/>
    </w:pPr>
  </w:style>
  <w:style w:type="paragraph" w:customStyle="1" w:styleId="Bullet2a">
    <w:name w:val="Bullet 2a"/>
    <w:basedOn w:val="Tijeloteksta"/>
    <w:link w:val="Bullet2aChar"/>
    <w:rsid w:val="00DF7141"/>
    <w:pPr>
      <w:numPr>
        <w:numId w:val="20"/>
      </w:numPr>
      <w:spacing w:before="60" w:after="60"/>
    </w:pPr>
  </w:style>
  <w:style w:type="paragraph" w:customStyle="1" w:styleId="Bullet2c">
    <w:name w:val="Bullet 2c"/>
    <w:basedOn w:val="Tijeloteksta"/>
    <w:link w:val="Bullet2cChar"/>
    <w:rsid w:val="00DF7141"/>
    <w:pPr>
      <w:numPr>
        <w:numId w:val="22"/>
      </w:numPr>
      <w:spacing w:before="60" w:after="60"/>
    </w:pPr>
  </w:style>
  <w:style w:type="paragraph" w:customStyle="1" w:styleId="Bullet2d">
    <w:name w:val="Bullet 2d"/>
    <w:basedOn w:val="Tijeloteksta"/>
    <w:link w:val="Bullet2dChar"/>
    <w:rsid w:val="00DF7141"/>
    <w:pPr>
      <w:numPr>
        <w:numId w:val="23"/>
      </w:numPr>
      <w:spacing w:before="60" w:after="60"/>
    </w:pPr>
  </w:style>
  <w:style w:type="paragraph" w:customStyle="1" w:styleId="Bullet3a">
    <w:name w:val="Bullet 3a"/>
    <w:basedOn w:val="Tijeloteksta"/>
    <w:link w:val="Bullet3aChar"/>
    <w:rsid w:val="00DF7141"/>
    <w:pPr>
      <w:numPr>
        <w:ilvl w:val="1"/>
        <w:numId w:val="24"/>
      </w:numPr>
      <w:spacing w:before="60" w:after="60"/>
    </w:pPr>
  </w:style>
  <w:style w:type="paragraph" w:customStyle="1" w:styleId="Bullet3b">
    <w:name w:val="Bullet 3b"/>
    <w:basedOn w:val="Tijeloteksta"/>
    <w:link w:val="Bullet3bChar"/>
    <w:rsid w:val="00DF7141"/>
    <w:pPr>
      <w:numPr>
        <w:numId w:val="25"/>
      </w:numPr>
      <w:spacing w:before="60" w:after="60"/>
    </w:pPr>
  </w:style>
  <w:style w:type="paragraph" w:customStyle="1" w:styleId="Bullet3c">
    <w:name w:val="Bullet 3c"/>
    <w:basedOn w:val="Tijeloteksta"/>
    <w:link w:val="Bullet3cChar"/>
    <w:rsid w:val="00DF7141"/>
    <w:pPr>
      <w:numPr>
        <w:numId w:val="26"/>
      </w:numPr>
      <w:spacing w:before="60" w:after="60"/>
    </w:pPr>
  </w:style>
  <w:style w:type="paragraph" w:customStyle="1" w:styleId="Bullet3d">
    <w:name w:val="Bullet 3d"/>
    <w:basedOn w:val="Tijeloteksta"/>
    <w:link w:val="Bullet3dChar"/>
    <w:rsid w:val="00DF7141"/>
    <w:pPr>
      <w:numPr>
        <w:numId w:val="27"/>
      </w:numPr>
      <w:spacing w:before="60" w:after="60"/>
    </w:pPr>
  </w:style>
  <w:style w:type="paragraph" w:customStyle="1" w:styleId="BodyLista">
    <w:name w:val="Body Lista"/>
    <w:basedOn w:val="Tijeloteksta"/>
    <w:next w:val="Tijeloteksta"/>
    <w:link w:val="BodyListaChar"/>
    <w:qFormat/>
    <w:rsid w:val="00DF7141"/>
    <w:pPr>
      <w:spacing w:after="60"/>
    </w:pPr>
  </w:style>
  <w:style w:type="character" w:customStyle="1" w:styleId="Lista1Char">
    <w:name w:val="Lista 1. Char"/>
    <w:basedOn w:val="TijelotekstaChar"/>
    <w:link w:val="Lista1"/>
    <w:rsid w:val="00DF7141"/>
    <w:rPr>
      <w:rFonts w:cstheme="minorHAnsi"/>
      <w:color w:val="000000"/>
    </w:rPr>
  </w:style>
  <w:style w:type="character" w:customStyle="1" w:styleId="BodyListaChar">
    <w:name w:val="Body Lista Char"/>
    <w:basedOn w:val="TijelotekstaChar"/>
    <w:link w:val="BodyLista"/>
    <w:rsid w:val="00DF7141"/>
    <w:rPr>
      <w:rFonts w:cstheme="minorHAnsi"/>
      <w:color w:val="000000"/>
    </w:rPr>
  </w:style>
  <w:style w:type="character" w:customStyle="1" w:styleId="Lista2Char">
    <w:name w:val="Lista 2. Char"/>
    <w:basedOn w:val="TijelotekstaChar"/>
    <w:link w:val="Lista2"/>
    <w:rsid w:val="00DF7141"/>
    <w:rPr>
      <w:rFonts w:cstheme="minorHAnsi"/>
      <w:color w:val="000000"/>
    </w:rPr>
  </w:style>
  <w:style w:type="character" w:customStyle="1" w:styleId="Lista3Char">
    <w:name w:val="Lista 3. Char"/>
    <w:basedOn w:val="TijelotekstaChar"/>
    <w:link w:val="Lista3"/>
    <w:rsid w:val="00DF7141"/>
    <w:rPr>
      <w:rFonts w:cstheme="minorHAnsi"/>
      <w:color w:val="000000"/>
    </w:rPr>
  </w:style>
  <w:style w:type="character" w:customStyle="1" w:styleId="ListaAChar0">
    <w:name w:val="Lista A. Char"/>
    <w:basedOn w:val="TijelotekstaChar"/>
    <w:link w:val="ListaA"/>
    <w:rsid w:val="00DF7141"/>
    <w:rPr>
      <w:rFonts w:cstheme="minorHAnsi"/>
      <w:color w:val="000000"/>
    </w:rPr>
  </w:style>
  <w:style w:type="character" w:customStyle="1" w:styleId="ListaBChar0">
    <w:name w:val="Lista B. Char"/>
    <w:basedOn w:val="TijelotekstaChar"/>
    <w:link w:val="ListaB"/>
    <w:rsid w:val="00DF7141"/>
    <w:rPr>
      <w:rFonts w:cstheme="minorHAnsi"/>
      <w:color w:val="000000"/>
    </w:rPr>
  </w:style>
  <w:style w:type="character" w:customStyle="1" w:styleId="ListaCChar0">
    <w:name w:val="Lista C. Char"/>
    <w:basedOn w:val="TijelotekstaChar"/>
    <w:link w:val="ListaC"/>
    <w:rsid w:val="00DF7141"/>
    <w:rPr>
      <w:rFonts w:cstheme="minorHAnsi"/>
      <w:color w:val="000000"/>
    </w:rPr>
  </w:style>
  <w:style w:type="character" w:customStyle="1" w:styleId="ListaaChar">
    <w:name w:val="Lista a) Char"/>
    <w:basedOn w:val="TijelotekstaChar"/>
    <w:link w:val="Listaa0"/>
    <w:rsid w:val="00DF7141"/>
    <w:rPr>
      <w:rFonts w:cstheme="minorHAnsi"/>
      <w:color w:val="000000"/>
    </w:rPr>
  </w:style>
  <w:style w:type="character" w:customStyle="1" w:styleId="ListabChar">
    <w:name w:val="Lista b) Char"/>
    <w:basedOn w:val="TijelotekstaChar"/>
    <w:link w:val="Listab0"/>
    <w:rsid w:val="00DF7141"/>
    <w:rPr>
      <w:rFonts w:cstheme="minorHAnsi"/>
      <w:color w:val="000000"/>
    </w:rPr>
  </w:style>
  <w:style w:type="character" w:customStyle="1" w:styleId="ListacChar">
    <w:name w:val="Lista c) Char"/>
    <w:basedOn w:val="TijelotekstaChar"/>
    <w:link w:val="Listac0"/>
    <w:rsid w:val="00DF7141"/>
    <w:rPr>
      <w:rFonts w:cstheme="minorHAnsi"/>
      <w:color w:val="000000"/>
    </w:rPr>
  </w:style>
  <w:style w:type="character" w:customStyle="1" w:styleId="ListaIChar0">
    <w:name w:val="Lista I. Char"/>
    <w:basedOn w:val="TijelotekstaChar"/>
    <w:link w:val="ListaI"/>
    <w:rsid w:val="00DF7141"/>
    <w:rPr>
      <w:rFonts w:cstheme="minorHAnsi"/>
      <w:color w:val="000000"/>
    </w:rPr>
  </w:style>
  <w:style w:type="character" w:customStyle="1" w:styleId="ListaIIChar">
    <w:name w:val="Lista II. Char"/>
    <w:basedOn w:val="TijelotekstaChar"/>
    <w:link w:val="ListaII0"/>
    <w:rsid w:val="00DF7141"/>
    <w:rPr>
      <w:rFonts w:cstheme="minorHAnsi"/>
      <w:color w:val="000000"/>
    </w:rPr>
  </w:style>
  <w:style w:type="character" w:customStyle="1" w:styleId="ListaIIIChar0">
    <w:name w:val="Lista III. Char"/>
    <w:basedOn w:val="TijelotekstaChar"/>
    <w:link w:val="ListaIII"/>
    <w:rsid w:val="00DF7141"/>
    <w:rPr>
      <w:rFonts w:cstheme="minorHAnsi"/>
      <w:color w:val="000000"/>
    </w:rPr>
  </w:style>
  <w:style w:type="character" w:customStyle="1" w:styleId="ListaiChar">
    <w:name w:val="Lista i Char"/>
    <w:basedOn w:val="TijelotekstaChar"/>
    <w:link w:val="Listai0"/>
    <w:rsid w:val="00DF7141"/>
    <w:rPr>
      <w:rFonts w:cstheme="minorHAnsi"/>
      <w:color w:val="000000"/>
    </w:rPr>
  </w:style>
  <w:style w:type="character" w:customStyle="1" w:styleId="ListaiiChar0">
    <w:name w:val="Lista ii. Char"/>
    <w:basedOn w:val="TijelotekstaChar"/>
    <w:link w:val="Listaii"/>
    <w:rsid w:val="00DF7141"/>
    <w:rPr>
      <w:rFonts w:cstheme="minorHAnsi"/>
      <w:color w:val="000000"/>
    </w:rPr>
  </w:style>
  <w:style w:type="character" w:customStyle="1" w:styleId="ListaiiiChar">
    <w:name w:val="Lista iii. Char"/>
    <w:basedOn w:val="TijelotekstaChar"/>
    <w:link w:val="Listaiii0"/>
    <w:rsid w:val="00DF7141"/>
    <w:rPr>
      <w:rFonts w:cstheme="minorHAnsi"/>
      <w:color w:val="000000"/>
    </w:rPr>
  </w:style>
  <w:style w:type="character" w:customStyle="1" w:styleId="Bullet1aChar">
    <w:name w:val="Bullet 1a Char"/>
    <w:basedOn w:val="TijelotekstaChar"/>
    <w:link w:val="Bullet1a"/>
    <w:rsid w:val="00DF7141"/>
    <w:rPr>
      <w:rFonts w:cstheme="minorHAnsi"/>
      <w:color w:val="000000"/>
    </w:rPr>
  </w:style>
  <w:style w:type="character" w:customStyle="1" w:styleId="Bullet1bChar">
    <w:name w:val="Bullet 1b Char"/>
    <w:basedOn w:val="TijelotekstaChar"/>
    <w:link w:val="Bullet1b"/>
    <w:rsid w:val="00DF7141"/>
    <w:rPr>
      <w:rFonts w:cstheme="minorHAnsi"/>
      <w:color w:val="000000"/>
    </w:rPr>
  </w:style>
  <w:style w:type="character" w:customStyle="1" w:styleId="Bullet1cChar">
    <w:name w:val="Bullet 1c Char"/>
    <w:basedOn w:val="TijelotekstaChar"/>
    <w:link w:val="Bullet1c"/>
    <w:rsid w:val="00DF7141"/>
    <w:rPr>
      <w:rFonts w:cstheme="minorHAnsi"/>
      <w:color w:val="000000"/>
    </w:rPr>
  </w:style>
  <w:style w:type="character" w:customStyle="1" w:styleId="Bullet1dChar">
    <w:name w:val="Bullet 1d Char"/>
    <w:basedOn w:val="TijelotekstaChar"/>
    <w:link w:val="Bullet1d"/>
    <w:rsid w:val="00DF7141"/>
    <w:rPr>
      <w:rFonts w:cstheme="minorHAnsi"/>
      <w:color w:val="000000"/>
    </w:rPr>
  </w:style>
  <w:style w:type="character" w:customStyle="1" w:styleId="Bullet2bChar">
    <w:name w:val="Bullet 2b Char"/>
    <w:basedOn w:val="TijelotekstaChar"/>
    <w:link w:val="Bullet2b"/>
    <w:rsid w:val="00DF7141"/>
    <w:rPr>
      <w:rFonts w:cstheme="minorHAnsi"/>
      <w:color w:val="000000"/>
    </w:rPr>
  </w:style>
  <w:style w:type="character" w:customStyle="1" w:styleId="Bullet2aChar">
    <w:name w:val="Bullet 2a Char"/>
    <w:basedOn w:val="TijelotekstaChar"/>
    <w:link w:val="Bullet2a"/>
    <w:rsid w:val="00DF7141"/>
    <w:rPr>
      <w:rFonts w:cstheme="minorHAnsi"/>
      <w:color w:val="000000"/>
    </w:rPr>
  </w:style>
  <w:style w:type="character" w:customStyle="1" w:styleId="Bullet2cChar">
    <w:name w:val="Bullet 2c Char"/>
    <w:basedOn w:val="TijelotekstaChar"/>
    <w:link w:val="Bullet2c"/>
    <w:rsid w:val="00DF7141"/>
    <w:rPr>
      <w:rFonts w:cstheme="minorHAnsi"/>
      <w:color w:val="000000"/>
    </w:rPr>
  </w:style>
  <w:style w:type="character" w:customStyle="1" w:styleId="Bullet2dChar">
    <w:name w:val="Bullet 2d Char"/>
    <w:basedOn w:val="TijelotekstaChar"/>
    <w:link w:val="Bullet2d"/>
    <w:rsid w:val="00DF7141"/>
    <w:rPr>
      <w:rFonts w:cstheme="minorHAnsi"/>
      <w:color w:val="000000"/>
    </w:rPr>
  </w:style>
  <w:style w:type="character" w:customStyle="1" w:styleId="Bullet3aChar">
    <w:name w:val="Bullet 3a Char"/>
    <w:basedOn w:val="TijelotekstaChar"/>
    <w:link w:val="Bullet3a"/>
    <w:rsid w:val="00DF7141"/>
    <w:rPr>
      <w:rFonts w:cstheme="minorHAnsi"/>
      <w:color w:val="000000"/>
    </w:rPr>
  </w:style>
  <w:style w:type="character" w:customStyle="1" w:styleId="Bullet3bChar">
    <w:name w:val="Bullet 3b Char"/>
    <w:basedOn w:val="TijelotekstaChar"/>
    <w:link w:val="Bullet3b"/>
    <w:rsid w:val="00DF7141"/>
    <w:rPr>
      <w:rFonts w:cstheme="minorHAnsi"/>
      <w:color w:val="000000"/>
    </w:rPr>
  </w:style>
  <w:style w:type="character" w:customStyle="1" w:styleId="Bullet3cChar">
    <w:name w:val="Bullet 3c Char"/>
    <w:basedOn w:val="TijelotekstaChar"/>
    <w:link w:val="Bullet3c"/>
    <w:rsid w:val="00DF7141"/>
    <w:rPr>
      <w:rFonts w:cstheme="minorHAnsi"/>
      <w:color w:val="000000"/>
    </w:rPr>
  </w:style>
  <w:style w:type="character" w:customStyle="1" w:styleId="Bullet3dChar">
    <w:name w:val="Bullet 3d Char"/>
    <w:basedOn w:val="TijelotekstaChar"/>
    <w:link w:val="Bullet3d"/>
    <w:rsid w:val="00DF7141"/>
    <w:rPr>
      <w:rFonts w:cstheme="minorHAnsi"/>
      <w:color w:val="000000"/>
    </w:rPr>
  </w:style>
  <w:style w:type="paragraph" w:styleId="Bezproreda">
    <w:name w:val="No Spacing"/>
    <w:uiPriority w:val="1"/>
    <w:rsid w:val="00DF7141"/>
    <w:pPr>
      <w:spacing w:after="0" w:line="240" w:lineRule="auto"/>
    </w:pPr>
  </w:style>
  <w:style w:type="paragraph" w:styleId="Naslov">
    <w:name w:val="Title"/>
    <w:basedOn w:val="Normal"/>
    <w:next w:val="Normal"/>
    <w:link w:val="NaslovChar1"/>
    <w:uiPriority w:val="10"/>
    <w:rsid w:val="00DF7141"/>
    <w:pPr>
      <w:spacing w:after="0"/>
      <w:contextualSpacing/>
    </w:pPr>
    <w:rPr>
      <w:rFonts w:asciiTheme="majorHAnsi" w:eastAsiaTheme="majorEastAsia" w:hAnsiTheme="majorHAnsi" w:cstheme="majorBidi"/>
      <w:spacing w:val="-10"/>
      <w:kern w:val="28"/>
      <w:sz w:val="56"/>
      <w:szCs w:val="56"/>
    </w:rPr>
  </w:style>
  <w:style w:type="character" w:customStyle="1" w:styleId="NaslovChar1">
    <w:name w:val="Naslov Char1"/>
    <w:basedOn w:val="Zadanifontodlomka"/>
    <w:link w:val="Naslov"/>
    <w:uiPriority w:val="10"/>
    <w:rsid w:val="00DF714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rsid w:val="00DF7141"/>
    <w:pPr>
      <w:numPr>
        <w:ilvl w:val="1"/>
      </w:numPr>
      <w:spacing w:after="160"/>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F7141"/>
    <w:rPr>
      <w:rFonts w:eastAsiaTheme="minorEastAsia"/>
      <w:color w:val="5A5A5A" w:themeColor="text1" w:themeTint="A5"/>
      <w:spacing w:val="15"/>
    </w:rPr>
  </w:style>
  <w:style w:type="character" w:styleId="Naglaeno">
    <w:name w:val="Strong"/>
    <w:basedOn w:val="Zadanifontodlomka"/>
    <w:uiPriority w:val="22"/>
    <w:rsid w:val="00DF7141"/>
    <w:rPr>
      <w:b/>
      <w:bCs/>
    </w:rPr>
  </w:style>
  <w:style w:type="paragraph" w:styleId="Citat">
    <w:name w:val="Quote"/>
    <w:basedOn w:val="Normal"/>
    <w:next w:val="Normal"/>
    <w:link w:val="CitatChar"/>
    <w:uiPriority w:val="29"/>
    <w:rsid w:val="00DF7141"/>
    <w:pPr>
      <w:spacing w:before="200" w:after="160"/>
      <w:ind w:left="864" w:right="864"/>
      <w:jc w:val="center"/>
    </w:pPr>
    <w:rPr>
      <w:i/>
      <w:iCs/>
      <w:color w:val="404040" w:themeColor="text1" w:themeTint="BF"/>
    </w:rPr>
  </w:style>
  <w:style w:type="character" w:customStyle="1" w:styleId="CitatChar">
    <w:name w:val="Citat Char"/>
    <w:basedOn w:val="Zadanifontodlomka"/>
    <w:link w:val="Citat"/>
    <w:uiPriority w:val="29"/>
    <w:rsid w:val="00DF7141"/>
    <w:rPr>
      <w:i/>
      <w:iCs/>
      <w:color w:val="404040" w:themeColor="text1" w:themeTint="BF"/>
    </w:rPr>
  </w:style>
  <w:style w:type="paragraph" w:styleId="Naglaencitat">
    <w:name w:val="Intense Quote"/>
    <w:basedOn w:val="Normal"/>
    <w:next w:val="Normal"/>
    <w:link w:val="NaglaencitatChar"/>
    <w:uiPriority w:val="30"/>
    <w:rsid w:val="00DF714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F7141"/>
    <w:rPr>
      <w:i/>
      <w:iCs/>
      <w:color w:val="5B9BD5" w:themeColor="accent1"/>
    </w:rPr>
  </w:style>
  <w:style w:type="character" w:styleId="Neupadljivareferenca">
    <w:name w:val="Subtle Reference"/>
    <w:basedOn w:val="Zadanifontodlomka"/>
    <w:uiPriority w:val="31"/>
    <w:rsid w:val="00DF7141"/>
    <w:rPr>
      <w:smallCaps/>
      <w:color w:val="5A5A5A" w:themeColor="text1" w:themeTint="A5"/>
    </w:rPr>
  </w:style>
  <w:style w:type="character" w:styleId="Istaknutareferenca">
    <w:name w:val="Intense Reference"/>
    <w:basedOn w:val="Zadanifontodlomka"/>
    <w:uiPriority w:val="32"/>
    <w:rsid w:val="00DF7141"/>
    <w:rPr>
      <w:b/>
      <w:bCs/>
      <w:smallCaps/>
      <w:color w:val="5B9BD5" w:themeColor="accent1"/>
      <w:spacing w:val="5"/>
    </w:rPr>
  </w:style>
  <w:style w:type="character" w:styleId="Neupadljivoisticanje">
    <w:name w:val="Subtle Emphasis"/>
    <w:basedOn w:val="Zadanifontodlomka"/>
    <w:uiPriority w:val="19"/>
    <w:rsid w:val="00DF7141"/>
    <w:rPr>
      <w:i/>
      <w:iCs/>
      <w:color w:val="404040" w:themeColor="text1" w:themeTint="BF"/>
    </w:rPr>
  </w:style>
  <w:style w:type="character" w:styleId="Istaknuto">
    <w:name w:val="Emphasis"/>
    <w:basedOn w:val="Zadanifontodlomka"/>
    <w:uiPriority w:val="20"/>
    <w:rsid w:val="00DF7141"/>
    <w:rPr>
      <w:i/>
      <w:iCs/>
    </w:rPr>
  </w:style>
  <w:style w:type="character" w:styleId="Jakoisticanje">
    <w:name w:val="Intense Emphasis"/>
    <w:basedOn w:val="Zadanifontodlomka"/>
    <w:uiPriority w:val="21"/>
    <w:rsid w:val="00DF7141"/>
    <w:rPr>
      <w:i/>
      <w:iCs/>
      <w:color w:val="5B9BD5" w:themeColor="accent1"/>
    </w:rPr>
  </w:style>
  <w:style w:type="character" w:styleId="Referencakomentara">
    <w:name w:val="annotation reference"/>
    <w:basedOn w:val="Zadanifontodlomka"/>
    <w:uiPriority w:val="99"/>
    <w:semiHidden/>
    <w:unhideWhenUsed/>
    <w:rsid w:val="00DF7141"/>
    <w:rPr>
      <w:sz w:val="16"/>
      <w:szCs w:val="16"/>
    </w:rPr>
  </w:style>
  <w:style w:type="paragraph" w:styleId="Tekstkomentara">
    <w:name w:val="annotation text"/>
    <w:basedOn w:val="Normal"/>
    <w:link w:val="TekstkomentaraChar"/>
    <w:uiPriority w:val="99"/>
    <w:unhideWhenUsed/>
    <w:rsid w:val="00DF7141"/>
    <w:rPr>
      <w:sz w:val="20"/>
      <w:szCs w:val="20"/>
    </w:rPr>
  </w:style>
  <w:style w:type="character" w:customStyle="1" w:styleId="TekstkomentaraChar">
    <w:name w:val="Tekst komentara Char"/>
    <w:basedOn w:val="Zadanifontodlomka"/>
    <w:link w:val="Tekstkomentara"/>
    <w:uiPriority w:val="99"/>
    <w:rsid w:val="00DF7141"/>
    <w:rPr>
      <w:sz w:val="20"/>
      <w:szCs w:val="20"/>
    </w:rPr>
  </w:style>
  <w:style w:type="paragraph" w:styleId="Predmetkomentara">
    <w:name w:val="annotation subject"/>
    <w:basedOn w:val="Tekstkomentara"/>
    <w:next w:val="Tekstkomentara"/>
    <w:link w:val="PredmetkomentaraChar"/>
    <w:uiPriority w:val="99"/>
    <w:semiHidden/>
    <w:unhideWhenUsed/>
    <w:rsid w:val="00DF7141"/>
    <w:rPr>
      <w:b/>
      <w:bCs/>
    </w:rPr>
  </w:style>
  <w:style w:type="character" w:customStyle="1" w:styleId="PredmetkomentaraChar">
    <w:name w:val="Predmet komentara Char"/>
    <w:basedOn w:val="TekstkomentaraChar"/>
    <w:link w:val="Predmetkomentara"/>
    <w:uiPriority w:val="99"/>
    <w:semiHidden/>
    <w:rsid w:val="00DF7141"/>
    <w:rPr>
      <w:b/>
      <w:bCs/>
      <w:sz w:val="20"/>
      <w:szCs w:val="20"/>
    </w:rPr>
  </w:style>
  <w:style w:type="character" w:customStyle="1" w:styleId="Spominjanje1">
    <w:name w:val="Spominjanje1"/>
    <w:basedOn w:val="Zadanifontodlomka"/>
    <w:uiPriority w:val="99"/>
    <w:unhideWhenUsed/>
    <w:rsid w:val="00DF7141"/>
    <w:rPr>
      <w:color w:val="2B579A"/>
      <w:shd w:val="clear" w:color="auto" w:fill="E1DFDD"/>
    </w:rPr>
  </w:style>
  <w:style w:type="character" w:customStyle="1" w:styleId="summarymark">
    <w:name w:val="summarymark"/>
    <w:basedOn w:val="Zadanifontodlomka"/>
    <w:rsid w:val="00DF7141"/>
  </w:style>
  <w:style w:type="character" w:styleId="SlijeenaHiperveza">
    <w:name w:val="FollowedHyperlink"/>
    <w:basedOn w:val="Zadanifontodlomka"/>
    <w:uiPriority w:val="99"/>
    <w:semiHidden/>
    <w:unhideWhenUsed/>
    <w:rsid w:val="00DF7141"/>
    <w:rPr>
      <w:color w:val="954F72" w:themeColor="followedHyperlink"/>
      <w:u w:val="single"/>
    </w:rPr>
  </w:style>
  <w:style w:type="paragraph" w:styleId="Revizija">
    <w:name w:val="Revision"/>
    <w:hidden/>
    <w:uiPriority w:val="99"/>
    <w:semiHidden/>
    <w:rsid w:val="00DF7141"/>
    <w:pPr>
      <w:spacing w:after="0" w:line="240" w:lineRule="auto"/>
    </w:pPr>
  </w:style>
  <w:style w:type="character" w:customStyle="1" w:styleId="OdlomakpopisaChar">
    <w:name w:val="Odlomak popisa Char"/>
    <w:aliases w:val="REPORT Bullet Char"/>
    <w:basedOn w:val="Zadanifontodlomka"/>
    <w:link w:val="Odlomakpopisa"/>
    <w:uiPriority w:val="34"/>
    <w:rsid w:val="00DF7141"/>
  </w:style>
  <w:style w:type="paragraph" w:styleId="Bibliografija">
    <w:name w:val="Bibliography"/>
    <w:basedOn w:val="Normal"/>
    <w:next w:val="Normal"/>
    <w:uiPriority w:val="37"/>
    <w:unhideWhenUsed/>
    <w:rsid w:val="00DF7141"/>
    <w:pPr>
      <w:spacing w:after="0"/>
    </w:pPr>
    <w:rPr>
      <w:rFonts w:ascii="Times New Roman" w:eastAsia="Times New Roman" w:hAnsi="Times New Roman" w:cs="Times New Roman"/>
      <w:sz w:val="24"/>
      <w:szCs w:val="24"/>
      <w:lang w:val="en-US" w:eastAsia="en-GB"/>
    </w:rPr>
  </w:style>
  <w:style w:type="table" w:customStyle="1" w:styleId="Eihp1">
    <w:name w:val="Eihp1"/>
    <w:basedOn w:val="Obinatablica"/>
    <w:rsid w:val="00DF7141"/>
    <w:pPr>
      <w:spacing w:before="40" w:after="40" w:line="240" w:lineRule="auto"/>
      <w:jc w:val="center"/>
    </w:pPr>
    <w:rPr>
      <w:rFonts w:cstheme="minorHAnsi"/>
      <w:sz w:val="18"/>
    </w:rPr>
    <w:tblPr>
      <w:tblStyleRowBandSize w:val="1"/>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jc w:val="center"/>
    </w:trPr>
    <w:tcPr>
      <w:shd w:val="clear" w:color="auto" w:fill="auto"/>
      <w:tcMar>
        <w:top w:w="0" w:type="dxa"/>
        <w:left w:w="57" w:type="dxa"/>
        <w:bottom w:w="0" w:type="dxa"/>
        <w:right w:w="57" w:type="dxa"/>
      </w:tcMar>
    </w:tcPr>
    <w:tblStylePr w:type="firstRow">
      <w:pPr>
        <w:wordWrap/>
        <w:spacing w:beforeLines="0" w:before="60" w:beforeAutospacing="0" w:afterLines="0" w:after="60" w:afterAutospacing="0" w:line="240" w:lineRule="auto"/>
      </w:pPr>
      <w:rPr>
        <w:b/>
      </w:rPr>
      <w:tblPr/>
      <w:tcPr>
        <w:tcBorders>
          <w:bottom w:val="nil"/>
          <w:right w:val="single" w:sz="4" w:space="0" w:color="808080"/>
          <w:insideH w:val="nil"/>
        </w:tcBorders>
        <w:shd w:val="clear" w:color="auto" w:fill="FFA7A7"/>
      </w:tcPr>
    </w:tblStylePr>
    <w:tblStylePr w:type="lastRow">
      <w:rPr>
        <w:b/>
      </w:rPr>
      <w:tblPr/>
      <w:tcPr>
        <w:tcBorders>
          <w:top w:val="double" w:sz="6" w:space="0" w:color="808080"/>
          <w:left w:val="single" w:sz="4" w:space="0" w:color="808080"/>
          <w:bottom w:val="single" w:sz="4" w:space="0" w:color="808080"/>
          <w:right w:val="single" w:sz="4" w:space="0" w:color="808080"/>
          <w:insideH w:val="nil"/>
          <w:insideV w:val="single" w:sz="4" w:space="0" w:color="808080"/>
        </w:tcBorders>
        <w:shd w:val="clear" w:color="auto" w:fill="AEAAAA"/>
      </w:tcPr>
    </w:tblStylePr>
    <w:tblStylePr w:type="firstCol">
      <w:pPr>
        <w:jc w:val="left"/>
      </w:pPr>
      <w:rPr>
        <w:b/>
      </w:rPr>
      <w:tblPr/>
      <w:tcPr>
        <w:tcBorders>
          <w:top w:val="single" w:sz="4" w:space="0" w:color="808080"/>
          <w:left w:val="single" w:sz="4" w:space="0" w:color="808080"/>
          <w:right w:val="double" w:sz="6" w:space="0" w:color="808080"/>
        </w:tcBorders>
      </w:tcPr>
    </w:tblStylePr>
    <w:tblStylePr w:type="lastCol">
      <w:pPr>
        <w:jc w:val="right"/>
      </w:pPr>
      <w:rPr>
        <w:b/>
      </w:rPr>
      <w:tblPr/>
      <w:tcPr>
        <w:tcBorders>
          <w:top w:val="single" w:sz="4" w:space="0" w:color="808080"/>
          <w:left w:val="double" w:sz="6" w:space="0" w:color="808080"/>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single" w:sz="4" w:space="0" w:color="808080"/>
          <w:right w:val="single" w:sz="4" w:space="0" w:color="808080"/>
          <w:insideH w:val="nil"/>
        </w:tcBorders>
        <w:shd w:val="clear" w:color="auto" w:fill="FFFFFF"/>
      </w:tcPr>
    </w:tblStylePr>
    <w:tblStylePr w:type="band2Horz">
      <w:tblPr/>
      <w:tcPr>
        <w:tcBorders>
          <w:bottom w:val="single" w:sz="4" w:space="0" w:color="808080"/>
          <w:right w:val="single" w:sz="4" w:space="0" w:color="808080"/>
          <w:insideH w:val="nil"/>
        </w:tcBorders>
        <w:shd w:val="clear" w:color="auto" w:fill="D9D9D9"/>
      </w:tcPr>
    </w:tblStylePr>
    <w:tblStylePr w:type="neCell">
      <w:tblPr/>
      <w:tcPr>
        <w:tcBorders>
          <w:top w:val="single" w:sz="4" w:space="0" w:color="808080"/>
          <w:left w:val="double" w:sz="6" w:space="0" w:color="808080"/>
          <w:right w:val="single" w:sz="4" w:space="0" w:color="808080"/>
        </w:tcBorders>
      </w:tcPr>
    </w:tblStylePr>
    <w:tblStylePr w:type="nwCell">
      <w:tblPr/>
      <w:tcPr>
        <w:tcBorders>
          <w:top w:val="single" w:sz="4" w:space="0" w:color="808080"/>
          <w:left w:val="single" w:sz="4" w:space="0" w:color="808080"/>
          <w:right w:val="double" w:sz="6" w:space="0" w:color="808080"/>
        </w:tcBorders>
      </w:tcPr>
    </w:tblStylePr>
    <w:tblStylePr w:type="seCell">
      <w:tblPr/>
      <w:tcPr>
        <w:tcBorders>
          <w:top w:val="double" w:sz="6" w:space="0" w:color="808080"/>
          <w:left w:val="double" w:sz="6" w:space="0" w:color="808080"/>
          <w:right w:val="single" w:sz="4" w:space="0" w:color="808080"/>
        </w:tcBorders>
      </w:tcPr>
    </w:tblStylePr>
    <w:tblStylePr w:type="swCell">
      <w:tblPr/>
      <w:tcPr>
        <w:tcBorders>
          <w:top w:val="double" w:sz="6" w:space="0" w:color="808080"/>
          <w:left w:val="single" w:sz="4" w:space="0" w:color="808080"/>
          <w:right w:val="double" w:sz="6" w:space="0" w:color="808080"/>
        </w:tcBorders>
      </w:tcPr>
    </w:tblStylePr>
  </w:style>
  <w:style w:type="paragraph" w:styleId="TOCNaslov">
    <w:name w:val="TOC Heading"/>
    <w:basedOn w:val="Naslov1"/>
    <w:next w:val="Normal"/>
    <w:uiPriority w:val="39"/>
    <w:unhideWhenUsed/>
    <w:qFormat/>
    <w:rsid w:val="00DF7141"/>
    <w:pPr>
      <w:pageBreakBefore w:val="0"/>
      <w:framePr w:wrap="around" w:hAnchor="text"/>
      <w:spacing w:before="240" w:after="0" w:line="259" w:lineRule="auto"/>
      <w:jc w:val="left"/>
      <w:outlineLvl w:val="9"/>
    </w:pPr>
    <w:rPr>
      <w:rFonts w:asciiTheme="majorHAnsi" w:hAnsiTheme="majorHAnsi" w:cstheme="majorBidi"/>
      <w:noProof w:val="0"/>
      <w:color w:val="2E74B5" w:themeColor="accent1" w:themeShade="BF"/>
      <w:sz w:val="32"/>
      <w:szCs w:val="32"/>
      <w:lang w:eastAsia="hr-HR"/>
    </w:rPr>
  </w:style>
  <w:style w:type="paragraph" w:customStyle="1" w:styleId="Head10">
    <w:name w:val="Head 1"/>
    <w:basedOn w:val="Normal"/>
    <w:next w:val="Tijeloteksta"/>
    <w:link w:val="Head1Char1"/>
    <w:autoRedefine/>
    <w:qFormat/>
    <w:rsid w:val="0079456B"/>
    <w:pPr>
      <w:keepNext/>
      <w:keepLines/>
      <w:pageBreakBefore/>
      <w:spacing w:before="120" w:after="360"/>
      <w:ind w:left="720" w:hanging="360"/>
      <w:jc w:val="both"/>
    </w:pPr>
    <w:rPr>
      <w:rFonts w:ascii="Times New Roman" w:hAnsi="Times New Roman" w:cs="Tahoma"/>
      <w:b/>
      <w:noProof/>
      <w:sz w:val="24"/>
      <w:szCs w:val="48"/>
    </w:rPr>
  </w:style>
  <w:style w:type="character" w:customStyle="1" w:styleId="Head1Char1">
    <w:name w:val="Head 1 Char1"/>
    <w:basedOn w:val="Zadanifontodlomka"/>
    <w:link w:val="Head10"/>
    <w:rsid w:val="0079456B"/>
    <w:rPr>
      <w:rFonts w:ascii="Times New Roman" w:hAnsi="Times New Roman" w:cs="Tahoma"/>
      <w:b/>
      <w:noProof/>
      <w:sz w:val="2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27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digarhiv.gov.hr/arhiva/263/232495/narodne-novine.nn.hr/clanci/sluzbeni/full/2021_10_111_1940.html" TargetMode="External"/><Relationship Id="rId26" Type="http://schemas.openxmlformats.org/officeDocument/2006/relationships/hyperlink" Target="https://www.hep.hr/ods/UserDocsImages/dokumenti/Izvjestaj_o_kvaliteti_opskrbe_ee_za_2021.%20godinu.pdf" TargetMode="External"/><Relationship Id="rId3" Type="http://schemas.openxmlformats.org/officeDocument/2006/relationships/styles" Target="styles.xml"/><Relationship Id="rId21" Type="http://schemas.openxmlformats.org/officeDocument/2006/relationships/hyperlink" Target="https://support.microsoft.com/en-gb/windows/silverlight-end-of-support-0a3be3c7-bead-e203-2dfd-74f0a64f178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hyperlink" Target="https://oie.hr/wp-content/uploads/2021/12/EBRD-Akcijski-Plan.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mingor.gov.hr/o-ministarstvu-1065/djelokrug/uprava-za-energetiku-1999/registar-oiekpp/533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oie.hr/wp-content/uploads/2021/12/EBRD-Vodic.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mingor.gov.hr/ocjena-o-potrebi-procjene-utjecaja-zahvata-na-okolis-opuo-4016/4016" TargetMode="External"/><Relationship Id="rId28" Type="http://schemas.openxmlformats.org/officeDocument/2006/relationships/header" Target="header1.xml"/><Relationship Id="rId10" Type="http://schemas.openxmlformats.org/officeDocument/2006/relationships/hyperlink" Target="https://mingor.gov.hr/vijesti/popis-zaprimljenih-zahtjeva-s-iskazom-interesa-za-provodjenje-javnog-natjecaja-za-izdavanje-energetskog-odobrenja/8636" TargetMode="External"/><Relationship Id="rId19" Type="http://schemas.openxmlformats.org/officeDocument/2006/relationships/hyperlink" Target="http://digarhiv.gov.hr/arhiva/263/232495/narodne-novine.nn.hr/clanci/sluzbeni/full/2021_12_138_2272.html"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hyperlink" Target="https://mpgi.gov.hr/o-ministarstvu/djelokrug/prostorno-uredjenje-3335/strategija-prostornog-razvoja-republike-hrvatske/4096" TargetMode="External"/><Relationship Id="rId27" Type="http://schemas.openxmlformats.org/officeDocument/2006/relationships/hyperlink" Target="https://mingor.gov.hr/vijesti/popis-zaprimljenih-zahtjeva-s-iskazom-interesa-za-provodjenje-javnog-natjecaja-za-izdavanje-energetskog-odobrenja/8636" TargetMode="External"/><Relationship Id="rId30" Type="http://schemas.openxmlformats.org/officeDocument/2006/relationships/header" Target="header2.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energetskiinstituth-my.sharepoint.com/personal/bzidov_eihp_hr/Documents/Microsoft%20Teams%20Chat%20Files/Poglavlje%208_slike%20i%20tablic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76275941135165E-2"/>
          <c:y val="0.11603104646234196"/>
          <c:w val="0.88983142729812725"/>
          <c:h val="0.56109298896432502"/>
        </c:manualLayout>
      </c:layout>
      <c:barChart>
        <c:barDir val="col"/>
        <c:grouping val="stacked"/>
        <c:varyColors val="0"/>
        <c:ser>
          <c:idx val="0"/>
          <c:order val="0"/>
          <c:tx>
            <c:strRef>
              <c:f>'Slika 8.1.2.'!$A$7</c:f>
              <c:strCache>
                <c:ptCount val="1"/>
                <c:pt idx="0">
                  <c:v>Sunce - Solar</c:v>
                </c:pt>
              </c:strCache>
            </c:strRef>
          </c:tx>
          <c:spPr>
            <a:solidFill>
              <a:srgbClr val="FFFF66"/>
            </a:solidFill>
            <a:ln w="25400">
              <a:noFill/>
            </a:ln>
          </c:spPr>
          <c:invertIfNegative val="0"/>
          <c:cat>
            <c:strRef>
              <c:f>'Slika 8.1.2.'!$B$6:$L$6</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'Slika 8.1.2.'!$B$7:$L$7</c:f>
              <c:numCache>
                <c:formatCode>General</c:formatCode>
                <c:ptCount val="11"/>
                <c:pt idx="0">
                  <c:v>0.16400000000000001</c:v>
                </c:pt>
                <c:pt idx="1">
                  <c:v>0.31</c:v>
                </c:pt>
                <c:pt idx="2">
                  <c:v>3.95</c:v>
                </c:pt>
                <c:pt idx="3" formatCode="0.0">
                  <c:v>19.495999999999999</c:v>
                </c:pt>
                <c:pt idx="4">
                  <c:v>33.5</c:v>
                </c:pt>
                <c:pt idx="5">
                  <c:v>47.8</c:v>
                </c:pt>
                <c:pt idx="6">
                  <c:v>55.8</c:v>
                </c:pt>
                <c:pt idx="7">
                  <c:v>60</c:v>
                </c:pt>
                <c:pt idx="8">
                  <c:v>67.7</c:v>
                </c:pt>
                <c:pt idx="9">
                  <c:v>84.8</c:v>
                </c:pt>
                <c:pt idx="10">
                  <c:v>108.5</c:v>
                </c:pt>
              </c:numCache>
            </c:numRef>
          </c:val>
          <c:extLst>
            <c:ext xmlns:c16="http://schemas.microsoft.com/office/drawing/2014/chart" uri="{C3380CC4-5D6E-409C-BE32-E72D297353CC}">
              <c16:uniqueId val="{00000000-8588-414F-96CD-8B67313D9679}"/>
            </c:ext>
          </c:extLst>
        </c:ser>
        <c:ser>
          <c:idx val="1"/>
          <c:order val="1"/>
          <c:tx>
            <c:strRef>
              <c:f>'Slika 8.1.2.'!$A$8</c:f>
              <c:strCache>
                <c:ptCount val="1"/>
                <c:pt idx="0">
                  <c:v>Vjetar - Wind</c:v>
                </c:pt>
              </c:strCache>
            </c:strRef>
          </c:tx>
          <c:spPr>
            <a:solidFill>
              <a:srgbClr val="7030A0"/>
            </a:solidFill>
            <a:ln w="25400">
              <a:noFill/>
            </a:ln>
          </c:spPr>
          <c:invertIfNegative val="0"/>
          <c:cat>
            <c:strRef>
              <c:f>'Slika 8.1.2.'!$B$6:$L$6</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'Slika 8.1.2.'!$B$8:$L$8</c:f>
              <c:numCache>
                <c:formatCode>General</c:formatCode>
                <c:ptCount val="11"/>
                <c:pt idx="0">
                  <c:v>78.95</c:v>
                </c:pt>
                <c:pt idx="1">
                  <c:v>129.75</c:v>
                </c:pt>
                <c:pt idx="2">
                  <c:v>179.55</c:v>
                </c:pt>
                <c:pt idx="3">
                  <c:v>254.3</c:v>
                </c:pt>
                <c:pt idx="4">
                  <c:v>339.3</c:v>
                </c:pt>
                <c:pt idx="5">
                  <c:v>418</c:v>
                </c:pt>
                <c:pt idx="6">
                  <c:v>483.1</c:v>
                </c:pt>
                <c:pt idx="7">
                  <c:v>576.1</c:v>
                </c:pt>
                <c:pt idx="8">
                  <c:v>586.29999999999995</c:v>
                </c:pt>
                <c:pt idx="9">
                  <c:v>646.29999999999995</c:v>
                </c:pt>
                <c:pt idx="10">
                  <c:v>801.3</c:v>
                </c:pt>
              </c:numCache>
            </c:numRef>
          </c:val>
          <c:extLst>
            <c:ext xmlns:c16="http://schemas.microsoft.com/office/drawing/2014/chart" uri="{C3380CC4-5D6E-409C-BE32-E72D297353CC}">
              <c16:uniqueId val="{00000001-8588-414F-96CD-8B67313D9679}"/>
            </c:ext>
          </c:extLst>
        </c:ser>
        <c:ser>
          <c:idx val="2"/>
          <c:order val="2"/>
          <c:tx>
            <c:strRef>
              <c:f>'Slika 8.1.2.'!$A$9</c:f>
              <c:strCache>
                <c:ptCount val="1"/>
                <c:pt idx="0">
                  <c:v>Biomasa - Biomass</c:v>
                </c:pt>
              </c:strCache>
            </c:strRef>
          </c:tx>
          <c:spPr>
            <a:solidFill>
              <a:srgbClr val="92D050"/>
            </a:solidFill>
            <a:ln w="25400">
              <a:noFill/>
            </a:ln>
          </c:spPr>
          <c:invertIfNegative val="0"/>
          <c:cat>
            <c:strRef>
              <c:f>'Slika 8.1.2.'!$B$6:$L$6</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'Slika 8.1.2.'!$B$9:$L$9</c:f>
              <c:numCache>
                <c:formatCode>General</c:formatCode>
                <c:ptCount val="11"/>
                <c:pt idx="0">
                  <c:v>9.3699999999999992</c:v>
                </c:pt>
                <c:pt idx="1">
                  <c:v>14.64</c:v>
                </c:pt>
                <c:pt idx="2">
                  <c:v>18.8</c:v>
                </c:pt>
                <c:pt idx="3">
                  <c:v>23.6</c:v>
                </c:pt>
                <c:pt idx="4">
                  <c:v>27.3</c:v>
                </c:pt>
                <c:pt idx="5">
                  <c:v>24.585000000000001</c:v>
                </c:pt>
                <c:pt idx="6">
                  <c:v>26</c:v>
                </c:pt>
                <c:pt idx="7">
                  <c:v>42</c:v>
                </c:pt>
                <c:pt idx="8">
                  <c:v>64.48</c:v>
                </c:pt>
                <c:pt idx="9">
                  <c:v>75.5</c:v>
                </c:pt>
                <c:pt idx="10">
                  <c:v>80.2</c:v>
                </c:pt>
              </c:numCache>
            </c:numRef>
          </c:val>
          <c:extLst>
            <c:ext xmlns:c16="http://schemas.microsoft.com/office/drawing/2014/chart" uri="{C3380CC4-5D6E-409C-BE32-E72D297353CC}">
              <c16:uniqueId val="{00000002-8588-414F-96CD-8B67313D9679}"/>
            </c:ext>
          </c:extLst>
        </c:ser>
        <c:ser>
          <c:idx val="3"/>
          <c:order val="3"/>
          <c:tx>
            <c:strRef>
              <c:f>'Slika 8.1.2.'!$A$10</c:f>
              <c:strCache>
                <c:ptCount val="1"/>
                <c:pt idx="0">
                  <c:v>Bioplin - Biogas</c:v>
                </c:pt>
              </c:strCache>
            </c:strRef>
          </c:tx>
          <c:spPr>
            <a:solidFill>
              <a:srgbClr val="8064A2"/>
            </a:solidFill>
            <a:ln w="25400">
              <a:noFill/>
            </a:ln>
          </c:spPr>
          <c:invertIfNegative val="0"/>
          <c:cat>
            <c:strRef>
              <c:f>'Slika 8.1.2.'!$B$6:$L$6</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'Slika 8.1.2.'!$B$10:$L$10</c:f>
              <c:numCache>
                <c:formatCode>General</c:formatCode>
                <c:ptCount val="11"/>
                <c:pt idx="5">
                  <c:v>27.433</c:v>
                </c:pt>
                <c:pt idx="6">
                  <c:v>35.9</c:v>
                </c:pt>
                <c:pt idx="7">
                  <c:v>44.6</c:v>
                </c:pt>
                <c:pt idx="8">
                  <c:v>50.6</c:v>
                </c:pt>
                <c:pt idx="9">
                  <c:v>51.9</c:v>
                </c:pt>
                <c:pt idx="10">
                  <c:v>55.1</c:v>
                </c:pt>
              </c:numCache>
            </c:numRef>
          </c:val>
          <c:extLst>
            <c:ext xmlns:c16="http://schemas.microsoft.com/office/drawing/2014/chart" uri="{C3380CC4-5D6E-409C-BE32-E72D297353CC}">
              <c16:uniqueId val="{00000003-8588-414F-96CD-8B67313D9679}"/>
            </c:ext>
          </c:extLst>
        </c:ser>
        <c:ser>
          <c:idx val="4"/>
          <c:order val="4"/>
          <c:tx>
            <c:strRef>
              <c:f>'Slika 8.1.2.'!$A$11</c:f>
              <c:strCache>
                <c:ptCount val="1"/>
                <c:pt idx="0">
                  <c:v>Male hidroelektrane - Small hydro</c:v>
                </c:pt>
              </c:strCache>
            </c:strRef>
          </c:tx>
          <c:spPr>
            <a:solidFill>
              <a:srgbClr val="FF0000"/>
            </a:solidFill>
            <a:ln w="25400">
              <a:noFill/>
            </a:ln>
          </c:spPr>
          <c:invertIfNegative val="0"/>
          <c:cat>
            <c:strRef>
              <c:f>'Slika 8.1.2.'!$B$6:$L$6</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'Slika 8.1.2.'!$B$11:$L$11</c:f>
              <c:numCache>
                <c:formatCode>General</c:formatCode>
                <c:ptCount val="11"/>
                <c:pt idx="0">
                  <c:v>31.053000000000001</c:v>
                </c:pt>
                <c:pt idx="1">
                  <c:v>31.053000000000001</c:v>
                </c:pt>
                <c:pt idx="2">
                  <c:v>32.74</c:v>
                </c:pt>
                <c:pt idx="3">
                  <c:v>32.96</c:v>
                </c:pt>
                <c:pt idx="4">
                  <c:v>34.200000000000003</c:v>
                </c:pt>
                <c:pt idx="5">
                  <c:v>36</c:v>
                </c:pt>
                <c:pt idx="6">
                  <c:v>37.4</c:v>
                </c:pt>
                <c:pt idx="7">
                  <c:v>38.78</c:v>
                </c:pt>
                <c:pt idx="8">
                  <c:v>38.78</c:v>
                </c:pt>
                <c:pt idx="9">
                  <c:v>33.299999999999997</c:v>
                </c:pt>
                <c:pt idx="10">
                  <c:v>33</c:v>
                </c:pt>
              </c:numCache>
            </c:numRef>
          </c:val>
          <c:extLst>
            <c:ext xmlns:c16="http://schemas.microsoft.com/office/drawing/2014/chart" uri="{C3380CC4-5D6E-409C-BE32-E72D297353CC}">
              <c16:uniqueId val="{00000004-8588-414F-96CD-8B67313D9679}"/>
            </c:ext>
          </c:extLst>
        </c:ser>
        <c:ser>
          <c:idx val="5"/>
          <c:order val="5"/>
          <c:tx>
            <c:strRef>
              <c:f>'Slika 8.1.2.'!$A$12</c:f>
              <c:strCache>
                <c:ptCount val="1"/>
                <c:pt idx="0">
                  <c:v>Geotermalna - Geothermal</c:v>
                </c:pt>
              </c:strCache>
            </c:strRef>
          </c:tx>
          <c:spPr>
            <a:solidFill>
              <a:srgbClr val="F79646"/>
            </a:solidFill>
            <a:ln w="25400">
              <a:noFill/>
            </a:ln>
          </c:spPr>
          <c:invertIfNegative val="0"/>
          <c:cat>
            <c:strRef>
              <c:f>'Slika 8.1.2.'!$B$6:$L$6</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'Slika 8.1.2.'!$B$12:$L$12</c:f>
              <c:numCache>
                <c:formatCode>General</c:formatCode>
                <c:ptCount val="11"/>
                <c:pt idx="8">
                  <c:v>10</c:v>
                </c:pt>
                <c:pt idx="9">
                  <c:v>10</c:v>
                </c:pt>
                <c:pt idx="10">
                  <c:v>10</c:v>
                </c:pt>
              </c:numCache>
            </c:numRef>
          </c:val>
          <c:extLst>
            <c:ext xmlns:c16="http://schemas.microsoft.com/office/drawing/2014/chart" uri="{C3380CC4-5D6E-409C-BE32-E72D297353CC}">
              <c16:uniqueId val="{00000005-8588-414F-96CD-8B67313D9679}"/>
            </c:ext>
          </c:extLst>
        </c:ser>
        <c:dLbls>
          <c:showLegendKey val="0"/>
          <c:showVal val="0"/>
          <c:showCatName val="0"/>
          <c:showSerName val="0"/>
          <c:showPercent val="0"/>
          <c:showBubbleSize val="0"/>
        </c:dLbls>
        <c:gapWidth val="150"/>
        <c:overlap val="100"/>
        <c:axId val="599146431"/>
        <c:axId val="1"/>
      </c:barChart>
      <c:lineChart>
        <c:grouping val="standard"/>
        <c:varyColors val="0"/>
        <c:ser>
          <c:idx val="6"/>
          <c:order val="6"/>
          <c:tx>
            <c:strRef>
              <c:f>'Slika 8.1.2.'!$A$13</c:f>
              <c:strCache>
                <c:ptCount val="1"/>
                <c:pt idx="0">
                  <c:v>Ukupno - Total</c:v>
                </c:pt>
              </c:strCache>
            </c:strRef>
          </c:tx>
          <c:spPr>
            <a:ln w="28575" cap="rnd">
              <a:solidFill>
                <a:schemeClr val="tx1"/>
              </a:solidFill>
              <a:prstDash val="dash"/>
              <a:round/>
            </a:ln>
            <a:effectLst/>
          </c:spPr>
          <c:marker>
            <c:symbol val="none"/>
          </c:marker>
          <c:cat>
            <c:strRef>
              <c:f>'Slika 8.1.2.'!$B$6:$L$6</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'Slika 8.1.2.'!$B$13:$L$13</c:f>
              <c:numCache>
                <c:formatCode>General</c:formatCode>
                <c:ptCount val="11"/>
                <c:pt idx="0">
                  <c:v>119.53700000000001</c:v>
                </c:pt>
                <c:pt idx="1">
                  <c:v>175.75299999999999</c:v>
                </c:pt>
                <c:pt idx="2">
                  <c:v>235.04000000000002</c:v>
                </c:pt>
                <c:pt idx="3">
                  <c:v>330.35599999999999</c:v>
                </c:pt>
                <c:pt idx="4" formatCode="0">
                  <c:v>434.3</c:v>
                </c:pt>
                <c:pt idx="5" formatCode="0">
                  <c:v>553.81799999999998</c:v>
                </c:pt>
                <c:pt idx="6" formatCode="0">
                  <c:v>638.19999999999993</c:v>
                </c:pt>
                <c:pt idx="7" formatCode="0">
                  <c:v>761.48</c:v>
                </c:pt>
                <c:pt idx="8">
                  <c:v>817.86</c:v>
                </c:pt>
                <c:pt idx="9">
                  <c:v>901.79999999999984</c:v>
                </c:pt>
                <c:pt idx="10">
                  <c:v>1088.0999999999999</c:v>
                </c:pt>
              </c:numCache>
            </c:numRef>
          </c:val>
          <c:smooth val="0"/>
          <c:extLst>
            <c:ext xmlns:c16="http://schemas.microsoft.com/office/drawing/2014/chart" uri="{C3380CC4-5D6E-409C-BE32-E72D297353CC}">
              <c16:uniqueId val="{00000006-8588-414F-96CD-8B67313D9679}"/>
            </c:ext>
          </c:extLst>
        </c:ser>
        <c:dLbls>
          <c:showLegendKey val="0"/>
          <c:showVal val="0"/>
          <c:showCatName val="0"/>
          <c:showSerName val="0"/>
          <c:showPercent val="0"/>
          <c:showBubbleSize val="0"/>
        </c:dLbls>
        <c:marker val="1"/>
        <c:smooth val="0"/>
        <c:axId val="599146431"/>
        <c:axId val="1"/>
      </c:lineChart>
      <c:catAx>
        <c:axId val="59914643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venir Next LT Pro" panose="020B0504020202020204" pitchFamily="34" charset="-18"/>
                <a:ea typeface="+mn-ea"/>
                <a:cs typeface="+mn-cs"/>
              </a:defRPr>
            </a:pPr>
            <a:endParaRPr lang="sr-Latn-R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Avenir Next LT Pro" panose="020B0504020202020204" pitchFamily="34" charset="-18"/>
                <a:ea typeface="+mn-ea"/>
                <a:cs typeface="+mn-cs"/>
              </a:defRPr>
            </a:pPr>
            <a:endParaRPr lang="sr-Latn-RS"/>
          </a:p>
        </c:txPr>
        <c:crossAx val="599146431"/>
        <c:crosses val="autoZero"/>
        <c:crossBetween val="between"/>
      </c:valAx>
      <c:spPr>
        <a:noFill/>
        <a:ln w="25400">
          <a:noFill/>
        </a:ln>
      </c:spPr>
    </c:plotArea>
    <c:legend>
      <c:legendPos val="b"/>
      <c:layout>
        <c:manualLayout>
          <c:xMode val="edge"/>
          <c:yMode val="edge"/>
          <c:x val="8.143583140794719E-3"/>
          <c:y val="0.75062332483432892"/>
          <c:w val="0.98863099329247894"/>
          <c:h val="0.23022312838369194"/>
        </c:manualLayout>
      </c:layout>
      <c:overlay val="0"/>
      <c:spPr>
        <a:noFill/>
        <a:ln w="25400">
          <a:noFill/>
        </a:ln>
      </c:spPr>
      <c:txPr>
        <a:bodyPr rot="0" spcFirstLastPara="1" vertOverflow="ellipsis" vert="horz" wrap="square" anchor="ctr" anchorCtr="1"/>
        <a:lstStyle/>
        <a:p>
          <a:pPr>
            <a:defRPr sz="900" b="0" i="0" u="none" strike="noStrike" kern="1200" baseline="0">
              <a:solidFill>
                <a:sysClr val="windowText" lastClr="000000"/>
              </a:solidFill>
              <a:latin typeface="Avenir Next LT Pro" panose="020B0504020202020204" pitchFamily="34" charset="-18"/>
              <a:ea typeface="+mn-ea"/>
              <a:cs typeface="+mn-cs"/>
            </a:defRPr>
          </a:pPr>
          <a:endParaRPr lang="sr-Latn-R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venir Next LT Pro" panose="020B0504020202020204" pitchFamily="34" charset="-18"/>
        </a:defRPr>
      </a:pPr>
      <a:endParaRPr lang="sr-Latn-R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0.00172</cdr:x>
      <cdr:y>0.00098</cdr:y>
    </cdr:from>
    <cdr:to>
      <cdr:x>0.00172</cdr:x>
      <cdr:y>0.00098</cdr:y>
    </cdr:to>
    <cdr:sp macro="" textlink="">
      <cdr:nvSpPr>
        <cdr:cNvPr id="2" name="TextBox 1"/>
        <cdr:cNvSpPr txBox="1"/>
      </cdr:nvSpPr>
      <cdr:spPr>
        <a:xfrm xmlns:a="http://schemas.openxmlformats.org/drawingml/2006/main">
          <a:off x="0" y="44824"/>
          <a:ext cx="493059" cy="2330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hr-HR" sz="1100" b="1">
              <a:latin typeface="Avenir Next LT Pro" panose="020B0504020202020204" pitchFamily="34" charset="-18"/>
            </a:rPr>
            <a:t>MW</a:t>
          </a:r>
        </a:p>
      </cdr:txBody>
    </cdr:sp>
  </cdr:relSizeAnchor>
</c:userShape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856A0-3D58-4B87-9E8C-4E8EE4A8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16632</Words>
  <Characters>94803</Characters>
  <Application>Microsoft Office Word</Application>
  <DocSecurity>4</DocSecurity>
  <Lines>790</Lines>
  <Paragraphs>222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Vjekoslav Jukić</dc:creator>
  <cp:keywords/>
  <dc:description/>
  <cp:lastModifiedBy>Vjekoslav Jukić</cp:lastModifiedBy>
  <cp:revision>2</cp:revision>
  <cp:lastPrinted>2022-06-13T10:10:00Z</cp:lastPrinted>
  <dcterms:created xsi:type="dcterms:W3CDTF">2022-06-13T10:52:00Z</dcterms:created>
  <dcterms:modified xsi:type="dcterms:W3CDTF">2022-06-13T10:52:00Z</dcterms:modified>
</cp:coreProperties>
</file>