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21C" w:rsidRPr="00252103" w:rsidRDefault="00F2321C" w:rsidP="00252103">
      <w:pPr>
        <w:pStyle w:val="Naslov"/>
      </w:pPr>
      <w:bookmarkStart w:id="0" w:name="bookmark1"/>
      <w:r w:rsidRPr="00252103">
        <w:t>PRIJEDLOG ZAKONA O IZMJENAMA ZAKONA O MJERITELJSTVU</w:t>
      </w:r>
    </w:p>
    <w:p w:rsidR="00F2321C" w:rsidRPr="005F77BD" w:rsidRDefault="00F2321C" w:rsidP="00F2321C"/>
    <w:p w:rsidR="00F2321C" w:rsidRPr="00252103" w:rsidRDefault="00F2321C" w:rsidP="00252103">
      <w:pPr>
        <w:pStyle w:val="Naslov1"/>
        <w:numPr>
          <w:ilvl w:val="0"/>
          <w:numId w:val="18"/>
        </w:numPr>
      </w:pPr>
      <w:r w:rsidRPr="00252103">
        <w:t>USTAVNA OSNOVA ZA DONOŠENJE ZAKONA</w:t>
      </w:r>
      <w:bookmarkEnd w:id="0"/>
    </w:p>
    <w:p w:rsidR="00F2321C" w:rsidRDefault="00F2321C" w:rsidP="00F2321C">
      <w:pPr>
        <w:pStyle w:val="Bodytext20"/>
        <w:shd w:val="clear" w:color="auto" w:fill="auto"/>
        <w:spacing w:after="244" w:line="274" w:lineRule="exact"/>
        <w:ind w:firstLine="760"/>
        <w:jc w:val="both"/>
      </w:pPr>
      <w:r>
        <w:t>Ustavna osnova za donošenje ovoga Zakona sadržana je u odredbi članka 2. stavka 4. podstavka 1. Ustava Republike Hrvatske („Narodne novine“, broj 85/10- pročišćeni tekst i 5/14 - Odluka Ustavnog suda Republike Hrvatske).</w:t>
      </w:r>
    </w:p>
    <w:p w:rsidR="00F2321C" w:rsidRDefault="00F2321C" w:rsidP="00252103">
      <w:pPr>
        <w:pStyle w:val="Naslov1"/>
        <w:numPr>
          <w:ilvl w:val="0"/>
          <w:numId w:val="18"/>
        </w:numPr>
      </w:pPr>
      <w:bookmarkStart w:id="1" w:name="bookmark2"/>
      <w:r>
        <w:t>OCJENA STANJA I OSNOVNA PITANJA KOJA SE TREBAJU UREDITI ZAKONOM TE POSLJEDICE KOJE ĆE DONOŠENJEM ZAKONA PROISTEĆI</w:t>
      </w:r>
      <w:bookmarkEnd w:id="1"/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Zakonom o mjeriteljstvu („Narodne novine“, broj 74/14 i 111/18) uređuje se djelokrug državnih tijela te ovlaštenih tijela u mjeriteljstvu, sustav točnih i međusobno spojivih mjerenja, sustav mjernih jedinica, mjerni etaloni, utvrđivanje mjeriteljskih zahtjeva za mjerila u zakonskom mjeriteljstvu, stavljanje zakonitih mjerila na tržište i na raspolaganje na tržištu te uporabu, ovjeravanje mjerila, stavljanje pretpakovina na tržište i na raspolaganje na tržištu, mjeriteljskih zahtjevi za pretpakovine i boce kao mjerne spremnike te mjeriteljska inspekcija.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Republika Hrvatska je potpisivanjem Ugovora o pristupanju Republike Hrvatske Europskoj uniji postala stranka Ugovora o Europskoj uniji, kao i Ugovora o funkcioniranju Europske unije i Ugovora o osnivanju Europske zajednice za atomsku energiju, čime su odredbe temeljnih ugovora Europske unije postale obvezne i za Republiku Hrvatsku. Budući da je uspostava ekonomske i monetarne unije čija je valuta euro definirana Ugovorom o Europskoj uniji iz 1992. (članak 3. pročišćene verzije tog ugovora) Republika Hrvatska je putem Ugovora o pristupanju preuzela obvezu uvođenja eura kao službene valute u Republici Hrvatkoj nakon što budu ispunjeni propisani uvjeti kao i odredbe propisa koje se odnose na države članice Europske unije u kojima je euro službena valuta.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Vlada Republike Hrvatske je na sjednici održanoj 10. svibnja 2018. godine donijela Strategiju za uvođenje eura kao službene valute u Republici Hrvatskoj. U strategiji za uvođenje eura kao službene valute u Republici Hrvatskoj je ustanovljeno da zahvaljujući uravnoteženom gospodarskom rastu i ostvarenoj fiskalnoj prilagodbi Hrvatska zadovoljava sve formalne kriterije za uvođenje eura osim kriterija koji se tiče dvogodišnjeg sudjelovanja u tečajnom mehanizmu.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Vlada Republike Hrvatske je na sjednici održanoj 23. prosinca 2020. godine donijela Nacionalni plan zamjene hrvatske kune eurom u kojem je sadržan pregled svih važnijih aktivnosti koje će sudionici priprema za uvođenje eura, iz privatnog i javnog sektora, provoditi u okviru priprema za uvođenje eura.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Uvođenje eura kao službene valute u Republici Hrvatskoj zahtijeva prilagodbu pravnog okvira Republike Hrvatske u cilju osiguranja pravne sigurnosti i stvaranja uvjeta za nesmetano i učinkovito funkcioniranje gospodarstva.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Vlada Republike Hrvatske je na sjednici održanoj dana 16. rujna 2021. godine donijela Zaključak s ciljem provedbe Nacionalnog plana zamjene hrvatske kune eurom, gdje se utvrđuje popis zakona i podzakonskih propisa koje će biti potrebno izmijeniti, a radi pune prilagodbe hrvatskog zakonodavstva uvođenju eura kao službene valute u Republici Hrvatskoj, sukladno Odluci o donošenju Nacionalnog plana zamjene hrvatske kune eurom („Narodne novine“, broj 146/20.).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Osim donošenja Zakona o uvođenju eura kao službenen valute u Republici Hrvatskoj („Narodne novine“, broj 57/22), za potrebe pune prilagodbe hrvatskog zakonodavstva uvođenju eura potrebno je izmijeniti niz važećih zakonskih i podzakonskih propisa koji sadržavaju odredbe povezane s kunom.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ind w:firstLine="760"/>
        <w:jc w:val="both"/>
      </w:pPr>
      <w:r>
        <w:t>Za sve zakone iz prve skupine propisa planirano je njihovo stupanje na snagu najkasnije s datumom uvođenja eura kao službene valute u Republici Hrvatskoj.</w:t>
      </w:r>
    </w:p>
    <w:p w:rsidR="00F2321C" w:rsidRDefault="00F2321C" w:rsidP="00F2321C">
      <w:pPr>
        <w:pStyle w:val="Bodytext20"/>
        <w:shd w:val="clear" w:color="auto" w:fill="auto"/>
        <w:spacing w:after="283" w:line="240" w:lineRule="exact"/>
        <w:ind w:left="740"/>
      </w:pPr>
      <w:r>
        <w:t>Zakon o izmjenama zakona o mjeriteljstvu uvršten je u I. skupinu.</w:t>
      </w:r>
    </w:p>
    <w:p w:rsidR="00F2321C" w:rsidRDefault="00F2321C" w:rsidP="00252103">
      <w:pPr>
        <w:pStyle w:val="Naslov1"/>
        <w:numPr>
          <w:ilvl w:val="0"/>
          <w:numId w:val="18"/>
        </w:numPr>
      </w:pPr>
      <w:bookmarkStart w:id="2" w:name="bookmark3"/>
      <w:r>
        <w:lastRenderedPageBreak/>
        <w:t>OCJENA I IZVORI SREDSTAVA POTREBNIH ZA PROVEDBU ZAKONA</w:t>
      </w:r>
      <w:bookmarkEnd w:id="2"/>
    </w:p>
    <w:p w:rsidR="00F2321C" w:rsidRDefault="00F2321C" w:rsidP="00F2321C">
      <w:pPr>
        <w:pStyle w:val="Bodytext20"/>
        <w:shd w:val="clear" w:color="auto" w:fill="auto"/>
        <w:spacing w:after="271" w:line="278" w:lineRule="exact"/>
        <w:ind w:firstLine="420"/>
      </w:pPr>
      <w:r>
        <w:t>Za provedbu ovoga Zakona nije potrebno osigurati dodatna sredstva u državnom proračunu.</w:t>
      </w:r>
    </w:p>
    <w:p w:rsidR="00F2321C" w:rsidRDefault="00F2321C" w:rsidP="00252103">
      <w:pPr>
        <w:pStyle w:val="Naslov1"/>
        <w:numPr>
          <w:ilvl w:val="0"/>
          <w:numId w:val="18"/>
        </w:numPr>
      </w:pPr>
      <w:bookmarkStart w:id="3" w:name="bookmark4"/>
      <w:r>
        <w:t>TEKST PRIJEDLOGA ZAKONA, S OBRAZLOŽENJEM</w:t>
      </w:r>
      <w:bookmarkEnd w:id="3"/>
    </w:p>
    <w:p w:rsidR="00F2321C" w:rsidRDefault="00F2321C" w:rsidP="00F2321C">
      <w:pPr>
        <w:pStyle w:val="Bodytext20"/>
        <w:shd w:val="clear" w:color="auto" w:fill="auto"/>
        <w:spacing w:after="521" w:line="240" w:lineRule="exact"/>
        <w:ind w:firstLine="420"/>
      </w:pPr>
      <w:r>
        <w:t>Prilaže se tekst Prijedloga zakona o izmjenama Zakona o mjeriteljstvu, s obrazloženjem.</w:t>
      </w:r>
    </w:p>
    <w:p w:rsidR="00F2321C" w:rsidRDefault="00F2321C" w:rsidP="00252103">
      <w:pPr>
        <w:pStyle w:val="Naslov1"/>
        <w:numPr>
          <w:ilvl w:val="0"/>
          <w:numId w:val="18"/>
        </w:numPr>
      </w:pPr>
      <w:bookmarkStart w:id="4" w:name="bookmark5"/>
      <w:r>
        <w:t>TEKST ODREDBI VAŽEĆEG ZAKONA KOJE SE MIJENJAJU</w:t>
      </w:r>
      <w:bookmarkEnd w:id="4"/>
    </w:p>
    <w:p w:rsidR="00F2321C" w:rsidRDefault="00F2321C" w:rsidP="00F2321C">
      <w:pPr>
        <w:pStyle w:val="Bodytext20"/>
        <w:shd w:val="clear" w:color="auto" w:fill="auto"/>
        <w:spacing w:line="278" w:lineRule="exact"/>
        <w:ind w:firstLine="420"/>
      </w:pPr>
      <w:r>
        <w:t>Uz Prijedlog za donošenje Zakona o izmjenama Zakona o mjeriteljstvu, prilaže se tekst odredbi Zakona o mjeriteljstvu („Narodne novine“, broj 74/14 i 111/18) koje se mijenjaju.</w:t>
      </w:r>
    </w:p>
    <w:p w:rsidR="00F2321C" w:rsidRDefault="00F2321C" w:rsidP="00F2321C">
      <w:pPr>
        <w:pStyle w:val="Bodytext20"/>
        <w:shd w:val="clear" w:color="auto" w:fill="auto"/>
        <w:spacing w:line="278" w:lineRule="exact"/>
        <w:ind w:firstLine="420"/>
      </w:pPr>
    </w:p>
    <w:p w:rsidR="00F2321C" w:rsidRDefault="00F2321C" w:rsidP="00F2321C">
      <w:pPr>
        <w:pStyle w:val="Bodytext20"/>
        <w:shd w:val="clear" w:color="auto" w:fill="auto"/>
        <w:spacing w:line="278" w:lineRule="exact"/>
        <w:ind w:firstLine="420"/>
        <w:sectPr w:rsidR="00F2321C">
          <w:headerReference w:type="even" r:id="rId8"/>
          <w:footerReference w:type="even" r:id="rId9"/>
          <w:pgSz w:w="11900" w:h="16840"/>
          <w:pgMar w:top="1536" w:right="1765" w:bottom="1435" w:left="1097" w:header="0" w:footer="3" w:gutter="0"/>
          <w:cols w:space="720"/>
          <w:noEndnote/>
          <w:docGrid w:linePitch="360"/>
        </w:sectPr>
      </w:pPr>
    </w:p>
    <w:p w:rsidR="00252103" w:rsidRDefault="00F2321C" w:rsidP="00252103">
      <w:pPr>
        <w:pStyle w:val="Bodytext20"/>
        <w:shd w:val="clear" w:color="auto" w:fill="auto"/>
        <w:spacing w:line="480" w:lineRule="exact"/>
        <w:jc w:val="center"/>
        <w:outlineLvl w:val="0"/>
        <w:rPr>
          <w:rStyle w:val="Naslov1Char"/>
        </w:rPr>
      </w:pPr>
      <w:r w:rsidRPr="00252103">
        <w:rPr>
          <w:rStyle w:val="Naslov1Char"/>
        </w:rPr>
        <w:lastRenderedPageBreak/>
        <w:t>PRIJEDLOG ZAKONA O IZMJENAMA ZAKONA O MJERITELJSTVU</w:t>
      </w:r>
    </w:p>
    <w:p w:rsidR="00F2321C" w:rsidRPr="00252103" w:rsidRDefault="00252103" w:rsidP="00252103">
      <w:pPr>
        <w:pStyle w:val="Bodytext20"/>
        <w:shd w:val="clear" w:color="auto" w:fill="auto"/>
        <w:spacing w:line="480" w:lineRule="exact"/>
        <w:jc w:val="center"/>
        <w:outlineLvl w:val="1"/>
        <w:rPr>
          <w:rStyle w:val="Naslov2Char"/>
        </w:rPr>
      </w:pPr>
      <w:r w:rsidRPr="00252103">
        <w:rPr>
          <w:rStyle w:val="Naslov2Char"/>
        </w:rPr>
        <w:t>Članak 1.</w:t>
      </w:r>
      <w:r w:rsidR="00F2321C">
        <w:br/>
      </w:r>
    </w:p>
    <w:p w:rsidR="00F2321C" w:rsidRDefault="00F2321C" w:rsidP="00F2321C">
      <w:pPr>
        <w:pStyle w:val="Bodytext20"/>
        <w:shd w:val="clear" w:color="auto" w:fill="auto"/>
        <w:spacing w:line="274" w:lineRule="exact"/>
        <w:jc w:val="both"/>
      </w:pPr>
      <w:r>
        <w:t>U Zakonu o mjeriteljstvu (»Narodne novine«, br. 74/14 i 111/18) u članku 52. stavku 3. riječi: „od 1000,00 do 10.000,00 kuna“ zamjenjuju se riječima: „od 130,00 do 1.320,00 eura“, a riječi: „od 2000,00 do 50.000,00 kuna“ zamjenjuju se riječima: „od 260,00 do</w:t>
      </w:r>
    </w:p>
    <w:p w:rsidR="00F2321C" w:rsidRDefault="00F2321C" w:rsidP="00F2321C">
      <w:pPr>
        <w:pStyle w:val="Bodytext20"/>
        <w:numPr>
          <w:ilvl w:val="0"/>
          <w:numId w:val="2"/>
        </w:numPr>
        <w:shd w:val="clear" w:color="auto" w:fill="auto"/>
        <w:tabs>
          <w:tab w:val="left" w:pos="1021"/>
        </w:tabs>
        <w:spacing w:after="207" w:line="274" w:lineRule="exact"/>
        <w:jc w:val="both"/>
      </w:pPr>
      <w:r>
        <w:t>eura“.</w:t>
      </w:r>
    </w:p>
    <w:p w:rsidR="00F2321C" w:rsidRDefault="00F2321C" w:rsidP="00252103">
      <w:pPr>
        <w:pStyle w:val="Naslov2"/>
      </w:pPr>
      <w:r>
        <w:t>Članak 2.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jc w:val="both"/>
      </w:pPr>
      <w:r>
        <w:t>U članku 65. stavku 1. riječi: „od 1000,00 do 10.000,00 kuna“ zamjenjuju se riječima: „od</w:t>
      </w:r>
    </w:p>
    <w:p w:rsidR="00F2321C" w:rsidRDefault="00F2321C" w:rsidP="00F2321C">
      <w:pPr>
        <w:pStyle w:val="Bodytext20"/>
        <w:numPr>
          <w:ilvl w:val="0"/>
          <w:numId w:val="3"/>
        </w:numPr>
        <w:shd w:val="clear" w:color="auto" w:fill="auto"/>
        <w:tabs>
          <w:tab w:val="left" w:pos="855"/>
        </w:tabs>
        <w:spacing w:line="274" w:lineRule="exact"/>
        <w:jc w:val="both"/>
      </w:pPr>
      <w:r>
        <w:t>do 1.320,00 eura“, a riječi: „od 2000,00 do 50.000,00“ zamjenjuju se riječima: „od</w:t>
      </w:r>
    </w:p>
    <w:p w:rsidR="00F2321C" w:rsidRDefault="00F2321C" w:rsidP="00F2321C">
      <w:pPr>
        <w:pStyle w:val="Bodytext20"/>
        <w:numPr>
          <w:ilvl w:val="0"/>
          <w:numId w:val="4"/>
        </w:numPr>
        <w:shd w:val="clear" w:color="auto" w:fill="auto"/>
        <w:tabs>
          <w:tab w:val="left" w:pos="855"/>
        </w:tabs>
        <w:spacing w:after="207" w:line="274" w:lineRule="exact"/>
        <w:jc w:val="both"/>
      </w:pPr>
      <w:r>
        <w:t>do 6.630,00 eura“.</w:t>
      </w:r>
    </w:p>
    <w:p w:rsidR="00F2321C" w:rsidRDefault="00F2321C" w:rsidP="00F2321C">
      <w:pPr>
        <w:pStyle w:val="Bodytext20"/>
        <w:shd w:val="clear" w:color="auto" w:fill="auto"/>
        <w:spacing w:line="240" w:lineRule="exact"/>
        <w:jc w:val="both"/>
      </w:pPr>
      <w:r>
        <w:t>U stavku 2. riječi: „od 1000,00 do 10.000,00 kuna“ zamjenjuju se riječima: „od 130,00 do</w:t>
      </w:r>
    </w:p>
    <w:p w:rsidR="00F2321C" w:rsidRDefault="00F2321C" w:rsidP="00F2321C">
      <w:pPr>
        <w:pStyle w:val="Bodytext20"/>
        <w:numPr>
          <w:ilvl w:val="0"/>
          <w:numId w:val="5"/>
        </w:numPr>
        <w:shd w:val="clear" w:color="auto" w:fill="auto"/>
        <w:tabs>
          <w:tab w:val="left" w:pos="1002"/>
        </w:tabs>
        <w:spacing w:after="216" w:line="240" w:lineRule="exact"/>
        <w:jc w:val="both"/>
      </w:pPr>
      <w:r>
        <w:t>eura“.</w:t>
      </w:r>
    </w:p>
    <w:p w:rsidR="00F2321C" w:rsidRDefault="00F2321C" w:rsidP="00252103">
      <w:pPr>
        <w:pStyle w:val="Naslov2"/>
      </w:pPr>
      <w:r>
        <w:t>Članak 3.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jc w:val="both"/>
      </w:pPr>
      <w:r>
        <w:t>U članku 66. stavku 1. riječi: „od 10.000,00 do 30.000,00 kuna“ zamjenjuju se riječima: „od</w:t>
      </w:r>
    </w:p>
    <w:p w:rsidR="00F2321C" w:rsidRDefault="00F2321C" w:rsidP="00F2321C">
      <w:pPr>
        <w:pStyle w:val="Bodytext20"/>
        <w:numPr>
          <w:ilvl w:val="0"/>
          <w:numId w:val="6"/>
        </w:numPr>
        <w:shd w:val="clear" w:color="auto" w:fill="auto"/>
        <w:tabs>
          <w:tab w:val="left" w:pos="1026"/>
        </w:tabs>
        <w:spacing w:after="173" w:line="274" w:lineRule="exact"/>
        <w:jc w:val="both"/>
      </w:pPr>
      <w:r>
        <w:t>do 3.980,00 eura“, a riječi: „od 50.000,00 do 100.000,00 kuna“ zamjenjuju se riječima: „od 6.630,00 do 13.270,00 eura“.</w:t>
      </w:r>
    </w:p>
    <w:p w:rsidR="00F2321C" w:rsidRDefault="00F2321C" w:rsidP="00F2321C">
      <w:pPr>
        <w:pStyle w:val="Bodytext20"/>
        <w:shd w:val="clear" w:color="auto" w:fill="auto"/>
        <w:spacing w:after="215" w:line="283" w:lineRule="exact"/>
        <w:jc w:val="both"/>
      </w:pPr>
      <w:r>
        <w:t>U stavku 2. riječi: „od 10.000,00 do 30.000,00 kuna“ zamjenjuju se riječima: „od 1.320,00 do 3.980,00 eura“.</w:t>
      </w:r>
    </w:p>
    <w:p w:rsidR="00F2321C" w:rsidRDefault="00F2321C" w:rsidP="00252103">
      <w:pPr>
        <w:pStyle w:val="Naslov2"/>
      </w:pPr>
      <w:r>
        <w:t>Članak 4.</w:t>
      </w:r>
    </w:p>
    <w:p w:rsidR="00F2321C" w:rsidRDefault="00F2321C" w:rsidP="00F2321C">
      <w:pPr>
        <w:pStyle w:val="Bodytext20"/>
        <w:shd w:val="clear" w:color="auto" w:fill="auto"/>
        <w:spacing w:line="274" w:lineRule="exact"/>
        <w:jc w:val="both"/>
      </w:pPr>
      <w:r>
        <w:t>U članku 67. stavku 1. riječi: „od 30.000,00 do 70.000,00 kuna“ zamjenjuju se riječima: „od</w:t>
      </w:r>
    </w:p>
    <w:p w:rsidR="00F2321C" w:rsidRDefault="00F2321C" w:rsidP="00F2321C">
      <w:pPr>
        <w:pStyle w:val="Bodytext20"/>
        <w:numPr>
          <w:ilvl w:val="0"/>
          <w:numId w:val="7"/>
        </w:numPr>
        <w:shd w:val="clear" w:color="auto" w:fill="auto"/>
        <w:tabs>
          <w:tab w:val="left" w:pos="1026"/>
        </w:tabs>
        <w:spacing w:after="173" w:line="274" w:lineRule="exact"/>
        <w:jc w:val="both"/>
      </w:pPr>
      <w:r>
        <w:t>do 9.290,00 eura“, a riječi: „od 100.000,00 do 200.000,00 kuna“ zamjenjuju se riječima: „od 13.270,00 do 26.540,00 eura“.</w:t>
      </w:r>
    </w:p>
    <w:p w:rsidR="00F2321C" w:rsidRDefault="00F2321C" w:rsidP="00F2321C">
      <w:pPr>
        <w:pStyle w:val="Bodytext20"/>
        <w:shd w:val="clear" w:color="auto" w:fill="auto"/>
        <w:spacing w:after="215" w:line="283" w:lineRule="exact"/>
        <w:jc w:val="both"/>
      </w:pPr>
      <w:r>
        <w:t>U stavku 2. riječi: „od 30.000,00 do 70.000,00 kuna“ zamjenjuju se riječima: „od 3.980,00 do 9.290,00 eura“.</w:t>
      </w:r>
    </w:p>
    <w:p w:rsidR="00F2321C" w:rsidRDefault="00F2321C" w:rsidP="00252103">
      <w:pPr>
        <w:pStyle w:val="Naslov2"/>
      </w:pPr>
      <w:r>
        <w:t>Članak 5.</w:t>
      </w:r>
    </w:p>
    <w:p w:rsidR="00F2321C" w:rsidRDefault="00F2321C" w:rsidP="00F2321C">
      <w:pPr>
        <w:pStyle w:val="Bodytext20"/>
        <w:shd w:val="clear" w:color="auto" w:fill="auto"/>
        <w:spacing w:line="278" w:lineRule="exact"/>
        <w:jc w:val="both"/>
        <w:sectPr w:rsidR="00F2321C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1628" w:right="1766" w:bottom="1628" w:left="1101" w:header="0" w:footer="3" w:gutter="0"/>
          <w:cols w:space="720"/>
          <w:noEndnote/>
          <w:titlePg/>
          <w:docGrid w:linePitch="360"/>
        </w:sectPr>
      </w:pPr>
      <w:r>
        <w:t>Ovaj Zakon objavit će se u »Narodnim novinama«, a stupa na snagu na dan uvođenja eura kao službene valute u Republici Hrvatskoj.</w:t>
      </w:r>
    </w:p>
    <w:p w:rsidR="00F2321C" w:rsidRDefault="00F2321C" w:rsidP="00252103">
      <w:pPr>
        <w:pStyle w:val="Naslov1"/>
      </w:pPr>
      <w:bookmarkStart w:id="5" w:name="bookmark6"/>
      <w:r>
        <w:lastRenderedPageBreak/>
        <w:t>Obrazloženje</w:t>
      </w:r>
      <w:bookmarkEnd w:id="5"/>
    </w:p>
    <w:p w:rsidR="00F2321C" w:rsidRDefault="00F2321C" w:rsidP="00252103">
      <w:pPr>
        <w:pStyle w:val="Naslov2"/>
        <w:jc w:val="left"/>
      </w:pPr>
      <w:r>
        <w:t>Uz članak 1.</w:t>
      </w:r>
    </w:p>
    <w:p w:rsidR="00F2321C" w:rsidRDefault="00F2321C" w:rsidP="00F2321C">
      <w:pPr>
        <w:pStyle w:val="Bodytext20"/>
        <w:shd w:val="clear" w:color="auto" w:fill="auto"/>
        <w:spacing w:after="511" w:line="278" w:lineRule="exact"/>
        <w:jc w:val="both"/>
      </w:pPr>
      <w:r>
        <w:t>Odredbama ovoga članka zamjenjuju se novčani iskazi vrijednosti u kunama vrijednostima preračunatim u euro. Koristi se model preračunavanja koji se koristi u Konačnom prijedlogu Zakona o uvođenju eura kao službene valute u Republici Hrvatskoj.</w:t>
      </w:r>
    </w:p>
    <w:p w:rsidR="00F2321C" w:rsidRDefault="00F2321C" w:rsidP="00252103">
      <w:pPr>
        <w:pStyle w:val="Naslov2"/>
        <w:jc w:val="left"/>
      </w:pPr>
      <w:r>
        <w:t>Uz članak 2.</w:t>
      </w:r>
    </w:p>
    <w:p w:rsidR="00F2321C" w:rsidRDefault="00F2321C" w:rsidP="00F2321C">
      <w:pPr>
        <w:pStyle w:val="Bodytext20"/>
        <w:shd w:val="clear" w:color="auto" w:fill="auto"/>
        <w:spacing w:after="927" w:line="274" w:lineRule="exact"/>
        <w:jc w:val="both"/>
      </w:pPr>
      <w:r>
        <w:t>Odredbama ovoga članka zamjenjuju se novčani iskazi vrijednosti u kunama vrijednostima preračunatim u euro. Koristi se model preračunavanja koji se koristi u Konačnom prijedlogu Zakona o uvođenju eura kao službene valute u Republici Hrvatskoj.</w:t>
      </w:r>
    </w:p>
    <w:p w:rsidR="00F2321C" w:rsidRDefault="00F2321C" w:rsidP="00252103">
      <w:pPr>
        <w:pStyle w:val="Naslov2"/>
        <w:jc w:val="left"/>
      </w:pPr>
      <w:r>
        <w:t>Uz članak 3.</w:t>
      </w:r>
    </w:p>
    <w:p w:rsidR="00F2321C" w:rsidRDefault="00F2321C" w:rsidP="00F2321C">
      <w:pPr>
        <w:pStyle w:val="Bodytext20"/>
        <w:shd w:val="clear" w:color="auto" w:fill="auto"/>
        <w:spacing w:after="927" w:line="274" w:lineRule="exact"/>
        <w:jc w:val="both"/>
      </w:pPr>
      <w:r>
        <w:t>Odredbama ovoga članka zamjenjuju se novčani iskazi vrijednosti u kunama vrijednostima preračunatim u euro. Koristi se model preračunavanja koji se koristi u Konačnom prijedlogu Zakona o uvođenju eura kao službene valute u Republici Hrvatskoj.</w:t>
      </w:r>
    </w:p>
    <w:p w:rsidR="00F2321C" w:rsidRDefault="00F2321C" w:rsidP="00252103">
      <w:pPr>
        <w:pStyle w:val="Naslov2"/>
        <w:jc w:val="left"/>
      </w:pPr>
      <w:r>
        <w:t>Uz članak 4.</w:t>
      </w:r>
    </w:p>
    <w:p w:rsidR="00F2321C" w:rsidRDefault="00F2321C" w:rsidP="00F2321C">
      <w:pPr>
        <w:pStyle w:val="Bodytext20"/>
        <w:shd w:val="clear" w:color="auto" w:fill="auto"/>
        <w:spacing w:after="927" w:line="274" w:lineRule="exact"/>
        <w:jc w:val="both"/>
      </w:pPr>
      <w:r>
        <w:t>Odredbama ovoga članka zamjenjuju se novčani iskazi vrijednosti u kunama vrijednostima preračunatim u euro. Koristi se model preračunavanja koji se koristi u Konačnom prijedlogu Zakona o uvođenju eura kao službene valute u Republici Hrvatskoj.</w:t>
      </w:r>
    </w:p>
    <w:p w:rsidR="00F2321C" w:rsidRDefault="00F2321C" w:rsidP="00252103">
      <w:pPr>
        <w:pStyle w:val="Naslov2"/>
        <w:jc w:val="left"/>
      </w:pPr>
      <w:r>
        <w:t>Uz članak 5.</w:t>
      </w:r>
    </w:p>
    <w:p w:rsidR="00F2321C" w:rsidRDefault="00F2321C" w:rsidP="00F2321C">
      <w:pPr>
        <w:pStyle w:val="Bodytext20"/>
        <w:shd w:val="clear" w:color="auto" w:fill="auto"/>
        <w:spacing w:line="240" w:lineRule="exact"/>
        <w:jc w:val="both"/>
        <w:sectPr w:rsidR="00F2321C">
          <w:pgSz w:w="11900" w:h="16840"/>
          <w:pgMar w:top="1152" w:right="1771" w:bottom="1152" w:left="1101" w:header="0" w:footer="3" w:gutter="0"/>
          <w:cols w:space="720"/>
          <w:noEndnote/>
          <w:docGrid w:linePitch="360"/>
        </w:sectPr>
      </w:pPr>
      <w:r>
        <w:t>Ovom odredbom utvrđuje se stupanje na snagu ovoga Zakona.</w:t>
      </w:r>
    </w:p>
    <w:p w:rsidR="00F2321C" w:rsidRDefault="00F2321C" w:rsidP="00252103">
      <w:pPr>
        <w:pStyle w:val="Naslov1"/>
      </w:pPr>
      <w:r>
        <w:lastRenderedPageBreak/>
        <w:t>TEKST ODREDBI VAŽEĆEG ZAKONA KOJE SE MIJENJAJU</w:t>
      </w:r>
    </w:p>
    <w:p w:rsidR="00252103" w:rsidRDefault="00F2321C" w:rsidP="00F2321C">
      <w:pPr>
        <w:pStyle w:val="Bodytext30"/>
        <w:shd w:val="clear" w:color="auto" w:fill="auto"/>
        <w:spacing w:before="0"/>
      </w:pPr>
      <w:r>
        <w:t>Pokretanje postupka</w:t>
      </w:r>
    </w:p>
    <w:p w:rsidR="00F2321C" w:rsidRDefault="00252103" w:rsidP="00252103">
      <w:pPr>
        <w:pStyle w:val="Naslov2"/>
      </w:pPr>
      <w:r w:rsidRPr="00252103">
        <w:rPr>
          <w:rStyle w:val="Naslov2Char"/>
        </w:rPr>
        <w:t>Članak 52.</w:t>
      </w:r>
      <w:r w:rsidR="00F2321C">
        <w:br/>
      </w:r>
    </w:p>
    <w:p w:rsidR="00F2321C" w:rsidRDefault="00F2321C" w:rsidP="00F2321C">
      <w:pPr>
        <w:pStyle w:val="Bodytext20"/>
        <w:numPr>
          <w:ilvl w:val="0"/>
          <w:numId w:val="8"/>
        </w:numPr>
        <w:shd w:val="clear" w:color="auto" w:fill="auto"/>
        <w:tabs>
          <w:tab w:val="left" w:pos="464"/>
        </w:tabs>
        <w:spacing w:line="509" w:lineRule="exact"/>
        <w:jc w:val="both"/>
      </w:pPr>
      <w:r>
        <w:t>O obavljenom inspekcijskom nadzoru inspektor je dužan sastaviti zapisnik.</w:t>
      </w:r>
    </w:p>
    <w:p w:rsidR="00F2321C" w:rsidRDefault="00F2321C" w:rsidP="00F2321C">
      <w:pPr>
        <w:pStyle w:val="Bodytext20"/>
        <w:numPr>
          <w:ilvl w:val="0"/>
          <w:numId w:val="8"/>
        </w:numPr>
        <w:shd w:val="clear" w:color="auto" w:fill="auto"/>
        <w:tabs>
          <w:tab w:val="left" w:pos="469"/>
        </w:tabs>
        <w:spacing w:after="180" w:line="274" w:lineRule="exact"/>
        <w:jc w:val="both"/>
      </w:pPr>
      <w:r>
        <w:t>Ako mjeriteljski inspektor prilikom nadzora utvrdi da je povredom propisa učinjen prekršaj ili kazneno djelo dužan je bez odgađanja, a najkasnije u roku od petnaest dana, pokrenuti prekršajni postupak ili podnijeti kaznenu prijavu.</w:t>
      </w:r>
    </w:p>
    <w:p w:rsidR="00F2321C" w:rsidRDefault="00F2321C" w:rsidP="00F2321C">
      <w:pPr>
        <w:pStyle w:val="Bodytext20"/>
        <w:numPr>
          <w:ilvl w:val="0"/>
          <w:numId w:val="8"/>
        </w:numPr>
        <w:shd w:val="clear" w:color="auto" w:fill="auto"/>
        <w:tabs>
          <w:tab w:val="left" w:pos="469"/>
        </w:tabs>
        <w:spacing w:line="274" w:lineRule="exact"/>
        <w:jc w:val="both"/>
      </w:pPr>
      <w:r>
        <w:t>Inspektor neće pokrenuti prekršajni postupak pod uvjetom da su utvrđene nepravilnosti otklonjene tijekom inspekcijskog nadzora ili najkasnije u roku od sedam dana od dana provedenoga inspekcijskog nadzora, ako se radi o prekršaju za koji je propisana novčana kazna u iznosu od 1000,00 do 10.000,00 kuna za fizičku osobu, odnosno od 2000,00 do</w:t>
      </w:r>
    </w:p>
    <w:p w:rsidR="00F2321C" w:rsidRDefault="00F2321C" w:rsidP="00F2321C">
      <w:pPr>
        <w:pStyle w:val="Bodytext20"/>
        <w:numPr>
          <w:ilvl w:val="0"/>
          <w:numId w:val="9"/>
        </w:numPr>
        <w:shd w:val="clear" w:color="auto" w:fill="auto"/>
        <w:tabs>
          <w:tab w:val="left" w:pos="365"/>
        </w:tabs>
        <w:spacing w:after="588" w:line="274" w:lineRule="exact"/>
        <w:jc w:val="both"/>
      </w:pPr>
      <w:r>
        <w:t>00 kuna za pravnu osobu.</w:t>
      </w:r>
    </w:p>
    <w:p w:rsidR="00F2321C" w:rsidRDefault="00F2321C" w:rsidP="00F2321C">
      <w:pPr>
        <w:pStyle w:val="Heading10"/>
        <w:keepNext/>
        <w:keepLines/>
        <w:shd w:val="clear" w:color="auto" w:fill="auto"/>
        <w:spacing w:before="0"/>
      </w:pPr>
      <w:bookmarkStart w:id="6" w:name="bookmark7"/>
      <w:r>
        <w:t>VIII. PREK</w:t>
      </w:r>
      <w:bookmarkStart w:id="7" w:name="_GoBack"/>
      <w:bookmarkEnd w:id="7"/>
      <w:r>
        <w:t>RŠAJNE ODREDBE</w:t>
      </w:r>
      <w:bookmarkEnd w:id="6"/>
    </w:p>
    <w:p w:rsidR="00F2321C" w:rsidRDefault="00F2321C" w:rsidP="00252103">
      <w:pPr>
        <w:pStyle w:val="Naslov2"/>
      </w:pPr>
      <w:r>
        <w:t>Članak 65.</w:t>
      </w:r>
    </w:p>
    <w:p w:rsidR="00F2321C" w:rsidRDefault="00F2321C" w:rsidP="00F2321C">
      <w:pPr>
        <w:pStyle w:val="Bodytext20"/>
        <w:numPr>
          <w:ilvl w:val="0"/>
          <w:numId w:val="10"/>
        </w:numPr>
        <w:shd w:val="clear" w:color="auto" w:fill="auto"/>
        <w:tabs>
          <w:tab w:val="left" w:pos="464"/>
        </w:tabs>
        <w:spacing w:after="184" w:line="278" w:lineRule="exact"/>
        <w:jc w:val="both"/>
      </w:pPr>
      <w:r>
        <w:t>Novčanom kaznom od 1000,00 do 10.000,00 kuna kaznit će se za prekršaj fizička osoba, odnosno novčanom kaznom od 2000,00 do 50.000,00 pravna osoba:</w:t>
      </w:r>
    </w:p>
    <w:p w:rsidR="00F2321C" w:rsidRDefault="00F2321C" w:rsidP="00F2321C">
      <w:pPr>
        <w:pStyle w:val="Bodytext20"/>
        <w:numPr>
          <w:ilvl w:val="0"/>
          <w:numId w:val="11"/>
        </w:numPr>
        <w:shd w:val="clear" w:color="auto" w:fill="auto"/>
        <w:tabs>
          <w:tab w:val="left" w:pos="349"/>
        </w:tabs>
        <w:spacing w:after="180" w:line="274" w:lineRule="exact"/>
        <w:jc w:val="both"/>
      </w:pPr>
      <w:r>
        <w:t>ako u radnom prostoru drži mjerilo koje ne upotrebljava i koje na vidljivom mjestu nije označeno oznakom »Mjerilo nije u uporabi« (članak 22. stavak 2.)</w:t>
      </w:r>
    </w:p>
    <w:p w:rsidR="00F2321C" w:rsidRDefault="00F2321C" w:rsidP="00F2321C">
      <w:pPr>
        <w:pStyle w:val="Bodytext20"/>
        <w:numPr>
          <w:ilvl w:val="0"/>
          <w:numId w:val="11"/>
        </w:numPr>
        <w:shd w:val="clear" w:color="auto" w:fill="auto"/>
        <w:tabs>
          <w:tab w:val="left" w:pos="358"/>
        </w:tabs>
        <w:spacing w:after="207" w:line="274" w:lineRule="exact"/>
        <w:jc w:val="both"/>
      </w:pPr>
      <w:r>
        <w:t>ako Zavodu ne dostavi podatke o mjerilu koje je prošlo postupak ocjenjivanja sukladnosti u roku od 30 dana od dana stavljanja mjerila u uporabu (članak 23. stavak 1. točka 6.)</w:t>
      </w:r>
    </w:p>
    <w:p w:rsidR="00F2321C" w:rsidRDefault="00F2321C" w:rsidP="00F2321C">
      <w:pPr>
        <w:pStyle w:val="Bodytext20"/>
        <w:numPr>
          <w:ilvl w:val="0"/>
          <w:numId w:val="11"/>
        </w:numPr>
        <w:shd w:val="clear" w:color="auto" w:fill="auto"/>
        <w:tabs>
          <w:tab w:val="left" w:pos="354"/>
        </w:tabs>
        <w:spacing w:after="233" w:line="240" w:lineRule="exact"/>
        <w:jc w:val="both"/>
      </w:pPr>
      <w:r>
        <w:t>ako postupi suprotno odredbi članka 35. stavka 1. ovoga Zakona.</w:t>
      </w:r>
    </w:p>
    <w:p w:rsidR="00F2321C" w:rsidRDefault="00F2321C" w:rsidP="00F2321C">
      <w:pPr>
        <w:pStyle w:val="Bodytext20"/>
        <w:numPr>
          <w:ilvl w:val="0"/>
          <w:numId w:val="10"/>
        </w:numPr>
        <w:shd w:val="clear" w:color="auto" w:fill="auto"/>
        <w:tabs>
          <w:tab w:val="left" w:pos="464"/>
        </w:tabs>
        <w:spacing w:line="240" w:lineRule="exact"/>
        <w:jc w:val="both"/>
      </w:pPr>
      <w:r>
        <w:t>Za prekršaj iz stavka 1. ovoga članka kaznit će se novčanom kaznom od 1000,00 do</w:t>
      </w:r>
    </w:p>
    <w:p w:rsidR="00F2321C" w:rsidRDefault="00F2321C" w:rsidP="00F2321C">
      <w:pPr>
        <w:pStyle w:val="Bodytext20"/>
        <w:numPr>
          <w:ilvl w:val="0"/>
          <w:numId w:val="12"/>
        </w:numPr>
        <w:shd w:val="clear" w:color="auto" w:fill="auto"/>
        <w:tabs>
          <w:tab w:val="left" w:pos="877"/>
        </w:tabs>
        <w:spacing w:after="151" w:line="240" w:lineRule="exact"/>
        <w:jc w:val="both"/>
      </w:pPr>
      <w:r>
        <w:t>00 kuna i odgovorna osoba u pravnoj osobi.</w:t>
      </w:r>
    </w:p>
    <w:p w:rsidR="00F2321C" w:rsidRDefault="00F2321C" w:rsidP="00252103">
      <w:pPr>
        <w:pStyle w:val="Naslov2"/>
      </w:pPr>
      <w:r>
        <w:t>Članak 66.</w:t>
      </w:r>
    </w:p>
    <w:p w:rsidR="00F2321C" w:rsidRDefault="00F2321C" w:rsidP="00F2321C">
      <w:pPr>
        <w:pStyle w:val="Bodytext20"/>
        <w:shd w:val="clear" w:color="auto" w:fill="auto"/>
        <w:spacing w:line="278" w:lineRule="exact"/>
        <w:jc w:val="both"/>
      </w:pPr>
      <w:r>
        <w:t>(1) Novčanom kaznom od 10.000,00 do 30.000,00 kuna kaznit će se za prekršaj fizička osoba obrtnik i osoba koja obavlja drugu samostalnu djelatnost koji je počinila u vezi s obavljanjem obrta ili samostalne djelatnosti, odnosno novčanom kaznom od 50.000,00 do</w:t>
      </w:r>
    </w:p>
    <w:p w:rsidR="00F2321C" w:rsidRDefault="00F2321C" w:rsidP="00F2321C">
      <w:pPr>
        <w:pStyle w:val="Bodytext20"/>
        <w:numPr>
          <w:ilvl w:val="0"/>
          <w:numId w:val="13"/>
        </w:numPr>
        <w:shd w:val="clear" w:color="auto" w:fill="auto"/>
        <w:tabs>
          <w:tab w:val="left" w:pos="992"/>
        </w:tabs>
        <w:spacing w:after="211" w:line="278" w:lineRule="exact"/>
        <w:jc w:val="both"/>
      </w:pPr>
      <w:r>
        <w:t>00 kuna pravna osoba: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30"/>
        </w:tabs>
        <w:spacing w:after="233" w:line="240" w:lineRule="exact"/>
        <w:jc w:val="both"/>
      </w:pPr>
      <w:r>
        <w:t>ako ne upotrebljava mjerne jedinice propisane člankom 16. ovoga Zakona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54"/>
        </w:tabs>
        <w:spacing w:after="206" w:line="240" w:lineRule="exact"/>
        <w:jc w:val="both"/>
      </w:pPr>
      <w:r>
        <w:t>ako redovno ne održava mjerilo u smislu odredbe članka 25. stavka 6. ovoga Zakona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54"/>
        </w:tabs>
        <w:spacing w:after="184" w:line="274" w:lineRule="exact"/>
        <w:jc w:val="both"/>
      </w:pPr>
      <w:r>
        <w:t>ako ne podnese zahtjev za ovjeravanje ugrađenih mjerila na koja je postavila oznake ovlaštenog tijela u roku propisanom odredbom članka 30. stavka 3. ovoga Zakona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54"/>
        </w:tabs>
        <w:spacing w:line="269" w:lineRule="exact"/>
        <w:jc w:val="both"/>
      </w:pPr>
      <w:r>
        <w:t>ako stavlja na tržište i na raspolaganje na tržištu pretpakovine koje ne udovoljavaju propisanim mjeriteljskim zahtjevima (članak 39. stavak 1.)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29"/>
        </w:tabs>
        <w:spacing w:after="180" w:line="274" w:lineRule="exact"/>
        <w:jc w:val="both"/>
      </w:pPr>
      <w:r>
        <w:t>ako stavi oznaku sukladnosti na pretpakovine koje ne udovoljavaju propisanim mjeriteljskim zahtjevima (članak 42. stavak 1.)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33"/>
        </w:tabs>
        <w:spacing w:after="176" w:line="274" w:lineRule="exact"/>
        <w:jc w:val="both"/>
      </w:pPr>
      <w:r>
        <w:t xml:space="preserve">ako stavi na tržište i na raspolaganje na tržištu boce kao mjerne spremnike koje ne udovoljavaju </w:t>
      </w:r>
      <w:r>
        <w:lastRenderedPageBreak/>
        <w:t>mjeriteljskim zahtjevima i nisu označene propisanim oznakama i natpisima (članak 43. stavak 4.)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24"/>
        </w:tabs>
        <w:spacing w:after="184" w:line="278" w:lineRule="exact"/>
        <w:jc w:val="both"/>
      </w:pPr>
      <w:r>
        <w:t>ako mjeriteljskom inspektoru ne omogući obavljanje nadzora i ne pruži potrebne podatke i obavijesti ili ne osigura uvid u poslovnu dokumentaciju (članak 53. stavak 3.)</w:t>
      </w:r>
    </w:p>
    <w:p w:rsidR="00F2321C" w:rsidRDefault="00F2321C" w:rsidP="00F2321C">
      <w:pPr>
        <w:pStyle w:val="Bodytext20"/>
        <w:numPr>
          <w:ilvl w:val="0"/>
          <w:numId w:val="14"/>
        </w:numPr>
        <w:shd w:val="clear" w:color="auto" w:fill="auto"/>
        <w:tabs>
          <w:tab w:val="left" w:pos="333"/>
        </w:tabs>
        <w:spacing w:after="207" w:line="274" w:lineRule="exact"/>
        <w:jc w:val="both"/>
      </w:pPr>
      <w:r>
        <w:t>ako u roku koji odredi inspektor ne dostavi ili ne pripremi točne i potpune podatke, obavijesti i poslovnu dokumentaciju koji su inspektoru potrebni za obavljanje inspekcijskog nadzora (članak 56.).</w:t>
      </w:r>
    </w:p>
    <w:p w:rsidR="00F2321C" w:rsidRDefault="00F2321C" w:rsidP="00F2321C">
      <w:pPr>
        <w:pStyle w:val="Bodytext20"/>
        <w:shd w:val="clear" w:color="auto" w:fill="auto"/>
        <w:spacing w:line="240" w:lineRule="exact"/>
        <w:jc w:val="both"/>
      </w:pPr>
      <w:r>
        <w:t>(2) Za prekršaj iz stavka 1. ovoga članka kaznit će se novčanom kaznom od 10.000,00 do</w:t>
      </w:r>
    </w:p>
    <w:p w:rsidR="00F2321C" w:rsidRDefault="00F2321C" w:rsidP="00F2321C">
      <w:pPr>
        <w:pStyle w:val="Bodytext20"/>
        <w:numPr>
          <w:ilvl w:val="0"/>
          <w:numId w:val="15"/>
        </w:numPr>
        <w:shd w:val="clear" w:color="auto" w:fill="auto"/>
        <w:tabs>
          <w:tab w:val="left" w:pos="866"/>
        </w:tabs>
        <w:spacing w:after="156" w:line="240" w:lineRule="exact"/>
        <w:jc w:val="both"/>
      </w:pPr>
      <w:r>
        <w:t>00 kuna i odgovorna osoba u pravnoj osobi.</w:t>
      </w:r>
    </w:p>
    <w:p w:rsidR="00F2321C" w:rsidRDefault="00F2321C" w:rsidP="00252103">
      <w:pPr>
        <w:pStyle w:val="Naslov2"/>
      </w:pPr>
      <w:r>
        <w:t>Članak 67.</w:t>
      </w:r>
    </w:p>
    <w:p w:rsidR="00F2321C" w:rsidRDefault="00F2321C" w:rsidP="00F2321C">
      <w:pPr>
        <w:pStyle w:val="Bodytext20"/>
        <w:numPr>
          <w:ilvl w:val="0"/>
          <w:numId w:val="16"/>
        </w:numPr>
        <w:shd w:val="clear" w:color="auto" w:fill="auto"/>
        <w:tabs>
          <w:tab w:val="left" w:pos="444"/>
        </w:tabs>
        <w:spacing w:after="180" w:line="274" w:lineRule="exact"/>
        <w:jc w:val="both"/>
      </w:pPr>
      <w:r>
        <w:t>Novčanom kaznom od 30.000,00 do 70.000,00 kuna kaznit će se za prekršaj fizička osoba obrtnik i osoba koja obavlja drugu samostalnu djelatnost koji je počinila u vezi s obavljanjem obrta ili samostalne djelatnosti, odnosno od 100.000,00 do 200.000,00 kuna pravna osoba: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29"/>
        </w:tabs>
        <w:spacing w:after="207" w:line="274" w:lineRule="exact"/>
        <w:jc w:val="both"/>
      </w:pPr>
      <w:r>
        <w:t>ako obavlja poslove ovjeravanja zakonitih mjerila i/ili poslove pripreme zakonitih mjerila za ovjeravanje iz članka 7. stavka 1. ovoga Zakona bez rješenja o odobrenju Zavoda iz članka 7. stavka 2. ovoga Zakona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29"/>
        </w:tabs>
        <w:spacing w:after="206" w:line="240" w:lineRule="exact"/>
        <w:jc w:val="both"/>
      </w:pPr>
      <w:r>
        <w:t>ako postupa suprotno odredbi članka 10. stavka 1. ovoga Zakona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29"/>
        </w:tabs>
        <w:spacing w:after="180" w:line="274" w:lineRule="exact"/>
        <w:jc w:val="both"/>
      </w:pPr>
      <w:r>
        <w:t>ako stavlja na raspolaganje na tržištu mjerila koja nisu označena propisanim oznakama sukladnosti, odnosno ako nisu označena službenom oznakom tipa mjerila i oznakom prve ovjere (članak 21. stavak 1.)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29"/>
        </w:tabs>
        <w:spacing w:after="180" w:line="274" w:lineRule="exact"/>
        <w:jc w:val="both"/>
      </w:pPr>
      <w:r>
        <w:t>ako upotrebljava zakonita mjerila koja ne udovoljavaju propisanim mjeriteljskim zahtjevima, koja nisu ispitana, ovjerena i koja nisu označena propisanim ovjernim oznakama (članak 22. stavak 1.)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38"/>
        </w:tabs>
        <w:spacing w:after="207" w:line="274" w:lineRule="exact"/>
        <w:jc w:val="both"/>
      </w:pPr>
      <w:r>
        <w:t>ako u obavljanju djelatnosti ne postavi i ne rabi mjerila u odgovarajućim uvjetima za rad mjerila i na način na koji se osigurava potrebna točnost mjerenja (članak 22. stavak 3.)</w:t>
      </w:r>
    </w:p>
    <w:p w:rsidR="00F2321C" w:rsidRDefault="00F2321C" w:rsidP="00F2321C">
      <w:pPr>
        <w:pStyle w:val="Bodytext20"/>
        <w:numPr>
          <w:ilvl w:val="0"/>
          <w:numId w:val="17"/>
        </w:numPr>
        <w:shd w:val="clear" w:color="auto" w:fill="auto"/>
        <w:tabs>
          <w:tab w:val="left" w:pos="324"/>
        </w:tabs>
        <w:spacing w:after="233" w:line="240" w:lineRule="exact"/>
        <w:jc w:val="both"/>
      </w:pPr>
      <w:r>
        <w:t>ako postupa suprotno odredbi članka 23. stavka 1. točaka 1., 2., 3., 4. i 5. ovoga Zakona.</w:t>
      </w:r>
    </w:p>
    <w:p w:rsidR="00F2321C" w:rsidRDefault="00F2321C" w:rsidP="00F2321C">
      <w:pPr>
        <w:pStyle w:val="Bodytext20"/>
        <w:numPr>
          <w:ilvl w:val="0"/>
          <w:numId w:val="16"/>
        </w:numPr>
        <w:shd w:val="clear" w:color="auto" w:fill="auto"/>
        <w:tabs>
          <w:tab w:val="left" w:pos="439"/>
        </w:tabs>
        <w:spacing w:line="240" w:lineRule="exact"/>
        <w:jc w:val="both"/>
      </w:pPr>
      <w:r>
        <w:t>Za prekršaj iz stavka 1. ovoga članka kaznit će se novčanom kaznom od 30.000,00 do 70.000,00 kuna i odgovorna osoba u pravnoj osobi</w:t>
      </w:r>
    </w:p>
    <w:p w:rsidR="00532957" w:rsidRDefault="00532957"/>
    <w:sectPr w:rsidR="00532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E78" w:rsidRDefault="004D3E78">
      <w:r>
        <w:separator/>
      </w:r>
    </w:p>
  </w:endnote>
  <w:endnote w:type="continuationSeparator" w:id="0">
    <w:p w:rsidR="004D3E78" w:rsidRDefault="004D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F2321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A535C20" wp14:editId="7B022445">
              <wp:simplePos x="0" y="0"/>
              <wp:positionH relativeFrom="page">
                <wp:posOffset>6344285</wp:posOffset>
              </wp:positionH>
              <wp:positionV relativeFrom="page">
                <wp:posOffset>9869805</wp:posOffset>
              </wp:positionV>
              <wp:extent cx="70485" cy="160655"/>
              <wp:effectExtent l="635" t="190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9D" w:rsidRDefault="00F2321C"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802DC">
                            <w:rPr>
                              <w:rStyle w:val="Headerorfooter11pt"/>
                              <w:rFonts w:eastAsia="Arial Unicode MS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1pt"/>
                              <w:rFonts w:eastAsia="Arial Unicode MS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35C2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499.55pt;margin-top:777.15pt;width:5.5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" filled="f" stroked="f">
              <v:textbox style="mso-fit-shape-to-text:t" inset="0,0,0,0">
                <w:txbxContent>
                  <w:p w:rsidR="00F91E9D" w:rsidRDefault="00F2321C"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802DC">
                      <w:rPr>
                        <w:rStyle w:val="Headerorfooter11pt"/>
                        <w:rFonts w:eastAsia="Arial Unicode MS"/>
                        <w:noProof/>
                      </w:rPr>
                      <w:t>2</w:t>
                    </w:r>
                    <w:r>
                      <w:rPr>
                        <w:rStyle w:val="Headerorfooter11pt"/>
                        <w:rFonts w:eastAsia="Arial Unicode MS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4D3E78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4D3E78">
    <w:pPr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4D3E78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E78" w:rsidRDefault="004D3E78">
      <w:r>
        <w:separator/>
      </w:r>
    </w:p>
  </w:footnote>
  <w:footnote w:type="continuationSeparator" w:id="0">
    <w:p w:rsidR="004D3E78" w:rsidRDefault="004D3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F2321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71614EC3" wp14:editId="3D1784ED">
              <wp:simplePos x="0" y="0"/>
              <wp:positionH relativeFrom="page">
                <wp:posOffset>1086485</wp:posOffset>
              </wp:positionH>
              <wp:positionV relativeFrom="page">
                <wp:posOffset>686435</wp:posOffset>
              </wp:positionV>
              <wp:extent cx="4928235" cy="175260"/>
              <wp:effectExtent l="635" t="63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82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1E9D" w:rsidRDefault="00F2321C">
                          <w:r>
                            <w:rPr>
                              <w:rStyle w:val="Headerorfooter"/>
                              <w:rFonts w:eastAsia="Arial Unicode MS"/>
                              <w:b w:val="0"/>
                              <w:bCs w:val="0"/>
                            </w:rPr>
                            <w:t>PRIJEDLOG ZAKONA O IZMJENAMA ZAKONA O MJERITELJSTVU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14EC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5.55pt;margin-top:54.05pt;width:388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" filled="f" stroked="f">
              <v:textbox style="mso-fit-shape-to-text:t" inset="0,0,0,0">
                <w:txbxContent>
                  <w:p w:rsidR="00F91E9D" w:rsidRDefault="00F2321C">
                    <w:r>
                      <w:rPr>
                        <w:rStyle w:val="Headerorfooter"/>
                        <w:rFonts w:eastAsia="Arial Unicode MS"/>
                        <w:b w:val="0"/>
                        <w:bCs w:val="0"/>
                      </w:rPr>
                      <w:t>PRIJEDLOG ZAKONA O IZMJENAMA ZAKONA O MJERITELJSTVU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4D3E7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E9D" w:rsidRDefault="004D3E78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19EC"/>
    <w:multiLevelType w:val="multilevel"/>
    <w:tmpl w:val="34949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347FBF"/>
    <w:multiLevelType w:val="multilevel"/>
    <w:tmpl w:val="4656D75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2B74C3"/>
    <w:multiLevelType w:val="multilevel"/>
    <w:tmpl w:val="7B84E7A8"/>
    <w:lvl w:ilvl="0">
      <w:numFmt w:val="decimal"/>
      <w:lvlText w:val="26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014798"/>
    <w:multiLevelType w:val="multilevel"/>
    <w:tmpl w:val="CF6C0AC6"/>
    <w:lvl w:ilvl="0">
      <w:numFmt w:val="decimal"/>
      <w:lvlText w:val="10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F92866"/>
    <w:multiLevelType w:val="multilevel"/>
    <w:tmpl w:val="0FBAA6F8"/>
    <w:lvl w:ilvl="0">
      <w:numFmt w:val="decimal"/>
      <w:lvlText w:val="13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DE2EAC"/>
    <w:multiLevelType w:val="multilevel"/>
    <w:tmpl w:val="71F6839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621F9C"/>
    <w:multiLevelType w:val="multilevel"/>
    <w:tmpl w:val="A0CAE366"/>
    <w:lvl w:ilvl="0">
      <w:numFmt w:val="decimal"/>
      <w:lvlText w:val="6.63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D74CBA"/>
    <w:multiLevelType w:val="multilevel"/>
    <w:tmpl w:val="98149F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E03A81"/>
    <w:multiLevelType w:val="multilevel"/>
    <w:tmpl w:val="708623F0"/>
    <w:lvl w:ilvl="0"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D8D6C51"/>
    <w:multiLevelType w:val="multilevel"/>
    <w:tmpl w:val="72547368"/>
    <w:lvl w:ilvl="0">
      <w:numFmt w:val="decimal"/>
      <w:lvlText w:val="1.32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DBD1999"/>
    <w:multiLevelType w:val="multilevel"/>
    <w:tmpl w:val="8ACC4C9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1669C8"/>
    <w:multiLevelType w:val="multilevel"/>
    <w:tmpl w:val="D1F2BCB2"/>
    <w:lvl w:ilvl="0">
      <w:numFmt w:val="decimal"/>
      <w:lvlText w:val="1.32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EC76B9B"/>
    <w:multiLevelType w:val="multilevel"/>
    <w:tmpl w:val="CA5481B8"/>
    <w:lvl w:ilvl="0">
      <w:numFmt w:val="decimal"/>
      <w:lvlText w:val="50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192696"/>
    <w:multiLevelType w:val="multilevel"/>
    <w:tmpl w:val="F63ABBF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8F748D5"/>
    <w:multiLevelType w:val="hybridMultilevel"/>
    <w:tmpl w:val="6EA8C61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245A"/>
    <w:multiLevelType w:val="multilevel"/>
    <w:tmpl w:val="B9104A4A"/>
    <w:lvl w:ilvl="0">
      <w:numFmt w:val="decimal"/>
      <w:lvlText w:val="3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38F7FE1"/>
    <w:multiLevelType w:val="multilevel"/>
    <w:tmpl w:val="7D801E9C"/>
    <w:lvl w:ilvl="0">
      <w:numFmt w:val="decimal"/>
      <w:lvlText w:val="3.980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FD76A7"/>
    <w:multiLevelType w:val="multilevel"/>
    <w:tmpl w:val="4FDAE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6"/>
  </w:num>
  <w:num w:numId="3">
    <w:abstractNumId w:val="4"/>
  </w:num>
  <w:num w:numId="4">
    <w:abstractNumId w:val="2"/>
  </w:num>
  <w:num w:numId="5">
    <w:abstractNumId w:val="11"/>
  </w:num>
  <w:num w:numId="6">
    <w:abstractNumId w:val="9"/>
  </w:num>
  <w:num w:numId="7">
    <w:abstractNumId w:val="16"/>
  </w:num>
  <w:num w:numId="8">
    <w:abstractNumId w:val="10"/>
  </w:num>
  <w:num w:numId="9">
    <w:abstractNumId w:val="12"/>
  </w:num>
  <w:num w:numId="10">
    <w:abstractNumId w:val="1"/>
  </w:num>
  <w:num w:numId="11">
    <w:abstractNumId w:val="17"/>
  </w:num>
  <w:num w:numId="12">
    <w:abstractNumId w:val="8"/>
  </w:num>
  <w:num w:numId="13">
    <w:abstractNumId w:val="3"/>
  </w:num>
  <w:num w:numId="14">
    <w:abstractNumId w:val="7"/>
  </w:num>
  <w:num w:numId="15">
    <w:abstractNumId w:val="15"/>
  </w:num>
  <w:num w:numId="16">
    <w:abstractNumId w:val="5"/>
  </w:num>
  <w:num w:numId="17">
    <w:abstractNumId w:val="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21C"/>
    <w:rsid w:val="00252103"/>
    <w:rsid w:val="004D3E78"/>
    <w:rsid w:val="00532957"/>
    <w:rsid w:val="00F2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F0C2"/>
  <w15:chartTrackingRefBased/>
  <w15:docId w15:val="{F0F37F5D-0115-40D8-A4FB-0BC9143FE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232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hr-HR" w:bidi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252103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b/>
      <w:color w:val="auto"/>
      <w:sz w:val="2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52103"/>
    <w:pPr>
      <w:keepNext/>
      <w:keepLines/>
      <w:spacing w:before="40"/>
      <w:jc w:val="center"/>
      <w:outlineLvl w:val="1"/>
    </w:pPr>
    <w:rPr>
      <w:rFonts w:ascii="Times New Roman" w:eastAsiaTheme="majorEastAsia" w:hAnsi="Times New Roman" w:cstheme="majorBidi"/>
      <w:color w:val="auto"/>
      <w:sz w:val="22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orfooter11pt">
    <w:name w:val="Header or footer + 11 pt"/>
    <w:basedOn w:val="Zadanifontodlomka"/>
    <w:rsid w:val="00F23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r-HR" w:eastAsia="hr-HR" w:bidi="hr-HR"/>
    </w:rPr>
  </w:style>
  <w:style w:type="character" w:customStyle="1" w:styleId="Heading2">
    <w:name w:val="Heading #2_"/>
    <w:basedOn w:val="Zadanifontodlomka"/>
    <w:link w:val="Heading20"/>
    <w:rsid w:val="00F2321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erorfooter">
    <w:name w:val="Header or footer"/>
    <w:basedOn w:val="Zadanifontodlomka"/>
    <w:rsid w:val="00F232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sid w:val="00F2321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Zadanifontodlomka"/>
    <w:link w:val="Bodytext30"/>
    <w:rsid w:val="00F2321C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312ptNotItalic">
    <w:name w:val="Body text (3) + 12 pt;Not Italic"/>
    <w:basedOn w:val="Bodytext3"/>
    <w:rsid w:val="00F232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r-HR" w:eastAsia="hr-HR" w:bidi="hr-HR"/>
    </w:rPr>
  </w:style>
  <w:style w:type="character" w:customStyle="1" w:styleId="Heading1">
    <w:name w:val="Heading #1_"/>
    <w:basedOn w:val="Zadanifontodlomka"/>
    <w:link w:val="Heading10"/>
    <w:rsid w:val="00F2321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F2321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Heading20">
    <w:name w:val="Heading #2"/>
    <w:basedOn w:val="Normal"/>
    <w:link w:val="Heading2"/>
    <w:rsid w:val="00F2321C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Bodytext30">
    <w:name w:val="Body text (3)"/>
    <w:basedOn w:val="Normal"/>
    <w:link w:val="Bodytext3"/>
    <w:rsid w:val="00F2321C"/>
    <w:pPr>
      <w:shd w:val="clear" w:color="auto" w:fill="FFFFFF"/>
      <w:spacing w:before="300" w:line="509" w:lineRule="exact"/>
      <w:jc w:val="center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paragraph" w:customStyle="1" w:styleId="Heading10">
    <w:name w:val="Heading #1"/>
    <w:basedOn w:val="Normal"/>
    <w:link w:val="Heading1"/>
    <w:rsid w:val="00F2321C"/>
    <w:pPr>
      <w:shd w:val="clear" w:color="auto" w:fill="FFFFFF"/>
      <w:spacing w:before="780" w:line="514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Naslov">
    <w:name w:val="Title"/>
    <w:basedOn w:val="Normal"/>
    <w:next w:val="Normal"/>
    <w:link w:val="NaslovChar"/>
    <w:uiPriority w:val="10"/>
    <w:qFormat/>
    <w:rsid w:val="00F2321C"/>
    <w:pPr>
      <w:contextualSpacing/>
      <w:jc w:val="center"/>
    </w:pPr>
    <w:rPr>
      <w:rFonts w:ascii="Times New Roman" w:eastAsiaTheme="majorEastAsia" w:hAnsi="Times New Roman" w:cstheme="majorBidi"/>
      <w:color w:val="auto"/>
      <w:spacing w:val="-10"/>
      <w:kern w:val="28"/>
      <w:sz w:val="40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2321C"/>
    <w:rPr>
      <w:rFonts w:ascii="Times New Roman" w:eastAsiaTheme="majorEastAsia" w:hAnsi="Times New Roman" w:cstheme="majorBidi"/>
      <w:spacing w:val="-10"/>
      <w:kern w:val="28"/>
      <w:sz w:val="40"/>
      <w:szCs w:val="56"/>
      <w:lang w:eastAsia="hr-HR" w:bidi="hr-HR"/>
    </w:rPr>
  </w:style>
  <w:style w:type="character" w:customStyle="1" w:styleId="Naslov1Char">
    <w:name w:val="Naslov 1 Char"/>
    <w:basedOn w:val="Zadanifontodlomka"/>
    <w:link w:val="Naslov1"/>
    <w:uiPriority w:val="9"/>
    <w:rsid w:val="00252103"/>
    <w:rPr>
      <w:rFonts w:ascii="Times New Roman" w:eastAsiaTheme="majorEastAsia" w:hAnsi="Times New Roman" w:cstheme="majorBidi"/>
      <w:b/>
      <w:szCs w:val="32"/>
      <w:lang w:eastAsia="hr-HR" w:bidi="hr-HR"/>
    </w:rPr>
  </w:style>
  <w:style w:type="character" w:customStyle="1" w:styleId="Naslov2Char">
    <w:name w:val="Naslov 2 Char"/>
    <w:basedOn w:val="Zadanifontodlomka"/>
    <w:link w:val="Naslov2"/>
    <w:uiPriority w:val="9"/>
    <w:rsid w:val="00252103"/>
    <w:rPr>
      <w:rFonts w:ascii="Times New Roman" w:eastAsiaTheme="majorEastAsia" w:hAnsi="Times New Roman" w:cstheme="majorBidi"/>
      <w:szCs w:val="26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F02C-99B3-4902-83AC-2FC1C4828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1658</Words>
  <Characters>9454</Characters>
  <Application>Microsoft Office Word</Application>
  <DocSecurity>0</DocSecurity>
  <Lines>78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Volarić-Bonefačić, Valerija</dc:creator>
  <cp:keywords/>
  <dc:description/>
  <cp:lastModifiedBy>Volarić-Bonefačić, Valerija</cp:lastModifiedBy>
  <cp:revision>2</cp:revision>
  <dcterms:created xsi:type="dcterms:W3CDTF">2022-07-25T14:38:00Z</dcterms:created>
  <dcterms:modified xsi:type="dcterms:W3CDTF">2022-07-26T09:52:00Z</dcterms:modified>
</cp:coreProperties>
</file>