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DFE" w:rsidRPr="007A63A5" w:rsidRDefault="00155DFE" w:rsidP="007A63A5">
      <w:pPr>
        <w:pStyle w:val="Naslov"/>
      </w:pPr>
      <w:bookmarkStart w:id="0" w:name="bookmark0"/>
      <w:r w:rsidRPr="007A63A5">
        <w:t>PRIJEDLOG ZAKONA O IZMJENAMA ZAKONA O NADZORU PREDMETA OD</w:t>
      </w:r>
      <w:bookmarkStart w:id="1" w:name="bookmark1"/>
      <w:bookmarkEnd w:id="0"/>
      <w:r w:rsidRPr="007A63A5">
        <w:t>PLEMENITIH KOVINA</w:t>
      </w:r>
      <w:bookmarkEnd w:id="1"/>
    </w:p>
    <w:p w:rsidR="00155DFE" w:rsidRPr="00155DFE" w:rsidRDefault="00155DFE" w:rsidP="00155DFE"/>
    <w:p w:rsidR="00155DFE" w:rsidRDefault="00155DFE" w:rsidP="007A63A5">
      <w:pPr>
        <w:pStyle w:val="Naslov1"/>
        <w:numPr>
          <w:ilvl w:val="0"/>
          <w:numId w:val="10"/>
        </w:numPr>
      </w:pPr>
      <w:bookmarkStart w:id="2" w:name="bookmark2"/>
      <w:r>
        <w:t>USTAVNA OSNOVA ZA DONOŠENJE ZAKONA</w:t>
      </w:r>
      <w:bookmarkEnd w:id="2"/>
    </w:p>
    <w:p w:rsidR="00155DFE" w:rsidRDefault="00155DFE" w:rsidP="00155DFE">
      <w:pPr>
        <w:pStyle w:val="Bodytext20"/>
        <w:shd w:val="clear" w:color="auto" w:fill="auto"/>
        <w:spacing w:after="240" w:line="274" w:lineRule="exact"/>
        <w:ind w:firstLine="760"/>
        <w:jc w:val="both"/>
      </w:pPr>
      <w:r>
        <w:t>Ustavna osnova za donošenje ovoga Zakona sadržana je u odredbi članka 2. stavka 4. podstavka 1. Ustava Republike Hrvatske („Narodne novine“, broj 85/10.- pročišćeni tekst i br. 5/14. - Odluka Ustavnog suda Republike Hrvatske).</w:t>
      </w:r>
    </w:p>
    <w:p w:rsidR="00155DFE" w:rsidRDefault="00155DFE" w:rsidP="007A63A5">
      <w:pPr>
        <w:pStyle w:val="Naslov1"/>
        <w:numPr>
          <w:ilvl w:val="0"/>
          <w:numId w:val="10"/>
        </w:numPr>
      </w:pPr>
      <w:bookmarkStart w:id="3" w:name="bookmark3"/>
      <w:r>
        <w:t>OCJENA STANJA I OSNOVNA PITANJA KOJA SE TREBAJU UREDITI ZAKONOM TE POSLJEDICE KOJE ĆE DONOŠENJEM ZAKONA PROISTEĆI</w:t>
      </w:r>
      <w:bookmarkEnd w:id="3"/>
    </w:p>
    <w:p w:rsidR="00155DFE" w:rsidRDefault="00155DFE" w:rsidP="00155DFE">
      <w:pPr>
        <w:pStyle w:val="Bodytext20"/>
        <w:shd w:val="clear" w:color="auto" w:fill="auto"/>
        <w:spacing w:line="274" w:lineRule="exact"/>
        <w:ind w:firstLine="760"/>
        <w:jc w:val="both"/>
      </w:pPr>
      <w:r>
        <w:t xml:space="preserve">Zakonom o nadzoru predmeta od plemenitih kovina („Narodne novine“, broj 36/15) propisuju se tehnički zahtjevi u pogledu stupnja čistoće koje moraju ispunjavati predmeti od plemenitih kovina, postupak označivanja, postupak ispitivanja i žigosanja predmeta od plemenitih kovina koji se stavljaju na tržište ili na raspolaganje na tržištu, prava i obveze proizvođača odnosno dobavljača </w:t>
      </w:r>
      <w:proofErr w:type="spellStart"/>
      <w:r>
        <w:t>predmta</w:t>
      </w:r>
      <w:proofErr w:type="spellEnd"/>
      <w:r>
        <w:t xml:space="preserve"> od plemenitih kovina, te inspekcijski nadzor nad primjenom zakona.</w:t>
      </w:r>
    </w:p>
    <w:p w:rsidR="00155DFE" w:rsidRDefault="00155DFE" w:rsidP="00155DFE">
      <w:pPr>
        <w:pStyle w:val="Bodytext20"/>
        <w:shd w:val="clear" w:color="auto" w:fill="auto"/>
        <w:spacing w:line="274" w:lineRule="exact"/>
        <w:ind w:firstLine="760"/>
        <w:jc w:val="both"/>
      </w:pPr>
      <w:r>
        <w:t xml:space="preserve">Republika Hrvatska je potpisivanjem Ugovora o pristupanju Republike Hrvatske Europskoj uniji postala stranka Ugovora o Europskoj uniji, kao i Ugovora o funkcioniranju Europske unije i Ugovora o osnivanju Europske zajednice za atomsku energiju, čime su odredbe temeljnih ugovora Europske unije postale obvezne i za Republiku Hrvatsku. Budući da je uspostava ekonomske i monetarne unije čija je valuta euro definirana Ugovorom o Europskoj uniji iz 1992. (članak 3. pročišćene verzije tog ugovora) Republika Hrvatska je putem Ugovora o pristupanju preuzela obvezu uvođenja eura kao službene valute u Republici </w:t>
      </w:r>
      <w:proofErr w:type="spellStart"/>
      <w:r>
        <w:t>Hrvatkoj</w:t>
      </w:r>
      <w:proofErr w:type="spellEnd"/>
      <w:r>
        <w:t xml:space="preserve"> nakon što budu ispunjeni propisani uvjeti kao i odredbe propisa koje se odnose na države članice Europske unije u kojima je euro službena valuta.</w:t>
      </w:r>
    </w:p>
    <w:p w:rsidR="00155DFE" w:rsidRDefault="00155DFE" w:rsidP="00155DFE">
      <w:pPr>
        <w:pStyle w:val="Bodytext20"/>
        <w:shd w:val="clear" w:color="auto" w:fill="auto"/>
        <w:spacing w:line="274" w:lineRule="exact"/>
        <w:ind w:firstLine="760"/>
        <w:jc w:val="both"/>
      </w:pPr>
      <w:r>
        <w:t>Vlada Republike Hrvatske je na sjednici održanoj 10. svibnja 2018. godine donijela Strategiju za uvođenje eura kao službene valute u Republici Hrvatskoj. U strategiji za uvođenje eura kao službene valute u Republici Hrvatskoj je ustanovljeno da zahvaljujući uravnoteženom gospodarskom rastu i ostvarenoj fiskalnoj prilagodbi Hrvatska zadovoljava sve formalne kriterije za uvođenje eura osim kriterija koji se tiče dvogodišnjeg sudjelovanja u tečajnom mehanizmu.</w:t>
      </w:r>
    </w:p>
    <w:p w:rsidR="00155DFE" w:rsidRDefault="00155DFE" w:rsidP="00155DFE">
      <w:pPr>
        <w:pStyle w:val="Bodytext20"/>
        <w:shd w:val="clear" w:color="auto" w:fill="auto"/>
        <w:spacing w:line="274" w:lineRule="exact"/>
        <w:ind w:firstLine="760"/>
        <w:jc w:val="both"/>
      </w:pPr>
      <w:r>
        <w:t>Vlada Republike Hrvatske je na sjednici održanoj 23. prosinca 2020. godine donijela Nacionalni plan zamjene hrvatske kune eurom u kojem je sadržan pregled svih važnijih aktivnosti koje će sudionici priprema za uvođenje eura, iz privatnog i javnog sektora, provoditi u okviru priprema za uvođenje eura.</w:t>
      </w:r>
    </w:p>
    <w:p w:rsidR="00155DFE" w:rsidRDefault="00155DFE" w:rsidP="00155DFE">
      <w:pPr>
        <w:pStyle w:val="Bodytext20"/>
        <w:shd w:val="clear" w:color="auto" w:fill="auto"/>
        <w:spacing w:line="274" w:lineRule="exact"/>
        <w:ind w:firstLine="760"/>
        <w:jc w:val="both"/>
      </w:pPr>
      <w:r>
        <w:t>Uvođenje eura kao službene valute u Republici Hrvatskoj zahtijeva prilagodbu pravnog okvira Republike Hrvatske u cilju osiguranja pravne sigurnosti i stvaranja uvjeta za nesmetano i učinkovito funkcioniranje gospodarstva.</w:t>
      </w:r>
    </w:p>
    <w:p w:rsidR="00155DFE" w:rsidRDefault="00155DFE" w:rsidP="00155DFE">
      <w:pPr>
        <w:pStyle w:val="Bodytext20"/>
        <w:shd w:val="clear" w:color="auto" w:fill="auto"/>
        <w:spacing w:line="274" w:lineRule="exact"/>
        <w:ind w:firstLine="760"/>
        <w:jc w:val="both"/>
      </w:pPr>
      <w:r>
        <w:t xml:space="preserve">Vlada Republike Hrvatske je na sjednici održanoj dana 16. rujna 2021. godine donijela Zaključak s ciljem provedbe Nacionalnog plana zamjene hrvatske kune eurom, gdje se utvrđuje popis zakona i </w:t>
      </w:r>
      <w:proofErr w:type="spellStart"/>
      <w:r>
        <w:t>podzakonskih</w:t>
      </w:r>
      <w:proofErr w:type="spellEnd"/>
      <w:r>
        <w:t xml:space="preserve"> propisa koje će biti potrebno izmijeniti, a radi pune prilagodbe hrvatskog zakonodavstva uvođenju eura kao službene valute u Republici Hrvatskoj, sukladno Odluci o donošenju Nacionalnog plana zamjene hrvatske kune eurom („Narodne novine“, broj 146/20.).</w:t>
      </w:r>
    </w:p>
    <w:p w:rsidR="00155DFE" w:rsidRDefault="00155DFE" w:rsidP="00155DFE">
      <w:pPr>
        <w:pStyle w:val="Bodytext20"/>
        <w:shd w:val="clear" w:color="auto" w:fill="auto"/>
        <w:spacing w:line="274" w:lineRule="exact"/>
        <w:ind w:firstLine="760"/>
        <w:jc w:val="both"/>
      </w:pPr>
      <w:r>
        <w:t xml:space="preserve">Osim donošenja Zakona o uvođenju eura kao službene valute u Republici Hrvatskoj („Narodne novine“, broj 57/22), za potrebe pune prilagodbe hrvatskog zakonodavstva uvođenju eura potrebno je izmijeniti niz važećih zakonskih i </w:t>
      </w:r>
      <w:proofErr w:type="spellStart"/>
      <w:r>
        <w:t>podzakonskih</w:t>
      </w:r>
      <w:proofErr w:type="spellEnd"/>
      <w:r>
        <w:t xml:space="preserve"> propisa koji sadržavaju odredbe povezane s kunom.</w:t>
      </w:r>
    </w:p>
    <w:p w:rsidR="00155DFE" w:rsidRDefault="00155DFE" w:rsidP="00155DFE">
      <w:pPr>
        <w:pStyle w:val="Bodytext20"/>
        <w:shd w:val="clear" w:color="auto" w:fill="auto"/>
        <w:spacing w:after="233" w:line="274" w:lineRule="exact"/>
        <w:ind w:firstLine="740"/>
      </w:pPr>
      <w:r>
        <w:t>Za sve zakone iz prve skupine propisa planirano je njihovo stupanje na snagu najkasnije s datumom uvođenja eura kao službene valute u Republici Hrvatskoj.</w:t>
      </w:r>
    </w:p>
    <w:p w:rsidR="00155DFE" w:rsidRDefault="00155DFE" w:rsidP="00155DFE">
      <w:pPr>
        <w:pStyle w:val="Bodytext20"/>
        <w:shd w:val="clear" w:color="auto" w:fill="auto"/>
        <w:spacing w:after="275" w:line="283" w:lineRule="exact"/>
        <w:ind w:firstLine="740"/>
      </w:pPr>
      <w:r>
        <w:t>Zakon o izmjenama Zakona o nadzoru predmeta od plemenitih kovina uvršten je u I. skupinu.</w:t>
      </w:r>
    </w:p>
    <w:p w:rsidR="00155DFE" w:rsidRDefault="00155DFE" w:rsidP="007A63A5">
      <w:pPr>
        <w:pStyle w:val="Naslov1"/>
        <w:numPr>
          <w:ilvl w:val="0"/>
          <w:numId w:val="10"/>
        </w:numPr>
      </w:pPr>
      <w:bookmarkStart w:id="4" w:name="bookmark4"/>
      <w:r>
        <w:lastRenderedPageBreak/>
        <w:t>OCJENA I IZVORI SREDSTAVA POTREBNIH ZA PROVEDBU ZAKONA</w:t>
      </w:r>
      <w:bookmarkEnd w:id="4"/>
    </w:p>
    <w:p w:rsidR="00155DFE" w:rsidRDefault="00155DFE" w:rsidP="00155DFE">
      <w:pPr>
        <w:pStyle w:val="Bodytext20"/>
        <w:shd w:val="clear" w:color="auto" w:fill="auto"/>
        <w:spacing w:after="267" w:line="274" w:lineRule="exact"/>
        <w:ind w:firstLine="420"/>
        <w:jc w:val="both"/>
      </w:pPr>
      <w:r>
        <w:t>Za provedbu ovoga Zakona nije potrebno osigurati dodatna sredstva u državnom proračunu.</w:t>
      </w:r>
    </w:p>
    <w:p w:rsidR="00155DFE" w:rsidRDefault="00155DFE" w:rsidP="007A63A5">
      <w:pPr>
        <w:pStyle w:val="Naslov1"/>
        <w:numPr>
          <w:ilvl w:val="0"/>
          <w:numId w:val="10"/>
        </w:numPr>
      </w:pPr>
      <w:bookmarkStart w:id="5" w:name="bookmark5"/>
      <w:r>
        <w:t>TEKST PRIJEDLOGA ZAKONA, S OBRAZLOŽENJEM</w:t>
      </w:r>
      <w:bookmarkEnd w:id="5"/>
    </w:p>
    <w:p w:rsidR="00155DFE" w:rsidRDefault="00155DFE" w:rsidP="00155DFE">
      <w:pPr>
        <w:pStyle w:val="Bodytext20"/>
        <w:shd w:val="clear" w:color="auto" w:fill="auto"/>
        <w:spacing w:after="507" w:line="274" w:lineRule="exact"/>
        <w:ind w:firstLine="420"/>
        <w:jc w:val="both"/>
      </w:pPr>
      <w:r>
        <w:t>Prilaže se tekst Prijedloga zakona o izmjenama Zakona o nadzoru predmeta od plemenitih kovina, s obrazloženjem.</w:t>
      </w:r>
    </w:p>
    <w:p w:rsidR="00155DFE" w:rsidRDefault="00155DFE" w:rsidP="007A63A5">
      <w:pPr>
        <w:pStyle w:val="Naslov1"/>
        <w:numPr>
          <w:ilvl w:val="0"/>
          <w:numId w:val="10"/>
        </w:numPr>
      </w:pPr>
      <w:bookmarkStart w:id="6" w:name="bookmark6"/>
      <w:r>
        <w:t>TEKST ODREDBI VAŽEĆEG ZAKONA KOJE SE MIJENJAJU</w:t>
      </w:r>
      <w:bookmarkEnd w:id="6"/>
    </w:p>
    <w:p w:rsidR="00155DFE" w:rsidRDefault="00155DFE" w:rsidP="00155DFE">
      <w:pPr>
        <w:pStyle w:val="Bodytext20"/>
        <w:shd w:val="clear" w:color="auto" w:fill="auto"/>
        <w:spacing w:line="274" w:lineRule="exact"/>
        <w:ind w:firstLine="420"/>
        <w:jc w:val="both"/>
        <w:sectPr w:rsidR="00155DFE">
          <w:pgSz w:w="11900" w:h="16840"/>
          <w:pgMar w:top="1289" w:right="1763" w:bottom="1735" w:left="1098" w:header="0" w:footer="3" w:gutter="0"/>
          <w:cols w:space="720"/>
          <w:noEndnote/>
          <w:docGrid w:linePitch="360"/>
        </w:sectPr>
      </w:pPr>
      <w:r>
        <w:t>Uz Prijedlog za donošenje Zakona o izmjenama Zakona o nadzoru predmeta od plemenitih kovina, prilaže se tekst odredbi Zakona o nadzoru predmeta od plemenitih kovina („Narodne novine“, broj 36/15) koje se mijenjaju.</w:t>
      </w:r>
    </w:p>
    <w:p w:rsidR="00155DFE" w:rsidRDefault="00155DFE" w:rsidP="007A63A5">
      <w:pPr>
        <w:pStyle w:val="Naslov1"/>
        <w:jc w:val="center"/>
      </w:pPr>
      <w:r>
        <w:lastRenderedPageBreak/>
        <w:t>ZAKON</w:t>
      </w:r>
      <w:r w:rsidR="00172609">
        <w:t xml:space="preserve"> </w:t>
      </w:r>
      <w:r>
        <w:t>O IZMJENAMA ZAKONA O NADZORU PREDMETA OD PLEMENI</w:t>
      </w:r>
      <w:bookmarkStart w:id="7" w:name="_GoBack"/>
      <w:bookmarkEnd w:id="7"/>
      <w:r>
        <w:t>TIH KOVINA</w:t>
      </w:r>
    </w:p>
    <w:p w:rsidR="007A63A5" w:rsidRDefault="007A63A5" w:rsidP="00155DFE">
      <w:pPr>
        <w:pStyle w:val="Bodytext20"/>
        <w:shd w:val="clear" w:color="auto" w:fill="auto"/>
        <w:spacing w:after="146" w:line="240" w:lineRule="exact"/>
        <w:ind w:firstLine="0"/>
        <w:jc w:val="center"/>
      </w:pPr>
    </w:p>
    <w:p w:rsidR="00155DFE" w:rsidRDefault="00155DFE" w:rsidP="007A63A5">
      <w:pPr>
        <w:pStyle w:val="Naslov2"/>
      </w:pPr>
      <w:r>
        <w:t>Članak 1.</w:t>
      </w:r>
    </w:p>
    <w:p w:rsidR="00155DFE" w:rsidRDefault="00155DFE" w:rsidP="00155DFE">
      <w:pPr>
        <w:pStyle w:val="Bodytext20"/>
        <w:shd w:val="clear" w:color="auto" w:fill="auto"/>
        <w:spacing w:line="274" w:lineRule="exact"/>
        <w:ind w:firstLine="0"/>
        <w:jc w:val="both"/>
      </w:pPr>
      <w:r>
        <w:t>U Zakonu o nadzoru predmeta od plemenitih kovina (»Narodne novine«, br. 36/15) u članku 38. stavku 1. riječi: „od 1000,00 kuna do 5000,00 kuna“ zamjenjuju se riječima: „od 130,00 do 660,00 eura“, a riječi: „od 2000,00 do 10.000,00 kuna“ zamjenjuju se riječima: „od</w:t>
      </w:r>
    </w:p>
    <w:p w:rsidR="00155DFE" w:rsidRDefault="00155DFE" w:rsidP="00155DFE">
      <w:pPr>
        <w:pStyle w:val="Bodytext20"/>
        <w:numPr>
          <w:ilvl w:val="0"/>
          <w:numId w:val="2"/>
        </w:numPr>
        <w:shd w:val="clear" w:color="auto" w:fill="auto"/>
        <w:tabs>
          <w:tab w:val="left" w:pos="843"/>
        </w:tabs>
        <w:spacing w:after="113" w:line="274" w:lineRule="exact"/>
        <w:ind w:firstLine="0"/>
        <w:jc w:val="both"/>
      </w:pPr>
      <w:r>
        <w:t>do 1.320,00 eura“.</w:t>
      </w:r>
    </w:p>
    <w:p w:rsidR="00155DFE" w:rsidRDefault="00155DFE" w:rsidP="00155DFE">
      <w:pPr>
        <w:pStyle w:val="Bodytext20"/>
        <w:shd w:val="clear" w:color="auto" w:fill="auto"/>
        <w:spacing w:after="155" w:line="283" w:lineRule="exact"/>
        <w:ind w:firstLine="0"/>
        <w:jc w:val="both"/>
      </w:pPr>
      <w:r>
        <w:t>U stavku 2. riječi: „od 1000,00 kuna do 5000,00 kuna“ zamjenjuju se riječima: „od 130,00 do 660,00 eura“.</w:t>
      </w:r>
    </w:p>
    <w:p w:rsidR="00155DFE" w:rsidRDefault="00155DFE" w:rsidP="007A63A5">
      <w:pPr>
        <w:pStyle w:val="Naslov2"/>
      </w:pPr>
      <w:r>
        <w:t>Članak 2.</w:t>
      </w:r>
    </w:p>
    <w:p w:rsidR="00155DFE" w:rsidRDefault="00155DFE" w:rsidP="00155DFE">
      <w:pPr>
        <w:pStyle w:val="Bodytext20"/>
        <w:shd w:val="clear" w:color="auto" w:fill="auto"/>
        <w:spacing w:after="147" w:line="274" w:lineRule="exact"/>
        <w:ind w:firstLine="0"/>
        <w:jc w:val="both"/>
      </w:pPr>
      <w:r>
        <w:t>U članku 39. stavku 1. riječi: „od 5000,00 kuna do 10.000,00 kuna“ zamjenjuju se riječima: „od 660,00 do 1.320,00 eura“, a riječi: „od 10.000,00 do 20.000,00 kuna“ zamjenjuju se riječima: „od 1.320,00 do 2.650,00 eura“.</w:t>
      </w:r>
    </w:p>
    <w:p w:rsidR="00155DFE" w:rsidRDefault="00155DFE" w:rsidP="00155DFE">
      <w:pPr>
        <w:pStyle w:val="Bodytext20"/>
        <w:shd w:val="clear" w:color="auto" w:fill="auto"/>
        <w:spacing w:line="240" w:lineRule="exact"/>
        <w:ind w:firstLine="0"/>
        <w:jc w:val="both"/>
      </w:pPr>
      <w:r>
        <w:t>U stavku 2. riječi: „od 5000,00 kuna do 10.000,00“ zamjenjuju se riječima: „od 660,00 do</w:t>
      </w:r>
    </w:p>
    <w:p w:rsidR="00155DFE" w:rsidRDefault="00155DFE" w:rsidP="00155DFE">
      <w:pPr>
        <w:pStyle w:val="Bodytext20"/>
        <w:numPr>
          <w:ilvl w:val="0"/>
          <w:numId w:val="3"/>
        </w:numPr>
        <w:shd w:val="clear" w:color="auto" w:fill="auto"/>
        <w:tabs>
          <w:tab w:val="left" w:pos="1002"/>
        </w:tabs>
        <w:spacing w:after="173" w:line="240" w:lineRule="exact"/>
        <w:ind w:firstLine="0"/>
        <w:jc w:val="both"/>
      </w:pPr>
      <w:r>
        <w:t>eura“.</w:t>
      </w:r>
    </w:p>
    <w:p w:rsidR="00155DFE" w:rsidRDefault="00155DFE" w:rsidP="00155DFE">
      <w:pPr>
        <w:pStyle w:val="Bodytext20"/>
        <w:shd w:val="clear" w:color="auto" w:fill="auto"/>
        <w:spacing w:line="240" w:lineRule="exact"/>
        <w:ind w:firstLine="0"/>
        <w:jc w:val="both"/>
      </w:pPr>
      <w:r>
        <w:t>U stavku 3. riječi: „od 5000,00 kuna do 8000,00“ zamjenjuju se riječima: „od 660,00 do</w:t>
      </w:r>
    </w:p>
    <w:p w:rsidR="00155DFE" w:rsidRDefault="00155DFE" w:rsidP="00155DFE">
      <w:pPr>
        <w:pStyle w:val="Bodytext20"/>
        <w:numPr>
          <w:ilvl w:val="0"/>
          <w:numId w:val="4"/>
        </w:numPr>
        <w:shd w:val="clear" w:color="auto" w:fill="auto"/>
        <w:tabs>
          <w:tab w:val="left" w:pos="1002"/>
        </w:tabs>
        <w:spacing w:after="216" w:line="240" w:lineRule="exact"/>
        <w:ind w:firstLine="0"/>
        <w:jc w:val="both"/>
      </w:pPr>
      <w:r>
        <w:t>eura“.</w:t>
      </w:r>
    </w:p>
    <w:p w:rsidR="00155DFE" w:rsidRDefault="00155DFE" w:rsidP="007A63A5">
      <w:pPr>
        <w:pStyle w:val="Naslov2"/>
      </w:pPr>
      <w:r>
        <w:t>Članak 3.</w:t>
      </w:r>
    </w:p>
    <w:p w:rsidR="00155DFE" w:rsidRDefault="00155DFE" w:rsidP="00155DFE">
      <w:pPr>
        <w:pStyle w:val="Bodytext20"/>
        <w:shd w:val="clear" w:color="auto" w:fill="auto"/>
        <w:spacing w:line="274" w:lineRule="exact"/>
        <w:ind w:firstLine="0"/>
        <w:jc w:val="both"/>
        <w:sectPr w:rsidR="00155DFE">
          <w:pgSz w:w="11900" w:h="16840"/>
          <w:pgMar w:top="1152" w:right="1766" w:bottom="1152" w:left="1101" w:header="0" w:footer="3" w:gutter="0"/>
          <w:cols w:space="720"/>
          <w:noEndnote/>
          <w:docGrid w:linePitch="360"/>
        </w:sectPr>
      </w:pPr>
      <w:r>
        <w:t>Ovaj Zakon objavit će se u »Narodnim novinama«, a stupa na snagu na dan uvođenja eura kao službene valute u Republici Hrvatskoj.</w:t>
      </w:r>
    </w:p>
    <w:p w:rsidR="00172609" w:rsidRPr="00172609" w:rsidRDefault="00172609" w:rsidP="007A63A5">
      <w:pPr>
        <w:pStyle w:val="Naslov1"/>
      </w:pPr>
      <w:r w:rsidRPr="00172609">
        <w:lastRenderedPageBreak/>
        <w:t>Obrazloženje</w:t>
      </w:r>
    </w:p>
    <w:p w:rsidR="00172609" w:rsidRDefault="00172609" w:rsidP="00155DFE">
      <w:pPr>
        <w:pStyle w:val="Bodytext20"/>
        <w:shd w:val="clear" w:color="auto" w:fill="auto"/>
        <w:spacing w:after="86" w:line="240" w:lineRule="exact"/>
        <w:ind w:firstLine="0"/>
        <w:jc w:val="both"/>
      </w:pPr>
    </w:p>
    <w:p w:rsidR="00155DFE" w:rsidRDefault="00155DFE" w:rsidP="007A63A5">
      <w:pPr>
        <w:pStyle w:val="Naslov2"/>
        <w:jc w:val="left"/>
      </w:pPr>
      <w:r>
        <w:t>Uz članak 1.</w:t>
      </w:r>
    </w:p>
    <w:p w:rsidR="00155DFE" w:rsidRDefault="00155DFE" w:rsidP="00155DFE">
      <w:pPr>
        <w:pStyle w:val="Bodytext20"/>
        <w:shd w:val="clear" w:color="auto" w:fill="auto"/>
        <w:spacing w:after="927" w:line="274" w:lineRule="exact"/>
        <w:ind w:firstLine="0"/>
        <w:jc w:val="both"/>
      </w:pPr>
      <w:r>
        <w:t>Odredbama ovoga članka zamjenjuju se novčani iskazi vrijednosti u kunama vrijednostima preračunatim u euro. Koristi se model preračunavanja koji se koristi u Konačnom prijedlogu Zakona o uvođenju eura kao službene valute u Republici Hrvatskoj.</w:t>
      </w:r>
    </w:p>
    <w:p w:rsidR="00155DFE" w:rsidRDefault="00155DFE" w:rsidP="007A63A5">
      <w:pPr>
        <w:pStyle w:val="Naslov2"/>
        <w:jc w:val="left"/>
      </w:pPr>
      <w:r>
        <w:t>Uz članak 2.</w:t>
      </w:r>
    </w:p>
    <w:p w:rsidR="00155DFE" w:rsidRDefault="00155DFE" w:rsidP="00155DFE">
      <w:pPr>
        <w:pStyle w:val="Bodytext20"/>
        <w:shd w:val="clear" w:color="auto" w:fill="auto"/>
        <w:spacing w:after="927" w:line="274" w:lineRule="exact"/>
        <w:ind w:firstLine="0"/>
        <w:jc w:val="both"/>
      </w:pPr>
      <w:r>
        <w:t>Odredbama ovoga članka zamjenjuju se novčani iskazi vrijednosti u kunama vrijednostima preračunatim u euro. Koristi se model preračunavanja koji se koristi u Konačnom prijedlogu Zakona o uvođenju eura kao službene valute u Republici Hrvatskoj.</w:t>
      </w:r>
    </w:p>
    <w:p w:rsidR="00155DFE" w:rsidRDefault="00155DFE" w:rsidP="007A63A5">
      <w:pPr>
        <w:pStyle w:val="Naslov2"/>
        <w:jc w:val="left"/>
      </w:pPr>
      <w:r>
        <w:t>Uz članak 3.</w:t>
      </w:r>
    </w:p>
    <w:p w:rsidR="00155DFE" w:rsidRDefault="00155DFE" w:rsidP="00155DFE">
      <w:pPr>
        <w:pStyle w:val="Bodytext20"/>
        <w:shd w:val="clear" w:color="auto" w:fill="auto"/>
        <w:spacing w:line="240" w:lineRule="exact"/>
        <w:ind w:firstLine="0"/>
        <w:jc w:val="both"/>
        <w:sectPr w:rsidR="00155DFE">
          <w:footerReference w:type="default" r:id="rId7"/>
          <w:headerReference w:type="first" r:id="rId8"/>
          <w:footerReference w:type="first" r:id="rId9"/>
          <w:pgSz w:w="11900" w:h="16840"/>
          <w:pgMar w:top="1954" w:right="1771" w:bottom="1954" w:left="1101" w:header="0" w:footer="3" w:gutter="0"/>
          <w:cols w:space="720"/>
          <w:noEndnote/>
          <w:titlePg/>
          <w:docGrid w:linePitch="360"/>
        </w:sectPr>
      </w:pPr>
      <w:r>
        <w:t>Ovom odredbom utvrđuje se stupanje na snagu ovoga Zakona.</w:t>
      </w:r>
    </w:p>
    <w:p w:rsidR="00155DFE" w:rsidRDefault="00155DFE" w:rsidP="007A63A5">
      <w:pPr>
        <w:pStyle w:val="Naslov1"/>
      </w:pPr>
      <w:r>
        <w:lastRenderedPageBreak/>
        <w:t>TEKST ODREDBI VAŽEĆEG ZAKONA KOJE SE MIJENJAJU</w:t>
      </w:r>
    </w:p>
    <w:p w:rsidR="007A63A5" w:rsidRDefault="00155DFE" w:rsidP="007A63A5">
      <w:pPr>
        <w:pStyle w:val="Bodytext20"/>
        <w:numPr>
          <w:ilvl w:val="0"/>
          <w:numId w:val="1"/>
        </w:numPr>
        <w:shd w:val="clear" w:color="auto" w:fill="auto"/>
        <w:tabs>
          <w:tab w:val="left" w:pos="3468"/>
        </w:tabs>
        <w:spacing w:line="499" w:lineRule="exact"/>
        <w:ind w:left="4000" w:right="3000"/>
        <w:outlineLvl w:val="1"/>
      </w:pPr>
      <w:r w:rsidRPr="007A63A5">
        <w:rPr>
          <w:rStyle w:val="Naslov2Char"/>
        </w:rPr>
        <w:t>PREKRŠAJNE ODREDBE</w:t>
      </w:r>
      <w:r>
        <w:t xml:space="preserve"> </w:t>
      </w:r>
    </w:p>
    <w:p w:rsidR="00155DFE" w:rsidRDefault="00155DFE" w:rsidP="004B1CC3">
      <w:pPr>
        <w:pStyle w:val="Bodytext20"/>
        <w:shd w:val="clear" w:color="auto" w:fill="auto"/>
        <w:tabs>
          <w:tab w:val="left" w:pos="3468"/>
        </w:tabs>
        <w:spacing w:line="499" w:lineRule="exact"/>
        <w:ind w:left="4000" w:right="3000" w:firstLine="0"/>
        <w:outlineLvl w:val="2"/>
      </w:pPr>
      <w:r w:rsidRPr="007A63A5">
        <w:rPr>
          <w:rStyle w:val="Naslov3Char"/>
        </w:rPr>
        <w:t>Članak 38.</w:t>
      </w:r>
    </w:p>
    <w:p w:rsidR="00155DFE" w:rsidRDefault="00155DFE" w:rsidP="00155DFE">
      <w:pPr>
        <w:pStyle w:val="Bodytext20"/>
        <w:numPr>
          <w:ilvl w:val="0"/>
          <w:numId w:val="5"/>
        </w:numPr>
        <w:shd w:val="clear" w:color="auto" w:fill="auto"/>
        <w:tabs>
          <w:tab w:val="left" w:pos="464"/>
        </w:tabs>
        <w:spacing w:after="211" w:line="278" w:lineRule="exact"/>
        <w:ind w:firstLine="0"/>
        <w:jc w:val="both"/>
      </w:pPr>
      <w:r>
        <w:t>Novčanom kaznom od 1000,00 kuna do 5000,00 kuna kaznit će se za prekršaj fizička osoba obrtnik odnosno novčanom kaznom od 2000,00 do 10.000,00 kuna pravna osoba:</w:t>
      </w:r>
    </w:p>
    <w:p w:rsidR="00155DFE" w:rsidRDefault="00155DFE" w:rsidP="00155DFE">
      <w:pPr>
        <w:pStyle w:val="Bodytext20"/>
        <w:numPr>
          <w:ilvl w:val="0"/>
          <w:numId w:val="6"/>
        </w:numPr>
        <w:shd w:val="clear" w:color="auto" w:fill="auto"/>
        <w:tabs>
          <w:tab w:val="left" w:pos="330"/>
        </w:tabs>
        <w:spacing w:after="26" w:line="240" w:lineRule="exact"/>
        <w:ind w:firstLine="0"/>
        <w:jc w:val="both"/>
      </w:pPr>
      <w:r>
        <w:t>ako ne vrati žig sa znakom proizvođača odnosno dobavljača u Zavod (članak 16. stavci 2.</w:t>
      </w:r>
    </w:p>
    <w:p w:rsidR="00155DFE" w:rsidRDefault="00155DFE" w:rsidP="00155DFE">
      <w:pPr>
        <w:pStyle w:val="Bodytext20"/>
        <w:shd w:val="clear" w:color="auto" w:fill="auto"/>
        <w:spacing w:after="233" w:line="240" w:lineRule="exact"/>
        <w:ind w:firstLine="0"/>
        <w:jc w:val="both"/>
      </w:pPr>
      <w:r>
        <w:t>i 3.)</w:t>
      </w:r>
    </w:p>
    <w:p w:rsidR="00155DFE" w:rsidRDefault="00155DFE" w:rsidP="00155DFE">
      <w:pPr>
        <w:pStyle w:val="Bodytext20"/>
        <w:numPr>
          <w:ilvl w:val="0"/>
          <w:numId w:val="6"/>
        </w:numPr>
        <w:shd w:val="clear" w:color="auto" w:fill="auto"/>
        <w:tabs>
          <w:tab w:val="left" w:pos="354"/>
        </w:tabs>
        <w:spacing w:after="206" w:line="240" w:lineRule="exact"/>
        <w:ind w:firstLine="0"/>
        <w:jc w:val="both"/>
      </w:pPr>
      <w:r>
        <w:t>ako ne obavijesti Zavod o promjeni u vezi s obavljanjem svoje djelatnosti (članak 18.)</w:t>
      </w:r>
    </w:p>
    <w:p w:rsidR="00155DFE" w:rsidRDefault="00155DFE" w:rsidP="00155DFE">
      <w:pPr>
        <w:pStyle w:val="Bodytext20"/>
        <w:numPr>
          <w:ilvl w:val="0"/>
          <w:numId w:val="6"/>
        </w:numPr>
        <w:shd w:val="clear" w:color="auto" w:fill="auto"/>
        <w:tabs>
          <w:tab w:val="left" w:pos="354"/>
        </w:tabs>
        <w:spacing w:after="184" w:line="274" w:lineRule="exact"/>
        <w:ind w:firstLine="0"/>
        <w:jc w:val="both"/>
      </w:pPr>
      <w:r>
        <w:t>ako u svom prodajnom prostoru nije istaknula slike državnih žigova i nije stavila strankama na raspolaganje povećalo za raspoznavanje žigova (članak 32.)</w:t>
      </w:r>
    </w:p>
    <w:p w:rsidR="00155DFE" w:rsidRDefault="00155DFE" w:rsidP="00155DFE">
      <w:pPr>
        <w:pStyle w:val="Bodytext20"/>
        <w:numPr>
          <w:ilvl w:val="0"/>
          <w:numId w:val="6"/>
        </w:numPr>
        <w:shd w:val="clear" w:color="auto" w:fill="auto"/>
        <w:tabs>
          <w:tab w:val="left" w:pos="354"/>
        </w:tabs>
        <w:spacing w:after="176" w:line="269" w:lineRule="exact"/>
        <w:ind w:firstLine="0"/>
        <w:jc w:val="both"/>
      </w:pPr>
      <w:r>
        <w:t>ako u prodajnom prostoru ne drži i ne izlaže predmete od plemenitih kovina na propisani način (članak 33.)</w:t>
      </w:r>
    </w:p>
    <w:p w:rsidR="00155DFE" w:rsidRDefault="00155DFE" w:rsidP="00155DFE">
      <w:pPr>
        <w:pStyle w:val="Bodytext20"/>
        <w:numPr>
          <w:ilvl w:val="0"/>
          <w:numId w:val="6"/>
        </w:numPr>
        <w:shd w:val="clear" w:color="auto" w:fill="auto"/>
        <w:tabs>
          <w:tab w:val="left" w:pos="363"/>
        </w:tabs>
        <w:spacing w:after="180" w:line="274" w:lineRule="exact"/>
        <w:ind w:firstLine="0"/>
        <w:jc w:val="both"/>
      </w:pPr>
      <w:r>
        <w:t>ako u prodajnom prostoru nema zlatarsku vagu, ako zlatarska vaga nije ovjerena, te ako zlatarska vaga nema svojstva koja će osigurati potrebnu točnost mjerenja mase svih predmeta od plemenitih kovina izloženih za prodaju (članak 34.)</w:t>
      </w:r>
    </w:p>
    <w:p w:rsidR="00155DFE" w:rsidRDefault="00155DFE" w:rsidP="00155DFE">
      <w:pPr>
        <w:pStyle w:val="Bodytext20"/>
        <w:numPr>
          <w:ilvl w:val="0"/>
          <w:numId w:val="6"/>
        </w:numPr>
        <w:shd w:val="clear" w:color="auto" w:fill="auto"/>
        <w:tabs>
          <w:tab w:val="left" w:pos="358"/>
        </w:tabs>
        <w:spacing w:after="180" w:line="274" w:lineRule="exact"/>
        <w:ind w:firstLine="0"/>
        <w:jc w:val="both"/>
      </w:pPr>
      <w:r>
        <w:t>ako proizvođač odnosno dobavljač predmeta od plemenitih kovina ne postupi sukladno zahtjevu mjeriteljskog inspektora (članak 35. stavak 2).</w:t>
      </w:r>
    </w:p>
    <w:p w:rsidR="00155DFE" w:rsidRDefault="00155DFE" w:rsidP="00155DFE">
      <w:pPr>
        <w:pStyle w:val="Bodytext20"/>
        <w:numPr>
          <w:ilvl w:val="0"/>
          <w:numId w:val="5"/>
        </w:numPr>
        <w:shd w:val="clear" w:color="auto" w:fill="auto"/>
        <w:tabs>
          <w:tab w:val="left" w:pos="464"/>
        </w:tabs>
        <w:spacing w:line="274" w:lineRule="exact"/>
        <w:ind w:firstLine="0"/>
        <w:jc w:val="both"/>
      </w:pPr>
      <w:r>
        <w:t>Za prekršaj iz stavka 1. ovoga članka kaznit će se novčanom kaznom od 1000,00 kuna do</w:t>
      </w:r>
    </w:p>
    <w:p w:rsidR="00155DFE" w:rsidRDefault="00155DFE" w:rsidP="00155DFE">
      <w:pPr>
        <w:pStyle w:val="Bodytext20"/>
        <w:numPr>
          <w:ilvl w:val="0"/>
          <w:numId w:val="7"/>
        </w:numPr>
        <w:shd w:val="clear" w:color="auto" w:fill="auto"/>
        <w:tabs>
          <w:tab w:val="left" w:pos="331"/>
          <w:tab w:val="left" w:pos="954"/>
        </w:tabs>
        <w:spacing w:after="207" w:line="274" w:lineRule="exact"/>
        <w:ind w:firstLine="0"/>
        <w:jc w:val="both"/>
      </w:pPr>
      <w:r>
        <w:t>kuna i odgovorna osoba u pravnoj osobi.</w:t>
      </w:r>
    </w:p>
    <w:p w:rsidR="00155DFE" w:rsidRDefault="00155DFE" w:rsidP="007A63A5">
      <w:pPr>
        <w:pStyle w:val="Naslov3"/>
      </w:pPr>
      <w:r>
        <w:t>Članak 39.</w:t>
      </w:r>
    </w:p>
    <w:p w:rsidR="00155DFE" w:rsidRDefault="00155DFE" w:rsidP="00155DFE">
      <w:pPr>
        <w:pStyle w:val="Bodytext20"/>
        <w:numPr>
          <w:ilvl w:val="0"/>
          <w:numId w:val="8"/>
        </w:numPr>
        <w:shd w:val="clear" w:color="auto" w:fill="auto"/>
        <w:tabs>
          <w:tab w:val="left" w:pos="464"/>
        </w:tabs>
        <w:spacing w:after="192" w:line="283" w:lineRule="exact"/>
        <w:ind w:firstLine="0"/>
        <w:jc w:val="both"/>
      </w:pPr>
      <w:r>
        <w:t>Novčanom kaznom od 5000,00 kuna do 10.000,00 kuna kaznit će se za prekršaj fizička osoba obrtnik odnosno novčanom kaznom od 10.000,00 do 20.000,00 kuna pravna osoba:</w:t>
      </w:r>
    </w:p>
    <w:p w:rsidR="00155DFE" w:rsidRDefault="00155DFE" w:rsidP="00155DFE">
      <w:pPr>
        <w:pStyle w:val="Bodytext20"/>
        <w:numPr>
          <w:ilvl w:val="0"/>
          <w:numId w:val="9"/>
        </w:numPr>
        <w:shd w:val="clear" w:color="auto" w:fill="auto"/>
        <w:tabs>
          <w:tab w:val="left" w:pos="349"/>
        </w:tabs>
        <w:spacing w:after="176" w:line="269" w:lineRule="exact"/>
        <w:ind w:firstLine="0"/>
        <w:jc w:val="both"/>
      </w:pPr>
      <w:r>
        <w:t>ako stavlja na tržište ili na raspolaganje na tržištu predmete od plemenitih kovina koji nisu označeni, ispitani i žigosani državnim žigom (članak 10. i članak 19. stavak 1.)</w:t>
      </w:r>
    </w:p>
    <w:p w:rsidR="00155DFE" w:rsidRDefault="00155DFE" w:rsidP="00155DFE">
      <w:pPr>
        <w:pStyle w:val="Bodytext20"/>
        <w:numPr>
          <w:ilvl w:val="0"/>
          <w:numId w:val="9"/>
        </w:numPr>
        <w:shd w:val="clear" w:color="auto" w:fill="auto"/>
        <w:tabs>
          <w:tab w:val="left" w:pos="354"/>
        </w:tabs>
        <w:spacing w:after="176" w:line="274" w:lineRule="exact"/>
        <w:ind w:firstLine="0"/>
        <w:jc w:val="both"/>
      </w:pPr>
      <w:r>
        <w:t>ako prije označen i žigosan državnim žigom predmet od plemenite kovine bude dorađen ili prerađen, a prije stavljanja na tržište ili na raspolaganje na tržištu ne bude ponovno ispitan i žigosan državnim žigom (članak 24.)</w:t>
      </w:r>
    </w:p>
    <w:p w:rsidR="00155DFE" w:rsidRDefault="00155DFE" w:rsidP="00155DFE">
      <w:pPr>
        <w:pStyle w:val="Bodytext20"/>
        <w:numPr>
          <w:ilvl w:val="0"/>
          <w:numId w:val="9"/>
        </w:numPr>
        <w:shd w:val="clear" w:color="auto" w:fill="auto"/>
        <w:tabs>
          <w:tab w:val="left" w:pos="358"/>
        </w:tabs>
        <w:spacing w:after="184" w:line="278" w:lineRule="exact"/>
        <w:ind w:firstLine="0"/>
        <w:jc w:val="both"/>
      </w:pPr>
      <w:r>
        <w:t>ako prenese utisnuti znak proizvođača odnosno znak dobavljača, oznake čistoće i državni žig s jednoga na drugi predmet od plemenitih kovina (članak 25.)</w:t>
      </w:r>
    </w:p>
    <w:p w:rsidR="00155DFE" w:rsidRDefault="00155DFE" w:rsidP="00155DFE">
      <w:pPr>
        <w:pStyle w:val="Bodytext20"/>
        <w:numPr>
          <w:ilvl w:val="0"/>
          <w:numId w:val="9"/>
        </w:numPr>
        <w:shd w:val="clear" w:color="auto" w:fill="auto"/>
        <w:tabs>
          <w:tab w:val="left" w:pos="354"/>
        </w:tabs>
        <w:spacing w:after="176" w:line="274" w:lineRule="exact"/>
        <w:ind w:firstLine="0"/>
        <w:jc w:val="both"/>
      </w:pPr>
      <w:r>
        <w:t>ako nije postupila u skladu s rješenjem mjeriteljskog inspektora o privremenoj zabrani stavljanja na tržište odnosno na raspolaganje na tržištu predmeta od plemenitih kovina ili povlačenju iz prodaje predmeta od plemenitih kovina (članak 36. stavak 1. točka 2).</w:t>
      </w:r>
    </w:p>
    <w:p w:rsidR="00155DFE" w:rsidRDefault="00155DFE" w:rsidP="00155DFE">
      <w:pPr>
        <w:pStyle w:val="Bodytext20"/>
        <w:numPr>
          <w:ilvl w:val="0"/>
          <w:numId w:val="8"/>
        </w:numPr>
        <w:shd w:val="clear" w:color="auto" w:fill="auto"/>
        <w:tabs>
          <w:tab w:val="left" w:pos="464"/>
        </w:tabs>
        <w:spacing w:after="180" w:line="278" w:lineRule="exact"/>
        <w:ind w:firstLine="0"/>
        <w:jc w:val="both"/>
      </w:pPr>
      <w:r>
        <w:t>Za prekršaj iz stavka 1. ovoga članka kaznit će se novčanom kaznom od 5000,00 kuna do 10.000,00 i odgovorna osoba u pravnoj osobi.</w:t>
      </w:r>
    </w:p>
    <w:p w:rsidR="00532957" w:rsidRDefault="00155DFE" w:rsidP="0027465F">
      <w:pPr>
        <w:pStyle w:val="Bodytext20"/>
        <w:numPr>
          <w:ilvl w:val="0"/>
          <w:numId w:val="8"/>
        </w:numPr>
        <w:shd w:val="clear" w:color="auto" w:fill="auto"/>
        <w:tabs>
          <w:tab w:val="left" w:pos="464"/>
        </w:tabs>
        <w:spacing w:line="278" w:lineRule="exact"/>
        <w:ind w:firstLine="0"/>
        <w:jc w:val="both"/>
      </w:pPr>
      <w:r>
        <w:t>Novčanom kaznom od 5000,00 kuna do 8000,00 za prekršaj iz stavka 1. točke 1. ovoga članka kaznit će se fizička oso</w:t>
      </w:r>
    </w:p>
    <w:sectPr w:rsidR="0053295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08A" w:rsidRDefault="00EB108A" w:rsidP="00172609">
      <w:r>
        <w:separator/>
      </w:r>
    </w:p>
  </w:endnote>
  <w:endnote w:type="continuationSeparator" w:id="0">
    <w:p w:rsidR="00EB108A" w:rsidRDefault="00EB108A" w:rsidP="00172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3A9" w:rsidRDefault="00EB108A">
    <w:pP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3A9" w:rsidRDefault="00EB108A">
    <w:pP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08A" w:rsidRDefault="00EB108A" w:rsidP="00172609">
      <w:r>
        <w:separator/>
      </w:r>
    </w:p>
  </w:footnote>
  <w:footnote w:type="continuationSeparator" w:id="0">
    <w:p w:rsidR="00EB108A" w:rsidRDefault="00EB108A" w:rsidP="0017260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3A9" w:rsidRDefault="00EB108A">
    <w:pP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3F95"/>
    <w:multiLevelType w:val="multilevel"/>
    <w:tmpl w:val="EFA050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106AB6"/>
    <w:multiLevelType w:val="multilevel"/>
    <w:tmpl w:val="402E823C"/>
    <w:lvl w:ilvl="0">
      <w:numFmt w:val="decimal"/>
      <w:lvlText w:val="1.32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2160A9"/>
    <w:multiLevelType w:val="multilevel"/>
    <w:tmpl w:val="1F3829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A30AF8"/>
    <w:multiLevelType w:val="multilevel"/>
    <w:tmpl w:val="18F27462"/>
    <w:lvl w:ilvl="0">
      <w:numFmt w:val="decimal"/>
      <w:lvlText w:val="500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E142322"/>
    <w:multiLevelType w:val="multilevel"/>
    <w:tmpl w:val="1E528194"/>
    <w:lvl w:ilvl="0">
      <w:numFmt w:val="decimal"/>
      <w:lvlText w:val="1.06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A2704D"/>
    <w:multiLevelType w:val="multilevel"/>
    <w:tmpl w:val="F03CC2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1172CC6"/>
    <w:multiLevelType w:val="multilevel"/>
    <w:tmpl w:val="E44A7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5235ECA"/>
    <w:multiLevelType w:val="multilevel"/>
    <w:tmpl w:val="88A0E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E15867"/>
    <w:multiLevelType w:val="hybridMultilevel"/>
    <w:tmpl w:val="F0E4141A"/>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6F46176F"/>
    <w:multiLevelType w:val="multilevel"/>
    <w:tmpl w:val="4A727B08"/>
    <w:lvl w:ilvl="0">
      <w:numFmt w:val="decimal"/>
      <w:lvlText w:val="26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
  </w:num>
  <w:num w:numId="4">
    <w:abstractNumId w:val="4"/>
  </w:num>
  <w:num w:numId="5">
    <w:abstractNumId w:val="7"/>
  </w:num>
  <w:num w:numId="6">
    <w:abstractNumId w:val="0"/>
  </w:num>
  <w:num w:numId="7">
    <w:abstractNumId w:val="3"/>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DFE"/>
    <w:rsid w:val="00155DFE"/>
    <w:rsid w:val="00172609"/>
    <w:rsid w:val="00466F5A"/>
    <w:rsid w:val="004B1CC3"/>
    <w:rsid w:val="00532957"/>
    <w:rsid w:val="007A63A5"/>
    <w:rsid w:val="00EB108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D53C0A"/>
  <w15:chartTrackingRefBased/>
  <w15:docId w15:val="{1C1DACFE-53A4-40FB-BB29-1E1A555E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5DFE"/>
    <w:pPr>
      <w:widowControl w:val="0"/>
      <w:spacing w:after="0" w:line="240" w:lineRule="auto"/>
    </w:pPr>
    <w:rPr>
      <w:rFonts w:ascii="Arial Unicode MS" w:eastAsia="Arial Unicode MS" w:hAnsi="Arial Unicode MS" w:cs="Arial Unicode MS"/>
      <w:color w:val="000000"/>
      <w:sz w:val="24"/>
      <w:szCs w:val="24"/>
      <w:lang w:eastAsia="hr-HR" w:bidi="hr-HR"/>
    </w:rPr>
  </w:style>
  <w:style w:type="paragraph" w:styleId="Naslov1">
    <w:name w:val="heading 1"/>
    <w:basedOn w:val="Normal"/>
    <w:next w:val="Normal"/>
    <w:link w:val="Naslov1Char"/>
    <w:uiPriority w:val="9"/>
    <w:qFormat/>
    <w:rsid w:val="007A63A5"/>
    <w:pPr>
      <w:keepNext/>
      <w:keepLines/>
      <w:spacing w:before="240"/>
      <w:outlineLvl w:val="0"/>
    </w:pPr>
    <w:rPr>
      <w:rFonts w:ascii="Times New Roman" w:eastAsiaTheme="majorEastAsia" w:hAnsi="Times New Roman" w:cstheme="majorBidi"/>
      <w:b/>
      <w:color w:val="auto"/>
      <w:szCs w:val="32"/>
    </w:rPr>
  </w:style>
  <w:style w:type="paragraph" w:styleId="Naslov2">
    <w:name w:val="heading 2"/>
    <w:basedOn w:val="Normal"/>
    <w:next w:val="Normal"/>
    <w:link w:val="Naslov2Char"/>
    <w:uiPriority w:val="9"/>
    <w:unhideWhenUsed/>
    <w:qFormat/>
    <w:rsid w:val="007A63A5"/>
    <w:pPr>
      <w:keepNext/>
      <w:keepLines/>
      <w:spacing w:before="40"/>
      <w:jc w:val="center"/>
      <w:outlineLvl w:val="1"/>
    </w:pPr>
    <w:rPr>
      <w:rFonts w:ascii="Times New Roman" w:eastAsiaTheme="majorEastAsia" w:hAnsi="Times New Roman" w:cstheme="majorBidi"/>
      <w:color w:val="auto"/>
      <w:sz w:val="22"/>
      <w:szCs w:val="26"/>
    </w:rPr>
  </w:style>
  <w:style w:type="paragraph" w:styleId="Naslov3">
    <w:name w:val="heading 3"/>
    <w:basedOn w:val="Normal"/>
    <w:next w:val="Normal"/>
    <w:link w:val="Naslov3Char"/>
    <w:uiPriority w:val="9"/>
    <w:unhideWhenUsed/>
    <w:qFormat/>
    <w:rsid w:val="007A63A5"/>
    <w:pPr>
      <w:keepNext/>
      <w:keepLines/>
      <w:spacing w:before="40"/>
      <w:jc w:val="center"/>
      <w:outlineLvl w:val="2"/>
    </w:pPr>
    <w:rPr>
      <w:rFonts w:ascii="Times New Roman" w:eastAsiaTheme="majorEastAsia" w:hAnsi="Times New Roman" w:cstheme="majorBidi"/>
      <w:color w:val="auto"/>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Headerorfooter">
    <w:name w:val="Header or footer_"/>
    <w:basedOn w:val="Zadanifontodlomka"/>
    <w:rsid w:val="00155DFE"/>
    <w:rPr>
      <w:rFonts w:ascii="Times New Roman" w:eastAsia="Times New Roman" w:hAnsi="Times New Roman" w:cs="Times New Roman"/>
      <w:b/>
      <w:bCs/>
      <w:i w:val="0"/>
      <w:iCs w:val="0"/>
      <w:smallCaps w:val="0"/>
      <w:strike w:val="0"/>
      <w:u w:val="none"/>
    </w:rPr>
  </w:style>
  <w:style w:type="character" w:customStyle="1" w:styleId="Headerorfooter0">
    <w:name w:val="Header or footer"/>
    <w:basedOn w:val="Headerorfooter"/>
    <w:rsid w:val="00155DFE"/>
    <w:rPr>
      <w:rFonts w:ascii="Times New Roman" w:eastAsia="Times New Roman" w:hAnsi="Times New Roman" w:cs="Times New Roman"/>
      <w:b/>
      <w:bCs/>
      <w:i w:val="0"/>
      <w:iCs w:val="0"/>
      <w:smallCaps w:val="0"/>
      <w:strike w:val="0"/>
      <w:color w:val="000000"/>
      <w:spacing w:val="0"/>
      <w:w w:val="100"/>
      <w:position w:val="0"/>
      <w:sz w:val="24"/>
      <w:szCs w:val="24"/>
      <w:u w:val="none"/>
      <w:lang w:val="hr-HR" w:eastAsia="hr-HR" w:bidi="hr-HR"/>
    </w:rPr>
  </w:style>
  <w:style w:type="character" w:customStyle="1" w:styleId="Heading1">
    <w:name w:val="Heading #1_"/>
    <w:basedOn w:val="Zadanifontodlomka"/>
    <w:link w:val="Heading10"/>
    <w:rsid w:val="00155DFE"/>
    <w:rPr>
      <w:rFonts w:ascii="Times New Roman" w:eastAsia="Times New Roman" w:hAnsi="Times New Roman" w:cs="Times New Roman"/>
      <w:b/>
      <w:bCs/>
      <w:shd w:val="clear" w:color="auto" w:fill="FFFFFF"/>
    </w:rPr>
  </w:style>
  <w:style w:type="character" w:customStyle="1" w:styleId="Bodytext2">
    <w:name w:val="Body text (2)_"/>
    <w:basedOn w:val="Zadanifontodlomka"/>
    <w:link w:val="Bodytext20"/>
    <w:rsid w:val="00155DFE"/>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155DFE"/>
    <w:pPr>
      <w:shd w:val="clear" w:color="auto" w:fill="FFFFFF"/>
      <w:spacing w:line="0" w:lineRule="atLeast"/>
      <w:ind w:hanging="1020"/>
    </w:pPr>
    <w:rPr>
      <w:rFonts w:ascii="Times New Roman" w:eastAsia="Times New Roman" w:hAnsi="Times New Roman" w:cs="Times New Roman"/>
      <w:color w:val="auto"/>
      <w:sz w:val="22"/>
      <w:szCs w:val="22"/>
      <w:lang w:eastAsia="en-US" w:bidi="ar-SA"/>
    </w:rPr>
  </w:style>
  <w:style w:type="paragraph" w:customStyle="1" w:styleId="Heading10">
    <w:name w:val="Heading #1"/>
    <w:basedOn w:val="Normal"/>
    <w:link w:val="Heading1"/>
    <w:rsid w:val="00155DFE"/>
    <w:pPr>
      <w:shd w:val="clear" w:color="auto" w:fill="FFFFFF"/>
      <w:spacing w:after="60" w:line="0" w:lineRule="atLeast"/>
      <w:jc w:val="both"/>
      <w:outlineLvl w:val="0"/>
    </w:pPr>
    <w:rPr>
      <w:rFonts w:ascii="Times New Roman" w:eastAsia="Times New Roman" w:hAnsi="Times New Roman" w:cs="Times New Roman"/>
      <w:b/>
      <w:bCs/>
      <w:color w:val="auto"/>
      <w:sz w:val="22"/>
      <w:szCs w:val="22"/>
      <w:lang w:eastAsia="en-US" w:bidi="ar-SA"/>
    </w:rPr>
  </w:style>
  <w:style w:type="paragraph" w:styleId="Naslov">
    <w:name w:val="Title"/>
    <w:basedOn w:val="Normal"/>
    <w:next w:val="Normal"/>
    <w:link w:val="NaslovChar"/>
    <w:uiPriority w:val="10"/>
    <w:qFormat/>
    <w:rsid w:val="00155DFE"/>
    <w:pPr>
      <w:contextualSpacing/>
      <w:jc w:val="center"/>
    </w:pPr>
    <w:rPr>
      <w:rFonts w:ascii="Times New Roman" w:eastAsiaTheme="majorEastAsia" w:hAnsi="Times New Roman" w:cstheme="majorBidi"/>
      <w:color w:val="auto"/>
      <w:spacing w:val="-10"/>
      <w:kern w:val="28"/>
      <w:sz w:val="32"/>
      <w:szCs w:val="56"/>
    </w:rPr>
  </w:style>
  <w:style w:type="character" w:customStyle="1" w:styleId="NaslovChar">
    <w:name w:val="Naslov Char"/>
    <w:basedOn w:val="Zadanifontodlomka"/>
    <w:link w:val="Naslov"/>
    <w:uiPriority w:val="10"/>
    <w:rsid w:val="00155DFE"/>
    <w:rPr>
      <w:rFonts w:ascii="Times New Roman" w:eastAsiaTheme="majorEastAsia" w:hAnsi="Times New Roman" w:cstheme="majorBidi"/>
      <w:spacing w:val="-10"/>
      <w:kern w:val="28"/>
      <w:sz w:val="32"/>
      <w:szCs w:val="56"/>
      <w:lang w:eastAsia="hr-HR" w:bidi="hr-HR"/>
    </w:rPr>
  </w:style>
  <w:style w:type="paragraph" w:styleId="Zaglavlje">
    <w:name w:val="header"/>
    <w:basedOn w:val="Normal"/>
    <w:link w:val="ZaglavljeChar"/>
    <w:uiPriority w:val="99"/>
    <w:unhideWhenUsed/>
    <w:rsid w:val="00172609"/>
    <w:pPr>
      <w:tabs>
        <w:tab w:val="center" w:pos="4536"/>
        <w:tab w:val="right" w:pos="9072"/>
      </w:tabs>
    </w:pPr>
  </w:style>
  <w:style w:type="character" w:customStyle="1" w:styleId="ZaglavljeChar">
    <w:name w:val="Zaglavlje Char"/>
    <w:basedOn w:val="Zadanifontodlomka"/>
    <w:link w:val="Zaglavlje"/>
    <w:uiPriority w:val="99"/>
    <w:rsid w:val="00172609"/>
    <w:rPr>
      <w:rFonts w:ascii="Arial Unicode MS" w:eastAsia="Arial Unicode MS" w:hAnsi="Arial Unicode MS" w:cs="Arial Unicode MS"/>
      <w:color w:val="000000"/>
      <w:sz w:val="24"/>
      <w:szCs w:val="24"/>
      <w:lang w:eastAsia="hr-HR" w:bidi="hr-HR"/>
    </w:rPr>
  </w:style>
  <w:style w:type="paragraph" w:styleId="Podnoje">
    <w:name w:val="footer"/>
    <w:basedOn w:val="Normal"/>
    <w:link w:val="PodnojeChar"/>
    <w:uiPriority w:val="99"/>
    <w:unhideWhenUsed/>
    <w:rsid w:val="00172609"/>
    <w:pPr>
      <w:tabs>
        <w:tab w:val="center" w:pos="4536"/>
        <w:tab w:val="right" w:pos="9072"/>
      </w:tabs>
    </w:pPr>
  </w:style>
  <w:style w:type="character" w:customStyle="1" w:styleId="PodnojeChar">
    <w:name w:val="Podnožje Char"/>
    <w:basedOn w:val="Zadanifontodlomka"/>
    <w:link w:val="Podnoje"/>
    <w:uiPriority w:val="99"/>
    <w:rsid w:val="00172609"/>
    <w:rPr>
      <w:rFonts w:ascii="Arial Unicode MS" w:eastAsia="Arial Unicode MS" w:hAnsi="Arial Unicode MS" w:cs="Arial Unicode MS"/>
      <w:color w:val="000000"/>
      <w:sz w:val="24"/>
      <w:szCs w:val="24"/>
      <w:lang w:eastAsia="hr-HR" w:bidi="hr-HR"/>
    </w:rPr>
  </w:style>
  <w:style w:type="character" w:customStyle="1" w:styleId="Naslov1Char">
    <w:name w:val="Naslov 1 Char"/>
    <w:basedOn w:val="Zadanifontodlomka"/>
    <w:link w:val="Naslov1"/>
    <w:uiPriority w:val="9"/>
    <w:rsid w:val="007A63A5"/>
    <w:rPr>
      <w:rFonts w:ascii="Times New Roman" w:eastAsiaTheme="majorEastAsia" w:hAnsi="Times New Roman" w:cstheme="majorBidi"/>
      <w:b/>
      <w:sz w:val="24"/>
      <w:szCs w:val="32"/>
      <w:lang w:eastAsia="hr-HR" w:bidi="hr-HR"/>
    </w:rPr>
  </w:style>
  <w:style w:type="character" w:customStyle="1" w:styleId="Naslov2Char">
    <w:name w:val="Naslov 2 Char"/>
    <w:basedOn w:val="Zadanifontodlomka"/>
    <w:link w:val="Naslov2"/>
    <w:uiPriority w:val="9"/>
    <w:rsid w:val="007A63A5"/>
    <w:rPr>
      <w:rFonts w:ascii="Times New Roman" w:eastAsiaTheme="majorEastAsia" w:hAnsi="Times New Roman" w:cstheme="majorBidi"/>
      <w:szCs w:val="26"/>
      <w:lang w:eastAsia="hr-HR" w:bidi="hr-HR"/>
    </w:rPr>
  </w:style>
  <w:style w:type="character" w:customStyle="1" w:styleId="Naslov3Char">
    <w:name w:val="Naslov 3 Char"/>
    <w:basedOn w:val="Zadanifontodlomka"/>
    <w:link w:val="Naslov3"/>
    <w:uiPriority w:val="9"/>
    <w:rsid w:val="007A63A5"/>
    <w:rPr>
      <w:rFonts w:ascii="Times New Roman" w:eastAsiaTheme="majorEastAsia" w:hAnsi="Times New Roman" w:cstheme="majorBidi"/>
      <w:szCs w:val="24"/>
      <w:lang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1231</Words>
  <Characters>7017</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Volarić-Bonefačić, Valerija</dc:creator>
  <cp:keywords/>
  <dc:description/>
  <cp:lastModifiedBy>Volarić-Bonefačić, Valerija</cp:lastModifiedBy>
  <cp:revision>5</cp:revision>
  <dcterms:created xsi:type="dcterms:W3CDTF">2022-07-25T14:40:00Z</dcterms:created>
  <dcterms:modified xsi:type="dcterms:W3CDTF">2022-07-26T09:45:00Z</dcterms:modified>
</cp:coreProperties>
</file>