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070AC4" w:rsidRDefault="00070AC4" w:rsidP="00070AC4">
      <w:pPr>
        <w:jc w:val="center"/>
        <w:rPr>
          <w:rFonts w:ascii="Times New Roman" w:hAnsi="Times New Roman"/>
          <w:b/>
          <w:sz w:val="24"/>
          <w:szCs w:val="24"/>
        </w:rPr>
      </w:pPr>
      <w:r>
        <w:rPr>
          <w:rFonts w:ascii="Times New Roman" w:hAnsi="Times New Roman"/>
          <w:b/>
          <w:sz w:val="24"/>
          <w:szCs w:val="24"/>
        </w:rPr>
        <w:t>PRIJEDLOG ZAKONA O IZMJENAMA ZAKONA O</w:t>
      </w:r>
    </w:p>
    <w:p w:rsidR="00070AC4" w:rsidRDefault="00070AC4" w:rsidP="00070AC4">
      <w:pPr>
        <w:jc w:val="center"/>
        <w:rPr>
          <w:rFonts w:ascii="Times New Roman" w:hAnsi="Times New Roman"/>
          <w:b/>
          <w:sz w:val="24"/>
          <w:szCs w:val="24"/>
        </w:rPr>
      </w:pPr>
      <w:r>
        <w:rPr>
          <w:rFonts w:ascii="Times New Roman" w:hAnsi="Times New Roman"/>
          <w:b/>
          <w:sz w:val="24"/>
          <w:szCs w:val="24"/>
        </w:rPr>
        <w:t>SPRJEČAVANJU NEREDA NA ŠPORTSKIM NATJECANJIMA</w:t>
      </w:r>
      <w:r w:rsidR="00E861D0">
        <w:rPr>
          <w:rFonts w:ascii="Times New Roman" w:hAnsi="Times New Roman"/>
          <w:b/>
          <w:sz w:val="24"/>
          <w:szCs w:val="24"/>
        </w:rPr>
        <w:t>,</w:t>
      </w:r>
    </w:p>
    <w:p w:rsidR="00E861D0" w:rsidRDefault="00E861D0" w:rsidP="00070AC4">
      <w:pPr>
        <w:jc w:val="center"/>
        <w:rPr>
          <w:rFonts w:ascii="Times New Roman" w:hAnsi="Times New Roman"/>
          <w:b/>
          <w:sz w:val="24"/>
          <w:szCs w:val="24"/>
        </w:rPr>
      </w:pPr>
      <w:r>
        <w:rPr>
          <w:rFonts w:ascii="Times New Roman" w:hAnsi="Times New Roman"/>
          <w:b/>
          <w:sz w:val="24"/>
          <w:szCs w:val="24"/>
        </w:rPr>
        <w:t>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Zagreb,</w:t>
      </w:r>
      <w:r w:rsidR="00E861D0">
        <w:rPr>
          <w:rFonts w:ascii="Times New Roman" w:hAnsi="Times New Roman"/>
          <w:b/>
          <w:sz w:val="24"/>
          <w:szCs w:val="24"/>
        </w:rPr>
        <w:t xml:space="preserve"> </w:t>
      </w:r>
      <w:r w:rsidR="001B610A">
        <w:rPr>
          <w:rFonts w:ascii="Times New Roman" w:hAnsi="Times New Roman"/>
          <w:b/>
          <w:sz w:val="24"/>
          <w:szCs w:val="24"/>
        </w:rPr>
        <w:t>srpanj</w:t>
      </w:r>
      <w:r w:rsidR="006B0C9F">
        <w:rPr>
          <w:rFonts w:ascii="Times New Roman" w:hAnsi="Times New Roman"/>
          <w:b/>
          <w:sz w:val="24"/>
          <w:szCs w:val="24"/>
        </w:rPr>
        <w:t xml:space="preserve"> </w:t>
      </w:r>
      <w:r w:rsidR="00E861D0">
        <w:rPr>
          <w:rFonts w:ascii="Times New Roman" w:hAnsi="Times New Roman"/>
          <w:b/>
          <w:sz w:val="24"/>
          <w:szCs w:val="24"/>
        </w:rPr>
        <w:t>2022.</w:t>
      </w:r>
      <w:r>
        <w:rPr>
          <w:rFonts w:ascii="Times New Roman" w:hAnsi="Times New Roman"/>
          <w:b/>
          <w:sz w:val="24"/>
          <w:szCs w:val="24"/>
        </w:rPr>
        <w:t xml:space="preserve"> </w:t>
      </w: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1B5891" w:rsidRDefault="001B5891" w:rsidP="001B5891">
      <w:pPr>
        <w:pStyle w:val="Bezproreda"/>
        <w:ind w:firstLine="708"/>
        <w:jc w:val="both"/>
        <w:rPr>
          <w:rFonts w:ascii="Times New Roman" w:hAnsi="Times New Roman"/>
          <w:sz w:val="24"/>
          <w:szCs w:val="24"/>
        </w:rPr>
      </w:pPr>
      <w:r>
        <w:rPr>
          <w:rFonts w:ascii="Times New Roman" w:hAnsi="Times New Roman"/>
          <w:sz w:val="24"/>
          <w:szCs w:val="24"/>
        </w:rP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1B5891" w:rsidRDefault="001B5891" w:rsidP="001B5891">
      <w:pPr>
        <w:pStyle w:val="Bezproreda"/>
        <w:ind w:firstLine="708"/>
        <w:jc w:val="both"/>
        <w:rPr>
          <w:rFonts w:ascii="Times New Roman" w:hAnsi="Times New Roman"/>
          <w:sz w:val="24"/>
          <w:szCs w:val="24"/>
        </w:rPr>
      </w:pPr>
    </w:p>
    <w:p w:rsidR="001B5891" w:rsidRDefault="001B5891" w:rsidP="001B589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Vlada Republike Hrvatske je na sjednici održanoj u prosincu 2020. godine donijela Nacionalni plan zamjene hrvatske kune eurom („Narodne novine“, br. 146/20),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Pr>
          <w:rFonts w:ascii="Times New Roman" w:eastAsia="Times New Roman" w:hAnsi="Times New Roman"/>
          <w:sz w:val="24"/>
          <w:szCs w:val="24"/>
          <w:lang w:eastAsia="hr-HR"/>
        </w:rPr>
        <w:t>podzakonskih</w:t>
      </w:r>
      <w:proofErr w:type="spellEnd"/>
      <w:r>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1B5891" w:rsidRDefault="001B5891" w:rsidP="001B5891">
      <w:pPr>
        <w:spacing w:after="0" w:line="240" w:lineRule="auto"/>
        <w:ind w:firstLine="708"/>
        <w:jc w:val="both"/>
        <w:rPr>
          <w:rFonts w:ascii="Times New Roman" w:eastAsia="Times New Roman" w:hAnsi="Times New Roman"/>
          <w:sz w:val="24"/>
          <w:szCs w:val="24"/>
          <w:lang w:eastAsia="hr-HR"/>
        </w:rPr>
      </w:pPr>
    </w:p>
    <w:p w:rsidR="001B5891" w:rsidRDefault="001B5891" w:rsidP="001B5891">
      <w:pPr>
        <w:pStyle w:val="Bezproreda"/>
        <w:ind w:firstLine="708"/>
        <w:jc w:val="both"/>
        <w:rPr>
          <w:rFonts w:ascii="Times New Roman" w:hAnsi="Times New Roman"/>
          <w:sz w:val="24"/>
          <w:szCs w:val="24"/>
        </w:rPr>
      </w:pPr>
      <w:r>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je izmijeniti niz zakona i </w:t>
      </w:r>
      <w:proofErr w:type="spellStart"/>
      <w:r>
        <w:rPr>
          <w:rFonts w:ascii="Times New Roman" w:hAnsi="Times New Roman"/>
          <w:sz w:val="24"/>
          <w:szCs w:val="24"/>
        </w:rPr>
        <w:t>podzakonskih</w:t>
      </w:r>
      <w:proofErr w:type="spellEnd"/>
      <w:r>
        <w:rPr>
          <w:rFonts w:ascii="Times New Roman" w:hAnsi="Times New Roman"/>
          <w:sz w:val="24"/>
          <w:szCs w:val="24"/>
        </w:rPr>
        <w:t xml:space="preserve"> propisa koji sadržavaju odredbe povezane s kunom. </w:t>
      </w:r>
    </w:p>
    <w:p w:rsidR="001B5891" w:rsidRDefault="001B5891" w:rsidP="001B5891">
      <w:pPr>
        <w:spacing w:after="0" w:line="240" w:lineRule="auto"/>
        <w:ind w:firstLine="708"/>
        <w:jc w:val="both"/>
        <w:rPr>
          <w:rFonts w:ascii="Times New Roman" w:eastAsia="Times New Roman" w:hAnsi="Times New Roman"/>
          <w:sz w:val="24"/>
          <w:szCs w:val="24"/>
          <w:lang w:eastAsia="hr-HR"/>
        </w:rPr>
      </w:pPr>
    </w:p>
    <w:p w:rsidR="001B5891" w:rsidRDefault="001B5891" w:rsidP="001B589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Važeći Zakon o sprječavanju nereda na športskim natjecanjima („Narodne novine“, br. 117/03, 71/06, 43/09 i 34/11) sadrži prekršajne odredbe kojima je propisano sankcioniranje pravnih i fizičkih osoba za ponašanja suprotna odredbama toga Zakona. Kao prekršajne sankcije propisane su novčane kazne, iznos kojih je izražen u kunama.</w:t>
      </w:r>
    </w:p>
    <w:p w:rsidR="001B5891" w:rsidRDefault="001B5891" w:rsidP="001B5891">
      <w:pPr>
        <w:spacing w:after="0" w:line="240" w:lineRule="auto"/>
        <w:ind w:firstLine="708"/>
        <w:jc w:val="both"/>
        <w:rPr>
          <w:rFonts w:ascii="Times New Roman" w:eastAsia="Times New Roman" w:hAnsi="Times New Roman"/>
          <w:sz w:val="24"/>
          <w:szCs w:val="24"/>
          <w:lang w:eastAsia="hr-HR"/>
        </w:rPr>
      </w:pPr>
    </w:p>
    <w:p w:rsidR="001B5891" w:rsidRDefault="001B5891" w:rsidP="001B5891">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potrebe prilagodbe pravnog okvira Republike Hrvatske uvođenju eura kao nacionalne valute te nesmetanom i učinkovitom postupanju svih tijela uključenih u procesuiranje prekršaja utvrđenih Zakonom o sprječavanju nereda na športskim natjecanjima, potrebno je u ovom Zakonu zamijeniti iznose novčanih kazni izraženih u kunama tako da budu izraženi u eurima.</w:t>
      </w:r>
    </w:p>
    <w:p w:rsidR="001B5891" w:rsidRDefault="001B5891" w:rsidP="001B5891">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BC61B3" w:rsidRDefault="00BC61B3" w:rsidP="00BC61B3">
      <w:pPr>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rsidR="00BC61B3" w:rsidRDefault="00BC61B3" w:rsidP="00BC61B3">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BC61B3" w:rsidRDefault="00BC61B3" w:rsidP="00BC61B3">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A22A88">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B0C9F" w:rsidRDefault="006B0C9F"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B0C9F" w:rsidRDefault="006B0C9F"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B0C9F" w:rsidRDefault="006B0C9F"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B0C9F" w:rsidRDefault="006B0C9F"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70AC4" w:rsidRPr="00DF49BA" w:rsidRDefault="00E861D0" w:rsidP="00070AC4">
      <w:pPr>
        <w:pStyle w:val="Bezproreda"/>
        <w:jc w:val="center"/>
        <w:rPr>
          <w:rFonts w:ascii="Times New Roman" w:hAnsi="Times New Roman"/>
          <w:b/>
          <w:sz w:val="24"/>
          <w:szCs w:val="24"/>
          <w:lang w:eastAsia="hr-HR"/>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ZAKONA O SPRJEČAVANJU NEREDA NA ŠPORTSKIM NATJECANJIMA</w:t>
      </w:r>
    </w:p>
    <w:p w:rsidR="00070AC4" w:rsidRDefault="00070AC4" w:rsidP="00070AC4">
      <w:pPr>
        <w:spacing w:after="0" w:line="240" w:lineRule="auto"/>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070AC4" w:rsidRDefault="00070AC4" w:rsidP="00070AC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Zakonu o sprječavanju nereda na športskim natjecanjima („Narodne novine“, br. 117/03, 71/06, 43/09</w:t>
      </w:r>
      <w:r w:rsidR="001B5891">
        <w:rPr>
          <w:rFonts w:ascii="Times New Roman" w:eastAsia="Times New Roman" w:hAnsi="Times New Roman"/>
          <w:sz w:val="24"/>
          <w:szCs w:val="24"/>
          <w:lang w:eastAsia="hr-HR"/>
        </w:rPr>
        <w:t xml:space="preserve"> i</w:t>
      </w:r>
      <w:r>
        <w:rPr>
          <w:rFonts w:ascii="Times New Roman" w:eastAsia="Times New Roman" w:hAnsi="Times New Roman"/>
          <w:sz w:val="24"/>
          <w:szCs w:val="24"/>
          <w:lang w:eastAsia="hr-HR"/>
        </w:rPr>
        <w:t xml:space="preserve"> 34/11) u članku 37. stavku 1. riječi: „od 10.000,00 do 50.000,00 kuna“ zamjenjuju se riječima: „od  </w:t>
      </w:r>
      <w:r w:rsidR="006B0C9F">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CC0B4D" w:rsidRDefault="00CC0B4D" w:rsidP="00070AC4">
      <w:pPr>
        <w:spacing w:after="0" w:line="240" w:lineRule="auto"/>
        <w:jc w:val="both"/>
        <w:rPr>
          <w:rFonts w:ascii="Times New Roman" w:eastAsia="Times New Roman" w:hAnsi="Times New Roman"/>
          <w:sz w:val="24"/>
          <w:szCs w:val="24"/>
          <w:lang w:eastAsia="hr-HR"/>
        </w:rPr>
      </w:pPr>
    </w:p>
    <w:p w:rsidR="00CC0B4D" w:rsidRDefault="00CC0B4D" w:rsidP="00070AC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10.000,00 do 80.000,00 kuna“ zamjenjuju se riječima: „od </w:t>
      </w:r>
      <w:r w:rsidR="006B0C9F">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10.610,00</w:t>
      </w:r>
      <w:r>
        <w:rPr>
          <w:rFonts w:ascii="Times New Roman" w:eastAsia="Times New Roman" w:hAnsi="Times New Roman"/>
          <w:sz w:val="24"/>
          <w:szCs w:val="24"/>
          <w:lang w:eastAsia="hr-HR"/>
        </w:rPr>
        <w:t xml:space="preserve"> eura“.</w:t>
      </w:r>
    </w:p>
    <w:p w:rsidR="00CC0B4D" w:rsidRDefault="00CC0B4D" w:rsidP="00070AC4">
      <w:pPr>
        <w:spacing w:after="0" w:line="240" w:lineRule="auto"/>
        <w:jc w:val="both"/>
        <w:rPr>
          <w:rFonts w:ascii="Times New Roman" w:eastAsia="Times New Roman" w:hAnsi="Times New Roman"/>
          <w:sz w:val="24"/>
          <w:szCs w:val="24"/>
          <w:lang w:eastAsia="hr-HR"/>
        </w:rPr>
      </w:pPr>
    </w:p>
    <w:p w:rsidR="00CC0B4D" w:rsidRDefault="00CC0B4D" w:rsidP="00070AC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50.000,00 do 250.000,00 kuna“ zamjenjuju se riječima: „od </w:t>
      </w:r>
      <w:r w:rsidR="006B0C9F">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33.180,00</w:t>
      </w:r>
      <w:r>
        <w:rPr>
          <w:rFonts w:ascii="Times New Roman" w:eastAsia="Times New Roman" w:hAnsi="Times New Roman"/>
          <w:sz w:val="24"/>
          <w:szCs w:val="24"/>
          <w:lang w:eastAsia="hr-HR"/>
        </w:rPr>
        <w:t xml:space="preserve"> eura“.</w:t>
      </w:r>
    </w:p>
    <w:p w:rsidR="00CC0B4D" w:rsidRDefault="00CC0B4D" w:rsidP="00070AC4">
      <w:pPr>
        <w:spacing w:after="0" w:line="240" w:lineRule="auto"/>
        <w:jc w:val="both"/>
        <w:rPr>
          <w:rFonts w:ascii="Times New Roman" w:eastAsia="Times New Roman" w:hAnsi="Times New Roman"/>
          <w:sz w:val="24"/>
          <w:szCs w:val="24"/>
          <w:lang w:eastAsia="hr-HR"/>
        </w:rPr>
      </w:pPr>
    </w:p>
    <w:p w:rsidR="00CC0B4D" w:rsidRDefault="00CC0B4D" w:rsidP="00070AC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5.000,00 do 50.000,00 kuna“ zamjenjuju se riječima: „od  </w:t>
      </w:r>
      <w:r w:rsidR="006B0C9F">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CC0B4D" w:rsidRDefault="00CC0B4D" w:rsidP="00070AC4">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38. stavku 1. riječi: „od 15.000,00 do 50.000,00 kuna“ zamjenjuju se riječima: „od  </w:t>
      </w:r>
      <w:r w:rsidR="006B0C9F">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20.000,00 do 100.000,00 kuna“ zamjenjuju se riječima: „od  </w:t>
      </w:r>
      <w:r w:rsidR="006B0C9F">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13. 270,00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100.000,00 do 500.000,00 kuna“ zamjenjuju se riječima: „od </w:t>
      </w:r>
      <w:r w:rsidR="006B0C9F">
        <w:rPr>
          <w:rFonts w:ascii="Times New Roman" w:eastAsia="Times New Roman" w:hAnsi="Times New Roman"/>
          <w:sz w:val="24"/>
          <w:szCs w:val="24"/>
          <w:lang w:eastAsia="hr-HR"/>
        </w:rPr>
        <w:t>13.270,00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66.360,00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10.000,00 do 50.000,00 kuna“ zamjenjuju se riječima: „od </w:t>
      </w:r>
      <w:r w:rsidR="006B0C9F">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 xml:space="preserve"> 6.630,00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38.a riječi: „od 1.000,00 do 10.000,00 kuna“ zamjenjuju se riječima: „od  </w:t>
      </w:r>
      <w:r w:rsidR="006B0C9F">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39. stavku 1. riječi: „od 2.000,00 do 15.000,00 kuna“ zamjenjuju se riječima: „od </w:t>
      </w:r>
      <w:r w:rsidR="006B0C9F">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1.000,00 do 10.000,00 kuna“ zamjenjuju se riječima: „od </w:t>
      </w:r>
      <w:r w:rsidR="006B0C9F">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eura“, a riječi: „od 5.000,00 do 30.000,00 kuna“ zamjenjuju se riječima: „od </w:t>
      </w:r>
      <w:r w:rsidR="006B0C9F">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39.a stavku 1. riječi: „od 5.000,00 do 25.000,00 kuna“ zamjenjuju se riječima: „od  </w:t>
      </w:r>
      <w:r w:rsidR="006B0C9F">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3.310,00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5.000,00 do 25.000,00 kuna“ zamjenjuju se riječima: „od </w:t>
      </w:r>
      <w:r w:rsidR="006B0C9F">
        <w:rPr>
          <w:rFonts w:ascii="Times New Roman" w:eastAsia="Times New Roman" w:hAnsi="Times New Roman"/>
          <w:sz w:val="24"/>
          <w:szCs w:val="24"/>
          <w:lang w:eastAsia="hr-HR"/>
        </w:rPr>
        <w:t>660,0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3.310,00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5.000,00 do 50.000,00 kuna“ zamjenjuju se riječima: „od </w:t>
      </w:r>
      <w:r w:rsidR="006B0C9F">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6B0C9F">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w:t>
      </w:r>
    </w:p>
    <w:p w:rsidR="00CC0B4D" w:rsidRDefault="00CC0B4D" w:rsidP="00CC0B4D">
      <w:pPr>
        <w:spacing w:after="0" w:line="240" w:lineRule="auto"/>
        <w:rPr>
          <w:rFonts w:ascii="Times New Roman" w:eastAsia="Times New Roman" w:hAnsi="Times New Roman"/>
          <w:b/>
          <w:sz w:val="24"/>
          <w:szCs w:val="24"/>
          <w:lang w:eastAsia="hr-HR"/>
        </w:rPr>
      </w:pPr>
    </w:p>
    <w:p w:rsidR="00C52BF4" w:rsidRDefault="00CC0B4D" w:rsidP="00C52BF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C52BF4">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C52BF4" w:rsidRDefault="00C52BF4" w:rsidP="00C52BF4">
      <w:pPr>
        <w:spacing w:after="0" w:line="240" w:lineRule="auto"/>
        <w:rPr>
          <w:rFonts w:ascii="Times New Roman" w:eastAsia="Times New Roman" w:hAnsi="Times New Roman"/>
          <w:sz w:val="24"/>
          <w:szCs w:val="24"/>
          <w:lang w:eastAsia="hr-HR"/>
        </w:rPr>
      </w:pPr>
    </w:p>
    <w:p w:rsidR="00C52BF4" w:rsidRDefault="00C52BF4" w:rsidP="00C52BF4">
      <w:pPr>
        <w:spacing w:after="0" w:line="240" w:lineRule="auto"/>
        <w:rPr>
          <w:rFonts w:ascii="Times New Roman" w:eastAsia="Times New Roman" w:hAnsi="Times New Roman"/>
          <w:sz w:val="24"/>
          <w:szCs w:val="24"/>
          <w:lang w:eastAsia="hr-HR"/>
        </w:rPr>
      </w:pPr>
    </w:p>
    <w:p w:rsidR="00C52BF4" w:rsidRDefault="00C52BF4" w:rsidP="00C52BF4">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3C7EC4" w:rsidRDefault="00BC61B3" w:rsidP="00DD4CB8">
      <w:pPr>
        <w:jc w:val="both"/>
        <w:rPr>
          <w:rFonts w:ascii="Times New Roman" w:hAnsi="Times New Roman"/>
          <w:b/>
          <w:sz w:val="24"/>
          <w:szCs w:val="24"/>
        </w:rPr>
      </w:pPr>
      <w:r>
        <w:rPr>
          <w:rFonts w:ascii="Times New Roman" w:eastAsia="Times New Roman" w:hAnsi="Times New Roman"/>
          <w:b/>
          <w:sz w:val="24"/>
          <w:szCs w:val="24"/>
          <w:lang w:eastAsia="hr-HR"/>
        </w:rPr>
        <w:t xml:space="preserve">V. </w:t>
      </w:r>
      <w:r w:rsidR="00DD4CB8">
        <w:rPr>
          <w:rFonts w:ascii="Times New Roman" w:eastAsia="Times New Roman" w:hAnsi="Times New Roman"/>
          <w:b/>
          <w:sz w:val="24"/>
          <w:szCs w:val="24"/>
          <w:lang w:eastAsia="hr-HR"/>
        </w:rPr>
        <w:t xml:space="preserve">OBRAZLOŽENJE </w:t>
      </w:r>
      <w:r w:rsidR="00DD4CB8" w:rsidRPr="003C7EC4">
        <w:rPr>
          <w:rFonts w:ascii="Times New Roman" w:hAnsi="Times New Roman"/>
          <w:b/>
          <w:sz w:val="24"/>
          <w:szCs w:val="24"/>
        </w:rPr>
        <w:t>ODREDBI PREDLOŽENOG ZAKONA</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1. – 5.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 člancima 37., 38., 38.a, 39. i 39.a Zakona o sprječavanju nereda na športskim natjecanjima („Narodne novine“, br. 117/03, 71/06, 43/09, 34/11 i 68/12) zamjenjuju se iznosima izraženim u euru.</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Članak 6.</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BB6C36">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BC61B3"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1B5891" w:rsidRPr="001B5891" w:rsidRDefault="001B5891" w:rsidP="006B0C9F">
      <w:pPr>
        <w:spacing w:after="135" w:line="240" w:lineRule="auto"/>
        <w:jc w:val="center"/>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Članak 37.</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Novčanom kaznom od 10.000,00 do 50.000,00 kuna kaznit će se za prekršaj fizička osoba koja organizira športsko natjecanje ako:</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ne poduzme mjere radi sprječavanja i suzbijanja nereda i nasilja na športskom natjecanju, odnosno odbije surađivati s nadležnim policijskim tijelom i postupati po nalogu policije glede otklanjanja uočenih nedostataka u postupku pripreme, organizacije i održavanja športskog natjecanja (članak 5.),</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na športskom natjecanju nema redarsku službu ili nema dovoljan broj redara (članak 6.),</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3. omogući da poslove redara obavljaju osobe koje nemaju oznaku ili natpis koji označava da su pripadnici redarske službe (članak 9.),</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4. kao redara zapošljava ili koristi osobu koja nije osposobljena za poslove redara (članak 11.),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 xml:space="preserve">5. zapis </w:t>
      </w:r>
      <w:proofErr w:type="spellStart"/>
      <w:r w:rsidRPr="001B5891">
        <w:rPr>
          <w:rFonts w:ascii="Times New Roman" w:eastAsia="Times New Roman" w:hAnsi="Times New Roman"/>
          <w:sz w:val="24"/>
          <w:szCs w:val="24"/>
          <w:lang w:eastAsia="hr-HR"/>
        </w:rPr>
        <w:t>videonadzora</w:t>
      </w:r>
      <w:proofErr w:type="spellEnd"/>
      <w:r w:rsidRPr="001B5891">
        <w:rPr>
          <w:rFonts w:ascii="Times New Roman" w:eastAsia="Times New Roman" w:hAnsi="Times New Roman"/>
          <w:sz w:val="24"/>
          <w:szCs w:val="24"/>
          <w:lang w:eastAsia="hr-HR"/>
        </w:rPr>
        <w:t xml:space="preserve"> športskog objekta ne dostavi na zahtjev policije (članak 16. stavak 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6. ne osigura odgovarajući prostor za parkiranje autobusa i osobnih automobila (članak 16. stavak 3),</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7. ulaznim i izlaznim vratima športskog objekta ne rukuje osposobljeno osoblje (članak 17. stavak 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8. se ulazna i izlazna vrata športskog objekta, prostor za prodaju ulaznica, rampe za usmjeravanje gledatelja, prolazi (tuneli) i stepenice ne nalaze pod stalnim nadzorom redara (članak 17. stavak 3.),</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9. ako nije prije održavanja športskog natjecanja provedeno pretraživanje športskog objekta ili dijela športskog objekta u kojem se organizira športsko natjecanje i na kojem se smještaju gledatelji (članak 19.),</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10. sustav obavještavanja gledatelja koristi za namjene koje nisu dopuštene (članak 20. stavak 2.),</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11. na prostoru športskog objekta dopusti prodaju i distribuciju alkoholnih pića (članak 21. stavak 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lastRenderedPageBreak/>
        <w:t>12. športsko natjecanje održava noću, a športski objekt nije opremljen samostalnim izvorom električne energije (članak 22.),</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13. športski objekt ne otvori dovoljno rano da bi se izbjegle gužve i neredi prilikom ulaska gledatelja u športski objekt (članak 23.).</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Za prekršaj iz stavka 1. ovoga članka novčanom kaznom u iznosu od 10.000,00 do 80.000,00 kuna kaznit će se fizička osoba obrtnik ili osoba koja obavlja drugu samostalnu djelatnost organizator športskog natjecanja.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(3) Za prekršaj iz stavka 1. ovoga članka novčanom kaznom u iznosu od 50.000,00 do 250.000,00 kuna kaznit će se pravna osoba organizator športskog natjecanja.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(4) Za prekršaj iz stavka 1. ovoga članka novčanom kaznom od 5.000,00 do 50.000,00 kuna kaznit će se odgovorna osoba pravne osobe organizatora športskog natjecanja.</w:t>
      </w:r>
    </w:p>
    <w:p w:rsidR="001B5891" w:rsidRPr="001B5891" w:rsidRDefault="001B5891" w:rsidP="001B5891">
      <w:pPr>
        <w:spacing w:after="135" w:line="240" w:lineRule="auto"/>
        <w:jc w:val="center"/>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Članak 38.</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Novčanom kaznom od 15.000,00 do 50.000,00 kuna kaznit će se za prekršaj fizička osoba koja je vlasnik ili korisnik športskog objekta ako:</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 xml:space="preserve">1. na športskom objektu nema neprekidni </w:t>
      </w:r>
      <w:proofErr w:type="spellStart"/>
      <w:r w:rsidRPr="001B5891">
        <w:rPr>
          <w:rFonts w:ascii="Times New Roman" w:eastAsia="Times New Roman" w:hAnsi="Times New Roman"/>
          <w:sz w:val="24"/>
          <w:szCs w:val="24"/>
          <w:lang w:eastAsia="hr-HR"/>
        </w:rPr>
        <w:t>videonadzor</w:t>
      </w:r>
      <w:proofErr w:type="spellEnd"/>
      <w:r w:rsidRPr="001B5891">
        <w:rPr>
          <w:rFonts w:ascii="Times New Roman" w:eastAsia="Times New Roman" w:hAnsi="Times New Roman"/>
          <w:sz w:val="24"/>
          <w:szCs w:val="24"/>
          <w:lang w:eastAsia="hr-HR"/>
        </w:rPr>
        <w:t xml:space="preserve"> s mogućnošću ispisa i pohranjivanja snimljenog zapisa, uređaj za brojanje i kontrolu ulaznica te sustav za obavještavanje gledatelja (članak 16. stavak 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ulazna i izlazna vrata športskog objekta, prostor za prodaju ulaznica, rampe za usmjeravanje gledatelja, prolazi (tuneli) i stepenice nisu odgovarajuće i vidljivo označeni (članak 17. stavak 3.).</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Za prekršaj iz stavka 1. ovoga članka novčanom kaznom u iznosu od 20.000,00 do 100.000,00 kuna kaznit će se fizička osoba obrtnik ili osoba koja obavlja drugu samostalnu djelatnost koja je vlasnik ili korisnik športskog objekta.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(3) Za prekršaj iz stavka 1. ovoga članka novčanom kaznom u iznosu od 100.000,00 do 500.000,00 kuna kaznit će se pravna osoba koja je vlasnik ili korisnik športskog objekta.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(4) Za prekršaj iz stavka 1. ovoga članka novčanom kaznom od 10.000,00 do 50.000,00 kuna kaznit će se odgovorna osoba pravne osobe vlasnika sportskog objekta.</w:t>
      </w:r>
    </w:p>
    <w:p w:rsidR="001B5891" w:rsidRPr="001B5891" w:rsidRDefault="001B5891" w:rsidP="001B5891">
      <w:pPr>
        <w:spacing w:after="135" w:line="240" w:lineRule="auto"/>
        <w:jc w:val="center"/>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Članak 38.a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Novčanom kaznom od 1.000,00 do 10.000,00 kuna kaznit će se za prekršaj redar koji ne obavi dužnosti iz članka 10. stavka 1.ovoga Zakona te koji ne postupa po zapovijedi policije.</w:t>
      </w:r>
    </w:p>
    <w:p w:rsidR="001B5891" w:rsidRPr="001B5891" w:rsidRDefault="001B5891" w:rsidP="001B5891">
      <w:pPr>
        <w:spacing w:after="135" w:line="240" w:lineRule="auto"/>
        <w:jc w:val="center"/>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Članak 39.</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Novčanom kaznom od 2.000,00 do 15.000,00 kuna ili kaznom zatvora u trajanju do 30 dana kaznit će se za prekršaj fizička osoba koja: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posjeduje ili konzumira alkoholna pića i druga pića koja sadrže više od 6% alkohola, droge ili posjeduje pirotehnička sredstva, oružje i druga sredstva pogodna za nanošenje ozljeda ili za stvaranje nereda i nasilja (članak 4. stavak 1. podstavak 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pokuša unijeti ili unese u športski objekt alkoholna pića, drogu, pirotehničko sredstvo, oružje ili drugo sredstvo pogodno za nanošenje ozljeda ili za stvaranje nereda i nasilja (članak 4. stavak 1. podstavak 2.),</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lastRenderedPageBreak/>
        <w:t>3. pokuša ući, dođe ili boravi na prostoru športskog objekta u alkoholiziranom stanju iznad 0,50 g/kg, odnosno odgovarajući iznos miligrama u litri izdahnutog zraka (članak 4. stavak 1. podstavak 3.),</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4. maskira lice radi prikrivanja identiteta (članak 4. stavak 1. podstavak 4.),</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5. pokuša unijeti ili unese i ističe u športskom objektu transparent, zastavu ili drugu stvar s obilježjem kojim se iskazuje ili potiče mržnja ili nasilje na temelju rasne, nacionalne, regionalne ili vjerske pripadnosti (članak 4. stavak 1. podstavak 5.),</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6. boravi i zadržava se na mjestu u gledateljskom prostoru za koje ne posjeduje ulaznicu ili odgovarajuću ispravu izdanu od strane organizatora (članak 4. stavak 1. podstavak 11.).</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Novčanom kaznom od 1.000,00 do 10.000,00 kuna ili kaznom zatvora u trajanju od najmanje tri dana do najdulje 30 dana kaznit će se za prekršaj fizička osoba, odnosno novčanom kaznom od 5.000,00 do 30.000,00 kuna pravna osoba koja kupi ili na drugi način pribavi ili omogući kupnju ili pribavljanje ulaznica osobi kojoj je izrečena zaštitna mjera (članak 32. stavak 1.), zabrana prisustvovanja športskom natjecanju (članak 34.a stavak 1.) i mjera opreza te organizator športskog natjecanja koji ne postupi sukladno odredbi članka 32. stavka 5., 6. i 7. ovoga Zakona.</w:t>
      </w:r>
    </w:p>
    <w:p w:rsidR="001B5891" w:rsidRPr="001B5891" w:rsidRDefault="001B5891" w:rsidP="001B5891">
      <w:pPr>
        <w:spacing w:after="135" w:line="240" w:lineRule="auto"/>
        <w:jc w:val="center"/>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Članak 39.a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Novčanom kaznom od 5.000,00 do 25.000,00 kuna ili kaznom zatvora u trajanju od najmanje 30 dana do najdulje 60 dana kaznit će se za prekršaj fizička osoba koja: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1. baca predmete u natjecateljski prostor ili gledateljski prostor športskog objekta (članak 4. stavak 1. podstavak 6.),</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pjeva pjesme ili dobacuje natjecateljima ili drugim gledateljima poruke čiji sadržaj iskazuje ili potiče mržnju na temelju rasne, nacionalne, regionalne ili vjerske pripadnosti (članak 4. stavak 1. podstavak 7.),</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3. pali ili baca pirotehnička sredstva (članak 4. stavak 1. podstavak 8.),</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4. pali ili na drugi način uništava navijačke rekvizite ili druge predmete (članak 4. stavak 1. podstavak 9.),</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5. pokuša nedopušteno ući ili nedopušteno uđe u natjecateljski prostor ili gledateljski prostor ili prostor koji je namijenjen sucima ili drugim osobama koje sudjeluju u športskom natjecanju (članak 4. stavak 1. podstavak 10.).</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(2) Novčanom kaznom od 5.000,00 do 25.000,00 kuna ili kaznom zatvora u trajanju od najmanje 30 do najdulje 60 dana kaznit će se osoba kojoj je izrečena zaštitna mjera iz članka 32. ovoga Zakona, a koja nije postupila sukladno odredbama članka 32.a ovoga Zakona, te kojoj je izrečena zabrana iz članka 34.a stavka 1. ovoga Zakona, a koja nije postupila sukladno odredbi članka 34.a stavka 2. ovoga Zakona.</w:t>
      </w:r>
    </w:p>
    <w:p w:rsidR="001B5891" w:rsidRPr="001B5891" w:rsidRDefault="001B5891" w:rsidP="001B5891">
      <w:pPr>
        <w:spacing w:after="135" w:line="240" w:lineRule="auto"/>
        <w:jc w:val="both"/>
        <w:rPr>
          <w:rFonts w:ascii="Times New Roman" w:eastAsia="Times New Roman" w:hAnsi="Times New Roman"/>
          <w:sz w:val="24"/>
          <w:szCs w:val="24"/>
          <w:lang w:eastAsia="hr-HR"/>
        </w:rPr>
      </w:pPr>
      <w:r w:rsidRPr="001B5891">
        <w:rPr>
          <w:rFonts w:ascii="Times New Roman" w:eastAsia="Times New Roman" w:hAnsi="Times New Roman"/>
          <w:sz w:val="24"/>
          <w:szCs w:val="24"/>
          <w:lang w:eastAsia="hr-HR"/>
        </w:rPr>
        <w:t>(3) Novčanom kaznom od 5.000,00 do 50.000,00 kuna ili kaznom zatvora od najmanje 30 do najdulje 60 dana kaznit će se fizička osoba koja je dva ili više puta od dana počinjenja prekršaja u razdoblju od dvije godine unatrag pravomoćno proglašena krivom za prekršaje iz ovoga članka.</w:t>
      </w:r>
    </w:p>
    <w:p w:rsidR="001B5891" w:rsidRPr="001B5891" w:rsidRDefault="001B5891">
      <w:pPr>
        <w:spacing w:after="135" w:line="240" w:lineRule="auto"/>
        <w:jc w:val="both"/>
        <w:rPr>
          <w:rFonts w:ascii="Times New Roman" w:eastAsia="Times New Roman" w:hAnsi="Times New Roman"/>
          <w:sz w:val="24"/>
          <w:szCs w:val="24"/>
          <w:lang w:eastAsia="hr-HR"/>
        </w:rPr>
      </w:pPr>
    </w:p>
    <w:sectPr w:rsidR="001B5891" w:rsidRPr="001B5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A69"/>
    <w:multiLevelType w:val="multilevel"/>
    <w:tmpl w:val="C3C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1B5891"/>
    <w:rsid w:val="001B610A"/>
    <w:rsid w:val="0051555F"/>
    <w:rsid w:val="006B0C9F"/>
    <w:rsid w:val="00735A22"/>
    <w:rsid w:val="007D4E36"/>
    <w:rsid w:val="00857566"/>
    <w:rsid w:val="00A22A88"/>
    <w:rsid w:val="00AA5CFE"/>
    <w:rsid w:val="00B07962"/>
    <w:rsid w:val="00BB6C36"/>
    <w:rsid w:val="00BC61B3"/>
    <w:rsid w:val="00C52BF4"/>
    <w:rsid w:val="00CC0B4D"/>
    <w:rsid w:val="00DD4CB8"/>
    <w:rsid w:val="00E861D0"/>
    <w:rsid w:val="00F30FC6"/>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1B5891"/>
    <w:pPr>
      <w:spacing w:before="100" w:beforeAutospacing="1" w:after="100" w:afterAutospacing="1" w:line="240" w:lineRule="auto"/>
    </w:pPr>
    <w:rPr>
      <w:rFonts w:ascii="Times New Roman" w:eastAsia="Times New Roman" w:hAnsi="Times New Roman"/>
      <w:sz w:val="24"/>
      <w:szCs w:val="24"/>
      <w:lang w:eastAsia="hr-HR"/>
    </w:rPr>
  </w:style>
  <w:style w:type="paragraph" w:styleId="z-vrhobrasca">
    <w:name w:val="HTML Top of Form"/>
    <w:basedOn w:val="Normal"/>
    <w:next w:val="Normal"/>
    <w:link w:val="z-vrhobrascaChar"/>
    <w:hidden/>
    <w:uiPriority w:val="99"/>
    <w:semiHidden/>
    <w:unhideWhenUsed/>
    <w:rsid w:val="001B5891"/>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1B5891"/>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1B5891"/>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1B5891"/>
    <w:rPr>
      <w:rFonts w:ascii="Arial" w:eastAsia="Times New Roman" w:hAnsi="Arial" w:cs="Arial"/>
      <w:vanish/>
      <w:sz w:val="16"/>
      <w:szCs w:val="16"/>
      <w:lang w:eastAsia="hr-HR"/>
    </w:rPr>
  </w:style>
  <w:style w:type="character" w:styleId="Hiperveza">
    <w:name w:val="Hyperlink"/>
    <w:basedOn w:val="Zadanifontodlomka"/>
    <w:uiPriority w:val="99"/>
    <w:semiHidden/>
    <w:unhideWhenUsed/>
    <w:rsid w:val="001B5891"/>
    <w:rPr>
      <w:color w:val="0000FF"/>
      <w:u w:val="single"/>
    </w:rPr>
  </w:style>
  <w:style w:type="paragraph" w:customStyle="1" w:styleId="text-center">
    <w:name w:val="text-center"/>
    <w:basedOn w:val="Normal"/>
    <w:rsid w:val="001B5891"/>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4255">
      <w:bodyDiv w:val="1"/>
      <w:marLeft w:val="0"/>
      <w:marRight w:val="0"/>
      <w:marTop w:val="0"/>
      <w:marBottom w:val="0"/>
      <w:divBdr>
        <w:top w:val="none" w:sz="0" w:space="0" w:color="auto"/>
        <w:left w:val="none" w:sz="0" w:space="0" w:color="auto"/>
        <w:bottom w:val="none" w:sz="0" w:space="0" w:color="auto"/>
        <w:right w:val="none" w:sz="0" w:space="0" w:color="auto"/>
      </w:divBdr>
    </w:div>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270825417">
      <w:bodyDiv w:val="1"/>
      <w:marLeft w:val="0"/>
      <w:marRight w:val="0"/>
      <w:marTop w:val="0"/>
      <w:marBottom w:val="0"/>
      <w:divBdr>
        <w:top w:val="none" w:sz="0" w:space="0" w:color="auto"/>
        <w:left w:val="none" w:sz="0" w:space="0" w:color="auto"/>
        <w:bottom w:val="none" w:sz="0" w:space="0" w:color="auto"/>
        <w:right w:val="none" w:sz="0" w:space="0" w:color="auto"/>
      </w:divBdr>
      <w:divsChild>
        <w:div w:id="569732725">
          <w:marLeft w:val="0"/>
          <w:marRight w:val="0"/>
          <w:marTop w:val="0"/>
          <w:marBottom w:val="0"/>
          <w:divBdr>
            <w:top w:val="none" w:sz="0" w:space="0" w:color="auto"/>
            <w:left w:val="none" w:sz="0" w:space="0" w:color="auto"/>
            <w:bottom w:val="none" w:sz="0" w:space="0" w:color="auto"/>
            <w:right w:val="none" w:sz="0" w:space="0" w:color="auto"/>
          </w:divBdr>
          <w:divsChild>
            <w:div w:id="152110098">
              <w:marLeft w:val="0"/>
              <w:marRight w:val="0"/>
              <w:marTop w:val="0"/>
              <w:marBottom w:val="0"/>
              <w:divBdr>
                <w:top w:val="none" w:sz="0" w:space="0" w:color="auto"/>
                <w:left w:val="none" w:sz="0" w:space="0" w:color="auto"/>
                <w:bottom w:val="none" w:sz="0" w:space="0" w:color="auto"/>
                <w:right w:val="none" w:sz="0" w:space="0" w:color="auto"/>
              </w:divBdr>
            </w:div>
            <w:div w:id="663629157">
              <w:marLeft w:val="4560"/>
              <w:marRight w:val="0"/>
              <w:marTop w:val="0"/>
              <w:marBottom w:val="0"/>
              <w:divBdr>
                <w:top w:val="none" w:sz="0" w:space="0" w:color="auto"/>
                <w:left w:val="none" w:sz="0" w:space="0" w:color="auto"/>
                <w:bottom w:val="none" w:sz="0" w:space="0" w:color="auto"/>
                <w:right w:val="none" w:sz="0" w:space="0" w:color="auto"/>
              </w:divBdr>
              <w:divsChild>
                <w:div w:id="647636652">
                  <w:marLeft w:val="0"/>
                  <w:marRight w:val="1470"/>
                  <w:marTop w:val="0"/>
                  <w:marBottom w:val="0"/>
                  <w:divBdr>
                    <w:top w:val="none" w:sz="0" w:space="0" w:color="auto"/>
                    <w:left w:val="none" w:sz="0" w:space="0" w:color="auto"/>
                    <w:bottom w:val="none" w:sz="0" w:space="0" w:color="auto"/>
                    <w:right w:val="none" w:sz="0" w:space="0" w:color="auto"/>
                  </w:divBdr>
                  <w:divsChild>
                    <w:div w:id="6125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2389">
          <w:marLeft w:val="0"/>
          <w:marRight w:val="0"/>
          <w:marTop w:val="0"/>
          <w:marBottom w:val="0"/>
          <w:divBdr>
            <w:top w:val="none" w:sz="0" w:space="0" w:color="auto"/>
            <w:left w:val="none" w:sz="0" w:space="0" w:color="auto"/>
            <w:bottom w:val="none" w:sz="0" w:space="0" w:color="auto"/>
            <w:right w:val="none" w:sz="0" w:space="0" w:color="auto"/>
          </w:divBdr>
          <w:divsChild>
            <w:div w:id="4159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561">
      <w:bodyDiv w:val="1"/>
      <w:marLeft w:val="0"/>
      <w:marRight w:val="0"/>
      <w:marTop w:val="0"/>
      <w:marBottom w:val="0"/>
      <w:divBdr>
        <w:top w:val="none" w:sz="0" w:space="0" w:color="auto"/>
        <w:left w:val="none" w:sz="0" w:space="0" w:color="auto"/>
        <w:bottom w:val="none" w:sz="0" w:space="0" w:color="auto"/>
        <w:right w:val="none" w:sz="0" w:space="0" w:color="auto"/>
      </w:divBdr>
    </w:div>
    <w:div w:id="405692766">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7A5DA-B6FF-4EEE-BB06-1571025517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2F5E3-8C45-4E40-81A8-A406FC70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AFF1BE-5681-468F-A8AA-A649AF964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11732</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dcterms:created xsi:type="dcterms:W3CDTF">2022-07-26T17:04:00Z</dcterms:created>
  <dcterms:modified xsi:type="dcterms:W3CDTF">2022-07-26T17:04:00Z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