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BE112E">
        <w:rPr>
          <w:rFonts w:ascii="Times New Roman" w:hAnsi="Times New Roman"/>
          <w:b/>
          <w:sz w:val="24"/>
          <w:szCs w:val="24"/>
        </w:rPr>
        <w:t>JAVNOM OKUPLJANJU</w:t>
      </w:r>
      <w:r w:rsidR="00FE018C">
        <w:rPr>
          <w:rFonts w:ascii="Times New Roman" w:hAnsi="Times New Roman"/>
          <w:b/>
          <w:sz w:val="24"/>
          <w:szCs w:val="24"/>
        </w:rPr>
        <w:t>, 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750318">
        <w:rPr>
          <w:rFonts w:ascii="Times New Roman" w:hAnsi="Times New Roman"/>
          <w:b/>
          <w:sz w:val="24"/>
          <w:szCs w:val="24"/>
        </w:rPr>
        <w:t xml:space="preserve"> </w:t>
      </w:r>
      <w:r w:rsidR="00A5461F">
        <w:rPr>
          <w:rFonts w:ascii="Times New Roman" w:hAnsi="Times New Roman"/>
          <w:b/>
          <w:sz w:val="24"/>
          <w:szCs w:val="24"/>
        </w:rPr>
        <w:t>srpanj</w:t>
      </w:r>
      <w:r w:rsidR="00D57E08">
        <w:rPr>
          <w:rFonts w:ascii="Times New Roman" w:hAnsi="Times New Roman"/>
          <w:b/>
          <w:sz w:val="24"/>
          <w:szCs w:val="24"/>
        </w:rPr>
        <w:t xml:space="preserve">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javnom okupljanju („Narodne novine“, br. 128/99, 90/05, </w:t>
      </w:r>
      <w:r w:rsidR="003E5B6C">
        <w:rPr>
          <w:rFonts w:ascii="Times New Roman" w:eastAsia="Times New Roman" w:hAnsi="Times New Roman"/>
          <w:sz w:val="24"/>
          <w:szCs w:val="24"/>
          <w:lang w:eastAsia="hr-HR"/>
        </w:rPr>
        <w:t xml:space="preserve">139/05, </w:t>
      </w:r>
      <w:r w:rsidR="009611B0">
        <w:rPr>
          <w:rFonts w:ascii="Times New Roman" w:eastAsia="Times New Roman" w:hAnsi="Times New Roman"/>
          <w:sz w:val="24"/>
          <w:szCs w:val="24"/>
          <w:lang w:eastAsia="hr-HR"/>
        </w:rPr>
        <w:t>150/05, 82/11 – Odluka Ustavnog suda Republike Hrvatske i 78/12)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javnom okupljanju,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D57E08" w:rsidRDefault="00152983" w:rsidP="00152983">
      <w:pPr>
        <w:rPr>
          <w:rFonts w:ascii="Times New Roman" w:hAnsi="Times New Roman"/>
          <w:b/>
          <w:sz w:val="24"/>
          <w:szCs w:val="24"/>
        </w:rPr>
      </w:pPr>
      <w:r>
        <w:rPr>
          <w:rFonts w:ascii="Times New Roman" w:hAnsi="Times New Roman"/>
          <w:b/>
          <w:sz w:val="24"/>
          <w:szCs w:val="24"/>
        </w:rPr>
        <w:t xml:space="preserve">        </w:t>
      </w:r>
    </w:p>
    <w:p w:rsidR="00D57E08" w:rsidRDefault="00D57E08" w:rsidP="00152983">
      <w:pPr>
        <w:rPr>
          <w:rFonts w:ascii="Times New Roman" w:hAnsi="Times New Roman"/>
          <w:b/>
          <w:sz w:val="24"/>
          <w:szCs w:val="24"/>
        </w:rPr>
      </w:pPr>
    </w:p>
    <w:p w:rsidR="00152983" w:rsidRPr="006E4A76" w:rsidRDefault="00152983" w:rsidP="00D57E08">
      <w:pPr>
        <w:ind w:firstLine="708"/>
        <w:rPr>
          <w:rFonts w:ascii="Times New Roman" w:hAnsi="Times New Roman"/>
          <w:b/>
          <w:sz w:val="24"/>
          <w:szCs w:val="24"/>
        </w:rPr>
      </w:pPr>
      <w:r w:rsidRPr="006E4A76">
        <w:rPr>
          <w:rFonts w:ascii="Times New Roman" w:hAnsi="Times New Roman"/>
          <w:b/>
          <w:sz w:val="24"/>
          <w:szCs w:val="24"/>
        </w:rPr>
        <w:t xml:space="preserve">IV. PRIJEDLOG ZA DONOŠENJE ZAKONA PO HITNOM POSTUPKU </w:t>
      </w:r>
    </w:p>
    <w:p w:rsidR="00152983" w:rsidRDefault="00152983" w:rsidP="00152983">
      <w:pPr>
        <w:ind w:firstLine="708"/>
        <w:jc w:val="both"/>
        <w:rPr>
          <w:rFonts w:ascii="Times New Roman" w:hAnsi="Times New Roman"/>
          <w:sz w:val="24"/>
          <w:szCs w:val="24"/>
        </w:rPr>
      </w:pPr>
      <w:r w:rsidRPr="006E4A76">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152983" w:rsidRPr="006E4A76" w:rsidRDefault="00152983" w:rsidP="00152983">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C6642C">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D57E08" w:rsidRDefault="00D57E08"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D57E08" w:rsidRDefault="00D57E08"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D57E08" w:rsidRDefault="00D57E08"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FE018C"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BE112E">
        <w:rPr>
          <w:rFonts w:ascii="Times New Roman" w:hAnsi="Times New Roman"/>
          <w:b/>
          <w:sz w:val="24"/>
          <w:szCs w:val="24"/>
        </w:rPr>
        <w:t>JAVNOM OKUPLJANJU</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7C2BEE" w:rsidRDefault="00070AC4" w:rsidP="00BE112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BE112E">
        <w:rPr>
          <w:rFonts w:ascii="Times New Roman" w:eastAsia="Times New Roman" w:hAnsi="Times New Roman"/>
          <w:sz w:val="24"/>
          <w:szCs w:val="24"/>
          <w:lang w:eastAsia="hr-HR"/>
        </w:rPr>
        <w:t xml:space="preserve">javnom okupljanju („Narodne novine“, br. 128/99, 90/05, </w:t>
      </w:r>
      <w:r w:rsidR="003E5B6C">
        <w:rPr>
          <w:rFonts w:ascii="Times New Roman" w:eastAsia="Times New Roman" w:hAnsi="Times New Roman"/>
          <w:sz w:val="24"/>
          <w:szCs w:val="24"/>
          <w:lang w:eastAsia="hr-HR"/>
        </w:rPr>
        <w:t xml:space="preserve">139/05, </w:t>
      </w:r>
      <w:r w:rsidR="00BE112E">
        <w:rPr>
          <w:rFonts w:ascii="Times New Roman" w:eastAsia="Times New Roman" w:hAnsi="Times New Roman"/>
          <w:sz w:val="24"/>
          <w:szCs w:val="24"/>
          <w:lang w:eastAsia="hr-HR"/>
        </w:rPr>
        <w:t xml:space="preserve">150/05, 82/11 – Odluka Ustavnog suda Republike Hrvatske i 78/12) </w:t>
      </w:r>
      <w:r w:rsidR="007C2BEE">
        <w:rPr>
          <w:rFonts w:ascii="Times New Roman" w:eastAsia="Times New Roman" w:hAnsi="Times New Roman"/>
          <w:sz w:val="24"/>
          <w:szCs w:val="24"/>
          <w:lang w:eastAsia="hr-HR"/>
        </w:rPr>
        <w:t xml:space="preserve">naziv poglavlja </w:t>
      </w:r>
      <w:r w:rsidR="003E5B6C">
        <w:rPr>
          <w:rFonts w:ascii="Times New Roman" w:eastAsia="Times New Roman" w:hAnsi="Times New Roman"/>
          <w:sz w:val="24"/>
          <w:szCs w:val="24"/>
          <w:lang w:eastAsia="hr-HR"/>
        </w:rPr>
        <w:t>„</w:t>
      </w:r>
      <w:r w:rsidR="007C2BEE">
        <w:rPr>
          <w:rFonts w:ascii="Times New Roman" w:eastAsia="Times New Roman" w:hAnsi="Times New Roman"/>
          <w:sz w:val="24"/>
          <w:szCs w:val="24"/>
          <w:lang w:eastAsia="hr-HR"/>
        </w:rPr>
        <w:t>V.</w:t>
      </w:r>
      <w:r w:rsidR="003E5B6C">
        <w:rPr>
          <w:rFonts w:ascii="Times New Roman" w:eastAsia="Times New Roman" w:hAnsi="Times New Roman"/>
          <w:sz w:val="24"/>
          <w:szCs w:val="24"/>
          <w:lang w:eastAsia="hr-HR"/>
        </w:rPr>
        <w:t xml:space="preserve"> </w:t>
      </w:r>
      <w:r w:rsidR="007C2BEE">
        <w:rPr>
          <w:rFonts w:ascii="Times New Roman" w:eastAsia="Times New Roman" w:hAnsi="Times New Roman"/>
          <w:sz w:val="24"/>
          <w:szCs w:val="24"/>
          <w:lang w:eastAsia="hr-HR"/>
        </w:rPr>
        <w:t>KAZNENE ODREDBE“ mijenja se i glasi: „V. PREKRŠAJNE ODREDBE“.</w:t>
      </w:r>
    </w:p>
    <w:p w:rsidR="007C2BEE" w:rsidRDefault="007C2BEE" w:rsidP="00BE112E">
      <w:pPr>
        <w:spacing w:after="0" w:line="240" w:lineRule="auto"/>
        <w:jc w:val="both"/>
        <w:rPr>
          <w:rFonts w:ascii="Times New Roman" w:eastAsia="Times New Roman" w:hAnsi="Times New Roman"/>
          <w:sz w:val="24"/>
          <w:szCs w:val="24"/>
          <w:lang w:eastAsia="hr-HR"/>
        </w:rPr>
      </w:pPr>
    </w:p>
    <w:p w:rsidR="007C2BEE" w:rsidRDefault="007C2BEE" w:rsidP="00BE112E">
      <w:pPr>
        <w:spacing w:after="0" w:line="240" w:lineRule="auto"/>
        <w:jc w:val="both"/>
        <w:rPr>
          <w:rFonts w:ascii="Times New Roman" w:eastAsia="Times New Roman" w:hAnsi="Times New Roman"/>
          <w:sz w:val="24"/>
          <w:szCs w:val="24"/>
          <w:lang w:eastAsia="hr-HR"/>
        </w:rPr>
      </w:pPr>
    </w:p>
    <w:p w:rsidR="007C2BEE" w:rsidRPr="007C2BEE" w:rsidRDefault="007C2BEE" w:rsidP="007C2BE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7C2BEE" w:rsidRDefault="007C2BEE" w:rsidP="00BE112E">
      <w:pPr>
        <w:spacing w:after="0" w:line="240" w:lineRule="auto"/>
        <w:jc w:val="both"/>
        <w:rPr>
          <w:rFonts w:ascii="Times New Roman" w:eastAsia="Times New Roman" w:hAnsi="Times New Roman"/>
          <w:sz w:val="24"/>
          <w:szCs w:val="24"/>
          <w:lang w:eastAsia="hr-HR"/>
        </w:rPr>
      </w:pPr>
    </w:p>
    <w:p w:rsidR="007C2BEE" w:rsidRDefault="007C2BEE" w:rsidP="00BE112E">
      <w:pPr>
        <w:spacing w:after="0" w:line="240" w:lineRule="auto"/>
        <w:jc w:val="both"/>
        <w:rPr>
          <w:rFonts w:ascii="Times New Roman" w:eastAsia="Times New Roman" w:hAnsi="Times New Roman"/>
          <w:sz w:val="24"/>
          <w:szCs w:val="24"/>
          <w:lang w:eastAsia="hr-HR"/>
        </w:rPr>
      </w:pPr>
    </w:p>
    <w:p w:rsidR="00DF03E8" w:rsidRDefault="007C2BEE" w:rsidP="007C2BEE">
      <w:pPr>
        <w:spacing w:after="0" w:line="240" w:lineRule="auto"/>
        <w:ind w:firstLine="708"/>
        <w:jc w:val="both"/>
        <w:rPr>
          <w:rFonts w:ascii="Minion Pro" w:eastAsia="Times New Roman" w:hAnsi="Minion Pro"/>
          <w:color w:val="000000"/>
          <w:sz w:val="24"/>
          <w:szCs w:val="24"/>
          <w:lang w:eastAsia="hr-HR"/>
        </w:rPr>
      </w:pPr>
      <w:r>
        <w:rPr>
          <w:rFonts w:ascii="Times New Roman" w:eastAsia="Times New Roman" w:hAnsi="Times New Roman"/>
          <w:sz w:val="24"/>
          <w:szCs w:val="24"/>
          <w:lang w:eastAsia="hr-HR"/>
        </w:rPr>
        <w:t>U</w:t>
      </w:r>
      <w:r w:rsidR="00BE112E">
        <w:rPr>
          <w:rFonts w:ascii="Times New Roman" w:eastAsia="Times New Roman" w:hAnsi="Times New Roman"/>
          <w:sz w:val="24"/>
          <w:szCs w:val="24"/>
          <w:lang w:eastAsia="hr-HR"/>
        </w:rPr>
        <w:t xml:space="preserve"> članku 34. riječi: „</w:t>
      </w:r>
      <w:r w:rsidR="00BE112E" w:rsidRPr="0068579F">
        <w:rPr>
          <w:rFonts w:ascii="Minion Pro" w:eastAsia="Times New Roman" w:hAnsi="Minion Pro"/>
          <w:color w:val="000000"/>
          <w:sz w:val="24"/>
          <w:szCs w:val="24"/>
          <w:lang w:eastAsia="hr-HR"/>
        </w:rPr>
        <w:t>od 5.000,00 do 20.000,00 kuna</w:t>
      </w:r>
      <w:r w:rsidR="00BE112E">
        <w:rPr>
          <w:rFonts w:ascii="Minion Pro" w:eastAsia="Times New Roman" w:hAnsi="Minion Pro"/>
          <w:color w:val="000000"/>
          <w:sz w:val="24"/>
          <w:szCs w:val="24"/>
          <w:lang w:eastAsia="hr-HR"/>
        </w:rPr>
        <w:t xml:space="preserve">“ zamjenjuju se riječima: „od </w:t>
      </w:r>
      <w:r w:rsidR="00AF25B7">
        <w:rPr>
          <w:rFonts w:ascii="Minion Pro" w:eastAsia="Times New Roman" w:hAnsi="Minion Pro"/>
          <w:color w:val="000000"/>
          <w:sz w:val="24"/>
          <w:szCs w:val="24"/>
          <w:lang w:eastAsia="hr-HR"/>
        </w:rPr>
        <w:t>660,00</w:t>
      </w:r>
      <w:r w:rsidR="00BE112E">
        <w:rPr>
          <w:rFonts w:ascii="Minion Pro" w:eastAsia="Times New Roman" w:hAnsi="Minion Pro"/>
          <w:color w:val="000000"/>
          <w:sz w:val="24"/>
          <w:szCs w:val="24"/>
          <w:lang w:eastAsia="hr-HR"/>
        </w:rPr>
        <w:t xml:space="preserve"> do</w:t>
      </w:r>
      <w:r w:rsidR="00AF25B7">
        <w:rPr>
          <w:rFonts w:ascii="Minion Pro" w:eastAsia="Times New Roman" w:hAnsi="Minion Pro"/>
          <w:color w:val="000000"/>
          <w:sz w:val="24"/>
          <w:szCs w:val="24"/>
          <w:lang w:eastAsia="hr-HR"/>
        </w:rPr>
        <w:t xml:space="preserve"> 2.650,00</w:t>
      </w:r>
      <w:r w:rsidR="00BE112E">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7C2BEE">
        <w:rPr>
          <w:rFonts w:ascii="Minion Pro" w:eastAsia="Times New Roman" w:hAnsi="Minion Pro"/>
          <w:b/>
          <w:color w:val="000000"/>
          <w:sz w:val="24"/>
          <w:szCs w:val="24"/>
          <w:lang w:eastAsia="hr-HR"/>
        </w:rPr>
        <w:t>3</w:t>
      </w:r>
      <w:r>
        <w:rPr>
          <w:rFonts w:ascii="Minion Pro" w:eastAsia="Times New Roman" w:hAnsi="Minion Pro"/>
          <w:b/>
          <w:color w:val="000000"/>
          <w:sz w:val="24"/>
          <w:szCs w:val="24"/>
          <w:lang w:eastAsia="hr-HR"/>
        </w:rPr>
        <w:t>.</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35. riječi: „</w:t>
      </w:r>
      <w:r w:rsidRPr="0068579F">
        <w:rPr>
          <w:rFonts w:ascii="Minion Pro" w:eastAsia="Times New Roman" w:hAnsi="Minion Pro"/>
          <w:color w:val="000000"/>
          <w:sz w:val="24"/>
          <w:szCs w:val="24"/>
          <w:lang w:eastAsia="hr-HR"/>
        </w:rPr>
        <w:t>od 2.000,00 do 5.000,00 kuna</w:t>
      </w:r>
      <w:r>
        <w:rPr>
          <w:rFonts w:ascii="Minion Pro" w:eastAsia="Times New Roman" w:hAnsi="Minion Pro"/>
          <w:color w:val="000000"/>
          <w:sz w:val="24"/>
          <w:szCs w:val="24"/>
          <w:lang w:eastAsia="hr-HR"/>
        </w:rPr>
        <w:t xml:space="preserve">“ zamjenjuju se riječima: „od </w:t>
      </w:r>
      <w:r w:rsidR="00AF25B7">
        <w:rPr>
          <w:rFonts w:ascii="Minion Pro" w:eastAsia="Times New Roman" w:hAnsi="Minion Pro"/>
          <w:color w:val="000000"/>
          <w:sz w:val="24"/>
          <w:szCs w:val="24"/>
          <w:lang w:eastAsia="hr-HR"/>
        </w:rPr>
        <w:t>260,00</w:t>
      </w:r>
      <w:r>
        <w:rPr>
          <w:rFonts w:ascii="Minion Pro" w:eastAsia="Times New Roman" w:hAnsi="Minion Pro"/>
          <w:color w:val="000000"/>
          <w:sz w:val="24"/>
          <w:szCs w:val="24"/>
          <w:lang w:eastAsia="hr-HR"/>
        </w:rPr>
        <w:t xml:space="preserve">    do </w:t>
      </w:r>
      <w:r w:rsidR="00AF25B7">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7C2BEE">
        <w:rPr>
          <w:rFonts w:ascii="Minion Pro" w:eastAsia="Times New Roman" w:hAnsi="Minion Pro"/>
          <w:b/>
          <w:color w:val="000000"/>
          <w:sz w:val="24"/>
          <w:szCs w:val="24"/>
          <w:lang w:eastAsia="hr-HR"/>
        </w:rPr>
        <w:t>4</w:t>
      </w:r>
      <w:r>
        <w:rPr>
          <w:rFonts w:ascii="Minion Pro" w:eastAsia="Times New Roman" w:hAnsi="Minion Pro"/>
          <w:b/>
          <w:color w:val="000000"/>
          <w:sz w:val="24"/>
          <w:szCs w:val="24"/>
          <w:lang w:eastAsia="hr-HR"/>
        </w:rPr>
        <w:t>.</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36. riječi: „</w:t>
      </w:r>
      <w:r w:rsidRPr="0068579F">
        <w:rPr>
          <w:rFonts w:ascii="Minion Pro" w:eastAsia="Times New Roman" w:hAnsi="Minion Pro"/>
          <w:color w:val="000000"/>
          <w:sz w:val="24"/>
          <w:szCs w:val="24"/>
          <w:lang w:eastAsia="hr-HR"/>
        </w:rPr>
        <w:t>od 20.000,00 do 50.000,00 kuna</w:t>
      </w:r>
      <w:r>
        <w:rPr>
          <w:rFonts w:ascii="Minion Pro" w:eastAsia="Times New Roman" w:hAnsi="Minion Pro"/>
          <w:color w:val="000000"/>
          <w:sz w:val="24"/>
          <w:szCs w:val="24"/>
          <w:lang w:eastAsia="hr-HR"/>
        </w:rPr>
        <w:t xml:space="preserve">“ zamjenjuju se riječima: „od  </w:t>
      </w:r>
      <w:r w:rsidR="00AF25B7">
        <w:rPr>
          <w:rFonts w:ascii="Minion Pro" w:eastAsia="Times New Roman" w:hAnsi="Minion Pro"/>
          <w:color w:val="000000"/>
          <w:sz w:val="24"/>
          <w:szCs w:val="24"/>
          <w:lang w:eastAsia="hr-HR"/>
        </w:rPr>
        <w:t>2.650,00</w:t>
      </w:r>
      <w:r>
        <w:rPr>
          <w:rFonts w:ascii="Minion Pro" w:eastAsia="Times New Roman" w:hAnsi="Minion Pro"/>
          <w:color w:val="000000"/>
          <w:sz w:val="24"/>
          <w:szCs w:val="24"/>
          <w:lang w:eastAsia="hr-HR"/>
        </w:rPr>
        <w:t xml:space="preserve"> do</w:t>
      </w:r>
      <w:r w:rsidR="00AF25B7">
        <w:rPr>
          <w:rFonts w:ascii="Minion Pro" w:eastAsia="Times New Roman" w:hAnsi="Minion Pro"/>
          <w:color w:val="000000"/>
          <w:sz w:val="24"/>
          <w:szCs w:val="24"/>
          <w:lang w:eastAsia="hr-HR"/>
        </w:rPr>
        <w:t xml:space="preserve"> 6.630,00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rPr>
          <w:rFonts w:ascii="Minion Pro" w:eastAsia="Times New Roman" w:hAnsi="Minion Pro"/>
          <w:color w:val="000000"/>
          <w:sz w:val="24"/>
          <w:szCs w:val="24"/>
          <w:lang w:eastAsia="hr-HR"/>
        </w:rPr>
      </w:pPr>
    </w:p>
    <w:p w:rsidR="00BE112E" w:rsidRDefault="00BE112E" w:rsidP="00BE112E">
      <w:pPr>
        <w:spacing w:after="0" w:line="240" w:lineRule="auto"/>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7C2BEE">
        <w:rPr>
          <w:rFonts w:ascii="Minion Pro" w:eastAsia="Times New Roman" w:hAnsi="Minion Pro"/>
          <w:b/>
          <w:color w:val="000000"/>
          <w:sz w:val="24"/>
          <w:szCs w:val="24"/>
          <w:lang w:eastAsia="hr-HR"/>
        </w:rPr>
        <w:t>5</w:t>
      </w:r>
      <w:r>
        <w:rPr>
          <w:rFonts w:ascii="Minion Pro" w:eastAsia="Times New Roman" w:hAnsi="Minion Pro"/>
          <w:b/>
          <w:color w:val="000000"/>
          <w:sz w:val="24"/>
          <w:szCs w:val="24"/>
          <w:lang w:eastAsia="hr-HR"/>
        </w:rPr>
        <w:t>.</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Pr="00BE112E" w:rsidRDefault="00BE112E" w:rsidP="00BE112E">
      <w:pPr>
        <w:spacing w:after="0" w:line="240" w:lineRule="auto"/>
        <w:jc w:val="both"/>
        <w:rPr>
          <w:rFonts w:ascii="Times New Roman" w:eastAsia="Times New Roman" w:hAnsi="Times New Roman"/>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37. riječi: „</w:t>
      </w:r>
      <w:r w:rsidRPr="0068579F">
        <w:rPr>
          <w:rFonts w:ascii="Minion Pro" w:eastAsia="Times New Roman" w:hAnsi="Minion Pro"/>
          <w:color w:val="000000"/>
          <w:sz w:val="24"/>
          <w:szCs w:val="24"/>
          <w:lang w:eastAsia="hr-HR"/>
        </w:rPr>
        <w:t>od 1.000,00 do 3.000,00 kuna</w:t>
      </w:r>
      <w:r>
        <w:rPr>
          <w:rFonts w:ascii="Minion Pro" w:eastAsia="Times New Roman" w:hAnsi="Minion Pro"/>
          <w:color w:val="000000"/>
          <w:sz w:val="24"/>
          <w:szCs w:val="24"/>
          <w:lang w:eastAsia="hr-HR"/>
        </w:rPr>
        <w:t xml:space="preserve">“ zamjenjuju se riječima: „od </w:t>
      </w:r>
      <w:r w:rsidR="00AF25B7">
        <w:rPr>
          <w:rFonts w:ascii="Minion Pro" w:eastAsia="Times New Roman" w:hAnsi="Minion Pro"/>
          <w:color w:val="000000"/>
          <w:sz w:val="24"/>
          <w:szCs w:val="24"/>
          <w:lang w:eastAsia="hr-HR"/>
        </w:rPr>
        <w:t>130,00</w:t>
      </w:r>
      <w:r>
        <w:rPr>
          <w:rFonts w:ascii="Minion Pro" w:eastAsia="Times New Roman" w:hAnsi="Minion Pro"/>
          <w:color w:val="000000"/>
          <w:sz w:val="24"/>
          <w:szCs w:val="24"/>
          <w:lang w:eastAsia="hr-HR"/>
        </w:rPr>
        <w:t xml:space="preserve">    do </w:t>
      </w:r>
      <w:r w:rsidR="00AF25B7">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eura“.</w:t>
      </w:r>
    </w:p>
    <w:p w:rsidR="00DF03E8" w:rsidRDefault="00DF03E8" w:rsidP="00DF03E8">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7C2BEE">
        <w:rPr>
          <w:rFonts w:ascii="Times New Roman" w:eastAsia="Times New Roman" w:hAnsi="Times New Roman"/>
          <w:b/>
          <w:sz w:val="24"/>
          <w:szCs w:val="24"/>
          <w:lang w:eastAsia="hr-HR"/>
        </w:rPr>
        <w:t>6</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68599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Ovaj Zakon </w:t>
      </w:r>
      <w:r w:rsidR="00520598">
        <w:rPr>
          <w:rFonts w:ascii="Times New Roman" w:eastAsia="Times New Roman" w:hAnsi="Times New Roman"/>
          <w:sz w:val="24"/>
          <w:szCs w:val="24"/>
          <w:lang w:eastAsia="hr-HR"/>
        </w:rPr>
        <w:t xml:space="preserve">objavit će se u „Narodnim novinama“, a </w:t>
      </w:r>
      <w:r>
        <w:rPr>
          <w:rFonts w:ascii="Times New Roman" w:eastAsia="Times New Roman" w:hAnsi="Times New Roman"/>
          <w:sz w:val="24"/>
          <w:szCs w:val="24"/>
          <w:lang w:eastAsia="hr-HR"/>
        </w:rPr>
        <w:t xml:space="preserve">stupa na snagu </w:t>
      </w:r>
      <w:r w:rsidR="00685991">
        <w:rPr>
          <w:rFonts w:ascii="Times New Roman" w:eastAsia="Times New Roman" w:hAnsi="Times New Roman"/>
          <w:sz w:val="24"/>
          <w:szCs w:val="24"/>
          <w:lang w:eastAsia="hr-HR"/>
        </w:rPr>
        <w:t xml:space="preserve">na dan </w:t>
      </w:r>
      <w:r w:rsidR="00FF12BE">
        <w:rPr>
          <w:rFonts w:ascii="Times New Roman" w:eastAsia="Times New Roman" w:hAnsi="Times New Roman"/>
          <w:sz w:val="24"/>
          <w:szCs w:val="24"/>
          <w:lang w:eastAsia="hr-HR"/>
        </w:rPr>
        <w:t>uvođenja eura kao službene valute u Republici Hrvatskoj.</w:t>
      </w: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3C7EC4" w:rsidRDefault="00C72546"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IV.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C2BEE" w:rsidRDefault="00DD4CB8" w:rsidP="00DD4CB8">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p>
    <w:p w:rsidR="007C2BEE" w:rsidRDefault="007C2BEE" w:rsidP="00DD4CB8">
      <w:pPr>
        <w:spacing w:after="0" w:line="240" w:lineRule="auto"/>
        <w:rPr>
          <w:rFonts w:ascii="Times New Roman" w:eastAsia="Times New Roman" w:hAnsi="Times New Roman"/>
          <w:sz w:val="24"/>
          <w:szCs w:val="24"/>
          <w:lang w:eastAsia="hr-HR"/>
        </w:rPr>
      </w:pPr>
    </w:p>
    <w:p w:rsidR="007C2BEE" w:rsidRPr="007C2BEE" w:rsidRDefault="007C2BEE" w:rsidP="007C2BE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poglavlju V. važećeg Zakona o javnom okupljanju sadržane su odredbe na temelju kojih se novčanim kaznama kažnjavaju prekršitelji za prekršaje utvrđene tim Zakonom. S obzirom da je u Zakonu naveden naziv poglavlja V. „KAZNENE ODREDBE“, sukladno uobičajenoj </w:t>
      </w:r>
      <w:proofErr w:type="spellStart"/>
      <w:r>
        <w:rPr>
          <w:rFonts w:ascii="Times New Roman" w:eastAsia="Times New Roman" w:hAnsi="Times New Roman"/>
          <w:sz w:val="24"/>
          <w:szCs w:val="24"/>
          <w:lang w:eastAsia="hr-HR"/>
        </w:rPr>
        <w:t>nomotehničkoj</w:t>
      </w:r>
      <w:proofErr w:type="spellEnd"/>
      <w:r>
        <w:rPr>
          <w:rFonts w:ascii="Times New Roman" w:eastAsia="Times New Roman" w:hAnsi="Times New Roman"/>
          <w:sz w:val="24"/>
          <w:szCs w:val="24"/>
          <w:lang w:eastAsia="hr-HR"/>
        </w:rPr>
        <w:t xml:space="preserve"> praksi naziv poglavlja V. mijenja se i glasi: „PREKRŠAJNE ODREDBE“.</w:t>
      </w:r>
    </w:p>
    <w:p w:rsidR="007C2BEE" w:rsidRDefault="007C2BEE" w:rsidP="00DD4CB8">
      <w:pPr>
        <w:spacing w:after="0" w:line="240" w:lineRule="auto"/>
        <w:rPr>
          <w:rFonts w:ascii="Times New Roman" w:eastAsia="Times New Roman" w:hAnsi="Times New Roman"/>
          <w:b/>
          <w:sz w:val="24"/>
          <w:szCs w:val="24"/>
          <w:lang w:eastAsia="hr-HR"/>
        </w:rPr>
      </w:pPr>
    </w:p>
    <w:p w:rsidR="00DD4CB8" w:rsidRDefault="007C2BEE"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DD4CB8">
        <w:rPr>
          <w:rFonts w:ascii="Times New Roman" w:eastAsia="Times New Roman" w:hAnsi="Times New Roman"/>
          <w:b/>
          <w:sz w:val="24"/>
          <w:szCs w:val="24"/>
          <w:lang w:eastAsia="hr-HR"/>
        </w:rPr>
        <w:t xml:space="preserve"> –</w:t>
      </w:r>
      <w:r w:rsidR="0068579F">
        <w:rPr>
          <w:rFonts w:ascii="Times New Roman" w:eastAsia="Times New Roman" w:hAnsi="Times New Roman"/>
          <w:b/>
          <w:sz w:val="24"/>
          <w:szCs w:val="24"/>
          <w:lang w:eastAsia="hr-HR"/>
        </w:rPr>
        <w:t>4</w:t>
      </w:r>
      <w:r w:rsidR="00DD4CB8">
        <w:rPr>
          <w:rFonts w:ascii="Times New Roman" w:eastAsia="Times New Roman" w:hAnsi="Times New Roman"/>
          <w:b/>
          <w:sz w:val="24"/>
          <w:szCs w:val="24"/>
          <w:lang w:eastAsia="hr-HR"/>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68579F">
        <w:rPr>
          <w:rFonts w:ascii="Times New Roman" w:eastAsia="Times New Roman" w:hAnsi="Times New Roman"/>
          <w:sz w:val="24"/>
          <w:szCs w:val="24"/>
          <w:lang w:eastAsia="hr-HR"/>
        </w:rPr>
        <w:t xml:space="preserve">34., 35., 36. i 37. Zakona o javnom okupljanju </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 xml:space="preserve">(„Narodne novine“, br. 128/99, 90/05, 150/05, 82/11 – Odluka Ustavnog suda Republike Hrvatske i 78/12)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F5651">
        <w:rPr>
          <w:rFonts w:ascii="Times New Roman" w:eastAsia="Times New Roman" w:hAnsi="Times New Roman"/>
          <w:b/>
          <w:sz w:val="24"/>
          <w:szCs w:val="24"/>
          <w:lang w:eastAsia="hr-HR"/>
        </w:rPr>
        <w:t>5</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C72546"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Članak 34.</w:t>
      </w:r>
    </w:p>
    <w:p w:rsidR="0068579F" w:rsidRP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Novčanom kaznom od 5.000,00 do 20.000,00 kuna kaznit će se za prekršaj:</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1. osoba koja organizira mirno okupljanje ili javni prosvjed bez prijave kada je prijavljivanje obvezatno (članak 7. stavak 1.),</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2. organizator koji održava mirno okupljanje i javni prosvjed na mjestima utvrđenim člankom 11. ovoga Zakona ili izvan mjesta utvrđenog odlukom iz članka 12. stavka 1. ovoga Zakona,</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3. organizator koji unatoč zabrani održi mirno okupljanje i javni prosvjed (članak 14.),</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4. organizator koji nije poduzeo mjere osiguranja reda i mira na mirnom okupljanju i javnom prosvjedu (članak 16. i članak 17.),</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5. organizator koji organizira druge oblike okupljanja bez prijave kada je prijavljivanje obvezatno (članak 33. stavak 2.).</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Članak 35.</w:t>
      </w:r>
    </w:p>
    <w:p w:rsidR="0068579F" w:rsidRP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Novčanom kaznom od 2.000,00 do 5.000,00 kuna kaznit će se za prekršaj voditelj koji:</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1. ne poduzme potrebite mjere poradi osiguranja reda i mira na mirnom okupljanju i javnom prosvjedu (članak 18. i članak 21. stavak 2.),</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lastRenderedPageBreak/>
        <w:t>2. ne prekine mirno okupljanje i javni prosvjed kada nastupi zbiljska i izravna pogibelj od nasilja (članak 21. stavak 3.),</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3. na zahtjev ovlaštene službene osobe ne prekine mirno okupljanje i javni prosvjed (članak 23.).</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Članak 36.</w:t>
      </w:r>
    </w:p>
    <w:p w:rsidR="0068579F" w:rsidRP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Novčanom kaznom od 20.000,00 do 50.000,00 kuna kaznit će se za prekršaj:</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1. osoba koja organizira javnu priredbu bez prijave, kada je prijavljivanje obvezatno (članak 26.),</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2. organizator koji organizira javnu priredbu unatoč zabrani (članak 28.).</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Novčanom kaznom iz stavka 1. ovoga članka kaznit će se organizator javne priredbe za prekršaje utvrđene člankom 34. točkom 4., odnosno voditelj javne priredbe za prekršaje utvrđene člankom 35. ovoga Zakona.</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Članak 37.</w:t>
      </w:r>
    </w:p>
    <w:p w:rsidR="0068579F" w:rsidRP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Novčanom kaznom od 1.000,00 do 3.000,00 kuna kaznit će se za prekršaj:</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1. osoba koja na javnom okupljanju ili na putu prema mjestu njegova održavanja nosi oružje ili predmete pogodne za nanošenje ozljeda te alkoholna pića (članak 18. stavak 1.),</w:t>
      </w:r>
    </w:p>
    <w:p w:rsidR="0068579F" w:rsidRPr="0068579F" w:rsidRDefault="0068579F" w:rsidP="0068579F">
      <w:pPr>
        <w:shd w:val="clear" w:color="auto" w:fill="FFFFFF"/>
        <w:spacing w:after="225" w:line="240" w:lineRule="auto"/>
        <w:textAlignment w:val="baseline"/>
        <w:rPr>
          <w:rFonts w:ascii="Minion Pro" w:eastAsia="Times New Roman" w:hAnsi="Minion Pro"/>
          <w:color w:val="000000"/>
          <w:sz w:val="24"/>
          <w:szCs w:val="24"/>
          <w:lang w:eastAsia="hr-HR"/>
        </w:rPr>
      </w:pPr>
      <w:r w:rsidRPr="0068579F">
        <w:rPr>
          <w:rFonts w:ascii="Minion Pro" w:eastAsia="Times New Roman" w:hAnsi="Minion Pro"/>
          <w:color w:val="000000"/>
          <w:sz w:val="24"/>
          <w:szCs w:val="24"/>
          <w:lang w:eastAsia="hr-HR"/>
        </w:rPr>
        <w:t>2. osoba koja na javnom okupljanju nosi odoru, dijelove odore, odjeću, oznake ili druga obilježja kojima se poziva ili potiče na rat ili uporabu nasilja, na nacionalnu, rasnu ili vjersku mržnju ili bilo koji oblik nesnošljivosti (članak 18. stavak 2.).</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P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CC0B4D"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5C30FE"/>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52983"/>
    <w:rsid w:val="002D128D"/>
    <w:rsid w:val="003E5B6C"/>
    <w:rsid w:val="003E6F13"/>
    <w:rsid w:val="004235AC"/>
    <w:rsid w:val="00425FE0"/>
    <w:rsid w:val="00475AA7"/>
    <w:rsid w:val="00520598"/>
    <w:rsid w:val="00534C02"/>
    <w:rsid w:val="005B10CF"/>
    <w:rsid w:val="005C30FE"/>
    <w:rsid w:val="0068579F"/>
    <w:rsid w:val="00685991"/>
    <w:rsid w:val="00711872"/>
    <w:rsid w:val="00735A22"/>
    <w:rsid w:val="00750318"/>
    <w:rsid w:val="00796CFB"/>
    <w:rsid w:val="007C2BEE"/>
    <w:rsid w:val="00857566"/>
    <w:rsid w:val="008C53B4"/>
    <w:rsid w:val="009611B0"/>
    <w:rsid w:val="00A5461F"/>
    <w:rsid w:val="00AF25B7"/>
    <w:rsid w:val="00B94F86"/>
    <w:rsid w:val="00BE112E"/>
    <w:rsid w:val="00C6642C"/>
    <w:rsid w:val="00C72546"/>
    <w:rsid w:val="00CC0B4D"/>
    <w:rsid w:val="00CF5651"/>
    <w:rsid w:val="00D57E08"/>
    <w:rsid w:val="00DD4CB8"/>
    <w:rsid w:val="00DF03E8"/>
    <w:rsid w:val="00E460CF"/>
    <w:rsid w:val="00FB0AD6"/>
    <w:rsid w:val="00FE018C"/>
    <w:rsid w:val="00FF1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8D249-73AC-4D77-815E-64746C839675}">
  <ds:schemaRefs>
    <ds:schemaRef ds:uri="http://schemas.microsoft.com/sharepoint/v3/contenttype/forms"/>
  </ds:schemaRefs>
</ds:datastoreItem>
</file>

<file path=customXml/itemProps2.xml><?xml version="1.0" encoding="utf-8"?>
<ds:datastoreItem xmlns:ds="http://schemas.openxmlformats.org/officeDocument/2006/customXml" ds:itemID="{E1606759-D6E0-422C-B705-2BF25BC2B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8DF16-9820-4CF4-95D9-3901D7923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2022-07-26T17:31:00Z</dcterms:created>
  <dcterms:modified xsi:type="dcterms:W3CDTF">2022-07-26T17:31:00Z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