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F68BA" w14:textId="77777777" w:rsidR="00DE0A0E" w:rsidRDefault="00DE0A0E" w:rsidP="00DE0A0E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hr-HR" w:eastAsia="en-GB"/>
        </w:rPr>
      </w:pPr>
      <w:bookmarkStart w:id="0" w:name="_GoBack"/>
      <w:bookmarkEnd w:id="0"/>
    </w:p>
    <w:p w14:paraId="74917737" w14:textId="77777777" w:rsidR="00DE0A0E" w:rsidRDefault="00DE0A0E" w:rsidP="00DE0A0E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hr-HR" w:eastAsia="en-GB"/>
        </w:rPr>
      </w:pPr>
    </w:p>
    <w:p w14:paraId="0B977C69" w14:textId="77777777" w:rsidR="00DE0A0E" w:rsidRDefault="00DE0A0E" w:rsidP="00DE0A0E">
      <w:pPr>
        <w:jc w:val="center"/>
        <w:rPr>
          <w:rFonts w:ascii="Calibri" w:eastAsia="Calibri" w:hAnsi="Calibri"/>
        </w:rPr>
      </w:pPr>
      <w:r w:rsidRPr="00EA34DE">
        <w:rPr>
          <w:rFonts w:ascii="Calibri" w:eastAsia="Calibri" w:hAnsi="Calibri"/>
          <w:noProof/>
          <w:lang w:val="hr-HR" w:eastAsia="hr-HR"/>
        </w:rPr>
        <w:drawing>
          <wp:inline distT="0" distB="0" distL="0" distR="0" wp14:anchorId="41A39CF1" wp14:editId="3CC8ABEF">
            <wp:extent cx="504825" cy="685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C6C56" w14:textId="77777777" w:rsidR="00DE0A0E" w:rsidRPr="00155E41" w:rsidRDefault="00DE0A0E" w:rsidP="00DE0A0E">
      <w:pPr>
        <w:spacing w:before="60" w:after="16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5E41">
        <w:rPr>
          <w:rFonts w:ascii="Times New Roman" w:eastAsia="Calibri" w:hAnsi="Times New Roman" w:cs="Times New Roman"/>
          <w:b/>
          <w:sz w:val="24"/>
          <w:szCs w:val="24"/>
        </w:rPr>
        <w:t>VLADA REPUBLIKE HRVATSKE</w:t>
      </w:r>
    </w:p>
    <w:p w14:paraId="1F24EED2" w14:textId="77777777" w:rsidR="00DE0A0E" w:rsidRDefault="00DE0A0E" w:rsidP="00DE0A0E">
      <w:pPr>
        <w:jc w:val="right"/>
        <w:rPr>
          <w:rFonts w:eastAsia="Calibri"/>
        </w:rPr>
      </w:pPr>
    </w:p>
    <w:p w14:paraId="66EA9E04" w14:textId="77777777" w:rsidR="00DE0A0E" w:rsidRDefault="00DE0A0E" w:rsidP="00DE0A0E">
      <w:pPr>
        <w:rPr>
          <w:rFonts w:eastAsia="Calibri"/>
        </w:rPr>
      </w:pPr>
    </w:p>
    <w:p w14:paraId="51BCF457" w14:textId="77777777" w:rsidR="00DE0A0E" w:rsidRDefault="00DE0A0E" w:rsidP="00DE0A0E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DE0A0E" w:rsidRPr="007A3604" w14:paraId="3C0E2B44" w14:textId="77777777" w:rsidTr="00165054">
        <w:tc>
          <w:tcPr>
            <w:tcW w:w="1951" w:type="dxa"/>
            <w:hideMark/>
          </w:tcPr>
          <w:p w14:paraId="58F6953B" w14:textId="77777777" w:rsidR="00DE0A0E" w:rsidRPr="007A3604" w:rsidRDefault="00DE0A0E" w:rsidP="001650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0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7A36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06C7DA4B" w14:textId="77777777" w:rsidR="00DE0A0E" w:rsidRPr="007A3604" w:rsidRDefault="00DE0A0E" w:rsidP="001650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04">
              <w:rPr>
                <w:rFonts w:ascii="Times New Roman" w:hAnsi="Times New Roman" w:cs="Times New Roman"/>
                <w:sz w:val="24"/>
                <w:szCs w:val="24"/>
              </w:rPr>
              <w:t>Ministarstvo gospodarstva i održivog razvoja</w:t>
            </w:r>
          </w:p>
        </w:tc>
      </w:tr>
    </w:tbl>
    <w:p w14:paraId="069E9624" w14:textId="77777777" w:rsidR="00DE0A0E" w:rsidRPr="007A3604" w:rsidRDefault="00DE0A0E" w:rsidP="00DE0A0E">
      <w:pPr>
        <w:jc w:val="both"/>
        <w:rPr>
          <w:rFonts w:eastAsia="Calibri"/>
        </w:rPr>
      </w:pPr>
      <w:r w:rsidRPr="007A3604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DE0A0E" w14:paraId="5716FECC" w14:textId="77777777" w:rsidTr="00165054">
        <w:tc>
          <w:tcPr>
            <w:tcW w:w="1951" w:type="dxa"/>
            <w:hideMark/>
          </w:tcPr>
          <w:p w14:paraId="0CF28CAB" w14:textId="77777777" w:rsidR="00DE0A0E" w:rsidRPr="007A3604" w:rsidRDefault="00DE0A0E" w:rsidP="001650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0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7A36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6011FF95" w14:textId="77777777" w:rsidR="00DE0A0E" w:rsidRDefault="00DE0A0E" w:rsidP="00DE0A0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Prijedlog uredbe o kriterijima za plaćanje umanjene naknade za</w:t>
            </w:r>
          </w:p>
          <w:p w14:paraId="500B2854" w14:textId="686D6797" w:rsidR="00DE0A0E" w:rsidRPr="00155E41" w:rsidRDefault="00DE0A0E" w:rsidP="00DE0A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obnovljive izvore energije i visokoučinkovitu kogeneraciju</w:t>
            </w:r>
          </w:p>
        </w:tc>
      </w:tr>
    </w:tbl>
    <w:p w14:paraId="2839C19C" w14:textId="77777777" w:rsidR="00DE0A0E" w:rsidRDefault="00DE0A0E" w:rsidP="00DE0A0E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p w14:paraId="4AC54DEB" w14:textId="77777777" w:rsidR="00DE0A0E" w:rsidRDefault="00DE0A0E" w:rsidP="00DE0A0E">
      <w:pPr>
        <w:jc w:val="both"/>
        <w:rPr>
          <w:rFonts w:eastAsia="Calibri"/>
        </w:rPr>
      </w:pPr>
    </w:p>
    <w:p w14:paraId="0E4B1ED2" w14:textId="77777777" w:rsidR="00DE0A0E" w:rsidRDefault="00DE0A0E" w:rsidP="00DE0A0E">
      <w:pPr>
        <w:jc w:val="both"/>
        <w:rPr>
          <w:rFonts w:eastAsia="Calibri"/>
        </w:rPr>
      </w:pPr>
    </w:p>
    <w:p w14:paraId="72EA07B9" w14:textId="77777777" w:rsidR="00DE0A0E" w:rsidRDefault="00DE0A0E" w:rsidP="00DE0A0E">
      <w:pPr>
        <w:jc w:val="both"/>
        <w:rPr>
          <w:rFonts w:eastAsia="Calibri"/>
        </w:rPr>
      </w:pPr>
    </w:p>
    <w:p w14:paraId="17372F35" w14:textId="77777777" w:rsidR="00DE0A0E" w:rsidRDefault="00DE0A0E" w:rsidP="00DE0A0E">
      <w:pPr>
        <w:jc w:val="both"/>
        <w:rPr>
          <w:rFonts w:eastAsia="Calibri"/>
        </w:rPr>
      </w:pPr>
    </w:p>
    <w:p w14:paraId="3B1AC66B" w14:textId="77777777" w:rsidR="00DE0A0E" w:rsidRDefault="00DE0A0E" w:rsidP="00DE0A0E">
      <w:pPr>
        <w:rPr>
          <w:rFonts w:ascii="Calibri" w:eastAsia="Calibri" w:hAnsi="Calibri"/>
        </w:rPr>
      </w:pPr>
    </w:p>
    <w:p w14:paraId="0D3AB943" w14:textId="77777777" w:rsidR="00DE0A0E" w:rsidRDefault="00DE0A0E" w:rsidP="00DE0A0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20E1F045" w14:textId="77777777" w:rsidR="00DE0A0E" w:rsidRDefault="00DE0A0E" w:rsidP="00DE0A0E">
      <w:pPr>
        <w:rPr>
          <w:rFonts w:ascii="Calibri" w:eastAsia="Calibri" w:hAnsi="Calibri"/>
        </w:rPr>
      </w:pPr>
    </w:p>
    <w:p w14:paraId="16CB51FF" w14:textId="77777777" w:rsidR="00DE0A0E" w:rsidRDefault="00DE0A0E" w:rsidP="00DE0A0E">
      <w:pPr>
        <w:rPr>
          <w:rFonts w:ascii="Calibri" w:eastAsia="Calibri" w:hAnsi="Calibri"/>
        </w:rPr>
      </w:pPr>
    </w:p>
    <w:p w14:paraId="11156FB1" w14:textId="77777777" w:rsidR="00DE0A0E" w:rsidRDefault="00DE0A0E" w:rsidP="00DE0A0E">
      <w:pPr>
        <w:rPr>
          <w:rFonts w:ascii="Calibri" w:eastAsia="Calibri" w:hAnsi="Calibri"/>
        </w:rPr>
      </w:pPr>
    </w:p>
    <w:p w14:paraId="7E6A9AC9" w14:textId="77777777" w:rsidR="00DE0A0E" w:rsidRDefault="00DE0A0E" w:rsidP="00DE0A0E">
      <w:pPr>
        <w:rPr>
          <w:rFonts w:ascii="Calibri" w:eastAsia="Calibri" w:hAnsi="Calibri"/>
        </w:rPr>
      </w:pPr>
    </w:p>
    <w:p w14:paraId="5AC107C8" w14:textId="36621363" w:rsidR="00DE0A0E" w:rsidRPr="00155E41" w:rsidRDefault="00DE0A0E" w:rsidP="00DE0A0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D32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>
        <w:rPr>
          <w:rFonts w:ascii="Times New Roman" w:eastAsia="Calibri" w:hAnsi="Times New Roman" w:cs="Times New Roman"/>
          <w:sz w:val="24"/>
          <w:szCs w:val="24"/>
        </w:rPr>
        <w:t>studeni</w:t>
      </w:r>
      <w:r w:rsidRPr="008F0D32">
        <w:rPr>
          <w:rFonts w:ascii="Times New Roman" w:eastAsia="Calibri" w:hAnsi="Times New Roman" w:cs="Times New Roman"/>
          <w:sz w:val="24"/>
          <w:szCs w:val="24"/>
        </w:rPr>
        <w:t xml:space="preserve"> 2022.</w:t>
      </w:r>
    </w:p>
    <w:p w14:paraId="3A5459C0" w14:textId="77777777" w:rsidR="00DE0A0E" w:rsidRDefault="00DE0A0E" w:rsidP="00DE0A0E">
      <w:pPr>
        <w:rPr>
          <w:rFonts w:ascii="Calibri" w:eastAsia="Calibri" w:hAnsi="Calibri"/>
        </w:rPr>
      </w:pPr>
    </w:p>
    <w:p w14:paraId="5103E946" w14:textId="77777777" w:rsidR="00DE0A0E" w:rsidRDefault="00DE0A0E" w:rsidP="00DE0A0E">
      <w:pPr>
        <w:rPr>
          <w:rFonts w:ascii="Calibri" w:eastAsia="Calibri" w:hAnsi="Calibri"/>
        </w:rPr>
      </w:pPr>
    </w:p>
    <w:p w14:paraId="1E190A0F" w14:textId="77777777" w:rsidR="00DE0A0E" w:rsidRPr="00E84F94" w:rsidRDefault="00DE0A0E" w:rsidP="00DE0A0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</w:rPr>
      </w:pPr>
      <w:r>
        <w:rPr>
          <w:rFonts w:eastAsia="Calibri"/>
          <w:color w:val="404040"/>
          <w:spacing w:val="20"/>
          <w:sz w:val="20"/>
        </w:rPr>
        <w:t>Banski dvori | Trg Sv. Marka 2 | 10000 Zagreb | tel. 01 4569 222 | vlada.gov.hr</w:t>
      </w:r>
    </w:p>
    <w:p w14:paraId="6CE40ACA" w14:textId="77777777" w:rsidR="00DE0A0E" w:rsidRDefault="00DE0A0E" w:rsidP="002F7F2D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hr-HR" w:eastAsia="en-GB"/>
        </w:rPr>
      </w:pPr>
    </w:p>
    <w:p w14:paraId="54846B89" w14:textId="321FD4BB" w:rsidR="00DE0A0E" w:rsidRDefault="00DE0A0E" w:rsidP="00DE0A0E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</w:t>
      </w:r>
    </w:p>
    <w:p w14:paraId="0A30C7E7" w14:textId="77777777" w:rsidR="00DE0A0E" w:rsidRPr="00DE0A0E" w:rsidRDefault="00DE0A0E" w:rsidP="00DE0A0E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33222983" w14:textId="56F372B5" w:rsidR="002F7F2D" w:rsidRPr="00F93B02" w:rsidRDefault="002F7F2D" w:rsidP="002F7F2D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hr-HR" w:eastAsia="en-GB"/>
        </w:rPr>
      </w:pPr>
      <w:r w:rsidRPr="00F93B02">
        <w:rPr>
          <w:rFonts w:ascii="Times New Roman" w:eastAsia="Times New Roman" w:hAnsi="Times New Roman" w:cs="Times New Roman"/>
          <w:b/>
          <w:caps/>
          <w:sz w:val="28"/>
          <w:szCs w:val="28"/>
          <w:lang w:val="hr-HR" w:eastAsia="en-GB"/>
        </w:rPr>
        <w:t>VLADA REPUBLIKE HRVATSKE</w:t>
      </w:r>
    </w:p>
    <w:p w14:paraId="409F520B" w14:textId="4C1536B4" w:rsidR="002F7F2D" w:rsidRPr="004210AE" w:rsidRDefault="002F7F2D" w:rsidP="002F7F2D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3B1B4677" w14:textId="568A09FD" w:rsidR="002F7F2D" w:rsidRPr="00B07FE9" w:rsidRDefault="002F7F2D" w:rsidP="002F7F2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 temelju članka</w:t>
      </w:r>
      <w:r w:rsidR="00AE40F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0E633A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50. stavka 11.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Zakona o obnovljivim izvorima energije </w:t>
      </w:r>
      <w:r w:rsidR="00AE40F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v</w:t>
      </w:r>
      <w:r w:rsidR="00DB4A2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isokoučinkovitoj kogeneraciji („Narodne novine“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br</w:t>
      </w:r>
      <w:r w:rsidR="00DB4A2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="00995AD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0E633A" w:rsidRPr="00B07FE9">
        <w:rPr>
          <w:rFonts w:ascii="Times New Roman" w:hAnsi="Times New Roman" w:cs="Times New Roman"/>
          <w:sz w:val="24"/>
          <w:szCs w:val="24"/>
          <w:lang w:val="hr-HR"/>
        </w:rPr>
        <w:t>138/21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), Vlada Republike Hrvatske je na sjednici održanoj </w:t>
      </w:r>
      <w:r w:rsidR="005D4F8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……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donijela</w:t>
      </w:r>
    </w:p>
    <w:p w14:paraId="5346AEBF" w14:textId="77777777" w:rsidR="007D4941" w:rsidRDefault="007D4941" w:rsidP="002F7F2D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hr-HR" w:eastAsia="en-GB"/>
        </w:rPr>
      </w:pPr>
    </w:p>
    <w:p w14:paraId="206B0E3C" w14:textId="05957F70" w:rsidR="002F7F2D" w:rsidRPr="00BA1749" w:rsidRDefault="002F7F2D" w:rsidP="002F7F2D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hr-HR" w:eastAsia="en-GB"/>
        </w:rPr>
      </w:pPr>
      <w:r w:rsidRPr="00BA1749">
        <w:rPr>
          <w:rFonts w:ascii="Times New Roman" w:eastAsia="Times New Roman" w:hAnsi="Times New Roman" w:cs="Times New Roman"/>
          <w:b/>
          <w:sz w:val="28"/>
          <w:szCs w:val="28"/>
          <w:lang w:val="hr-HR" w:eastAsia="en-GB"/>
        </w:rPr>
        <w:t>UREDBU</w:t>
      </w:r>
    </w:p>
    <w:p w14:paraId="460DE6D1" w14:textId="4B400017" w:rsidR="002F7F2D" w:rsidRDefault="002F7F2D" w:rsidP="002F7F2D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4210A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O KRITERIJIMA ZA PLAĆANJE UMANJENE NAKNADE ZA OBNOVLJIVE IZVORE ENERGIJE I VISOKOUČINKOVITU KOGENERACIJU</w:t>
      </w:r>
    </w:p>
    <w:p w14:paraId="715041A0" w14:textId="77777777" w:rsidR="0004235E" w:rsidRPr="0004235E" w:rsidRDefault="0004235E" w:rsidP="002F7F2D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7727CB19" w14:textId="685813E0" w:rsidR="00A949F3" w:rsidRPr="002B2CE3" w:rsidRDefault="002F7F2D" w:rsidP="00496B91">
      <w:pPr>
        <w:pStyle w:val="Odlomakpopisa"/>
        <w:numPr>
          <w:ilvl w:val="0"/>
          <w:numId w:val="31"/>
        </w:numPr>
        <w:spacing w:before="204" w:after="72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2B2CE3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OPĆE ODREDBE</w:t>
      </w:r>
    </w:p>
    <w:p w14:paraId="57A2FCC1" w14:textId="77777777" w:rsidR="00584644" w:rsidRDefault="00584644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67CAD4CD" w14:textId="4AFFEFE5" w:rsidR="002F7F2D" w:rsidRDefault="002F7F2D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1.</w:t>
      </w:r>
    </w:p>
    <w:p w14:paraId="2CA6F7A0" w14:textId="77777777" w:rsidR="0004235E" w:rsidRPr="0004235E" w:rsidRDefault="0004235E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6B52B554" w14:textId="1BB83DF5" w:rsidR="002F7F2D" w:rsidRPr="00B07FE9" w:rsidRDefault="002F7F2D" w:rsidP="002F7F2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(1) Ovom Uredbom uređuju se obvezan sadržaj zahtjeva za utvrđivanje ispunjenja uvjeta za plaćanje umanjene visine naknade za obnovljive izvore energije i visokoučinkovite kogeneracije (</w:t>
      </w:r>
      <w:r w:rsidR="00D125A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dalje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: naknada za OIEiK), dokazi i dokumentacija koju poduzetnik prilaže uz zahtjev, način i metodologija izračuna aritmetičke sredine bruto dodane vrijednosti poduzetnika i troškova za električnu energiju, izračun električnog intenziteta, granične vrijednosti i u odnosu na njih klasifikacija poduzetnika koji plaćaju umanjenu naknadu za OIEiK te način i metodologija izračuna umanjenja naknade za OIEiK.</w:t>
      </w:r>
    </w:p>
    <w:p w14:paraId="22E947B5" w14:textId="2A25E7B5" w:rsidR="007139ED" w:rsidRDefault="002F7F2D" w:rsidP="007139E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(2) Ova Uredba donosi se u skladu </w:t>
      </w:r>
      <w:r w:rsidR="00903D4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sa </w:t>
      </w:r>
      <w:r w:rsidR="00AE40F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Smjernica</w:t>
      </w:r>
      <w:r w:rsidR="00AE40F1" w:rsidRPr="00B07FE9" w:rsidDel="00903D4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ma </w:t>
      </w:r>
      <w:r w:rsidR="00C44427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 državnim potporama za klimu, zaštitu okoliša i energiju za 2022.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5D4F8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(Službeni list Europske un</w:t>
      </w:r>
      <w:r w:rsidR="00A949F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ije, C 80 od 18. veljače 2022. dalje: Smjernice) </w:t>
      </w:r>
      <w:r w:rsidR="00497AE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 cilju </w:t>
      </w:r>
      <w:r w:rsidR="007139ED" w:rsidRPr="006350C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smanjenja rizika </w:t>
      </w:r>
      <w:r w:rsidR="003679E7" w:rsidRPr="006350C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za poduzetnike</w:t>
      </w:r>
      <w:r w:rsidR="007139ED" w:rsidRPr="006350C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2B73A3" w:rsidRPr="006350C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s v</w:t>
      </w:r>
      <w:r w:rsidR="003679E7" w:rsidRPr="006350C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isokim električnim intenzitetom</w:t>
      </w:r>
      <w:r w:rsidR="00F47A62" w:rsidRPr="006350C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 potrošnjom električne energije,</w:t>
      </w:r>
      <w:r w:rsidR="003679E7" w:rsidRPr="006350C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2D5FA7" w:rsidRPr="006350C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da svoje aktivnosti nastave izvan granica Europske unije, </w:t>
      </w:r>
      <w:r w:rsidR="003679E7" w:rsidRPr="006350C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zbog troškova proizašlih iz plaćanja </w:t>
      </w:r>
      <w:r w:rsidR="002D5FA7" w:rsidRPr="006350C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naknade za OIEiK.</w:t>
      </w:r>
    </w:p>
    <w:p w14:paraId="7497257A" w14:textId="77777777" w:rsidR="00EC1E7F" w:rsidRPr="00B07FE9" w:rsidRDefault="00EC1E7F" w:rsidP="00C4442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E34E06C" w14:textId="31F21265" w:rsidR="002F7F2D" w:rsidRDefault="002F7F2D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2.</w:t>
      </w:r>
    </w:p>
    <w:p w14:paraId="2EB87689" w14:textId="77777777" w:rsidR="0004235E" w:rsidRPr="0004235E" w:rsidRDefault="0004235E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6D925F1B" w14:textId="77777777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(1) Izrazi koji se koriste u ovoj Uredbi imaju značenja utvrđena Smjernicama, zakonom kojim se uređuju obnovljivi izvori energije i visokoučinkovite kogeneracije, zakonom o energiji, zakonom kojim se uređuje tržište električne energije, drugim zakonima kojima se uređuje energetski sektor, kao i zakonima kojima se uređuje područje financija te propisima donesenima na temelju tih zakona.</w:t>
      </w:r>
    </w:p>
    <w:p w14:paraId="235780C7" w14:textId="77777777" w:rsidR="002F7F2D" w:rsidRPr="00B07FE9" w:rsidRDefault="002F7F2D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(2) Pojedini pojmovi u smislu ove Uredbe imaju sljedeća značenja:</w:t>
      </w:r>
    </w:p>
    <w:p w14:paraId="6EF41068" w14:textId="7FC7E7FE" w:rsidR="002F7F2D" w:rsidRPr="00B07FE9" w:rsidRDefault="002F7F2D" w:rsidP="0008091F">
      <w:pPr>
        <w:pStyle w:val="Odlomakpopis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69298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bruto dodana vrijednost poduzetnika</w:t>
      </w:r>
      <w:r w:rsidRPr="0069298B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="0008091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(u dalje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: BDV) je dodana vrijednost poduzetnika izračunata prema troškovima proizvodnih faktora, a računa se kao razlika poslovnih prihoda i materijalnih troškova umanjena za sve neizravne poreze i uvećana za sve subvencije</w:t>
      </w:r>
    </w:p>
    <w:p w14:paraId="242655E0" w14:textId="44A589C3" w:rsidR="002F7F2D" w:rsidRPr="00B07FE9" w:rsidRDefault="002F7F2D" w:rsidP="0008091F">
      <w:pPr>
        <w:pStyle w:val="Odlomakpopis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69298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kalendarska godina</w:t>
      </w:r>
      <w:r w:rsidRPr="0069298B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 razdoblje od 1. siječnja do 31. prosinca</w:t>
      </w:r>
    </w:p>
    <w:p w14:paraId="6DB94205" w14:textId="0A6A0933" w:rsidR="002F7F2D" w:rsidRPr="00B07FE9" w:rsidRDefault="002F7F2D" w:rsidP="0008091F">
      <w:pPr>
        <w:pStyle w:val="Odlomakpopis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69298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Ministarstvo</w:t>
      </w:r>
      <w:r w:rsidRPr="0069298B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 središnje tijelo državne uprave nadležno za energetiku</w:t>
      </w:r>
    </w:p>
    <w:p w14:paraId="7726BD3D" w14:textId="21CED367" w:rsidR="002F7F2D" w:rsidRPr="00B07FE9" w:rsidRDefault="002F7F2D" w:rsidP="0008091F">
      <w:pPr>
        <w:pStyle w:val="Odlomakpopis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69298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NACE</w:t>
      </w:r>
      <w:r w:rsidRPr="0069298B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 klasifikacija ekonomskih djelatnosti u Europskoj uniji</w:t>
      </w:r>
    </w:p>
    <w:p w14:paraId="2436BE14" w14:textId="525813C4" w:rsidR="002F7F2D" w:rsidRPr="00B07FE9" w:rsidRDefault="002F7F2D" w:rsidP="0008091F">
      <w:pPr>
        <w:pStyle w:val="Odlomakpopis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69298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lastRenderedPageBreak/>
        <w:t>operator tr</w:t>
      </w:r>
      <w:r w:rsidRPr="0069298B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ž</w:t>
      </w:r>
      <w:r w:rsidRPr="0069298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i</w:t>
      </w:r>
      <w:r w:rsidRPr="0069298B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š</w:t>
      </w:r>
      <w:r w:rsidRPr="0069298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ta energije</w:t>
      </w:r>
      <w:r w:rsidRPr="0069298B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 pravna osoba s javnim ovlastima, koja je odgovorna za organiziranje tržišta električne energije i odlučuje o zahtjevu poduzetnika za umanjenje visine naknade OIEiK sukladno odredbama ove Uredbe</w:t>
      </w:r>
    </w:p>
    <w:p w14:paraId="611472A7" w14:textId="020F4462" w:rsidR="000D6B6A" w:rsidRPr="00DB0A46" w:rsidRDefault="003511D3" w:rsidP="0008091F">
      <w:pPr>
        <w:pStyle w:val="Odlomakpopis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</w:pPr>
      <w:r w:rsidRPr="0069298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p</w:t>
      </w:r>
      <w:r w:rsidR="00351C2F" w:rsidRPr="0069298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 xml:space="preserve">oduzetnik je svaki </w:t>
      </w:r>
      <w:r w:rsidR="00351C2F" w:rsidRPr="00DB0A4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 xml:space="preserve">subjekt </w:t>
      </w:r>
      <w:r w:rsidR="00351C2F" w:rsidRPr="00DB0A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>koji se bavi ekonomskom djelatno</w:t>
      </w:r>
      <w:r w:rsidR="00351C2F" w:rsidRPr="00DB0A46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hr-HR" w:eastAsia="en-GB"/>
        </w:rPr>
        <w:t>šć</w:t>
      </w:r>
      <w:r w:rsidR="00351C2F" w:rsidRPr="00DB0A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>u, bez</w:t>
      </w:r>
      <w:r w:rsidR="00995AD3" w:rsidRPr="00DB0A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 xml:space="preserve"> ozbira na njegov pravni oblik i </w:t>
      </w:r>
      <w:r w:rsidR="00351C2F" w:rsidRPr="00DB0A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>obuhva</w:t>
      </w:r>
      <w:r w:rsidR="00351C2F" w:rsidRPr="00DB0A46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hr-HR" w:eastAsia="en-GB"/>
        </w:rPr>
        <w:t>ć</w:t>
      </w:r>
      <w:r w:rsidR="00351C2F" w:rsidRPr="00DB0A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>en</w:t>
      </w:r>
      <w:r w:rsidR="00995AD3" w:rsidRPr="00DB0A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 xml:space="preserve"> je </w:t>
      </w:r>
      <w:r w:rsidR="002F7F2D" w:rsidRPr="00DB0A4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Prilogom 1.</w:t>
      </w:r>
      <w:r w:rsidR="00746A71" w:rsidRPr="00DB0A4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 2. ove</w:t>
      </w:r>
      <w:r w:rsidR="002F7F2D" w:rsidRPr="00DB0A4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Uredbe koji čine njezin sastavni dio</w:t>
      </w:r>
    </w:p>
    <w:p w14:paraId="6326D4EA" w14:textId="5DA42D47" w:rsidR="002F7F2D" w:rsidRPr="000D1B68" w:rsidRDefault="000D6B6A" w:rsidP="0008091F">
      <w:pPr>
        <w:pStyle w:val="Odlomakpopis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</w:pPr>
      <w:r w:rsidRPr="00DB0A4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potpora</w:t>
      </w:r>
      <w:r w:rsidR="000D1B6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,</w:t>
      </w:r>
      <w:r w:rsidR="00C30E70" w:rsidRPr="00DB0A4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 xml:space="preserve"> </w:t>
      </w:r>
      <w:r w:rsidR="000D1B68" w:rsidRPr="000D1B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>u smislu ove Uredbe</w:t>
      </w:r>
      <w:r w:rsidR="000D1B6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 xml:space="preserve">, </w:t>
      </w:r>
      <w:r w:rsidR="00C30E70" w:rsidRPr="00DB0A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 xml:space="preserve">je </w:t>
      </w:r>
      <w:r w:rsidR="007A104C" w:rsidRPr="00DB0A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>potpora</w:t>
      </w:r>
      <w:r w:rsidRPr="00DB0A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 xml:space="preserve"> </w:t>
      </w:r>
      <w:r w:rsidR="00031F3B" w:rsidRPr="00DB0A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>za zaštitu okoliša</w:t>
      </w:r>
      <w:r w:rsidRPr="00DB0A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 xml:space="preserve"> u </w:t>
      </w:r>
      <w:r w:rsidR="00031F3B" w:rsidRPr="00DB0A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>obliku umanjenja naknade za OIEiK</w:t>
      </w:r>
      <w:r w:rsidR="007A104C" w:rsidRPr="00DB0A4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 xml:space="preserve"> </w:t>
      </w:r>
      <w:r w:rsidR="000D1B68" w:rsidRPr="000D1B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>i</w:t>
      </w:r>
      <w:r w:rsidR="000D1B68" w:rsidRPr="00E91D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>/</w:t>
      </w:r>
      <w:r w:rsidR="000D1B68" w:rsidRPr="000D1B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>ili povrat dijela plaćene naknade za OIEiK</w:t>
      </w:r>
    </w:p>
    <w:p w14:paraId="291B715F" w14:textId="79952659" w:rsidR="000D1B68" w:rsidRPr="000666F6" w:rsidRDefault="000D1B68" w:rsidP="000666F6">
      <w:pPr>
        <w:pStyle w:val="Odlomakpopis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hr-HR" w:eastAsia="en-GB"/>
        </w:rPr>
      </w:pPr>
      <w:r w:rsidRPr="000666F6">
        <w:rPr>
          <w:rFonts w:ascii="Times New Roman" w:eastAsia="Times New Roman" w:hAnsi="Times New Roman" w:cs="Times New Roman"/>
          <w:i/>
          <w:sz w:val="24"/>
          <w:szCs w:val="24"/>
          <w:lang w:val="hr-HR" w:eastAsia="en-GB"/>
        </w:rPr>
        <w:t xml:space="preserve">energetska učinkovitost, </w:t>
      </w:r>
      <w:r w:rsidRPr="000666F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 smislu ove Uredbe</w:t>
      </w:r>
      <w:r w:rsidRPr="000666F6">
        <w:rPr>
          <w:rFonts w:ascii="Times New Roman" w:eastAsia="Times New Roman" w:hAnsi="Times New Roman" w:cs="Times New Roman"/>
          <w:i/>
          <w:sz w:val="24"/>
          <w:szCs w:val="24"/>
          <w:lang w:val="hr-HR" w:eastAsia="en-GB"/>
        </w:rPr>
        <w:t xml:space="preserve">, </w:t>
      </w:r>
      <w:r w:rsidRPr="000666F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znači količinu ušteđene energije utvrđene mjerenjem i/ili procjenom potrošnje prije i poslije provedbe mjere poboljšanja energetske učinkovitosti, uz osiguranje normalizacije vanjskih uvjeta koji utječu na potrošnju energije</w:t>
      </w:r>
    </w:p>
    <w:p w14:paraId="44ED78E4" w14:textId="48045FEF" w:rsidR="009C048F" w:rsidRPr="00B07FE9" w:rsidRDefault="002F7F2D" w:rsidP="0008091F">
      <w:pPr>
        <w:pStyle w:val="Odlomakpopis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69298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tro</w:t>
      </w:r>
      <w:r w:rsidRPr="0069298B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š</w:t>
      </w:r>
      <w:r w:rsidRPr="0069298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ak elektri</w:t>
      </w:r>
      <w:r w:rsidRPr="0069298B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č</w:t>
      </w:r>
      <w:r w:rsidRPr="0069298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ne energije</w:t>
      </w:r>
      <w:r w:rsidRPr="0069298B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 ukupni trošak za potrošenu električnu energiju, uključujući trošak opskrbe električnom energijom, troškove naknade za korištenje mreže i troškove ostalih naknada i davan</w:t>
      </w:r>
      <w:r w:rsidR="000666F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ja određenih posebnim propisima</w:t>
      </w:r>
    </w:p>
    <w:p w14:paraId="7B42FD86" w14:textId="6B3C85CE" w:rsidR="00F51FB2" w:rsidRPr="00367E5B" w:rsidRDefault="00F51FB2" w:rsidP="0008091F">
      <w:pPr>
        <w:pStyle w:val="Odlomakpopis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</w:pPr>
      <w:r w:rsidRPr="00367E5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hr-HR" w:eastAsia="en-GB"/>
        </w:rPr>
        <w:t>elaborat o uštedama energije</w:t>
      </w:r>
      <w:r w:rsidR="00CB1C6C" w:rsidRPr="00367E5B">
        <w:rPr>
          <w:rFonts w:ascii="Times New Roman" w:hAnsi="Times New Roman" w:cs="Times New Roman"/>
          <w:sz w:val="24"/>
          <w:szCs w:val="24"/>
        </w:rPr>
        <w:t xml:space="preserve"> </w:t>
      </w:r>
      <w:r w:rsidR="000666F6" w:rsidRPr="000666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>je</w:t>
      </w:r>
      <w:r w:rsidR="00CB1C6C" w:rsidRPr="00367E5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 xml:space="preserve"> </w:t>
      </w:r>
      <w:r w:rsidR="00CB1C6C" w:rsidRPr="00367E5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hr-HR" w:eastAsia="en-GB"/>
        </w:rPr>
        <w:t>dokument koji sistematizira informacije i dokaze o</w:t>
      </w:r>
      <w:r w:rsidR="00CB1C6C" w:rsidRPr="00367E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 w:eastAsia="en-GB"/>
        </w:rPr>
        <w:t xml:space="preserve"> </w:t>
      </w:r>
      <w:r w:rsidR="00CB1C6C" w:rsidRPr="00367E5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hr-HR" w:eastAsia="en-GB"/>
        </w:rPr>
        <w:t xml:space="preserve">provedenoj mjeri za poboljšanje energetske učinkovitosti </w:t>
      </w:r>
      <w:r w:rsidR="00C30E70" w:rsidRPr="00367E5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hr-HR" w:eastAsia="en-GB"/>
        </w:rPr>
        <w:t>i koji se izrađuje na način definiran propisima o sustavu za praćenje, mjerenje i verifikaciju ušteda energije</w:t>
      </w:r>
    </w:p>
    <w:p w14:paraId="5AFC8C84" w14:textId="12D13D1E" w:rsidR="00F259E4" w:rsidRPr="00367E5B" w:rsidRDefault="000666F6" w:rsidP="0008091F">
      <w:pPr>
        <w:pStyle w:val="Odlomakpopisa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hr-HR"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hr-HR" w:eastAsia="en-GB"/>
        </w:rPr>
        <w:t xml:space="preserve">trošarinski obveznik </w:t>
      </w:r>
      <w:r w:rsidRPr="000666F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hr-HR" w:eastAsia="en-GB"/>
        </w:rPr>
        <w:t>je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hr-HR" w:eastAsia="en-GB"/>
        </w:rPr>
        <w:t xml:space="preserve"> </w:t>
      </w:r>
      <w:r w:rsidR="00CB1C6C" w:rsidRPr="00367E5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hr-HR" w:eastAsia="en-GB"/>
        </w:rPr>
        <w:t>svaka pravna ili fizička osoba koja posluje s trošarinskim proizvodima (alkohol i alkoholna pića, duhanske prerađevine, energenti i električna energija)  ili duhanskim proizvodima (grijani duhanski proizvodi, e-tekućina i novi duhanski proizvodi)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hr-HR" w:eastAsia="en-GB"/>
        </w:rPr>
        <w:t>.</w:t>
      </w:r>
    </w:p>
    <w:p w14:paraId="4A5B5864" w14:textId="77777777" w:rsidR="00C30E70" w:rsidRPr="00B07FE9" w:rsidRDefault="00C30E70" w:rsidP="00B07FE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hr-HR" w:eastAsia="en-GB"/>
        </w:rPr>
      </w:pPr>
    </w:p>
    <w:p w14:paraId="60F44FA6" w14:textId="77777777" w:rsidR="002F7F2D" w:rsidRPr="0004235E" w:rsidRDefault="002F7F2D" w:rsidP="002F7F2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II. UVJETI I NAČIN OSTVARIVANJA PRAVA NA UMANJENU NAKNADU OIEiK</w:t>
      </w:r>
    </w:p>
    <w:p w14:paraId="17A0705E" w14:textId="77777777" w:rsidR="0030076B" w:rsidRPr="0004235E" w:rsidRDefault="0030076B" w:rsidP="002F7F2D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en-GB"/>
        </w:rPr>
      </w:pPr>
    </w:p>
    <w:p w14:paraId="3D36C9BA" w14:textId="77777777" w:rsidR="002F7F2D" w:rsidRPr="0004235E" w:rsidRDefault="002F7F2D" w:rsidP="002F7F2D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en-GB"/>
        </w:rPr>
        <w:t>Obvezan sadržaj zahtjeva</w:t>
      </w:r>
    </w:p>
    <w:p w14:paraId="57A4E103" w14:textId="77777777" w:rsidR="00584644" w:rsidRDefault="00584644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79E5ACDF" w14:textId="22C76CC7" w:rsidR="002F7F2D" w:rsidRDefault="002F7F2D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3.</w:t>
      </w:r>
    </w:p>
    <w:p w14:paraId="4FC745FF" w14:textId="77777777" w:rsidR="0004235E" w:rsidRPr="0004235E" w:rsidRDefault="0004235E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7B25F213" w14:textId="6982237F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(1) </w:t>
      </w:r>
      <w:r w:rsidR="002B73A3" w:rsidRPr="00220A4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Radi ostvarivanja ciljeva iz članka </w:t>
      </w:r>
      <w:r w:rsidR="003541C6" w:rsidRPr="00220A4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1</w:t>
      </w:r>
      <w:r w:rsidR="002B73A3" w:rsidRPr="00220A4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 stavka 2. ove Uredbe</w:t>
      </w:r>
      <w:r w:rsidR="002B73A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Pr="00B07FE9" w:rsidDel="002B73A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2B73A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</w:t>
      </w:r>
      <w:r w:rsidR="007139ED" w:rsidRPr="007139E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duzetnici s visokim intenzitetom električne energije i potrošnjom električne energije mo</w:t>
      </w:r>
      <w:r w:rsidR="007139E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gu ostvariti pravo na </w:t>
      </w:r>
      <w:r w:rsidR="002B73A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umanjenje visine </w:t>
      </w:r>
      <w:r w:rsidR="002B73A3" w:rsidRPr="003541C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naknade</w:t>
      </w:r>
      <w:r w:rsidR="002B73A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za OIEiK, </w:t>
      </w:r>
      <w:r w:rsidR="007139ED" w:rsidRPr="007139E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 uvjetima i na način propisan zakonom kojim se uređuju obnovljivi izv</w:t>
      </w:r>
      <w:r w:rsidR="0017223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ori energije i visokoučinkovite kogeneracije te</w:t>
      </w:r>
      <w:r w:rsidR="00903D4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ovom Uredbom.</w:t>
      </w:r>
      <w:r w:rsidR="00903D40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</w:p>
    <w:p w14:paraId="79C4C7E6" w14:textId="239A2014" w:rsidR="002F7F2D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(2) Poduzetnici iz stavka 1. ovoga članka u svrhu ostvarivanja prava na umanjenje visine naknade za OIEiK, operatoru tržišta energije podnose zahtjev za umanjenje visine naknade za OIEiK u obliku obrasca zahtjeva sadržanog u Prilogu 3. ove Uredbe i koji čini njezin sastavni dio.</w:t>
      </w:r>
    </w:p>
    <w:p w14:paraId="0D35AC48" w14:textId="0CA994FA" w:rsidR="002F7F2D" w:rsidRPr="00B07FE9" w:rsidRDefault="00DD24CB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Del="00DD24C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Pr="00DD24C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3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) Zahtjev iz stavka 2. ovoga članka </w:t>
      </w:r>
      <w:r w:rsidR="00D50474" w:rsidRPr="00220A4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podnosi se</w:t>
      </w:r>
      <w:r w:rsidR="00031F3B" w:rsidRPr="00220A4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elektroničkim putem</w:t>
      </w:r>
      <w:r w:rsidR="00031F3B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D50474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</w:t>
      </w:r>
      <w:r w:rsidR="0015022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obavezno sadrži:</w:t>
      </w:r>
    </w:p>
    <w:p w14:paraId="5F1F0505" w14:textId="77777777" w:rsidR="002F7F2D" w:rsidRPr="00B07FE9" w:rsidRDefault="002F7F2D" w:rsidP="00A0146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a) za poduzetnike koji posluju više od tri kalendarske godine:</w:t>
      </w:r>
    </w:p>
    <w:p w14:paraId="441079DE" w14:textId="4D7E2614" w:rsidR="002F7F2D" w:rsidRPr="00B07FE9" w:rsidRDefault="002F7F2D" w:rsidP="00A01465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podatke o BDV-u za tri posljednje uzastopne kalendarske godine koje prethode godini podnošenja zahtjeva</w:t>
      </w:r>
    </w:p>
    <w:p w14:paraId="00CD593A" w14:textId="77777777" w:rsidR="002F7F2D" w:rsidRPr="00B07FE9" w:rsidRDefault="002F7F2D" w:rsidP="00A0146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b) za poduzetnike koji posluju manje od tri godine, a od toga najmanje dvije pune kalendarske godine:</w:t>
      </w:r>
    </w:p>
    <w:p w14:paraId="772FC1C2" w14:textId="1471F2B3" w:rsidR="002F7F2D" w:rsidRPr="00B07FE9" w:rsidRDefault="002F7F2D" w:rsidP="00A01465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podatke o BDV-u za dvije posljednje uzastopne kalendarske godine koje prethode godini podnošenja zahtjeva</w:t>
      </w:r>
    </w:p>
    <w:p w14:paraId="425B8545" w14:textId="77777777" w:rsidR="002F7F2D" w:rsidRPr="00B07FE9" w:rsidRDefault="002F7F2D" w:rsidP="00A0146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c) za poduzetnike koji posluju manje od dvije godine, a od toga najmanje jednu punu kalendarsku godinu:</w:t>
      </w:r>
    </w:p>
    <w:p w14:paraId="42B71ACD" w14:textId="2621E9C1" w:rsidR="002F7F2D" w:rsidRPr="00B07FE9" w:rsidRDefault="002F7F2D" w:rsidP="00A01465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podatke o BDV-u za kalendarsku godinu koja prethodi godini podnošenja zahtjeva</w:t>
      </w:r>
    </w:p>
    <w:p w14:paraId="4BA87D5B" w14:textId="748B53ED" w:rsidR="002F7F2D" w:rsidRPr="00B07FE9" w:rsidRDefault="002F7F2D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DD24CB" w:rsidRPr="00DD24C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4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) Uz zahtjev iz stavka 2. ovoga članka prilažu se:</w:t>
      </w:r>
    </w:p>
    <w:p w14:paraId="59868515" w14:textId="5CF50E0F" w:rsidR="008F53E9" w:rsidRPr="0086457A" w:rsidRDefault="000F476A" w:rsidP="000C464B">
      <w:pPr>
        <w:pStyle w:val="Odlomakpopisa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86457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</w:t>
      </w:r>
      <w:r w:rsidR="00D446A3" w:rsidRPr="0086457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zvadak iz sudskog ili drugog odgovarajućeg registra za poduzetnika</w:t>
      </w:r>
      <w:r w:rsidR="008F53E9" w:rsidRPr="0086457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="008F53E9" w:rsidRPr="0086457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259E4" w:rsidRPr="0086457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ne stariji</w:t>
      </w:r>
      <w:r w:rsidR="008F53E9" w:rsidRPr="0086457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od 30 dana od dana podnošenja zahtjeva</w:t>
      </w:r>
      <w:r w:rsidR="00005865" w:rsidRPr="0086457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542C588D" w14:textId="57AEBE71" w:rsidR="008F53E9" w:rsidRPr="00B07FE9" w:rsidRDefault="000F476A" w:rsidP="000C464B">
      <w:pPr>
        <w:pStyle w:val="Odlomakpopisa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t>P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otvrda trgovačkog suda nadležnog za poduzetnika kojim se dokazuje da nad poduzetnikom nije otvoren ili proveden stečajni postupak ili postupak likvidacije</w:t>
      </w:r>
      <w:r w:rsidR="008F53E9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="008F53E9" w:rsidRPr="00BF6C4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F53E9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ne starija od 30 dana od dana podnošenja zahtjeva</w:t>
      </w:r>
      <w:r w:rsidR="00005865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61812753" w14:textId="5A56051B" w:rsidR="002F7F2D" w:rsidRPr="00B07FE9" w:rsidRDefault="000F476A" w:rsidP="000C464B">
      <w:pPr>
        <w:pStyle w:val="Odlomakpopisa"/>
        <w:numPr>
          <w:ilvl w:val="0"/>
          <w:numId w:val="33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otvrda porezne uprave o plaćanju svih dospjelih poreznih obveza i obveza za mirovinsko i zdravstveno osiguranje i druga javna davanja, ne starija od 30 dana od dana podnošenja zahtjeva</w:t>
      </w:r>
      <w:r w:rsidR="00005865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32CE7A3D" w14:textId="4AC81826" w:rsidR="002F7F2D" w:rsidRPr="003D0E82" w:rsidRDefault="000F476A" w:rsidP="000C464B">
      <w:pPr>
        <w:pStyle w:val="Odlomakpopisa"/>
        <w:numPr>
          <w:ilvl w:val="0"/>
          <w:numId w:val="33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</w:t>
      </w:r>
      <w:r w:rsidR="002F7F2D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okaz o glavnoj djelatnosti</w:t>
      </w:r>
      <w:r w:rsidR="00AF4BC1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2F7F2D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ishođen u Državnom zavodu za statistiku</w:t>
      </w:r>
      <w:r w:rsidR="00AF4BC1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za trgovačka društva ili </w:t>
      </w:r>
      <w:r w:rsidR="00F259E4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izvadak</w:t>
      </w:r>
      <w:r w:rsidR="00AF4BC1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iz odgovorajućeg registra </w:t>
      </w:r>
      <w:r w:rsidR="00750895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za obrtnike</w:t>
      </w:r>
      <w:r w:rsidR="00F259E4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ne stariji od jedne godine od</w:t>
      </w:r>
      <w:r w:rsidR="00DC5291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8F53E9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dan</w:t>
      </w:r>
      <w:r w:rsidR="00DC5291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8F53E9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podnošenja zahtjeva</w:t>
      </w:r>
      <w:r w:rsidR="00005865" w:rsidRPr="003D0E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36343CE5" w14:textId="4C204624" w:rsidR="002F7F2D" w:rsidRPr="00B07FE9" w:rsidRDefault="000F476A" w:rsidP="000C464B">
      <w:pPr>
        <w:pStyle w:val="Odlomakpopisa"/>
        <w:numPr>
          <w:ilvl w:val="0"/>
          <w:numId w:val="33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odišnje financijsko izvješće (račun dobiti i gubitka) za zadnje tri fiskalne godine podneseno Financijskoj agenciji u sklopu podnošenja godišnjeg financijskog izvještaja, odnosno ako je poduzetnik aktivan kraće od tri godine, za sve godine poslovanja</w:t>
      </w:r>
      <w:r w:rsidR="00005865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0D10E2A7" w14:textId="7993255D" w:rsidR="002F7F2D" w:rsidRPr="00B07FE9" w:rsidRDefault="000F476A" w:rsidP="000C464B">
      <w:pPr>
        <w:pStyle w:val="Odlomakpopisa"/>
        <w:numPr>
          <w:ilvl w:val="0"/>
          <w:numId w:val="33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avnobilježnički ovjerena izjava poduzetnika o ukupno dodijeljenim državnim potporama u zadnje tri fiskalne godine</w:t>
      </w:r>
      <w:r w:rsidR="00005865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018F3330" w14:textId="159EA76C" w:rsidR="009C048F" w:rsidRPr="00BF6A07" w:rsidRDefault="000F476A" w:rsidP="000C464B">
      <w:pPr>
        <w:pStyle w:val="Odlomakpopisa"/>
        <w:numPr>
          <w:ilvl w:val="0"/>
          <w:numId w:val="33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F6A0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</w:t>
      </w:r>
      <w:r w:rsidR="00EC1E7F" w:rsidRPr="00BF6A0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koliko je </w:t>
      </w:r>
      <w:r w:rsidR="002C4FFF" w:rsidRPr="00BF6A0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poduzetnik trošarinski obveznik, </w:t>
      </w:r>
      <w:r w:rsidR="002F7F2D" w:rsidRPr="00BF6A0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javnobilježnički ovjerena izjava poduzetnika o ukupnim plaćenim trošarinama za zadnje tri fiskalne godine te sva mjesečna izvješća o uplaćenim trošarinama za zadnje tri fiskalne godine</w:t>
      </w:r>
      <w:r w:rsidR="002C4FFF" w:rsidRPr="00BF6A0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78DA26C6" w14:textId="2F76668A" w:rsidR="00A06A41" w:rsidRPr="00BF6A07" w:rsidRDefault="000F476A" w:rsidP="000C464B">
      <w:pPr>
        <w:pStyle w:val="Odlomakpopisa"/>
        <w:numPr>
          <w:ilvl w:val="0"/>
          <w:numId w:val="33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F6A0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</w:t>
      </w:r>
      <w:r w:rsidR="00FF626B" w:rsidRPr="00BF6A0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avnobilježnički ovjerena izjava</w:t>
      </w:r>
      <w:r w:rsidR="00EC1E7F" w:rsidRPr="00BF6A0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 ukupnim troškovima za električnu energiju poduzetnika (po svim obračunskim mjernim mjestima koja se vode na tog poduzetnika) za isto razdoblje kao i</w:t>
      </w:r>
      <w:r w:rsidR="002C4FFF" w:rsidRPr="00BF6A0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godišnja financijska izvješća.</w:t>
      </w:r>
    </w:p>
    <w:p w14:paraId="4A243E50" w14:textId="2B06FD53" w:rsidR="0073382E" w:rsidRPr="00B07FE9" w:rsidRDefault="00B86152" w:rsidP="00E51004">
      <w:pPr>
        <w:pStyle w:val="Odlomakpopisa"/>
        <w:numPr>
          <w:ilvl w:val="0"/>
          <w:numId w:val="33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Izjava</w:t>
      </w:r>
      <w:r w:rsidR="00943396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0C40C8" w:rsidRPr="00B8615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opskrbljivača</w:t>
      </w:r>
      <w:r w:rsidR="000C40C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elektične enegije </w:t>
      </w:r>
      <w:r w:rsidR="000C40C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 </w:t>
      </w:r>
      <w:r w:rsidR="000972D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plaćenoj </w:t>
      </w:r>
      <w:r w:rsidR="001B2D8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ukupno</w:t>
      </w:r>
      <w:r w:rsidR="004D3DE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</w:t>
      </w:r>
      <w:r w:rsidR="001B2D8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0C40C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potrošnji električne energije </w:t>
      </w:r>
      <w:r w:rsidR="004D3DE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 troškovima potrošnje</w:t>
      </w:r>
      <w:r w:rsidR="000205F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4D3DE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="00DC529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lektričn</w:t>
      </w:r>
      <w:r w:rsidR="004D3DE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 energije </w:t>
      </w:r>
      <w:r w:rsidR="000C40C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za poduzetnika </w:t>
      </w:r>
      <w:r w:rsidR="001B2D8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za sva</w:t>
      </w:r>
      <w:r w:rsidR="004D3DE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1B2D8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njegova </w:t>
      </w:r>
      <w:r w:rsidR="000C40C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obračuns</w:t>
      </w:r>
      <w:r w:rsidR="001B2D8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ka </w:t>
      </w:r>
      <w:r w:rsidR="000C40C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mjern</w:t>
      </w:r>
      <w:r w:rsidR="001B2D8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0C40C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mjest</w:t>
      </w:r>
      <w:r w:rsidR="00DC529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 i</w:t>
      </w:r>
      <w:r w:rsidR="000C40C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1B2D8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za svaku godinu razdoblj</w:t>
      </w:r>
      <w:r w:rsidR="00525D5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FA2E0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iz stavka 3</w:t>
      </w:r>
      <w:r w:rsidR="001B2D8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ovog članka. </w:t>
      </w:r>
      <w:r w:rsidR="00DC529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Ukoliko je poduzetnik</w:t>
      </w:r>
      <w:r w:rsidR="003A2C15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6B4E0A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tijekom </w:t>
      </w:r>
      <w:r w:rsidR="00DC529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razdoblja iz stavka 3. ovog članka</w:t>
      </w:r>
      <w:r w:rsidR="006B4E0A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3A2C15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opskrbljivalo više</w:t>
      </w:r>
      <w:r w:rsidR="006B4E0A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opskrbljivač</w:t>
      </w:r>
      <w:r w:rsidR="00DC529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elektične enegije</w:t>
      </w:r>
      <w:r w:rsidR="00DC529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="00FA2E0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6B4E0A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potrebno je dostaviti </w:t>
      </w:r>
      <w:r w:rsidR="000972D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dokaz </w:t>
      </w:r>
      <w:r w:rsidR="006B4E0A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za </w:t>
      </w:r>
      <w:r w:rsidR="00F4331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svaku godinu </w:t>
      </w:r>
      <w:r w:rsidR="006B4E0A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razdo</w:t>
      </w:r>
      <w:r w:rsidR="007C045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b</w:t>
      </w:r>
      <w:r w:rsidR="006B4E0A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lj</w:t>
      </w:r>
      <w:r w:rsidR="00F4331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6B4E0A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u kojem je opskrbljivao poduzetnika električnom energijom</w:t>
      </w:r>
      <w:r w:rsidR="00FA2E0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6B4E0A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za sva njegova obračunska mjerna mjesta.</w:t>
      </w:r>
    </w:p>
    <w:p w14:paraId="3AF375BC" w14:textId="3898F3EC" w:rsidR="006B4E0A" w:rsidRPr="00B07FE9" w:rsidRDefault="00B86152" w:rsidP="000C464B">
      <w:pPr>
        <w:pStyle w:val="Odlomakpopisa"/>
        <w:numPr>
          <w:ilvl w:val="0"/>
          <w:numId w:val="33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Izjava</w:t>
      </w:r>
      <w:r w:rsidR="00025B10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73382E" w:rsidRPr="00B8615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operatora sustava</w:t>
      </w:r>
      <w:r w:rsidR="0073382E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 </w:t>
      </w:r>
      <w:r w:rsidR="000972D0" w:rsidRPr="00050D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plaćenim</w:t>
      </w:r>
      <w:r w:rsidR="000972D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73382E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troškovima naknade za korištenje mreže za sva obračunska mjesta poduzetnika za svaku godinu razdoblja iz stavka 3. ovog članka.</w:t>
      </w:r>
    </w:p>
    <w:p w14:paraId="1DE274F6" w14:textId="0D9A4027" w:rsidR="00BA7524" w:rsidRPr="00B07FE9" w:rsidRDefault="00CB44E5" w:rsidP="000C464B">
      <w:pPr>
        <w:pStyle w:val="Odlomakpopis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050D5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Dokaz</w:t>
      </w:r>
      <w:r w:rsidR="008C54E6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BC720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 kojeg je vidljivo da je</w:t>
      </w:r>
      <w:r w:rsidR="00943396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BA7524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</w:t>
      </w:r>
      <w:r w:rsidR="00B650DF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oduzetnik proveo</w:t>
      </w:r>
      <w:r w:rsidR="0055430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energetski pregled</w:t>
      </w:r>
      <w:r w:rsidR="00B650DF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prema metodologiji </w:t>
      </w:r>
      <w:r w:rsidR="00C704DB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propisanoj </w:t>
      </w:r>
      <w:r w:rsidR="003511D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važečim propisom </w:t>
      </w:r>
      <w:r w:rsidR="009B3CAC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za</w:t>
      </w:r>
      <w:r w:rsidR="0002549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B650DF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velika poduzeća</w:t>
      </w:r>
      <w:r w:rsidR="00B74F40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="008C54E6" w:rsidRPr="002879E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DF370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nadležnosti Ministarstva, a </w:t>
      </w:r>
      <w:r w:rsidR="006B4E0A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koji ne smije biti </w:t>
      </w:r>
      <w:r w:rsidR="00B74F40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stariji od </w:t>
      </w:r>
      <w:r w:rsidR="00BA7524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četiri </w:t>
      </w:r>
      <w:r w:rsidR="00B74F40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godine</w:t>
      </w:r>
      <w:r w:rsidR="0055430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9B3CAC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na dan predaje zahtjeva </w:t>
      </w:r>
      <w:r w:rsidR="00BA7524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ili </w:t>
      </w:r>
      <w:r w:rsidR="00DF370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po normi </w:t>
      </w:r>
      <w:r w:rsidR="00DF3709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ISO 50001 </w:t>
      </w:r>
      <w:r w:rsidR="00DF370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na temelju </w:t>
      </w:r>
      <w:r w:rsidR="00FE013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certifikat</w:t>
      </w:r>
      <w:r w:rsidR="00DF370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FE013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DF370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izdanog </w:t>
      </w:r>
      <w:r w:rsidR="00DF3709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od strane akreditiranog neovisnog tijela </w:t>
      </w:r>
      <w:r w:rsidR="00DF370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prema relevantnim europskim ili međunarodnim normama.</w:t>
      </w:r>
    </w:p>
    <w:p w14:paraId="13ADCABA" w14:textId="5A5380A0" w:rsidR="002F7F2D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DD24C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5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) Zahtjev iz stavka 2. ovoga članka poduzetnik može podnijeti </w:t>
      </w:r>
      <w:r w:rsidRPr="00A4726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do 1</w:t>
      </w:r>
      <w:r w:rsidR="00D019C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5</w:t>
      </w:r>
      <w:r w:rsidRPr="00A4726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</w:t>
      </w:r>
      <w:r w:rsidR="00A4726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rujna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tekuće godine.</w:t>
      </w:r>
    </w:p>
    <w:p w14:paraId="1D369B67" w14:textId="086493C0" w:rsidR="00A47267" w:rsidRPr="00B07FE9" w:rsidRDefault="00A47267" w:rsidP="00A4726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9C5C5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DD24C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6</w:t>
      </w:r>
      <w:r w:rsidRPr="009C5C5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) Iznimno od stavka</w:t>
      </w:r>
      <w:r w:rsidR="00DD24C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5</w:t>
      </w:r>
      <w:r w:rsidRPr="009C5C5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., poduzetnici koji su obveznici sastavljanja konsolidiranih financijskih izvještaja, dužni su zahtjev iz stavka 2.</w:t>
      </w:r>
      <w:r w:rsidR="00101D3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9C5C5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ovog članka podnijeti najkasnije do 1. studenog tekuće godine.</w:t>
      </w:r>
    </w:p>
    <w:p w14:paraId="38AD5FDD" w14:textId="1ED0151E" w:rsidR="002F7F2D" w:rsidRPr="00B07FE9" w:rsidRDefault="00A47267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DD24C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) O zahtjevu iz stavka 2. ovoga članka operator tržišta energije odlučuje </w:t>
      </w:r>
      <w:r w:rsidR="002F7F2D" w:rsidRPr="00D019C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rješenjem </w:t>
      </w:r>
      <w:r w:rsidR="00A006EE" w:rsidRPr="00D019C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(u daljnjem tekstu: Rješenje)</w:t>
      </w:r>
      <w:r w:rsidR="002F7F2D" w:rsidRPr="00D019C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A006EE" w:rsidRPr="00D019C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sukladno članku 50. stavku 5. Zakona o obnovljivim izvorima energije i visokoučinkovitoj kogeneraciji („Narodne novine“, br. 138/21, u daljnjem tekstu: Zakon), </w:t>
      </w:r>
      <w:r w:rsidR="002F7F2D" w:rsidRPr="00D019C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protiv 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kojeg </w:t>
      </w:r>
      <w:r w:rsidR="007F58E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nije dopuštena žalba, ali se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može </w:t>
      </w:r>
      <w:r w:rsidR="007F58E8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pokrenuti upravi spor.</w:t>
      </w:r>
    </w:p>
    <w:p w14:paraId="6E4370DB" w14:textId="6B591E4F" w:rsidR="002F7F2D" w:rsidRDefault="00A47267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DD24C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8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) Rješenje iz </w:t>
      </w:r>
      <w:r w:rsidR="0072269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stavka </w:t>
      </w:r>
      <w:r w:rsidR="00DD24C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7.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ovoga članka donosi se na rok </w:t>
      </w:r>
      <w:r w:rsidR="0072269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važenja od jedne</w:t>
      </w:r>
      <w:r w:rsidR="00992DAB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godine </w:t>
      </w:r>
      <w:r w:rsidR="0072269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od izvršnosti Rješenja.</w:t>
      </w:r>
    </w:p>
    <w:p w14:paraId="54EC9DF5" w14:textId="77777777" w:rsidR="00584644" w:rsidRPr="00B07FE9" w:rsidRDefault="00584644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6D3B9750" w14:textId="2AD53901" w:rsidR="002F7F2D" w:rsidRDefault="002F7F2D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4.</w:t>
      </w:r>
    </w:p>
    <w:p w14:paraId="50F8AE62" w14:textId="77777777" w:rsidR="0004235E" w:rsidRPr="0004235E" w:rsidRDefault="0004235E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2228DC2A" w14:textId="6026C4D8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(1) Ako je poduzetnik temeljem </w:t>
      </w:r>
      <w:r w:rsidR="00477CF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ješenja iz članka 3. stavka</w:t>
      </w:r>
      <w:r w:rsidR="00A4384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7.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ove Uredbe stekao pravo na plaćanje umanjene visine naknade za OIEiK, </w:t>
      </w:r>
      <w:r w:rsidR="000E754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nakon njegova isteka</w:t>
      </w:r>
      <w:r w:rsidR="00463B0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, a </w:t>
      </w:r>
      <w:r w:rsidR="000E754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 cilju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daljnjeg ostvarivanja takvog prava, dužan je ponovno podnijeti zahtjev iz članka 3. stavka 2. ove Uredbe</w:t>
      </w:r>
      <w:r w:rsidR="0058464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2B4FF0" w:rsidRPr="00006CF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 roku od </w:t>
      </w:r>
      <w:r w:rsidRPr="00006CF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60</w:t>
      </w:r>
      <w:r w:rsidRPr="003073A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dana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prije isteka važenja </w:t>
      </w:r>
      <w:r w:rsidR="00525F9B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tog </w:t>
      </w:r>
      <w:r w:rsidR="00477CF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ješenja.</w:t>
      </w:r>
    </w:p>
    <w:p w14:paraId="1492F3BA" w14:textId="77777777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t>(2) Uz zahtjev iz stavka 1. ovoga članka, prilažu se sljedeći dokazi:</w:t>
      </w:r>
    </w:p>
    <w:p w14:paraId="649CF073" w14:textId="6E3AC156" w:rsidR="002F7F2D" w:rsidRPr="00B07FE9" w:rsidRDefault="002F7F2D" w:rsidP="00DA61AD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dokumentacija iz članka 3. stavka </w:t>
      </w:r>
      <w:r w:rsidR="00477CF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4. </w:t>
      </w:r>
      <w:r w:rsidR="00A81B7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podstavci 1</w:t>
      </w:r>
      <w:r w:rsidR="0010228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="00A81B7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2., 3., 4.,</w:t>
      </w:r>
      <w:r w:rsidR="00BA6E4F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6., 7.</w:t>
      </w:r>
      <w:r w:rsidR="002C4FF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8</w:t>
      </w:r>
      <w:r w:rsidR="0010228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="00F62DF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E854F2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</w:t>
      </w:r>
      <w:r w:rsidR="00BA6E4F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1</w:t>
      </w:r>
      <w:r w:rsidR="002C4FF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1</w:t>
      </w:r>
      <w:r w:rsidR="00BA6E4F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ove Uredbe</w:t>
      </w:r>
      <w:r w:rsidR="009646A0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73C1495C" w14:textId="16AF7FCB" w:rsidR="002F7F2D" w:rsidRPr="00B07FE9" w:rsidRDefault="002F7F2D" w:rsidP="00DA61AD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godišnje financijsko izvješće podneseno Financijskoj agenciji za godinu koja prethodi godini</w:t>
      </w:r>
      <w:r w:rsidR="00D11A9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podnošenja zahtjeva</w:t>
      </w:r>
      <w:r w:rsidR="00DC529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</w:p>
    <w:p w14:paraId="077C0F8D" w14:textId="2FBB9D53" w:rsidR="00E51004" w:rsidRPr="00E51004" w:rsidRDefault="00B86152" w:rsidP="00B80DB7">
      <w:pPr>
        <w:pStyle w:val="Odlomakpopisa"/>
        <w:numPr>
          <w:ilvl w:val="0"/>
          <w:numId w:val="15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val="hr-HR" w:eastAsia="en-GB"/>
        </w:rPr>
      </w:pPr>
      <w:r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izjava opskrbljivača</w:t>
      </w:r>
      <w:r w:rsidR="00E51004" w:rsidRPr="00E51004">
        <w:t xml:space="preserve">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elektične enegije</w:t>
      </w:r>
      <w:r w:rsidR="00DA61AD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A511E1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 ukupnoj </w:t>
      </w:r>
      <w:r w:rsidR="006B4E0A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potrošnji</w:t>
      </w:r>
      <w:r w:rsidR="00A511E1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električne energije</w:t>
      </w:r>
      <w:r w:rsidR="004D3DE3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 </w:t>
      </w:r>
      <w:r w:rsidR="00A511E1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ukupnim</w:t>
      </w:r>
      <w:r w:rsid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</w:p>
    <w:p w14:paraId="3498B96B" w14:textId="24CBEB0C" w:rsidR="00DC5291" w:rsidRPr="00E51004" w:rsidRDefault="00A511E1" w:rsidP="00E51004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lang w:val="hr-HR" w:eastAsia="en-GB"/>
        </w:rPr>
      </w:pPr>
      <w:r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plaćenim troškovima </w:t>
      </w:r>
      <w:r w:rsidR="006B4E0A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električne energije za pojedinog poduzetnika za sva njegova obračunska mjerna mjesto za prethodnu kalendarsku godinu.</w:t>
      </w:r>
      <w:r w:rsidR="00DC5291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</w:p>
    <w:p w14:paraId="482C2743" w14:textId="69AC8774" w:rsidR="006A7D71" w:rsidRPr="00B07FE9" w:rsidRDefault="00B86152" w:rsidP="00DA61AD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4E67F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izjava</w:t>
      </w:r>
      <w:r w:rsidR="00B7003C" w:rsidRPr="004E67F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operatora sustava o </w:t>
      </w:r>
      <w:r w:rsidR="00DA61AD" w:rsidRPr="004E67F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plaćenim</w:t>
      </w:r>
      <w:r w:rsidR="00DA61A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B7003C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troškovima naknade za korištenje mreže za sva obračunska mjesta </w:t>
      </w:r>
      <w:r w:rsidR="001219EB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</w:t>
      </w:r>
      <w:r w:rsidR="00B7003C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oduzetnika za prethodnu kalendarsku godinu. </w:t>
      </w:r>
    </w:p>
    <w:p w14:paraId="5CBFC268" w14:textId="677CB226" w:rsidR="00581480" w:rsidRPr="002922CC" w:rsidRDefault="00581480" w:rsidP="00DA61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(3) O zahtjevu iz stavka 1. ovoga članka operator tržišta energije odlučuje rješenjem </w:t>
      </w:r>
      <w:r w:rsidR="009201B8" w:rsidRPr="002922C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sukladno članku 50. stavku 5. Zakona.</w:t>
      </w:r>
    </w:p>
    <w:p w14:paraId="5282D093" w14:textId="77777777" w:rsidR="00BF6C4B" w:rsidRPr="00B07FE9" w:rsidRDefault="00BF6C4B" w:rsidP="00DA61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330B9C65" w14:textId="77777777" w:rsidR="002F7F2D" w:rsidRPr="0004235E" w:rsidRDefault="002F7F2D" w:rsidP="002F7F2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en-GB"/>
        </w:rPr>
        <w:t>Električni intenzitet poduzetnika</w:t>
      </w:r>
    </w:p>
    <w:p w14:paraId="56F15424" w14:textId="77777777" w:rsidR="00584644" w:rsidRDefault="00584644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09CC4158" w14:textId="14749127" w:rsidR="002F7F2D" w:rsidRDefault="002F7F2D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5.</w:t>
      </w:r>
    </w:p>
    <w:p w14:paraId="09A692A8" w14:textId="77777777" w:rsidR="0004235E" w:rsidRPr="0004235E" w:rsidRDefault="0004235E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7BF3902E" w14:textId="7226AF7A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(1) Električni intenzitet poduzetnika određuje se kao trošak poduzetnika za električnu energiju koji se računa sukladno članku 10. ove Uredbe p</w:t>
      </w:r>
      <w:r w:rsidR="00BF6C4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odijeljenim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s BDV-om izračunatom sukladno članku 9. ove Uredbe.</w:t>
      </w:r>
    </w:p>
    <w:p w14:paraId="49EF22EC" w14:textId="77777777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(2) Trošak poduzetnika za električnu energiju utvrđuje se na temelju ukupnih godišnjih troškova za električnu energiju (TEE).</w:t>
      </w:r>
    </w:p>
    <w:p w14:paraId="761B89C7" w14:textId="4419CCFA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(3) Ukupni godišnji troškovi za električnu energiju iz članka 10. ove Uredbe računaju se </w:t>
      </w:r>
      <w:r w:rsidR="00D04929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temeljem </w:t>
      </w:r>
      <w:r w:rsidR="00C034F4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Izjave opskrbljivača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elektične enegije </w:t>
      </w:r>
      <w:r w:rsidR="00C034F4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 potrošnji i troškovima električne energije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0FD1D3A8" w14:textId="26005ECA" w:rsidR="00C034F4" w:rsidRPr="00B07FE9" w:rsidRDefault="00C034F4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(4) </w:t>
      </w:r>
      <w:r w:rsidR="009A77F2" w:rsidRPr="00E1184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Opskrbljivač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elektične enegije </w:t>
      </w:r>
      <w:r w:rsidR="009A77F2" w:rsidRPr="00E1184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 dužan</w:t>
      </w:r>
      <w:r w:rsidR="00463B0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na zahtjev poduzetnika izdati Izjavu</w:t>
      </w:r>
      <w:r w:rsidR="009A77F2" w:rsidRPr="00E1184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iz stavka 3. ovog članka.</w:t>
      </w:r>
    </w:p>
    <w:p w14:paraId="394B242A" w14:textId="77777777" w:rsidR="00B301A5" w:rsidRPr="00B07FE9" w:rsidRDefault="00B301A5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9819387" w14:textId="5654E350" w:rsidR="002F7F2D" w:rsidRDefault="002F7F2D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6.</w:t>
      </w:r>
    </w:p>
    <w:p w14:paraId="11A15B51" w14:textId="77777777" w:rsidR="0004235E" w:rsidRPr="0004235E" w:rsidRDefault="0004235E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1B055BD1" w14:textId="0D8A1A26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(1) Operator tržišta energije izračunava električni intenzitet poduzetnika na temelju dokumentacije iz članka 3. stavaka </w:t>
      </w:r>
      <w:r w:rsidR="009201B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3. i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4. </w:t>
      </w:r>
      <w:r w:rsidR="00A511E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 članka 4. stavka 2.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ove Uredbe.</w:t>
      </w:r>
    </w:p>
    <w:p w14:paraId="37A01620" w14:textId="72FB1779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(2) Za potrebe izračuna električnog intenziteta poduzetnika, </w:t>
      </w:r>
      <w:r w:rsidRPr="00407DD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operator tržišta energije je ovlašten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zatražiti od poduzetnika i / ili operatora distribucijskog i / ili prijenosnog sustava, odnosno nadležnih financijskih institucija i dodatne podatke.</w:t>
      </w:r>
    </w:p>
    <w:p w14:paraId="52B25780" w14:textId="77777777" w:rsidR="009C048F" w:rsidRPr="00B07FE9" w:rsidRDefault="009C048F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37DA21E" w14:textId="7638F170" w:rsidR="002F7F2D" w:rsidRDefault="002F7F2D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7.</w:t>
      </w:r>
    </w:p>
    <w:p w14:paraId="01934CAE" w14:textId="77777777" w:rsidR="0004235E" w:rsidRPr="0004235E" w:rsidRDefault="0004235E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55C1203B" w14:textId="77777777" w:rsidR="002F7F2D" w:rsidRPr="00B07FE9" w:rsidRDefault="002F7F2D" w:rsidP="002D5FA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Uvjeti za ostvarivanje prava na plaćanje umanjenje naknade za OIEiK su </w:t>
      </w:r>
      <w:r w:rsidRPr="00407DD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da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:</w:t>
      </w:r>
    </w:p>
    <w:p w14:paraId="730DC146" w14:textId="12AF05FE" w:rsidR="002F7F2D" w:rsidRPr="00B07FE9" w:rsidRDefault="002F7F2D" w:rsidP="00375C66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prosječna godišnja količina potrošene električne energije poduzetnika, koji može ostvariti pravo na umanjenje visine naknade za OIEiK, ne može biti manja od </w:t>
      </w:r>
      <w:r w:rsidR="00264C26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500 M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Wh/god u svakoj godini promatranog razdoblja</w:t>
      </w:r>
    </w:p>
    <w:p w14:paraId="71BC7F5B" w14:textId="5F85A622" w:rsidR="002F7F2D" w:rsidRPr="00B07FE9" w:rsidRDefault="002F7F2D" w:rsidP="00375C66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se poduzetnik ne smatra poduzetnikom u teškoćama sukladno važećim propisima o državnim potporama, odnosno da nad poduzetnikom nije otvoren ili proveden stečajni postupak ili postupak likvidacije</w:t>
      </w:r>
    </w:p>
    <w:p w14:paraId="676EB9AC" w14:textId="25433D6C" w:rsidR="002F7F2D" w:rsidRPr="00407DDA" w:rsidRDefault="002F7F2D" w:rsidP="00375C66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407DD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poduzetnik nema duga ili nepodmirenog duga temeljem odluke Europske komisije o nezakonitosti ili nespojivosti potpore s unutarnjim tržištem i</w:t>
      </w:r>
    </w:p>
    <w:p w14:paraId="1DD5DFD1" w14:textId="6B32DB38" w:rsidR="002F7F2D" w:rsidRDefault="002F7F2D" w:rsidP="00375C66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t>poduzetnik posluje više od jedne kalendarske godine do godine u kojoj se podnosi zahtjev iz</w:t>
      </w:r>
      <w:r w:rsidR="002B4FF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članka 3. stavka 2. ove Uredbe</w:t>
      </w:r>
    </w:p>
    <w:p w14:paraId="3607FAF2" w14:textId="6B97733C" w:rsidR="002B4FF0" w:rsidRPr="00B07FE9" w:rsidRDefault="002B4FF0" w:rsidP="00375C66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852E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poduzetnik ispunjava uvjete energetske učinkovitosti sukladno zakonu koji regulira područje energetske učinkovitosti.</w:t>
      </w:r>
    </w:p>
    <w:p w14:paraId="37A63ABC" w14:textId="7127C7D6" w:rsidR="002F7F2D" w:rsidRDefault="002F7F2D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8.</w:t>
      </w:r>
    </w:p>
    <w:p w14:paraId="5625C923" w14:textId="77777777" w:rsidR="00117A41" w:rsidRPr="0004235E" w:rsidRDefault="00117A41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7F281A9B" w14:textId="4305FAAA" w:rsidR="002B3D4B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Da bi operator tržišta energije mogao utvrditi prihvatljivost u smislu umanjenja troškova naknade za OIEiK, poduzetnik je dužan dokazati da se bavi djelatnošću unutar jednog od sektora iz Priloga 1. </w:t>
      </w:r>
      <w:r w:rsidR="0059364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</w:t>
      </w:r>
      <w:r w:rsidR="00117A4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li</w:t>
      </w:r>
      <w:r w:rsidR="0059364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117A4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Priloga </w:t>
      </w:r>
      <w:r w:rsidR="0059364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2.</w:t>
      </w:r>
      <w:r w:rsidR="00117A4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="0059364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koji </w:t>
      </w:r>
      <w:r w:rsidR="00593643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su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sastavni </w:t>
      </w:r>
      <w:r w:rsidR="001E584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dijelov</w:t>
      </w:r>
      <w:r w:rsidR="001E584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</w:t>
      </w:r>
      <w:r w:rsidR="001E5841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ove Uredbe</w:t>
      </w:r>
      <w:r w:rsidR="002B3D4B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506AE5C6" w14:textId="6E293870" w:rsidR="00375C66" w:rsidRDefault="00375C66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60D6BDA5" w14:textId="7023AE0D" w:rsidR="00031F3B" w:rsidRDefault="002F7F2D" w:rsidP="00BA174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III. METODOLOGIJE IZRAČUNA ARITMETIČKE SREDINE BDV-a </w:t>
      </w:r>
      <w:r w:rsidR="00BA1749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I POTROŠNJE ELEKTRIČNE ENERGIJE</w:t>
      </w:r>
    </w:p>
    <w:p w14:paraId="23D92E79" w14:textId="77777777" w:rsidR="00527D33" w:rsidRPr="0004235E" w:rsidRDefault="00527D33" w:rsidP="00BA1749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1A8342D9" w14:textId="77777777" w:rsidR="002F7F2D" w:rsidRPr="0004235E" w:rsidRDefault="002F7F2D" w:rsidP="002F7F2D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en-GB"/>
        </w:rPr>
        <w:t>Metodologija izračuna aritmetičke sredine BDV-a</w:t>
      </w:r>
    </w:p>
    <w:p w14:paraId="4D0EC748" w14:textId="77777777" w:rsidR="00584644" w:rsidRDefault="00584644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38A84557" w14:textId="77F6AB19" w:rsidR="002F7F2D" w:rsidRPr="00584644" w:rsidRDefault="002F7F2D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58464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9.</w:t>
      </w:r>
    </w:p>
    <w:p w14:paraId="665DA014" w14:textId="77777777" w:rsidR="0004235E" w:rsidRPr="00B07FE9" w:rsidRDefault="0004235E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2A78F186" w14:textId="77777777" w:rsidR="002F7F2D" w:rsidRPr="00B07FE9" w:rsidRDefault="002F7F2D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(1) BDV se određuje na sljedeći način:</w:t>
      </w:r>
    </w:p>
    <w:p w14:paraId="34BA9DE6" w14:textId="742C20D5" w:rsidR="00624E85" w:rsidRPr="00624E85" w:rsidRDefault="00624E85" w:rsidP="002F7F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hr-HR" w:eastAsia="en-GB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hr-HR" w:eastAsia="en-GB"/>
            </w:rPr>
            <m:t>BDV=PP-MT-NP</m:t>
          </m:r>
        </m:oMath>
      </m:oMathPara>
    </w:p>
    <w:p w14:paraId="499882A5" w14:textId="77777777" w:rsidR="002F7F2D" w:rsidRPr="00B07FE9" w:rsidRDefault="002F7F2D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gdje su:</w:t>
      </w:r>
    </w:p>
    <w:p w14:paraId="7AD8DA11" w14:textId="77777777" w:rsidR="002F7F2D" w:rsidRPr="00B07FE9" w:rsidRDefault="002F7F2D" w:rsidP="00EE1A9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BDV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bruto dodana vrijednost</w:t>
      </w:r>
    </w:p>
    <w:p w14:paraId="6C32AE1E" w14:textId="77777777" w:rsidR="002F7F2D" w:rsidRPr="00B07FE9" w:rsidRDefault="002F7F2D" w:rsidP="00EE1A9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PP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poslovni prihodi na poziciji AOP 125 iz Godišnjeg financijskog izvješća (dio Račun dobiti i gubitka) poduzetnika koji uključuju sve prihode na pozicijama AOP 126-130 uključivo sve primljene priznate subvencije</w:t>
      </w:r>
    </w:p>
    <w:p w14:paraId="6F4E9D1F" w14:textId="77777777" w:rsidR="002F7F2D" w:rsidRPr="00B07FE9" w:rsidRDefault="002F7F2D" w:rsidP="00EE1A9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MT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materijalni troškovi na poziciji AOP 133 iz Godišnjeg financijskog izvješća (dio Račun dobiti i gubitka) poduzetnika</w:t>
      </w:r>
    </w:p>
    <w:p w14:paraId="35EEA194" w14:textId="77777777" w:rsidR="002F7F2D" w:rsidRPr="00B07FE9" w:rsidRDefault="002F7F2D" w:rsidP="00EE1A95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NP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neizravni porezi koji se računaju kao suma svih uplaćenih trošarina iz izvješća o uplaćenim trošarinama. Ukoliko poduzetnik nije trošarinski obveznik, NP iznosi nula.</w:t>
      </w:r>
    </w:p>
    <w:p w14:paraId="1EB97339" w14:textId="77777777" w:rsidR="002F7F2D" w:rsidRPr="00B07FE9" w:rsidRDefault="002F7F2D" w:rsidP="00EE1A9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(2) Pri određivanju BDV-a koristi se aritmetička sredina od tri prethodne godine poslovanja koje prethode godini podnošenja zahtjeva, a za koje je dostupan podatak o BDV-u, sukladno izrazu:</w:t>
      </w:r>
    </w:p>
    <w:p w14:paraId="16E78FE3" w14:textId="77777777" w:rsidR="00256765" w:rsidRDefault="00256765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6113BB6C" w14:textId="2DD38160" w:rsidR="00A52F29" w:rsidRDefault="00F32995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m:oMathPara>
        <m:oMath>
          <m:sSub>
            <m:sSubPr>
              <m:ctrlPr>
                <w:rPr>
                  <w:rFonts w:ascii="Cambria Math" w:eastAsia="Times New Roman" w:hAnsi="Cambria Math" w:cs="Cambria Math"/>
                  <w:i/>
                  <w:sz w:val="24"/>
                  <w:szCs w:val="24"/>
                  <w:lang w:val="hr-HR" w:eastAsia="en-GB"/>
                </w:rPr>
              </m:ctrlPr>
            </m:sSubPr>
            <m:e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BDV</m:t>
              </m:r>
            </m:e>
            <m:sub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as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Cambria Math"/>
              <w:sz w:val="24"/>
              <w:szCs w:val="24"/>
              <w:lang w:val="hr-HR" w:eastAsia="en-GB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hr-HR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BDV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n-1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hr-HR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BDV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n-2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hr-HR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BDV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n-3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3</m:t>
              </m:r>
            </m:den>
          </m:f>
        </m:oMath>
      </m:oMathPara>
    </w:p>
    <w:p w14:paraId="730A0109" w14:textId="77777777" w:rsidR="00A52F29" w:rsidRPr="00B07FE9" w:rsidRDefault="00A52F29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33922F0" w14:textId="77777777" w:rsidR="002F7F2D" w:rsidRPr="00B07FE9" w:rsidRDefault="002F7F2D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gdje su:</w:t>
      </w:r>
    </w:p>
    <w:p w14:paraId="71FE3B95" w14:textId="77777777" w:rsidR="002F7F2D" w:rsidRPr="00B07FE9" w:rsidRDefault="002F7F2D" w:rsidP="002F7F2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BDV</w:t>
      </w: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vertAlign w:val="subscript"/>
          <w:lang w:val="hr-HR" w:eastAsia="en-GB"/>
        </w:rPr>
        <w:t>as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aritmetička sredina BDV-a</w:t>
      </w:r>
    </w:p>
    <w:p w14:paraId="4140C0A2" w14:textId="77777777" w:rsidR="002F7F2D" w:rsidRPr="00B07FE9" w:rsidRDefault="002F7F2D" w:rsidP="002F7F2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BDV</w:t>
      </w: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vertAlign w:val="subscript"/>
          <w:lang w:val="hr-HR" w:eastAsia="en-GB"/>
        </w:rPr>
        <w:t>n-i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BDV u godini n-i</w:t>
      </w:r>
    </w:p>
    <w:p w14:paraId="6C2AEA47" w14:textId="77777777" w:rsidR="002F7F2D" w:rsidRPr="00B07FE9" w:rsidRDefault="002F7F2D" w:rsidP="002F7F2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n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godina podnošenja zahtjeva.</w:t>
      </w:r>
    </w:p>
    <w:p w14:paraId="456AA76B" w14:textId="77777777" w:rsidR="002F7F2D" w:rsidRPr="00B07FE9" w:rsidRDefault="002F7F2D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(3) Iznimno od stavka 2. ovoga članka, kada nisu dostupne vrijednosti BDV-a za tri prethodne godine, aritmetička sredina BDV-a određuje se kao:</w:t>
      </w:r>
    </w:p>
    <w:p w14:paraId="27A59701" w14:textId="77777777" w:rsidR="002F7F2D" w:rsidRDefault="002F7F2D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aritmetička sredina BDV-a od dvije godine koje prethode godini u kojoj je podnesen zahtjev sukladno izrazu:</w:t>
      </w:r>
    </w:p>
    <w:p w14:paraId="78594A1F" w14:textId="68F7263C" w:rsidR="00A52F29" w:rsidRDefault="00F32995" w:rsidP="00A52F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m:oMathPara>
        <m:oMath>
          <m:sSub>
            <m:sSubPr>
              <m:ctrlPr>
                <w:rPr>
                  <w:rFonts w:ascii="Cambria Math" w:eastAsia="Times New Roman" w:hAnsi="Cambria Math" w:cs="Cambria Math"/>
                  <w:i/>
                  <w:sz w:val="24"/>
                  <w:szCs w:val="24"/>
                  <w:lang w:val="hr-HR" w:eastAsia="en-GB"/>
                </w:rPr>
              </m:ctrlPr>
            </m:sSubPr>
            <m:e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BDV</m:t>
              </m:r>
            </m:e>
            <m:sub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as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Cambria Math"/>
              <w:sz w:val="24"/>
              <w:szCs w:val="24"/>
              <w:lang w:val="hr-HR" w:eastAsia="en-GB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hr-HR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BDV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n-1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hr-HR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BDV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n-2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2</m:t>
              </m:r>
            </m:den>
          </m:f>
        </m:oMath>
      </m:oMathPara>
    </w:p>
    <w:p w14:paraId="63557936" w14:textId="77777777" w:rsidR="002F7F2D" w:rsidRPr="00B07FE9" w:rsidRDefault="002F7F2D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ili</w:t>
      </w:r>
    </w:p>
    <w:p w14:paraId="2F087A13" w14:textId="77777777" w:rsidR="00A52F29" w:rsidRDefault="002F7F2D" w:rsidP="00EE1A9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t>– ako nisu dostupne vrijednosti BDV-a za dvije godine, uzima se u obzir BDV iz godine koja prethodi godini u kojoj je podnesen zahtjev sukladno izrazu:</w:t>
      </w:r>
    </w:p>
    <w:p w14:paraId="0A7C3558" w14:textId="77777777" w:rsidR="00A52F29" w:rsidRDefault="00A52F29" w:rsidP="00A52F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0BA66BA4" w14:textId="67434DB5" w:rsidR="00A52F29" w:rsidRDefault="00F32995" w:rsidP="00A52F29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m:oMathPara>
        <m:oMath>
          <m:sSub>
            <m:sSubPr>
              <m:ctrlPr>
                <w:rPr>
                  <w:rFonts w:ascii="Cambria Math" w:eastAsia="Times New Roman" w:hAnsi="Cambria Math" w:cs="Cambria Math"/>
                  <w:i/>
                  <w:sz w:val="24"/>
                  <w:szCs w:val="24"/>
                  <w:lang w:val="hr-HR" w:eastAsia="en-GB"/>
                </w:rPr>
              </m:ctrlPr>
            </m:sSubPr>
            <m:e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BDV</m:t>
              </m:r>
            </m:e>
            <m:sub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as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Cambria Math"/>
              <w:sz w:val="24"/>
              <w:szCs w:val="24"/>
              <w:lang w:val="hr-HR" w:eastAsia="en-GB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hr-HR" w:eastAsia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BDV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n-1</m:t>
              </m:r>
            </m:sub>
          </m:sSub>
        </m:oMath>
      </m:oMathPara>
    </w:p>
    <w:p w14:paraId="057FF770" w14:textId="488AE2AF" w:rsidR="008C788A" w:rsidRPr="00375C66" w:rsidRDefault="008C788A" w:rsidP="002F7F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3EEE36E5" w14:textId="77777777" w:rsidR="002F7F2D" w:rsidRPr="0004235E" w:rsidRDefault="002F7F2D" w:rsidP="002F7F2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en-GB"/>
        </w:rPr>
        <w:t>Metodologija izračuna aritmetičke sredine troška električne energije</w:t>
      </w:r>
    </w:p>
    <w:p w14:paraId="37DEC349" w14:textId="77777777" w:rsidR="00584644" w:rsidRDefault="00584644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53BCD252" w14:textId="42C5C336" w:rsidR="002F7F2D" w:rsidRPr="00006CF0" w:rsidRDefault="002F7F2D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06CF0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10.</w:t>
      </w:r>
    </w:p>
    <w:p w14:paraId="2C76E6C5" w14:textId="77777777" w:rsidR="0004235E" w:rsidRPr="00B07FE9" w:rsidRDefault="0004235E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0DDD798C" w14:textId="77777777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(1) Za izračun troška poduzetnika za električnu energiju upotrebljava se aritmetička sredina troškova za tri uzastopne pune kalendarske godine koje su prethodile godini u kojoj je podnesen zahtjev i pod uvjetom da to razdoblje odgovara onome iz izračuna aritmetičke sredine BDV-a, sukladno izrazu:</w:t>
      </w:r>
    </w:p>
    <w:p w14:paraId="75FA64A5" w14:textId="6637EDD0" w:rsidR="00506F4A" w:rsidRDefault="00506F4A" w:rsidP="002F7F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48F2196" w14:textId="422572E0" w:rsidR="00506F4A" w:rsidRDefault="00F32995" w:rsidP="00506F4A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m:oMathPara>
        <m:oMath>
          <m:sSub>
            <m:sSubPr>
              <m:ctrlPr>
                <w:rPr>
                  <w:rFonts w:ascii="Cambria Math" w:eastAsia="Times New Roman" w:hAnsi="Cambria Math" w:cs="Cambria Math"/>
                  <w:i/>
                  <w:sz w:val="24"/>
                  <w:szCs w:val="24"/>
                  <w:lang w:val="hr-HR" w:eastAsia="en-GB"/>
                </w:rPr>
              </m:ctrlPr>
            </m:sSubPr>
            <m:e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TEE</m:t>
              </m:r>
            </m:e>
            <m:sub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as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Cambria Math"/>
              <w:sz w:val="24"/>
              <w:szCs w:val="24"/>
              <w:lang w:val="hr-HR" w:eastAsia="en-GB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hr-HR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TEE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n-1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hr-HR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TEE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n-2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hr-HR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TEE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n-3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3</m:t>
              </m:r>
            </m:den>
          </m:f>
        </m:oMath>
      </m:oMathPara>
    </w:p>
    <w:p w14:paraId="7C79C2ED" w14:textId="77777777" w:rsidR="00506F4A" w:rsidRDefault="00506F4A" w:rsidP="002F7F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207A41E7" w14:textId="30EBA1ED" w:rsidR="002F7F2D" w:rsidRPr="00B07FE9" w:rsidRDefault="002F7F2D" w:rsidP="00BA174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gdje su:</w:t>
      </w:r>
    </w:p>
    <w:p w14:paraId="0D3EF7FD" w14:textId="77777777" w:rsidR="002F7F2D" w:rsidRPr="00B07FE9" w:rsidRDefault="002F7F2D" w:rsidP="002F7F2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TEE</w:t>
      </w: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vertAlign w:val="subscript"/>
          <w:lang w:val="hr-HR" w:eastAsia="en-GB"/>
        </w:rPr>
        <w:t>as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aritmetička sredina troška poduzetnika za električnu energiju</w:t>
      </w:r>
    </w:p>
    <w:p w14:paraId="43BC59CF" w14:textId="77777777" w:rsidR="002F7F2D" w:rsidRPr="00B07FE9" w:rsidRDefault="002F7F2D" w:rsidP="002F7F2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TEE</w:t>
      </w: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vertAlign w:val="subscript"/>
          <w:lang w:val="hr-HR" w:eastAsia="en-GB"/>
        </w:rPr>
        <w:t>n-i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trošak poduzetnika za električnu energiju u godini n-i</w:t>
      </w:r>
    </w:p>
    <w:p w14:paraId="2BCE3D2E" w14:textId="77777777" w:rsidR="002F7F2D" w:rsidRPr="00B07FE9" w:rsidRDefault="002F7F2D" w:rsidP="002F7F2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n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godina podnošenja zahtjeva.</w:t>
      </w:r>
    </w:p>
    <w:p w14:paraId="220DE587" w14:textId="77777777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(2) Iznimno od stavka 1. ovoga članka, ako nisu dostupni iznosi troška električne energije za tri prethodne godine, aritmetička sredina troška poduzetnika za električnu energiju određuje se na sljedeći način:</w:t>
      </w:r>
    </w:p>
    <w:p w14:paraId="0A2B4164" w14:textId="77777777" w:rsidR="002F7F2D" w:rsidRPr="00B07FE9" w:rsidRDefault="002F7F2D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aritmetička sredina troška za električnu energiju za dvije godine koje prethode godini u kojoj je podnesen zahtjev sukladno izrazu:</w:t>
      </w:r>
    </w:p>
    <w:p w14:paraId="761DD3C3" w14:textId="77777777" w:rsidR="00B42A7B" w:rsidRDefault="00B42A7B" w:rsidP="002F7F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644244B" w14:textId="2C62EFE1" w:rsidR="00B42A7B" w:rsidRDefault="00F32995" w:rsidP="00B42A7B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m:oMathPara>
        <m:oMath>
          <m:sSub>
            <m:sSubPr>
              <m:ctrlPr>
                <w:rPr>
                  <w:rFonts w:ascii="Cambria Math" w:eastAsia="Times New Roman" w:hAnsi="Cambria Math" w:cs="Cambria Math"/>
                  <w:i/>
                  <w:sz w:val="24"/>
                  <w:szCs w:val="24"/>
                  <w:lang w:val="hr-HR" w:eastAsia="en-GB"/>
                </w:rPr>
              </m:ctrlPr>
            </m:sSubPr>
            <m:e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TEE</m:t>
              </m:r>
            </m:e>
            <m:sub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as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Cambria Math"/>
              <w:sz w:val="24"/>
              <w:szCs w:val="24"/>
              <w:lang w:val="hr-HR" w:eastAsia="en-GB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hr-HR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TEE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n-1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hr-HR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TEE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n-2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2</m:t>
              </m:r>
            </m:den>
          </m:f>
        </m:oMath>
      </m:oMathPara>
    </w:p>
    <w:p w14:paraId="38784889" w14:textId="6A994BB3" w:rsidR="002F7F2D" w:rsidRPr="00375C66" w:rsidRDefault="002F7F2D" w:rsidP="002F7F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98373E0" w14:textId="77777777" w:rsidR="002F7F2D" w:rsidRPr="00B07FE9" w:rsidRDefault="002F7F2D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ako nije dostupan trošak za električnu energiju za dvije godine, uzima se u obzir trošak za električnu energiju iz godine koja prethodi godini u kojoj je podnesen zahtjev sukladno izrazu:</w:t>
      </w:r>
    </w:p>
    <w:p w14:paraId="6207EF6A" w14:textId="58A12646" w:rsidR="00B42A7B" w:rsidRDefault="00B42A7B" w:rsidP="002F7F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2B78B4AE" w14:textId="722BB6C5" w:rsidR="00B42A7B" w:rsidRDefault="00F32995" w:rsidP="00B42A7B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m:oMathPara>
        <m:oMath>
          <m:sSub>
            <m:sSubPr>
              <m:ctrlPr>
                <w:rPr>
                  <w:rFonts w:ascii="Cambria Math" w:eastAsia="Times New Roman" w:hAnsi="Cambria Math" w:cs="Cambria Math"/>
                  <w:i/>
                  <w:sz w:val="24"/>
                  <w:szCs w:val="24"/>
                  <w:lang w:val="hr-HR" w:eastAsia="en-GB"/>
                </w:rPr>
              </m:ctrlPr>
            </m:sSubPr>
            <m:e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TEE</m:t>
              </m:r>
            </m:e>
            <m:sub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as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Cambria Math"/>
              <w:sz w:val="24"/>
              <w:szCs w:val="24"/>
              <w:lang w:val="hr-HR" w:eastAsia="en-GB"/>
            </w:rPr>
            <m:t>=</m:t>
          </m:r>
          <m:sSub>
            <m:sSubPr>
              <m:ctrlPr>
                <w:rPr>
                  <w:rFonts w:ascii="Cambria Math" w:eastAsia="Times New Roman" w:hAnsi="Cambria Math" w:cs="Cambria Math"/>
                  <w:i/>
                  <w:sz w:val="24"/>
                  <w:szCs w:val="24"/>
                  <w:lang w:val="hr-HR" w:eastAsia="en-GB"/>
                </w:rPr>
              </m:ctrlPr>
            </m:sSubPr>
            <m:e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TEE</m:t>
              </m:r>
            </m:e>
            <m:sub>
              <m:r>
                <w:rPr>
                  <w:rFonts w:ascii="Cambria Math" w:eastAsia="Times New Roman" w:hAnsi="Cambria Math" w:cs="Cambria Math"/>
                  <w:sz w:val="24"/>
                  <w:szCs w:val="24"/>
                  <w:lang w:val="hr-HR" w:eastAsia="en-GB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hr-HR" w:eastAsia="en-GB"/>
            </w:rPr>
            <m:t xml:space="preserve"> </m:t>
          </m:r>
        </m:oMath>
      </m:oMathPara>
    </w:p>
    <w:p w14:paraId="6E5C030E" w14:textId="77777777" w:rsidR="00B42A7B" w:rsidRDefault="00B42A7B" w:rsidP="002F7F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2653D011" w14:textId="687FE11D" w:rsidR="002F7F2D" w:rsidRPr="00006CF0" w:rsidRDefault="002F7F2D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06CF0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11.</w:t>
      </w:r>
    </w:p>
    <w:p w14:paraId="0CEC15AA" w14:textId="77777777" w:rsidR="0004235E" w:rsidRPr="0004235E" w:rsidRDefault="0004235E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7861F0D7" w14:textId="77777777" w:rsidR="002F7F2D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Električni intenzitet određuje se kao omjer aritmetičke sredine troška električne energije i aritmetičke sredine BDV-a sukladno sljedećem izrazu:</w:t>
      </w:r>
    </w:p>
    <w:p w14:paraId="54A0D971" w14:textId="77777777" w:rsidR="003E5F4D" w:rsidRPr="00B07FE9" w:rsidRDefault="003E5F4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3A06FDC6" w14:textId="7D1B3A13" w:rsidR="003E5F4D" w:rsidRDefault="003E5F4D" w:rsidP="003E5F4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m:oMathPara>
        <m:oMath>
          <m:r>
            <w:rPr>
              <w:rFonts w:ascii="Cambria Math" w:eastAsia="Times New Roman" w:hAnsi="Cambria Math" w:cs="Cambria Math"/>
              <w:sz w:val="24"/>
              <w:szCs w:val="24"/>
              <w:lang w:val="hr-HR" w:eastAsia="en-GB"/>
            </w:rPr>
            <m:t>EI</m:t>
          </m:r>
          <m:r>
            <m:rPr>
              <m:sty m:val="p"/>
            </m:rPr>
            <w:rPr>
              <w:rFonts w:ascii="Cambria Math" w:eastAsia="Times New Roman" w:hAnsi="Cambria Math" w:cs="Cambria Math"/>
              <w:sz w:val="24"/>
              <w:szCs w:val="24"/>
              <w:lang w:val="hr-HR" w:eastAsia="en-GB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hr-HR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TEE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as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hr-HR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BDV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hr-HR" w:eastAsia="en-GB"/>
                    </w:rPr>
                    <m:t>as</m:t>
                  </m:r>
                </m:sub>
              </m:sSub>
            </m:den>
          </m:f>
        </m:oMath>
      </m:oMathPara>
    </w:p>
    <w:p w14:paraId="6061720C" w14:textId="4757E9D3" w:rsidR="002F7F2D" w:rsidRPr="00375C66" w:rsidRDefault="002F7F2D" w:rsidP="003E5F4D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5611FA3" w14:textId="77777777" w:rsidR="002F7F2D" w:rsidRPr="0004235E" w:rsidRDefault="002F7F2D" w:rsidP="002F7F2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IV. METODOLOGIJA IZRAČUNA UMANJENJA VISINE NAKNADE ZA OIEiK</w:t>
      </w:r>
    </w:p>
    <w:p w14:paraId="0D7B0043" w14:textId="77777777" w:rsidR="00584644" w:rsidRPr="00584644" w:rsidRDefault="00584644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4A076B8F" w14:textId="6C477C5E" w:rsidR="002F7F2D" w:rsidRPr="00006CF0" w:rsidRDefault="002F7F2D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06CF0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12.</w:t>
      </w:r>
    </w:p>
    <w:p w14:paraId="41FABD61" w14:textId="77777777" w:rsidR="0004235E" w:rsidRPr="0004235E" w:rsidRDefault="0004235E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19B62165" w14:textId="3F269C8A" w:rsidR="002F7F2D" w:rsidRPr="00B07FE9" w:rsidRDefault="00810908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(1) 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Iznos umanjene visine naknade određuje se sukladno razredima električnog intenziteta. Za svaki razred određen je postotni dio umanjenja naknade za OIEiK koji se oduzima od naknade za OIEiK kako slijedi:</w:t>
      </w:r>
    </w:p>
    <w:p w14:paraId="23E842D0" w14:textId="77777777" w:rsidR="006616E9" w:rsidRPr="00B07FE9" w:rsidRDefault="006616E9" w:rsidP="00B07FE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3873"/>
        <w:gridCol w:w="3402"/>
      </w:tblGrid>
      <w:tr w:rsidR="002F7F2D" w:rsidRPr="002879E0" w14:paraId="38AB8CEA" w14:textId="77777777" w:rsidTr="00B07FE9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BEE5D" w14:textId="77777777" w:rsidR="002F7F2D" w:rsidRPr="00375C66" w:rsidRDefault="002F7F2D" w:rsidP="002F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375C6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hr-HR" w:eastAsia="en-GB"/>
              </w:rPr>
              <w:t>Razred elektri</w:t>
            </w:r>
            <w:r w:rsidRPr="00375C66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bdr w:val="none" w:sz="0" w:space="0" w:color="auto" w:frame="1"/>
                <w:lang w:val="hr-HR" w:eastAsia="en-GB"/>
              </w:rPr>
              <w:t>č</w:t>
            </w:r>
            <w:r w:rsidRPr="00375C6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hr-HR" w:eastAsia="en-GB"/>
              </w:rPr>
              <w:t>nog intenziteta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45B59" w14:textId="77777777" w:rsidR="002F7F2D" w:rsidRPr="00375C66" w:rsidRDefault="002F7F2D" w:rsidP="002F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375C6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hr-HR" w:eastAsia="en-GB"/>
              </w:rPr>
              <w:t>Raspon elektri</w:t>
            </w:r>
            <w:r w:rsidRPr="00375C66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bdr w:val="none" w:sz="0" w:space="0" w:color="auto" w:frame="1"/>
                <w:lang w:val="hr-HR" w:eastAsia="en-GB"/>
              </w:rPr>
              <w:t>č</w:t>
            </w:r>
            <w:r w:rsidRPr="00375C6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hr-HR" w:eastAsia="en-GB"/>
              </w:rPr>
              <w:t>nog</w:t>
            </w:r>
            <w:r w:rsidRPr="00375C6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hr-HR" w:eastAsia="en-GB"/>
              </w:rPr>
              <w:br/>
              <w:t>intenziteta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113F06" w14:textId="7EFEEE9C" w:rsidR="002F7F2D" w:rsidRPr="00375C66" w:rsidRDefault="002F7F2D" w:rsidP="00DB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375C6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hr-HR" w:eastAsia="en-GB"/>
              </w:rPr>
              <w:t xml:space="preserve">Umanjenje naknade za OIEiK </w:t>
            </w:r>
            <w:r w:rsidRPr="00375C66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bdr w:val="none" w:sz="0" w:space="0" w:color="auto" w:frame="1"/>
                <w:lang w:val="hr-HR" w:eastAsia="en-GB"/>
              </w:rPr>
              <w:t>–</w:t>
            </w:r>
            <w:r w:rsidRPr="00375C6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hr-HR" w:eastAsia="en-GB"/>
              </w:rPr>
              <w:t xml:space="preserve"> </w:t>
            </w:r>
            <w:r w:rsidR="00DC5E90" w:rsidRPr="00DC5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en-GB"/>
              </w:rPr>
              <w:t>UN</w:t>
            </w:r>
            <w:r w:rsidR="00DC5E90" w:rsidRPr="00DC5E9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hr-HR" w:eastAsia="en-GB"/>
              </w:rPr>
              <w:t>OIEiK</w:t>
            </w:r>
            <w:r w:rsidRPr="00375C6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hr-HR" w:eastAsia="en-GB"/>
              </w:rPr>
              <w:t xml:space="preserve"> (%)</w:t>
            </w:r>
          </w:p>
        </w:tc>
      </w:tr>
      <w:tr w:rsidR="002F7F2D" w:rsidRPr="002879E0" w14:paraId="2AD33AEE" w14:textId="77777777" w:rsidTr="00B07F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9CEA4" w14:textId="77777777" w:rsidR="002F7F2D" w:rsidRPr="00375C66" w:rsidRDefault="002F7F2D" w:rsidP="00B0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R1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9370E" w14:textId="77777777" w:rsidR="002F7F2D" w:rsidRPr="00375C66" w:rsidRDefault="002F7F2D" w:rsidP="00EE1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od 5 % do uklju</w:t>
            </w:r>
            <w:r w:rsidRPr="00375C66">
              <w:rPr>
                <w:rFonts w:ascii="Times New Roman" w:eastAsia="Times New Roman" w:hAnsi="Times New Roman" w:cs="Times New Roman" w:hint="eastAsia"/>
                <w:sz w:val="24"/>
                <w:szCs w:val="24"/>
                <w:lang w:val="hr-HR" w:eastAsia="en-GB"/>
              </w:rPr>
              <w:t>č</w:t>
            </w: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ivo 10 %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1E6E1" w14:textId="77777777" w:rsidR="002F7F2D" w:rsidRPr="00375C66" w:rsidRDefault="002F7F2D" w:rsidP="00EE1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UN</w:t>
            </w: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hr-HR" w:eastAsia="en-GB"/>
              </w:rPr>
              <w:t>OIEiK</w:t>
            </w: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1=40 %</w:t>
            </w:r>
          </w:p>
        </w:tc>
      </w:tr>
      <w:tr w:rsidR="002F7F2D" w:rsidRPr="002879E0" w14:paraId="1838B437" w14:textId="77777777" w:rsidTr="00B07F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8733D" w14:textId="77777777" w:rsidR="002F7F2D" w:rsidRPr="00375C66" w:rsidRDefault="002F7F2D" w:rsidP="00B0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R2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9962C" w14:textId="77777777" w:rsidR="002F7F2D" w:rsidRPr="00375C66" w:rsidRDefault="002F7F2D" w:rsidP="00EE1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ve</w:t>
            </w:r>
            <w:r w:rsidRPr="00375C66">
              <w:rPr>
                <w:rFonts w:ascii="Times New Roman" w:eastAsia="Times New Roman" w:hAnsi="Times New Roman" w:cs="Times New Roman" w:hint="eastAsia"/>
                <w:sz w:val="24"/>
                <w:szCs w:val="24"/>
                <w:lang w:val="hr-HR" w:eastAsia="en-GB"/>
              </w:rPr>
              <w:t>ć</w:t>
            </w: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i od 10 % do uklju</w:t>
            </w:r>
            <w:r w:rsidRPr="00375C66">
              <w:rPr>
                <w:rFonts w:ascii="Times New Roman" w:eastAsia="Times New Roman" w:hAnsi="Times New Roman" w:cs="Times New Roman" w:hint="eastAsia"/>
                <w:sz w:val="24"/>
                <w:szCs w:val="24"/>
                <w:lang w:val="hr-HR" w:eastAsia="en-GB"/>
              </w:rPr>
              <w:t>č</w:t>
            </w: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ivo 20 %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2D380" w14:textId="77777777" w:rsidR="002F7F2D" w:rsidRPr="00375C66" w:rsidRDefault="002F7F2D" w:rsidP="00EE1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UN</w:t>
            </w: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hr-HR" w:eastAsia="en-GB"/>
              </w:rPr>
              <w:t>OIEiK</w:t>
            </w: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2= 60 %</w:t>
            </w:r>
          </w:p>
        </w:tc>
      </w:tr>
      <w:tr w:rsidR="002F7F2D" w:rsidRPr="002879E0" w14:paraId="16E252F6" w14:textId="77777777" w:rsidTr="00B07F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65CE0" w14:textId="77777777" w:rsidR="002F7F2D" w:rsidRPr="00375C66" w:rsidRDefault="002F7F2D" w:rsidP="00B0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R3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5CE60" w14:textId="77777777" w:rsidR="002F7F2D" w:rsidRPr="00375C66" w:rsidRDefault="002F7F2D" w:rsidP="00EE1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ve</w:t>
            </w:r>
            <w:r w:rsidRPr="00375C66">
              <w:rPr>
                <w:rFonts w:ascii="Times New Roman" w:eastAsia="Times New Roman" w:hAnsi="Times New Roman" w:cs="Times New Roman" w:hint="eastAsia"/>
                <w:sz w:val="24"/>
                <w:szCs w:val="24"/>
                <w:lang w:val="hr-HR" w:eastAsia="en-GB"/>
              </w:rPr>
              <w:t>ć</w:t>
            </w: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i od 20 %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CAF9EA" w14:textId="1756B1E9" w:rsidR="002F7F2D" w:rsidRPr="00375C66" w:rsidRDefault="002F7F2D" w:rsidP="00EE1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UN</w:t>
            </w: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hr-HR" w:eastAsia="en-GB"/>
              </w:rPr>
              <w:t>OIEiK</w:t>
            </w:r>
            <w:r w:rsidRPr="00375C6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3= </w:t>
            </w:r>
            <w:r w:rsidR="0053724B" w:rsidRPr="004506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75 </w:t>
            </w:r>
            <w:r w:rsidRPr="004506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%</w:t>
            </w:r>
          </w:p>
        </w:tc>
      </w:tr>
    </w:tbl>
    <w:p w14:paraId="26A9B246" w14:textId="77777777" w:rsidR="00D11A96" w:rsidRPr="00B07FE9" w:rsidRDefault="00D11A96" w:rsidP="00B07FE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51BB8A02" w14:textId="77777777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(2) Iznos umanjene visine naknade računa se sukladno izrazu:</w:t>
      </w:r>
    </w:p>
    <w:p w14:paraId="3C36DC60" w14:textId="77777777" w:rsidR="00DB755C" w:rsidRDefault="00DB755C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14DEC43" w14:textId="1BEA0F37" w:rsidR="003F3752" w:rsidRPr="00B07FE9" w:rsidRDefault="00F32995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hr-HR" w:eastAsia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OIEiK, um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hr-HR" w:eastAsia="en-GB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hr-HR" w:eastAsia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OIEiK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hr-HR" w:eastAsia="en-GB"/>
            </w:rPr>
            <m:t>*(100%-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hr-HR" w:eastAsia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UN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hr-HR" w:eastAsia="en-GB"/>
                </w:rPr>
                <m:t>OIEiK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hr-HR" w:eastAsia="en-GB"/>
            </w:rPr>
            <m:t>)</m:t>
          </m:r>
        </m:oMath>
      </m:oMathPara>
    </w:p>
    <w:p w14:paraId="180FBFF7" w14:textId="4A1D574C" w:rsidR="002F7F2D" w:rsidRPr="00375C66" w:rsidRDefault="002F7F2D" w:rsidP="002F7F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2F442A64" w14:textId="77777777" w:rsidR="002F7F2D" w:rsidRPr="00B07FE9" w:rsidRDefault="002F7F2D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gdje su:</w:t>
      </w:r>
    </w:p>
    <w:p w14:paraId="651B18FD" w14:textId="77777777" w:rsidR="002F7F2D" w:rsidRPr="00B07FE9" w:rsidRDefault="002F7F2D" w:rsidP="002F7F2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N</w:t>
      </w: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vertAlign w:val="subscript"/>
          <w:lang w:val="hr-HR" w:eastAsia="en-GB"/>
        </w:rPr>
        <w:t>OIEiK,um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umanjena visina naknada za OIEiK</w:t>
      </w:r>
    </w:p>
    <w:p w14:paraId="5B9A99DE" w14:textId="77777777" w:rsidR="002F7F2D" w:rsidRPr="00B07FE9" w:rsidRDefault="002F7F2D" w:rsidP="002F7F2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N</w:t>
      </w: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vertAlign w:val="subscript"/>
          <w:lang w:val="hr-HR" w:eastAsia="en-GB"/>
        </w:rPr>
        <w:t>OIEiK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 visina naknade za OIEiK</w:t>
      </w:r>
    </w:p>
    <w:p w14:paraId="550DD26F" w14:textId="73F3F382" w:rsidR="002F7F2D" w:rsidRDefault="002F7F2D" w:rsidP="002F7F2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UN</w:t>
      </w: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vertAlign w:val="subscript"/>
          <w:lang w:val="hr-HR" w:eastAsia="en-GB"/>
        </w:rPr>
        <w:t>OIEiK</w:t>
      </w:r>
      <w:r w:rsidRPr="00375C6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(1-3)</w:t>
      </w:r>
      <w:r w:rsidRPr="00375C66">
        <w:rPr>
          <w:rFonts w:ascii="Times New Roman" w:eastAsia="Times New Roman" w:hAnsi="Times New Roman" w:cs="Times New Roman" w:hint="eastAsia"/>
          <w:i/>
          <w:sz w:val="24"/>
          <w:szCs w:val="24"/>
          <w:bdr w:val="none" w:sz="0" w:space="0" w:color="auto" w:frame="1"/>
          <w:lang w:val="hr-HR" w:eastAsia="en-GB"/>
        </w:rPr>
        <w:t> 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– umanjenje naknade za OIEiK izraženo u postocima, a koje ne može biti veće od </w:t>
      </w:r>
      <w:r w:rsidR="0053724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75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%</w:t>
      </w:r>
      <w:r w:rsidR="00661E4C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57EDAE64" w14:textId="62661E5D" w:rsidR="003460BD" w:rsidRPr="00450608" w:rsidRDefault="003460BD" w:rsidP="002F7F2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(3) </w:t>
      </w:r>
      <w:r w:rsidRPr="004506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Iznos umanjene visine naknade </w:t>
      </w:r>
      <w:r w:rsidRPr="0045060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val="hr-HR" w:eastAsia="en-GB"/>
        </w:rPr>
        <w:t>N</w:t>
      </w:r>
      <w:r w:rsidRPr="0045060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vertAlign w:val="subscript"/>
          <w:lang w:val="hr-HR" w:eastAsia="en-GB"/>
        </w:rPr>
        <w:t xml:space="preserve">OIEiK,um </w:t>
      </w:r>
      <w:r w:rsidRPr="004506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ne mo</w:t>
      </w:r>
      <w:r w:rsidRPr="00450608">
        <w:rPr>
          <w:rFonts w:ascii="Times New Roman" w:eastAsia="Times New Roman" w:hAnsi="Times New Roman" w:cs="Times New Roman" w:hint="eastAsia"/>
          <w:sz w:val="24"/>
          <w:szCs w:val="24"/>
          <w:lang w:val="hr-HR" w:eastAsia="en-GB"/>
        </w:rPr>
        <w:t>ž</w:t>
      </w:r>
      <w:r w:rsidRPr="004506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 biti manji od </w:t>
      </w:r>
      <w:r w:rsidR="00670016" w:rsidRPr="004506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3</w:t>
      </w:r>
      <w:r w:rsidR="003307C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,76725 HRK</w:t>
      </w:r>
      <w:r w:rsidR="00375C66" w:rsidRPr="004506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/MWh</w:t>
      </w:r>
      <w:r w:rsidR="004506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450608" w:rsidRPr="004506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C6186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3,76725 : 7,53450 = </w:t>
      </w:r>
      <w:r w:rsidR="00450608" w:rsidRPr="004506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0,5 EUR/MWh)</w:t>
      </w:r>
      <w:r w:rsidR="0045060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558A8007" w14:textId="77777777" w:rsidR="003460BD" w:rsidRPr="00B07FE9" w:rsidRDefault="003460BD" w:rsidP="002F7F2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0A48252A" w14:textId="77777777" w:rsidR="00525F9B" w:rsidRPr="00B07FE9" w:rsidRDefault="00525F9B" w:rsidP="00525F9B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6C6F4981" w14:textId="47B36AF4" w:rsidR="0004235E" w:rsidRPr="00D85B82" w:rsidRDefault="00525F9B" w:rsidP="002B4FF0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06CF0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V. PRAVILA ZA PRIMJENU UMANJENJA NAKNADE ZA OIEiK</w:t>
      </w:r>
      <w:r w:rsidR="00D85B82" w:rsidRPr="00006CF0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U PRIJELAZNOM RAZDOBLJU OD 2022. DO 2028. GODINE ZA PODUZETNIKE KO</w:t>
      </w:r>
      <w:r w:rsidR="005E389E" w:rsidRPr="00006CF0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J</w:t>
      </w:r>
      <w:r w:rsidR="00D85B82" w:rsidRPr="00006CF0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I NE PRIPADAJU U POPIS PRIHVATLJIVIH SEKTORA</w:t>
      </w:r>
    </w:p>
    <w:p w14:paraId="77C1C2A2" w14:textId="77777777" w:rsidR="00D85B82" w:rsidRPr="0090090A" w:rsidRDefault="00D85B82" w:rsidP="0004235E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hr-HR" w:eastAsia="en-GB"/>
        </w:rPr>
      </w:pPr>
    </w:p>
    <w:p w14:paraId="121DEBA4" w14:textId="25627BB6" w:rsidR="0004235E" w:rsidRPr="00006CF0" w:rsidRDefault="0004235E" w:rsidP="0004235E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06CF0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13.</w:t>
      </w:r>
    </w:p>
    <w:p w14:paraId="34C4A4F1" w14:textId="5AAFCCB3" w:rsidR="00525F9B" w:rsidRPr="00B07FE9" w:rsidRDefault="00525F9B" w:rsidP="00BA17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6F88B50" w14:textId="0C258560" w:rsidR="00525F9B" w:rsidRPr="009D6ABA" w:rsidRDefault="00D11A96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(1) </w:t>
      </w:r>
      <w:r w:rsidR="00525F9B"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Poduzetnici koji su temeljem Uredbe o kriterijima za plaćanje umanje naknade za obnovljive</w:t>
      </w:r>
      <w:r w:rsidR="0090090A"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525F9B"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izvore za energije i </w:t>
      </w:r>
      <w:r w:rsidR="005E389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visokoučinkovitu kongereaciju („Narodne novine“</w:t>
      </w:r>
      <w:r w:rsidR="00525F9B"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, broj 58/2020) ostvarili pravo plaćanja umanjene visine naknade za OIEiK u razdoblju od 2020. do 2021. godine, </w:t>
      </w:r>
      <w:r w:rsidR="00484DF8" w:rsidRPr="00484DF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osim poduzetnika koji su sukladno zakonu kojim se uređuju klimatske promjene i zaštita ozonskog sloja obveznici ishođenja dozvola za emisije stakleničkih plinova, </w:t>
      </w:r>
      <w:r w:rsidR="00525F9B" w:rsidRPr="00484DF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 koji ne pripadaju u Popis prihvatljivih sektora za smanjenje naknade za OIEiK iz Priloga 1.</w:t>
      </w:r>
      <w:r w:rsidR="00670016" w:rsidRPr="00484DF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525F9B" w:rsidRPr="00484DF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 2. ove Uredbe,</w:t>
      </w:r>
      <w:r w:rsidR="00525F9B"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mogu ostvariti pravo na plaćanje umanjene naknade za OIEiK, kako slijedi:</w:t>
      </w:r>
    </w:p>
    <w:p w14:paraId="4FD21850" w14:textId="77777777" w:rsidR="00281BCB" w:rsidRPr="009D6ABA" w:rsidRDefault="00281BCB" w:rsidP="00B07F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2322"/>
        <w:gridCol w:w="1561"/>
        <w:gridCol w:w="1399"/>
      </w:tblGrid>
      <w:tr w:rsidR="0026784B" w:rsidRPr="009D6ABA" w14:paraId="61D9FC39" w14:textId="77777777" w:rsidTr="00B07FE9">
        <w:trPr>
          <w:trHeight w:val="620"/>
        </w:trPr>
        <w:tc>
          <w:tcPr>
            <w:tcW w:w="22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86893" w14:textId="0A8C08F8" w:rsidR="00525F9B" w:rsidRPr="009D6ABA" w:rsidRDefault="00525F9B" w:rsidP="00B07FE9">
            <w:pPr>
              <w:spacing w:after="0" w:line="240" w:lineRule="auto"/>
              <w:ind w:firstLine="4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en-GB"/>
              </w:rPr>
              <w:t>Razred električnog intenziteta u zadnjoj godini za koju je odobreno umanjenje naknade</w:t>
            </w:r>
          </w:p>
        </w:tc>
        <w:tc>
          <w:tcPr>
            <w:tcW w:w="27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A438" w14:textId="77777777" w:rsidR="00525F9B" w:rsidRPr="009D6ABA" w:rsidRDefault="00525F9B" w:rsidP="00B07FE9">
            <w:pPr>
              <w:spacing w:after="0" w:line="240" w:lineRule="auto"/>
              <w:ind w:firstLine="4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en-GB"/>
              </w:rPr>
              <w:t>Umanjenje naknade OIEiK – UN (%)</w:t>
            </w:r>
          </w:p>
          <w:p w14:paraId="64B07DE1" w14:textId="2E217D7B" w:rsidR="00525F9B" w:rsidRPr="009D6ABA" w:rsidRDefault="00525F9B" w:rsidP="00B07FE9">
            <w:pPr>
              <w:spacing w:after="0" w:line="240" w:lineRule="auto"/>
              <w:ind w:firstLine="4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en-GB"/>
              </w:rPr>
              <w:t>po godinama</w:t>
            </w:r>
          </w:p>
        </w:tc>
      </w:tr>
      <w:tr w:rsidR="0026784B" w:rsidRPr="009D6ABA" w14:paraId="2901D843" w14:textId="77777777" w:rsidTr="0026784B">
        <w:trPr>
          <w:trHeight w:val="22"/>
        </w:trPr>
        <w:tc>
          <w:tcPr>
            <w:tcW w:w="22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AE0E99" w14:textId="77777777" w:rsidR="00525F9B" w:rsidRPr="00496B91" w:rsidRDefault="00525F9B" w:rsidP="00525F9B">
            <w:pPr>
              <w:spacing w:after="0" w:line="240" w:lineRule="auto"/>
              <w:ind w:firstLine="408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en-GB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72A8AB" w14:textId="77777777" w:rsidR="00525F9B" w:rsidRPr="00496B91" w:rsidRDefault="00525F9B" w:rsidP="00525F9B">
            <w:pPr>
              <w:spacing w:after="0" w:line="240" w:lineRule="auto"/>
              <w:ind w:firstLine="4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96B9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2022.-2026.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DA4F4" w14:textId="77777777" w:rsidR="00525F9B" w:rsidRPr="00496B91" w:rsidRDefault="00525F9B" w:rsidP="00525F9B">
            <w:pPr>
              <w:spacing w:after="0" w:line="240" w:lineRule="auto"/>
              <w:ind w:firstLine="4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96B9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2027.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E06A6" w14:textId="77777777" w:rsidR="00525F9B" w:rsidRPr="00496B91" w:rsidRDefault="00525F9B" w:rsidP="00525F9B">
            <w:pPr>
              <w:spacing w:after="0" w:line="240" w:lineRule="auto"/>
              <w:ind w:firstLine="4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96B9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2028.</w:t>
            </w:r>
          </w:p>
        </w:tc>
      </w:tr>
      <w:tr w:rsidR="00525F9B" w:rsidRPr="009D6ABA" w14:paraId="7411A32A" w14:textId="77777777" w:rsidTr="00EF6AF7">
        <w:trPr>
          <w:trHeight w:val="506"/>
        </w:trPr>
        <w:tc>
          <w:tcPr>
            <w:tcW w:w="2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24088" w14:textId="77777777" w:rsidR="00525F9B" w:rsidRPr="009D6ABA" w:rsidRDefault="00525F9B" w:rsidP="00525F9B">
            <w:pPr>
              <w:spacing w:after="0" w:line="240" w:lineRule="auto"/>
              <w:ind w:firstLine="4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lastRenderedPageBreak/>
              <w:t>R1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02721C" w14:textId="77777777" w:rsidR="00525F9B" w:rsidRPr="009D6ABA" w:rsidRDefault="00525F9B" w:rsidP="00B07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20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E04155" w14:textId="77777777" w:rsidR="00525F9B" w:rsidRPr="009D6ABA" w:rsidRDefault="00525F9B" w:rsidP="00B07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10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75DAD" w14:textId="77777777" w:rsidR="00525F9B" w:rsidRPr="009D6ABA" w:rsidRDefault="00525F9B" w:rsidP="00B07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0</w:t>
            </w:r>
          </w:p>
        </w:tc>
      </w:tr>
      <w:tr w:rsidR="00525F9B" w:rsidRPr="009D6ABA" w14:paraId="228C5631" w14:textId="77777777" w:rsidTr="00EF6AF7">
        <w:trPr>
          <w:trHeight w:val="506"/>
        </w:trPr>
        <w:tc>
          <w:tcPr>
            <w:tcW w:w="2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D830F" w14:textId="77777777" w:rsidR="00525F9B" w:rsidRPr="009D6ABA" w:rsidRDefault="00525F9B" w:rsidP="00525F9B">
            <w:pPr>
              <w:spacing w:after="0" w:line="240" w:lineRule="auto"/>
              <w:ind w:firstLine="4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R2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89B995" w14:textId="77777777" w:rsidR="00525F9B" w:rsidRPr="009D6ABA" w:rsidRDefault="00525F9B" w:rsidP="00B07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40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A14885" w14:textId="77777777" w:rsidR="00525F9B" w:rsidRPr="009D6ABA" w:rsidRDefault="00525F9B" w:rsidP="00B07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20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E36A" w14:textId="77777777" w:rsidR="00525F9B" w:rsidRPr="009D6ABA" w:rsidRDefault="00525F9B" w:rsidP="00B07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0</w:t>
            </w:r>
          </w:p>
        </w:tc>
      </w:tr>
      <w:tr w:rsidR="0026784B" w:rsidRPr="009D6ABA" w14:paraId="2CA735AD" w14:textId="77777777" w:rsidTr="00EF6AF7">
        <w:trPr>
          <w:trHeight w:val="506"/>
        </w:trPr>
        <w:tc>
          <w:tcPr>
            <w:tcW w:w="2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352DD" w14:textId="77777777" w:rsidR="00525F9B" w:rsidRPr="009D6ABA" w:rsidRDefault="00525F9B" w:rsidP="00525F9B">
            <w:pPr>
              <w:spacing w:after="0" w:line="240" w:lineRule="auto"/>
              <w:ind w:firstLine="4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R3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1EE9E9" w14:textId="77777777" w:rsidR="00525F9B" w:rsidRPr="009D6ABA" w:rsidRDefault="00525F9B" w:rsidP="00B07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60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0072C7" w14:textId="77777777" w:rsidR="00525F9B" w:rsidRPr="009D6ABA" w:rsidRDefault="00525F9B" w:rsidP="00B07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30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FBAF" w14:textId="77777777" w:rsidR="00525F9B" w:rsidRPr="009D6ABA" w:rsidRDefault="00525F9B" w:rsidP="00B07F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9D6AB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0</w:t>
            </w:r>
          </w:p>
        </w:tc>
      </w:tr>
    </w:tbl>
    <w:p w14:paraId="4583A2B0" w14:textId="7893AC4A" w:rsidR="00525F9B" w:rsidRPr="009D6ABA" w:rsidRDefault="00525F9B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1D55A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2</w:t>
      </w: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) Poduzetnici iz stavka 1. ovoga članka, u svrhu ostvarivanja prava </w:t>
      </w:r>
      <w:r w:rsidR="0090090A"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 umanjenje naknade za OIEiK, o</w:t>
      </w: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peratoru tržišta podnose zahtjev </w:t>
      </w:r>
      <w:r w:rsidR="00150223"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 </w:t>
      </w: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obliku obrasca zahtjeva sadržanog u Prilogu 4. ove Uredbe i koji čini njezin sastavi dio.</w:t>
      </w:r>
    </w:p>
    <w:p w14:paraId="66051533" w14:textId="0DD49A9C" w:rsidR="00525F9B" w:rsidRPr="009D6ABA" w:rsidRDefault="00525F9B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745CB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3</w:t>
      </w: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) Zahtjev iz stavka</w:t>
      </w:r>
      <w:r w:rsidR="00745CB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2.</w:t>
      </w: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ovoga članka </w:t>
      </w:r>
      <w:r w:rsidR="005A374D"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podnosi se elektroničkim putem i </w:t>
      </w: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obavezno sadrži:</w:t>
      </w:r>
    </w:p>
    <w:p w14:paraId="69BA1581" w14:textId="3E50E284" w:rsidR="002277D6" w:rsidRPr="00CC7D34" w:rsidRDefault="002277D6" w:rsidP="002277D6">
      <w:pPr>
        <w:pStyle w:val="Odlomakpopisa"/>
        <w:numPr>
          <w:ilvl w:val="0"/>
          <w:numId w:val="34"/>
        </w:numP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CC7D3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dokumentaciju iz članka 3. stavka </w:t>
      </w:r>
      <w:r w:rsidR="00745CB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4. </w:t>
      </w:r>
      <w:r w:rsidRPr="00CC7D3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podstavci 1., 2., 3., 6. i 7. ove Uredbe.</w:t>
      </w:r>
    </w:p>
    <w:p w14:paraId="22D7DA45" w14:textId="77777777" w:rsidR="002277D6" w:rsidRPr="00CC7D34" w:rsidRDefault="002277D6" w:rsidP="002277D6">
      <w:pPr>
        <w:pStyle w:val="Odlomakpopisa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CC7D3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godišnje financijsko izvješće podneseno Financijskoj agenciji za godinu koja prethodi godini podnošenja zahtjeva</w:t>
      </w:r>
    </w:p>
    <w:p w14:paraId="4DDD4BD4" w14:textId="77777777" w:rsidR="002277D6" w:rsidRPr="00CC7D34" w:rsidRDefault="002277D6" w:rsidP="002277D6">
      <w:pPr>
        <w:pStyle w:val="Odlomakpopisa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CC7D3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javnobilježnički ovjerena izjava o ukupnim troškovima za električnu energiju poduzetnika (po svim obračunskim mjernim mjestima koja se vode na tog poduzetnika) za isto razdoblje kao i godišnje financijsko izvješće</w:t>
      </w:r>
    </w:p>
    <w:p w14:paraId="3DB2D7C9" w14:textId="2B690235" w:rsidR="002277D6" w:rsidRPr="00CC7D34" w:rsidRDefault="002277D6" w:rsidP="00E51004">
      <w:pPr>
        <w:pStyle w:val="Odlomakpopisa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CC7D3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izjava opskrbljivača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elektične enegije </w:t>
      </w:r>
      <w:r w:rsidRPr="00CC7D3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 ukupnoj potrošnji električne energije i ukupnim plaćenim troškovima električne energije poduzetnika za sva njegova obračunska mjerna mjesto za prethodnu kalendarsku godinu</w:t>
      </w:r>
    </w:p>
    <w:p w14:paraId="110D16B6" w14:textId="77777777" w:rsidR="002277D6" w:rsidRDefault="002277D6" w:rsidP="002277D6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FF212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izjava operatora sustava o plaćenim troškovima naknade za korištenje mreže za sva obračunska mjesta poduzetnika za prethodnu kalendarsku godinu</w:t>
      </w:r>
    </w:p>
    <w:p w14:paraId="3E2CEBAE" w14:textId="77777777" w:rsidR="002277D6" w:rsidRDefault="002277D6" w:rsidP="002277D6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CC7D3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jedinstveni registarski broj poduzetnika iz evidencije poduzetnika prihvaćenih za  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 </w:t>
      </w:r>
      <w:r w:rsidRPr="00CC7D3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umanjenje visine naknade za OIEiK.</w:t>
      </w:r>
    </w:p>
    <w:p w14:paraId="626E7675" w14:textId="7760D9D6" w:rsidR="00525F9B" w:rsidRPr="009D6ABA" w:rsidRDefault="00745CB8" w:rsidP="002277D6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(4) </w:t>
      </w:r>
      <w:r w:rsidR="00525F9B"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Zahtjev iz stavka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2.</w:t>
      </w:r>
      <w:r w:rsidR="00525F9B"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ovoga članka poduzetnik može podnijeti do 1. prosinca tekuće godine.</w:t>
      </w:r>
    </w:p>
    <w:p w14:paraId="5C9007B4" w14:textId="3B8AA678" w:rsidR="00525F9B" w:rsidRPr="00F82097" w:rsidRDefault="00525F9B" w:rsidP="00B07FE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2B688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5</w:t>
      </w: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) O zahtjevu iz stavka</w:t>
      </w:r>
      <w:r w:rsidR="002B688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2.</w:t>
      </w: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ovoga članka operator tržišta energije odlučuje rješenjem </w:t>
      </w:r>
      <w:r w:rsidR="00431BE4" w:rsidRPr="00F8209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sukladno članku 50. stavku 5. Zakona. </w:t>
      </w:r>
    </w:p>
    <w:p w14:paraId="07F56695" w14:textId="7BA495AC" w:rsidR="000F2E82" w:rsidRDefault="00525F9B" w:rsidP="00B07FE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2B688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6</w:t>
      </w: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) Rješenje iz stavka</w:t>
      </w:r>
      <w:r w:rsidR="002B688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5.</w:t>
      </w: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ovoga članka donosi se na rok od godine dana od dana izvršnosti </w:t>
      </w:r>
      <w:r w:rsidR="00431BE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</w:t>
      </w:r>
      <w:r w:rsidRPr="009D6AB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ješenja.</w:t>
      </w:r>
    </w:p>
    <w:p w14:paraId="2FDCED3E" w14:textId="77777777" w:rsidR="000F2E82" w:rsidRDefault="000F2E82" w:rsidP="00B07FE9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49861ECB" w14:textId="4009574F" w:rsidR="000F2E82" w:rsidRPr="00170CBF" w:rsidRDefault="000F2E82" w:rsidP="000F2E82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170CBF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14.</w:t>
      </w:r>
    </w:p>
    <w:p w14:paraId="39581F39" w14:textId="77777777" w:rsidR="000F2E82" w:rsidRPr="002641A9" w:rsidRDefault="000F2E82" w:rsidP="000F2E82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04B2A082" w14:textId="1BADB1FF" w:rsidR="000F2E82" w:rsidRPr="002641A9" w:rsidRDefault="000F2E82" w:rsidP="000F2E8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2641A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(1) Ako je poduzetnik ostvario pravo na umanjenje naknade za OIEiK temeljem rješenja iz članka 13. stavka</w:t>
      </w:r>
      <w:r w:rsidR="00A72F1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5.</w:t>
      </w:r>
      <w:r w:rsidRPr="002641A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ove Uredbe, radi daljneg ostvarivanja takvog prava, dužan je podnijeti zahtjev najkasnije 60 dana prije isteka važ</w:t>
      </w:r>
      <w:r w:rsidR="00A72F1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Pr="002641A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nja </w:t>
      </w:r>
      <w:r w:rsidR="00A72F1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</w:t>
      </w:r>
      <w:r w:rsidRPr="002641A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ješenja. </w:t>
      </w:r>
    </w:p>
    <w:p w14:paraId="53C443B0" w14:textId="606660D5" w:rsidR="000F2E82" w:rsidRDefault="000F2E82" w:rsidP="000F2E8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2641A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(2) Uz zahtjev iz stavka 1. ovoga članka, prilažu se dokazi iz članka 13. stavka</w:t>
      </w:r>
      <w:r w:rsidR="00A72F1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3.</w:t>
      </w:r>
      <w:r w:rsidRPr="002641A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ove Uredbe.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</w:p>
    <w:p w14:paraId="33877645" w14:textId="6ED10B02" w:rsidR="000F2E82" w:rsidRDefault="000F2E82" w:rsidP="000F2E8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5B4D65E4" w14:textId="77777777" w:rsidR="000F2E82" w:rsidRPr="00170CBF" w:rsidRDefault="000F2E82" w:rsidP="000F2E82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170CBF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15.</w:t>
      </w:r>
    </w:p>
    <w:p w14:paraId="434AB2E5" w14:textId="77777777" w:rsidR="000F2E82" w:rsidRPr="00A44CA8" w:rsidRDefault="000F2E82" w:rsidP="000F2E82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23BDD794" w14:textId="77777777" w:rsidR="000F2E82" w:rsidRPr="00A44CA8" w:rsidRDefault="000F2E82" w:rsidP="002B4FF0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A44CA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Uvjeti za ostvarivanje prava na plaćanje umanjenje naknade za OIEiK iz članka 13. stavka 1. ove Uredbe, su da:</w:t>
      </w:r>
    </w:p>
    <w:p w14:paraId="4504212E" w14:textId="77777777" w:rsidR="000F2E82" w:rsidRPr="00A44CA8" w:rsidRDefault="000F2E82" w:rsidP="000F2E82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A44CA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prosječna godišnja količina potrošene električne energije poduzetnika, koji može ostvariti pravo na umanjenje visine naknade za OIEiK, ne može biti manja od 500 MWh/god u svakoj godini promatranog razdoblja</w:t>
      </w:r>
    </w:p>
    <w:p w14:paraId="4A79C870" w14:textId="77777777" w:rsidR="000F2E82" w:rsidRPr="00A44CA8" w:rsidRDefault="000F2E82" w:rsidP="000F2E82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A44CA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se poduzetnik ne smatra poduzetnikom u teškoćama sukladno važećim propisima o državnim potporama, odnosno da nad poduzetnikom nije otvoren ili proveden stečajni postupak ili postupak likvidacije</w:t>
      </w:r>
    </w:p>
    <w:p w14:paraId="3D0B4BA7" w14:textId="75620CC6" w:rsidR="000F2E82" w:rsidRDefault="000F2E82" w:rsidP="000F2E82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A44CA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poduzetnik nema duga ili nepodmirenog duga temeljem odluke Europske komisije o nezakonitosti ili nespojivosti potpore s unutarnjim tržištem.</w:t>
      </w:r>
    </w:p>
    <w:p w14:paraId="4D90F03B" w14:textId="0867024C" w:rsidR="000F2E82" w:rsidRDefault="000F2E82" w:rsidP="000F2E82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2CFDBB9" w14:textId="77777777" w:rsidR="000F2E82" w:rsidRPr="000F2E82" w:rsidRDefault="000F2E82" w:rsidP="000F2E82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44BD0F8A" w14:textId="77777777" w:rsidR="000F2E82" w:rsidRPr="002B4FF0" w:rsidRDefault="000F2E82" w:rsidP="000F2E82">
      <w:pPr>
        <w:spacing w:before="204" w:after="72" w:line="240" w:lineRule="auto"/>
        <w:ind w:firstLine="49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2B4FF0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VI.  NAČIN PRIMJENE PRAVILA ZA UMANJENJE I POVRAT PLAĆENE NAKNADE ZA OIEiK </w:t>
      </w:r>
    </w:p>
    <w:p w14:paraId="2409FA73" w14:textId="77777777" w:rsidR="000F2E82" w:rsidRPr="00170CBF" w:rsidRDefault="000F2E82" w:rsidP="000F2E82">
      <w:pPr>
        <w:spacing w:before="204" w:after="72" w:line="240" w:lineRule="auto"/>
        <w:ind w:firstLine="49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170CBF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16.</w:t>
      </w:r>
    </w:p>
    <w:p w14:paraId="2DD9D509" w14:textId="3C6B5F98" w:rsidR="000F2E82" w:rsidRPr="0057383F" w:rsidRDefault="000F2E82" w:rsidP="000F2E82">
      <w:pPr>
        <w:spacing w:after="72" w:line="240" w:lineRule="auto"/>
        <w:ind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(1) Poduzetnici koji su ostvarili pravo za umanjenje visine naknade za OIEiK u 2021. godini temeljem rješenja iz članka 4. Uredbe o kriterijima za plaćanje umanjene naknade za obnovljive izvore za energije i visokoučinkovitu kogeneraciju („</w:t>
      </w:r>
      <w:r w:rsidR="002B4FF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Narodne novine“, broj 58/2020</w:t>
      </w:r>
      <w:r w:rsidR="002B4FF0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) i</w:t>
      </w:r>
      <w:r w:rsidR="002B4FF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CC5AF7"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ako su nakon isteka roka važenja</w:t>
      </w:r>
      <w:r w:rsidR="002B4FF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navedenog rješenja </w:t>
      </w:r>
      <w:r w:rsidR="00CC5AF7"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plaćali puni iznos naknade za OIEiK, </w:t>
      </w: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mogu ostvariti pravo na potporu sukladno uvjetima iz </w:t>
      </w:r>
      <w:r w:rsidR="005A429A"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stavka 2. </w:t>
      </w: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ovog</w:t>
      </w:r>
      <w:r w:rsidR="0057383F"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članka. </w:t>
      </w:r>
    </w:p>
    <w:p w14:paraId="18CE8A25" w14:textId="020D4515" w:rsidR="000F2E82" w:rsidRPr="0057383F" w:rsidRDefault="000F2E82" w:rsidP="000163B2">
      <w:pPr>
        <w:spacing w:after="72" w:line="240" w:lineRule="auto"/>
        <w:ind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(2) Uvjeti za ostvarivanje prava iz stavka 1. ovog</w:t>
      </w:r>
      <w:r w:rsidR="000163B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članka su da je poduzetnik:</w:t>
      </w:r>
    </w:p>
    <w:p w14:paraId="4696790B" w14:textId="7E3F0BC7" w:rsidR="000F2E82" w:rsidRPr="0057383F" w:rsidRDefault="000F2E82" w:rsidP="000163B2">
      <w:pPr>
        <w:spacing w:after="72" w:line="240" w:lineRule="auto"/>
        <w:ind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- podnio operatoru tržišta energije zahtjev za umanjenje naknade za OIEiK u cilju daljnjeg ostvarivanja prava na plaćanje umanjene visine naknade za OIEiK u 2022.</w:t>
      </w:r>
      <w:r w:rsidR="002B4FF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godini,</w:t>
      </w:r>
    </w:p>
    <w:p w14:paraId="198F6EE2" w14:textId="3419EB3A" w:rsidR="0057383F" w:rsidRPr="0057383F" w:rsidRDefault="002B4FF0" w:rsidP="000163B2">
      <w:pPr>
        <w:spacing w:after="72" w:line="240" w:lineRule="auto"/>
        <w:ind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- nakon isteka roka </w:t>
      </w:r>
      <w:r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važenja r</w:t>
      </w:r>
      <w:r w:rsidR="0057383F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ješenja</w:t>
      </w:r>
      <w:r w:rsidR="0057383F"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 umanjenju naknade za OIEiK iz 2021. godine plaćao puni iznos naknade,</w:t>
      </w:r>
    </w:p>
    <w:p w14:paraId="625A552D" w14:textId="6161E5F0" w:rsidR="000F2E82" w:rsidRPr="0057383F" w:rsidRDefault="000F2E82" w:rsidP="000163B2">
      <w:pPr>
        <w:spacing w:after="72" w:line="240" w:lineRule="auto"/>
        <w:ind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- </w:t>
      </w:r>
      <w:r w:rsidR="0057383F"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ispunio uvjete u skladu s </w:t>
      </w: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člank</w:t>
      </w:r>
      <w:r w:rsidR="0057383F"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om</w:t>
      </w: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3. </w:t>
      </w:r>
      <w:r w:rsidR="00CC5AF7"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stavka</w:t>
      </w:r>
      <w:r w:rsidR="0057383F"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1</w:t>
      </w: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 ove Uredbe</w:t>
      </w:r>
      <w:r w:rsidR="002B4FF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Pr="0057383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</w:p>
    <w:p w14:paraId="3E82997B" w14:textId="7EBD11B8" w:rsidR="000F2E82" w:rsidRPr="000163B2" w:rsidRDefault="000F2E82" w:rsidP="000F2E82">
      <w:pPr>
        <w:spacing w:after="72" w:line="240" w:lineRule="auto"/>
        <w:ind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0163B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(3) O zahtjevu iz stavka </w:t>
      </w:r>
      <w:r w:rsidR="000F774D" w:rsidRPr="000163B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2</w:t>
      </w:r>
      <w:r w:rsidRPr="000163B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ovog članka odlučuje operator tržišta energije rješenjem iz </w:t>
      </w:r>
      <w:r w:rsidRPr="00FD593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članka 50</w:t>
      </w:r>
      <w:r w:rsidR="000C3FA3" w:rsidRPr="00FD593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Pr="00FD593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stavka 5. Zakona.</w:t>
      </w:r>
    </w:p>
    <w:p w14:paraId="3346E05F" w14:textId="1C0B0FA8" w:rsidR="000F2E82" w:rsidRPr="00425C4A" w:rsidRDefault="000F2E82" w:rsidP="000F2E82">
      <w:pPr>
        <w:spacing w:after="72" w:line="240" w:lineRule="auto"/>
        <w:ind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(4)</w:t>
      </w:r>
      <w:r w:rsidRPr="00425C4A" w:rsidDel="0022359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 slučaju da poduzetnik temeljem rješenja iz stavka 3</w:t>
      </w:r>
      <w:r w:rsidR="000C3FA3"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ovog</w:t>
      </w:r>
      <w:r w:rsidR="000163B2"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članka ostvari pravo na potporu</w:t>
      </w:r>
      <w:r w:rsidR="000C3FA3"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0C3FA3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 </w:t>
      </w:r>
      <w:r w:rsidR="002B4FF0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obliku </w:t>
      </w:r>
      <w:r w:rsidR="000C3FA3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povrata</w:t>
      </w:r>
      <w:r w:rsidR="002B4FF0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dijela plaćene naknade za OIEiK</w:t>
      </w:r>
      <w:r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operator tržišta energije je dužan utvrditi:</w:t>
      </w:r>
      <w:r w:rsidR="00117D05"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</w:p>
    <w:p w14:paraId="411A6A70" w14:textId="53D59D49" w:rsidR="000F2E82" w:rsidRPr="00425C4A" w:rsidRDefault="000F2E82" w:rsidP="000F2E82">
      <w:pPr>
        <w:spacing w:after="72" w:line="240" w:lineRule="auto"/>
        <w:ind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- iznos povrata dijela plaćene visine naknade za OIEiK poduzetniku koja se odnosi na razdoblje od dana isteka roka važenja </w:t>
      </w:r>
      <w:r w:rsidR="002B4FF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</w:t>
      </w:r>
      <w:r w:rsidR="000163B2"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ješenja </w:t>
      </w: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 umanjenju naknade za OIEiK iz 2021. godine do dana izvršnosti </w:t>
      </w:r>
      <w:r w:rsidR="002B4FF0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</w:t>
      </w:r>
      <w:r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</w:t>
      </w: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šenja</w:t>
      </w:r>
      <w:r w:rsidR="005C560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5C5606" w:rsidRPr="00FD593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donesenog sukladno odredbama iz ove Uredbe. </w:t>
      </w:r>
    </w:p>
    <w:p w14:paraId="2D7220EE" w14:textId="4F4E7ED0" w:rsidR="000F2E82" w:rsidRPr="00425C4A" w:rsidRDefault="000F2E82" w:rsidP="000F2E82">
      <w:pPr>
        <w:spacing w:after="72" w:line="240" w:lineRule="auto"/>
        <w:ind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- pravo na plaćanje umanjenje visine naknade za OIEiK na rok važenja koji ne može biti duži od jedne godine od dana izvršnosti Rješenja</w:t>
      </w:r>
      <w:r w:rsidR="00EE2895"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</w:p>
    <w:p w14:paraId="0E6626ED" w14:textId="352D2DBC" w:rsidR="000F2E82" w:rsidRPr="00425C4A" w:rsidRDefault="000F2E82" w:rsidP="000F2E82">
      <w:pPr>
        <w:spacing w:after="72" w:line="240" w:lineRule="auto"/>
        <w:ind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(5) U slučaju utvrđivanja povrata iz stavka 4. postavka 1. ovog članka, operator tržišta dužan je isplatiti opskrbljivaču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elektične enegije </w:t>
      </w: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poduzetnika utvrđeni iznos dijela plaćene visine naknade za OIEiK u roku od 30 dana od dana izvršnosti Rješenja. </w:t>
      </w:r>
    </w:p>
    <w:p w14:paraId="7FF00B1D" w14:textId="6B8BCBF7" w:rsidR="000F2E82" w:rsidRPr="00425C4A" w:rsidRDefault="000F2E82" w:rsidP="000F2E82">
      <w:pPr>
        <w:spacing w:after="72" w:line="240" w:lineRule="auto"/>
        <w:ind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(6) Opskrbljivač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elektične enegije </w:t>
      </w: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 dužan isplatiti poduzetniku iznos dijela plaćene naknade za OIEiK u roku od 8 dana od dana uplate iznosa iz stavka 5. ovog</w:t>
      </w:r>
      <w:r w:rsidR="00EE2895"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Pr="00425C4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članka. </w:t>
      </w:r>
    </w:p>
    <w:p w14:paraId="64A032AD" w14:textId="77777777" w:rsidR="000F2E82" w:rsidRPr="00B07FE9" w:rsidRDefault="000F2E82" w:rsidP="000F2E8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57FC6CCF" w14:textId="3FD47BC3" w:rsidR="00525F9B" w:rsidRPr="00B07FE9" w:rsidRDefault="00525F9B" w:rsidP="00BA17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537A588B" w14:textId="471AAC5C" w:rsidR="00256765" w:rsidRPr="0004235E" w:rsidRDefault="002F7F2D" w:rsidP="0004235E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V</w:t>
      </w:r>
      <w:r w:rsidR="00525F9B"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I</w:t>
      </w:r>
      <w:r w:rsidR="0057415F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I</w:t>
      </w:r>
      <w:r w:rsidRPr="0004235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. NAČIN PRIMJENE UMANJENJA NAKNADE ZA OIEiK ZA PODUZETNIKE</w:t>
      </w:r>
      <w:r w:rsidR="0057415F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IZ POPISA PRIHVATLJIVIH SEKTORA</w:t>
      </w:r>
    </w:p>
    <w:p w14:paraId="1B0CD1B0" w14:textId="77777777" w:rsidR="00AA6D21" w:rsidRDefault="00AA6D21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51CFC8C9" w14:textId="463930AA" w:rsidR="002F7F2D" w:rsidRPr="00170CBF" w:rsidRDefault="002F7F2D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170CBF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1</w:t>
      </w:r>
      <w:r w:rsidR="0057415F" w:rsidRPr="00170CBF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7</w:t>
      </w:r>
      <w:r w:rsidRPr="00170CBF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.</w:t>
      </w:r>
    </w:p>
    <w:p w14:paraId="5BE52CE0" w14:textId="77777777" w:rsidR="0004235E" w:rsidRPr="0004235E" w:rsidRDefault="0004235E" w:rsidP="002F7F2D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2B569638" w14:textId="2006EC45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(1) Poduzetnik je dužan u roku od osam dana od </w:t>
      </w:r>
      <w:r w:rsidR="003C30C7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izvršnosti </w:t>
      </w:r>
      <w:r w:rsidR="00525F9B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ješenja </w:t>
      </w:r>
      <w:r w:rsidR="00525F9B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 članka </w:t>
      </w:r>
      <w:r w:rsidR="00256765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3. stavka </w:t>
      </w:r>
      <w:r w:rsidR="0057415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="00256765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="002C4FF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, </w:t>
      </w:r>
      <w:r w:rsidR="002C4FFF" w:rsidRPr="00E826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članka 4. stavka 3.</w:t>
      </w:r>
      <w:r w:rsidR="00256765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</w:t>
      </w:r>
      <w:r w:rsidR="00F30070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li</w:t>
      </w:r>
      <w:r w:rsidR="00256765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F30070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 </w:t>
      </w:r>
      <w:r w:rsidR="00256765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članka 13. stavka 5. ove Uredbe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obavijestiti </w:t>
      </w:r>
      <w:r w:rsidR="00256765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svojeg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opskrbljivača </w:t>
      </w:r>
      <w:r w:rsid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elektične enegije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 ostvarenju prava na plaćanje umanjene naknade za OIEiK.</w:t>
      </w:r>
    </w:p>
    <w:p w14:paraId="33CDBBF6" w14:textId="041FB1F2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(2) Obavijest iz stavka 1. ovoga članka obavezno mora sadržavati jedinstveni registarski broj </w:t>
      </w:r>
      <w:r w:rsidRPr="00D85B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poduzetnika iz evidencije poduzetnika prihvaćenih za umanjenje visine naknade za OIEiK</w:t>
      </w:r>
      <w:r w:rsidR="007A104C" w:rsidRPr="00D85B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, planirani iznos potpore dodijeljene poduzetniku i </w:t>
      </w:r>
      <w:r w:rsidRPr="00D85B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presliku </w:t>
      </w:r>
      <w:r w:rsidR="00F30070" w:rsidRPr="00D85B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</w:t>
      </w:r>
      <w:r w:rsidRPr="00D85B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ješenja</w:t>
      </w:r>
      <w:r w:rsidR="00F30070" w:rsidRPr="00D85B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iz članka 3. stavka </w:t>
      </w:r>
      <w:r w:rsidR="0057415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="00F30070" w:rsidRPr="00D85B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="002C4FFF" w:rsidRPr="00D85B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članka 4. stavka 3.</w:t>
      </w:r>
      <w:r w:rsidR="00F30070" w:rsidRPr="00D85B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ili iz članka 13. stavka 5. ove Uredbe</w:t>
      </w:r>
      <w:r w:rsidR="00654295" w:rsidRPr="00D85B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76B08922" w14:textId="1B5AF8A0" w:rsidR="002F7F2D" w:rsidRPr="00265E20" w:rsidRDefault="002F7F2D" w:rsidP="002C4FFF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t xml:space="preserve">(3) Poduzetnik je dužan obavijestiti opskrbljivača električne energije o svakoj promjeni utvrđenoj od strane operatora tržišta energije tijekom važenja </w:t>
      </w:r>
      <w:r w:rsidR="00F30070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rješenja iz</w:t>
      </w:r>
      <w:r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F30070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članka 3. stavka </w:t>
      </w:r>
      <w:r w:rsidR="0057415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="00F30070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="002C4FFF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članka 4. stavka 3.</w:t>
      </w:r>
      <w:r w:rsidR="00F30070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ili iz članka 13. stavka 5. ove Uredbe,</w:t>
      </w:r>
      <w:r w:rsidR="00F30070" w:rsidRPr="00265E20" w:rsidDel="00F3007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 roku od osam dana od dana njegove </w:t>
      </w:r>
      <w:r w:rsidR="003C30C7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izvršnosti.</w:t>
      </w:r>
    </w:p>
    <w:p w14:paraId="6D89C31A" w14:textId="200A89EE" w:rsidR="002F7F2D" w:rsidRPr="00265E20" w:rsidRDefault="002F7F2D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(4) Po zaprimanju obavijesti o ishođenom </w:t>
      </w:r>
      <w:r w:rsidR="00654295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rješenju </w:t>
      </w:r>
      <w:r w:rsidR="00F30070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 članka 3. stavka </w:t>
      </w:r>
      <w:r w:rsidR="0057415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="00F30070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="002C4FFF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članka 4. stavka 3.</w:t>
      </w:r>
      <w:r w:rsidR="00F30070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ili iz članka 13. stavka 5. ove Uredbe,</w:t>
      </w:r>
      <w:r w:rsidR="00F30070" w:rsidRPr="00265E20" w:rsidDel="00F3007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opskrbljivač električne energije je dužan:</w:t>
      </w:r>
    </w:p>
    <w:p w14:paraId="590EB00F" w14:textId="629C7796" w:rsidR="002F7F2D" w:rsidRPr="00265E20" w:rsidRDefault="002F7F2D" w:rsidP="00B07FE9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obavijestiti nadležnog operatora sustava o nastaloj promjeni i danu </w:t>
      </w:r>
      <w:r w:rsidR="003C30C7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izvršnosti</w:t>
      </w:r>
      <w:r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9431B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</w:t>
      </w:r>
      <w:r w:rsidR="00F30070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ješenja </w:t>
      </w:r>
      <w:r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poduzetnika</w:t>
      </w:r>
      <w:r w:rsidR="00AE40F1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238513C8" w14:textId="711568D3" w:rsidR="002F7F2D" w:rsidRPr="00265E20" w:rsidRDefault="002F7F2D" w:rsidP="00B07FE9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obračunavati poduzetniku umanjenu naknadu od dana </w:t>
      </w:r>
      <w:r w:rsidR="003C30C7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izvršnosti </w:t>
      </w:r>
      <w:r w:rsidR="00253D9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</w:t>
      </w:r>
      <w:r w:rsidR="00654295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ješ</w:t>
      </w:r>
      <w:r w:rsidR="00F30070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enja</w:t>
      </w:r>
      <w:r w:rsidR="00670016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na način da se obračun primjenjuje od prvoga dana u mjesecu koji slijedi mjesec u kojem je </w:t>
      </w:r>
      <w:r w:rsidR="00253D9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</w:t>
      </w:r>
      <w:r w:rsidR="00F30070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ješenje </w:t>
      </w:r>
      <w:r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postalo</w:t>
      </w:r>
      <w:r w:rsidR="003C30C7"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izvršno</w:t>
      </w:r>
      <w:r w:rsidRPr="00265E2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43549B73" w14:textId="2A08D830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(5) Operator distribucijskog sustava i operator prijenosnog sustava obvezni su, zasebno po kategorijama kupaca, dostavljati operatoru tržišta energije podatke o ukupnim količinama električne energije koju su opskrbljivači električne energije u prethodnom mjesecu isporučili svojim kupcima.</w:t>
      </w:r>
    </w:p>
    <w:p w14:paraId="0EE44194" w14:textId="77777777" w:rsidR="008427EF" w:rsidRPr="00B07FE9" w:rsidRDefault="008427EF" w:rsidP="00B07FE9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02561EE" w14:textId="47E07BD1" w:rsidR="00DB755C" w:rsidRPr="00B07FE9" w:rsidRDefault="00DB755C" w:rsidP="00B07FE9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32E85755" w14:textId="4F5A3717" w:rsidR="00780D27" w:rsidRPr="008D7AB4" w:rsidRDefault="00471BE3" w:rsidP="0004235E">
      <w:pPr>
        <w:spacing w:after="48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8D7AB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VI</w:t>
      </w:r>
      <w:r w:rsidR="00780D27" w:rsidRPr="008D7AB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I</w:t>
      </w:r>
      <w:r w:rsidR="0057415F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I</w:t>
      </w:r>
      <w:r w:rsidRPr="008D7AB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. NAČI</w:t>
      </w:r>
      <w:r w:rsidR="00C02B99" w:rsidRPr="008D7AB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N</w:t>
      </w:r>
      <w:r w:rsidRPr="008D7AB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PRAĆENJA KORIŠTENJA </w:t>
      </w:r>
      <w:r w:rsidR="00C02B99" w:rsidRPr="008D7AB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I POVRAT </w:t>
      </w:r>
      <w:r w:rsidRPr="008D7AB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UMANJENE NAKNADE ZA OIEiK</w:t>
      </w:r>
    </w:p>
    <w:p w14:paraId="1C7EC430" w14:textId="77777777" w:rsidR="00AA6D21" w:rsidRDefault="00AA6D21" w:rsidP="00B07FE9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2816393D" w14:textId="3C762BE5" w:rsidR="00B4743D" w:rsidRPr="008D7AB4" w:rsidRDefault="00BE3690" w:rsidP="00B07FE9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8D7AB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1</w:t>
      </w:r>
      <w:r w:rsidR="0057415F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8</w:t>
      </w:r>
      <w:r w:rsidR="00780D27" w:rsidRPr="008D7AB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.</w:t>
      </w:r>
    </w:p>
    <w:p w14:paraId="00ADC4C6" w14:textId="77777777" w:rsidR="0004235E" w:rsidRPr="008D7AB4" w:rsidRDefault="0004235E" w:rsidP="00B07FE9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hr-HR" w:eastAsia="en-GB"/>
        </w:rPr>
      </w:pPr>
    </w:p>
    <w:p w14:paraId="4C66D7BC" w14:textId="5190C608" w:rsidR="005B5EED" w:rsidRPr="008D7AB4" w:rsidRDefault="005F7654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(1) </w:t>
      </w:r>
      <w:r w:rsidR="00CB742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Operator tržišta energije dužan je provodit</w:t>
      </w:r>
      <w:r w:rsidR="009B7EB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</w:t>
      </w:r>
      <w:r w:rsidR="00CB742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postupak </w:t>
      </w:r>
      <w:r w:rsidR="005B5EE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praćenja korištenja prava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5B5EE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umanjenja naknade za OIEiK temeljem rješenja iz članka 3. stavka </w:t>
      </w:r>
      <w:r w:rsidR="0057415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="005B5EE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i članka 4. stavka 3. </w:t>
      </w:r>
      <w:r w:rsidR="0057415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 članka 13. stavka 5. </w:t>
      </w:r>
      <w:r w:rsidR="005B5EE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ove Uredbe.</w:t>
      </w:r>
    </w:p>
    <w:p w14:paraId="10B3CF43" w14:textId="7D8EDB90" w:rsidR="001756AF" w:rsidRPr="008D7AB4" w:rsidRDefault="008804D5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(2) </w:t>
      </w:r>
      <w:r w:rsidR="00DE6F5C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Poduze</w:t>
      </w:r>
      <w:r w:rsidR="00F0174A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t</w:t>
      </w:r>
      <w:r w:rsidR="00DE6F5C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nik koji je ostvario pravo na umanjenje naknade za OIEiK </w:t>
      </w:r>
      <w:r w:rsidR="00957B1E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temeljem rješenja iz članka 3. stavka </w:t>
      </w:r>
      <w:r w:rsidR="0057415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="00957B1E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</w:t>
      </w:r>
      <w:r w:rsidR="00AC15FE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ili članka 4. stavka 3. ove Uredbe</w:t>
      </w:r>
      <w:r w:rsidR="00957B1E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, </w:t>
      </w:r>
      <w:r w:rsidR="00C54918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 roku</w:t>
      </w:r>
      <w:r w:rsidR="003073A0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E51004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od </w:t>
      </w:r>
      <w:r w:rsidR="003073A0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najranije 60 dana</w:t>
      </w:r>
      <w:r w:rsidR="00E51004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do</w:t>
      </w:r>
      <w:r w:rsidR="00C54918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naj</w:t>
      </w:r>
      <w:r w:rsidR="003073A0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kasnije </w:t>
      </w:r>
      <w:r w:rsidR="00C54918" w:rsidRPr="00170CB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30 dana</w:t>
      </w:r>
      <w:r w:rsidR="0058464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prije </w:t>
      </w:r>
      <w:r w:rsidR="00C5491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njegovog isteka</w:t>
      </w:r>
      <w:r w:rsidR="00957B1E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, </w:t>
      </w:r>
      <w:r w:rsidR="00DE6F5C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dužan je dostaviti </w:t>
      </w:r>
      <w:r w:rsidR="00C53C3C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</w:t>
      </w:r>
      <w:r w:rsidR="00DE6F5C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peratoru tržišta </w:t>
      </w:r>
      <w:r w:rsidR="00E56723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energije </w:t>
      </w:r>
      <w:r w:rsidR="00957B1E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sljedeće dokaze: </w:t>
      </w:r>
    </w:p>
    <w:p w14:paraId="70E4CB08" w14:textId="77777777" w:rsidR="00B56537" w:rsidRPr="00B56537" w:rsidRDefault="00B56537" w:rsidP="00B56537">
      <w:pPr>
        <w:numPr>
          <w:ilvl w:val="0"/>
          <w:numId w:val="15"/>
        </w:numPr>
        <w:spacing w:after="48" w:line="240" w:lineRule="auto"/>
        <w:ind w:left="0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5653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dokaz da je poduzetnik proveo minimalno mjere energetske učinkovitosti sukladno energetskom pregledu na temelju kojeg je ostvario pravo na umanjenje naknade za OIEiK s vremenom povrata do tri godine, ili</w:t>
      </w:r>
    </w:p>
    <w:p w14:paraId="144DDFE7" w14:textId="77777777" w:rsidR="00B56537" w:rsidRPr="00B56537" w:rsidRDefault="00B56537" w:rsidP="00B56537">
      <w:pPr>
        <w:numPr>
          <w:ilvl w:val="0"/>
          <w:numId w:val="15"/>
        </w:numPr>
        <w:spacing w:after="48" w:line="240" w:lineRule="auto"/>
        <w:ind w:left="0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5653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da je smanjio ugljični otisak potrošnje električne energije time da poduzetnik osigurava minimalno 60% potrebne električne energije iz OIE, ili</w:t>
      </w:r>
    </w:p>
    <w:p w14:paraId="0A936D46" w14:textId="594826A9" w:rsidR="00B56537" w:rsidRPr="00B56537" w:rsidRDefault="00B56537" w:rsidP="00B56537">
      <w:pPr>
        <w:numPr>
          <w:ilvl w:val="0"/>
          <w:numId w:val="15"/>
        </w:numPr>
        <w:spacing w:after="48" w:line="240" w:lineRule="auto"/>
        <w:ind w:left="0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5653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da je uložio minimalno 50% iznosa potpore u projekte značajnog smanjenja emisija stakleničkih plinova poduzetnika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0C97F7CB" w14:textId="0871EB55" w:rsidR="00A70F0C" w:rsidRPr="008D7AB4" w:rsidRDefault="00B56537" w:rsidP="00B5653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237B1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(3) Dokazom iz </w:t>
      </w:r>
      <w:r w:rsidR="00B7003C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stavka</w:t>
      </w:r>
      <w:r w:rsidR="00237B1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2. podstavka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1</w:t>
      </w:r>
      <w:r w:rsidR="00237B1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</w:t>
      </w:r>
      <w:r w:rsidR="00BC3C17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ovog članka</w:t>
      </w:r>
      <w:r w:rsidR="002C3E42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="00BC3C17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u slučaju ako se dokazuje provedba mjera energetske učinkovitosti</w:t>
      </w:r>
      <w:r w:rsidR="002C3E42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="00BC3C17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237B1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smatra se </w:t>
      </w:r>
      <w:r w:rsidR="00D84DBA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elaborat o uštedama energije</w:t>
      </w:r>
      <w:r w:rsidR="00C21591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D84DBA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koji je izradila osoba </w:t>
      </w:r>
      <w:r w:rsidR="00A70F0C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ovlaštena za energetske preglede </w:t>
      </w:r>
      <w:r w:rsidR="00B35171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velikih poduzeća </w:t>
      </w:r>
      <w:r w:rsidR="00EA42B7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 </w:t>
      </w:r>
      <w:r w:rsidR="008902C2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dokaz </w:t>
      </w:r>
      <w:r w:rsidR="00EA42B7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da su provedene mjere upisane u sustav za praćenje, mjerenje i verifikaciju ušteda energije</w:t>
      </w:r>
      <w:r w:rsidR="00A70F0C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545A0D3B" w14:textId="1D7267CC" w:rsidR="00B35171" w:rsidRPr="008D7AB4" w:rsidRDefault="00A70F0C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(4) </w:t>
      </w:r>
      <w:r w:rsidR="003F04BE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Dokazom </w:t>
      </w:r>
      <w:r w:rsidR="00B5653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 stavka 2. podstavka 2</w:t>
      </w:r>
      <w:r w:rsidR="003F04BE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</w:t>
      </w:r>
      <w:r w:rsidR="00BC3C17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ovog članka</w:t>
      </w:r>
      <w:r w:rsidR="002C3E42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="00BC3C17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3F04BE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slučaju ako se dokazuje da poduzetnik osigurava minimalno 60% potrebne električne energije iz OIE </w:t>
      </w:r>
      <w:r w:rsidR="00B35171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smatra se:</w:t>
      </w:r>
    </w:p>
    <w:p w14:paraId="7B1EFEEF" w14:textId="77777777" w:rsidR="00E51004" w:rsidRDefault="00B56537" w:rsidP="00E51004">
      <w:pPr>
        <w:pStyle w:val="Odlomakpopisa"/>
        <w:numPr>
          <w:ilvl w:val="0"/>
          <w:numId w:val="15"/>
        </w:num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izjava opskrbljivača</w:t>
      </w:r>
      <w:r w:rsidR="00E51004" w:rsidRPr="00E51004">
        <w:t xml:space="preserve">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elektične enegije </w:t>
      </w:r>
      <w:r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 udjelu električne energije iz OIE u ukupnoj potrošnji</w:t>
      </w:r>
    </w:p>
    <w:p w14:paraId="1D6CF673" w14:textId="05FA0861" w:rsidR="00B56537" w:rsidRPr="00E51004" w:rsidRDefault="00B56537" w:rsidP="00E51004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električne energije poduzetnika, ako se uvjet zadovoljava isključivo kupnjom električne</w:t>
      </w:r>
      <w:r w:rsid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energije iz OIE od opskrbljivača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elektične enegije</w:t>
      </w:r>
      <w:r w:rsid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i/ili, </w:t>
      </w:r>
    </w:p>
    <w:p w14:paraId="68CD989C" w14:textId="01F4D24D" w:rsidR="003F04BE" w:rsidRPr="008D7AB4" w:rsidRDefault="003F04BE" w:rsidP="00B07FE9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elaborat o uštedama energije, koji je izradila osoba ovlaštena za energetske preglede velikih poduzeća, s iskazanom vrijednos</w:t>
      </w:r>
      <w:r w:rsidR="00675090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t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 vlastite proizvodnje iz OIE i udjelu te proizvodnje u ukupnoj potrošnji električne ene</w:t>
      </w:r>
      <w:r w:rsidR="00675090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rgije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poduzetnika, ako se uvjet zadovoljava vlastitom proizvodnjom električne energije iz OIE.</w:t>
      </w:r>
    </w:p>
    <w:p w14:paraId="7814F98E" w14:textId="71CA324B" w:rsidR="009909ED" w:rsidRPr="008D7AB4" w:rsidRDefault="003F04BE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(5) </w:t>
      </w:r>
      <w:r w:rsidR="00B5653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Dokazom iz stavka 2. podstavka 3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</w:t>
      </w:r>
      <w:r w:rsidR="00BC3C17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ovog članka</w:t>
      </w:r>
      <w:r w:rsidR="002C3E42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="00BC3C17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 slučaju ako se dokazuje da je poduzetnik uložio minimalno 50% iznosa potpore u projekte značajnog smanjenja emisija stakleničkih plinova</w:t>
      </w:r>
      <w:r w:rsidR="002C3E42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smatra se</w:t>
      </w:r>
      <w:r w:rsidR="00EA1B51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izjava </w:t>
      </w:r>
      <w:r w:rsidR="009909E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akreditiranog verifikatora izvješća o emisijama stakleničkih plinova i </w:t>
      </w:r>
      <w:r w:rsidR="00705C21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verificirano </w:t>
      </w:r>
      <w:r w:rsidR="009909E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t xml:space="preserve">izvješće kojima se potvrđuje da su </w:t>
      </w:r>
      <w:r w:rsidR="00705C21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navedene </w:t>
      </w:r>
      <w:r w:rsidR="009909E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investicije u smanjenje emisija stakleničkih plinova dovele do smanjenja na razinu </w:t>
      </w:r>
      <w:r w:rsidR="00663AE7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ispod </w:t>
      </w:r>
      <w:r w:rsidR="00D86DCC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9</w:t>
      </w:r>
      <w:r w:rsidR="003B6433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0</w:t>
      </w:r>
      <w:r w:rsidR="009909E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% od odgovarajuće referentne vrijednosti koja se upotrebljava za besplatnu dodjelu emisijskih jedinica u okviru sustava </w:t>
      </w:r>
      <w:r w:rsidR="00705C21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Europske unije </w:t>
      </w:r>
      <w:r w:rsidR="009909E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za trgovanje emisijama. </w:t>
      </w:r>
    </w:p>
    <w:p w14:paraId="1B3C798F" w14:textId="6A8EBD2E" w:rsidR="00CB742D" w:rsidRPr="008D7AB4" w:rsidRDefault="008804D5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6F2EB2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6</w:t>
      </w:r>
      <w:r w:rsidR="009B7EB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) U postupku iz stavak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9B7EB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1. ovoga članka, </w:t>
      </w:r>
      <w:r w:rsidR="00F54283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</w:t>
      </w:r>
      <w:r w:rsidR="009B7EB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perator tržišta </w:t>
      </w:r>
      <w:r w:rsidR="00C21591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energije 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je ovlašten </w:t>
      </w:r>
      <w:r w:rsidR="00CB742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zatražiti od </w:t>
      </w:r>
      <w:r w:rsidR="000F0687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</w:t>
      </w:r>
      <w:r w:rsidR="00CB742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oduzetnika i/ili operatora distribucijskog i/ili prijenosnog sustava, nadležnih financijskih institucija</w:t>
      </w:r>
      <w:r w:rsidR="001A05F1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 ovlaštene osobe za energetsko cerificiranje sve potrebne </w:t>
      </w:r>
      <w:r w:rsidR="00CB742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podatke radi utvrđivanja sukladnosti korištenja prava umanjenja naknade za OIEiK </w:t>
      </w:r>
      <w:r w:rsidR="0046218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C5491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rješenjem iz </w:t>
      </w:r>
      <w:r w:rsidR="0046218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članka 3. stavka 7. i članka 4. stavka 3. ove Uredbe</w:t>
      </w:r>
      <w:r w:rsidR="00CB742D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6790E9B0" w14:textId="4229D0F1" w:rsidR="00E344C5" w:rsidRPr="008D7AB4" w:rsidRDefault="00CB742D" w:rsidP="009E0714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6F2EB2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) Ako operator tržišta energije </w:t>
      </w:r>
      <w:r w:rsidR="009B7EB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 postupku iz stavka 1. ovoga članka 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utvrdi da poduzetnik </w:t>
      </w:r>
      <w:r w:rsidR="00857427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tijekom važenja Rješen</w:t>
      </w:r>
      <w:r w:rsidR="00857427" w:rsidRPr="0046218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ja, iz bilo kojeg razloga nije pravilno ostvario svoje pravo </w:t>
      </w:r>
      <w:r w:rsidR="00E344C5" w:rsidRPr="0046218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 umanjenje naknade</w:t>
      </w:r>
      <w:r w:rsidR="00857427" w:rsidRPr="0046218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za OIEiK, </w:t>
      </w:r>
      <w:r w:rsidR="000F5F98" w:rsidRPr="0046218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</w:t>
      </w:r>
      <w:r w:rsidR="00E344C5" w:rsidRPr="0046218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perator tržišta energije o tome donosi rješenje</w:t>
      </w:r>
      <w:r w:rsidR="009E0714" w:rsidRPr="0046218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protiv</w:t>
      </w:r>
      <w:r w:rsidR="009E071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kojega </w:t>
      </w:r>
      <w:r w:rsidR="009E071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žalba nije dopuštena, ali je moguće pokrenuti upravni spor.</w:t>
      </w:r>
    </w:p>
    <w:p w14:paraId="554DD153" w14:textId="3D366DD8" w:rsidR="00021594" w:rsidRPr="008D7AB4" w:rsidRDefault="009B7EB4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F374F3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8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) </w:t>
      </w:r>
      <w:r w:rsidR="00DC1D33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 slučaju da operator tržišta energije </w:t>
      </w:r>
      <w:r w:rsidR="003473B8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 rješenju</w:t>
      </w:r>
      <w:r w:rsidR="00DC1D33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iz stavka </w:t>
      </w:r>
      <w:r w:rsidR="006F2EB2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="00E344C5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 ovoga članka utvrdi</w:t>
      </w:r>
      <w:r w:rsidR="001A05F1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3473B8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da poduzetnik </w:t>
      </w:r>
      <w:r w:rsidR="001A05F1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nije </w:t>
      </w:r>
      <w:r w:rsidR="00792555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proveo sve mjere</w:t>
      </w:r>
      <w:r w:rsidR="0046218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na način predviđen stavkom 3., 4. i 5. ovoga članka</w:t>
      </w:r>
      <w:r w:rsidR="00792555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, poduzetnik je dužan </w:t>
      </w:r>
      <w:r w:rsidR="005D067B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izvršiti povrat </w:t>
      </w:r>
      <w:r w:rsidR="00792555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iznos</w:t>
      </w:r>
      <w:r w:rsidR="00F67422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792555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957B1E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dodijeljene </w:t>
      </w:r>
      <w:r w:rsidR="00792555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potpore svom opskrbljivaču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elektične enegije </w:t>
      </w:r>
      <w:r w:rsidR="00792555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temeljem obračuna koji će biti utvrđen u rješenju iz stavka </w:t>
      </w:r>
      <w:r w:rsidR="006F2EB2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="00792555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ovoga članka. </w:t>
      </w:r>
      <w:r w:rsidR="00581480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Opskrbljivač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elektične enegije </w:t>
      </w:r>
      <w:r w:rsidR="00581480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 ovaj iznos dužan isplatiti operatoru tržišta</w:t>
      </w:r>
      <w:r w:rsidR="006935C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energije</w:t>
      </w:r>
      <w:r w:rsidR="00581480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140E0534" w14:textId="14DCE00A" w:rsidR="00EF5F4B" w:rsidRPr="008D7AB4" w:rsidRDefault="00EF5F4B" w:rsidP="009246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</w:t>
      </w:r>
      <w:r w:rsidR="009246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9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) </w:t>
      </w:r>
      <w:r w:rsidR="006935C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 slučaju da operator tržišta energije u rješenju iz stavka </w:t>
      </w:r>
      <w:r w:rsidR="004D2DB5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="006935C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ovoga članka </w:t>
      </w:r>
      <w:r w:rsidR="001772E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utvrdi </w:t>
      </w:r>
      <w:r w:rsidR="002E3EA6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da je poduzetnik svoje pravo </w:t>
      </w:r>
      <w:r w:rsidR="001772E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na </w:t>
      </w:r>
      <w:r w:rsidR="002E3EA6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umanjenje naknade za OIEiK stekao na nepravilan način ili temeljem neistinitih podataka, poduzetnik je dužan isplatiti svom opskrbljivaču </w:t>
      </w:r>
      <w:r w:rsidR="001772E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cjelokupni iznos </w:t>
      </w:r>
      <w:r w:rsidR="002F7AB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primljene </w:t>
      </w:r>
      <w:r w:rsidR="001772E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potpore koji će biti utvrđen rješenjem iz stavka </w:t>
      </w:r>
      <w:r w:rsidR="004D2DB5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="001772E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ovoga članka. 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Opskrbljivač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elektične enegije 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je </w:t>
      </w:r>
      <w:r w:rsidR="001772E4"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taj iznos </w:t>
      </w:r>
      <w:r w:rsidRPr="008D7AB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dužan isplatiti operatoru tržišta energije.</w:t>
      </w:r>
    </w:p>
    <w:p w14:paraId="182BD889" w14:textId="77777777" w:rsidR="00175BF1" w:rsidRPr="00B07FE9" w:rsidRDefault="00175BF1" w:rsidP="00B07FE9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53C3725C" w14:textId="30C1BC52" w:rsidR="00763494" w:rsidRPr="00754A74" w:rsidRDefault="00763494" w:rsidP="00B07F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754A7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1</w:t>
      </w:r>
      <w:r w:rsidR="00B7180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9</w:t>
      </w:r>
      <w:r w:rsidRPr="00754A74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.</w:t>
      </w:r>
    </w:p>
    <w:p w14:paraId="177059DA" w14:textId="77777777" w:rsidR="002855B6" w:rsidRDefault="002855B6" w:rsidP="00B07FE9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56C84C6" w14:textId="4582B50C" w:rsidR="00CC718B" w:rsidRDefault="00747ECF" w:rsidP="00F15EE4">
      <w:pPr>
        <w:spacing w:after="48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CC718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Poduzetnik koji temeljem rješenja</w:t>
      </w:r>
      <w:r w:rsidR="006359AD" w:rsidRPr="00CC718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operatora tržišta energije iz članka 18. stavka 7. ove Uredbe</w:t>
      </w:r>
      <w:r w:rsidRPr="00CC718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nije </w:t>
      </w:r>
      <w:r w:rsidR="006359AD" w:rsidRPr="00CC718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opskrbljivaču</w:t>
      </w:r>
      <w:r w:rsidR="00E51004" w:rsidRPr="00E51004">
        <w:t xml:space="preserve"> </w:t>
      </w:r>
      <w:r w:rsidR="00E51004" w:rsidRPr="00E5100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elektične enegije</w:t>
      </w:r>
      <w:r w:rsidR="006359AD" w:rsidRPr="00CC718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CC718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izvršio povrat utvrđenog iznosa potpore do dana podnoštenja </w:t>
      </w:r>
      <w:r w:rsidR="006359AD" w:rsidRPr="00CC718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zahtjev</w:t>
      </w:r>
      <w:r w:rsidRPr="00CC718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6359AD" w:rsidRPr="00CC718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iz članka 4. stavka 1. ili </w:t>
      </w:r>
      <w:r w:rsidR="00CC718B" w:rsidRPr="00CC718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članka </w:t>
      </w:r>
      <w:r w:rsidR="006359AD" w:rsidRPr="00CC718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13. stavka 5. </w:t>
      </w:r>
      <w:r w:rsidRPr="00CC718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ove Uredbe, ne može ostvariti pravo na umanjenje naknade za OIEiK prije izvršenja navedenog povrata. </w:t>
      </w:r>
    </w:p>
    <w:p w14:paraId="4268737D" w14:textId="77777777" w:rsidR="00E51004" w:rsidRDefault="00E51004" w:rsidP="00E51004">
      <w:pPr>
        <w:spacing w:after="48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1BEE54FB" w14:textId="1E426D6C" w:rsidR="00F37395" w:rsidRDefault="003220D0" w:rsidP="00CC718B">
      <w:pPr>
        <w:spacing w:after="48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IX</w:t>
      </w:r>
      <w:r w:rsidR="002F7F2D"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. EVIDENCIJA PODUZETNIKA PRIHVAĆENIH ZA UMANJENJE NAKNADE ZA OIEiK</w:t>
      </w:r>
    </w:p>
    <w:p w14:paraId="1B24C809" w14:textId="77777777" w:rsidR="00CC718B" w:rsidRDefault="00CC718B" w:rsidP="00CC718B">
      <w:pPr>
        <w:spacing w:after="48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3B3C2642" w14:textId="77777777" w:rsidR="002855B6" w:rsidRDefault="002F7F2D" w:rsidP="002855B6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Članak </w:t>
      </w:r>
      <w:r w:rsidR="003220D0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20</w:t>
      </w:r>
      <w:r w:rsidR="008427EF"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.</w:t>
      </w:r>
    </w:p>
    <w:p w14:paraId="1634E911" w14:textId="77777777" w:rsidR="002855B6" w:rsidRDefault="002855B6" w:rsidP="002855B6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924DFD5" w14:textId="0D948813" w:rsidR="002F7F2D" w:rsidRPr="00B07FE9" w:rsidRDefault="002F7F2D" w:rsidP="00F15EE4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(1) Evidenciju poduzetnika </w:t>
      </w:r>
      <w:r w:rsidR="003220D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kojima je odobrena potpora u obliku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smanjenje naknade za OIEiK vodi operator tržišta energije.</w:t>
      </w:r>
    </w:p>
    <w:p w14:paraId="36ABA394" w14:textId="4850446E" w:rsidR="002F7F2D" w:rsidRPr="00B07FE9" w:rsidRDefault="002F7F2D" w:rsidP="00B07FE9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(2) Upis u evidenciju iz stavka 1. ovoga članka obavlja operator tržišta energije po </w:t>
      </w:r>
      <w:r w:rsidR="00E826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izvršnosti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Rješenja iz članka 3. stavka </w:t>
      </w:r>
      <w:r w:rsidR="002C4FF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7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="002C4FF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, </w:t>
      </w:r>
      <w:r w:rsidR="002C4FFF" w:rsidRPr="00E826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članka 4. stavka 3.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7A104C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 članka 13. stavka 5.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ove Uredbe.</w:t>
      </w:r>
    </w:p>
    <w:p w14:paraId="3A1D9A7A" w14:textId="77777777" w:rsidR="00471BE3" w:rsidRPr="00B07FE9" w:rsidRDefault="00471BE3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1AF3D41" w14:textId="40AF607B" w:rsidR="002F7F2D" w:rsidRPr="005A2A5A" w:rsidRDefault="002F7F2D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Članak </w:t>
      </w:r>
      <w:r w:rsidR="003220D0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21</w:t>
      </w:r>
      <w:r w:rsidR="006412AE"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.</w:t>
      </w:r>
    </w:p>
    <w:p w14:paraId="785AA5D9" w14:textId="77777777" w:rsidR="005A2A5A" w:rsidRPr="00B07FE9" w:rsidRDefault="005A2A5A" w:rsidP="002F7F2D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6ACDD44E" w14:textId="64F33168" w:rsidR="002F7F2D" w:rsidRPr="00B07FE9" w:rsidRDefault="003220D0" w:rsidP="002F7F2D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(1) U evidenciji iz članka 20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 stavka 1. ove Uredbe upisuju se sljedeći podaci:</w:t>
      </w:r>
    </w:p>
    <w:p w14:paraId="7556B18A" w14:textId="5DC9F2FB" w:rsidR="002F7F2D" w:rsidRPr="00B07FE9" w:rsidRDefault="002F7F2D" w:rsidP="00B07FE9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jedinstveni registarski broj poduzetnika</w:t>
      </w:r>
    </w:p>
    <w:p w14:paraId="19E5E90E" w14:textId="277B740E" w:rsidR="002F7F2D" w:rsidRPr="00B07FE9" w:rsidRDefault="002F7F2D" w:rsidP="00B07FE9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naziv poduzetnika i odgovorne osobe</w:t>
      </w:r>
    </w:p>
    <w:p w14:paraId="242A838C" w14:textId="46201401" w:rsidR="002F7F2D" w:rsidRPr="00B07FE9" w:rsidRDefault="002F7F2D" w:rsidP="00B07FE9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glavna djelatnost (NACE sektor) u kojem djeluje poduzetnik</w:t>
      </w:r>
    </w:p>
    <w:p w14:paraId="0E0553F3" w14:textId="57AC38D0" w:rsidR="002F7F2D" w:rsidRPr="00B07FE9" w:rsidRDefault="002F7F2D" w:rsidP="00B07FE9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godišnja potrošnja električne energije poduzetnika</w:t>
      </w:r>
    </w:p>
    <w:p w14:paraId="7D724CB1" w14:textId="050C6439" w:rsidR="002F7F2D" w:rsidRPr="00B07FE9" w:rsidRDefault="002F7F2D" w:rsidP="00B07FE9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godišnji BDV</w:t>
      </w:r>
    </w:p>
    <w:p w14:paraId="24F52414" w14:textId="476D9E52" w:rsidR="002F7F2D" w:rsidRPr="00B07FE9" w:rsidRDefault="002F7F2D" w:rsidP="00B07FE9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t>godišnji električni intenzitet</w:t>
      </w:r>
    </w:p>
    <w:p w14:paraId="6B75DDD1" w14:textId="535F91CB" w:rsidR="002F7F2D" w:rsidRPr="00B07FE9" w:rsidRDefault="002F7F2D" w:rsidP="00B07FE9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godišnji troškovi električne energije</w:t>
      </w:r>
    </w:p>
    <w:p w14:paraId="23CB90DD" w14:textId="14690911" w:rsidR="002F7F2D" w:rsidRPr="00B07FE9" w:rsidRDefault="002F7F2D" w:rsidP="00B07FE9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kronološki popis opskrbljivača električne energije poduzetnika.</w:t>
      </w:r>
    </w:p>
    <w:p w14:paraId="24799BFB" w14:textId="6F39E7F2" w:rsidR="007A104C" w:rsidRPr="00B07FE9" w:rsidRDefault="007A104C" w:rsidP="00B07FE9">
      <w:pPr>
        <w:pStyle w:val="Odlomakpopisa"/>
        <w:numPr>
          <w:ilvl w:val="0"/>
          <w:numId w:val="15"/>
        </w:numPr>
        <w:spacing w:after="48" w:line="240" w:lineRule="auto"/>
        <w:ind w:left="0" w:firstLine="491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iznos </w:t>
      </w:r>
      <w:r w:rsidR="007762B2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dodijeljene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potpore </w:t>
      </w:r>
    </w:p>
    <w:p w14:paraId="53814487" w14:textId="682C1AF1" w:rsidR="002F7F2D" w:rsidRDefault="002F7F2D" w:rsidP="00B07FE9">
      <w:pPr>
        <w:pStyle w:val="Odlomakpopisa"/>
        <w:numPr>
          <w:ilvl w:val="0"/>
          <w:numId w:val="21"/>
        </w:num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Pregled podataka iz evidencije iz stavka 1. ovoga članka javno je dostupan putem interneta.</w:t>
      </w:r>
    </w:p>
    <w:p w14:paraId="7F127693" w14:textId="77777777" w:rsidR="005A2A5A" w:rsidRPr="00B07FE9" w:rsidRDefault="005A2A5A" w:rsidP="005A2A5A">
      <w:pPr>
        <w:pStyle w:val="Odlomakpopisa"/>
        <w:spacing w:after="48" w:line="240" w:lineRule="auto"/>
        <w:ind w:left="76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4EC15AA" w14:textId="5003CA56" w:rsidR="008F53E9" w:rsidRPr="00AA6D21" w:rsidRDefault="00833207" w:rsidP="00AA6D21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X</w:t>
      </w:r>
      <w:r w:rsidR="002F7F2D"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. PRIJELAZN</w:t>
      </w:r>
      <w:r w:rsidR="007415C0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E I ZAVRŠNE ODREDBE</w:t>
      </w:r>
    </w:p>
    <w:p w14:paraId="69831796" w14:textId="4A7D6DF6" w:rsidR="00575A83" w:rsidRDefault="00575A83" w:rsidP="00AA6D21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Članak 2</w:t>
      </w:r>
      <w:r w:rsidR="00DE510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2</w:t>
      </w:r>
      <w:r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.</w:t>
      </w:r>
    </w:p>
    <w:p w14:paraId="504D86C4" w14:textId="4937E877" w:rsidR="006D3D26" w:rsidRDefault="006D3D26" w:rsidP="00B07FE9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00DE0037" w14:textId="722B26D2" w:rsidR="006D3D26" w:rsidRPr="006D3D26" w:rsidRDefault="006D3D26" w:rsidP="00F15EE4">
      <w:pPr>
        <w:spacing w:after="48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6D3D2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Svi postupci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u svezi zahtjeva za umanjenje naknade za OIEiK, koji su započeti a nisu završeni do stupanja na snagu ove Uredbe, dovršit će se sukladno odredbama iz ove Uredbe.</w:t>
      </w:r>
    </w:p>
    <w:p w14:paraId="7635E0AB" w14:textId="23F21F24" w:rsidR="006D3D26" w:rsidRDefault="006D3D26" w:rsidP="006D3D26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6BF2B1DC" w14:textId="0AE02C5C" w:rsidR="006D3D26" w:rsidRPr="005A2A5A" w:rsidRDefault="00E51004" w:rsidP="006D3D26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6D3D26"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Članak </w:t>
      </w:r>
      <w:r w:rsidR="00DE510A"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2</w:t>
      </w:r>
      <w:r w:rsidR="00EC18B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3</w:t>
      </w:r>
      <w:r w:rsidR="006D3D26"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. </w:t>
      </w:r>
    </w:p>
    <w:p w14:paraId="77348231" w14:textId="3A8AB45B" w:rsidR="006D3D26" w:rsidRPr="006D3D26" w:rsidRDefault="006D3D26" w:rsidP="006D3D26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23947170" w14:textId="0F3E4966" w:rsidR="008A7F9D" w:rsidRPr="00E07056" w:rsidRDefault="00575A83" w:rsidP="00F15EE4">
      <w:pPr>
        <w:spacing w:after="48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E0705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Stupanjem na snagu ove Uredbe prestaje važiti </w:t>
      </w:r>
      <w:r w:rsidR="00275D9C" w:rsidRPr="00E0705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Uredba </w:t>
      </w:r>
      <w:r w:rsidRPr="00E0705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 kriterijima za plaćanje umanje</w:t>
      </w:r>
      <w:r w:rsidR="00275D9C" w:rsidRPr="00E0705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ne</w:t>
      </w:r>
      <w:r w:rsidRPr="00E0705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naknade za obnovljive izvore za energije i visokoučinkovitu kongereaciju </w:t>
      </w:r>
      <w:r w:rsidR="0091387E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(„Narodne novine“</w:t>
      </w:r>
      <w:r w:rsidR="00B948F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broj 57</w:t>
      </w:r>
      <w:r w:rsidRPr="00E0705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/2020).</w:t>
      </w:r>
    </w:p>
    <w:p w14:paraId="0B047D50" w14:textId="77777777" w:rsidR="00E07056" w:rsidRPr="00E07056" w:rsidRDefault="00E07056" w:rsidP="00E07056">
      <w:pPr>
        <w:spacing w:after="48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5E5FAAF7" w14:textId="1387E197" w:rsidR="00575A83" w:rsidRPr="005A2A5A" w:rsidRDefault="006412AE" w:rsidP="00B07FE9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Č</w:t>
      </w:r>
      <w:r w:rsidR="002F7F2D"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lanak</w:t>
      </w:r>
      <w:r w:rsidR="00ED5FA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</w:t>
      </w:r>
      <w:r w:rsidR="00EC18B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24</w:t>
      </w:r>
      <w:r w:rsidR="00575A83" w:rsidRPr="005A2A5A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. </w:t>
      </w:r>
    </w:p>
    <w:p w14:paraId="398C28CE" w14:textId="77777777" w:rsidR="005A2A5A" w:rsidRPr="00B07FE9" w:rsidRDefault="005A2A5A" w:rsidP="00B07FE9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0CFF4BD9" w14:textId="043BBBC6" w:rsidR="002F7F2D" w:rsidRPr="00B07FE9" w:rsidRDefault="002F7F2D" w:rsidP="00F15EE4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Ova Uredba </w:t>
      </w:r>
      <w:r w:rsidR="006D3D2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stupa na snagu osmi dan od dana objave u „</w:t>
      </w:r>
      <w:r w:rsidR="00FB036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Narodnim novinama“.</w:t>
      </w:r>
    </w:p>
    <w:p w14:paraId="5E8A0AF2" w14:textId="77777777" w:rsidR="00575A83" w:rsidRPr="00B07FE9" w:rsidRDefault="00575A83" w:rsidP="00B07FE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0B509D4F" w14:textId="1FCFD340" w:rsidR="00D446A3" w:rsidRPr="00B07FE9" w:rsidRDefault="002F7F2D" w:rsidP="002F7F2D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Klasa: </w:t>
      </w:r>
    </w:p>
    <w:p w14:paraId="2EAF9F77" w14:textId="6D8EAFB1" w:rsidR="00D446A3" w:rsidRPr="00B07FE9" w:rsidRDefault="002F7F2D" w:rsidP="002F7F2D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Urbroj: </w:t>
      </w:r>
    </w:p>
    <w:p w14:paraId="7EA0ED1E" w14:textId="700D8EAC" w:rsidR="002F7F2D" w:rsidRDefault="005A2A5A" w:rsidP="002F7F2D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Zagreb,</w:t>
      </w:r>
    </w:p>
    <w:p w14:paraId="53275A70" w14:textId="27C56191" w:rsidR="007415C0" w:rsidRDefault="007415C0" w:rsidP="002F7F2D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5A3CBA36" w14:textId="77777777" w:rsidR="007415C0" w:rsidRPr="00B07FE9" w:rsidRDefault="007415C0" w:rsidP="002F7F2D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43C07A7C" w14:textId="77777777" w:rsidR="007415C0" w:rsidRDefault="005A2A5A" w:rsidP="005A2A5A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                              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Predsjednik</w:t>
      </w:r>
    </w:p>
    <w:p w14:paraId="675CA532" w14:textId="35561DC2" w:rsidR="008A7F9D" w:rsidRPr="005A2A5A" w:rsidRDefault="002F7F2D" w:rsidP="005A2A5A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br/>
      </w:r>
      <w:r w:rsidR="005A2A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hr-HR" w:eastAsia="en-GB"/>
        </w:rPr>
        <w:t xml:space="preserve">                                 </w:t>
      </w:r>
      <w:r w:rsidRPr="004210A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hr-HR" w:eastAsia="en-GB"/>
        </w:rPr>
        <w:t>mr. sc. Andrej Plenkovi</w:t>
      </w:r>
      <w:r w:rsidRPr="004210AE">
        <w:rPr>
          <w:rFonts w:ascii="Times New Roman" w:eastAsia="Times New Roman" w:hAnsi="Times New Roman" w:cs="Times New Roman" w:hint="eastAsia"/>
          <w:b/>
          <w:sz w:val="24"/>
          <w:szCs w:val="24"/>
          <w:bdr w:val="none" w:sz="0" w:space="0" w:color="auto" w:frame="1"/>
          <w:lang w:val="hr-HR" w:eastAsia="en-GB"/>
        </w:rPr>
        <w:t>ć</w:t>
      </w:r>
    </w:p>
    <w:p w14:paraId="7A2C3CF7" w14:textId="77777777" w:rsidR="00BA1749" w:rsidRDefault="00BA1749" w:rsidP="005A2A5A">
      <w:pPr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414ADBC7" w14:textId="4A27CD2D" w:rsidR="00BA1749" w:rsidRDefault="00BA1749" w:rsidP="005A2A5A">
      <w:pPr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73F700ED" w14:textId="65EB6C2C" w:rsidR="007415C0" w:rsidRDefault="007415C0" w:rsidP="005A2A5A">
      <w:pPr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13A1B95E" w14:textId="3E50F569" w:rsidR="007415C0" w:rsidRDefault="007415C0" w:rsidP="005A2A5A">
      <w:pPr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42E381B4" w14:textId="2CF3B7F3" w:rsidR="007415C0" w:rsidRDefault="007415C0" w:rsidP="005A2A5A">
      <w:pPr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1CE4ABCA" w14:textId="0B9F14F1" w:rsidR="007415C0" w:rsidRDefault="007415C0" w:rsidP="005A2A5A">
      <w:pPr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70F309A2" w14:textId="36C592E0" w:rsidR="007415C0" w:rsidRDefault="007415C0" w:rsidP="005A2A5A">
      <w:pPr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54A05B23" w14:textId="6A43559E" w:rsidR="007415C0" w:rsidRDefault="007415C0" w:rsidP="005A2A5A">
      <w:pPr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5DAB3E1B" w14:textId="5A9573CF" w:rsidR="007415C0" w:rsidRDefault="007415C0" w:rsidP="00B95D7A">
      <w:pPr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157F674E" w14:textId="0E2BCC57" w:rsidR="002F7F2D" w:rsidRPr="004210AE" w:rsidRDefault="002F7F2D" w:rsidP="005A2A5A">
      <w:pPr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4210A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lastRenderedPageBreak/>
        <w:t>PRILOG 1.</w:t>
      </w:r>
    </w:p>
    <w:p w14:paraId="0CB8242E" w14:textId="2F417D11" w:rsidR="00B1144A" w:rsidRDefault="00B1144A" w:rsidP="009A37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3541C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Popis prihvatljivih sektora za smanjenje naknade za OIEiK</w:t>
      </w:r>
      <w:r w:rsidR="009C61C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izloženih</w:t>
      </w:r>
      <w:r w:rsidR="009A372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znajačajnom riziku </w:t>
      </w:r>
    </w:p>
    <w:p w14:paraId="3252DFF0" w14:textId="33E4CEF3" w:rsidR="009A3720" w:rsidRPr="003541C6" w:rsidRDefault="009A3720" w:rsidP="009A37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tbl>
      <w:tblPr>
        <w:tblOverlap w:val="never"/>
        <w:tblW w:w="9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8626"/>
      </w:tblGrid>
      <w:tr w:rsidR="00B1144A" w:rsidRPr="002879E0" w14:paraId="419CE9E5" w14:textId="77777777" w:rsidTr="00BD2C20">
        <w:trPr>
          <w:trHeight w:hRule="exact" w:val="84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D69DB" w14:textId="77777777" w:rsidR="00B1144A" w:rsidRPr="003541C6" w:rsidRDefault="00B1144A" w:rsidP="00BD2C2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bookmarkStart w:id="1" w:name="bookmark1538"/>
            <w:r w:rsidRPr="00354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Oznaka NACE</w:t>
            </w:r>
            <w:bookmarkEnd w:id="1"/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BE57" w14:textId="77777777" w:rsidR="00B1144A" w:rsidRPr="003541C6" w:rsidRDefault="00B1144A" w:rsidP="00B11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Opis</w:t>
            </w:r>
          </w:p>
        </w:tc>
      </w:tr>
      <w:tr w:rsidR="00B1144A" w:rsidRPr="002879E0" w14:paraId="095EBC0C" w14:textId="77777777" w:rsidTr="00DF134C">
        <w:trPr>
          <w:trHeight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5CB4F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0510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57CBA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Rudarstvo tvrdog ugljena</w:t>
            </w:r>
          </w:p>
        </w:tc>
      </w:tr>
      <w:tr w:rsidR="00B1144A" w:rsidRPr="00DF134C" w14:paraId="1488F54F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0CEFC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0620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15CFC" w14:textId="77777777" w:rsidR="00B1144A" w:rsidRPr="003541C6" w:rsidRDefault="00B1144A" w:rsidP="00DF13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Vađenje prirodnog plina</w:t>
            </w:r>
          </w:p>
        </w:tc>
      </w:tr>
      <w:tr w:rsidR="00B1144A" w:rsidRPr="002879E0" w14:paraId="38E4CC31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8F4B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0710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127E9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Rudarstvo željeznih rudača</w:t>
            </w:r>
          </w:p>
        </w:tc>
      </w:tr>
      <w:tr w:rsidR="00B1144A" w:rsidRPr="002879E0" w14:paraId="6F8B3984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A56A2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0729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A4EBB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Rudarstvo ostalih obojenih metalnih rudača</w:t>
            </w:r>
          </w:p>
        </w:tc>
      </w:tr>
      <w:tr w:rsidR="00B1144A" w:rsidRPr="002879E0" w14:paraId="0501A29C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A7823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0811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FA1DE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Vađenje ukrasnog kamena i kamena za gradnju, vapnenca, gipsa, krede i škriljevca</w:t>
            </w:r>
          </w:p>
        </w:tc>
      </w:tr>
      <w:tr w:rsidR="00B1144A" w:rsidRPr="002879E0" w14:paraId="6E07B04D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7EFCC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0891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736A1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Rudarstvo kemijskih minerala i minerala gnojiva</w:t>
            </w:r>
          </w:p>
        </w:tc>
      </w:tr>
      <w:tr w:rsidR="00B1144A" w:rsidRPr="002879E0" w14:paraId="07FAD5DF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376CE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0893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187FC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Ekstrakcija soli</w:t>
            </w:r>
          </w:p>
        </w:tc>
      </w:tr>
      <w:tr w:rsidR="00B1144A" w:rsidRPr="002879E0" w14:paraId="6DB7DC64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B8149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0899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BACFB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Ostalo rudarstvo i vađenje, d. n.</w:t>
            </w:r>
          </w:p>
        </w:tc>
      </w:tr>
      <w:tr w:rsidR="00B1144A" w:rsidRPr="002879E0" w14:paraId="628D0D7B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EE5E8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1020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6DF9B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Prerada i očuvanje riba, rakova i mekušaca</w:t>
            </w:r>
          </w:p>
        </w:tc>
      </w:tr>
      <w:tr w:rsidR="00B1144A" w:rsidRPr="002879E0" w14:paraId="2FE1F530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B0F29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1031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16BD0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Prerada i konzerviranje krumpira</w:t>
            </w:r>
          </w:p>
        </w:tc>
      </w:tr>
      <w:tr w:rsidR="00B1144A" w:rsidRPr="002879E0" w14:paraId="37B25708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7F820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1032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69442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soka od voća i povrća</w:t>
            </w:r>
          </w:p>
        </w:tc>
      </w:tr>
      <w:tr w:rsidR="00B1144A" w:rsidRPr="002879E0" w14:paraId="522128E7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1AA71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1039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49767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Ostala prerada i konzerviranje voća i povrća</w:t>
            </w:r>
          </w:p>
        </w:tc>
      </w:tr>
      <w:tr w:rsidR="00B1144A" w:rsidRPr="002879E0" w14:paraId="1C07ED77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B01A1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1041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A63EA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ulja i masti</w:t>
            </w:r>
          </w:p>
        </w:tc>
      </w:tr>
      <w:tr w:rsidR="00B1144A" w:rsidRPr="002879E0" w14:paraId="5BD5BC44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D9F75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1062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B324F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škroba i škrobnih proizvoda</w:t>
            </w:r>
          </w:p>
        </w:tc>
      </w:tr>
      <w:tr w:rsidR="00B1144A" w:rsidRPr="002879E0" w14:paraId="1765BE61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4660E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1081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BE967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šećera</w:t>
            </w:r>
          </w:p>
        </w:tc>
      </w:tr>
      <w:tr w:rsidR="00B1144A" w:rsidRPr="002879E0" w14:paraId="2A384153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55E4A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1086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F0890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homogeniziranih prehrambenih pripravaka i dijetetske hrane</w:t>
            </w:r>
          </w:p>
        </w:tc>
      </w:tr>
      <w:tr w:rsidR="00B1144A" w:rsidRPr="002879E0" w14:paraId="6DDB49FE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ECBCB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1104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CFEE4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nedestiliranih fermentiranih pića</w:t>
            </w:r>
          </w:p>
        </w:tc>
      </w:tr>
      <w:tr w:rsidR="00B1144A" w:rsidRPr="002879E0" w14:paraId="3F1056FC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274F6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1106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DB332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slada</w:t>
            </w:r>
          </w:p>
        </w:tc>
      </w:tr>
      <w:tr w:rsidR="00B1144A" w:rsidRPr="002879E0" w14:paraId="54A55913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5E8DF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1310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39F5C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Priprema i predenje tekstilnih vlakana</w:t>
            </w:r>
          </w:p>
        </w:tc>
      </w:tr>
      <w:tr w:rsidR="00B1144A" w:rsidRPr="002879E0" w14:paraId="5E0E6F38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00C5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1320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581B9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Tkanje tekstila</w:t>
            </w:r>
          </w:p>
        </w:tc>
      </w:tr>
      <w:tr w:rsidR="00B1144A" w:rsidRPr="002879E0" w14:paraId="399B59C1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DAF74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1330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0D57F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Završna obrada tekstila</w:t>
            </w:r>
          </w:p>
        </w:tc>
      </w:tr>
      <w:tr w:rsidR="00B1144A" w:rsidRPr="002879E0" w14:paraId="077C8205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F1B41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1391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553CB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pletenih i kukičanih materijala</w:t>
            </w:r>
          </w:p>
        </w:tc>
      </w:tr>
      <w:tr w:rsidR="00DF134C" w:rsidRPr="002879E0" w14:paraId="48B70C51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A9AAA" w14:textId="48A630D2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1393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C3557" w14:textId="5E219035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sagova i prostirki</w:t>
            </w:r>
          </w:p>
        </w:tc>
      </w:tr>
      <w:tr w:rsidR="00DF134C" w:rsidRPr="002879E0" w14:paraId="594A4A48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CD0F4" w14:textId="687C640C" w:rsidR="00DF134C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1394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8EC9E" w14:textId="60138905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užeta, užadi, konopa i mreža</w:t>
            </w:r>
          </w:p>
        </w:tc>
      </w:tr>
      <w:tr w:rsidR="00DF134C" w:rsidRPr="002879E0" w14:paraId="3B1A3F13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473F4" w14:textId="78F28A6D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1395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12736" w14:textId="0BB55F3A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netkanog tekstila i proizvoda od netkanog tekstila, osim odjeće</w:t>
            </w:r>
          </w:p>
        </w:tc>
      </w:tr>
      <w:tr w:rsidR="00DF134C" w:rsidRPr="002879E0" w14:paraId="364787D9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761FC" w14:textId="71335B82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1396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6F73C" w14:textId="5A4A7599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tehničkih i industrijskih tekstila</w:t>
            </w:r>
          </w:p>
        </w:tc>
      </w:tr>
      <w:tr w:rsidR="00DF134C" w:rsidRPr="002879E0" w14:paraId="1E61F42B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93145" w14:textId="2EE0CECB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1411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40432" w14:textId="016A0BEE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kožne odjeće</w:t>
            </w:r>
          </w:p>
        </w:tc>
      </w:tr>
      <w:tr w:rsidR="00DF134C" w:rsidRPr="002879E0" w14:paraId="3B6650B3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1869D" w14:textId="5F32A8A2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1431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62640" w14:textId="357C453D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pletenih i kukičanih čarapa</w:t>
            </w:r>
          </w:p>
        </w:tc>
      </w:tr>
      <w:tr w:rsidR="00DF134C" w:rsidRPr="002879E0" w14:paraId="453EE3E0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AAC77" w14:textId="18B8D6AE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1511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7059C" w14:textId="06107D93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Štavljenje i obrada kože;obrada i bojenje krzna</w:t>
            </w:r>
          </w:p>
        </w:tc>
      </w:tr>
      <w:tr w:rsidR="00DF134C" w:rsidRPr="002879E0" w14:paraId="1DC537D5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78FC6" w14:textId="31FBAEC3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1610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38655" w14:textId="1F6C3427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Piljenje i pjeskarenje drva</w:t>
            </w:r>
          </w:p>
        </w:tc>
      </w:tr>
      <w:tr w:rsidR="00DF134C" w:rsidRPr="002879E0" w14:paraId="10CB69BB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EBF72" w14:textId="66A3D6EA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1621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23A5" w14:textId="3678C0C0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furnirskih ploča i ploča na osnovi drva</w:t>
            </w:r>
          </w:p>
        </w:tc>
      </w:tr>
      <w:tr w:rsidR="00DF134C" w:rsidRPr="002879E0" w14:paraId="7AFB010D" w14:textId="77777777" w:rsidTr="00DF134C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50086" w14:textId="0A6446B6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1622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1D591" w14:textId="43F978AD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sastavljenih parketnih podova</w:t>
            </w:r>
          </w:p>
        </w:tc>
      </w:tr>
      <w:tr w:rsidR="00DF134C" w:rsidRPr="002879E0" w14:paraId="6FB81377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A6FCC" w14:textId="03CFA92E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1629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FD9EC" w14:textId="509A0162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proizvoda od drva; proizvodnja proizvoda od pluta, slame i materijala za pletarstvo</w:t>
            </w:r>
          </w:p>
        </w:tc>
      </w:tr>
      <w:tr w:rsidR="00DF134C" w:rsidRPr="002879E0" w14:paraId="2ED93D34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E38E4" w14:textId="5F0DCA95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1711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96F8D" w14:textId="2F21960A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celuloze</w:t>
            </w:r>
          </w:p>
        </w:tc>
      </w:tr>
      <w:tr w:rsidR="00DF134C" w:rsidRPr="002879E0" w14:paraId="7CB5343A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17764" w14:textId="08F83476" w:rsidR="00DF134C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1712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E216C" w14:textId="24EF3CB2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papira i kartona</w:t>
            </w:r>
          </w:p>
        </w:tc>
      </w:tr>
      <w:tr w:rsidR="00DF134C" w:rsidRPr="002879E0" w14:paraId="08E50FA2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39EBF" w14:textId="56955EB7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1722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DEC0A" w14:textId="3B5F7A68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kućanskih i sanitarnih potrepština i toaletnih potrepština</w:t>
            </w:r>
          </w:p>
        </w:tc>
      </w:tr>
      <w:tr w:rsidR="00DF134C" w:rsidRPr="002879E0" w14:paraId="05149755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B4F53" w14:textId="01FE594C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lastRenderedPageBreak/>
              <w:t>1724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EE504" w14:textId="15B45BAE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tapeta</w:t>
            </w:r>
          </w:p>
        </w:tc>
      </w:tr>
      <w:tr w:rsidR="00DF134C" w:rsidRPr="002879E0" w14:paraId="06C11F1D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063ED" w14:textId="39D35ADA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1920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62549" w14:textId="7C512353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rafiniranih naftnih derivata</w:t>
            </w:r>
          </w:p>
        </w:tc>
      </w:tr>
      <w:tr w:rsidR="00DF134C" w:rsidRPr="002879E0" w14:paraId="6C521825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9D152" w14:textId="247526E0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2011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003E4" w14:textId="3D61145A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industrijskih plinova</w:t>
            </w:r>
          </w:p>
        </w:tc>
      </w:tr>
      <w:tr w:rsidR="00DF134C" w:rsidRPr="002879E0" w14:paraId="4C3BBAF4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12DE9" w14:textId="2A8002A0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2012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B3C0F" w14:textId="0BF181C1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bojila i pigmenta</w:t>
            </w:r>
          </w:p>
        </w:tc>
      </w:tr>
      <w:tr w:rsidR="00DF134C" w:rsidRPr="002879E0" w14:paraId="6C032CEC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BE860" w14:textId="50DF3C31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2013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E7534" w14:textId="1F14F15B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anorganskih osnovnih kemikalija</w:t>
            </w:r>
          </w:p>
        </w:tc>
      </w:tr>
      <w:tr w:rsidR="00DF134C" w:rsidRPr="002879E0" w14:paraId="37BD9570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6EE8C" w14:textId="7F1AC1F3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2014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A7094" w14:textId="408F866E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organskih osnovnih kemikalija</w:t>
            </w:r>
          </w:p>
        </w:tc>
      </w:tr>
      <w:tr w:rsidR="00DF134C" w:rsidRPr="002879E0" w14:paraId="6B60C46C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E000D" w14:textId="7A5C5E0A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2015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4F03A" w14:textId="44909ABF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gnojiva i dušikovih spojeva</w:t>
            </w:r>
          </w:p>
        </w:tc>
      </w:tr>
      <w:tr w:rsidR="00DF134C" w:rsidRPr="002879E0" w14:paraId="2691A145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9B4CF" w14:textId="3BE4A657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2016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A59BE" w14:textId="4DCE1C04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plastike u primarnim oblicima</w:t>
            </w:r>
          </w:p>
        </w:tc>
      </w:tr>
      <w:tr w:rsidR="00DF134C" w:rsidRPr="002879E0" w14:paraId="6B131E31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9A8E9" w14:textId="577A2068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2017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1CF1B" w14:textId="033A111F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sintetičke gume u primarnim oblicima</w:t>
            </w:r>
          </w:p>
        </w:tc>
      </w:tr>
      <w:tr w:rsidR="00DF134C" w:rsidRPr="002879E0" w14:paraId="611565C4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71CC3" w14:textId="0CEDF01D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2059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542F" w14:textId="1F214F32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kemijskih proizvoda, d. n.:</w:t>
            </w:r>
          </w:p>
        </w:tc>
      </w:tr>
      <w:tr w:rsidR="00DF134C" w:rsidRPr="002879E0" w14:paraId="0A7F9FD6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EF391" w14:textId="5D237C14" w:rsidR="00DF134C" w:rsidRPr="003541C6" w:rsidRDefault="00DF134C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2060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2E09C" w14:textId="355BF2F8" w:rsidR="00DF134C" w:rsidRPr="003541C6" w:rsidRDefault="00DF134C" w:rsidP="00DF1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umjetnih vlakana</w:t>
            </w:r>
          </w:p>
        </w:tc>
      </w:tr>
      <w:tr w:rsidR="00044F34" w:rsidRPr="002879E0" w14:paraId="27E5E137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6BF00" w14:textId="7193B76B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2110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A48C1" w14:textId="72D1B182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osnovnih farmaceutskih proizvoda</w:t>
            </w:r>
          </w:p>
        </w:tc>
      </w:tr>
      <w:tr w:rsidR="00044F34" w:rsidRPr="002879E0" w14:paraId="11C6DF3C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EF16F" w14:textId="156EB0AE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2211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0E5A6" w14:textId="527CB94F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guma i cijevi od gume; protektiranje i ponovna izgradnja gumenih guma</w:t>
            </w:r>
          </w:p>
        </w:tc>
      </w:tr>
      <w:tr w:rsidR="00044F34" w:rsidRPr="002879E0" w14:paraId="12985B8B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54423" w14:textId="79FC8EBA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2219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3B660" w14:textId="68FC6E5A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proizvoda od gume</w:t>
            </w:r>
          </w:p>
        </w:tc>
      </w:tr>
      <w:tr w:rsidR="00044F34" w:rsidRPr="002879E0" w14:paraId="489A8592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D3465" w14:textId="6B03194A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2221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FD5D2" w14:textId="70EE1142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plastičnih ploča, listova, cijevi i profila</w:t>
            </w:r>
          </w:p>
        </w:tc>
      </w:tr>
      <w:tr w:rsidR="00044F34" w:rsidRPr="002879E0" w14:paraId="1863CE34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86946" w14:textId="47EA5378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2222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B9298" w14:textId="0390ED60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plastičnih proizvoda za pakiranje</w:t>
            </w:r>
          </w:p>
        </w:tc>
      </w:tr>
      <w:tr w:rsidR="00044F34" w:rsidRPr="002879E0" w14:paraId="0E1EA393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AE903" w14:textId="4876000A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2229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9F526" w14:textId="71EC5DF7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plastičnih proizvoda</w:t>
            </w:r>
          </w:p>
        </w:tc>
      </w:tr>
      <w:tr w:rsidR="00044F34" w:rsidRPr="002879E0" w14:paraId="6EADF4D0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50EDE" w14:textId="2295CD12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2311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85767" w14:textId="67E8E89A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ravnog stakla</w:t>
            </w:r>
          </w:p>
        </w:tc>
      </w:tr>
      <w:tr w:rsidR="00044F34" w:rsidRPr="002879E0" w14:paraId="4DDC1991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8D0B4" w14:textId="0FCDBD60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2312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B8C24" w14:textId="62E6BC5A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Oblikovanje i obrada ravnog stakla</w:t>
            </w:r>
          </w:p>
        </w:tc>
      </w:tr>
      <w:tr w:rsidR="00044F34" w:rsidRPr="002879E0" w14:paraId="7AB2BF24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EC03F" w14:textId="365BB1BA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2313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2166A" w14:textId="76BE0AE7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šupljeg stakla</w:t>
            </w:r>
          </w:p>
        </w:tc>
      </w:tr>
      <w:tr w:rsidR="00044F34" w:rsidRPr="002879E0" w14:paraId="4931B8E5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8EFA3" w14:textId="138F00B6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2314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DF736" w14:textId="701AFF96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staklenih vlakana</w:t>
            </w:r>
          </w:p>
        </w:tc>
      </w:tr>
      <w:tr w:rsidR="00044F34" w:rsidRPr="002879E0" w14:paraId="5983EF76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9AB87" w14:textId="358656D6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2319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65D3E" w14:textId="7DBE28D4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i prerada ostalog stakla, uključujući tehničke staklene proizvode</w:t>
            </w:r>
          </w:p>
        </w:tc>
      </w:tr>
      <w:tr w:rsidR="00044F34" w:rsidRPr="002879E0" w14:paraId="34ABBB2E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4517B" w14:textId="3B38A2C3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2320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6E1A7" w14:textId="06C8DE85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vatrostalnih proizvoda</w:t>
            </w:r>
          </w:p>
        </w:tc>
      </w:tr>
      <w:tr w:rsidR="00044F34" w:rsidRPr="002879E0" w14:paraId="4BF374C6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494AD" w14:textId="55D3A80B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2331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88A03" w14:textId="33E29F37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keramičkih pločica i zastava</w:t>
            </w:r>
          </w:p>
        </w:tc>
      </w:tr>
      <w:tr w:rsidR="00044F34" w:rsidRPr="002879E0" w14:paraId="27EA68EF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CD20B" w14:textId="66C85C55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2342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2C989" w14:textId="2F8B1BF8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keramičkih sanitarnih čvora</w:t>
            </w:r>
          </w:p>
        </w:tc>
      </w:tr>
      <w:tr w:rsidR="00044F34" w:rsidRPr="002879E0" w14:paraId="56BAACD1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19D87" w14:textId="5284C044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2343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51246" w14:textId="49D0D196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keramičkih izolatora i izolacijskih dijelova</w:t>
            </w:r>
          </w:p>
        </w:tc>
      </w:tr>
      <w:tr w:rsidR="00044F34" w:rsidRPr="002879E0" w14:paraId="01B286CA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43B74" w14:textId="38E99E9E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2344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98BBB" w14:textId="7576E5D2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tehničkih keramičkih proizvoda</w:t>
            </w:r>
          </w:p>
        </w:tc>
      </w:tr>
      <w:tr w:rsidR="00044F34" w:rsidRPr="002879E0" w14:paraId="175CB331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23DF7" w14:textId="5A531905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2349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020F2" w14:textId="40F3B3D3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keramičkih proizvoda</w:t>
            </w:r>
          </w:p>
        </w:tc>
      </w:tr>
      <w:tr w:rsidR="00044F34" w:rsidRPr="002879E0" w14:paraId="54F80F14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C82E0" w14:textId="4B67614F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2351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58A50" w14:textId="580CF4E1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cementa</w:t>
            </w:r>
          </w:p>
        </w:tc>
      </w:tr>
      <w:tr w:rsidR="00044F34" w:rsidRPr="002879E0" w14:paraId="14B6D299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6632B" w14:textId="44B9E9DC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2391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73486" w14:textId="2B4D7231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abrazivnih proizvoda</w:t>
            </w:r>
          </w:p>
        </w:tc>
      </w:tr>
      <w:tr w:rsidR="00044F34" w:rsidRPr="002879E0" w14:paraId="52762A63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2C90A" w14:textId="1A45079C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2399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6764" w14:textId="6541B7DF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nemetalnih mineralnih proizvoda, d. n.</w:t>
            </w:r>
          </w:p>
        </w:tc>
      </w:tr>
      <w:tr w:rsidR="00044F34" w:rsidRPr="002879E0" w14:paraId="71A8320C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C6A41" w14:textId="5C94F9B5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2410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526A4" w14:textId="5A3C7EA0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osnovnog željeza i čelika te ferolegura</w:t>
            </w:r>
          </w:p>
        </w:tc>
      </w:tr>
      <w:tr w:rsidR="00044F34" w:rsidRPr="002879E0" w14:paraId="1157A572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52FF6" w14:textId="6A72C9EC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2420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C9E9" w14:textId="50B955D3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cijevi, šupljih profila i pripadajućih pribora, od čelika</w:t>
            </w:r>
          </w:p>
        </w:tc>
      </w:tr>
      <w:tr w:rsidR="00044F34" w:rsidRPr="002879E0" w14:paraId="4B69E459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CD6F4" w14:textId="3869F722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2431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F2ACD" w14:textId="543AB428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Hladno crtanje šipki</w:t>
            </w:r>
          </w:p>
        </w:tc>
      </w:tr>
      <w:tr w:rsidR="00044F34" w:rsidRPr="002879E0" w14:paraId="40DF6973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D0891" w14:textId="55DD30CD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2432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E67C3" w14:textId="21A60204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Hladno valjanje uske trake</w:t>
            </w:r>
          </w:p>
        </w:tc>
      </w:tr>
      <w:tr w:rsidR="00044F34" w:rsidRPr="002879E0" w14:paraId="1CCC3756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8866D" w14:textId="617391A4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2434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9E468" w14:textId="29A731A6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Hladno crtanje žice</w:t>
            </w:r>
          </w:p>
        </w:tc>
      </w:tr>
      <w:tr w:rsidR="00044F34" w:rsidRPr="002879E0" w14:paraId="70050322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E768B" w14:textId="0B561C87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2442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6B970" w14:textId="01910D30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aluminija</w:t>
            </w:r>
          </w:p>
        </w:tc>
      </w:tr>
      <w:tr w:rsidR="00044F34" w:rsidRPr="002879E0" w14:paraId="73ADB711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9EF9C" w14:textId="6A54F5EB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2443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9F4B6" w14:textId="586B2431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olova, cinka i kositra</w:t>
            </w:r>
          </w:p>
        </w:tc>
      </w:tr>
      <w:tr w:rsidR="00044F34" w:rsidRPr="002879E0" w14:paraId="506E328B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BF751" w14:textId="2E95D497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2444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BCF59" w14:textId="45097361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bakra</w:t>
            </w:r>
          </w:p>
        </w:tc>
      </w:tr>
      <w:tr w:rsidR="00044F34" w:rsidRPr="002879E0" w14:paraId="5ADB97FF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A7675" w14:textId="35630879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2445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534D" w14:textId="3348E6F2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Ostala proizvodnja obojenih metala</w:t>
            </w:r>
          </w:p>
        </w:tc>
      </w:tr>
      <w:tr w:rsidR="00044F34" w:rsidRPr="002879E0" w14:paraId="609562AD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A371A" w14:textId="5DF7616F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2446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0B1E4" w14:textId="7661D050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Prerada nuklearnog goriva</w:t>
            </w:r>
          </w:p>
        </w:tc>
      </w:tr>
      <w:tr w:rsidR="00044F34" w:rsidRPr="002879E0" w14:paraId="251656AF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C57F3" w14:textId="65084097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lastRenderedPageBreak/>
              <w:t>2451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6BEE6" w14:textId="08A2CE38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Lijevanje željeza</w:t>
            </w:r>
          </w:p>
        </w:tc>
      </w:tr>
      <w:tr w:rsidR="00044F34" w:rsidRPr="002879E0" w14:paraId="1CD82D3D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058F4" w14:textId="2C4C4A6A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2550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578B" w14:textId="05CF9968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Kovanje, prešanje, utiskivanje i oblikovanje metala; metalurgija praha</w:t>
            </w:r>
          </w:p>
        </w:tc>
      </w:tr>
      <w:tr w:rsidR="00044F34" w:rsidRPr="002879E0" w14:paraId="45FBA9A6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F2DF4" w14:textId="62A8249D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2561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2DE02" w14:textId="67918DAC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Obrada metala premaza</w:t>
            </w:r>
          </w:p>
        </w:tc>
      </w:tr>
      <w:tr w:rsidR="00044F34" w:rsidRPr="002879E0" w14:paraId="7D522A68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F3718" w14:textId="5431E53F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2571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150B6" w14:textId="19347955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pribora za jelo</w:t>
            </w:r>
          </w:p>
        </w:tc>
      </w:tr>
      <w:tr w:rsidR="00044F34" w:rsidRPr="002879E0" w14:paraId="0372BB33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0EFBF" w14:textId="63843877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2593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A3BBE" w14:textId="62771C1F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proizvoda od žice, lanaca i opruga</w:t>
            </w:r>
          </w:p>
        </w:tc>
      </w:tr>
      <w:tr w:rsidR="00044F34" w:rsidRPr="002879E0" w14:paraId="473A2961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077EF" w14:textId="1D524469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2594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5B915" w14:textId="78171F45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zatvarača i proizvoda za vijčane strojeve</w:t>
            </w:r>
          </w:p>
        </w:tc>
      </w:tr>
      <w:tr w:rsidR="00044F34" w:rsidRPr="002879E0" w14:paraId="36D78AA2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7F9F2" w14:textId="05EE29D1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2611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C911B" w14:textId="1CC6FCE9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elektroničkih sastavnih dijelova</w:t>
            </w:r>
          </w:p>
        </w:tc>
      </w:tr>
      <w:tr w:rsidR="00044F34" w:rsidRPr="002879E0" w14:paraId="69532840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6A9B3" w14:textId="363C1975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2720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8E9EE" w14:textId="3AA98129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baterija i akumulatora</w:t>
            </w:r>
          </w:p>
        </w:tc>
      </w:tr>
      <w:tr w:rsidR="00044F34" w:rsidRPr="002879E0" w14:paraId="22084E38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E5AE2" w14:textId="33AD8426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2731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15AE1" w14:textId="22B37C6D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svjetlovodnih kabela</w:t>
            </w:r>
          </w:p>
        </w:tc>
      </w:tr>
      <w:tr w:rsidR="00044F34" w:rsidRPr="002879E0" w14:paraId="4D3F0FC8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5291B" w14:textId="074D48B9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2732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6BA8A" w14:textId="3AEB8540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elektroničkih i električnih žica i kabela</w:t>
            </w:r>
          </w:p>
        </w:tc>
      </w:tr>
      <w:tr w:rsidR="00044F34" w:rsidRPr="002879E0" w14:paraId="1493B22F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45153" w14:textId="01276DB9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2790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0AC6E" w14:textId="60A911F8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ostale električne opreme</w:t>
            </w:r>
          </w:p>
        </w:tc>
      </w:tr>
      <w:tr w:rsidR="00044F34" w:rsidRPr="002879E0" w14:paraId="201387B3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33D7C" w14:textId="28499720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2815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A9D5C" w14:textId="2A3769D6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ležajeva, zupčanika, zupčanika i pogonskih elemenata</w:t>
            </w:r>
          </w:p>
        </w:tc>
      </w:tr>
      <w:tr w:rsidR="00044F34" w:rsidRPr="002879E0" w14:paraId="5454596D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E18B1" w14:textId="42F79539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3091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5FF6B" w14:textId="2F247164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motocikala</w:t>
            </w:r>
          </w:p>
        </w:tc>
      </w:tr>
      <w:tr w:rsidR="00044F34" w:rsidRPr="002879E0" w14:paraId="11F219EF" w14:textId="77777777" w:rsidTr="0010228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CF0CA" w14:textId="0FD9A930" w:rsidR="00044F34" w:rsidRPr="003541C6" w:rsidRDefault="00044F34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3099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E5BBB" w14:textId="2C3C553B" w:rsidR="00044F34" w:rsidRPr="003541C6" w:rsidRDefault="00044F34" w:rsidP="00044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prijevoznih sredstava, d. n.</w:t>
            </w:r>
          </w:p>
        </w:tc>
      </w:tr>
    </w:tbl>
    <w:p w14:paraId="4E94A340" w14:textId="0CBD0C7A" w:rsidR="00B1144A" w:rsidRPr="003541C6" w:rsidRDefault="00B1144A" w:rsidP="00B1144A">
      <w:pPr>
        <w:widowControl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C96C4ED" w14:textId="3B7F6E62" w:rsidR="00B1144A" w:rsidRPr="003541C6" w:rsidRDefault="00B1144A" w:rsidP="00B1144A">
      <w:pPr>
        <w:widowControl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5882495" w14:textId="515BF06B" w:rsidR="00B1144A" w:rsidRPr="003541C6" w:rsidRDefault="00B1144A" w:rsidP="00B1144A">
      <w:pPr>
        <w:widowControl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0B94B26" w14:textId="40A4104E" w:rsidR="00E56723" w:rsidRDefault="009C2E0B">
      <w:r>
        <w:br w:type="page"/>
      </w:r>
    </w:p>
    <w:p w14:paraId="0F84F01C" w14:textId="1D993A85" w:rsidR="009C2E0B" w:rsidRDefault="00E56723" w:rsidP="00222A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9C2E0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lastRenderedPageBreak/>
        <w:t>PRILOG 2.</w:t>
      </w:r>
    </w:p>
    <w:p w14:paraId="1DDFA8DF" w14:textId="36F1B3E7" w:rsidR="00E56723" w:rsidRDefault="009C2E0B" w:rsidP="009A37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9C2E0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Popis sektora koji nisu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n</w:t>
      </w:r>
      <w:r w:rsidR="00006EE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avedeni u popisu iz priloga 1. ove U</w:t>
      </w:r>
      <w:r w:rsidRPr="009C2E0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redbe, a</w:t>
      </w:r>
      <w:r w:rsidR="009A372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li su</w:t>
      </w:r>
      <w:r w:rsidRPr="009C2E0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prihvatljivi za umanjenje naknade za </w:t>
      </w:r>
      <w:r w:rsidR="009A372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OIEiK </w:t>
      </w:r>
    </w:p>
    <w:p w14:paraId="0E055600" w14:textId="77777777" w:rsidR="00044F34" w:rsidRPr="009C2E0B" w:rsidRDefault="00044F34" w:rsidP="009A37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tbl>
      <w:tblPr>
        <w:tblOverlap w:val="never"/>
        <w:tblW w:w="9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8626"/>
      </w:tblGrid>
      <w:tr w:rsidR="00B1144A" w:rsidRPr="002879E0" w14:paraId="492EFB05" w14:textId="77777777" w:rsidTr="00BD2C20">
        <w:trPr>
          <w:trHeight w:hRule="exact" w:val="84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EF366" w14:textId="77777777" w:rsidR="00B1144A" w:rsidRPr="003541C6" w:rsidRDefault="00B1144A" w:rsidP="00BD2C2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Oznaka NACE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C39B6" w14:textId="77777777" w:rsidR="00B1144A" w:rsidRPr="003541C6" w:rsidRDefault="00B1144A" w:rsidP="00B11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Opis</w:t>
            </w:r>
          </w:p>
        </w:tc>
      </w:tr>
      <w:tr w:rsidR="00B1144A" w:rsidRPr="002879E0" w14:paraId="561B5D48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0CB0E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1011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AA290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Prerada i konzerviranje mesa</w:t>
            </w:r>
          </w:p>
        </w:tc>
      </w:tr>
      <w:tr w:rsidR="00B1144A" w:rsidRPr="002879E0" w14:paraId="4349759E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66D5E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1012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EA3AA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Prerada i konzerviranje mesa peradi</w:t>
            </w:r>
          </w:p>
        </w:tc>
      </w:tr>
      <w:tr w:rsidR="00B1144A" w:rsidRPr="002879E0" w14:paraId="6787BFE3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20576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1042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8829E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margarina i sličnih jestivih masti</w:t>
            </w:r>
          </w:p>
        </w:tc>
      </w:tr>
      <w:tr w:rsidR="00B1144A" w:rsidRPr="002879E0" w14:paraId="50B50624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95529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1051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4DCBC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Rad mljekara i proizvodnje sira</w:t>
            </w:r>
          </w:p>
        </w:tc>
      </w:tr>
      <w:tr w:rsidR="00B1144A" w:rsidRPr="002879E0" w14:paraId="4ADEC834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97802" w14:textId="77777777" w:rsidR="00B1144A" w:rsidRPr="003541C6" w:rsidRDefault="00B1144A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1061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DB1E8" w14:textId="77777777" w:rsidR="00B1144A" w:rsidRPr="003541C6" w:rsidRDefault="00B1144A" w:rsidP="00B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mlinarskih proizvoda</w:t>
            </w:r>
          </w:p>
        </w:tc>
      </w:tr>
      <w:tr w:rsidR="00222A35" w:rsidRPr="002879E0" w14:paraId="4D51650E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2A549" w14:textId="7D5D2B7C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1072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E373" w14:textId="4A06AE65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dvopeka i keksa; proizvodnja konzerviranih kolača i kolača</w:t>
            </w:r>
          </w:p>
        </w:tc>
      </w:tr>
      <w:tr w:rsidR="00222A35" w:rsidRPr="002879E0" w14:paraId="2EA12AF6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7C480" w14:textId="77F9FB57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1073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0FE9" w14:textId="4C2C243D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makarona, rezanaca, kuskusa i sličnih proizvoda</w:t>
            </w:r>
          </w:p>
        </w:tc>
      </w:tr>
      <w:tr w:rsidR="00222A35" w:rsidRPr="002879E0" w14:paraId="7003F5BF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EAED2" w14:textId="62F7884F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1082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8249" w14:textId="4D353C81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kakaa, čokolade i slatkiša od šećera</w:t>
            </w:r>
          </w:p>
        </w:tc>
      </w:tr>
      <w:tr w:rsidR="00222A35" w:rsidRPr="002879E0" w14:paraId="4D1277DB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6E7A0" w14:textId="588CD7DC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1085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0AE7B" w14:textId="2E4201D1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gotovih jela i jela</w:t>
            </w:r>
          </w:p>
        </w:tc>
      </w:tr>
      <w:tr w:rsidR="00222A35" w:rsidRPr="002879E0" w14:paraId="020CCA3F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C3C63" w14:textId="3FB782C4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1089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57595" w14:textId="7E2075AA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prehrambenih proizvoda, d. n.</w:t>
            </w:r>
          </w:p>
        </w:tc>
      </w:tr>
      <w:tr w:rsidR="00222A35" w:rsidRPr="002879E0" w14:paraId="4B3FB5F0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10659" w14:textId="663389EF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1091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D47FD" w14:textId="623F762E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pripremljene hrane za životinje iz uzgoja</w:t>
            </w:r>
          </w:p>
        </w:tc>
      </w:tr>
      <w:tr w:rsidR="00222A35" w:rsidRPr="002879E0" w14:paraId="1266CA32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47B8F" w14:textId="0C67A70D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1092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50FAA" w14:textId="7F804AC0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pripremljene hrane za kućne ljubimce</w:t>
            </w:r>
          </w:p>
        </w:tc>
      </w:tr>
      <w:tr w:rsidR="00222A35" w:rsidRPr="002879E0" w14:paraId="625E8528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4B83C" w14:textId="5F272925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1107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A479" w14:textId="7C625391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bezalkoholnih pića; proizvodnja mineralnih voda i drugih flaširanih voda</w:t>
            </w:r>
          </w:p>
        </w:tc>
      </w:tr>
      <w:tr w:rsidR="00222A35" w:rsidRPr="002879E0" w14:paraId="0FF8A278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587E4" w14:textId="507D8B2B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1723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B1103" w14:textId="7B50C596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papira za pisanje</w:t>
            </w:r>
          </w:p>
        </w:tc>
      </w:tr>
      <w:tr w:rsidR="00222A35" w:rsidRPr="002879E0" w14:paraId="0F5F5F9C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1E298" w14:textId="58E39AF8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1729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ECDF1" w14:textId="2EBCF7E2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proizvoda od papira i kartona</w:t>
            </w:r>
          </w:p>
        </w:tc>
      </w:tr>
      <w:tr w:rsidR="00222A35" w:rsidRPr="002879E0" w14:paraId="18BBF2D6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DE68B" w14:textId="7D5FC099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2051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21F6A" w14:textId="5D6CAB03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eksploziva</w:t>
            </w:r>
          </w:p>
        </w:tc>
      </w:tr>
      <w:tr w:rsidR="00222A35" w:rsidRPr="002879E0" w14:paraId="68B07749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1E4CF" w14:textId="54DD10F9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2052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38E8D" w14:textId="3FE0F80C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ljepila</w:t>
            </w:r>
          </w:p>
        </w:tc>
      </w:tr>
      <w:tr w:rsidR="00222A35" w:rsidRPr="002879E0" w14:paraId="281FA62C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01900" w14:textId="6136B508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2332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BFDAE" w14:textId="0ACBE5F3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opeke, pločica i građevnih proizvoda, od pečene gline</w:t>
            </w:r>
          </w:p>
        </w:tc>
      </w:tr>
      <w:tr w:rsidR="00222A35" w:rsidRPr="002879E0" w14:paraId="36FA1DC3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BA9D2" w14:textId="34548188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2352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EDCD1" w14:textId="28FA0105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vapna i gipsa</w:t>
            </w:r>
          </w:p>
        </w:tc>
      </w:tr>
      <w:tr w:rsidR="00222A35" w:rsidRPr="002879E0" w14:paraId="44B56626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4CDF8" w14:textId="7E1C9A2A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2365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EA6E5" w14:textId="2A533FB6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vlaknastog cementa</w:t>
            </w:r>
          </w:p>
        </w:tc>
      </w:tr>
      <w:tr w:rsidR="00222A35" w:rsidRPr="002879E0" w14:paraId="6C5F31CF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B6EE1" w14:textId="1B06B063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2452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9834E" w14:textId="6AA985E0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Lijevanje čelika</w:t>
            </w:r>
          </w:p>
        </w:tc>
      </w:tr>
      <w:tr w:rsidR="00222A35" w:rsidRPr="002879E0" w14:paraId="3F8DC116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BE477" w14:textId="3C354DEC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2453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89235" w14:textId="63FB23E9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Lijevanje lakih metala</w:t>
            </w:r>
          </w:p>
        </w:tc>
      </w:tr>
      <w:tr w:rsidR="00222A35" w:rsidRPr="002879E0" w14:paraId="6FFBB5E7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01434" w14:textId="267E5C80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2591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EE5A" w14:textId="58AF5E75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čeličnih bubnjeva i sličnih spremnika</w:t>
            </w:r>
          </w:p>
        </w:tc>
      </w:tr>
      <w:tr w:rsidR="00222A35" w:rsidRPr="002879E0" w14:paraId="66B83CDD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7FE17" w14:textId="4503E7CA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2592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BA2FA" w14:textId="41E013BD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lagane metalne ambalaže</w:t>
            </w:r>
          </w:p>
        </w:tc>
      </w:tr>
      <w:tr w:rsidR="00222A35" w:rsidRPr="002879E0" w14:paraId="37C078E5" w14:textId="77777777" w:rsidTr="00044F34">
        <w:trPr>
          <w:trHeight w:hRule="exact" w:val="34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0C077" w14:textId="6DEAAB6D" w:rsidR="00222A35" w:rsidRPr="003541C6" w:rsidRDefault="00222A35" w:rsidP="00BD2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2932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46E19" w14:textId="5EBF6450" w:rsidR="00222A35" w:rsidRPr="003541C6" w:rsidRDefault="00222A35" w:rsidP="00222A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41C6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Proizvodnja ostalih dijelova i pribora za motorna vozila</w:t>
            </w:r>
          </w:p>
        </w:tc>
      </w:tr>
    </w:tbl>
    <w:p w14:paraId="5FB35233" w14:textId="77777777" w:rsidR="00B1144A" w:rsidRPr="003541C6" w:rsidRDefault="00B1144A" w:rsidP="00B1144A">
      <w:pPr>
        <w:widowControl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541C6">
        <w:rPr>
          <w:rFonts w:ascii="Times New Roman" w:eastAsia="Times New Roman" w:hAnsi="Times New Roman" w:cs="Times New Roman"/>
          <w:sz w:val="24"/>
          <w:szCs w:val="24"/>
          <w:lang w:val="hr-HR"/>
        </w:rPr>
        <w:br w:type="page"/>
      </w:r>
    </w:p>
    <w:p w14:paraId="005F5979" w14:textId="77777777" w:rsidR="00B1144A" w:rsidRPr="003541C6" w:rsidRDefault="00B1144A" w:rsidP="00B114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  <w:sectPr w:rsidR="00B1144A" w:rsidRPr="003541C6" w:rsidSect="00B1144A">
          <w:footnotePr>
            <w:numStart w:val="13"/>
          </w:footnotePr>
          <w:pgSz w:w="11900" w:h="16840"/>
          <w:pgMar w:top="1398" w:right="1048" w:bottom="1193" w:left="1084" w:header="970" w:footer="765" w:gutter="0"/>
          <w:cols w:space="720"/>
          <w:noEndnote/>
          <w:docGrid w:linePitch="360"/>
        </w:sectPr>
      </w:pPr>
    </w:p>
    <w:p w14:paraId="328099EB" w14:textId="7F2BE1E1" w:rsidR="002F7F2D" w:rsidRPr="004210AE" w:rsidRDefault="002F7F2D" w:rsidP="002F7F2D">
      <w:pPr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bookmarkStart w:id="2" w:name="bookmark1546"/>
      <w:bookmarkStart w:id="3" w:name="bookmark1547"/>
      <w:bookmarkStart w:id="4" w:name="bookmark1548"/>
      <w:bookmarkStart w:id="5" w:name="bookmark1549"/>
      <w:bookmarkStart w:id="6" w:name="bookmark1550"/>
      <w:bookmarkStart w:id="7" w:name="bookmark1551"/>
      <w:bookmarkStart w:id="8" w:name="bookmark1552"/>
      <w:bookmarkStart w:id="9" w:name="bookmark1553"/>
      <w:bookmarkStart w:id="10" w:name="bookmark1554"/>
      <w:bookmarkStart w:id="11" w:name="bookmark1555"/>
      <w:bookmarkStart w:id="12" w:name="bookmark1556"/>
      <w:bookmarkStart w:id="13" w:name="bookmark1557"/>
      <w:bookmarkStart w:id="14" w:name="bookmark1558"/>
      <w:bookmarkStart w:id="15" w:name="bookmark1559"/>
      <w:bookmarkStart w:id="16" w:name="bookmark1560"/>
      <w:bookmarkStart w:id="17" w:name="bookmark1561"/>
      <w:bookmarkStart w:id="18" w:name="bookmark1562"/>
      <w:bookmarkStart w:id="19" w:name="bookmark1563"/>
      <w:bookmarkStart w:id="20" w:name="bookmark1564"/>
      <w:bookmarkStart w:id="21" w:name="bookmark156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4210A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lastRenderedPageBreak/>
        <w:t xml:space="preserve">PRILOG </w:t>
      </w:r>
      <w:r w:rsidR="000A2EDD" w:rsidRPr="004210A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3</w:t>
      </w:r>
      <w:r w:rsidRPr="004210A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.</w:t>
      </w:r>
    </w:p>
    <w:p w14:paraId="7C2FFBD6" w14:textId="77777777" w:rsidR="002F7F2D" w:rsidRPr="00222A35" w:rsidRDefault="002F7F2D" w:rsidP="002F7F2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222A35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ZAHTJEV ZA UMANJENJE VISINE NAKNADE OIEiK</w:t>
      </w:r>
    </w:p>
    <w:tbl>
      <w:tblPr>
        <w:tblW w:w="91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1070"/>
        <w:gridCol w:w="492"/>
        <w:gridCol w:w="469"/>
        <w:gridCol w:w="1214"/>
      </w:tblGrid>
      <w:tr w:rsidR="002F7F2D" w:rsidRPr="002879E0" w14:paraId="42E2EC89" w14:textId="77777777" w:rsidTr="00B07FE9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D2F2F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Osnovni podaci</w:t>
            </w:r>
          </w:p>
        </w:tc>
        <w:tc>
          <w:tcPr>
            <w:tcW w:w="3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681462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2F7F2D" w:rsidRPr="002879E0" w14:paraId="4DF48AF4" w14:textId="77777777" w:rsidTr="00B07FE9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9240E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Adresa sjedi</w:t>
            </w:r>
            <w:r w:rsidRPr="004210AE">
              <w:rPr>
                <w:rFonts w:ascii="Times New Roman" w:eastAsia="Times New Roman" w:hAnsi="Times New Roman" w:cs="Times New Roman" w:hint="eastAsia"/>
                <w:sz w:val="24"/>
                <w:szCs w:val="24"/>
                <w:lang w:val="hr-HR" w:eastAsia="en-GB"/>
              </w:rPr>
              <w:t>š</w:t>
            </w: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ta poslovnog subjekta</w:t>
            </w:r>
          </w:p>
        </w:tc>
        <w:tc>
          <w:tcPr>
            <w:tcW w:w="3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8F03A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2F7F2D" w:rsidRPr="002879E0" w14:paraId="493D6861" w14:textId="77777777" w:rsidTr="00B07FE9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3A116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OIB poslovnog subjekta</w:t>
            </w:r>
          </w:p>
        </w:tc>
        <w:tc>
          <w:tcPr>
            <w:tcW w:w="3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798CB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2F7F2D" w:rsidRPr="002879E0" w14:paraId="33C33626" w14:textId="77777777" w:rsidTr="00B07FE9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A39C3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Glavna djelatnost (naziv)</w:t>
            </w:r>
          </w:p>
        </w:tc>
        <w:tc>
          <w:tcPr>
            <w:tcW w:w="3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6D696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2F7F2D" w:rsidRPr="002879E0" w14:paraId="6E222A12" w14:textId="77777777" w:rsidTr="00B07FE9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11ACE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Glavna djelatnost (razred prema NACE)</w:t>
            </w:r>
          </w:p>
        </w:tc>
        <w:tc>
          <w:tcPr>
            <w:tcW w:w="3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E4A38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2F7F2D" w:rsidRPr="002879E0" w14:paraId="1418AF07" w14:textId="77777777" w:rsidTr="00B07FE9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4EBAD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Osoba za kontakt</w:t>
            </w:r>
          </w:p>
        </w:tc>
        <w:tc>
          <w:tcPr>
            <w:tcW w:w="3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21E7E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2F7F2D" w:rsidRPr="002879E0" w14:paraId="57AE1FF6" w14:textId="77777777" w:rsidTr="00B07FE9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F5E90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e-mail:</w:t>
            </w:r>
          </w:p>
        </w:tc>
        <w:tc>
          <w:tcPr>
            <w:tcW w:w="3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B6493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2F7F2D" w:rsidRPr="002879E0" w14:paraId="479DBC3A" w14:textId="77777777" w:rsidTr="00B07FE9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D01EC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Telefon:</w:t>
            </w:r>
          </w:p>
        </w:tc>
        <w:tc>
          <w:tcPr>
            <w:tcW w:w="3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FA79A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2F7F2D" w:rsidRPr="002879E0" w14:paraId="0D05A1D6" w14:textId="77777777" w:rsidTr="00B07FE9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4ACB86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Godina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E8DFA" w14:textId="77777777" w:rsidR="002F7F2D" w:rsidRPr="004210AE" w:rsidRDefault="002F7F2D" w:rsidP="002F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N-3*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96F6F" w14:textId="77777777" w:rsidR="002F7F2D" w:rsidRPr="004210AE" w:rsidRDefault="002F7F2D" w:rsidP="002F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N-2*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4D755" w14:textId="77777777" w:rsidR="002F7F2D" w:rsidRPr="004210AE" w:rsidRDefault="002F7F2D" w:rsidP="002F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N-1*</w:t>
            </w:r>
          </w:p>
        </w:tc>
      </w:tr>
      <w:tr w:rsidR="002F7F2D" w:rsidRPr="002879E0" w14:paraId="2885342F" w14:textId="77777777" w:rsidTr="00B07FE9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E4CEF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Potro</w:t>
            </w:r>
            <w:r w:rsidRPr="004210AE">
              <w:rPr>
                <w:rFonts w:ascii="Times New Roman" w:eastAsia="Times New Roman" w:hAnsi="Times New Roman" w:cs="Times New Roman" w:hint="eastAsia"/>
                <w:sz w:val="24"/>
                <w:szCs w:val="24"/>
                <w:lang w:val="hr-HR" w:eastAsia="en-GB"/>
              </w:rPr>
              <w:t>š</w:t>
            </w: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nja elektri</w:t>
            </w:r>
            <w:r w:rsidRPr="004210AE">
              <w:rPr>
                <w:rFonts w:ascii="Times New Roman" w:eastAsia="Times New Roman" w:hAnsi="Times New Roman" w:cs="Times New Roman" w:hint="eastAsia"/>
                <w:sz w:val="24"/>
                <w:szCs w:val="24"/>
                <w:lang w:val="hr-HR" w:eastAsia="en-GB"/>
              </w:rPr>
              <w:t>č</w:t>
            </w: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ne energije (kWh)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A3D86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70935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913B0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2F7F2D" w:rsidRPr="002879E0" w14:paraId="32652201" w14:textId="77777777" w:rsidTr="00B07FE9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2FC279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Tro</w:t>
            </w:r>
            <w:r w:rsidRPr="004210AE">
              <w:rPr>
                <w:rFonts w:ascii="Times New Roman" w:eastAsia="Times New Roman" w:hAnsi="Times New Roman" w:cs="Times New Roman" w:hint="eastAsia"/>
                <w:sz w:val="24"/>
                <w:szCs w:val="24"/>
                <w:lang w:val="hr-HR" w:eastAsia="en-GB"/>
              </w:rPr>
              <w:t>š</w:t>
            </w: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ak elektri</w:t>
            </w:r>
            <w:r w:rsidRPr="004210AE">
              <w:rPr>
                <w:rFonts w:ascii="Times New Roman" w:eastAsia="Times New Roman" w:hAnsi="Times New Roman" w:cs="Times New Roman" w:hint="eastAsia"/>
                <w:sz w:val="24"/>
                <w:szCs w:val="24"/>
                <w:lang w:val="hr-HR" w:eastAsia="en-GB"/>
              </w:rPr>
              <w:t>č</w:t>
            </w: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ne energije (kn)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455CD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C7C01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4E06BC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2F7F2D" w:rsidRPr="002879E0" w14:paraId="27BEF7D0" w14:textId="77777777" w:rsidTr="00B07FE9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653AE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BDV (kn)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539D0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97C74A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53CEC" w14:textId="77777777" w:rsidR="002F7F2D" w:rsidRPr="004210AE" w:rsidRDefault="002F7F2D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AC6433" w:rsidRPr="002879E0" w14:paraId="280EF5A4" w14:textId="51130841" w:rsidTr="00AC6433">
        <w:trPr>
          <w:trHeight w:val="456"/>
        </w:trPr>
        <w:tc>
          <w:tcPr>
            <w:tcW w:w="5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BF92F" w14:textId="77777777" w:rsidR="00AC6433" w:rsidRPr="004210AE" w:rsidRDefault="00AC6433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Podatak je li poduzenik ve</w:t>
            </w:r>
            <w:r w:rsidRPr="004210AE">
              <w:rPr>
                <w:rFonts w:ascii="Times New Roman" w:eastAsia="Times New Roman" w:hAnsi="Times New Roman" w:cs="Times New Roman" w:hint="eastAsia"/>
                <w:sz w:val="24"/>
                <w:szCs w:val="24"/>
                <w:lang w:val="hr-HR" w:eastAsia="en-GB"/>
              </w:rPr>
              <w:t>ć</w:t>
            </w: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 bi korisnik potpore za u umanjenje naknade za OIEiK</w:t>
            </w:r>
          </w:p>
          <w:p w14:paraId="6435A460" w14:textId="280A6EF1" w:rsidR="00AC6433" w:rsidRPr="004210AE" w:rsidRDefault="00AC6433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FF174" w14:textId="4ADE9271" w:rsidR="00AC6433" w:rsidRPr="004210AE" w:rsidRDefault="00AC6433" w:rsidP="00B0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DA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307E67" w14:textId="432202FE" w:rsidR="00AC6433" w:rsidRPr="004210AE" w:rsidRDefault="00AC6433" w:rsidP="00B0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NE</w:t>
            </w:r>
          </w:p>
        </w:tc>
      </w:tr>
      <w:tr w:rsidR="00AC6433" w:rsidRPr="002879E0" w14:paraId="34DA0885" w14:textId="77777777" w:rsidTr="00AC6433">
        <w:trPr>
          <w:trHeight w:val="507"/>
        </w:trPr>
        <w:tc>
          <w:tcPr>
            <w:tcW w:w="5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1A28F4" w14:textId="77777777" w:rsidR="00AC6433" w:rsidRPr="004210AE" w:rsidRDefault="00AC6433" w:rsidP="00AC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 </w:t>
            </w:r>
          </w:p>
          <w:p w14:paraId="6E813EF1" w14:textId="35235C50" w:rsidR="00AC6433" w:rsidRPr="004210AE" w:rsidRDefault="00AC6433" w:rsidP="00901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Ako je odgovor DA navesti godinu</w:t>
            </w:r>
            <w:r w:rsidR="009017C9"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 kori</w:t>
            </w:r>
            <w:r w:rsidR="009017C9" w:rsidRPr="004210AE">
              <w:rPr>
                <w:rFonts w:ascii="Times New Roman" w:eastAsia="Times New Roman" w:hAnsi="Times New Roman" w:cs="Times New Roman" w:hint="eastAsia"/>
                <w:sz w:val="24"/>
                <w:szCs w:val="24"/>
                <w:lang w:val="hr-HR" w:eastAsia="en-GB"/>
              </w:rPr>
              <w:t>š</w:t>
            </w:r>
            <w:r w:rsidR="009017C9"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tenja potpora za umanjenje naknade za OIEiK</w:t>
            </w: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: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58985D" w14:textId="748E972A" w:rsidR="00AC6433" w:rsidRPr="004210AE" w:rsidRDefault="00AC6433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AC6433" w:rsidRPr="002879E0" w14:paraId="1ED71257" w14:textId="77777777" w:rsidTr="00AC6433">
        <w:trPr>
          <w:trHeight w:val="426"/>
        </w:trPr>
        <w:tc>
          <w:tcPr>
            <w:tcW w:w="5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439E4A" w14:textId="277C488F" w:rsidR="00AC6433" w:rsidRPr="004210AE" w:rsidRDefault="00AC6433" w:rsidP="00AC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Komentar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1C2C2A" w14:textId="77777777" w:rsidR="00AC6433" w:rsidRPr="004210AE" w:rsidRDefault="00AC6433" w:rsidP="002F7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</w:tbl>
    <w:p w14:paraId="60F249DA" w14:textId="3A7E5C96" w:rsidR="002F7F2D" w:rsidRPr="00B21149" w:rsidRDefault="002F7F2D" w:rsidP="002F7F2D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lang w:val="hr-HR" w:eastAsia="en-GB"/>
        </w:rPr>
      </w:pPr>
      <w:r w:rsidRPr="00B21149">
        <w:rPr>
          <w:rFonts w:ascii="Times New Roman" w:eastAsia="Times New Roman" w:hAnsi="Times New Roman" w:cs="Times New Roman"/>
          <w:lang w:val="hr-HR" w:eastAsia="en-GB"/>
        </w:rPr>
        <w:t>*</w:t>
      </w:r>
      <w:r w:rsidR="0066588E" w:rsidRPr="00B21149">
        <w:rPr>
          <w:rFonts w:ascii="Times New Roman" w:eastAsia="Times New Roman" w:hAnsi="Times New Roman" w:cs="Times New Roman"/>
          <w:i/>
          <w:lang w:val="hr-HR" w:eastAsia="en-GB"/>
        </w:rPr>
        <w:t>N je godina podnošenja zahtjeva</w:t>
      </w:r>
    </w:p>
    <w:p w14:paraId="3EACD212" w14:textId="77777777" w:rsidR="00833207" w:rsidRDefault="00833207" w:rsidP="002F7F2D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4A080FA7" w14:textId="4A4470EB" w:rsidR="002F7F2D" w:rsidRPr="0077391B" w:rsidRDefault="002F7F2D" w:rsidP="0077391B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PRILOZI:</w:t>
      </w:r>
    </w:p>
    <w:p w14:paraId="324D633E" w14:textId="77777777" w:rsidR="002F7F2D" w:rsidRPr="0077391B" w:rsidRDefault="002F7F2D" w:rsidP="0077391B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1</w:t>
      </w: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.     Potvrda trgovačkog suda nadležnog prema sjedištu poduzetnika kojom se dokazuje da nad poduzetnikom nije otvoren ili proveden stečajni postupak ili postupak likvidacije</w:t>
      </w:r>
    </w:p>
    <w:p w14:paraId="5DE518BD" w14:textId="77777777" w:rsidR="00D446A3" w:rsidRPr="0077391B" w:rsidRDefault="002F7F2D" w:rsidP="0077391B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2.     Potvrda porezne uprave o plaćanju svih dospjelih poreznih obveza i obveza za mirovinsko i zdravstveno osiguranje i druga javna davanja, ne stariju od 30 dana od dana predaje </w:t>
      </w:r>
      <w:r w:rsidR="00D446A3"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zahtjeva</w:t>
      </w:r>
    </w:p>
    <w:p w14:paraId="1D318389" w14:textId="12DE4EC1" w:rsidR="00982F93" w:rsidRPr="0077391B" w:rsidRDefault="00D446A3" w:rsidP="0077391B">
      <w:pPr>
        <w:tabs>
          <w:tab w:val="left" w:pos="567"/>
        </w:tabs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3. </w:t>
      </w:r>
      <w:r w:rsidR="00833207"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    </w:t>
      </w: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Izvadak iz sudskog ili drugog odgovarajućeg registra</w:t>
      </w:r>
      <w:r w:rsidR="00982F93"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, ne stariju od 30 dana od dana predaje zahtjeva</w:t>
      </w:r>
    </w:p>
    <w:p w14:paraId="5BAD37B8" w14:textId="27EA86F7" w:rsidR="002F7F2D" w:rsidRPr="0077391B" w:rsidRDefault="00982F93" w:rsidP="0077391B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4</w:t>
      </w:r>
      <w:r w:rsidR="002F7F2D"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.     Dokaz o glavnoj djelatnosti ishođen u Državnom zavodu za statistiku</w:t>
      </w:r>
    </w:p>
    <w:p w14:paraId="1F3F7552" w14:textId="6B488353" w:rsidR="002F7F2D" w:rsidRPr="0077391B" w:rsidRDefault="00982F93" w:rsidP="0077391B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5</w:t>
      </w:r>
      <w:r w:rsidR="002F7F2D"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.     Godišnje financijsko izvješće (račun dobiti i gubitka) za zadnje tri fiskalne godine predano nadležnoj poreznoj upravi u sklopu podnošenja godišnjeg financijskog izvještaja, odnosno ako je poduzetnik aktivan kraće od tri godine za sve godine poslovanja</w:t>
      </w:r>
    </w:p>
    <w:p w14:paraId="60849EB5" w14:textId="57E2FFF0" w:rsidR="002F7F2D" w:rsidRPr="0077391B" w:rsidRDefault="00982F93" w:rsidP="002F7F2D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6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     </w:t>
      </w:r>
      <w:r w:rsidR="002F7F2D"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Javnobilježnički ovjerena izjava poduzetnika o ukupnim primljenim državnim potporama u zadnje tri fiskalne godine</w:t>
      </w:r>
    </w:p>
    <w:p w14:paraId="5AC97060" w14:textId="3A816C89" w:rsidR="002F7F2D" w:rsidRPr="0077391B" w:rsidRDefault="00982F93" w:rsidP="0077391B">
      <w:pPr>
        <w:tabs>
          <w:tab w:val="left" w:pos="567"/>
        </w:tabs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t>7</w:t>
      </w:r>
      <w:r w:rsidR="002F7F2D"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.     Javnobilježnički ovjerena izjava poduzetnika o ukupnim plaćenim trošarinama za zadnje tri fiskalne godine, te sva mjesečna izvješća o uplaćenim trošarinama za zadnje tri fiskalne godine, ukoliko je poduzetnik trošarinski obveznik u Republici Hrvatskoj, o ukupnim troškovima za električnu energiju poduzetnika (po svim obračunskim mjernim mjestima koja se vode na tog poduzetnika) za isto razdoblje kao i godišnja financijska izvješća, u čijem prilogu se nalaze kopije svih mjesečnih računa za električnu energiju na osnovu kojih je izračunat ukupan trošak električne energije.</w:t>
      </w:r>
    </w:p>
    <w:p w14:paraId="7CE8FEEB" w14:textId="11833DBB" w:rsidR="00D446A3" w:rsidRPr="0077391B" w:rsidRDefault="00982F93" w:rsidP="0077391B">
      <w:pPr>
        <w:tabs>
          <w:tab w:val="left" w:pos="567"/>
        </w:tabs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8</w:t>
      </w:r>
      <w:r w:rsidR="00833207"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.     E</w:t>
      </w:r>
      <w:r w:rsidR="009017C9"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nergetski pregled, ne stariji</w:t>
      </w:r>
      <w:r w:rsidR="00D446A3"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 od četiri godine na dan ponošenja zahtjeva</w:t>
      </w:r>
      <w:r w:rsidR="00833207"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.</w:t>
      </w:r>
    </w:p>
    <w:tbl>
      <w:tblPr>
        <w:tblW w:w="106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9"/>
        <w:gridCol w:w="7517"/>
      </w:tblGrid>
      <w:tr w:rsidR="002F7F2D" w:rsidRPr="002879E0" w14:paraId="0FF0D452" w14:textId="77777777" w:rsidTr="002F7F2D"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4A2FAC" w14:textId="77777777" w:rsidR="00833207" w:rsidRDefault="00833207" w:rsidP="002F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  <w:p w14:paraId="1F882500" w14:textId="77777777" w:rsidR="00BA1749" w:rsidRDefault="00BA1749" w:rsidP="002F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  <w:p w14:paraId="11887ABB" w14:textId="75462862" w:rsidR="002F7F2D" w:rsidRPr="004210AE" w:rsidRDefault="002F7F2D" w:rsidP="002F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Datum:</w:t>
            </w: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80FCE" w14:textId="77777777" w:rsidR="00833207" w:rsidRDefault="00833207" w:rsidP="002F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  <w:p w14:paraId="32A3A110" w14:textId="77777777" w:rsidR="00BA1749" w:rsidRDefault="00BA1749" w:rsidP="002F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  <w:p w14:paraId="3BD90710" w14:textId="45002BF8" w:rsidR="002F7F2D" w:rsidRPr="004210AE" w:rsidRDefault="002F7F2D" w:rsidP="002F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Ime, prezime i potpis zakonskog zastupnika</w:t>
            </w:r>
          </w:p>
        </w:tc>
      </w:tr>
    </w:tbl>
    <w:p w14:paraId="47212663" w14:textId="3DF8A959" w:rsidR="00A42CAE" w:rsidRPr="004210AE" w:rsidRDefault="00222A3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14:paraId="0CBCA531" w14:textId="678FE4C2" w:rsidR="000A2EDD" w:rsidRPr="004210AE" w:rsidRDefault="000A2EDD" w:rsidP="000A2EDD">
      <w:pPr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4210AE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lastRenderedPageBreak/>
        <w:t>PRILOG 4.</w:t>
      </w:r>
    </w:p>
    <w:p w14:paraId="3C19FFA6" w14:textId="77777777" w:rsidR="000A2EDD" w:rsidRPr="00222A35" w:rsidRDefault="000A2EDD" w:rsidP="000A2ED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222A35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ZAHTJEV ZA UMANJENJE VISINE NAKNADE OIEiK</w:t>
      </w:r>
    </w:p>
    <w:tbl>
      <w:tblPr>
        <w:tblW w:w="91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245"/>
      </w:tblGrid>
      <w:tr w:rsidR="000A2EDD" w:rsidRPr="002879E0" w14:paraId="26B5BA1D" w14:textId="77777777" w:rsidTr="007A5BF0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15BA5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Osnovni podaci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5A8B3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0A2EDD" w:rsidRPr="002879E0" w14:paraId="6EDF2221" w14:textId="77777777" w:rsidTr="007A5BF0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1B145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Adresa sjedi</w:t>
            </w:r>
            <w:r w:rsidRPr="004210AE">
              <w:rPr>
                <w:rFonts w:ascii="Times New Roman" w:eastAsia="Times New Roman" w:hAnsi="Times New Roman" w:cs="Times New Roman" w:hint="eastAsia"/>
                <w:sz w:val="24"/>
                <w:szCs w:val="24"/>
                <w:lang w:val="hr-HR" w:eastAsia="en-GB"/>
              </w:rPr>
              <w:t>š</w:t>
            </w: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ta poslovnog subjekta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A6986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0A2EDD" w:rsidRPr="002879E0" w14:paraId="1D8B7C9D" w14:textId="77777777" w:rsidTr="007A5BF0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D2DC6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OIB poslovnog subjekta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1BA0E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0A2EDD" w:rsidRPr="002879E0" w14:paraId="0F157EFF" w14:textId="77777777" w:rsidTr="007A5BF0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84398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Glavna djelatnost (naziv)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5C64F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0A2EDD" w:rsidRPr="002879E0" w14:paraId="3CB33EEE" w14:textId="77777777" w:rsidTr="007A5BF0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5BC40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Glavna djelatnost (razred prema NACE)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3C542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0A2EDD" w:rsidRPr="002879E0" w14:paraId="2251A2B3" w14:textId="77777777" w:rsidTr="007A5BF0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21504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Osoba za kontakt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D0B26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0A2EDD" w:rsidRPr="002879E0" w14:paraId="5AC569E9" w14:textId="77777777" w:rsidTr="007A5BF0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DB641A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e-mail: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C0053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0A2EDD" w:rsidRPr="002879E0" w14:paraId="0D73FDD5" w14:textId="77777777" w:rsidTr="007A5BF0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7CEFED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Telefon: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D4098" w14:textId="77777777" w:rsidR="000A2EDD" w:rsidRPr="004210AE" w:rsidRDefault="000A2EDD" w:rsidP="007A5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</w:tbl>
    <w:p w14:paraId="1F32F8EE" w14:textId="4FD5ABDA" w:rsidR="000A2EDD" w:rsidRPr="004210AE" w:rsidRDefault="000A2EDD" w:rsidP="000A2EDD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01847D95" w14:textId="77777777" w:rsidR="000A2EDD" w:rsidRPr="0077391B" w:rsidRDefault="000A2EDD" w:rsidP="00B07FE9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PRILOZI:</w:t>
      </w:r>
    </w:p>
    <w:p w14:paraId="7EFE169B" w14:textId="108D0C85" w:rsidR="000A2EDD" w:rsidRPr="0077391B" w:rsidRDefault="000A2EDD" w:rsidP="00B07FE9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1. Potvrda trgovačkog suda nadležnog prema sjedištu poduzetnika kojom se dokazuje da nad poduzetnikom nije otvoren ili proveden stečajni postupak ili postupak likvidacije.</w:t>
      </w:r>
    </w:p>
    <w:p w14:paraId="74B62A6C" w14:textId="2733685F" w:rsidR="000A2EDD" w:rsidRPr="0077391B" w:rsidRDefault="000A2EDD" w:rsidP="00B07FE9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2. Potvrda porezne uprave o plaćanju svih dospjelih poreznih obveza i obveza za mirovinsko i zdravstveno osiguranje i druga javna davanja, ne starija od 30 dana od dana predaje zahtjeva.</w:t>
      </w:r>
    </w:p>
    <w:p w14:paraId="0B8663A7" w14:textId="08E77312" w:rsidR="000A2EDD" w:rsidRPr="0077391B" w:rsidRDefault="000A2EDD" w:rsidP="00833207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 xml:space="preserve">3. Izvadak iz sudskog ili drugog odgovarajućeg </w:t>
      </w:r>
      <w:r w:rsidR="00833207"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registra, ne stariji od 30 dana od dana predaje zahtjeva.</w:t>
      </w:r>
    </w:p>
    <w:p w14:paraId="3DA9BF3B" w14:textId="7662839F" w:rsidR="000A2EDD" w:rsidRPr="0077391B" w:rsidRDefault="000A2EDD" w:rsidP="00B07FE9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</w:pPr>
      <w:r w:rsidRPr="0077391B">
        <w:rPr>
          <w:rFonts w:ascii="Times New Roman" w:eastAsia="Times New Roman" w:hAnsi="Times New Roman" w:cs="Times New Roman"/>
          <w:sz w:val="20"/>
          <w:szCs w:val="20"/>
          <w:lang w:val="hr-HR" w:eastAsia="en-GB"/>
        </w:rPr>
        <w:t>4. Oznaka i datum donošenja rješenja o umanjenju naknade za OIEiK donesenog tijekom 2020. i/ili 2021. godine.</w:t>
      </w:r>
    </w:p>
    <w:p w14:paraId="370DD3CC" w14:textId="02DB94FC" w:rsidR="000A2EDD" w:rsidRPr="00B07FE9" w:rsidRDefault="000A2EDD" w:rsidP="000A2EDD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tbl>
      <w:tblPr>
        <w:tblW w:w="106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9"/>
        <w:gridCol w:w="7517"/>
      </w:tblGrid>
      <w:tr w:rsidR="000A2EDD" w:rsidRPr="002879E0" w14:paraId="40BE9964" w14:textId="77777777" w:rsidTr="007A5BF0"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6C79B" w14:textId="77777777" w:rsidR="00BA1749" w:rsidRDefault="00BA1749" w:rsidP="007A5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  <w:p w14:paraId="2882FDE5" w14:textId="66257498" w:rsidR="000A2EDD" w:rsidRPr="004210AE" w:rsidRDefault="000A2EDD" w:rsidP="007A5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Datum:</w:t>
            </w: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9C68EE" w14:textId="77777777" w:rsidR="00BA1749" w:rsidRDefault="00BA1749" w:rsidP="007A5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  <w:p w14:paraId="44530A4A" w14:textId="27545DBA" w:rsidR="000A2EDD" w:rsidRPr="004210AE" w:rsidRDefault="000A2EDD" w:rsidP="007A5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4210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Ime, prezime i potpis zakonskog zastupnika</w:t>
            </w:r>
          </w:p>
        </w:tc>
      </w:tr>
    </w:tbl>
    <w:p w14:paraId="29DF5C89" w14:textId="15409F6C" w:rsidR="000A2EDD" w:rsidRDefault="000A2ED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B30A70E" w14:textId="4485C676" w:rsidR="00D324A2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1B78CE" w14:textId="47F64BCE" w:rsidR="00D324A2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EC6F6ED" w14:textId="41FBBAD0" w:rsidR="00D324A2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13A99CC" w14:textId="702B17F3" w:rsidR="00D324A2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042B465" w14:textId="5A0F6EEA" w:rsidR="00D324A2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D1EFA40" w14:textId="48732AAA" w:rsidR="00D324A2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5388531" w14:textId="645A5C93" w:rsidR="00D324A2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99E60F2" w14:textId="4BFA132F" w:rsidR="00D324A2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3BEC1DF" w14:textId="6526463A" w:rsidR="00D324A2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861159C" w14:textId="0F86C2CA" w:rsidR="00D324A2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FEB6CF1" w14:textId="45BF1DCF" w:rsidR="00D324A2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FE77A3F" w14:textId="77777777" w:rsidR="00D324A2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D843D08" w14:textId="7E4999E0" w:rsidR="00D324A2" w:rsidRDefault="00D324A2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>OBRAZLOŽENJE</w:t>
      </w:r>
    </w:p>
    <w:p w14:paraId="68A12228" w14:textId="234B08C1" w:rsidR="00D324A2" w:rsidRDefault="00D324A2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Uredba o kriterijima za plaćanje umanjene naknade za obnovljive izvore energije i visokoučinkovitu kogeneraciju</w:t>
      </w:r>
    </w:p>
    <w:p w14:paraId="1FAEEB19" w14:textId="105DE850" w:rsidR="007F2585" w:rsidRDefault="007F2585" w:rsidP="00E75AFF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0FA0CA3" w14:textId="175C3F04" w:rsidR="00B80DB7" w:rsidRDefault="00B80DB7" w:rsidP="007F2585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Uredba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se donosi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 skladu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sa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Smjernica</w:t>
      </w:r>
      <w:r w:rsidRPr="00B07FE9" w:rsidDel="00903D40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ma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 državnim potporama za klimu, zaštitu okoliša i energiju za 2022.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(Službeni list Europske unije, C 80 od 18. veljače 2022. dalje: Smjernice) u cilju </w:t>
      </w:r>
      <w:r w:rsidRPr="006350C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smanjenja rizika za poduzetnike s visokim električnim intenzitetom i potrošnjom električne energije, da svoje aktivnosti nastave izvan granica Europske unije, zbog troškova proizašlih iz plaćanja naknade za 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obnovljive izvore energije i visokoučinkovite kogeneracije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(dalje: OIEiVUK).</w:t>
      </w:r>
    </w:p>
    <w:p w14:paraId="63C387C7" w14:textId="74A6A2D3" w:rsidR="00B80DB7" w:rsidRPr="00AD1344" w:rsidRDefault="00B80DB7" w:rsidP="00B80DB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Korisnici potpore su poduzetnici s visokim intenzitetom električne energije i potrošnjom električne energije koji djeluju u prihvatljivim sektorima navedenim u Prilogu 1 i 2 Uredbe, a koji odgovaraju sektorima navedenim u Prilogu 1. Smjernica iz 2022., te koji ispunjavaju uvjete da njihova </w:t>
      </w:r>
      <w:r w:rsidRPr="00AD134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prosječna godišnja količina potrošnje električne energije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nije</w:t>
      </w:r>
      <w:r w:rsidRPr="00AD134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manja od 500 MWh/god u svakoj godini promatranog razdoblje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Prema Uredbi </w:t>
      </w:r>
      <w:r w:rsidR="00BC1182"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 kriterijima za plaćanje umanjene naknade za obnovljive izvore za energije i visokoučinkovitu kogeneraciju („Narodne novine“, br. 57/202: dalje: Uredba iz 2020.), </w:t>
      </w:r>
      <w:r w:rsidR="00BC11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koja je odobrena odlukom Europske komisije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SA.54887</w:t>
      </w:r>
      <w:r w:rsidR="00E75AF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(2020/N) od 8. lipnja 2020.</w:t>
      </w:r>
      <w:r w:rsidR="00BC118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pravo na umanjenje naknade imao je poduzetnik čija je godišnja potrošnja električne energije iznosila 1 GWh/god. Razlog ovoga smanjenja godišnje potrošnje sa 1 GWh/god na 500 MWh/god je između ostaloga planiranje povećanja broja korisnika koji će imati pravo na umanjenje naknade za OIEiVUK, osobito u svjetlu prisutne energetske krize.</w:t>
      </w:r>
    </w:p>
    <w:p w14:paraId="01A95CD6" w14:textId="0968D64F" w:rsidR="00B80DB7" w:rsidRDefault="00B80DB7" w:rsidP="00B80DB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Pravo na ovu vrstu državne potpore, poduzetnici mogu ostvariti isključivo ukoliko dokažu da provode mjere energetske učinkovitosti temeljem energetskog pregleda poduzetnika kako to propisuju Smjernice iz 2022. u točki 414., što je i predmet obvezne evaluacije od strane HROTE-a na godišnjoj razini.</w:t>
      </w:r>
    </w:p>
    <w:p w14:paraId="4C60EF5D" w14:textId="77777777" w:rsidR="00F15EE4" w:rsidRDefault="00F15EE4" w:rsidP="00E75AFF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4BB55F93" w14:textId="0C58F94E" w:rsidR="00BC1182" w:rsidRDefault="00BC1182" w:rsidP="00E75AFF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Nadalje, 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omoguć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ava se da pojedini poduzetnici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a koji više ne udovoljavaju uvjetima za umanjenje naknade za OIEiK (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koji 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više ne pripadaju u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prihvatljive iz 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Prilog 1. i 2. Uredbe</w:t>
      </w:r>
      <w:r w:rsidR="00CC0BA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odnosno Prilogu 1. Smjernica)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mogu i dalje uživati takvu potporu, a sve u cilju izbjegavanja nagl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og opterećenja većim naknadama 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za OIEiK. Stoga je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odjeljku 4.11.3.5. Smjernica pod naslovom „</w:t>
      </w:r>
      <w:r w:rsidRPr="00F72A9D">
        <w:rPr>
          <w:rFonts w:ascii="Times New Roman" w:eastAsia="Times New Roman" w:hAnsi="Times New Roman" w:cs="Times New Roman"/>
          <w:i/>
          <w:sz w:val="24"/>
          <w:szCs w:val="24"/>
          <w:lang w:val="hr-HR" w:eastAsia="en-GB"/>
        </w:rPr>
        <w:t>Prijelazna pravila“,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odredbom točke 416. i 417.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 predviđen tzv. „prijelazni plan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“. </w:t>
      </w:r>
      <w:r w:rsidR="00CC0BA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Ovi p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oduzetnici koji su prethodno već tijekom 2021. i 2022. godine stekli pravo na umanjenje naknade za OIEiK temeljem Uredbe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 2020.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, temeljem </w:t>
      </w:r>
      <w:r w:rsidRPr="00E75AFF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en-GB"/>
        </w:rPr>
        <w:t xml:space="preserve">članka 13. </w:t>
      </w:r>
      <w:r w:rsidR="00CC0BA1" w:rsidRPr="00E75AFF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en-GB"/>
        </w:rPr>
        <w:t xml:space="preserve">ove </w:t>
      </w:r>
      <w:r w:rsidRPr="00E75AFF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en-GB"/>
        </w:rPr>
        <w:t>Uredbe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mogu i dalje nastaviti koristiti potporu na način da im se postupno do najkasnije 2028. godine povećava plaćanje naknade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za OIEiK čime im se smanjuje iznos potpore.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Na taj se način ispunjava uvjetima proporcionalnosti i prihvatljivosti iz Smjernica. </w:t>
      </w:r>
    </w:p>
    <w:p w14:paraId="49EAD947" w14:textId="77777777" w:rsidR="00F15EE4" w:rsidRDefault="00B80DB7" w:rsidP="00B80DB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</w:p>
    <w:p w14:paraId="595B2A53" w14:textId="3DCBAE4F" w:rsidR="00B80DB7" w:rsidRPr="00F72A9D" w:rsidRDefault="00B80DB7" w:rsidP="00B80DB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O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dređeni poduzetnici ostvarili su svoje pravo na umanjenje naknade za OIEiK u 2021. godini temeljem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Uredbe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 2020.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u trajanju od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jedne godine te su, pravovremeno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tijekom 2022. godine, podnijeli zahtjeve za nastavak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ostvarivanja prava na umanjenje naknade za OIEiK. 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Međutim, </w:t>
      </w:r>
      <w:r w:rsidR="007F2585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kako donošenjem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novih Smjernica više nije bilo dopušteno nastaviti dodjeljivati potpore u obliku umanjenja nakade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za OIEiK temeljem važeće Uredbe, 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 iz kojeg razloga operator tržišta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električne energije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nije bio u mogućnosti rješavati o takvim zahtjevima, primjenom odredbi iz </w:t>
      </w:r>
      <w:r w:rsidRPr="00E75AFF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en-GB"/>
        </w:rPr>
        <w:t xml:space="preserve">članka 16. </w:t>
      </w:r>
      <w:r w:rsidR="00E75AFF" w:rsidRPr="00E75AFF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en-GB"/>
        </w:rPr>
        <w:t xml:space="preserve">ove </w:t>
      </w:r>
      <w:r w:rsidR="007F2585" w:rsidRPr="00E75AFF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en-GB"/>
        </w:rPr>
        <w:t>Uredbe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omogućava se poduze</w:t>
      </w:r>
      <w:r w:rsidR="007F2585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tnicima da, ako ispunjavaju uvjete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iz </w:t>
      </w:r>
      <w:r w:rsidR="007F2585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ove </w:t>
      </w:r>
      <w:r w:rsidRPr="00F72A9D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Uredbe, pored prava na umanjenje naknade za OIEiK u trajanju od godine dana, mogu ostvariti i pravo na povrat preplaćenog di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jela naknade za OIEiK u 2022. godini. </w:t>
      </w:r>
    </w:p>
    <w:p w14:paraId="55550F18" w14:textId="6F5F837A" w:rsidR="00B80DB7" w:rsidRDefault="00DF62FA" w:rsidP="00DF62FA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t xml:space="preserve"> </w:t>
      </w:r>
      <w:r w:rsidR="00B80DB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Ukupni iznos državne potpore je 780 milijuna kuna, a godišnji iznos je oko 130 milijuna kuna.</w:t>
      </w:r>
    </w:p>
    <w:p w14:paraId="3B30FC43" w14:textId="77777777" w:rsidR="00B80DB7" w:rsidRDefault="00B80DB7" w:rsidP="00B80DB7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 razdoblju do 31. prosinca 2021., pravo je moglo ostvariti 162 korisnika dok će, zahvaljujući smanjenju predmetne granice ovo pravo moći ostvariti oko 216 korisnika.</w:t>
      </w:r>
    </w:p>
    <w:p w14:paraId="45785A79" w14:textId="6CE1A82F" w:rsidR="00D324A2" w:rsidRDefault="00D324A2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7FE1287" w14:textId="59199DD5" w:rsidR="00B80DB7" w:rsidRDefault="00B80DB7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6C8D795" w14:textId="22035BDA" w:rsidR="00B80DB7" w:rsidRDefault="00B80DB7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5E7832C" w14:textId="4DA02C0A" w:rsidR="00B80DB7" w:rsidRDefault="00B80DB7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4C65B9E" w14:textId="18B58A07" w:rsidR="00B80DB7" w:rsidRDefault="00B80DB7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77CE8EA" w14:textId="5E001F97" w:rsidR="00B80DB7" w:rsidRDefault="00B80DB7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5C8C1BE" w14:textId="41BD605A" w:rsidR="00B80DB7" w:rsidRDefault="00B80DB7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9263DBB" w14:textId="6B1AEB06" w:rsidR="00B80DB7" w:rsidRDefault="00B80DB7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2B738F3" w14:textId="4A1067D1" w:rsidR="00B80DB7" w:rsidRDefault="00B80DB7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26B96D7" w14:textId="2486A5C0" w:rsidR="00B80DB7" w:rsidRDefault="00B80DB7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C91831A" w14:textId="555F59CE" w:rsidR="00B80DB7" w:rsidRDefault="00B80DB7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6051A1D" w14:textId="4CC7A20D" w:rsidR="00B80DB7" w:rsidRDefault="00B80DB7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1A0AC8F" w14:textId="77777777" w:rsidR="00B80DB7" w:rsidRDefault="00B80DB7" w:rsidP="00D324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259F653" w14:textId="77777777" w:rsidR="00D324A2" w:rsidRPr="00B07FE9" w:rsidRDefault="00D324A2" w:rsidP="00D324A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9B762BC" w14:textId="77777777" w:rsidR="00D324A2" w:rsidRDefault="00D324A2" w:rsidP="00D324A2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6FE8FC40" w14:textId="77777777" w:rsidR="00D324A2" w:rsidRPr="004210AE" w:rsidRDefault="00D324A2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324A2" w:rsidRPr="00421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069CAD" w16cid:durableId="2651B28F"/>
  <w16cid:commentId w16cid:paraId="13B2F8C4" w16cid:durableId="2651B290"/>
  <w16cid:commentId w16cid:paraId="68F149B5" w16cid:durableId="2651B291"/>
  <w16cid:commentId w16cid:paraId="1D66D17B" w16cid:durableId="2651B292"/>
  <w16cid:commentId w16cid:paraId="4B349A3C" w16cid:durableId="2651B293"/>
  <w16cid:commentId w16cid:paraId="124A2404" w16cid:durableId="2651B294"/>
  <w16cid:commentId w16cid:paraId="797EBBE4" w16cid:durableId="2651B295"/>
  <w16cid:commentId w16cid:paraId="45EC38D5" w16cid:durableId="2651B296"/>
  <w16cid:commentId w16cid:paraId="25EE0D30" w16cid:durableId="2651B297"/>
  <w16cid:commentId w16cid:paraId="2CCDA89A" w16cid:durableId="2651B298"/>
  <w16cid:commentId w16cid:paraId="4796DCBC" w16cid:durableId="2651B299"/>
  <w16cid:commentId w16cid:paraId="4858AFD1" w16cid:durableId="2651B29A"/>
  <w16cid:commentId w16cid:paraId="39B6D082" w16cid:durableId="2651B29B"/>
  <w16cid:commentId w16cid:paraId="0D00DB94" w16cid:durableId="2651B29C"/>
  <w16cid:commentId w16cid:paraId="45AF2090" w16cid:durableId="2651B29D"/>
  <w16cid:commentId w16cid:paraId="47659EC8" w16cid:durableId="2651B29E"/>
  <w16cid:commentId w16cid:paraId="77A23DE2" w16cid:durableId="2651B29F"/>
  <w16cid:commentId w16cid:paraId="3FE9BBA4" w16cid:durableId="2651B2A0"/>
  <w16cid:commentId w16cid:paraId="291B3C8C" w16cid:durableId="2651B2A1"/>
  <w16cid:commentId w16cid:paraId="0B4840D0" w16cid:durableId="2651B2A2"/>
  <w16cid:commentId w16cid:paraId="190568C2" w16cid:durableId="2651B2A3"/>
  <w16cid:commentId w16cid:paraId="1E9BD1AF" w16cid:durableId="2651B2A4"/>
  <w16cid:commentId w16cid:paraId="379B1ADE" w16cid:durableId="2651B2A5"/>
  <w16cid:commentId w16cid:paraId="393DE0A4" w16cid:durableId="2651B2A6"/>
  <w16cid:commentId w16cid:paraId="26D1D94B" w16cid:durableId="2651B2A7"/>
  <w16cid:commentId w16cid:paraId="3556327A" w16cid:durableId="2651B2A8"/>
  <w16cid:commentId w16cid:paraId="3FB36CB1" w16cid:durableId="2651B2A9"/>
  <w16cid:commentId w16cid:paraId="359CBA1C" w16cid:durableId="2651B2AA"/>
  <w16cid:commentId w16cid:paraId="02C7E63A" w16cid:durableId="2651B2AB"/>
  <w16cid:commentId w16cid:paraId="46C2F163" w16cid:durableId="2651B2AC"/>
  <w16cid:commentId w16cid:paraId="0B271C59" w16cid:durableId="2651B2AD"/>
  <w16cid:commentId w16cid:paraId="614231CD" w16cid:durableId="2651B2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9205" w14:textId="77777777" w:rsidR="00F32995" w:rsidRDefault="00F32995">
      <w:pPr>
        <w:spacing w:after="0" w:line="240" w:lineRule="auto"/>
      </w:pPr>
      <w:r>
        <w:separator/>
      </w:r>
    </w:p>
  </w:endnote>
  <w:endnote w:type="continuationSeparator" w:id="0">
    <w:p w14:paraId="618BF257" w14:textId="77777777" w:rsidR="00F32995" w:rsidRDefault="00F32995">
      <w:pPr>
        <w:spacing w:after="0" w:line="240" w:lineRule="auto"/>
      </w:pPr>
      <w:r>
        <w:continuationSeparator/>
      </w:r>
    </w:p>
  </w:endnote>
  <w:endnote w:type="continuationNotice" w:id="1">
    <w:p w14:paraId="42E1D327" w14:textId="77777777" w:rsidR="00F32995" w:rsidRDefault="00F32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C420E" w14:textId="77777777" w:rsidR="00F32995" w:rsidRDefault="00F32995">
      <w:pPr>
        <w:spacing w:after="0" w:line="240" w:lineRule="auto"/>
      </w:pPr>
      <w:r>
        <w:separator/>
      </w:r>
    </w:p>
  </w:footnote>
  <w:footnote w:type="continuationSeparator" w:id="0">
    <w:p w14:paraId="229E30FF" w14:textId="77777777" w:rsidR="00F32995" w:rsidRDefault="00F32995">
      <w:pPr>
        <w:spacing w:after="0" w:line="240" w:lineRule="auto"/>
      </w:pPr>
      <w:r>
        <w:continuationSeparator/>
      </w:r>
    </w:p>
  </w:footnote>
  <w:footnote w:type="continuationNotice" w:id="1">
    <w:p w14:paraId="5806019F" w14:textId="77777777" w:rsidR="00F32995" w:rsidRDefault="00F329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DCE"/>
    <w:multiLevelType w:val="hybridMultilevel"/>
    <w:tmpl w:val="4BDCBC82"/>
    <w:lvl w:ilvl="0" w:tplc="FD626624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FD626624">
      <w:start w:val="2"/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ABF6A6B"/>
    <w:multiLevelType w:val="hybridMultilevel"/>
    <w:tmpl w:val="C6AAFAAE"/>
    <w:lvl w:ilvl="0" w:tplc="52B44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7A51"/>
    <w:multiLevelType w:val="hybridMultilevel"/>
    <w:tmpl w:val="84C88DE2"/>
    <w:lvl w:ilvl="0" w:tplc="FD626624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FD626624">
      <w:start w:val="2"/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3F71937"/>
    <w:multiLevelType w:val="hybridMultilevel"/>
    <w:tmpl w:val="DC88FEBE"/>
    <w:lvl w:ilvl="0" w:tplc="0BB6885C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456501A"/>
    <w:multiLevelType w:val="hybridMultilevel"/>
    <w:tmpl w:val="E3E2E6E2"/>
    <w:lvl w:ilvl="0" w:tplc="5832EF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1104"/>
    <w:multiLevelType w:val="multilevel"/>
    <w:tmpl w:val="02FCF21A"/>
    <w:lvl w:ilvl="0">
      <w:start w:val="40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1F78CF"/>
    <w:multiLevelType w:val="hybridMultilevel"/>
    <w:tmpl w:val="D7EE4CFE"/>
    <w:lvl w:ilvl="0" w:tplc="4720EA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F040F"/>
    <w:multiLevelType w:val="hybridMultilevel"/>
    <w:tmpl w:val="53369C9C"/>
    <w:lvl w:ilvl="0" w:tplc="01EAA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621D5"/>
    <w:multiLevelType w:val="multilevel"/>
    <w:tmpl w:val="C6A06F8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767"/>
        </w:tabs>
        <w:ind w:left="1767" w:hanging="720"/>
      </w:pPr>
      <w:rPr>
        <w:rFonts w:hint="default"/>
        <w:b/>
      </w:rPr>
    </w:lvl>
    <w:lvl w:ilvl="2">
      <w:start w:val="1"/>
      <w:numFmt w:val="decimal"/>
      <w:lvlText w:val="3.%2.%3."/>
      <w:lvlJc w:val="left"/>
      <w:pPr>
        <w:tabs>
          <w:tab w:val="num" w:pos="2487"/>
        </w:tabs>
        <w:ind w:left="24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9" w15:restartNumberingAfterBreak="0">
    <w:nsid w:val="20383618"/>
    <w:multiLevelType w:val="hybridMultilevel"/>
    <w:tmpl w:val="E314126A"/>
    <w:lvl w:ilvl="0" w:tplc="5C14C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93E3C"/>
    <w:multiLevelType w:val="hybridMultilevel"/>
    <w:tmpl w:val="4686EF6C"/>
    <w:lvl w:ilvl="0" w:tplc="EB6409AC">
      <w:start w:val="2"/>
      <w:numFmt w:val="bullet"/>
      <w:lvlText w:val="‒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FD626624">
      <w:start w:val="2"/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68F49FC"/>
    <w:multiLevelType w:val="hybridMultilevel"/>
    <w:tmpl w:val="126275C8"/>
    <w:lvl w:ilvl="0" w:tplc="749CFE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4524B"/>
    <w:multiLevelType w:val="hybridMultilevel"/>
    <w:tmpl w:val="6E042C0C"/>
    <w:lvl w:ilvl="0" w:tplc="86284D8C"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DEB1E68"/>
    <w:multiLevelType w:val="hybridMultilevel"/>
    <w:tmpl w:val="A8705550"/>
    <w:lvl w:ilvl="0" w:tplc="BCF8EA42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454C4057"/>
    <w:multiLevelType w:val="hybridMultilevel"/>
    <w:tmpl w:val="1220D4E8"/>
    <w:lvl w:ilvl="0" w:tplc="A9AC9588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3EA4"/>
    <w:multiLevelType w:val="hybridMultilevel"/>
    <w:tmpl w:val="1B1A121A"/>
    <w:lvl w:ilvl="0" w:tplc="F8E62650">
      <w:numFmt w:val="bullet"/>
      <w:lvlText w:val="-"/>
      <w:lvlJc w:val="left"/>
      <w:pPr>
        <w:ind w:left="768" w:hanging="360"/>
      </w:pPr>
      <w:rPr>
        <w:rFonts w:ascii="inherit" w:eastAsia="Times New Roman" w:hAnsi="inherit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DE17E96"/>
    <w:multiLevelType w:val="multilevel"/>
    <w:tmpl w:val="4B5C696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833694"/>
    <w:multiLevelType w:val="hybridMultilevel"/>
    <w:tmpl w:val="1AFA729E"/>
    <w:lvl w:ilvl="0" w:tplc="EB6409AC">
      <w:start w:val="2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75756"/>
    <w:multiLevelType w:val="hybridMultilevel"/>
    <w:tmpl w:val="096E364C"/>
    <w:lvl w:ilvl="0" w:tplc="1E9ED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44AA3"/>
    <w:multiLevelType w:val="hybridMultilevel"/>
    <w:tmpl w:val="460CAFE2"/>
    <w:lvl w:ilvl="0" w:tplc="55E234BA">
      <w:numFmt w:val="bullet"/>
      <w:lvlText w:val="–"/>
      <w:lvlJc w:val="left"/>
      <w:pPr>
        <w:ind w:left="768" w:hanging="360"/>
      </w:pPr>
      <w:rPr>
        <w:rFonts w:ascii="inherit" w:eastAsia="Times New Roman" w:hAnsi="inherit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3342B12"/>
    <w:multiLevelType w:val="hybridMultilevel"/>
    <w:tmpl w:val="19344B5C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D626624">
      <w:start w:val="2"/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53DB2E71"/>
    <w:multiLevelType w:val="hybridMultilevel"/>
    <w:tmpl w:val="73BC5AC2"/>
    <w:lvl w:ilvl="0" w:tplc="61F8F4AE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562B6DFC"/>
    <w:multiLevelType w:val="multilevel"/>
    <w:tmpl w:val="7916C22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C20E99"/>
    <w:multiLevelType w:val="hybridMultilevel"/>
    <w:tmpl w:val="E1180B2C"/>
    <w:lvl w:ilvl="0" w:tplc="3F72563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EE82DEA"/>
    <w:multiLevelType w:val="hybridMultilevel"/>
    <w:tmpl w:val="55D66AB2"/>
    <w:lvl w:ilvl="0" w:tplc="F62A56A4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64573235"/>
    <w:multiLevelType w:val="hybridMultilevel"/>
    <w:tmpl w:val="88D27A52"/>
    <w:lvl w:ilvl="0" w:tplc="FD626624">
      <w:start w:val="2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 w:hint="default"/>
      </w:rPr>
    </w:lvl>
    <w:lvl w:ilvl="1" w:tplc="FD626624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6" w15:restartNumberingAfterBreak="0">
    <w:nsid w:val="64902B12"/>
    <w:multiLevelType w:val="hybridMultilevel"/>
    <w:tmpl w:val="3DECD80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D626624">
      <w:start w:val="2"/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8484D26"/>
    <w:multiLevelType w:val="hybridMultilevel"/>
    <w:tmpl w:val="F93C2A30"/>
    <w:lvl w:ilvl="0" w:tplc="FD626624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691E78DF"/>
    <w:multiLevelType w:val="hybridMultilevel"/>
    <w:tmpl w:val="EB7EE982"/>
    <w:lvl w:ilvl="0" w:tplc="FADEDCB6">
      <w:start w:val="2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6E783A6C"/>
    <w:multiLevelType w:val="hybridMultilevel"/>
    <w:tmpl w:val="1EB69B38"/>
    <w:lvl w:ilvl="0" w:tplc="82B00C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2288E"/>
    <w:multiLevelType w:val="hybridMultilevel"/>
    <w:tmpl w:val="3C98082C"/>
    <w:lvl w:ilvl="0" w:tplc="F19A3F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0699A"/>
    <w:multiLevelType w:val="hybridMultilevel"/>
    <w:tmpl w:val="A05C6750"/>
    <w:lvl w:ilvl="0" w:tplc="1B26F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50C67"/>
    <w:multiLevelType w:val="multilevel"/>
    <w:tmpl w:val="18F603E4"/>
    <w:lvl w:ilvl="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F81DBA"/>
    <w:multiLevelType w:val="hybridMultilevel"/>
    <w:tmpl w:val="7C9CEF64"/>
    <w:lvl w:ilvl="0" w:tplc="51E88D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81C58"/>
    <w:multiLevelType w:val="hybridMultilevel"/>
    <w:tmpl w:val="1466E082"/>
    <w:lvl w:ilvl="0" w:tplc="FD626624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7D8949D0"/>
    <w:multiLevelType w:val="hybridMultilevel"/>
    <w:tmpl w:val="D06EA856"/>
    <w:lvl w:ilvl="0" w:tplc="1174D80C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32"/>
  </w:num>
  <w:num w:numId="5">
    <w:abstractNumId w:val="22"/>
  </w:num>
  <w:num w:numId="6">
    <w:abstractNumId w:val="23"/>
  </w:num>
  <w:num w:numId="7">
    <w:abstractNumId w:val="24"/>
  </w:num>
  <w:num w:numId="8">
    <w:abstractNumId w:val="4"/>
  </w:num>
  <w:num w:numId="9">
    <w:abstractNumId w:val="31"/>
  </w:num>
  <w:num w:numId="10">
    <w:abstractNumId w:val="1"/>
  </w:num>
  <w:num w:numId="11">
    <w:abstractNumId w:val="21"/>
  </w:num>
  <w:num w:numId="12">
    <w:abstractNumId w:val="3"/>
  </w:num>
  <w:num w:numId="13">
    <w:abstractNumId w:val="27"/>
  </w:num>
  <w:num w:numId="14">
    <w:abstractNumId w:val="12"/>
  </w:num>
  <w:num w:numId="15">
    <w:abstractNumId w:val="10"/>
  </w:num>
  <w:num w:numId="16">
    <w:abstractNumId w:val="33"/>
  </w:num>
  <w:num w:numId="17">
    <w:abstractNumId w:val="30"/>
  </w:num>
  <w:num w:numId="18">
    <w:abstractNumId w:val="29"/>
  </w:num>
  <w:num w:numId="19">
    <w:abstractNumId w:val="14"/>
  </w:num>
  <w:num w:numId="20">
    <w:abstractNumId w:val="20"/>
  </w:num>
  <w:num w:numId="21">
    <w:abstractNumId w:val="28"/>
  </w:num>
  <w:num w:numId="22">
    <w:abstractNumId w:val="15"/>
  </w:num>
  <w:num w:numId="23">
    <w:abstractNumId w:val="9"/>
  </w:num>
  <w:num w:numId="24">
    <w:abstractNumId w:val="17"/>
  </w:num>
  <w:num w:numId="25">
    <w:abstractNumId w:val="19"/>
  </w:num>
  <w:num w:numId="26">
    <w:abstractNumId w:val="13"/>
  </w:num>
  <w:num w:numId="27">
    <w:abstractNumId w:val="26"/>
  </w:num>
  <w:num w:numId="28">
    <w:abstractNumId w:val="35"/>
  </w:num>
  <w:num w:numId="29">
    <w:abstractNumId w:val="18"/>
  </w:num>
  <w:num w:numId="30">
    <w:abstractNumId w:val="6"/>
  </w:num>
  <w:num w:numId="31">
    <w:abstractNumId w:val="7"/>
  </w:num>
  <w:num w:numId="32">
    <w:abstractNumId w:val="2"/>
  </w:num>
  <w:num w:numId="33">
    <w:abstractNumId w:val="0"/>
  </w:num>
  <w:num w:numId="34">
    <w:abstractNumId w:val="25"/>
  </w:num>
  <w:num w:numId="35">
    <w:abstractNumId w:val="11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characterSpacingControl w:val="doNotCompress"/>
  <w:footnotePr>
    <w:numStart w:val="13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2D"/>
    <w:rsid w:val="00000933"/>
    <w:rsid w:val="00005865"/>
    <w:rsid w:val="00006664"/>
    <w:rsid w:val="00006CF0"/>
    <w:rsid w:val="00006EED"/>
    <w:rsid w:val="000163B2"/>
    <w:rsid w:val="000205F8"/>
    <w:rsid w:val="00021594"/>
    <w:rsid w:val="00025491"/>
    <w:rsid w:val="00025B10"/>
    <w:rsid w:val="00025D16"/>
    <w:rsid w:val="000260ED"/>
    <w:rsid w:val="00031F3B"/>
    <w:rsid w:val="0003254D"/>
    <w:rsid w:val="000327F0"/>
    <w:rsid w:val="00036853"/>
    <w:rsid w:val="0004235E"/>
    <w:rsid w:val="00044F34"/>
    <w:rsid w:val="00050D5E"/>
    <w:rsid w:val="00055A54"/>
    <w:rsid w:val="00056F84"/>
    <w:rsid w:val="000666F6"/>
    <w:rsid w:val="00071E29"/>
    <w:rsid w:val="0007598A"/>
    <w:rsid w:val="0008091F"/>
    <w:rsid w:val="00082EA0"/>
    <w:rsid w:val="0008313B"/>
    <w:rsid w:val="0008388A"/>
    <w:rsid w:val="000957BC"/>
    <w:rsid w:val="00096451"/>
    <w:rsid w:val="000972D0"/>
    <w:rsid w:val="000A2BD9"/>
    <w:rsid w:val="000A2EDD"/>
    <w:rsid w:val="000A6E42"/>
    <w:rsid w:val="000B224C"/>
    <w:rsid w:val="000C0C4C"/>
    <w:rsid w:val="000C3FA3"/>
    <w:rsid w:val="000C40C8"/>
    <w:rsid w:val="000C464B"/>
    <w:rsid w:val="000C7871"/>
    <w:rsid w:val="000D1B68"/>
    <w:rsid w:val="000D4677"/>
    <w:rsid w:val="000D6B6A"/>
    <w:rsid w:val="000D7CC1"/>
    <w:rsid w:val="000E633A"/>
    <w:rsid w:val="000E6E95"/>
    <w:rsid w:val="000E754B"/>
    <w:rsid w:val="000F0687"/>
    <w:rsid w:val="000F221F"/>
    <w:rsid w:val="000F2E82"/>
    <w:rsid w:val="000F476A"/>
    <w:rsid w:val="000F5F98"/>
    <w:rsid w:val="000F774D"/>
    <w:rsid w:val="001003FF"/>
    <w:rsid w:val="00101D3E"/>
    <w:rsid w:val="00102284"/>
    <w:rsid w:val="00110BD4"/>
    <w:rsid w:val="00117A41"/>
    <w:rsid w:val="00117D05"/>
    <w:rsid w:val="001219EB"/>
    <w:rsid w:val="001266B8"/>
    <w:rsid w:val="0013185E"/>
    <w:rsid w:val="0013375A"/>
    <w:rsid w:val="00137493"/>
    <w:rsid w:val="001447D1"/>
    <w:rsid w:val="00150223"/>
    <w:rsid w:val="001503FF"/>
    <w:rsid w:val="00156A74"/>
    <w:rsid w:val="00170CBF"/>
    <w:rsid w:val="00172233"/>
    <w:rsid w:val="001756AF"/>
    <w:rsid w:val="00175BF1"/>
    <w:rsid w:val="001772E4"/>
    <w:rsid w:val="00177727"/>
    <w:rsid w:val="0018350C"/>
    <w:rsid w:val="00184D00"/>
    <w:rsid w:val="00187EE4"/>
    <w:rsid w:val="00190BDE"/>
    <w:rsid w:val="0019438E"/>
    <w:rsid w:val="00195471"/>
    <w:rsid w:val="001A05F1"/>
    <w:rsid w:val="001B2D83"/>
    <w:rsid w:val="001B5D46"/>
    <w:rsid w:val="001B7BB9"/>
    <w:rsid w:val="001C11B7"/>
    <w:rsid w:val="001C5DF6"/>
    <w:rsid w:val="001D55AA"/>
    <w:rsid w:val="001D6E5E"/>
    <w:rsid w:val="001E04DB"/>
    <w:rsid w:val="001E237B"/>
    <w:rsid w:val="001E5841"/>
    <w:rsid w:val="001F0901"/>
    <w:rsid w:val="001F479B"/>
    <w:rsid w:val="00203C4B"/>
    <w:rsid w:val="0022042B"/>
    <w:rsid w:val="00220A47"/>
    <w:rsid w:val="0022274A"/>
    <w:rsid w:val="00222A35"/>
    <w:rsid w:val="00223196"/>
    <w:rsid w:val="00223BCA"/>
    <w:rsid w:val="002277D6"/>
    <w:rsid w:val="00237B14"/>
    <w:rsid w:val="0024161D"/>
    <w:rsid w:val="0024203A"/>
    <w:rsid w:val="00244B19"/>
    <w:rsid w:val="00253D9F"/>
    <w:rsid w:val="00254855"/>
    <w:rsid w:val="00256765"/>
    <w:rsid w:val="002575D1"/>
    <w:rsid w:val="002641A9"/>
    <w:rsid w:val="00264C26"/>
    <w:rsid w:val="00265E20"/>
    <w:rsid w:val="0026784B"/>
    <w:rsid w:val="0027065D"/>
    <w:rsid w:val="00274A69"/>
    <w:rsid w:val="00275D9C"/>
    <w:rsid w:val="00281A46"/>
    <w:rsid w:val="00281BCB"/>
    <w:rsid w:val="00281C12"/>
    <w:rsid w:val="002820F1"/>
    <w:rsid w:val="00282205"/>
    <w:rsid w:val="0028482A"/>
    <w:rsid w:val="002855B6"/>
    <w:rsid w:val="002879E0"/>
    <w:rsid w:val="002922CC"/>
    <w:rsid w:val="00295814"/>
    <w:rsid w:val="002A0527"/>
    <w:rsid w:val="002A1B0F"/>
    <w:rsid w:val="002A259C"/>
    <w:rsid w:val="002A272C"/>
    <w:rsid w:val="002A5B2F"/>
    <w:rsid w:val="002B15EB"/>
    <w:rsid w:val="002B1BFB"/>
    <w:rsid w:val="002B2CE3"/>
    <w:rsid w:val="002B343A"/>
    <w:rsid w:val="002B3564"/>
    <w:rsid w:val="002B3D4B"/>
    <w:rsid w:val="002B4FF0"/>
    <w:rsid w:val="002B5CC4"/>
    <w:rsid w:val="002B688E"/>
    <w:rsid w:val="002B73A3"/>
    <w:rsid w:val="002C364D"/>
    <w:rsid w:val="002C3E42"/>
    <w:rsid w:val="002C4FFF"/>
    <w:rsid w:val="002C5573"/>
    <w:rsid w:val="002D192A"/>
    <w:rsid w:val="002D5FA7"/>
    <w:rsid w:val="002E3EA6"/>
    <w:rsid w:val="002E69D2"/>
    <w:rsid w:val="002F576F"/>
    <w:rsid w:val="002F7AB0"/>
    <w:rsid w:val="002F7F2D"/>
    <w:rsid w:val="0030076B"/>
    <w:rsid w:val="0030228D"/>
    <w:rsid w:val="003041F8"/>
    <w:rsid w:val="00305549"/>
    <w:rsid w:val="00306E3D"/>
    <w:rsid w:val="003073A0"/>
    <w:rsid w:val="00307A67"/>
    <w:rsid w:val="00314EA0"/>
    <w:rsid w:val="00315C51"/>
    <w:rsid w:val="003220D0"/>
    <w:rsid w:val="003307C1"/>
    <w:rsid w:val="00335FD0"/>
    <w:rsid w:val="003372E4"/>
    <w:rsid w:val="00341F25"/>
    <w:rsid w:val="003444A9"/>
    <w:rsid w:val="003460BD"/>
    <w:rsid w:val="003473B8"/>
    <w:rsid w:val="003511D3"/>
    <w:rsid w:val="00351C2F"/>
    <w:rsid w:val="003541C6"/>
    <w:rsid w:val="00356D64"/>
    <w:rsid w:val="003572E2"/>
    <w:rsid w:val="00362E55"/>
    <w:rsid w:val="00363A1C"/>
    <w:rsid w:val="00364E82"/>
    <w:rsid w:val="003679E7"/>
    <w:rsid w:val="00367E5B"/>
    <w:rsid w:val="00375C66"/>
    <w:rsid w:val="00380315"/>
    <w:rsid w:val="00390923"/>
    <w:rsid w:val="003944E4"/>
    <w:rsid w:val="003A2C15"/>
    <w:rsid w:val="003B6433"/>
    <w:rsid w:val="003C14E3"/>
    <w:rsid w:val="003C164E"/>
    <w:rsid w:val="003C30C7"/>
    <w:rsid w:val="003C4D02"/>
    <w:rsid w:val="003C642A"/>
    <w:rsid w:val="003D0AFC"/>
    <w:rsid w:val="003D0E82"/>
    <w:rsid w:val="003D198E"/>
    <w:rsid w:val="003D33A2"/>
    <w:rsid w:val="003E2B1F"/>
    <w:rsid w:val="003E5F4D"/>
    <w:rsid w:val="003F04BE"/>
    <w:rsid w:val="003F15F8"/>
    <w:rsid w:val="003F3752"/>
    <w:rsid w:val="003F4331"/>
    <w:rsid w:val="003F6207"/>
    <w:rsid w:val="00400D9A"/>
    <w:rsid w:val="00402915"/>
    <w:rsid w:val="004066AA"/>
    <w:rsid w:val="00407DDA"/>
    <w:rsid w:val="00414442"/>
    <w:rsid w:val="00414FE8"/>
    <w:rsid w:val="004158BB"/>
    <w:rsid w:val="004160F0"/>
    <w:rsid w:val="004210AE"/>
    <w:rsid w:val="00421AF4"/>
    <w:rsid w:val="00421ECF"/>
    <w:rsid w:val="00425BF3"/>
    <w:rsid w:val="00425C4A"/>
    <w:rsid w:val="00430F72"/>
    <w:rsid w:val="00431292"/>
    <w:rsid w:val="00431BE4"/>
    <w:rsid w:val="00441721"/>
    <w:rsid w:val="00442FDE"/>
    <w:rsid w:val="00445355"/>
    <w:rsid w:val="00446D56"/>
    <w:rsid w:val="0044782C"/>
    <w:rsid w:val="00450608"/>
    <w:rsid w:val="00454E62"/>
    <w:rsid w:val="00462188"/>
    <w:rsid w:val="00463B06"/>
    <w:rsid w:val="004706C8"/>
    <w:rsid w:val="00471388"/>
    <w:rsid w:val="00471BE3"/>
    <w:rsid w:val="00477CFA"/>
    <w:rsid w:val="0048189C"/>
    <w:rsid w:val="00484DF8"/>
    <w:rsid w:val="00492C70"/>
    <w:rsid w:val="00496B91"/>
    <w:rsid w:val="00497AEE"/>
    <w:rsid w:val="004A161E"/>
    <w:rsid w:val="004B5632"/>
    <w:rsid w:val="004C0205"/>
    <w:rsid w:val="004C0745"/>
    <w:rsid w:val="004C5456"/>
    <w:rsid w:val="004D18CD"/>
    <w:rsid w:val="004D2DB5"/>
    <w:rsid w:val="004D3DE3"/>
    <w:rsid w:val="004E03F3"/>
    <w:rsid w:val="004E0925"/>
    <w:rsid w:val="004E5564"/>
    <w:rsid w:val="004E67FC"/>
    <w:rsid w:val="004F4B4A"/>
    <w:rsid w:val="00502192"/>
    <w:rsid w:val="00506F4A"/>
    <w:rsid w:val="00525D53"/>
    <w:rsid w:val="00525F9B"/>
    <w:rsid w:val="00526379"/>
    <w:rsid w:val="00527151"/>
    <w:rsid w:val="00527D33"/>
    <w:rsid w:val="00534DC4"/>
    <w:rsid w:val="0053724B"/>
    <w:rsid w:val="00553D1D"/>
    <w:rsid w:val="00554308"/>
    <w:rsid w:val="00557969"/>
    <w:rsid w:val="005617D3"/>
    <w:rsid w:val="0056693B"/>
    <w:rsid w:val="005673D4"/>
    <w:rsid w:val="0057238C"/>
    <w:rsid w:val="0057383F"/>
    <w:rsid w:val="0057415F"/>
    <w:rsid w:val="00575A83"/>
    <w:rsid w:val="0057657E"/>
    <w:rsid w:val="0057694C"/>
    <w:rsid w:val="00576DEA"/>
    <w:rsid w:val="00581480"/>
    <w:rsid w:val="0058319C"/>
    <w:rsid w:val="00584644"/>
    <w:rsid w:val="005852E1"/>
    <w:rsid w:val="005928EF"/>
    <w:rsid w:val="00593643"/>
    <w:rsid w:val="00596C60"/>
    <w:rsid w:val="00596E8F"/>
    <w:rsid w:val="005A28F8"/>
    <w:rsid w:val="005A2A5A"/>
    <w:rsid w:val="005A374D"/>
    <w:rsid w:val="005A429A"/>
    <w:rsid w:val="005B565F"/>
    <w:rsid w:val="005B5EED"/>
    <w:rsid w:val="005C340F"/>
    <w:rsid w:val="005C5606"/>
    <w:rsid w:val="005C6E55"/>
    <w:rsid w:val="005D0598"/>
    <w:rsid w:val="005D067B"/>
    <w:rsid w:val="005D4F80"/>
    <w:rsid w:val="005D7122"/>
    <w:rsid w:val="005E0905"/>
    <w:rsid w:val="005E27CD"/>
    <w:rsid w:val="005E389E"/>
    <w:rsid w:val="005F7654"/>
    <w:rsid w:val="006058AB"/>
    <w:rsid w:val="006073EC"/>
    <w:rsid w:val="00607803"/>
    <w:rsid w:val="0061618A"/>
    <w:rsid w:val="00620272"/>
    <w:rsid w:val="00624E85"/>
    <w:rsid w:val="0063242D"/>
    <w:rsid w:val="00632D86"/>
    <w:rsid w:val="006342D0"/>
    <w:rsid w:val="00634A87"/>
    <w:rsid w:val="006350CA"/>
    <w:rsid w:val="006359AD"/>
    <w:rsid w:val="00635C21"/>
    <w:rsid w:val="00636B4A"/>
    <w:rsid w:val="006412AE"/>
    <w:rsid w:val="006439E5"/>
    <w:rsid w:val="00654295"/>
    <w:rsid w:val="00655B36"/>
    <w:rsid w:val="006609D1"/>
    <w:rsid w:val="006616E9"/>
    <w:rsid w:val="00661E4C"/>
    <w:rsid w:val="0066207D"/>
    <w:rsid w:val="00663523"/>
    <w:rsid w:val="006636EE"/>
    <w:rsid w:val="00663AE7"/>
    <w:rsid w:val="0066588E"/>
    <w:rsid w:val="006658A4"/>
    <w:rsid w:val="00670016"/>
    <w:rsid w:val="006719F2"/>
    <w:rsid w:val="006720D4"/>
    <w:rsid w:val="00675090"/>
    <w:rsid w:val="00676212"/>
    <w:rsid w:val="00677F09"/>
    <w:rsid w:val="00680478"/>
    <w:rsid w:val="00682F55"/>
    <w:rsid w:val="006831ED"/>
    <w:rsid w:val="00685318"/>
    <w:rsid w:val="00687493"/>
    <w:rsid w:val="006918EA"/>
    <w:rsid w:val="0069298B"/>
    <w:rsid w:val="006935C4"/>
    <w:rsid w:val="006A2514"/>
    <w:rsid w:val="006A57EA"/>
    <w:rsid w:val="006A5D1B"/>
    <w:rsid w:val="006A7349"/>
    <w:rsid w:val="006A7D71"/>
    <w:rsid w:val="006B4E0A"/>
    <w:rsid w:val="006C643C"/>
    <w:rsid w:val="006D22B9"/>
    <w:rsid w:val="006D3D26"/>
    <w:rsid w:val="006D7EAE"/>
    <w:rsid w:val="006E0B04"/>
    <w:rsid w:val="006E408E"/>
    <w:rsid w:val="006E53C5"/>
    <w:rsid w:val="006F13E5"/>
    <w:rsid w:val="006F2EB2"/>
    <w:rsid w:val="006F4BE3"/>
    <w:rsid w:val="006F5AB3"/>
    <w:rsid w:val="00705C21"/>
    <w:rsid w:val="00707C0F"/>
    <w:rsid w:val="0071064A"/>
    <w:rsid w:val="007139ED"/>
    <w:rsid w:val="00713C81"/>
    <w:rsid w:val="00714FB9"/>
    <w:rsid w:val="007177A0"/>
    <w:rsid w:val="00722691"/>
    <w:rsid w:val="00727C55"/>
    <w:rsid w:val="0073382E"/>
    <w:rsid w:val="00734C66"/>
    <w:rsid w:val="00735FBC"/>
    <w:rsid w:val="007415C0"/>
    <w:rsid w:val="0074585F"/>
    <w:rsid w:val="00745CB8"/>
    <w:rsid w:val="00746A71"/>
    <w:rsid w:val="00747ECF"/>
    <w:rsid w:val="00750895"/>
    <w:rsid w:val="00750EA8"/>
    <w:rsid w:val="00753E73"/>
    <w:rsid w:val="0075411B"/>
    <w:rsid w:val="00754A74"/>
    <w:rsid w:val="00756221"/>
    <w:rsid w:val="00756C3D"/>
    <w:rsid w:val="00763494"/>
    <w:rsid w:val="0076533C"/>
    <w:rsid w:val="0077247D"/>
    <w:rsid w:val="00773600"/>
    <w:rsid w:val="0077391B"/>
    <w:rsid w:val="007762B2"/>
    <w:rsid w:val="007801A5"/>
    <w:rsid w:val="00780D27"/>
    <w:rsid w:val="00784AC8"/>
    <w:rsid w:val="0078677F"/>
    <w:rsid w:val="00792555"/>
    <w:rsid w:val="00793A37"/>
    <w:rsid w:val="007A0032"/>
    <w:rsid w:val="007A09B7"/>
    <w:rsid w:val="007A104C"/>
    <w:rsid w:val="007A5BF0"/>
    <w:rsid w:val="007A712C"/>
    <w:rsid w:val="007A7C31"/>
    <w:rsid w:val="007B2080"/>
    <w:rsid w:val="007C0451"/>
    <w:rsid w:val="007C5B9D"/>
    <w:rsid w:val="007C6CF4"/>
    <w:rsid w:val="007D4941"/>
    <w:rsid w:val="007D5BB3"/>
    <w:rsid w:val="007D7095"/>
    <w:rsid w:val="007E1A73"/>
    <w:rsid w:val="007E4A6C"/>
    <w:rsid w:val="007E4AAE"/>
    <w:rsid w:val="007E55F0"/>
    <w:rsid w:val="007E6A9A"/>
    <w:rsid w:val="007F2585"/>
    <w:rsid w:val="007F3807"/>
    <w:rsid w:val="007F58E8"/>
    <w:rsid w:val="00810908"/>
    <w:rsid w:val="00820ABE"/>
    <w:rsid w:val="00821EB7"/>
    <w:rsid w:val="00826205"/>
    <w:rsid w:val="00832345"/>
    <w:rsid w:val="00832A5A"/>
    <w:rsid w:val="00833207"/>
    <w:rsid w:val="00833FD9"/>
    <w:rsid w:val="00835E6D"/>
    <w:rsid w:val="008427EF"/>
    <w:rsid w:val="008471DE"/>
    <w:rsid w:val="00847A9E"/>
    <w:rsid w:val="008508D9"/>
    <w:rsid w:val="0085470A"/>
    <w:rsid w:val="00857427"/>
    <w:rsid w:val="00860165"/>
    <w:rsid w:val="008601F1"/>
    <w:rsid w:val="008626F8"/>
    <w:rsid w:val="0086457A"/>
    <w:rsid w:val="00871EE8"/>
    <w:rsid w:val="008804D5"/>
    <w:rsid w:val="00882F57"/>
    <w:rsid w:val="00883498"/>
    <w:rsid w:val="00886D53"/>
    <w:rsid w:val="008902C2"/>
    <w:rsid w:val="00895CEE"/>
    <w:rsid w:val="008A3110"/>
    <w:rsid w:val="008A4981"/>
    <w:rsid w:val="008A7F9D"/>
    <w:rsid w:val="008C0733"/>
    <w:rsid w:val="008C54E6"/>
    <w:rsid w:val="008C6DF4"/>
    <w:rsid w:val="008C788A"/>
    <w:rsid w:val="008D680A"/>
    <w:rsid w:val="008D7AB4"/>
    <w:rsid w:val="008E7975"/>
    <w:rsid w:val="008F22EA"/>
    <w:rsid w:val="008F2785"/>
    <w:rsid w:val="008F491A"/>
    <w:rsid w:val="008F53E9"/>
    <w:rsid w:val="008F65FC"/>
    <w:rsid w:val="0090090A"/>
    <w:rsid w:val="009017C9"/>
    <w:rsid w:val="00901F7D"/>
    <w:rsid w:val="00903D40"/>
    <w:rsid w:val="009072E6"/>
    <w:rsid w:val="0091387E"/>
    <w:rsid w:val="00915BB4"/>
    <w:rsid w:val="00917C69"/>
    <w:rsid w:val="009201B8"/>
    <w:rsid w:val="009246E9"/>
    <w:rsid w:val="00926037"/>
    <w:rsid w:val="00930552"/>
    <w:rsid w:val="00936ADF"/>
    <w:rsid w:val="009431BB"/>
    <w:rsid w:val="00943396"/>
    <w:rsid w:val="009439D6"/>
    <w:rsid w:val="00946DC9"/>
    <w:rsid w:val="009521EC"/>
    <w:rsid w:val="0095492C"/>
    <w:rsid w:val="00956B12"/>
    <w:rsid w:val="00957B1E"/>
    <w:rsid w:val="00962F4B"/>
    <w:rsid w:val="009646A0"/>
    <w:rsid w:val="009708E8"/>
    <w:rsid w:val="00975113"/>
    <w:rsid w:val="00977B70"/>
    <w:rsid w:val="009804FD"/>
    <w:rsid w:val="00982F93"/>
    <w:rsid w:val="009909ED"/>
    <w:rsid w:val="00992217"/>
    <w:rsid w:val="00992DAB"/>
    <w:rsid w:val="009937F7"/>
    <w:rsid w:val="0099383C"/>
    <w:rsid w:val="00995777"/>
    <w:rsid w:val="00995AD3"/>
    <w:rsid w:val="00995CF7"/>
    <w:rsid w:val="009967D5"/>
    <w:rsid w:val="009A09FA"/>
    <w:rsid w:val="009A2C52"/>
    <w:rsid w:val="009A3720"/>
    <w:rsid w:val="009A4F0F"/>
    <w:rsid w:val="009A77F2"/>
    <w:rsid w:val="009B1FCF"/>
    <w:rsid w:val="009B3CAC"/>
    <w:rsid w:val="009B7EB4"/>
    <w:rsid w:val="009C048F"/>
    <w:rsid w:val="009C2E0B"/>
    <w:rsid w:val="009C61CE"/>
    <w:rsid w:val="009D6ABA"/>
    <w:rsid w:val="009E0714"/>
    <w:rsid w:val="009E5E47"/>
    <w:rsid w:val="009F2E22"/>
    <w:rsid w:val="009F49F7"/>
    <w:rsid w:val="009F6827"/>
    <w:rsid w:val="00A006EE"/>
    <w:rsid w:val="00A01465"/>
    <w:rsid w:val="00A02024"/>
    <w:rsid w:val="00A06A41"/>
    <w:rsid w:val="00A13D56"/>
    <w:rsid w:val="00A17B88"/>
    <w:rsid w:val="00A203FD"/>
    <w:rsid w:val="00A221CE"/>
    <w:rsid w:val="00A30BEB"/>
    <w:rsid w:val="00A4033F"/>
    <w:rsid w:val="00A42CAE"/>
    <w:rsid w:val="00A43842"/>
    <w:rsid w:val="00A47267"/>
    <w:rsid w:val="00A511E1"/>
    <w:rsid w:val="00A51A93"/>
    <w:rsid w:val="00A52F29"/>
    <w:rsid w:val="00A53AD8"/>
    <w:rsid w:val="00A556D1"/>
    <w:rsid w:val="00A70EAE"/>
    <w:rsid w:val="00A70F0C"/>
    <w:rsid w:val="00A72F17"/>
    <w:rsid w:val="00A75191"/>
    <w:rsid w:val="00A81B7D"/>
    <w:rsid w:val="00A949F3"/>
    <w:rsid w:val="00AA0485"/>
    <w:rsid w:val="00AA6D21"/>
    <w:rsid w:val="00AA7E59"/>
    <w:rsid w:val="00AB245B"/>
    <w:rsid w:val="00AB3FC0"/>
    <w:rsid w:val="00AB4C65"/>
    <w:rsid w:val="00AC15FE"/>
    <w:rsid w:val="00AC6433"/>
    <w:rsid w:val="00AC7261"/>
    <w:rsid w:val="00AC7874"/>
    <w:rsid w:val="00AE40F1"/>
    <w:rsid w:val="00AE4125"/>
    <w:rsid w:val="00AE42B0"/>
    <w:rsid w:val="00AF4BC1"/>
    <w:rsid w:val="00AF73B1"/>
    <w:rsid w:val="00B006A4"/>
    <w:rsid w:val="00B04067"/>
    <w:rsid w:val="00B04E55"/>
    <w:rsid w:val="00B07FE9"/>
    <w:rsid w:val="00B1144A"/>
    <w:rsid w:val="00B1776E"/>
    <w:rsid w:val="00B21149"/>
    <w:rsid w:val="00B301A5"/>
    <w:rsid w:val="00B30541"/>
    <w:rsid w:val="00B3225E"/>
    <w:rsid w:val="00B32D01"/>
    <w:rsid w:val="00B346F7"/>
    <w:rsid w:val="00B35171"/>
    <w:rsid w:val="00B35719"/>
    <w:rsid w:val="00B359F6"/>
    <w:rsid w:val="00B37180"/>
    <w:rsid w:val="00B42A7B"/>
    <w:rsid w:val="00B4743D"/>
    <w:rsid w:val="00B51CF4"/>
    <w:rsid w:val="00B51FFF"/>
    <w:rsid w:val="00B533A8"/>
    <w:rsid w:val="00B56537"/>
    <w:rsid w:val="00B56812"/>
    <w:rsid w:val="00B630C0"/>
    <w:rsid w:val="00B64893"/>
    <w:rsid w:val="00B650DF"/>
    <w:rsid w:val="00B67BD2"/>
    <w:rsid w:val="00B7003C"/>
    <w:rsid w:val="00B71804"/>
    <w:rsid w:val="00B74F40"/>
    <w:rsid w:val="00B80DB7"/>
    <w:rsid w:val="00B83787"/>
    <w:rsid w:val="00B86152"/>
    <w:rsid w:val="00B905BF"/>
    <w:rsid w:val="00B908FD"/>
    <w:rsid w:val="00B948FA"/>
    <w:rsid w:val="00B95D7A"/>
    <w:rsid w:val="00BA1749"/>
    <w:rsid w:val="00BA206E"/>
    <w:rsid w:val="00BA3180"/>
    <w:rsid w:val="00BA6E4F"/>
    <w:rsid w:val="00BA7524"/>
    <w:rsid w:val="00BB5EEE"/>
    <w:rsid w:val="00BC02B8"/>
    <w:rsid w:val="00BC1182"/>
    <w:rsid w:val="00BC3C17"/>
    <w:rsid w:val="00BC720D"/>
    <w:rsid w:val="00BD2C20"/>
    <w:rsid w:val="00BE3690"/>
    <w:rsid w:val="00BE6FBC"/>
    <w:rsid w:val="00BE7032"/>
    <w:rsid w:val="00BF1E10"/>
    <w:rsid w:val="00BF3AF1"/>
    <w:rsid w:val="00BF6A07"/>
    <w:rsid w:val="00BF6C4B"/>
    <w:rsid w:val="00BF7B7F"/>
    <w:rsid w:val="00C01A18"/>
    <w:rsid w:val="00C02B99"/>
    <w:rsid w:val="00C034F4"/>
    <w:rsid w:val="00C051A7"/>
    <w:rsid w:val="00C060B3"/>
    <w:rsid w:val="00C07308"/>
    <w:rsid w:val="00C102A6"/>
    <w:rsid w:val="00C175C9"/>
    <w:rsid w:val="00C21591"/>
    <w:rsid w:val="00C21F35"/>
    <w:rsid w:val="00C27CA3"/>
    <w:rsid w:val="00C30725"/>
    <w:rsid w:val="00C30E70"/>
    <w:rsid w:val="00C41818"/>
    <w:rsid w:val="00C44263"/>
    <w:rsid w:val="00C44427"/>
    <w:rsid w:val="00C53C3C"/>
    <w:rsid w:val="00C544AF"/>
    <w:rsid w:val="00C54918"/>
    <w:rsid w:val="00C5503F"/>
    <w:rsid w:val="00C55617"/>
    <w:rsid w:val="00C61864"/>
    <w:rsid w:val="00C64222"/>
    <w:rsid w:val="00C704DB"/>
    <w:rsid w:val="00C724AF"/>
    <w:rsid w:val="00C81A4D"/>
    <w:rsid w:val="00C864A0"/>
    <w:rsid w:val="00C90840"/>
    <w:rsid w:val="00C9271F"/>
    <w:rsid w:val="00CA08D6"/>
    <w:rsid w:val="00CB1C6C"/>
    <w:rsid w:val="00CB44E5"/>
    <w:rsid w:val="00CB742D"/>
    <w:rsid w:val="00CB7FF8"/>
    <w:rsid w:val="00CC06CB"/>
    <w:rsid w:val="00CC0BA1"/>
    <w:rsid w:val="00CC5AF7"/>
    <w:rsid w:val="00CC718B"/>
    <w:rsid w:val="00CD4596"/>
    <w:rsid w:val="00CD4D60"/>
    <w:rsid w:val="00CE0274"/>
    <w:rsid w:val="00CE11D4"/>
    <w:rsid w:val="00CE1386"/>
    <w:rsid w:val="00CE6889"/>
    <w:rsid w:val="00CF0FD6"/>
    <w:rsid w:val="00CF2B14"/>
    <w:rsid w:val="00D019C2"/>
    <w:rsid w:val="00D04929"/>
    <w:rsid w:val="00D07D82"/>
    <w:rsid w:val="00D11A96"/>
    <w:rsid w:val="00D125AE"/>
    <w:rsid w:val="00D12A1A"/>
    <w:rsid w:val="00D1657B"/>
    <w:rsid w:val="00D20584"/>
    <w:rsid w:val="00D2350F"/>
    <w:rsid w:val="00D2528A"/>
    <w:rsid w:val="00D278BC"/>
    <w:rsid w:val="00D324A2"/>
    <w:rsid w:val="00D446A3"/>
    <w:rsid w:val="00D4671E"/>
    <w:rsid w:val="00D50474"/>
    <w:rsid w:val="00D525BF"/>
    <w:rsid w:val="00D528F6"/>
    <w:rsid w:val="00D53CF4"/>
    <w:rsid w:val="00D604FA"/>
    <w:rsid w:val="00D6751A"/>
    <w:rsid w:val="00D749FD"/>
    <w:rsid w:val="00D7586B"/>
    <w:rsid w:val="00D83711"/>
    <w:rsid w:val="00D838E9"/>
    <w:rsid w:val="00D84DBA"/>
    <w:rsid w:val="00D85B82"/>
    <w:rsid w:val="00D86DCC"/>
    <w:rsid w:val="00D92D63"/>
    <w:rsid w:val="00D94DD0"/>
    <w:rsid w:val="00DA3C09"/>
    <w:rsid w:val="00DA61AD"/>
    <w:rsid w:val="00DA677A"/>
    <w:rsid w:val="00DB0A46"/>
    <w:rsid w:val="00DB4A22"/>
    <w:rsid w:val="00DB755C"/>
    <w:rsid w:val="00DC116B"/>
    <w:rsid w:val="00DC1D33"/>
    <w:rsid w:val="00DC5291"/>
    <w:rsid w:val="00DC5E90"/>
    <w:rsid w:val="00DC5FF2"/>
    <w:rsid w:val="00DD0D3A"/>
    <w:rsid w:val="00DD24CB"/>
    <w:rsid w:val="00DE050B"/>
    <w:rsid w:val="00DE0A0E"/>
    <w:rsid w:val="00DE3317"/>
    <w:rsid w:val="00DE510A"/>
    <w:rsid w:val="00DE6F5C"/>
    <w:rsid w:val="00DE779D"/>
    <w:rsid w:val="00DF134C"/>
    <w:rsid w:val="00DF3709"/>
    <w:rsid w:val="00DF61B6"/>
    <w:rsid w:val="00DF62FA"/>
    <w:rsid w:val="00E0626D"/>
    <w:rsid w:val="00E07056"/>
    <w:rsid w:val="00E11840"/>
    <w:rsid w:val="00E15A3D"/>
    <w:rsid w:val="00E322A3"/>
    <w:rsid w:val="00E344C5"/>
    <w:rsid w:val="00E34CF2"/>
    <w:rsid w:val="00E35063"/>
    <w:rsid w:val="00E35CA8"/>
    <w:rsid w:val="00E36B83"/>
    <w:rsid w:val="00E42EB2"/>
    <w:rsid w:val="00E51004"/>
    <w:rsid w:val="00E56723"/>
    <w:rsid w:val="00E615CF"/>
    <w:rsid w:val="00E619F3"/>
    <w:rsid w:val="00E62B2E"/>
    <w:rsid w:val="00E6694E"/>
    <w:rsid w:val="00E66A03"/>
    <w:rsid w:val="00E72356"/>
    <w:rsid w:val="00E7280C"/>
    <w:rsid w:val="00E75AFF"/>
    <w:rsid w:val="00E82682"/>
    <w:rsid w:val="00E854F2"/>
    <w:rsid w:val="00E90B38"/>
    <w:rsid w:val="00E943EB"/>
    <w:rsid w:val="00E94F51"/>
    <w:rsid w:val="00E953E2"/>
    <w:rsid w:val="00EA07C4"/>
    <w:rsid w:val="00EA1B51"/>
    <w:rsid w:val="00EA3D07"/>
    <w:rsid w:val="00EA42B7"/>
    <w:rsid w:val="00EB3EDB"/>
    <w:rsid w:val="00EB69D4"/>
    <w:rsid w:val="00EC18BA"/>
    <w:rsid w:val="00EC1E7F"/>
    <w:rsid w:val="00EC51DE"/>
    <w:rsid w:val="00ED0B54"/>
    <w:rsid w:val="00ED1D6E"/>
    <w:rsid w:val="00ED3559"/>
    <w:rsid w:val="00ED47F6"/>
    <w:rsid w:val="00ED5FAA"/>
    <w:rsid w:val="00ED7DE4"/>
    <w:rsid w:val="00EE1A95"/>
    <w:rsid w:val="00EE2895"/>
    <w:rsid w:val="00EE2DBE"/>
    <w:rsid w:val="00EE3B51"/>
    <w:rsid w:val="00EF20EA"/>
    <w:rsid w:val="00EF5F4B"/>
    <w:rsid w:val="00EF6AF7"/>
    <w:rsid w:val="00F0174A"/>
    <w:rsid w:val="00F03DAC"/>
    <w:rsid w:val="00F068BC"/>
    <w:rsid w:val="00F12128"/>
    <w:rsid w:val="00F138E2"/>
    <w:rsid w:val="00F15EE4"/>
    <w:rsid w:val="00F21558"/>
    <w:rsid w:val="00F23698"/>
    <w:rsid w:val="00F259E4"/>
    <w:rsid w:val="00F26ED1"/>
    <w:rsid w:val="00F30070"/>
    <w:rsid w:val="00F32995"/>
    <w:rsid w:val="00F37395"/>
    <w:rsid w:val="00F374F3"/>
    <w:rsid w:val="00F4331D"/>
    <w:rsid w:val="00F46F36"/>
    <w:rsid w:val="00F47A62"/>
    <w:rsid w:val="00F519B2"/>
    <w:rsid w:val="00F51FB2"/>
    <w:rsid w:val="00F54283"/>
    <w:rsid w:val="00F6022B"/>
    <w:rsid w:val="00F62DFC"/>
    <w:rsid w:val="00F67422"/>
    <w:rsid w:val="00F72A9D"/>
    <w:rsid w:val="00F7414B"/>
    <w:rsid w:val="00F75BD8"/>
    <w:rsid w:val="00F769E1"/>
    <w:rsid w:val="00F82097"/>
    <w:rsid w:val="00F82851"/>
    <w:rsid w:val="00F83E77"/>
    <w:rsid w:val="00F85C6A"/>
    <w:rsid w:val="00F93B02"/>
    <w:rsid w:val="00F952CC"/>
    <w:rsid w:val="00F97B48"/>
    <w:rsid w:val="00FA2D4F"/>
    <w:rsid w:val="00FA2E03"/>
    <w:rsid w:val="00FA4B73"/>
    <w:rsid w:val="00FA6F52"/>
    <w:rsid w:val="00FB036C"/>
    <w:rsid w:val="00FC2F8C"/>
    <w:rsid w:val="00FD09D0"/>
    <w:rsid w:val="00FD2F71"/>
    <w:rsid w:val="00FD593B"/>
    <w:rsid w:val="00FD5CD7"/>
    <w:rsid w:val="00FD6373"/>
    <w:rsid w:val="00FD67E2"/>
    <w:rsid w:val="00FE0131"/>
    <w:rsid w:val="00FE23F1"/>
    <w:rsid w:val="00FE3A1C"/>
    <w:rsid w:val="00FE74D4"/>
    <w:rsid w:val="00FF5A18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681E"/>
  <w15:chartTrackingRefBased/>
  <w15:docId w15:val="{00391CCF-90E2-41E7-BC90-AB7AE8F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2F7F2D"/>
  </w:style>
  <w:style w:type="paragraph" w:customStyle="1" w:styleId="box464511">
    <w:name w:val="box_464511"/>
    <w:basedOn w:val="Normal"/>
    <w:rsid w:val="002F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roj-clanka">
    <w:name w:val="broj-clanka"/>
    <w:basedOn w:val="Zadanifontodlomka"/>
    <w:rsid w:val="002F7F2D"/>
  </w:style>
  <w:style w:type="character" w:customStyle="1" w:styleId="kurziv">
    <w:name w:val="kurziv"/>
    <w:basedOn w:val="Zadanifontodlomka"/>
    <w:rsid w:val="002F7F2D"/>
  </w:style>
  <w:style w:type="character" w:customStyle="1" w:styleId="bold">
    <w:name w:val="bold"/>
    <w:basedOn w:val="Zadanifontodlomka"/>
    <w:rsid w:val="002F7F2D"/>
  </w:style>
  <w:style w:type="paragraph" w:styleId="Tekstbalonia">
    <w:name w:val="Balloon Text"/>
    <w:basedOn w:val="Normal"/>
    <w:link w:val="TekstbaloniaChar"/>
    <w:uiPriority w:val="99"/>
    <w:semiHidden/>
    <w:unhideWhenUsed/>
    <w:rsid w:val="002F7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F2D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F4B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F4BC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F4BC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F4BC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F4BC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AF4BC1"/>
    <w:pPr>
      <w:ind w:left="720"/>
      <w:contextualSpacing/>
    </w:pPr>
  </w:style>
  <w:style w:type="paragraph" w:styleId="Revizija">
    <w:name w:val="Revision"/>
    <w:hidden/>
    <w:uiPriority w:val="99"/>
    <w:semiHidden/>
    <w:rsid w:val="00746A7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FE3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E3A1C"/>
  </w:style>
  <w:style w:type="paragraph" w:styleId="Podnoje">
    <w:name w:val="footer"/>
    <w:basedOn w:val="Normal"/>
    <w:link w:val="PodnojeChar"/>
    <w:uiPriority w:val="99"/>
    <w:semiHidden/>
    <w:unhideWhenUsed/>
    <w:rsid w:val="00FE3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E3A1C"/>
  </w:style>
  <w:style w:type="character" w:styleId="Tekstrezerviranogmjesta">
    <w:name w:val="Placeholder Text"/>
    <w:basedOn w:val="Zadanifontodlomka"/>
    <w:uiPriority w:val="99"/>
    <w:semiHidden/>
    <w:rsid w:val="00624E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498C6C1BCB1E4B8B4D33B2B8458976" ma:contentTypeVersion="1" ma:contentTypeDescription="Stvaranje novog dokumenta." ma:contentTypeScope="" ma:versionID="8961ffd4926edc9caa025a40069fc306">
  <xsd:schema xmlns:xsd="http://www.w3.org/2001/XMLSchema" xmlns:xs="http://www.w3.org/2001/XMLSchema" xmlns:p="http://schemas.microsoft.com/office/2006/metadata/properties" xmlns:ns2="9378ee18-36ea-4734-930d-39094cb2dac0" targetNamespace="http://schemas.microsoft.com/office/2006/metadata/properties" ma:root="true" ma:fieldsID="be705a24eb803051940d64ffe6da0a79" ns2:_="">
    <xsd:import namespace="9378ee18-36ea-4734-930d-39094cb2da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ee18-36ea-4734-930d-39094cb2da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56D8-FFDE-4BA5-BF9B-BA1C7E668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B615C-0828-4D22-9E28-F87C14608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CA0C8E-FAC8-4D8E-A9F5-47ABA6700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8ee18-36ea-4734-930d-39094cb2d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3BF22-43B0-4BB8-8901-67CFCC15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6386</Words>
  <Characters>36401</Characters>
  <Application>Microsoft Office Word</Application>
  <DocSecurity>0</DocSecurity>
  <Lines>303</Lines>
  <Paragraphs>85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 Fućak</dc:creator>
  <cp:keywords/>
  <dc:description/>
  <cp:lastModifiedBy>Zdravka Zmajlović</cp:lastModifiedBy>
  <cp:revision>2</cp:revision>
  <cp:lastPrinted>2022-11-02T09:32:00Z</cp:lastPrinted>
  <dcterms:created xsi:type="dcterms:W3CDTF">2022-11-03T13:40:00Z</dcterms:created>
  <dcterms:modified xsi:type="dcterms:W3CDTF">2022-11-03T13:40:00Z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0x01010009498C6C1BCB1E4B8B4D33B2B8458976</vt:lpwstr>
  </property>
</Properties>
</file>