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1CB8" w:rsidRPr="00851B8F" w:rsidRDefault="00491CB8" w:rsidP="00491CB8">
      <w:pPr>
        <w:pStyle w:val="Naslov"/>
        <w:jc w:val="left"/>
        <w:rPr>
          <w:b/>
          <w:bCs/>
          <w:sz w:val="24"/>
        </w:rPr>
      </w:pPr>
    </w:p>
    <w:p w:rsidR="008E2637" w:rsidRPr="00851B8F" w:rsidRDefault="008E2637" w:rsidP="00310ACD">
      <w:pPr>
        <w:pStyle w:val="Naslov"/>
        <w:tabs>
          <w:tab w:val="left" w:pos="720"/>
        </w:tabs>
        <w:jc w:val="both"/>
        <w:rPr>
          <w:sz w:val="24"/>
        </w:rPr>
      </w:pPr>
    </w:p>
    <w:p w:rsidR="00A24133" w:rsidRPr="00851B8F" w:rsidRDefault="00A24133" w:rsidP="00A24133">
      <w:pPr>
        <w:pStyle w:val="Naslov"/>
        <w:tabs>
          <w:tab w:val="left" w:pos="720"/>
        </w:tabs>
        <w:jc w:val="both"/>
        <w:rPr>
          <w:sz w:val="24"/>
        </w:rPr>
      </w:pPr>
      <w:r w:rsidRPr="00851B8F">
        <w:rPr>
          <w:sz w:val="24"/>
        </w:rPr>
        <w:t xml:space="preserve">Na temelju članaka 97. stavak 2. Zakona o trošarinama </w:t>
      </w:r>
      <w:bookmarkStart w:id="0" w:name="_Hlk24718646"/>
      <w:r w:rsidRPr="00851B8F">
        <w:rPr>
          <w:sz w:val="24"/>
        </w:rPr>
        <w:t>(„Narodne novine“, br</w:t>
      </w:r>
      <w:r w:rsidR="001E10E4">
        <w:rPr>
          <w:sz w:val="24"/>
        </w:rPr>
        <w:t>.</w:t>
      </w:r>
      <w:r w:rsidRPr="00851B8F">
        <w:rPr>
          <w:sz w:val="24"/>
        </w:rPr>
        <w:t xml:space="preserve"> 106/18</w:t>
      </w:r>
      <w:r w:rsidR="006F5F73">
        <w:rPr>
          <w:sz w:val="24"/>
        </w:rPr>
        <w:t>.</w:t>
      </w:r>
      <w:r>
        <w:rPr>
          <w:sz w:val="24"/>
        </w:rPr>
        <w:t>,</w:t>
      </w:r>
      <w:r w:rsidRPr="00851B8F">
        <w:rPr>
          <w:sz w:val="24"/>
        </w:rPr>
        <w:t xml:space="preserve"> 121/19</w:t>
      </w:r>
      <w:r w:rsidR="006F5F73">
        <w:rPr>
          <w:sz w:val="24"/>
        </w:rPr>
        <w:t>.</w:t>
      </w:r>
      <w:r>
        <w:rPr>
          <w:sz w:val="24"/>
        </w:rPr>
        <w:t xml:space="preserve"> i 144/21</w:t>
      </w:r>
      <w:r w:rsidR="006F5F73">
        <w:rPr>
          <w:sz w:val="24"/>
        </w:rPr>
        <w:t>.</w:t>
      </w:r>
      <w:r w:rsidRPr="00851B8F">
        <w:rPr>
          <w:sz w:val="24"/>
        </w:rPr>
        <w:t>)</w:t>
      </w:r>
      <w:bookmarkEnd w:id="0"/>
      <w:r w:rsidRPr="00851B8F">
        <w:rPr>
          <w:sz w:val="24"/>
        </w:rPr>
        <w:t>, Vlada Republike Hrvatske je na sjednici održanoj _____________202</w:t>
      </w:r>
      <w:r>
        <w:rPr>
          <w:sz w:val="24"/>
        </w:rPr>
        <w:t>2</w:t>
      </w:r>
      <w:r w:rsidRPr="00851B8F">
        <w:rPr>
          <w:sz w:val="24"/>
        </w:rPr>
        <w:t>. donijela</w:t>
      </w:r>
    </w:p>
    <w:p w:rsidR="00A24133" w:rsidRPr="00851B8F" w:rsidRDefault="00A24133" w:rsidP="00A24133">
      <w:pPr>
        <w:pStyle w:val="Naslov"/>
        <w:tabs>
          <w:tab w:val="left" w:pos="720"/>
        </w:tabs>
        <w:jc w:val="both"/>
        <w:rPr>
          <w:b/>
          <w:bCs/>
          <w:sz w:val="24"/>
        </w:rPr>
      </w:pPr>
    </w:p>
    <w:p w:rsidR="00A24133" w:rsidRPr="00B02A87" w:rsidRDefault="00A24133" w:rsidP="00B02A87">
      <w:pPr>
        <w:pStyle w:val="Naslov"/>
        <w:rPr>
          <w:b/>
          <w:bCs/>
        </w:rPr>
      </w:pPr>
      <w:r w:rsidRPr="00B02A87">
        <w:rPr>
          <w:b/>
          <w:bCs/>
        </w:rPr>
        <w:t>UREDBU</w:t>
      </w:r>
    </w:p>
    <w:p w:rsidR="00A24133" w:rsidRPr="00B02A87" w:rsidRDefault="00A24133" w:rsidP="00B02A87">
      <w:pPr>
        <w:pStyle w:val="Naslov"/>
        <w:rPr>
          <w:b/>
          <w:bCs/>
          <w:szCs w:val="28"/>
        </w:rPr>
      </w:pPr>
      <w:r w:rsidRPr="00B02A87">
        <w:rPr>
          <w:b/>
          <w:bCs/>
          <w:szCs w:val="28"/>
        </w:rPr>
        <w:t xml:space="preserve">O VISINI TROŠARINE NA ENERGENTE I ELEKTRIČNU ENERGIJU  </w:t>
      </w:r>
    </w:p>
    <w:p w:rsidR="00A24133" w:rsidRDefault="00A24133" w:rsidP="00B02A87">
      <w:pPr>
        <w:pStyle w:val="Naslov"/>
        <w:rPr>
          <w:b/>
          <w:bCs/>
          <w:szCs w:val="28"/>
        </w:rPr>
      </w:pPr>
    </w:p>
    <w:p w:rsidR="002D01B9" w:rsidRPr="00B02A87" w:rsidRDefault="002D01B9" w:rsidP="00B02A87">
      <w:pPr>
        <w:pStyle w:val="Naslov"/>
        <w:rPr>
          <w:b/>
          <w:bCs/>
          <w:szCs w:val="28"/>
        </w:rPr>
      </w:pPr>
    </w:p>
    <w:p w:rsidR="00A24133" w:rsidRPr="002D01B9" w:rsidRDefault="00A24133" w:rsidP="002D01B9">
      <w:pPr>
        <w:pStyle w:val="Naslov1"/>
      </w:pPr>
      <w:r w:rsidRPr="002D01B9">
        <w:t>Uvodne odredbe</w:t>
      </w:r>
    </w:p>
    <w:p w:rsidR="00A24133" w:rsidRPr="002D01B9" w:rsidRDefault="00A24133" w:rsidP="002D01B9">
      <w:pPr>
        <w:pStyle w:val="Naslov2"/>
      </w:pPr>
      <w:r w:rsidRPr="002D01B9">
        <w:t>Članak 1.</w:t>
      </w:r>
    </w:p>
    <w:p w:rsidR="00A24133" w:rsidRPr="00851B8F" w:rsidRDefault="00A24133" w:rsidP="00A24133">
      <w:pPr>
        <w:pStyle w:val="StandardWeb"/>
        <w:jc w:val="both"/>
        <w:rPr>
          <w:rFonts w:ascii="Times New Roman" w:hAnsi="Times New Roman" w:cs="Times New Roman"/>
        </w:rPr>
      </w:pPr>
      <w:r w:rsidRPr="00851B8F">
        <w:rPr>
          <w:rFonts w:ascii="Times New Roman" w:hAnsi="Times New Roman" w:cs="Times New Roman"/>
        </w:rPr>
        <w:t>Ovom Uredbom utvrđuje se visina trošarine na energente i električnu energiju.</w:t>
      </w:r>
    </w:p>
    <w:p w:rsidR="00A24133" w:rsidRPr="002D01B9" w:rsidRDefault="00A24133" w:rsidP="002D01B9">
      <w:pPr>
        <w:pStyle w:val="Naslov1"/>
      </w:pPr>
      <w:r w:rsidRPr="002D01B9">
        <w:t>Preuzimanje akata Europske unije</w:t>
      </w:r>
    </w:p>
    <w:p w:rsidR="00A24133" w:rsidRPr="002D01B9" w:rsidRDefault="00A24133" w:rsidP="002D01B9">
      <w:pPr>
        <w:pStyle w:val="Naslov2"/>
      </w:pPr>
      <w:r w:rsidRPr="002D01B9">
        <w:t>Članak 2.</w:t>
      </w:r>
    </w:p>
    <w:p w:rsidR="00A24133" w:rsidRPr="00851B8F" w:rsidRDefault="00A24133" w:rsidP="00A24133">
      <w:pPr>
        <w:pStyle w:val="StandardWeb"/>
        <w:tabs>
          <w:tab w:val="left" w:pos="0"/>
        </w:tabs>
        <w:spacing w:before="0" w:beforeAutospacing="0" w:after="0" w:afterAutospacing="0"/>
        <w:jc w:val="center"/>
        <w:rPr>
          <w:rFonts w:ascii="Times New Roman" w:hAnsi="Times New Roman" w:cs="Times New Roman"/>
          <w:b/>
          <w:bCs/>
        </w:rPr>
      </w:pPr>
    </w:p>
    <w:p w:rsidR="00A24133" w:rsidRDefault="00A24133" w:rsidP="00A24133">
      <w:pPr>
        <w:jc w:val="both"/>
      </w:pPr>
      <w:r>
        <w:t xml:space="preserve">Ovom Uredbom u hrvatsko zakonodavstvo preuzima se Direktiva Vijeća 2003/96/EZ od 27. listopada 2003. o restrukturiranju sustava Zajednice za oporezivanje energenata i električne energije Tekst značajan za EGP (SL L 283, 31.10.2003.), kako je posljednji put </w:t>
      </w:r>
      <w:r w:rsidR="00AF4E55">
        <w:t>i</w:t>
      </w:r>
      <w:r>
        <w:t>zmijenjena Provedbenom odlukom Komisije (EU) 2018/552 od 6. travnja 2018. o ažuriranju upućivanja u Direktivi Vijeća 2003/96/EZ na oznake kombinirane nomenklature za određene proizvode (SL L 91, 9.4.2018.).</w:t>
      </w:r>
    </w:p>
    <w:p w:rsidR="00A24133" w:rsidRPr="00851B8F" w:rsidRDefault="00A24133" w:rsidP="00A24133">
      <w:pPr>
        <w:pStyle w:val="Tijeloteksta"/>
        <w:spacing w:after="0"/>
        <w:jc w:val="both"/>
        <w:rPr>
          <w:b/>
          <w:lang w:val="hr-HR"/>
        </w:rPr>
      </w:pPr>
    </w:p>
    <w:p w:rsidR="00A24133" w:rsidRPr="002D01B9" w:rsidRDefault="00A24133" w:rsidP="002D01B9">
      <w:pPr>
        <w:pStyle w:val="Naslov1"/>
      </w:pPr>
      <w:r w:rsidRPr="002D01B9">
        <w:t>Visina trošarine</w:t>
      </w:r>
    </w:p>
    <w:p w:rsidR="00A24133" w:rsidRPr="00B02A87" w:rsidRDefault="00A24133" w:rsidP="00B02A87">
      <w:pPr>
        <w:pStyle w:val="Naslov2"/>
        <w:rPr>
          <w:rFonts w:cs="Times New Roman"/>
          <w:i/>
          <w:iCs w:val="0"/>
          <w:szCs w:val="24"/>
        </w:rPr>
      </w:pPr>
      <w:r w:rsidRPr="002D01B9">
        <w:t>Članak 3</w:t>
      </w:r>
      <w:r w:rsidRPr="00B02A87">
        <w:rPr>
          <w:rFonts w:cs="Times New Roman"/>
          <w:iCs w:val="0"/>
          <w:szCs w:val="24"/>
        </w:rPr>
        <w:t>.</w:t>
      </w:r>
    </w:p>
    <w:p w:rsidR="00A24133" w:rsidRPr="00851B8F" w:rsidRDefault="00A24133" w:rsidP="00A24133">
      <w:pPr>
        <w:pStyle w:val="StandardWeb"/>
        <w:tabs>
          <w:tab w:val="left" w:pos="0"/>
        </w:tabs>
        <w:spacing w:before="0" w:beforeAutospacing="0" w:after="0" w:afterAutospacing="0"/>
        <w:jc w:val="center"/>
        <w:rPr>
          <w:rFonts w:ascii="Times New Roman" w:hAnsi="Times New Roman" w:cs="Times New Roman"/>
          <w:b/>
          <w:bCs/>
        </w:rPr>
      </w:pPr>
    </w:p>
    <w:tbl>
      <w:tblPr>
        <w:tblW w:w="3569" w:type="pct"/>
        <w:tblLook w:val="04A0" w:firstRow="1" w:lastRow="0" w:firstColumn="1" w:lastColumn="0" w:noHBand="0" w:noVBand="1"/>
      </w:tblPr>
      <w:tblGrid>
        <w:gridCol w:w="3594"/>
        <w:gridCol w:w="1366"/>
        <w:gridCol w:w="1507"/>
      </w:tblGrid>
      <w:tr w:rsidR="00A24133" w:rsidRPr="00851B8F" w:rsidTr="00BF30B6">
        <w:trPr>
          <w:trHeight w:val="540"/>
        </w:trPr>
        <w:tc>
          <w:tcPr>
            <w:tcW w:w="2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4133" w:rsidRPr="00851B8F" w:rsidRDefault="00A24133" w:rsidP="00BF30B6">
            <w:pPr>
              <w:rPr>
                <w:b/>
                <w:bCs/>
              </w:rPr>
            </w:pPr>
            <w:r w:rsidRPr="00851B8F">
              <w:rPr>
                <w:b/>
                <w:bCs/>
              </w:rPr>
              <w:t>PREDMET OPOREZIVANJA</w:t>
            </w:r>
          </w:p>
        </w:tc>
        <w:tc>
          <w:tcPr>
            <w:tcW w:w="2221" w:type="pct"/>
            <w:gridSpan w:val="2"/>
            <w:tcBorders>
              <w:top w:val="single" w:sz="4" w:space="0" w:color="auto"/>
              <w:left w:val="nil"/>
              <w:bottom w:val="nil"/>
              <w:right w:val="single" w:sz="4" w:space="0" w:color="auto"/>
            </w:tcBorders>
            <w:shd w:val="clear" w:color="auto" w:fill="auto"/>
            <w:vAlign w:val="center"/>
            <w:hideMark/>
          </w:tcPr>
          <w:p w:rsidR="00A24133" w:rsidRPr="00851B8F" w:rsidRDefault="00A24133" w:rsidP="00BF30B6">
            <w:pPr>
              <w:jc w:val="center"/>
              <w:rPr>
                <w:b/>
                <w:bCs/>
              </w:rPr>
            </w:pPr>
            <w:r w:rsidRPr="00851B8F">
              <w:rPr>
                <w:b/>
                <w:bCs/>
              </w:rPr>
              <w:t xml:space="preserve">Visina trošarine u </w:t>
            </w:r>
            <w:r>
              <w:rPr>
                <w:b/>
                <w:bCs/>
              </w:rPr>
              <w:t>eurima</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Olovni motorni benzin</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597,25</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t>EUR</w:t>
            </w:r>
            <w:r w:rsidRPr="00851B8F">
              <w:t>/1000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Bezolovni motorni benzin</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pPr>
            <w:r>
              <w:t>512,31</w:t>
            </w: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pPr>
            <w:r w:rsidRPr="0037395B">
              <w:t>EUR/1000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Motorni benzin za zrakoplove</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597,25</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Dizelsko gorivo</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pPr>
            <w:r>
              <w:t>406,13</w:t>
            </w: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pPr>
            <w:r w:rsidRPr="0037395B">
              <w:t>EUR/1000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Lož ulje</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56,14</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Plavi dizel</w:t>
            </w:r>
          </w:p>
        </w:tc>
        <w:tc>
          <w:tcPr>
            <w:tcW w:w="1056" w:type="pct"/>
            <w:tcBorders>
              <w:top w:val="nil"/>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rsidRPr="00851B8F">
              <w:t>0,00</w:t>
            </w:r>
          </w:p>
        </w:tc>
        <w:tc>
          <w:tcPr>
            <w:tcW w:w="1165" w:type="pct"/>
            <w:tcBorders>
              <w:top w:val="nil"/>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Kerozin – petrolej</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rPr>
                <w:b/>
                <w:bCs/>
              </w:rPr>
            </w:pP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rPr>
                <w:b/>
                <w:bCs/>
              </w:rPr>
            </w:pP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pogon</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353,04</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grijanje</w:t>
            </w:r>
          </w:p>
        </w:tc>
        <w:tc>
          <w:tcPr>
            <w:tcW w:w="1056" w:type="pct"/>
            <w:tcBorders>
              <w:top w:val="nil"/>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232,53</w:t>
            </w:r>
          </w:p>
        </w:tc>
        <w:tc>
          <w:tcPr>
            <w:tcW w:w="1165" w:type="pct"/>
            <w:tcBorders>
              <w:top w:val="nil"/>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EUR/1000 l</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UNP – ukapljeni naftni plin</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rPr>
                <w:b/>
                <w:bCs/>
              </w:rPr>
            </w:pP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rPr>
                <w:b/>
                <w:bCs/>
              </w:rPr>
            </w:pP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pogon</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13,27</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t>EUR</w:t>
            </w:r>
            <w:r w:rsidRPr="00851B8F">
              <w:t>/1000 kg</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grijanje</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13,27</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EUR/1000 kg</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lastRenderedPageBreak/>
              <w:t>Teško loživo ulje</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21,24</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EUR/1000 kg</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Prirodni plin</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rPr>
                <w:b/>
                <w:bCs/>
              </w:rPr>
            </w:pP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rPr>
                <w:b/>
                <w:bCs/>
              </w:rPr>
            </w:pP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pogon</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rsidRPr="00851B8F">
              <w:t>0,00</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t>EUR</w:t>
            </w:r>
            <w:r w:rsidRPr="00851B8F">
              <w:t>/MWh</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grijanje za poslovnu uporabu</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pPr>
            <w:r>
              <w:t>0,54</w:t>
            </w: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pPr>
            <w:r w:rsidRPr="0037395B">
              <w:t>EUR/MWh</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grijanje za neposlovnu uporabu</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1,08</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EUR/MWh</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Kruta goriva</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rPr>
                <w:b/>
                <w:bCs/>
              </w:rPr>
            </w:pP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rPr>
                <w:b/>
                <w:bCs/>
              </w:rPr>
            </w:pP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poslovnu uporabu</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0,31</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t>EUR</w:t>
            </w:r>
            <w:r w:rsidRPr="00851B8F">
              <w:t>/GJ</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neposlovnu uporabu</w:t>
            </w:r>
          </w:p>
        </w:tc>
        <w:tc>
          <w:tcPr>
            <w:tcW w:w="1056" w:type="pct"/>
            <w:tcBorders>
              <w:top w:val="nil"/>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0,31</w:t>
            </w:r>
          </w:p>
        </w:tc>
        <w:tc>
          <w:tcPr>
            <w:tcW w:w="1165" w:type="pct"/>
            <w:tcBorders>
              <w:top w:val="nil"/>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t>EUR</w:t>
            </w:r>
            <w:r w:rsidRPr="00851B8F">
              <w:t>/GJ</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Električna energija</w:t>
            </w:r>
          </w:p>
        </w:tc>
        <w:tc>
          <w:tcPr>
            <w:tcW w:w="1056" w:type="pct"/>
            <w:tcBorders>
              <w:top w:val="nil"/>
              <w:left w:val="single" w:sz="4" w:space="0" w:color="auto"/>
              <w:bottom w:val="nil"/>
              <w:right w:val="nil"/>
            </w:tcBorders>
            <w:shd w:val="clear" w:color="auto" w:fill="auto"/>
            <w:vAlign w:val="center"/>
            <w:hideMark/>
          </w:tcPr>
          <w:p w:rsidR="00A24133" w:rsidRPr="00851B8F" w:rsidRDefault="00A24133" w:rsidP="00BF30B6">
            <w:pPr>
              <w:jc w:val="center"/>
              <w:rPr>
                <w:b/>
                <w:bCs/>
              </w:rPr>
            </w:pPr>
          </w:p>
        </w:tc>
        <w:tc>
          <w:tcPr>
            <w:tcW w:w="1165" w:type="pct"/>
            <w:tcBorders>
              <w:top w:val="nil"/>
              <w:left w:val="nil"/>
              <w:bottom w:val="nil"/>
              <w:right w:val="single" w:sz="4" w:space="0" w:color="auto"/>
            </w:tcBorders>
            <w:shd w:val="clear" w:color="auto" w:fill="auto"/>
            <w:vAlign w:val="center"/>
            <w:hideMark/>
          </w:tcPr>
          <w:p w:rsidR="00A24133" w:rsidRPr="00851B8F" w:rsidRDefault="00A24133" w:rsidP="00BF30B6">
            <w:pPr>
              <w:jc w:val="center"/>
              <w:rPr>
                <w:b/>
                <w:bCs/>
              </w:rPr>
            </w:pP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poslovnu uporabu</w:t>
            </w:r>
          </w:p>
        </w:tc>
        <w:tc>
          <w:tcPr>
            <w:tcW w:w="1056"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0,50</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EUR/MWh</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r w:rsidRPr="00851B8F">
              <w:t>- za neposlovnu uporabu</w:t>
            </w:r>
          </w:p>
        </w:tc>
        <w:tc>
          <w:tcPr>
            <w:tcW w:w="1056" w:type="pct"/>
            <w:tcBorders>
              <w:top w:val="nil"/>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t>1,00</w:t>
            </w:r>
          </w:p>
        </w:tc>
        <w:tc>
          <w:tcPr>
            <w:tcW w:w="1165" w:type="pct"/>
            <w:tcBorders>
              <w:top w:val="nil"/>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rsidRPr="0037395B">
              <w:t>EUR/MWh</w:t>
            </w:r>
          </w:p>
        </w:tc>
      </w:tr>
      <w:tr w:rsidR="00A24133" w:rsidRPr="00851B8F" w:rsidTr="00BF30B6">
        <w:trPr>
          <w:trHeight w:val="360"/>
        </w:trPr>
        <w:tc>
          <w:tcPr>
            <w:tcW w:w="2779" w:type="pct"/>
            <w:tcBorders>
              <w:top w:val="single" w:sz="4" w:space="0" w:color="auto"/>
              <w:left w:val="single" w:sz="4" w:space="0" w:color="auto"/>
              <w:bottom w:val="single" w:sz="4" w:space="0" w:color="auto"/>
              <w:right w:val="nil"/>
            </w:tcBorders>
            <w:shd w:val="clear" w:color="auto" w:fill="auto"/>
            <w:vAlign w:val="center"/>
            <w:hideMark/>
          </w:tcPr>
          <w:p w:rsidR="00A24133" w:rsidRPr="00851B8F" w:rsidRDefault="00A24133" w:rsidP="00BF30B6">
            <w:pPr>
              <w:rPr>
                <w:b/>
                <w:bCs/>
              </w:rPr>
            </w:pPr>
            <w:r w:rsidRPr="00851B8F">
              <w:rPr>
                <w:b/>
                <w:bCs/>
              </w:rPr>
              <w:t>Biogoriva</w:t>
            </w:r>
          </w:p>
        </w:tc>
        <w:tc>
          <w:tcPr>
            <w:tcW w:w="1056" w:type="pct"/>
            <w:tcBorders>
              <w:top w:val="nil"/>
              <w:left w:val="single" w:sz="4" w:space="0" w:color="auto"/>
              <w:bottom w:val="single" w:sz="4" w:space="0" w:color="auto"/>
              <w:right w:val="nil"/>
            </w:tcBorders>
            <w:shd w:val="clear" w:color="auto" w:fill="auto"/>
            <w:vAlign w:val="center"/>
            <w:hideMark/>
          </w:tcPr>
          <w:p w:rsidR="00A24133" w:rsidRPr="00851B8F" w:rsidRDefault="00A24133" w:rsidP="00BF30B6">
            <w:pPr>
              <w:jc w:val="center"/>
            </w:pPr>
            <w:r w:rsidRPr="00851B8F">
              <w:t>0,00</w:t>
            </w:r>
          </w:p>
        </w:tc>
        <w:tc>
          <w:tcPr>
            <w:tcW w:w="1165" w:type="pct"/>
            <w:tcBorders>
              <w:top w:val="nil"/>
              <w:left w:val="nil"/>
              <w:bottom w:val="single" w:sz="4" w:space="0" w:color="auto"/>
              <w:right w:val="single" w:sz="4" w:space="0" w:color="auto"/>
            </w:tcBorders>
            <w:shd w:val="clear" w:color="auto" w:fill="auto"/>
            <w:vAlign w:val="center"/>
            <w:hideMark/>
          </w:tcPr>
          <w:p w:rsidR="00A24133" w:rsidRPr="00851B8F" w:rsidRDefault="00A24133" w:rsidP="00BF30B6">
            <w:pPr>
              <w:jc w:val="center"/>
            </w:pPr>
            <w:r>
              <w:t>EUR</w:t>
            </w:r>
          </w:p>
        </w:tc>
      </w:tr>
    </w:tbl>
    <w:p w:rsidR="00A24133" w:rsidRPr="00851B8F" w:rsidRDefault="00A24133" w:rsidP="00A24133">
      <w:pPr>
        <w:pStyle w:val="StandardWeb"/>
        <w:spacing w:before="0" w:beforeAutospacing="0" w:after="0" w:afterAutospacing="0"/>
        <w:jc w:val="center"/>
        <w:rPr>
          <w:rFonts w:ascii="Times New Roman" w:hAnsi="Times New Roman" w:cs="Times New Roman"/>
          <w:b/>
          <w:bCs/>
          <w:i/>
        </w:rPr>
      </w:pPr>
    </w:p>
    <w:p w:rsidR="00A24133" w:rsidRPr="002D01B9" w:rsidRDefault="00A24133" w:rsidP="002D01B9">
      <w:pPr>
        <w:pStyle w:val="Naslov1"/>
        <w:rPr>
          <w:rFonts w:eastAsia="Calibri"/>
        </w:rPr>
      </w:pPr>
      <w:r w:rsidRPr="002D01B9">
        <w:rPr>
          <w:rFonts w:eastAsia="Calibri"/>
        </w:rPr>
        <w:t>Prestanak važenja</w:t>
      </w:r>
    </w:p>
    <w:p w:rsidR="00A24133" w:rsidRPr="002D01B9" w:rsidRDefault="00A24133" w:rsidP="002D01B9">
      <w:pPr>
        <w:pStyle w:val="Naslov2"/>
        <w:rPr>
          <w:rFonts w:eastAsia="Calibri"/>
        </w:rPr>
      </w:pPr>
      <w:r w:rsidRPr="002D01B9">
        <w:rPr>
          <w:rFonts w:eastAsia="Calibri"/>
        </w:rPr>
        <w:t>Članak 4.</w:t>
      </w:r>
    </w:p>
    <w:p w:rsidR="00A24133" w:rsidRPr="0037395B" w:rsidRDefault="00A24133" w:rsidP="005D55FE">
      <w:pPr>
        <w:spacing w:before="100" w:beforeAutospacing="1" w:after="100" w:afterAutospacing="1" w:line="276" w:lineRule="auto"/>
        <w:jc w:val="both"/>
        <w:rPr>
          <w:rFonts w:eastAsia="Calibri"/>
        </w:rPr>
      </w:pPr>
      <w:r w:rsidRPr="0037395B">
        <w:rPr>
          <w:rFonts w:eastAsia="Calibri"/>
        </w:rPr>
        <w:t xml:space="preserve">Danom stupanja na snagu ove Uredbe prestaje važiti </w:t>
      </w:r>
      <w:r w:rsidRPr="006869CF">
        <w:rPr>
          <w:rFonts w:eastAsia="Calibri"/>
        </w:rPr>
        <w:t>Uredb</w:t>
      </w:r>
      <w:r>
        <w:rPr>
          <w:rFonts w:eastAsia="Calibri"/>
        </w:rPr>
        <w:t>a</w:t>
      </w:r>
      <w:r w:rsidRPr="006869CF">
        <w:rPr>
          <w:rFonts w:eastAsia="Calibri"/>
        </w:rPr>
        <w:t xml:space="preserve"> o visini trošarine na energente i električnu energiju </w:t>
      </w:r>
      <w:r w:rsidR="006519BC" w:rsidRPr="006519BC">
        <w:rPr>
          <w:rFonts w:eastAsia="Calibri"/>
        </w:rPr>
        <w:t>(„Narodne novine“, br. 148/20., 28/22., 64/22., 76/22., 83/22., 89/22., 100/22.</w:t>
      </w:r>
      <w:r w:rsidR="001849F1">
        <w:rPr>
          <w:rFonts w:eastAsia="Calibri"/>
        </w:rPr>
        <w:t>,</w:t>
      </w:r>
      <w:r w:rsidR="006519BC" w:rsidRPr="006519BC">
        <w:rPr>
          <w:rFonts w:eastAsia="Calibri"/>
        </w:rPr>
        <w:t xml:space="preserve"> 113/22</w:t>
      </w:r>
      <w:r w:rsidR="005D55FE">
        <w:rPr>
          <w:rFonts w:eastAsia="Calibri"/>
        </w:rPr>
        <w:t>, 126/22.</w:t>
      </w:r>
      <w:r w:rsidR="001849F1">
        <w:rPr>
          <w:rFonts w:eastAsia="Calibri"/>
        </w:rPr>
        <w:t xml:space="preserve"> i /22</w:t>
      </w:r>
      <w:r w:rsidR="006519BC" w:rsidRPr="006519BC">
        <w:rPr>
          <w:rFonts w:eastAsia="Calibri"/>
        </w:rPr>
        <w:t>)</w:t>
      </w:r>
      <w:r w:rsidR="009E5A7D">
        <w:rPr>
          <w:rFonts w:eastAsia="Calibri"/>
        </w:rPr>
        <w:t>.</w:t>
      </w:r>
    </w:p>
    <w:p w:rsidR="00A24133" w:rsidRPr="002D01B9" w:rsidRDefault="00A24133" w:rsidP="002D01B9">
      <w:pPr>
        <w:pStyle w:val="Naslov1"/>
        <w:rPr>
          <w:rFonts w:eastAsia="Calibri"/>
        </w:rPr>
      </w:pPr>
      <w:r w:rsidRPr="002D01B9">
        <w:rPr>
          <w:rFonts w:eastAsia="Calibri"/>
        </w:rPr>
        <w:t>Stupanje na snagu</w:t>
      </w:r>
    </w:p>
    <w:p w:rsidR="00A24133" w:rsidRDefault="00A24133" w:rsidP="002D01B9">
      <w:pPr>
        <w:pStyle w:val="Naslov2"/>
        <w:rPr>
          <w:rFonts w:eastAsia="Calibri"/>
        </w:rPr>
      </w:pPr>
      <w:r w:rsidRPr="002D01B9">
        <w:rPr>
          <w:rFonts w:eastAsia="Calibri"/>
        </w:rPr>
        <w:t xml:space="preserve">Članak </w:t>
      </w:r>
      <w:r w:rsidR="005D55FE" w:rsidRPr="002D01B9">
        <w:rPr>
          <w:rFonts w:eastAsia="Calibri"/>
        </w:rPr>
        <w:t>5</w:t>
      </w:r>
      <w:r w:rsidRPr="002D01B9">
        <w:rPr>
          <w:rFonts w:eastAsia="Calibri"/>
        </w:rPr>
        <w:t>.</w:t>
      </w:r>
    </w:p>
    <w:p w:rsidR="002D01B9" w:rsidRPr="002D01B9" w:rsidRDefault="002D01B9" w:rsidP="002D01B9">
      <w:pPr>
        <w:rPr>
          <w:rFonts w:eastAsia="Calibri"/>
        </w:rPr>
      </w:pPr>
    </w:p>
    <w:p w:rsidR="00A24133" w:rsidRPr="0037395B" w:rsidRDefault="00A24133" w:rsidP="00A24133">
      <w:pPr>
        <w:jc w:val="both"/>
        <w:rPr>
          <w:rFonts w:eastAsia="Calibri"/>
        </w:rPr>
      </w:pPr>
      <w:r w:rsidRPr="0037395B">
        <w:rPr>
          <w:rFonts w:eastAsia="Calibri"/>
        </w:rPr>
        <w:t>Ova Uredba objavit će se u Narodnim novinama, a stupa na snagu 1. siječnja 2023.</w:t>
      </w:r>
    </w:p>
    <w:p w:rsidR="00A24133" w:rsidRPr="00851B8F" w:rsidRDefault="00A24133" w:rsidP="00A24133">
      <w:pPr>
        <w:jc w:val="both"/>
      </w:pPr>
    </w:p>
    <w:p w:rsidR="00A24133" w:rsidRPr="00851B8F" w:rsidRDefault="00A24133" w:rsidP="00A24133">
      <w:pPr>
        <w:pStyle w:val="StandardWeb"/>
        <w:rPr>
          <w:rFonts w:ascii="Times New Roman" w:hAnsi="Times New Roman" w:cs="Times New Roman"/>
        </w:rPr>
      </w:pPr>
      <w:r w:rsidRPr="00851B8F">
        <w:rPr>
          <w:rFonts w:ascii="Times New Roman" w:hAnsi="Times New Roman" w:cs="Times New Roman"/>
        </w:rPr>
        <w:t xml:space="preserve">KLASA: </w:t>
      </w:r>
    </w:p>
    <w:p w:rsidR="00A24133" w:rsidRPr="00851B8F" w:rsidRDefault="00A24133" w:rsidP="00A24133">
      <w:pPr>
        <w:pStyle w:val="StandardWeb"/>
        <w:rPr>
          <w:rFonts w:ascii="Times New Roman" w:hAnsi="Times New Roman" w:cs="Times New Roman"/>
        </w:rPr>
      </w:pPr>
      <w:r w:rsidRPr="00851B8F">
        <w:rPr>
          <w:rFonts w:ascii="Times New Roman" w:hAnsi="Times New Roman" w:cs="Times New Roman"/>
        </w:rPr>
        <w:t xml:space="preserve">URBROJ: </w:t>
      </w:r>
    </w:p>
    <w:p w:rsidR="00A24133" w:rsidRPr="00851B8F" w:rsidRDefault="00A24133" w:rsidP="00A24133">
      <w:pPr>
        <w:pStyle w:val="StandardWeb"/>
        <w:rPr>
          <w:rFonts w:ascii="Times New Roman" w:hAnsi="Times New Roman" w:cs="Times New Roman"/>
        </w:rPr>
      </w:pPr>
      <w:r w:rsidRPr="00851B8F">
        <w:rPr>
          <w:rFonts w:ascii="Times New Roman" w:hAnsi="Times New Roman" w:cs="Times New Roman"/>
        </w:rPr>
        <w:t xml:space="preserve">Zagreb,        </w:t>
      </w:r>
    </w:p>
    <w:p w:rsidR="00A24133" w:rsidRDefault="00A24133" w:rsidP="00A24133">
      <w:pPr>
        <w:pStyle w:val="StandardWeb"/>
        <w:rPr>
          <w:rFonts w:ascii="Times New Roman" w:hAnsi="Times New Roman" w:cs="Times New Roman"/>
        </w:rPr>
      </w:pPr>
    </w:p>
    <w:p w:rsidR="001B01FE" w:rsidRPr="00851B8F" w:rsidRDefault="001B01FE" w:rsidP="00A24133">
      <w:pPr>
        <w:pStyle w:val="StandardWeb"/>
        <w:rPr>
          <w:rFonts w:ascii="Times New Roman" w:hAnsi="Times New Roman" w:cs="Times New Roman"/>
        </w:rPr>
      </w:pPr>
    </w:p>
    <w:p w:rsidR="00A24133" w:rsidRPr="00851B8F" w:rsidRDefault="00A24133" w:rsidP="00A24133">
      <w:pPr>
        <w:pStyle w:val="StandardWeb"/>
        <w:ind w:left="5664"/>
        <w:rPr>
          <w:rFonts w:ascii="Times New Roman" w:hAnsi="Times New Roman" w:cs="Times New Roman"/>
        </w:rPr>
      </w:pPr>
      <w:r w:rsidRPr="00851B8F">
        <w:rPr>
          <w:rFonts w:ascii="Times New Roman" w:hAnsi="Times New Roman" w:cs="Times New Roman"/>
        </w:rPr>
        <w:t xml:space="preserve"> </w:t>
      </w:r>
      <w:r w:rsidRPr="00851B8F">
        <w:rPr>
          <w:rFonts w:ascii="Times New Roman" w:hAnsi="Times New Roman" w:cs="Times New Roman"/>
        </w:rPr>
        <w:tab/>
        <w:t xml:space="preserve">        Predsjednik     </w:t>
      </w:r>
    </w:p>
    <w:p w:rsidR="00A24133" w:rsidRDefault="00A24133" w:rsidP="00A24133">
      <w:pPr>
        <w:jc w:val="center"/>
      </w:pPr>
      <w:r w:rsidRPr="00851B8F">
        <w:tab/>
      </w:r>
      <w:r w:rsidRPr="00851B8F">
        <w:tab/>
      </w:r>
      <w:r w:rsidRPr="00851B8F">
        <w:tab/>
      </w:r>
      <w:r w:rsidRPr="00851B8F">
        <w:tab/>
      </w:r>
      <w:r w:rsidRPr="00851B8F">
        <w:tab/>
      </w:r>
      <w:r w:rsidRPr="00851B8F">
        <w:tab/>
      </w:r>
      <w:r w:rsidRPr="00851B8F">
        <w:tab/>
      </w:r>
      <w:r w:rsidRPr="00851B8F">
        <w:tab/>
        <w:t xml:space="preserve">    </w:t>
      </w:r>
      <w:r w:rsidRPr="00851B8F">
        <w:rPr>
          <w:rStyle w:val="bold1"/>
        </w:rPr>
        <w:t>mr. sc. Andrej Plenković,</w:t>
      </w:r>
      <w:r w:rsidRPr="00851B8F">
        <w:t xml:space="preserve"> v.r</w:t>
      </w:r>
      <w:r>
        <w:t xml:space="preserve">. </w:t>
      </w:r>
    </w:p>
    <w:p w:rsidR="00A24133" w:rsidRDefault="00A24133" w:rsidP="00A24133">
      <w:pPr>
        <w:jc w:val="center"/>
      </w:pPr>
    </w:p>
    <w:p w:rsidR="00A24133" w:rsidRDefault="00A24133" w:rsidP="00A24133">
      <w:pPr>
        <w:jc w:val="center"/>
      </w:pPr>
    </w:p>
    <w:p w:rsidR="00A24133" w:rsidRDefault="00A24133" w:rsidP="00A24133">
      <w:pPr>
        <w:jc w:val="center"/>
      </w:pPr>
    </w:p>
    <w:p w:rsidR="000900DD" w:rsidRPr="002D01B9" w:rsidRDefault="000900DD" w:rsidP="002D01B9">
      <w:pPr>
        <w:pStyle w:val="Naslov1"/>
        <w:rPr>
          <w:rFonts w:eastAsia="Arial Unicode MS"/>
          <w:b/>
          <w:bCs w:val="0"/>
          <w:i w:val="0"/>
          <w:iCs/>
        </w:rPr>
      </w:pPr>
      <w:r w:rsidRPr="002D01B9">
        <w:rPr>
          <w:rFonts w:eastAsia="Arial Unicode MS"/>
          <w:b/>
          <w:bCs w:val="0"/>
          <w:i w:val="0"/>
          <w:iCs/>
        </w:rPr>
        <w:lastRenderedPageBreak/>
        <w:t>OBRAZLOŽENJE</w:t>
      </w:r>
    </w:p>
    <w:p w:rsidR="009C058F" w:rsidRPr="00851B8F" w:rsidRDefault="009C058F" w:rsidP="000900DD">
      <w:pPr>
        <w:jc w:val="center"/>
        <w:rPr>
          <w:rFonts w:eastAsia="Arial Unicode MS"/>
          <w:b/>
        </w:rPr>
      </w:pPr>
    </w:p>
    <w:p w:rsidR="00882D92" w:rsidRPr="001A4DFC" w:rsidRDefault="00882D92" w:rsidP="00882D92">
      <w:pPr>
        <w:jc w:val="both"/>
      </w:pPr>
      <w:r w:rsidRPr="001A4DFC">
        <w:t xml:space="preserve">Pravna osnova za donošenje predložene Uredbe o visini trošarine na </w:t>
      </w:r>
      <w:r w:rsidR="00E0638A" w:rsidRPr="001A4DFC">
        <w:t xml:space="preserve">energente i električnu energiju </w:t>
      </w:r>
      <w:r w:rsidRPr="001A4DFC">
        <w:t xml:space="preserve">propisana je člankom </w:t>
      </w:r>
      <w:r w:rsidR="00E0638A" w:rsidRPr="001A4DFC">
        <w:t xml:space="preserve">97. stavak 2. </w:t>
      </w:r>
      <w:r w:rsidR="003F4EEB" w:rsidRPr="001A4DFC">
        <w:t>Zakona o trošarinama (</w:t>
      </w:r>
      <w:bookmarkStart w:id="1" w:name="_Hlk24710661"/>
      <w:r w:rsidR="00DF322E" w:rsidRPr="001A4DFC">
        <w:t>„</w:t>
      </w:r>
      <w:r w:rsidR="003F4EEB" w:rsidRPr="001A4DFC">
        <w:t>Narodne novine</w:t>
      </w:r>
      <w:r w:rsidR="00DF322E" w:rsidRPr="001A4DFC">
        <w:t>“</w:t>
      </w:r>
      <w:r w:rsidR="003F4EEB" w:rsidRPr="001A4DFC">
        <w:t xml:space="preserve">, </w:t>
      </w:r>
      <w:bookmarkEnd w:id="1"/>
      <w:r w:rsidR="003F4EEB" w:rsidRPr="001A4DFC">
        <w:t>br</w:t>
      </w:r>
      <w:r w:rsidR="001E10E4">
        <w:t>.</w:t>
      </w:r>
      <w:r w:rsidR="003F4EEB" w:rsidRPr="001A4DFC">
        <w:t xml:space="preserve"> 106/18</w:t>
      </w:r>
      <w:r w:rsidR="00EB7269">
        <w:t>.</w:t>
      </w:r>
      <w:r w:rsidR="00605181" w:rsidRPr="001A4DFC">
        <w:t xml:space="preserve">, </w:t>
      </w:r>
      <w:r w:rsidR="00102FAE" w:rsidRPr="001A4DFC">
        <w:t>121/19</w:t>
      </w:r>
      <w:r w:rsidR="00EB7269">
        <w:t>.</w:t>
      </w:r>
      <w:r w:rsidR="00605181" w:rsidRPr="001A4DFC">
        <w:t xml:space="preserve"> i 144/21</w:t>
      </w:r>
      <w:r w:rsidR="00EB7269">
        <w:t>.</w:t>
      </w:r>
      <w:r w:rsidR="003F4EEB" w:rsidRPr="001A4DFC">
        <w:t>), koj</w:t>
      </w:r>
      <w:r w:rsidR="007355E1" w:rsidRPr="001A4DFC">
        <w:t>i</w:t>
      </w:r>
      <w:r w:rsidR="003F4EEB" w:rsidRPr="001A4DFC">
        <w:t xml:space="preserve">m se daje ovlaštenje Vladi Republike Hrvatske da </w:t>
      </w:r>
      <w:r w:rsidR="00BB75C2" w:rsidRPr="001A4DFC">
        <w:t>U</w:t>
      </w:r>
      <w:r w:rsidR="003F4EEB" w:rsidRPr="001A4DFC">
        <w:t>redbom određuje visine trošari</w:t>
      </w:r>
      <w:r w:rsidR="000C6391" w:rsidRPr="001A4DFC">
        <w:t xml:space="preserve">na na </w:t>
      </w:r>
      <w:r w:rsidR="00E0638A" w:rsidRPr="001A4DFC">
        <w:t>predmete oporezivanja iz članka 96. stavka 6. Zakona (energenti i električna energija)</w:t>
      </w:r>
      <w:r w:rsidR="000C6391" w:rsidRPr="001A4DFC">
        <w:t xml:space="preserve">. </w:t>
      </w:r>
    </w:p>
    <w:p w:rsidR="001A4DFC" w:rsidRPr="001A4DFC" w:rsidRDefault="001A4DFC" w:rsidP="00882D92">
      <w:pPr>
        <w:jc w:val="both"/>
      </w:pPr>
    </w:p>
    <w:p w:rsidR="001A4DFC" w:rsidRPr="001A4DFC" w:rsidRDefault="001A4DFC" w:rsidP="001A4DFC">
      <w:pPr>
        <w:jc w:val="both"/>
      </w:pPr>
      <w:r w:rsidRPr="001A4DFC">
        <w:t>Važećom Uredbom o visini trošarine na energente i električnu energiju („Narodne novine“, broj 148/20</w:t>
      </w:r>
      <w:r w:rsidR="00EB7269">
        <w:t>.</w:t>
      </w:r>
      <w:r w:rsidRPr="001A4DFC">
        <w:t>) koja je stupila na snagu 1. siječnja 2021. godine, utvrđena je visina trošarine na energente i električnu energiju.</w:t>
      </w:r>
    </w:p>
    <w:p w:rsidR="001A4DFC" w:rsidRPr="001A4DFC" w:rsidRDefault="001A4DFC" w:rsidP="00B3791E">
      <w:pPr>
        <w:jc w:val="both"/>
        <w:rPr>
          <w:rFonts w:eastAsia="Arial Unicode MS"/>
          <w:b/>
        </w:rPr>
      </w:pPr>
    </w:p>
    <w:p w:rsidR="003F723D" w:rsidRPr="003F723D" w:rsidRDefault="003F723D" w:rsidP="003F723D">
      <w:pPr>
        <w:jc w:val="both"/>
        <w:rPr>
          <w:bCs/>
        </w:rPr>
      </w:pPr>
      <w:r w:rsidRPr="003F723D">
        <w:rPr>
          <w:bCs/>
        </w:rPr>
        <w:t xml:space="preserve">Vlada Republike Hrvatske je od 7. ožujka 2022. u </w:t>
      </w:r>
      <w:r w:rsidR="005D55FE">
        <w:rPr>
          <w:bCs/>
        </w:rPr>
        <w:t>osam</w:t>
      </w:r>
      <w:r>
        <w:rPr>
          <w:bCs/>
        </w:rPr>
        <w:t xml:space="preserve"> </w:t>
      </w:r>
      <w:r w:rsidRPr="003F723D">
        <w:rPr>
          <w:bCs/>
        </w:rPr>
        <w:t>navrata donijela Uredbu o izmjeni Uredbe o visini trošarine na energente i električnu energiju s ograničenim razdobljem važenja, kojom je najprije snižena visina trošarine na dizelsko gorivo i bezolovni motorni benzin propisana Uredbom o visini trošarine na energente i električnu energiju („Narodne novine“, broj 148/20</w:t>
      </w:r>
      <w:r w:rsidR="007C7D30">
        <w:rPr>
          <w:bCs/>
        </w:rPr>
        <w:t>.</w:t>
      </w:r>
      <w:r w:rsidRPr="003F723D">
        <w:rPr>
          <w:bCs/>
        </w:rPr>
        <w:t xml:space="preserve">), i to za 400,00 kuna na 1.000,00 litara bezolovnog motornog benzina te 200,00 kuna na 1.000,00 litara dizelskog goriva, odnosno 40 lipa po litri bezolovnog motornog benzina te 20 lipa po litri dizelskog goriva. Zatim je od 7. </w:t>
      </w:r>
      <w:bookmarkStart w:id="2" w:name="_Hlk108620062"/>
      <w:r w:rsidRPr="003F723D">
        <w:rPr>
          <w:bCs/>
        </w:rPr>
        <w:t>lipnja 2022. u primjeni snižena visina trošarine na dizelsko gorivo i bezolovni motorni benzin propisana Uredbom o visini trošarine na energente i električnu energiju („Narodne novine“, br</w:t>
      </w:r>
      <w:r w:rsidR="007C7D30">
        <w:rPr>
          <w:bCs/>
        </w:rPr>
        <w:t>.</w:t>
      </w:r>
      <w:r w:rsidRPr="003F723D">
        <w:rPr>
          <w:bCs/>
        </w:rPr>
        <w:t xml:space="preserve"> 148/20</w:t>
      </w:r>
      <w:r w:rsidR="007C7D30">
        <w:rPr>
          <w:bCs/>
        </w:rPr>
        <w:t>.</w:t>
      </w:r>
      <w:r w:rsidRPr="003F723D">
        <w:rPr>
          <w:bCs/>
        </w:rPr>
        <w:t xml:space="preserve"> i 28/22</w:t>
      </w:r>
      <w:r w:rsidR="007C7D30">
        <w:rPr>
          <w:bCs/>
        </w:rPr>
        <w:t>.</w:t>
      </w:r>
      <w:r w:rsidRPr="003F723D">
        <w:rPr>
          <w:bCs/>
        </w:rPr>
        <w:t>), i to za 800,00 kuna na 1.000,00 litara bezolovnog motornog benzina te 400,00 kuna na 1.000,00 litara dizelskog goriva, odnosno 80 lipa po litri bezolovnog motornog benzina te 40 lipa po litri dizelskog goriva.</w:t>
      </w:r>
      <w:bookmarkEnd w:id="2"/>
      <w:r w:rsidRPr="003F723D">
        <w:t xml:space="preserve"> </w:t>
      </w:r>
    </w:p>
    <w:p w:rsidR="003F723D" w:rsidRPr="003F723D" w:rsidRDefault="003F723D" w:rsidP="003F723D">
      <w:pPr>
        <w:jc w:val="both"/>
        <w:rPr>
          <w:bCs/>
        </w:rPr>
      </w:pPr>
    </w:p>
    <w:p w:rsidR="001A4DFC" w:rsidRPr="001A4DFC" w:rsidRDefault="001A4DFC" w:rsidP="001A4DFC">
      <w:pPr>
        <w:jc w:val="both"/>
      </w:pPr>
      <w:r w:rsidRPr="001A4DFC">
        <w:t xml:space="preserve">S obzirom da je u svibnju 2022. donesen Zakon o uvođenju eura kao službene valute u Republici Hrvatskoj </w:t>
      </w:r>
      <w:r w:rsidR="007C7D30" w:rsidRPr="001A4DFC">
        <w:t>(„</w:t>
      </w:r>
      <w:r w:rsidRPr="001A4DFC">
        <w:t>Narodne novine</w:t>
      </w:r>
      <w:r w:rsidR="007C7D30" w:rsidRPr="001A4DFC">
        <w:t>“</w:t>
      </w:r>
      <w:r w:rsidRPr="001A4DFC">
        <w:t>, br</w:t>
      </w:r>
      <w:r w:rsidR="00352400">
        <w:t>.</w:t>
      </w:r>
      <w:r w:rsidRPr="001A4DFC">
        <w:t xml:space="preserve"> 57/22. i 88/22.) te euro postaje zakonsko sredstvo plaćanja u Republici Hrvatskoj od 1. siječnja 2023. godine donošenje nove Uredbe o visini trošarine na energente i električnu energiju u kojoj će visine trošarina biti izražene u eurima ukazuje se logičnim i opravdanim, a radi pojednostavnjenja ispunjavanja obveza trošarinskih obveznika te nesmetanog funkcioniranja aplikativnog sustava. </w:t>
      </w:r>
    </w:p>
    <w:p w:rsidR="001A4DFC" w:rsidRPr="001A4DFC" w:rsidRDefault="001A4DFC" w:rsidP="00B3791E">
      <w:pPr>
        <w:jc w:val="both"/>
        <w:rPr>
          <w:rFonts w:eastAsia="Arial Unicode MS"/>
          <w:b/>
        </w:rPr>
      </w:pPr>
    </w:p>
    <w:p w:rsidR="00A72CBE" w:rsidRPr="00A72CBE" w:rsidRDefault="00A72CBE" w:rsidP="00A72CBE">
      <w:pPr>
        <w:jc w:val="both"/>
      </w:pPr>
      <w:r w:rsidRPr="00A72CBE">
        <w:t>P</w:t>
      </w:r>
      <w:r>
        <w:t>r</w:t>
      </w:r>
      <w:r w:rsidRPr="00A72CBE">
        <w:t xml:space="preserve">edložene visine ne dovode do promjene fiskalnog učinka trošarine na </w:t>
      </w:r>
      <w:r>
        <w:t>energente i električnu energiju</w:t>
      </w:r>
      <w:r w:rsidRPr="00A72CBE">
        <w:t xml:space="preserve"> u državnom proračunu.</w:t>
      </w:r>
    </w:p>
    <w:p w:rsidR="001A4DFC" w:rsidRPr="001A4DFC" w:rsidRDefault="001A4DFC" w:rsidP="001A4DFC">
      <w:pPr>
        <w:jc w:val="both"/>
        <w:rPr>
          <w:rFonts w:eastAsia="Arial Unicode MS"/>
        </w:rPr>
      </w:pPr>
    </w:p>
    <w:p w:rsidR="001A4DFC" w:rsidRPr="001A4DFC" w:rsidRDefault="001A4DFC" w:rsidP="001A4DFC">
      <w:pPr>
        <w:jc w:val="both"/>
        <w:rPr>
          <w:rFonts w:eastAsia="Arial Unicode MS"/>
        </w:rPr>
      </w:pPr>
      <w:r w:rsidRPr="001A4DFC">
        <w:rPr>
          <w:rFonts w:eastAsia="Arial Unicode MS"/>
        </w:rPr>
        <w:t>Predlaže se stupanje na snagu ove uredbe 1. siječnja 2023. godine.</w:t>
      </w:r>
    </w:p>
    <w:p w:rsidR="008548C1" w:rsidRPr="00851B8F" w:rsidRDefault="008548C1" w:rsidP="000D6F9F">
      <w:pPr>
        <w:jc w:val="both"/>
        <w:rPr>
          <w:rFonts w:eastAsia="Arial Unicode MS"/>
        </w:rPr>
      </w:pPr>
    </w:p>
    <w:p w:rsidR="008548C1" w:rsidRPr="00851B8F" w:rsidRDefault="008548C1" w:rsidP="000D6F9F">
      <w:pPr>
        <w:jc w:val="both"/>
      </w:pPr>
    </w:p>
    <w:sectPr w:rsidR="008548C1" w:rsidRPr="00851B8F" w:rsidSect="00810F8B">
      <w:headerReference w:type="even" r:id="rId11"/>
      <w:headerReference w:type="default" r:id="rId12"/>
      <w:footerReference w:type="even" r:id="rId13"/>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284E" w:rsidRDefault="00D4284E">
      <w:r>
        <w:separator/>
      </w:r>
    </w:p>
  </w:endnote>
  <w:endnote w:type="continuationSeparator" w:id="0">
    <w:p w:rsidR="00D4284E" w:rsidRDefault="00D4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E28" w:rsidRDefault="00BE6E28" w:rsidP="007F1F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E6E28" w:rsidRDefault="00BE6E28" w:rsidP="007F1F0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38A" w:rsidRPr="00851B8F" w:rsidRDefault="00E0638A">
    <w:pPr>
      <w:pStyle w:val="Podnoje"/>
      <w:jc w:val="right"/>
    </w:pPr>
    <w:r w:rsidRPr="00851B8F">
      <w:fldChar w:fldCharType="begin"/>
    </w:r>
    <w:r w:rsidRPr="00851B8F">
      <w:instrText>PAGE   \* MERGEFORMAT</w:instrText>
    </w:r>
    <w:r w:rsidRPr="00851B8F">
      <w:fldChar w:fldCharType="separate"/>
    </w:r>
    <w:r w:rsidR="00FC08B9">
      <w:rPr>
        <w:noProof/>
      </w:rPr>
      <w:t>4</w:t>
    </w:r>
    <w:r w:rsidRPr="00851B8F">
      <w:fldChar w:fldCharType="end"/>
    </w:r>
  </w:p>
  <w:p w:rsidR="00BE6E28" w:rsidRDefault="00BE6E28" w:rsidP="005B179D">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284E" w:rsidRDefault="00D4284E">
      <w:r>
        <w:separator/>
      </w:r>
    </w:p>
  </w:footnote>
  <w:footnote w:type="continuationSeparator" w:id="0">
    <w:p w:rsidR="00D4284E" w:rsidRDefault="00D4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E28" w:rsidRDefault="00BE6E28" w:rsidP="00D01C8F">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E6E28" w:rsidRDefault="00BE6E28" w:rsidP="00D01C8F">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E28" w:rsidRDefault="00BE6E28" w:rsidP="00D01C8F">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22AEA68"/>
    <w:lvl w:ilvl="0">
      <w:numFmt w:val="bullet"/>
      <w:lvlText w:val="*"/>
      <w:lvlJc w:val="left"/>
    </w:lvl>
  </w:abstractNum>
  <w:abstractNum w:abstractNumId="1" w15:restartNumberingAfterBreak="0">
    <w:nsid w:val="03086EFA"/>
    <w:multiLevelType w:val="hybridMultilevel"/>
    <w:tmpl w:val="8B8059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6B4155"/>
    <w:multiLevelType w:val="hybridMultilevel"/>
    <w:tmpl w:val="3C806A98"/>
    <w:lvl w:ilvl="0" w:tplc="151A09C6">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6005ACE"/>
    <w:multiLevelType w:val="hybridMultilevel"/>
    <w:tmpl w:val="075A88E2"/>
    <w:lvl w:ilvl="0" w:tplc="C1CE88B4">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8420018"/>
    <w:multiLevelType w:val="hybridMultilevel"/>
    <w:tmpl w:val="FFDC5DE6"/>
    <w:lvl w:ilvl="0" w:tplc="FCD418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156617"/>
    <w:multiLevelType w:val="hybridMultilevel"/>
    <w:tmpl w:val="DE4E0DB0"/>
    <w:lvl w:ilvl="0" w:tplc="F110B63A">
      <w:start w:val="3"/>
      <w:numFmt w:val="bullet"/>
      <w:lvlText w:val="-"/>
      <w:lvlJc w:val="left"/>
      <w:pPr>
        <w:tabs>
          <w:tab w:val="num" w:pos="720"/>
        </w:tabs>
        <w:ind w:left="720" w:hanging="360"/>
      </w:pPr>
      <w:rPr>
        <w:rFonts w:ascii="Arial" w:eastAsia="Times New Roman" w:hAnsi="Arial" w:cs="Arial" w:hint="default"/>
      </w:rPr>
    </w:lvl>
    <w:lvl w:ilvl="1" w:tplc="00A889A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2668E"/>
    <w:multiLevelType w:val="hybridMultilevel"/>
    <w:tmpl w:val="6F6ACEA6"/>
    <w:lvl w:ilvl="0" w:tplc="46E883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CC6244"/>
    <w:multiLevelType w:val="hybridMultilevel"/>
    <w:tmpl w:val="FA66C9D8"/>
    <w:lvl w:ilvl="0" w:tplc="300E0B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0730A"/>
    <w:multiLevelType w:val="singleLevel"/>
    <w:tmpl w:val="30C8F96C"/>
    <w:lvl w:ilvl="0">
      <w:start w:val="1"/>
      <w:numFmt w:val="lowerLetter"/>
      <w:lvlText w:val="(%1)"/>
      <w:legacy w:legacy="1" w:legacySpace="0" w:legacyIndent="302"/>
      <w:lvlJc w:val="left"/>
      <w:rPr>
        <w:rFonts w:ascii="Times New Roman" w:hAnsi="Times New Roman" w:cs="Times New Roman" w:hint="default"/>
      </w:rPr>
    </w:lvl>
  </w:abstractNum>
  <w:abstractNum w:abstractNumId="9" w15:restartNumberingAfterBreak="0">
    <w:nsid w:val="194344E8"/>
    <w:multiLevelType w:val="hybridMultilevel"/>
    <w:tmpl w:val="AD505B5A"/>
    <w:lvl w:ilvl="0" w:tplc="9C12E6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091E9C"/>
    <w:multiLevelType w:val="hybridMultilevel"/>
    <w:tmpl w:val="0EA2B7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DF5CAE"/>
    <w:multiLevelType w:val="singleLevel"/>
    <w:tmpl w:val="A5D0BA46"/>
    <w:lvl w:ilvl="0">
      <w:start w:val="4"/>
      <w:numFmt w:val="lowerLetter"/>
      <w:lvlText w:val="(%1)"/>
      <w:legacy w:legacy="1" w:legacySpace="0" w:legacyIndent="283"/>
      <w:lvlJc w:val="left"/>
      <w:rPr>
        <w:rFonts w:ascii="Times New Roman" w:hAnsi="Times New Roman" w:cs="Times New Roman" w:hint="default"/>
      </w:rPr>
    </w:lvl>
  </w:abstractNum>
  <w:abstractNum w:abstractNumId="12" w15:restartNumberingAfterBreak="0">
    <w:nsid w:val="29FA176F"/>
    <w:multiLevelType w:val="hybridMultilevel"/>
    <w:tmpl w:val="5FACE014"/>
    <w:lvl w:ilvl="0" w:tplc="3940B2CA">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BDC5CCD"/>
    <w:multiLevelType w:val="singleLevel"/>
    <w:tmpl w:val="30C8F96C"/>
    <w:lvl w:ilvl="0">
      <w:start w:val="1"/>
      <w:numFmt w:val="lowerLetter"/>
      <w:lvlText w:val="(%1)"/>
      <w:legacy w:legacy="1" w:legacySpace="0" w:legacyIndent="302"/>
      <w:lvlJc w:val="left"/>
      <w:rPr>
        <w:rFonts w:ascii="Times New Roman" w:hAnsi="Times New Roman" w:cs="Times New Roman" w:hint="default"/>
      </w:rPr>
    </w:lvl>
  </w:abstractNum>
  <w:abstractNum w:abstractNumId="14" w15:restartNumberingAfterBreak="0">
    <w:nsid w:val="2BDE0DD4"/>
    <w:multiLevelType w:val="hybridMultilevel"/>
    <w:tmpl w:val="004000D0"/>
    <w:lvl w:ilvl="0" w:tplc="2B24704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D501F7D"/>
    <w:multiLevelType w:val="hybridMultilevel"/>
    <w:tmpl w:val="C67CFC1C"/>
    <w:lvl w:ilvl="0" w:tplc="1F929C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234063"/>
    <w:multiLevelType w:val="singleLevel"/>
    <w:tmpl w:val="AB2640C6"/>
    <w:lvl w:ilvl="0">
      <w:start w:val="1"/>
      <w:numFmt w:val="lowerLetter"/>
      <w:lvlText w:val="(%1)"/>
      <w:legacy w:legacy="1" w:legacySpace="0" w:legacyIndent="283"/>
      <w:lvlJc w:val="left"/>
      <w:rPr>
        <w:rFonts w:ascii="Times New Roman" w:hAnsi="Times New Roman" w:cs="Times New Roman" w:hint="default"/>
      </w:rPr>
    </w:lvl>
  </w:abstractNum>
  <w:abstractNum w:abstractNumId="17" w15:restartNumberingAfterBreak="0">
    <w:nsid w:val="2EF11ED3"/>
    <w:multiLevelType w:val="hybridMultilevel"/>
    <w:tmpl w:val="505EB49C"/>
    <w:lvl w:ilvl="0" w:tplc="0DF4BAD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501919"/>
    <w:multiLevelType w:val="hybridMultilevel"/>
    <w:tmpl w:val="B32069F2"/>
    <w:lvl w:ilvl="0" w:tplc="F8BE2B84">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34211750"/>
    <w:multiLevelType w:val="hybridMultilevel"/>
    <w:tmpl w:val="C5087960"/>
    <w:lvl w:ilvl="0" w:tplc="3D426B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C45D23"/>
    <w:multiLevelType w:val="hybridMultilevel"/>
    <w:tmpl w:val="FE92C236"/>
    <w:lvl w:ilvl="0" w:tplc="250ED3A6">
      <w:numFmt w:val="bullet"/>
      <w:lvlText w:val="-"/>
      <w:lvlJc w:val="left"/>
      <w:pPr>
        <w:tabs>
          <w:tab w:val="num" w:pos="1635"/>
        </w:tabs>
        <w:ind w:left="1635" w:hanging="915"/>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B24940"/>
    <w:multiLevelType w:val="hybridMultilevel"/>
    <w:tmpl w:val="A254DB54"/>
    <w:lvl w:ilvl="0" w:tplc="8D7EBAD2">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2" w15:restartNumberingAfterBreak="0">
    <w:nsid w:val="533B5709"/>
    <w:multiLevelType w:val="hybridMultilevel"/>
    <w:tmpl w:val="8B8059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36696E"/>
    <w:multiLevelType w:val="hybridMultilevel"/>
    <w:tmpl w:val="BBF4F13C"/>
    <w:lvl w:ilvl="0" w:tplc="041A000B">
      <w:start w:val="1"/>
      <w:numFmt w:val="bullet"/>
      <w:lvlText w:val=""/>
      <w:lvlJc w:val="left"/>
      <w:pPr>
        <w:tabs>
          <w:tab w:val="num" w:pos="1485"/>
        </w:tabs>
        <w:ind w:left="1485" w:hanging="360"/>
      </w:pPr>
      <w:rPr>
        <w:rFonts w:ascii="Wingdings" w:hAnsi="Wingdings" w:hint="default"/>
      </w:rPr>
    </w:lvl>
    <w:lvl w:ilvl="1" w:tplc="041A0003" w:tentative="1">
      <w:start w:val="1"/>
      <w:numFmt w:val="bullet"/>
      <w:lvlText w:val="o"/>
      <w:lvlJc w:val="left"/>
      <w:pPr>
        <w:tabs>
          <w:tab w:val="num" w:pos="2205"/>
        </w:tabs>
        <w:ind w:left="2205" w:hanging="360"/>
      </w:pPr>
      <w:rPr>
        <w:rFonts w:ascii="Courier New" w:hAnsi="Courier New" w:cs="Courier New" w:hint="default"/>
      </w:rPr>
    </w:lvl>
    <w:lvl w:ilvl="2" w:tplc="041A0005" w:tentative="1">
      <w:start w:val="1"/>
      <w:numFmt w:val="bullet"/>
      <w:lvlText w:val=""/>
      <w:lvlJc w:val="left"/>
      <w:pPr>
        <w:tabs>
          <w:tab w:val="num" w:pos="2925"/>
        </w:tabs>
        <w:ind w:left="2925" w:hanging="360"/>
      </w:pPr>
      <w:rPr>
        <w:rFonts w:ascii="Wingdings" w:hAnsi="Wingdings" w:hint="default"/>
      </w:rPr>
    </w:lvl>
    <w:lvl w:ilvl="3" w:tplc="041A0001" w:tentative="1">
      <w:start w:val="1"/>
      <w:numFmt w:val="bullet"/>
      <w:lvlText w:val=""/>
      <w:lvlJc w:val="left"/>
      <w:pPr>
        <w:tabs>
          <w:tab w:val="num" w:pos="3645"/>
        </w:tabs>
        <w:ind w:left="3645" w:hanging="360"/>
      </w:pPr>
      <w:rPr>
        <w:rFonts w:ascii="Symbol" w:hAnsi="Symbol" w:hint="default"/>
      </w:rPr>
    </w:lvl>
    <w:lvl w:ilvl="4" w:tplc="041A0003" w:tentative="1">
      <w:start w:val="1"/>
      <w:numFmt w:val="bullet"/>
      <w:lvlText w:val="o"/>
      <w:lvlJc w:val="left"/>
      <w:pPr>
        <w:tabs>
          <w:tab w:val="num" w:pos="4365"/>
        </w:tabs>
        <w:ind w:left="4365" w:hanging="360"/>
      </w:pPr>
      <w:rPr>
        <w:rFonts w:ascii="Courier New" w:hAnsi="Courier New" w:cs="Courier New" w:hint="default"/>
      </w:rPr>
    </w:lvl>
    <w:lvl w:ilvl="5" w:tplc="041A0005" w:tentative="1">
      <w:start w:val="1"/>
      <w:numFmt w:val="bullet"/>
      <w:lvlText w:val=""/>
      <w:lvlJc w:val="left"/>
      <w:pPr>
        <w:tabs>
          <w:tab w:val="num" w:pos="5085"/>
        </w:tabs>
        <w:ind w:left="5085" w:hanging="360"/>
      </w:pPr>
      <w:rPr>
        <w:rFonts w:ascii="Wingdings" w:hAnsi="Wingdings" w:hint="default"/>
      </w:rPr>
    </w:lvl>
    <w:lvl w:ilvl="6" w:tplc="041A0001" w:tentative="1">
      <w:start w:val="1"/>
      <w:numFmt w:val="bullet"/>
      <w:lvlText w:val=""/>
      <w:lvlJc w:val="left"/>
      <w:pPr>
        <w:tabs>
          <w:tab w:val="num" w:pos="5805"/>
        </w:tabs>
        <w:ind w:left="5805" w:hanging="360"/>
      </w:pPr>
      <w:rPr>
        <w:rFonts w:ascii="Symbol" w:hAnsi="Symbol" w:hint="default"/>
      </w:rPr>
    </w:lvl>
    <w:lvl w:ilvl="7" w:tplc="041A0003" w:tentative="1">
      <w:start w:val="1"/>
      <w:numFmt w:val="bullet"/>
      <w:lvlText w:val="o"/>
      <w:lvlJc w:val="left"/>
      <w:pPr>
        <w:tabs>
          <w:tab w:val="num" w:pos="6525"/>
        </w:tabs>
        <w:ind w:left="6525" w:hanging="360"/>
      </w:pPr>
      <w:rPr>
        <w:rFonts w:ascii="Courier New" w:hAnsi="Courier New" w:cs="Courier New" w:hint="default"/>
      </w:rPr>
    </w:lvl>
    <w:lvl w:ilvl="8" w:tplc="041A0005" w:tentative="1">
      <w:start w:val="1"/>
      <w:numFmt w:val="bullet"/>
      <w:lvlText w:val=""/>
      <w:lvlJc w:val="left"/>
      <w:pPr>
        <w:tabs>
          <w:tab w:val="num" w:pos="7245"/>
        </w:tabs>
        <w:ind w:left="7245" w:hanging="360"/>
      </w:pPr>
      <w:rPr>
        <w:rFonts w:ascii="Wingdings" w:hAnsi="Wingdings" w:hint="default"/>
      </w:rPr>
    </w:lvl>
  </w:abstractNum>
  <w:abstractNum w:abstractNumId="24" w15:restartNumberingAfterBreak="0">
    <w:nsid w:val="545C1924"/>
    <w:multiLevelType w:val="hybridMultilevel"/>
    <w:tmpl w:val="366C3E88"/>
    <w:lvl w:ilvl="0" w:tplc="77AA185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53C3356"/>
    <w:multiLevelType w:val="hybridMultilevel"/>
    <w:tmpl w:val="662E517E"/>
    <w:lvl w:ilvl="0" w:tplc="9108635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79C0"/>
    <w:multiLevelType w:val="hybridMultilevel"/>
    <w:tmpl w:val="EFE6074E"/>
    <w:lvl w:ilvl="0" w:tplc="688405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BF597A"/>
    <w:multiLevelType w:val="hybridMultilevel"/>
    <w:tmpl w:val="94806CEC"/>
    <w:lvl w:ilvl="0" w:tplc="492EDB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BA6583"/>
    <w:multiLevelType w:val="hybridMultilevel"/>
    <w:tmpl w:val="29FE723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7E3663"/>
    <w:multiLevelType w:val="hybridMultilevel"/>
    <w:tmpl w:val="7586159A"/>
    <w:lvl w:ilvl="0" w:tplc="A4CA763A">
      <w:start w:val="3"/>
      <w:numFmt w:val="bullet"/>
      <w:lvlText w:val=""/>
      <w:lvlJc w:val="left"/>
      <w:pPr>
        <w:tabs>
          <w:tab w:val="num" w:pos="540"/>
        </w:tabs>
        <w:ind w:left="540" w:hanging="360"/>
      </w:pPr>
      <w:rPr>
        <w:rFonts w:ascii="Symbol" w:eastAsia="Times New Roman"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B">
      <w:start w:val="1"/>
      <w:numFmt w:val="bullet"/>
      <w:lvlText w:val=""/>
      <w:lvlJc w:val="left"/>
      <w:pPr>
        <w:tabs>
          <w:tab w:val="num" w:pos="360"/>
        </w:tabs>
        <w:ind w:left="3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D2DE1"/>
    <w:multiLevelType w:val="hybridMultilevel"/>
    <w:tmpl w:val="0184925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C4C60CE"/>
    <w:multiLevelType w:val="hybridMultilevel"/>
    <w:tmpl w:val="29700B8E"/>
    <w:lvl w:ilvl="0" w:tplc="6F268844">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730E30F1"/>
    <w:multiLevelType w:val="hybridMultilevel"/>
    <w:tmpl w:val="02886A2E"/>
    <w:lvl w:ilvl="0" w:tplc="1BDAD3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CC848E3"/>
    <w:multiLevelType w:val="hybridMultilevel"/>
    <w:tmpl w:val="E996B626"/>
    <w:lvl w:ilvl="0" w:tplc="8CFE8CEE">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694"/>
        </w:tabs>
        <w:ind w:left="-694" w:hanging="360"/>
      </w:pPr>
      <w:rPr>
        <w:rFonts w:ascii="Courier New" w:hAnsi="Courier New" w:cs="Courier New" w:hint="default"/>
      </w:rPr>
    </w:lvl>
    <w:lvl w:ilvl="2" w:tplc="041A0005" w:tentative="1">
      <w:start w:val="1"/>
      <w:numFmt w:val="bullet"/>
      <w:lvlText w:val=""/>
      <w:lvlJc w:val="left"/>
      <w:pPr>
        <w:tabs>
          <w:tab w:val="num" w:pos="26"/>
        </w:tabs>
        <w:ind w:left="26" w:hanging="360"/>
      </w:pPr>
      <w:rPr>
        <w:rFonts w:ascii="Wingdings" w:hAnsi="Wingdings" w:hint="default"/>
      </w:rPr>
    </w:lvl>
    <w:lvl w:ilvl="3" w:tplc="041A0001" w:tentative="1">
      <w:start w:val="1"/>
      <w:numFmt w:val="bullet"/>
      <w:lvlText w:val=""/>
      <w:lvlJc w:val="left"/>
      <w:pPr>
        <w:tabs>
          <w:tab w:val="num" w:pos="746"/>
        </w:tabs>
        <w:ind w:left="746" w:hanging="360"/>
      </w:pPr>
      <w:rPr>
        <w:rFonts w:ascii="Symbol" w:hAnsi="Symbol" w:hint="default"/>
      </w:rPr>
    </w:lvl>
    <w:lvl w:ilvl="4" w:tplc="041A0003" w:tentative="1">
      <w:start w:val="1"/>
      <w:numFmt w:val="bullet"/>
      <w:lvlText w:val="o"/>
      <w:lvlJc w:val="left"/>
      <w:pPr>
        <w:tabs>
          <w:tab w:val="num" w:pos="1466"/>
        </w:tabs>
        <w:ind w:left="1466" w:hanging="360"/>
      </w:pPr>
      <w:rPr>
        <w:rFonts w:ascii="Courier New" w:hAnsi="Courier New" w:cs="Courier New" w:hint="default"/>
      </w:rPr>
    </w:lvl>
    <w:lvl w:ilvl="5" w:tplc="041A0005" w:tentative="1">
      <w:start w:val="1"/>
      <w:numFmt w:val="bullet"/>
      <w:lvlText w:val=""/>
      <w:lvlJc w:val="left"/>
      <w:pPr>
        <w:tabs>
          <w:tab w:val="num" w:pos="2186"/>
        </w:tabs>
        <w:ind w:left="2186" w:hanging="360"/>
      </w:pPr>
      <w:rPr>
        <w:rFonts w:ascii="Wingdings" w:hAnsi="Wingdings" w:hint="default"/>
      </w:rPr>
    </w:lvl>
    <w:lvl w:ilvl="6" w:tplc="041A0001" w:tentative="1">
      <w:start w:val="1"/>
      <w:numFmt w:val="bullet"/>
      <w:lvlText w:val=""/>
      <w:lvlJc w:val="left"/>
      <w:pPr>
        <w:tabs>
          <w:tab w:val="num" w:pos="2906"/>
        </w:tabs>
        <w:ind w:left="2906" w:hanging="360"/>
      </w:pPr>
      <w:rPr>
        <w:rFonts w:ascii="Symbol" w:hAnsi="Symbol" w:hint="default"/>
      </w:rPr>
    </w:lvl>
    <w:lvl w:ilvl="7" w:tplc="041A0003" w:tentative="1">
      <w:start w:val="1"/>
      <w:numFmt w:val="bullet"/>
      <w:lvlText w:val="o"/>
      <w:lvlJc w:val="left"/>
      <w:pPr>
        <w:tabs>
          <w:tab w:val="num" w:pos="3626"/>
        </w:tabs>
        <w:ind w:left="3626" w:hanging="360"/>
      </w:pPr>
      <w:rPr>
        <w:rFonts w:ascii="Courier New" w:hAnsi="Courier New" w:cs="Courier New" w:hint="default"/>
      </w:rPr>
    </w:lvl>
    <w:lvl w:ilvl="8" w:tplc="041A0005" w:tentative="1">
      <w:start w:val="1"/>
      <w:numFmt w:val="bullet"/>
      <w:lvlText w:val=""/>
      <w:lvlJc w:val="left"/>
      <w:pPr>
        <w:tabs>
          <w:tab w:val="num" w:pos="4346"/>
        </w:tabs>
        <w:ind w:left="4346" w:hanging="360"/>
      </w:pPr>
      <w:rPr>
        <w:rFonts w:ascii="Wingdings" w:hAnsi="Wingdings" w:hint="default"/>
      </w:rPr>
    </w:lvl>
  </w:abstractNum>
  <w:abstractNum w:abstractNumId="34" w15:restartNumberingAfterBreak="0">
    <w:nsid w:val="7DF861BD"/>
    <w:multiLevelType w:val="hybridMultilevel"/>
    <w:tmpl w:val="0F9AD0EE"/>
    <w:lvl w:ilvl="0" w:tplc="F1726C9C">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F5D61C1"/>
    <w:multiLevelType w:val="hybridMultilevel"/>
    <w:tmpl w:val="5BAE77B6"/>
    <w:lvl w:ilvl="0" w:tplc="DEBA3E00">
      <w:start w:val="1"/>
      <w:numFmt w:val="decimal"/>
      <w:lvlText w:val="%1."/>
      <w:lvlJc w:val="left"/>
      <w:pPr>
        <w:tabs>
          <w:tab w:val="num" w:pos="1065"/>
        </w:tabs>
        <w:ind w:left="1065" w:hanging="360"/>
      </w:pPr>
      <w:rPr>
        <w:rFonts w:ascii="Times New Roman" w:eastAsia="Times New Roman" w:hAnsi="Times New Roman" w:cs="Times New Roman"/>
      </w:rPr>
    </w:lvl>
    <w:lvl w:ilvl="1" w:tplc="4942F69A">
      <w:start w:val="4"/>
      <w:numFmt w:val="decimal"/>
      <w:lvlText w:val="(%2)"/>
      <w:lvlJc w:val="left"/>
      <w:pPr>
        <w:tabs>
          <w:tab w:val="num" w:pos="1785"/>
        </w:tabs>
        <w:ind w:left="1785" w:hanging="360"/>
      </w:pPr>
      <w:rPr>
        <w:rFonts w:hint="default"/>
      </w:r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16"/>
  </w:num>
  <w:num w:numId="2">
    <w:abstractNumId w:val="11"/>
  </w:num>
  <w:num w:numId="3">
    <w:abstractNumId w:val="0"/>
    <w:lvlOverride w:ilvl="0">
      <w:lvl w:ilvl="0">
        <w:numFmt w:val="bullet"/>
        <w:lvlText w:val="—"/>
        <w:legacy w:legacy="1" w:legacySpace="0" w:legacyIndent="278"/>
        <w:lvlJc w:val="left"/>
        <w:rPr>
          <w:rFonts w:ascii="Times New Roman" w:hAnsi="Times New Roman" w:cs="Times New Roman" w:hint="default"/>
        </w:rPr>
      </w:lvl>
    </w:lvlOverride>
  </w:num>
  <w:num w:numId="4">
    <w:abstractNumId w:val="8"/>
  </w:num>
  <w:num w:numId="5">
    <w:abstractNumId w:val="13"/>
  </w:num>
  <w:num w:numId="6">
    <w:abstractNumId w:val="23"/>
  </w:num>
  <w:num w:numId="7">
    <w:abstractNumId w:val="35"/>
  </w:num>
  <w:num w:numId="8">
    <w:abstractNumId w:val="21"/>
  </w:num>
  <w:num w:numId="9">
    <w:abstractNumId w:val="29"/>
  </w:num>
  <w:num w:numId="10">
    <w:abstractNumId w:val="33"/>
  </w:num>
  <w:num w:numId="11">
    <w:abstractNumId w:val="20"/>
  </w:num>
  <w:num w:numId="12">
    <w:abstractNumId w:val="25"/>
  </w:num>
  <w:num w:numId="13">
    <w:abstractNumId w:val="14"/>
  </w:num>
  <w:num w:numId="14">
    <w:abstractNumId w:val="12"/>
  </w:num>
  <w:num w:numId="15">
    <w:abstractNumId w:val="2"/>
  </w:num>
  <w:num w:numId="16">
    <w:abstractNumId w:val="31"/>
  </w:num>
  <w:num w:numId="17">
    <w:abstractNumId w:val="18"/>
  </w:num>
  <w:num w:numId="18">
    <w:abstractNumId w:val="5"/>
  </w:num>
  <w:num w:numId="19">
    <w:abstractNumId w:val="30"/>
  </w:num>
  <w:num w:numId="20">
    <w:abstractNumId w:val="10"/>
  </w:num>
  <w:num w:numId="21">
    <w:abstractNumId w:val="28"/>
  </w:num>
  <w:num w:numId="22">
    <w:abstractNumId w:val="22"/>
  </w:num>
  <w:num w:numId="23">
    <w:abstractNumId w:val="1"/>
  </w:num>
  <w:num w:numId="24">
    <w:abstractNumId w:val="24"/>
  </w:num>
  <w:num w:numId="25">
    <w:abstractNumId w:val="9"/>
  </w:num>
  <w:num w:numId="26">
    <w:abstractNumId w:val="4"/>
  </w:num>
  <w:num w:numId="27">
    <w:abstractNumId w:val="26"/>
  </w:num>
  <w:num w:numId="28">
    <w:abstractNumId w:val="27"/>
  </w:num>
  <w:num w:numId="29">
    <w:abstractNumId w:val="3"/>
  </w:num>
  <w:num w:numId="30">
    <w:abstractNumId w:val="34"/>
  </w:num>
  <w:num w:numId="31">
    <w:abstractNumId w:val="17"/>
  </w:num>
  <w:num w:numId="32">
    <w:abstractNumId w:val="15"/>
  </w:num>
  <w:num w:numId="33">
    <w:abstractNumId w:val="19"/>
  </w:num>
  <w:num w:numId="34">
    <w:abstractNumId w:val="7"/>
  </w:num>
  <w:num w:numId="35">
    <w:abstractNumId w:val="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CA"/>
    <w:rsid w:val="0000083E"/>
    <w:rsid w:val="00006411"/>
    <w:rsid w:val="0000704A"/>
    <w:rsid w:val="000118F7"/>
    <w:rsid w:val="00013E5D"/>
    <w:rsid w:val="00016C05"/>
    <w:rsid w:val="00021709"/>
    <w:rsid w:val="000228EF"/>
    <w:rsid w:val="00024575"/>
    <w:rsid w:val="00024F06"/>
    <w:rsid w:val="000268AE"/>
    <w:rsid w:val="00030E37"/>
    <w:rsid w:val="0004518A"/>
    <w:rsid w:val="00053940"/>
    <w:rsid w:val="0005611A"/>
    <w:rsid w:val="00060D20"/>
    <w:rsid w:val="00061A91"/>
    <w:rsid w:val="0006599A"/>
    <w:rsid w:val="00071CC4"/>
    <w:rsid w:val="000759DD"/>
    <w:rsid w:val="000774F1"/>
    <w:rsid w:val="000810BA"/>
    <w:rsid w:val="00083C24"/>
    <w:rsid w:val="00084E5E"/>
    <w:rsid w:val="00087C10"/>
    <w:rsid w:val="000900DD"/>
    <w:rsid w:val="00090B5E"/>
    <w:rsid w:val="000913E7"/>
    <w:rsid w:val="00091979"/>
    <w:rsid w:val="00094C53"/>
    <w:rsid w:val="00094FF5"/>
    <w:rsid w:val="000950B7"/>
    <w:rsid w:val="00096E3B"/>
    <w:rsid w:val="000A03A5"/>
    <w:rsid w:val="000A0D30"/>
    <w:rsid w:val="000A1CC6"/>
    <w:rsid w:val="000A6F88"/>
    <w:rsid w:val="000B095F"/>
    <w:rsid w:val="000B22FD"/>
    <w:rsid w:val="000B35CA"/>
    <w:rsid w:val="000B3B17"/>
    <w:rsid w:val="000B3FC4"/>
    <w:rsid w:val="000B4D27"/>
    <w:rsid w:val="000C2469"/>
    <w:rsid w:val="000C4642"/>
    <w:rsid w:val="000C6391"/>
    <w:rsid w:val="000C66AA"/>
    <w:rsid w:val="000C68E4"/>
    <w:rsid w:val="000D0A83"/>
    <w:rsid w:val="000D18D9"/>
    <w:rsid w:val="000D26A4"/>
    <w:rsid w:val="000D6F9F"/>
    <w:rsid w:val="000E5C2B"/>
    <w:rsid w:val="000F0367"/>
    <w:rsid w:val="000F6501"/>
    <w:rsid w:val="000F7327"/>
    <w:rsid w:val="0010120B"/>
    <w:rsid w:val="00101E3E"/>
    <w:rsid w:val="00102FAE"/>
    <w:rsid w:val="0010371B"/>
    <w:rsid w:val="00104542"/>
    <w:rsid w:val="00105EE4"/>
    <w:rsid w:val="001069A1"/>
    <w:rsid w:val="00106D08"/>
    <w:rsid w:val="00112C9B"/>
    <w:rsid w:val="00113695"/>
    <w:rsid w:val="00124A07"/>
    <w:rsid w:val="00124E81"/>
    <w:rsid w:val="00125B1B"/>
    <w:rsid w:val="00136BF1"/>
    <w:rsid w:val="00142145"/>
    <w:rsid w:val="00143A9E"/>
    <w:rsid w:val="00151C80"/>
    <w:rsid w:val="00155600"/>
    <w:rsid w:val="00156B1F"/>
    <w:rsid w:val="00156C2A"/>
    <w:rsid w:val="00157C56"/>
    <w:rsid w:val="00162094"/>
    <w:rsid w:val="00162BE0"/>
    <w:rsid w:val="00164371"/>
    <w:rsid w:val="001653B6"/>
    <w:rsid w:val="00171E4F"/>
    <w:rsid w:val="001726E7"/>
    <w:rsid w:val="00175A31"/>
    <w:rsid w:val="00176703"/>
    <w:rsid w:val="00177511"/>
    <w:rsid w:val="001822F0"/>
    <w:rsid w:val="00183043"/>
    <w:rsid w:val="001849F1"/>
    <w:rsid w:val="00186A2E"/>
    <w:rsid w:val="00190B48"/>
    <w:rsid w:val="00192337"/>
    <w:rsid w:val="001938AD"/>
    <w:rsid w:val="00197E8D"/>
    <w:rsid w:val="001A1B51"/>
    <w:rsid w:val="001A4DFC"/>
    <w:rsid w:val="001A5D09"/>
    <w:rsid w:val="001A698B"/>
    <w:rsid w:val="001B01FE"/>
    <w:rsid w:val="001B401F"/>
    <w:rsid w:val="001B4251"/>
    <w:rsid w:val="001C1BCA"/>
    <w:rsid w:val="001C2D7E"/>
    <w:rsid w:val="001C4B39"/>
    <w:rsid w:val="001C52A4"/>
    <w:rsid w:val="001C6E51"/>
    <w:rsid w:val="001D3F7A"/>
    <w:rsid w:val="001E10E4"/>
    <w:rsid w:val="001E2FD1"/>
    <w:rsid w:val="001E2FD8"/>
    <w:rsid w:val="001F0D4A"/>
    <w:rsid w:val="001F2E0C"/>
    <w:rsid w:val="00202BB5"/>
    <w:rsid w:val="00205B46"/>
    <w:rsid w:val="00211A03"/>
    <w:rsid w:val="00211CDD"/>
    <w:rsid w:val="002135C8"/>
    <w:rsid w:val="00214A03"/>
    <w:rsid w:val="00215250"/>
    <w:rsid w:val="00215393"/>
    <w:rsid w:val="00215BC3"/>
    <w:rsid w:val="0021772A"/>
    <w:rsid w:val="0021794F"/>
    <w:rsid w:val="00221EB2"/>
    <w:rsid w:val="00223FB1"/>
    <w:rsid w:val="00224DC0"/>
    <w:rsid w:val="00226734"/>
    <w:rsid w:val="00233C07"/>
    <w:rsid w:val="002366E6"/>
    <w:rsid w:val="00236A06"/>
    <w:rsid w:val="00237A82"/>
    <w:rsid w:val="00245AF0"/>
    <w:rsid w:val="0024784E"/>
    <w:rsid w:val="0025073F"/>
    <w:rsid w:val="00252132"/>
    <w:rsid w:val="002526FF"/>
    <w:rsid w:val="00252A4C"/>
    <w:rsid w:val="002574A0"/>
    <w:rsid w:val="002615B6"/>
    <w:rsid w:val="00262C24"/>
    <w:rsid w:val="002630DE"/>
    <w:rsid w:val="00263D30"/>
    <w:rsid w:val="002676B8"/>
    <w:rsid w:val="00271CE9"/>
    <w:rsid w:val="00271DDB"/>
    <w:rsid w:val="0027450A"/>
    <w:rsid w:val="00274CF4"/>
    <w:rsid w:val="00274D5E"/>
    <w:rsid w:val="00275691"/>
    <w:rsid w:val="00275B55"/>
    <w:rsid w:val="002818A4"/>
    <w:rsid w:val="002829C6"/>
    <w:rsid w:val="00290061"/>
    <w:rsid w:val="0029278C"/>
    <w:rsid w:val="00293B2D"/>
    <w:rsid w:val="002947F4"/>
    <w:rsid w:val="002A0147"/>
    <w:rsid w:val="002A16D7"/>
    <w:rsid w:val="002A486A"/>
    <w:rsid w:val="002A5784"/>
    <w:rsid w:val="002A692F"/>
    <w:rsid w:val="002A797B"/>
    <w:rsid w:val="002A7C87"/>
    <w:rsid w:val="002B14E8"/>
    <w:rsid w:val="002B2E81"/>
    <w:rsid w:val="002B685E"/>
    <w:rsid w:val="002C4F11"/>
    <w:rsid w:val="002C5788"/>
    <w:rsid w:val="002C799A"/>
    <w:rsid w:val="002C7AF4"/>
    <w:rsid w:val="002D01B9"/>
    <w:rsid w:val="002D2B3C"/>
    <w:rsid w:val="002D7F88"/>
    <w:rsid w:val="002E4965"/>
    <w:rsid w:val="002F51F8"/>
    <w:rsid w:val="002F7EEA"/>
    <w:rsid w:val="00303C28"/>
    <w:rsid w:val="003103F0"/>
    <w:rsid w:val="00310ACD"/>
    <w:rsid w:val="00314BC5"/>
    <w:rsid w:val="0032132F"/>
    <w:rsid w:val="00321A2B"/>
    <w:rsid w:val="0032347B"/>
    <w:rsid w:val="0032703F"/>
    <w:rsid w:val="0032788D"/>
    <w:rsid w:val="0033209A"/>
    <w:rsid w:val="0033434F"/>
    <w:rsid w:val="00340101"/>
    <w:rsid w:val="00340990"/>
    <w:rsid w:val="00342BDD"/>
    <w:rsid w:val="00346D2A"/>
    <w:rsid w:val="003478D2"/>
    <w:rsid w:val="00352400"/>
    <w:rsid w:val="00357524"/>
    <w:rsid w:val="00360BDA"/>
    <w:rsid w:val="00362436"/>
    <w:rsid w:val="00362B1B"/>
    <w:rsid w:val="00363142"/>
    <w:rsid w:val="00363325"/>
    <w:rsid w:val="00365AA9"/>
    <w:rsid w:val="00365C3B"/>
    <w:rsid w:val="00372EB7"/>
    <w:rsid w:val="00375C92"/>
    <w:rsid w:val="00380C80"/>
    <w:rsid w:val="003817F4"/>
    <w:rsid w:val="00381B5E"/>
    <w:rsid w:val="00390EE0"/>
    <w:rsid w:val="00393892"/>
    <w:rsid w:val="00393949"/>
    <w:rsid w:val="003968F9"/>
    <w:rsid w:val="00396EA7"/>
    <w:rsid w:val="00397640"/>
    <w:rsid w:val="003A0366"/>
    <w:rsid w:val="003A1475"/>
    <w:rsid w:val="003A24C3"/>
    <w:rsid w:val="003A689A"/>
    <w:rsid w:val="003A6ABE"/>
    <w:rsid w:val="003B36B5"/>
    <w:rsid w:val="003B67B8"/>
    <w:rsid w:val="003C0537"/>
    <w:rsid w:val="003C1D5B"/>
    <w:rsid w:val="003C5489"/>
    <w:rsid w:val="003C5F57"/>
    <w:rsid w:val="003C636C"/>
    <w:rsid w:val="003C73DB"/>
    <w:rsid w:val="003D0C57"/>
    <w:rsid w:val="003D2650"/>
    <w:rsid w:val="003E098E"/>
    <w:rsid w:val="003E44D6"/>
    <w:rsid w:val="003E664A"/>
    <w:rsid w:val="003F22CD"/>
    <w:rsid w:val="003F3397"/>
    <w:rsid w:val="003F4DC3"/>
    <w:rsid w:val="003F4EEB"/>
    <w:rsid w:val="003F723D"/>
    <w:rsid w:val="00401788"/>
    <w:rsid w:val="0040538D"/>
    <w:rsid w:val="00413AB2"/>
    <w:rsid w:val="004141F1"/>
    <w:rsid w:val="00416D11"/>
    <w:rsid w:val="00420198"/>
    <w:rsid w:val="00420655"/>
    <w:rsid w:val="0042612E"/>
    <w:rsid w:val="0042726D"/>
    <w:rsid w:val="004314DC"/>
    <w:rsid w:val="004320D6"/>
    <w:rsid w:val="004358F7"/>
    <w:rsid w:val="00442C78"/>
    <w:rsid w:val="00442F5C"/>
    <w:rsid w:val="00443DED"/>
    <w:rsid w:val="004448BB"/>
    <w:rsid w:val="0044640F"/>
    <w:rsid w:val="00446B55"/>
    <w:rsid w:val="00447C63"/>
    <w:rsid w:val="00451A2A"/>
    <w:rsid w:val="004531BD"/>
    <w:rsid w:val="004544B9"/>
    <w:rsid w:val="0045515F"/>
    <w:rsid w:val="00456497"/>
    <w:rsid w:val="00456BE5"/>
    <w:rsid w:val="00457D33"/>
    <w:rsid w:val="00460025"/>
    <w:rsid w:val="00472902"/>
    <w:rsid w:val="00474429"/>
    <w:rsid w:val="00474630"/>
    <w:rsid w:val="004748AF"/>
    <w:rsid w:val="00476166"/>
    <w:rsid w:val="0047773E"/>
    <w:rsid w:val="004803DD"/>
    <w:rsid w:val="00491CB8"/>
    <w:rsid w:val="00492A91"/>
    <w:rsid w:val="0049675B"/>
    <w:rsid w:val="004975E8"/>
    <w:rsid w:val="004A00AC"/>
    <w:rsid w:val="004A3749"/>
    <w:rsid w:val="004A3B72"/>
    <w:rsid w:val="004A419A"/>
    <w:rsid w:val="004A57B3"/>
    <w:rsid w:val="004A7F38"/>
    <w:rsid w:val="004B123F"/>
    <w:rsid w:val="004B1AF1"/>
    <w:rsid w:val="004B4AE8"/>
    <w:rsid w:val="004B5DE4"/>
    <w:rsid w:val="004B66F4"/>
    <w:rsid w:val="004C48C5"/>
    <w:rsid w:val="004C6C1F"/>
    <w:rsid w:val="004D22A7"/>
    <w:rsid w:val="004D7642"/>
    <w:rsid w:val="004E1768"/>
    <w:rsid w:val="004E34EA"/>
    <w:rsid w:val="004E4114"/>
    <w:rsid w:val="004F13F0"/>
    <w:rsid w:val="004F3910"/>
    <w:rsid w:val="004F4703"/>
    <w:rsid w:val="00506683"/>
    <w:rsid w:val="005069A9"/>
    <w:rsid w:val="00506A61"/>
    <w:rsid w:val="00506FAF"/>
    <w:rsid w:val="00510C5F"/>
    <w:rsid w:val="00514D36"/>
    <w:rsid w:val="0051512E"/>
    <w:rsid w:val="00516FDD"/>
    <w:rsid w:val="005227F2"/>
    <w:rsid w:val="0052515C"/>
    <w:rsid w:val="0053376A"/>
    <w:rsid w:val="005366F0"/>
    <w:rsid w:val="00536DB6"/>
    <w:rsid w:val="005373D5"/>
    <w:rsid w:val="005466D7"/>
    <w:rsid w:val="0054700E"/>
    <w:rsid w:val="00551BFF"/>
    <w:rsid w:val="00552954"/>
    <w:rsid w:val="00553D31"/>
    <w:rsid w:val="00554146"/>
    <w:rsid w:val="00562E33"/>
    <w:rsid w:val="00563456"/>
    <w:rsid w:val="00563694"/>
    <w:rsid w:val="00565B91"/>
    <w:rsid w:val="00565E89"/>
    <w:rsid w:val="0056657E"/>
    <w:rsid w:val="0056731E"/>
    <w:rsid w:val="00573F82"/>
    <w:rsid w:val="00575B4B"/>
    <w:rsid w:val="00581AFD"/>
    <w:rsid w:val="00585FAF"/>
    <w:rsid w:val="00590234"/>
    <w:rsid w:val="00590688"/>
    <w:rsid w:val="00591334"/>
    <w:rsid w:val="005A2A78"/>
    <w:rsid w:val="005A7D0B"/>
    <w:rsid w:val="005B179D"/>
    <w:rsid w:val="005B3291"/>
    <w:rsid w:val="005B4E88"/>
    <w:rsid w:val="005B7265"/>
    <w:rsid w:val="005B75AF"/>
    <w:rsid w:val="005C142A"/>
    <w:rsid w:val="005C2F3C"/>
    <w:rsid w:val="005C3818"/>
    <w:rsid w:val="005C4E46"/>
    <w:rsid w:val="005C72FD"/>
    <w:rsid w:val="005D55FE"/>
    <w:rsid w:val="005D59BE"/>
    <w:rsid w:val="005D6AA7"/>
    <w:rsid w:val="005E1CBD"/>
    <w:rsid w:val="005E6A09"/>
    <w:rsid w:val="005E6D3D"/>
    <w:rsid w:val="005E7055"/>
    <w:rsid w:val="005F1D47"/>
    <w:rsid w:val="005F1D55"/>
    <w:rsid w:val="005F2E1A"/>
    <w:rsid w:val="005F446F"/>
    <w:rsid w:val="005F485F"/>
    <w:rsid w:val="005F67C5"/>
    <w:rsid w:val="005F70F3"/>
    <w:rsid w:val="006019B7"/>
    <w:rsid w:val="00604E43"/>
    <w:rsid w:val="00605181"/>
    <w:rsid w:val="00610BD4"/>
    <w:rsid w:val="00611769"/>
    <w:rsid w:val="00611D75"/>
    <w:rsid w:val="006153D6"/>
    <w:rsid w:val="00622004"/>
    <w:rsid w:val="00624BEC"/>
    <w:rsid w:val="00625C2D"/>
    <w:rsid w:val="00626E55"/>
    <w:rsid w:val="006306F4"/>
    <w:rsid w:val="00632CE6"/>
    <w:rsid w:val="00634EAA"/>
    <w:rsid w:val="00635C29"/>
    <w:rsid w:val="00637973"/>
    <w:rsid w:val="006429A0"/>
    <w:rsid w:val="00643BA8"/>
    <w:rsid w:val="00645DE6"/>
    <w:rsid w:val="006518D1"/>
    <w:rsid w:val="006519BC"/>
    <w:rsid w:val="00652BF9"/>
    <w:rsid w:val="00653F22"/>
    <w:rsid w:val="00655CEA"/>
    <w:rsid w:val="00656414"/>
    <w:rsid w:val="00656D6A"/>
    <w:rsid w:val="00660F78"/>
    <w:rsid w:val="00664A0A"/>
    <w:rsid w:val="006676F9"/>
    <w:rsid w:val="006678D6"/>
    <w:rsid w:val="00675619"/>
    <w:rsid w:val="00675941"/>
    <w:rsid w:val="006772A8"/>
    <w:rsid w:val="00682827"/>
    <w:rsid w:val="00682B89"/>
    <w:rsid w:val="006908A6"/>
    <w:rsid w:val="00692D6F"/>
    <w:rsid w:val="006936E2"/>
    <w:rsid w:val="00694F9C"/>
    <w:rsid w:val="00697B07"/>
    <w:rsid w:val="006A03A9"/>
    <w:rsid w:val="006A4B98"/>
    <w:rsid w:val="006A767B"/>
    <w:rsid w:val="006B07A8"/>
    <w:rsid w:val="006B0C28"/>
    <w:rsid w:val="006B429B"/>
    <w:rsid w:val="006B5DD7"/>
    <w:rsid w:val="006B6414"/>
    <w:rsid w:val="006C2D6D"/>
    <w:rsid w:val="006C45C6"/>
    <w:rsid w:val="006C4A66"/>
    <w:rsid w:val="006C6365"/>
    <w:rsid w:val="006D05E4"/>
    <w:rsid w:val="006D1348"/>
    <w:rsid w:val="006D296C"/>
    <w:rsid w:val="006D2B95"/>
    <w:rsid w:val="006D46E5"/>
    <w:rsid w:val="006D6E08"/>
    <w:rsid w:val="006D7198"/>
    <w:rsid w:val="006E4E44"/>
    <w:rsid w:val="006E5404"/>
    <w:rsid w:val="006E7209"/>
    <w:rsid w:val="006F0734"/>
    <w:rsid w:val="006F343A"/>
    <w:rsid w:val="006F409F"/>
    <w:rsid w:val="006F5F73"/>
    <w:rsid w:val="006F6725"/>
    <w:rsid w:val="006F7A29"/>
    <w:rsid w:val="00700902"/>
    <w:rsid w:val="007009DC"/>
    <w:rsid w:val="00702928"/>
    <w:rsid w:val="00707131"/>
    <w:rsid w:val="00716565"/>
    <w:rsid w:val="007166DF"/>
    <w:rsid w:val="00722F70"/>
    <w:rsid w:val="007320EB"/>
    <w:rsid w:val="0073552A"/>
    <w:rsid w:val="007355E1"/>
    <w:rsid w:val="00735DD5"/>
    <w:rsid w:val="00743B59"/>
    <w:rsid w:val="0074573D"/>
    <w:rsid w:val="0074798B"/>
    <w:rsid w:val="00756175"/>
    <w:rsid w:val="00766018"/>
    <w:rsid w:val="00770750"/>
    <w:rsid w:val="00771527"/>
    <w:rsid w:val="007731A8"/>
    <w:rsid w:val="007746AA"/>
    <w:rsid w:val="007768D5"/>
    <w:rsid w:val="00777902"/>
    <w:rsid w:val="00783A03"/>
    <w:rsid w:val="00785038"/>
    <w:rsid w:val="007865F8"/>
    <w:rsid w:val="0078698C"/>
    <w:rsid w:val="007A3F1E"/>
    <w:rsid w:val="007A475C"/>
    <w:rsid w:val="007A61A3"/>
    <w:rsid w:val="007B0F0B"/>
    <w:rsid w:val="007B2192"/>
    <w:rsid w:val="007B5E35"/>
    <w:rsid w:val="007B7B8B"/>
    <w:rsid w:val="007C23B8"/>
    <w:rsid w:val="007C259F"/>
    <w:rsid w:val="007C4463"/>
    <w:rsid w:val="007C4534"/>
    <w:rsid w:val="007C5DB7"/>
    <w:rsid w:val="007C7D30"/>
    <w:rsid w:val="007D7EE9"/>
    <w:rsid w:val="007E061E"/>
    <w:rsid w:val="007E1B37"/>
    <w:rsid w:val="007E202C"/>
    <w:rsid w:val="007E3231"/>
    <w:rsid w:val="007E6A88"/>
    <w:rsid w:val="007E6C60"/>
    <w:rsid w:val="007F0131"/>
    <w:rsid w:val="007F1677"/>
    <w:rsid w:val="007F1F06"/>
    <w:rsid w:val="007F1FBF"/>
    <w:rsid w:val="008002EC"/>
    <w:rsid w:val="00803B4B"/>
    <w:rsid w:val="00803D70"/>
    <w:rsid w:val="00806702"/>
    <w:rsid w:val="0080676C"/>
    <w:rsid w:val="0081001E"/>
    <w:rsid w:val="00810F8B"/>
    <w:rsid w:val="0081145D"/>
    <w:rsid w:val="00816F62"/>
    <w:rsid w:val="00821E48"/>
    <w:rsid w:val="008224E8"/>
    <w:rsid w:val="00823F2A"/>
    <w:rsid w:val="00827BD9"/>
    <w:rsid w:val="008344F0"/>
    <w:rsid w:val="008407F1"/>
    <w:rsid w:val="0084174A"/>
    <w:rsid w:val="00841C4E"/>
    <w:rsid w:val="0084463C"/>
    <w:rsid w:val="00850622"/>
    <w:rsid w:val="00851A4F"/>
    <w:rsid w:val="00851B8F"/>
    <w:rsid w:val="008548C1"/>
    <w:rsid w:val="00856D1E"/>
    <w:rsid w:val="00860E1F"/>
    <w:rsid w:val="00861125"/>
    <w:rsid w:val="0086250B"/>
    <w:rsid w:val="00865236"/>
    <w:rsid w:val="00867246"/>
    <w:rsid w:val="008673E6"/>
    <w:rsid w:val="008707BA"/>
    <w:rsid w:val="00870E1A"/>
    <w:rsid w:val="008728F7"/>
    <w:rsid w:val="00881BFB"/>
    <w:rsid w:val="00882D92"/>
    <w:rsid w:val="008833E3"/>
    <w:rsid w:val="008878BF"/>
    <w:rsid w:val="00891DC2"/>
    <w:rsid w:val="008928AC"/>
    <w:rsid w:val="00897F23"/>
    <w:rsid w:val="00897F42"/>
    <w:rsid w:val="008B516B"/>
    <w:rsid w:val="008B55C0"/>
    <w:rsid w:val="008B5D63"/>
    <w:rsid w:val="008B6DBF"/>
    <w:rsid w:val="008B71E9"/>
    <w:rsid w:val="008C5ABB"/>
    <w:rsid w:val="008C6EC2"/>
    <w:rsid w:val="008D4108"/>
    <w:rsid w:val="008D6C46"/>
    <w:rsid w:val="008D7B82"/>
    <w:rsid w:val="008E19AF"/>
    <w:rsid w:val="008E19F6"/>
    <w:rsid w:val="008E1EF1"/>
    <w:rsid w:val="008E25D6"/>
    <w:rsid w:val="008E2637"/>
    <w:rsid w:val="008E3377"/>
    <w:rsid w:val="008E7441"/>
    <w:rsid w:val="008F65CE"/>
    <w:rsid w:val="00903BFF"/>
    <w:rsid w:val="00903E5B"/>
    <w:rsid w:val="00904A85"/>
    <w:rsid w:val="00906616"/>
    <w:rsid w:val="00906FDC"/>
    <w:rsid w:val="00907ACC"/>
    <w:rsid w:val="0091015D"/>
    <w:rsid w:val="009205BC"/>
    <w:rsid w:val="00920F17"/>
    <w:rsid w:val="00922D29"/>
    <w:rsid w:val="0092331E"/>
    <w:rsid w:val="00924C35"/>
    <w:rsid w:val="00925209"/>
    <w:rsid w:val="00926D12"/>
    <w:rsid w:val="00927994"/>
    <w:rsid w:val="009306BF"/>
    <w:rsid w:val="0093082B"/>
    <w:rsid w:val="00932781"/>
    <w:rsid w:val="00934659"/>
    <w:rsid w:val="0093572D"/>
    <w:rsid w:val="0093745E"/>
    <w:rsid w:val="009377CB"/>
    <w:rsid w:val="00940653"/>
    <w:rsid w:val="00940B0E"/>
    <w:rsid w:val="00940D75"/>
    <w:rsid w:val="0094107B"/>
    <w:rsid w:val="00954894"/>
    <w:rsid w:val="00954FF1"/>
    <w:rsid w:val="0095735C"/>
    <w:rsid w:val="00961A6B"/>
    <w:rsid w:val="00964D48"/>
    <w:rsid w:val="00966A6E"/>
    <w:rsid w:val="00966C1F"/>
    <w:rsid w:val="00973C98"/>
    <w:rsid w:val="00974219"/>
    <w:rsid w:val="00974A25"/>
    <w:rsid w:val="00976E35"/>
    <w:rsid w:val="009820A9"/>
    <w:rsid w:val="00982994"/>
    <w:rsid w:val="00982AB2"/>
    <w:rsid w:val="00987607"/>
    <w:rsid w:val="00987987"/>
    <w:rsid w:val="0099235F"/>
    <w:rsid w:val="009923A0"/>
    <w:rsid w:val="00992B79"/>
    <w:rsid w:val="00992BC1"/>
    <w:rsid w:val="009A07D2"/>
    <w:rsid w:val="009A114B"/>
    <w:rsid w:val="009A709B"/>
    <w:rsid w:val="009B3B56"/>
    <w:rsid w:val="009B54D6"/>
    <w:rsid w:val="009B6E14"/>
    <w:rsid w:val="009B799A"/>
    <w:rsid w:val="009C058F"/>
    <w:rsid w:val="009C3816"/>
    <w:rsid w:val="009D3C61"/>
    <w:rsid w:val="009D3CD9"/>
    <w:rsid w:val="009D4774"/>
    <w:rsid w:val="009D7DED"/>
    <w:rsid w:val="009E345A"/>
    <w:rsid w:val="009E46A5"/>
    <w:rsid w:val="009E5A7D"/>
    <w:rsid w:val="009E6FE8"/>
    <w:rsid w:val="009E7051"/>
    <w:rsid w:val="009F0A89"/>
    <w:rsid w:val="009F4E72"/>
    <w:rsid w:val="009F5428"/>
    <w:rsid w:val="009F61CC"/>
    <w:rsid w:val="009F689D"/>
    <w:rsid w:val="00A00F33"/>
    <w:rsid w:val="00A01E08"/>
    <w:rsid w:val="00A05B67"/>
    <w:rsid w:val="00A07273"/>
    <w:rsid w:val="00A1121A"/>
    <w:rsid w:val="00A11719"/>
    <w:rsid w:val="00A13E2A"/>
    <w:rsid w:val="00A15D85"/>
    <w:rsid w:val="00A22929"/>
    <w:rsid w:val="00A24133"/>
    <w:rsid w:val="00A24D03"/>
    <w:rsid w:val="00A25CAD"/>
    <w:rsid w:val="00A300F1"/>
    <w:rsid w:val="00A305CA"/>
    <w:rsid w:val="00A41DCC"/>
    <w:rsid w:val="00A4345A"/>
    <w:rsid w:val="00A43B89"/>
    <w:rsid w:val="00A45AA7"/>
    <w:rsid w:val="00A51A4E"/>
    <w:rsid w:val="00A544EF"/>
    <w:rsid w:val="00A54C2B"/>
    <w:rsid w:val="00A5695F"/>
    <w:rsid w:val="00A66833"/>
    <w:rsid w:val="00A703A1"/>
    <w:rsid w:val="00A7054B"/>
    <w:rsid w:val="00A7063A"/>
    <w:rsid w:val="00A723BB"/>
    <w:rsid w:val="00A72CBE"/>
    <w:rsid w:val="00A83786"/>
    <w:rsid w:val="00A84237"/>
    <w:rsid w:val="00A922F8"/>
    <w:rsid w:val="00A936E6"/>
    <w:rsid w:val="00AA3C7C"/>
    <w:rsid w:val="00AA4350"/>
    <w:rsid w:val="00AA5F22"/>
    <w:rsid w:val="00AA74D7"/>
    <w:rsid w:val="00AB10A1"/>
    <w:rsid w:val="00AB265F"/>
    <w:rsid w:val="00AB306D"/>
    <w:rsid w:val="00AC13D2"/>
    <w:rsid w:val="00AC430B"/>
    <w:rsid w:val="00AC4319"/>
    <w:rsid w:val="00AC61FC"/>
    <w:rsid w:val="00AC6844"/>
    <w:rsid w:val="00AC74B0"/>
    <w:rsid w:val="00AC79F8"/>
    <w:rsid w:val="00AD1911"/>
    <w:rsid w:val="00AD4DC5"/>
    <w:rsid w:val="00AE46D8"/>
    <w:rsid w:val="00AE5EFC"/>
    <w:rsid w:val="00AE65C2"/>
    <w:rsid w:val="00AE756C"/>
    <w:rsid w:val="00AF0157"/>
    <w:rsid w:val="00AF16D0"/>
    <w:rsid w:val="00AF1D5B"/>
    <w:rsid w:val="00AF25C5"/>
    <w:rsid w:val="00AF26AB"/>
    <w:rsid w:val="00AF4106"/>
    <w:rsid w:val="00AF4B99"/>
    <w:rsid w:val="00AF4E55"/>
    <w:rsid w:val="00AF4F07"/>
    <w:rsid w:val="00B0014D"/>
    <w:rsid w:val="00B0184F"/>
    <w:rsid w:val="00B02A87"/>
    <w:rsid w:val="00B13A6D"/>
    <w:rsid w:val="00B17132"/>
    <w:rsid w:val="00B17784"/>
    <w:rsid w:val="00B21A31"/>
    <w:rsid w:val="00B22857"/>
    <w:rsid w:val="00B22A3E"/>
    <w:rsid w:val="00B300C3"/>
    <w:rsid w:val="00B30AF5"/>
    <w:rsid w:val="00B352B7"/>
    <w:rsid w:val="00B354EC"/>
    <w:rsid w:val="00B36524"/>
    <w:rsid w:val="00B3791E"/>
    <w:rsid w:val="00B37DB7"/>
    <w:rsid w:val="00B4052E"/>
    <w:rsid w:val="00B449BC"/>
    <w:rsid w:val="00B5210B"/>
    <w:rsid w:val="00B559F1"/>
    <w:rsid w:val="00B60E01"/>
    <w:rsid w:val="00B619CB"/>
    <w:rsid w:val="00B67824"/>
    <w:rsid w:val="00B707EC"/>
    <w:rsid w:val="00B71FC1"/>
    <w:rsid w:val="00B742AE"/>
    <w:rsid w:val="00B7469B"/>
    <w:rsid w:val="00B75802"/>
    <w:rsid w:val="00B75DDE"/>
    <w:rsid w:val="00B7613B"/>
    <w:rsid w:val="00B811B5"/>
    <w:rsid w:val="00B81AA5"/>
    <w:rsid w:val="00B81E3C"/>
    <w:rsid w:val="00B81FCD"/>
    <w:rsid w:val="00B822B4"/>
    <w:rsid w:val="00B827BC"/>
    <w:rsid w:val="00B83C7F"/>
    <w:rsid w:val="00B85B33"/>
    <w:rsid w:val="00B92185"/>
    <w:rsid w:val="00B9548D"/>
    <w:rsid w:val="00B95FF6"/>
    <w:rsid w:val="00B976E5"/>
    <w:rsid w:val="00BA0D5D"/>
    <w:rsid w:val="00BA3E2E"/>
    <w:rsid w:val="00BA4FDC"/>
    <w:rsid w:val="00BA5D2E"/>
    <w:rsid w:val="00BA7140"/>
    <w:rsid w:val="00BA7284"/>
    <w:rsid w:val="00BB5159"/>
    <w:rsid w:val="00BB75C2"/>
    <w:rsid w:val="00BB793E"/>
    <w:rsid w:val="00BC20AC"/>
    <w:rsid w:val="00BC761F"/>
    <w:rsid w:val="00BD1612"/>
    <w:rsid w:val="00BD7A17"/>
    <w:rsid w:val="00BE287B"/>
    <w:rsid w:val="00BE2E68"/>
    <w:rsid w:val="00BE54E9"/>
    <w:rsid w:val="00BE5FD9"/>
    <w:rsid w:val="00BE6E28"/>
    <w:rsid w:val="00BE7A84"/>
    <w:rsid w:val="00BF0753"/>
    <w:rsid w:val="00BF0EC6"/>
    <w:rsid w:val="00BF30B6"/>
    <w:rsid w:val="00C028AD"/>
    <w:rsid w:val="00C0587A"/>
    <w:rsid w:val="00C10758"/>
    <w:rsid w:val="00C11015"/>
    <w:rsid w:val="00C111FA"/>
    <w:rsid w:val="00C13486"/>
    <w:rsid w:val="00C13690"/>
    <w:rsid w:val="00C152DB"/>
    <w:rsid w:val="00C220F5"/>
    <w:rsid w:val="00C221F8"/>
    <w:rsid w:val="00C22793"/>
    <w:rsid w:val="00C23CCA"/>
    <w:rsid w:val="00C25B86"/>
    <w:rsid w:val="00C30E23"/>
    <w:rsid w:val="00C34F9B"/>
    <w:rsid w:val="00C35250"/>
    <w:rsid w:val="00C45507"/>
    <w:rsid w:val="00C47898"/>
    <w:rsid w:val="00C5462F"/>
    <w:rsid w:val="00C57066"/>
    <w:rsid w:val="00C621E9"/>
    <w:rsid w:val="00C6281C"/>
    <w:rsid w:val="00C63BDC"/>
    <w:rsid w:val="00C72717"/>
    <w:rsid w:val="00C72989"/>
    <w:rsid w:val="00C73C90"/>
    <w:rsid w:val="00C7772D"/>
    <w:rsid w:val="00C8036E"/>
    <w:rsid w:val="00C81253"/>
    <w:rsid w:val="00C822C5"/>
    <w:rsid w:val="00C8256B"/>
    <w:rsid w:val="00C82D4F"/>
    <w:rsid w:val="00C8663F"/>
    <w:rsid w:val="00C87A11"/>
    <w:rsid w:val="00C90E75"/>
    <w:rsid w:val="00C92F47"/>
    <w:rsid w:val="00C956DB"/>
    <w:rsid w:val="00CA0C52"/>
    <w:rsid w:val="00CA2AB4"/>
    <w:rsid w:val="00CA2C1A"/>
    <w:rsid w:val="00CA47B1"/>
    <w:rsid w:val="00CA7C36"/>
    <w:rsid w:val="00CB09B7"/>
    <w:rsid w:val="00CB3E38"/>
    <w:rsid w:val="00CB45FC"/>
    <w:rsid w:val="00CB5D91"/>
    <w:rsid w:val="00CB6A9F"/>
    <w:rsid w:val="00CC0CC5"/>
    <w:rsid w:val="00CC3CAE"/>
    <w:rsid w:val="00CD0EBB"/>
    <w:rsid w:val="00CD0FCC"/>
    <w:rsid w:val="00CD3286"/>
    <w:rsid w:val="00CD3527"/>
    <w:rsid w:val="00CD78D9"/>
    <w:rsid w:val="00CE14CD"/>
    <w:rsid w:val="00CE27DB"/>
    <w:rsid w:val="00CE2A74"/>
    <w:rsid w:val="00CE5639"/>
    <w:rsid w:val="00CF236E"/>
    <w:rsid w:val="00CF2CA1"/>
    <w:rsid w:val="00CF2E0D"/>
    <w:rsid w:val="00D01A5F"/>
    <w:rsid w:val="00D01C8F"/>
    <w:rsid w:val="00D042F9"/>
    <w:rsid w:val="00D05D80"/>
    <w:rsid w:val="00D10690"/>
    <w:rsid w:val="00D107FA"/>
    <w:rsid w:val="00D1088B"/>
    <w:rsid w:val="00D12A76"/>
    <w:rsid w:val="00D158C5"/>
    <w:rsid w:val="00D15FE9"/>
    <w:rsid w:val="00D172BC"/>
    <w:rsid w:val="00D17B3E"/>
    <w:rsid w:val="00D208DB"/>
    <w:rsid w:val="00D21D9A"/>
    <w:rsid w:val="00D23DB9"/>
    <w:rsid w:val="00D25769"/>
    <w:rsid w:val="00D27456"/>
    <w:rsid w:val="00D36BF4"/>
    <w:rsid w:val="00D3783F"/>
    <w:rsid w:val="00D425F7"/>
    <w:rsid w:val="00D4284E"/>
    <w:rsid w:val="00D45F97"/>
    <w:rsid w:val="00D52201"/>
    <w:rsid w:val="00D52527"/>
    <w:rsid w:val="00D527A4"/>
    <w:rsid w:val="00D60674"/>
    <w:rsid w:val="00D60941"/>
    <w:rsid w:val="00D64499"/>
    <w:rsid w:val="00D6561A"/>
    <w:rsid w:val="00D66609"/>
    <w:rsid w:val="00D737DE"/>
    <w:rsid w:val="00D74E71"/>
    <w:rsid w:val="00D8178B"/>
    <w:rsid w:val="00D85E87"/>
    <w:rsid w:val="00D876A6"/>
    <w:rsid w:val="00D923C2"/>
    <w:rsid w:val="00D9273F"/>
    <w:rsid w:val="00D95AE4"/>
    <w:rsid w:val="00DA1CD5"/>
    <w:rsid w:val="00DA2B19"/>
    <w:rsid w:val="00DA5016"/>
    <w:rsid w:val="00DA649C"/>
    <w:rsid w:val="00DA68F0"/>
    <w:rsid w:val="00DA7747"/>
    <w:rsid w:val="00DB0D80"/>
    <w:rsid w:val="00DB12B3"/>
    <w:rsid w:val="00DB5C8C"/>
    <w:rsid w:val="00DB7295"/>
    <w:rsid w:val="00DB72B9"/>
    <w:rsid w:val="00DC2862"/>
    <w:rsid w:val="00DC3D4B"/>
    <w:rsid w:val="00DC3F8F"/>
    <w:rsid w:val="00DC74B5"/>
    <w:rsid w:val="00DD0022"/>
    <w:rsid w:val="00DD39CA"/>
    <w:rsid w:val="00DD3B6C"/>
    <w:rsid w:val="00DE072B"/>
    <w:rsid w:val="00DE2590"/>
    <w:rsid w:val="00DE2824"/>
    <w:rsid w:val="00DE6641"/>
    <w:rsid w:val="00DF1F7F"/>
    <w:rsid w:val="00DF29C2"/>
    <w:rsid w:val="00DF322E"/>
    <w:rsid w:val="00DF3CEB"/>
    <w:rsid w:val="00E0048C"/>
    <w:rsid w:val="00E0638A"/>
    <w:rsid w:val="00E10B00"/>
    <w:rsid w:val="00E15BED"/>
    <w:rsid w:val="00E1747A"/>
    <w:rsid w:val="00E214A8"/>
    <w:rsid w:val="00E2338E"/>
    <w:rsid w:val="00E25AA4"/>
    <w:rsid w:val="00E2638E"/>
    <w:rsid w:val="00E27530"/>
    <w:rsid w:val="00E317F1"/>
    <w:rsid w:val="00E3259E"/>
    <w:rsid w:val="00E3692C"/>
    <w:rsid w:val="00E40148"/>
    <w:rsid w:val="00E44BE8"/>
    <w:rsid w:val="00E47D90"/>
    <w:rsid w:val="00E6608B"/>
    <w:rsid w:val="00E67AF0"/>
    <w:rsid w:val="00E7207F"/>
    <w:rsid w:val="00E74BF1"/>
    <w:rsid w:val="00E76997"/>
    <w:rsid w:val="00E80E2F"/>
    <w:rsid w:val="00E8274C"/>
    <w:rsid w:val="00E83885"/>
    <w:rsid w:val="00E8706B"/>
    <w:rsid w:val="00E93CB2"/>
    <w:rsid w:val="00E9430F"/>
    <w:rsid w:val="00E95964"/>
    <w:rsid w:val="00E9643B"/>
    <w:rsid w:val="00E965AA"/>
    <w:rsid w:val="00EA0EAA"/>
    <w:rsid w:val="00EA384A"/>
    <w:rsid w:val="00EA6224"/>
    <w:rsid w:val="00EA6638"/>
    <w:rsid w:val="00EA6AB3"/>
    <w:rsid w:val="00EA6F52"/>
    <w:rsid w:val="00EA7DA6"/>
    <w:rsid w:val="00EB03E4"/>
    <w:rsid w:val="00EB6F3B"/>
    <w:rsid w:val="00EB71D2"/>
    <w:rsid w:val="00EB7269"/>
    <w:rsid w:val="00EB762F"/>
    <w:rsid w:val="00EC2E27"/>
    <w:rsid w:val="00EC4008"/>
    <w:rsid w:val="00ED2775"/>
    <w:rsid w:val="00ED3BF8"/>
    <w:rsid w:val="00ED5258"/>
    <w:rsid w:val="00EE4B6B"/>
    <w:rsid w:val="00EE56AE"/>
    <w:rsid w:val="00EF003E"/>
    <w:rsid w:val="00EF1D5C"/>
    <w:rsid w:val="00EF25F5"/>
    <w:rsid w:val="00F05F56"/>
    <w:rsid w:val="00F10D03"/>
    <w:rsid w:val="00F11988"/>
    <w:rsid w:val="00F130BF"/>
    <w:rsid w:val="00F14160"/>
    <w:rsid w:val="00F14EB3"/>
    <w:rsid w:val="00F20F78"/>
    <w:rsid w:val="00F2416B"/>
    <w:rsid w:val="00F26AA3"/>
    <w:rsid w:val="00F33A60"/>
    <w:rsid w:val="00F35FF5"/>
    <w:rsid w:val="00F366C2"/>
    <w:rsid w:val="00F425D3"/>
    <w:rsid w:val="00F45F31"/>
    <w:rsid w:val="00F463DD"/>
    <w:rsid w:val="00F4660F"/>
    <w:rsid w:val="00F46993"/>
    <w:rsid w:val="00F4789C"/>
    <w:rsid w:val="00F52F52"/>
    <w:rsid w:val="00F53C88"/>
    <w:rsid w:val="00F556F9"/>
    <w:rsid w:val="00F57C62"/>
    <w:rsid w:val="00F63D28"/>
    <w:rsid w:val="00F642FD"/>
    <w:rsid w:val="00F664CF"/>
    <w:rsid w:val="00F667F9"/>
    <w:rsid w:val="00F77349"/>
    <w:rsid w:val="00F81C5F"/>
    <w:rsid w:val="00F8404E"/>
    <w:rsid w:val="00F90F1C"/>
    <w:rsid w:val="00F96AB7"/>
    <w:rsid w:val="00FA2E4D"/>
    <w:rsid w:val="00FA54E1"/>
    <w:rsid w:val="00FA5C97"/>
    <w:rsid w:val="00FA784C"/>
    <w:rsid w:val="00FB06E3"/>
    <w:rsid w:val="00FB07FA"/>
    <w:rsid w:val="00FB0DD1"/>
    <w:rsid w:val="00FB1F7F"/>
    <w:rsid w:val="00FB46EF"/>
    <w:rsid w:val="00FB4E86"/>
    <w:rsid w:val="00FB780A"/>
    <w:rsid w:val="00FB7971"/>
    <w:rsid w:val="00FC03F8"/>
    <w:rsid w:val="00FC08B9"/>
    <w:rsid w:val="00FC1C70"/>
    <w:rsid w:val="00FC732E"/>
    <w:rsid w:val="00FC7FAF"/>
    <w:rsid w:val="00FD2BEA"/>
    <w:rsid w:val="00FD3D93"/>
    <w:rsid w:val="00FD43DA"/>
    <w:rsid w:val="00FD5528"/>
    <w:rsid w:val="00FD6D81"/>
    <w:rsid w:val="00FD76A0"/>
    <w:rsid w:val="00FD7C58"/>
    <w:rsid w:val="00FE47DC"/>
    <w:rsid w:val="00FF1828"/>
    <w:rsid w:val="00FF1D66"/>
    <w:rsid w:val="00FF4128"/>
    <w:rsid w:val="00FF6362"/>
    <w:rsid w:val="00FF6C75"/>
    <w:rsid w:val="00FF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6A6A8"/>
  <w15:chartTrackingRefBased/>
  <w15:docId w15:val="{107DF29C-84A2-4CA9-A6B4-A1E7596A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E27"/>
    <w:rPr>
      <w:sz w:val="24"/>
      <w:szCs w:val="24"/>
      <w:lang w:val="hr-HR" w:eastAsia="hr-HR"/>
    </w:rPr>
  </w:style>
  <w:style w:type="paragraph" w:styleId="Naslov1">
    <w:name w:val="heading 1"/>
    <w:basedOn w:val="Normal"/>
    <w:next w:val="Normal"/>
    <w:qFormat/>
    <w:rsid w:val="002D01B9"/>
    <w:pPr>
      <w:keepNext/>
      <w:tabs>
        <w:tab w:val="num" w:pos="720"/>
      </w:tabs>
      <w:ind w:left="720" w:hanging="360"/>
      <w:jc w:val="center"/>
      <w:outlineLvl w:val="0"/>
    </w:pPr>
    <w:rPr>
      <w:bCs/>
      <w:i/>
      <w:lang w:eastAsia="en-US"/>
    </w:rPr>
  </w:style>
  <w:style w:type="paragraph" w:styleId="Naslov2">
    <w:name w:val="heading 2"/>
    <w:basedOn w:val="Normal"/>
    <w:next w:val="Normal"/>
    <w:qFormat/>
    <w:rsid w:val="002D01B9"/>
    <w:pPr>
      <w:keepNext/>
      <w:spacing w:before="240" w:after="60"/>
      <w:jc w:val="center"/>
      <w:outlineLvl w:val="1"/>
    </w:pPr>
    <w:rPr>
      <w:rFonts w:cs="Arial"/>
      <w:bCs/>
      <w:iCs/>
      <w:szCs w:val="28"/>
    </w:rPr>
  </w:style>
  <w:style w:type="paragraph" w:styleId="Naslov3">
    <w:name w:val="heading 3"/>
    <w:basedOn w:val="Normal"/>
    <w:next w:val="Normal"/>
    <w:qFormat/>
    <w:rsid w:val="00340990"/>
    <w:pPr>
      <w:keepNext/>
      <w:spacing w:before="240" w:after="60"/>
      <w:outlineLvl w:val="2"/>
    </w:pPr>
    <w:rPr>
      <w:rFonts w:ascii="Arial" w:hAnsi="Arial" w:cs="Arial"/>
      <w:b/>
      <w:bCs/>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Elegantnatablica">
    <w:name w:val="Table Elegant"/>
    <w:basedOn w:val="Obinatablica"/>
    <w:rsid w:val="000118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dernatablica">
    <w:name w:val="Table Contemporary"/>
    <w:basedOn w:val="Obinatablica"/>
    <w:rsid w:val="000F6501"/>
    <w:rPr>
      <w:b/>
      <w:color w:val="CCFFFF"/>
    </w:rPr>
    <w:tblPr>
      <w:tblStyleRowBandSize w:val="1"/>
      <w:tblBorders>
        <w:insideH w:val="single" w:sz="18" w:space="0" w:color="FFFFFF"/>
        <w:insideV w:val="single" w:sz="18" w:space="0" w:color="FFFFFF"/>
      </w:tblBorders>
    </w:tblPr>
    <w:tcPr>
      <w:shd w:val="clear" w:color="auto" w:fill="CC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Web-tablica3">
    <w:name w:val="Table Web 3"/>
    <w:basedOn w:val="Obinatablica"/>
    <w:rsid w:val="00954894"/>
    <w:rPr>
      <w:b/>
      <w:color w:val="00CCFF"/>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1CharCharChar">
    <w:name w:val="Char1 Char Char Char"/>
    <w:basedOn w:val="Normal"/>
    <w:rsid w:val="00DD39CA"/>
    <w:pPr>
      <w:spacing w:after="160" w:line="240" w:lineRule="exact"/>
    </w:pPr>
    <w:rPr>
      <w:rFonts w:ascii="Tahoma" w:hAnsi="Tahoma"/>
      <w:sz w:val="20"/>
      <w:szCs w:val="20"/>
      <w:lang w:val="en-US" w:eastAsia="en-US"/>
    </w:rPr>
  </w:style>
  <w:style w:type="paragraph" w:customStyle="1" w:styleId="T-109sred">
    <w:name w:val="T-10/9 sred"/>
    <w:rsid w:val="00DD39CA"/>
    <w:pPr>
      <w:widowControl w:val="0"/>
      <w:autoSpaceDE w:val="0"/>
      <w:autoSpaceDN w:val="0"/>
      <w:adjustRightInd w:val="0"/>
      <w:spacing w:before="85" w:after="43"/>
      <w:jc w:val="center"/>
    </w:pPr>
    <w:rPr>
      <w:rFonts w:ascii="Times-NewRoman" w:hAnsi="Times-NewRoman"/>
      <w:sz w:val="21"/>
      <w:szCs w:val="21"/>
      <w:lang w:val="hr-HR" w:eastAsia="hr-HR"/>
    </w:rPr>
  </w:style>
  <w:style w:type="paragraph" w:customStyle="1" w:styleId="Char">
    <w:name w:val="Char"/>
    <w:basedOn w:val="Normal"/>
    <w:rsid w:val="00783A03"/>
    <w:pPr>
      <w:spacing w:after="160" w:line="240" w:lineRule="exact"/>
    </w:pPr>
    <w:rPr>
      <w:rFonts w:ascii="Tahoma" w:hAnsi="Tahoma"/>
      <w:sz w:val="20"/>
      <w:szCs w:val="20"/>
      <w:lang w:val="en-US" w:eastAsia="en-US"/>
    </w:rPr>
  </w:style>
  <w:style w:type="paragraph" w:customStyle="1" w:styleId="T-98-2">
    <w:name w:val="T-9/8-2"/>
    <w:basedOn w:val="Normal"/>
    <w:rsid w:val="00783A03"/>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Tekstbalonia">
    <w:name w:val="Balloon Text"/>
    <w:basedOn w:val="Normal"/>
    <w:semiHidden/>
    <w:rsid w:val="00924C35"/>
    <w:rPr>
      <w:rFonts w:ascii="Tahoma" w:hAnsi="Tahoma" w:cs="Tahoma"/>
      <w:sz w:val="16"/>
      <w:szCs w:val="16"/>
    </w:rPr>
  </w:style>
  <w:style w:type="paragraph" w:customStyle="1" w:styleId="Clanak">
    <w:name w:val="Clanak"/>
    <w:next w:val="T-98-2"/>
    <w:rsid w:val="00904A85"/>
    <w:pPr>
      <w:widowControl w:val="0"/>
      <w:autoSpaceDE w:val="0"/>
      <w:autoSpaceDN w:val="0"/>
      <w:adjustRightInd w:val="0"/>
      <w:spacing w:before="86" w:after="43"/>
      <w:jc w:val="center"/>
    </w:pPr>
    <w:rPr>
      <w:rFonts w:ascii="Times-NewRoman" w:hAnsi="Times-NewRoman"/>
      <w:sz w:val="19"/>
      <w:szCs w:val="19"/>
      <w:lang w:val="hr-HR" w:eastAsia="hr-HR"/>
    </w:rPr>
  </w:style>
  <w:style w:type="paragraph" w:styleId="Tijeloteksta-uvlaka3">
    <w:name w:val="Body Text Indent 3"/>
    <w:basedOn w:val="Normal"/>
    <w:rsid w:val="00365AA9"/>
    <w:pPr>
      <w:ind w:firstLine="708"/>
    </w:pPr>
    <w:rPr>
      <w:rFonts w:ascii="Arial" w:hAnsi="Arial" w:cs="Arial"/>
      <w:sz w:val="18"/>
      <w:lang w:eastAsia="sl-SI"/>
    </w:rPr>
  </w:style>
  <w:style w:type="paragraph" w:styleId="Tijeloteksta2">
    <w:name w:val="Body Text 2"/>
    <w:basedOn w:val="Normal"/>
    <w:rsid w:val="00ED3BF8"/>
    <w:pPr>
      <w:spacing w:after="120" w:line="480" w:lineRule="auto"/>
    </w:pPr>
  </w:style>
  <w:style w:type="paragraph" w:styleId="Naslov">
    <w:name w:val="Title"/>
    <w:basedOn w:val="Normal"/>
    <w:qFormat/>
    <w:rsid w:val="00124A07"/>
    <w:pPr>
      <w:jc w:val="center"/>
    </w:pPr>
    <w:rPr>
      <w:sz w:val="28"/>
      <w:lang w:eastAsia="en-US"/>
    </w:rPr>
  </w:style>
  <w:style w:type="paragraph" w:styleId="Obinitekst">
    <w:name w:val="Plain Text"/>
    <w:basedOn w:val="Normal"/>
    <w:rsid w:val="00803D70"/>
    <w:rPr>
      <w:rFonts w:ascii="Courier New" w:hAnsi="Courier New" w:cs="Courier New"/>
      <w:sz w:val="20"/>
      <w:szCs w:val="20"/>
    </w:rPr>
  </w:style>
  <w:style w:type="paragraph" w:customStyle="1" w:styleId="TB-PN">
    <w:name w:val="TB-PN"/>
    <w:next w:val="Normal"/>
    <w:rsid w:val="00803D70"/>
    <w:pPr>
      <w:widowControl w:val="0"/>
      <w:autoSpaceDE w:val="0"/>
      <w:autoSpaceDN w:val="0"/>
      <w:adjustRightInd w:val="0"/>
      <w:spacing w:after="86"/>
      <w:jc w:val="center"/>
    </w:pPr>
    <w:rPr>
      <w:rFonts w:ascii="Times-NewRoman" w:hAnsi="Times-NewRoman"/>
      <w:b/>
      <w:bCs/>
      <w:sz w:val="25"/>
      <w:szCs w:val="25"/>
      <w:lang w:val="en-US" w:eastAsia="hr-HR"/>
    </w:rPr>
  </w:style>
  <w:style w:type="paragraph" w:styleId="StandardWeb">
    <w:name w:val="Normal (Web)"/>
    <w:basedOn w:val="Normal"/>
    <w:rsid w:val="00F2416B"/>
    <w:pPr>
      <w:spacing w:before="100" w:beforeAutospacing="1" w:after="100" w:afterAutospacing="1"/>
    </w:pPr>
    <w:rPr>
      <w:rFonts w:ascii="Arial Unicode MS" w:eastAsia="Arial Unicode MS" w:hAnsi="Arial Unicode MS" w:cs="Arial Unicode MS"/>
    </w:rPr>
  </w:style>
  <w:style w:type="paragraph" w:customStyle="1" w:styleId="CharCharChar">
    <w:name w:val="Char Char Char"/>
    <w:basedOn w:val="Normal"/>
    <w:rsid w:val="00D208DB"/>
    <w:pPr>
      <w:spacing w:after="160" w:line="240" w:lineRule="exact"/>
    </w:pPr>
    <w:rPr>
      <w:rFonts w:ascii="Tahoma" w:hAnsi="Tahoma"/>
      <w:sz w:val="20"/>
      <w:szCs w:val="20"/>
      <w:lang w:val="en-US" w:eastAsia="en-US"/>
    </w:rPr>
  </w:style>
  <w:style w:type="paragraph" w:styleId="Zaglavlje">
    <w:name w:val="header"/>
    <w:basedOn w:val="Normal"/>
    <w:link w:val="ZaglavljeChar"/>
    <w:uiPriority w:val="99"/>
    <w:rsid w:val="00D01C8F"/>
    <w:pPr>
      <w:tabs>
        <w:tab w:val="center" w:pos="4320"/>
        <w:tab w:val="right" w:pos="8640"/>
      </w:tabs>
    </w:pPr>
  </w:style>
  <w:style w:type="character" w:styleId="Brojstranice">
    <w:name w:val="page number"/>
    <w:basedOn w:val="Zadanifontodlomka"/>
    <w:rsid w:val="00D01C8F"/>
  </w:style>
  <w:style w:type="paragraph" w:styleId="Tijeloteksta">
    <w:name w:val="Body Text"/>
    <w:basedOn w:val="Normal"/>
    <w:link w:val="TijelotekstaChar"/>
    <w:rsid w:val="00340990"/>
    <w:pPr>
      <w:spacing w:after="120"/>
    </w:pPr>
    <w:rPr>
      <w:lang w:val="en-GB" w:eastAsia="en-US"/>
    </w:rPr>
  </w:style>
  <w:style w:type="paragraph" w:customStyle="1" w:styleId="t-98bezuvl">
    <w:name w:val="t-98bezuvl"/>
    <w:basedOn w:val="Normal"/>
    <w:rsid w:val="00340990"/>
    <w:pPr>
      <w:spacing w:before="100" w:beforeAutospacing="1" w:after="100" w:afterAutospacing="1"/>
    </w:pPr>
  </w:style>
  <w:style w:type="paragraph" w:styleId="Podnoje">
    <w:name w:val="footer"/>
    <w:basedOn w:val="Normal"/>
    <w:link w:val="PodnojeChar"/>
    <w:uiPriority w:val="99"/>
    <w:rsid w:val="007F1F06"/>
    <w:pPr>
      <w:tabs>
        <w:tab w:val="center" w:pos="4153"/>
        <w:tab w:val="right" w:pos="8306"/>
      </w:tabs>
    </w:pPr>
  </w:style>
  <w:style w:type="paragraph" w:customStyle="1" w:styleId="t-9-8">
    <w:name w:val="t-9-8"/>
    <w:basedOn w:val="Normal"/>
    <w:rsid w:val="00860E1F"/>
    <w:pPr>
      <w:spacing w:before="100" w:beforeAutospacing="1" w:after="100" w:afterAutospacing="1"/>
    </w:pPr>
  </w:style>
  <w:style w:type="paragraph" w:customStyle="1" w:styleId="CharChar1">
    <w:name w:val="Char Char1"/>
    <w:basedOn w:val="Normal"/>
    <w:rsid w:val="00682827"/>
    <w:pPr>
      <w:spacing w:after="160" w:line="240" w:lineRule="exact"/>
    </w:pPr>
    <w:rPr>
      <w:rFonts w:ascii="Tahoma" w:hAnsi="Tahoma"/>
      <w:sz w:val="20"/>
      <w:szCs w:val="20"/>
      <w:lang w:val="en-US" w:eastAsia="en-GB"/>
    </w:rPr>
  </w:style>
  <w:style w:type="paragraph" w:customStyle="1" w:styleId="clanak0">
    <w:name w:val="clanak"/>
    <w:basedOn w:val="Normal"/>
    <w:rsid w:val="005B7265"/>
    <w:pPr>
      <w:spacing w:before="100" w:beforeAutospacing="1" w:after="100" w:afterAutospacing="1"/>
      <w:jc w:val="center"/>
    </w:pPr>
  </w:style>
  <w:style w:type="paragraph" w:styleId="Tijeloteksta-uvlaka2">
    <w:name w:val="Body Text Indent 2"/>
    <w:basedOn w:val="Normal"/>
    <w:rsid w:val="005B7265"/>
    <w:pPr>
      <w:spacing w:after="120" w:line="480" w:lineRule="auto"/>
      <w:ind w:left="283"/>
    </w:pPr>
  </w:style>
  <w:style w:type="paragraph" w:styleId="Tekstkomentara">
    <w:name w:val="annotation text"/>
    <w:basedOn w:val="Normal"/>
    <w:semiHidden/>
    <w:rsid w:val="00491CB8"/>
    <w:pPr>
      <w:overflowPunct w:val="0"/>
      <w:autoSpaceDE w:val="0"/>
      <w:autoSpaceDN w:val="0"/>
      <w:adjustRightInd w:val="0"/>
      <w:textAlignment w:val="baseline"/>
    </w:pPr>
    <w:rPr>
      <w:sz w:val="20"/>
      <w:szCs w:val="20"/>
    </w:rPr>
  </w:style>
  <w:style w:type="character" w:customStyle="1" w:styleId="bold1">
    <w:name w:val="bold1"/>
    <w:rsid w:val="005F67C5"/>
    <w:rPr>
      <w:b/>
      <w:bCs/>
    </w:rPr>
  </w:style>
  <w:style w:type="paragraph" w:customStyle="1" w:styleId="CharChar">
    <w:name w:val="Char Char"/>
    <w:basedOn w:val="Normal"/>
    <w:rsid w:val="00B707EC"/>
    <w:pPr>
      <w:spacing w:after="160" w:line="240" w:lineRule="exact"/>
    </w:pPr>
    <w:rPr>
      <w:rFonts w:ascii="Tahoma" w:hAnsi="Tahoma"/>
      <w:sz w:val="20"/>
      <w:szCs w:val="20"/>
      <w:lang w:val="en-US" w:eastAsia="en-GB"/>
    </w:rPr>
  </w:style>
  <w:style w:type="paragraph" w:customStyle="1" w:styleId="CharChar1CharCharCharCharChar">
    <w:name w:val="Char Char1 Char Char Char Char Char"/>
    <w:basedOn w:val="Normal"/>
    <w:rsid w:val="0086250B"/>
    <w:pPr>
      <w:spacing w:after="160" w:line="240" w:lineRule="exact"/>
    </w:pPr>
    <w:rPr>
      <w:rFonts w:ascii="Tahoma" w:hAnsi="Tahoma"/>
      <w:sz w:val="20"/>
      <w:szCs w:val="20"/>
      <w:lang w:val="en-US" w:eastAsia="en-GB"/>
    </w:rPr>
  </w:style>
  <w:style w:type="character" w:styleId="Referencakomentara">
    <w:name w:val="annotation reference"/>
    <w:semiHidden/>
    <w:rsid w:val="00393949"/>
    <w:rPr>
      <w:sz w:val="16"/>
      <w:szCs w:val="16"/>
    </w:rPr>
  </w:style>
  <w:style w:type="paragraph" w:styleId="Predmetkomentara">
    <w:name w:val="annotation subject"/>
    <w:basedOn w:val="Tekstkomentara"/>
    <w:next w:val="Tekstkomentara"/>
    <w:semiHidden/>
    <w:rsid w:val="00393949"/>
    <w:pPr>
      <w:overflowPunct/>
      <w:autoSpaceDE/>
      <w:autoSpaceDN/>
      <w:adjustRightInd/>
      <w:textAlignment w:val="auto"/>
    </w:pPr>
    <w:rPr>
      <w:b/>
      <w:bCs/>
    </w:rPr>
  </w:style>
  <w:style w:type="paragraph" w:customStyle="1" w:styleId="Char1CharCharCharCharCharCharChar">
    <w:name w:val="Char1 Char Char Char Char Char Char Char"/>
    <w:basedOn w:val="Normal"/>
    <w:rsid w:val="003F22CD"/>
    <w:pPr>
      <w:spacing w:after="160" w:line="240" w:lineRule="exact"/>
    </w:pPr>
    <w:rPr>
      <w:rFonts w:ascii="Tahoma" w:hAnsi="Tahoma"/>
      <w:sz w:val="20"/>
      <w:szCs w:val="20"/>
      <w:lang w:val="en-US" w:eastAsia="en-GB"/>
    </w:rPr>
  </w:style>
  <w:style w:type="paragraph" w:customStyle="1" w:styleId="CharChar9CharCharCharCharCharCharChar">
    <w:name w:val="Char Char9 Char Char Char Char Char Char Char"/>
    <w:basedOn w:val="Normal"/>
    <w:rsid w:val="00B13A6D"/>
    <w:pPr>
      <w:spacing w:after="160" w:line="240" w:lineRule="exact"/>
    </w:pPr>
    <w:rPr>
      <w:rFonts w:ascii="Tahoma" w:hAnsi="Tahoma"/>
      <w:sz w:val="20"/>
      <w:szCs w:val="20"/>
      <w:lang w:val="en-US" w:eastAsia="en-GB"/>
    </w:rPr>
  </w:style>
  <w:style w:type="character" w:customStyle="1" w:styleId="TijelotekstaChar">
    <w:name w:val="Tijelo teksta Char"/>
    <w:link w:val="Tijeloteksta"/>
    <w:rsid w:val="00827BD9"/>
    <w:rPr>
      <w:sz w:val="24"/>
      <w:szCs w:val="24"/>
      <w:lang w:val="en-GB" w:eastAsia="en-US"/>
    </w:rPr>
  </w:style>
  <w:style w:type="paragraph" w:styleId="Odlomakpopisa">
    <w:name w:val="List Paragraph"/>
    <w:basedOn w:val="Normal"/>
    <w:uiPriority w:val="34"/>
    <w:qFormat/>
    <w:rsid w:val="00CB5D91"/>
    <w:pPr>
      <w:ind w:left="720"/>
    </w:pPr>
    <w:rPr>
      <w:rFonts w:ascii="Calibri" w:eastAsia="Calibri" w:hAnsi="Calibri"/>
      <w:sz w:val="22"/>
      <w:szCs w:val="22"/>
      <w:lang w:eastAsia="en-US"/>
    </w:rPr>
  </w:style>
  <w:style w:type="table" w:styleId="Reetkatablice">
    <w:name w:val="Table Grid"/>
    <w:basedOn w:val="Obinatablica"/>
    <w:rsid w:val="00B3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ematablice">
    <w:name w:val="Table Theme"/>
    <w:basedOn w:val="Obinatablica"/>
    <w:rsid w:val="00B3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rsid w:val="00B30AF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ZaglavljeChar">
    <w:name w:val="Zaglavlje Char"/>
    <w:link w:val="Zaglavlje"/>
    <w:uiPriority w:val="99"/>
    <w:rsid w:val="005B179D"/>
    <w:rPr>
      <w:sz w:val="24"/>
      <w:szCs w:val="24"/>
    </w:rPr>
  </w:style>
  <w:style w:type="character" w:customStyle="1" w:styleId="PodnojeChar">
    <w:name w:val="Podnožje Char"/>
    <w:link w:val="Podnoje"/>
    <w:uiPriority w:val="99"/>
    <w:rsid w:val="00E063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2893">
      <w:bodyDiv w:val="1"/>
      <w:marLeft w:val="0"/>
      <w:marRight w:val="0"/>
      <w:marTop w:val="0"/>
      <w:marBottom w:val="0"/>
      <w:divBdr>
        <w:top w:val="none" w:sz="0" w:space="0" w:color="auto"/>
        <w:left w:val="none" w:sz="0" w:space="0" w:color="auto"/>
        <w:bottom w:val="none" w:sz="0" w:space="0" w:color="auto"/>
        <w:right w:val="none" w:sz="0" w:space="0" w:color="auto"/>
      </w:divBdr>
    </w:div>
    <w:div w:id="38481761">
      <w:bodyDiv w:val="1"/>
      <w:marLeft w:val="0"/>
      <w:marRight w:val="0"/>
      <w:marTop w:val="0"/>
      <w:marBottom w:val="0"/>
      <w:divBdr>
        <w:top w:val="none" w:sz="0" w:space="0" w:color="auto"/>
        <w:left w:val="none" w:sz="0" w:space="0" w:color="auto"/>
        <w:bottom w:val="none" w:sz="0" w:space="0" w:color="auto"/>
        <w:right w:val="none" w:sz="0" w:space="0" w:color="auto"/>
      </w:divBdr>
    </w:div>
    <w:div w:id="446704987">
      <w:bodyDiv w:val="1"/>
      <w:marLeft w:val="0"/>
      <w:marRight w:val="0"/>
      <w:marTop w:val="0"/>
      <w:marBottom w:val="0"/>
      <w:divBdr>
        <w:top w:val="none" w:sz="0" w:space="0" w:color="auto"/>
        <w:left w:val="none" w:sz="0" w:space="0" w:color="auto"/>
        <w:bottom w:val="none" w:sz="0" w:space="0" w:color="auto"/>
        <w:right w:val="none" w:sz="0" w:space="0" w:color="auto"/>
      </w:divBdr>
    </w:div>
    <w:div w:id="836841655">
      <w:bodyDiv w:val="1"/>
      <w:marLeft w:val="0"/>
      <w:marRight w:val="0"/>
      <w:marTop w:val="0"/>
      <w:marBottom w:val="0"/>
      <w:divBdr>
        <w:top w:val="none" w:sz="0" w:space="0" w:color="auto"/>
        <w:left w:val="none" w:sz="0" w:space="0" w:color="auto"/>
        <w:bottom w:val="none" w:sz="0" w:space="0" w:color="auto"/>
        <w:right w:val="none" w:sz="0" w:space="0" w:color="auto"/>
      </w:divBdr>
    </w:div>
    <w:div w:id="963535755">
      <w:bodyDiv w:val="1"/>
      <w:marLeft w:val="0"/>
      <w:marRight w:val="0"/>
      <w:marTop w:val="0"/>
      <w:marBottom w:val="0"/>
      <w:divBdr>
        <w:top w:val="none" w:sz="0" w:space="0" w:color="auto"/>
        <w:left w:val="none" w:sz="0" w:space="0" w:color="auto"/>
        <w:bottom w:val="none" w:sz="0" w:space="0" w:color="auto"/>
        <w:right w:val="none" w:sz="0" w:space="0" w:color="auto"/>
      </w:divBdr>
    </w:div>
    <w:div w:id="1240406339">
      <w:bodyDiv w:val="1"/>
      <w:marLeft w:val="0"/>
      <w:marRight w:val="0"/>
      <w:marTop w:val="0"/>
      <w:marBottom w:val="0"/>
      <w:divBdr>
        <w:top w:val="none" w:sz="0" w:space="0" w:color="auto"/>
        <w:left w:val="none" w:sz="0" w:space="0" w:color="auto"/>
        <w:bottom w:val="none" w:sz="0" w:space="0" w:color="auto"/>
        <w:right w:val="none" w:sz="0" w:space="0" w:color="auto"/>
      </w:divBdr>
    </w:div>
    <w:div w:id="1316303630">
      <w:bodyDiv w:val="1"/>
      <w:marLeft w:val="0"/>
      <w:marRight w:val="0"/>
      <w:marTop w:val="0"/>
      <w:marBottom w:val="0"/>
      <w:divBdr>
        <w:top w:val="none" w:sz="0" w:space="0" w:color="auto"/>
        <w:left w:val="none" w:sz="0" w:space="0" w:color="auto"/>
        <w:bottom w:val="none" w:sz="0" w:space="0" w:color="auto"/>
        <w:right w:val="none" w:sz="0" w:space="0" w:color="auto"/>
      </w:divBdr>
      <w:divsChild>
        <w:div w:id="1239172927">
          <w:marLeft w:val="0"/>
          <w:marRight w:val="0"/>
          <w:marTop w:val="0"/>
          <w:marBottom w:val="0"/>
          <w:divBdr>
            <w:top w:val="none" w:sz="0" w:space="0" w:color="auto"/>
            <w:left w:val="none" w:sz="0" w:space="0" w:color="auto"/>
            <w:bottom w:val="none" w:sz="0" w:space="0" w:color="auto"/>
            <w:right w:val="none" w:sz="0" w:space="0" w:color="auto"/>
          </w:divBdr>
          <w:divsChild>
            <w:div w:id="40468858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636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C2B0CE94CB24EB73C032D7A597FF8" ma:contentTypeVersion="0" ma:contentTypeDescription="Create a new document." ma:contentTypeScope="" ma:versionID="e68104041f42f3725db67f2456d53a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8B49-E421-420A-8C28-92ACDA252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A31F9E-885E-437E-8808-28BDFBA3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A38E97-427A-4A5B-9EBC-56DCEA531D3F}">
  <ds:schemaRefs>
    <ds:schemaRef ds:uri="http://schemas.microsoft.com/sharepoint/v3/contenttype/forms"/>
  </ds:schemaRefs>
</ds:datastoreItem>
</file>

<file path=customXml/itemProps4.xml><?xml version="1.0" encoding="utf-8"?>
<ds:datastoreItem xmlns:ds="http://schemas.openxmlformats.org/officeDocument/2006/customXml" ds:itemID="{09AE4294-B947-41C5-B571-A33E5978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678</Words>
  <Characters>3871</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UREDBU</vt:lpstr>
      <vt:lpstr>UREDBU</vt:lpstr>
    </vt:vector>
  </TitlesOfParts>
  <Company>carina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UREDBU</dc:title>
  <dc:subject/>
  <dc:creator>ssenicnjak</dc:creator>
  <cp:keywords/>
  <cp:lastModifiedBy>Inga Maleš</cp:lastModifiedBy>
  <cp:revision>4</cp:revision>
  <cp:lastPrinted>2020-03-10T08:46:00Z</cp:lastPrinted>
  <dcterms:created xsi:type="dcterms:W3CDTF">2022-11-29T10:46:00Z</dcterms:created>
  <dcterms:modified xsi:type="dcterms:W3CDTF">2022-11-29T10:46:00Z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