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Body"/>
        <w:bidi w:val="0"/>
        <w:spacing w:lineRule="auto" w:line="240" w:before="57" w:after="57"/>
        <w:ind w:left="0" w:right="0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Na temelju članka 15. stavka 6., članka 19. stavka 4., članka 23. stavka 5., članka 28. stavka 2. i članka 29. stavka 4. Zakona o nadzoru predmeta od plemenitih kovina (»Narodne novine«, broj 36/15 </w:t>
      </w:r>
      <w:r>
        <w:rPr>
          <w:rFonts w:cs="Times New Roman" w:ascii="Times New Roman" w:hAnsi="Times New Roman"/>
          <w:color w:val="000000"/>
          <w:sz w:val="24"/>
          <w:szCs w:val="24"/>
        </w:rPr>
        <w:t>i 114/22</w:t>
      </w:r>
      <w:r>
        <w:rPr>
          <w:rFonts w:cs="Times New Roman" w:ascii="Times New Roman" w:hAnsi="Times New Roman"/>
          <w:sz w:val="24"/>
          <w:szCs w:val="24"/>
        </w:rPr>
        <w:t>) glavna ravnateljica Državnog zavoda za mjeriteljstvo donosi</w:t>
      </w:r>
    </w:p>
    <w:p>
      <w:pPr>
        <w:pStyle w:val="Title"/>
        <w:bidi w:val="0"/>
        <w:jc w:val="center"/>
        <w:rPr/>
      </w:pPr>
      <w:r>
        <w:rPr/>
        <w:t>PRAVILNIK</w:t>
      </w:r>
      <w:bookmarkStart w:id="0" w:name="_GoBack"/>
      <w:bookmarkEnd w:id="0"/>
    </w:p>
    <w:p>
      <w:pPr>
        <w:pStyle w:val="Subtitle"/>
        <w:bidi w:val="0"/>
        <w:spacing w:before="60" w:after="120"/>
        <w:jc w:val="center"/>
        <w:rPr/>
      </w:pPr>
      <w:r>
        <w:rPr/>
        <w:t>O IZMJENAMA PRAVILNIKA O NAKNADI TROŠKOVA U POSTUPKU ISPITIVANJA I ŽIGOSANJA PREDMETA OD PLEMENITIH KOVINA</w:t>
      </w:r>
    </w:p>
    <w:p>
      <w:pPr>
        <w:pStyle w:val="Lanak"/>
        <w:bidi w:val="0"/>
        <w:rPr/>
      </w:pPr>
      <w:r>
        <w:rPr/>
        <w:t>Članak 1.</w:t>
      </w:r>
    </w:p>
    <w:p>
      <w:pPr>
        <w:pStyle w:val="TextBody"/>
        <w:bidi w:val="0"/>
        <w:spacing w:lineRule="auto" w:line="240" w:before="57" w:after="57"/>
        <w:ind w:left="0" w:right="0" w:hanging="0"/>
        <w:jc w:val="both"/>
        <w:rPr/>
      </w:pPr>
      <w:r>
        <w:rPr/>
        <w:t>U Pravilniku o naknadi troškova u postupku ispitivanja i žigosanja predmeta od plemenitih kovina (»Narodne novine«, broj 66/18) u članku 2. stavak 1. mijenja se i glasi:</w:t>
      </w:r>
    </w:p>
    <w:p>
      <w:pPr>
        <w:pStyle w:val="TextBody"/>
        <w:bidi w:val="0"/>
        <w:spacing w:lineRule="auto" w:line="240" w:before="57" w:after="57"/>
        <w:ind w:left="0" w:right="0" w:hanging="0"/>
        <w:jc w:val="both"/>
        <w:rPr/>
      </w:pPr>
      <w:r>
        <w:rPr/>
        <w:t>»</w:t>
      </w: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 xml:space="preserve"> (1) Naknade iz članka 1. ovoga Pravilnika iznose: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7"/>
        <w:gridCol w:w="1701"/>
      </w:tblGrid>
      <w:tr>
        <w:trPr>
          <w:trHeight w:val="680" w:hRule="atLeast"/>
        </w:trPr>
        <w:tc>
          <w:tcPr>
            <w:tcW w:w="7937" w:type="dxa"/>
            <w:tcBorders/>
            <w:vAlign w:val="center"/>
          </w:tcPr>
          <w:p>
            <w:pPr>
              <w:pStyle w:val="TableHeading"/>
              <w:numPr>
                <w:ilvl w:val="0"/>
                <w:numId w:val="0"/>
              </w:numPr>
              <w:suppressLineNumbers/>
              <w:bidi w:val="0"/>
              <w:jc w:val="center"/>
              <w:rPr/>
            </w:pPr>
            <w:r>
              <w:rPr/>
              <w:t>Poslovi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TableHeading"/>
              <w:bidi w:val="0"/>
              <w:jc w:val="right"/>
              <w:rPr/>
            </w:pPr>
            <w:r>
              <w:rPr/>
              <w:t>Iznos naknade</w:t>
              <w:br/>
              <w:t>(€/kom)</w:t>
            </w:r>
          </w:p>
        </w:tc>
      </w:tr>
    </w:tbl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8"/>
      </w:tblGrid>
      <w:tr>
        <w:trPr/>
        <w:tc>
          <w:tcPr>
            <w:tcW w:w="9638" w:type="dxa"/>
            <w:tcBorders/>
          </w:tcPr>
          <w:p>
            <w:pPr>
              <w:pStyle w:val="TableContents"/>
              <w:numPr>
                <w:ilvl w:val="0"/>
                <w:numId w:val="2"/>
              </w:numPr>
              <w:tabs>
                <w:tab w:val="right" w:pos="9638" w:leader="none"/>
              </w:tabs>
              <w:bidi w:val="0"/>
              <w:jc w:val="left"/>
              <w:rPr>
                <w:u w:val="none"/>
              </w:rPr>
            </w:pPr>
            <w:r>
              <w:rPr>
                <w:u w:val="none"/>
              </w:rPr>
              <w:t>Ispitivanje i žigosanje predmeta od zlata</w:t>
            </w:r>
          </w:p>
        </w:tc>
      </w:tr>
      <w:tr>
        <w:trPr/>
        <w:tc>
          <w:tcPr>
            <w:tcW w:w="9638" w:type="dxa"/>
            <w:tcBorders/>
          </w:tcPr>
          <w:p>
            <w:pPr>
              <w:pStyle w:val="List1Cont"/>
              <w:bidi w:val="0"/>
              <w:rPr>
                <w:u w:val="none"/>
              </w:rPr>
            </w:pPr>
            <w:r>
              <w:rPr>
                <w:u w:val="none"/>
              </w:rPr>
              <w:t>za pojedinačni predmet od zlata mase do 3 g</w:t>
              <w:tab/>
              <w:t>0,36</w:t>
            </w:r>
          </w:p>
        </w:tc>
      </w:tr>
      <w:tr>
        <w:trPr/>
        <w:tc>
          <w:tcPr>
            <w:tcW w:w="9638" w:type="dxa"/>
            <w:tcBorders/>
          </w:tcPr>
          <w:p>
            <w:pPr>
              <w:pStyle w:val="List1Cont"/>
              <w:bidi w:val="0"/>
              <w:rPr>
                <w:u w:val="none"/>
              </w:rPr>
            </w:pPr>
            <w:r>
              <w:rPr>
                <w:u w:val="none"/>
              </w:rPr>
              <w:t>za pojedinačni predmet od zlata mase 3 g i veće</w:t>
              <w:tab/>
            </w:r>
            <w:r>
              <w:rPr>
                <w:u w:val="none"/>
              </w:rPr>
              <w:t>0,80</w:t>
            </w:r>
          </w:p>
        </w:tc>
      </w:tr>
      <w:tr>
        <w:trPr/>
        <w:tc>
          <w:tcPr>
            <w:tcW w:w="9638" w:type="dxa"/>
            <w:tcBorders/>
          </w:tcPr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Ispitivanje i žigosanje predmeta od srebra</w:t>
            </w:r>
          </w:p>
        </w:tc>
      </w:tr>
      <w:tr>
        <w:trPr/>
        <w:tc>
          <w:tcPr>
            <w:tcW w:w="9638" w:type="dxa"/>
            <w:tcBorders/>
          </w:tcPr>
          <w:p>
            <w:pPr>
              <w:pStyle w:val="List1Cont"/>
              <w:bidi w:val="0"/>
              <w:rPr>
                <w:u w:val="none"/>
              </w:rPr>
            </w:pPr>
            <w:r>
              <w:rPr>
                <w:u w:val="none"/>
              </w:rPr>
              <w:t>za pojedinačni predmet od srebra mase do 3 g</w:t>
              <w:tab/>
            </w:r>
            <w:r>
              <w:rPr>
                <w:u w:val="none"/>
              </w:rPr>
              <w:t>0,13</w:t>
            </w:r>
          </w:p>
        </w:tc>
      </w:tr>
      <w:tr>
        <w:trPr/>
        <w:tc>
          <w:tcPr>
            <w:tcW w:w="9638" w:type="dxa"/>
            <w:tcBorders/>
          </w:tcPr>
          <w:p>
            <w:pPr>
              <w:pStyle w:val="List1Cont"/>
              <w:bidi w:val="0"/>
              <w:rPr>
                <w:u w:val="none"/>
              </w:rPr>
            </w:pPr>
            <w:r>
              <w:rPr>
                <w:u w:val="none"/>
              </w:rPr>
              <w:t>za pojedinačni predmet od srebra mase 3 g i veće</w:t>
              <w:tab/>
              <w:t>0,33</w:t>
            </w:r>
          </w:p>
        </w:tc>
      </w:tr>
      <w:tr>
        <w:trPr/>
        <w:tc>
          <w:tcPr>
            <w:tcW w:w="9638" w:type="dxa"/>
            <w:tcBorders/>
          </w:tcPr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Ispitivanje i žigosanje predmeta od platine</w:t>
            </w:r>
          </w:p>
        </w:tc>
      </w:tr>
      <w:tr>
        <w:trPr/>
        <w:tc>
          <w:tcPr>
            <w:tcW w:w="9638" w:type="dxa"/>
            <w:tcBorders/>
          </w:tcPr>
          <w:p>
            <w:pPr>
              <w:pStyle w:val="List1Cont"/>
              <w:bidi w:val="0"/>
              <w:rPr>
                <w:u w:val="none"/>
              </w:rPr>
            </w:pPr>
            <w:r>
              <w:rPr>
                <w:u w:val="none"/>
              </w:rPr>
              <w:t>za pojedinačni predmet od platine bez obzira na masu</w:t>
              <w:tab/>
            </w:r>
            <w:r>
              <w:rPr>
                <w:u w:val="none"/>
              </w:rPr>
              <w:t>0,93</w:t>
            </w:r>
          </w:p>
        </w:tc>
      </w:tr>
      <w:tr>
        <w:trPr/>
        <w:tc>
          <w:tcPr>
            <w:tcW w:w="9638" w:type="dxa"/>
            <w:tcBorders/>
          </w:tcPr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u w:val="none"/>
              </w:rPr>
            </w:pPr>
            <w:r>
              <w:rPr>
                <w:u w:val="none"/>
              </w:rPr>
              <w:t>Certifikat o žigosanju*</w:t>
              <w:tab/>
            </w:r>
            <w:r>
              <w:rPr>
                <w:u w:val="none"/>
              </w:rPr>
              <w:t>0,80</w:t>
            </w:r>
          </w:p>
        </w:tc>
      </w:tr>
      <w:tr>
        <w:trPr/>
        <w:tc>
          <w:tcPr>
            <w:tcW w:w="9638" w:type="dxa"/>
            <w:tcBorders/>
          </w:tcPr>
          <w:p>
            <w:pPr>
              <w:pStyle w:val="List1Cont"/>
              <w:bidi w:val="0"/>
              <w:rPr>
                <w:u w:val="none"/>
              </w:rPr>
            </w:pPr>
            <w:r>
              <w:rPr>
                <w:u w:val="none"/>
              </w:rPr>
              <w:t>za pojedinačni predmet od plemenitih kovina bez obzira na masu i vrstu plemenite kovine</w:t>
            </w:r>
          </w:p>
        </w:tc>
      </w:tr>
      <w:tr>
        <w:trPr/>
        <w:tc>
          <w:tcPr>
            <w:tcW w:w="9638" w:type="dxa"/>
            <w:tcBorders/>
          </w:tcPr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Utiskivanje zajedničke kontrolne oznake (CCM)*</w:t>
            </w:r>
          </w:p>
        </w:tc>
      </w:tr>
      <w:tr>
        <w:trPr/>
        <w:tc>
          <w:tcPr>
            <w:tcW w:w="9638" w:type="dxa"/>
            <w:tcBorders/>
          </w:tcPr>
          <w:p>
            <w:pPr>
              <w:pStyle w:val="List1Cont"/>
              <w:bidi w:val="0"/>
              <w:rPr>
                <w:u w:val="none"/>
              </w:rPr>
            </w:pPr>
            <w:r>
              <w:rPr>
                <w:u w:val="none"/>
              </w:rPr>
              <w:t>istovjetno naplati kao pod 1., 2. i 3.</w:t>
            </w:r>
          </w:p>
        </w:tc>
      </w:tr>
      <w:tr>
        <w:trPr/>
        <w:tc>
          <w:tcPr>
            <w:tcW w:w="9638" w:type="dxa"/>
            <w:tcBorders/>
          </w:tcPr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Utiskivanje drugih dodatnih oznaka (oznaka čistoće i sl.)</w:t>
            </w:r>
          </w:p>
        </w:tc>
      </w:tr>
      <w:tr>
        <w:trPr/>
        <w:tc>
          <w:tcPr>
            <w:tcW w:w="9638" w:type="dxa"/>
            <w:tcBorders/>
          </w:tcPr>
          <w:p>
            <w:pPr>
              <w:pStyle w:val="List1Cont"/>
              <w:bidi w:val="0"/>
              <w:rPr>
                <w:u w:val="none"/>
              </w:rPr>
            </w:pPr>
            <w:r>
              <w:rPr>
                <w:u w:val="none"/>
              </w:rPr>
              <w:t>za pojedinačni predmet</w:t>
              <w:tab/>
            </w:r>
            <w:r>
              <w:rPr>
                <w:u w:val="none"/>
              </w:rPr>
              <w:t>0,16</w:t>
            </w:r>
          </w:p>
        </w:tc>
      </w:tr>
      <w:tr>
        <w:trPr/>
        <w:tc>
          <w:tcPr>
            <w:tcW w:w="9638" w:type="dxa"/>
            <w:tcBorders/>
          </w:tcPr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Kvalitativna metoda – XRF ispitivanje</w:t>
            </w:r>
          </w:p>
        </w:tc>
      </w:tr>
      <w:tr>
        <w:trPr/>
        <w:tc>
          <w:tcPr>
            <w:tcW w:w="9638" w:type="dxa"/>
            <w:tcBorders/>
          </w:tcPr>
          <w:p>
            <w:pPr>
              <w:pStyle w:val="List1Cont"/>
              <w:bidi w:val="0"/>
              <w:rPr>
                <w:u w:val="none"/>
              </w:rPr>
            </w:pPr>
            <w:r>
              <w:rPr>
                <w:u w:val="none"/>
              </w:rPr>
              <w:t>po jednom uzorku</w:t>
              <w:tab/>
            </w:r>
            <w:r>
              <w:rPr>
                <w:u w:val="none"/>
              </w:rPr>
              <w:t>9,95</w:t>
            </w:r>
          </w:p>
        </w:tc>
      </w:tr>
      <w:tr>
        <w:trPr/>
        <w:tc>
          <w:tcPr>
            <w:tcW w:w="9638" w:type="dxa"/>
            <w:tcBorders/>
          </w:tcPr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Kvantitativna kemijska analiza – kupelacija zlata</w:t>
            </w:r>
          </w:p>
        </w:tc>
      </w:tr>
      <w:tr>
        <w:trPr/>
        <w:tc>
          <w:tcPr>
            <w:tcW w:w="9638" w:type="dxa"/>
            <w:tcBorders/>
          </w:tcPr>
          <w:p>
            <w:pPr>
              <w:pStyle w:val="List1Cont"/>
              <w:bidi w:val="0"/>
              <w:spacing w:lineRule="auto" w:line="240" w:before="0" w:after="0"/>
              <w:ind w:left="397" w:right="0" w:hanging="0"/>
              <w:jc w:val="both"/>
              <w:rPr/>
            </w:pPr>
            <w:r>
              <w:rPr/>
              <w:t>po jednom uzorku</w:t>
              <w:tab/>
            </w:r>
            <w:r>
              <w:rPr/>
              <w:t>53,09</w:t>
            </w:r>
          </w:p>
        </w:tc>
      </w:tr>
      <w:tr>
        <w:trPr/>
        <w:tc>
          <w:tcPr>
            <w:tcW w:w="9638" w:type="dxa"/>
            <w:tcBorders/>
          </w:tcPr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Kvantitativna kemijska analiza – potenciometrijska titracija srebra</w:t>
            </w:r>
          </w:p>
        </w:tc>
      </w:tr>
      <w:tr>
        <w:trPr/>
        <w:tc>
          <w:tcPr>
            <w:tcW w:w="9638" w:type="dxa"/>
            <w:tcBorders/>
          </w:tcPr>
          <w:p>
            <w:pPr>
              <w:pStyle w:val="List1Cont"/>
              <w:bidi w:val="0"/>
              <w:rPr>
                <w:u w:val="none"/>
              </w:rPr>
            </w:pPr>
            <w:r>
              <w:rPr>
                <w:u w:val="none"/>
              </w:rPr>
              <w:t>po jednom uzorku</w:t>
              <w:tab/>
            </w:r>
            <w:r>
              <w:rPr>
                <w:u w:val="none"/>
              </w:rPr>
              <w:t>19,91</w:t>
            </w:r>
          </w:p>
        </w:tc>
      </w:tr>
      <w:tr>
        <w:trPr/>
        <w:tc>
          <w:tcPr>
            <w:tcW w:w="9638" w:type="dxa"/>
            <w:tcBorders/>
          </w:tcPr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Dodjeljivanje znaka proizvođača</w:t>
            </w:r>
          </w:p>
        </w:tc>
      </w:tr>
      <w:tr>
        <w:trPr/>
        <w:tc>
          <w:tcPr>
            <w:tcW w:w="9638" w:type="dxa"/>
            <w:tcBorders/>
          </w:tcPr>
          <w:p>
            <w:pPr>
              <w:pStyle w:val="List1Cont"/>
              <w:bidi w:val="0"/>
              <w:rPr>
                <w:u w:val="none"/>
              </w:rPr>
            </w:pPr>
            <w:r>
              <w:rPr>
                <w:u w:val="none"/>
              </w:rPr>
              <w:t>po rješenju</w:t>
              <w:tab/>
            </w:r>
            <w:r>
              <w:rPr>
                <w:u w:val="none"/>
              </w:rPr>
              <w:t>66,36</w:t>
            </w:r>
          </w:p>
        </w:tc>
      </w:tr>
      <w:tr>
        <w:trPr/>
        <w:tc>
          <w:tcPr>
            <w:tcW w:w="9638" w:type="dxa"/>
            <w:tcBorders/>
          </w:tcPr>
          <w:p>
            <w:pPr>
              <w:pStyle w:val="List1Cont"/>
              <w:bidi w:val="0"/>
              <w:rPr>
                <w:u w:val="none"/>
              </w:rPr>
            </w:pPr>
            <w:r>
              <w:rPr>
                <w:u w:val="none"/>
              </w:rPr>
              <w:t>po novom rješenju nakon isteka roka važenja rješenja</w:t>
              <w:tab/>
            </w:r>
            <w:r>
              <w:rPr>
                <w:u w:val="none"/>
              </w:rPr>
              <w:t>26,54</w:t>
            </w:r>
          </w:p>
        </w:tc>
      </w:tr>
      <w:tr>
        <w:trPr/>
        <w:tc>
          <w:tcPr>
            <w:tcW w:w="9638" w:type="dxa"/>
            <w:tcBorders/>
          </w:tcPr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 </w:t>
            </w:r>
            <w:r>
              <w:rPr>
                <w:sz w:val="24"/>
                <w:szCs w:val="24"/>
                <w:u w:val="none"/>
              </w:rPr>
              <w:t>Dodjeljivanje znaka dobavljača</w:t>
            </w:r>
          </w:p>
        </w:tc>
      </w:tr>
      <w:tr>
        <w:trPr/>
        <w:tc>
          <w:tcPr>
            <w:tcW w:w="9638" w:type="dxa"/>
            <w:tcBorders/>
          </w:tcPr>
          <w:p>
            <w:pPr>
              <w:pStyle w:val="List1Cont"/>
              <w:bidi w:val="0"/>
              <w:rPr>
                <w:u w:val="none"/>
              </w:rPr>
            </w:pPr>
            <w:r>
              <w:rPr>
                <w:u w:val="none"/>
              </w:rPr>
              <w:t>po rješenju</w:t>
              <w:tab/>
            </w:r>
            <w:r>
              <w:rPr>
                <w:u w:val="none"/>
              </w:rPr>
              <w:t>66,36</w:t>
            </w:r>
          </w:p>
        </w:tc>
      </w:tr>
      <w:tr>
        <w:trPr/>
        <w:tc>
          <w:tcPr>
            <w:tcW w:w="9638" w:type="dxa"/>
            <w:tcBorders/>
          </w:tcPr>
          <w:p>
            <w:pPr>
              <w:pStyle w:val="List1Cont"/>
              <w:bidi w:val="0"/>
              <w:rPr>
                <w:u w:val="none"/>
              </w:rPr>
            </w:pPr>
            <w:r>
              <w:rPr>
                <w:u w:val="none"/>
              </w:rPr>
              <w:t>po novom rješenju nakon isteka roka važenja rješenja</w:t>
              <w:tab/>
            </w:r>
            <w:r>
              <w:rPr>
                <w:u w:val="none"/>
              </w:rPr>
              <w:t>26,54</w:t>
            </w:r>
          </w:p>
        </w:tc>
      </w:tr>
      <w:tr>
        <w:trPr/>
        <w:tc>
          <w:tcPr>
            <w:tcW w:w="9638" w:type="dxa"/>
            <w:tcBorders/>
          </w:tcPr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Slika državnih žigova</w:t>
            </w:r>
          </w:p>
        </w:tc>
      </w:tr>
      <w:tr>
        <w:trPr/>
        <w:tc>
          <w:tcPr>
            <w:tcW w:w="9638" w:type="dxa"/>
            <w:tcBorders/>
          </w:tcPr>
          <w:p>
            <w:pPr>
              <w:pStyle w:val="List1Cont"/>
              <w:bidi w:val="0"/>
              <w:rPr>
                <w:u w:val="none"/>
              </w:rPr>
            </w:pPr>
            <w:r>
              <w:rPr>
                <w:u w:val="none"/>
              </w:rPr>
              <w:t>po komadu</w:t>
              <w:tab/>
            </w:r>
            <w:r>
              <w:rPr>
                <w:u w:val="none"/>
              </w:rPr>
              <w:t>3,98</w:t>
            </w:r>
          </w:p>
        </w:tc>
      </w:tr>
      <w:tr>
        <w:trPr/>
        <w:tc>
          <w:tcPr>
            <w:tcW w:w="9638" w:type="dxa"/>
            <w:tcBorders/>
          </w:tcPr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Naknada za ostale poslove</w:t>
            </w:r>
          </w:p>
        </w:tc>
      </w:tr>
      <w:tr>
        <w:trPr/>
        <w:tc>
          <w:tcPr>
            <w:tcW w:w="9638" w:type="dxa"/>
            <w:tcBorders/>
          </w:tcPr>
          <w:p>
            <w:pPr>
              <w:pStyle w:val="List1Cont"/>
              <w:bidi w:val="0"/>
              <w:rPr>
                <w:u w:val="none"/>
              </w:rPr>
            </w:pPr>
            <w:r>
              <w:rPr>
                <w:u w:val="none"/>
              </w:rPr>
              <w:t>po započetom radnom satu</w:t>
              <w:tab/>
            </w:r>
            <w:r>
              <w:rPr>
                <w:u w:val="none"/>
              </w:rPr>
              <w:t>19,91</w:t>
            </w:r>
          </w:p>
        </w:tc>
      </w:tr>
      <w:tr>
        <w:trPr/>
        <w:tc>
          <w:tcPr>
            <w:tcW w:w="9638" w:type="dxa"/>
            <w:tcBorders/>
          </w:tcPr>
          <w:p>
            <w:pPr>
              <w:pStyle w:val="List1Cont"/>
              <w:bidi w:val="0"/>
              <w:rPr>
                <w:u w:val="none"/>
              </w:rPr>
            </w:pPr>
            <w:r>
              <w:rPr>
                <w:u w:val="none"/>
                <w:lang w:eastAsia="hr-HR"/>
              </w:rPr>
              <w:t xml:space="preserve">* provodi se kvantitativna kemijska analiza </w:t>
            </w:r>
            <w:r>
              <w:rPr>
                <w:u w:val="none"/>
                <w:lang w:eastAsia="en-US"/>
              </w:rPr>
              <w:t>«.</w:t>
            </w:r>
          </w:p>
        </w:tc>
      </w:tr>
    </w:tbl>
    <w:p>
      <w:pPr>
        <w:pStyle w:val="Lanak"/>
        <w:bidi w:val="0"/>
        <w:rPr/>
      </w:pPr>
      <w:r>
        <w:rPr/>
        <w:t>Članak 2.</w:t>
      </w:r>
    </w:p>
    <w:p>
      <w:pPr>
        <w:pStyle w:val="TextBody"/>
        <w:bidi w:val="0"/>
        <w:spacing w:lineRule="auto" w:line="240" w:before="57" w:after="57"/>
        <w:ind w:left="0" w:right="0" w:hanging="0"/>
        <w:jc w:val="both"/>
        <w:rPr/>
      </w:pPr>
      <w:r>
        <w:rPr/>
        <w:t>Ovaj Pravilnik objavit će se u »Narodnim novinama«, a stupa na snagu na dan uvođenja eura kao službene valute u Republici Hrvatskoj.</w:t>
      </w:r>
    </w:p>
    <w:p>
      <w:pPr>
        <w:pStyle w:val="TextBody"/>
        <w:bidi w:val="0"/>
        <w:spacing w:lineRule="auto" w:line="240" w:before="57" w:after="57"/>
        <w:ind w:left="0" w:right="0" w:hanging="0"/>
        <w:jc w:val="both"/>
        <w:rPr/>
      </w:pPr>
      <w:r>
        <w:rPr/>
      </w:r>
    </w:p>
    <w:p>
      <w:pPr>
        <w:pStyle w:val="TextBody"/>
        <w:bidi w:val="0"/>
        <w:spacing w:lineRule="auto" w:line="240" w:before="57" w:after="57"/>
        <w:ind w:left="0" w:right="0" w:hanging="0"/>
        <w:jc w:val="both"/>
        <w:rPr/>
      </w:pPr>
      <w:r>
        <w:rPr/>
        <w:t xml:space="preserve">Klasa: </w:t>
      </w:r>
    </w:p>
    <w:p>
      <w:pPr>
        <w:pStyle w:val="TextBody"/>
        <w:bidi w:val="0"/>
        <w:spacing w:lineRule="auto" w:line="240" w:before="57" w:after="57"/>
        <w:ind w:left="0" w:right="0" w:hanging="0"/>
        <w:jc w:val="both"/>
        <w:rPr/>
      </w:pPr>
      <w:r>
        <w:rPr/>
        <w:t xml:space="preserve">Urbroj: </w:t>
      </w:r>
    </w:p>
    <w:p>
      <w:pPr>
        <w:pStyle w:val="TextBody"/>
        <w:bidi w:val="0"/>
        <w:spacing w:lineRule="auto" w:line="240" w:before="57" w:after="57"/>
        <w:ind w:left="0" w:right="0" w:hanging="0"/>
        <w:jc w:val="both"/>
        <w:rPr/>
      </w:pPr>
      <w:r>
        <w:rPr/>
        <w:t xml:space="preserve">Zagreb, </w:t>
      </w:r>
    </w:p>
    <w:p>
      <w:pPr>
        <w:pStyle w:val="Signature"/>
        <w:keepLines w:val="false"/>
        <w:widowControl/>
        <w:suppressLineNumbers/>
        <w:bidi w:val="0"/>
        <w:spacing w:lineRule="auto" w:line="276" w:before="454" w:after="57"/>
        <w:ind w:left="4819" w:right="0" w:hanging="0"/>
        <w:contextualSpacing/>
        <w:jc w:val="center"/>
        <w:rPr/>
      </w:pPr>
      <w:r>
        <w:rPr>
          <w:b/>
          <w:bCs/>
        </w:rPr>
        <w:t>Glavna ravnateljica</w:t>
      </w:r>
      <w:r>
        <w:rPr/>
        <w:br/>
        <w:t>Brankica Novosel, v. r.</w:t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134" w:top="1705" w:footer="1134" w:bottom="1422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/>
      <w:t>/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right"/>
      <w:rPr/>
    </w:pPr>
    <w:r>
      <w:rPr/>
      <w:t>PRIJEDLOG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%1.%2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%1.%2.%3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%1.%2.%3.%4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suff w:val="nothing"/>
      <w:lvlText w:val="%1.%2.%3.%4.%5"/>
      <w:lvlJc w:val="left"/>
      <w:pPr>
        <w:tabs>
          <w:tab w:val="num" w:pos="0"/>
        </w:tabs>
        <w:ind w:left="0" w:hanging="0"/>
      </w:pPr>
    </w:lvl>
    <w:lvl w:ilvl="5">
      <w:start w:val="1"/>
      <w:pStyle w:val="Heading6"/>
      <w:numFmt w:val="none"/>
      <w:suff w:val="nothing"/>
      <w:lvlText w:val="%1.%2.%3.%4.%5.%6"/>
      <w:lvlJc w:val="left"/>
      <w:pPr>
        <w:tabs>
          <w:tab w:val="num" w:pos="0"/>
        </w:tabs>
        <w:ind w:left="0" w:hanging="0"/>
      </w:pPr>
    </w:lvl>
    <w:lvl w:ilvl="6">
      <w:start w:val="1"/>
      <w:pStyle w:val="Heading7"/>
      <w:numFmt w:val="none"/>
      <w:suff w:val="nothing"/>
      <w:lvlText w:val="%1.%2.%3.%4.%5.%6.%7"/>
      <w:lvlJc w:val="left"/>
      <w:pPr>
        <w:tabs>
          <w:tab w:val="num" w:pos="0"/>
        </w:tabs>
        <w:ind w:left="0" w:hanging="0"/>
      </w:pPr>
    </w:lvl>
    <w:lvl w:ilvl="7">
      <w:start w:val="1"/>
      <w:pStyle w:val="Heading8"/>
      <w:numFmt w:val="none"/>
      <w:suff w:val="nothing"/>
      <w:lvlText w:val="%1.%2.%3.%4.%5.%6.%7.%8"/>
      <w:lvlJc w:val="left"/>
      <w:pPr>
        <w:tabs>
          <w:tab w:val="num" w:pos="0"/>
        </w:tabs>
        <w:ind w:left="0" w:hanging="0"/>
      </w:pPr>
    </w:lvl>
    <w:lvl w:ilvl="8">
      <w:start w:val="1"/>
      <w:pStyle w:val="Heading9"/>
      <w:numFmt w:val="none"/>
      <w:suff w:val="nothing"/>
      <w:lvlText w:val="%1.%2.%3.%4.%5.%6.%7.%8.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/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/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/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/>
    </w:lvl>
    <w:lvl w:ilvl="4">
      <w:start w:val="1"/>
      <w:numFmt w:val="decimal"/>
      <w:lvlText w:val="%5."/>
      <w:lvlJc w:val="left"/>
      <w:pPr>
        <w:tabs>
          <w:tab w:val="num" w:pos="397"/>
        </w:tabs>
        <w:ind w:left="397" w:hanging="397"/>
      </w:pPr>
      <w:rPr/>
    </w:lvl>
    <w:lvl w:ilvl="5">
      <w:start w:val="1"/>
      <w:numFmt w:val="decimal"/>
      <w:lvlText w:val="%6."/>
      <w:lvlJc w:val="left"/>
      <w:pPr>
        <w:tabs>
          <w:tab w:val="num" w:pos="397"/>
        </w:tabs>
        <w:ind w:left="397" w:hanging="397"/>
      </w:pPr>
      <w:rPr/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/>
    </w:lvl>
    <w:lvl w:ilvl="7">
      <w:start w:val="1"/>
      <w:numFmt w:val="decimal"/>
      <w:lvlText w:val="%8."/>
      <w:lvlJc w:val="left"/>
      <w:pPr>
        <w:tabs>
          <w:tab w:val="num" w:pos="397"/>
        </w:tabs>
        <w:ind w:left="397" w:hanging="397"/>
      </w:pPr>
      <w:rPr/>
    </w:lvl>
    <w:lvl w:ilvl="8">
      <w:start w:val="1"/>
      <w:numFmt w:val="decimal"/>
      <w:lvlText w:val="%9."/>
      <w:lvlJc w:val="left"/>
      <w:pPr>
        <w:tabs>
          <w:tab w:val="num" w:pos="397"/>
        </w:tabs>
        <w:ind w:left="397" w:hanging="397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Droid Sans Fallback" w:cs="Droid Sans Devanagari"/>
        <w:kern w:val="2"/>
        <w:sz w:val="24"/>
        <w:szCs w:val="24"/>
        <w:lang w:val="hr-H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Droid Sans Fallback" w:cs="Droid Sans Devanagari"/>
      <w:color w:val="auto"/>
      <w:kern w:val="2"/>
      <w:sz w:val="24"/>
      <w:szCs w:val="24"/>
      <w:lang w:val="hr-HR" w:eastAsia="zh-CN" w:bidi="hi-IN"/>
    </w:rPr>
  </w:style>
  <w:style w:type="paragraph" w:styleId="Heading1">
    <w:name w:val="Heading 1"/>
    <w:basedOn w:val="Heading"/>
    <w:next w:val="TextBody"/>
    <w:qFormat/>
    <w:pPr>
      <w:keepNext w:val="true"/>
      <w:numPr>
        <w:ilvl w:val="0"/>
        <w:numId w:val="1"/>
      </w:numPr>
      <w:spacing w:before="240" w:after="120"/>
      <w:ind w:left="0" w:right="0" w:hanging="0"/>
      <w:jc w:val="center"/>
      <w:outlineLvl w:val="0"/>
    </w:pPr>
    <w:rPr>
      <w:b/>
      <w:bCs/>
      <w:sz w:val="26"/>
      <w:szCs w:val="36"/>
    </w:rPr>
  </w:style>
  <w:style w:type="paragraph" w:styleId="Heading2">
    <w:name w:val="Heading 2"/>
    <w:basedOn w:val="Heading"/>
    <w:next w:val="TextBody"/>
    <w:qFormat/>
    <w:pPr>
      <w:keepNext w:val="true"/>
      <w:numPr>
        <w:ilvl w:val="1"/>
        <w:numId w:val="1"/>
      </w:numPr>
      <w:spacing w:before="200" w:after="120"/>
      <w:ind w:left="0" w:right="0" w:hanging="0"/>
      <w:jc w:val="center"/>
      <w:outlineLvl w:val="1"/>
    </w:pPr>
    <w:rPr>
      <w:b/>
      <w:bCs/>
      <w:i w:val="false"/>
      <w:sz w:val="25"/>
      <w:szCs w:val="32"/>
    </w:rPr>
  </w:style>
  <w:style w:type="paragraph" w:styleId="Heading3">
    <w:name w:val="Heading 3"/>
    <w:basedOn w:val="Heading"/>
    <w:next w:val="TextBody"/>
    <w:qFormat/>
    <w:pPr>
      <w:keepNext w:val="true"/>
      <w:numPr>
        <w:ilvl w:val="2"/>
        <w:numId w:val="1"/>
      </w:numPr>
      <w:spacing w:before="140" w:after="120"/>
      <w:ind w:left="0" w:right="0" w:hanging="0"/>
      <w:jc w:val="left"/>
      <w:outlineLvl w:val="2"/>
    </w:pPr>
    <w:rPr>
      <w:b/>
      <w:sz w:val="25"/>
    </w:rPr>
  </w:style>
  <w:style w:type="paragraph" w:styleId="Heading4">
    <w:name w:val="Heading 4"/>
    <w:basedOn w:val="Heading"/>
    <w:next w:val="TextBody"/>
    <w:qFormat/>
    <w:pPr>
      <w:keepNext w:val="true"/>
      <w:numPr>
        <w:ilvl w:val="3"/>
        <w:numId w:val="1"/>
      </w:numPr>
      <w:spacing w:before="120" w:after="120"/>
      <w:ind w:left="0" w:right="0" w:hanging="0"/>
      <w:jc w:val="center"/>
      <w:outlineLvl w:val="3"/>
    </w:pPr>
    <w:rPr>
      <w:b/>
      <w:bCs/>
      <w:i/>
      <w:iCs/>
      <w:sz w:val="24"/>
      <w:szCs w:val="27"/>
    </w:rPr>
  </w:style>
  <w:style w:type="paragraph" w:styleId="Heading5">
    <w:name w:val="Heading 5"/>
    <w:basedOn w:val="Heading"/>
    <w:next w:val="TextBody"/>
    <w:qFormat/>
    <w:pPr>
      <w:keepNext w:val="true"/>
      <w:numPr>
        <w:ilvl w:val="4"/>
        <w:numId w:val="1"/>
      </w:numPr>
      <w:spacing w:before="120" w:after="60"/>
      <w:ind w:left="0" w:right="0" w:hanging="0"/>
      <w:jc w:val="center"/>
      <w:outlineLvl w:val="4"/>
    </w:pPr>
    <w:rPr>
      <w:b/>
      <w:bCs/>
      <w:i/>
      <w:sz w:val="24"/>
      <w:szCs w:val="24"/>
      <w:u w:val="none"/>
    </w:rPr>
  </w:style>
  <w:style w:type="paragraph" w:styleId="Heading6">
    <w:name w:val="Heading 6"/>
    <w:basedOn w:val="Heading"/>
    <w:next w:val="TextBody"/>
    <w:qFormat/>
    <w:pPr>
      <w:keepNext w:val="true"/>
      <w:numPr>
        <w:ilvl w:val="5"/>
        <w:numId w:val="1"/>
      </w:numPr>
      <w:spacing w:before="60" w:after="60"/>
      <w:ind w:left="0" w:right="0" w:hanging="0"/>
      <w:jc w:val="center"/>
      <w:outlineLvl w:val="5"/>
    </w:pPr>
    <w:rPr>
      <w:b/>
      <w:bCs/>
      <w:i/>
      <w:iCs/>
      <w:sz w:val="24"/>
      <w:szCs w:val="24"/>
    </w:rPr>
  </w:style>
  <w:style w:type="paragraph" w:styleId="Heading7">
    <w:name w:val="Heading 7"/>
    <w:basedOn w:val="Heading"/>
    <w:next w:val="TextBody"/>
    <w:qFormat/>
    <w:pPr>
      <w:keepNext w:val="true"/>
      <w:numPr>
        <w:ilvl w:val="6"/>
        <w:numId w:val="1"/>
      </w:numPr>
      <w:spacing w:before="60" w:after="60"/>
      <w:ind w:left="0" w:right="0" w:hanging="0"/>
      <w:jc w:val="center"/>
      <w:outlineLvl w:val="6"/>
    </w:pPr>
    <w:rPr>
      <w:b/>
      <w:bCs/>
      <w:i/>
      <w:sz w:val="24"/>
      <w:szCs w:val="22"/>
    </w:rPr>
  </w:style>
  <w:style w:type="paragraph" w:styleId="Heading8">
    <w:name w:val="Heading 8"/>
    <w:basedOn w:val="Heading"/>
    <w:next w:val="TextBody"/>
    <w:qFormat/>
    <w:pPr>
      <w:keepNext w:val="true"/>
      <w:numPr>
        <w:ilvl w:val="7"/>
        <w:numId w:val="1"/>
      </w:numPr>
      <w:spacing w:before="60" w:after="60"/>
      <w:ind w:left="0" w:right="0" w:hanging="0"/>
      <w:jc w:val="center"/>
      <w:outlineLvl w:val="7"/>
    </w:pPr>
    <w:rPr>
      <w:b/>
      <w:bCs/>
      <w:i/>
      <w:iCs/>
      <w:sz w:val="24"/>
      <w:szCs w:val="22"/>
    </w:rPr>
  </w:style>
  <w:style w:type="paragraph" w:styleId="Heading9">
    <w:name w:val="Heading 9"/>
    <w:basedOn w:val="Heading"/>
    <w:next w:val="TextBody"/>
    <w:qFormat/>
    <w:pPr>
      <w:keepNext w:val="true"/>
      <w:numPr>
        <w:ilvl w:val="8"/>
        <w:numId w:val="1"/>
      </w:numPr>
      <w:spacing w:before="60" w:after="60"/>
      <w:ind w:left="0" w:right="0" w:hanging="0"/>
      <w:jc w:val="center"/>
      <w:outlineLvl w:val="8"/>
    </w:pPr>
    <w:rPr>
      <w:b/>
      <w:bCs/>
      <w:i/>
      <w:sz w:val="24"/>
      <w:szCs w:val="21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StrongEmphasis">
    <w:name w:val="Strong Emphasis"/>
    <w:qFormat/>
    <w:rPr>
      <w:b/>
      <w:bCs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  <w:jc w:val="center"/>
    </w:pPr>
    <w:rPr>
      <w:rFonts w:ascii="Liberation Sans" w:hAnsi="Liberation Sans" w:eastAsia="Droid Sans Fallback" w:cs="Droid Sans Devanagari"/>
      <w:b w:val="false"/>
      <w:sz w:val="24"/>
      <w:szCs w:val="28"/>
    </w:rPr>
  </w:style>
  <w:style w:type="paragraph" w:styleId="TextBody">
    <w:name w:val="Body Text"/>
    <w:basedOn w:val="Normal"/>
    <w:pPr>
      <w:spacing w:lineRule="auto" w:line="240" w:before="57" w:after="57"/>
      <w:ind w:left="0" w:right="0" w:hanging="0"/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Liberation Serif" w:hAnsi="Liberation Serif" w:cs="Droid Sans Devanagari"/>
      <w:i w:val="false"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ableContents">
    <w:name w:val="Table Contents"/>
    <w:basedOn w:val="Normal"/>
    <w:qFormat/>
    <w:pPr>
      <w:keepNext w:val="false"/>
      <w:numPr>
        <w:ilvl w:val="0"/>
        <w:numId w:val="2"/>
      </w:numPr>
      <w:suppressLineNumbers/>
      <w:tabs>
        <w:tab w:val="clear" w:pos="709"/>
        <w:tab w:val="right" w:pos="9638" w:leader="dot"/>
      </w:tabs>
    </w:pPr>
    <w:rPr>
      <w:sz w:val="24"/>
      <w:szCs w:val="24"/>
    </w:rPr>
  </w:style>
  <w:style w:type="paragraph" w:styleId="TableHeading">
    <w:name w:val="Table Heading"/>
    <w:basedOn w:val="TableContents"/>
    <w:qFormat/>
    <w:pPr>
      <w:numPr>
        <w:ilvl w:val="0"/>
        <w:numId w:val="0"/>
      </w:numPr>
      <w:suppressLineNumbers/>
      <w:tabs>
        <w:tab w:val="clear" w:pos="9638"/>
      </w:tabs>
      <w:jc w:val="center"/>
    </w:pPr>
    <w:rPr>
      <w:b/>
      <w:bCs/>
    </w:rPr>
  </w:style>
  <w:style w:type="paragraph" w:styleId="Title">
    <w:name w:val="Title"/>
    <w:basedOn w:val="Heading"/>
    <w:next w:val="TextBody"/>
    <w:qFormat/>
    <w:pPr>
      <w:jc w:val="center"/>
    </w:pPr>
    <w:rPr>
      <w:b/>
      <w:smallCaps/>
      <w:sz w:val="40"/>
    </w:rPr>
  </w:style>
  <w:style w:type="paragraph" w:styleId="IndexHeading">
    <w:name w:val="Index Heading"/>
    <w:basedOn w:val="Heading"/>
    <w:pPr>
      <w:suppressLineNumbers/>
      <w:ind w:left="0" w:right="0" w:hanging="0"/>
    </w:pPr>
    <w:rPr>
      <w:b/>
      <w:bCs/>
      <w:sz w:val="32"/>
      <w:szCs w:val="32"/>
    </w:rPr>
  </w:style>
  <w:style w:type="paragraph" w:styleId="ContentsHeading">
    <w:name w:val="TOC Heading"/>
    <w:basedOn w:val="Heading"/>
    <w:pPr>
      <w:suppressLineNumbers/>
      <w:ind w:left="0" w:right="0" w:hanging="0"/>
    </w:pPr>
    <w:rPr>
      <w:b/>
      <w:bCs/>
      <w:sz w:val="32"/>
      <w:szCs w:val="32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uppressLineNumbers/>
      <w:pBdr>
        <w:bottom w:val="single" w:sz="2" w:space="1" w:color="000000"/>
      </w:pBdr>
      <w:tabs>
        <w:tab w:val="clear" w:pos="709"/>
        <w:tab w:val="center" w:pos="4819" w:leader="none"/>
        <w:tab w:val="right" w:pos="9638" w:leader="none"/>
      </w:tabs>
      <w:jc w:val="left"/>
    </w:pPr>
    <w:rPr>
      <w:b w:val="false"/>
      <w:sz w:val="20"/>
    </w:rPr>
  </w:style>
  <w:style w:type="paragraph" w:styleId="Broj">
    <w:name w:val="Broj"/>
    <w:basedOn w:val="TextBody"/>
    <w:qFormat/>
    <w:pPr>
      <w:jc w:val="right"/>
    </w:pPr>
    <w:rPr>
      <w:b/>
      <w:bCs/>
      <w:sz w:val="28"/>
      <w:szCs w:val="28"/>
    </w:rPr>
  </w:style>
  <w:style w:type="paragraph" w:styleId="Subtitle">
    <w:name w:val="Subtitle"/>
    <w:basedOn w:val="Heading"/>
    <w:next w:val="TextBody"/>
    <w:qFormat/>
    <w:pPr>
      <w:spacing w:before="60" w:after="120"/>
      <w:jc w:val="center"/>
    </w:pPr>
    <w:rPr>
      <w:b/>
      <w:sz w:val="30"/>
      <w:szCs w:val="36"/>
    </w:rPr>
  </w:style>
  <w:style w:type="paragraph" w:styleId="Footer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  <w:jc w:val="center"/>
    </w:pPr>
    <w:rPr>
      <w:sz w:val="20"/>
    </w:rPr>
  </w:style>
  <w:style w:type="paragraph" w:styleId="Heading10">
    <w:name w:val="Heading 10"/>
    <w:basedOn w:val="Heading"/>
    <w:next w:val="TextBody"/>
    <w:qFormat/>
    <w:pPr>
      <w:keepNext w:val="true"/>
      <w:numPr>
        <w:ilvl w:val="8"/>
        <w:numId w:val="1"/>
      </w:numPr>
      <w:pBdr/>
      <w:spacing w:before="57" w:after="57"/>
      <w:ind w:left="0" w:right="0" w:hanging="0"/>
      <w:jc w:val="center"/>
      <w:outlineLvl w:val="8"/>
    </w:pPr>
    <w:rPr>
      <w:b/>
      <w:bCs/>
      <w:i/>
      <w:caps w:val="false"/>
      <w:smallCaps w:val="false"/>
      <w:outline w:val="false"/>
      <w:shadow w:val="false"/>
      <w:sz w:val="24"/>
      <w:szCs w:val="21"/>
      <w:u w:val="none"/>
    </w:rPr>
  </w:style>
  <w:style w:type="paragraph" w:styleId="Addressee">
    <w:name w:val="Envelope Address"/>
    <w:basedOn w:val="Normal"/>
    <w:pPr>
      <w:keepNext w:val="false"/>
      <w:suppressLineNumbers/>
      <w:spacing w:lineRule="auto" w:line="276" w:before="113" w:after="113"/>
      <w:ind w:left="283" w:right="0" w:hanging="0"/>
      <w:contextualSpacing/>
    </w:pPr>
    <w:rPr/>
  </w:style>
  <w:style w:type="paragraph" w:styleId="Signature">
    <w:name w:val="Signature"/>
    <w:basedOn w:val="Normal"/>
    <w:pPr>
      <w:keepLines w:val="false"/>
      <w:widowControl/>
      <w:suppressLineNumbers/>
      <w:spacing w:lineRule="auto" w:line="276" w:before="454" w:after="57"/>
      <w:ind w:left="4819" w:right="0" w:hanging="0"/>
      <w:contextualSpacing/>
      <w:jc w:val="center"/>
    </w:pPr>
    <w:rPr/>
  </w:style>
  <w:style w:type="paragraph" w:styleId="NN">
    <w:name w:val="NN"/>
    <w:basedOn w:val="Normal"/>
    <w:qFormat/>
    <w:pPr/>
    <w:rPr>
      <w:b/>
      <w:sz w:val="26"/>
    </w:rPr>
  </w:style>
  <w:style w:type="paragraph" w:styleId="Table">
    <w:name w:val="Table"/>
    <w:basedOn w:val="Caption"/>
    <w:qFormat/>
    <w:pPr>
      <w:jc w:val="center"/>
    </w:pPr>
    <w:rPr>
      <w:rFonts w:ascii="Liberation Serif" w:hAnsi="Liberation Serif"/>
      <w:i w:val="false"/>
    </w:rPr>
  </w:style>
  <w:style w:type="paragraph" w:styleId="Contents1">
    <w:name w:val="TOC 1"/>
    <w:basedOn w:val="Index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Bibliography1">
    <w:name w:val="Bibliography 1"/>
    <w:basedOn w:val="Index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Lanak">
    <w:name w:val="Članak"/>
    <w:basedOn w:val="Heading"/>
    <w:next w:val="TextBody"/>
    <w:qFormat/>
    <w:pPr/>
    <w:rPr>
      <w:b/>
    </w:rPr>
  </w:style>
  <w:style w:type="paragraph" w:styleId="Appendix">
    <w:name w:val="Closing"/>
    <w:basedOn w:val="Heading"/>
    <w:next w:val="TextBody"/>
    <w:pPr>
      <w:jc w:val="center"/>
    </w:pPr>
    <w:rPr>
      <w:b/>
      <w:bCs/>
      <w:sz w:val="32"/>
      <w:szCs w:val="32"/>
    </w:rPr>
  </w:style>
  <w:style w:type="paragraph" w:styleId="TextBodyIndent">
    <w:name w:val="Body Text Indent"/>
    <w:basedOn w:val="TextBody"/>
    <w:pPr>
      <w:ind w:left="0" w:right="0" w:firstLine="363"/>
    </w:pPr>
    <w:rPr/>
  </w:style>
  <w:style w:type="paragraph" w:styleId="List1Cont">
    <w:name w:val="List Continue"/>
    <w:basedOn w:val="List"/>
    <w:pPr>
      <w:tabs>
        <w:tab w:val="clear" w:pos="709"/>
        <w:tab w:val="right" w:pos="9675" w:leader="dot"/>
      </w:tabs>
      <w:spacing w:lineRule="auto" w:line="240" w:before="0" w:after="0"/>
      <w:ind w:left="397" w:right="0" w:hanging="0"/>
      <w:jc w:val="both"/>
    </w:pPr>
    <w:rPr>
      <w:u w:val="none"/>
    </w:rPr>
  </w:style>
  <w:style w:type="numbering" w:styleId="Numbering123">
    <w:name w:val="Numbering 123"/>
    <w:qFormat/>
  </w:style>
  <w:style w:type="numbering" w:styleId="NumberingABC">
    <w:name w:val="Numbering ABC"/>
    <w:qFormat/>
  </w:style>
  <w:style w:type="numbering" w:styleId="Numberingabc1">
    <w:name w:val="Numbering abc"/>
    <w:qFormat/>
  </w:style>
  <w:style w:type="numbering" w:styleId="NumberingIVX">
    <w:name w:val="Numbering IVX"/>
    <w:qFormat/>
  </w:style>
  <w:style w:type="numbering" w:styleId="Numberingivx1">
    <w:name w:val="Numbering ivx"/>
    <w:qFormat/>
  </w:style>
  <w:style w:type="numbering" w:styleId="Bullet">
    <w:name w:val="Bullet •"/>
    <w:qFormat/>
  </w:style>
  <w:style w:type="numbering" w:styleId="Bullet1">
    <w:name w:val="Bullet –"/>
    <w:qFormat/>
  </w:style>
  <w:style w:type="numbering" w:styleId="Bullet2">
    <w:name w:val="Bullet "/>
    <w:qFormat/>
  </w:style>
  <w:style w:type="numbering" w:styleId="Bullet3">
    <w:name w:val="Bullet "/>
    <w:qFormat/>
  </w:style>
  <w:style w:type="numbering" w:styleId="Bullet4">
    <w:name w:val="Bullet 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39</TotalTime>
  <Application>LibreOffice/7.3.6.2$Linux_X86_64 LibreOffice_project/30$Build-2</Application>
  <AppVersion>15.0000</AppVersion>
  <Pages>2</Pages>
  <Words>341</Words>
  <Characters>1834</Characters>
  <CharactersWithSpaces>2122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2022-12-05T13:14:24Z</dcterms:created>
  <dc:creator>Tomislav Žic</dc:creator>
  <dc:description/>
  <dc:language>hr-HR</dc:language>
  <cp:lastModifiedBy>Tomislav Žic</cp:lastModifiedBy>
  <dcterms:modified xsi:type="dcterms:W3CDTF">2022-12-05T14:06:37Z</dcterms:modified>
  <cp:revision>45</cp:revision>
  <dc:subject/>
  <dc:title/>
</cp:coreProperties>
</file>