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bookmarkStart w:id="0" w:name="_GoBack"/>
      <w:bookmarkEnd w:id="0"/>
      <w:r>
        <w:rPr/>
        <w:t>Na temelju članka 47. stavka 4. Zakona o mjeriteljstvu (»Narodne novine«, broj 74/14, 111/18 i 114/22) glavna ravnateljica Državnog zavoda za mjeriteljstvo donosi</w:t>
      </w:r>
    </w:p>
    <w:p>
      <w:pPr>
        <w:pStyle w:val="Title"/>
        <w:bidi w:val="0"/>
        <w:jc w:val="center"/>
        <w:rPr/>
      </w:pPr>
      <w:r>
        <w:rPr/>
        <w:t>PRAVILNIK</w:t>
      </w:r>
    </w:p>
    <w:p>
      <w:pPr>
        <w:pStyle w:val="Subtitle"/>
        <w:bidi w:val="0"/>
        <w:spacing w:before="60" w:after="120"/>
        <w:jc w:val="center"/>
        <w:rPr/>
      </w:pPr>
      <w:r>
        <w:rPr/>
        <w:t>O IZMJENAMA PRAVILNIKA O VISINI I NAČINU PLAĆANJA NAKNADE ZA MJERITELJSKE POSLOVE KOJE OBAVLJA DRŽAVNI ZAVOD ZA MJERITELJSTVO ILI OVLAŠTENO TIJELO</w:t>
      </w:r>
    </w:p>
    <w:p>
      <w:pPr>
        <w:pStyle w:val="Lanak"/>
        <w:bidi w:val="0"/>
        <w:rPr/>
      </w:pPr>
      <w:r>
        <w:rPr/>
        <w:t>Članak 1.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>U Pravilniku o visini i načinu plaćanja naknade za mjeriteljske poslove koje obavlja Državni zavod za mjeriteljstvo ili ovlašteno tijelo (»Narodne novine«, broj 121/14, 66/18 i 133/20) u članku 1. stavku 2. Tarifa mijenja se tako da glasi kao u prilogu ovoga Pravilnika.</w:t>
      </w:r>
    </w:p>
    <w:p>
      <w:pPr>
        <w:pStyle w:val="Lanak"/>
        <w:bidi w:val="0"/>
        <w:rPr/>
      </w:pPr>
      <w:r>
        <w:rPr/>
        <w:t>Članak 2.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 xml:space="preserve">U članku 6. riječi: „200,00 kuna« zamjenjuju se riječima: „26,55 eura“. </w:t>
      </w:r>
    </w:p>
    <w:p>
      <w:pPr>
        <w:pStyle w:val="Lanak"/>
        <w:bidi w:val="0"/>
        <w:rPr/>
      </w:pPr>
      <w:r>
        <w:rPr/>
        <w:t>Članak 3.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>U članku 7. stavku 2 riječi: „200,00 kuna« zamjenjuju se riječima: „26,55  eura“.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>U stavku 3. riječi: „200,00 kuna« zamjenjuju se riječima: „26,55  eura“.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>U stavku 4. riječi: „200,00 kuna« zamjenjuju se riječima: „26,55  eura“.</w:t>
      </w:r>
    </w:p>
    <w:p>
      <w:pPr>
        <w:pStyle w:val="Lanak"/>
        <w:bidi w:val="0"/>
        <w:rPr/>
      </w:pPr>
      <w:r>
        <w:rPr/>
        <w:t>Članak 4.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>Ovaj Pravilnik objavit će se u »Narodnim novinama«, a stupa na snagu na dan uvođenja eura kao službene valute u Republici Hrvatskoj.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 xml:space="preserve">Klasa: 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 xml:space="preserve">Urbroj: </w:t>
      </w:r>
    </w:p>
    <w:p>
      <w:pPr>
        <w:pStyle w:val="TextBody"/>
        <w:bidi w:val="0"/>
        <w:spacing w:lineRule="auto" w:line="240" w:before="57" w:after="57"/>
        <w:ind w:left="0" w:right="0" w:hanging="0"/>
        <w:jc w:val="both"/>
        <w:rPr/>
      </w:pPr>
      <w:r>
        <w:rPr/>
        <w:t xml:space="preserve">Zagreb, </w:t>
      </w:r>
    </w:p>
    <w:p>
      <w:pPr>
        <w:pStyle w:val="Signature"/>
        <w:keepLines w:val="false"/>
        <w:widowControl/>
        <w:suppressLineNumbers/>
        <w:bidi w:val="0"/>
        <w:spacing w:lineRule="auto" w:line="276" w:before="454" w:after="57"/>
        <w:ind w:left="4819" w:right="0" w:hanging="0"/>
        <w:contextualSpacing/>
        <w:jc w:val="center"/>
        <w:rPr/>
      </w:pPr>
      <w:r>
        <w:rPr>
          <w:b/>
          <w:bCs/>
        </w:rPr>
        <w:t>Glavna ravnateljica</w:t>
      </w:r>
      <w:r>
        <w:rPr/>
        <w:br/>
        <w:t>Brankica Novosel, v. r.</w:t>
      </w:r>
      <w:r>
        <w:br w:type="page"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6"/>
        <w:gridCol w:w="1562"/>
      </w:tblGrid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Heading"/>
              <w:keepNext w:val="true"/>
              <w:pageBreakBefore/>
              <w:numPr>
                <w:ilvl w:val="0"/>
                <w:numId w:val="0"/>
              </w:numPr>
              <w:suppressLineNumbers/>
              <w:bidi w:val="0"/>
              <w:jc w:val="center"/>
              <w:rPr/>
            </w:pPr>
            <w:r>
              <w:rPr/>
              <w:t>TARIFA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Heading"/>
              <w:numPr>
                <w:ilvl w:val="0"/>
                <w:numId w:val="0"/>
              </w:numPr>
              <w:suppressLineNumbers/>
              <w:bidi w:val="0"/>
              <w:jc w:val="center"/>
              <w:rPr/>
            </w:pPr>
            <w:r>
              <w:rPr/>
              <w:t>Iznos naknade (€)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A. OVJERAVANJE MJERILA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1. DULJINA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Mjerila duljine i mjerke s podjelom ili bez nje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3,98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Mjerila duljine u obliku mjerne vrpce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11,95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Mjerila duljine materijala (žica, kabel, tekstil, vrpca)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14,60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4. Automatsko mjerilo razine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 xml:space="preserve">53,09  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2. OBUJAM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Spremnici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Spremnici – horizontalni (geometrijska metoda) do 5 m³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199,08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Za svaki sljedećih započetih 5 m³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6,64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Spremnici – horizontalni (kombinirana metoda) do 5 m³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265,45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4. Za svaki sljedećih započetih 5 m³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19,91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5. Spremnici – vertikalni (geometrijska metoda) do 500 m³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265,45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6. Za svaki sljedećih započetih 500 m³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13,27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7. Spremnici – vertikalni (optičko razmjeravanje – metoda triangulacije) do 500 m³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398,17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8. Za svaki sljedećih započetih 500 m³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15,93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9. Spremnici obujma alkohola, piva do 200 l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 xml:space="preserve">53,09  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10. Za svaki sljedećih započetih 50 l do ukupnog obujma spremnika od 1000 l (1 m³)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6,64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Vodomjeri maksimalnog protoka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do 10 m³/h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2,39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od 10 m³/h do 50 m³/h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11,95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više od 50 m³/h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33,18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Mjerila toplinske energije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Cjelovito mjerilo toplinske energije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29,20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Podsklopovi mjerila protoka toplinske energije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23,89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Računska jedinica mjerila toplinske energije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11,28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4. Par mjerila temperature mjerila toplinske energije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7,96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Mjerila i mjerni sustavi za mjerenje količina tekućina različitih od vode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Mjerilo obujma alkohola, bezalkoholnih pića, piva, mlijeka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46,45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Agregati za istakanje goriva za motorna vozila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13,27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Agregati za istakanje UNP za motorna vozila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27,87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kern w:val="0"/>
                <w:lang w:val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4. Agregati za mjerenje mase goriva u obliku stlačenog prirodnog plina za motorna vozila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39,82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5. Mjerni sustavi na autocisternama ili stabilnim mjernim sustavima za mlijeko i druge medije u prehrambenoj industriji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132,72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6. Mjerni sustavi na autocisternama ili stabilnim mjernim sustavima za goriva i na mjestima za ukrcaj u autocisterne, vagonske cisterne ili cisterne na plovilima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398,17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7. Mjerilo razine u komori na mjernom sustavu na autocisterni za gorivo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199,08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8. Mjerni sustavi na autocisternama ili stabilnim mjernim sustavima za UNP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398,17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9. Temperaturni kompenzatori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79,63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10. Ispitivanje mjerila s etalonskom petljom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557,44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Plinomjeri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Plinomjeri (osim turbinskih plinomjera i plinomjera s rotacijskim klipovima) maksimalnog protoka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do 10 m³/h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3,98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iznad 10 m³/h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26,55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Turbinski plinomjeri i plinomjeri s rotacijskim klipovima maksimalnog protoka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do 250 m³/h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79,63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iznad 250 m³/h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159,27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Uređaji za pretvorbu obujma plina (korektori)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66,36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3. MASA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Utezi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Utezi razreda točnosti F1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3,32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Utezi razreda točnosti F2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2,00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Utezi razreda točnosti M1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do 50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1,46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više od 50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8,63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4. Utezi razreda točnosti M2 i M3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do 10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0,93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više od 10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1,46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Vage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Neautomatske vage razreda točnosti (I)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59,73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Neautomatske vage razreda točnosti (II)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26,55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Neautomatske vage razreda točnosti (III) i (IIII)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do 20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5,31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od 20 kg do 500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9,29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c) od 500 kg do 9000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46,45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d) od 9000 kg do 20000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86,27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e) od 20000 kg do 50000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134,05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f) više od 50000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258,81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4. Automatske vage s najvećim opterećenjem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do 10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26,55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od 10 kg do 50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38,49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c) od 50 kg do 250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 xml:space="preserve">53,09  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d) od 250 kg do 500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75,65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e) od 500 kg do 3000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96,89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f) više od 3000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127,41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4. GUSTOĆA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Mjerila prividne gustoće žita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do 1/4 L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11,28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više od 1/4 L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17,25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5. VLAGA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Vlagomjeri za žitarice i uljarice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43,80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6. TEMPERATURA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Medicinski termometri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digitalni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2,65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infracrveni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3,98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7. TLAK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1.Tlakomjeri za mjerenje krvnog tlaka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5,31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Manometri i pretvornici tlaka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13,27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Vakuumometri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13,27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4. Manovakuumometri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13,27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5. Tlakomjeri za mjerenje tlaka u gumama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13,27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8. ELEKTRIČNA ENERGIJA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Električna brojila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Jednofazna brojila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razreda točnosti A, 2 ili 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1,86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razreda točnosti B ili 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3,32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c) kombi brojila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5,31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d) dvosmjerna kombi brojila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9,95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Trofazna brojila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razreda točnosti A, 2 ili 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2,65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razreda točnosti B ili 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6,64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c) razreda točnosti C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9,29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d) kombi brojila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11,95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e) dvosmjerna kombi brojila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14,60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Brojila za priključak preko mjernih transformatora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razreda točnosti A, 2 ili 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13,27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razreda točnosti B ili 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16,59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c) razreda točnosti C ili 0,5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19,91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d) razreda točnosti 0,2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23,23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e) kombi brojila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26,55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f) dvosmjerna kombi brojila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 xml:space="preserve">53,09  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Mjerni transformatori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Strujni mjerni transformatori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stupnja izolacije do SI 38 za jedan mjerni opseg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19,91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stupnja izolacije do SI 38 za dva ili više mjerna opsega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23,89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c) stupnja izolacije više od SI 38 za jedan mjerni opseg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66,36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d) stupnja izolacije više od SI 38 za dva ili više mjerna opsega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79,63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Naponski mjerni transformatori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stupnja izolacije do SI 38 za jedan mjerni opseg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33,18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stupnja izolacije do SI 38 za dva ili više mjerna opsega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 xml:space="preserve">53,09  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c) stupnja izolacije više od SI 38 za jedan mjerni opseg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92,91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d) stupnja izolacije više od SI 38 za dva ili više mjerna opsega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126,09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Kombinirani i višefazni strujni i naponski mjerni transformatori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stupnja izolacije do SI 38 za jedan mjerni opseg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145,00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stupnja izolacije do SI 38 za dva ili više mjerna opsega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172,54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c) stupnja izolacije više od SI 38 za jedan mjerni opseg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225,63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d) stupnja izolacije više od SI 38 za dva ili više mjerna opsega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252,17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Mjerila koja se upotrebljavaju za ispitivanje električnih instalacija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mjerila otpora uzemljenja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145,00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mjerila otpora izolacije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145,00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c) mjerila otpora petlje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145,00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d) višenamjensko mjerila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199,08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9. SPECIJALNA NAMJENA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Etilometri (uređaji za mjerenje udjela etilnog alkohola u izdahu ispitanika)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3,32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Mjerila duljine puta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12,61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Taksimetri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39,82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4. Mjerila brzine vozila u cestovnom prometu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172,54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5. Mjerila sile kočenja na obodu kotača kod vozila na motorni pogon i priključnih vozila (cestovnih vozila)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35,84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6. Uređaji kojima se određuje neprozirnost ispušnih plinova motora cestovnih vozila s kompresijskim paljenjem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13,27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7. Analizatori ispušnih plinova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27,87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8. Infracrveni analizatori za mjerenje sadržaja proteina u zrnju poljoprivrednih vrsta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53,09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9. Mjerila širine i nadvišenja kolosijeka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9,29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B. NAKNADA U VEZI OVJERAVANJA MJERILA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Izdavanje ovjernice po zahtjevu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9,95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Pregledni list ovjeravanja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12,61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C. NAKNADA KOJU NAPLAĆUJE ZAVOD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Oznaka za zaštitu mjerila u obliku plastične plombe koja se isporučuje ovlaštenom tijelu za ovjeravanje zakonitih mjerila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plastična plomba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0,66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privjesak s oznakom godine postavljanja plombe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0,07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kern w:val="0"/>
                <w:lang w:val="hr-HR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hr-HR" w:eastAsia="en-US" w:bidi="ar-SA"/>
              </w:rPr>
              <w:t>2. Naljepnice i obrasci koje se isporučuju samo ovlaštenom tijelu za ovjeravanje zakonitih mjerila, a naljepnica s oznakom »servisirano« i zaštitna oznaka ovlaštenom tijelu za pripremu mjerila za ovjeravanje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Naljepnice: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a) godišnja ovjerna oznaka u obliku naljepnice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0,53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b) godišnja ovjerna oznaka za komunalna mjerila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0,66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c) oznaka za ovjeravanje taksimetara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1,86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d) zaštitna oznaka za taksimetre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0,66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e) zaštitna oznaka u obliku naljepnice (mala)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0,40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f) zaštitna oznaka u obliku naljepnice (velika)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0,66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g) naljepnica s oznakom kvartalnog razdoblja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0,13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h) oznaka za označivanje protočnih mjerila tekućih goriva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1,06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i) oznaka »MJERILO NIJE U UPORABI«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0,66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j) oznaka »MJERILO JE NEISPRAVNO«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0,66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k) oznaka »SERVISIRANO«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0,66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l) zaštitna oznaka ovlaštenog tijela za pripremu mjerila za ovjeravanje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0,40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Obrasci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Ovjernica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0,53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Iznajmljivanje utega (M1) naknada se plaća po toni i započetom danu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13,27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4. Prijevoz opreme za obavljanje ispitivanja i ovjeravanja mjerila, ukupne mase veće od 100 kg, naknada se plaća po jednom kilometru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0,40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5. Rad pokretne stanice za ispitivanje mjerila (Compact prover, PSOMO II, etalonska posuda 1500 l) plaća se po započetom radnom danu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199,08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6. Prijevoz pokretne mjerne stanice za ispitivanje i ovjeravanje mjerila obujma (Compact prover, PSOMO II, etalonska posuda 1500 l) naknada se plaća po jednom kilometru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0,80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7. Uzorak zrna žitarica i sjemenki uljarica za ovjeravanje vlagomjera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2,65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D. TROŠKOVI POSTUPKA IZDAVANJA RJEŠENJA O ODOBRENJU ZA OBAVLJANJE POSLOVA OVJERAVANJA ZAKONITIH MJERILA I/ILI POSLOVA PRIPREME ZAKONITIH MJERILA ZA OVJERAVANJE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Ovlašteno tijelo za ovjeravanje zakonitih mjerila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Troškovi postupka izdavanja rješenja za obavljanje poslova ovjeravanja zakonitih mjerila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464,53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Troškovi postupka izdavanja rješenja za obavljanje poslova ovjeravanja zakonitih mjerila – dodatna područja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331,81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Izmjena i dopuna podataka u rješenju po zahtjevu ovlaštenoga tijela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132,72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Ovlašteno tijelo za pripremu zakonitih mjerila za ovjeravanje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Troškovi postupka izdavanja rješenja za obavljanje poslova pripreme zakonitih mjerila za ovjeravanje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238,90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Troškovi postupka izdavanja rješenja za obavljanje poslova pripreme zakonitih mjerila za ovjeravanje – dodatna područja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165,90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Izmjena i dopuna podataka u rješenju po zahtjevu ovlaštenoga tijela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132,72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hr-HR" w:eastAsia="hr-HR" w:bidi="ar-SA"/>
              </w:rPr>
              <w:t>E. GODIŠNJI TROŠKOVI ODRŽAVANJA POTPORNE INFRASTRUKTURE ZAVODA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hr-HR"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1. Broj ovjerenih mjerila do 200 komada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99,54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2. Broj ovjerenih mjerila od 200 do 600 komada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199,08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3. Broj ovjerenih mjerila od 600 do 1000 komada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298,63</w:t>
            </w:r>
          </w:p>
        </w:tc>
      </w:tr>
      <w:tr>
        <w:trPr>
          <w:trHeight w:val="397" w:hRule="atLeast"/>
        </w:trPr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/>
              <w:bidi w:val="0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hr-HR" w:eastAsia="hr-HR" w:bidi="ar-SA"/>
              </w:rPr>
              <w:t>4. Broj ovjerenih mjerila više od 1000 komada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hr-HR" w:eastAsia="hr-HR" w:bidi="ar-SA"/>
              </w:rPr>
              <w:t>398,17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5" w:footer="1134" w:bottom="142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right"/>
      <w:rPr/>
    </w:pPr>
    <w:r>
      <w:rPr/>
      <w:t>PRIJEDLOG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1.%2.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1.%2.%3.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1.%2.%3.%4.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%1.%2.%3.%4.%5.%6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%1.%2.%3.%4.%5.%6.%7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%1.%2.%3.%4.%5.%6.%7.%8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suff w:val="nothing"/>
      <w:lvlText w:val="%1.%2.%3.%4.%5.%6.%7.%8.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/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/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/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/>
    </w:lvl>
    <w:lvl w:ilvl="4">
      <w:start w:val="1"/>
      <w:numFmt w:val="decimal"/>
      <w:lvlText w:val="%5."/>
      <w:lvlJc w:val="left"/>
      <w:pPr>
        <w:tabs>
          <w:tab w:val="num" w:pos="397"/>
        </w:tabs>
        <w:ind w:left="397" w:hanging="397"/>
      </w:pPr>
      <w:rPr/>
    </w:lvl>
    <w:lvl w:ilvl="5">
      <w:start w:val="1"/>
      <w:numFmt w:val="decimal"/>
      <w:lvlText w:val="%6."/>
      <w:lvlJc w:val="left"/>
      <w:pPr>
        <w:tabs>
          <w:tab w:val="num" w:pos="397"/>
        </w:tabs>
        <w:ind w:left="397" w:hanging="397"/>
      </w:pPr>
      <w:rPr/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/>
    </w:lvl>
    <w:lvl w:ilvl="7">
      <w:start w:val="1"/>
      <w:numFmt w:val="decimal"/>
      <w:lvlText w:val="%8."/>
      <w:lvlJc w:val="left"/>
      <w:pPr>
        <w:tabs>
          <w:tab w:val="num" w:pos="397"/>
        </w:tabs>
        <w:ind w:left="397" w:hanging="397"/>
      </w:pPr>
      <w:rPr/>
    </w:lvl>
    <w:lvl w:ilvl="8">
      <w:start w:val="1"/>
      <w:numFmt w:val="decimal"/>
      <w:lvlText w:val="%9."/>
      <w:lvlJc w:val="left"/>
      <w:pPr>
        <w:tabs>
          <w:tab w:val="num" w:pos="397"/>
        </w:tabs>
        <w:ind w:left="397" w:hanging="397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Droid Sans Devanagari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hr-HR" w:eastAsia="zh-CN" w:bidi="hi-IN"/>
    </w:rPr>
  </w:style>
  <w:style w:type="paragraph" w:styleId="Heading1">
    <w:name w:val="Heading 1"/>
    <w:basedOn w:val="Heading"/>
    <w:next w:val="TextBody"/>
    <w:qFormat/>
    <w:pPr>
      <w:keepNext w:val="true"/>
      <w:numPr>
        <w:ilvl w:val="0"/>
        <w:numId w:val="1"/>
      </w:numPr>
      <w:spacing w:before="240" w:after="120"/>
      <w:ind w:left="0" w:right="0" w:hanging="0"/>
      <w:jc w:val="center"/>
      <w:outlineLvl w:val="0"/>
    </w:pPr>
    <w:rPr>
      <w:b/>
      <w:bCs/>
      <w:sz w:val="26"/>
      <w:szCs w:val="36"/>
    </w:rPr>
  </w:style>
  <w:style w:type="paragraph" w:styleId="Heading2">
    <w:name w:val="Heading 2"/>
    <w:basedOn w:val="Heading"/>
    <w:next w:val="TextBody"/>
    <w:qFormat/>
    <w:pPr>
      <w:keepNext w:val="true"/>
      <w:numPr>
        <w:ilvl w:val="1"/>
        <w:numId w:val="1"/>
      </w:numPr>
      <w:spacing w:before="200" w:after="120"/>
      <w:ind w:left="0" w:right="0" w:hanging="0"/>
      <w:jc w:val="center"/>
      <w:outlineLvl w:val="1"/>
    </w:pPr>
    <w:rPr>
      <w:b/>
      <w:bCs/>
      <w:i w:val="false"/>
      <w:sz w:val="25"/>
      <w:szCs w:val="32"/>
    </w:rPr>
  </w:style>
  <w:style w:type="paragraph" w:styleId="Heading3">
    <w:name w:val="Heading 3"/>
    <w:basedOn w:val="Heading"/>
    <w:next w:val="TextBody"/>
    <w:qFormat/>
    <w:pPr>
      <w:keepNext w:val="true"/>
      <w:numPr>
        <w:ilvl w:val="2"/>
        <w:numId w:val="1"/>
      </w:numPr>
      <w:spacing w:before="140" w:after="120"/>
      <w:ind w:left="0" w:right="0" w:hanging="0"/>
      <w:jc w:val="left"/>
      <w:outlineLvl w:val="2"/>
    </w:pPr>
    <w:rPr>
      <w:b/>
      <w:sz w:val="25"/>
    </w:rPr>
  </w:style>
  <w:style w:type="paragraph" w:styleId="Heading4">
    <w:name w:val="Heading 4"/>
    <w:basedOn w:val="Heading"/>
    <w:next w:val="TextBody"/>
    <w:qFormat/>
    <w:pPr>
      <w:keepNext w:val="true"/>
      <w:numPr>
        <w:ilvl w:val="3"/>
        <w:numId w:val="1"/>
      </w:numPr>
      <w:spacing w:before="120" w:after="120"/>
      <w:ind w:left="0" w:right="0" w:hanging="0"/>
      <w:jc w:val="center"/>
      <w:outlineLvl w:val="3"/>
    </w:pPr>
    <w:rPr>
      <w:b/>
      <w:bCs/>
      <w:i/>
      <w:iCs/>
      <w:sz w:val="24"/>
      <w:szCs w:val="27"/>
    </w:rPr>
  </w:style>
  <w:style w:type="paragraph" w:styleId="Heading5">
    <w:name w:val="Heading 5"/>
    <w:basedOn w:val="Heading"/>
    <w:next w:val="TextBody"/>
    <w:qFormat/>
    <w:pPr>
      <w:keepNext w:val="true"/>
      <w:numPr>
        <w:ilvl w:val="4"/>
        <w:numId w:val="1"/>
      </w:numPr>
      <w:spacing w:before="120" w:after="60"/>
      <w:ind w:left="0" w:right="0" w:hanging="0"/>
      <w:jc w:val="center"/>
      <w:outlineLvl w:val="4"/>
    </w:pPr>
    <w:rPr>
      <w:b/>
      <w:bCs/>
      <w:i/>
      <w:sz w:val="24"/>
      <w:szCs w:val="24"/>
      <w:u w:val="none"/>
    </w:rPr>
  </w:style>
  <w:style w:type="paragraph" w:styleId="Heading6">
    <w:name w:val="Heading 6"/>
    <w:basedOn w:val="Heading"/>
    <w:next w:val="TextBody"/>
    <w:qFormat/>
    <w:pPr>
      <w:keepNext w:val="true"/>
      <w:numPr>
        <w:ilvl w:val="5"/>
        <w:numId w:val="1"/>
      </w:numPr>
      <w:spacing w:before="60" w:after="60"/>
      <w:ind w:left="0" w:right="0" w:hanging="0"/>
      <w:jc w:val="center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TextBody"/>
    <w:qFormat/>
    <w:pPr>
      <w:keepNext w:val="true"/>
      <w:numPr>
        <w:ilvl w:val="6"/>
        <w:numId w:val="1"/>
      </w:numPr>
      <w:spacing w:before="60" w:after="60"/>
      <w:ind w:left="0" w:right="0" w:hanging="0"/>
      <w:jc w:val="center"/>
      <w:outlineLvl w:val="6"/>
    </w:pPr>
    <w:rPr>
      <w:b/>
      <w:bCs/>
      <w:i/>
      <w:sz w:val="24"/>
      <w:szCs w:val="22"/>
    </w:rPr>
  </w:style>
  <w:style w:type="paragraph" w:styleId="Heading8">
    <w:name w:val="Heading 8"/>
    <w:basedOn w:val="Heading"/>
    <w:next w:val="TextBody"/>
    <w:qFormat/>
    <w:pPr>
      <w:keepNext w:val="true"/>
      <w:numPr>
        <w:ilvl w:val="7"/>
        <w:numId w:val="1"/>
      </w:numPr>
      <w:spacing w:before="60" w:after="60"/>
      <w:ind w:left="0" w:right="0" w:hanging="0"/>
      <w:jc w:val="center"/>
      <w:outlineLvl w:val="7"/>
    </w:pPr>
    <w:rPr>
      <w:b/>
      <w:bCs/>
      <w:i/>
      <w:iCs/>
      <w:sz w:val="24"/>
      <w:szCs w:val="22"/>
    </w:rPr>
  </w:style>
  <w:style w:type="paragraph" w:styleId="Heading9">
    <w:name w:val="Heading 9"/>
    <w:basedOn w:val="Heading"/>
    <w:next w:val="TextBody"/>
    <w:qFormat/>
    <w:pPr>
      <w:keepNext w:val="true"/>
      <w:numPr>
        <w:ilvl w:val="8"/>
        <w:numId w:val="1"/>
      </w:numPr>
      <w:spacing w:before="60" w:after="60"/>
      <w:ind w:left="0" w:right="0" w:hanging="0"/>
      <w:jc w:val="center"/>
      <w:outlineLvl w:val="8"/>
    </w:pPr>
    <w:rPr>
      <w:b/>
      <w:bCs/>
      <w:i/>
      <w:sz w:val="24"/>
      <w:szCs w:val="21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  <w:jc w:val="center"/>
    </w:pPr>
    <w:rPr>
      <w:rFonts w:ascii="Liberation Sans" w:hAnsi="Liberation Sans" w:eastAsia="Droid Sans Fallback" w:cs="Droid Sans Devanagari"/>
      <w:b w:val="false"/>
      <w:sz w:val="24"/>
      <w:szCs w:val="28"/>
    </w:rPr>
  </w:style>
  <w:style w:type="paragraph" w:styleId="TextBody">
    <w:name w:val="Body Text"/>
    <w:basedOn w:val="Normal"/>
    <w:pPr>
      <w:spacing w:lineRule="auto" w:line="240" w:before="57" w:after="57"/>
      <w:ind w:left="0" w:right="0" w:hanging="0"/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erif" w:hAnsi="Liberation Serif" w:cs="Droid Sans Devanagari"/>
      <w:i w:val="false"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keepNext w:val="false"/>
      <w:numPr>
        <w:ilvl w:val="0"/>
        <w:numId w:val="2"/>
      </w:numPr>
      <w:suppressLineNumbers/>
      <w:tabs>
        <w:tab w:val="clear" w:pos="709"/>
        <w:tab w:val="right" w:pos="9638" w:leader="dot"/>
      </w:tabs>
    </w:pPr>
    <w:rPr>
      <w:sz w:val="24"/>
      <w:szCs w:val="24"/>
    </w:rPr>
  </w:style>
  <w:style w:type="paragraph" w:styleId="TableHeading">
    <w:name w:val="Table Heading"/>
    <w:basedOn w:val="TableContents"/>
    <w:qFormat/>
    <w:pPr>
      <w:numPr>
        <w:ilvl w:val="0"/>
        <w:numId w:val="0"/>
      </w:numPr>
      <w:suppressLineNumbers/>
      <w:tabs>
        <w:tab w:val="clear" w:pos="9638"/>
      </w:tabs>
      <w:jc w:val="center"/>
    </w:pPr>
    <w:rPr>
      <w:b/>
      <w:bCs/>
    </w:rPr>
  </w:style>
  <w:style w:type="paragraph" w:styleId="Title">
    <w:name w:val="Title"/>
    <w:basedOn w:val="Heading"/>
    <w:next w:val="TextBody"/>
    <w:qFormat/>
    <w:pPr>
      <w:jc w:val="center"/>
    </w:pPr>
    <w:rPr>
      <w:b/>
      <w:smallCaps/>
      <w:sz w:val="40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Heading">
    <w:name w:val="TOC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pBdr>
        <w:bottom w:val="single" w:sz="2" w:space="1" w:color="000000"/>
      </w:pBdr>
      <w:tabs>
        <w:tab w:val="clear" w:pos="709"/>
        <w:tab w:val="center" w:pos="4819" w:leader="none"/>
        <w:tab w:val="right" w:pos="9638" w:leader="none"/>
      </w:tabs>
      <w:jc w:val="left"/>
    </w:pPr>
    <w:rPr>
      <w:b w:val="false"/>
      <w:sz w:val="20"/>
    </w:rPr>
  </w:style>
  <w:style w:type="paragraph" w:styleId="Broj">
    <w:name w:val="Broj"/>
    <w:basedOn w:val="TextBody"/>
    <w:qFormat/>
    <w:pPr>
      <w:jc w:val="right"/>
    </w:pPr>
    <w:rPr>
      <w:b/>
      <w:bCs/>
      <w:sz w:val="28"/>
      <w:szCs w:val="28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b/>
      <w:sz w:val="30"/>
      <w:szCs w:val="36"/>
    </w:rPr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jc w:val="center"/>
    </w:pPr>
    <w:rPr>
      <w:sz w:val="20"/>
    </w:rPr>
  </w:style>
  <w:style w:type="paragraph" w:styleId="Heading10">
    <w:name w:val="Heading 10"/>
    <w:basedOn w:val="Heading"/>
    <w:next w:val="TextBody"/>
    <w:qFormat/>
    <w:pPr>
      <w:keepNext w:val="true"/>
      <w:numPr>
        <w:ilvl w:val="8"/>
        <w:numId w:val="1"/>
      </w:numPr>
      <w:pBdr/>
      <w:spacing w:before="57" w:after="57"/>
      <w:ind w:left="0" w:right="0" w:hanging="0"/>
      <w:jc w:val="center"/>
      <w:outlineLvl w:val="8"/>
    </w:pPr>
    <w:rPr>
      <w:b/>
      <w:bCs/>
      <w:i/>
      <w:caps w:val="false"/>
      <w:smallCaps w:val="false"/>
      <w:outline w:val="false"/>
      <w:shadow w:val="false"/>
      <w:sz w:val="24"/>
      <w:szCs w:val="21"/>
      <w:u w:val="none"/>
    </w:rPr>
  </w:style>
  <w:style w:type="paragraph" w:styleId="Addressee">
    <w:name w:val="Envelope Address"/>
    <w:basedOn w:val="Normal"/>
    <w:pPr>
      <w:keepNext w:val="false"/>
      <w:suppressLineNumbers/>
      <w:spacing w:lineRule="auto" w:line="276" w:before="113" w:after="113"/>
      <w:ind w:left="283" w:right="0" w:hanging="0"/>
      <w:contextualSpacing/>
    </w:pPr>
    <w:rPr/>
  </w:style>
  <w:style w:type="paragraph" w:styleId="Signature">
    <w:name w:val="Signature"/>
    <w:basedOn w:val="Normal"/>
    <w:pPr>
      <w:keepLines w:val="false"/>
      <w:widowControl/>
      <w:suppressLineNumbers/>
      <w:tabs>
        <w:tab w:val="clear" w:pos="709"/>
      </w:tabs>
      <w:spacing w:lineRule="auto" w:line="276" w:before="454" w:after="57"/>
      <w:ind w:left="4819" w:right="0" w:hanging="0"/>
      <w:contextualSpacing/>
      <w:jc w:val="center"/>
    </w:pPr>
    <w:rPr/>
  </w:style>
  <w:style w:type="paragraph" w:styleId="NN">
    <w:name w:val="NN"/>
    <w:basedOn w:val="Normal"/>
    <w:qFormat/>
    <w:pPr/>
    <w:rPr>
      <w:b/>
      <w:sz w:val="26"/>
    </w:rPr>
  </w:style>
  <w:style w:type="paragraph" w:styleId="Table">
    <w:name w:val="Table"/>
    <w:basedOn w:val="Caption"/>
    <w:qFormat/>
    <w:pPr>
      <w:jc w:val="center"/>
    </w:pPr>
    <w:rPr>
      <w:rFonts w:ascii="Liberation Serif" w:hAnsi="Liberation Serif"/>
      <w:i w:val="false"/>
    </w:rPr>
  </w:style>
  <w:style w:type="paragraph" w:styleId="Contents1">
    <w:name w:val="TOC 1"/>
    <w:basedOn w:val="Index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Bibliography1">
    <w:name w:val="Bibliography 1"/>
    <w:basedOn w:val="Index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Lanak">
    <w:name w:val="Članak"/>
    <w:basedOn w:val="Heading"/>
    <w:next w:val="TextBody"/>
    <w:qFormat/>
    <w:pPr/>
    <w:rPr>
      <w:b/>
    </w:rPr>
  </w:style>
  <w:style w:type="paragraph" w:styleId="Appendix">
    <w:name w:val="Closing"/>
    <w:basedOn w:val="Heading"/>
    <w:next w:val="TextBody"/>
    <w:pPr>
      <w:jc w:val="center"/>
    </w:pPr>
    <w:rPr>
      <w:b/>
      <w:bCs/>
      <w:sz w:val="32"/>
      <w:szCs w:val="32"/>
    </w:rPr>
  </w:style>
  <w:style w:type="paragraph" w:styleId="TextBodyIndent">
    <w:name w:val="Body Text Indent"/>
    <w:basedOn w:val="TextBody"/>
    <w:pPr>
      <w:ind w:left="0" w:right="0" w:firstLine="363"/>
    </w:pPr>
    <w:rPr/>
  </w:style>
  <w:style w:type="paragraph" w:styleId="List1Cont">
    <w:name w:val="List Continue"/>
    <w:basedOn w:val="List"/>
    <w:pPr>
      <w:tabs>
        <w:tab w:val="clear" w:pos="709"/>
        <w:tab w:val="right" w:pos="9675" w:leader="dot"/>
      </w:tabs>
      <w:spacing w:lineRule="auto" w:line="240" w:before="0" w:after="0"/>
      <w:ind w:left="397" w:right="0" w:hanging="0"/>
      <w:jc w:val="both"/>
    </w:pPr>
    <w:rPr>
      <w:u w:val="none"/>
    </w:rPr>
  </w:style>
  <w:style w:type="paragraph" w:styleId="Box466074">
    <w:name w:val="box_466074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Bodytext2">
    <w:name w:val="Body text (2)"/>
    <w:basedOn w:val="Normal"/>
    <w:qFormat/>
    <w:pPr>
      <w:widowControl w:val="false"/>
      <w:shd w:fill="FFFFFF" w:val="clear"/>
      <w:spacing w:lineRule="atLeast" w:line="0" w:before="0" w:after="0"/>
    </w:pPr>
    <w:rPr>
      <w:rFonts w:ascii="Times New Roman" w:hAnsi="Times New Roman" w:eastAsia="Times New Roman" w:cs="Times New Roman"/>
    </w:rPr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"/>
    <w:qFormat/>
  </w:style>
  <w:style w:type="numbering" w:styleId="NumberingIVX">
    <w:name w:val="Numbering IVX"/>
    <w:qFormat/>
  </w:style>
  <w:style w:type="numbering" w:styleId="Numberingivx1">
    <w:name w:val="Numbering ivx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LibreOffice/7.3.6.2$Linux_X86_64 LibreOffice_project/30$Build-2</Application>
  <AppVersion>15.0000</AppVersion>
  <Pages>7</Pages>
  <Words>1621</Words>
  <Characters>8438</Characters>
  <CharactersWithSpaces>9717</CharactersWithSpaces>
  <Paragraphs>341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2022-12-05T13:14:24Z</dcterms:created>
  <dc:creator>Tomislav Žic</dc:creator>
  <dc:description/>
  <dc:language>hr-HR</dc:language>
  <cp:lastModifiedBy>Tomislav Žic</cp:lastModifiedBy>
  <dcterms:modified xsi:type="dcterms:W3CDTF">2022-12-05T14:06:07Z</dcterms:modified>
  <cp:revision>50</cp:revision>
  <dc:subject/>
  <dc:title/>
</cp:coreProperties>
</file>