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bookmarkStart w:id="0" w:name="_GoBack"/>
      <w:bookmarkEnd w:id="0"/>
      <w:r>
        <w:rPr/>
        <w:t>Na temelju članka 47. stavka 4. Zakona o mjeriteljstvu (»Narodne novine«, broj 74/14, 111/18 i 114/22) glavna ravnateljica Državnog zavoda za mjeriteljstvo donosi</w:t>
      </w:r>
    </w:p>
    <w:p>
      <w:pPr>
        <w:pStyle w:val="Title"/>
        <w:bidi w:val="0"/>
        <w:jc w:val="center"/>
        <w:rPr/>
      </w:pPr>
      <w:r>
        <w:rPr/>
        <w:t>PRAVILNIK</w:t>
      </w:r>
    </w:p>
    <w:p>
      <w:pPr>
        <w:pStyle w:val="Subtitle"/>
        <w:bidi w:val="0"/>
        <w:spacing w:before="60" w:after="120"/>
        <w:jc w:val="center"/>
        <w:rPr/>
      </w:pPr>
      <w:r>
        <w:rPr/>
        <w:t>O IZMJENAMA PRAVILNIKA O VISINI I NAČINU PLAĆANJA NAKNADE ZA MJERITELJSKE POSLOVE KOJE OBAVLJA DRŽAVNI ZAVOD ZA MJERITELJSTVO ILI OVLAŠTENO TIJELO</w:t>
      </w:r>
    </w:p>
    <w:p>
      <w:pPr>
        <w:pStyle w:val="Lanak"/>
        <w:bidi w:val="0"/>
        <w:rPr/>
      </w:pPr>
      <w:r>
        <w:rPr/>
        <w:t>Članak 1.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U Pravilniku o visini i načinu plaćanja naknade za mjeriteljske poslove koje obavlja Državni zavod za mjeriteljstvo ili ovlašteno tijelo (»Narodne novine«, broj 121/14, 66/18 i 133/20) u članku 1. stavku 2. Tarifa mijenja se tako da glasi kao u prilogu ovoga Pravilnika.</w:t>
      </w:r>
    </w:p>
    <w:p>
      <w:pPr>
        <w:pStyle w:val="Lanak"/>
        <w:bidi w:val="0"/>
        <w:rPr/>
      </w:pPr>
      <w:r>
        <w:rPr/>
        <w:t>Članak 2.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U članku 6. riječi: „200,00 kuna« zamjenjuju se riječima: „26,55 eura“. </w:t>
      </w:r>
    </w:p>
    <w:p>
      <w:pPr>
        <w:pStyle w:val="Lanak"/>
        <w:bidi w:val="0"/>
        <w:rPr/>
      </w:pPr>
      <w:r>
        <w:rPr/>
        <w:t>Članak 3.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U članku 7. stavku 2 riječi: „200,00 kuna« zamjenjuju se riječima: „26,55  eura“.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U stavku 3. riječi: „200,00 kuna« zamjenjuju se riječima: „26,55  eura“.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U stavku 4. riječi: „200,00 kuna« zamjenjuju se riječima: „26,55  eura“.</w:t>
      </w:r>
    </w:p>
    <w:p>
      <w:pPr>
        <w:pStyle w:val="Lanak"/>
        <w:bidi w:val="0"/>
        <w:rPr/>
      </w:pPr>
      <w:r>
        <w:rPr/>
        <w:t>Članak 4.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Ovaj Pravilnik objavit će se u »Narodnim novinama«, a stupa na snagu na dan uvođenja eura kao službene valute u Republici Hrvatskoj.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Klasa: 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Urbroj: 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Zagreb, </w:t>
      </w:r>
    </w:p>
    <w:p>
      <w:pPr>
        <w:pStyle w:val="Signature"/>
        <w:keepLines w:val="false"/>
        <w:widowControl/>
        <w:suppressLineNumbers/>
        <w:bidi w:val="0"/>
        <w:spacing w:lineRule="auto" w:line="276" w:before="454" w:after="57"/>
        <w:ind w:left="4819" w:right="0" w:hanging="0"/>
        <w:contextualSpacing/>
        <w:jc w:val="center"/>
        <w:rPr/>
      </w:pPr>
      <w:r>
        <w:rPr>
          <w:b/>
          <w:bCs/>
        </w:rPr>
        <w:t>Glavna ravnateljica</w:t>
      </w:r>
      <w:r>
        <w:rPr/>
        <w:br/>
        <w:t>Brankica Novosel, v. r.</w:t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6"/>
        <w:gridCol w:w="1562"/>
      </w:tblGrid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Heading"/>
              <w:keepNext w:val="true"/>
              <w:pageBreakBefore/>
              <w:numPr>
                <w:ilvl w:val="0"/>
                <w:numId w:val="0"/>
              </w:numPr>
              <w:suppressLineNumbers/>
              <w:bidi w:val="0"/>
              <w:jc w:val="center"/>
              <w:rPr/>
            </w:pPr>
            <w:r>
              <w:rPr/>
              <w:t>TARIFA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ing"/>
              <w:numPr>
                <w:ilvl w:val="0"/>
                <w:numId w:val="0"/>
              </w:numPr>
              <w:suppressLineNumbers/>
              <w:bidi w:val="0"/>
              <w:jc w:val="center"/>
              <w:rPr/>
            </w:pPr>
            <w:r>
              <w:rPr/>
              <w:t>Iznos naknade (€)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A. OVJERAVANJE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1. DULJINA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Mjerila duljine i mjerke s podjelom ili bez 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3,98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Mjerila duljine u obliku mjerne vrpce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11,95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Mjerila duljine materijala (žica, kabel, tekstil, vrpca)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14,60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Automatsko mjerilo razine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53,09  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2. OBUJAM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Spremnici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Spremnici – horizontalni (geometrijska metoda) do 5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199,08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Za svaki sljedećih započetih 5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6,64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Spremnici – horizontalni (kombinirana metoda) do 5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265,45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Za svaki sljedećih započetih 5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19,91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5. Spremnici – vertikalni (geometrijska metoda) do 500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265,45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6. Za svaki sljedećih započetih 500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7. Spremnici – vertikalni (optičko razmjeravanje – metoda triangulacije) do 500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398,17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8. Za svaki sljedećih započetih 500 m³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15,93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9. Spremnici obujma alkohola, piva do 200 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53,09  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10. Za svaki sljedećih započetih 50 l do ukupnog obujma spremnika od 1000 l (1 m³)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6,64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Vodomjeri maksimalnog protoka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do 10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2,39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od 10 m³/h do 50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11,95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više od 50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33,18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Mjerila toplinske energije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Cjelovito mjerilo toplinske energije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29,20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Podsklopovi mjerila protoka toplinske energije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23,89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Računska jedinica mjerila toplinske energije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11,28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Par mjerila temperature mjerila toplinske energije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7,96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Mjerila i mjerni sustavi za mjerenje količina tekućina različitih od vode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Mjerilo obujma alkohola, bezalkoholnih pića, piva, mlijeka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46,45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Agregati za istakanje goriva za motorna vozila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Agregati za istakanje UNP za motorna vozila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27,87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kern w:val="0"/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Agregati za mjerenje mase goriva u obliku stlačenog prirodnog plina za motorna vozila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39,82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5. Mjerni sustavi na autocisternama ili stabilnim mjernim sustavima za mlijeko i druge medije u prehrambenoj industriji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132,72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6. Mjerni sustavi na autocisternama ili stabilnim mjernim sustavima za goriva i na mjestima za ukrcaj u autocisterne, vagonske cisterne ili cisterne na plovilima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398,17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7. Mjerilo razine u komori na mjernom sustavu na autocisterni za gorivo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199,08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8. Mjerni sustavi na autocisternama ili stabilnim mjernim sustavima za UNP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398,17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9. Temperaturni kompenzatori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79,63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10. Ispitivanje mjerila s etalonskom petljom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557,44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Plinomjeri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Plinomjeri (osim turbinskih plinomjera i plinomjera s rotacijskim klipovima) maksimalnog protoka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10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3,98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iznad 10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26,55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Turbinski plinomjeri i plinomjeri s rotacijskim klipovima maksimalnog protoka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250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79,63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iznad 250 m³/h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159,27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Uređaji za pretvorbu obujma plina (korektori)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66,36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3. MASA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Utezi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Utezi razreda točnosti F1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3,32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Utezi razreda točnosti F2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2,00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Utezi razreda točnosti M1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50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1,46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više od 50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8,63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Utezi razreda točnosti M2 i M3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0,93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više od 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1,46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Vage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Neautomatske vage razreda točnosti (I)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59,73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Neautomatske vage razreda točnosti (II)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26,55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Neautomatske vage razreda točnosti (III) i (IIII)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20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5,31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od 20 kg do 500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9,29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od 500 kg do 9000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46,45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od 9000 kg do 20000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86,27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e) od 20000 kg do 50000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134,05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f) više od 50000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258,81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Automatske vage s najvećim opterećenjem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26,55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od 10 kg do 50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38,49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od 50 kg do 250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53,09  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od 250 kg do 500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75,65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e) od 500 kg do 3000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96,89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f) više od 3000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127,41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4. GUSTOĆA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Mjerila prividne gustoće žita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do 1/4 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11,28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više od 1/4 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17,25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5. VLAGA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Vlagomjeri za žitarice i uljarice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43,80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6. TEMPERATURA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Medicinski termometri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digitalni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2,65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infracrveni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3,98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7. TLAK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1.Tlakomjeri za mjerenje krvnog tlaka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5,31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Manometri i pretvornici tlaka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Vakuumometri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Manovakuumometri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5. Tlakomjeri za mjerenje tlaka u gumama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8. ELEKTRIČNA ENERGIJA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Električna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Jednofazna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razreda točnosti A, 2 ili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1,86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razreda točnosti B ili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3,32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5,31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dvosmjerna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9,95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Trofazna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razreda točnosti A, 2 ili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2,65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razreda točnosti B ili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6,64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razreda točnosti C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9,29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11,95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e) dvosmjerna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14,60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Brojila za priključak preko mjernih transformatora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razreda točnosti A, 2 ili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razreda točnosti B ili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16,59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razreda točnosti C ili 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19,91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razreda točnosti 0,2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23,23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e)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26,55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f) dvosmjerna kombi brojila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53,09  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Mjerni transformatori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Strujni mjerni transformatori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stupnja izolacije do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19,91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stupnja izolacije do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23,89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stupnja izolacije više od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66,36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stupnja izolacije više od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79,63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Naponski mjerni transformatori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stupnja izolacije do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33,18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stupnja izolacije do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53,09  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stupnja izolacije više od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92,91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stupnja izolacije više od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126,09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Kombinirani i višefazni strujni i naponski mjerni transformatori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stupnja izolacije do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145,00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stupnja izolacije do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172,54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stupnja izolacije više od SI 38 za jedan mjerni opseg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225,63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stupnja izolacije više od SI 38 za dva ili više mjerna opsega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252,17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Mjerila koja se upotrebljavaju za ispitivanje električnih instalacija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mjerila otpora uzemljenja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145,00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mjerila otpora izolacije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145,00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mjerila otpora petlje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145,00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višenamjensko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199,08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9. SPECIJALNA NAMJENA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Etilometri (uređaji za mjerenje udjela etilnog alkohola u izdahu ispitanika)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3,32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Mjerila duljine puta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12,61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Taksimetri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39,82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Mjerila brzine vozila u cestovnom prometu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172,54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5. Mjerila sile kočenja na obodu kotača kod vozila na motorni pogon i priključnih vozila (cestovnih vozila)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35,84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6. Uređaji kojima se određuje neprozirnost ispušnih plinova motora cestovnih vozila s kompresijskim paljenjem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7. Analizatori ispušnih plinova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27,87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8. Infracrveni analizatori za mjerenje sadržaja proteina u zrnju poljoprivrednih vrsta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53,09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9. Mjerila širine i nadvišenja kolosijeka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9,29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B. NAKNADA U VEZI OVJERAVANJA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Izdavanje ovjernice po zahtjevu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9,95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Pregledni list ovjeravanja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12,61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C. NAKNADA KOJU NAPLAĆUJE ZAVOD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Oznaka za zaštitu mjerila u obliku plastične plombe koja se isporučuje ovlaštenom tijelu za ovjeravanje zakonitih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plastična plomba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privjesak s oznakom godine postavljanja plombe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0,07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kern w:val="0"/>
                <w:lang w:val="hr-HR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2. Naljepnice i obrasci koje se isporučuju samo ovlaštenom tijelu za ovjeravanje zakonitih mjerila, a naljepnica s oznakom »servisirano« i zaštitna oznaka ovlaštenom tijelu za pripremu mjerila za ovjeravanje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Naljepnice: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a) godišnja ovjerna oznaka u obliku naljepnice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0,53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b) godišnja ovjerna oznaka za komunalna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c) oznaka za ovjeravanje taksimetara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1,86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d) zaštitna oznaka za taksimetre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e) zaštitna oznaka u obliku naljepnice (mala)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0,40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f) zaštitna oznaka u obliku naljepnice (velika)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g) naljepnica s oznakom kvartalnog razdoblja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0,13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h) oznaka za označivanje protočnih mjerila tekućih goriva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1,06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i) oznaka »MJERILO NIJE U UPORABI«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j) oznaka »MJERILO JE NEISPRAVNO«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k) oznaka »SERVISIRANO«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0,66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l) zaštitna oznaka ovlaštenog tijela za pripremu mjerila za ovjeravanje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0,40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Obrasci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Ovjernica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0,53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Iznajmljivanje utega (M1) naknada se plaća po toni i započetom danu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13,27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Prijevoz opreme za obavljanje ispitivanja i ovjeravanja mjerila, ukupne mase veće od 100 kg, naknada se plaća po jednom kilometru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0,40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5. Rad pokretne stanice za ispitivanje mjerila (Compact prover, PSOMO II, etalonska posuda 1500 l) plaća se po započetom radnom danu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199,08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6. Prijevoz pokretne mjerne stanice za ispitivanje i ovjeravanje mjerila obujma (Compact prover, PSOMO II, etalonska posuda 1500 l) naknada se plaća po jednom kilometru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0,80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7. Uzorak zrna žitarica i sjemenki uljarica za ovjeravanje vlagomjera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2,65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D. TROŠKOVI POSTUPKA IZDAVANJA RJEŠENJA O ODOBRENJU ZA OBAVLJANJE POSLOVA OVJERAVANJA ZAKONITIH MJERILA I/ILI POSLOVA PRIPREME ZAKONITIH MJERILA ZA OVJERAVANJE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Ovlašteno tijelo za ovjeravanje zakonitih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Troškovi postupka izdavanja rješenja za obavljanje poslova ovjeravanja zakonitih mjerila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464,53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Troškovi postupka izdavanja rješenja za obavljanje poslova ovjeravanja zakonitih mjerila – dodatna područja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331,81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Izmjena i dopuna podataka u rješenju po zahtjevu ovlaštenoga tijela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132,72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Ovlašteno tijelo za pripremu zakonitih mjerila za ovjeravanje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Troškovi postupka izdavanja rješenja za obavljanje poslova pripreme zakonitih mjerila za ovjeravanje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238,90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Troškovi postupka izdavanja rješenja za obavljanje poslova pripreme zakonitih mjerila za ovjeravanje – dodatna područja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165,90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Izmjena i dopuna podataka u rješenju po zahtjevu ovlaštenoga tijela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132,72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hr-HR" w:eastAsia="hr-HR" w:bidi="ar-SA"/>
              </w:rPr>
              <w:t>E. GODIŠNJI TROŠKOVI ODRŽAVANJA POTPORNE INFRASTRUKTURE ZAVODA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1. Broj ovjerenih mjerila do 200 komada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99,54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2. Broj ovjerenih mjerila od 200 do 600 komada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199,08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3. Broj ovjerenih mjerila od 600 do 1000 komada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298,63</w:t>
            </w:r>
          </w:p>
        </w:tc>
      </w:tr>
      <w:tr>
        <w:trPr>
          <w:trHeight w:val="397" w:hRule="atLeast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4. Broj ovjerenih mjerila više od 1000 komada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hr-HR" w:eastAsia="hr-HR" w:bidi="ar-SA"/>
              </w:rPr>
              <w:t>398,17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705" w:footer="1134" w:bottom="14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right"/>
      <w:rPr/>
    </w:pPr>
    <w:r>
      <w:rPr/>
      <w:t>PRIJEDLOG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/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/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/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/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/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/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/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/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hr-HR" w:eastAsia="zh-CN" w:bidi="hi-IN"/>
    </w:rPr>
  </w:style>
  <w:style w:type="paragraph" w:styleId="Heading1">
    <w:name w:val="Heading 1"/>
    <w:basedOn w:val="Heading"/>
    <w:next w:val="TextBody"/>
    <w:qFormat/>
    <w:pPr>
      <w:keepNext w:val="true"/>
      <w:numPr>
        <w:ilvl w:val="0"/>
        <w:numId w:val="1"/>
      </w:numPr>
      <w:spacing w:before="240" w:after="120"/>
      <w:ind w:left="0" w:right="0" w:hanging="0"/>
      <w:jc w:val="center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"/>
    <w:next w:val="TextBody"/>
    <w:qFormat/>
    <w:pPr>
      <w:keepNext w:val="true"/>
      <w:numPr>
        <w:ilvl w:val="1"/>
        <w:numId w:val="1"/>
      </w:numPr>
      <w:spacing w:before="200" w:after="120"/>
      <w:ind w:left="0" w:right="0" w:hanging="0"/>
      <w:jc w:val="center"/>
      <w:outlineLvl w:val="1"/>
    </w:pPr>
    <w:rPr>
      <w:b/>
      <w:bCs/>
      <w:i w:val="false"/>
      <w:sz w:val="25"/>
      <w:szCs w:val="32"/>
    </w:rPr>
  </w:style>
  <w:style w:type="paragraph" w:styleId="Heading3">
    <w:name w:val="Heading 3"/>
    <w:basedOn w:val="Heading"/>
    <w:next w:val="TextBody"/>
    <w:qFormat/>
    <w:pPr>
      <w:keepNext w:val="true"/>
      <w:numPr>
        <w:ilvl w:val="2"/>
        <w:numId w:val="1"/>
      </w:numPr>
      <w:spacing w:before="140" w:after="120"/>
      <w:ind w:left="0" w:right="0" w:hanging="0"/>
      <w:jc w:val="left"/>
      <w:outlineLvl w:val="2"/>
    </w:pPr>
    <w:rPr>
      <w:b/>
      <w:sz w:val="25"/>
    </w:rPr>
  </w:style>
  <w:style w:type="paragraph" w:styleId="Heading4">
    <w:name w:val="Heading 4"/>
    <w:basedOn w:val="Heading"/>
    <w:next w:val="TextBody"/>
    <w:qFormat/>
    <w:pPr>
      <w:keepNext w:val="true"/>
      <w:numPr>
        <w:ilvl w:val="3"/>
        <w:numId w:val="1"/>
      </w:numPr>
      <w:spacing w:before="120" w:after="120"/>
      <w:ind w:left="0" w:right="0" w:hanging="0"/>
      <w:jc w:val="center"/>
      <w:outlineLvl w:val="3"/>
    </w:pPr>
    <w:rPr>
      <w:b/>
      <w:bCs/>
      <w:i/>
      <w:iCs/>
      <w:sz w:val="24"/>
      <w:szCs w:val="27"/>
    </w:rPr>
  </w:style>
  <w:style w:type="paragraph" w:styleId="Heading5">
    <w:name w:val="Heading 5"/>
    <w:basedOn w:val="Heading"/>
    <w:next w:val="TextBody"/>
    <w:qFormat/>
    <w:pPr>
      <w:keepNext w:val="true"/>
      <w:numPr>
        <w:ilvl w:val="4"/>
        <w:numId w:val="1"/>
      </w:numPr>
      <w:spacing w:before="120" w:after="60"/>
      <w:ind w:left="0" w:right="0" w:hanging="0"/>
      <w:jc w:val="center"/>
      <w:outlineLvl w:val="4"/>
    </w:pPr>
    <w:rPr>
      <w:b/>
      <w:bCs/>
      <w:i/>
      <w:sz w:val="24"/>
      <w:szCs w:val="24"/>
      <w:u w:val="none"/>
    </w:rPr>
  </w:style>
  <w:style w:type="paragraph" w:styleId="Heading6">
    <w:name w:val="Heading 6"/>
    <w:basedOn w:val="Heading"/>
    <w:next w:val="TextBody"/>
    <w:qFormat/>
    <w:pPr>
      <w:keepNext w:val="true"/>
      <w:numPr>
        <w:ilvl w:val="5"/>
        <w:numId w:val="1"/>
      </w:numPr>
      <w:spacing w:before="60" w:after="60"/>
      <w:ind w:left="0" w:right="0" w:hanging="0"/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keepNext w:val="true"/>
      <w:numPr>
        <w:ilvl w:val="6"/>
        <w:numId w:val="1"/>
      </w:numPr>
      <w:spacing w:before="60" w:after="60"/>
      <w:ind w:left="0" w:right="0" w:hanging="0"/>
      <w:jc w:val="center"/>
      <w:outlineLvl w:val="6"/>
    </w:pPr>
    <w:rPr>
      <w:b/>
      <w:bCs/>
      <w:i/>
      <w:sz w:val="24"/>
      <w:szCs w:val="22"/>
    </w:rPr>
  </w:style>
  <w:style w:type="paragraph" w:styleId="Heading8">
    <w:name w:val="Heading 8"/>
    <w:basedOn w:val="Heading"/>
    <w:next w:val="TextBody"/>
    <w:qFormat/>
    <w:pPr>
      <w:keepNext w:val="true"/>
      <w:numPr>
        <w:ilvl w:val="7"/>
        <w:numId w:val="1"/>
      </w:numPr>
      <w:spacing w:before="60" w:after="60"/>
      <w:ind w:left="0" w:right="0" w:hanging="0"/>
      <w:jc w:val="center"/>
      <w:outlineLvl w:val="7"/>
    </w:pPr>
    <w:rPr>
      <w:b/>
      <w:bCs/>
      <w:i/>
      <w:iCs/>
      <w:sz w:val="24"/>
      <w:szCs w:val="22"/>
    </w:rPr>
  </w:style>
  <w:style w:type="paragraph" w:styleId="Heading9">
    <w:name w:val="Heading 9"/>
    <w:basedOn w:val="Heading"/>
    <w:next w:val="TextBody"/>
    <w:qFormat/>
    <w:pPr>
      <w:keepNext w:val="true"/>
      <w:numPr>
        <w:ilvl w:val="8"/>
        <w:numId w:val="1"/>
      </w:numPr>
      <w:spacing w:before="60" w:after="60"/>
      <w:ind w:left="0" w:right="0" w:hanging="0"/>
      <w:jc w:val="center"/>
      <w:outlineLvl w:val="8"/>
    </w:pPr>
    <w:rPr>
      <w:b/>
      <w:bCs/>
      <w:i/>
      <w:sz w:val="24"/>
      <w:szCs w:val="21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  <w:jc w:val="center"/>
    </w:pPr>
    <w:rPr>
      <w:rFonts w:ascii="Liberation Sans" w:hAnsi="Liberation Sans" w:eastAsia="Droid Sans Fallback" w:cs="Droid Sans Devanagari"/>
      <w:b w:val="false"/>
      <w:sz w:val="24"/>
      <w:szCs w:val="28"/>
    </w:rPr>
  </w:style>
  <w:style w:type="paragraph" w:styleId="TextBody">
    <w:name w:val="Body Text"/>
    <w:basedOn w:val="Normal"/>
    <w:pPr>
      <w:spacing w:lineRule="auto" w:line="240" w:before="57" w:after="57"/>
      <w:ind w:left="0" w:right="0" w:hanging="0"/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cs="Droid Sans Devanagari"/>
      <w:i w:val="false"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keepNext w:val="false"/>
      <w:numPr>
        <w:ilvl w:val="0"/>
        <w:numId w:val="2"/>
      </w:numPr>
      <w:suppressLineNumbers/>
      <w:tabs>
        <w:tab w:val="clear" w:pos="709"/>
        <w:tab w:val="right" w:pos="9638" w:leader="dot"/>
      </w:tabs>
    </w:pPr>
    <w:rPr>
      <w:sz w:val="24"/>
      <w:szCs w:val="24"/>
    </w:rPr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tabs>
        <w:tab w:val="clear" w:pos="9638"/>
      </w:tabs>
      <w:jc w:val="center"/>
    </w:pPr>
    <w:rPr>
      <w:b/>
      <w:bCs/>
    </w:rPr>
  </w:style>
  <w:style w:type="paragraph" w:styleId="Title">
    <w:name w:val="Title"/>
    <w:basedOn w:val="Heading"/>
    <w:next w:val="TextBody"/>
    <w:qFormat/>
    <w:pPr>
      <w:jc w:val="center"/>
    </w:pPr>
    <w:rPr>
      <w:b/>
      <w:smallCaps/>
      <w:sz w:val="40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C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pBdr>
        <w:bottom w:val="single" w:sz="2" w:space="1" w:color="000000"/>
      </w:pBdr>
      <w:tabs>
        <w:tab w:val="clear" w:pos="709"/>
        <w:tab w:val="center" w:pos="4819" w:leader="none"/>
        <w:tab w:val="right" w:pos="9638" w:leader="none"/>
      </w:tabs>
      <w:jc w:val="left"/>
    </w:pPr>
    <w:rPr>
      <w:b w:val="false"/>
      <w:sz w:val="20"/>
    </w:rPr>
  </w:style>
  <w:style w:type="paragraph" w:styleId="Broj">
    <w:name w:val="Broj"/>
    <w:basedOn w:val="TextBody"/>
    <w:qFormat/>
    <w:pPr>
      <w:jc w:val="right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b/>
      <w:sz w:val="30"/>
      <w:szCs w:val="3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sz w:val="20"/>
    </w:rPr>
  </w:style>
  <w:style w:type="paragraph" w:styleId="Heading10">
    <w:name w:val="Heading 10"/>
    <w:basedOn w:val="Heading"/>
    <w:next w:val="TextBody"/>
    <w:qFormat/>
    <w:pPr>
      <w:keepNext w:val="true"/>
      <w:numPr>
        <w:ilvl w:val="8"/>
        <w:numId w:val="1"/>
      </w:numPr>
      <w:pBdr/>
      <w:spacing w:before="57" w:after="57"/>
      <w:ind w:left="0" w:right="0" w:hanging="0"/>
      <w:jc w:val="center"/>
      <w:outlineLvl w:val="8"/>
    </w:pPr>
    <w:rPr>
      <w:b/>
      <w:bCs/>
      <w:i/>
      <w:caps w:val="false"/>
      <w:smallCaps w:val="false"/>
      <w:outline w:val="false"/>
      <w:shadow w:val="false"/>
      <w:sz w:val="24"/>
      <w:szCs w:val="21"/>
      <w:u w:val="none"/>
    </w:rPr>
  </w:style>
  <w:style w:type="paragraph" w:styleId="Addressee">
    <w:name w:val="Envelope Address"/>
    <w:basedOn w:val="Normal"/>
    <w:pPr>
      <w:keepNext w:val="false"/>
      <w:suppressLineNumbers/>
      <w:spacing w:lineRule="auto" w:line="276" w:before="113" w:after="113"/>
      <w:ind w:left="283" w:right="0" w:hanging="0"/>
      <w:contextualSpacing/>
    </w:pPr>
    <w:rPr/>
  </w:style>
  <w:style w:type="paragraph" w:styleId="Signature">
    <w:name w:val="Signature"/>
    <w:basedOn w:val="Normal"/>
    <w:pPr>
      <w:keepLines w:val="false"/>
      <w:widowControl/>
      <w:suppressLineNumbers/>
      <w:tabs>
        <w:tab w:val="clear" w:pos="709"/>
      </w:tabs>
      <w:spacing w:lineRule="auto" w:line="276" w:before="454" w:after="57"/>
      <w:ind w:left="4819" w:right="0" w:hanging="0"/>
      <w:contextualSpacing/>
      <w:jc w:val="center"/>
    </w:pPr>
    <w:rPr/>
  </w:style>
  <w:style w:type="paragraph" w:styleId="NN">
    <w:name w:val="NN"/>
    <w:basedOn w:val="Normal"/>
    <w:qFormat/>
    <w:pPr/>
    <w:rPr>
      <w:b/>
      <w:sz w:val="26"/>
    </w:rPr>
  </w:style>
  <w:style w:type="paragraph" w:styleId="Table">
    <w:name w:val="Table"/>
    <w:basedOn w:val="Caption"/>
    <w:qFormat/>
    <w:pPr>
      <w:jc w:val="center"/>
    </w:pPr>
    <w:rPr>
      <w:rFonts w:ascii="Liberation Serif" w:hAnsi="Liberation Serif"/>
      <w:i w:val="false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Bibliography1">
    <w:name w:val="Bibliography 1"/>
    <w:basedOn w:val="Index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Lanak">
    <w:name w:val="Članak"/>
    <w:basedOn w:val="Heading"/>
    <w:next w:val="TextBody"/>
    <w:qFormat/>
    <w:pPr/>
    <w:rPr>
      <w:b/>
    </w:rPr>
  </w:style>
  <w:style w:type="paragraph" w:styleId="Appendix">
    <w:name w:val="Closing"/>
    <w:basedOn w:val="Heading"/>
    <w:next w:val="TextBody"/>
    <w:pPr>
      <w:jc w:val="center"/>
    </w:pPr>
    <w:rPr>
      <w:b/>
      <w:bCs/>
      <w:sz w:val="32"/>
      <w:szCs w:val="32"/>
    </w:rPr>
  </w:style>
  <w:style w:type="paragraph" w:styleId="TextBodyIndent">
    <w:name w:val="Body Text Indent"/>
    <w:basedOn w:val="TextBody"/>
    <w:pPr>
      <w:ind w:left="0" w:right="0" w:firstLine="363"/>
    </w:pPr>
    <w:rPr/>
  </w:style>
  <w:style w:type="paragraph" w:styleId="List1Cont">
    <w:name w:val="List Continue"/>
    <w:basedOn w:val="List"/>
    <w:pPr>
      <w:tabs>
        <w:tab w:val="clear" w:pos="709"/>
        <w:tab w:val="right" w:pos="9675" w:leader="dot"/>
      </w:tabs>
      <w:spacing w:lineRule="auto" w:line="240" w:before="0" w:after="0"/>
      <w:ind w:left="397" w:right="0" w:hanging="0"/>
      <w:jc w:val="both"/>
    </w:pPr>
    <w:rPr>
      <w:u w:val="none"/>
    </w:rPr>
  </w:style>
  <w:style w:type="paragraph" w:styleId="Box466074">
    <w:name w:val="box_46607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dytext2">
    <w:name w:val="Body text (2)"/>
    <w:basedOn w:val="Normal"/>
    <w:qFormat/>
    <w:pPr>
      <w:widowControl w:val="false"/>
      <w:shd w:fill="FFFFFF" w:val="clear"/>
      <w:spacing w:lineRule="atLeast" w:line="0" w:before="0" w:after="0"/>
    </w:pPr>
    <w:rPr>
      <w:rFonts w:ascii="Times New Roman" w:hAnsi="Times New Roman" w:eastAsia="Times New Roman" w:cs="Times New Roman"/>
    </w:rPr>
  </w:style>
  <w:style w:type="numbering" w:styleId="Numbering123">
    <w:name w:val="Numbering 123"/>
    <w:qFormat/>
  </w:style>
  <w:style w:type="numbering" w:styleId="NumberingABC">
    <w:name w:val="Numbering ABC"/>
    <w:qFormat/>
  </w:style>
  <w:style w:type="numbering" w:styleId="Numberingabc1">
    <w:name w:val="Numbering abc"/>
    <w:qFormat/>
  </w:style>
  <w:style w:type="numbering" w:styleId="NumberingIVX">
    <w:name w:val="Numbering IVX"/>
    <w:qFormat/>
  </w:style>
  <w:style w:type="numbering" w:styleId="Numberingivx1">
    <w:name w:val="Numbering ivx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LibreOffice/7.3.6.2$Linux_X86_64 LibreOffice_project/30$Build-2</Application>
  <AppVersion>15.0000</AppVersion>
  <Pages>7</Pages>
  <Words>1621</Words>
  <Characters>8438</Characters>
  <CharactersWithSpaces>9717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2022-12-05T13:14:24Z</dcterms:created>
  <dc:creator>Tomislav Žic</dc:creator>
  <dc:description/>
  <dc:language>hr-HR</dc:language>
  <cp:lastModifiedBy>Tomislav Žic</cp:lastModifiedBy>
  <dcterms:modified xsi:type="dcterms:W3CDTF">2022-12-05T14:06:07Z</dcterms:modified>
  <cp:revision>50</cp:revision>
  <dc:subject/>
  <dc:title/>
</cp:coreProperties>
</file>