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5BB9" w14:textId="77777777" w:rsidR="001C265E" w:rsidRPr="001C265E" w:rsidRDefault="001C265E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</w:pPr>
    </w:p>
    <w:p w14:paraId="2A0F4CE7" w14:textId="54B6FA81" w:rsidR="00D937DB" w:rsidRDefault="00D937DB" w:rsidP="005C16B2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Na temelju članka </w:t>
      </w:r>
      <w:r w:rsidR="00485D68"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15</w:t>
      </w:r>
      <w:r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. stavka </w:t>
      </w:r>
      <w:r w:rsidR="00485D68"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Zakona o sustavu strateškog planiranja i upravljanja razvojem Republike Hrvatske (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„</w:t>
      </w:r>
      <w:r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Narodne novine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“</w:t>
      </w:r>
      <w:r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broj 123/17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</w:t>
      </w:r>
      <w:r w:rsidR="00CD36DF"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151</w:t>
      </w:r>
      <w:r w:rsidR="00076D83"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/22</w:t>
      </w:r>
      <w:r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</w:t>
      </w:r>
      <w:r w:rsidR="00876856"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Vlada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Republike Hrvatske je na sjednici održanoj xx. _________202</w:t>
      </w:r>
      <w:r w:rsidR="00076D8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godine donijela</w:t>
      </w:r>
    </w:p>
    <w:p w14:paraId="0E58498D" w14:textId="77777777" w:rsidR="001C265E" w:rsidRPr="001C265E" w:rsidRDefault="001C265E" w:rsidP="005C16B2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2805F0B1" w14:textId="77777777" w:rsidR="00D937DB" w:rsidRPr="001C265E" w:rsidRDefault="00D937DB" w:rsidP="001C265E">
      <w:pPr>
        <w:shd w:val="clear" w:color="auto" w:fill="FFFFFF"/>
        <w:spacing w:before="153"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  <w:t>UREDBU</w:t>
      </w:r>
    </w:p>
    <w:p w14:paraId="06EF87AD" w14:textId="7C56684D" w:rsidR="00D937DB" w:rsidRDefault="00D937DB" w:rsidP="00DC36C4">
      <w:pPr>
        <w:shd w:val="clear" w:color="auto" w:fill="FFFFFF"/>
        <w:spacing w:before="68" w:after="72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  <w:t xml:space="preserve">O SMJERNICAMA ZA IZRADU AKATA STRATEŠKOG PLANIRANJA </w:t>
      </w:r>
      <w:r w:rsidR="00DC36C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  <w:t xml:space="preserve">                      </w:t>
      </w:r>
      <w:r w:rsidRPr="001C265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  <w:t xml:space="preserve">OD NACIONALNOG ZNAČAJA I OD ZNAČAJA ZA JEDINICE LOKALNE </w:t>
      </w:r>
      <w:r w:rsidR="005C16B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  <w:t xml:space="preserve">                             </w:t>
      </w:r>
      <w:r w:rsidRPr="001C265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  <w:t>I PODRUČNE (REGIONALNE) SAMOUPRAVE</w:t>
      </w:r>
    </w:p>
    <w:p w14:paraId="66FCF8B8" w14:textId="77777777" w:rsidR="001C265E" w:rsidRPr="001C265E" w:rsidRDefault="001C265E" w:rsidP="001C265E">
      <w:pPr>
        <w:shd w:val="clear" w:color="auto" w:fill="FFFFFF"/>
        <w:spacing w:before="68" w:after="72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/>
        </w:rPr>
      </w:pPr>
    </w:p>
    <w:p w14:paraId="2E34B55D" w14:textId="3E988494" w:rsidR="00D937DB" w:rsidRDefault="00D937DB" w:rsidP="001C265E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I. OPĆE ODREDBE</w:t>
      </w:r>
    </w:p>
    <w:p w14:paraId="7C22FF1F" w14:textId="6A73AE9D" w:rsidR="00B51A1C" w:rsidRPr="001D78F7" w:rsidRDefault="00B51A1C" w:rsidP="001C265E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Svrha Uredbe</w:t>
      </w:r>
    </w:p>
    <w:p w14:paraId="4C78AAA1" w14:textId="6F8D7649" w:rsidR="00D937DB" w:rsidRPr="00D83B6F" w:rsidRDefault="00D937DB" w:rsidP="00D83B6F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1.</w:t>
      </w:r>
    </w:p>
    <w:p w14:paraId="57CB17AB" w14:textId="77777777" w:rsidR="00CC2FAE" w:rsidRPr="00B219C6" w:rsidRDefault="00CC2FAE" w:rsidP="00B64D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33E0EFD4" w14:textId="5FBA921D" w:rsidR="00D83B6F" w:rsidRDefault="00D83B6F" w:rsidP="00D83B6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Ov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om</w:t>
      </w:r>
      <w:r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Uredb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om</w:t>
      </w:r>
      <w:r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propisuju se smjernice za izradu akata strateškog planiranja od</w:t>
      </w:r>
      <w:r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nacionalnog značaja i od značaja za jedinice lokalne i područne (regionalne) </w:t>
      </w:r>
      <w:r w:rsidRP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samouprave</w:t>
      </w:r>
      <w:r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13843B54" w14:textId="77777777" w:rsidR="00D83B6F" w:rsidRPr="001C265E" w:rsidRDefault="00D83B6F" w:rsidP="00D83B6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66C31AC" w14:textId="351731C0" w:rsidR="00D83B6F" w:rsidRDefault="00D83B6F" w:rsidP="00D83B6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Smjernice iz stavka</w:t>
      </w:r>
      <w:r w:rsidR="0016232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1.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sadržavaju svrhu, obvezni sadržaj i postupke vezane za izradu, izmjenu, dopunu i donošenje akata strateškog planiranja od nacionalnog značaja i od značaja za jedinice lokalne i područne (regionalne)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samouprave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E80144D" w14:textId="00679AC3" w:rsidR="007144AA" w:rsidRPr="001D78F7" w:rsidRDefault="001B42C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Područje p</w:t>
      </w:r>
      <w:r w:rsidR="00B51A1C"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rimjen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e</w:t>
      </w:r>
      <w:r w:rsidR="00B51A1C"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 Uredbe</w:t>
      </w:r>
    </w:p>
    <w:p w14:paraId="475549E0" w14:textId="7A6445C6" w:rsidR="00D937DB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484CB8D2" w14:textId="77777777" w:rsidR="00D937DB" w:rsidRPr="001C265E" w:rsidRDefault="00D937DB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4CD4CED3" w14:textId="586AD9D9" w:rsidR="007144AA" w:rsidRPr="001C265E" w:rsidRDefault="007144AA" w:rsidP="00F904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Odredbe ove Uredbe primjenjuju se na sve akte strateškog planiranja od nacionalnog </w:t>
      </w:r>
      <w:r w:rsidRP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značaja iz članka 16. Zakona</w:t>
      </w:r>
      <w:r w:rsidR="00781044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 o sustavu strateškog planiranja i upravljanja razvojem </w:t>
      </w:r>
      <w:r w:rsidR="009304BC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Republike Hrvatske </w:t>
      </w:r>
      <w:r w:rsidR="00781044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(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„</w:t>
      </w:r>
      <w:r w:rsidR="00781044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Narodne novine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“</w:t>
      </w:r>
      <w:r w:rsidR="00781044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, broj 123/17 i </w:t>
      </w:r>
      <w:r w:rsidR="00CD36D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151</w:t>
      </w:r>
      <w:r w:rsidR="00781044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/22 – u daljnjem tekstu: Zakon)</w:t>
      </w:r>
      <w:r w:rsidR="00B320E5"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izuzev programa Vlade</w:t>
      </w:r>
      <w:r w:rsidR="0016232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Republike Hrvatske</w:t>
      </w:r>
      <w:r w:rsidR="00B320E5"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 i od značaja za jedinice lokalne i područne (regionalne) samouprave iz članka 22. Zakona</w:t>
      </w:r>
      <w:r w:rsidR="007F308A" w:rsidRPr="00A3412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2F9DCAD8" w14:textId="537B83E7" w:rsidR="00B137FC" w:rsidRPr="001C265E" w:rsidRDefault="00B137FC" w:rsidP="00742B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480210A" w14:textId="22C60074" w:rsidR="00B137FC" w:rsidRDefault="00B137FC" w:rsidP="00F904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742B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Akti strateškog planiranja iz </w:t>
      </w:r>
      <w:r w:rsidR="005712A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stavka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7144A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. </w:t>
      </w:r>
      <w:r w:rsidR="009C727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9C727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izrađuju se i provode u skladu s načelima strateškog planiranja i upravljanja razvojem </w:t>
      </w:r>
      <w:r w:rsidR="006D25F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propisanim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Zakon</w:t>
      </w:r>
      <w:r w:rsidR="006D25F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238FCD20" w14:textId="5EBD164C" w:rsidR="00D937DB" w:rsidRPr="001C265E" w:rsidRDefault="00D937DB" w:rsidP="005558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70D3B00" w14:textId="21A8D3D4" w:rsidR="00D937DB" w:rsidRDefault="00D937DB" w:rsidP="00F904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90380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</w:t>
      </w:r>
      <w:r w:rsidR="00C55E9C"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B5525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Obveznici primjene p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ostup</w:t>
      </w:r>
      <w:r w:rsidR="00B5525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</w:t>
      </w:r>
      <w:r w:rsidR="00B5525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propisan</w:t>
      </w:r>
      <w:r w:rsidR="00B5525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ih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ovom Uredbom</w:t>
      </w:r>
      <w:r w:rsidR="00B5525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su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koordinatori za strateško planiranje u tijelima državne uprave, regionalni koordinatori i lokalni koordinatori</w:t>
      </w:r>
      <w:r w:rsidR="00540E6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23D2B73B" w14:textId="5BADB937" w:rsidR="00F76652" w:rsidRDefault="00F76652" w:rsidP="00F904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(4) Koordinaciju primjene postupaka propisanih ovom Uredbom vrši Koordinacijsko tijelo za sustav strateškog planiranja i upravljanja razvojem Republike Hrvatske (u daljnjem tekstu: Koordinacijsko tijelo).</w:t>
      </w:r>
    </w:p>
    <w:p w14:paraId="21588893" w14:textId="07BC4038" w:rsidR="0056187C" w:rsidRDefault="0056187C" w:rsidP="00F9041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C6C4811" w14:textId="329D0962" w:rsidR="004B7ACE" w:rsidRPr="004A082D" w:rsidRDefault="0056187C" w:rsidP="004A082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F7665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</w:t>
      </w:r>
      <w:r w:rsidR="004B7ACE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B5525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Obveznici </w:t>
      </w:r>
      <w:r w:rsidR="0064394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 </w:t>
      </w:r>
      <w:r w:rsidR="002863A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stavka </w:t>
      </w:r>
      <w:r w:rsidR="00BE4AA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</w:t>
      </w:r>
      <w:r w:rsidR="002863A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 ovog</w:t>
      </w:r>
      <w:r w:rsidR="0063623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2863A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članka</w:t>
      </w:r>
      <w:r w:rsidR="004B7ACE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dužn</w:t>
      </w:r>
      <w:r w:rsidR="00B5525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="004B7ACE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su tijekom </w:t>
      </w:r>
      <w:r w:rsidR="00F643EB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izrade akata strateškog planiranja</w:t>
      </w:r>
      <w:r w:rsidR="002E7F4B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stavka 1. ovog</w:t>
      </w:r>
      <w:r w:rsidR="0063623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2E7F4B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članka</w:t>
      </w:r>
      <w:r w:rsidR="00F643EB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te </w:t>
      </w:r>
      <w:r w:rsidR="004B7ACE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provedbe postupaka propisanih ovom Uredbom </w:t>
      </w:r>
      <w:r w:rsidR="00E25AC3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primjenjivati </w:t>
      </w:r>
      <w:r w:rsidR="004B7ACE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upute </w:t>
      </w:r>
      <w:r w:rsidR="00687D67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 smjernice </w:t>
      </w:r>
      <w:r w:rsidR="004B7ACE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Koordinacijskog tijela.</w:t>
      </w:r>
    </w:p>
    <w:p w14:paraId="747A804A" w14:textId="240497AD" w:rsidR="00D937DB" w:rsidRPr="001C265E" w:rsidRDefault="00D937DB" w:rsidP="001C265E">
      <w:pPr>
        <w:spacing w:line="276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01C8CACB" w14:textId="7624F5C3" w:rsidR="00D937DB" w:rsidRPr="001C265E" w:rsidRDefault="00D937DB" w:rsidP="0001182A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II. DUGOROČNI AKTI STRATEŠKOG PLANIRANJA</w:t>
      </w:r>
    </w:p>
    <w:p w14:paraId="02F53A32" w14:textId="77777777" w:rsidR="0001182A" w:rsidRPr="001C265E" w:rsidRDefault="0001182A" w:rsidP="001C265E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0F1882F3" w14:textId="77777777" w:rsidR="00D937DB" w:rsidRPr="001C265E" w:rsidRDefault="00D937DB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Svrha dugoročnih akata strateškog planiranja</w:t>
      </w:r>
    </w:p>
    <w:p w14:paraId="3A645668" w14:textId="5484CF74" w:rsidR="00D937DB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="00B137F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653B21E" w14:textId="511A6266" w:rsidR="00D937DB" w:rsidRPr="001C265E" w:rsidRDefault="00D937DB" w:rsidP="0001182A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Nacionalna razvojna strategija, višesektorske i sektorske strategije su dugoročni akti strateškog planiranja koji se donose sa svrhom </w:t>
      </w:r>
      <w:r w:rsidR="000C18B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utvrđivanja</w:t>
      </w:r>
      <w:r w:rsidR="000C18BE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glavnih razvojnih smjerova i strateških ciljeva za provedbu razvojnih politika u razdoblju od najmanje </w:t>
      </w:r>
      <w:r w:rsidR="0024547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10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godina.</w:t>
      </w:r>
    </w:p>
    <w:p w14:paraId="1FAACA70" w14:textId="77777777" w:rsidR="0001182A" w:rsidRPr="001C265E" w:rsidRDefault="0001182A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43E4F6AD" w14:textId="77777777" w:rsidR="00D937DB" w:rsidRPr="001C265E" w:rsidRDefault="00D937DB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Obvezni sadržaj dugoročnih akata strateškog planiranja</w:t>
      </w:r>
    </w:p>
    <w:p w14:paraId="41D81327" w14:textId="06177B6C" w:rsidR="00D937DB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4</w:t>
      </w:r>
      <w:r w:rsidR="0091330D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963A3E0" w14:textId="6820400E" w:rsidR="00D937DB" w:rsidRPr="001C265E" w:rsidRDefault="00D937D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(1) Nacionalna razvojna strategija obvezno sadrži:</w:t>
      </w:r>
    </w:p>
    <w:p w14:paraId="1E9280A6" w14:textId="783EF270" w:rsidR="00D937DB" w:rsidRPr="001C265E" w:rsidRDefault="00D937D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a) vizij</w:t>
      </w:r>
      <w:r w:rsidR="00E60F9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razvoja Republike Hrvatske</w:t>
      </w:r>
    </w:p>
    <w:p w14:paraId="755E2396" w14:textId="7B2C8B0A" w:rsidR="00D937DB" w:rsidRPr="001C265E" w:rsidRDefault="00D937D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b) opis razvojnih potreba i razvojnih potencijala</w:t>
      </w:r>
    </w:p>
    <w:p w14:paraId="3788360B" w14:textId="4902B270" w:rsidR="00D937DB" w:rsidRPr="001C265E" w:rsidRDefault="00D937D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c) razvojn</w:t>
      </w:r>
      <w:r w:rsidR="00E60F9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smjerov</w:t>
      </w:r>
      <w:r w:rsidR="00E60F9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</w:p>
    <w:p w14:paraId="7F8E03E8" w14:textId="7A929CB7" w:rsidR="00D937DB" w:rsidRPr="001C265E" w:rsidRDefault="00D937D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d)</w:t>
      </w:r>
      <w:r w:rsidR="00D64B6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tratešk</w:t>
      </w:r>
      <w:r w:rsidR="00E720D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ciljev</w:t>
      </w:r>
      <w:r w:rsidR="00E720D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D64B6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Republike Hrvatske </w:t>
      </w:r>
      <w:r w:rsidR="00AD007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te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njihov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opis</w:t>
      </w:r>
    </w:p>
    <w:p w14:paraId="0638D92A" w14:textId="211D3AAF" w:rsidR="00D937DB" w:rsidRPr="001C265E" w:rsidRDefault="00D937D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e) pokazatelj</w:t>
      </w:r>
      <w:r w:rsidR="00E720D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učinka (iz biblioteke pokazatelja)</w:t>
      </w:r>
      <w:r w:rsid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 početnim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cilj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nim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vrijednosti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ma svakog pojedinog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pokazatelja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razdoblje važenja akta</w:t>
      </w:r>
    </w:p>
    <w:p w14:paraId="4DEFD9BA" w14:textId="497096E3" w:rsidR="00D937DB" w:rsidRPr="001C265E" w:rsidRDefault="00E4769C" w:rsidP="00666547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     </w:t>
      </w:r>
      <w:r w:rsidR="0001182A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f) </w:t>
      </w:r>
      <w:r w:rsidR="00081AC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indikativni </w:t>
      </w:r>
      <w:r w:rsidRPr="00687D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popis akata strateškog planiranja </w:t>
      </w:r>
      <w:r w:rsidR="00D64B6B" w:rsidRPr="00687D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koji izravno podupiru</w:t>
      </w:r>
      <w:r w:rsidR="00081ACC" w:rsidRPr="00687D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provedbu razvojnih smjerova i strateških ciljeva</w:t>
      </w:r>
    </w:p>
    <w:p w14:paraId="05809AA0" w14:textId="2E708531" w:rsidR="00D937DB" w:rsidRPr="001C265E" w:rsidRDefault="00D937D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g) indikativni financijski 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okvir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 prikazom financijskih pretpostavki za provedbu strateških ciljeva </w:t>
      </w:r>
    </w:p>
    <w:p w14:paraId="48B71AAF" w14:textId="5D4812C3" w:rsidR="00E32A1B" w:rsidRPr="001C265E" w:rsidRDefault="00E32A1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h) opis primjene načela partnerstva </w:t>
      </w:r>
    </w:p>
    <w:p w14:paraId="31B8AEBD" w14:textId="365FDE3E" w:rsidR="00D937DB" w:rsidRPr="001C265E" w:rsidRDefault="00E32A1B" w:rsidP="00666547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081AC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opis 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okvir</w:t>
      </w:r>
      <w:r w:rsidR="00081AC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praćenje i vrednovanje</w:t>
      </w:r>
    </w:p>
    <w:p w14:paraId="38FBFDDE" w14:textId="77777777" w:rsidR="003224E8" w:rsidRPr="001C265E" w:rsidRDefault="003224E8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5144E7F" w14:textId="38465026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(2) Sektorske i višesektorske strategije obvezno sadrže:</w:t>
      </w:r>
    </w:p>
    <w:p w14:paraId="47141CB4" w14:textId="03999A5F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a) vizij</w:t>
      </w:r>
      <w:r w:rsidR="00E60F9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razvoja jednog ili više upravnih područja, usklađen</w:t>
      </w:r>
      <w:r w:rsidR="00E60F9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 razvojnim smjerovima iz N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acionalne razvojne strategije</w:t>
      </w:r>
    </w:p>
    <w:p w14:paraId="699DF291" w14:textId="1EFD9EB8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b) 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analiz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stanja i/ ili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opis razvojnih potreba i razvojnih potencijala</w:t>
      </w:r>
    </w:p>
    <w:p w14:paraId="6B6F81F6" w14:textId="68EC6202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c) 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stratešk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ciljev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jednog ili više upravnih područja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B4274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njihov</w:t>
      </w:r>
      <w:r w:rsidR="00B4274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im</w:t>
      </w:r>
      <w:r w:rsidR="00E4769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opis</w:t>
      </w:r>
      <w:r w:rsidR="00B4274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om</w:t>
      </w:r>
    </w:p>
    <w:p w14:paraId="2FD999AD" w14:textId="379E1D45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d) </w:t>
      </w:r>
      <w:r w:rsidR="00CB06D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pokazatelj</w:t>
      </w:r>
      <w:r w:rsidR="003224E8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="00CB06D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učinka (iz biblioteke pokazatelja) s početnim i ciljnim vrijednostima svakog pojedinog pokazatelja za razdoblje važenja akta</w:t>
      </w:r>
    </w:p>
    <w:p w14:paraId="3DC1ADCC" w14:textId="77777777" w:rsidR="00085B56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lastRenderedPageBreak/>
        <w:t xml:space="preserve">e) </w:t>
      </w:r>
      <w:r w:rsidR="00E32A1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opis provedbe</w:t>
      </w:r>
      <w:r w:rsidR="00085B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nih mehanizama</w:t>
      </w:r>
    </w:p>
    <w:p w14:paraId="2CA9FA93" w14:textId="54F433A6" w:rsidR="00085B56" w:rsidRDefault="00085B56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f)</w:t>
      </w:r>
      <w:r w:rsidR="00EE24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085B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terminski plan provedbe projekata od strateškog značaja s naznačenim ključnim koracima i rokovima u provedbi 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ako</w:t>
      </w:r>
      <w:r w:rsidRPr="00085B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je primjenjivo),</w:t>
      </w:r>
    </w:p>
    <w:p w14:paraId="49E95D7C" w14:textId="20BA35E7" w:rsidR="00D937DB" w:rsidRPr="001C265E" w:rsidRDefault="00085B56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g) 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="00FE416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ndikativni </w:t>
      </w:r>
      <w:r w:rsidR="00E32A1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popis srednjoročnih </w:t>
      </w:r>
      <w:r w:rsidR="000C18B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akata </w:t>
      </w:r>
      <w:r w:rsidR="00E32A1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strateškog planiranja </w:t>
      </w:r>
      <w:r w:rsidR="00FE416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koji izravno podupiru provedbu s</w:t>
      </w:r>
      <w:r w:rsid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</w:t>
      </w:r>
      <w:r w:rsidR="00FE416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rateških ciljeva  </w:t>
      </w:r>
    </w:p>
    <w:p w14:paraId="4503B488" w14:textId="5969C553" w:rsidR="00E32A1B" w:rsidRPr="001C265E" w:rsidRDefault="00085B56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h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indikativni financijski </w:t>
      </w:r>
      <w:r w:rsidR="001E33A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okvir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 prikazom financijskih pretpostavki za provedbu strateških ciljeva </w:t>
      </w:r>
    </w:p>
    <w:p w14:paraId="18B43D82" w14:textId="2C3C8C5D" w:rsidR="00D937DB" w:rsidRPr="001C265E" w:rsidRDefault="00085B56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="00E32A1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 opis primjene načela partnerstva</w:t>
      </w:r>
    </w:p>
    <w:p w14:paraId="55A86770" w14:textId="75C0EAAF" w:rsidR="00D937DB" w:rsidRPr="001C265E" w:rsidRDefault="00085B56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j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</w:t>
      </w:r>
      <w:r w:rsidR="00081AC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opis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okvir</w:t>
      </w:r>
      <w:r w:rsidR="00081AC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praćenje i vrednovanje.</w:t>
      </w:r>
    </w:p>
    <w:p w14:paraId="0012B409" w14:textId="68917E88" w:rsidR="00E32A1B" w:rsidRPr="001C265E" w:rsidRDefault="00E32A1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30B00944" w14:textId="6DDE7CCC" w:rsidR="00E32A1B" w:rsidRPr="001C265E" w:rsidRDefault="00E32A1B" w:rsidP="003224E8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(3) </w:t>
      </w:r>
      <w:r w:rsidR="00782BE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Ukoliko</w:t>
      </w:r>
      <w:r w:rsidR="00782BE1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je sadržaj sektorskih i višesektorskih strategija </w:t>
      </w:r>
      <w:r w:rsidR="0068023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 stavka 2.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68023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propisan posebnim zakonom, tada nositelj izrade </w:t>
      </w:r>
      <w:r w:rsidR="00FD0F2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postupa sukladno odredbama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posebnog zakona, primjenjujući pri tom načela strateškog planiranja i u</w:t>
      </w:r>
      <w:r w:rsidR="00085B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pravljanja razvojem definirana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Zakon</w:t>
      </w:r>
      <w:r w:rsidR="006C1E5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om</w:t>
      </w:r>
      <w:r w:rsidR="00F8332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68023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="00DB14C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odredbe ove Uredbe </w:t>
      </w:r>
      <w:r w:rsidR="00D6508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 odgovarajući način.</w:t>
      </w:r>
    </w:p>
    <w:p w14:paraId="3A23D9ED" w14:textId="77777777" w:rsidR="003224E8" w:rsidRPr="001C265E" w:rsidRDefault="003224E8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38950AE8" w14:textId="006E4D3B" w:rsidR="00D937DB" w:rsidRPr="001C265E" w:rsidRDefault="00D937DB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Pokretanje postupka izrade</w:t>
      </w:r>
      <w:r w:rsidR="001A60E2"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, izmjene i</w:t>
      </w:r>
      <w:r w:rsidR="00645A8D"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 dopune</w:t>
      </w: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 dugoročnih akata strateškog planiranja</w:t>
      </w:r>
    </w:p>
    <w:p w14:paraId="48D02A3E" w14:textId="38488DDF" w:rsidR="00D937DB" w:rsidRPr="001C265E" w:rsidRDefault="00D937DB" w:rsidP="0001182A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5</w:t>
      </w:r>
      <w:r w:rsidR="0091330D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2CBD2071" w14:textId="77777777" w:rsidR="003224E8" w:rsidRPr="001C265E" w:rsidRDefault="003224E8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74F15CB2" w14:textId="00E0F039" w:rsidR="00D937DB" w:rsidRPr="001C265E" w:rsidRDefault="00085B56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(1) Postupak izrade nove </w:t>
      </w:r>
      <w:r w:rsidR="0040106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acionalne razvojne strategije </w:t>
      </w:r>
      <w:r w:rsidR="0068023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pokreće se Odlukom Vlade Republike Hrvatske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a</w:t>
      </w:r>
      <w:r w:rsidR="0068023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započ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inje</w:t>
      </w:r>
      <w:r w:rsidR="00043A5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najmanje dvije godine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prije iste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ka razdoblja važenja postojeće N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acionalne razvojne strategije.</w:t>
      </w:r>
    </w:p>
    <w:p w14:paraId="7ED83912" w14:textId="246C7A1F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27259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Izrada sektorske ili višesektorske strategije, </w:t>
      </w:r>
      <w:r w:rsidR="00782BE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ukoliko</w:t>
      </w:r>
      <w:r w:rsidR="00782BE1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drugačije ne proizlazi iz posebnog zakona, </w:t>
      </w:r>
      <w:r w:rsidR="0063172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pokreće se odlukom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Vlade</w:t>
      </w:r>
      <w:r w:rsidR="0068023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Republike Hrvatske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, na prijedlog tijela državne uprave nadležnog za odgovarajuće upravno </w:t>
      </w:r>
      <w:r w:rsidRP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područj</w:t>
      </w:r>
      <w:r w:rsidR="00A33510" w:rsidRP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 ili na prijedlog Koordinacijskog tijela</w:t>
      </w:r>
      <w:r w:rsidRP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2F37F061" w14:textId="6A8E58B2" w:rsidR="00272590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27259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Vlada odlukom utvrđuje nositelja izrade i obuhvat sektorske ili višesektorske strategije iz stavka </w:t>
      </w:r>
      <w:r w:rsidR="0027259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</w:t>
      </w:r>
      <w:r w:rsidR="00C5663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48125921" w14:textId="6C9D4AA6" w:rsidR="00D937DB" w:rsidRPr="001C265E" w:rsidRDefault="00272590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(4) Razdoblje važenja nacionalne razvojne strategije </w:t>
      </w:r>
      <w:r w:rsidR="00C774D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="003224E8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sektorske ili višesektorske strategije iz stavka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odlukom o donošenju</w:t>
      </w:r>
      <w:r w:rsidR="00DD27C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utvrđuje Hrvatski sabor.</w:t>
      </w:r>
    </w:p>
    <w:p w14:paraId="44172900" w14:textId="60B9B99A" w:rsidR="00A864CD" w:rsidRPr="001C265E" w:rsidRDefault="00D937DB" w:rsidP="00A864CD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(5) </w:t>
      </w:r>
      <w:r w:rsidR="00C4005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rijedlog za pokretanje </w:t>
      </w:r>
      <w:r w:rsidR="00A864C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postupka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izrade</w:t>
      </w:r>
      <w:r w:rsidR="00645A8D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izmjene ili dopune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sektorske ili višesektorske strategije, </w:t>
      </w:r>
      <w:r w:rsidR="00450F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ukoliko</w:t>
      </w:r>
      <w:r w:rsidR="00450FE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drugačije ne proizlazi iz posebnog zakona, podnosi</w:t>
      </w:r>
      <w:r w:rsidR="00110DE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t</w:t>
      </w:r>
      <w:r w:rsidR="00110DE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ijelo državne uprave nadležno za </w:t>
      </w:r>
      <w:r w:rsidR="006D25F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oblikovanje i provedbu javne politike u </w:t>
      </w:r>
      <w:r w:rsidR="00110DE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odgovarajuće</w:t>
      </w:r>
      <w:r w:rsidR="006D25F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m</w:t>
      </w:r>
      <w:r w:rsidR="00110DE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upravno</w:t>
      </w:r>
      <w:r w:rsidR="005C16B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m</w:t>
      </w:r>
      <w:r w:rsidR="00110DE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područj</w:t>
      </w:r>
      <w:r w:rsidR="006D25F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u,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na obrascu </w:t>
      </w:r>
      <w:r w:rsidR="0063172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kojeg će izraditi Koordinacijsko tijelo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 sukladno uputama Koordinacijskog tijel</w:t>
      </w:r>
      <w:r w:rsidR="0027259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76FED2A3" w14:textId="486A31E6" w:rsidR="00A864CD" w:rsidRDefault="00A864CD" w:rsidP="00A864CD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(6)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Ukoliko obveza izrade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sektorske ili višesektorske strategije proizlazi iz posebnog zakona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n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ositelj </w:t>
      </w:r>
      <w:r w:rsidR="000B6A2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izrade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umjesto prijedloga iz stavka 5.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</w:t>
      </w:r>
      <w:r w:rsidR="009304B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Koordinacijskom tijelu dostavlja obavijest o početku postupka izrade, izmjene ili dopune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sektorske ili višesektorske strategije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5097D033" w14:textId="5734946E" w:rsidR="00D937DB" w:rsidRDefault="00D937DB" w:rsidP="00A864CD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72F1C80" w14:textId="05651A7E" w:rsidR="009304BC" w:rsidRDefault="009304BC" w:rsidP="00A864CD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2B60BE6" w14:textId="77777777" w:rsidR="009304BC" w:rsidRPr="001C265E" w:rsidRDefault="009304BC" w:rsidP="00A864CD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572B6AE4" w14:textId="77777777" w:rsidR="00D937DB" w:rsidRPr="001C265E" w:rsidRDefault="00D937DB" w:rsidP="001C265E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III. SREDNJOROČNI AKTI STRATEŠKOG PLANIRANJA</w:t>
      </w:r>
    </w:p>
    <w:p w14:paraId="37B08A57" w14:textId="77777777" w:rsidR="00D937DB" w:rsidRPr="001C265E" w:rsidRDefault="00D937DB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Svrha srednjoročnih akata strateškog planiranja</w:t>
      </w:r>
    </w:p>
    <w:p w14:paraId="0AB7F976" w14:textId="7DDCFD33" w:rsidR="00D937DB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6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4EE9CCC7" w14:textId="508E8AF1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Srednjoročni akti strateškog planiranja donose se sa svrhom razrade dugoročnih nacionalnih, sektorskih ili </w:t>
      </w:r>
      <w:r w:rsidR="00085B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višesektorskih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strateških ciljeva za plansko razdoblje koje traje od pet do deset godina, </w:t>
      </w:r>
      <w:r w:rsidR="00450F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ukoliko</w:t>
      </w:r>
      <w:r w:rsidR="00450FE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drugačije ne proizlazi iz posebnog zakona.</w:t>
      </w:r>
    </w:p>
    <w:p w14:paraId="1BCA97F0" w14:textId="2368DA30" w:rsidR="000E4622" w:rsidRPr="000E4622" w:rsidRDefault="000E4622" w:rsidP="001C265E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Vrste </w:t>
      </w: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srednjoročnih akata strateškog planiranja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 </w:t>
      </w:r>
      <w:r w:rsidRPr="000E462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prema sadržajnom obuhvatu</w:t>
      </w:r>
    </w:p>
    <w:p w14:paraId="7A61CEDF" w14:textId="21EA7D3F" w:rsidR="00D937DB" w:rsidRPr="001C265E" w:rsidRDefault="00D937DB" w:rsidP="001C265E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7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54A4663" w14:textId="77777777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(1) Nacionalni planovi su srednjoročni akti strateškog planiranja koje donosi Vlada.</w:t>
      </w:r>
    </w:p>
    <w:p w14:paraId="5D7B03BA" w14:textId="6CB28B92" w:rsidR="000E4622" w:rsidRDefault="00D937DB" w:rsidP="003224E8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(2) Planovi razvoja</w:t>
      </w:r>
      <w:r w:rsidR="006C0B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E4369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jedinica lokalne i područne (regionalne)</w:t>
      </w:r>
      <w:r w:rsidR="000E462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samouprave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su srednjoročni akti strateškog planiranja koje donose predstavnička tijela jedinica lokalne i područne (regionalne) samouprave.</w:t>
      </w:r>
    </w:p>
    <w:p w14:paraId="18A15169" w14:textId="77777777" w:rsidR="00AB24B4" w:rsidRDefault="00AB24B4" w:rsidP="003224E8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534AE683" w14:textId="77777777" w:rsidR="00D937DB" w:rsidRPr="001C265E" w:rsidRDefault="00D937DB" w:rsidP="00555808">
      <w:pPr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Obvezni sadržaj srednjoročnih akata strateškog planiranja</w:t>
      </w:r>
    </w:p>
    <w:p w14:paraId="7B7A17A9" w14:textId="1DCB7C64" w:rsidR="00D937DB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8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5EABA10" w14:textId="4BC373AA" w:rsidR="00D937DB" w:rsidRPr="001C265E" w:rsidRDefault="00D937DB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(1) Nacionalni planovi obvezno sadrže:</w:t>
      </w:r>
    </w:p>
    <w:p w14:paraId="36514D8B" w14:textId="7CF029F1" w:rsidR="00CB06D4" w:rsidRPr="001C265E" w:rsidRDefault="00CB06D4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vizij</w:t>
      </w:r>
      <w:r w:rsid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razvoja, usklađen</w:t>
      </w:r>
      <w:r w:rsid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 </w:t>
      </w:r>
      <w:r w:rsidR="00687D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Nacionalnom razvojnom strategijom i povezanim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dugoročnim aktima strateškog planiranja</w:t>
      </w:r>
    </w:p>
    <w:p w14:paraId="6818A4A3" w14:textId="0D26F7A1" w:rsidR="00CB06D4" w:rsidRPr="001C265E" w:rsidRDefault="00CB06D4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analiz</w:t>
      </w:r>
      <w:r w:rsid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stanja i/ ili opis razvojnih potreba i potencijala</w:t>
      </w:r>
    </w:p>
    <w:p w14:paraId="1470E493" w14:textId="1449010E" w:rsidR="00CB06D4" w:rsidRPr="001C265E" w:rsidRDefault="00CB06D4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odabrane strateške ciljeve iz nacionalne razvojne strategije ili povezanih hijerarhijski nadređenih akata strateškog planiranja s ciljnim vrijednostima pripadajućih pokazatelja učinka</w:t>
      </w:r>
    </w:p>
    <w:p w14:paraId="5385B4EA" w14:textId="0FD8856E" w:rsidR="00CB06D4" w:rsidRPr="001C265E" w:rsidRDefault="00CB06D4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posebn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ciljev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B4274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njihov</w:t>
      </w:r>
      <w:r w:rsidR="00B4274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im</w:t>
      </w:r>
      <w:r w:rsidR="0027176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085B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opis</w:t>
      </w:r>
      <w:r w:rsidR="00B4274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</w:p>
    <w:p w14:paraId="5896597C" w14:textId="0879DDC5" w:rsidR="00CB06D4" w:rsidRDefault="00CB06D4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popis pokazatelja ishoda (iz biblioteke pokazatelja) s početnim  i ciljnim vrijednostima svakog pojedinog pokazatelja</w:t>
      </w:r>
      <w:r w:rsidR="000E462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razdoblje važenja akta</w:t>
      </w:r>
    </w:p>
    <w:p w14:paraId="463D8FC1" w14:textId="024A1882" w:rsidR="00A40A1F" w:rsidRPr="001C265E" w:rsidRDefault="00A40A1F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2C18B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popis mjera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za proved</w:t>
      </w:r>
      <w:r w:rsidR="00E65C8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bu posebnih ciljeva s rokovima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izvršenj</w:t>
      </w:r>
      <w:r w:rsidR="00E65C8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</w:p>
    <w:p w14:paraId="1E8A68FC" w14:textId="2CEF49D1" w:rsidR="00CB06D4" w:rsidRDefault="00CB06D4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indikativni financijski okvir s prikazom financijskih pretpostavki za provedbu posebnih ciljeva</w:t>
      </w:r>
    </w:p>
    <w:p w14:paraId="12897C10" w14:textId="3503DEC4" w:rsidR="00A40A1F" w:rsidRPr="00085B56" w:rsidRDefault="00E37407" w:rsidP="00085B56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terminski plan provedbe projekata od strateškog značaja s naznačenim ključnim koracima i rokovima u provedbi 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ako</w:t>
      </w: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je primjenjivo)</w:t>
      </w:r>
    </w:p>
    <w:p w14:paraId="3EEA3CA0" w14:textId="5C358AE0" w:rsidR="00CB06D4" w:rsidRPr="001C265E" w:rsidRDefault="00CB06D4" w:rsidP="003224E8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opis primjene načela partnerstva</w:t>
      </w:r>
    </w:p>
    <w:p w14:paraId="44FCA330" w14:textId="4C70D780" w:rsidR="009F31D4" w:rsidRPr="001C265E" w:rsidRDefault="000E4622" w:rsidP="001C265E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opis </w:t>
      </w:r>
      <w:r w:rsidR="009F31D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usklađenost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="009F31D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 nacionalnom razvojnom strategijom, sektorskim i višesektorskim strategijama i</w:t>
      </w:r>
    </w:p>
    <w:p w14:paraId="3B249EFE" w14:textId="4FBA2750" w:rsidR="00CB06D4" w:rsidRPr="001C265E" w:rsidRDefault="00AD0071" w:rsidP="003224E8">
      <w:pPr>
        <w:numPr>
          <w:ilvl w:val="0"/>
          <w:numId w:val="3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opis </w:t>
      </w:r>
      <w:r w:rsidR="00CB06D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okvir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CB06D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praćenje i vrednovanje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C2C6AA5" w14:textId="77777777" w:rsidR="00C73A41" w:rsidRPr="001C265E" w:rsidRDefault="00C73A41" w:rsidP="001C265E">
      <w:pPr>
        <w:shd w:val="clear" w:color="auto" w:fill="FFFFFF"/>
        <w:spacing w:after="48" w:line="276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2BC77984" w14:textId="38FD6739" w:rsidR="00CB06D4" w:rsidRPr="009C5CAC" w:rsidRDefault="00CB06D4" w:rsidP="00085B56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lastRenderedPageBreak/>
        <w:t>(</w:t>
      </w:r>
      <w:r w:rsidR="00186A15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8D2C7D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Mjere za provedbu posebnih ciljeva iz nacionalnih </w:t>
      </w:r>
      <w:r w:rsidR="00687D67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planova</w:t>
      </w:r>
      <w:r w:rsidR="008D2C7D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razrađuju se u akcijskim planovim</w:t>
      </w:r>
      <w:r w:rsidR="006562A0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 iz članka </w:t>
      </w:r>
      <w:r w:rsidR="0005416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21</w:t>
      </w:r>
      <w:r w:rsidR="004C1926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  <w:r w:rsidR="0005416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6562A0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05416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Zakona</w:t>
      </w:r>
      <w:r w:rsidR="006562A0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8D2C7D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 preuzimaju u provedbene programe tijela nadležnih za provedbu.</w:t>
      </w:r>
      <w:r w:rsidR="006562A0" w:rsidRPr="001C265E" w:rsidDel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</w:p>
    <w:p w14:paraId="4B0DD16F" w14:textId="0B669FBD" w:rsidR="00E84CC7" w:rsidRDefault="00CB06D4" w:rsidP="00AB24B4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450F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Ukoliko</w:t>
      </w:r>
      <w:r w:rsidR="00450FE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je sadržaj srednjoročnog akta strateškog planiranja propisan posebnim zakonom, tada nositelj izrade </w:t>
      </w:r>
      <w:r w:rsidR="00FD0F2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postupa sukladno odredbama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posebnog zakona, </w:t>
      </w:r>
      <w:r w:rsidR="00AB24B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primjenjujući pri tom načela strateškog planiranja i u</w:t>
      </w:r>
      <w:r w:rsidR="00AB24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pravljanja razvojem definirana </w:t>
      </w:r>
      <w:r w:rsidR="00AB24B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Zakon</w:t>
      </w:r>
      <w:r w:rsidR="00AB24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om te primjenjujući odredbe ove Uredbe na odgovarajući način.</w:t>
      </w:r>
    </w:p>
    <w:p w14:paraId="21FB276E" w14:textId="6BBF1661" w:rsidR="00186A15" w:rsidRDefault="00186A15" w:rsidP="00A24852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4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1B3D6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Odredbe s</w:t>
      </w:r>
      <w:r w:rsidR="001B3D6E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tav</w:t>
      </w:r>
      <w:r w:rsidR="001B3D6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ka</w:t>
      </w:r>
      <w:r w:rsidR="001B3D6E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1B3D6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1.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primjenjuj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se na odgovarajući način i na sadržaj </w:t>
      </w:r>
      <w:r w:rsidR="00873CF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planova razvoja </w:t>
      </w:r>
      <w:r w:rsidR="0044245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jedinica područne (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regionaln</w:t>
      </w:r>
      <w:r w:rsidR="0044245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e)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lokaln</w:t>
      </w:r>
      <w:r w:rsidR="0044245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44245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samouprave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3ADEEDA" w14:textId="79199761" w:rsidR="00E84CC7" w:rsidRDefault="006562A0" w:rsidP="003774EA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5</w:t>
      </w:r>
      <w:r w:rsidR="00E84CC7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E65C84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Mjere</w:t>
      </w:r>
      <w:r w:rsidR="00E84CC7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provedbu</w:t>
      </w:r>
      <w:r w:rsidR="00E65C84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posebnih ciljeva iz</w:t>
      </w:r>
      <w:r w:rsidR="00E84CC7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planova razvoja jedinica područne (regionalne) i lokalne samouprave </w:t>
      </w:r>
      <w:r w:rsidR="00085B56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preuzimaju</w:t>
      </w:r>
      <w:r w:rsidR="00E65C84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se</w:t>
      </w:r>
      <w:r w:rsidR="00F643EB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razrađuju</w:t>
      </w:r>
      <w:r w:rsidR="00E65C84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 </w:t>
      </w:r>
      <w:r w:rsidR="00F643EB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provedbenim programima</w:t>
      </w:r>
      <w:r w:rsidR="00E65C84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tijela nadležnih za provedbu</w:t>
      </w:r>
      <w:r w:rsidR="00E84CC7" w:rsidRPr="003774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7751F09A" w14:textId="77777777" w:rsidR="00085B56" w:rsidRDefault="00085B56" w:rsidP="00085B56">
      <w:pPr>
        <w:spacing w:line="276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24F6102" w14:textId="2FAF68BD" w:rsidR="00D937DB" w:rsidRPr="001C265E" w:rsidRDefault="00D937DB" w:rsidP="00085B56">
      <w:pPr>
        <w:spacing w:line="276" w:lineRule="auto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Pokretanje postupka izrade</w:t>
      </w:r>
      <w:r w:rsidR="001A60E2"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, izmjene i dopune</w:t>
      </w: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 srednjoročnih akata strateškog planiranja</w:t>
      </w:r>
    </w:p>
    <w:p w14:paraId="0A493EA1" w14:textId="40C6BF97" w:rsidR="00D937DB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9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6F4631B" w14:textId="5D35D5C7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(1) Vlada, na prijedlog tijela državne uprave nadležnog za odgovarajuće upravno područje,</w:t>
      </w:r>
      <w:r w:rsidR="00064511" w:rsidRPr="0006451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06451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nakon prethodno pribavljenog mišljenja Koordinacijskog tijela,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odlukom utvrđuje obvezu izrade nacionalnog plana, nositelja izrade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te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obuhvat i razdoblje važenja</w:t>
      </w:r>
      <w:r w:rsidR="000E462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, </w:t>
      </w:r>
      <w:r w:rsidR="00450F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ukoliko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drugačije ne proizlazi iz posebnog zakona.</w:t>
      </w:r>
    </w:p>
    <w:p w14:paraId="588ADAA0" w14:textId="25C6CDE2" w:rsidR="00D937DB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(2) 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ijelo državne uprave prijedlog za pokretanje </w:t>
      </w:r>
      <w:r w:rsidR="000B6A2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postupka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izrade</w:t>
      </w:r>
      <w:r w:rsidR="00645A8D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izmjene ili dopune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nacionalnog plana iz stavka 1.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podnosi na obrascu </w:t>
      </w:r>
      <w:r w:rsidR="0078325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kojeg će izraditi Koordinacijsko tijelo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 sukladno uputama Koordinacijskog</w:t>
      </w:r>
      <w:r w:rsidR="00CB06D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tijela.</w:t>
      </w:r>
    </w:p>
    <w:p w14:paraId="4C56FF25" w14:textId="0FD0AB17" w:rsidR="00C90F6A" w:rsidRDefault="00C90F6A" w:rsidP="00C90F6A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Ukoliko obveza izrade nacionalnog plana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proizlazi iz posebnog zakona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n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ositelj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izrade umjesto prijedloga iz stavka 2.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članka, Koordinacijskom tijelu dostavlja obavijest o početku postupka izrade, izmjene ili dopune nacionalnog plana.</w:t>
      </w:r>
    </w:p>
    <w:p w14:paraId="5AC17FF7" w14:textId="77777777" w:rsidR="00C90F6A" w:rsidRDefault="00C90F6A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47B5A82D" w14:textId="16BE1B0D" w:rsidR="00A21745" w:rsidRPr="001D78F7" w:rsidRDefault="00B51A1C" w:rsidP="001D78F7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Izrada p</w:t>
      </w:r>
      <w:r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lanov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a</w:t>
      </w:r>
      <w:r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 razvoja jedinica lokalne i područne (regionalne) samouprave</w:t>
      </w:r>
    </w:p>
    <w:p w14:paraId="0D428543" w14:textId="23B0ECAF" w:rsidR="00D937DB" w:rsidRPr="001C265E" w:rsidRDefault="00D937DB" w:rsidP="001C265E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1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0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4BFF1436" w14:textId="268CF02F" w:rsidR="00D937DB" w:rsidRPr="00742C3F" w:rsidRDefault="009D789E" w:rsidP="00742C3F">
      <w:pPr>
        <w:pStyle w:val="ListParagraph"/>
        <w:numPr>
          <w:ilvl w:val="0"/>
          <w:numId w:val="18"/>
        </w:numPr>
        <w:shd w:val="clear" w:color="auto" w:fill="FFFFFF"/>
        <w:spacing w:after="48" w:line="276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3E6016" w:rsidRPr="00742C3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Planovi razvoja jedinica područne (regionalne) i lokalne samouprave </w:t>
      </w:r>
      <w:r w:rsidR="00D937DB" w:rsidRPr="00742C3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izrađuju se na osnovu odluke predstavničkog tijela jedinice područne (regionalne)</w:t>
      </w:r>
      <w:r w:rsidR="00E7039B" w:rsidRPr="00742C3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, odnosno lokalne samouprave. </w:t>
      </w:r>
    </w:p>
    <w:p w14:paraId="28B26633" w14:textId="740E84BD" w:rsidR="00742C3F" w:rsidRPr="00742C3F" w:rsidRDefault="00742C3F" w:rsidP="00742C3F">
      <w:pPr>
        <w:pStyle w:val="ListParagraph"/>
        <w:numPr>
          <w:ilvl w:val="0"/>
          <w:numId w:val="18"/>
        </w:numPr>
        <w:shd w:val="clear" w:color="auto" w:fill="FFFFFF"/>
        <w:spacing w:after="48" w:line="276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</w:t>
      </w:r>
      <w:r w:rsidR="00DE30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edstavničko tijelo </w:t>
      </w:r>
      <w:r w:rsidR="00DE30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jedinice područne (regionalne) ili lokalne samouprave</w:t>
      </w:r>
      <w:r w:rsidR="00155D8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odlukom iz stavka 1. </w:t>
      </w:r>
      <w:r w:rsidR="007D1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7D1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</w:t>
      </w:r>
      <w:r w:rsidR="00155D8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utvrđuje nositelja izrade, obuhvat i razdoblje važenja plana razvoja.</w:t>
      </w:r>
    </w:p>
    <w:p w14:paraId="13B7304A" w14:textId="44A0AE36" w:rsidR="00D937DB" w:rsidRPr="001C265E" w:rsidRDefault="00D937DB" w:rsidP="00742C3F">
      <w:pPr>
        <w:shd w:val="clear" w:color="auto" w:fill="FFFFFF"/>
        <w:spacing w:after="48" w:line="276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155D8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3E601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Planove razvoja jedinica područne (</w:t>
      </w:r>
      <w:r w:rsidR="003E6016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regionaln</w:t>
      </w:r>
      <w:r w:rsidR="003E601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e)</w:t>
      </w:r>
      <w:r w:rsidR="003E6016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lokaln</w:t>
      </w:r>
      <w:r w:rsidR="003E601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="003E6016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3E601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samouprave</w:t>
      </w:r>
      <w:r w:rsidR="003E6016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mogu zajednički pripremiti dvije ili više jedinica područne (regionalne) </w:t>
      </w:r>
      <w:r w:rsidR="00386421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i/ili</w:t>
      </w:r>
      <w:r w:rsidR="0038642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386421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lokalne</w:t>
      </w:r>
      <w:r w:rsidR="0038642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386421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samouprave</w:t>
      </w:r>
      <w:r w:rsidR="0038642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6B15AAC2" w14:textId="7557112D" w:rsidR="00314CF5" w:rsidRDefault="00314CF5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5F347E3E" w14:textId="77777777" w:rsidR="005246D1" w:rsidRPr="001C265E" w:rsidRDefault="005246D1" w:rsidP="00876856">
      <w:pPr>
        <w:shd w:val="clear" w:color="auto" w:fill="FFFFFF"/>
        <w:spacing w:after="48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5CD03CEA" w14:textId="77777777" w:rsidR="00D937DB" w:rsidRPr="001C265E" w:rsidRDefault="00D937DB" w:rsidP="001C265E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lastRenderedPageBreak/>
        <w:t>IV. KRATKOROČNI AKTI STRATEŠKOG PLANIRANJA</w:t>
      </w:r>
    </w:p>
    <w:p w14:paraId="41332701" w14:textId="77777777" w:rsidR="005246D1" w:rsidRDefault="005246D1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</w:pPr>
    </w:p>
    <w:p w14:paraId="3BBDBCB1" w14:textId="7BDBFAD8" w:rsidR="00D937DB" w:rsidRPr="001C265E" w:rsidRDefault="00394B32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P</w:t>
      </w:r>
      <w:r w:rsidR="008423DB"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rovedbeni program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i</w:t>
      </w:r>
      <w:r w:rsidR="008423DB"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 </w:t>
      </w:r>
    </w:p>
    <w:p w14:paraId="31982574" w14:textId="15F55A2F" w:rsidR="00FA2464" w:rsidRPr="001C265E" w:rsidRDefault="00D937DB" w:rsidP="00876856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1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812501C" w14:textId="77777777" w:rsidR="00FA2464" w:rsidRDefault="00FA2464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9D6C5BB" w14:textId="5DCCDA10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1757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Provedbeni programi tijela državne uprave obuhvaćaju razdoblje od četiri godine, povezani su s državnim proračunom i </w:t>
      </w:r>
      <w:r w:rsidR="00147FC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sadrže</w:t>
      </w:r>
      <w:r w:rsidR="00147FC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mjere za provedbu ciljeva </w:t>
      </w:r>
      <w:r w:rsidR="00147FC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programa Vlade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 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nacionalnih planova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iz članka </w:t>
      </w:r>
      <w:r w:rsidR="00CE0BC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7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ove Uredbe i ostalih povezanih akata strateškog planiranja.</w:t>
      </w:r>
    </w:p>
    <w:p w14:paraId="6F92BD8A" w14:textId="4F5C7226" w:rsidR="006562A0" w:rsidRDefault="00D937DB" w:rsidP="003059EC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1757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 Provedbeni programi jedinica lokalne i područne (regionalne) samouprave obuhvaćaju razdoblje od četiri godine, povezani su s proračunom jedinica lokalne i područne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(regionalne) samouprave </w:t>
      </w:r>
      <w:r w:rsidR="00147FC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 sadrže mjere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provedbu 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planova razvoja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jedinic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lokalne i područne (regionalne) samouprave.</w:t>
      </w:r>
    </w:p>
    <w:p w14:paraId="32CDC030" w14:textId="37CD05AB" w:rsidR="006562A0" w:rsidRDefault="006562A0" w:rsidP="006562A0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1757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 Provedbeni programi tijela državne uprave i provedbeni programi jedinica lokalne i područne (regionalne) samouprave obuhvaćaju i druga javnopravna tijela iz njihova djelokruga, bez obzira na pravnu osobnost.</w:t>
      </w:r>
    </w:p>
    <w:p w14:paraId="6E5C92B6" w14:textId="77777777" w:rsidR="00314CF5" w:rsidRPr="001C265E" w:rsidRDefault="00314CF5" w:rsidP="00876856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4460FB1" w14:textId="2F52039A" w:rsidR="00D937DB" w:rsidRPr="001C265E" w:rsidRDefault="00D937DB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Obvezni sadržaj </w:t>
      </w:r>
      <w:r w:rsidR="007753B7"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provedbenih </w:t>
      </w:r>
      <w:r w:rsidR="00D2251A"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programa</w:t>
      </w:r>
    </w:p>
    <w:p w14:paraId="5ED4AB93" w14:textId="19964CB1" w:rsidR="00D937DB" w:rsidRDefault="00D937DB" w:rsidP="006113AB">
      <w:pPr>
        <w:shd w:val="clear" w:color="auto" w:fill="FFFFFF"/>
        <w:spacing w:before="34"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1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608D973" w14:textId="77777777" w:rsidR="009304BC" w:rsidRPr="001C265E" w:rsidRDefault="009304BC" w:rsidP="006113AB">
      <w:pPr>
        <w:shd w:val="clear" w:color="auto" w:fill="FFFFFF"/>
        <w:spacing w:before="34"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FC72209" w14:textId="0B5AD252" w:rsidR="00D937DB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(1) Provedbeni programi tijela državne uprave obvezno sadrže:</w:t>
      </w:r>
    </w:p>
    <w:p w14:paraId="357181DF" w14:textId="3076E167" w:rsidR="00D937DB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a) vizij</w:t>
      </w:r>
      <w:r w:rsid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misij</w:t>
      </w:r>
      <w:r w:rsid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djelokrug rada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tijela državne uprave</w:t>
      </w:r>
    </w:p>
    <w:p w14:paraId="5E90103E" w14:textId="40153C3E" w:rsidR="00D937DB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b) 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opis </w:t>
      </w:r>
      <w:r w:rsidR="00147FC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kratkoročnih 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razvojnih</w:t>
      </w:r>
      <w:r w:rsidR="00CD191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izazova i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pot</w:t>
      </w:r>
      <w:r w:rsidR="00147FC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encijala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</w:p>
    <w:p w14:paraId="5E4DEA43" w14:textId="791C4BE3" w:rsidR="00314CF5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c) 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odabir posebnih ciljeva, prioriteta ili ciljeva iz Programa Vlade i drug</w:t>
      </w:r>
      <w:r w:rsid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ih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povezan</w:t>
      </w:r>
      <w:r w:rsid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ih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ak</w:t>
      </w:r>
      <w:r w:rsidR="006562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C25E0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ta strateškog planiranja</w:t>
      </w:r>
    </w:p>
    <w:p w14:paraId="46FFDEBB" w14:textId="0626425B" w:rsidR="00D937DB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d) </w:t>
      </w:r>
      <w:r w:rsidR="006256C5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opis mjera razrađenih u svrhu provedbe povezanih, hijerarhijski nadređenih akata strateškog planiranja s ključnim točkama ostvarenja</w:t>
      </w:r>
    </w:p>
    <w:p w14:paraId="5438F3F6" w14:textId="0A391981" w:rsidR="00D937DB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e) </w:t>
      </w:r>
      <w:r w:rsidR="006256C5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pokazatelje rezultata s definiranim početnim i ciljnim vrijednostima pokazatelja rezultata za svaku godinu provedbe mjere ili razdoblje važenja akta</w:t>
      </w:r>
    </w:p>
    <w:p w14:paraId="27F3F8D0" w14:textId="3140A93E" w:rsidR="00D937DB" w:rsidRPr="001C265E" w:rsidRDefault="006256C5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f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procjenu troška </w:t>
      </w:r>
      <w:r w:rsidR="00F6738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provedbe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pojedine mjere</w:t>
      </w:r>
    </w:p>
    <w:p w14:paraId="559D123C" w14:textId="635A41FF" w:rsidR="00D937DB" w:rsidRPr="001C265E" w:rsidRDefault="006256C5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g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poveznicu na izvor financiranja</w:t>
      </w:r>
      <w:r w:rsidR="00AB48C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 proračunu</w:t>
      </w:r>
    </w:p>
    <w:p w14:paraId="19D135E1" w14:textId="19A91A4E" w:rsidR="006256C5" w:rsidRPr="001C265E" w:rsidRDefault="006256C5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h) rokove provedbe mjera i postignuća pripadajućih ključna točaka ostvarenja</w:t>
      </w:r>
    </w:p>
    <w:p w14:paraId="05D17D5D" w14:textId="626C38FD" w:rsidR="00D937DB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i) opis okvira za praćenje provedbe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77FBC3D9" w14:textId="77777777" w:rsidR="006256C5" w:rsidRPr="001C265E" w:rsidRDefault="006256C5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50C30C09" w14:textId="4251F013" w:rsidR="00D937DB" w:rsidRPr="001C265E" w:rsidRDefault="00D937DB" w:rsidP="006113AB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(2) </w:t>
      </w:r>
      <w:r w:rsidR="001B3D6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Odredbe s</w:t>
      </w:r>
      <w:r w:rsidR="001B3D6E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tav</w:t>
      </w:r>
      <w:r w:rsidR="001B3D6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ka</w:t>
      </w:r>
      <w:r w:rsidR="001B3D6E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1B3D6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1.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primjenjuj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se na odgovarajući način i na sadržaj provedbenih programa jedinica lokalne i područne (regionalne) samouprave.</w:t>
      </w:r>
    </w:p>
    <w:p w14:paraId="54C7FD35" w14:textId="3DDC2388" w:rsidR="00085B56" w:rsidRDefault="00085B56" w:rsidP="006113AB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03E7935E" w14:textId="660D1EDD" w:rsidR="00085B56" w:rsidRDefault="00085B56" w:rsidP="006113AB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677DC04A" w14:textId="3E7C26B1" w:rsidR="00D937DB" w:rsidRPr="001C265E" w:rsidRDefault="00D937DB" w:rsidP="007F6930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lastRenderedPageBreak/>
        <w:t>Postup</w:t>
      </w:r>
      <w:r w:rsidR="00DC36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a</w:t>
      </w: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k izrade</w:t>
      </w:r>
      <w:r w:rsidR="008D2C7D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, izmjene i dopune </w:t>
      </w:r>
      <w:r w:rsidR="006A34B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provedbenih programa</w:t>
      </w:r>
    </w:p>
    <w:p w14:paraId="5E46BA50" w14:textId="681031F3" w:rsidR="00D937DB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6256C5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5A6675CA" w14:textId="15CD984C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27C1A159" w14:textId="6F9532BE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8D2C7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 Čelnik tijela državne uprave odobrava provedbeni program tijela državne uprave u roku od 120 dana od dana stupanja na dužnost Vlade.</w:t>
      </w:r>
    </w:p>
    <w:p w14:paraId="4A579A70" w14:textId="49C88E52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8D2C7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U slučaju izmjene čelnika tijela u razdoblju trajanja mandata Vlade novi čelnik tijela mora preispitati postojeći i, po potrebi, odobriti novi provedbeni program u roku od </w:t>
      </w:r>
      <w:r w:rsidR="00DD52B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90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dana od dana preuzimanja dužnosti.</w:t>
      </w:r>
    </w:p>
    <w:p w14:paraId="1DCCA2FD" w14:textId="6FD42413" w:rsidR="00D937DB" w:rsidRPr="001C265E" w:rsidRDefault="00D937DB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8D2C7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 Iznimno od stavka 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članka, novi provedbeni program ne mora biti pripremljen </w:t>
      </w:r>
      <w:r w:rsidR="00450F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ukoliko</w:t>
      </w:r>
      <w:r w:rsidR="00450FE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je u trenutku preuzimanja dužnosti čelnika tijela do sljedećih redovnih izbora preostalo manje od jedne godine.</w:t>
      </w:r>
    </w:p>
    <w:p w14:paraId="72DF9D81" w14:textId="7715F984" w:rsidR="008D2C7D" w:rsidRDefault="00D937DB" w:rsidP="005B2EFA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D316A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4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Stavci od 1. do </w:t>
      </w:r>
      <w:r w:rsidR="00D316A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primjenjuju se na odgovarajući način i na jedinice lokalne i područne (regionalne) samouprave.</w:t>
      </w:r>
    </w:p>
    <w:p w14:paraId="40D256DB" w14:textId="1DB49EDE" w:rsidR="00811F4B" w:rsidRPr="005B2EFA" w:rsidRDefault="008D2C7D" w:rsidP="005B2EFA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D316A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5</w:t>
      </w:r>
      <w:r w:rsidRPr="008D2C7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Provedbeni programi tijela državne uprave i provedbeni programi jedinica lokalne i područne (regionalne) samouprave ažuriraju se jednom godišnje ili prema potrebi, u cilju prilagođavanja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izmijenjenim okolnostima provedbe, </w:t>
      </w:r>
      <w:r w:rsidRPr="008D2C7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fiskalnom okruženju te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novonastalim</w:t>
      </w:r>
      <w:r w:rsidR="005B2EFA" w:rsidRPr="008D2C7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8D2C7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obvezama provedbe javnih politika.</w:t>
      </w:r>
    </w:p>
    <w:p w14:paraId="2DDC61D5" w14:textId="77777777" w:rsidR="003B0B20" w:rsidRDefault="003B0B20" w:rsidP="00555808">
      <w:pPr>
        <w:shd w:val="clear" w:color="auto" w:fill="FFFFFF"/>
        <w:spacing w:after="48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</w:p>
    <w:p w14:paraId="597FF3B2" w14:textId="30A47184" w:rsidR="00700AB4" w:rsidRPr="001C265E" w:rsidRDefault="00700AB4" w:rsidP="00B51A1C">
      <w:pPr>
        <w:shd w:val="clear" w:color="auto" w:fill="FFFFFF"/>
        <w:spacing w:after="48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Akcijski plan</w:t>
      </w:r>
      <w:r w:rsidR="00394B3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ovi</w:t>
      </w:r>
    </w:p>
    <w:p w14:paraId="60FD0B5C" w14:textId="50593442" w:rsidR="00700AB4" w:rsidRPr="001C265E" w:rsidRDefault="00700AB4" w:rsidP="00B51A1C">
      <w:pPr>
        <w:shd w:val="clear" w:color="auto" w:fill="FFFFFF"/>
        <w:spacing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1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4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615E6C1" w14:textId="0C8ADEA2" w:rsidR="00700AB4" w:rsidRPr="00E82EF5" w:rsidRDefault="00ED540E" w:rsidP="00D83B6F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Akcijsk</w:t>
      </w:r>
      <w:r w:rsidR="00D2251A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plan</w:t>
      </w:r>
      <w:r w:rsidR="009C5CAC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ovi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9C5CAC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su kratkoročni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akt</w:t>
      </w:r>
      <w:r w:rsidR="009C5CAC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koji se donos</w:t>
      </w:r>
      <w:r w:rsidR="009C5CAC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sa svrhom razrade provedbe </w:t>
      </w:r>
      <w:r w:rsidR="004B7ACE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nacionalnih planova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iz članka </w:t>
      </w:r>
      <w:r w:rsidR="008D1304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7</w:t>
      </w:r>
      <w:r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  <w:r w:rsidR="00184A4A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ove Uredbe</w:t>
      </w:r>
      <w:r w:rsidR="008D2C7D" w:rsidRPr="00E82EF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9F8EF6A" w14:textId="77777777" w:rsidR="00291424" w:rsidRPr="005B2EFA" w:rsidRDefault="00291424" w:rsidP="00555808">
      <w:pPr>
        <w:pStyle w:val="ListParagraph"/>
        <w:shd w:val="clear" w:color="auto" w:fill="FFFFFF"/>
        <w:spacing w:after="48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9381C46" w14:textId="052C5B37" w:rsidR="00394B32" w:rsidRPr="00876856" w:rsidRDefault="00394B32" w:rsidP="00555808">
      <w:pPr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Obvezni sadržaj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akcijskih planova</w:t>
      </w:r>
    </w:p>
    <w:p w14:paraId="0D2B2553" w14:textId="3E66A691" w:rsidR="00394B32" w:rsidRPr="00B51A1C" w:rsidRDefault="008D2C7D" w:rsidP="00B51A1C">
      <w:pPr>
        <w:shd w:val="clear" w:color="auto" w:fill="FFFFFF"/>
        <w:spacing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B51A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1</w:t>
      </w:r>
      <w:r w:rsidR="00DE3E1C" w:rsidRPr="00B51A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5</w:t>
      </w:r>
      <w:r w:rsidR="00394B32" w:rsidRPr="00B51A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5ABA5A08" w14:textId="77777777" w:rsidR="00394B32" w:rsidRPr="00876856" w:rsidRDefault="00394B32" w:rsidP="00876856">
      <w:pPr>
        <w:pStyle w:val="ListParagraph"/>
        <w:shd w:val="clear" w:color="auto" w:fill="FFFFFF"/>
        <w:spacing w:after="48" w:line="276" w:lineRule="auto"/>
        <w:ind w:left="43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5D7D85EC" w14:textId="6F286F48" w:rsidR="00ED540E" w:rsidRPr="001C265E" w:rsidRDefault="00ED540E" w:rsidP="001C265E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394B3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Akcijski planovi obavezno sadrže </w:t>
      </w:r>
      <w:r w:rsidR="0078104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sljedeće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elemente strateškog i provedbenog okvira </w:t>
      </w:r>
      <w:r w:rsid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srednjoročnih akata strateškog planiranja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:</w:t>
      </w:r>
    </w:p>
    <w:p w14:paraId="48BC3704" w14:textId="0CC093A4" w:rsidR="00ED540E" w:rsidRDefault="00ED540E" w:rsidP="001C265E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poveznicu sa elementima strateškog i provedbenog okvira hijerarhijski nadređenih akata strateškog planiranja</w:t>
      </w:r>
    </w:p>
    <w:p w14:paraId="14463615" w14:textId="73718D57" w:rsidR="003B2F81" w:rsidRPr="003059EC" w:rsidRDefault="003B2F81" w:rsidP="001C265E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popis posebnih ciljeva definiranih u svrhu ostvarivanja strateških ciljeva iz </w:t>
      </w:r>
      <w:r w:rsidRPr="003059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nacionalne razvojne strategije </w:t>
      </w: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 povezanih hijerarhijski nadređenih </w:t>
      </w:r>
      <w:r w:rsidRPr="003059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akata strateškog planiranja </w:t>
      </w:r>
    </w:p>
    <w:p w14:paraId="7ABFEE93" w14:textId="77777777" w:rsidR="003B2F81" w:rsidRDefault="003B2F81" w:rsidP="003059EC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popis pokazatelja ishoda svakog definiranog posebnog cilja, s pripadajućim početnim i ciljnim vrijednostima za ukupno razdoblje važenja akta </w:t>
      </w:r>
    </w:p>
    <w:p w14:paraId="4E721F16" w14:textId="17129807" w:rsidR="003B2F81" w:rsidRDefault="003B2F81" w:rsidP="003059EC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ciljne vrijednosti pokazatelja ishoda, pojedinačno za svaku godinu važenja akcijskog plana </w:t>
      </w:r>
    </w:p>
    <w:p w14:paraId="52ECB206" w14:textId="4FE91BC9" w:rsidR="003B2F81" w:rsidRPr="00876856" w:rsidRDefault="003B2F81" w:rsidP="00B67321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lastRenderedPageBreak/>
        <w:t>indikativni iznos ukupnih potrebnih sredstava za provedbu pojedinog posebnog cilja s poveznicom na planirani izvor financiranja u Državnom proračunu</w:t>
      </w:r>
    </w:p>
    <w:p w14:paraId="3E6AC1E6" w14:textId="34E1F3DA" w:rsidR="00ED540E" w:rsidRPr="001C265E" w:rsidRDefault="00ED540E" w:rsidP="001C265E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mjera za provedbu posebnih ciljeva </w:t>
      </w:r>
      <w:r w:rsidR="00E01E0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 </w:t>
      </w:r>
      <w:r w:rsidR="006A11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njihovim </w:t>
      </w:r>
      <w:r w:rsidR="00E01E0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opisom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</w:p>
    <w:p w14:paraId="7797776E" w14:textId="73CC9450" w:rsidR="00ED540E" w:rsidRDefault="00ED540E" w:rsidP="001C265E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rokove i nadležnosti za provedbu mjera</w:t>
      </w:r>
    </w:p>
    <w:p w14:paraId="0A62A9BE" w14:textId="09B28127" w:rsidR="00BC3E1C" w:rsidRPr="001C265E" w:rsidRDefault="00BC3E1C" w:rsidP="001C265E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pokazatelje rezultata</w:t>
      </w:r>
      <w:r w:rsidR="00B317A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svake pojedine mjere</w:t>
      </w:r>
    </w:p>
    <w:p w14:paraId="08CDB525" w14:textId="31137EA6" w:rsidR="00ED540E" w:rsidRPr="001C265E" w:rsidRDefault="00ED540E" w:rsidP="001C265E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procjenu troška </w:t>
      </w:r>
      <w:r w:rsidR="0022368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provedbe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(ili fiskalni učinak na proračun) pojedine mjere</w:t>
      </w:r>
    </w:p>
    <w:p w14:paraId="3F24BA28" w14:textId="2EC05900" w:rsidR="006F314B" w:rsidRDefault="00ED540E" w:rsidP="001C265E">
      <w:pPr>
        <w:pStyle w:val="ListParagraph"/>
        <w:numPr>
          <w:ilvl w:val="0"/>
          <w:numId w:val="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poveznicu na izvor financiranja</w:t>
      </w:r>
      <w:r w:rsidR="003B2F8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pojedine mjere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56AAFB6C" w14:textId="6D70C39E" w:rsidR="00ED540E" w:rsidRPr="00876856" w:rsidRDefault="00ED540E" w:rsidP="00876856">
      <w:pPr>
        <w:shd w:val="clear" w:color="auto" w:fill="FFFFFF"/>
        <w:spacing w:after="48" w:line="276" w:lineRule="auto"/>
        <w:ind w:left="76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</w:p>
    <w:p w14:paraId="27312E95" w14:textId="745B84B0" w:rsidR="00A65319" w:rsidRPr="009C5CAC" w:rsidRDefault="00394B32" w:rsidP="00653322">
      <w:pPr>
        <w:shd w:val="clear" w:color="auto" w:fill="FFFFFF"/>
        <w:spacing w:after="48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(2</w:t>
      </w:r>
      <w:r w:rsid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4B7A8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Mjere definirane </w:t>
      </w:r>
      <w:r w:rsidR="007F693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akcijskim</w:t>
      </w:r>
      <w:r w:rsidR="009C5CAC" w:rsidRP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plano</w:t>
      </w:r>
      <w:r w:rsid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vima</w:t>
      </w:r>
      <w:r w:rsidR="004B7A8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tijela nadležna za provedbu </w:t>
      </w:r>
      <w:r w:rsidR="006F31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obvezno </w:t>
      </w:r>
      <w:r w:rsidR="009C5CAC" w:rsidRP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preuzimaju </w:t>
      </w:r>
      <w:r w:rsidR="006F31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 provedbene programe</w:t>
      </w:r>
      <w:r w:rsidR="009C5CAC" w:rsidRP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3B2F8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iz članka </w:t>
      </w:r>
      <w:r w:rsidR="0002080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21</w:t>
      </w:r>
      <w:r w:rsidR="003B2F8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. </w:t>
      </w:r>
      <w:r w:rsidR="0002080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Zakona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</w:t>
      </w:r>
      <w:r w:rsidR="009C5CAC" w:rsidRP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 skladu s uputama</w:t>
      </w:r>
      <w:r w:rsidR="003B2F8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smjernicama</w:t>
      </w:r>
      <w:r w:rsidR="009C5CAC" w:rsidRP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Koordinacijskog tijela</w:t>
      </w:r>
      <w:r w:rsidR="006F31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4BA7A499" w14:textId="29B40751" w:rsidR="00291424" w:rsidRDefault="00291424" w:rsidP="00876856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7F588696" w14:textId="3A75BC96" w:rsidR="0000123D" w:rsidRPr="001C265E" w:rsidRDefault="0000123D" w:rsidP="0000123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Pokretanje postupka izrade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, izmjene i dopune </w:t>
      </w:r>
      <w:r w:rsidR="00DE3E1C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akcijskog plana</w:t>
      </w:r>
    </w:p>
    <w:p w14:paraId="0230306B" w14:textId="465E1787" w:rsidR="0000123D" w:rsidRPr="001C265E" w:rsidRDefault="0000123D" w:rsidP="0000123D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1</w:t>
      </w:r>
      <w:r w:rsidR="00DE3E1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6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0DBE192B" w14:textId="77777777" w:rsidR="0000123D" w:rsidRPr="001C265E" w:rsidRDefault="0000123D" w:rsidP="0000123D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0FC950C9" w14:textId="1FEF804D" w:rsidR="00C30D9A" w:rsidRPr="00555808" w:rsidRDefault="005246D1" w:rsidP="00653322">
      <w:pPr>
        <w:pStyle w:val="ListParagraph"/>
        <w:numPr>
          <w:ilvl w:val="0"/>
          <w:numId w:val="20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C30D9A" w:rsidRPr="003059E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Akcijske planove donosi Vlada Republike Hrvatske </w:t>
      </w:r>
      <w:r w:rsidR="00C30D9A" w:rsidRPr="0087685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za razdoblje provedbe, u pravilu, od 3 do 4 godine. </w:t>
      </w:r>
    </w:p>
    <w:p w14:paraId="068E409E" w14:textId="72F01AAB" w:rsidR="008C5370" w:rsidRPr="009304BC" w:rsidRDefault="005246D1" w:rsidP="00D83B6F">
      <w:pPr>
        <w:pStyle w:val="ListParagraph"/>
        <w:numPr>
          <w:ilvl w:val="0"/>
          <w:numId w:val="20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C30D9A" w:rsidRP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Nositelj izrade akcijskoga plana </w:t>
      </w:r>
      <w:r w:rsidR="00C30D9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istovjetan je nositelju izrade nacionalnog plana</w:t>
      </w:r>
      <w:r w:rsidR="00C30D9A" w:rsidRPr="009C5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na kojeg se odnosi akcijski plan.</w:t>
      </w:r>
    </w:p>
    <w:p w14:paraId="15932A17" w14:textId="6A1332AC" w:rsidR="00A3412A" w:rsidRPr="00A3412A" w:rsidRDefault="005246D1" w:rsidP="00A3412A">
      <w:pPr>
        <w:pStyle w:val="ListParagraph"/>
        <w:numPr>
          <w:ilvl w:val="0"/>
          <w:numId w:val="20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A3412A" w:rsidRPr="0055580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Nositelj izrade iz stavka </w:t>
      </w:r>
      <w:r w:rsid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</w:t>
      </w:r>
      <w:r w:rsidR="00A3412A" w:rsidRPr="0055580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pokreće </w:t>
      </w:r>
      <w:r w:rsidR="000B6A2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postupak </w:t>
      </w:r>
      <w:r w:rsidR="00A3412A" w:rsidRPr="0055580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izrad</w:t>
      </w:r>
      <w:r w:rsidR="000B6A2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="00A3412A" w:rsidRPr="0055580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novog akcijskog plana za pripadajući </w:t>
      </w:r>
      <w:r w:rsidR="00A3412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</w:t>
      </w:r>
      <w:r w:rsidR="00A3412A" w:rsidRPr="0055580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acionalni plan najkasnije 9 mjeseci prije isteka </w:t>
      </w:r>
      <w:r w:rsidR="009304B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razdoblja važenja </w:t>
      </w:r>
      <w:r w:rsidR="00A3412A" w:rsidRPr="0055580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prethodnog akcijskog plana.</w:t>
      </w:r>
    </w:p>
    <w:p w14:paraId="77FF4ABA" w14:textId="559184EC" w:rsidR="006A34BB" w:rsidRDefault="005246D1" w:rsidP="00555808">
      <w:pPr>
        <w:pStyle w:val="ListParagraph"/>
        <w:numPr>
          <w:ilvl w:val="0"/>
          <w:numId w:val="20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9B769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 slučaju potrebe za izmjenom i dopunom akcijskog plana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</w:t>
      </w:r>
      <w:r w:rsidR="009B769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ositelj izrade iz stavka 2.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9B769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pokreće postupak </w:t>
      </w:r>
      <w:r w:rsidR="00A4546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izmjena i dopuna akcijskog plana.</w:t>
      </w:r>
    </w:p>
    <w:p w14:paraId="73F31E9E" w14:textId="77777777" w:rsidR="00821C04" w:rsidRPr="009304BC" w:rsidRDefault="00821C04" w:rsidP="009304BC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76A361D1" w14:textId="592DD6D0" w:rsidR="00220B6C" w:rsidRDefault="006B29BB" w:rsidP="00220B6C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V. MIŠLJENJE KOORDINACIJSKOG TIJELA</w:t>
      </w:r>
    </w:p>
    <w:p w14:paraId="4E96C786" w14:textId="05251E8D" w:rsidR="00B51A1C" w:rsidRPr="001D78F7" w:rsidRDefault="00B51A1C" w:rsidP="00220B6C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bookmarkStart w:id="0" w:name="_Hlk125635277"/>
      <w:r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Mišljenje Koordinacijskog tijela na prijedlog za pokretanje izrade, izmjene i dopune akata strateškog planiranja</w:t>
      </w:r>
    </w:p>
    <w:bookmarkEnd w:id="0"/>
    <w:p w14:paraId="472EA8C9" w14:textId="20A05E94" w:rsidR="006B29BB" w:rsidRPr="001C265E" w:rsidRDefault="006B29BB" w:rsidP="001C265E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776F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17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5978ADA" w14:textId="12039AF3" w:rsidR="00311037" w:rsidRPr="001C265E" w:rsidRDefault="00311037" w:rsidP="001C265E">
      <w:pPr>
        <w:shd w:val="clear" w:color="auto" w:fill="FFFFFF"/>
        <w:tabs>
          <w:tab w:val="left" w:pos="426"/>
        </w:tabs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(1) Koordinacijsko tijelo daje mišljenje na prijedlog </w:t>
      </w:r>
      <w:r w:rsidR="00281A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za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pokretanj</w:t>
      </w:r>
      <w:r w:rsidR="00281A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izrade</w:t>
      </w:r>
      <w:r w:rsidR="001A60E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izmjene i dopune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5F048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akata strateškog planiranja iz član</w:t>
      </w:r>
      <w:r w:rsidR="008B0BE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5F048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ka 1</w:t>
      </w:r>
      <w:r w:rsidR="00BF055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8</w:t>
      </w:r>
      <w:r w:rsidR="007C3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i 1</w:t>
      </w:r>
      <w:r w:rsidR="00BF055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9</w:t>
      </w:r>
      <w:r w:rsidR="007C3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  <w:r w:rsidR="005F048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Zakona</w:t>
      </w:r>
      <w:r w:rsidR="007C3CA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1B6AEC1" w14:textId="10B59685" w:rsidR="00311037" w:rsidRPr="001C265E" w:rsidRDefault="00311037" w:rsidP="001C265E">
      <w:pPr>
        <w:shd w:val="clear" w:color="auto" w:fill="FFFFFF"/>
        <w:tabs>
          <w:tab w:val="left" w:pos="426"/>
        </w:tabs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(2) Prilikom </w:t>
      </w:r>
      <w:r w:rsidR="009304B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pripreme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mišljenja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 stavka 1.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članka,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Koordinacijsko tijelo </w:t>
      </w:r>
      <w:r w:rsidR="00650A2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provjerava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potreb</w:t>
      </w:r>
      <w:r w:rsidR="0005073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za izradom, izmjenom i dopunom</w:t>
      </w:r>
      <w:r w:rsidR="001A60E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akata strateškog planiranja i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EC0685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poveznicu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 drugim aktima strateškog planiranja </w:t>
      </w:r>
      <w:r w:rsidR="0005073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utvrđuje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primjerenost prijedlog</w:t>
      </w:r>
      <w:r w:rsidR="00650A2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. </w:t>
      </w:r>
    </w:p>
    <w:p w14:paraId="2E752F01" w14:textId="331CC454" w:rsidR="00C73A41" w:rsidRDefault="00311037" w:rsidP="001C265E">
      <w:pPr>
        <w:shd w:val="clear" w:color="auto" w:fill="FFFFFF"/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(3) Koordinacijsko tijelo mišljenje na prijedlog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 stavka 1.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dostavlja </w:t>
      </w:r>
      <w:r w:rsidR="0019281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nositelju izrade 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u roku od </w:t>
      </w:r>
      <w:r w:rsidR="00220B6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10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dana od dana zaprimanja</w:t>
      </w:r>
      <w:r w:rsidR="00281AB4" w:rsidRPr="00281A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281AB4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prijedlog</w:t>
      </w:r>
      <w:r w:rsidR="00281A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1CF5E6C" w14:textId="209EF048" w:rsidR="009304BC" w:rsidRPr="001D78F7" w:rsidRDefault="00B51A1C" w:rsidP="001D78F7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FF591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lastRenderedPageBreak/>
        <w:t xml:space="preserve">Mišljenje Koordinacijskog tijela na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nacrte </w:t>
      </w:r>
      <w:r w:rsidRPr="00FF591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prijedlog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a dugoročnih i srednjoročnih </w:t>
      </w:r>
      <w:r w:rsidRPr="00FF591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akata strateškog planiranja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 od nacionalnog značaja</w:t>
      </w:r>
    </w:p>
    <w:p w14:paraId="372830BB" w14:textId="3EEDE9C0" w:rsidR="006B29BB" w:rsidRPr="001C265E" w:rsidRDefault="006B29BB" w:rsidP="001C265E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776F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18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5A37A48F" w14:textId="2CCA6EA1" w:rsidR="00340B22" w:rsidRPr="001C265E" w:rsidRDefault="006B29BB" w:rsidP="0093760C">
      <w:pPr>
        <w:shd w:val="clear" w:color="auto" w:fill="FFFFFF"/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(1) </w:t>
      </w:r>
      <w:r w:rsidR="00340B2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Koordinacijsko tijelo daje mišljenje na nacrt</w:t>
      </w:r>
      <w:r w:rsidR="006A301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340B2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prijedloga</w:t>
      </w:r>
      <w:r w:rsidR="00BF055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akata strateškog planiranja iz članaka 18. i 19. Zakona</w:t>
      </w:r>
      <w:r w:rsidR="001A60E2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uključujući izmjene i dopune</w:t>
      </w:r>
      <w:r w:rsidR="000E7C1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008E8804" w14:textId="1837553B" w:rsidR="00340B22" w:rsidRPr="006A34BB" w:rsidRDefault="00340B22" w:rsidP="0093760C">
      <w:pPr>
        <w:shd w:val="clear" w:color="auto" w:fill="FFFFFF"/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090F7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B137FC"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Prilikom </w:t>
      </w:r>
      <w:r w:rsidR="009304B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pripreme</w:t>
      </w:r>
      <w:r w:rsidR="00B137FC"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mišljenja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 stavka 1.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</w:t>
      </w:r>
      <w:r w:rsidR="00650A2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Koordinacijsko tijelo utvrđuje</w:t>
      </w:r>
      <w:r w:rsidR="006B29BB"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usklađenost sadržaja nacrta prijedloga sa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</w:t>
      </w:r>
      <w:r w:rsidR="00811F4B"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acionalnom razvojnom strategijom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te</w:t>
      </w:r>
      <w:r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načelima i metodologijom sustava strateškog planiranja i upravljanja razvojem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Republike Hrvatske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2E3F96F7" w14:textId="19922345" w:rsidR="00B137FC" w:rsidRDefault="00B137FC" w:rsidP="0093760C">
      <w:pPr>
        <w:shd w:val="clear" w:color="auto" w:fill="FFFFFF"/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090F7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Koordinacijsko tijelo mišljenje na nacrt </w:t>
      </w:r>
      <w:r w:rsidR="009304B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prijedloga 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 stavka 1.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5B2EF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nositelju izrade dostavlja </w:t>
      </w:r>
      <w:r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u roku od </w:t>
      </w:r>
      <w:r w:rsidR="00813503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15</w:t>
      </w:r>
      <w:r w:rsidRPr="006A34B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dana od dana zaprimanja</w:t>
      </w:r>
      <w:r w:rsidR="00281A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nacrta prijedloga</w:t>
      </w:r>
      <w:r w:rsidR="00811F4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65FDD45" w14:textId="516944AA" w:rsidR="00B51A1C" w:rsidRPr="001D78F7" w:rsidRDefault="00B51A1C" w:rsidP="001D78F7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FF591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Mišljenje Koordinacijskog tijela na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nacrte </w:t>
      </w:r>
      <w:r w:rsidRPr="00FF591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prijedlog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a srednjoročnih </w:t>
      </w:r>
      <w:r w:rsidRPr="00FF591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akata strateškog planiranja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 od značaja</w:t>
      </w:r>
      <w:r w:rsidR="0031776D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 xml:space="preserve"> za jedinice područne (regionalne) samouprave</w:t>
      </w:r>
    </w:p>
    <w:p w14:paraId="6F057DDD" w14:textId="7B1E6EEB" w:rsidR="00F643EB" w:rsidRPr="00AE3A39" w:rsidRDefault="00F643EB" w:rsidP="00F643EB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D776F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19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4CAAD23A" w14:textId="6D02E77C" w:rsidR="00F643EB" w:rsidRPr="00AE3A39" w:rsidRDefault="00F643EB" w:rsidP="00650A28">
      <w:pPr>
        <w:shd w:val="clear" w:color="auto" w:fill="FFFFFF"/>
        <w:tabs>
          <w:tab w:val="left" w:pos="426"/>
        </w:tabs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(1) Koordinacijsko tijelo daje mišljenje na nacrt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prijedloga akata strateškog planiranja </w:t>
      </w:r>
      <w:r w:rsidR="00563AF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iz članka </w:t>
      </w:r>
      <w:r w:rsidR="005A0EA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23. Zakona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uključujući izmjene i dopune.</w:t>
      </w:r>
    </w:p>
    <w:p w14:paraId="67B6C450" w14:textId="21852593" w:rsidR="00F643EB" w:rsidRPr="00AE3A39" w:rsidRDefault="00F643EB" w:rsidP="00650A28">
      <w:pPr>
        <w:shd w:val="clear" w:color="auto" w:fill="FFFFFF"/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(2) Prilikom </w:t>
      </w:r>
      <w:r w:rsidR="009304B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pripreme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mišljenja iz stavka 1.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</w:t>
      </w:r>
      <w:r w:rsidR="00650A28"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Koordinacijsko tijelo utvrđuje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usklađenost sadržaja nacrta prijedlog</w:t>
      </w:r>
      <w:r w:rsidR="007800B4"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 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sa Nacionalnom razvojnom strategijom</w:t>
      </w:r>
      <w:r w:rsidR="000251B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te</w:t>
      </w:r>
      <w:r w:rsidR="00650A28"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povezani</w:t>
      </w:r>
      <w:r w:rsidR="007800B4"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m</w:t>
      </w:r>
      <w:r w:rsidR="00650A28"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dugoročnim aktima strateškog </w:t>
      </w:r>
      <w:r w:rsidR="000251BF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planiranja.</w:t>
      </w:r>
    </w:p>
    <w:p w14:paraId="35D40033" w14:textId="13ED3689" w:rsidR="00B137FC" w:rsidRPr="001C265E" w:rsidRDefault="00F643EB" w:rsidP="00555808">
      <w:pPr>
        <w:shd w:val="clear" w:color="auto" w:fill="FFFFFF"/>
        <w:spacing w:before="204" w:after="72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highlight w:val="yellow"/>
          <w:lang w:val="hr-HR"/>
        </w:rPr>
      </w:pP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(3) Koordinacijsko tijelo mišljenje na nacrt </w:t>
      </w:r>
      <w:r w:rsidR="00821C0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prijedloga akta 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 stavka 1.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nositelju izrade dostavlja u roku od </w:t>
      </w:r>
      <w:r w:rsidR="00AE3A39"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15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dana od dana zaprimanja</w:t>
      </w:r>
      <w:r w:rsidR="00281AB4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nacrta prijedloga</w:t>
      </w:r>
      <w:r w:rsidRPr="00AE3A3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29B22E5A" w14:textId="77777777" w:rsidR="00C55E9C" w:rsidRPr="001C265E" w:rsidRDefault="00C55E9C" w:rsidP="0001182A">
      <w:pPr>
        <w:spacing w:before="100" w:beforeAutospacing="1" w:after="225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VI. BIBLIOTEKA POKAZATELJA</w:t>
      </w:r>
    </w:p>
    <w:p w14:paraId="33A90B69" w14:textId="77777777" w:rsidR="00C55E9C" w:rsidRPr="001C265E" w:rsidRDefault="00C55E9C" w:rsidP="003224E8">
      <w:pPr>
        <w:spacing w:beforeAutospacing="1" w:after="225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en-GB"/>
        </w:rPr>
        <w:t>Biblioteka pokazatelja</w:t>
      </w:r>
    </w:p>
    <w:p w14:paraId="77279761" w14:textId="27A64648" w:rsidR="00C55E9C" w:rsidRPr="001C265E" w:rsidRDefault="00C55E9C" w:rsidP="0031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Članak </w:t>
      </w:r>
      <w:r w:rsidR="00D776F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20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44E75515" w14:textId="146B7C97" w:rsidR="00C55E9C" w:rsidRPr="001C265E" w:rsidRDefault="00CD47FD" w:rsidP="001C265E">
      <w:pPr>
        <w:spacing w:beforeAutospacing="1" w:after="225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U svrhu</w:t>
      </w:r>
      <w:r w:rsidR="007310E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praćenja</w:t>
      </w:r>
      <w:r w:rsidR="00C55E9C"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7310E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uspješnosti </w:t>
      </w:r>
      <w:r w:rsidR="00C55E9C"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provedbe</w:t>
      </w:r>
      <w:r w:rsidR="009037E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7310E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javnih politika i </w:t>
      </w:r>
      <w:r w:rsidR="009037E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akata strateškog planiranja</w:t>
      </w:r>
      <w:r w:rsidR="00C55E9C"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Koordinacijsko tijelo izrađuje i ažurira biblioteku pokazatelja sa odabranim pokazateljima učinka i pokazateljima ishoda upravn</w:t>
      </w:r>
      <w:r w:rsidR="007310E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ih</w:t>
      </w:r>
      <w:r w:rsidR="00C55E9C"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područja</w:t>
      </w:r>
      <w:r w:rsidR="007310E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sustava državne uprave</w:t>
      </w:r>
      <w:r w:rsidR="00C55E9C"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</w:p>
    <w:p w14:paraId="79B7CF62" w14:textId="1687DEEE" w:rsidR="00C55E9C" w:rsidRPr="001C265E" w:rsidRDefault="00C55E9C" w:rsidP="001C265E">
      <w:pPr>
        <w:spacing w:beforeAutospacing="1" w:after="225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(2) Primjena standardiziranih pokazatelja učinka i pokazatelja ishoda za praćenje uspješnosti ostvarenja strateških ciljeva i posebnih ciljeva u dugoročnim i srednjoročnim aktima strateškog planiranja iz biblioteke pokazatelja omogućuje </w:t>
      </w:r>
      <w:r w:rsidR="00DE24B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učinkovito upravljanje provedbom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javnih politika. </w:t>
      </w:r>
    </w:p>
    <w:p w14:paraId="1B9BCAC1" w14:textId="77777777" w:rsidR="00C55E9C" w:rsidRPr="001C265E" w:rsidRDefault="00C55E9C" w:rsidP="001C265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(3) Tijela državne uprave, jedinice lokalne samouprave i jedinice područne (regionalne) samouprave tijekom izrade akata strateškog planiranja obvezna su iz biblioteke pokazatelja odabrati pokazatelje kojima se prati uspješnost ostvarenja strateških i posebnih ciljeva u dugoročnim i srednjoročnim aktima strateškog planiranja.</w:t>
      </w:r>
    </w:p>
    <w:p w14:paraId="42BE142C" w14:textId="77777777" w:rsidR="00C55E9C" w:rsidRPr="001C265E" w:rsidRDefault="00C55E9C" w:rsidP="00E60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118AF75" w14:textId="77777777" w:rsidR="00C55E9C" w:rsidRPr="001C265E" w:rsidRDefault="00C55E9C" w:rsidP="009F31D4">
      <w:pPr>
        <w:spacing w:beforeAutospacing="1" w:after="225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en-GB"/>
        </w:rPr>
        <w:t>Dopuna biblioteke pokazatelja</w:t>
      </w:r>
    </w:p>
    <w:p w14:paraId="7B0FDC50" w14:textId="30E2F5F9" w:rsidR="00C55E9C" w:rsidRPr="001C265E" w:rsidRDefault="00C55E9C" w:rsidP="00842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Članak </w:t>
      </w:r>
      <w:r w:rsidR="007E36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</w:t>
      </w:r>
      <w:r w:rsidR="00D776F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1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2A83EDD6" w14:textId="590BBDAE" w:rsidR="00C55E9C" w:rsidRPr="001C265E" w:rsidRDefault="00C55E9C" w:rsidP="005246D1">
      <w:pPr>
        <w:spacing w:beforeAutospacing="1"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</w:t>
      </w:r>
      <w:r w:rsidR="005246D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450FE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Ukoliko</w:t>
      </w:r>
      <w:r w:rsidR="00450FEC"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biblioteka pokazatelja ne sadrži odgovarajući pokazatelj za praćenje </w:t>
      </w:r>
      <w:r w:rsidR="00A16C1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uspješnosti 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ostvarenja cilja utvrđenog aktom strateškog planiranja, nositelj izrade može Koordinacijskom tijelu predložiti dopunu biblioteke pokazatelja.</w:t>
      </w:r>
    </w:p>
    <w:p w14:paraId="7593EF78" w14:textId="32789933" w:rsidR="00743EAA" w:rsidRDefault="00C55E9C" w:rsidP="00743EAA">
      <w:pPr>
        <w:shd w:val="clear" w:color="auto" w:fill="FFFFFF"/>
        <w:spacing w:before="204" w:after="72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Koordinator za strateško planiranje</w:t>
      </w:r>
      <w:r w:rsidR="003C1D4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regionalni koordinator prijedlog dopune </w:t>
      </w:r>
      <w:r w:rsidR="003C1D4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b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iblioteke pokazatelja podnos</w:t>
      </w:r>
      <w:r w:rsidR="0019281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 obrascu </w:t>
      </w:r>
      <w:r w:rsidR="00E82EF5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kojeg će izraditi Koordinacijsko tijelo 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 sukladno uputama Koordinacijskog tijela.</w:t>
      </w:r>
    </w:p>
    <w:p w14:paraId="5004562C" w14:textId="77777777" w:rsidR="00653322" w:rsidRPr="001C265E" w:rsidRDefault="00653322" w:rsidP="00743EAA">
      <w:pPr>
        <w:shd w:val="clear" w:color="auto" w:fill="FFFFFF"/>
        <w:spacing w:before="204" w:after="72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3A54F27" w14:textId="1AD625D3" w:rsidR="00D937DB" w:rsidRPr="001C265E" w:rsidRDefault="00C55E9C" w:rsidP="00743EAA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VI. </w:t>
      </w:r>
      <w:r w:rsidR="00D937DB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METODOLOŠKI OKVIR I INSTITUCIONALNA SURADNJA</w:t>
      </w:r>
    </w:p>
    <w:p w14:paraId="47DA4DDB" w14:textId="3B89165F" w:rsidR="00D937DB" w:rsidRPr="001C265E" w:rsidRDefault="00BE3641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Upute</w:t>
      </w:r>
      <w:r w:rsidR="007800B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 i smjernice za provedbu postupaka u procesu strateškog planiranja</w:t>
      </w:r>
    </w:p>
    <w:p w14:paraId="1CE9975D" w14:textId="7B10653D" w:rsidR="00D937DB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2</w:t>
      </w:r>
      <w:r w:rsidR="00DC729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F08D1D7" w14:textId="77777777" w:rsidR="009304BC" w:rsidRPr="001C265E" w:rsidRDefault="009304BC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B4649B4" w14:textId="5C9BCBE0" w:rsidR="00C55E9C" w:rsidRDefault="00C55E9C" w:rsidP="00E60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Koordinacijsko tijelo donosi i</w:t>
      </w:r>
      <w:r w:rsidR="0019281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prema potrebi</w:t>
      </w:r>
      <w:r w:rsidR="0019281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5A7DF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nadopunjava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3C1D4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upute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koj</w:t>
      </w:r>
      <w:r w:rsidR="003C1D4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pobliže opisuj</w:t>
      </w:r>
      <w:r w:rsidR="003C1D4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primjenu metodologije, uporabu različitih alata </w:t>
      </w:r>
      <w:r w:rsidR="00A16C1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tijekom provedbe</w:t>
      </w:r>
      <w:r w:rsidR="007800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postupaka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izrade,</w:t>
      </w:r>
      <w:r w:rsidR="007800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izmjene, dopune i donošenja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akata strateškog planiranja </w:t>
      </w:r>
      <w:r w:rsidR="00DE24B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 </w:t>
      </w:r>
      <w:r w:rsidR="00A16C1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članka 1. ove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Uredb</w:t>
      </w:r>
      <w:r w:rsidR="00DE24B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0E9756F7" w14:textId="77777777" w:rsidR="00112F41" w:rsidRPr="001C265E" w:rsidRDefault="00112F41" w:rsidP="00E60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A41110F" w14:textId="3D60668A" w:rsidR="00743EAA" w:rsidRDefault="00C55E9C" w:rsidP="00112F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(2) Koordinacijsko tijelo izrađuje i druge smjernice za primjenu postupaka strateškog planiranja </w:t>
      </w:r>
      <w:r w:rsidR="00DE24B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 ove Uredbe</w:t>
      </w:r>
      <w:r w:rsidR="00D60F3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675253CD" w14:textId="232FD56A" w:rsidR="00C73A41" w:rsidRPr="001C265E" w:rsidRDefault="00C73A41" w:rsidP="005558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6211BD2" w14:textId="77777777" w:rsidR="00D937DB" w:rsidRPr="001C265E" w:rsidRDefault="00D937DB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>Suradnja javnih tijela u procesu strateškog planiranja</w:t>
      </w:r>
    </w:p>
    <w:p w14:paraId="398EA8BB" w14:textId="67B71860" w:rsidR="00B629B9" w:rsidRPr="001C265E" w:rsidRDefault="00D937DB" w:rsidP="001C265E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2</w:t>
      </w:r>
      <w:r w:rsidR="006B550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C6C518F" w14:textId="77777777" w:rsidR="008644F0" w:rsidRPr="001C265E" w:rsidRDefault="008644F0" w:rsidP="00555808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2281A9DA" w14:textId="31881277" w:rsidR="008644F0" w:rsidRPr="00A16C1E" w:rsidRDefault="00A16C1E" w:rsidP="00A16C1E">
      <w:pPr>
        <w:shd w:val="clear" w:color="auto" w:fill="FFFFFF"/>
        <w:spacing w:after="48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B629B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8644F0" w:rsidRPr="00A16C1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 postupcima strateškog planiranja tijela državne uprave odgovorna su za:</w:t>
      </w:r>
    </w:p>
    <w:p w14:paraId="210BDD99" w14:textId="77777777" w:rsidR="003C1D42" w:rsidRPr="00047F67" w:rsidRDefault="003C1D42" w:rsidP="00876856">
      <w:pPr>
        <w:pStyle w:val="ListParagraph"/>
        <w:shd w:val="clear" w:color="auto" w:fill="FFFFFF"/>
        <w:spacing w:after="48" w:line="276" w:lineRule="auto"/>
        <w:ind w:left="84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635DCDEF" w14:textId="381E1B5F" w:rsidR="008644F0" w:rsidRPr="00047F67" w:rsidRDefault="008644F0" w:rsidP="00047F67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određivanje unutarnje ustrojstvene jedinice za obavljanje poslova </w:t>
      </w:r>
      <w:r w:rsidR="00B53C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strateškog planiranja u tijelu državne uprave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</w:t>
      </w:r>
      <w:r w:rsidR="00B53CE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sukladno </w:t>
      </w:r>
      <w:r w:rsidR="000F6B8D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članku 34. Zakona</w:t>
      </w:r>
    </w:p>
    <w:p w14:paraId="1559DA3E" w14:textId="34CE287C" w:rsidR="001F29A8" w:rsidRPr="00047F67" w:rsidRDefault="001F29A8" w:rsidP="00047F67">
      <w:pPr>
        <w:pStyle w:val="ListParagraph"/>
        <w:numPr>
          <w:ilvl w:val="0"/>
          <w:numId w:val="10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47F67">
        <w:rPr>
          <w:rFonts w:ascii="Times New Roman" w:hAnsi="Times New Roman" w:cs="Times New Roman"/>
          <w:sz w:val="24"/>
          <w:szCs w:val="24"/>
          <w:lang w:val="hr-HR"/>
        </w:rPr>
        <w:t>koordinaciju izrade akata strateškog planiranja iz nadležnosti</w:t>
      </w:r>
    </w:p>
    <w:p w14:paraId="7B9D5691" w14:textId="7BC86B96" w:rsidR="001F29A8" w:rsidRPr="00047F67" w:rsidRDefault="001F29A8" w:rsidP="00047F67">
      <w:pPr>
        <w:pStyle w:val="ListParagraph"/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suradnju s Koordinacijskim tijelom i drugim javnim tijelima radi osiguravanja usklađenosti provedbe javnih politika</w:t>
      </w:r>
    </w:p>
    <w:p w14:paraId="0FA31549" w14:textId="106FB7C1" w:rsidR="001F29A8" w:rsidRPr="00047F67" w:rsidRDefault="001F29A8" w:rsidP="00047F67">
      <w:pPr>
        <w:pStyle w:val="ListParagraph"/>
        <w:numPr>
          <w:ilvl w:val="0"/>
          <w:numId w:val="10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lastRenderedPageBreak/>
        <w:t xml:space="preserve">pravovremeno planiranje sredstava potrebnih za pripremu i izradu akata strateškog planiranja iz nadležnosti </w:t>
      </w:r>
    </w:p>
    <w:p w14:paraId="7E7442D2" w14:textId="77777777" w:rsidR="001F29A8" w:rsidRPr="00047F67" w:rsidRDefault="001F29A8" w:rsidP="00047F67">
      <w:pPr>
        <w:pStyle w:val="ListParagraph"/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osiguravanje primjene načela i metodologije sustava strateškog planiranja i upravljanja razvojem </w:t>
      </w:r>
    </w:p>
    <w:p w14:paraId="40A20AC3" w14:textId="0A768D96" w:rsidR="001F29A8" w:rsidRPr="00047F67" w:rsidRDefault="001F29A8" w:rsidP="00047F67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uključivanje, na odgovarajući način, nadležnih javnopravnih tijela i relevantnih dionika u postupak izrade akata strateškog planiranja iz nadležnosti </w:t>
      </w:r>
    </w:p>
    <w:p w14:paraId="64D9A748" w14:textId="4C39328D" w:rsidR="003C1D42" w:rsidRPr="00047F67" w:rsidRDefault="00204D60" w:rsidP="00047F67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sudjelovanje </w:t>
      </w:r>
      <w:r w:rsidR="008644F0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 rad</w:t>
      </w: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8644F0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m</w:t>
      </w:r>
      <w:r w:rsidR="008644F0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reže koordinatora iz članka 2</w:t>
      </w:r>
      <w:r w:rsidR="00A65319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4</w:t>
      </w:r>
      <w:r w:rsidR="008644F0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ove Uredbe</w:t>
      </w:r>
    </w:p>
    <w:p w14:paraId="70EBD5F0" w14:textId="6EE388CB" w:rsidR="008644F0" w:rsidRPr="00047F67" w:rsidRDefault="008644F0" w:rsidP="00047F67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kontinuirano praćenje </w:t>
      </w:r>
      <w:r w:rsidR="004B7A8C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provedbe </w:t>
      </w: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 pravodobno izvješćivanje </w:t>
      </w:r>
      <w:r w:rsidR="009F0872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Koordinacijskog tijela </w:t>
      </w: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 provedbi akata strateškog planiranja</w:t>
      </w:r>
      <w:r w:rsidR="003C1D42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iz nadležnosti </w:t>
      </w:r>
    </w:p>
    <w:p w14:paraId="227B59BE" w14:textId="1CED95C1" w:rsidR="008644F0" w:rsidRPr="00047F67" w:rsidRDefault="004B7A8C" w:rsidP="00047F67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osiguravanje dostupnosti i </w:t>
      </w:r>
      <w:r w:rsidR="008644F0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pohranu podataka o tijeku provedbe akata strateškog planiranja iz nadležnosti </w:t>
      </w:r>
    </w:p>
    <w:p w14:paraId="4CDCA240" w14:textId="3F91110B" w:rsidR="00112F41" w:rsidRPr="00047F67" w:rsidRDefault="003C1D42" w:rsidP="00047F67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provedbu svih</w:t>
      </w:r>
      <w:r w:rsidR="00112F41"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obveza iz važećih dugoročnih i srednjoročnih akata strateškog planiranja relevantnih za nadležnost</w:t>
      </w:r>
    </w:p>
    <w:p w14:paraId="2081194B" w14:textId="760CDD1B" w:rsidR="008644F0" w:rsidRPr="001C265E" w:rsidRDefault="003C1D42" w:rsidP="00047F67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047F6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osiguravanje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primjene načela transparentnosti u </w:t>
      </w:r>
      <w:r w:rsidR="004B7A8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svim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postupcima strateškog planiranja i upravljanja razvojem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13B42319" w14:textId="77777777" w:rsidR="008644F0" w:rsidRPr="001C265E" w:rsidRDefault="008644F0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00B32930" w14:textId="49552476" w:rsidR="008644F0" w:rsidRPr="001C265E" w:rsidRDefault="008644F0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47C0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 Povezani procesi planiranja na nacionalnoj razini uključuju:</w:t>
      </w:r>
    </w:p>
    <w:p w14:paraId="5E44CCBB" w14:textId="64C53E88" w:rsidR="00941ECE" w:rsidRDefault="007B316B" w:rsidP="001D78F7">
      <w:pPr>
        <w:shd w:val="clear" w:color="auto" w:fill="FFFFFF"/>
        <w:spacing w:after="48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a) </w:t>
      </w:r>
      <w:r w:rsidR="00941ECE" w:rsidRPr="00941EC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praćenje ostvarivanja programa rada Vlade</w:t>
      </w:r>
    </w:p>
    <w:p w14:paraId="54828738" w14:textId="08AE434A" w:rsidR="00A37BAC" w:rsidRPr="006113AB" w:rsidRDefault="00A37BAC" w:rsidP="006113AB">
      <w:pPr>
        <w:pStyle w:val="ListParagraph"/>
        <w:numPr>
          <w:ilvl w:val="0"/>
          <w:numId w:val="2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izrad</w:t>
      </w:r>
      <w:r w:rsidR="005246D1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444990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i praćenje izvršenja Plana zakonodavnih aktivnosti, sukladno </w:t>
      </w:r>
      <w:r w:rsidR="00855278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propis</w:t>
      </w:r>
      <w:r w:rsidR="00821C04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ima</w:t>
      </w:r>
      <w:r w:rsidR="00855278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koji uređuj</w:t>
      </w:r>
      <w:r w:rsidR="00821C04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</w:t>
      </w:r>
      <w:r w:rsidR="00855278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postupak procjene učinaka propisa</w:t>
      </w:r>
    </w:p>
    <w:p w14:paraId="4D7FAFB3" w14:textId="7DFCE163" w:rsidR="008644F0" w:rsidRPr="006113AB" w:rsidRDefault="008644F0" w:rsidP="006113AB">
      <w:pPr>
        <w:pStyle w:val="ListParagraph"/>
        <w:numPr>
          <w:ilvl w:val="0"/>
          <w:numId w:val="2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makroekonomsko i fiskalno planiranje, pripremu i izvršenje proračuna i programa </w:t>
      </w:r>
      <w:r w:rsidR="00F75E4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stabilnosti</w:t>
      </w:r>
      <w:r w:rsidR="00F75E4A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koje koordinira ministarstvo nadležno za financije </w:t>
      </w:r>
    </w:p>
    <w:p w14:paraId="0A483CB0" w14:textId="669DBF52" w:rsidR="008644F0" w:rsidRPr="006113AB" w:rsidRDefault="00090F72" w:rsidP="006113AB">
      <w:pPr>
        <w:pStyle w:val="ListParagraph"/>
        <w:numPr>
          <w:ilvl w:val="0"/>
          <w:numId w:val="2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ciklus Europskog semestra i provedbu preporuka po državama članicama, sukladno Uredbi Vijeća (EZ) broj 1466/97 od 7. srpnja 1997. o jačanju nadzora stanja proračuna i nadzora i koordinacije ekonomskih politika</w:t>
      </w:r>
      <w:r w:rsidR="00627593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Uredbi (EU) br</w:t>
      </w:r>
      <w:r w:rsidR="00DB2101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oj</w:t>
      </w: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1176/2011 Europskog parlamenta i Vijeća od 16. studenog 2011</w:t>
      </w:r>
      <w:r w:rsidR="008644F0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 sprječavanju i ispravljanju makroekonomskih neravnoteža</w:t>
      </w:r>
      <w:r w:rsidR="00281AB4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627593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  <w:r w:rsidR="00112F41"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te povezano s tim pripremu i provedbu Nacionalnog programa reformi koje koordinira radno tijelo i/ili tijelo državne uprave kojeg odredi Vlada i</w:t>
      </w:r>
    </w:p>
    <w:p w14:paraId="3C879326" w14:textId="120984A5" w:rsidR="00112F41" w:rsidRPr="006113AB" w:rsidRDefault="00112F41" w:rsidP="006113AB">
      <w:pPr>
        <w:pStyle w:val="ListParagraph"/>
        <w:numPr>
          <w:ilvl w:val="0"/>
          <w:numId w:val="24"/>
        </w:num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6113A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procese koji podupiru okvir EU-a za gospodarsko upravljanje koje koordinira radno tijelo i/ili tijelo državne uprave kojeg odredi Vlada.</w:t>
      </w:r>
    </w:p>
    <w:p w14:paraId="104CD706" w14:textId="77777777" w:rsidR="008644F0" w:rsidRPr="001C265E" w:rsidRDefault="008644F0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6EE1C5A9" w14:textId="7779837D" w:rsidR="008644F0" w:rsidRPr="005246D1" w:rsidRDefault="008644F0" w:rsidP="00112F41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47C0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3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8B5F3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Obveznici iz članka 2. stavak 3. ove Uredbe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koj</w:t>
      </w:r>
      <w:r w:rsidR="008B5F3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koordiniraju procese povezane sa strateškim planiranjem iz stavka </w:t>
      </w:r>
      <w:r w:rsidR="00BC3FC6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 ovog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članka odgovorn</w:t>
      </w:r>
      <w:r w:rsidR="008B5F3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i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su za:</w:t>
      </w:r>
    </w:p>
    <w:p w14:paraId="6668E558" w14:textId="0BB64C79" w:rsidR="008644F0" w:rsidRPr="005246D1" w:rsidRDefault="0098767B" w:rsidP="00112F41">
      <w:pPr>
        <w:numPr>
          <w:ilvl w:val="0"/>
          <w:numId w:val="12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uzimanje u obzir</w:t>
      </w:r>
      <w:r w:rsidR="008644F0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obvez</w:t>
      </w:r>
      <w:r w:rsidR="0031120D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="008644F0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iz dugoročnih</w:t>
      </w:r>
      <w:r w:rsidR="0093093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</w:t>
      </w:r>
      <w:r w:rsidR="008644F0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srednjoročnih</w:t>
      </w:r>
      <w:r w:rsidR="0093093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kratkoročnih</w:t>
      </w:r>
      <w:r w:rsidR="008644F0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akata strateškog planiranja u akte povezane s procesom kojeg koordiniraju</w:t>
      </w:r>
    </w:p>
    <w:p w14:paraId="34DE75F3" w14:textId="542EAFED" w:rsidR="007B316B" w:rsidRDefault="007B316B" w:rsidP="00112F41">
      <w:pPr>
        <w:numPr>
          <w:ilvl w:val="0"/>
          <w:numId w:val="12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commentRangeStart w:id="1"/>
      <w:r w:rsidRPr="007B316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uzimanje u obzir preporuka koje proizlaze iz članstva Europskoj uniji, kao i doprinos</w:t>
      </w:r>
      <w:r w:rsidR="00445D9C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a</w:t>
      </w:r>
      <w:r w:rsidRPr="007B316B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nacionalnim ciljevima održivog</w:t>
      </w:r>
      <w:commentRangeEnd w:id="1"/>
      <w:r>
        <w:rPr>
          <w:rStyle w:val="CommentReference"/>
          <w:rFonts w:ascii="Times New Roman" w:eastAsia="Times New Roman" w:hAnsi="Times New Roman" w:cs="Times New Roman"/>
          <w:lang w:val="hr-HR" w:eastAsia="en-GB"/>
        </w:rPr>
        <w:commentReference w:id="1"/>
      </w:r>
      <w:r w:rsidR="00242248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razvoja</w:t>
      </w:r>
    </w:p>
    <w:p w14:paraId="61335209" w14:textId="17DA82F4" w:rsidR="008644F0" w:rsidRPr="005246D1" w:rsidRDefault="00B4374C" w:rsidP="00112F41">
      <w:pPr>
        <w:numPr>
          <w:ilvl w:val="0"/>
          <w:numId w:val="12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lastRenderedPageBreak/>
        <w:t xml:space="preserve">uspostavu </w:t>
      </w:r>
      <w:r w:rsidR="008644F0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suradnj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="008644F0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 Koordinacijskim tijelom kako bi se osigurala usklađenost i povezanost između različitih metodologija </w:t>
      </w:r>
      <w:r w:rsidR="00F37FF6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planiranja</w:t>
      </w:r>
    </w:p>
    <w:p w14:paraId="4CA2DE23" w14:textId="44E94800" w:rsidR="007800B4" w:rsidRPr="005246D1" w:rsidRDefault="008644F0" w:rsidP="00555808">
      <w:pPr>
        <w:numPr>
          <w:ilvl w:val="0"/>
          <w:numId w:val="12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val="hr-HR"/>
        </w:rPr>
      </w:pP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usklađivanje metodologija, uključujući postupke, terminologiju, pokazatelje</w:t>
      </w:r>
      <w:r w:rsidR="00863169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uspješnosti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rokove</w:t>
      </w:r>
      <w:r w:rsidR="00863169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izvršenja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, kako bi se smanjilo administrativno opterećenje</w:t>
      </w:r>
      <w:r w:rsidR="004B7A8C"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osigurala učinkovita provedbe javnih politika</w:t>
      </w:r>
      <w:r w:rsid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  <w:r w:rsidRPr="005246D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</w:t>
      </w:r>
    </w:p>
    <w:p w14:paraId="2A25551E" w14:textId="50670889" w:rsidR="007800B4" w:rsidRDefault="007800B4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</w:pPr>
    </w:p>
    <w:p w14:paraId="1BBF4B09" w14:textId="14AE54E4" w:rsidR="009304BC" w:rsidRDefault="009304BC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</w:pPr>
    </w:p>
    <w:p w14:paraId="5D8D2724" w14:textId="77777777" w:rsidR="009304BC" w:rsidRDefault="009304BC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</w:pPr>
    </w:p>
    <w:p w14:paraId="55F67AC5" w14:textId="0CA97F81" w:rsidR="00D937DB" w:rsidRPr="001C265E" w:rsidRDefault="00D937DB" w:rsidP="001C26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val="hr-HR"/>
        </w:rPr>
        <w:t xml:space="preserve">Mreža koordinatora </w:t>
      </w:r>
    </w:p>
    <w:p w14:paraId="355FA5B5" w14:textId="299E46D1" w:rsidR="00C479D1" w:rsidRDefault="00D937DB" w:rsidP="009304BC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Članak 2</w:t>
      </w:r>
      <w:r w:rsidR="006B5501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4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80F7CD8" w14:textId="77777777" w:rsidR="00144EC7" w:rsidRPr="009304BC" w:rsidRDefault="00144EC7" w:rsidP="009304BC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629FEE53" w14:textId="53B8DC20" w:rsidR="00107630" w:rsidRDefault="00636236" w:rsidP="001D78F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Mrežu koordinatora za strateško planiranje i upravljanje razvojem odlukom uspostavlja čelnik Koordinacijskog tijela</w:t>
      </w:r>
    </w:p>
    <w:p w14:paraId="1BDDEF52" w14:textId="706DE179" w:rsidR="008644F0" w:rsidRDefault="008644F0" w:rsidP="00555808">
      <w:pPr>
        <w:pStyle w:val="ListParagraph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Mrežu koordinatora za strateško planiranje čine </w:t>
      </w:r>
      <w:r w:rsidR="00530A73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imenovani predstavnici </w:t>
      </w: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Koordinacijsko</w:t>
      </w:r>
      <w:r w:rsidR="00530A73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</w:t>
      </w: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tijel</w:t>
      </w:r>
      <w:r w:rsidR="00821C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7E12DF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te </w:t>
      </w:r>
      <w:r w:rsidR="00821C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predstavnici </w:t>
      </w: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tijela državne uprave, regionalni</w:t>
      </w:r>
      <w:r w:rsidR="00530A73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h</w:t>
      </w: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koordinator</w:t>
      </w:r>
      <w:r w:rsidR="00530A73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 lokalni</w:t>
      </w:r>
      <w:r w:rsidR="00530A73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h</w:t>
      </w: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1132AD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koordinator</w:t>
      </w:r>
      <w:r w:rsidR="00530A73"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5558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</w:p>
    <w:p w14:paraId="2C32ECAA" w14:textId="77777777" w:rsidR="008644F0" w:rsidRPr="001C265E" w:rsidRDefault="008644F0" w:rsidP="005558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91AD8D9" w14:textId="049147FC" w:rsidR="00863169" w:rsidRPr="001C265E" w:rsidRDefault="008644F0" w:rsidP="005558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63623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</w:t>
      </w:r>
      <w:r w:rsidRPr="001C26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Mrežom koordinatora za strateško planiranje upravlja Koordinacijsko tijelo</w:t>
      </w:r>
      <w:r w:rsidR="00C10B6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4410449C" w14:textId="77777777" w:rsidR="004B7A8C" w:rsidRPr="001C265E" w:rsidRDefault="004B7A8C" w:rsidP="00A3412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en-GB"/>
        </w:rPr>
      </w:pPr>
    </w:p>
    <w:p w14:paraId="00AD3B84" w14:textId="3451CDC9" w:rsidR="0031776D" w:rsidRDefault="00D937DB" w:rsidP="0031776D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VI. PRIJELAZN</w:t>
      </w:r>
      <w:r w:rsidR="00D60F3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I ZAVRŠN</w:t>
      </w:r>
      <w:r w:rsidR="00D60F3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ODREDB</w:t>
      </w:r>
      <w:r w:rsidR="00D60F3C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E</w:t>
      </w:r>
    </w:p>
    <w:p w14:paraId="4150566F" w14:textId="10D14CCC" w:rsidR="0031776D" w:rsidRPr="001D78F7" w:rsidRDefault="0031776D" w:rsidP="0031776D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P</w:t>
      </w:r>
      <w:r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ostupanje s povezanim propisima</w:t>
      </w:r>
    </w:p>
    <w:p w14:paraId="0769BC01" w14:textId="28111E04" w:rsidR="00D937DB" w:rsidRDefault="00D937DB" w:rsidP="001C265E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 w:rsidR="00327AC0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="00743EAA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5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33B93D45" w14:textId="77777777" w:rsidR="00EB4012" w:rsidRPr="001C265E" w:rsidRDefault="00EB4012" w:rsidP="001C265E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84FB976" w14:textId="76F2C3BE" w:rsidR="00EB61B8" w:rsidRPr="001D78F7" w:rsidRDefault="00EB61B8" w:rsidP="006113AB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2E66C626" w14:textId="187D3DF2" w:rsidR="008644F0" w:rsidRDefault="008644F0" w:rsidP="00393342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1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) </w:t>
      </w:r>
      <w:r w:rsidR="0063623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</w:t>
      </w:r>
      <w:r w:rsidR="0089103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elnik Koordinacijskog tijela </w:t>
      </w:r>
      <w:r w:rsidR="0063623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će </w:t>
      </w:r>
      <w:r w:rsidR="0089103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roku od 60 dana od dana stupanja na snagu </w:t>
      </w:r>
      <w:r w:rsidR="00891032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ove Uredbe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donijeti odluku iz članka 24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stavka 1. ove Uredbe.</w:t>
      </w:r>
    </w:p>
    <w:p w14:paraId="0807EDEE" w14:textId="17BE3BD1" w:rsidR="00891032" w:rsidRDefault="00891032" w:rsidP="00891032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(</w:t>
      </w:r>
      <w:r w:rsidR="00636236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) Danom stupanja na snagu ove Uredbe prestaje važiti Uredba o smjernicama za izradu akata strateškog planiranja od nacionalnog značaja i od značaja za jedinice lokalne i područne (regionalne) samouprave 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„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Narodne novine”, br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oj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 89/18).</w:t>
      </w:r>
    </w:p>
    <w:p w14:paraId="14020C46" w14:textId="795A11BD" w:rsidR="0031776D" w:rsidRPr="001D78F7" w:rsidRDefault="0031776D" w:rsidP="001D78F7">
      <w:pPr>
        <w:shd w:val="clear" w:color="auto" w:fill="FFFFFF"/>
        <w:spacing w:after="48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</w:pPr>
      <w:r w:rsidRPr="001D78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hr-HR"/>
        </w:rPr>
        <w:t>Stupanje na snagu</w:t>
      </w:r>
    </w:p>
    <w:p w14:paraId="752669F2" w14:textId="67A85DE6" w:rsidR="00636236" w:rsidRDefault="00636236" w:rsidP="0031776D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Članak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26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.</w:t>
      </w:r>
    </w:p>
    <w:p w14:paraId="23F892B0" w14:textId="77777777" w:rsidR="00636236" w:rsidRPr="001D78F7" w:rsidRDefault="00636236" w:rsidP="001D78F7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D78F7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Ova Uredba stupa na snagu osmoga dana od dana objave u „Narodnim novinama“.</w:t>
      </w:r>
    </w:p>
    <w:p w14:paraId="442DFC18" w14:textId="77777777" w:rsidR="00891032" w:rsidRPr="001C265E" w:rsidRDefault="00891032" w:rsidP="00393342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1E6891FA" w14:textId="77777777" w:rsidR="008644F0" w:rsidRPr="001C265E" w:rsidRDefault="008644F0" w:rsidP="001C265E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7D2097CD" w14:textId="69A8E021" w:rsidR="00D937DB" w:rsidRPr="001C265E" w:rsidRDefault="00D937DB" w:rsidP="001C265E">
      <w:pPr>
        <w:shd w:val="clear" w:color="auto" w:fill="FFFFFF"/>
        <w:spacing w:after="0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Klasa: </w:t>
      </w:r>
      <w:proofErr w:type="spellStart"/>
      <w:r w:rsidR="008644F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xxxxx</w:t>
      </w:r>
      <w:proofErr w:type="spellEnd"/>
    </w:p>
    <w:p w14:paraId="666C813E" w14:textId="0EAB3259" w:rsidR="00D937DB" w:rsidRPr="001C265E" w:rsidRDefault="00D937DB" w:rsidP="001C265E">
      <w:pPr>
        <w:shd w:val="clear" w:color="auto" w:fill="FFFFFF"/>
        <w:spacing w:after="0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proofErr w:type="spellStart"/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Urbroj</w:t>
      </w:r>
      <w:proofErr w:type="spellEnd"/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 xml:space="preserve">: </w:t>
      </w:r>
      <w:proofErr w:type="spellStart"/>
      <w:r w:rsidR="008644F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xxxxx</w:t>
      </w:r>
      <w:proofErr w:type="spellEnd"/>
    </w:p>
    <w:p w14:paraId="6BA70568" w14:textId="58B74A6F" w:rsidR="00D937DB" w:rsidRPr="001C265E" w:rsidRDefault="00D937DB" w:rsidP="001C265E">
      <w:pPr>
        <w:shd w:val="clear" w:color="auto" w:fill="FFFFFF"/>
        <w:spacing w:after="0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lastRenderedPageBreak/>
        <w:t xml:space="preserve">Zagreb, </w:t>
      </w:r>
      <w:proofErr w:type="spellStart"/>
      <w:r w:rsidR="008644F0"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xxxxxx</w:t>
      </w:r>
      <w:proofErr w:type="spellEnd"/>
    </w:p>
    <w:p w14:paraId="1E4CB1FF" w14:textId="77777777" w:rsidR="005246D1" w:rsidRDefault="005246D1" w:rsidP="001C265E">
      <w:pPr>
        <w:shd w:val="clear" w:color="auto" w:fill="FFFFFF"/>
        <w:spacing w:line="276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</w:p>
    <w:p w14:paraId="66CB12C8" w14:textId="7A3D5758" w:rsidR="00821C04" w:rsidRDefault="00D937DB" w:rsidP="001C265E">
      <w:pPr>
        <w:shd w:val="clear" w:color="auto" w:fill="FFFFFF"/>
        <w:spacing w:line="276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Predsjednik</w:t>
      </w:r>
    </w:p>
    <w:p w14:paraId="0187577A" w14:textId="1940D228" w:rsidR="00D937DB" w:rsidRPr="001C265E" w:rsidRDefault="00D937DB" w:rsidP="001C265E">
      <w:pPr>
        <w:shd w:val="clear" w:color="auto" w:fill="FFFFFF"/>
        <w:spacing w:line="276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</w:pP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br/>
      </w:r>
      <w:r w:rsidRPr="001C265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val="hr-HR"/>
        </w:rPr>
        <w:t>mr. sc. Andrej Plenković, </w:t>
      </w:r>
      <w:r w:rsidRPr="001C265E">
        <w:rPr>
          <w:rFonts w:ascii="Times New Roman" w:eastAsia="Times New Roman" w:hAnsi="Times New Roman" w:cs="Times New Roman"/>
          <w:color w:val="231F20"/>
          <w:sz w:val="24"/>
          <w:szCs w:val="24"/>
          <w:lang w:val="hr-HR"/>
        </w:rPr>
        <w:t>v. r.</w:t>
      </w:r>
    </w:p>
    <w:p w14:paraId="4FB57ECE" w14:textId="77777777" w:rsidR="00F65649" w:rsidRPr="001C265E" w:rsidRDefault="00F65649" w:rsidP="001C265E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F65649" w:rsidRPr="001C265E" w:rsidSect="001C265E">
      <w:pgSz w:w="12240" w:h="15840"/>
      <w:pgMar w:top="1417" w:right="1417" w:bottom="1417" w:left="184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uka Novosel" w:date="2023-01-26T15:44:00Z" w:initials="LN">
    <w:p w14:paraId="120206A2" w14:textId="77777777" w:rsidR="007B316B" w:rsidRDefault="007B316B" w:rsidP="009115A4">
      <w:r>
        <w:rPr>
          <w:rStyle w:val="CommentReference"/>
        </w:rPr>
        <w:annotation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en-GB"/>
        </w:rPr>
        <w:t>dodao ured pVRH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0206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E4C" w16cex:dateUtc="2023-01-26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0206A2" w16cid:durableId="277D1E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536"/>
    <w:multiLevelType w:val="hybridMultilevel"/>
    <w:tmpl w:val="D5944D3C"/>
    <w:lvl w:ilvl="0" w:tplc="F98E54F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0A135D3"/>
    <w:multiLevelType w:val="hybridMultilevel"/>
    <w:tmpl w:val="AA82E864"/>
    <w:lvl w:ilvl="0" w:tplc="41EA3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52596"/>
    <w:multiLevelType w:val="hybridMultilevel"/>
    <w:tmpl w:val="F962D7C2"/>
    <w:lvl w:ilvl="0" w:tplc="EB4676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D6DB0"/>
    <w:multiLevelType w:val="hybridMultilevel"/>
    <w:tmpl w:val="995A79B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4C91"/>
    <w:multiLevelType w:val="hybridMultilevel"/>
    <w:tmpl w:val="4A38C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34CA"/>
    <w:multiLevelType w:val="hybridMultilevel"/>
    <w:tmpl w:val="8A64B1A6"/>
    <w:lvl w:ilvl="0" w:tplc="881C0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40FA8"/>
    <w:multiLevelType w:val="hybridMultilevel"/>
    <w:tmpl w:val="A48E6D86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C4211EF"/>
    <w:multiLevelType w:val="hybridMultilevel"/>
    <w:tmpl w:val="BE10EF34"/>
    <w:lvl w:ilvl="0" w:tplc="2D9C019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63532F"/>
    <w:multiLevelType w:val="hybridMultilevel"/>
    <w:tmpl w:val="DCE84092"/>
    <w:lvl w:ilvl="0" w:tplc="44865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2EDB"/>
    <w:multiLevelType w:val="hybridMultilevel"/>
    <w:tmpl w:val="5B880AAC"/>
    <w:lvl w:ilvl="0" w:tplc="75604A4A">
      <w:start w:val="1"/>
      <w:numFmt w:val="decimal"/>
      <w:lvlText w:val="(%1)"/>
      <w:lvlJc w:val="left"/>
      <w:pPr>
        <w:ind w:left="3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33921D24"/>
    <w:multiLevelType w:val="hybridMultilevel"/>
    <w:tmpl w:val="4DC60FCC"/>
    <w:lvl w:ilvl="0" w:tplc="205AA56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366A2E61"/>
    <w:multiLevelType w:val="hybridMultilevel"/>
    <w:tmpl w:val="D8026BA0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BB2319"/>
    <w:multiLevelType w:val="hybridMultilevel"/>
    <w:tmpl w:val="4FB8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E4690"/>
    <w:multiLevelType w:val="hybridMultilevel"/>
    <w:tmpl w:val="85D85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787E"/>
    <w:multiLevelType w:val="hybridMultilevel"/>
    <w:tmpl w:val="DBA28B3E"/>
    <w:lvl w:ilvl="0" w:tplc="FFFFFFFF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498A7787"/>
    <w:multiLevelType w:val="hybridMultilevel"/>
    <w:tmpl w:val="ABB83B26"/>
    <w:lvl w:ilvl="0" w:tplc="790E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EA6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567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6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8B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3D27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2E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0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12B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32431"/>
    <w:multiLevelType w:val="hybridMultilevel"/>
    <w:tmpl w:val="3DA2E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7689D"/>
    <w:multiLevelType w:val="hybridMultilevel"/>
    <w:tmpl w:val="52F62C08"/>
    <w:lvl w:ilvl="0" w:tplc="04090017">
      <w:start w:val="1"/>
      <w:numFmt w:val="lowerLetter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60B55583"/>
    <w:multiLevelType w:val="hybridMultilevel"/>
    <w:tmpl w:val="B75E4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63D4F"/>
    <w:multiLevelType w:val="hybridMultilevel"/>
    <w:tmpl w:val="B75E4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9DE"/>
    <w:multiLevelType w:val="hybridMultilevel"/>
    <w:tmpl w:val="72F225F8"/>
    <w:lvl w:ilvl="0" w:tplc="A82E625A">
      <w:start w:val="1"/>
      <w:numFmt w:val="decimal"/>
      <w:lvlText w:val="(%1)"/>
      <w:lvlJc w:val="left"/>
      <w:pPr>
        <w:ind w:left="840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6AF62ADC"/>
    <w:multiLevelType w:val="hybridMultilevel"/>
    <w:tmpl w:val="2C90FCB6"/>
    <w:lvl w:ilvl="0" w:tplc="1212A7A0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A9F6726"/>
    <w:multiLevelType w:val="hybridMultilevel"/>
    <w:tmpl w:val="EF74E3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22D9"/>
    <w:multiLevelType w:val="hybridMultilevel"/>
    <w:tmpl w:val="4864A788"/>
    <w:lvl w:ilvl="0" w:tplc="AA9E0A4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698160899">
    <w:abstractNumId w:val="15"/>
  </w:num>
  <w:num w:numId="2" w16cid:durableId="1376008167">
    <w:abstractNumId w:val="6"/>
  </w:num>
  <w:num w:numId="3" w16cid:durableId="1027490204">
    <w:abstractNumId w:val="11"/>
  </w:num>
  <w:num w:numId="4" w16cid:durableId="641621428">
    <w:abstractNumId w:val="17"/>
  </w:num>
  <w:num w:numId="5" w16cid:durableId="958994475">
    <w:abstractNumId w:val="21"/>
  </w:num>
  <w:num w:numId="6" w16cid:durableId="146367600">
    <w:abstractNumId w:val="18"/>
  </w:num>
  <w:num w:numId="7" w16cid:durableId="750783222">
    <w:abstractNumId w:val="19"/>
  </w:num>
  <w:num w:numId="8" w16cid:durableId="1668753150">
    <w:abstractNumId w:val="12"/>
  </w:num>
  <w:num w:numId="9" w16cid:durableId="1785734185">
    <w:abstractNumId w:val="2"/>
  </w:num>
  <w:num w:numId="10" w16cid:durableId="1091655806">
    <w:abstractNumId w:val="13"/>
  </w:num>
  <w:num w:numId="11" w16cid:durableId="323511610">
    <w:abstractNumId w:val="22"/>
  </w:num>
  <w:num w:numId="12" w16cid:durableId="757675755">
    <w:abstractNumId w:val="16"/>
  </w:num>
  <w:num w:numId="13" w16cid:durableId="467894220">
    <w:abstractNumId w:val="20"/>
  </w:num>
  <w:num w:numId="14" w16cid:durableId="584188815">
    <w:abstractNumId w:val="5"/>
  </w:num>
  <w:num w:numId="15" w16cid:durableId="1252273571">
    <w:abstractNumId w:val="4"/>
  </w:num>
  <w:num w:numId="16" w16cid:durableId="1662267857">
    <w:abstractNumId w:val="23"/>
  </w:num>
  <w:num w:numId="17" w16cid:durableId="542404397">
    <w:abstractNumId w:val="1"/>
  </w:num>
  <w:num w:numId="18" w16cid:durableId="1924685755">
    <w:abstractNumId w:val="10"/>
  </w:num>
  <w:num w:numId="19" w16cid:durableId="369838798">
    <w:abstractNumId w:val="7"/>
  </w:num>
  <w:num w:numId="20" w16cid:durableId="755328640">
    <w:abstractNumId w:val="9"/>
  </w:num>
  <w:num w:numId="21" w16cid:durableId="666787258">
    <w:abstractNumId w:val="0"/>
  </w:num>
  <w:num w:numId="22" w16cid:durableId="655455086">
    <w:abstractNumId w:val="8"/>
  </w:num>
  <w:num w:numId="23" w16cid:durableId="1444374781">
    <w:abstractNumId w:val="14"/>
  </w:num>
  <w:num w:numId="24" w16cid:durableId="66250938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a Novosel">
    <w15:presenceInfo w15:providerId="AD" w15:userId="S::lnovosel@mrrfeu.hr::6c0d146a-1fe7-48e5-b6a6-e9432f83e1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DB"/>
    <w:rsid w:val="00000CCC"/>
    <w:rsid w:val="0000123D"/>
    <w:rsid w:val="00002E26"/>
    <w:rsid w:val="0001182A"/>
    <w:rsid w:val="00012AD6"/>
    <w:rsid w:val="00020803"/>
    <w:rsid w:val="000218ED"/>
    <w:rsid w:val="00022681"/>
    <w:rsid w:val="000251BF"/>
    <w:rsid w:val="000314CC"/>
    <w:rsid w:val="00043A5D"/>
    <w:rsid w:val="00047F67"/>
    <w:rsid w:val="00050738"/>
    <w:rsid w:val="0005416A"/>
    <w:rsid w:val="00064312"/>
    <w:rsid w:val="00064511"/>
    <w:rsid w:val="0006522A"/>
    <w:rsid w:val="00067680"/>
    <w:rsid w:val="00076D83"/>
    <w:rsid w:val="00081ACC"/>
    <w:rsid w:val="00085B56"/>
    <w:rsid w:val="00090F72"/>
    <w:rsid w:val="0009546B"/>
    <w:rsid w:val="00095B95"/>
    <w:rsid w:val="000B05B4"/>
    <w:rsid w:val="000B6A27"/>
    <w:rsid w:val="000B6DA4"/>
    <w:rsid w:val="000C18BE"/>
    <w:rsid w:val="000C35E1"/>
    <w:rsid w:val="000C6F4D"/>
    <w:rsid w:val="000C7BC4"/>
    <w:rsid w:val="000D5C0E"/>
    <w:rsid w:val="000E4622"/>
    <w:rsid w:val="000E7875"/>
    <w:rsid w:val="000E7C1B"/>
    <w:rsid w:val="000F146E"/>
    <w:rsid w:val="000F3B6B"/>
    <w:rsid w:val="000F6B8D"/>
    <w:rsid w:val="000F73FB"/>
    <w:rsid w:val="00107630"/>
    <w:rsid w:val="00110DE4"/>
    <w:rsid w:val="001128DA"/>
    <w:rsid w:val="00112B78"/>
    <w:rsid w:val="00112F41"/>
    <w:rsid w:val="001132AD"/>
    <w:rsid w:val="00121C03"/>
    <w:rsid w:val="001237F2"/>
    <w:rsid w:val="0012770A"/>
    <w:rsid w:val="00144EC7"/>
    <w:rsid w:val="001472C8"/>
    <w:rsid w:val="00147FCB"/>
    <w:rsid w:val="00155D89"/>
    <w:rsid w:val="0016232F"/>
    <w:rsid w:val="001701DE"/>
    <w:rsid w:val="00184A4A"/>
    <w:rsid w:val="001869E9"/>
    <w:rsid w:val="00186A15"/>
    <w:rsid w:val="00191AC1"/>
    <w:rsid w:val="00192813"/>
    <w:rsid w:val="001A60E2"/>
    <w:rsid w:val="001B3D6E"/>
    <w:rsid w:val="001B42CB"/>
    <w:rsid w:val="001B6548"/>
    <w:rsid w:val="001C265E"/>
    <w:rsid w:val="001C381A"/>
    <w:rsid w:val="001C43D5"/>
    <w:rsid w:val="001C7AA4"/>
    <w:rsid w:val="001D78F7"/>
    <w:rsid w:val="001E33A3"/>
    <w:rsid w:val="001F29A8"/>
    <w:rsid w:val="00204D60"/>
    <w:rsid w:val="00220B6C"/>
    <w:rsid w:val="00223680"/>
    <w:rsid w:val="00227BEB"/>
    <w:rsid w:val="00236071"/>
    <w:rsid w:val="002372DE"/>
    <w:rsid w:val="002379BE"/>
    <w:rsid w:val="00242248"/>
    <w:rsid w:val="002435FB"/>
    <w:rsid w:val="0024547C"/>
    <w:rsid w:val="0024677B"/>
    <w:rsid w:val="00256AB1"/>
    <w:rsid w:val="00265CCC"/>
    <w:rsid w:val="00265E17"/>
    <w:rsid w:val="0027168B"/>
    <w:rsid w:val="0027176D"/>
    <w:rsid w:val="0027193E"/>
    <w:rsid w:val="00272590"/>
    <w:rsid w:val="00281AB4"/>
    <w:rsid w:val="002863A8"/>
    <w:rsid w:val="00287256"/>
    <w:rsid w:val="00291424"/>
    <w:rsid w:val="002A11A2"/>
    <w:rsid w:val="002A35AA"/>
    <w:rsid w:val="002E09CF"/>
    <w:rsid w:val="002E7F4B"/>
    <w:rsid w:val="003014EE"/>
    <w:rsid w:val="00305339"/>
    <w:rsid w:val="003059EC"/>
    <w:rsid w:val="00311037"/>
    <w:rsid w:val="0031120D"/>
    <w:rsid w:val="00314CF5"/>
    <w:rsid w:val="003163EF"/>
    <w:rsid w:val="0031776D"/>
    <w:rsid w:val="003224E8"/>
    <w:rsid w:val="00322A64"/>
    <w:rsid w:val="00327AC0"/>
    <w:rsid w:val="00331350"/>
    <w:rsid w:val="00340B22"/>
    <w:rsid w:val="003452D5"/>
    <w:rsid w:val="003571D1"/>
    <w:rsid w:val="00362A4C"/>
    <w:rsid w:val="0037669E"/>
    <w:rsid w:val="003774EA"/>
    <w:rsid w:val="00386421"/>
    <w:rsid w:val="00391034"/>
    <w:rsid w:val="00393342"/>
    <w:rsid w:val="00394B32"/>
    <w:rsid w:val="003A136E"/>
    <w:rsid w:val="003B0B20"/>
    <w:rsid w:val="003B25AB"/>
    <w:rsid w:val="003B2BC7"/>
    <w:rsid w:val="003B2F81"/>
    <w:rsid w:val="003B3097"/>
    <w:rsid w:val="003C1D42"/>
    <w:rsid w:val="003D6EA3"/>
    <w:rsid w:val="003E59DB"/>
    <w:rsid w:val="003E6016"/>
    <w:rsid w:val="003F72BE"/>
    <w:rsid w:val="00401064"/>
    <w:rsid w:val="00423193"/>
    <w:rsid w:val="0044245A"/>
    <w:rsid w:val="00444990"/>
    <w:rsid w:val="00445D9C"/>
    <w:rsid w:val="00450FEC"/>
    <w:rsid w:val="004524D6"/>
    <w:rsid w:val="00453C31"/>
    <w:rsid w:val="004605A9"/>
    <w:rsid w:val="00465D9B"/>
    <w:rsid w:val="00467775"/>
    <w:rsid w:val="004753CB"/>
    <w:rsid w:val="00476991"/>
    <w:rsid w:val="00485D68"/>
    <w:rsid w:val="00490930"/>
    <w:rsid w:val="0049561A"/>
    <w:rsid w:val="004A082D"/>
    <w:rsid w:val="004B169A"/>
    <w:rsid w:val="004B3FAF"/>
    <w:rsid w:val="004B7A8C"/>
    <w:rsid w:val="004B7ACE"/>
    <w:rsid w:val="004B7DF2"/>
    <w:rsid w:val="004C1212"/>
    <w:rsid w:val="004C1926"/>
    <w:rsid w:val="004F11D0"/>
    <w:rsid w:val="004F2465"/>
    <w:rsid w:val="00502C20"/>
    <w:rsid w:val="005246D1"/>
    <w:rsid w:val="00530A73"/>
    <w:rsid w:val="00540E6B"/>
    <w:rsid w:val="00542601"/>
    <w:rsid w:val="00544EC3"/>
    <w:rsid w:val="00555808"/>
    <w:rsid w:val="0056076A"/>
    <w:rsid w:val="0056187C"/>
    <w:rsid w:val="00563AFD"/>
    <w:rsid w:val="005712A2"/>
    <w:rsid w:val="005830EF"/>
    <w:rsid w:val="00584C85"/>
    <w:rsid w:val="005920F4"/>
    <w:rsid w:val="00596BD5"/>
    <w:rsid w:val="005A0EA8"/>
    <w:rsid w:val="005A1B17"/>
    <w:rsid w:val="005A7DF2"/>
    <w:rsid w:val="005B1459"/>
    <w:rsid w:val="005B2EFA"/>
    <w:rsid w:val="005C16B2"/>
    <w:rsid w:val="005D63CA"/>
    <w:rsid w:val="005F048A"/>
    <w:rsid w:val="00602833"/>
    <w:rsid w:val="00606496"/>
    <w:rsid w:val="0061047E"/>
    <w:rsid w:val="006113AB"/>
    <w:rsid w:val="00617578"/>
    <w:rsid w:val="006234E3"/>
    <w:rsid w:val="006256C5"/>
    <w:rsid w:val="00627593"/>
    <w:rsid w:val="0063172F"/>
    <w:rsid w:val="00636236"/>
    <w:rsid w:val="0064394C"/>
    <w:rsid w:val="00645A8D"/>
    <w:rsid w:val="00647C06"/>
    <w:rsid w:val="00650A28"/>
    <w:rsid w:val="00653322"/>
    <w:rsid w:val="006562A0"/>
    <w:rsid w:val="00666547"/>
    <w:rsid w:val="0068023B"/>
    <w:rsid w:val="00687D67"/>
    <w:rsid w:val="00694E79"/>
    <w:rsid w:val="006A11D1"/>
    <w:rsid w:val="006A3013"/>
    <w:rsid w:val="006A34BB"/>
    <w:rsid w:val="006A56A0"/>
    <w:rsid w:val="006B0B7E"/>
    <w:rsid w:val="006B29BB"/>
    <w:rsid w:val="006B4241"/>
    <w:rsid w:val="006B5501"/>
    <w:rsid w:val="006C0BD1"/>
    <w:rsid w:val="006C1E50"/>
    <w:rsid w:val="006C51D4"/>
    <w:rsid w:val="006D25F1"/>
    <w:rsid w:val="006D25F3"/>
    <w:rsid w:val="006D4C91"/>
    <w:rsid w:val="006D565C"/>
    <w:rsid w:val="006F314B"/>
    <w:rsid w:val="00700AB4"/>
    <w:rsid w:val="007144AA"/>
    <w:rsid w:val="007310E6"/>
    <w:rsid w:val="00742B0B"/>
    <w:rsid w:val="00742C3F"/>
    <w:rsid w:val="00743EAA"/>
    <w:rsid w:val="00752F3E"/>
    <w:rsid w:val="00762687"/>
    <w:rsid w:val="0076339D"/>
    <w:rsid w:val="00766509"/>
    <w:rsid w:val="007753B7"/>
    <w:rsid w:val="007800B4"/>
    <w:rsid w:val="00781044"/>
    <w:rsid w:val="00782BE1"/>
    <w:rsid w:val="00783259"/>
    <w:rsid w:val="00791C54"/>
    <w:rsid w:val="007B0C27"/>
    <w:rsid w:val="007B316B"/>
    <w:rsid w:val="007C3CAC"/>
    <w:rsid w:val="007D1CAC"/>
    <w:rsid w:val="007D2952"/>
    <w:rsid w:val="007E12DF"/>
    <w:rsid w:val="007E3620"/>
    <w:rsid w:val="007E44C6"/>
    <w:rsid w:val="007F1AC4"/>
    <w:rsid w:val="007F308A"/>
    <w:rsid w:val="007F6930"/>
    <w:rsid w:val="00803E44"/>
    <w:rsid w:val="00807B84"/>
    <w:rsid w:val="00811F4B"/>
    <w:rsid w:val="00813503"/>
    <w:rsid w:val="00821C04"/>
    <w:rsid w:val="008330B9"/>
    <w:rsid w:val="00833A3F"/>
    <w:rsid w:val="008423DB"/>
    <w:rsid w:val="008433DD"/>
    <w:rsid w:val="00852C34"/>
    <w:rsid w:val="008549D3"/>
    <w:rsid w:val="00855278"/>
    <w:rsid w:val="00862F80"/>
    <w:rsid w:val="00863169"/>
    <w:rsid w:val="008644F0"/>
    <w:rsid w:val="00873CF2"/>
    <w:rsid w:val="00876856"/>
    <w:rsid w:val="00886637"/>
    <w:rsid w:val="00891032"/>
    <w:rsid w:val="00891126"/>
    <w:rsid w:val="00896554"/>
    <w:rsid w:val="008B0BE2"/>
    <w:rsid w:val="008B2F68"/>
    <w:rsid w:val="008B59D1"/>
    <w:rsid w:val="008B5F31"/>
    <w:rsid w:val="008B63D0"/>
    <w:rsid w:val="008C0E2C"/>
    <w:rsid w:val="008C5370"/>
    <w:rsid w:val="008D1304"/>
    <w:rsid w:val="008D2C7D"/>
    <w:rsid w:val="008E57DF"/>
    <w:rsid w:val="008E608A"/>
    <w:rsid w:val="008F3D78"/>
    <w:rsid w:val="008F55E7"/>
    <w:rsid w:val="009037EA"/>
    <w:rsid w:val="0090380D"/>
    <w:rsid w:val="00905948"/>
    <w:rsid w:val="0091330D"/>
    <w:rsid w:val="009304BC"/>
    <w:rsid w:val="00930937"/>
    <w:rsid w:val="0093760C"/>
    <w:rsid w:val="00941ECE"/>
    <w:rsid w:val="00944773"/>
    <w:rsid w:val="0094503C"/>
    <w:rsid w:val="009514DD"/>
    <w:rsid w:val="009719B0"/>
    <w:rsid w:val="009835E0"/>
    <w:rsid w:val="0098767B"/>
    <w:rsid w:val="009A4945"/>
    <w:rsid w:val="009B1343"/>
    <w:rsid w:val="009B533F"/>
    <w:rsid w:val="009B7699"/>
    <w:rsid w:val="009B7E83"/>
    <w:rsid w:val="009C27EF"/>
    <w:rsid w:val="009C5CAC"/>
    <w:rsid w:val="009C6937"/>
    <w:rsid w:val="009C7275"/>
    <w:rsid w:val="009D789E"/>
    <w:rsid w:val="009D7A55"/>
    <w:rsid w:val="009E2682"/>
    <w:rsid w:val="009F0872"/>
    <w:rsid w:val="009F0DA1"/>
    <w:rsid w:val="009F31D4"/>
    <w:rsid w:val="00A000A5"/>
    <w:rsid w:val="00A02782"/>
    <w:rsid w:val="00A05FFE"/>
    <w:rsid w:val="00A15750"/>
    <w:rsid w:val="00A16A75"/>
    <w:rsid w:val="00A16C1E"/>
    <w:rsid w:val="00A21745"/>
    <w:rsid w:val="00A24852"/>
    <w:rsid w:val="00A33510"/>
    <w:rsid w:val="00A3412A"/>
    <w:rsid w:val="00A37BAC"/>
    <w:rsid w:val="00A40A1F"/>
    <w:rsid w:val="00A45468"/>
    <w:rsid w:val="00A637AA"/>
    <w:rsid w:val="00A65319"/>
    <w:rsid w:val="00A843E4"/>
    <w:rsid w:val="00A864CD"/>
    <w:rsid w:val="00A96951"/>
    <w:rsid w:val="00AA63CC"/>
    <w:rsid w:val="00AB24B4"/>
    <w:rsid w:val="00AB48C6"/>
    <w:rsid w:val="00AC0BB6"/>
    <w:rsid w:val="00AC196D"/>
    <w:rsid w:val="00AD0071"/>
    <w:rsid w:val="00AE3A39"/>
    <w:rsid w:val="00AE5D80"/>
    <w:rsid w:val="00AF3D4F"/>
    <w:rsid w:val="00B137FC"/>
    <w:rsid w:val="00B219C6"/>
    <w:rsid w:val="00B317A0"/>
    <w:rsid w:val="00B320E5"/>
    <w:rsid w:val="00B4274E"/>
    <w:rsid w:val="00B4374C"/>
    <w:rsid w:val="00B43B3E"/>
    <w:rsid w:val="00B50B67"/>
    <w:rsid w:val="00B51288"/>
    <w:rsid w:val="00B51A1C"/>
    <w:rsid w:val="00B53CEA"/>
    <w:rsid w:val="00B55250"/>
    <w:rsid w:val="00B5785A"/>
    <w:rsid w:val="00B629B9"/>
    <w:rsid w:val="00B64DA0"/>
    <w:rsid w:val="00B67321"/>
    <w:rsid w:val="00B80303"/>
    <w:rsid w:val="00BA088D"/>
    <w:rsid w:val="00BA1AF8"/>
    <w:rsid w:val="00BA1D56"/>
    <w:rsid w:val="00BA2EF6"/>
    <w:rsid w:val="00BC3E1C"/>
    <w:rsid w:val="00BC3FC6"/>
    <w:rsid w:val="00BD5414"/>
    <w:rsid w:val="00BE0733"/>
    <w:rsid w:val="00BE3627"/>
    <w:rsid w:val="00BE3641"/>
    <w:rsid w:val="00BE4AAC"/>
    <w:rsid w:val="00BE5669"/>
    <w:rsid w:val="00BF0553"/>
    <w:rsid w:val="00BF3D55"/>
    <w:rsid w:val="00BF4013"/>
    <w:rsid w:val="00C00594"/>
    <w:rsid w:val="00C04B55"/>
    <w:rsid w:val="00C10B62"/>
    <w:rsid w:val="00C12F56"/>
    <w:rsid w:val="00C21690"/>
    <w:rsid w:val="00C25E02"/>
    <w:rsid w:val="00C30D9A"/>
    <w:rsid w:val="00C40058"/>
    <w:rsid w:val="00C42222"/>
    <w:rsid w:val="00C479D1"/>
    <w:rsid w:val="00C51799"/>
    <w:rsid w:val="00C525C5"/>
    <w:rsid w:val="00C55E9C"/>
    <w:rsid w:val="00C56630"/>
    <w:rsid w:val="00C73A41"/>
    <w:rsid w:val="00C758EB"/>
    <w:rsid w:val="00C774D6"/>
    <w:rsid w:val="00C8668E"/>
    <w:rsid w:val="00C90F6A"/>
    <w:rsid w:val="00C91DD5"/>
    <w:rsid w:val="00CB06D4"/>
    <w:rsid w:val="00CB50DF"/>
    <w:rsid w:val="00CC2FAE"/>
    <w:rsid w:val="00CC4E41"/>
    <w:rsid w:val="00CD0091"/>
    <w:rsid w:val="00CD057F"/>
    <w:rsid w:val="00CD16BA"/>
    <w:rsid w:val="00CD191F"/>
    <w:rsid w:val="00CD36DF"/>
    <w:rsid w:val="00CD47FD"/>
    <w:rsid w:val="00CE0BC1"/>
    <w:rsid w:val="00CE1D59"/>
    <w:rsid w:val="00CE3EED"/>
    <w:rsid w:val="00D13A08"/>
    <w:rsid w:val="00D2251A"/>
    <w:rsid w:val="00D316A5"/>
    <w:rsid w:val="00D3439C"/>
    <w:rsid w:val="00D34F02"/>
    <w:rsid w:val="00D40E41"/>
    <w:rsid w:val="00D5594C"/>
    <w:rsid w:val="00D60F3C"/>
    <w:rsid w:val="00D64B6B"/>
    <w:rsid w:val="00D65087"/>
    <w:rsid w:val="00D70CEE"/>
    <w:rsid w:val="00D776F4"/>
    <w:rsid w:val="00D83B6F"/>
    <w:rsid w:val="00D90E6F"/>
    <w:rsid w:val="00D9258D"/>
    <w:rsid w:val="00D937DB"/>
    <w:rsid w:val="00DA506F"/>
    <w:rsid w:val="00DA78AA"/>
    <w:rsid w:val="00DB14CE"/>
    <w:rsid w:val="00DB2101"/>
    <w:rsid w:val="00DB71AB"/>
    <w:rsid w:val="00DC36C4"/>
    <w:rsid w:val="00DC6273"/>
    <w:rsid w:val="00DC719A"/>
    <w:rsid w:val="00DC7299"/>
    <w:rsid w:val="00DD0046"/>
    <w:rsid w:val="00DD27C7"/>
    <w:rsid w:val="00DD52B8"/>
    <w:rsid w:val="00DE1E18"/>
    <w:rsid w:val="00DE24B9"/>
    <w:rsid w:val="00DE30BB"/>
    <w:rsid w:val="00DE3E1C"/>
    <w:rsid w:val="00DE7F18"/>
    <w:rsid w:val="00DF3E3D"/>
    <w:rsid w:val="00E01E0E"/>
    <w:rsid w:val="00E02241"/>
    <w:rsid w:val="00E148F5"/>
    <w:rsid w:val="00E20476"/>
    <w:rsid w:val="00E23CCA"/>
    <w:rsid w:val="00E25AC3"/>
    <w:rsid w:val="00E32A1B"/>
    <w:rsid w:val="00E34C5F"/>
    <w:rsid w:val="00E37407"/>
    <w:rsid w:val="00E37AD0"/>
    <w:rsid w:val="00E43699"/>
    <w:rsid w:val="00E4706D"/>
    <w:rsid w:val="00E4769C"/>
    <w:rsid w:val="00E60F92"/>
    <w:rsid w:val="00E65C84"/>
    <w:rsid w:val="00E7039B"/>
    <w:rsid w:val="00E720D0"/>
    <w:rsid w:val="00E77FAB"/>
    <w:rsid w:val="00E82EF5"/>
    <w:rsid w:val="00E84CC7"/>
    <w:rsid w:val="00E95EE6"/>
    <w:rsid w:val="00EA4783"/>
    <w:rsid w:val="00EA5792"/>
    <w:rsid w:val="00EA73F2"/>
    <w:rsid w:val="00EA77C1"/>
    <w:rsid w:val="00EB4012"/>
    <w:rsid w:val="00EB4C80"/>
    <w:rsid w:val="00EB5580"/>
    <w:rsid w:val="00EB5E78"/>
    <w:rsid w:val="00EB5EB0"/>
    <w:rsid w:val="00EB61B8"/>
    <w:rsid w:val="00EC0685"/>
    <w:rsid w:val="00EC129B"/>
    <w:rsid w:val="00EC13C3"/>
    <w:rsid w:val="00EC5602"/>
    <w:rsid w:val="00ED540E"/>
    <w:rsid w:val="00EE0327"/>
    <w:rsid w:val="00EE245E"/>
    <w:rsid w:val="00EE49E9"/>
    <w:rsid w:val="00EE7779"/>
    <w:rsid w:val="00EF08F0"/>
    <w:rsid w:val="00F11A7D"/>
    <w:rsid w:val="00F233C4"/>
    <w:rsid w:val="00F37FF6"/>
    <w:rsid w:val="00F54FEE"/>
    <w:rsid w:val="00F643EB"/>
    <w:rsid w:val="00F65649"/>
    <w:rsid w:val="00F67388"/>
    <w:rsid w:val="00F75E4A"/>
    <w:rsid w:val="00F76652"/>
    <w:rsid w:val="00F83320"/>
    <w:rsid w:val="00F90416"/>
    <w:rsid w:val="00FA02FD"/>
    <w:rsid w:val="00FA2464"/>
    <w:rsid w:val="00FA3C81"/>
    <w:rsid w:val="00FB19B2"/>
    <w:rsid w:val="00FB4290"/>
    <w:rsid w:val="00FB6A04"/>
    <w:rsid w:val="00FC45EC"/>
    <w:rsid w:val="00FD0F23"/>
    <w:rsid w:val="00F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D24A"/>
  <w15:chartTrackingRefBased/>
  <w15:docId w15:val="{9008CC9E-9DDA-4C90-A3F3-CBC337A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7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680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paragraph" w:customStyle="1" w:styleId="box458568">
    <w:name w:val="box_458568"/>
    <w:basedOn w:val="Normal"/>
    <w:rsid w:val="0006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4769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6D4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6D4"/>
    <w:rPr>
      <w:rFonts w:ascii="Times New Roman" w:eastAsia="Times New Roman" w:hAnsi="Times New Roman" w:cs="Times New Roman"/>
      <w:b/>
      <w:bCs/>
      <w:sz w:val="20"/>
      <w:szCs w:val="20"/>
      <w:lang w:val="hr-H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7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60F92"/>
  </w:style>
  <w:style w:type="character" w:customStyle="1" w:styleId="kurziv">
    <w:name w:val="kurziv"/>
    <w:basedOn w:val="DefaultParagraphFont"/>
    <w:rsid w:val="00E60F92"/>
  </w:style>
  <w:style w:type="paragraph" w:styleId="Revision">
    <w:name w:val="Revision"/>
    <w:hidden/>
    <w:uiPriority w:val="99"/>
    <w:semiHidden/>
    <w:rsid w:val="007753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136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672101376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0999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7079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4146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046493649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7899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005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128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548569081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87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522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3401-7F90-4C74-89C3-9F11B00A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3478</Words>
  <Characters>19831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Rajić</dc:creator>
  <cp:keywords/>
  <dc:description/>
  <cp:lastModifiedBy>Jadranka Tadić</cp:lastModifiedBy>
  <cp:revision>2</cp:revision>
  <dcterms:created xsi:type="dcterms:W3CDTF">2023-02-01T13:46:00Z</dcterms:created>
  <dcterms:modified xsi:type="dcterms:W3CDTF">2023-02-01T13:46:00Z</dcterms:modified>
  <cp:category/>
</cp:coreProperties>
</file>